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AF221" w14:textId="77777777" w:rsidR="004A3BF4" w:rsidRPr="00303008" w:rsidRDefault="00056601" w:rsidP="007D5C29">
      <w:pPr>
        <w:rPr>
          <w:sz w:val="24"/>
          <w:szCs w:val="24"/>
          <w:lang w:val="en-GB"/>
        </w:rPr>
      </w:pPr>
      <w:r w:rsidRPr="00303008">
        <w:rPr>
          <w:noProof/>
          <w:sz w:val="24"/>
          <w:szCs w:val="24"/>
          <w:lang w:val="en-GB"/>
        </w:rPr>
        <w:drawing>
          <wp:inline distT="0" distB="0" distL="0" distR="0" wp14:anchorId="0A3EB288" wp14:editId="2253C80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0078B0B" w14:textId="77777777" w:rsidR="006B3847" w:rsidRPr="00303008" w:rsidRDefault="006B3847" w:rsidP="007D5C29">
      <w:pPr>
        <w:rPr>
          <w:sz w:val="24"/>
          <w:szCs w:val="24"/>
          <w:lang w:val="en-GB"/>
        </w:rPr>
      </w:pPr>
    </w:p>
    <w:p w14:paraId="2C6E0189" w14:textId="613D758F" w:rsidR="006B3847" w:rsidRPr="00303008" w:rsidRDefault="006B3847" w:rsidP="007D5C29">
      <w:pPr>
        <w:tabs>
          <w:tab w:val="right" w:pos="9356"/>
        </w:tabs>
        <w:rPr>
          <w:b/>
          <w:sz w:val="24"/>
          <w:szCs w:val="24"/>
          <w:lang w:val="en-GB"/>
        </w:rPr>
      </w:pPr>
      <w:r w:rsidRPr="00303008">
        <w:rPr>
          <w:b/>
          <w:sz w:val="24"/>
          <w:szCs w:val="24"/>
          <w:lang w:val="en-GB"/>
        </w:rPr>
        <w:tab/>
      </w:r>
      <w:r w:rsidR="00C1594C">
        <w:rPr>
          <w:b/>
          <w:sz w:val="24"/>
          <w:szCs w:val="24"/>
          <w:lang w:val="en-GB"/>
        </w:rPr>
        <w:t xml:space="preserve">19 </w:t>
      </w:r>
      <w:r w:rsidR="000B691E">
        <w:rPr>
          <w:b/>
          <w:sz w:val="24"/>
          <w:szCs w:val="24"/>
          <w:lang w:val="en-GB"/>
        </w:rPr>
        <w:t>S</w:t>
      </w:r>
      <w:r w:rsidR="00C1594C">
        <w:rPr>
          <w:b/>
          <w:sz w:val="24"/>
          <w:szCs w:val="24"/>
          <w:lang w:val="en-GB"/>
        </w:rPr>
        <w:t>eptember 2024</w:t>
      </w:r>
    </w:p>
    <w:p w14:paraId="133DA4C3" w14:textId="77777777" w:rsidR="006B3847" w:rsidRPr="00303008" w:rsidRDefault="006B3847" w:rsidP="007D5C29">
      <w:pPr>
        <w:rPr>
          <w:sz w:val="24"/>
          <w:szCs w:val="24"/>
          <w:lang w:val="en-GB"/>
        </w:rPr>
      </w:pPr>
    </w:p>
    <w:p w14:paraId="3EE684F6" w14:textId="77777777" w:rsidR="007C5D2A" w:rsidRPr="00303008" w:rsidRDefault="007C5D2A" w:rsidP="007D5C29">
      <w:pPr>
        <w:rPr>
          <w:sz w:val="24"/>
          <w:szCs w:val="24"/>
          <w:lang w:val="en-GB"/>
        </w:rPr>
      </w:pPr>
    </w:p>
    <w:p w14:paraId="2C87AD15" w14:textId="77777777" w:rsidR="007C5D2A" w:rsidRPr="00303008" w:rsidRDefault="007C5D2A" w:rsidP="007D5C29">
      <w:pPr>
        <w:rPr>
          <w:sz w:val="24"/>
          <w:szCs w:val="24"/>
          <w:lang w:val="en-GB"/>
        </w:rPr>
      </w:pPr>
    </w:p>
    <w:p w14:paraId="6C07BEB1" w14:textId="77777777" w:rsidR="007C5D2A" w:rsidRPr="00303008" w:rsidRDefault="007C5D2A" w:rsidP="007D5C29">
      <w:pPr>
        <w:jc w:val="center"/>
        <w:rPr>
          <w:b/>
          <w:sz w:val="24"/>
          <w:szCs w:val="24"/>
          <w:lang w:val="en-GB"/>
        </w:rPr>
      </w:pPr>
      <w:bookmarkStart w:id="0" w:name="_Hlk49158549"/>
      <w:r w:rsidRPr="00303008">
        <w:rPr>
          <w:b/>
          <w:sz w:val="24"/>
          <w:szCs w:val="24"/>
          <w:lang w:val="en-GB"/>
        </w:rPr>
        <w:t>SUMMARY OF PRODUCT CHARACTERISTICS</w:t>
      </w:r>
    </w:p>
    <w:bookmarkEnd w:id="0"/>
    <w:p w14:paraId="002B71C2" w14:textId="77777777" w:rsidR="007C5D2A" w:rsidRPr="00303008" w:rsidRDefault="007C5D2A" w:rsidP="007D5C29">
      <w:pPr>
        <w:jc w:val="center"/>
        <w:rPr>
          <w:sz w:val="24"/>
          <w:szCs w:val="24"/>
          <w:lang w:val="en-GB"/>
        </w:rPr>
      </w:pPr>
    </w:p>
    <w:p w14:paraId="1DB7D0DB" w14:textId="77777777" w:rsidR="007C5D2A" w:rsidRPr="00303008" w:rsidRDefault="007C5D2A" w:rsidP="007D5C29">
      <w:pPr>
        <w:jc w:val="center"/>
        <w:rPr>
          <w:b/>
          <w:sz w:val="24"/>
          <w:szCs w:val="24"/>
          <w:lang w:val="en-GB"/>
        </w:rPr>
      </w:pPr>
      <w:r w:rsidRPr="00303008">
        <w:rPr>
          <w:b/>
          <w:sz w:val="24"/>
          <w:szCs w:val="24"/>
          <w:lang w:val="en-GB"/>
        </w:rPr>
        <w:t>for</w:t>
      </w:r>
    </w:p>
    <w:p w14:paraId="2FD42FF0" w14:textId="77777777" w:rsidR="007C5D2A" w:rsidRPr="00303008" w:rsidRDefault="007C5D2A" w:rsidP="007D5C29">
      <w:pPr>
        <w:jc w:val="center"/>
        <w:rPr>
          <w:sz w:val="24"/>
          <w:szCs w:val="24"/>
          <w:lang w:val="en-GB"/>
        </w:rPr>
      </w:pPr>
    </w:p>
    <w:p w14:paraId="7A3FCBE5" w14:textId="7AE6B369" w:rsidR="007C5D2A" w:rsidRPr="00303008" w:rsidRDefault="00A91B56" w:rsidP="007D5C29">
      <w:pPr>
        <w:jc w:val="center"/>
        <w:rPr>
          <w:b/>
          <w:sz w:val="24"/>
          <w:szCs w:val="24"/>
          <w:lang w:val="en-GB"/>
        </w:rPr>
      </w:pPr>
      <w:bookmarkStart w:id="1" w:name="_Hlk177569000"/>
      <w:r>
        <w:rPr>
          <w:b/>
          <w:sz w:val="24"/>
          <w:szCs w:val="24"/>
          <w:lang w:val="en-GB"/>
        </w:rPr>
        <w:t xml:space="preserve">Lurasidonhydrochlorid "Elpen", </w:t>
      </w:r>
      <w:bookmarkEnd w:id="1"/>
      <w:r>
        <w:rPr>
          <w:b/>
          <w:sz w:val="24"/>
          <w:szCs w:val="24"/>
          <w:lang w:val="en-GB"/>
        </w:rPr>
        <w:t>film</w:t>
      </w:r>
      <w:r w:rsidR="00A114ED">
        <w:rPr>
          <w:b/>
          <w:sz w:val="24"/>
          <w:szCs w:val="24"/>
          <w:lang w:val="en-GB"/>
        </w:rPr>
        <w:t>coated tablets</w:t>
      </w:r>
    </w:p>
    <w:p w14:paraId="7C7E1BDB" w14:textId="77777777" w:rsidR="007C5D2A" w:rsidRPr="00303008" w:rsidRDefault="007C5D2A" w:rsidP="007D5C29">
      <w:pPr>
        <w:jc w:val="both"/>
        <w:rPr>
          <w:sz w:val="24"/>
          <w:szCs w:val="24"/>
          <w:lang w:val="en-GB"/>
        </w:rPr>
      </w:pPr>
    </w:p>
    <w:p w14:paraId="0CFF9094" w14:textId="77777777" w:rsidR="0042292D" w:rsidRPr="00303008" w:rsidRDefault="0042292D" w:rsidP="007D5C29">
      <w:pPr>
        <w:jc w:val="both"/>
        <w:rPr>
          <w:sz w:val="24"/>
          <w:szCs w:val="24"/>
          <w:lang w:val="en-GB"/>
        </w:rPr>
      </w:pPr>
    </w:p>
    <w:p w14:paraId="435A4685" w14:textId="77777777" w:rsidR="008F2F8C" w:rsidRPr="00303008" w:rsidRDefault="008F2F8C" w:rsidP="007D5C29">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79504477" w14:textId="75CCFB6F" w:rsidR="008F2F8C" w:rsidRPr="00303008" w:rsidRDefault="00A114ED" w:rsidP="007D5C29">
      <w:pPr>
        <w:tabs>
          <w:tab w:val="left" w:pos="8222"/>
        </w:tabs>
        <w:ind w:left="851"/>
        <w:rPr>
          <w:sz w:val="24"/>
          <w:szCs w:val="24"/>
          <w:lang w:val="en-GB"/>
        </w:rPr>
      </w:pPr>
      <w:r>
        <w:rPr>
          <w:sz w:val="24"/>
          <w:szCs w:val="24"/>
          <w:lang w:val="en-GB"/>
        </w:rPr>
        <w:t>33020</w:t>
      </w:r>
    </w:p>
    <w:p w14:paraId="175F7581" w14:textId="77777777" w:rsidR="007C5D2A" w:rsidRPr="00303008" w:rsidRDefault="007C5D2A" w:rsidP="007D5C29">
      <w:pPr>
        <w:tabs>
          <w:tab w:val="left" w:pos="851"/>
        </w:tabs>
        <w:jc w:val="both"/>
        <w:rPr>
          <w:sz w:val="24"/>
          <w:szCs w:val="24"/>
          <w:lang w:val="en-GB"/>
        </w:rPr>
      </w:pPr>
    </w:p>
    <w:p w14:paraId="442B9B79" w14:textId="77777777" w:rsidR="007C5D2A" w:rsidRPr="00303008" w:rsidRDefault="009925C9" w:rsidP="007D5C29">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69E1B6B8" w14:textId="4F056C59" w:rsidR="007C5D2A" w:rsidRPr="00A114ED" w:rsidRDefault="00A114ED" w:rsidP="007D5C29">
      <w:pPr>
        <w:tabs>
          <w:tab w:val="left" w:pos="851"/>
        </w:tabs>
        <w:ind w:left="851"/>
        <w:rPr>
          <w:sz w:val="24"/>
          <w:szCs w:val="24"/>
          <w:lang w:val="en-GB"/>
        </w:rPr>
      </w:pPr>
      <w:r w:rsidRPr="00A114ED">
        <w:rPr>
          <w:sz w:val="24"/>
          <w:szCs w:val="24"/>
          <w:lang w:val="en-GB"/>
        </w:rPr>
        <w:t>Lurasidonhydrochlorid "Elpen"</w:t>
      </w:r>
    </w:p>
    <w:p w14:paraId="1E1A70D2" w14:textId="77777777" w:rsidR="00A114ED" w:rsidRPr="00303008" w:rsidRDefault="00A114ED" w:rsidP="007D5C29">
      <w:pPr>
        <w:tabs>
          <w:tab w:val="left" w:pos="851"/>
        </w:tabs>
        <w:ind w:left="851"/>
        <w:rPr>
          <w:sz w:val="24"/>
          <w:szCs w:val="24"/>
          <w:lang w:val="en-GB"/>
        </w:rPr>
      </w:pPr>
    </w:p>
    <w:p w14:paraId="132BB35F" w14:textId="77777777" w:rsidR="007C5D2A" w:rsidRPr="00303008" w:rsidRDefault="009925C9" w:rsidP="007D5C29">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40519CA4" w14:textId="77777777" w:rsidR="00A114ED" w:rsidRDefault="00A114ED" w:rsidP="007D5C29">
      <w:pPr>
        <w:tabs>
          <w:tab w:val="left" w:pos="851"/>
        </w:tabs>
        <w:ind w:left="851"/>
        <w:rPr>
          <w:sz w:val="24"/>
          <w:szCs w:val="24"/>
          <w:u w:val="single"/>
          <w:lang w:val="en-US"/>
        </w:rPr>
      </w:pPr>
    </w:p>
    <w:p w14:paraId="56AB44D0" w14:textId="7766DDA3" w:rsidR="00A114ED" w:rsidRPr="00A114ED" w:rsidRDefault="00A114ED" w:rsidP="007D5C29">
      <w:pPr>
        <w:tabs>
          <w:tab w:val="left" w:pos="851"/>
        </w:tabs>
        <w:ind w:left="851"/>
        <w:rPr>
          <w:sz w:val="24"/>
          <w:szCs w:val="24"/>
          <w:lang w:val="en-US"/>
        </w:rPr>
      </w:pPr>
      <w:r w:rsidRPr="00A114ED">
        <w:rPr>
          <w:sz w:val="24"/>
          <w:szCs w:val="24"/>
          <w:u w:val="single"/>
          <w:lang w:val="en-US"/>
        </w:rPr>
        <w:t>Lurasidonhydrochlorid "Elpen" 18.5 mg film-coated tablets</w:t>
      </w:r>
    </w:p>
    <w:p w14:paraId="037BD0A2" w14:textId="77777777" w:rsidR="00A114ED" w:rsidRPr="00A114ED" w:rsidRDefault="00A114ED" w:rsidP="007D5C29">
      <w:pPr>
        <w:tabs>
          <w:tab w:val="left" w:pos="851"/>
        </w:tabs>
        <w:ind w:left="851"/>
        <w:rPr>
          <w:sz w:val="24"/>
          <w:szCs w:val="24"/>
          <w:lang w:val="en-US"/>
        </w:rPr>
      </w:pPr>
      <w:r w:rsidRPr="00A114ED">
        <w:rPr>
          <w:sz w:val="24"/>
          <w:szCs w:val="24"/>
          <w:lang w:val="en-US"/>
        </w:rPr>
        <w:t>Each film-coated tablet contains lurasidone hydrochloride equivalent to18.62 mg lurasidone.</w:t>
      </w:r>
    </w:p>
    <w:p w14:paraId="3FFF8E00" w14:textId="77777777" w:rsidR="00A114ED" w:rsidRPr="00A114ED" w:rsidRDefault="00A114ED" w:rsidP="007D5C29">
      <w:pPr>
        <w:tabs>
          <w:tab w:val="left" w:pos="851"/>
        </w:tabs>
        <w:ind w:left="851"/>
        <w:rPr>
          <w:sz w:val="24"/>
          <w:szCs w:val="24"/>
          <w:lang w:val="en-US"/>
        </w:rPr>
      </w:pPr>
    </w:p>
    <w:p w14:paraId="49F763DA"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Lurasidonhydrochlorid "Elpen" 37 mg film-coated tablets</w:t>
      </w:r>
    </w:p>
    <w:p w14:paraId="32BE7178" w14:textId="77777777" w:rsidR="00A114ED" w:rsidRPr="00A114ED" w:rsidRDefault="00A114ED" w:rsidP="007D5C29">
      <w:pPr>
        <w:tabs>
          <w:tab w:val="left" w:pos="851"/>
        </w:tabs>
        <w:ind w:left="851"/>
        <w:rPr>
          <w:sz w:val="24"/>
          <w:szCs w:val="24"/>
          <w:lang w:val="en-US"/>
        </w:rPr>
      </w:pPr>
      <w:r w:rsidRPr="00A114ED">
        <w:rPr>
          <w:sz w:val="24"/>
          <w:szCs w:val="24"/>
          <w:lang w:val="en-US"/>
        </w:rPr>
        <w:t>Each film-coated tablet contains lurasidone hydrochloride equivalent to 37.24 mg lurasidone.</w:t>
      </w:r>
    </w:p>
    <w:p w14:paraId="4F13E92D" w14:textId="77777777" w:rsidR="00A114ED" w:rsidRPr="00A114ED" w:rsidRDefault="00A114ED" w:rsidP="007D5C29">
      <w:pPr>
        <w:tabs>
          <w:tab w:val="left" w:pos="851"/>
        </w:tabs>
        <w:ind w:left="851"/>
        <w:rPr>
          <w:sz w:val="24"/>
          <w:szCs w:val="24"/>
          <w:lang w:val="en-US"/>
        </w:rPr>
      </w:pPr>
    </w:p>
    <w:p w14:paraId="49E5425B" w14:textId="77777777" w:rsidR="00A114ED" w:rsidRPr="00A114ED" w:rsidRDefault="00A114ED" w:rsidP="007D5C29">
      <w:pPr>
        <w:tabs>
          <w:tab w:val="left" w:pos="851"/>
        </w:tabs>
        <w:ind w:left="851"/>
        <w:rPr>
          <w:sz w:val="24"/>
          <w:szCs w:val="24"/>
          <w:u w:val="single"/>
          <w:lang w:val="en-US"/>
        </w:rPr>
      </w:pPr>
      <w:r w:rsidRPr="00A114ED">
        <w:rPr>
          <w:sz w:val="24"/>
          <w:szCs w:val="24"/>
          <w:u w:val="single"/>
          <w:lang w:val="en-US"/>
        </w:rPr>
        <w:t>Lurasidonhydrochlorid "Elpen" 74 mg film-coated tablets</w:t>
      </w:r>
    </w:p>
    <w:p w14:paraId="7B2F832F" w14:textId="77777777" w:rsidR="00A114ED" w:rsidRPr="00A114ED" w:rsidRDefault="00A114ED" w:rsidP="007D5C29">
      <w:pPr>
        <w:tabs>
          <w:tab w:val="left" w:pos="851"/>
        </w:tabs>
        <w:ind w:left="851"/>
        <w:rPr>
          <w:sz w:val="24"/>
          <w:szCs w:val="24"/>
          <w:lang w:val="en-US"/>
        </w:rPr>
      </w:pPr>
      <w:r w:rsidRPr="00A114ED">
        <w:rPr>
          <w:sz w:val="24"/>
          <w:szCs w:val="24"/>
          <w:lang w:val="en-US"/>
        </w:rPr>
        <w:t xml:space="preserve">Each film-coated tablet contains lurasidone hydrochloride equivalent to 74.49 mg lurasidone. </w:t>
      </w:r>
    </w:p>
    <w:p w14:paraId="68C89204" w14:textId="77777777" w:rsidR="00A114ED" w:rsidRPr="00A114ED" w:rsidRDefault="00A114ED" w:rsidP="007D5C29">
      <w:pPr>
        <w:tabs>
          <w:tab w:val="left" w:pos="851"/>
        </w:tabs>
        <w:ind w:left="851"/>
        <w:rPr>
          <w:sz w:val="24"/>
          <w:szCs w:val="24"/>
          <w:lang w:val="en-US"/>
        </w:rPr>
      </w:pPr>
    </w:p>
    <w:p w14:paraId="71968BAD" w14:textId="77777777" w:rsidR="00A114ED" w:rsidRPr="00A114ED" w:rsidRDefault="00A114ED" w:rsidP="007D5C29">
      <w:pPr>
        <w:tabs>
          <w:tab w:val="left" w:pos="851"/>
        </w:tabs>
        <w:ind w:left="851"/>
        <w:rPr>
          <w:i/>
          <w:sz w:val="24"/>
          <w:szCs w:val="24"/>
          <w:lang w:val="en-US"/>
        </w:rPr>
      </w:pPr>
      <w:r w:rsidRPr="00A114ED">
        <w:rPr>
          <w:i/>
          <w:sz w:val="24"/>
          <w:szCs w:val="24"/>
          <w:lang w:val="en-US"/>
        </w:rPr>
        <w:t>Excipient with known effect</w:t>
      </w:r>
    </w:p>
    <w:p w14:paraId="37795F17" w14:textId="77777777" w:rsidR="00A114ED" w:rsidRPr="00A114ED" w:rsidRDefault="00A114ED" w:rsidP="007D5C29">
      <w:pPr>
        <w:tabs>
          <w:tab w:val="left" w:pos="851"/>
        </w:tabs>
        <w:ind w:left="851"/>
        <w:rPr>
          <w:sz w:val="24"/>
          <w:szCs w:val="24"/>
          <w:lang w:val="en-US"/>
        </w:rPr>
      </w:pPr>
      <w:r w:rsidRPr="00A114ED">
        <w:rPr>
          <w:sz w:val="24"/>
          <w:szCs w:val="24"/>
          <w:lang w:val="en-US"/>
        </w:rPr>
        <w:t>Each 18.5 mg film-coated tablet contains tablet contains 30.00mg mannitol</w:t>
      </w:r>
    </w:p>
    <w:p w14:paraId="4641B6EB" w14:textId="77777777" w:rsidR="00A114ED" w:rsidRPr="00A114ED" w:rsidRDefault="00A114ED" w:rsidP="007D5C29">
      <w:pPr>
        <w:tabs>
          <w:tab w:val="left" w:pos="851"/>
        </w:tabs>
        <w:ind w:left="851"/>
        <w:rPr>
          <w:sz w:val="24"/>
          <w:szCs w:val="24"/>
          <w:lang w:val="en-US"/>
        </w:rPr>
      </w:pPr>
      <w:r w:rsidRPr="00A114ED">
        <w:rPr>
          <w:sz w:val="24"/>
          <w:szCs w:val="24"/>
          <w:lang w:val="en-US"/>
        </w:rPr>
        <w:t>Each 37 mg film-coated tablet contains tablet contains 60.00mg mannitol</w:t>
      </w:r>
    </w:p>
    <w:p w14:paraId="62132CBC" w14:textId="77777777" w:rsidR="00A114ED" w:rsidRPr="00A114ED" w:rsidRDefault="00A114ED" w:rsidP="007D5C29">
      <w:pPr>
        <w:tabs>
          <w:tab w:val="left" w:pos="851"/>
        </w:tabs>
        <w:ind w:left="851"/>
        <w:rPr>
          <w:sz w:val="24"/>
          <w:szCs w:val="24"/>
          <w:lang w:val="en-US"/>
        </w:rPr>
      </w:pPr>
      <w:r w:rsidRPr="00A114ED">
        <w:rPr>
          <w:sz w:val="24"/>
          <w:szCs w:val="24"/>
          <w:lang w:val="en-US"/>
        </w:rPr>
        <w:t>Each 74 mg film-coated tablet contains tablet contains 120.00mg mannitol</w:t>
      </w:r>
    </w:p>
    <w:p w14:paraId="14A8208F" w14:textId="77777777" w:rsidR="00A114ED" w:rsidRPr="00A114ED" w:rsidRDefault="00A114ED" w:rsidP="007D5C29">
      <w:pPr>
        <w:tabs>
          <w:tab w:val="left" w:pos="851"/>
        </w:tabs>
        <w:ind w:left="851"/>
        <w:rPr>
          <w:sz w:val="24"/>
          <w:szCs w:val="24"/>
          <w:lang w:val="en-US"/>
        </w:rPr>
      </w:pPr>
    </w:p>
    <w:p w14:paraId="10F5D5E2" w14:textId="77777777" w:rsidR="00A114ED" w:rsidRPr="00A114ED" w:rsidRDefault="00A114ED" w:rsidP="007D5C29">
      <w:pPr>
        <w:tabs>
          <w:tab w:val="left" w:pos="851"/>
        </w:tabs>
        <w:ind w:left="851"/>
        <w:rPr>
          <w:sz w:val="24"/>
          <w:szCs w:val="24"/>
          <w:lang w:val="en-US"/>
        </w:rPr>
      </w:pPr>
      <w:r w:rsidRPr="00A114ED">
        <w:rPr>
          <w:sz w:val="24"/>
          <w:szCs w:val="24"/>
          <w:lang w:val="en-US"/>
        </w:rPr>
        <w:t>For the full list of excipients, see section 6.1.</w:t>
      </w:r>
    </w:p>
    <w:p w14:paraId="53533DE8" w14:textId="77777777" w:rsidR="007C5D2A" w:rsidRPr="00A114ED" w:rsidRDefault="007C5D2A" w:rsidP="007D5C29">
      <w:pPr>
        <w:tabs>
          <w:tab w:val="left" w:pos="851"/>
        </w:tabs>
        <w:ind w:left="851"/>
        <w:rPr>
          <w:sz w:val="24"/>
          <w:szCs w:val="24"/>
          <w:lang w:val="en-US"/>
        </w:rPr>
      </w:pPr>
    </w:p>
    <w:p w14:paraId="3B7AC71F"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63CC6D18" w14:textId="7E8D177E" w:rsidR="00A114ED" w:rsidRPr="00A114ED" w:rsidRDefault="00A114ED" w:rsidP="007D5C29">
      <w:pPr>
        <w:tabs>
          <w:tab w:val="left" w:pos="851"/>
        </w:tabs>
        <w:ind w:left="851"/>
        <w:rPr>
          <w:sz w:val="24"/>
          <w:szCs w:val="24"/>
          <w:lang w:val="en-US"/>
        </w:rPr>
      </w:pPr>
      <w:r w:rsidRPr="00A114ED">
        <w:rPr>
          <w:sz w:val="24"/>
          <w:szCs w:val="24"/>
          <w:lang w:val="en-US"/>
        </w:rPr>
        <w:t>Film-coated tablet</w:t>
      </w:r>
      <w:r>
        <w:rPr>
          <w:sz w:val="24"/>
          <w:szCs w:val="24"/>
          <w:lang w:val="en-US"/>
        </w:rPr>
        <w:t>s</w:t>
      </w:r>
      <w:r w:rsidRPr="00A114ED">
        <w:rPr>
          <w:sz w:val="24"/>
          <w:szCs w:val="24"/>
          <w:lang w:val="en-US"/>
        </w:rPr>
        <w:t xml:space="preserve"> (tablet)</w:t>
      </w:r>
    </w:p>
    <w:p w14:paraId="34822389" w14:textId="77777777" w:rsidR="00A114ED" w:rsidRPr="00A114ED" w:rsidRDefault="00A114ED" w:rsidP="007D5C29">
      <w:pPr>
        <w:tabs>
          <w:tab w:val="left" w:pos="851"/>
        </w:tabs>
        <w:ind w:left="851"/>
        <w:rPr>
          <w:sz w:val="24"/>
          <w:szCs w:val="24"/>
          <w:lang w:val="en-US"/>
        </w:rPr>
      </w:pPr>
    </w:p>
    <w:p w14:paraId="7F9A153C"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Lurasidonhydrochlorid "Elpen" 18.5 mg film-coated tablets</w:t>
      </w:r>
    </w:p>
    <w:p w14:paraId="552D902A" w14:textId="77777777" w:rsidR="00A114ED" w:rsidRPr="00A114ED" w:rsidRDefault="00A114ED" w:rsidP="007D5C29">
      <w:pPr>
        <w:tabs>
          <w:tab w:val="left" w:pos="851"/>
        </w:tabs>
        <w:ind w:left="851"/>
        <w:rPr>
          <w:sz w:val="24"/>
          <w:szCs w:val="24"/>
          <w:lang w:val="en-US"/>
        </w:rPr>
      </w:pPr>
      <w:r w:rsidRPr="00A114ED">
        <w:rPr>
          <w:sz w:val="24"/>
          <w:szCs w:val="24"/>
          <w:lang w:val="en-US"/>
        </w:rPr>
        <w:t>White to off-white, film coated round tablets, debossed with “LL” on one side, plain on the other side, with diameter 6.1 mm.</w:t>
      </w:r>
    </w:p>
    <w:p w14:paraId="50006E5A" w14:textId="05CB3AF5" w:rsidR="00A114ED" w:rsidRDefault="00A114ED" w:rsidP="007D5C29">
      <w:pPr>
        <w:rPr>
          <w:sz w:val="24"/>
          <w:szCs w:val="24"/>
          <w:lang w:val="en-US"/>
        </w:rPr>
      </w:pPr>
      <w:r>
        <w:rPr>
          <w:sz w:val="24"/>
          <w:szCs w:val="24"/>
          <w:lang w:val="en-US"/>
        </w:rPr>
        <w:br w:type="page"/>
      </w:r>
    </w:p>
    <w:p w14:paraId="60A177FB" w14:textId="77777777" w:rsidR="00A114ED" w:rsidRPr="00A114ED" w:rsidRDefault="00A114ED" w:rsidP="007D5C29">
      <w:pPr>
        <w:tabs>
          <w:tab w:val="left" w:pos="851"/>
        </w:tabs>
        <w:ind w:left="851"/>
        <w:rPr>
          <w:sz w:val="24"/>
          <w:szCs w:val="24"/>
          <w:lang w:val="en-US"/>
        </w:rPr>
      </w:pPr>
    </w:p>
    <w:p w14:paraId="3B965D65"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Lurasidonhydrochlorid "Elpen" 37 mg film-coated tablets</w:t>
      </w:r>
    </w:p>
    <w:p w14:paraId="1289B859" w14:textId="77777777" w:rsidR="00A114ED" w:rsidRPr="00A114ED" w:rsidRDefault="00A114ED" w:rsidP="007D5C29">
      <w:pPr>
        <w:tabs>
          <w:tab w:val="left" w:pos="851"/>
        </w:tabs>
        <w:ind w:left="851"/>
        <w:rPr>
          <w:sz w:val="24"/>
          <w:szCs w:val="24"/>
          <w:lang w:val="en-US"/>
        </w:rPr>
      </w:pPr>
      <w:r w:rsidRPr="00A114ED">
        <w:rPr>
          <w:sz w:val="24"/>
          <w:szCs w:val="24"/>
          <w:lang w:val="en-US"/>
        </w:rPr>
        <w:t>White to off-white, film coated round tablets, debossed with “LI” on one side, plain on the other side, with diameter 8.1 mm.</w:t>
      </w:r>
    </w:p>
    <w:p w14:paraId="4871DAD7" w14:textId="77777777" w:rsidR="00A114ED" w:rsidRPr="00A114ED" w:rsidRDefault="00A114ED" w:rsidP="007D5C29">
      <w:pPr>
        <w:tabs>
          <w:tab w:val="left" w:pos="851"/>
        </w:tabs>
        <w:ind w:left="851"/>
        <w:rPr>
          <w:sz w:val="24"/>
          <w:szCs w:val="24"/>
          <w:lang w:val="en-US"/>
        </w:rPr>
      </w:pPr>
    </w:p>
    <w:p w14:paraId="52E53FE6"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Lurasidonhydrochlorid "Elpen" 74 mg film-coated tablets</w:t>
      </w:r>
    </w:p>
    <w:p w14:paraId="3FD13392" w14:textId="77777777" w:rsidR="00A114ED" w:rsidRPr="00A114ED" w:rsidRDefault="00A114ED" w:rsidP="007D5C29">
      <w:pPr>
        <w:tabs>
          <w:tab w:val="left" w:pos="851"/>
        </w:tabs>
        <w:ind w:left="851"/>
        <w:rPr>
          <w:sz w:val="24"/>
          <w:szCs w:val="24"/>
          <w:lang w:val="en-US"/>
        </w:rPr>
      </w:pPr>
      <w:r w:rsidRPr="00A114ED">
        <w:rPr>
          <w:sz w:val="24"/>
          <w:szCs w:val="24"/>
          <w:lang w:val="en-US"/>
        </w:rPr>
        <w:t>Pale green to green, oval film coated tablet, debossed with "LH" on one side, plain on the other side and dimensions 12.1 x 7.1 mm.</w:t>
      </w:r>
    </w:p>
    <w:p w14:paraId="595DC736" w14:textId="77777777" w:rsidR="007C5D2A" w:rsidRPr="00A114ED" w:rsidRDefault="007C5D2A" w:rsidP="007D5C29">
      <w:pPr>
        <w:tabs>
          <w:tab w:val="left" w:pos="851"/>
        </w:tabs>
        <w:ind w:left="851"/>
        <w:rPr>
          <w:sz w:val="24"/>
          <w:szCs w:val="24"/>
          <w:lang w:val="en-US"/>
        </w:rPr>
      </w:pPr>
    </w:p>
    <w:p w14:paraId="7DB05747" w14:textId="77777777" w:rsidR="007C5D2A" w:rsidRPr="00303008" w:rsidRDefault="007C5D2A" w:rsidP="007D5C29">
      <w:pPr>
        <w:tabs>
          <w:tab w:val="left" w:pos="851"/>
        </w:tabs>
        <w:ind w:left="851"/>
        <w:rPr>
          <w:sz w:val="24"/>
          <w:szCs w:val="24"/>
          <w:lang w:val="en-GB"/>
        </w:rPr>
      </w:pPr>
    </w:p>
    <w:p w14:paraId="711137E0" w14:textId="77777777" w:rsidR="007C5D2A" w:rsidRPr="00303008" w:rsidRDefault="007C5D2A" w:rsidP="007D5C29">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3C997A98" w14:textId="77777777" w:rsidR="007C5D2A" w:rsidRPr="00303008" w:rsidRDefault="007C5D2A" w:rsidP="007D5C29">
      <w:pPr>
        <w:tabs>
          <w:tab w:val="left" w:pos="851"/>
        </w:tabs>
        <w:ind w:left="851"/>
        <w:rPr>
          <w:sz w:val="24"/>
          <w:szCs w:val="24"/>
          <w:lang w:val="en-GB"/>
        </w:rPr>
      </w:pPr>
    </w:p>
    <w:p w14:paraId="6700FA8C" w14:textId="77777777" w:rsidR="007C5D2A" w:rsidRPr="00303008" w:rsidRDefault="007C5D2A" w:rsidP="007D5C29">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A5BCDFC" w14:textId="77777777" w:rsidR="00A114ED" w:rsidRPr="00A114ED" w:rsidRDefault="00A114ED" w:rsidP="007D5C29">
      <w:pPr>
        <w:tabs>
          <w:tab w:val="left" w:pos="851"/>
        </w:tabs>
        <w:ind w:left="851"/>
        <w:rPr>
          <w:sz w:val="24"/>
          <w:szCs w:val="24"/>
          <w:lang w:val="en-US"/>
        </w:rPr>
      </w:pPr>
      <w:r w:rsidRPr="00A114ED">
        <w:rPr>
          <w:sz w:val="24"/>
          <w:szCs w:val="24"/>
          <w:lang w:val="en-US"/>
        </w:rPr>
        <w:t>Lurasidonhydrochlorid "Elpen" is indicated for the treatment of schizophrenia in adults and adolescent aged 13 years and over.</w:t>
      </w:r>
    </w:p>
    <w:p w14:paraId="1FB7D3B8" w14:textId="77777777" w:rsidR="007C5D2A" w:rsidRPr="00A114ED" w:rsidRDefault="007C5D2A" w:rsidP="007D5C29">
      <w:pPr>
        <w:tabs>
          <w:tab w:val="left" w:pos="851"/>
        </w:tabs>
        <w:ind w:left="851"/>
        <w:rPr>
          <w:sz w:val="24"/>
          <w:szCs w:val="24"/>
          <w:lang w:val="en-US"/>
        </w:rPr>
      </w:pPr>
    </w:p>
    <w:p w14:paraId="6A42072B" w14:textId="77777777" w:rsidR="007C5D2A" w:rsidRPr="00303008" w:rsidRDefault="009925C9" w:rsidP="007D5C29">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3362CD45" w14:textId="77777777" w:rsidR="00A114ED" w:rsidRPr="00A114ED" w:rsidRDefault="00A114ED" w:rsidP="007D5C29">
      <w:pPr>
        <w:tabs>
          <w:tab w:val="left" w:pos="851"/>
        </w:tabs>
        <w:ind w:left="851"/>
        <w:rPr>
          <w:b/>
          <w:sz w:val="24"/>
          <w:szCs w:val="24"/>
          <w:lang w:val="en-US"/>
        </w:rPr>
      </w:pPr>
    </w:p>
    <w:p w14:paraId="7069A448"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Posology</w:t>
      </w:r>
    </w:p>
    <w:p w14:paraId="1FD064A8" w14:textId="77777777" w:rsidR="00A114ED" w:rsidRPr="00A114ED" w:rsidRDefault="00A114ED" w:rsidP="007D5C29">
      <w:pPr>
        <w:tabs>
          <w:tab w:val="left" w:pos="851"/>
        </w:tabs>
        <w:ind w:left="851"/>
        <w:rPr>
          <w:sz w:val="24"/>
          <w:szCs w:val="24"/>
          <w:lang w:val="en-US"/>
        </w:rPr>
      </w:pPr>
    </w:p>
    <w:p w14:paraId="18B2364F" w14:textId="77777777" w:rsidR="00A114ED" w:rsidRPr="00A114ED" w:rsidRDefault="00A114ED" w:rsidP="007D5C29">
      <w:pPr>
        <w:tabs>
          <w:tab w:val="left" w:pos="851"/>
        </w:tabs>
        <w:ind w:left="851"/>
        <w:rPr>
          <w:i/>
          <w:sz w:val="24"/>
          <w:szCs w:val="24"/>
          <w:lang w:val="en-US"/>
        </w:rPr>
      </w:pPr>
      <w:r w:rsidRPr="00A114ED">
        <w:rPr>
          <w:i/>
          <w:sz w:val="24"/>
          <w:szCs w:val="24"/>
          <w:lang w:val="en-US"/>
        </w:rPr>
        <w:t>Adult population</w:t>
      </w:r>
    </w:p>
    <w:p w14:paraId="07DA2DCC" w14:textId="77777777" w:rsidR="00A114ED" w:rsidRPr="00A114ED" w:rsidRDefault="00A114ED" w:rsidP="007D5C29">
      <w:pPr>
        <w:tabs>
          <w:tab w:val="left" w:pos="851"/>
        </w:tabs>
        <w:ind w:left="851"/>
        <w:rPr>
          <w:sz w:val="24"/>
          <w:szCs w:val="24"/>
          <w:lang w:val="en-US"/>
        </w:rPr>
      </w:pPr>
      <w:r w:rsidRPr="00A114ED">
        <w:rPr>
          <w:sz w:val="24"/>
          <w:szCs w:val="24"/>
          <w:lang w:val="en-US"/>
        </w:rPr>
        <w:t>The recommended starting dose is 37 mg of lurasidone once daily. No initial dose titration is required. It is effective in a dose range of 37 to 148 mg once daily. Dose increase should be based on physician judgement and observed clinical response. The maximum daily dose should not exceed 148 mg.</w:t>
      </w:r>
    </w:p>
    <w:p w14:paraId="581BAE52" w14:textId="77777777" w:rsidR="00A114ED" w:rsidRPr="00A114ED" w:rsidRDefault="00A114ED" w:rsidP="007D5C29">
      <w:pPr>
        <w:tabs>
          <w:tab w:val="left" w:pos="851"/>
        </w:tabs>
        <w:ind w:left="851"/>
        <w:rPr>
          <w:sz w:val="24"/>
          <w:szCs w:val="24"/>
          <w:lang w:val="en-US"/>
        </w:rPr>
      </w:pPr>
    </w:p>
    <w:p w14:paraId="1D45ABB0" w14:textId="1385EFCB" w:rsidR="00A114ED" w:rsidRPr="00A114ED" w:rsidRDefault="00A114ED" w:rsidP="007D5C29">
      <w:pPr>
        <w:tabs>
          <w:tab w:val="left" w:pos="851"/>
        </w:tabs>
        <w:ind w:left="851"/>
        <w:rPr>
          <w:sz w:val="24"/>
          <w:szCs w:val="24"/>
          <w:lang w:val="en-US"/>
        </w:rPr>
      </w:pPr>
      <w:r w:rsidRPr="00A114ED">
        <w:rPr>
          <w:sz w:val="24"/>
          <w:szCs w:val="24"/>
          <w:lang w:val="en-US"/>
        </w:rPr>
        <w:t>Patients on doses higher than 111 mg once daily who discontinue their treatment for longer than</w:t>
      </w:r>
      <w:r>
        <w:rPr>
          <w:sz w:val="24"/>
          <w:szCs w:val="24"/>
          <w:lang w:val="en-US"/>
        </w:rPr>
        <w:t xml:space="preserve"> </w:t>
      </w:r>
      <w:r w:rsidRPr="00A114ED">
        <w:rPr>
          <w:sz w:val="24"/>
          <w:szCs w:val="24"/>
          <w:lang w:val="en-US"/>
        </w:rPr>
        <w:t>3 days should be restarted on 111 mg once daily and up-titrated to their optimal dose. For all other doses patients can be restarted on their previous dose without need for up-titration.</w:t>
      </w:r>
    </w:p>
    <w:p w14:paraId="14D84F1D" w14:textId="77777777" w:rsidR="00A114ED" w:rsidRPr="00A114ED" w:rsidRDefault="00A114ED" w:rsidP="007D5C29">
      <w:pPr>
        <w:tabs>
          <w:tab w:val="left" w:pos="851"/>
        </w:tabs>
        <w:ind w:left="851"/>
        <w:rPr>
          <w:sz w:val="24"/>
          <w:szCs w:val="24"/>
          <w:lang w:val="en-US"/>
        </w:rPr>
      </w:pPr>
    </w:p>
    <w:p w14:paraId="495FCCA6" w14:textId="77777777" w:rsidR="00A114ED" w:rsidRPr="00A114ED" w:rsidRDefault="00A114ED" w:rsidP="007D5C29">
      <w:pPr>
        <w:tabs>
          <w:tab w:val="left" w:pos="851"/>
        </w:tabs>
        <w:ind w:left="851"/>
        <w:rPr>
          <w:i/>
          <w:sz w:val="24"/>
          <w:szCs w:val="24"/>
          <w:lang w:val="en-US"/>
        </w:rPr>
      </w:pPr>
      <w:r w:rsidRPr="00A114ED">
        <w:rPr>
          <w:i/>
          <w:sz w:val="24"/>
          <w:szCs w:val="24"/>
          <w:lang w:val="en-US"/>
        </w:rPr>
        <w:t>Paediatric population</w:t>
      </w:r>
    </w:p>
    <w:p w14:paraId="1A530555" w14:textId="67B8BD95" w:rsidR="00A114ED" w:rsidRPr="00A114ED" w:rsidRDefault="00A114ED" w:rsidP="007D5C29">
      <w:pPr>
        <w:tabs>
          <w:tab w:val="left" w:pos="851"/>
        </w:tabs>
        <w:ind w:left="851"/>
        <w:rPr>
          <w:sz w:val="24"/>
          <w:szCs w:val="24"/>
          <w:lang w:val="en-US"/>
        </w:rPr>
      </w:pPr>
      <w:r w:rsidRPr="00A114ED">
        <w:rPr>
          <w:sz w:val="24"/>
          <w:szCs w:val="24"/>
          <w:lang w:val="en-US"/>
        </w:rPr>
        <w:t>The recommended starting dose is 37 mg of lurasidone once daily. No initial dose titration is required. It is effective in a dose range of 37 to 74 mg once daily. Dose increase should be based on physician</w:t>
      </w:r>
      <w:r>
        <w:rPr>
          <w:sz w:val="24"/>
          <w:szCs w:val="24"/>
          <w:lang w:val="en-US"/>
        </w:rPr>
        <w:t xml:space="preserve"> </w:t>
      </w:r>
      <w:r w:rsidRPr="00A114ED">
        <w:rPr>
          <w:sz w:val="24"/>
          <w:szCs w:val="24"/>
          <w:lang w:val="en-US"/>
        </w:rPr>
        <w:t>judgement and observed clinical response. The maximum daily dose should not exceed 74 mg. In children, lurasidone should be prescribed by an expert in paediatric psychiatry.</w:t>
      </w:r>
    </w:p>
    <w:p w14:paraId="7E0053A2" w14:textId="77777777" w:rsidR="00A114ED" w:rsidRPr="00A114ED" w:rsidRDefault="00A114ED" w:rsidP="007D5C29">
      <w:pPr>
        <w:tabs>
          <w:tab w:val="left" w:pos="851"/>
        </w:tabs>
        <w:ind w:left="851"/>
        <w:rPr>
          <w:sz w:val="24"/>
          <w:szCs w:val="24"/>
          <w:lang w:val="en-US"/>
        </w:rPr>
      </w:pPr>
    </w:p>
    <w:p w14:paraId="6D95722C" w14:textId="77777777" w:rsidR="00A114ED" w:rsidRPr="00A114ED" w:rsidRDefault="00A114ED" w:rsidP="007D5C29">
      <w:pPr>
        <w:tabs>
          <w:tab w:val="left" w:pos="851"/>
        </w:tabs>
        <w:ind w:left="851"/>
        <w:rPr>
          <w:i/>
          <w:sz w:val="24"/>
          <w:szCs w:val="24"/>
          <w:lang w:val="en-US"/>
        </w:rPr>
      </w:pPr>
      <w:r w:rsidRPr="00A114ED">
        <w:rPr>
          <w:i/>
          <w:sz w:val="24"/>
          <w:szCs w:val="24"/>
          <w:lang w:val="en-US"/>
        </w:rPr>
        <w:t>Dose adjustment due to interactions</w:t>
      </w:r>
    </w:p>
    <w:p w14:paraId="1949F9CC" w14:textId="77777777" w:rsidR="00A114ED" w:rsidRPr="00A114ED" w:rsidRDefault="00A114ED" w:rsidP="007D5C29">
      <w:pPr>
        <w:tabs>
          <w:tab w:val="left" w:pos="851"/>
        </w:tabs>
        <w:ind w:left="851"/>
        <w:rPr>
          <w:sz w:val="24"/>
          <w:szCs w:val="24"/>
          <w:lang w:val="en-US"/>
        </w:rPr>
      </w:pPr>
      <w:r w:rsidRPr="00A114ED">
        <w:rPr>
          <w:sz w:val="24"/>
          <w:szCs w:val="24"/>
          <w:lang w:val="en-US"/>
        </w:rPr>
        <w:t>A starting dose of 18.5 mg is recommended and the maximum dose of lurasidone should not exceed 74 mg once daily in combination with moderate CYP3A4 inhibitors. Dose adjustment of lurasidone may be necessary in combination with mild and moderate CYP3A4 inducers (see section 4.5). For strong CYP3A4 inhibitors and inducers see section 4.3.</w:t>
      </w:r>
    </w:p>
    <w:p w14:paraId="4600CBAB" w14:textId="77777777" w:rsidR="00A114ED" w:rsidRPr="00A114ED" w:rsidRDefault="00A114ED" w:rsidP="007D5C29">
      <w:pPr>
        <w:tabs>
          <w:tab w:val="left" w:pos="851"/>
        </w:tabs>
        <w:ind w:left="851"/>
        <w:rPr>
          <w:sz w:val="24"/>
          <w:szCs w:val="24"/>
          <w:lang w:val="en-US"/>
        </w:rPr>
      </w:pPr>
    </w:p>
    <w:p w14:paraId="279240AE" w14:textId="77777777" w:rsidR="00A114ED" w:rsidRPr="00A114ED" w:rsidRDefault="00A114ED" w:rsidP="007D5C29">
      <w:pPr>
        <w:tabs>
          <w:tab w:val="left" w:pos="851"/>
        </w:tabs>
        <w:ind w:left="851"/>
        <w:rPr>
          <w:i/>
          <w:sz w:val="24"/>
          <w:szCs w:val="24"/>
          <w:lang w:val="en-US"/>
        </w:rPr>
      </w:pPr>
      <w:r w:rsidRPr="00A114ED">
        <w:rPr>
          <w:i/>
          <w:sz w:val="24"/>
          <w:szCs w:val="24"/>
          <w:lang w:val="en-US"/>
        </w:rPr>
        <w:t>Switching between antipsychotic medicinal products</w:t>
      </w:r>
    </w:p>
    <w:p w14:paraId="30C819B8" w14:textId="77777777" w:rsidR="00A114ED" w:rsidRPr="00A114ED" w:rsidRDefault="00A114ED" w:rsidP="007D5C29">
      <w:pPr>
        <w:tabs>
          <w:tab w:val="left" w:pos="851"/>
        </w:tabs>
        <w:ind w:left="851"/>
        <w:rPr>
          <w:sz w:val="24"/>
          <w:szCs w:val="24"/>
          <w:lang w:val="en-US"/>
        </w:rPr>
      </w:pPr>
      <w:r w:rsidRPr="00A114ED">
        <w:rPr>
          <w:sz w:val="24"/>
          <w:szCs w:val="24"/>
          <w:lang w:val="en-US"/>
        </w:rPr>
        <w:t>Due to different pharmacodynamic and pharmacokinetic profiles among antipsychotic medicinal products, supervision by a clinician is needed when switching to another antipsychotic product is considered medically appropriate.</w:t>
      </w:r>
    </w:p>
    <w:p w14:paraId="078F7EC4" w14:textId="354DF132" w:rsidR="00A114ED" w:rsidRDefault="00A114ED" w:rsidP="007D5C29">
      <w:pPr>
        <w:rPr>
          <w:sz w:val="24"/>
          <w:szCs w:val="24"/>
          <w:lang w:val="en-US"/>
        </w:rPr>
      </w:pPr>
      <w:r>
        <w:rPr>
          <w:sz w:val="24"/>
          <w:szCs w:val="24"/>
          <w:lang w:val="en-US"/>
        </w:rPr>
        <w:br w:type="page"/>
      </w:r>
    </w:p>
    <w:p w14:paraId="0A2ACC81" w14:textId="77777777" w:rsidR="00A114ED" w:rsidRPr="00A114ED" w:rsidRDefault="00A114ED" w:rsidP="007D5C29">
      <w:pPr>
        <w:tabs>
          <w:tab w:val="left" w:pos="851"/>
        </w:tabs>
        <w:ind w:left="851"/>
        <w:rPr>
          <w:sz w:val="24"/>
          <w:szCs w:val="24"/>
          <w:lang w:val="en-US"/>
        </w:rPr>
      </w:pPr>
    </w:p>
    <w:p w14:paraId="26FECD4B" w14:textId="77777777" w:rsidR="00A114ED" w:rsidRPr="00A114ED" w:rsidRDefault="00A114ED" w:rsidP="007D5C29">
      <w:pPr>
        <w:tabs>
          <w:tab w:val="left" w:pos="851"/>
        </w:tabs>
        <w:ind w:left="851"/>
        <w:rPr>
          <w:i/>
          <w:sz w:val="24"/>
          <w:szCs w:val="24"/>
          <w:lang w:val="en-US"/>
        </w:rPr>
      </w:pPr>
      <w:r w:rsidRPr="00A114ED">
        <w:rPr>
          <w:i/>
          <w:sz w:val="24"/>
          <w:szCs w:val="24"/>
          <w:lang w:val="en-US"/>
        </w:rPr>
        <w:t>Elderly people</w:t>
      </w:r>
    </w:p>
    <w:p w14:paraId="1816708B" w14:textId="77777777" w:rsidR="00A114ED" w:rsidRPr="00A114ED" w:rsidRDefault="00A114ED" w:rsidP="007D5C29">
      <w:pPr>
        <w:tabs>
          <w:tab w:val="left" w:pos="851"/>
        </w:tabs>
        <w:ind w:left="851"/>
        <w:rPr>
          <w:sz w:val="24"/>
          <w:szCs w:val="24"/>
          <w:lang w:val="en-US"/>
        </w:rPr>
      </w:pPr>
      <w:r w:rsidRPr="00A114ED">
        <w:rPr>
          <w:sz w:val="24"/>
          <w:szCs w:val="24"/>
          <w:lang w:val="en-US"/>
        </w:rPr>
        <w:t>Dosing recommendations for elderly patients with normal renal function (CrCl ≥ 80 ml/min) are the same as for adults with normal renal function. However, because elderly patients may have diminished renal function, dose adjustments may be required according to their renal function status (see “Renal impairment” below).</w:t>
      </w:r>
    </w:p>
    <w:p w14:paraId="2FE8441D" w14:textId="77777777" w:rsidR="00A114ED" w:rsidRPr="00A114ED" w:rsidRDefault="00A114ED" w:rsidP="007D5C29">
      <w:pPr>
        <w:tabs>
          <w:tab w:val="left" w:pos="851"/>
        </w:tabs>
        <w:ind w:left="851"/>
        <w:rPr>
          <w:sz w:val="24"/>
          <w:szCs w:val="24"/>
          <w:lang w:val="en-US"/>
        </w:rPr>
      </w:pPr>
    </w:p>
    <w:p w14:paraId="7C89C82D" w14:textId="77777777" w:rsidR="00A114ED" w:rsidRPr="00A114ED" w:rsidRDefault="00A114ED" w:rsidP="007D5C29">
      <w:pPr>
        <w:tabs>
          <w:tab w:val="left" w:pos="851"/>
        </w:tabs>
        <w:ind w:left="851"/>
        <w:rPr>
          <w:sz w:val="24"/>
          <w:szCs w:val="24"/>
          <w:lang w:val="en-US"/>
        </w:rPr>
      </w:pPr>
      <w:r w:rsidRPr="00A114ED">
        <w:rPr>
          <w:sz w:val="24"/>
          <w:szCs w:val="24"/>
          <w:lang w:val="en-US"/>
        </w:rPr>
        <w:t>Limited data are available in elderly people treated with higher doses of lurasidone. No data are available in elderly people treated with 148 mg of lurasidone. Caution should be exercised when treating patients ≥65 years of age with higher doses of lurasidone.</w:t>
      </w:r>
    </w:p>
    <w:p w14:paraId="4CD156AA" w14:textId="77777777" w:rsidR="00A114ED" w:rsidRPr="00A114ED" w:rsidRDefault="00A114ED" w:rsidP="007D5C29">
      <w:pPr>
        <w:tabs>
          <w:tab w:val="left" w:pos="851"/>
        </w:tabs>
        <w:ind w:left="851"/>
        <w:rPr>
          <w:sz w:val="24"/>
          <w:szCs w:val="24"/>
          <w:lang w:val="en-US"/>
        </w:rPr>
      </w:pPr>
    </w:p>
    <w:p w14:paraId="15F69C64" w14:textId="77777777" w:rsidR="00A114ED" w:rsidRPr="00A114ED" w:rsidRDefault="00A114ED" w:rsidP="007D5C29">
      <w:pPr>
        <w:tabs>
          <w:tab w:val="left" w:pos="851"/>
        </w:tabs>
        <w:ind w:left="851"/>
        <w:rPr>
          <w:i/>
          <w:sz w:val="24"/>
          <w:szCs w:val="24"/>
          <w:lang w:val="en-US"/>
        </w:rPr>
      </w:pPr>
      <w:r w:rsidRPr="00A114ED">
        <w:rPr>
          <w:i/>
          <w:sz w:val="24"/>
          <w:szCs w:val="24"/>
          <w:lang w:val="en-US"/>
        </w:rPr>
        <w:t>Renal impairment</w:t>
      </w:r>
    </w:p>
    <w:p w14:paraId="30DA59A2" w14:textId="77777777" w:rsidR="00A114ED" w:rsidRPr="00A114ED" w:rsidRDefault="00A114ED" w:rsidP="007D5C29">
      <w:pPr>
        <w:tabs>
          <w:tab w:val="left" w:pos="851"/>
        </w:tabs>
        <w:ind w:left="851"/>
        <w:rPr>
          <w:sz w:val="24"/>
          <w:szCs w:val="24"/>
          <w:lang w:val="en-US"/>
        </w:rPr>
      </w:pPr>
      <w:r w:rsidRPr="00A114ED">
        <w:rPr>
          <w:sz w:val="24"/>
          <w:szCs w:val="24"/>
          <w:lang w:val="en-US"/>
        </w:rPr>
        <w:t>No dose adjustment of lurasidone is required in patients with mild renal impairment.</w:t>
      </w:r>
    </w:p>
    <w:p w14:paraId="554EE0BE" w14:textId="70A991DA" w:rsidR="00A114ED" w:rsidRPr="00A114ED" w:rsidRDefault="00A114ED" w:rsidP="007D5C29">
      <w:pPr>
        <w:tabs>
          <w:tab w:val="left" w:pos="851"/>
        </w:tabs>
        <w:ind w:left="851"/>
        <w:rPr>
          <w:sz w:val="24"/>
          <w:szCs w:val="24"/>
          <w:lang w:val="en-US"/>
        </w:rPr>
      </w:pPr>
      <w:r w:rsidRPr="00A114ED">
        <w:rPr>
          <w:sz w:val="24"/>
          <w:szCs w:val="24"/>
          <w:lang w:val="en-US"/>
        </w:rPr>
        <w:t>In patients with moderate (Creatinine Clearance (CrCl) ≥ 30 and &lt; 50 ml/min), severe renal</w:t>
      </w:r>
      <w:r>
        <w:rPr>
          <w:sz w:val="24"/>
          <w:szCs w:val="24"/>
          <w:lang w:val="en-US"/>
        </w:rPr>
        <w:t xml:space="preserve"> </w:t>
      </w:r>
      <w:r w:rsidRPr="00A114ED">
        <w:rPr>
          <w:sz w:val="24"/>
          <w:szCs w:val="24"/>
          <w:lang w:val="en-US"/>
        </w:rPr>
        <w:t>impairment (CrCL &gt;15 and &lt; 30 ml/min) and End Stage Renal Disease (ESRD) patients</w:t>
      </w:r>
      <w:r>
        <w:rPr>
          <w:sz w:val="24"/>
          <w:szCs w:val="24"/>
          <w:lang w:val="en-US"/>
        </w:rPr>
        <w:t xml:space="preserve"> </w:t>
      </w:r>
      <w:r w:rsidRPr="00A114ED">
        <w:rPr>
          <w:sz w:val="24"/>
          <w:szCs w:val="24"/>
          <w:lang w:val="en-US"/>
        </w:rPr>
        <w:t>(CrCl &lt; 15 ml/min), the recommended starting dose is 18.5 mg and the maximum dose should not exceed 74 mg once daily. Lurasidone should not be used in patients with ESRD unless the potential benefits outweigh the potential risks. If used in ESRD, clinical monitoring is advised.</w:t>
      </w:r>
    </w:p>
    <w:p w14:paraId="4E10BE40" w14:textId="77777777" w:rsidR="00A114ED" w:rsidRPr="00A114ED" w:rsidRDefault="00A114ED" w:rsidP="007D5C29">
      <w:pPr>
        <w:tabs>
          <w:tab w:val="left" w:pos="851"/>
        </w:tabs>
        <w:ind w:left="851"/>
        <w:rPr>
          <w:sz w:val="24"/>
          <w:szCs w:val="24"/>
          <w:lang w:val="en-US"/>
        </w:rPr>
      </w:pPr>
    </w:p>
    <w:p w14:paraId="735F864C" w14:textId="77777777" w:rsidR="00A114ED" w:rsidRPr="00A114ED" w:rsidRDefault="00A114ED" w:rsidP="007D5C29">
      <w:pPr>
        <w:tabs>
          <w:tab w:val="left" w:pos="851"/>
        </w:tabs>
        <w:ind w:left="851"/>
        <w:rPr>
          <w:i/>
          <w:sz w:val="24"/>
          <w:szCs w:val="24"/>
          <w:lang w:val="en-US"/>
        </w:rPr>
      </w:pPr>
      <w:r w:rsidRPr="00A114ED">
        <w:rPr>
          <w:i/>
          <w:sz w:val="24"/>
          <w:szCs w:val="24"/>
          <w:lang w:val="en-US"/>
        </w:rPr>
        <w:t>Hepatic impairment</w:t>
      </w:r>
    </w:p>
    <w:p w14:paraId="32B004C6" w14:textId="77777777" w:rsidR="00A114ED" w:rsidRPr="00A114ED" w:rsidRDefault="00A114ED" w:rsidP="007D5C29">
      <w:pPr>
        <w:tabs>
          <w:tab w:val="left" w:pos="851"/>
        </w:tabs>
        <w:ind w:left="851"/>
        <w:rPr>
          <w:sz w:val="24"/>
          <w:szCs w:val="24"/>
          <w:lang w:val="en-US"/>
        </w:rPr>
      </w:pPr>
      <w:r w:rsidRPr="00A114ED">
        <w:rPr>
          <w:sz w:val="24"/>
          <w:szCs w:val="24"/>
          <w:lang w:val="en-US"/>
        </w:rPr>
        <w:t>No dose adjustment of lurasidone is required in patients with mild hepatic impairment.</w:t>
      </w:r>
    </w:p>
    <w:p w14:paraId="25B400D0" w14:textId="77777777" w:rsidR="00A114ED" w:rsidRPr="00A114ED" w:rsidRDefault="00A114ED" w:rsidP="007D5C29">
      <w:pPr>
        <w:tabs>
          <w:tab w:val="left" w:pos="851"/>
        </w:tabs>
        <w:ind w:left="851"/>
        <w:rPr>
          <w:sz w:val="24"/>
          <w:szCs w:val="24"/>
          <w:lang w:val="en-US"/>
        </w:rPr>
      </w:pPr>
      <w:r w:rsidRPr="00A114ED">
        <w:rPr>
          <w:sz w:val="24"/>
          <w:szCs w:val="24"/>
          <w:lang w:val="en-US"/>
        </w:rPr>
        <w:t>Dose adjustment is recommended in moderate (Child-Pugh Class B) and severe hepatic impairment (Child-Pugh Class C) patients. The recommended starting dose is 18.5 mg. The maximum daily dose in moderate hepatic impairment patients should not exceed 74 mg and in severe hepatic impairment patients should not exceed 37 mg once daily.</w:t>
      </w:r>
    </w:p>
    <w:p w14:paraId="05900016" w14:textId="77777777" w:rsidR="00A114ED" w:rsidRPr="00A114ED" w:rsidRDefault="00A114ED" w:rsidP="007D5C29">
      <w:pPr>
        <w:tabs>
          <w:tab w:val="left" w:pos="851"/>
        </w:tabs>
        <w:ind w:left="851"/>
        <w:rPr>
          <w:sz w:val="24"/>
          <w:szCs w:val="24"/>
          <w:lang w:val="en-US"/>
        </w:rPr>
      </w:pPr>
    </w:p>
    <w:p w14:paraId="005FFB47"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Method of administration</w:t>
      </w:r>
    </w:p>
    <w:p w14:paraId="53F09037" w14:textId="77777777" w:rsidR="00A114ED" w:rsidRPr="00A114ED" w:rsidRDefault="00A114ED" w:rsidP="007D5C29">
      <w:pPr>
        <w:tabs>
          <w:tab w:val="left" w:pos="851"/>
        </w:tabs>
        <w:ind w:left="851"/>
        <w:rPr>
          <w:sz w:val="24"/>
          <w:szCs w:val="24"/>
          <w:lang w:val="en-US"/>
        </w:rPr>
      </w:pPr>
      <w:r w:rsidRPr="00A114ED">
        <w:rPr>
          <w:sz w:val="24"/>
          <w:szCs w:val="24"/>
          <w:lang w:val="en-US"/>
        </w:rPr>
        <w:t>Lurasidonhydrochlorid "Elpen" film-coated tablets are for oral use, to be taken once daily together with a meal.</w:t>
      </w:r>
    </w:p>
    <w:p w14:paraId="4ED97C0D" w14:textId="77777777" w:rsidR="00A114ED" w:rsidRPr="00A114ED" w:rsidRDefault="00A114ED" w:rsidP="007D5C29">
      <w:pPr>
        <w:tabs>
          <w:tab w:val="left" w:pos="851"/>
        </w:tabs>
        <w:ind w:left="851"/>
        <w:rPr>
          <w:sz w:val="24"/>
          <w:szCs w:val="24"/>
          <w:lang w:val="en-US"/>
        </w:rPr>
      </w:pPr>
      <w:r w:rsidRPr="00A114ED">
        <w:rPr>
          <w:sz w:val="24"/>
          <w:szCs w:val="24"/>
          <w:lang w:val="en-US"/>
        </w:rPr>
        <w:t>If taken without food, it is anticipated that lurasidone exposure will be significantly lower as compared to when taken with food (see section 5.2).</w:t>
      </w:r>
    </w:p>
    <w:p w14:paraId="0878D20C" w14:textId="77777777" w:rsidR="00A114ED" w:rsidRPr="00A114ED" w:rsidRDefault="00A114ED" w:rsidP="007D5C29">
      <w:pPr>
        <w:tabs>
          <w:tab w:val="left" w:pos="851"/>
        </w:tabs>
        <w:ind w:left="851"/>
        <w:rPr>
          <w:sz w:val="24"/>
          <w:szCs w:val="24"/>
          <w:lang w:val="en-US"/>
        </w:rPr>
      </w:pPr>
    </w:p>
    <w:p w14:paraId="1E1EC93D" w14:textId="77777777" w:rsidR="00A114ED" w:rsidRPr="00A114ED" w:rsidRDefault="00A114ED" w:rsidP="007D5C29">
      <w:pPr>
        <w:tabs>
          <w:tab w:val="left" w:pos="851"/>
        </w:tabs>
        <w:ind w:left="851"/>
        <w:rPr>
          <w:sz w:val="24"/>
          <w:szCs w:val="24"/>
          <w:lang w:val="en-US"/>
        </w:rPr>
      </w:pPr>
      <w:r w:rsidRPr="00A114ED">
        <w:rPr>
          <w:sz w:val="24"/>
          <w:szCs w:val="24"/>
          <w:lang w:val="en-US"/>
        </w:rPr>
        <w:t>Lurasidonhydrochlorid "Elpen" tablets should be swallowed whole, in order to mask the bitter taste. Lurasidonhydrochlorid "Elpen" tablets should be taken at the same time every day to aid compliance.</w:t>
      </w:r>
    </w:p>
    <w:p w14:paraId="1E1AE973" w14:textId="77777777" w:rsidR="00A114ED" w:rsidRPr="00A114ED" w:rsidRDefault="00A114ED" w:rsidP="007D5C29">
      <w:pPr>
        <w:tabs>
          <w:tab w:val="left" w:pos="851"/>
        </w:tabs>
        <w:ind w:left="851"/>
        <w:rPr>
          <w:sz w:val="24"/>
          <w:szCs w:val="24"/>
          <w:lang w:val="en-US"/>
        </w:rPr>
      </w:pPr>
    </w:p>
    <w:p w14:paraId="4F4D0428"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56A2F664" w14:textId="77777777" w:rsidR="00A114ED" w:rsidRPr="00A114ED" w:rsidRDefault="00A114ED" w:rsidP="007D5C29">
      <w:pPr>
        <w:numPr>
          <w:ilvl w:val="0"/>
          <w:numId w:val="5"/>
        </w:numPr>
        <w:tabs>
          <w:tab w:val="left" w:pos="851"/>
        </w:tabs>
        <w:ind w:left="1134" w:hanging="283"/>
        <w:rPr>
          <w:sz w:val="24"/>
          <w:szCs w:val="24"/>
          <w:lang w:val="en-US"/>
        </w:rPr>
      </w:pPr>
      <w:r w:rsidRPr="00A114ED">
        <w:rPr>
          <w:sz w:val="24"/>
          <w:szCs w:val="24"/>
          <w:lang w:val="en-US"/>
        </w:rPr>
        <w:t>Hypersensitivity to the active substance or to any of the excipients listed in section 6.1.</w:t>
      </w:r>
    </w:p>
    <w:p w14:paraId="44D3495F" w14:textId="77777777" w:rsidR="00A114ED" w:rsidRPr="00A114ED" w:rsidRDefault="00A114ED" w:rsidP="007D5C29">
      <w:pPr>
        <w:numPr>
          <w:ilvl w:val="0"/>
          <w:numId w:val="5"/>
        </w:numPr>
        <w:tabs>
          <w:tab w:val="left" w:pos="851"/>
        </w:tabs>
        <w:ind w:left="1134" w:hanging="283"/>
        <w:rPr>
          <w:sz w:val="24"/>
          <w:szCs w:val="24"/>
          <w:lang w:val="en-US"/>
        </w:rPr>
      </w:pPr>
      <w:r w:rsidRPr="00A114ED">
        <w:rPr>
          <w:sz w:val="24"/>
          <w:szCs w:val="24"/>
          <w:lang w:val="en-US"/>
        </w:rPr>
        <w:t>Concomitant administration of strong CYP3A4 inhibitors (e.g. boceprevir, clarithromycin, cobicistat, indinavir, itraconazole, ketoconazole, nefazodone, nelfinavir, posaconazole, ritonavir, saquinavir, telaprevir, telithromycin, voriconazole) and strong CYP3A4 inducers (e.g. carbamazepine, phenobarbital, phenytoin, rifampicin, St John’s wort (</w:t>
      </w:r>
      <w:r w:rsidRPr="00A114ED">
        <w:rPr>
          <w:i/>
          <w:sz w:val="24"/>
          <w:szCs w:val="24"/>
          <w:lang w:val="en-US"/>
        </w:rPr>
        <w:t>Hypericum perforatum</w:t>
      </w:r>
      <w:r w:rsidRPr="00A114ED">
        <w:rPr>
          <w:sz w:val="24"/>
          <w:szCs w:val="24"/>
          <w:lang w:val="en-US"/>
        </w:rPr>
        <w:t>) (see section 4.5).</w:t>
      </w:r>
    </w:p>
    <w:p w14:paraId="5BAB84F0" w14:textId="77777777" w:rsidR="007C5D2A" w:rsidRPr="00A114ED" w:rsidRDefault="007C5D2A" w:rsidP="007D5C29">
      <w:pPr>
        <w:tabs>
          <w:tab w:val="left" w:pos="851"/>
        </w:tabs>
        <w:ind w:left="851"/>
        <w:rPr>
          <w:sz w:val="24"/>
          <w:szCs w:val="24"/>
          <w:lang w:val="en-US"/>
        </w:rPr>
      </w:pPr>
    </w:p>
    <w:p w14:paraId="5E17C6F9" w14:textId="77777777" w:rsidR="007C5D2A" w:rsidRPr="00303008" w:rsidRDefault="007C5D2A" w:rsidP="007D5C29">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447B59A9" w14:textId="77777777" w:rsidR="00A114ED" w:rsidRPr="00A114ED" w:rsidRDefault="00A114ED" w:rsidP="007D5C29">
      <w:pPr>
        <w:tabs>
          <w:tab w:val="left" w:pos="851"/>
        </w:tabs>
        <w:ind w:left="851"/>
        <w:rPr>
          <w:sz w:val="24"/>
          <w:szCs w:val="24"/>
          <w:lang w:val="en-US"/>
        </w:rPr>
      </w:pPr>
      <w:r w:rsidRPr="00A114ED">
        <w:rPr>
          <w:sz w:val="24"/>
          <w:szCs w:val="24"/>
          <w:lang w:val="en-US"/>
        </w:rPr>
        <w:t>During antipsychotic treatment, improvement in the patient's clinical condition may take a few days to some weeks. Patients should be closely monitored during this period.</w:t>
      </w:r>
    </w:p>
    <w:p w14:paraId="4B2B7B0A" w14:textId="35C81FC9" w:rsidR="00A114ED" w:rsidRDefault="00A114ED" w:rsidP="007D5C29">
      <w:pPr>
        <w:rPr>
          <w:sz w:val="24"/>
          <w:szCs w:val="24"/>
          <w:lang w:val="en-US"/>
        </w:rPr>
      </w:pPr>
      <w:r>
        <w:rPr>
          <w:sz w:val="24"/>
          <w:szCs w:val="24"/>
          <w:lang w:val="en-US"/>
        </w:rPr>
        <w:br w:type="page"/>
      </w:r>
    </w:p>
    <w:p w14:paraId="597822C2" w14:textId="77777777" w:rsidR="00A114ED" w:rsidRPr="00A114ED" w:rsidRDefault="00A114ED" w:rsidP="007D5C29">
      <w:pPr>
        <w:tabs>
          <w:tab w:val="left" w:pos="851"/>
        </w:tabs>
        <w:ind w:left="851"/>
        <w:rPr>
          <w:sz w:val="24"/>
          <w:szCs w:val="24"/>
          <w:lang w:val="en-US"/>
        </w:rPr>
      </w:pPr>
    </w:p>
    <w:p w14:paraId="5E1C15E2"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Suicidality</w:t>
      </w:r>
    </w:p>
    <w:p w14:paraId="7680647A" w14:textId="77777777" w:rsidR="00A114ED" w:rsidRPr="00A114ED" w:rsidRDefault="00A114ED" w:rsidP="007D5C29">
      <w:pPr>
        <w:tabs>
          <w:tab w:val="left" w:pos="851"/>
        </w:tabs>
        <w:ind w:left="851"/>
        <w:rPr>
          <w:sz w:val="24"/>
          <w:szCs w:val="24"/>
          <w:lang w:val="en-US"/>
        </w:rPr>
      </w:pPr>
      <w:r w:rsidRPr="00A114ED">
        <w:rPr>
          <w:sz w:val="24"/>
          <w:szCs w:val="24"/>
          <w:lang w:val="en-US"/>
        </w:rPr>
        <w:t>The occurrence of suicidal behaviour is inherent in psychotic illnesses and in some cases has been reported early after initiation or switch of antipsychotic therapy. Close supervision of high-risk patients should accompany antipsychotic therapy.</w:t>
      </w:r>
    </w:p>
    <w:p w14:paraId="369B934F" w14:textId="77777777" w:rsidR="00A114ED" w:rsidRPr="00A114ED" w:rsidRDefault="00A114ED" w:rsidP="007D5C29">
      <w:pPr>
        <w:tabs>
          <w:tab w:val="left" w:pos="851"/>
        </w:tabs>
        <w:ind w:left="851"/>
        <w:rPr>
          <w:sz w:val="24"/>
          <w:szCs w:val="24"/>
          <w:lang w:val="en-US"/>
        </w:rPr>
      </w:pPr>
    </w:p>
    <w:p w14:paraId="096F0243"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Parkinson’s disease</w:t>
      </w:r>
    </w:p>
    <w:p w14:paraId="02B67F8A" w14:textId="77777777" w:rsidR="00A114ED" w:rsidRPr="00A114ED" w:rsidRDefault="00A114ED" w:rsidP="007D5C29">
      <w:pPr>
        <w:tabs>
          <w:tab w:val="left" w:pos="851"/>
        </w:tabs>
        <w:ind w:left="851"/>
        <w:rPr>
          <w:sz w:val="24"/>
          <w:szCs w:val="24"/>
          <w:lang w:val="en-US"/>
        </w:rPr>
      </w:pPr>
      <w:r w:rsidRPr="00A114ED">
        <w:rPr>
          <w:sz w:val="24"/>
          <w:szCs w:val="24"/>
          <w:lang w:val="en-US"/>
        </w:rPr>
        <w:t>If prescribed to patients with Parkinson’s disease, antipsychotic medicinal products may exacerbate the underlying parkinsonism symptoms. Physicians should therefore weigh the risks versus the benefits when prescribing lurasidone to patients with Parkinson’s disease.</w:t>
      </w:r>
    </w:p>
    <w:p w14:paraId="2E477147" w14:textId="77777777" w:rsidR="00A114ED" w:rsidRPr="00A114ED" w:rsidRDefault="00A114ED" w:rsidP="007D5C29">
      <w:pPr>
        <w:tabs>
          <w:tab w:val="left" w:pos="851"/>
        </w:tabs>
        <w:ind w:left="851"/>
        <w:rPr>
          <w:sz w:val="24"/>
          <w:szCs w:val="24"/>
          <w:lang w:val="en-US"/>
        </w:rPr>
      </w:pPr>
    </w:p>
    <w:p w14:paraId="05D187B7"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Extrapyramidal symptoms (EPS)</w:t>
      </w:r>
    </w:p>
    <w:p w14:paraId="52503692" w14:textId="77777777" w:rsidR="00A114ED" w:rsidRPr="00A114ED" w:rsidRDefault="00A114ED" w:rsidP="007D5C29">
      <w:pPr>
        <w:tabs>
          <w:tab w:val="left" w:pos="851"/>
        </w:tabs>
        <w:ind w:left="851"/>
        <w:rPr>
          <w:sz w:val="24"/>
          <w:szCs w:val="24"/>
          <w:lang w:val="en-US"/>
        </w:rPr>
      </w:pPr>
      <w:r w:rsidRPr="00A114ED">
        <w:rPr>
          <w:sz w:val="24"/>
          <w:szCs w:val="24"/>
          <w:lang w:val="en-US"/>
        </w:rPr>
        <w:t>Medicinal products with dopamine receptor antagonistic properties have been associated with extrapyramidal adverse reactions including rigidity, tremors, mask-like face, dystonias, drooling of saliva, drooped posture and abnormal gait. In placebo controlled clinical studies in adult patients with schizophrenia there was an increased occurrence of EPS following treatment with lurasidone compared to placebo.</w:t>
      </w:r>
    </w:p>
    <w:p w14:paraId="6A4A56A1" w14:textId="77777777" w:rsidR="00A114ED" w:rsidRPr="00A114ED" w:rsidRDefault="00A114ED" w:rsidP="007D5C29">
      <w:pPr>
        <w:tabs>
          <w:tab w:val="left" w:pos="851"/>
        </w:tabs>
        <w:ind w:left="851"/>
        <w:rPr>
          <w:sz w:val="24"/>
          <w:szCs w:val="24"/>
          <w:lang w:val="en-US"/>
        </w:rPr>
      </w:pPr>
    </w:p>
    <w:p w14:paraId="40EA454A"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Tardive dyskinesia</w:t>
      </w:r>
    </w:p>
    <w:p w14:paraId="767109D0" w14:textId="77777777" w:rsidR="00A114ED" w:rsidRPr="00A114ED" w:rsidRDefault="00A114ED" w:rsidP="007D5C29">
      <w:pPr>
        <w:tabs>
          <w:tab w:val="left" w:pos="851"/>
        </w:tabs>
        <w:ind w:left="851"/>
        <w:rPr>
          <w:sz w:val="24"/>
          <w:szCs w:val="24"/>
          <w:lang w:val="en-US"/>
        </w:rPr>
      </w:pPr>
      <w:r w:rsidRPr="00A114ED">
        <w:rPr>
          <w:sz w:val="24"/>
          <w:szCs w:val="24"/>
          <w:lang w:val="en-US"/>
        </w:rPr>
        <w:t>Medicinal products with dopamine receptor antagonistic properties have been associated with the induction of tardive dyskinesia characterised by rhythmical involuntary movements, predominantly of the tongue and/or face. If signs and symptoms of tardive dyskinesia appear, the discontinuation of all antipsychotics, including lurasidone, should be considered.</w:t>
      </w:r>
    </w:p>
    <w:p w14:paraId="699259E9" w14:textId="77777777" w:rsidR="00A114ED" w:rsidRPr="00A114ED" w:rsidRDefault="00A114ED" w:rsidP="007D5C29">
      <w:pPr>
        <w:tabs>
          <w:tab w:val="left" w:pos="851"/>
        </w:tabs>
        <w:ind w:left="851"/>
        <w:rPr>
          <w:sz w:val="24"/>
          <w:szCs w:val="24"/>
          <w:lang w:val="en-US"/>
        </w:rPr>
      </w:pPr>
    </w:p>
    <w:p w14:paraId="2E902878"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Cardiovascular disorders/QT prolongation</w:t>
      </w:r>
    </w:p>
    <w:p w14:paraId="6B6D61DA" w14:textId="77777777" w:rsidR="00A114ED" w:rsidRPr="00A114ED" w:rsidRDefault="00A114ED" w:rsidP="007D5C29">
      <w:pPr>
        <w:tabs>
          <w:tab w:val="left" w:pos="851"/>
        </w:tabs>
        <w:ind w:left="851"/>
        <w:rPr>
          <w:sz w:val="24"/>
          <w:szCs w:val="24"/>
          <w:lang w:val="en-US"/>
        </w:rPr>
      </w:pPr>
      <w:r w:rsidRPr="00A114ED">
        <w:rPr>
          <w:sz w:val="24"/>
          <w:szCs w:val="24"/>
          <w:lang w:val="en-US"/>
        </w:rPr>
        <w:t>Caution should be exercised when lurasidone is prescribed in patients with known cardiovascular disease or family history of QT prolongation, hypokalaemia, and in concomitant use with other medicinal products thought to prolong the QT interval.</w:t>
      </w:r>
    </w:p>
    <w:p w14:paraId="5E4FD55D" w14:textId="77777777" w:rsidR="00A114ED" w:rsidRPr="00A114ED" w:rsidRDefault="00A114ED" w:rsidP="007D5C29">
      <w:pPr>
        <w:tabs>
          <w:tab w:val="left" w:pos="851"/>
        </w:tabs>
        <w:ind w:left="851"/>
        <w:rPr>
          <w:sz w:val="24"/>
          <w:szCs w:val="24"/>
          <w:lang w:val="en-US"/>
        </w:rPr>
      </w:pPr>
    </w:p>
    <w:p w14:paraId="37B943A7"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Seizures</w:t>
      </w:r>
    </w:p>
    <w:p w14:paraId="5965229A" w14:textId="77777777" w:rsidR="00A114ED" w:rsidRPr="00A114ED" w:rsidRDefault="00A114ED" w:rsidP="007D5C29">
      <w:pPr>
        <w:tabs>
          <w:tab w:val="left" w:pos="851"/>
        </w:tabs>
        <w:ind w:left="851"/>
        <w:rPr>
          <w:sz w:val="24"/>
          <w:szCs w:val="24"/>
          <w:lang w:val="en-US"/>
        </w:rPr>
      </w:pPr>
      <w:r w:rsidRPr="00A114ED">
        <w:rPr>
          <w:sz w:val="24"/>
          <w:szCs w:val="24"/>
          <w:lang w:val="en-US"/>
        </w:rPr>
        <w:t>Lurasidone should be used cautiously in patients with a history of seizures or other conditions that potentially lower the seizure threshold.</w:t>
      </w:r>
    </w:p>
    <w:p w14:paraId="17ED4BFC" w14:textId="77777777" w:rsidR="00A114ED" w:rsidRPr="00A114ED" w:rsidRDefault="00A114ED" w:rsidP="007D5C29">
      <w:pPr>
        <w:tabs>
          <w:tab w:val="left" w:pos="851"/>
        </w:tabs>
        <w:ind w:left="851"/>
        <w:rPr>
          <w:sz w:val="24"/>
          <w:szCs w:val="24"/>
          <w:lang w:val="en-US"/>
        </w:rPr>
      </w:pPr>
    </w:p>
    <w:p w14:paraId="0588B474"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Neuroleptic malignant syndrome (NMS)</w:t>
      </w:r>
    </w:p>
    <w:p w14:paraId="687F7891" w14:textId="77777777" w:rsidR="00A114ED" w:rsidRPr="00A114ED" w:rsidRDefault="00A114ED" w:rsidP="007D5C29">
      <w:pPr>
        <w:tabs>
          <w:tab w:val="left" w:pos="851"/>
        </w:tabs>
        <w:ind w:left="851"/>
        <w:rPr>
          <w:sz w:val="24"/>
          <w:szCs w:val="24"/>
          <w:lang w:val="en-US"/>
        </w:rPr>
      </w:pPr>
      <w:r w:rsidRPr="00A114ED">
        <w:rPr>
          <w:sz w:val="24"/>
          <w:szCs w:val="24"/>
          <w:lang w:val="en-US"/>
        </w:rPr>
        <w:t>Neuroleptic Malignant Syndrome, characterised by hyperthermia, muscle rigidity, autonomic instability, altered consciousness and elevated serum creatine phosphokinase levels, has been reported to occur with lurasidone. Additional signs may include myoglobinuria (rhabdomyolysis) and acute renal failure. In this event, lurasidone should be discontinued.</w:t>
      </w:r>
    </w:p>
    <w:p w14:paraId="7D4135E1" w14:textId="77777777" w:rsidR="00A114ED" w:rsidRPr="00A114ED" w:rsidRDefault="00A114ED" w:rsidP="007D5C29">
      <w:pPr>
        <w:tabs>
          <w:tab w:val="left" w:pos="851"/>
        </w:tabs>
        <w:ind w:left="851"/>
        <w:rPr>
          <w:sz w:val="24"/>
          <w:szCs w:val="24"/>
          <w:lang w:val="en-US"/>
        </w:rPr>
      </w:pPr>
    </w:p>
    <w:p w14:paraId="49BCE575"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Elderly patients with dementia</w:t>
      </w:r>
    </w:p>
    <w:p w14:paraId="6EBBA8EB" w14:textId="77777777" w:rsidR="00A114ED" w:rsidRPr="00A114ED" w:rsidRDefault="00A114ED" w:rsidP="007D5C29">
      <w:pPr>
        <w:tabs>
          <w:tab w:val="left" w:pos="851"/>
        </w:tabs>
        <w:ind w:left="851"/>
        <w:rPr>
          <w:sz w:val="24"/>
          <w:szCs w:val="24"/>
          <w:lang w:val="en-US"/>
        </w:rPr>
      </w:pPr>
      <w:r w:rsidRPr="00A114ED">
        <w:rPr>
          <w:sz w:val="24"/>
          <w:szCs w:val="24"/>
          <w:lang w:val="en-US"/>
        </w:rPr>
        <w:t>Lurasidone has not been studied in elderly patients with dementia.</w:t>
      </w:r>
    </w:p>
    <w:p w14:paraId="304C4365" w14:textId="77777777" w:rsidR="00A114ED" w:rsidRPr="00A114ED" w:rsidRDefault="00A114ED" w:rsidP="007D5C29">
      <w:pPr>
        <w:tabs>
          <w:tab w:val="left" w:pos="851"/>
        </w:tabs>
        <w:ind w:left="851"/>
        <w:rPr>
          <w:sz w:val="24"/>
          <w:szCs w:val="24"/>
          <w:lang w:val="en-US"/>
        </w:rPr>
      </w:pPr>
    </w:p>
    <w:p w14:paraId="78C255A0"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Overall mortality</w:t>
      </w:r>
    </w:p>
    <w:p w14:paraId="525BD675" w14:textId="77777777" w:rsidR="00A114ED" w:rsidRPr="00A114ED" w:rsidRDefault="00A114ED" w:rsidP="007D5C29">
      <w:pPr>
        <w:tabs>
          <w:tab w:val="left" w:pos="851"/>
        </w:tabs>
        <w:ind w:left="851"/>
        <w:rPr>
          <w:sz w:val="24"/>
          <w:szCs w:val="24"/>
          <w:lang w:val="en-US"/>
        </w:rPr>
      </w:pPr>
      <w:r w:rsidRPr="00A114ED">
        <w:rPr>
          <w:sz w:val="24"/>
          <w:szCs w:val="24"/>
          <w:lang w:val="en-US"/>
        </w:rPr>
        <w:t>In a meta-analysis of 17 controlled clinical trials, elderly patients with dementia treated with other atypical antipsychotics, including risperidone, aripiprazole, olanzapine, and quetiapine had an increased risk of mortality compared to placebo.</w:t>
      </w:r>
    </w:p>
    <w:p w14:paraId="283F1FBF" w14:textId="70DA43EA" w:rsidR="00A114ED" w:rsidRDefault="00A114ED" w:rsidP="007D5C29">
      <w:pPr>
        <w:rPr>
          <w:sz w:val="24"/>
          <w:szCs w:val="24"/>
          <w:lang w:val="en-US"/>
        </w:rPr>
      </w:pPr>
      <w:r>
        <w:rPr>
          <w:sz w:val="24"/>
          <w:szCs w:val="24"/>
          <w:lang w:val="en-US"/>
        </w:rPr>
        <w:br w:type="page"/>
      </w:r>
    </w:p>
    <w:p w14:paraId="006C673E" w14:textId="77777777" w:rsidR="00A114ED" w:rsidRPr="00A114ED" w:rsidRDefault="00A114ED" w:rsidP="007D5C29">
      <w:pPr>
        <w:tabs>
          <w:tab w:val="left" w:pos="851"/>
        </w:tabs>
        <w:ind w:left="851"/>
        <w:rPr>
          <w:sz w:val="24"/>
          <w:szCs w:val="24"/>
          <w:lang w:val="en-US"/>
        </w:rPr>
      </w:pPr>
    </w:p>
    <w:p w14:paraId="18B1A2AE"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Cerebrovascular accident</w:t>
      </w:r>
    </w:p>
    <w:p w14:paraId="71BA9AD7" w14:textId="77777777" w:rsidR="00A114ED" w:rsidRPr="00A114ED" w:rsidRDefault="00A114ED" w:rsidP="007D5C29">
      <w:pPr>
        <w:tabs>
          <w:tab w:val="left" w:pos="851"/>
        </w:tabs>
        <w:ind w:left="851"/>
        <w:rPr>
          <w:sz w:val="24"/>
          <w:szCs w:val="24"/>
          <w:lang w:val="en-US"/>
        </w:rPr>
      </w:pPr>
      <w:r w:rsidRPr="00A114ED">
        <w:rPr>
          <w:sz w:val="24"/>
          <w:szCs w:val="24"/>
          <w:lang w:val="en-US"/>
        </w:rPr>
        <w:t>An approximately 3-fold increased risk of cerebrovascular adverse reactions has been seen in randomised placebo-controlled clinical trials in the dementia population with some atypical antipsychotics, including risperidone, aripiprazole and olanzapine. The mechanism for this increased risk is not known. An increased risk cannot be excluded for other antipsychotics or other patient populations. Lurasidone should be used with caution in elderly patients with dementia who have risk factors for stroke.</w:t>
      </w:r>
    </w:p>
    <w:p w14:paraId="1ED31BB3" w14:textId="77777777" w:rsidR="00A114ED" w:rsidRPr="00A114ED" w:rsidRDefault="00A114ED" w:rsidP="007D5C29">
      <w:pPr>
        <w:tabs>
          <w:tab w:val="left" w:pos="851"/>
        </w:tabs>
        <w:ind w:left="851"/>
        <w:rPr>
          <w:sz w:val="24"/>
          <w:szCs w:val="24"/>
          <w:lang w:val="en-US"/>
        </w:rPr>
      </w:pPr>
    </w:p>
    <w:p w14:paraId="23DA6397"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Venous thromboembolism</w:t>
      </w:r>
    </w:p>
    <w:p w14:paraId="0C2B6F3A" w14:textId="77777777" w:rsidR="00A114ED" w:rsidRPr="00A114ED" w:rsidRDefault="00A114ED" w:rsidP="007D5C29">
      <w:pPr>
        <w:tabs>
          <w:tab w:val="left" w:pos="851"/>
        </w:tabs>
        <w:ind w:left="851"/>
        <w:rPr>
          <w:sz w:val="24"/>
          <w:szCs w:val="24"/>
          <w:lang w:val="en-US"/>
        </w:rPr>
      </w:pPr>
      <w:r w:rsidRPr="00A114ED">
        <w:rPr>
          <w:sz w:val="24"/>
          <w:szCs w:val="24"/>
          <w:lang w:val="en-US"/>
        </w:rPr>
        <w:t>Cases of venous thromboembolism (VTE) have been reported with antipsychotic medicinal products. Since patients treated with antipsychotics often present with acquired risk factors for VTE, all possible risk factors for VTE should be identified before and during treatment with lurasidone and preventive measures undertaken.</w:t>
      </w:r>
    </w:p>
    <w:p w14:paraId="7956AF9A" w14:textId="77777777" w:rsidR="00A114ED" w:rsidRPr="00A114ED" w:rsidRDefault="00A114ED" w:rsidP="007D5C29">
      <w:pPr>
        <w:tabs>
          <w:tab w:val="left" w:pos="851"/>
        </w:tabs>
        <w:ind w:left="851"/>
        <w:rPr>
          <w:sz w:val="24"/>
          <w:szCs w:val="24"/>
          <w:lang w:val="en-US"/>
        </w:rPr>
      </w:pPr>
    </w:p>
    <w:p w14:paraId="0D9B953E"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Hyperprolactinaemia</w:t>
      </w:r>
    </w:p>
    <w:p w14:paraId="24B92D63" w14:textId="77777777" w:rsidR="00A114ED" w:rsidRPr="00A114ED" w:rsidRDefault="00A114ED" w:rsidP="007D5C29">
      <w:pPr>
        <w:tabs>
          <w:tab w:val="left" w:pos="851"/>
        </w:tabs>
        <w:ind w:left="851"/>
        <w:rPr>
          <w:sz w:val="24"/>
          <w:szCs w:val="24"/>
          <w:lang w:val="en-US"/>
        </w:rPr>
      </w:pPr>
      <w:r w:rsidRPr="00A114ED">
        <w:rPr>
          <w:sz w:val="24"/>
          <w:szCs w:val="24"/>
          <w:lang w:val="en-US"/>
        </w:rPr>
        <w:t>Lurasidone elevates prolactin levels due to antagonism of dopamine D2 receptors. Patients should be counseled on signs and symptoms of elevated prolactin, such as gynecomastia, galactorrhea, amenorrhea and erectile dysfunction. Patient should be advised to seek medical attention if they experience any signs and symptoms.</w:t>
      </w:r>
    </w:p>
    <w:p w14:paraId="6F0EFBD7" w14:textId="77777777" w:rsidR="00A114ED" w:rsidRPr="00A114ED" w:rsidRDefault="00A114ED" w:rsidP="007D5C29">
      <w:pPr>
        <w:tabs>
          <w:tab w:val="left" w:pos="851"/>
        </w:tabs>
        <w:ind w:left="851"/>
        <w:rPr>
          <w:sz w:val="24"/>
          <w:szCs w:val="24"/>
          <w:lang w:val="en-US"/>
        </w:rPr>
      </w:pPr>
    </w:p>
    <w:p w14:paraId="2CE04EE2"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Weight gain</w:t>
      </w:r>
    </w:p>
    <w:p w14:paraId="343EFD9B" w14:textId="77777777" w:rsidR="00A114ED" w:rsidRPr="00A114ED" w:rsidRDefault="00A114ED" w:rsidP="007D5C29">
      <w:pPr>
        <w:tabs>
          <w:tab w:val="left" w:pos="851"/>
        </w:tabs>
        <w:ind w:left="851"/>
        <w:rPr>
          <w:sz w:val="24"/>
          <w:szCs w:val="24"/>
          <w:lang w:val="en-US"/>
        </w:rPr>
      </w:pPr>
      <w:r w:rsidRPr="00A114ED">
        <w:rPr>
          <w:sz w:val="24"/>
          <w:szCs w:val="24"/>
          <w:lang w:val="en-US"/>
        </w:rPr>
        <w:t>Weight gain has been observed with atypical antipsychotic use. Clinical monitoring of weight is recommended.</w:t>
      </w:r>
    </w:p>
    <w:p w14:paraId="6F94046A" w14:textId="77777777" w:rsidR="00A114ED" w:rsidRPr="00A114ED" w:rsidRDefault="00A114ED" w:rsidP="007D5C29">
      <w:pPr>
        <w:tabs>
          <w:tab w:val="left" w:pos="851"/>
        </w:tabs>
        <w:ind w:left="851"/>
        <w:rPr>
          <w:sz w:val="24"/>
          <w:szCs w:val="24"/>
          <w:lang w:val="en-US"/>
        </w:rPr>
      </w:pPr>
    </w:p>
    <w:p w14:paraId="1C7A3FEF"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Hyperglycaemia</w:t>
      </w:r>
    </w:p>
    <w:p w14:paraId="18F37D2F" w14:textId="77777777" w:rsidR="00A114ED" w:rsidRPr="00A114ED" w:rsidRDefault="00A114ED" w:rsidP="007D5C29">
      <w:pPr>
        <w:tabs>
          <w:tab w:val="left" w:pos="851"/>
        </w:tabs>
        <w:ind w:left="851"/>
        <w:rPr>
          <w:sz w:val="24"/>
          <w:szCs w:val="24"/>
          <w:lang w:val="en-US"/>
        </w:rPr>
      </w:pPr>
      <w:r w:rsidRPr="00A114ED">
        <w:rPr>
          <w:sz w:val="24"/>
          <w:szCs w:val="24"/>
          <w:lang w:val="en-US"/>
        </w:rPr>
        <w:t>Rare cases of glucose related adverse reactions, e.g. increase in blood glucose, have been reported in clinical trials with lurasidone. Appropriate clinical monitoring is advisable in diabetic patients and in patients with risk factors for the development of diabetes mellitus.</w:t>
      </w:r>
    </w:p>
    <w:p w14:paraId="501620E1" w14:textId="77777777" w:rsidR="00A114ED" w:rsidRPr="00A114ED" w:rsidRDefault="00A114ED" w:rsidP="007D5C29">
      <w:pPr>
        <w:tabs>
          <w:tab w:val="left" w:pos="851"/>
        </w:tabs>
        <w:ind w:left="851"/>
        <w:rPr>
          <w:sz w:val="24"/>
          <w:szCs w:val="24"/>
          <w:lang w:val="en-US"/>
        </w:rPr>
      </w:pPr>
    </w:p>
    <w:p w14:paraId="7BF84967"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Orthostatic hypotension/syncope</w:t>
      </w:r>
    </w:p>
    <w:p w14:paraId="7F24E34F" w14:textId="77777777" w:rsidR="00A114ED" w:rsidRPr="00A114ED" w:rsidRDefault="00A114ED" w:rsidP="007D5C29">
      <w:pPr>
        <w:tabs>
          <w:tab w:val="left" w:pos="851"/>
        </w:tabs>
        <w:ind w:left="851"/>
        <w:rPr>
          <w:sz w:val="24"/>
          <w:szCs w:val="24"/>
          <w:lang w:val="en-US"/>
        </w:rPr>
      </w:pPr>
      <w:r w:rsidRPr="00A114ED">
        <w:rPr>
          <w:sz w:val="24"/>
          <w:szCs w:val="24"/>
          <w:lang w:val="en-US"/>
        </w:rPr>
        <w:t>Lurasidone may cause orthostatic hypotension, perhaps due to its α1-adrenergic receptor antagonism. Monitoring of orthostatic vital signs should be considered in patients who are vulnerable to hypotension.</w:t>
      </w:r>
    </w:p>
    <w:p w14:paraId="4531474F" w14:textId="77777777" w:rsidR="00A114ED" w:rsidRPr="00A114ED" w:rsidRDefault="00A114ED" w:rsidP="007D5C29">
      <w:pPr>
        <w:tabs>
          <w:tab w:val="left" w:pos="851"/>
        </w:tabs>
        <w:ind w:left="851"/>
        <w:rPr>
          <w:sz w:val="24"/>
          <w:szCs w:val="24"/>
          <w:lang w:val="en-US"/>
        </w:rPr>
      </w:pPr>
    </w:p>
    <w:p w14:paraId="0E89740C"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Interaction with grapefruit juice</w:t>
      </w:r>
    </w:p>
    <w:p w14:paraId="4A35BBBD" w14:textId="77777777" w:rsidR="00A114ED" w:rsidRPr="00A114ED" w:rsidRDefault="00A114ED" w:rsidP="007D5C29">
      <w:pPr>
        <w:tabs>
          <w:tab w:val="left" w:pos="851"/>
        </w:tabs>
        <w:ind w:left="851"/>
        <w:rPr>
          <w:sz w:val="24"/>
          <w:szCs w:val="24"/>
          <w:lang w:val="en-US"/>
        </w:rPr>
      </w:pPr>
      <w:r w:rsidRPr="00A114ED">
        <w:rPr>
          <w:sz w:val="24"/>
          <w:szCs w:val="24"/>
          <w:lang w:val="en-US"/>
        </w:rPr>
        <w:t>Grapefruit juice should be avoided during treatment with lurasidone (see section 4.5).</w:t>
      </w:r>
    </w:p>
    <w:p w14:paraId="0A70112A" w14:textId="77777777" w:rsidR="00A114ED" w:rsidRPr="00A114ED" w:rsidRDefault="00A114ED" w:rsidP="007D5C29">
      <w:pPr>
        <w:tabs>
          <w:tab w:val="left" w:pos="851"/>
        </w:tabs>
        <w:ind w:left="851"/>
        <w:rPr>
          <w:sz w:val="24"/>
          <w:szCs w:val="24"/>
          <w:lang w:val="en-US"/>
        </w:rPr>
      </w:pPr>
    </w:p>
    <w:p w14:paraId="084F2106"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Serotonin syndrome</w:t>
      </w:r>
    </w:p>
    <w:p w14:paraId="5EB28F76" w14:textId="77777777" w:rsidR="00A114ED" w:rsidRPr="00A114ED" w:rsidRDefault="00A114ED" w:rsidP="007D5C29">
      <w:pPr>
        <w:tabs>
          <w:tab w:val="left" w:pos="851"/>
        </w:tabs>
        <w:ind w:left="851"/>
        <w:rPr>
          <w:sz w:val="24"/>
          <w:szCs w:val="24"/>
          <w:lang w:val="en-US"/>
        </w:rPr>
      </w:pPr>
      <w:r w:rsidRPr="00A114ED">
        <w:rPr>
          <w:sz w:val="24"/>
          <w:szCs w:val="24"/>
          <w:lang w:val="en-US"/>
        </w:rPr>
        <w:t>Concomitant administration of Lurasidonhydrochlorid "Elpen" and other serotonergic agents, such as buprenorphine/opioids, MAO inhibitors, selective serotonin re-uptake inhibitors (SSRIs), serotonin norepinephrine re-uptake inhibitors (SNRIs) or tricyclic antidepressants may result in serotonin syndrome, a potentially life- threatening condition (see section 4.5).</w:t>
      </w:r>
    </w:p>
    <w:p w14:paraId="0336891F" w14:textId="77777777" w:rsidR="00A114ED" w:rsidRPr="00A114ED" w:rsidRDefault="00A114ED" w:rsidP="007D5C29">
      <w:pPr>
        <w:tabs>
          <w:tab w:val="left" w:pos="851"/>
        </w:tabs>
        <w:ind w:left="851"/>
        <w:rPr>
          <w:sz w:val="24"/>
          <w:szCs w:val="24"/>
          <w:lang w:val="en-US"/>
        </w:rPr>
      </w:pPr>
      <w:r w:rsidRPr="00A114ED">
        <w:rPr>
          <w:sz w:val="24"/>
          <w:szCs w:val="24"/>
          <w:lang w:val="en-US"/>
        </w:rPr>
        <w:t>If concomitant treatment with other serotonergic agents is clinically warranted, careful observation of the patient is advised, particularly during treatment initiation and dose increases.</w:t>
      </w:r>
    </w:p>
    <w:p w14:paraId="5E372946" w14:textId="77777777" w:rsidR="00A114ED" w:rsidRPr="00A114ED" w:rsidRDefault="00A114ED" w:rsidP="007D5C29">
      <w:pPr>
        <w:tabs>
          <w:tab w:val="left" w:pos="851"/>
        </w:tabs>
        <w:ind w:left="851"/>
        <w:rPr>
          <w:sz w:val="24"/>
          <w:szCs w:val="24"/>
          <w:lang w:val="en-US"/>
        </w:rPr>
      </w:pPr>
      <w:r w:rsidRPr="00A114ED">
        <w:rPr>
          <w:sz w:val="24"/>
          <w:szCs w:val="24"/>
          <w:lang w:val="en-US"/>
        </w:rPr>
        <w:t>Symptoms of serotonin syndrome may include mental-status changes, autonomic instability, neuromuscular abnormalities, and/or gastrointestinal symptoms. If serotonin syndrome is suspected, a dose reduction or discontinuation of therapy should be considered depending on the severity of the symptoms.</w:t>
      </w:r>
    </w:p>
    <w:p w14:paraId="0537596C" w14:textId="77777777" w:rsidR="00A114ED" w:rsidRPr="00A114ED" w:rsidRDefault="00A114ED" w:rsidP="007D5C29">
      <w:pPr>
        <w:tabs>
          <w:tab w:val="left" w:pos="851"/>
        </w:tabs>
        <w:ind w:left="851"/>
        <w:rPr>
          <w:sz w:val="24"/>
          <w:szCs w:val="24"/>
          <w:lang w:val="en-US"/>
        </w:rPr>
      </w:pPr>
    </w:p>
    <w:p w14:paraId="376E396F" w14:textId="77777777" w:rsidR="00A114ED" w:rsidRPr="00A114ED" w:rsidRDefault="00A114ED" w:rsidP="007D5C29">
      <w:pPr>
        <w:tabs>
          <w:tab w:val="left" w:pos="851"/>
        </w:tabs>
        <w:ind w:left="851"/>
        <w:rPr>
          <w:sz w:val="24"/>
          <w:szCs w:val="24"/>
          <w:lang w:val="en-US"/>
        </w:rPr>
      </w:pPr>
      <w:r w:rsidRPr="00A114ED">
        <w:rPr>
          <w:sz w:val="24"/>
          <w:szCs w:val="24"/>
          <w:lang w:val="en-US"/>
        </w:rPr>
        <w:t>This medicine contains less than 1 mmol sodium (23 mg) per one tablet, that is to say essentially ‘sodium-free’.</w:t>
      </w:r>
    </w:p>
    <w:p w14:paraId="1A9E2FD1" w14:textId="77777777" w:rsidR="00A114ED" w:rsidRPr="00A114ED" w:rsidRDefault="00A114ED" w:rsidP="007D5C29">
      <w:pPr>
        <w:tabs>
          <w:tab w:val="left" w:pos="851"/>
        </w:tabs>
        <w:ind w:left="851"/>
        <w:rPr>
          <w:sz w:val="24"/>
          <w:szCs w:val="24"/>
          <w:lang w:val="en-US"/>
        </w:rPr>
      </w:pPr>
    </w:p>
    <w:p w14:paraId="419D2C42" w14:textId="77777777" w:rsidR="00A114ED" w:rsidRPr="00A114ED" w:rsidRDefault="00A114ED" w:rsidP="007D5C29">
      <w:pPr>
        <w:tabs>
          <w:tab w:val="left" w:pos="851"/>
        </w:tabs>
        <w:ind w:left="851"/>
        <w:rPr>
          <w:sz w:val="24"/>
          <w:szCs w:val="24"/>
          <w:lang w:val="en-US"/>
        </w:rPr>
      </w:pPr>
      <w:r w:rsidRPr="00A114ED">
        <w:rPr>
          <w:sz w:val="24"/>
          <w:szCs w:val="24"/>
          <w:lang w:val="en-US"/>
        </w:rPr>
        <w:t>This medicine contains mannitol, which may have a mild laxative effect.</w:t>
      </w:r>
    </w:p>
    <w:p w14:paraId="19542B88" w14:textId="77777777" w:rsidR="007C5D2A" w:rsidRPr="00A114ED" w:rsidRDefault="007C5D2A" w:rsidP="007D5C29">
      <w:pPr>
        <w:tabs>
          <w:tab w:val="left" w:pos="851"/>
        </w:tabs>
        <w:ind w:left="851"/>
        <w:rPr>
          <w:sz w:val="24"/>
          <w:szCs w:val="24"/>
          <w:lang w:val="en-US"/>
        </w:rPr>
      </w:pPr>
    </w:p>
    <w:p w14:paraId="4D16B202" w14:textId="77777777" w:rsidR="007C5D2A" w:rsidRPr="00303008" w:rsidRDefault="007C5D2A" w:rsidP="007D5C29">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79EA80B0" w14:textId="77777777" w:rsidR="00E37AA7" w:rsidRPr="00E37AA7" w:rsidRDefault="00E37AA7" w:rsidP="007D5C29">
      <w:pPr>
        <w:tabs>
          <w:tab w:val="left" w:pos="851"/>
        </w:tabs>
        <w:ind w:left="851"/>
        <w:rPr>
          <w:b/>
          <w:sz w:val="24"/>
          <w:szCs w:val="24"/>
          <w:lang w:val="en-US"/>
        </w:rPr>
      </w:pPr>
    </w:p>
    <w:p w14:paraId="3457D5F3" w14:textId="77777777" w:rsidR="00E37AA7" w:rsidRPr="00E37AA7" w:rsidRDefault="00E37AA7" w:rsidP="007D5C29">
      <w:pPr>
        <w:tabs>
          <w:tab w:val="left" w:pos="851"/>
        </w:tabs>
        <w:ind w:left="851"/>
        <w:rPr>
          <w:sz w:val="24"/>
          <w:szCs w:val="24"/>
          <w:lang w:val="en-US"/>
        </w:rPr>
      </w:pPr>
      <w:r w:rsidRPr="00E37AA7">
        <w:rPr>
          <w:sz w:val="24"/>
          <w:szCs w:val="24"/>
          <w:u w:val="single"/>
          <w:lang w:val="en-US"/>
        </w:rPr>
        <w:t>Pharmacodynamic interactions</w:t>
      </w:r>
    </w:p>
    <w:p w14:paraId="28B7A86A" w14:textId="77777777" w:rsidR="00E37AA7" w:rsidRPr="00E37AA7" w:rsidRDefault="00E37AA7" w:rsidP="007D5C29">
      <w:pPr>
        <w:tabs>
          <w:tab w:val="left" w:pos="851"/>
        </w:tabs>
        <w:ind w:left="851"/>
        <w:rPr>
          <w:sz w:val="24"/>
          <w:szCs w:val="24"/>
          <w:lang w:val="en-US"/>
        </w:rPr>
      </w:pPr>
      <w:r w:rsidRPr="00E37AA7">
        <w:rPr>
          <w:sz w:val="24"/>
          <w:szCs w:val="24"/>
          <w:lang w:val="en-US"/>
        </w:rPr>
        <w:t>Given the primary central nervous system effects of lurasidone, lurasidone should be used with caution in combination with other centrally acting medicinal products and alcohol.</w:t>
      </w:r>
    </w:p>
    <w:p w14:paraId="28C4BBE2" w14:textId="77777777" w:rsidR="00E37AA7" w:rsidRPr="00E37AA7" w:rsidRDefault="00E37AA7" w:rsidP="007D5C29">
      <w:pPr>
        <w:tabs>
          <w:tab w:val="left" w:pos="851"/>
        </w:tabs>
        <w:ind w:left="851"/>
        <w:rPr>
          <w:sz w:val="24"/>
          <w:szCs w:val="24"/>
          <w:lang w:val="en-US"/>
        </w:rPr>
      </w:pPr>
    </w:p>
    <w:p w14:paraId="1E688A9F" w14:textId="77777777" w:rsidR="00E37AA7" w:rsidRPr="00E37AA7" w:rsidRDefault="00E37AA7" w:rsidP="007D5C29">
      <w:pPr>
        <w:tabs>
          <w:tab w:val="left" w:pos="851"/>
        </w:tabs>
        <w:ind w:left="851"/>
        <w:rPr>
          <w:sz w:val="24"/>
          <w:szCs w:val="24"/>
          <w:lang w:val="en-US"/>
        </w:rPr>
      </w:pPr>
      <w:r w:rsidRPr="00E37AA7">
        <w:rPr>
          <w:sz w:val="24"/>
          <w:szCs w:val="24"/>
          <w:lang w:val="en-US"/>
        </w:rPr>
        <w:t>Caution is advised when prescribing lurasidone with medicinal products known to prolong the QT interval, e.g. class IA antiarrhythmics (e.g. quinidine, disopyramide) and class III antiarrhythmics (e.g. amiodarone, sotalol), some antihistaminics, some other antipsychotics and some antimalarials (e.g. mefloquine).</w:t>
      </w:r>
    </w:p>
    <w:p w14:paraId="2B9AAE1C" w14:textId="77777777" w:rsidR="00E37AA7" w:rsidRPr="00E37AA7" w:rsidRDefault="00E37AA7" w:rsidP="007D5C29">
      <w:pPr>
        <w:tabs>
          <w:tab w:val="left" w:pos="851"/>
        </w:tabs>
        <w:ind w:left="851"/>
        <w:rPr>
          <w:sz w:val="24"/>
          <w:szCs w:val="24"/>
          <w:lang w:val="en-US"/>
        </w:rPr>
      </w:pPr>
      <w:r w:rsidRPr="00E37AA7">
        <w:rPr>
          <w:sz w:val="24"/>
          <w:szCs w:val="24"/>
          <w:lang w:val="en-US"/>
        </w:rPr>
        <w:t>Lurasidonhydrochlorid "Elpen" should be used cautiously when co-administered with other serotonergic agents, such as buprenorphine/opioids, MAO inhibitors, selective serotonin re-uptake inhibitors (SSRIs), serotonin norepinephrine re-uptake inhibitors (SNRIs) or tricyclic antidepressants as the risk of serotonin syndrome, a potentially life-threatening condition, is increased (see section 4.4).</w:t>
      </w:r>
    </w:p>
    <w:p w14:paraId="6816326C" w14:textId="77777777" w:rsidR="00E37AA7" w:rsidRPr="00E37AA7" w:rsidRDefault="00E37AA7" w:rsidP="007D5C29">
      <w:pPr>
        <w:tabs>
          <w:tab w:val="left" w:pos="851"/>
        </w:tabs>
        <w:ind w:left="851"/>
        <w:rPr>
          <w:sz w:val="24"/>
          <w:szCs w:val="24"/>
          <w:lang w:val="en-US"/>
        </w:rPr>
      </w:pPr>
    </w:p>
    <w:p w14:paraId="369959AA" w14:textId="77777777" w:rsidR="00E37AA7" w:rsidRPr="00E37AA7" w:rsidRDefault="00E37AA7" w:rsidP="007D5C29">
      <w:pPr>
        <w:tabs>
          <w:tab w:val="left" w:pos="851"/>
        </w:tabs>
        <w:ind w:left="851"/>
        <w:rPr>
          <w:sz w:val="24"/>
          <w:szCs w:val="24"/>
          <w:lang w:val="en-US"/>
        </w:rPr>
      </w:pPr>
      <w:r w:rsidRPr="00E37AA7">
        <w:rPr>
          <w:sz w:val="24"/>
          <w:szCs w:val="24"/>
          <w:u w:val="single"/>
          <w:lang w:val="en-US"/>
        </w:rPr>
        <w:t>Pharmacokinetic interactions</w:t>
      </w:r>
    </w:p>
    <w:p w14:paraId="34118EF9" w14:textId="77777777" w:rsidR="00E37AA7" w:rsidRPr="00E37AA7" w:rsidRDefault="00E37AA7" w:rsidP="007D5C29">
      <w:pPr>
        <w:tabs>
          <w:tab w:val="left" w:pos="851"/>
        </w:tabs>
        <w:ind w:left="851"/>
        <w:rPr>
          <w:sz w:val="24"/>
          <w:szCs w:val="24"/>
          <w:lang w:val="en-US"/>
        </w:rPr>
      </w:pPr>
      <w:r w:rsidRPr="00E37AA7">
        <w:rPr>
          <w:sz w:val="24"/>
          <w:szCs w:val="24"/>
          <w:lang w:val="en-US"/>
        </w:rPr>
        <w:t>The concomitant administration of lurasidone and grapefruit juice has not been assessed. Grapefruit juice inhibits CYP3A4 and may increase the serum concentration of lurasidone. Grapefruit juice should be avoided during treatment with lurasidone.</w:t>
      </w:r>
    </w:p>
    <w:p w14:paraId="20A6B37C" w14:textId="77777777" w:rsidR="00E37AA7" w:rsidRPr="00E37AA7" w:rsidRDefault="00E37AA7" w:rsidP="007D5C29">
      <w:pPr>
        <w:tabs>
          <w:tab w:val="left" w:pos="851"/>
        </w:tabs>
        <w:ind w:left="851"/>
        <w:rPr>
          <w:sz w:val="24"/>
          <w:szCs w:val="24"/>
          <w:lang w:val="en-US"/>
        </w:rPr>
      </w:pPr>
    </w:p>
    <w:p w14:paraId="36406B66" w14:textId="77777777" w:rsidR="00E37AA7" w:rsidRPr="00E37AA7" w:rsidRDefault="00E37AA7" w:rsidP="007D5C29">
      <w:pPr>
        <w:tabs>
          <w:tab w:val="left" w:pos="851"/>
        </w:tabs>
        <w:ind w:left="851"/>
        <w:rPr>
          <w:sz w:val="24"/>
          <w:szCs w:val="24"/>
          <w:lang w:val="en-US"/>
        </w:rPr>
      </w:pPr>
      <w:r w:rsidRPr="00E37AA7">
        <w:rPr>
          <w:sz w:val="24"/>
          <w:szCs w:val="24"/>
          <w:u w:val="single"/>
          <w:lang w:val="en-US"/>
        </w:rPr>
        <w:t>Potential for other medicinal products to affect lurasidone</w:t>
      </w:r>
    </w:p>
    <w:p w14:paraId="6064E93E" w14:textId="77777777" w:rsidR="00E37AA7" w:rsidRPr="00E37AA7" w:rsidRDefault="00E37AA7" w:rsidP="007D5C29">
      <w:pPr>
        <w:tabs>
          <w:tab w:val="left" w:pos="851"/>
        </w:tabs>
        <w:ind w:left="851"/>
        <w:rPr>
          <w:sz w:val="24"/>
          <w:szCs w:val="24"/>
          <w:lang w:val="en-US"/>
        </w:rPr>
      </w:pPr>
      <w:r w:rsidRPr="00E37AA7">
        <w:rPr>
          <w:sz w:val="24"/>
          <w:szCs w:val="24"/>
          <w:lang w:val="en-US"/>
        </w:rPr>
        <w:t>Lurasidone and its active metabolite ID-14283 both contribute to the pharmacodynamic effect at the dopaminergic and serotonergic receptors. Lurasidone and its active metabolite ID-14283 are primarily metabolised by CYP3A4.</w:t>
      </w:r>
    </w:p>
    <w:p w14:paraId="1A54CA6A" w14:textId="77777777" w:rsidR="00E37AA7" w:rsidRPr="00E37AA7" w:rsidRDefault="00E37AA7" w:rsidP="007D5C29">
      <w:pPr>
        <w:tabs>
          <w:tab w:val="left" w:pos="851"/>
        </w:tabs>
        <w:ind w:left="851"/>
        <w:rPr>
          <w:sz w:val="24"/>
          <w:szCs w:val="24"/>
          <w:lang w:val="en-US"/>
        </w:rPr>
      </w:pPr>
    </w:p>
    <w:p w14:paraId="41E604A6" w14:textId="77777777" w:rsidR="00E37AA7" w:rsidRPr="00E37AA7" w:rsidRDefault="00E37AA7" w:rsidP="007D5C29">
      <w:pPr>
        <w:tabs>
          <w:tab w:val="left" w:pos="851"/>
        </w:tabs>
        <w:ind w:left="851"/>
        <w:rPr>
          <w:i/>
          <w:sz w:val="24"/>
          <w:szCs w:val="24"/>
          <w:lang w:val="en-US"/>
        </w:rPr>
      </w:pPr>
      <w:r w:rsidRPr="00E37AA7">
        <w:rPr>
          <w:i/>
          <w:sz w:val="24"/>
          <w:szCs w:val="24"/>
          <w:lang w:val="en-US"/>
        </w:rPr>
        <w:t>CYP3A4 inhibitors</w:t>
      </w:r>
    </w:p>
    <w:p w14:paraId="304D1A5D" w14:textId="77777777" w:rsidR="00E37AA7" w:rsidRPr="00E37AA7" w:rsidRDefault="00E37AA7" w:rsidP="007D5C29">
      <w:pPr>
        <w:tabs>
          <w:tab w:val="left" w:pos="851"/>
        </w:tabs>
        <w:ind w:left="851"/>
        <w:rPr>
          <w:sz w:val="24"/>
          <w:szCs w:val="24"/>
          <w:lang w:val="en-US"/>
        </w:rPr>
      </w:pPr>
      <w:r w:rsidRPr="00E37AA7">
        <w:rPr>
          <w:sz w:val="24"/>
          <w:szCs w:val="24"/>
          <w:lang w:val="en-US"/>
        </w:rPr>
        <w:t>Lurasidone is contraindicated with strong CYP3A4 inhibitors (e.g. boceprevir, clarithromycin, cobicistat, indinavir, itraconazole, ketoconazole, nefazodone, nelfinavir, posaconazole, ritonavir, saquinavir, telaprevir, telithromycin, voriconazole) (see section 4.3).</w:t>
      </w:r>
    </w:p>
    <w:p w14:paraId="18F93542" w14:textId="77777777" w:rsidR="00E37AA7" w:rsidRPr="00E37AA7" w:rsidRDefault="00E37AA7" w:rsidP="007D5C29">
      <w:pPr>
        <w:tabs>
          <w:tab w:val="left" w:pos="851"/>
        </w:tabs>
        <w:ind w:left="851"/>
        <w:rPr>
          <w:sz w:val="24"/>
          <w:szCs w:val="24"/>
          <w:lang w:val="en-US"/>
        </w:rPr>
      </w:pPr>
    </w:p>
    <w:p w14:paraId="2B7CE5CB"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the strong CYP3A4 inhibitor ketoconazole resulted in a 9- and 6-fold increase in exposure of lurasidone and its active metabolite ID-14283 respectively.</w:t>
      </w:r>
    </w:p>
    <w:p w14:paraId="718854CA" w14:textId="77777777" w:rsidR="00E37AA7" w:rsidRPr="00E37AA7" w:rsidRDefault="00E37AA7" w:rsidP="007D5C29">
      <w:pPr>
        <w:tabs>
          <w:tab w:val="left" w:pos="851"/>
        </w:tabs>
        <w:ind w:left="851"/>
        <w:rPr>
          <w:sz w:val="24"/>
          <w:szCs w:val="24"/>
          <w:lang w:val="en-US"/>
        </w:rPr>
      </w:pPr>
    </w:p>
    <w:p w14:paraId="1629C47E"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and posaconazole (strong CYP3A4 inhibitor) resulted in an approximate 4-5 fold increase in lurasidone exposure. A persistent effect of posaconazole on lurasidone exposure was observed up to 2-3 weeks after stop of posaconazole co-administration.</w:t>
      </w:r>
    </w:p>
    <w:p w14:paraId="5B63DA08" w14:textId="77777777" w:rsidR="00E37AA7" w:rsidRPr="00E37AA7" w:rsidRDefault="00E37AA7" w:rsidP="007D5C29">
      <w:pPr>
        <w:tabs>
          <w:tab w:val="left" w:pos="851"/>
        </w:tabs>
        <w:ind w:left="851"/>
        <w:rPr>
          <w:sz w:val="24"/>
          <w:szCs w:val="24"/>
          <w:lang w:val="en-US"/>
        </w:rPr>
      </w:pPr>
    </w:p>
    <w:p w14:paraId="20B050F5"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medicinal products that moderately inhibit CYP3A4 (e.g. diltiazem, erythromycin, fluconazole verapamil) may increase exposure to lurasidone. Moderate CYP3A4 inhibitors are estimated to result in a 2-5 fold increase in exposure of CYP3A4 substrates.</w:t>
      </w:r>
    </w:p>
    <w:p w14:paraId="271E77A2" w14:textId="77777777" w:rsidR="00E37AA7" w:rsidRPr="00E37AA7" w:rsidRDefault="00E37AA7" w:rsidP="007D5C29">
      <w:pPr>
        <w:tabs>
          <w:tab w:val="left" w:pos="851"/>
        </w:tabs>
        <w:ind w:left="851"/>
        <w:rPr>
          <w:sz w:val="24"/>
          <w:szCs w:val="24"/>
          <w:lang w:val="en-US"/>
        </w:rPr>
      </w:pPr>
    </w:p>
    <w:p w14:paraId="56E05745"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diltiazem (slow-release formulation), a moderate CYP3A4 inhibitor, resulted in a 2.2 and 2.4-fold increase in exposure of lurasidone and ID-14283 respectively (see section 4.2). The use of an immediate release formulation of diltiazem could result in a larger increase in lurasidone exposure.</w:t>
      </w:r>
    </w:p>
    <w:p w14:paraId="7780CE9A" w14:textId="77777777" w:rsidR="00E37AA7" w:rsidRPr="00E37AA7" w:rsidRDefault="00E37AA7" w:rsidP="007D5C29">
      <w:pPr>
        <w:tabs>
          <w:tab w:val="left" w:pos="851"/>
        </w:tabs>
        <w:ind w:left="851"/>
        <w:rPr>
          <w:sz w:val="24"/>
          <w:szCs w:val="24"/>
          <w:lang w:val="en-US"/>
        </w:rPr>
      </w:pPr>
    </w:p>
    <w:p w14:paraId="2382D04D" w14:textId="77777777" w:rsidR="00E37AA7" w:rsidRPr="00E37AA7" w:rsidRDefault="00E37AA7" w:rsidP="007D5C29">
      <w:pPr>
        <w:tabs>
          <w:tab w:val="left" w:pos="851"/>
        </w:tabs>
        <w:ind w:left="851"/>
        <w:rPr>
          <w:i/>
          <w:sz w:val="24"/>
          <w:szCs w:val="24"/>
          <w:lang w:val="en-US"/>
        </w:rPr>
      </w:pPr>
      <w:r w:rsidRPr="00E37AA7">
        <w:rPr>
          <w:i/>
          <w:sz w:val="24"/>
          <w:szCs w:val="24"/>
          <w:lang w:val="en-US"/>
        </w:rPr>
        <w:t>CYP3A4 inducers</w:t>
      </w:r>
    </w:p>
    <w:p w14:paraId="6C7DD23E" w14:textId="77777777" w:rsidR="00E37AA7" w:rsidRPr="00E37AA7" w:rsidRDefault="00E37AA7" w:rsidP="007D5C29">
      <w:pPr>
        <w:tabs>
          <w:tab w:val="left" w:pos="851"/>
        </w:tabs>
        <w:ind w:left="851"/>
        <w:rPr>
          <w:sz w:val="24"/>
          <w:szCs w:val="24"/>
          <w:lang w:val="en-US"/>
        </w:rPr>
      </w:pPr>
      <w:r w:rsidRPr="00E37AA7">
        <w:rPr>
          <w:sz w:val="24"/>
          <w:szCs w:val="24"/>
          <w:lang w:val="en-US"/>
        </w:rPr>
        <w:t>Lurasidone is contraindicated with strong CYP3A4 inducers (e.g. carbamazepine, phenobarbital, phenytoin, rifampicin, St John’s wort (Hypericum perforatum)) (see section 4.3).</w:t>
      </w:r>
    </w:p>
    <w:p w14:paraId="31F77E2C" w14:textId="77777777" w:rsidR="00E37AA7" w:rsidRPr="00E37AA7" w:rsidRDefault="00E37AA7" w:rsidP="007D5C29">
      <w:pPr>
        <w:tabs>
          <w:tab w:val="left" w:pos="851"/>
        </w:tabs>
        <w:ind w:left="851"/>
        <w:rPr>
          <w:sz w:val="24"/>
          <w:szCs w:val="24"/>
          <w:lang w:val="en-US"/>
        </w:rPr>
      </w:pPr>
    </w:p>
    <w:p w14:paraId="7EB03C51"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the strong CYP3A4 inducer rifampicin resulted in a 6-fold decrease in exposure of lurasidone.</w:t>
      </w:r>
    </w:p>
    <w:p w14:paraId="4A06E390" w14:textId="77777777" w:rsidR="00E37AA7" w:rsidRPr="00E37AA7" w:rsidRDefault="00E37AA7" w:rsidP="007D5C29">
      <w:pPr>
        <w:tabs>
          <w:tab w:val="left" w:pos="851"/>
        </w:tabs>
        <w:ind w:left="851"/>
        <w:rPr>
          <w:sz w:val="24"/>
          <w:szCs w:val="24"/>
          <w:lang w:val="en-US"/>
        </w:rPr>
      </w:pPr>
    </w:p>
    <w:p w14:paraId="280CB6A1" w14:textId="3F6B4E9A"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mild (e.g. armodafinil, amprenavir, aprepitant, prednisone, rufinamide) or moderate (e.g. bosentan, efavirenz, etravirine, modafinil, nafcillin) inducers of CYP3A4 would be expected to give a &lt;2-fold reduction in lurasidone exposure during</w:t>
      </w:r>
      <w:r>
        <w:rPr>
          <w:sz w:val="24"/>
          <w:szCs w:val="24"/>
          <w:lang w:val="en-US"/>
        </w:rPr>
        <w:t xml:space="preserve"> </w:t>
      </w:r>
      <w:r w:rsidRPr="00E37AA7">
        <w:rPr>
          <w:sz w:val="24"/>
          <w:szCs w:val="24"/>
          <w:lang w:val="en-US"/>
        </w:rPr>
        <w:t>co-administration and for up to 2 weeks after discontinuation of mild or moderate CYP3A4 inducers.</w:t>
      </w:r>
    </w:p>
    <w:p w14:paraId="0AC714E2" w14:textId="77777777" w:rsidR="00E37AA7" w:rsidRPr="00E37AA7" w:rsidRDefault="00E37AA7" w:rsidP="007D5C29">
      <w:pPr>
        <w:tabs>
          <w:tab w:val="left" w:pos="851"/>
        </w:tabs>
        <w:ind w:left="851"/>
        <w:rPr>
          <w:sz w:val="24"/>
          <w:szCs w:val="24"/>
          <w:lang w:val="en-US"/>
        </w:rPr>
      </w:pPr>
    </w:p>
    <w:p w14:paraId="1278E624" w14:textId="77777777" w:rsidR="00E37AA7" w:rsidRPr="00E37AA7" w:rsidRDefault="00E37AA7" w:rsidP="007D5C29">
      <w:pPr>
        <w:tabs>
          <w:tab w:val="left" w:pos="851"/>
        </w:tabs>
        <w:ind w:left="851"/>
        <w:rPr>
          <w:sz w:val="24"/>
          <w:szCs w:val="24"/>
          <w:lang w:val="en-US"/>
        </w:rPr>
      </w:pPr>
      <w:r w:rsidRPr="00E37AA7">
        <w:rPr>
          <w:sz w:val="24"/>
          <w:szCs w:val="24"/>
          <w:lang w:val="en-US"/>
        </w:rPr>
        <w:t>When lurasidone is coadministered with mild or moderate CYP3A4 inducers, the efficacy of lurasidone needs to be carefully monitored and a dose adjustment may be needed.</w:t>
      </w:r>
    </w:p>
    <w:p w14:paraId="4321A3DB" w14:textId="77777777" w:rsidR="00E37AA7" w:rsidRPr="00E37AA7" w:rsidRDefault="00E37AA7" w:rsidP="007D5C29">
      <w:pPr>
        <w:tabs>
          <w:tab w:val="left" w:pos="851"/>
        </w:tabs>
        <w:ind w:left="851"/>
        <w:rPr>
          <w:sz w:val="24"/>
          <w:szCs w:val="24"/>
          <w:lang w:val="en-US"/>
        </w:rPr>
      </w:pPr>
    </w:p>
    <w:p w14:paraId="7C97EBE9" w14:textId="77777777" w:rsidR="00E37AA7" w:rsidRPr="00E37AA7" w:rsidRDefault="00E37AA7" w:rsidP="007D5C29">
      <w:pPr>
        <w:tabs>
          <w:tab w:val="left" w:pos="851"/>
        </w:tabs>
        <w:ind w:left="851"/>
        <w:rPr>
          <w:i/>
          <w:sz w:val="24"/>
          <w:szCs w:val="24"/>
          <w:lang w:val="en-US"/>
        </w:rPr>
      </w:pPr>
      <w:r w:rsidRPr="00E37AA7">
        <w:rPr>
          <w:i/>
          <w:sz w:val="24"/>
          <w:szCs w:val="24"/>
          <w:lang w:val="en-US"/>
        </w:rPr>
        <w:t>Transporters</w:t>
      </w:r>
    </w:p>
    <w:p w14:paraId="6B42444D" w14:textId="77777777" w:rsidR="00E37AA7" w:rsidRPr="00E37AA7" w:rsidRDefault="00E37AA7" w:rsidP="007D5C29">
      <w:pPr>
        <w:tabs>
          <w:tab w:val="left" w:pos="851"/>
        </w:tabs>
        <w:ind w:left="851"/>
        <w:rPr>
          <w:sz w:val="24"/>
          <w:szCs w:val="24"/>
          <w:lang w:val="en-US"/>
        </w:rPr>
      </w:pPr>
      <w:r w:rsidRPr="00E37AA7">
        <w:rPr>
          <w:sz w:val="24"/>
          <w:szCs w:val="24"/>
          <w:lang w:val="en-US"/>
        </w:rPr>
        <w:t>Lurasidone is a substrate of P-gp and BCRP in vitro and the in vivo relevance of this is unclear. Coadministration of lurasidone with P-gp and BCRP inhibitors may increase exposure to lurasidone.</w:t>
      </w:r>
    </w:p>
    <w:p w14:paraId="68432526" w14:textId="77777777" w:rsidR="00E37AA7" w:rsidRPr="00E37AA7" w:rsidRDefault="00E37AA7" w:rsidP="007D5C29">
      <w:pPr>
        <w:tabs>
          <w:tab w:val="left" w:pos="851"/>
        </w:tabs>
        <w:ind w:left="851"/>
        <w:rPr>
          <w:sz w:val="24"/>
          <w:szCs w:val="24"/>
          <w:lang w:val="en-US"/>
        </w:rPr>
      </w:pPr>
    </w:p>
    <w:p w14:paraId="72F50149" w14:textId="03503B48" w:rsidR="00E37AA7" w:rsidRPr="00E37AA7" w:rsidRDefault="00E37AA7" w:rsidP="007D5C29">
      <w:pPr>
        <w:tabs>
          <w:tab w:val="left" w:pos="851"/>
        </w:tabs>
        <w:ind w:left="851"/>
        <w:rPr>
          <w:sz w:val="24"/>
          <w:szCs w:val="24"/>
          <w:lang w:val="en-US"/>
        </w:rPr>
      </w:pPr>
      <w:r w:rsidRPr="00E37AA7">
        <w:rPr>
          <w:sz w:val="24"/>
          <w:szCs w:val="24"/>
          <w:u w:val="single"/>
          <w:lang w:val="en-US"/>
        </w:rPr>
        <w:t>Potential for lurasidone to affect other medicinal products</w:t>
      </w:r>
    </w:p>
    <w:p w14:paraId="3C3F4F98"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midazolam, a sensitive CYP3A4 substrate, resulted in a &lt; 1.5-fold increase in midazolam exposure.  Monitoring is recommended when lurasidone and CYP3A4 substrates known to have a narrow therapeutic index (e.g. astemizole, terfenadine, cisapride, pimozide, quinidine, bepridil or ergot alkaloids [ergotamine, dihydroergotamine]) are coadministered.</w:t>
      </w:r>
    </w:p>
    <w:p w14:paraId="63DD60A5" w14:textId="77777777" w:rsidR="00E37AA7" w:rsidRPr="00E37AA7" w:rsidRDefault="00E37AA7" w:rsidP="007D5C29">
      <w:pPr>
        <w:tabs>
          <w:tab w:val="left" w:pos="851"/>
        </w:tabs>
        <w:ind w:left="851"/>
        <w:rPr>
          <w:sz w:val="24"/>
          <w:szCs w:val="24"/>
          <w:lang w:val="en-US"/>
        </w:rPr>
      </w:pPr>
    </w:p>
    <w:p w14:paraId="3ED17F65" w14:textId="77777777" w:rsidR="00E37AA7" w:rsidRPr="00E37AA7" w:rsidRDefault="00E37AA7" w:rsidP="007D5C29">
      <w:pPr>
        <w:tabs>
          <w:tab w:val="left" w:pos="851"/>
        </w:tabs>
        <w:ind w:left="851"/>
        <w:rPr>
          <w:sz w:val="24"/>
          <w:szCs w:val="24"/>
          <w:lang w:val="en-US"/>
        </w:rPr>
      </w:pPr>
      <w:r w:rsidRPr="00E37AA7">
        <w:rPr>
          <w:sz w:val="24"/>
          <w:szCs w:val="24"/>
          <w:lang w:val="en-US"/>
        </w:rPr>
        <w:t xml:space="preserve">Coadministration of lurasidone with digoxin (a P-gp substrate) did not increase the exposure to digoxin and only slightly increased Cmax (1.3 –fold) and therefore, it is considered that lurasidone can be coadministered with digoxin. Lurasidone is an </w:t>
      </w:r>
      <w:r w:rsidRPr="00E37AA7">
        <w:rPr>
          <w:i/>
          <w:sz w:val="24"/>
          <w:szCs w:val="24"/>
          <w:lang w:val="en-US"/>
        </w:rPr>
        <w:t xml:space="preserve">in vitro </w:t>
      </w:r>
      <w:r w:rsidRPr="00E37AA7">
        <w:rPr>
          <w:sz w:val="24"/>
          <w:szCs w:val="24"/>
          <w:lang w:val="en-US"/>
        </w:rPr>
        <w:t>inhibitor of the efflux transporter P-gp and the clinical relevance of intestinal P-gp inhibition cannot be excluded. Concomitant administration of the P-gp substrate dabigatran etexilate may result in increased dabigatran plasma concentrations.</w:t>
      </w:r>
    </w:p>
    <w:p w14:paraId="06111D49" w14:textId="77777777" w:rsidR="00E37AA7" w:rsidRPr="00E37AA7" w:rsidRDefault="00E37AA7" w:rsidP="007D5C29">
      <w:pPr>
        <w:tabs>
          <w:tab w:val="left" w:pos="851"/>
        </w:tabs>
        <w:ind w:left="851"/>
        <w:rPr>
          <w:sz w:val="24"/>
          <w:szCs w:val="24"/>
          <w:lang w:val="en-US"/>
        </w:rPr>
      </w:pPr>
    </w:p>
    <w:p w14:paraId="599D39F5" w14:textId="77777777" w:rsidR="00E37AA7" w:rsidRPr="00E37AA7" w:rsidRDefault="00E37AA7" w:rsidP="007D5C29">
      <w:pPr>
        <w:tabs>
          <w:tab w:val="left" w:pos="851"/>
        </w:tabs>
        <w:ind w:left="851"/>
        <w:rPr>
          <w:sz w:val="24"/>
          <w:szCs w:val="24"/>
          <w:lang w:val="en-US"/>
        </w:rPr>
      </w:pPr>
      <w:r w:rsidRPr="00E37AA7">
        <w:rPr>
          <w:sz w:val="24"/>
          <w:szCs w:val="24"/>
          <w:lang w:val="en-US"/>
        </w:rPr>
        <w:t xml:space="preserve">Lurasidone is an </w:t>
      </w:r>
      <w:r w:rsidRPr="00E37AA7">
        <w:rPr>
          <w:i/>
          <w:sz w:val="24"/>
          <w:szCs w:val="24"/>
          <w:lang w:val="en-US"/>
        </w:rPr>
        <w:t xml:space="preserve">in vitro </w:t>
      </w:r>
      <w:r w:rsidRPr="00E37AA7">
        <w:rPr>
          <w:sz w:val="24"/>
          <w:szCs w:val="24"/>
          <w:lang w:val="en-US"/>
        </w:rPr>
        <w:t>inhibitor of the efflux transporter BCRP and the clinical relevance of intestinal BCRP inhibition cannot be excluded. Concomitant administration of BCRP substrates may result in increases in the plasma concentrations of these substrates.</w:t>
      </w:r>
    </w:p>
    <w:p w14:paraId="7FC54DEE" w14:textId="77777777" w:rsidR="00E37AA7" w:rsidRPr="00E37AA7" w:rsidRDefault="00E37AA7" w:rsidP="007D5C29">
      <w:pPr>
        <w:tabs>
          <w:tab w:val="left" w:pos="851"/>
        </w:tabs>
        <w:ind w:left="851"/>
        <w:rPr>
          <w:sz w:val="24"/>
          <w:szCs w:val="24"/>
          <w:lang w:val="en-US"/>
        </w:rPr>
      </w:pPr>
    </w:p>
    <w:p w14:paraId="4F4BB32C"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lithium indicated that lithium had clinically negligible effects on the pharmacokinetics of lurasidone, therefore no dose adjustment of lurasidone is required when coadministered with lithium. Lurasidone does not impact concentrations of lithium.</w:t>
      </w:r>
    </w:p>
    <w:p w14:paraId="262587D0" w14:textId="77777777" w:rsidR="00E37AA7" w:rsidRPr="00E37AA7" w:rsidRDefault="00E37AA7" w:rsidP="007D5C29">
      <w:pPr>
        <w:tabs>
          <w:tab w:val="left" w:pos="851"/>
        </w:tabs>
        <w:ind w:left="851"/>
        <w:rPr>
          <w:sz w:val="24"/>
          <w:szCs w:val="24"/>
          <w:lang w:val="en-US"/>
        </w:rPr>
      </w:pPr>
    </w:p>
    <w:p w14:paraId="08D7EE76" w14:textId="77777777" w:rsidR="00E37AA7" w:rsidRPr="00E37AA7" w:rsidRDefault="00E37AA7" w:rsidP="007D5C29">
      <w:pPr>
        <w:tabs>
          <w:tab w:val="left" w:pos="851"/>
        </w:tabs>
        <w:ind w:left="851"/>
        <w:rPr>
          <w:sz w:val="24"/>
          <w:szCs w:val="24"/>
          <w:lang w:val="en-US"/>
        </w:rPr>
      </w:pPr>
      <w:r w:rsidRPr="00E37AA7">
        <w:rPr>
          <w:sz w:val="24"/>
          <w:szCs w:val="24"/>
          <w:lang w:val="en-US"/>
        </w:rPr>
        <w:lastRenderedPageBreak/>
        <w:t>A clinical drug interaction study investigating the effect of coadministration of lurasidone on patients taking oral combination contraceptives including norgestimate and ethinyl estradiol, indicated that lurasidone had no clinically or statistically meaningful effects on the pharmacokinetics of the contraceptive or sex hormone binding globulin (SHBG) levels. Therefore, lurasidone can be coadministered with oral contraceptives.</w:t>
      </w:r>
    </w:p>
    <w:p w14:paraId="7A334C0D" w14:textId="77777777" w:rsidR="007C5D2A" w:rsidRPr="00303008" w:rsidRDefault="007C5D2A" w:rsidP="007D5C29">
      <w:pPr>
        <w:tabs>
          <w:tab w:val="left" w:pos="851"/>
        </w:tabs>
        <w:ind w:left="851"/>
        <w:rPr>
          <w:sz w:val="24"/>
          <w:szCs w:val="24"/>
          <w:lang w:val="en-GB"/>
        </w:rPr>
      </w:pPr>
    </w:p>
    <w:p w14:paraId="1CF979F3"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70FC3DC8" w14:textId="77777777" w:rsidR="00E41882" w:rsidRPr="00E41882" w:rsidRDefault="00E41882" w:rsidP="007D5C29">
      <w:pPr>
        <w:tabs>
          <w:tab w:val="left" w:pos="851"/>
        </w:tabs>
        <w:ind w:left="851"/>
        <w:rPr>
          <w:b/>
          <w:sz w:val="24"/>
          <w:szCs w:val="24"/>
          <w:lang w:val="en-US"/>
        </w:rPr>
      </w:pPr>
    </w:p>
    <w:p w14:paraId="17DB163F" w14:textId="77777777" w:rsidR="00E41882" w:rsidRPr="00E41882" w:rsidRDefault="00E41882" w:rsidP="007D5C29">
      <w:pPr>
        <w:tabs>
          <w:tab w:val="left" w:pos="851"/>
        </w:tabs>
        <w:ind w:left="851"/>
        <w:rPr>
          <w:sz w:val="24"/>
          <w:szCs w:val="24"/>
          <w:lang w:val="en-US"/>
        </w:rPr>
      </w:pPr>
      <w:r w:rsidRPr="00E41882">
        <w:rPr>
          <w:sz w:val="24"/>
          <w:szCs w:val="24"/>
          <w:u w:val="single"/>
          <w:lang w:val="en-US"/>
        </w:rPr>
        <w:t>Pregnancy</w:t>
      </w:r>
    </w:p>
    <w:p w14:paraId="4AF13AA4" w14:textId="77777777" w:rsidR="00E41882" w:rsidRPr="00E41882" w:rsidRDefault="00E41882" w:rsidP="007D5C29">
      <w:pPr>
        <w:tabs>
          <w:tab w:val="left" w:pos="851"/>
        </w:tabs>
        <w:ind w:left="851"/>
        <w:rPr>
          <w:sz w:val="24"/>
          <w:szCs w:val="24"/>
          <w:lang w:val="en-US"/>
        </w:rPr>
      </w:pPr>
      <w:r w:rsidRPr="00E41882">
        <w:rPr>
          <w:sz w:val="24"/>
          <w:szCs w:val="24"/>
          <w:lang w:val="en-US"/>
        </w:rPr>
        <w:t>There are no or limited amount of data (less than 300 pregnancy outcomes) from the use of lurasidone in pregnant women. Animal studies are insufficient with respect to effects on pregnancy, embryonal/foetal development, parturition and postnatal development (see section 5.3). The potential risk for humans is unknown. Lurasidone should not be used during pregnancy unless clearly necessary.</w:t>
      </w:r>
    </w:p>
    <w:p w14:paraId="2363718F" w14:textId="77777777" w:rsidR="00E41882" w:rsidRPr="00E41882" w:rsidRDefault="00E41882" w:rsidP="007D5C29">
      <w:pPr>
        <w:tabs>
          <w:tab w:val="left" w:pos="851"/>
        </w:tabs>
        <w:ind w:left="851"/>
        <w:rPr>
          <w:sz w:val="24"/>
          <w:szCs w:val="24"/>
          <w:lang w:val="en-US"/>
        </w:rPr>
      </w:pPr>
    </w:p>
    <w:p w14:paraId="39083578" w14:textId="77777777" w:rsidR="00E41882" w:rsidRPr="00E41882" w:rsidRDefault="00E41882" w:rsidP="007D5C29">
      <w:pPr>
        <w:tabs>
          <w:tab w:val="left" w:pos="851"/>
        </w:tabs>
        <w:ind w:left="851"/>
        <w:rPr>
          <w:sz w:val="24"/>
          <w:szCs w:val="24"/>
          <w:lang w:val="en-US"/>
        </w:rPr>
      </w:pPr>
      <w:r w:rsidRPr="00E41882">
        <w:rPr>
          <w:sz w:val="24"/>
          <w:szCs w:val="24"/>
          <w:lang w:val="en-US"/>
        </w:rPr>
        <w:t>Neonates exposed to antipsychotics (including lurasidone) during the third trimester are at risk of adverse reactions including extrapyramidal and/or withdrawal symptoms that may vary in severity and duration following delivery. There have been reports of agitation, hypertonia, hypotonia, tremor, somnolence, respiratory distress, or feeding disorder. Consequently, newborns should be monitored carefully.</w:t>
      </w:r>
    </w:p>
    <w:p w14:paraId="0AF8111E" w14:textId="77777777" w:rsidR="00E41882" w:rsidRPr="00E41882" w:rsidRDefault="00E41882" w:rsidP="007D5C29">
      <w:pPr>
        <w:tabs>
          <w:tab w:val="left" w:pos="851"/>
        </w:tabs>
        <w:ind w:left="851"/>
        <w:rPr>
          <w:sz w:val="24"/>
          <w:szCs w:val="24"/>
          <w:lang w:val="en-US"/>
        </w:rPr>
      </w:pPr>
    </w:p>
    <w:p w14:paraId="69B55B2D" w14:textId="77777777" w:rsidR="00E41882" w:rsidRPr="00E41882" w:rsidRDefault="00E41882" w:rsidP="007D5C29">
      <w:pPr>
        <w:tabs>
          <w:tab w:val="left" w:pos="851"/>
        </w:tabs>
        <w:ind w:left="851"/>
        <w:rPr>
          <w:sz w:val="24"/>
          <w:szCs w:val="24"/>
          <w:lang w:val="en-US"/>
        </w:rPr>
      </w:pPr>
      <w:r w:rsidRPr="00E41882">
        <w:rPr>
          <w:sz w:val="24"/>
          <w:szCs w:val="24"/>
          <w:u w:val="single"/>
          <w:lang w:val="en-US"/>
        </w:rPr>
        <w:t>Breast-feeding</w:t>
      </w:r>
    </w:p>
    <w:p w14:paraId="6D77BEC9" w14:textId="77777777" w:rsidR="00E41882" w:rsidRPr="00E41882" w:rsidRDefault="00E41882" w:rsidP="007D5C29">
      <w:pPr>
        <w:tabs>
          <w:tab w:val="left" w:pos="851"/>
        </w:tabs>
        <w:ind w:left="851"/>
        <w:rPr>
          <w:sz w:val="24"/>
          <w:szCs w:val="24"/>
          <w:lang w:val="en-US"/>
        </w:rPr>
      </w:pPr>
      <w:r w:rsidRPr="00E41882">
        <w:rPr>
          <w:sz w:val="24"/>
          <w:szCs w:val="24"/>
          <w:lang w:val="en-US"/>
        </w:rPr>
        <w:t>Lurasidone was excreted in milk of rats during lactation (see section 5.3). It is not known whether lurasidone or its metabolites are excreted in human milk. Breast feeding in women receiving lurasidone should be considered only if the potential benefit of treatment justifies the potential risk to the child.</w:t>
      </w:r>
    </w:p>
    <w:p w14:paraId="25DF2560" w14:textId="77777777" w:rsidR="00E41882" w:rsidRPr="00E41882" w:rsidRDefault="00E41882" w:rsidP="007D5C29">
      <w:pPr>
        <w:tabs>
          <w:tab w:val="left" w:pos="851"/>
        </w:tabs>
        <w:ind w:left="851"/>
        <w:rPr>
          <w:sz w:val="24"/>
          <w:szCs w:val="24"/>
          <w:lang w:val="en-US"/>
        </w:rPr>
      </w:pPr>
    </w:p>
    <w:p w14:paraId="7CA98D31" w14:textId="77777777" w:rsidR="00E41882" w:rsidRPr="00E41882" w:rsidRDefault="00E41882" w:rsidP="007D5C29">
      <w:pPr>
        <w:tabs>
          <w:tab w:val="left" w:pos="851"/>
        </w:tabs>
        <w:ind w:left="851"/>
        <w:rPr>
          <w:sz w:val="24"/>
          <w:szCs w:val="24"/>
          <w:lang w:val="en-US"/>
        </w:rPr>
      </w:pPr>
      <w:r w:rsidRPr="00E41882">
        <w:rPr>
          <w:sz w:val="24"/>
          <w:szCs w:val="24"/>
          <w:u w:val="single"/>
          <w:lang w:val="en-US"/>
        </w:rPr>
        <w:t>Fertility</w:t>
      </w:r>
    </w:p>
    <w:p w14:paraId="0F9A8F48" w14:textId="77777777" w:rsidR="00E41882" w:rsidRPr="00E41882" w:rsidRDefault="00E41882" w:rsidP="007D5C29">
      <w:pPr>
        <w:tabs>
          <w:tab w:val="left" w:pos="851"/>
        </w:tabs>
        <w:ind w:left="851"/>
        <w:rPr>
          <w:sz w:val="24"/>
          <w:szCs w:val="24"/>
          <w:lang w:val="en-US"/>
        </w:rPr>
      </w:pPr>
      <w:r w:rsidRPr="00E41882">
        <w:rPr>
          <w:sz w:val="24"/>
          <w:szCs w:val="24"/>
          <w:lang w:val="en-US"/>
        </w:rPr>
        <w:t>Studies in animals have shown a number of effects on fertility, mainly related to prolactin increase, which are not considered to be relevant to human reproduction (see section 5.3).</w:t>
      </w:r>
    </w:p>
    <w:p w14:paraId="7B1CCC70" w14:textId="77777777" w:rsidR="007C5D2A" w:rsidRPr="00E41882" w:rsidRDefault="007C5D2A" w:rsidP="007D5C29">
      <w:pPr>
        <w:tabs>
          <w:tab w:val="left" w:pos="851"/>
        </w:tabs>
        <w:ind w:left="851"/>
        <w:rPr>
          <w:sz w:val="24"/>
          <w:szCs w:val="24"/>
          <w:lang w:val="en-US"/>
        </w:rPr>
      </w:pPr>
    </w:p>
    <w:p w14:paraId="1ADBDF59"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5E8790F9" w14:textId="77777777" w:rsidR="00E41882" w:rsidRPr="00E41882" w:rsidRDefault="00E41882" w:rsidP="007D5C29">
      <w:pPr>
        <w:tabs>
          <w:tab w:val="left" w:pos="851"/>
        </w:tabs>
        <w:ind w:left="851"/>
        <w:rPr>
          <w:sz w:val="24"/>
          <w:szCs w:val="24"/>
          <w:lang w:val="en-US"/>
        </w:rPr>
      </w:pPr>
      <w:r w:rsidRPr="00E41882">
        <w:rPr>
          <w:sz w:val="24"/>
          <w:szCs w:val="24"/>
          <w:lang w:val="en-US"/>
        </w:rPr>
        <w:t>Lurasidone has minor influence on the ability to drive and use machines. Patients should be cautioned about operating hazardous machines, including motor vehicles and cycles, until they are reasonably certain that lurasidone does not affect them adversely (see section 4.8).</w:t>
      </w:r>
    </w:p>
    <w:p w14:paraId="11D1762E" w14:textId="77777777" w:rsidR="00E41882" w:rsidRPr="00E41882" w:rsidRDefault="00E41882" w:rsidP="007D5C29">
      <w:pPr>
        <w:tabs>
          <w:tab w:val="left" w:pos="851"/>
        </w:tabs>
        <w:ind w:left="851"/>
        <w:rPr>
          <w:sz w:val="24"/>
          <w:szCs w:val="24"/>
          <w:lang w:val="en-US"/>
        </w:rPr>
      </w:pPr>
      <w:r w:rsidRPr="00E41882">
        <w:rPr>
          <w:sz w:val="24"/>
          <w:szCs w:val="24"/>
          <w:lang w:val="en-US"/>
        </w:rPr>
        <w:t>Regarding road safety, adolescents who may not be old enough to drive may nevertheless cycle.</w:t>
      </w:r>
    </w:p>
    <w:p w14:paraId="2BAF6E65" w14:textId="77777777" w:rsidR="00E41882" w:rsidRPr="00E41882" w:rsidRDefault="00E41882" w:rsidP="007D5C29">
      <w:pPr>
        <w:tabs>
          <w:tab w:val="left" w:pos="851"/>
        </w:tabs>
        <w:ind w:left="851"/>
        <w:rPr>
          <w:sz w:val="24"/>
          <w:szCs w:val="24"/>
          <w:lang w:val="en-US"/>
        </w:rPr>
      </w:pPr>
    </w:p>
    <w:p w14:paraId="796E0EF0"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65FCC92C" w14:textId="77777777" w:rsidR="00E41882" w:rsidRPr="00E41882" w:rsidRDefault="00E41882" w:rsidP="007D5C29">
      <w:pPr>
        <w:pStyle w:val="Brdtekst"/>
        <w:ind w:left="851"/>
        <w:rPr>
          <w:b/>
          <w:sz w:val="24"/>
          <w:szCs w:val="24"/>
        </w:rPr>
      </w:pPr>
    </w:p>
    <w:p w14:paraId="2DBE87D5" w14:textId="77777777" w:rsidR="00E41882" w:rsidRPr="00E41882" w:rsidRDefault="00E41882" w:rsidP="007D5C29">
      <w:pPr>
        <w:pStyle w:val="Brdtekst"/>
        <w:ind w:left="851"/>
        <w:rPr>
          <w:sz w:val="24"/>
          <w:szCs w:val="24"/>
        </w:rPr>
      </w:pPr>
      <w:r w:rsidRPr="00E41882">
        <w:rPr>
          <w:sz w:val="24"/>
          <w:szCs w:val="24"/>
          <w:u w:val="single"/>
        </w:rPr>
        <w:t>Summary of the safety profile</w:t>
      </w:r>
    </w:p>
    <w:p w14:paraId="016DD0F9" w14:textId="77777777" w:rsidR="00E41882" w:rsidRPr="00E41882" w:rsidRDefault="00E41882" w:rsidP="007D5C29">
      <w:pPr>
        <w:pStyle w:val="Brdtekst"/>
        <w:ind w:left="851" w:right="447"/>
        <w:rPr>
          <w:sz w:val="24"/>
          <w:szCs w:val="24"/>
        </w:rPr>
      </w:pPr>
      <w:r w:rsidRPr="00E41882">
        <w:rPr>
          <w:sz w:val="24"/>
          <w:szCs w:val="24"/>
        </w:rPr>
        <w:t>The safety of lurasidone has been evaluated at doses of 18.5 -148 mg in clinical studies in patients with schizophrenia treated for up to 52 weeks and in the post-marketing setting. The most common adverse drug reactions (ADRs) (≥ 10%) were akathisia, nausea and insomnia.</w:t>
      </w:r>
    </w:p>
    <w:p w14:paraId="6CF684B8" w14:textId="77777777" w:rsidR="00E41882" w:rsidRPr="00E41882" w:rsidRDefault="00E41882" w:rsidP="007D5C29">
      <w:pPr>
        <w:pStyle w:val="Brdtekst"/>
        <w:ind w:left="851"/>
        <w:rPr>
          <w:sz w:val="24"/>
          <w:szCs w:val="24"/>
        </w:rPr>
      </w:pPr>
    </w:p>
    <w:p w14:paraId="484E83C0" w14:textId="77777777" w:rsidR="00E41882" w:rsidRPr="00E41882" w:rsidRDefault="00E41882" w:rsidP="007D5C29">
      <w:pPr>
        <w:pStyle w:val="Brdtekst"/>
        <w:ind w:left="851"/>
        <w:rPr>
          <w:sz w:val="24"/>
          <w:szCs w:val="24"/>
        </w:rPr>
      </w:pPr>
      <w:r w:rsidRPr="00E41882">
        <w:rPr>
          <w:sz w:val="24"/>
          <w:szCs w:val="24"/>
          <w:u w:val="single"/>
        </w:rPr>
        <w:t>Tabulated summary of adverse reactions</w:t>
      </w:r>
    </w:p>
    <w:p w14:paraId="07213A57" w14:textId="77777777" w:rsidR="00E41882" w:rsidRPr="00E41882" w:rsidRDefault="00E41882" w:rsidP="007D5C29">
      <w:pPr>
        <w:pStyle w:val="Brdtekst"/>
        <w:ind w:left="851" w:right="618"/>
        <w:rPr>
          <w:sz w:val="24"/>
          <w:szCs w:val="24"/>
        </w:rPr>
      </w:pPr>
      <w:r w:rsidRPr="00E41882">
        <w:rPr>
          <w:sz w:val="24"/>
          <w:szCs w:val="24"/>
        </w:rPr>
        <w:t xml:space="preserve">Adverse drug reactions (ADRs) based upon pooled data are shown by system, organ class and by preferred term are listed in Table 1 below. The incidence of ADRs reported in clinical trials is tabulated by frequency category. The following terms </w:t>
      </w:r>
      <w:r w:rsidRPr="00E41882">
        <w:rPr>
          <w:sz w:val="24"/>
          <w:szCs w:val="24"/>
        </w:rPr>
        <w:lastRenderedPageBreak/>
        <w:t>and frequencies are applied: very common (≥ 1/10), common (≥ 1/100 to &lt; 1/10), uncommon (≥ 1/1,000 to &lt; 1/100), rare (≥ 1/10,000 to</w:t>
      </w:r>
    </w:p>
    <w:p w14:paraId="20C7CA10" w14:textId="77777777" w:rsidR="00E41882" w:rsidRPr="00E41882" w:rsidRDefault="00E41882" w:rsidP="007D5C29">
      <w:pPr>
        <w:pStyle w:val="Brdtekst"/>
        <w:ind w:left="851"/>
        <w:rPr>
          <w:sz w:val="24"/>
          <w:szCs w:val="24"/>
        </w:rPr>
      </w:pPr>
      <w:r w:rsidRPr="00E41882">
        <w:rPr>
          <w:sz w:val="24"/>
          <w:szCs w:val="24"/>
        </w:rPr>
        <w:t>&lt; 1/1,000), very rare (&lt;1 /10,000) and not known (cannot be estimated from the available data).</w:t>
      </w:r>
    </w:p>
    <w:p w14:paraId="2B9F92F8" w14:textId="77777777" w:rsidR="00E41882" w:rsidRDefault="00E41882" w:rsidP="007D5C29">
      <w:pPr>
        <w:pStyle w:val="Brdtekst"/>
        <w:rPr>
          <w:sz w:val="21"/>
        </w:rPr>
      </w:pPr>
    </w:p>
    <w:p w14:paraId="23D5EEB1" w14:textId="77777777" w:rsidR="00E41882" w:rsidRDefault="00E41882" w:rsidP="007D5C29">
      <w:pPr>
        <w:pStyle w:val="Overskrift1"/>
        <w:ind w:left="118"/>
      </w:pPr>
      <w:r>
        <w:t>Table 1:  Adverse drug reactions (ADRs) Based Upon Pooled Data for Adults</w:t>
      </w:r>
    </w:p>
    <w:p w14:paraId="6132B16C" w14:textId="77777777" w:rsidR="00E41882" w:rsidRDefault="00E41882" w:rsidP="007D5C29">
      <w:pPr>
        <w:pStyle w:val="Brdtekst"/>
        <w:rPr>
          <w:b/>
          <w:sz w:val="21"/>
        </w:rPr>
      </w:pPr>
    </w:p>
    <w:tbl>
      <w:tblPr>
        <w:tblW w:w="952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0"/>
        <w:gridCol w:w="1142"/>
        <w:gridCol w:w="1672"/>
        <w:gridCol w:w="1627"/>
        <w:gridCol w:w="1603"/>
        <w:gridCol w:w="1761"/>
      </w:tblGrid>
      <w:tr w:rsidR="00E41882" w:rsidRPr="00E41882" w14:paraId="33D39547" w14:textId="77777777" w:rsidTr="002305B4">
        <w:trPr>
          <w:trHeight w:hRule="exact" w:val="770"/>
        </w:trPr>
        <w:tc>
          <w:tcPr>
            <w:tcW w:w="1720" w:type="dxa"/>
            <w:tcBorders>
              <w:top w:val="single" w:sz="4" w:space="0" w:color="000000"/>
              <w:left w:val="single" w:sz="4" w:space="0" w:color="000000"/>
              <w:bottom w:val="single" w:sz="4" w:space="0" w:color="000000"/>
              <w:right w:val="single" w:sz="4" w:space="0" w:color="000000"/>
            </w:tcBorders>
            <w:hideMark/>
          </w:tcPr>
          <w:p w14:paraId="70CD741E" w14:textId="77777777" w:rsidR="00E41882" w:rsidRPr="00E41882" w:rsidRDefault="00E41882" w:rsidP="007D5C29">
            <w:pPr>
              <w:pStyle w:val="TableParagraph"/>
              <w:ind w:right="98"/>
              <w:rPr>
                <w:b/>
                <w:sz w:val="20"/>
                <w:szCs w:val="20"/>
              </w:rPr>
            </w:pPr>
            <w:r w:rsidRPr="00E41882">
              <w:rPr>
                <w:b/>
                <w:sz w:val="20"/>
                <w:szCs w:val="20"/>
              </w:rPr>
              <w:t>System Organ Class</w:t>
            </w:r>
          </w:p>
        </w:tc>
        <w:tc>
          <w:tcPr>
            <w:tcW w:w="1142" w:type="dxa"/>
            <w:tcBorders>
              <w:top w:val="single" w:sz="4" w:space="0" w:color="000000"/>
              <w:left w:val="single" w:sz="4" w:space="0" w:color="000000"/>
              <w:bottom w:val="single" w:sz="4" w:space="0" w:color="000000"/>
              <w:right w:val="single" w:sz="4" w:space="0" w:color="000000"/>
            </w:tcBorders>
            <w:hideMark/>
          </w:tcPr>
          <w:p w14:paraId="14EC94B8" w14:textId="554CD2A9" w:rsidR="00E41882" w:rsidRPr="00E41882" w:rsidRDefault="00E41882" w:rsidP="007D5C29">
            <w:pPr>
              <w:pStyle w:val="TableParagraph"/>
              <w:ind w:right="26"/>
              <w:rPr>
                <w:b/>
                <w:sz w:val="20"/>
                <w:szCs w:val="20"/>
              </w:rPr>
            </w:pPr>
            <w:r w:rsidRPr="00E41882">
              <w:rPr>
                <w:b/>
                <w:sz w:val="20"/>
                <w:szCs w:val="20"/>
              </w:rPr>
              <w:t>Very Comm</w:t>
            </w:r>
            <w:r>
              <w:rPr>
                <w:b/>
                <w:sz w:val="20"/>
                <w:szCs w:val="20"/>
              </w:rPr>
              <w:t>o</w:t>
            </w:r>
            <w:r w:rsidRPr="00E41882">
              <w:rPr>
                <w:b/>
                <w:sz w:val="20"/>
                <w:szCs w:val="20"/>
              </w:rPr>
              <w:t>n</w:t>
            </w:r>
          </w:p>
        </w:tc>
        <w:tc>
          <w:tcPr>
            <w:tcW w:w="1672" w:type="dxa"/>
            <w:tcBorders>
              <w:top w:val="single" w:sz="4" w:space="0" w:color="000000"/>
              <w:left w:val="single" w:sz="4" w:space="0" w:color="000000"/>
              <w:bottom w:val="single" w:sz="4" w:space="0" w:color="000000"/>
              <w:right w:val="single" w:sz="4" w:space="0" w:color="000000"/>
            </w:tcBorders>
            <w:hideMark/>
          </w:tcPr>
          <w:p w14:paraId="53120706" w14:textId="77777777" w:rsidR="00E41882" w:rsidRPr="00E41882" w:rsidRDefault="00E41882" w:rsidP="007D5C29">
            <w:pPr>
              <w:pStyle w:val="TableParagraph"/>
              <w:rPr>
                <w:b/>
                <w:sz w:val="20"/>
                <w:szCs w:val="20"/>
              </w:rPr>
            </w:pPr>
            <w:r w:rsidRPr="00E41882">
              <w:rPr>
                <w:b/>
                <w:sz w:val="20"/>
                <w:szCs w:val="20"/>
              </w:rPr>
              <w:t>Common</w:t>
            </w:r>
          </w:p>
        </w:tc>
        <w:tc>
          <w:tcPr>
            <w:tcW w:w="1627" w:type="dxa"/>
            <w:tcBorders>
              <w:top w:val="single" w:sz="4" w:space="0" w:color="000000"/>
              <w:left w:val="single" w:sz="4" w:space="0" w:color="000000"/>
              <w:bottom w:val="single" w:sz="4" w:space="0" w:color="000000"/>
              <w:right w:val="single" w:sz="4" w:space="0" w:color="000000"/>
            </w:tcBorders>
            <w:hideMark/>
          </w:tcPr>
          <w:p w14:paraId="75A44326" w14:textId="77777777" w:rsidR="00E41882" w:rsidRPr="00E41882" w:rsidRDefault="00E41882" w:rsidP="007D5C29">
            <w:pPr>
              <w:pStyle w:val="TableParagraph"/>
              <w:rPr>
                <w:b/>
                <w:sz w:val="20"/>
                <w:szCs w:val="20"/>
              </w:rPr>
            </w:pPr>
            <w:r w:rsidRPr="00E41882">
              <w:rPr>
                <w:b/>
                <w:sz w:val="20"/>
                <w:szCs w:val="20"/>
              </w:rPr>
              <w:t>Uncommon</w:t>
            </w:r>
          </w:p>
        </w:tc>
        <w:tc>
          <w:tcPr>
            <w:tcW w:w="1603" w:type="dxa"/>
            <w:tcBorders>
              <w:top w:val="single" w:sz="4" w:space="0" w:color="000000"/>
              <w:left w:val="single" w:sz="4" w:space="0" w:color="000000"/>
              <w:bottom w:val="single" w:sz="4" w:space="0" w:color="000000"/>
              <w:right w:val="single" w:sz="4" w:space="0" w:color="000000"/>
            </w:tcBorders>
            <w:hideMark/>
          </w:tcPr>
          <w:p w14:paraId="39B0FE11" w14:textId="77777777" w:rsidR="00E41882" w:rsidRPr="00E41882" w:rsidRDefault="00E41882" w:rsidP="007D5C29">
            <w:pPr>
              <w:pStyle w:val="TableParagraph"/>
              <w:ind w:left="100"/>
              <w:rPr>
                <w:b/>
                <w:sz w:val="20"/>
                <w:szCs w:val="20"/>
              </w:rPr>
            </w:pPr>
            <w:r w:rsidRPr="00E41882">
              <w:rPr>
                <w:b/>
                <w:sz w:val="20"/>
                <w:szCs w:val="20"/>
              </w:rPr>
              <w:t>Rare</w:t>
            </w:r>
          </w:p>
        </w:tc>
        <w:tc>
          <w:tcPr>
            <w:tcW w:w="1761" w:type="dxa"/>
            <w:tcBorders>
              <w:top w:val="single" w:sz="4" w:space="0" w:color="000000"/>
              <w:left w:val="single" w:sz="4" w:space="0" w:color="000000"/>
              <w:bottom w:val="single" w:sz="4" w:space="0" w:color="000000"/>
              <w:right w:val="single" w:sz="4" w:space="0" w:color="000000"/>
            </w:tcBorders>
            <w:hideMark/>
          </w:tcPr>
          <w:p w14:paraId="560FB65B" w14:textId="77777777" w:rsidR="00E41882" w:rsidRPr="00E41882" w:rsidRDefault="00E41882" w:rsidP="007D5C29">
            <w:pPr>
              <w:pStyle w:val="TableParagraph"/>
              <w:ind w:right="155"/>
              <w:rPr>
                <w:b/>
                <w:sz w:val="20"/>
                <w:szCs w:val="20"/>
              </w:rPr>
            </w:pPr>
            <w:r w:rsidRPr="00E41882">
              <w:rPr>
                <w:b/>
                <w:sz w:val="20"/>
                <w:szCs w:val="20"/>
              </w:rPr>
              <w:t>Frequency not known</w:t>
            </w:r>
          </w:p>
        </w:tc>
      </w:tr>
      <w:tr w:rsidR="00E41882" w:rsidRPr="00E41882" w14:paraId="51B9C839" w14:textId="77777777" w:rsidTr="002305B4">
        <w:trPr>
          <w:trHeight w:hRule="exact" w:val="586"/>
        </w:trPr>
        <w:tc>
          <w:tcPr>
            <w:tcW w:w="1720" w:type="dxa"/>
            <w:tcBorders>
              <w:top w:val="single" w:sz="4" w:space="0" w:color="000000"/>
              <w:left w:val="single" w:sz="4" w:space="0" w:color="000000"/>
              <w:bottom w:val="single" w:sz="4" w:space="0" w:color="000000"/>
              <w:right w:val="single" w:sz="4" w:space="0" w:color="000000"/>
            </w:tcBorders>
            <w:hideMark/>
          </w:tcPr>
          <w:p w14:paraId="5712A4ED" w14:textId="77777777" w:rsidR="00E41882" w:rsidRPr="00E41882" w:rsidRDefault="00E41882" w:rsidP="007D5C29">
            <w:pPr>
              <w:pStyle w:val="TableParagraph"/>
              <w:ind w:right="184"/>
              <w:rPr>
                <w:sz w:val="20"/>
                <w:szCs w:val="20"/>
              </w:rPr>
            </w:pPr>
            <w:r w:rsidRPr="00E41882">
              <w:rPr>
                <w:sz w:val="20"/>
                <w:szCs w:val="20"/>
              </w:rPr>
              <w:t>Infections and infestations</w:t>
            </w:r>
          </w:p>
        </w:tc>
        <w:tc>
          <w:tcPr>
            <w:tcW w:w="1142" w:type="dxa"/>
            <w:tcBorders>
              <w:top w:val="single" w:sz="4" w:space="0" w:color="000000"/>
              <w:left w:val="single" w:sz="4" w:space="0" w:color="000000"/>
              <w:bottom w:val="single" w:sz="4" w:space="0" w:color="000000"/>
              <w:right w:val="single" w:sz="4" w:space="0" w:color="000000"/>
            </w:tcBorders>
          </w:tcPr>
          <w:p w14:paraId="014DF3AA"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tcPr>
          <w:p w14:paraId="268972E3" w14:textId="77777777" w:rsidR="00E41882" w:rsidRPr="00E41882" w:rsidRDefault="00E41882" w:rsidP="007D5C29">
            <w:pPr>
              <w:rPr>
                <w:sz w:val="20"/>
              </w:rPr>
            </w:pPr>
          </w:p>
        </w:tc>
        <w:tc>
          <w:tcPr>
            <w:tcW w:w="1627" w:type="dxa"/>
            <w:tcBorders>
              <w:top w:val="single" w:sz="4" w:space="0" w:color="000000"/>
              <w:left w:val="single" w:sz="4" w:space="0" w:color="000000"/>
              <w:bottom w:val="single" w:sz="4" w:space="0" w:color="000000"/>
              <w:right w:val="single" w:sz="4" w:space="0" w:color="000000"/>
            </w:tcBorders>
            <w:hideMark/>
          </w:tcPr>
          <w:p w14:paraId="020935CD" w14:textId="10028E70" w:rsidR="00E41882" w:rsidRPr="00E41882" w:rsidRDefault="00E41882" w:rsidP="007D5C29">
            <w:pPr>
              <w:pStyle w:val="TableParagraph"/>
              <w:ind w:right="138"/>
              <w:rPr>
                <w:sz w:val="20"/>
                <w:szCs w:val="20"/>
              </w:rPr>
            </w:pPr>
            <w:r w:rsidRPr="00E41882">
              <w:rPr>
                <w:sz w:val="20"/>
                <w:szCs w:val="20"/>
              </w:rPr>
              <w:t>Nasopharyngitis</w:t>
            </w:r>
          </w:p>
        </w:tc>
        <w:tc>
          <w:tcPr>
            <w:tcW w:w="1603" w:type="dxa"/>
            <w:tcBorders>
              <w:top w:val="single" w:sz="4" w:space="0" w:color="000000"/>
              <w:left w:val="single" w:sz="4" w:space="0" w:color="000000"/>
              <w:bottom w:val="single" w:sz="4" w:space="0" w:color="000000"/>
              <w:right w:val="single" w:sz="4" w:space="0" w:color="000000"/>
            </w:tcBorders>
          </w:tcPr>
          <w:p w14:paraId="3661B574"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5D7AF946" w14:textId="77777777" w:rsidR="00E41882" w:rsidRPr="00E41882" w:rsidRDefault="00E41882" w:rsidP="007D5C29">
            <w:pPr>
              <w:rPr>
                <w:sz w:val="20"/>
              </w:rPr>
            </w:pPr>
          </w:p>
        </w:tc>
      </w:tr>
      <w:tr w:rsidR="00E41882" w:rsidRPr="00E41882" w14:paraId="56EF4AF0" w14:textId="77777777" w:rsidTr="002305B4">
        <w:trPr>
          <w:trHeight w:hRule="exact" w:val="1020"/>
        </w:trPr>
        <w:tc>
          <w:tcPr>
            <w:tcW w:w="1720" w:type="dxa"/>
            <w:tcBorders>
              <w:top w:val="single" w:sz="4" w:space="0" w:color="000000"/>
              <w:left w:val="single" w:sz="4" w:space="0" w:color="000000"/>
              <w:bottom w:val="single" w:sz="4" w:space="0" w:color="000000"/>
              <w:right w:val="single" w:sz="4" w:space="0" w:color="000000"/>
            </w:tcBorders>
            <w:hideMark/>
          </w:tcPr>
          <w:p w14:paraId="5F430BB8" w14:textId="77777777" w:rsidR="00E41882" w:rsidRPr="00E41882" w:rsidRDefault="00E41882" w:rsidP="007D5C29">
            <w:pPr>
              <w:pStyle w:val="TableParagraph"/>
              <w:ind w:right="526"/>
              <w:rPr>
                <w:sz w:val="20"/>
                <w:szCs w:val="20"/>
              </w:rPr>
            </w:pPr>
            <w:r w:rsidRPr="00E41882">
              <w:rPr>
                <w:sz w:val="20"/>
                <w:szCs w:val="20"/>
              </w:rPr>
              <w:t>Blood and lymphatic system disorders</w:t>
            </w:r>
          </w:p>
        </w:tc>
        <w:tc>
          <w:tcPr>
            <w:tcW w:w="1142" w:type="dxa"/>
            <w:tcBorders>
              <w:top w:val="single" w:sz="4" w:space="0" w:color="000000"/>
              <w:left w:val="single" w:sz="4" w:space="0" w:color="000000"/>
              <w:bottom w:val="single" w:sz="4" w:space="0" w:color="000000"/>
              <w:right w:val="single" w:sz="4" w:space="0" w:color="000000"/>
            </w:tcBorders>
          </w:tcPr>
          <w:p w14:paraId="2A2589F5"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tcPr>
          <w:p w14:paraId="7D2A35FF" w14:textId="77777777" w:rsidR="00E41882" w:rsidRPr="00E41882" w:rsidRDefault="00E41882" w:rsidP="007D5C29">
            <w:pPr>
              <w:rPr>
                <w:sz w:val="20"/>
                <w:lang w:val="en-US"/>
              </w:rPr>
            </w:pPr>
          </w:p>
        </w:tc>
        <w:tc>
          <w:tcPr>
            <w:tcW w:w="1627" w:type="dxa"/>
            <w:tcBorders>
              <w:top w:val="single" w:sz="4" w:space="0" w:color="000000"/>
              <w:left w:val="single" w:sz="4" w:space="0" w:color="000000"/>
              <w:bottom w:val="single" w:sz="4" w:space="0" w:color="000000"/>
              <w:right w:val="single" w:sz="4" w:space="0" w:color="000000"/>
            </w:tcBorders>
            <w:hideMark/>
          </w:tcPr>
          <w:p w14:paraId="5766681A" w14:textId="77777777" w:rsidR="00E41882" w:rsidRPr="00E41882" w:rsidRDefault="00E41882" w:rsidP="007D5C29">
            <w:pPr>
              <w:pStyle w:val="TableParagraph"/>
              <w:rPr>
                <w:sz w:val="20"/>
                <w:szCs w:val="20"/>
              </w:rPr>
            </w:pPr>
            <w:r w:rsidRPr="00E41882">
              <w:rPr>
                <w:sz w:val="20"/>
                <w:szCs w:val="20"/>
              </w:rPr>
              <w:t>Anaemia</w:t>
            </w:r>
          </w:p>
        </w:tc>
        <w:tc>
          <w:tcPr>
            <w:tcW w:w="1603" w:type="dxa"/>
            <w:tcBorders>
              <w:top w:val="single" w:sz="4" w:space="0" w:color="000000"/>
              <w:left w:val="single" w:sz="4" w:space="0" w:color="000000"/>
              <w:bottom w:val="single" w:sz="4" w:space="0" w:color="000000"/>
              <w:right w:val="single" w:sz="4" w:space="0" w:color="000000"/>
            </w:tcBorders>
            <w:hideMark/>
          </w:tcPr>
          <w:p w14:paraId="0EB4A004" w14:textId="77777777" w:rsidR="00E41882" w:rsidRPr="00E41882" w:rsidRDefault="00E41882" w:rsidP="007D5C29">
            <w:pPr>
              <w:pStyle w:val="TableParagraph"/>
              <w:ind w:left="100" w:right="361"/>
              <w:rPr>
                <w:sz w:val="20"/>
                <w:szCs w:val="20"/>
              </w:rPr>
            </w:pPr>
            <w:r w:rsidRPr="00E41882">
              <w:rPr>
                <w:sz w:val="20"/>
                <w:szCs w:val="20"/>
              </w:rPr>
              <w:t>Eosinophilia Leukopenia</w:t>
            </w:r>
          </w:p>
        </w:tc>
        <w:tc>
          <w:tcPr>
            <w:tcW w:w="1761" w:type="dxa"/>
            <w:tcBorders>
              <w:top w:val="single" w:sz="4" w:space="0" w:color="000000"/>
              <w:left w:val="single" w:sz="4" w:space="0" w:color="000000"/>
              <w:bottom w:val="single" w:sz="4" w:space="0" w:color="000000"/>
              <w:right w:val="single" w:sz="4" w:space="0" w:color="000000"/>
            </w:tcBorders>
            <w:hideMark/>
          </w:tcPr>
          <w:p w14:paraId="2CAF2A1C" w14:textId="69E3C96D" w:rsidR="00E41882" w:rsidRPr="00E41882" w:rsidRDefault="00E41882" w:rsidP="007D5C29">
            <w:pPr>
              <w:pStyle w:val="TableParagraph"/>
              <w:rPr>
                <w:sz w:val="20"/>
                <w:szCs w:val="20"/>
              </w:rPr>
            </w:pPr>
            <w:r w:rsidRPr="00E41882">
              <w:rPr>
                <w:sz w:val="20"/>
                <w:szCs w:val="20"/>
              </w:rPr>
              <w:t>Neutropenia****</w:t>
            </w:r>
          </w:p>
        </w:tc>
      </w:tr>
      <w:tr w:rsidR="00E41882" w:rsidRPr="00E41882" w14:paraId="4BA1CECE" w14:textId="77777777" w:rsidTr="002305B4">
        <w:trPr>
          <w:trHeight w:hRule="exact" w:val="1027"/>
        </w:trPr>
        <w:tc>
          <w:tcPr>
            <w:tcW w:w="1720" w:type="dxa"/>
            <w:tcBorders>
              <w:top w:val="single" w:sz="4" w:space="0" w:color="000000"/>
              <w:left w:val="single" w:sz="4" w:space="0" w:color="000000"/>
              <w:bottom w:val="single" w:sz="4" w:space="0" w:color="000000"/>
              <w:right w:val="single" w:sz="4" w:space="0" w:color="000000"/>
            </w:tcBorders>
            <w:hideMark/>
          </w:tcPr>
          <w:p w14:paraId="351AC011" w14:textId="77777777" w:rsidR="00E41882" w:rsidRPr="00E41882" w:rsidRDefault="00E41882" w:rsidP="007D5C29">
            <w:pPr>
              <w:pStyle w:val="TableParagraph"/>
              <w:ind w:right="630"/>
              <w:rPr>
                <w:sz w:val="20"/>
                <w:szCs w:val="20"/>
              </w:rPr>
            </w:pPr>
            <w:r w:rsidRPr="00E41882">
              <w:rPr>
                <w:sz w:val="20"/>
                <w:szCs w:val="20"/>
              </w:rPr>
              <w:t>Immune system disorders</w:t>
            </w:r>
          </w:p>
        </w:tc>
        <w:tc>
          <w:tcPr>
            <w:tcW w:w="1142" w:type="dxa"/>
            <w:tcBorders>
              <w:top w:val="single" w:sz="4" w:space="0" w:color="000000"/>
              <w:left w:val="single" w:sz="4" w:space="0" w:color="000000"/>
              <w:bottom w:val="single" w:sz="4" w:space="0" w:color="000000"/>
              <w:right w:val="single" w:sz="4" w:space="0" w:color="000000"/>
            </w:tcBorders>
          </w:tcPr>
          <w:p w14:paraId="5E470EB6"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670C4158" w14:textId="3C03CD5C" w:rsidR="00E41882" w:rsidRPr="00E41882" w:rsidRDefault="00E41882" w:rsidP="007D5C29">
            <w:pPr>
              <w:pStyle w:val="TableParagraph"/>
              <w:ind w:right="104"/>
              <w:rPr>
                <w:sz w:val="20"/>
                <w:szCs w:val="20"/>
              </w:rPr>
            </w:pPr>
            <w:r w:rsidRPr="00E41882">
              <w:rPr>
                <w:sz w:val="20"/>
                <w:szCs w:val="20"/>
              </w:rPr>
              <w:t>Hypersensitivity</w:t>
            </w:r>
          </w:p>
        </w:tc>
        <w:tc>
          <w:tcPr>
            <w:tcW w:w="1627" w:type="dxa"/>
            <w:tcBorders>
              <w:top w:val="single" w:sz="4" w:space="0" w:color="000000"/>
              <w:left w:val="single" w:sz="4" w:space="0" w:color="000000"/>
              <w:bottom w:val="single" w:sz="4" w:space="0" w:color="000000"/>
              <w:right w:val="single" w:sz="4" w:space="0" w:color="000000"/>
            </w:tcBorders>
          </w:tcPr>
          <w:p w14:paraId="5C33B604" w14:textId="77777777" w:rsidR="00E41882" w:rsidRPr="00E41882" w:rsidRDefault="00E41882" w:rsidP="007D5C29">
            <w:pPr>
              <w:rPr>
                <w:sz w:val="20"/>
              </w:rPr>
            </w:pPr>
          </w:p>
        </w:tc>
        <w:tc>
          <w:tcPr>
            <w:tcW w:w="1603" w:type="dxa"/>
            <w:tcBorders>
              <w:top w:val="single" w:sz="4" w:space="0" w:color="000000"/>
              <w:left w:val="single" w:sz="4" w:space="0" w:color="000000"/>
              <w:bottom w:val="single" w:sz="4" w:space="0" w:color="000000"/>
              <w:right w:val="single" w:sz="4" w:space="0" w:color="000000"/>
            </w:tcBorders>
          </w:tcPr>
          <w:p w14:paraId="46DAAA9E"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4DD05035" w14:textId="77777777" w:rsidR="00E41882" w:rsidRPr="00E41882" w:rsidRDefault="00E41882" w:rsidP="007D5C29">
            <w:pPr>
              <w:rPr>
                <w:sz w:val="20"/>
              </w:rPr>
            </w:pPr>
          </w:p>
        </w:tc>
      </w:tr>
      <w:tr w:rsidR="00E41882" w:rsidRPr="00E41882" w14:paraId="36E0F021" w14:textId="77777777" w:rsidTr="002305B4">
        <w:trPr>
          <w:trHeight w:hRule="exact" w:val="1526"/>
        </w:trPr>
        <w:tc>
          <w:tcPr>
            <w:tcW w:w="1720" w:type="dxa"/>
            <w:tcBorders>
              <w:top w:val="single" w:sz="4" w:space="0" w:color="000000"/>
              <w:left w:val="single" w:sz="4" w:space="0" w:color="000000"/>
              <w:bottom w:val="single" w:sz="4" w:space="0" w:color="000000"/>
              <w:right w:val="single" w:sz="4" w:space="0" w:color="000000"/>
            </w:tcBorders>
            <w:hideMark/>
          </w:tcPr>
          <w:p w14:paraId="19878E9A" w14:textId="77777777" w:rsidR="00E41882" w:rsidRPr="00E41882" w:rsidRDefault="00E41882" w:rsidP="007D5C29">
            <w:pPr>
              <w:pStyle w:val="TableParagraph"/>
              <w:ind w:right="306"/>
              <w:rPr>
                <w:sz w:val="20"/>
                <w:szCs w:val="20"/>
              </w:rPr>
            </w:pPr>
            <w:r w:rsidRPr="00E41882">
              <w:rPr>
                <w:sz w:val="20"/>
                <w:szCs w:val="20"/>
              </w:rPr>
              <w:t>Metabolism and nutrition disorders</w:t>
            </w:r>
          </w:p>
        </w:tc>
        <w:tc>
          <w:tcPr>
            <w:tcW w:w="1142" w:type="dxa"/>
            <w:tcBorders>
              <w:top w:val="single" w:sz="4" w:space="0" w:color="000000"/>
              <w:left w:val="single" w:sz="4" w:space="0" w:color="000000"/>
              <w:bottom w:val="single" w:sz="4" w:space="0" w:color="000000"/>
              <w:right w:val="single" w:sz="4" w:space="0" w:color="000000"/>
            </w:tcBorders>
          </w:tcPr>
          <w:p w14:paraId="007674A7"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5B65E1D0" w14:textId="77777777" w:rsidR="00E41882" w:rsidRPr="00E41882" w:rsidRDefault="00E41882" w:rsidP="007D5C29">
            <w:pPr>
              <w:pStyle w:val="TableParagraph"/>
              <w:ind w:right="533"/>
              <w:rPr>
                <w:sz w:val="20"/>
                <w:szCs w:val="20"/>
              </w:rPr>
            </w:pPr>
            <w:r w:rsidRPr="00E41882">
              <w:rPr>
                <w:sz w:val="20"/>
                <w:szCs w:val="20"/>
              </w:rPr>
              <w:t>Weight increased Decreased appetite</w:t>
            </w:r>
          </w:p>
        </w:tc>
        <w:tc>
          <w:tcPr>
            <w:tcW w:w="1627" w:type="dxa"/>
            <w:tcBorders>
              <w:top w:val="single" w:sz="4" w:space="0" w:color="000000"/>
              <w:left w:val="single" w:sz="4" w:space="0" w:color="000000"/>
              <w:bottom w:val="single" w:sz="4" w:space="0" w:color="000000"/>
              <w:right w:val="single" w:sz="4" w:space="0" w:color="000000"/>
            </w:tcBorders>
            <w:hideMark/>
          </w:tcPr>
          <w:p w14:paraId="6E94DCC6" w14:textId="77777777" w:rsidR="00E41882" w:rsidRPr="00E41882" w:rsidRDefault="00E41882" w:rsidP="007D5C29">
            <w:pPr>
              <w:pStyle w:val="TableParagraph"/>
              <w:ind w:right="138"/>
              <w:rPr>
                <w:sz w:val="20"/>
                <w:szCs w:val="20"/>
              </w:rPr>
            </w:pPr>
            <w:r w:rsidRPr="00E41882">
              <w:rPr>
                <w:sz w:val="20"/>
                <w:szCs w:val="20"/>
              </w:rPr>
              <w:t>Blood glucose increased Hyponatraemia</w:t>
            </w:r>
          </w:p>
        </w:tc>
        <w:tc>
          <w:tcPr>
            <w:tcW w:w="1603" w:type="dxa"/>
            <w:tcBorders>
              <w:top w:val="single" w:sz="4" w:space="0" w:color="000000"/>
              <w:left w:val="single" w:sz="4" w:space="0" w:color="000000"/>
              <w:bottom w:val="single" w:sz="4" w:space="0" w:color="000000"/>
              <w:right w:val="single" w:sz="4" w:space="0" w:color="000000"/>
            </w:tcBorders>
          </w:tcPr>
          <w:p w14:paraId="5FE69908"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2C89A08C" w14:textId="77777777" w:rsidR="00E41882" w:rsidRPr="00E41882" w:rsidRDefault="00E41882" w:rsidP="007D5C29">
            <w:pPr>
              <w:rPr>
                <w:sz w:val="20"/>
              </w:rPr>
            </w:pPr>
          </w:p>
        </w:tc>
      </w:tr>
      <w:tr w:rsidR="00E41882" w:rsidRPr="00E41882" w14:paraId="44381C90" w14:textId="77777777" w:rsidTr="002305B4">
        <w:trPr>
          <w:trHeight w:hRule="exact" w:val="1022"/>
        </w:trPr>
        <w:tc>
          <w:tcPr>
            <w:tcW w:w="1720" w:type="dxa"/>
            <w:tcBorders>
              <w:top w:val="single" w:sz="4" w:space="0" w:color="000000"/>
              <w:left w:val="single" w:sz="4" w:space="0" w:color="000000"/>
              <w:bottom w:val="single" w:sz="4" w:space="0" w:color="000000"/>
              <w:right w:val="single" w:sz="4" w:space="0" w:color="000000"/>
            </w:tcBorders>
            <w:hideMark/>
          </w:tcPr>
          <w:p w14:paraId="6E68F096" w14:textId="77777777" w:rsidR="00E41882" w:rsidRPr="00E41882" w:rsidRDefault="00E41882" w:rsidP="007D5C29">
            <w:pPr>
              <w:pStyle w:val="TableParagraph"/>
              <w:ind w:right="459"/>
              <w:rPr>
                <w:sz w:val="20"/>
                <w:szCs w:val="20"/>
              </w:rPr>
            </w:pPr>
            <w:r w:rsidRPr="00E41882">
              <w:rPr>
                <w:sz w:val="20"/>
                <w:szCs w:val="20"/>
              </w:rPr>
              <w:t>Psychiatric disorders</w:t>
            </w:r>
          </w:p>
        </w:tc>
        <w:tc>
          <w:tcPr>
            <w:tcW w:w="1142" w:type="dxa"/>
            <w:tcBorders>
              <w:top w:val="single" w:sz="4" w:space="0" w:color="000000"/>
              <w:left w:val="single" w:sz="4" w:space="0" w:color="000000"/>
              <w:bottom w:val="single" w:sz="4" w:space="0" w:color="000000"/>
              <w:right w:val="single" w:sz="4" w:space="0" w:color="000000"/>
            </w:tcBorders>
            <w:hideMark/>
          </w:tcPr>
          <w:p w14:paraId="4AE29916" w14:textId="75B2B79D" w:rsidR="00E41882" w:rsidRPr="00E41882" w:rsidRDefault="00E41882" w:rsidP="007D5C29">
            <w:pPr>
              <w:pStyle w:val="TableParagraph"/>
              <w:ind w:right="175"/>
              <w:rPr>
                <w:sz w:val="20"/>
                <w:szCs w:val="20"/>
              </w:rPr>
            </w:pPr>
            <w:r w:rsidRPr="00E41882">
              <w:rPr>
                <w:sz w:val="20"/>
                <w:szCs w:val="20"/>
              </w:rPr>
              <w:t>Insomnia</w:t>
            </w:r>
          </w:p>
        </w:tc>
        <w:tc>
          <w:tcPr>
            <w:tcW w:w="1672" w:type="dxa"/>
            <w:tcBorders>
              <w:top w:val="single" w:sz="4" w:space="0" w:color="000000"/>
              <w:left w:val="single" w:sz="4" w:space="0" w:color="000000"/>
              <w:bottom w:val="single" w:sz="4" w:space="0" w:color="000000"/>
              <w:right w:val="single" w:sz="4" w:space="0" w:color="000000"/>
            </w:tcBorders>
            <w:hideMark/>
          </w:tcPr>
          <w:p w14:paraId="7217BEBA" w14:textId="77777777" w:rsidR="00E41882" w:rsidRPr="00E41882" w:rsidRDefault="00E41882" w:rsidP="007D5C29">
            <w:pPr>
              <w:pStyle w:val="TableParagraph"/>
              <w:ind w:right="349"/>
              <w:rPr>
                <w:sz w:val="20"/>
                <w:szCs w:val="20"/>
              </w:rPr>
            </w:pPr>
            <w:r w:rsidRPr="00E41882">
              <w:rPr>
                <w:sz w:val="20"/>
                <w:szCs w:val="20"/>
              </w:rPr>
              <w:t>Agitation Anxiety Restlessness</w:t>
            </w:r>
          </w:p>
        </w:tc>
        <w:tc>
          <w:tcPr>
            <w:tcW w:w="1627" w:type="dxa"/>
            <w:tcBorders>
              <w:top w:val="single" w:sz="4" w:space="0" w:color="000000"/>
              <w:left w:val="single" w:sz="4" w:space="0" w:color="000000"/>
              <w:bottom w:val="single" w:sz="4" w:space="0" w:color="000000"/>
              <w:right w:val="single" w:sz="4" w:space="0" w:color="000000"/>
            </w:tcBorders>
            <w:hideMark/>
          </w:tcPr>
          <w:p w14:paraId="13FCC854" w14:textId="77777777" w:rsidR="00E41882" w:rsidRPr="00E41882" w:rsidRDefault="00E41882" w:rsidP="007D5C29">
            <w:pPr>
              <w:pStyle w:val="TableParagraph"/>
              <w:ind w:right="425"/>
              <w:rPr>
                <w:sz w:val="20"/>
                <w:szCs w:val="20"/>
              </w:rPr>
            </w:pPr>
            <w:r w:rsidRPr="00E41882">
              <w:rPr>
                <w:sz w:val="20"/>
                <w:szCs w:val="20"/>
              </w:rPr>
              <w:t>Nightmare Catatonia Panic attack</w:t>
            </w:r>
          </w:p>
        </w:tc>
        <w:tc>
          <w:tcPr>
            <w:tcW w:w="1603" w:type="dxa"/>
            <w:tcBorders>
              <w:top w:val="single" w:sz="4" w:space="0" w:color="000000"/>
              <w:left w:val="single" w:sz="4" w:space="0" w:color="000000"/>
              <w:bottom w:val="single" w:sz="4" w:space="0" w:color="000000"/>
              <w:right w:val="single" w:sz="4" w:space="0" w:color="000000"/>
            </w:tcBorders>
            <w:hideMark/>
          </w:tcPr>
          <w:p w14:paraId="639E0193" w14:textId="77777777" w:rsidR="00E41882" w:rsidRPr="00E41882" w:rsidRDefault="00E41882" w:rsidP="007D5C29">
            <w:pPr>
              <w:pStyle w:val="TableParagraph"/>
              <w:ind w:left="100" w:right="593"/>
              <w:rPr>
                <w:sz w:val="20"/>
                <w:szCs w:val="20"/>
              </w:rPr>
            </w:pPr>
            <w:r w:rsidRPr="00E41882">
              <w:rPr>
                <w:sz w:val="20"/>
                <w:szCs w:val="20"/>
              </w:rPr>
              <w:t>Suicidal behaviour</w:t>
            </w:r>
          </w:p>
        </w:tc>
        <w:tc>
          <w:tcPr>
            <w:tcW w:w="1761" w:type="dxa"/>
            <w:tcBorders>
              <w:top w:val="single" w:sz="4" w:space="0" w:color="000000"/>
              <w:left w:val="single" w:sz="4" w:space="0" w:color="000000"/>
              <w:bottom w:val="single" w:sz="4" w:space="0" w:color="000000"/>
              <w:right w:val="single" w:sz="4" w:space="0" w:color="000000"/>
            </w:tcBorders>
            <w:hideMark/>
          </w:tcPr>
          <w:p w14:paraId="3FAF540C" w14:textId="77777777" w:rsidR="00E41882" w:rsidRPr="00E41882" w:rsidRDefault="00E41882" w:rsidP="007D5C29">
            <w:pPr>
              <w:pStyle w:val="TableParagraph"/>
              <w:ind w:right="357"/>
              <w:rPr>
                <w:sz w:val="20"/>
                <w:szCs w:val="20"/>
              </w:rPr>
            </w:pPr>
            <w:r w:rsidRPr="00E41882">
              <w:rPr>
                <w:sz w:val="20"/>
                <w:szCs w:val="20"/>
              </w:rPr>
              <w:t>Sleep disorder****</w:t>
            </w:r>
          </w:p>
        </w:tc>
      </w:tr>
      <w:tr w:rsidR="00E41882" w:rsidRPr="000D0570" w14:paraId="45F78C26" w14:textId="77777777" w:rsidTr="002305B4">
        <w:trPr>
          <w:trHeight w:hRule="exact" w:val="1529"/>
        </w:trPr>
        <w:tc>
          <w:tcPr>
            <w:tcW w:w="1720" w:type="dxa"/>
            <w:tcBorders>
              <w:top w:val="single" w:sz="4" w:space="0" w:color="000000"/>
              <w:left w:val="single" w:sz="4" w:space="0" w:color="000000"/>
              <w:bottom w:val="single" w:sz="4" w:space="0" w:color="000000"/>
              <w:right w:val="single" w:sz="4" w:space="0" w:color="000000"/>
            </w:tcBorders>
            <w:hideMark/>
          </w:tcPr>
          <w:p w14:paraId="37AC8FBD" w14:textId="77777777" w:rsidR="00E41882" w:rsidRPr="00E41882" w:rsidRDefault="00E41882" w:rsidP="007D5C29">
            <w:pPr>
              <w:pStyle w:val="TableParagraph"/>
              <w:ind w:right="630"/>
              <w:rPr>
                <w:sz w:val="20"/>
                <w:szCs w:val="20"/>
              </w:rPr>
            </w:pPr>
            <w:r w:rsidRPr="00E41882">
              <w:rPr>
                <w:sz w:val="20"/>
                <w:szCs w:val="20"/>
              </w:rPr>
              <w:t>Nervous system disorders</w:t>
            </w:r>
          </w:p>
        </w:tc>
        <w:tc>
          <w:tcPr>
            <w:tcW w:w="1142" w:type="dxa"/>
            <w:tcBorders>
              <w:top w:val="single" w:sz="4" w:space="0" w:color="000000"/>
              <w:left w:val="single" w:sz="4" w:space="0" w:color="000000"/>
              <w:bottom w:val="single" w:sz="4" w:space="0" w:color="000000"/>
              <w:right w:val="single" w:sz="4" w:space="0" w:color="000000"/>
            </w:tcBorders>
            <w:hideMark/>
          </w:tcPr>
          <w:p w14:paraId="72130DD0" w14:textId="62B35088" w:rsidR="00E41882" w:rsidRPr="00E41882" w:rsidRDefault="00E41882" w:rsidP="007D5C29">
            <w:pPr>
              <w:pStyle w:val="TableParagraph"/>
              <w:ind w:right="151"/>
              <w:rPr>
                <w:sz w:val="20"/>
                <w:szCs w:val="20"/>
              </w:rPr>
            </w:pPr>
            <w:r w:rsidRPr="00E41882">
              <w:rPr>
                <w:sz w:val="20"/>
                <w:szCs w:val="20"/>
              </w:rPr>
              <w:t>Akathisia</w:t>
            </w:r>
          </w:p>
        </w:tc>
        <w:tc>
          <w:tcPr>
            <w:tcW w:w="1672" w:type="dxa"/>
            <w:tcBorders>
              <w:top w:val="single" w:sz="4" w:space="0" w:color="000000"/>
              <w:left w:val="single" w:sz="4" w:space="0" w:color="000000"/>
              <w:bottom w:val="single" w:sz="4" w:space="0" w:color="000000"/>
              <w:right w:val="single" w:sz="4" w:space="0" w:color="000000"/>
            </w:tcBorders>
            <w:hideMark/>
          </w:tcPr>
          <w:p w14:paraId="5CB02A53" w14:textId="14256DDD" w:rsidR="00E41882" w:rsidRPr="00E41882" w:rsidRDefault="00E41882" w:rsidP="007D5C29">
            <w:pPr>
              <w:pStyle w:val="TableParagraph"/>
              <w:ind w:right="141"/>
              <w:rPr>
                <w:sz w:val="20"/>
                <w:szCs w:val="20"/>
              </w:rPr>
            </w:pPr>
            <w:r w:rsidRPr="00E41882">
              <w:rPr>
                <w:sz w:val="20"/>
                <w:szCs w:val="20"/>
              </w:rPr>
              <w:t>Somnolence* Parkinsonism** Dizziness</w:t>
            </w:r>
          </w:p>
          <w:p w14:paraId="6D54A8FC" w14:textId="77777777" w:rsidR="00E41882" w:rsidRPr="00E41882" w:rsidRDefault="00E41882" w:rsidP="007D5C29">
            <w:pPr>
              <w:pStyle w:val="TableParagraph"/>
              <w:ind w:right="324"/>
              <w:rPr>
                <w:sz w:val="20"/>
                <w:szCs w:val="20"/>
              </w:rPr>
            </w:pPr>
            <w:r w:rsidRPr="00E41882">
              <w:rPr>
                <w:sz w:val="20"/>
                <w:szCs w:val="20"/>
              </w:rPr>
              <w:t>Dystonia*** Dyskinesia</w:t>
            </w:r>
          </w:p>
        </w:tc>
        <w:tc>
          <w:tcPr>
            <w:tcW w:w="1627" w:type="dxa"/>
            <w:tcBorders>
              <w:top w:val="single" w:sz="4" w:space="0" w:color="000000"/>
              <w:left w:val="single" w:sz="4" w:space="0" w:color="000000"/>
              <w:bottom w:val="single" w:sz="4" w:space="0" w:color="000000"/>
              <w:right w:val="single" w:sz="4" w:space="0" w:color="000000"/>
            </w:tcBorders>
            <w:hideMark/>
          </w:tcPr>
          <w:p w14:paraId="63E3CEE5" w14:textId="77777777" w:rsidR="00E41882" w:rsidRPr="00E41882" w:rsidRDefault="00E41882" w:rsidP="007D5C29">
            <w:pPr>
              <w:pStyle w:val="TableParagraph"/>
              <w:ind w:right="480"/>
              <w:rPr>
                <w:sz w:val="20"/>
                <w:szCs w:val="20"/>
              </w:rPr>
            </w:pPr>
            <w:r w:rsidRPr="00E41882">
              <w:rPr>
                <w:sz w:val="20"/>
                <w:szCs w:val="20"/>
              </w:rPr>
              <w:t>Lethargy Dysarthria Tardive dyskinesia Syncope Convulsion</w:t>
            </w:r>
          </w:p>
        </w:tc>
        <w:tc>
          <w:tcPr>
            <w:tcW w:w="1603" w:type="dxa"/>
            <w:tcBorders>
              <w:top w:val="single" w:sz="4" w:space="0" w:color="000000"/>
              <w:left w:val="single" w:sz="4" w:space="0" w:color="000000"/>
              <w:bottom w:val="single" w:sz="4" w:space="0" w:color="000000"/>
              <w:right w:val="single" w:sz="4" w:space="0" w:color="000000"/>
            </w:tcBorders>
            <w:hideMark/>
          </w:tcPr>
          <w:p w14:paraId="35851111" w14:textId="77777777" w:rsidR="00E41882" w:rsidRPr="00E41882" w:rsidRDefault="00E41882" w:rsidP="007D5C29">
            <w:pPr>
              <w:pStyle w:val="TableParagraph"/>
              <w:ind w:left="100" w:right="435"/>
              <w:rPr>
                <w:sz w:val="20"/>
                <w:szCs w:val="20"/>
              </w:rPr>
            </w:pPr>
            <w:r w:rsidRPr="00E41882">
              <w:rPr>
                <w:sz w:val="20"/>
                <w:szCs w:val="20"/>
              </w:rPr>
              <w:t>Neuroleptic malignant syndrome (NMS)</w:t>
            </w:r>
          </w:p>
          <w:p w14:paraId="4CEC85E7" w14:textId="7AF485CF" w:rsidR="00E41882" w:rsidRPr="00E41882" w:rsidRDefault="00E41882" w:rsidP="007D5C29">
            <w:pPr>
              <w:pStyle w:val="TableParagraph"/>
              <w:ind w:left="100" w:right="105"/>
              <w:rPr>
                <w:sz w:val="20"/>
                <w:szCs w:val="20"/>
              </w:rPr>
            </w:pPr>
            <w:r w:rsidRPr="00E41882">
              <w:rPr>
                <w:sz w:val="20"/>
                <w:szCs w:val="20"/>
              </w:rPr>
              <w:t>Cerebrovascular accident</w:t>
            </w:r>
          </w:p>
        </w:tc>
        <w:tc>
          <w:tcPr>
            <w:tcW w:w="1761" w:type="dxa"/>
            <w:tcBorders>
              <w:top w:val="single" w:sz="4" w:space="0" w:color="000000"/>
              <w:left w:val="single" w:sz="4" w:space="0" w:color="000000"/>
              <w:bottom w:val="single" w:sz="4" w:space="0" w:color="000000"/>
              <w:right w:val="single" w:sz="4" w:space="0" w:color="000000"/>
            </w:tcBorders>
          </w:tcPr>
          <w:p w14:paraId="28D9C8C2" w14:textId="77777777" w:rsidR="00E41882" w:rsidRPr="00E41882" w:rsidRDefault="00E41882" w:rsidP="007D5C29">
            <w:pPr>
              <w:rPr>
                <w:sz w:val="20"/>
                <w:lang w:val="en-US"/>
              </w:rPr>
            </w:pPr>
          </w:p>
        </w:tc>
      </w:tr>
      <w:tr w:rsidR="00E41882" w:rsidRPr="00E41882" w14:paraId="29D7B66F" w14:textId="77777777" w:rsidTr="002305B4">
        <w:trPr>
          <w:trHeight w:hRule="exact" w:val="341"/>
        </w:trPr>
        <w:tc>
          <w:tcPr>
            <w:tcW w:w="1720" w:type="dxa"/>
            <w:tcBorders>
              <w:top w:val="single" w:sz="4" w:space="0" w:color="000000"/>
              <w:left w:val="single" w:sz="4" w:space="0" w:color="000000"/>
              <w:bottom w:val="single" w:sz="4" w:space="0" w:color="000000"/>
              <w:right w:val="single" w:sz="4" w:space="0" w:color="000000"/>
            </w:tcBorders>
            <w:hideMark/>
          </w:tcPr>
          <w:p w14:paraId="44C86732" w14:textId="77777777" w:rsidR="00E41882" w:rsidRPr="00E41882" w:rsidRDefault="00E41882" w:rsidP="007D5C29">
            <w:pPr>
              <w:pStyle w:val="TableParagraph"/>
              <w:rPr>
                <w:sz w:val="20"/>
                <w:szCs w:val="20"/>
              </w:rPr>
            </w:pPr>
            <w:r w:rsidRPr="00E41882">
              <w:rPr>
                <w:sz w:val="20"/>
                <w:szCs w:val="20"/>
              </w:rPr>
              <w:t>Eye disorders</w:t>
            </w:r>
          </w:p>
        </w:tc>
        <w:tc>
          <w:tcPr>
            <w:tcW w:w="1142" w:type="dxa"/>
            <w:tcBorders>
              <w:top w:val="single" w:sz="4" w:space="0" w:color="000000"/>
              <w:left w:val="single" w:sz="4" w:space="0" w:color="000000"/>
              <w:bottom w:val="single" w:sz="4" w:space="0" w:color="000000"/>
              <w:right w:val="single" w:sz="4" w:space="0" w:color="000000"/>
            </w:tcBorders>
          </w:tcPr>
          <w:p w14:paraId="572BB763"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tcPr>
          <w:p w14:paraId="43274315" w14:textId="77777777" w:rsidR="00E41882" w:rsidRPr="00E41882" w:rsidRDefault="00E41882" w:rsidP="007D5C29">
            <w:pPr>
              <w:rPr>
                <w:sz w:val="20"/>
              </w:rPr>
            </w:pPr>
          </w:p>
        </w:tc>
        <w:tc>
          <w:tcPr>
            <w:tcW w:w="1627" w:type="dxa"/>
            <w:tcBorders>
              <w:top w:val="single" w:sz="4" w:space="0" w:color="000000"/>
              <w:left w:val="single" w:sz="4" w:space="0" w:color="000000"/>
              <w:bottom w:val="single" w:sz="4" w:space="0" w:color="000000"/>
              <w:right w:val="single" w:sz="4" w:space="0" w:color="000000"/>
            </w:tcBorders>
            <w:hideMark/>
          </w:tcPr>
          <w:p w14:paraId="5445489B" w14:textId="77777777" w:rsidR="00E41882" w:rsidRPr="00E41882" w:rsidRDefault="00E41882" w:rsidP="007D5C29">
            <w:pPr>
              <w:pStyle w:val="TableParagraph"/>
              <w:rPr>
                <w:sz w:val="20"/>
                <w:szCs w:val="20"/>
              </w:rPr>
            </w:pPr>
            <w:r w:rsidRPr="00E41882">
              <w:rPr>
                <w:sz w:val="20"/>
                <w:szCs w:val="20"/>
              </w:rPr>
              <w:t>Blurred vision</w:t>
            </w:r>
          </w:p>
        </w:tc>
        <w:tc>
          <w:tcPr>
            <w:tcW w:w="1603" w:type="dxa"/>
            <w:tcBorders>
              <w:top w:val="single" w:sz="4" w:space="0" w:color="000000"/>
              <w:left w:val="single" w:sz="4" w:space="0" w:color="000000"/>
              <w:bottom w:val="single" w:sz="4" w:space="0" w:color="000000"/>
              <w:right w:val="single" w:sz="4" w:space="0" w:color="000000"/>
            </w:tcBorders>
          </w:tcPr>
          <w:p w14:paraId="00FF4332"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5BC18352" w14:textId="77777777" w:rsidR="00E41882" w:rsidRPr="00E41882" w:rsidRDefault="00E41882" w:rsidP="007D5C29">
            <w:pPr>
              <w:rPr>
                <w:sz w:val="20"/>
              </w:rPr>
            </w:pPr>
          </w:p>
        </w:tc>
      </w:tr>
      <w:tr w:rsidR="00E41882" w:rsidRPr="00E41882" w14:paraId="60FF2C49" w14:textId="77777777" w:rsidTr="002305B4">
        <w:trPr>
          <w:trHeight w:hRule="exact" w:val="828"/>
        </w:trPr>
        <w:tc>
          <w:tcPr>
            <w:tcW w:w="1720" w:type="dxa"/>
            <w:tcBorders>
              <w:top w:val="single" w:sz="4" w:space="0" w:color="000000"/>
              <w:left w:val="single" w:sz="4" w:space="0" w:color="000000"/>
              <w:bottom w:val="single" w:sz="4" w:space="0" w:color="000000"/>
              <w:right w:val="single" w:sz="4" w:space="0" w:color="000000"/>
            </w:tcBorders>
            <w:hideMark/>
          </w:tcPr>
          <w:p w14:paraId="2D34103C" w14:textId="77777777" w:rsidR="00E41882" w:rsidRPr="00E41882" w:rsidRDefault="00E41882" w:rsidP="007D5C29">
            <w:pPr>
              <w:pStyle w:val="TableParagraph"/>
              <w:ind w:right="630"/>
              <w:rPr>
                <w:sz w:val="20"/>
                <w:szCs w:val="20"/>
              </w:rPr>
            </w:pPr>
            <w:r w:rsidRPr="00E41882">
              <w:rPr>
                <w:sz w:val="20"/>
                <w:szCs w:val="20"/>
              </w:rPr>
              <w:t>Ear and labyrinth disorders</w:t>
            </w:r>
          </w:p>
        </w:tc>
        <w:tc>
          <w:tcPr>
            <w:tcW w:w="1142" w:type="dxa"/>
            <w:tcBorders>
              <w:top w:val="single" w:sz="4" w:space="0" w:color="000000"/>
              <w:left w:val="single" w:sz="4" w:space="0" w:color="000000"/>
              <w:bottom w:val="single" w:sz="4" w:space="0" w:color="000000"/>
              <w:right w:val="single" w:sz="4" w:space="0" w:color="000000"/>
            </w:tcBorders>
          </w:tcPr>
          <w:p w14:paraId="415FA9BC"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tcPr>
          <w:p w14:paraId="0DFF6645" w14:textId="77777777" w:rsidR="00E41882" w:rsidRPr="00E41882" w:rsidRDefault="00E41882" w:rsidP="007D5C29">
            <w:pPr>
              <w:rPr>
                <w:sz w:val="20"/>
              </w:rPr>
            </w:pPr>
          </w:p>
        </w:tc>
        <w:tc>
          <w:tcPr>
            <w:tcW w:w="1627" w:type="dxa"/>
            <w:tcBorders>
              <w:top w:val="single" w:sz="4" w:space="0" w:color="000000"/>
              <w:left w:val="single" w:sz="4" w:space="0" w:color="000000"/>
              <w:bottom w:val="single" w:sz="4" w:space="0" w:color="000000"/>
              <w:right w:val="single" w:sz="4" w:space="0" w:color="000000"/>
            </w:tcBorders>
            <w:hideMark/>
          </w:tcPr>
          <w:p w14:paraId="1A0317CC" w14:textId="77777777" w:rsidR="00E41882" w:rsidRPr="00E41882" w:rsidRDefault="00E41882" w:rsidP="007D5C29">
            <w:pPr>
              <w:pStyle w:val="TableParagraph"/>
              <w:rPr>
                <w:sz w:val="20"/>
                <w:szCs w:val="20"/>
              </w:rPr>
            </w:pPr>
            <w:r w:rsidRPr="00E41882">
              <w:rPr>
                <w:sz w:val="20"/>
                <w:szCs w:val="20"/>
              </w:rPr>
              <w:t>Vertigo</w:t>
            </w:r>
          </w:p>
        </w:tc>
        <w:tc>
          <w:tcPr>
            <w:tcW w:w="1603" w:type="dxa"/>
            <w:tcBorders>
              <w:top w:val="single" w:sz="4" w:space="0" w:color="000000"/>
              <w:left w:val="single" w:sz="4" w:space="0" w:color="000000"/>
              <w:bottom w:val="single" w:sz="4" w:space="0" w:color="000000"/>
              <w:right w:val="single" w:sz="4" w:space="0" w:color="000000"/>
            </w:tcBorders>
          </w:tcPr>
          <w:p w14:paraId="03B49F77"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43564E1B" w14:textId="77777777" w:rsidR="00E41882" w:rsidRPr="00E41882" w:rsidRDefault="00E41882" w:rsidP="007D5C29">
            <w:pPr>
              <w:rPr>
                <w:sz w:val="20"/>
              </w:rPr>
            </w:pPr>
          </w:p>
        </w:tc>
      </w:tr>
      <w:tr w:rsidR="00E41882" w:rsidRPr="000D0570" w14:paraId="3C47A692" w14:textId="77777777" w:rsidTr="002305B4">
        <w:trPr>
          <w:trHeight w:hRule="exact" w:val="1274"/>
        </w:trPr>
        <w:tc>
          <w:tcPr>
            <w:tcW w:w="1720" w:type="dxa"/>
            <w:tcBorders>
              <w:top w:val="single" w:sz="4" w:space="0" w:color="000000"/>
              <w:left w:val="single" w:sz="4" w:space="0" w:color="000000"/>
              <w:bottom w:val="single" w:sz="4" w:space="0" w:color="000000"/>
              <w:right w:val="single" w:sz="4" w:space="0" w:color="000000"/>
            </w:tcBorders>
            <w:hideMark/>
          </w:tcPr>
          <w:p w14:paraId="3852DB7D" w14:textId="77777777" w:rsidR="00E41882" w:rsidRPr="00E41882" w:rsidRDefault="00E41882" w:rsidP="007D5C29">
            <w:pPr>
              <w:pStyle w:val="TableParagraph"/>
              <w:ind w:right="630"/>
              <w:rPr>
                <w:sz w:val="20"/>
                <w:szCs w:val="20"/>
              </w:rPr>
            </w:pPr>
            <w:r w:rsidRPr="00E41882">
              <w:rPr>
                <w:sz w:val="20"/>
                <w:szCs w:val="20"/>
              </w:rPr>
              <w:t>Cardiac disorders</w:t>
            </w:r>
          </w:p>
        </w:tc>
        <w:tc>
          <w:tcPr>
            <w:tcW w:w="1142" w:type="dxa"/>
            <w:tcBorders>
              <w:top w:val="single" w:sz="4" w:space="0" w:color="000000"/>
              <w:left w:val="single" w:sz="4" w:space="0" w:color="000000"/>
              <w:bottom w:val="single" w:sz="4" w:space="0" w:color="000000"/>
              <w:right w:val="single" w:sz="4" w:space="0" w:color="000000"/>
            </w:tcBorders>
          </w:tcPr>
          <w:p w14:paraId="5DBB249F"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6F78DC46" w14:textId="77777777" w:rsidR="00E41882" w:rsidRPr="00E41882" w:rsidRDefault="00E41882" w:rsidP="007D5C29">
            <w:pPr>
              <w:pStyle w:val="TableParagraph"/>
              <w:rPr>
                <w:sz w:val="20"/>
                <w:szCs w:val="20"/>
              </w:rPr>
            </w:pPr>
            <w:r w:rsidRPr="00E41882">
              <w:rPr>
                <w:sz w:val="20"/>
                <w:szCs w:val="20"/>
              </w:rPr>
              <w:t>Tachycardia</w:t>
            </w:r>
          </w:p>
        </w:tc>
        <w:tc>
          <w:tcPr>
            <w:tcW w:w="1627" w:type="dxa"/>
            <w:tcBorders>
              <w:top w:val="single" w:sz="4" w:space="0" w:color="000000"/>
              <w:left w:val="single" w:sz="4" w:space="0" w:color="000000"/>
              <w:bottom w:val="single" w:sz="4" w:space="0" w:color="000000"/>
              <w:right w:val="single" w:sz="4" w:space="0" w:color="000000"/>
            </w:tcBorders>
            <w:hideMark/>
          </w:tcPr>
          <w:p w14:paraId="0AA75495" w14:textId="11BE3DD4" w:rsidR="00E41882" w:rsidRPr="00E41882" w:rsidRDefault="00E41882" w:rsidP="007D5C29">
            <w:pPr>
              <w:pStyle w:val="TableParagraph"/>
              <w:ind w:right="97"/>
              <w:rPr>
                <w:sz w:val="20"/>
                <w:szCs w:val="20"/>
              </w:rPr>
            </w:pPr>
            <w:r w:rsidRPr="00E41882">
              <w:rPr>
                <w:sz w:val="20"/>
                <w:szCs w:val="20"/>
              </w:rPr>
              <w:t>Angina pectoris Atrioventricular block first degree Bradycardia</w:t>
            </w:r>
          </w:p>
        </w:tc>
        <w:tc>
          <w:tcPr>
            <w:tcW w:w="1603" w:type="dxa"/>
            <w:tcBorders>
              <w:top w:val="single" w:sz="4" w:space="0" w:color="000000"/>
              <w:left w:val="single" w:sz="4" w:space="0" w:color="000000"/>
              <w:bottom w:val="single" w:sz="4" w:space="0" w:color="000000"/>
              <w:right w:val="single" w:sz="4" w:space="0" w:color="000000"/>
            </w:tcBorders>
          </w:tcPr>
          <w:p w14:paraId="50648203" w14:textId="77777777" w:rsidR="00E41882" w:rsidRPr="00E41882" w:rsidRDefault="00E41882" w:rsidP="007D5C29">
            <w:pPr>
              <w:rPr>
                <w:sz w:val="20"/>
                <w:lang w:val="en-US"/>
              </w:rPr>
            </w:pPr>
          </w:p>
        </w:tc>
        <w:tc>
          <w:tcPr>
            <w:tcW w:w="1761" w:type="dxa"/>
            <w:tcBorders>
              <w:top w:val="single" w:sz="4" w:space="0" w:color="000000"/>
              <w:left w:val="single" w:sz="4" w:space="0" w:color="000000"/>
              <w:bottom w:val="single" w:sz="4" w:space="0" w:color="000000"/>
              <w:right w:val="single" w:sz="4" w:space="0" w:color="000000"/>
            </w:tcBorders>
          </w:tcPr>
          <w:p w14:paraId="3ADC9B89" w14:textId="77777777" w:rsidR="00E41882" w:rsidRPr="00E41882" w:rsidRDefault="00E41882" w:rsidP="007D5C29">
            <w:pPr>
              <w:rPr>
                <w:sz w:val="20"/>
                <w:lang w:val="en-US"/>
              </w:rPr>
            </w:pPr>
          </w:p>
        </w:tc>
      </w:tr>
      <w:tr w:rsidR="00E41882" w:rsidRPr="000D0570" w14:paraId="6B1D4A81" w14:textId="77777777" w:rsidTr="002305B4">
        <w:trPr>
          <w:trHeight w:hRule="exact" w:val="1618"/>
        </w:trPr>
        <w:tc>
          <w:tcPr>
            <w:tcW w:w="1720" w:type="dxa"/>
            <w:tcBorders>
              <w:top w:val="single" w:sz="4" w:space="0" w:color="000000"/>
              <w:left w:val="single" w:sz="4" w:space="0" w:color="000000"/>
              <w:bottom w:val="single" w:sz="4" w:space="0" w:color="000000"/>
              <w:right w:val="single" w:sz="4" w:space="0" w:color="000000"/>
            </w:tcBorders>
            <w:hideMark/>
          </w:tcPr>
          <w:p w14:paraId="23CDF3AD" w14:textId="77777777" w:rsidR="00E41882" w:rsidRPr="00E41882" w:rsidRDefault="00E41882" w:rsidP="007D5C29">
            <w:pPr>
              <w:pStyle w:val="TableParagraph"/>
              <w:ind w:right="630"/>
              <w:rPr>
                <w:sz w:val="20"/>
                <w:szCs w:val="20"/>
              </w:rPr>
            </w:pPr>
            <w:r w:rsidRPr="00E41882">
              <w:rPr>
                <w:sz w:val="20"/>
                <w:szCs w:val="20"/>
              </w:rPr>
              <w:t>Vascular disorders</w:t>
            </w:r>
          </w:p>
        </w:tc>
        <w:tc>
          <w:tcPr>
            <w:tcW w:w="1142" w:type="dxa"/>
            <w:tcBorders>
              <w:top w:val="single" w:sz="4" w:space="0" w:color="000000"/>
              <w:left w:val="single" w:sz="4" w:space="0" w:color="000000"/>
              <w:bottom w:val="single" w:sz="4" w:space="0" w:color="000000"/>
              <w:right w:val="single" w:sz="4" w:space="0" w:color="000000"/>
            </w:tcBorders>
          </w:tcPr>
          <w:p w14:paraId="2F09F603"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2C2F937A" w14:textId="77777777" w:rsidR="00E41882" w:rsidRPr="00E41882" w:rsidRDefault="00E41882" w:rsidP="007D5C29">
            <w:pPr>
              <w:pStyle w:val="TableParagraph"/>
              <w:rPr>
                <w:sz w:val="20"/>
                <w:szCs w:val="20"/>
              </w:rPr>
            </w:pPr>
            <w:r w:rsidRPr="00E41882">
              <w:rPr>
                <w:sz w:val="20"/>
                <w:szCs w:val="20"/>
              </w:rPr>
              <w:t>Hypertension</w:t>
            </w:r>
          </w:p>
        </w:tc>
        <w:tc>
          <w:tcPr>
            <w:tcW w:w="1627" w:type="dxa"/>
            <w:tcBorders>
              <w:top w:val="single" w:sz="4" w:space="0" w:color="000000"/>
              <w:left w:val="single" w:sz="4" w:space="0" w:color="000000"/>
              <w:bottom w:val="single" w:sz="4" w:space="0" w:color="000000"/>
              <w:right w:val="single" w:sz="4" w:space="0" w:color="000000"/>
            </w:tcBorders>
            <w:hideMark/>
          </w:tcPr>
          <w:p w14:paraId="21CA0AFF" w14:textId="77777777" w:rsidR="00E41882" w:rsidRDefault="00E41882" w:rsidP="007D5C29">
            <w:pPr>
              <w:pStyle w:val="TableParagraph"/>
              <w:ind w:right="168"/>
              <w:rPr>
                <w:sz w:val="20"/>
                <w:szCs w:val="20"/>
              </w:rPr>
            </w:pPr>
            <w:r w:rsidRPr="00E41882">
              <w:rPr>
                <w:sz w:val="20"/>
                <w:szCs w:val="20"/>
              </w:rPr>
              <w:t>Hypotension Orthostatic hypotension</w:t>
            </w:r>
          </w:p>
          <w:p w14:paraId="0936A271" w14:textId="77777777" w:rsidR="00E41882" w:rsidRDefault="00E41882" w:rsidP="007D5C29">
            <w:pPr>
              <w:pStyle w:val="TableParagraph"/>
              <w:ind w:right="168"/>
              <w:rPr>
                <w:sz w:val="20"/>
                <w:szCs w:val="20"/>
              </w:rPr>
            </w:pPr>
            <w:r w:rsidRPr="00E41882">
              <w:rPr>
                <w:sz w:val="20"/>
                <w:szCs w:val="20"/>
              </w:rPr>
              <w:t>Hot flush</w:t>
            </w:r>
          </w:p>
          <w:p w14:paraId="3839869D" w14:textId="36A5944A" w:rsidR="00E41882" w:rsidRPr="00E41882" w:rsidRDefault="00E41882" w:rsidP="007D5C29">
            <w:pPr>
              <w:pStyle w:val="TableParagraph"/>
              <w:ind w:right="168"/>
              <w:rPr>
                <w:sz w:val="20"/>
                <w:szCs w:val="20"/>
              </w:rPr>
            </w:pPr>
            <w:r w:rsidRPr="00E41882">
              <w:rPr>
                <w:sz w:val="20"/>
                <w:szCs w:val="20"/>
              </w:rPr>
              <w:t>Blood pressure increased</w:t>
            </w:r>
          </w:p>
        </w:tc>
        <w:tc>
          <w:tcPr>
            <w:tcW w:w="1603" w:type="dxa"/>
            <w:tcBorders>
              <w:top w:val="single" w:sz="4" w:space="0" w:color="000000"/>
              <w:left w:val="single" w:sz="4" w:space="0" w:color="000000"/>
              <w:bottom w:val="single" w:sz="4" w:space="0" w:color="000000"/>
              <w:right w:val="single" w:sz="4" w:space="0" w:color="000000"/>
            </w:tcBorders>
          </w:tcPr>
          <w:p w14:paraId="11EDFFF7" w14:textId="77777777" w:rsidR="00E41882" w:rsidRPr="00E41882" w:rsidRDefault="00E41882" w:rsidP="007D5C29">
            <w:pPr>
              <w:rPr>
                <w:sz w:val="20"/>
                <w:lang w:val="en-US"/>
              </w:rPr>
            </w:pPr>
          </w:p>
        </w:tc>
        <w:tc>
          <w:tcPr>
            <w:tcW w:w="1761" w:type="dxa"/>
            <w:tcBorders>
              <w:top w:val="single" w:sz="4" w:space="0" w:color="000000"/>
              <w:left w:val="single" w:sz="4" w:space="0" w:color="000000"/>
              <w:bottom w:val="single" w:sz="4" w:space="0" w:color="000000"/>
              <w:right w:val="single" w:sz="4" w:space="0" w:color="000000"/>
            </w:tcBorders>
          </w:tcPr>
          <w:p w14:paraId="728172C8" w14:textId="77777777" w:rsidR="00E41882" w:rsidRPr="00E41882" w:rsidRDefault="00E41882" w:rsidP="007D5C29">
            <w:pPr>
              <w:rPr>
                <w:sz w:val="20"/>
                <w:lang w:val="en-US"/>
              </w:rPr>
            </w:pPr>
          </w:p>
        </w:tc>
      </w:tr>
      <w:tr w:rsidR="00E41882" w:rsidRPr="00E41882" w14:paraId="528468A9" w14:textId="77777777" w:rsidTr="002305B4">
        <w:trPr>
          <w:trHeight w:hRule="exact" w:val="2539"/>
        </w:trPr>
        <w:tc>
          <w:tcPr>
            <w:tcW w:w="1720" w:type="dxa"/>
            <w:tcBorders>
              <w:top w:val="single" w:sz="4" w:space="0" w:color="000000"/>
              <w:left w:val="single" w:sz="4" w:space="0" w:color="000000"/>
              <w:bottom w:val="single" w:sz="4" w:space="0" w:color="000000"/>
              <w:right w:val="single" w:sz="4" w:space="0" w:color="000000"/>
            </w:tcBorders>
            <w:hideMark/>
          </w:tcPr>
          <w:p w14:paraId="5DC02DC6" w14:textId="0935C941" w:rsidR="00E41882" w:rsidRPr="00E41882" w:rsidRDefault="00E41882" w:rsidP="007D5C29">
            <w:pPr>
              <w:pStyle w:val="TableParagraph"/>
              <w:ind w:right="105"/>
              <w:rPr>
                <w:sz w:val="20"/>
                <w:szCs w:val="20"/>
              </w:rPr>
            </w:pPr>
            <w:r w:rsidRPr="00E41882">
              <w:rPr>
                <w:sz w:val="20"/>
                <w:szCs w:val="20"/>
              </w:rPr>
              <w:lastRenderedPageBreak/>
              <w:t>Gastrointestinal disorders</w:t>
            </w:r>
          </w:p>
        </w:tc>
        <w:tc>
          <w:tcPr>
            <w:tcW w:w="1142" w:type="dxa"/>
            <w:tcBorders>
              <w:top w:val="single" w:sz="4" w:space="0" w:color="000000"/>
              <w:left w:val="single" w:sz="4" w:space="0" w:color="000000"/>
              <w:bottom w:val="single" w:sz="4" w:space="0" w:color="000000"/>
              <w:right w:val="single" w:sz="4" w:space="0" w:color="000000"/>
            </w:tcBorders>
            <w:hideMark/>
          </w:tcPr>
          <w:p w14:paraId="30A8E8F6" w14:textId="77777777" w:rsidR="00E41882" w:rsidRPr="00E41882" w:rsidRDefault="00E41882" w:rsidP="007D5C29">
            <w:pPr>
              <w:pStyle w:val="TableParagraph"/>
              <w:rPr>
                <w:sz w:val="20"/>
                <w:szCs w:val="20"/>
              </w:rPr>
            </w:pPr>
            <w:r w:rsidRPr="00E41882">
              <w:rPr>
                <w:sz w:val="20"/>
                <w:szCs w:val="20"/>
              </w:rPr>
              <w:t>Nausea</w:t>
            </w:r>
          </w:p>
        </w:tc>
        <w:tc>
          <w:tcPr>
            <w:tcW w:w="1672" w:type="dxa"/>
            <w:tcBorders>
              <w:top w:val="single" w:sz="4" w:space="0" w:color="000000"/>
              <w:left w:val="single" w:sz="4" w:space="0" w:color="000000"/>
              <w:bottom w:val="single" w:sz="4" w:space="0" w:color="000000"/>
              <w:right w:val="single" w:sz="4" w:space="0" w:color="000000"/>
            </w:tcBorders>
            <w:hideMark/>
          </w:tcPr>
          <w:p w14:paraId="64B47E1A" w14:textId="77777777" w:rsidR="00065EFE" w:rsidRDefault="00E41882" w:rsidP="007D5C29">
            <w:pPr>
              <w:pStyle w:val="TableParagraph"/>
              <w:ind w:right="86"/>
              <w:rPr>
                <w:sz w:val="20"/>
                <w:szCs w:val="20"/>
              </w:rPr>
            </w:pPr>
            <w:r w:rsidRPr="00E41882">
              <w:rPr>
                <w:sz w:val="20"/>
                <w:szCs w:val="20"/>
              </w:rPr>
              <w:t>Diarrhoea Vomiting Dyspepsia Salivary hypersecretion Dry mouth</w:t>
            </w:r>
          </w:p>
          <w:p w14:paraId="423B05B7" w14:textId="77777777" w:rsidR="00065EFE" w:rsidRDefault="00E41882" w:rsidP="007D5C29">
            <w:pPr>
              <w:pStyle w:val="TableParagraph"/>
              <w:ind w:right="86"/>
              <w:rPr>
                <w:sz w:val="20"/>
                <w:szCs w:val="20"/>
              </w:rPr>
            </w:pPr>
            <w:r w:rsidRPr="00E41882">
              <w:rPr>
                <w:sz w:val="20"/>
                <w:szCs w:val="20"/>
              </w:rPr>
              <w:t>Upper abdominal pain</w:t>
            </w:r>
          </w:p>
          <w:p w14:paraId="5AFDEBA6" w14:textId="41891016" w:rsidR="00E41882" w:rsidRPr="00E41882" w:rsidRDefault="00E41882" w:rsidP="007D5C29">
            <w:pPr>
              <w:pStyle w:val="TableParagraph"/>
              <w:ind w:right="86"/>
              <w:rPr>
                <w:sz w:val="20"/>
                <w:szCs w:val="20"/>
              </w:rPr>
            </w:pPr>
            <w:r w:rsidRPr="00E41882">
              <w:rPr>
                <w:sz w:val="20"/>
                <w:szCs w:val="20"/>
              </w:rPr>
              <w:t>Stomach discomfort</w:t>
            </w:r>
          </w:p>
        </w:tc>
        <w:tc>
          <w:tcPr>
            <w:tcW w:w="1627" w:type="dxa"/>
            <w:tcBorders>
              <w:top w:val="single" w:sz="4" w:space="0" w:color="000000"/>
              <w:left w:val="single" w:sz="4" w:space="0" w:color="000000"/>
              <w:bottom w:val="single" w:sz="4" w:space="0" w:color="000000"/>
              <w:right w:val="single" w:sz="4" w:space="0" w:color="000000"/>
            </w:tcBorders>
            <w:hideMark/>
          </w:tcPr>
          <w:p w14:paraId="5A4627AE" w14:textId="77777777" w:rsidR="00E41882" w:rsidRPr="00E41882" w:rsidRDefault="00E41882" w:rsidP="007D5C29">
            <w:pPr>
              <w:pStyle w:val="TableParagraph"/>
              <w:ind w:right="569"/>
              <w:jc w:val="both"/>
              <w:rPr>
                <w:sz w:val="20"/>
                <w:szCs w:val="20"/>
              </w:rPr>
            </w:pPr>
            <w:r w:rsidRPr="00E41882">
              <w:rPr>
                <w:sz w:val="20"/>
                <w:szCs w:val="20"/>
              </w:rPr>
              <w:t>Flatulence Dysphagia Gastritis</w:t>
            </w:r>
          </w:p>
        </w:tc>
        <w:tc>
          <w:tcPr>
            <w:tcW w:w="1603" w:type="dxa"/>
            <w:tcBorders>
              <w:top w:val="single" w:sz="4" w:space="0" w:color="000000"/>
              <w:left w:val="single" w:sz="4" w:space="0" w:color="000000"/>
              <w:bottom w:val="single" w:sz="4" w:space="0" w:color="000000"/>
              <w:right w:val="single" w:sz="4" w:space="0" w:color="000000"/>
            </w:tcBorders>
          </w:tcPr>
          <w:p w14:paraId="506D1906"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0465DAB8" w14:textId="77777777" w:rsidR="00E41882" w:rsidRPr="00E41882" w:rsidRDefault="00E41882" w:rsidP="007D5C29">
            <w:pPr>
              <w:rPr>
                <w:sz w:val="20"/>
              </w:rPr>
            </w:pPr>
          </w:p>
        </w:tc>
      </w:tr>
      <w:tr w:rsidR="00E41882" w:rsidRPr="00E41882" w14:paraId="03232D35" w14:textId="77777777" w:rsidTr="002305B4">
        <w:trPr>
          <w:trHeight w:hRule="exact" w:val="768"/>
        </w:trPr>
        <w:tc>
          <w:tcPr>
            <w:tcW w:w="1720" w:type="dxa"/>
            <w:tcBorders>
              <w:top w:val="single" w:sz="4" w:space="0" w:color="000000"/>
              <w:left w:val="single" w:sz="4" w:space="0" w:color="000000"/>
              <w:bottom w:val="single" w:sz="4" w:space="0" w:color="000000"/>
              <w:right w:val="single" w:sz="4" w:space="0" w:color="000000"/>
            </w:tcBorders>
            <w:hideMark/>
          </w:tcPr>
          <w:p w14:paraId="3CAFEE7E" w14:textId="77777777" w:rsidR="00E41882" w:rsidRPr="00E41882" w:rsidRDefault="00E41882" w:rsidP="007D5C29">
            <w:pPr>
              <w:pStyle w:val="TableParagraph"/>
              <w:ind w:right="227"/>
              <w:rPr>
                <w:sz w:val="20"/>
                <w:szCs w:val="20"/>
              </w:rPr>
            </w:pPr>
            <w:r w:rsidRPr="00E41882">
              <w:rPr>
                <w:sz w:val="20"/>
                <w:szCs w:val="20"/>
              </w:rPr>
              <w:t>Hepatobiliary disorders</w:t>
            </w:r>
          </w:p>
        </w:tc>
        <w:tc>
          <w:tcPr>
            <w:tcW w:w="1142" w:type="dxa"/>
            <w:tcBorders>
              <w:top w:val="single" w:sz="4" w:space="0" w:color="000000"/>
              <w:left w:val="single" w:sz="4" w:space="0" w:color="000000"/>
              <w:bottom w:val="single" w:sz="4" w:space="0" w:color="000000"/>
              <w:right w:val="single" w:sz="4" w:space="0" w:color="000000"/>
            </w:tcBorders>
          </w:tcPr>
          <w:p w14:paraId="445D1C1C"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tcPr>
          <w:p w14:paraId="430C2AD3" w14:textId="77777777" w:rsidR="00E41882" w:rsidRPr="00E41882" w:rsidRDefault="00E41882" w:rsidP="007D5C29">
            <w:pPr>
              <w:rPr>
                <w:sz w:val="20"/>
              </w:rPr>
            </w:pPr>
          </w:p>
        </w:tc>
        <w:tc>
          <w:tcPr>
            <w:tcW w:w="1627" w:type="dxa"/>
            <w:tcBorders>
              <w:top w:val="single" w:sz="4" w:space="0" w:color="000000"/>
              <w:left w:val="single" w:sz="4" w:space="0" w:color="000000"/>
              <w:bottom w:val="single" w:sz="4" w:space="0" w:color="000000"/>
              <w:right w:val="single" w:sz="4" w:space="0" w:color="000000"/>
            </w:tcBorders>
            <w:hideMark/>
          </w:tcPr>
          <w:p w14:paraId="44D3B386" w14:textId="6F768AFE" w:rsidR="00E41882" w:rsidRPr="00E41882" w:rsidRDefault="00E41882" w:rsidP="007D5C29">
            <w:pPr>
              <w:pStyle w:val="TableParagraph"/>
              <w:ind w:right="89"/>
              <w:rPr>
                <w:sz w:val="20"/>
                <w:szCs w:val="20"/>
              </w:rPr>
            </w:pPr>
            <w:r w:rsidRPr="00E41882">
              <w:rPr>
                <w:sz w:val="20"/>
                <w:szCs w:val="20"/>
              </w:rPr>
              <w:t>Alanine aminotransferase increased</w:t>
            </w:r>
          </w:p>
        </w:tc>
        <w:tc>
          <w:tcPr>
            <w:tcW w:w="1603" w:type="dxa"/>
            <w:tcBorders>
              <w:top w:val="single" w:sz="4" w:space="0" w:color="000000"/>
              <w:left w:val="single" w:sz="4" w:space="0" w:color="000000"/>
              <w:bottom w:val="single" w:sz="4" w:space="0" w:color="000000"/>
              <w:right w:val="single" w:sz="4" w:space="0" w:color="000000"/>
            </w:tcBorders>
          </w:tcPr>
          <w:p w14:paraId="089AF17A"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3B2E87F9" w14:textId="77777777" w:rsidR="00E41882" w:rsidRPr="00E41882" w:rsidRDefault="00E41882" w:rsidP="007D5C29">
            <w:pPr>
              <w:rPr>
                <w:sz w:val="20"/>
              </w:rPr>
            </w:pPr>
          </w:p>
        </w:tc>
      </w:tr>
      <w:tr w:rsidR="00E41882" w:rsidRPr="00E41882" w14:paraId="1544786A" w14:textId="77777777" w:rsidTr="002305B4">
        <w:trPr>
          <w:trHeight w:hRule="exact" w:val="1022"/>
        </w:trPr>
        <w:tc>
          <w:tcPr>
            <w:tcW w:w="1720" w:type="dxa"/>
            <w:tcBorders>
              <w:top w:val="single" w:sz="4" w:space="0" w:color="000000"/>
              <w:left w:val="single" w:sz="4" w:space="0" w:color="000000"/>
              <w:bottom w:val="single" w:sz="4" w:space="0" w:color="000000"/>
              <w:right w:val="single" w:sz="4" w:space="0" w:color="000000"/>
            </w:tcBorders>
            <w:hideMark/>
          </w:tcPr>
          <w:p w14:paraId="778A043F" w14:textId="77777777" w:rsidR="00E41882" w:rsidRPr="00E41882" w:rsidRDefault="00E41882" w:rsidP="007D5C29">
            <w:pPr>
              <w:pStyle w:val="TableParagraph"/>
              <w:ind w:right="251"/>
              <w:rPr>
                <w:sz w:val="20"/>
                <w:szCs w:val="20"/>
              </w:rPr>
            </w:pPr>
            <w:r w:rsidRPr="00E41882">
              <w:rPr>
                <w:sz w:val="20"/>
                <w:szCs w:val="20"/>
              </w:rPr>
              <w:t>Skin and subcutaneous tissue disorders</w:t>
            </w:r>
          </w:p>
        </w:tc>
        <w:tc>
          <w:tcPr>
            <w:tcW w:w="1142" w:type="dxa"/>
            <w:tcBorders>
              <w:top w:val="single" w:sz="4" w:space="0" w:color="000000"/>
              <w:left w:val="single" w:sz="4" w:space="0" w:color="000000"/>
              <w:bottom w:val="single" w:sz="4" w:space="0" w:color="000000"/>
              <w:right w:val="single" w:sz="4" w:space="0" w:color="000000"/>
            </w:tcBorders>
          </w:tcPr>
          <w:p w14:paraId="04D1D55C"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hideMark/>
          </w:tcPr>
          <w:p w14:paraId="00F2E731" w14:textId="77777777" w:rsidR="00E41882" w:rsidRPr="00E41882" w:rsidRDefault="00E41882" w:rsidP="007D5C29">
            <w:pPr>
              <w:pStyle w:val="TableParagraph"/>
              <w:ind w:right="752"/>
              <w:rPr>
                <w:sz w:val="20"/>
                <w:szCs w:val="20"/>
              </w:rPr>
            </w:pPr>
            <w:r w:rsidRPr="00E41882">
              <w:rPr>
                <w:sz w:val="20"/>
                <w:szCs w:val="20"/>
              </w:rPr>
              <w:t>Rash Pruritus</w:t>
            </w:r>
          </w:p>
        </w:tc>
        <w:tc>
          <w:tcPr>
            <w:tcW w:w="1627" w:type="dxa"/>
            <w:tcBorders>
              <w:top w:val="single" w:sz="4" w:space="0" w:color="000000"/>
              <w:left w:val="single" w:sz="4" w:space="0" w:color="000000"/>
              <w:bottom w:val="single" w:sz="4" w:space="0" w:color="000000"/>
              <w:right w:val="single" w:sz="4" w:space="0" w:color="000000"/>
            </w:tcBorders>
            <w:hideMark/>
          </w:tcPr>
          <w:p w14:paraId="019C0232" w14:textId="77777777" w:rsidR="00E41882" w:rsidRPr="00E41882" w:rsidRDefault="00E41882" w:rsidP="007D5C29">
            <w:pPr>
              <w:pStyle w:val="TableParagraph"/>
              <w:rPr>
                <w:sz w:val="20"/>
                <w:szCs w:val="20"/>
              </w:rPr>
            </w:pPr>
            <w:r w:rsidRPr="00E41882">
              <w:rPr>
                <w:sz w:val="20"/>
                <w:szCs w:val="20"/>
              </w:rPr>
              <w:t>Hyperhidrosis</w:t>
            </w:r>
          </w:p>
        </w:tc>
        <w:tc>
          <w:tcPr>
            <w:tcW w:w="1603" w:type="dxa"/>
            <w:tcBorders>
              <w:top w:val="single" w:sz="4" w:space="0" w:color="000000"/>
              <w:left w:val="single" w:sz="4" w:space="0" w:color="000000"/>
              <w:bottom w:val="single" w:sz="4" w:space="0" w:color="000000"/>
              <w:right w:val="single" w:sz="4" w:space="0" w:color="000000"/>
            </w:tcBorders>
            <w:hideMark/>
          </w:tcPr>
          <w:p w14:paraId="590CDEE7" w14:textId="77777777" w:rsidR="00E41882" w:rsidRPr="00E41882" w:rsidRDefault="00E41882" w:rsidP="007D5C29">
            <w:pPr>
              <w:pStyle w:val="TableParagraph"/>
              <w:ind w:left="100"/>
              <w:rPr>
                <w:sz w:val="20"/>
                <w:szCs w:val="20"/>
              </w:rPr>
            </w:pPr>
            <w:r w:rsidRPr="00E41882">
              <w:rPr>
                <w:sz w:val="20"/>
                <w:szCs w:val="20"/>
              </w:rPr>
              <w:t>Angioedema</w:t>
            </w:r>
          </w:p>
        </w:tc>
        <w:tc>
          <w:tcPr>
            <w:tcW w:w="1761" w:type="dxa"/>
            <w:tcBorders>
              <w:top w:val="single" w:sz="4" w:space="0" w:color="000000"/>
              <w:left w:val="single" w:sz="4" w:space="0" w:color="000000"/>
              <w:bottom w:val="single" w:sz="4" w:space="0" w:color="000000"/>
              <w:right w:val="single" w:sz="4" w:space="0" w:color="000000"/>
            </w:tcBorders>
            <w:hideMark/>
          </w:tcPr>
          <w:p w14:paraId="5DD025BC" w14:textId="677F1A50" w:rsidR="00E41882" w:rsidRPr="00E41882" w:rsidRDefault="00E41882" w:rsidP="007D5C29">
            <w:pPr>
              <w:pStyle w:val="TableParagraph"/>
              <w:ind w:right="650"/>
              <w:rPr>
                <w:sz w:val="20"/>
                <w:szCs w:val="20"/>
              </w:rPr>
            </w:pPr>
            <w:r w:rsidRPr="00E41882">
              <w:rPr>
                <w:sz w:val="20"/>
                <w:szCs w:val="20"/>
              </w:rPr>
              <w:t>Stevens- Johnson</w:t>
            </w:r>
            <w:r w:rsidR="002305B4">
              <w:rPr>
                <w:sz w:val="20"/>
                <w:szCs w:val="20"/>
              </w:rPr>
              <w:t xml:space="preserve">'s </w:t>
            </w:r>
            <w:r w:rsidRPr="00E41882">
              <w:rPr>
                <w:sz w:val="20"/>
                <w:szCs w:val="20"/>
              </w:rPr>
              <w:t>syndrome</w:t>
            </w:r>
          </w:p>
        </w:tc>
      </w:tr>
      <w:tr w:rsidR="00E41882" w:rsidRPr="00E41882" w14:paraId="726A3AE8" w14:textId="77777777" w:rsidTr="002305B4">
        <w:trPr>
          <w:trHeight w:hRule="exact" w:val="1529"/>
        </w:trPr>
        <w:tc>
          <w:tcPr>
            <w:tcW w:w="1720" w:type="dxa"/>
            <w:tcBorders>
              <w:top w:val="single" w:sz="4" w:space="0" w:color="000000"/>
              <w:left w:val="single" w:sz="4" w:space="0" w:color="000000"/>
              <w:bottom w:val="single" w:sz="4" w:space="0" w:color="000000"/>
              <w:right w:val="single" w:sz="4" w:space="0" w:color="000000"/>
            </w:tcBorders>
            <w:hideMark/>
          </w:tcPr>
          <w:p w14:paraId="7ECC292F" w14:textId="13EC2B79" w:rsidR="00E41882" w:rsidRPr="00E41882" w:rsidRDefault="00E41882" w:rsidP="007D5C29">
            <w:pPr>
              <w:pStyle w:val="TableParagraph"/>
              <w:ind w:right="153"/>
              <w:rPr>
                <w:sz w:val="20"/>
                <w:szCs w:val="20"/>
              </w:rPr>
            </w:pPr>
            <w:r w:rsidRPr="00E41882">
              <w:rPr>
                <w:sz w:val="20"/>
                <w:szCs w:val="20"/>
              </w:rPr>
              <w:t>Musculoskelet</w:t>
            </w:r>
            <w:r w:rsidR="002305B4">
              <w:rPr>
                <w:sz w:val="20"/>
                <w:szCs w:val="20"/>
              </w:rPr>
              <w:t>a</w:t>
            </w:r>
            <w:r w:rsidRPr="00E41882">
              <w:rPr>
                <w:sz w:val="20"/>
                <w:szCs w:val="20"/>
              </w:rPr>
              <w:t>l and connective tissue disorders</w:t>
            </w:r>
          </w:p>
        </w:tc>
        <w:tc>
          <w:tcPr>
            <w:tcW w:w="1142" w:type="dxa"/>
            <w:tcBorders>
              <w:top w:val="single" w:sz="4" w:space="0" w:color="000000"/>
              <w:left w:val="single" w:sz="4" w:space="0" w:color="000000"/>
              <w:bottom w:val="single" w:sz="4" w:space="0" w:color="000000"/>
              <w:right w:val="single" w:sz="4" w:space="0" w:color="000000"/>
            </w:tcBorders>
          </w:tcPr>
          <w:p w14:paraId="7954F67E"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hideMark/>
          </w:tcPr>
          <w:p w14:paraId="4B813AE1" w14:textId="268882F5" w:rsidR="00E41882" w:rsidRPr="00E41882" w:rsidRDefault="00E41882" w:rsidP="007D5C29">
            <w:pPr>
              <w:pStyle w:val="TableParagraph"/>
              <w:ind w:right="165"/>
              <w:rPr>
                <w:sz w:val="20"/>
                <w:szCs w:val="20"/>
              </w:rPr>
            </w:pPr>
            <w:r w:rsidRPr="00E41882">
              <w:rPr>
                <w:sz w:val="20"/>
                <w:szCs w:val="20"/>
              </w:rPr>
              <w:t>Back pain Musculoskeletal stiffness</w:t>
            </w:r>
          </w:p>
        </w:tc>
        <w:tc>
          <w:tcPr>
            <w:tcW w:w="1627" w:type="dxa"/>
            <w:tcBorders>
              <w:top w:val="single" w:sz="4" w:space="0" w:color="000000"/>
              <w:left w:val="single" w:sz="4" w:space="0" w:color="000000"/>
              <w:bottom w:val="single" w:sz="4" w:space="0" w:color="000000"/>
              <w:right w:val="single" w:sz="4" w:space="0" w:color="000000"/>
            </w:tcBorders>
            <w:hideMark/>
          </w:tcPr>
          <w:p w14:paraId="37BCB45D" w14:textId="77777777" w:rsidR="00E41882" w:rsidRPr="00E41882" w:rsidRDefault="00E41882" w:rsidP="007D5C29">
            <w:pPr>
              <w:pStyle w:val="TableParagraph"/>
              <w:ind w:right="293"/>
              <w:rPr>
                <w:sz w:val="20"/>
                <w:szCs w:val="20"/>
              </w:rPr>
            </w:pPr>
            <w:r w:rsidRPr="00E41882">
              <w:rPr>
                <w:sz w:val="20"/>
                <w:szCs w:val="20"/>
              </w:rPr>
              <w:t>Joint stiffness Myalgia Neck pain</w:t>
            </w:r>
          </w:p>
        </w:tc>
        <w:tc>
          <w:tcPr>
            <w:tcW w:w="1603" w:type="dxa"/>
            <w:tcBorders>
              <w:top w:val="single" w:sz="4" w:space="0" w:color="000000"/>
              <w:left w:val="single" w:sz="4" w:space="0" w:color="000000"/>
              <w:bottom w:val="single" w:sz="4" w:space="0" w:color="000000"/>
              <w:right w:val="single" w:sz="4" w:space="0" w:color="000000"/>
            </w:tcBorders>
            <w:hideMark/>
          </w:tcPr>
          <w:p w14:paraId="5D601978" w14:textId="12216767" w:rsidR="00E41882" w:rsidRPr="00E41882" w:rsidRDefault="00E41882" w:rsidP="007D5C29">
            <w:pPr>
              <w:pStyle w:val="TableParagraph"/>
              <w:ind w:left="100" w:right="141"/>
              <w:rPr>
                <w:sz w:val="20"/>
                <w:szCs w:val="20"/>
              </w:rPr>
            </w:pPr>
            <w:r w:rsidRPr="00E41882">
              <w:rPr>
                <w:sz w:val="20"/>
                <w:szCs w:val="20"/>
              </w:rPr>
              <w:t>Rhabdomyolysis</w:t>
            </w:r>
          </w:p>
        </w:tc>
        <w:tc>
          <w:tcPr>
            <w:tcW w:w="1761" w:type="dxa"/>
            <w:tcBorders>
              <w:top w:val="single" w:sz="4" w:space="0" w:color="000000"/>
              <w:left w:val="single" w:sz="4" w:space="0" w:color="000000"/>
              <w:bottom w:val="single" w:sz="4" w:space="0" w:color="000000"/>
              <w:right w:val="single" w:sz="4" w:space="0" w:color="000000"/>
            </w:tcBorders>
          </w:tcPr>
          <w:p w14:paraId="4ABDE796" w14:textId="77777777" w:rsidR="00E41882" w:rsidRPr="00E41882" w:rsidRDefault="00E41882" w:rsidP="007D5C29">
            <w:pPr>
              <w:rPr>
                <w:sz w:val="20"/>
              </w:rPr>
            </w:pPr>
          </w:p>
        </w:tc>
      </w:tr>
      <w:tr w:rsidR="00E41882" w:rsidRPr="00E41882" w14:paraId="5244C15C" w14:textId="77777777" w:rsidTr="002305B4">
        <w:trPr>
          <w:trHeight w:hRule="exact" w:val="833"/>
        </w:trPr>
        <w:tc>
          <w:tcPr>
            <w:tcW w:w="1720" w:type="dxa"/>
            <w:tcBorders>
              <w:top w:val="single" w:sz="4" w:space="0" w:color="000000"/>
              <w:left w:val="single" w:sz="4" w:space="0" w:color="000000"/>
              <w:bottom w:val="single" w:sz="4" w:space="0" w:color="000000"/>
              <w:right w:val="single" w:sz="4" w:space="0" w:color="000000"/>
            </w:tcBorders>
            <w:hideMark/>
          </w:tcPr>
          <w:p w14:paraId="7062D92E" w14:textId="77777777" w:rsidR="00E41882" w:rsidRPr="00E41882" w:rsidRDefault="00E41882" w:rsidP="007D5C29">
            <w:pPr>
              <w:pStyle w:val="TableParagraph"/>
              <w:ind w:right="551"/>
              <w:rPr>
                <w:sz w:val="20"/>
                <w:szCs w:val="20"/>
              </w:rPr>
            </w:pPr>
            <w:r w:rsidRPr="00E41882">
              <w:rPr>
                <w:sz w:val="20"/>
                <w:szCs w:val="20"/>
              </w:rPr>
              <w:t>Renal and urinary disorders</w:t>
            </w:r>
          </w:p>
        </w:tc>
        <w:tc>
          <w:tcPr>
            <w:tcW w:w="1142" w:type="dxa"/>
            <w:tcBorders>
              <w:top w:val="single" w:sz="4" w:space="0" w:color="000000"/>
              <w:left w:val="single" w:sz="4" w:space="0" w:color="000000"/>
              <w:bottom w:val="single" w:sz="4" w:space="0" w:color="000000"/>
              <w:right w:val="single" w:sz="4" w:space="0" w:color="000000"/>
            </w:tcBorders>
          </w:tcPr>
          <w:p w14:paraId="1B32A024"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0036443F" w14:textId="77777777" w:rsidR="00E41882" w:rsidRPr="00E41882" w:rsidRDefault="00E41882" w:rsidP="007D5C29">
            <w:pPr>
              <w:pStyle w:val="TableParagraph"/>
              <w:ind w:right="581"/>
              <w:rPr>
                <w:sz w:val="20"/>
                <w:szCs w:val="20"/>
              </w:rPr>
            </w:pPr>
            <w:r w:rsidRPr="00E41882">
              <w:rPr>
                <w:sz w:val="20"/>
                <w:szCs w:val="20"/>
              </w:rPr>
              <w:t>Serum creatinine increased</w:t>
            </w:r>
          </w:p>
        </w:tc>
        <w:tc>
          <w:tcPr>
            <w:tcW w:w="1627" w:type="dxa"/>
            <w:tcBorders>
              <w:top w:val="single" w:sz="4" w:space="0" w:color="000000"/>
              <w:left w:val="single" w:sz="4" w:space="0" w:color="000000"/>
              <w:bottom w:val="single" w:sz="4" w:space="0" w:color="000000"/>
              <w:right w:val="single" w:sz="4" w:space="0" w:color="000000"/>
            </w:tcBorders>
            <w:hideMark/>
          </w:tcPr>
          <w:p w14:paraId="3CE4DD15" w14:textId="77777777" w:rsidR="00E41882" w:rsidRPr="00E41882" w:rsidRDefault="00E41882" w:rsidP="007D5C29">
            <w:pPr>
              <w:pStyle w:val="TableParagraph"/>
              <w:rPr>
                <w:sz w:val="20"/>
                <w:szCs w:val="20"/>
              </w:rPr>
            </w:pPr>
            <w:r w:rsidRPr="00E41882">
              <w:rPr>
                <w:sz w:val="20"/>
                <w:szCs w:val="20"/>
              </w:rPr>
              <w:t>Dysuria</w:t>
            </w:r>
          </w:p>
        </w:tc>
        <w:tc>
          <w:tcPr>
            <w:tcW w:w="1603" w:type="dxa"/>
            <w:tcBorders>
              <w:top w:val="single" w:sz="4" w:space="0" w:color="000000"/>
              <w:left w:val="single" w:sz="4" w:space="0" w:color="000000"/>
              <w:bottom w:val="single" w:sz="4" w:space="0" w:color="000000"/>
              <w:right w:val="single" w:sz="4" w:space="0" w:color="000000"/>
            </w:tcBorders>
            <w:hideMark/>
          </w:tcPr>
          <w:p w14:paraId="33025150" w14:textId="77777777" w:rsidR="00E41882" w:rsidRPr="00E41882" w:rsidRDefault="00E41882" w:rsidP="007D5C29">
            <w:pPr>
              <w:pStyle w:val="TableParagraph"/>
              <w:ind w:left="100"/>
              <w:rPr>
                <w:sz w:val="20"/>
                <w:szCs w:val="20"/>
              </w:rPr>
            </w:pPr>
            <w:r w:rsidRPr="00E41882">
              <w:rPr>
                <w:sz w:val="20"/>
                <w:szCs w:val="20"/>
              </w:rPr>
              <w:t>Renal failure</w:t>
            </w:r>
          </w:p>
        </w:tc>
        <w:tc>
          <w:tcPr>
            <w:tcW w:w="1761" w:type="dxa"/>
            <w:tcBorders>
              <w:top w:val="single" w:sz="4" w:space="0" w:color="000000"/>
              <w:left w:val="single" w:sz="4" w:space="0" w:color="000000"/>
              <w:bottom w:val="single" w:sz="4" w:space="0" w:color="000000"/>
              <w:right w:val="single" w:sz="4" w:space="0" w:color="000000"/>
            </w:tcBorders>
          </w:tcPr>
          <w:p w14:paraId="7AF63463" w14:textId="77777777" w:rsidR="00E41882" w:rsidRPr="00E41882" w:rsidRDefault="00E41882" w:rsidP="007D5C29">
            <w:pPr>
              <w:rPr>
                <w:sz w:val="20"/>
              </w:rPr>
            </w:pPr>
          </w:p>
        </w:tc>
      </w:tr>
      <w:tr w:rsidR="00E41882" w:rsidRPr="000D0570" w14:paraId="687C50B4" w14:textId="77777777" w:rsidTr="002305B4">
        <w:trPr>
          <w:trHeight w:hRule="exact" w:val="1274"/>
        </w:trPr>
        <w:tc>
          <w:tcPr>
            <w:tcW w:w="1720" w:type="dxa"/>
            <w:tcBorders>
              <w:top w:val="single" w:sz="4" w:space="0" w:color="000000"/>
              <w:left w:val="single" w:sz="4" w:space="0" w:color="000000"/>
              <w:bottom w:val="single" w:sz="4" w:space="0" w:color="000000"/>
              <w:right w:val="single" w:sz="4" w:space="0" w:color="000000"/>
            </w:tcBorders>
            <w:hideMark/>
          </w:tcPr>
          <w:p w14:paraId="32BAC8F4" w14:textId="77777777" w:rsidR="00E41882" w:rsidRPr="00E41882" w:rsidRDefault="00E41882" w:rsidP="007D5C29">
            <w:pPr>
              <w:pStyle w:val="TableParagraph"/>
              <w:ind w:right="294"/>
              <w:rPr>
                <w:sz w:val="20"/>
                <w:szCs w:val="20"/>
              </w:rPr>
            </w:pPr>
            <w:r w:rsidRPr="00E41882">
              <w:rPr>
                <w:sz w:val="20"/>
                <w:szCs w:val="20"/>
              </w:rPr>
              <w:t>Pregnancy, puerperium and perinatal conditions</w:t>
            </w:r>
          </w:p>
        </w:tc>
        <w:tc>
          <w:tcPr>
            <w:tcW w:w="1142" w:type="dxa"/>
            <w:tcBorders>
              <w:top w:val="single" w:sz="4" w:space="0" w:color="000000"/>
              <w:left w:val="single" w:sz="4" w:space="0" w:color="000000"/>
              <w:bottom w:val="single" w:sz="4" w:space="0" w:color="000000"/>
              <w:right w:val="single" w:sz="4" w:space="0" w:color="000000"/>
            </w:tcBorders>
          </w:tcPr>
          <w:p w14:paraId="42BC0D03"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tcPr>
          <w:p w14:paraId="434BF3CC" w14:textId="77777777" w:rsidR="00E41882" w:rsidRPr="00E41882" w:rsidRDefault="00E41882" w:rsidP="007D5C29">
            <w:pPr>
              <w:rPr>
                <w:sz w:val="20"/>
                <w:lang w:val="en-US"/>
              </w:rPr>
            </w:pPr>
          </w:p>
        </w:tc>
        <w:tc>
          <w:tcPr>
            <w:tcW w:w="1627" w:type="dxa"/>
            <w:tcBorders>
              <w:top w:val="single" w:sz="4" w:space="0" w:color="000000"/>
              <w:left w:val="single" w:sz="4" w:space="0" w:color="000000"/>
              <w:bottom w:val="single" w:sz="4" w:space="0" w:color="000000"/>
              <w:right w:val="single" w:sz="4" w:space="0" w:color="000000"/>
            </w:tcBorders>
          </w:tcPr>
          <w:p w14:paraId="53D4AC6E" w14:textId="77777777" w:rsidR="00E41882" w:rsidRPr="00E41882" w:rsidRDefault="00E41882" w:rsidP="007D5C29">
            <w:pPr>
              <w:rPr>
                <w:sz w:val="20"/>
                <w:lang w:val="en-US"/>
              </w:rPr>
            </w:pPr>
          </w:p>
        </w:tc>
        <w:tc>
          <w:tcPr>
            <w:tcW w:w="1603" w:type="dxa"/>
            <w:tcBorders>
              <w:top w:val="single" w:sz="4" w:space="0" w:color="000000"/>
              <w:left w:val="single" w:sz="4" w:space="0" w:color="000000"/>
              <w:bottom w:val="single" w:sz="4" w:space="0" w:color="000000"/>
              <w:right w:val="single" w:sz="4" w:space="0" w:color="000000"/>
            </w:tcBorders>
          </w:tcPr>
          <w:p w14:paraId="20E7D134" w14:textId="77777777" w:rsidR="00E41882" w:rsidRPr="00E41882" w:rsidRDefault="00E41882" w:rsidP="007D5C29">
            <w:pPr>
              <w:rPr>
                <w:sz w:val="20"/>
                <w:lang w:val="en-US"/>
              </w:rPr>
            </w:pPr>
          </w:p>
        </w:tc>
        <w:tc>
          <w:tcPr>
            <w:tcW w:w="1761" w:type="dxa"/>
            <w:tcBorders>
              <w:top w:val="single" w:sz="4" w:space="0" w:color="000000"/>
              <w:left w:val="single" w:sz="4" w:space="0" w:color="000000"/>
              <w:bottom w:val="single" w:sz="4" w:space="0" w:color="000000"/>
              <w:right w:val="single" w:sz="4" w:space="0" w:color="000000"/>
            </w:tcBorders>
            <w:hideMark/>
          </w:tcPr>
          <w:p w14:paraId="7851782D" w14:textId="77777777" w:rsidR="00E41882" w:rsidRPr="00E41882" w:rsidRDefault="00E41882" w:rsidP="007D5C29">
            <w:pPr>
              <w:pStyle w:val="TableParagraph"/>
              <w:ind w:right="364"/>
              <w:rPr>
                <w:sz w:val="20"/>
                <w:szCs w:val="20"/>
              </w:rPr>
            </w:pPr>
            <w:r w:rsidRPr="00E41882">
              <w:rPr>
                <w:sz w:val="20"/>
                <w:szCs w:val="20"/>
              </w:rPr>
              <w:t>Drug withdrawal syndrome neonatal (see 4.6)</w:t>
            </w:r>
          </w:p>
        </w:tc>
      </w:tr>
      <w:tr w:rsidR="00E41882" w:rsidRPr="00E41882" w14:paraId="160AE22B" w14:textId="77777777" w:rsidTr="002305B4">
        <w:trPr>
          <w:trHeight w:hRule="exact" w:val="1894"/>
        </w:trPr>
        <w:tc>
          <w:tcPr>
            <w:tcW w:w="1720" w:type="dxa"/>
            <w:tcBorders>
              <w:top w:val="single" w:sz="4" w:space="0" w:color="000000"/>
              <w:left w:val="single" w:sz="4" w:space="0" w:color="000000"/>
              <w:bottom w:val="single" w:sz="4" w:space="0" w:color="000000"/>
              <w:right w:val="single" w:sz="4" w:space="0" w:color="000000"/>
            </w:tcBorders>
            <w:hideMark/>
          </w:tcPr>
          <w:p w14:paraId="0430FB10" w14:textId="77777777" w:rsidR="00E41882" w:rsidRPr="00E41882" w:rsidRDefault="00E41882" w:rsidP="007D5C29">
            <w:pPr>
              <w:pStyle w:val="TableParagraph"/>
              <w:ind w:right="251"/>
              <w:rPr>
                <w:sz w:val="20"/>
                <w:szCs w:val="20"/>
              </w:rPr>
            </w:pPr>
            <w:r w:rsidRPr="00E41882">
              <w:rPr>
                <w:sz w:val="20"/>
                <w:szCs w:val="20"/>
              </w:rPr>
              <w:t>Reproductive system and breast disorders</w:t>
            </w:r>
          </w:p>
        </w:tc>
        <w:tc>
          <w:tcPr>
            <w:tcW w:w="1142" w:type="dxa"/>
            <w:tcBorders>
              <w:top w:val="single" w:sz="4" w:space="0" w:color="000000"/>
              <w:left w:val="single" w:sz="4" w:space="0" w:color="000000"/>
              <w:bottom w:val="single" w:sz="4" w:space="0" w:color="000000"/>
              <w:right w:val="single" w:sz="4" w:space="0" w:color="000000"/>
            </w:tcBorders>
          </w:tcPr>
          <w:p w14:paraId="661C36FA"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tcPr>
          <w:p w14:paraId="63760E6D" w14:textId="77777777" w:rsidR="00E41882" w:rsidRPr="00E41882" w:rsidRDefault="00E41882" w:rsidP="007D5C29">
            <w:pPr>
              <w:rPr>
                <w:sz w:val="20"/>
                <w:lang w:val="en-US"/>
              </w:rPr>
            </w:pPr>
          </w:p>
        </w:tc>
        <w:tc>
          <w:tcPr>
            <w:tcW w:w="1627" w:type="dxa"/>
            <w:tcBorders>
              <w:top w:val="single" w:sz="4" w:space="0" w:color="000000"/>
              <w:left w:val="single" w:sz="4" w:space="0" w:color="000000"/>
              <w:bottom w:val="single" w:sz="4" w:space="0" w:color="000000"/>
              <w:right w:val="single" w:sz="4" w:space="0" w:color="000000"/>
            </w:tcBorders>
            <w:hideMark/>
          </w:tcPr>
          <w:p w14:paraId="4314643B" w14:textId="77777777" w:rsidR="00E41882" w:rsidRPr="00E41882" w:rsidRDefault="00E41882" w:rsidP="007D5C29">
            <w:pPr>
              <w:pStyle w:val="TableParagraph"/>
              <w:ind w:right="89"/>
              <w:rPr>
                <w:sz w:val="20"/>
                <w:szCs w:val="20"/>
              </w:rPr>
            </w:pPr>
            <w:r w:rsidRPr="00E41882">
              <w:rPr>
                <w:sz w:val="20"/>
                <w:szCs w:val="20"/>
              </w:rPr>
              <w:t>Blood prolactin increased Erectile dysfunction Amenorrhoea Dysmenorrhoea</w:t>
            </w:r>
          </w:p>
        </w:tc>
        <w:tc>
          <w:tcPr>
            <w:tcW w:w="1603" w:type="dxa"/>
            <w:tcBorders>
              <w:top w:val="single" w:sz="4" w:space="0" w:color="000000"/>
              <w:left w:val="single" w:sz="4" w:space="0" w:color="000000"/>
              <w:bottom w:val="single" w:sz="4" w:space="0" w:color="000000"/>
              <w:right w:val="single" w:sz="4" w:space="0" w:color="000000"/>
            </w:tcBorders>
            <w:hideMark/>
          </w:tcPr>
          <w:p w14:paraId="00561636" w14:textId="77777777" w:rsidR="00E41882" w:rsidRPr="00E41882" w:rsidRDefault="00E41882" w:rsidP="007D5C29">
            <w:pPr>
              <w:pStyle w:val="TableParagraph"/>
              <w:ind w:left="100" w:right="227"/>
              <w:rPr>
                <w:sz w:val="20"/>
                <w:szCs w:val="20"/>
              </w:rPr>
            </w:pPr>
            <w:r w:rsidRPr="00E41882">
              <w:rPr>
                <w:sz w:val="20"/>
                <w:szCs w:val="20"/>
              </w:rPr>
              <w:t>Breast pain Galactorrhoea</w:t>
            </w:r>
          </w:p>
        </w:tc>
        <w:tc>
          <w:tcPr>
            <w:tcW w:w="1761" w:type="dxa"/>
            <w:tcBorders>
              <w:top w:val="single" w:sz="4" w:space="0" w:color="000000"/>
              <w:left w:val="single" w:sz="4" w:space="0" w:color="000000"/>
              <w:bottom w:val="single" w:sz="4" w:space="0" w:color="000000"/>
              <w:right w:val="single" w:sz="4" w:space="0" w:color="000000"/>
            </w:tcBorders>
            <w:hideMark/>
          </w:tcPr>
          <w:p w14:paraId="42A6DA20" w14:textId="6BC91ECB" w:rsidR="00E41882" w:rsidRPr="00E41882" w:rsidRDefault="00E41882" w:rsidP="007D5C29">
            <w:pPr>
              <w:pStyle w:val="TableParagraph"/>
              <w:ind w:right="101"/>
              <w:rPr>
                <w:sz w:val="20"/>
                <w:szCs w:val="20"/>
              </w:rPr>
            </w:pPr>
            <w:r w:rsidRPr="00E41882">
              <w:rPr>
                <w:sz w:val="20"/>
                <w:szCs w:val="20"/>
              </w:rPr>
              <w:t>Breast enlargement****</w:t>
            </w:r>
          </w:p>
        </w:tc>
      </w:tr>
      <w:tr w:rsidR="00E41882" w:rsidRPr="00E41882" w14:paraId="45E57C1B" w14:textId="77777777" w:rsidTr="002305B4">
        <w:trPr>
          <w:trHeight w:hRule="exact" w:val="1292"/>
        </w:trPr>
        <w:tc>
          <w:tcPr>
            <w:tcW w:w="1720" w:type="dxa"/>
            <w:tcBorders>
              <w:top w:val="single" w:sz="4" w:space="0" w:color="000000"/>
              <w:left w:val="single" w:sz="4" w:space="0" w:color="000000"/>
              <w:bottom w:val="single" w:sz="4" w:space="0" w:color="000000"/>
              <w:right w:val="single" w:sz="4" w:space="0" w:color="000000"/>
            </w:tcBorders>
            <w:hideMark/>
          </w:tcPr>
          <w:p w14:paraId="6E8FD527" w14:textId="696EEE74" w:rsidR="00E41882" w:rsidRPr="00E41882" w:rsidRDefault="00E41882" w:rsidP="007D5C29">
            <w:pPr>
              <w:pStyle w:val="TableParagraph"/>
              <w:ind w:right="159"/>
              <w:rPr>
                <w:sz w:val="20"/>
                <w:szCs w:val="20"/>
              </w:rPr>
            </w:pPr>
            <w:r w:rsidRPr="00E41882">
              <w:rPr>
                <w:sz w:val="20"/>
                <w:szCs w:val="20"/>
              </w:rPr>
              <w:t xml:space="preserve">General disorders and </w:t>
            </w:r>
            <w:r w:rsidR="002305B4">
              <w:rPr>
                <w:sz w:val="20"/>
                <w:szCs w:val="20"/>
              </w:rPr>
              <w:t>a</w:t>
            </w:r>
            <w:r w:rsidRPr="00E41882">
              <w:rPr>
                <w:sz w:val="20"/>
                <w:szCs w:val="20"/>
              </w:rPr>
              <w:t>dministration site conditions</w:t>
            </w:r>
          </w:p>
        </w:tc>
        <w:tc>
          <w:tcPr>
            <w:tcW w:w="1142" w:type="dxa"/>
            <w:tcBorders>
              <w:top w:val="single" w:sz="4" w:space="0" w:color="000000"/>
              <w:left w:val="single" w:sz="4" w:space="0" w:color="000000"/>
              <w:bottom w:val="single" w:sz="4" w:space="0" w:color="000000"/>
              <w:right w:val="single" w:sz="4" w:space="0" w:color="000000"/>
            </w:tcBorders>
          </w:tcPr>
          <w:p w14:paraId="1EF12F08"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hideMark/>
          </w:tcPr>
          <w:p w14:paraId="25A6151B" w14:textId="77777777" w:rsidR="00E41882" w:rsidRPr="00E41882" w:rsidRDefault="00E41882" w:rsidP="007D5C29">
            <w:pPr>
              <w:pStyle w:val="TableParagraph"/>
              <w:rPr>
                <w:sz w:val="20"/>
                <w:szCs w:val="20"/>
              </w:rPr>
            </w:pPr>
            <w:r w:rsidRPr="00E41882">
              <w:rPr>
                <w:sz w:val="20"/>
                <w:szCs w:val="20"/>
              </w:rPr>
              <w:t>Fatigue</w:t>
            </w:r>
          </w:p>
        </w:tc>
        <w:tc>
          <w:tcPr>
            <w:tcW w:w="1627" w:type="dxa"/>
            <w:tcBorders>
              <w:top w:val="single" w:sz="4" w:space="0" w:color="000000"/>
              <w:left w:val="single" w:sz="4" w:space="0" w:color="000000"/>
              <w:bottom w:val="single" w:sz="4" w:space="0" w:color="000000"/>
              <w:right w:val="single" w:sz="4" w:space="0" w:color="000000"/>
            </w:tcBorders>
            <w:hideMark/>
          </w:tcPr>
          <w:p w14:paraId="6F84866C" w14:textId="77777777" w:rsidR="00E41882" w:rsidRPr="00E41882" w:rsidRDefault="00E41882" w:rsidP="007D5C29">
            <w:pPr>
              <w:pStyle w:val="TableParagraph"/>
              <w:ind w:right="480"/>
              <w:rPr>
                <w:sz w:val="20"/>
                <w:szCs w:val="20"/>
              </w:rPr>
            </w:pPr>
            <w:r w:rsidRPr="00E41882">
              <w:rPr>
                <w:sz w:val="20"/>
                <w:szCs w:val="20"/>
              </w:rPr>
              <w:t>Gait disturbance</w:t>
            </w:r>
          </w:p>
        </w:tc>
        <w:tc>
          <w:tcPr>
            <w:tcW w:w="1603" w:type="dxa"/>
            <w:tcBorders>
              <w:top w:val="single" w:sz="4" w:space="0" w:color="000000"/>
              <w:left w:val="single" w:sz="4" w:space="0" w:color="000000"/>
              <w:bottom w:val="single" w:sz="4" w:space="0" w:color="000000"/>
              <w:right w:val="single" w:sz="4" w:space="0" w:color="000000"/>
            </w:tcBorders>
            <w:hideMark/>
          </w:tcPr>
          <w:p w14:paraId="4A25C05D" w14:textId="77777777" w:rsidR="00E41882" w:rsidRPr="00E41882" w:rsidRDefault="00E41882" w:rsidP="007D5C29">
            <w:pPr>
              <w:pStyle w:val="TableParagraph"/>
              <w:ind w:left="100"/>
              <w:rPr>
                <w:sz w:val="20"/>
                <w:szCs w:val="20"/>
              </w:rPr>
            </w:pPr>
            <w:r w:rsidRPr="00E41882">
              <w:rPr>
                <w:sz w:val="20"/>
                <w:szCs w:val="20"/>
              </w:rPr>
              <w:t>Sudden death</w:t>
            </w:r>
          </w:p>
        </w:tc>
        <w:tc>
          <w:tcPr>
            <w:tcW w:w="1761" w:type="dxa"/>
            <w:tcBorders>
              <w:top w:val="single" w:sz="4" w:space="0" w:color="000000"/>
              <w:left w:val="single" w:sz="4" w:space="0" w:color="000000"/>
              <w:bottom w:val="single" w:sz="4" w:space="0" w:color="000000"/>
              <w:right w:val="single" w:sz="4" w:space="0" w:color="000000"/>
            </w:tcBorders>
          </w:tcPr>
          <w:p w14:paraId="2551959D" w14:textId="77777777" w:rsidR="00E41882" w:rsidRPr="00E41882" w:rsidRDefault="00E41882" w:rsidP="007D5C29">
            <w:pPr>
              <w:rPr>
                <w:sz w:val="20"/>
              </w:rPr>
            </w:pPr>
          </w:p>
        </w:tc>
      </w:tr>
      <w:tr w:rsidR="00E41882" w:rsidRPr="00E41882" w14:paraId="2520F1B4" w14:textId="77777777" w:rsidTr="002305B4">
        <w:trPr>
          <w:trHeight w:hRule="exact" w:val="1127"/>
        </w:trPr>
        <w:tc>
          <w:tcPr>
            <w:tcW w:w="1720" w:type="dxa"/>
            <w:tcBorders>
              <w:top w:val="single" w:sz="4" w:space="0" w:color="000000"/>
              <w:left w:val="single" w:sz="4" w:space="0" w:color="000000"/>
              <w:bottom w:val="single" w:sz="4" w:space="0" w:color="000000"/>
              <w:right w:val="single" w:sz="4" w:space="0" w:color="000000"/>
            </w:tcBorders>
            <w:hideMark/>
          </w:tcPr>
          <w:p w14:paraId="0FD6EA02" w14:textId="77777777" w:rsidR="00E41882" w:rsidRPr="00E41882" w:rsidRDefault="00E41882" w:rsidP="007D5C29">
            <w:pPr>
              <w:pStyle w:val="TableParagraph"/>
              <w:ind w:right="159"/>
              <w:rPr>
                <w:sz w:val="20"/>
                <w:szCs w:val="20"/>
              </w:rPr>
            </w:pPr>
            <w:r w:rsidRPr="00E41882">
              <w:rPr>
                <w:sz w:val="20"/>
                <w:szCs w:val="20"/>
              </w:rPr>
              <w:t>Investigations</w:t>
            </w:r>
          </w:p>
        </w:tc>
        <w:tc>
          <w:tcPr>
            <w:tcW w:w="1142" w:type="dxa"/>
            <w:tcBorders>
              <w:top w:val="single" w:sz="4" w:space="0" w:color="000000"/>
              <w:left w:val="single" w:sz="4" w:space="0" w:color="000000"/>
              <w:bottom w:val="single" w:sz="4" w:space="0" w:color="000000"/>
              <w:right w:val="single" w:sz="4" w:space="0" w:color="000000"/>
            </w:tcBorders>
          </w:tcPr>
          <w:p w14:paraId="42DC0C2B"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0ECBA55E" w14:textId="77777777" w:rsidR="00E41882" w:rsidRPr="00E41882" w:rsidRDefault="00E41882" w:rsidP="007D5C29">
            <w:pPr>
              <w:pStyle w:val="TableParagraph"/>
              <w:rPr>
                <w:sz w:val="20"/>
                <w:szCs w:val="20"/>
              </w:rPr>
            </w:pPr>
            <w:r w:rsidRPr="00E41882">
              <w:rPr>
                <w:sz w:val="20"/>
                <w:szCs w:val="20"/>
              </w:rPr>
              <w:t>Blood creatinine phosphokinase increased</w:t>
            </w:r>
          </w:p>
        </w:tc>
        <w:tc>
          <w:tcPr>
            <w:tcW w:w="1627" w:type="dxa"/>
            <w:tcBorders>
              <w:top w:val="single" w:sz="4" w:space="0" w:color="000000"/>
              <w:left w:val="single" w:sz="4" w:space="0" w:color="000000"/>
              <w:bottom w:val="single" w:sz="4" w:space="0" w:color="000000"/>
              <w:right w:val="single" w:sz="4" w:space="0" w:color="000000"/>
            </w:tcBorders>
          </w:tcPr>
          <w:p w14:paraId="3593AF29" w14:textId="77777777" w:rsidR="00E41882" w:rsidRPr="00E41882" w:rsidRDefault="00E41882" w:rsidP="007D5C29">
            <w:pPr>
              <w:pStyle w:val="TableParagraph"/>
              <w:ind w:right="480"/>
              <w:rPr>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7DB39195" w14:textId="77777777" w:rsidR="00E41882" w:rsidRPr="00E41882" w:rsidRDefault="00E41882" w:rsidP="007D5C29">
            <w:pPr>
              <w:pStyle w:val="TableParagraph"/>
              <w:ind w:left="100"/>
              <w:rPr>
                <w:sz w:val="20"/>
                <w:szCs w:val="20"/>
              </w:rPr>
            </w:pPr>
          </w:p>
        </w:tc>
        <w:tc>
          <w:tcPr>
            <w:tcW w:w="1761" w:type="dxa"/>
            <w:tcBorders>
              <w:top w:val="single" w:sz="4" w:space="0" w:color="000000"/>
              <w:left w:val="single" w:sz="4" w:space="0" w:color="000000"/>
              <w:bottom w:val="single" w:sz="4" w:space="0" w:color="000000"/>
              <w:right w:val="single" w:sz="4" w:space="0" w:color="000000"/>
            </w:tcBorders>
          </w:tcPr>
          <w:p w14:paraId="6CE4EB3A" w14:textId="77777777" w:rsidR="00E41882" w:rsidRPr="00E41882" w:rsidRDefault="00E41882" w:rsidP="007D5C29">
            <w:pPr>
              <w:rPr>
                <w:sz w:val="20"/>
              </w:rPr>
            </w:pPr>
          </w:p>
        </w:tc>
      </w:tr>
    </w:tbl>
    <w:p w14:paraId="27D21E51" w14:textId="77777777" w:rsidR="00E41882" w:rsidRPr="00E41882" w:rsidRDefault="00E41882" w:rsidP="007D5C29">
      <w:pPr>
        <w:ind w:left="118"/>
        <w:rPr>
          <w:sz w:val="18"/>
          <w:lang w:val="en-US"/>
        </w:rPr>
      </w:pPr>
      <w:r w:rsidRPr="00E41882">
        <w:rPr>
          <w:sz w:val="18"/>
          <w:lang w:val="en-US"/>
        </w:rPr>
        <w:t>*Somnolence includes adverse reaction terms: hypersomnia, hypersomnolence, sedation, and somnolence</w:t>
      </w:r>
    </w:p>
    <w:p w14:paraId="42E1D447" w14:textId="77777777" w:rsidR="00E41882" w:rsidRPr="00E41882" w:rsidRDefault="00E41882" w:rsidP="007D5C29">
      <w:pPr>
        <w:ind w:left="118" w:right="774"/>
        <w:rPr>
          <w:sz w:val="18"/>
          <w:lang w:val="en-US"/>
        </w:rPr>
      </w:pPr>
      <w:r w:rsidRPr="00E41882">
        <w:rPr>
          <w:sz w:val="18"/>
          <w:lang w:val="en-US"/>
        </w:rPr>
        <w:t>**Parkinsonism includes adverse reaction terms: bradykinesia, cogwheel rigidity, drooling, extrapyramidal disorder, hypokinesia, muscle rigidity, parkinsonism, psychomotor retardation, and tremor</w:t>
      </w:r>
    </w:p>
    <w:p w14:paraId="6C99933D" w14:textId="77777777" w:rsidR="00E41882" w:rsidRPr="00E41882" w:rsidRDefault="00E41882" w:rsidP="007D5C29">
      <w:pPr>
        <w:ind w:left="118" w:right="248"/>
        <w:rPr>
          <w:sz w:val="18"/>
          <w:lang w:val="en-US"/>
        </w:rPr>
      </w:pPr>
      <w:r w:rsidRPr="00E41882">
        <w:rPr>
          <w:sz w:val="18"/>
          <w:lang w:val="en-US"/>
        </w:rPr>
        <w:t>***Dystonia includes adverse reaction terms: dystonia, oculogyric crisis, oromandibular dystonia, tongue spasm, torticollis, and trismus.</w:t>
      </w:r>
    </w:p>
    <w:p w14:paraId="5AB27721" w14:textId="77777777" w:rsidR="00E41882" w:rsidRPr="00E41882" w:rsidRDefault="00E41882" w:rsidP="007D5C29">
      <w:pPr>
        <w:ind w:left="118" w:right="114"/>
        <w:rPr>
          <w:sz w:val="18"/>
          <w:lang w:val="en-US"/>
        </w:rPr>
      </w:pPr>
      <w:r w:rsidRPr="00E41882">
        <w:rPr>
          <w:sz w:val="18"/>
          <w:lang w:val="en-US"/>
        </w:rPr>
        <w:t>****ADRs noted in Phase 2 and 3 controlled and uncontrolled studies; however, the incidence of occurrence for these are too low to estimate frequencies.</w:t>
      </w:r>
    </w:p>
    <w:p w14:paraId="0B912374" w14:textId="5FBECC21" w:rsidR="002305B4" w:rsidRDefault="002305B4" w:rsidP="007D5C29">
      <w:pPr>
        <w:rPr>
          <w:sz w:val="22"/>
          <w:szCs w:val="22"/>
          <w:lang w:val="en-US" w:eastAsia="en-US"/>
        </w:rPr>
      </w:pPr>
      <w:r w:rsidRPr="00C1594C">
        <w:rPr>
          <w:lang w:val="en-US"/>
        </w:rPr>
        <w:br w:type="page"/>
      </w:r>
    </w:p>
    <w:p w14:paraId="35A9EEB9" w14:textId="77777777" w:rsidR="00E41882" w:rsidRDefault="00E41882" w:rsidP="007D5C29">
      <w:pPr>
        <w:pStyle w:val="Brdtekst"/>
      </w:pPr>
    </w:p>
    <w:p w14:paraId="5A09D349" w14:textId="77777777" w:rsidR="00E41882" w:rsidRDefault="00E41882" w:rsidP="007D5C29">
      <w:pPr>
        <w:pStyle w:val="Overskrift1"/>
        <w:ind w:left="118"/>
      </w:pPr>
      <w:r>
        <w:t>Table 2:  Adverse Drug Reactions (ADRs) for Adolescents</w:t>
      </w:r>
    </w:p>
    <w:p w14:paraId="45FB6F8F" w14:textId="77777777" w:rsidR="00E41882" w:rsidRDefault="00E41882" w:rsidP="007D5C29">
      <w:pPr>
        <w:pStyle w:val="Brdtekst"/>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414"/>
        <w:gridCol w:w="2074"/>
        <w:gridCol w:w="1903"/>
        <w:gridCol w:w="682"/>
        <w:gridCol w:w="1332"/>
      </w:tblGrid>
      <w:tr w:rsidR="00E41882" w14:paraId="1013A7E0" w14:textId="77777777" w:rsidTr="00E41882">
        <w:trPr>
          <w:trHeight w:hRule="exact" w:val="614"/>
        </w:trPr>
        <w:tc>
          <w:tcPr>
            <w:tcW w:w="1658" w:type="dxa"/>
            <w:tcBorders>
              <w:top w:val="single" w:sz="4" w:space="0" w:color="000000"/>
              <w:left w:val="single" w:sz="4" w:space="0" w:color="000000"/>
              <w:bottom w:val="single" w:sz="4" w:space="0" w:color="000000"/>
              <w:right w:val="single" w:sz="4" w:space="0" w:color="000000"/>
            </w:tcBorders>
            <w:hideMark/>
          </w:tcPr>
          <w:p w14:paraId="59F3AB32" w14:textId="77777777" w:rsidR="00E41882" w:rsidRDefault="00E41882" w:rsidP="007D5C29">
            <w:pPr>
              <w:pStyle w:val="TableParagraph"/>
              <w:ind w:right="187"/>
              <w:rPr>
                <w:b/>
              </w:rPr>
            </w:pPr>
            <w:r>
              <w:rPr>
                <w:b/>
              </w:rPr>
              <w:t>System Organ Class</w:t>
            </w:r>
          </w:p>
        </w:tc>
        <w:tc>
          <w:tcPr>
            <w:tcW w:w="1414" w:type="dxa"/>
            <w:tcBorders>
              <w:top w:val="single" w:sz="4" w:space="0" w:color="000000"/>
              <w:left w:val="single" w:sz="4" w:space="0" w:color="000000"/>
              <w:bottom w:val="single" w:sz="4" w:space="0" w:color="000000"/>
              <w:right w:val="single" w:sz="4" w:space="0" w:color="000000"/>
            </w:tcBorders>
            <w:hideMark/>
          </w:tcPr>
          <w:p w14:paraId="73FB8CBB" w14:textId="77777777" w:rsidR="00E41882" w:rsidRDefault="00E41882" w:rsidP="007D5C29">
            <w:pPr>
              <w:pStyle w:val="TableParagraph"/>
              <w:ind w:right="413"/>
              <w:rPr>
                <w:b/>
              </w:rPr>
            </w:pPr>
            <w:r>
              <w:rPr>
                <w:b/>
              </w:rPr>
              <w:t>Very Common</w:t>
            </w:r>
          </w:p>
        </w:tc>
        <w:tc>
          <w:tcPr>
            <w:tcW w:w="2074" w:type="dxa"/>
            <w:tcBorders>
              <w:top w:val="single" w:sz="4" w:space="0" w:color="000000"/>
              <w:left w:val="single" w:sz="4" w:space="0" w:color="000000"/>
              <w:bottom w:val="single" w:sz="4" w:space="0" w:color="000000"/>
              <w:right w:val="single" w:sz="4" w:space="0" w:color="000000"/>
            </w:tcBorders>
            <w:hideMark/>
          </w:tcPr>
          <w:p w14:paraId="1452CD89" w14:textId="77777777" w:rsidR="00E41882" w:rsidRDefault="00E41882" w:rsidP="007D5C29">
            <w:pPr>
              <w:pStyle w:val="TableParagraph"/>
              <w:rPr>
                <w:b/>
              </w:rPr>
            </w:pPr>
            <w:r>
              <w:rPr>
                <w:b/>
              </w:rPr>
              <w:t>Common</w:t>
            </w:r>
          </w:p>
        </w:tc>
        <w:tc>
          <w:tcPr>
            <w:tcW w:w="1903" w:type="dxa"/>
            <w:tcBorders>
              <w:top w:val="single" w:sz="4" w:space="0" w:color="000000"/>
              <w:left w:val="single" w:sz="4" w:space="0" w:color="000000"/>
              <w:bottom w:val="single" w:sz="4" w:space="0" w:color="000000"/>
              <w:right w:val="single" w:sz="4" w:space="0" w:color="000000"/>
            </w:tcBorders>
            <w:hideMark/>
          </w:tcPr>
          <w:p w14:paraId="47A3ADF3" w14:textId="77777777" w:rsidR="00E41882" w:rsidRDefault="00E41882" w:rsidP="007D5C29">
            <w:pPr>
              <w:pStyle w:val="TableParagraph"/>
              <w:rPr>
                <w:b/>
              </w:rPr>
            </w:pPr>
            <w:r>
              <w:rPr>
                <w:b/>
              </w:rPr>
              <w:t>Uncommon</w:t>
            </w:r>
          </w:p>
        </w:tc>
        <w:tc>
          <w:tcPr>
            <w:tcW w:w="682" w:type="dxa"/>
            <w:tcBorders>
              <w:top w:val="single" w:sz="4" w:space="0" w:color="000000"/>
              <w:left w:val="single" w:sz="4" w:space="0" w:color="000000"/>
              <w:bottom w:val="single" w:sz="4" w:space="0" w:color="000000"/>
              <w:right w:val="single" w:sz="4" w:space="0" w:color="000000"/>
            </w:tcBorders>
            <w:hideMark/>
          </w:tcPr>
          <w:p w14:paraId="6D55316B" w14:textId="77777777" w:rsidR="00E41882" w:rsidRDefault="00E41882" w:rsidP="007D5C29">
            <w:pPr>
              <w:pStyle w:val="TableParagraph"/>
              <w:rPr>
                <w:b/>
              </w:rPr>
            </w:pPr>
            <w:r>
              <w:rPr>
                <w:b/>
              </w:rPr>
              <w:t>Rare</w:t>
            </w:r>
          </w:p>
        </w:tc>
        <w:tc>
          <w:tcPr>
            <w:tcW w:w="1332" w:type="dxa"/>
            <w:tcBorders>
              <w:top w:val="single" w:sz="4" w:space="0" w:color="000000"/>
              <w:left w:val="single" w:sz="4" w:space="0" w:color="000000"/>
              <w:bottom w:val="single" w:sz="4" w:space="0" w:color="000000"/>
              <w:right w:val="single" w:sz="4" w:space="0" w:color="000000"/>
            </w:tcBorders>
            <w:hideMark/>
          </w:tcPr>
          <w:p w14:paraId="7855D685" w14:textId="77777777" w:rsidR="00E41882" w:rsidRDefault="00E41882" w:rsidP="007D5C29">
            <w:pPr>
              <w:pStyle w:val="TableParagraph"/>
              <w:ind w:left="100" w:right="200"/>
              <w:rPr>
                <w:b/>
              </w:rPr>
            </w:pPr>
            <w:r>
              <w:rPr>
                <w:b/>
              </w:rPr>
              <w:t>Frequency not known</w:t>
            </w:r>
          </w:p>
        </w:tc>
      </w:tr>
      <w:tr w:rsidR="002305B4" w14:paraId="2E467638" w14:textId="77777777" w:rsidTr="00E41882">
        <w:trPr>
          <w:trHeight w:hRule="exact" w:val="614"/>
        </w:trPr>
        <w:tc>
          <w:tcPr>
            <w:tcW w:w="1658" w:type="dxa"/>
            <w:tcBorders>
              <w:top w:val="single" w:sz="4" w:space="0" w:color="000000"/>
              <w:left w:val="single" w:sz="4" w:space="0" w:color="000000"/>
              <w:bottom w:val="single" w:sz="4" w:space="0" w:color="000000"/>
              <w:right w:val="single" w:sz="4" w:space="0" w:color="000000"/>
            </w:tcBorders>
          </w:tcPr>
          <w:p w14:paraId="2701EE9A" w14:textId="77777777" w:rsidR="002305B4" w:rsidRDefault="002305B4" w:rsidP="007D5C29">
            <w:pPr>
              <w:pStyle w:val="TableParagraph"/>
              <w:ind w:right="187"/>
              <w:rPr>
                <w:b/>
              </w:rPr>
            </w:pPr>
          </w:p>
        </w:tc>
        <w:tc>
          <w:tcPr>
            <w:tcW w:w="1414" w:type="dxa"/>
            <w:tcBorders>
              <w:top w:val="single" w:sz="4" w:space="0" w:color="000000"/>
              <w:left w:val="single" w:sz="4" w:space="0" w:color="000000"/>
              <w:bottom w:val="single" w:sz="4" w:space="0" w:color="000000"/>
              <w:right w:val="single" w:sz="4" w:space="0" w:color="000000"/>
            </w:tcBorders>
          </w:tcPr>
          <w:p w14:paraId="102B413F" w14:textId="77777777" w:rsidR="002305B4" w:rsidRDefault="002305B4" w:rsidP="007D5C29">
            <w:pPr>
              <w:pStyle w:val="TableParagraph"/>
              <w:ind w:right="413"/>
              <w:rPr>
                <w:b/>
              </w:rPr>
            </w:pPr>
          </w:p>
        </w:tc>
        <w:tc>
          <w:tcPr>
            <w:tcW w:w="2074" w:type="dxa"/>
            <w:tcBorders>
              <w:top w:val="single" w:sz="4" w:space="0" w:color="000000"/>
              <w:left w:val="single" w:sz="4" w:space="0" w:color="000000"/>
              <w:bottom w:val="single" w:sz="4" w:space="0" w:color="000000"/>
              <w:right w:val="single" w:sz="4" w:space="0" w:color="000000"/>
            </w:tcBorders>
          </w:tcPr>
          <w:p w14:paraId="6672C34F" w14:textId="77777777" w:rsidR="002305B4" w:rsidRDefault="002305B4" w:rsidP="007D5C29">
            <w:pPr>
              <w:pStyle w:val="TableParagraph"/>
              <w:rPr>
                <w:b/>
              </w:rPr>
            </w:pPr>
          </w:p>
        </w:tc>
        <w:tc>
          <w:tcPr>
            <w:tcW w:w="1903" w:type="dxa"/>
            <w:tcBorders>
              <w:top w:val="single" w:sz="4" w:space="0" w:color="000000"/>
              <w:left w:val="single" w:sz="4" w:space="0" w:color="000000"/>
              <w:bottom w:val="single" w:sz="4" w:space="0" w:color="000000"/>
              <w:right w:val="single" w:sz="4" w:space="0" w:color="000000"/>
            </w:tcBorders>
          </w:tcPr>
          <w:p w14:paraId="5BBB9B18" w14:textId="77777777" w:rsidR="002305B4" w:rsidRDefault="002305B4" w:rsidP="007D5C29">
            <w:pPr>
              <w:pStyle w:val="TableParagraph"/>
              <w:rPr>
                <w:b/>
              </w:rPr>
            </w:pPr>
          </w:p>
        </w:tc>
        <w:tc>
          <w:tcPr>
            <w:tcW w:w="682" w:type="dxa"/>
            <w:tcBorders>
              <w:top w:val="single" w:sz="4" w:space="0" w:color="000000"/>
              <w:left w:val="single" w:sz="4" w:space="0" w:color="000000"/>
              <w:bottom w:val="single" w:sz="4" w:space="0" w:color="000000"/>
              <w:right w:val="single" w:sz="4" w:space="0" w:color="000000"/>
            </w:tcBorders>
          </w:tcPr>
          <w:p w14:paraId="4739C90D" w14:textId="77777777" w:rsidR="002305B4" w:rsidRDefault="002305B4" w:rsidP="007D5C29">
            <w:pPr>
              <w:pStyle w:val="TableParagraph"/>
              <w:rPr>
                <w:b/>
              </w:rPr>
            </w:pPr>
          </w:p>
        </w:tc>
        <w:tc>
          <w:tcPr>
            <w:tcW w:w="1332" w:type="dxa"/>
            <w:tcBorders>
              <w:top w:val="single" w:sz="4" w:space="0" w:color="000000"/>
              <w:left w:val="single" w:sz="4" w:space="0" w:color="000000"/>
              <w:bottom w:val="single" w:sz="4" w:space="0" w:color="000000"/>
              <w:right w:val="single" w:sz="4" w:space="0" w:color="000000"/>
            </w:tcBorders>
          </w:tcPr>
          <w:p w14:paraId="0EE2CFB1" w14:textId="77777777" w:rsidR="002305B4" w:rsidRDefault="002305B4" w:rsidP="007D5C29">
            <w:pPr>
              <w:pStyle w:val="TableParagraph"/>
              <w:ind w:left="100" w:right="200"/>
              <w:rPr>
                <w:b/>
              </w:rPr>
            </w:pPr>
          </w:p>
        </w:tc>
      </w:tr>
      <w:tr w:rsidR="00E41882" w:rsidRPr="000D0570" w14:paraId="1DC78187" w14:textId="77777777" w:rsidTr="00E41882">
        <w:trPr>
          <w:trHeight w:hRule="exact" w:val="1022"/>
        </w:trPr>
        <w:tc>
          <w:tcPr>
            <w:tcW w:w="1658" w:type="dxa"/>
            <w:tcBorders>
              <w:top w:val="single" w:sz="4" w:space="0" w:color="000000"/>
              <w:left w:val="single" w:sz="4" w:space="0" w:color="000000"/>
              <w:bottom w:val="single" w:sz="4" w:space="0" w:color="000000"/>
              <w:right w:val="single" w:sz="4" w:space="0" w:color="000000"/>
            </w:tcBorders>
            <w:hideMark/>
          </w:tcPr>
          <w:p w14:paraId="5D1C0414" w14:textId="77777777" w:rsidR="00E41882" w:rsidRDefault="00E41882" w:rsidP="007D5C29">
            <w:pPr>
              <w:pStyle w:val="TableParagraph"/>
              <w:ind w:right="273"/>
            </w:pPr>
            <w:r>
              <w:t>Infections and infestations</w:t>
            </w:r>
          </w:p>
        </w:tc>
        <w:tc>
          <w:tcPr>
            <w:tcW w:w="1414" w:type="dxa"/>
            <w:tcBorders>
              <w:top w:val="single" w:sz="4" w:space="0" w:color="000000"/>
              <w:left w:val="single" w:sz="4" w:space="0" w:color="000000"/>
              <w:bottom w:val="single" w:sz="4" w:space="0" w:color="000000"/>
              <w:right w:val="single" w:sz="4" w:space="0" w:color="000000"/>
            </w:tcBorders>
          </w:tcPr>
          <w:p w14:paraId="16D56CF4"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14C17F85"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5E45D19A" w14:textId="77777777" w:rsidR="00E41882" w:rsidRDefault="00E41882" w:rsidP="007D5C29">
            <w:pPr>
              <w:pStyle w:val="TableParagraph"/>
              <w:ind w:right="328"/>
            </w:pPr>
            <w:r>
              <w:t>Nasopharyngitis Rhinitis</w:t>
            </w:r>
          </w:p>
          <w:p w14:paraId="3786FB4E" w14:textId="77777777" w:rsidR="00E41882" w:rsidRDefault="00E41882" w:rsidP="007D5C29">
            <w:pPr>
              <w:pStyle w:val="TableParagraph"/>
              <w:ind w:right="212"/>
            </w:pPr>
            <w:r>
              <w:t>Upper respiratory tract infection</w:t>
            </w:r>
          </w:p>
        </w:tc>
        <w:tc>
          <w:tcPr>
            <w:tcW w:w="682" w:type="dxa"/>
            <w:tcBorders>
              <w:top w:val="single" w:sz="4" w:space="0" w:color="000000"/>
              <w:left w:val="single" w:sz="4" w:space="0" w:color="000000"/>
              <w:bottom w:val="single" w:sz="4" w:space="0" w:color="000000"/>
              <w:right w:val="single" w:sz="4" w:space="0" w:color="000000"/>
            </w:tcBorders>
          </w:tcPr>
          <w:p w14:paraId="5063AA90"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1A933E3E" w14:textId="77777777" w:rsidR="00E41882" w:rsidRPr="00E41882" w:rsidRDefault="00E41882" w:rsidP="007D5C29">
            <w:pPr>
              <w:rPr>
                <w:lang w:val="en-US"/>
              </w:rPr>
            </w:pPr>
          </w:p>
        </w:tc>
      </w:tr>
      <w:tr w:rsidR="00E41882" w14:paraId="3004B6F2" w14:textId="77777777" w:rsidTr="00E41882">
        <w:trPr>
          <w:trHeight w:hRule="exact" w:val="1022"/>
        </w:trPr>
        <w:tc>
          <w:tcPr>
            <w:tcW w:w="1658" w:type="dxa"/>
            <w:tcBorders>
              <w:top w:val="single" w:sz="4" w:space="0" w:color="000000"/>
              <w:left w:val="single" w:sz="4" w:space="0" w:color="000000"/>
              <w:bottom w:val="single" w:sz="4" w:space="0" w:color="000000"/>
              <w:right w:val="single" w:sz="4" w:space="0" w:color="000000"/>
            </w:tcBorders>
            <w:hideMark/>
          </w:tcPr>
          <w:p w14:paraId="09C0E9F1" w14:textId="77777777" w:rsidR="00E41882" w:rsidRDefault="00E41882" w:rsidP="007D5C29">
            <w:pPr>
              <w:pStyle w:val="TableParagraph"/>
              <w:ind w:right="615"/>
            </w:pPr>
            <w:r>
              <w:t>Blood and lymphatic system disorders</w:t>
            </w:r>
          </w:p>
        </w:tc>
        <w:tc>
          <w:tcPr>
            <w:tcW w:w="1414" w:type="dxa"/>
            <w:tcBorders>
              <w:top w:val="single" w:sz="4" w:space="0" w:color="000000"/>
              <w:left w:val="single" w:sz="4" w:space="0" w:color="000000"/>
              <w:bottom w:val="single" w:sz="4" w:space="0" w:color="000000"/>
              <w:right w:val="single" w:sz="4" w:space="0" w:color="000000"/>
            </w:tcBorders>
          </w:tcPr>
          <w:p w14:paraId="48DB8A7B"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tcPr>
          <w:p w14:paraId="295C78E9" w14:textId="77777777" w:rsidR="00E41882" w:rsidRPr="00E41882" w:rsidRDefault="00E41882" w:rsidP="007D5C29">
            <w:pPr>
              <w:rPr>
                <w:lang w:val="en-US"/>
              </w:rPr>
            </w:pPr>
          </w:p>
        </w:tc>
        <w:tc>
          <w:tcPr>
            <w:tcW w:w="1903" w:type="dxa"/>
            <w:tcBorders>
              <w:top w:val="single" w:sz="4" w:space="0" w:color="000000"/>
              <w:left w:val="single" w:sz="4" w:space="0" w:color="000000"/>
              <w:bottom w:val="single" w:sz="4" w:space="0" w:color="000000"/>
              <w:right w:val="single" w:sz="4" w:space="0" w:color="000000"/>
            </w:tcBorders>
            <w:hideMark/>
          </w:tcPr>
          <w:p w14:paraId="5B974F85" w14:textId="77777777" w:rsidR="00E41882" w:rsidRDefault="00E41882" w:rsidP="007D5C29">
            <w:pPr>
              <w:pStyle w:val="TableParagraph"/>
            </w:pPr>
            <w:r>
              <w:t>Neutropenia</w:t>
            </w:r>
          </w:p>
        </w:tc>
        <w:tc>
          <w:tcPr>
            <w:tcW w:w="682" w:type="dxa"/>
            <w:tcBorders>
              <w:top w:val="single" w:sz="4" w:space="0" w:color="000000"/>
              <w:left w:val="single" w:sz="4" w:space="0" w:color="000000"/>
              <w:bottom w:val="single" w:sz="4" w:space="0" w:color="000000"/>
              <w:right w:val="single" w:sz="4" w:space="0" w:color="000000"/>
            </w:tcBorders>
          </w:tcPr>
          <w:p w14:paraId="56D28917"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65E22726" w14:textId="77777777" w:rsidR="00E41882" w:rsidRDefault="00E41882" w:rsidP="007D5C29"/>
        </w:tc>
      </w:tr>
      <w:tr w:rsidR="00E41882" w14:paraId="2A748774" w14:textId="77777777" w:rsidTr="00E41882">
        <w:trPr>
          <w:trHeight w:hRule="exact" w:val="617"/>
        </w:trPr>
        <w:tc>
          <w:tcPr>
            <w:tcW w:w="1658" w:type="dxa"/>
            <w:tcBorders>
              <w:top w:val="single" w:sz="4" w:space="0" w:color="000000"/>
              <w:left w:val="single" w:sz="4" w:space="0" w:color="000000"/>
              <w:bottom w:val="single" w:sz="4" w:space="0" w:color="000000"/>
              <w:right w:val="single" w:sz="4" w:space="0" w:color="000000"/>
            </w:tcBorders>
            <w:hideMark/>
          </w:tcPr>
          <w:p w14:paraId="3FEB2919" w14:textId="77777777" w:rsidR="00E41882" w:rsidRDefault="00E41882" w:rsidP="007D5C29">
            <w:pPr>
              <w:pStyle w:val="TableParagraph"/>
              <w:ind w:right="89"/>
            </w:pPr>
            <w:r>
              <w:t>Immune System Disorders</w:t>
            </w:r>
          </w:p>
        </w:tc>
        <w:tc>
          <w:tcPr>
            <w:tcW w:w="1414" w:type="dxa"/>
            <w:tcBorders>
              <w:top w:val="single" w:sz="4" w:space="0" w:color="000000"/>
              <w:left w:val="single" w:sz="4" w:space="0" w:color="000000"/>
              <w:bottom w:val="single" w:sz="4" w:space="0" w:color="000000"/>
              <w:right w:val="single" w:sz="4" w:space="0" w:color="000000"/>
            </w:tcBorders>
          </w:tcPr>
          <w:p w14:paraId="3B946CFD"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4825F5A2"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734D2BE1" w14:textId="77777777" w:rsidR="00E41882" w:rsidRDefault="00E41882" w:rsidP="007D5C29">
            <w:pPr>
              <w:pStyle w:val="TableParagraph"/>
            </w:pPr>
            <w:r>
              <w:t>Hypersensitivity</w:t>
            </w:r>
          </w:p>
        </w:tc>
        <w:tc>
          <w:tcPr>
            <w:tcW w:w="682" w:type="dxa"/>
            <w:tcBorders>
              <w:top w:val="single" w:sz="4" w:space="0" w:color="000000"/>
              <w:left w:val="single" w:sz="4" w:space="0" w:color="000000"/>
              <w:bottom w:val="single" w:sz="4" w:space="0" w:color="000000"/>
              <w:right w:val="single" w:sz="4" w:space="0" w:color="000000"/>
            </w:tcBorders>
          </w:tcPr>
          <w:p w14:paraId="72994362"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7CBAEF20" w14:textId="77777777" w:rsidR="00E41882" w:rsidRDefault="00E41882" w:rsidP="007D5C29"/>
        </w:tc>
      </w:tr>
      <w:tr w:rsidR="00E41882" w14:paraId="6125BC30" w14:textId="77777777" w:rsidTr="00E41882">
        <w:trPr>
          <w:trHeight w:hRule="exact" w:val="1022"/>
        </w:trPr>
        <w:tc>
          <w:tcPr>
            <w:tcW w:w="1658" w:type="dxa"/>
            <w:tcBorders>
              <w:top w:val="single" w:sz="4" w:space="0" w:color="000000"/>
              <w:left w:val="single" w:sz="4" w:space="0" w:color="000000"/>
              <w:bottom w:val="single" w:sz="4" w:space="0" w:color="000000"/>
              <w:right w:val="single" w:sz="4" w:space="0" w:color="000000"/>
            </w:tcBorders>
            <w:hideMark/>
          </w:tcPr>
          <w:p w14:paraId="537D251C" w14:textId="77777777" w:rsidR="00E41882" w:rsidRDefault="00E41882" w:rsidP="007D5C29">
            <w:pPr>
              <w:pStyle w:val="TableParagraph"/>
              <w:ind w:right="621"/>
            </w:pPr>
            <w:r>
              <w:t>Endocrine disorders</w:t>
            </w:r>
          </w:p>
        </w:tc>
        <w:tc>
          <w:tcPr>
            <w:tcW w:w="1414" w:type="dxa"/>
            <w:tcBorders>
              <w:top w:val="single" w:sz="4" w:space="0" w:color="000000"/>
              <w:left w:val="single" w:sz="4" w:space="0" w:color="000000"/>
              <w:bottom w:val="single" w:sz="4" w:space="0" w:color="000000"/>
              <w:right w:val="single" w:sz="4" w:space="0" w:color="000000"/>
            </w:tcBorders>
          </w:tcPr>
          <w:p w14:paraId="03059751"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hideMark/>
          </w:tcPr>
          <w:p w14:paraId="088AA05F" w14:textId="77777777" w:rsidR="00E41882" w:rsidRDefault="00E41882" w:rsidP="007D5C29">
            <w:pPr>
              <w:pStyle w:val="TableParagraph"/>
              <w:ind w:right="84"/>
            </w:pPr>
            <w:r>
              <w:t>Hyperprolactinaemia (including blood prolactin increased)</w:t>
            </w:r>
          </w:p>
        </w:tc>
        <w:tc>
          <w:tcPr>
            <w:tcW w:w="1903" w:type="dxa"/>
            <w:tcBorders>
              <w:top w:val="single" w:sz="4" w:space="0" w:color="000000"/>
              <w:left w:val="single" w:sz="4" w:space="0" w:color="000000"/>
              <w:bottom w:val="single" w:sz="4" w:space="0" w:color="000000"/>
              <w:right w:val="single" w:sz="4" w:space="0" w:color="000000"/>
            </w:tcBorders>
            <w:hideMark/>
          </w:tcPr>
          <w:p w14:paraId="49371ADB" w14:textId="77777777" w:rsidR="00E41882" w:rsidRDefault="00E41882" w:rsidP="007D5C29">
            <w:pPr>
              <w:pStyle w:val="TableParagraph"/>
              <w:ind w:right="84"/>
            </w:pPr>
            <w:r>
              <w:t>Autoimmune thyroiditis Hyperandrogenism Hypothyroidism</w:t>
            </w:r>
          </w:p>
        </w:tc>
        <w:tc>
          <w:tcPr>
            <w:tcW w:w="682" w:type="dxa"/>
            <w:tcBorders>
              <w:top w:val="single" w:sz="4" w:space="0" w:color="000000"/>
              <w:left w:val="single" w:sz="4" w:space="0" w:color="000000"/>
              <w:bottom w:val="single" w:sz="4" w:space="0" w:color="000000"/>
              <w:right w:val="single" w:sz="4" w:space="0" w:color="000000"/>
            </w:tcBorders>
          </w:tcPr>
          <w:p w14:paraId="620E12D2"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50F4F9F3" w14:textId="77777777" w:rsidR="00E41882" w:rsidRDefault="00E41882" w:rsidP="007D5C29"/>
        </w:tc>
      </w:tr>
      <w:tr w:rsidR="00E41882" w14:paraId="65ECFF73" w14:textId="77777777" w:rsidTr="00E41882">
        <w:trPr>
          <w:trHeight w:hRule="exact" w:val="768"/>
        </w:trPr>
        <w:tc>
          <w:tcPr>
            <w:tcW w:w="1658" w:type="dxa"/>
            <w:tcBorders>
              <w:top w:val="single" w:sz="4" w:space="0" w:color="000000"/>
              <w:left w:val="single" w:sz="4" w:space="0" w:color="000000"/>
              <w:bottom w:val="single" w:sz="4" w:space="0" w:color="000000"/>
              <w:right w:val="single" w:sz="4" w:space="0" w:color="000000"/>
            </w:tcBorders>
            <w:hideMark/>
          </w:tcPr>
          <w:p w14:paraId="7FB16044" w14:textId="77777777" w:rsidR="00E41882" w:rsidRDefault="00E41882" w:rsidP="007D5C29">
            <w:pPr>
              <w:pStyle w:val="TableParagraph"/>
              <w:ind w:right="102"/>
            </w:pPr>
            <w:r>
              <w:t>Metabolism and nutrition disorders</w:t>
            </w:r>
          </w:p>
        </w:tc>
        <w:tc>
          <w:tcPr>
            <w:tcW w:w="1414" w:type="dxa"/>
            <w:tcBorders>
              <w:top w:val="single" w:sz="4" w:space="0" w:color="000000"/>
              <w:left w:val="single" w:sz="4" w:space="0" w:color="000000"/>
              <w:bottom w:val="single" w:sz="4" w:space="0" w:color="000000"/>
              <w:right w:val="single" w:sz="4" w:space="0" w:color="000000"/>
            </w:tcBorders>
          </w:tcPr>
          <w:p w14:paraId="52C700F2"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hideMark/>
          </w:tcPr>
          <w:p w14:paraId="377C21A6" w14:textId="77777777" w:rsidR="00E41882" w:rsidRDefault="00E41882" w:rsidP="007D5C29">
            <w:pPr>
              <w:pStyle w:val="TableParagraph"/>
              <w:ind w:right="273"/>
            </w:pPr>
            <w:r>
              <w:t>Decreased appetite Increased appetite</w:t>
            </w:r>
          </w:p>
        </w:tc>
        <w:tc>
          <w:tcPr>
            <w:tcW w:w="1903" w:type="dxa"/>
            <w:tcBorders>
              <w:top w:val="single" w:sz="4" w:space="0" w:color="000000"/>
              <w:left w:val="single" w:sz="4" w:space="0" w:color="000000"/>
              <w:bottom w:val="single" w:sz="4" w:space="0" w:color="000000"/>
              <w:right w:val="single" w:sz="4" w:space="0" w:color="000000"/>
            </w:tcBorders>
            <w:hideMark/>
          </w:tcPr>
          <w:p w14:paraId="3023C010" w14:textId="77777777" w:rsidR="00E41882" w:rsidRDefault="00E41882" w:rsidP="007D5C29">
            <w:pPr>
              <w:pStyle w:val="TableParagraph"/>
            </w:pPr>
            <w:r>
              <w:t>Hyperinsulinemia</w:t>
            </w:r>
          </w:p>
        </w:tc>
        <w:tc>
          <w:tcPr>
            <w:tcW w:w="682" w:type="dxa"/>
            <w:tcBorders>
              <w:top w:val="single" w:sz="4" w:space="0" w:color="000000"/>
              <w:left w:val="single" w:sz="4" w:space="0" w:color="000000"/>
              <w:bottom w:val="single" w:sz="4" w:space="0" w:color="000000"/>
              <w:right w:val="single" w:sz="4" w:space="0" w:color="000000"/>
            </w:tcBorders>
          </w:tcPr>
          <w:p w14:paraId="668BE8B9"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206BE2EA" w14:textId="77777777" w:rsidR="00E41882" w:rsidRDefault="00E41882" w:rsidP="007D5C29"/>
        </w:tc>
      </w:tr>
      <w:tr w:rsidR="00E41882" w14:paraId="6DEF22A3" w14:textId="77777777" w:rsidTr="00E41882">
        <w:trPr>
          <w:trHeight w:hRule="exact" w:val="8507"/>
        </w:trPr>
        <w:tc>
          <w:tcPr>
            <w:tcW w:w="1658" w:type="dxa"/>
            <w:tcBorders>
              <w:top w:val="single" w:sz="4" w:space="0" w:color="000000"/>
              <w:left w:val="single" w:sz="4" w:space="0" w:color="000000"/>
              <w:bottom w:val="single" w:sz="4" w:space="0" w:color="000000"/>
              <w:right w:val="single" w:sz="4" w:space="0" w:color="000000"/>
            </w:tcBorders>
            <w:hideMark/>
          </w:tcPr>
          <w:p w14:paraId="20824775" w14:textId="77777777" w:rsidR="00E41882" w:rsidRDefault="00E41882" w:rsidP="007D5C29">
            <w:pPr>
              <w:pStyle w:val="TableParagraph"/>
              <w:ind w:right="548"/>
            </w:pPr>
            <w:r>
              <w:lastRenderedPageBreak/>
              <w:t>Psychiatric Disorders</w:t>
            </w:r>
          </w:p>
        </w:tc>
        <w:tc>
          <w:tcPr>
            <w:tcW w:w="1414" w:type="dxa"/>
            <w:tcBorders>
              <w:top w:val="single" w:sz="4" w:space="0" w:color="000000"/>
              <w:left w:val="single" w:sz="4" w:space="0" w:color="000000"/>
              <w:bottom w:val="single" w:sz="4" w:space="0" w:color="000000"/>
              <w:right w:val="single" w:sz="4" w:space="0" w:color="000000"/>
            </w:tcBorders>
          </w:tcPr>
          <w:p w14:paraId="40FC087A"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hideMark/>
          </w:tcPr>
          <w:p w14:paraId="1FDE1A45" w14:textId="77777777" w:rsidR="00E41882" w:rsidRDefault="00E41882" w:rsidP="007D5C29">
            <w:pPr>
              <w:pStyle w:val="TableParagraph"/>
              <w:ind w:right="375"/>
            </w:pPr>
            <w:r>
              <w:t>Abnormal dreams Agitation Anxiety Depression Insomnia</w:t>
            </w:r>
          </w:p>
          <w:p w14:paraId="26A29CC3" w14:textId="77777777" w:rsidR="00E41882" w:rsidRDefault="00E41882" w:rsidP="007D5C29">
            <w:pPr>
              <w:pStyle w:val="TableParagraph"/>
              <w:ind w:right="309"/>
            </w:pPr>
            <w:r>
              <w:t>Psychotic disorder Schizophrenia Tension</w:t>
            </w:r>
          </w:p>
        </w:tc>
        <w:tc>
          <w:tcPr>
            <w:tcW w:w="1903" w:type="dxa"/>
            <w:tcBorders>
              <w:top w:val="single" w:sz="4" w:space="0" w:color="000000"/>
              <w:left w:val="single" w:sz="4" w:space="0" w:color="000000"/>
              <w:bottom w:val="single" w:sz="4" w:space="0" w:color="000000"/>
              <w:right w:val="single" w:sz="4" w:space="0" w:color="000000"/>
            </w:tcBorders>
            <w:hideMark/>
          </w:tcPr>
          <w:p w14:paraId="4764BA8F" w14:textId="77777777" w:rsidR="00E41882" w:rsidRDefault="00E41882" w:rsidP="007D5C29">
            <w:pPr>
              <w:pStyle w:val="TableParagraph"/>
              <w:ind w:right="236"/>
            </w:pPr>
            <w:r>
              <w:t>Aggression Apathy Confusional state Depressed mood Dissociation Hallucination (auditory) Hallucination (visual) Homicidal ideation Impulsive behaviour</w:t>
            </w:r>
          </w:p>
          <w:p w14:paraId="7E55D1FE" w14:textId="77777777" w:rsidR="00E41882" w:rsidRDefault="00E41882" w:rsidP="007D5C29">
            <w:pPr>
              <w:pStyle w:val="TableParagraph"/>
              <w:ind w:right="261"/>
            </w:pPr>
            <w:r>
              <w:t>Initial insomnia Libido decreased Libido increased Listless</w:t>
            </w:r>
          </w:p>
          <w:p w14:paraId="3D65F981" w14:textId="77777777" w:rsidR="00E41882" w:rsidRDefault="00E41882" w:rsidP="007D5C29">
            <w:pPr>
              <w:pStyle w:val="TableParagraph"/>
              <w:ind w:right="591"/>
            </w:pPr>
            <w:r>
              <w:t>Mental status changes Obsessive thoughts</w:t>
            </w:r>
          </w:p>
          <w:p w14:paraId="0C21AA00" w14:textId="77777777" w:rsidR="00E41882" w:rsidRDefault="00E41882" w:rsidP="007D5C29">
            <w:pPr>
              <w:pStyle w:val="TableParagraph"/>
              <w:ind w:right="591"/>
            </w:pPr>
            <w:r>
              <w:t>Panic Attack Psychomotor hyperactivity Restlessness Sleep disorder Suicidal ideation</w:t>
            </w:r>
          </w:p>
          <w:p w14:paraId="02837734" w14:textId="77777777" w:rsidR="00E41882" w:rsidRDefault="00E41882" w:rsidP="007D5C29">
            <w:pPr>
              <w:pStyle w:val="TableParagraph"/>
              <w:ind w:right="591"/>
            </w:pPr>
            <w:r>
              <w:t xml:space="preserve">Terminal insomnia Thinking abnormal </w:t>
            </w:r>
          </w:p>
        </w:tc>
        <w:tc>
          <w:tcPr>
            <w:tcW w:w="682" w:type="dxa"/>
            <w:tcBorders>
              <w:top w:val="single" w:sz="4" w:space="0" w:color="000000"/>
              <w:left w:val="single" w:sz="4" w:space="0" w:color="000000"/>
              <w:bottom w:val="single" w:sz="4" w:space="0" w:color="000000"/>
              <w:right w:val="single" w:sz="4" w:space="0" w:color="000000"/>
            </w:tcBorders>
          </w:tcPr>
          <w:p w14:paraId="0880B805"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4D205F26" w14:textId="77777777" w:rsidR="00E41882" w:rsidRDefault="00E41882" w:rsidP="007D5C29"/>
        </w:tc>
      </w:tr>
      <w:tr w:rsidR="00E41882" w14:paraId="2CE220CD" w14:textId="77777777" w:rsidTr="00E41882">
        <w:trPr>
          <w:trHeight w:hRule="exact" w:val="3298"/>
        </w:trPr>
        <w:tc>
          <w:tcPr>
            <w:tcW w:w="1658" w:type="dxa"/>
            <w:tcBorders>
              <w:top w:val="single" w:sz="4" w:space="0" w:color="000000"/>
              <w:left w:val="single" w:sz="4" w:space="0" w:color="000000"/>
              <w:bottom w:val="single" w:sz="4" w:space="0" w:color="000000"/>
              <w:right w:val="single" w:sz="4" w:space="0" w:color="000000"/>
            </w:tcBorders>
            <w:hideMark/>
          </w:tcPr>
          <w:p w14:paraId="0A10C313" w14:textId="77777777" w:rsidR="00E41882" w:rsidRDefault="00E41882" w:rsidP="007D5C29">
            <w:pPr>
              <w:pStyle w:val="TableParagraph"/>
              <w:ind w:right="670"/>
            </w:pPr>
            <w:r>
              <w:t>Nervous System Disorders</w:t>
            </w:r>
          </w:p>
        </w:tc>
        <w:tc>
          <w:tcPr>
            <w:tcW w:w="1414" w:type="dxa"/>
            <w:tcBorders>
              <w:top w:val="single" w:sz="4" w:space="0" w:color="000000"/>
              <w:left w:val="single" w:sz="4" w:space="0" w:color="000000"/>
              <w:bottom w:val="single" w:sz="4" w:space="0" w:color="000000"/>
              <w:right w:val="single" w:sz="4" w:space="0" w:color="000000"/>
            </w:tcBorders>
            <w:hideMark/>
          </w:tcPr>
          <w:p w14:paraId="40186D1E" w14:textId="77777777" w:rsidR="00E41882" w:rsidRDefault="00E41882" w:rsidP="007D5C29">
            <w:pPr>
              <w:pStyle w:val="TableParagraph"/>
              <w:ind w:right="83"/>
            </w:pPr>
            <w:r>
              <w:t>Akathisia Headache Somnolence*</w:t>
            </w:r>
          </w:p>
        </w:tc>
        <w:tc>
          <w:tcPr>
            <w:tcW w:w="2074" w:type="dxa"/>
            <w:tcBorders>
              <w:top w:val="single" w:sz="4" w:space="0" w:color="000000"/>
              <w:left w:val="single" w:sz="4" w:space="0" w:color="000000"/>
              <w:bottom w:val="single" w:sz="4" w:space="0" w:color="000000"/>
              <w:right w:val="single" w:sz="4" w:space="0" w:color="000000"/>
            </w:tcBorders>
            <w:hideMark/>
          </w:tcPr>
          <w:p w14:paraId="041F011A" w14:textId="77777777" w:rsidR="00E41882" w:rsidRDefault="00E41882" w:rsidP="007D5C29">
            <w:pPr>
              <w:pStyle w:val="TableParagraph"/>
              <w:ind w:right="523"/>
            </w:pPr>
            <w:r>
              <w:t>Disturbance in attention Dizziness Dyskinesia Dystonia*** Parkinsonism**</w:t>
            </w:r>
          </w:p>
        </w:tc>
        <w:tc>
          <w:tcPr>
            <w:tcW w:w="1903" w:type="dxa"/>
            <w:tcBorders>
              <w:top w:val="single" w:sz="4" w:space="0" w:color="000000"/>
              <w:left w:val="single" w:sz="4" w:space="0" w:color="000000"/>
              <w:bottom w:val="single" w:sz="4" w:space="0" w:color="000000"/>
              <w:right w:val="single" w:sz="4" w:space="0" w:color="000000"/>
            </w:tcBorders>
            <w:hideMark/>
          </w:tcPr>
          <w:p w14:paraId="3479F6D2" w14:textId="77777777" w:rsidR="00E41882" w:rsidRDefault="00E41882" w:rsidP="007D5C29">
            <w:pPr>
              <w:pStyle w:val="TableParagraph"/>
              <w:ind w:right="151"/>
            </w:pPr>
            <w:r>
              <w:t>Dizziness postural Dysgeusia Hyperkinesia Memory impairment Migraine Paraesthesia Psychomotor hyperactivity Restless legs syndrome</w:t>
            </w:r>
          </w:p>
          <w:p w14:paraId="45FEAEDB" w14:textId="77777777" w:rsidR="00E41882" w:rsidRDefault="00E41882" w:rsidP="007D5C29">
            <w:pPr>
              <w:pStyle w:val="TableParagraph"/>
              <w:ind w:right="102"/>
            </w:pPr>
            <w:r>
              <w:t>Tardive dyskinesia Tension headache</w:t>
            </w:r>
          </w:p>
        </w:tc>
        <w:tc>
          <w:tcPr>
            <w:tcW w:w="682" w:type="dxa"/>
            <w:tcBorders>
              <w:top w:val="single" w:sz="4" w:space="0" w:color="000000"/>
              <w:left w:val="single" w:sz="4" w:space="0" w:color="000000"/>
              <w:bottom w:val="single" w:sz="4" w:space="0" w:color="000000"/>
              <w:right w:val="single" w:sz="4" w:space="0" w:color="000000"/>
            </w:tcBorders>
          </w:tcPr>
          <w:p w14:paraId="5686D5DC"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0DC72BA5" w14:textId="77777777" w:rsidR="00E41882" w:rsidRDefault="00E41882" w:rsidP="007D5C29"/>
        </w:tc>
      </w:tr>
      <w:tr w:rsidR="00E41882" w14:paraId="5A9D1F00" w14:textId="77777777" w:rsidTr="00E41882">
        <w:trPr>
          <w:trHeight w:hRule="exact" w:val="770"/>
        </w:trPr>
        <w:tc>
          <w:tcPr>
            <w:tcW w:w="1658" w:type="dxa"/>
            <w:tcBorders>
              <w:top w:val="single" w:sz="4" w:space="0" w:color="000000"/>
              <w:left w:val="single" w:sz="4" w:space="0" w:color="000000"/>
              <w:bottom w:val="single" w:sz="4" w:space="0" w:color="000000"/>
              <w:right w:val="single" w:sz="4" w:space="0" w:color="000000"/>
            </w:tcBorders>
            <w:hideMark/>
          </w:tcPr>
          <w:p w14:paraId="7A11135D" w14:textId="77777777" w:rsidR="00E41882" w:rsidRDefault="00E41882" w:rsidP="007D5C29">
            <w:pPr>
              <w:pStyle w:val="TableParagraph"/>
            </w:pPr>
            <w:r>
              <w:t>Eye Disorders</w:t>
            </w:r>
          </w:p>
        </w:tc>
        <w:tc>
          <w:tcPr>
            <w:tcW w:w="1414" w:type="dxa"/>
            <w:tcBorders>
              <w:top w:val="single" w:sz="4" w:space="0" w:color="000000"/>
              <w:left w:val="single" w:sz="4" w:space="0" w:color="000000"/>
              <w:bottom w:val="single" w:sz="4" w:space="0" w:color="000000"/>
              <w:right w:val="single" w:sz="4" w:space="0" w:color="000000"/>
            </w:tcBorders>
          </w:tcPr>
          <w:p w14:paraId="7C20CE25"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119148EC"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0DA7335E" w14:textId="77777777" w:rsidR="00E41882" w:rsidRDefault="00E41882" w:rsidP="007D5C29">
            <w:pPr>
              <w:pStyle w:val="TableParagraph"/>
              <w:ind w:right="304"/>
            </w:pPr>
            <w:r>
              <w:t>Accommodation disorder</w:t>
            </w:r>
          </w:p>
          <w:p w14:paraId="626A6860" w14:textId="77777777" w:rsidR="00E41882" w:rsidRDefault="00E41882" w:rsidP="007D5C29">
            <w:pPr>
              <w:pStyle w:val="TableParagraph"/>
            </w:pPr>
            <w:r>
              <w:t>Vision blurred</w:t>
            </w:r>
          </w:p>
        </w:tc>
        <w:tc>
          <w:tcPr>
            <w:tcW w:w="682" w:type="dxa"/>
            <w:tcBorders>
              <w:top w:val="single" w:sz="4" w:space="0" w:color="000000"/>
              <w:left w:val="single" w:sz="4" w:space="0" w:color="000000"/>
              <w:bottom w:val="single" w:sz="4" w:space="0" w:color="000000"/>
              <w:right w:val="single" w:sz="4" w:space="0" w:color="000000"/>
            </w:tcBorders>
          </w:tcPr>
          <w:p w14:paraId="273312CD"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6D6519D6" w14:textId="77777777" w:rsidR="00E41882" w:rsidRDefault="00E41882" w:rsidP="007D5C29"/>
        </w:tc>
      </w:tr>
      <w:tr w:rsidR="00E41882" w14:paraId="69703390" w14:textId="77777777" w:rsidTr="00E41882">
        <w:trPr>
          <w:trHeight w:hRule="exact" w:val="768"/>
        </w:trPr>
        <w:tc>
          <w:tcPr>
            <w:tcW w:w="1658" w:type="dxa"/>
            <w:tcBorders>
              <w:top w:val="single" w:sz="4" w:space="0" w:color="000000"/>
              <w:left w:val="single" w:sz="4" w:space="0" w:color="000000"/>
              <w:bottom w:val="single" w:sz="4" w:space="0" w:color="000000"/>
              <w:right w:val="single" w:sz="4" w:space="0" w:color="000000"/>
            </w:tcBorders>
            <w:hideMark/>
          </w:tcPr>
          <w:p w14:paraId="58BB315E" w14:textId="77777777" w:rsidR="00E41882" w:rsidRDefault="00E41882" w:rsidP="007D5C29">
            <w:pPr>
              <w:pStyle w:val="TableParagraph"/>
              <w:ind w:right="719"/>
            </w:pPr>
            <w:r>
              <w:t>Ear and labyrinth disorders</w:t>
            </w:r>
          </w:p>
        </w:tc>
        <w:tc>
          <w:tcPr>
            <w:tcW w:w="1414" w:type="dxa"/>
            <w:tcBorders>
              <w:top w:val="single" w:sz="4" w:space="0" w:color="000000"/>
              <w:left w:val="single" w:sz="4" w:space="0" w:color="000000"/>
              <w:bottom w:val="single" w:sz="4" w:space="0" w:color="000000"/>
              <w:right w:val="single" w:sz="4" w:space="0" w:color="000000"/>
            </w:tcBorders>
          </w:tcPr>
          <w:p w14:paraId="2061D258"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63CF42B9"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213F9B5C" w14:textId="77777777" w:rsidR="00E41882" w:rsidRDefault="00E41882" w:rsidP="007D5C29">
            <w:pPr>
              <w:pStyle w:val="TableParagraph"/>
            </w:pPr>
            <w:r>
              <w:t>Hyperacusis</w:t>
            </w:r>
          </w:p>
        </w:tc>
        <w:tc>
          <w:tcPr>
            <w:tcW w:w="682" w:type="dxa"/>
            <w:tcBorders>
              <w:top w:val="single" w:sz="4" w:space="0" w:color="000000"/>
              <w:left w:val="single" w:sz="4" w:space="0" w:color="000000"/>
              <w:bottom w:val="single" w:sz="4" w:space="0" w:color="000000"/>
              <w:right w:val="single" w:sz="4" w:space="0" w:color="000000"/>
            </w:tcBorders>
          </w:tcPr>
          <w:p w14:paraId="2037DE55"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1A59286A" w14:textId="77777777" w:rsidR="00E41882" w:rsidRDefault="00E41882" w:rsidP="007D5C29"/>
        </w:tc>
      </w:tr>
      <w:tr w:rsidR="00E41882" w14:paraId="6505F0EE" w14:textId="77777777" w:rsidTr="00E41882">
        <w:trPr>
          <w:trHeight w:hRule="exact" w:val="770"/>
        </w:trPr>
        <w:tc>
          <w:tcPr>
            <w:tcW w:w="1658" w:type="dxa"/>
            <w:tcBorders>
              <w:top w:val="single" w:sz="4" w:space="0" w:color="000000"/>
              <w:left w:val="single" w:sz="4" w:space="0" w:color="000000"/>
              <w:bottom w:val="single" w:sz="4" w:space="0" w:color="000000"/>
              <w:right w:val="single" w:sz="4" w:space="0" w:color="000000"/>
            </w:tcBorders>
            <w:hideMark/>
          </w:tcPr>
          <w:p w14:paraId="1076F8FA" w14:textId="77777777" w:rsidR="00E41882" w:rsidRDefault="00E41882" w:rsidP="007D5C29">
            <w:pPr>
              <w:pStyle w:val="TableParagraph"/>
              <w:ind w:right="719"/>
            </w:pPr>
            <w:r>
              <w:t>Cardiac disorders</w:t>
            </w:r>
          </w:p>
        </w:tc>
        <w:tc>
          <w:tcPr>
            <w:tcW w:w="1414" w:type="dxa"/>
            <w:tcBorders>
              <w:top w:val="single" w:sz="4" w:space="0" w:color="000000"/>
              <w:left w:val="single" w:sz="4" w:space="0" w:color="000000"/>
              <w:bottom w:val="single" w:sz="4" w:space="0" w:color="000000"/>
              <w:right w:val="single" w:sz="4" w:space="0" w:color="000000"/>
            </w:tcBorders>
          </w:tcPr>
          <w:p w14:paraId="3F3A443F"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hideMark/>
          </w:tcPr>
          <w:p w14:paraId="3958EBEB" w14:textId="77777777" w:rsidR="00E41882" w:rsidRDefault="00E41882" w:rsidP="007D5C29">
            <w:pPr>
              <w:pStyle w:val="TableParagraph"/>
            </w:pPr>
            <w:r>
              <w:t>Tachycardia</w:t>
            </w:r>
          </w:p>
        </w:tc>
        <w:tc>
          <w:tcPr>
            <w:tcW w:w="1903" w:type="dxa"/>
            <w:tcBorders>
              <w:top w:val="single" w:sz="4" w:space="0" w:color="000000"/>
              <w:left w:val="single" w:sz="4" w:space="0" w:color="000000"/>
              <w:bottom w:val="single" w:sz="4" w:space="0" w:color="000000"/>
              <w:right w:val="single" w:sz="4" w:space="0" w:color="000000"/>
            </w:tcBorders>
            <w:hideMark/>
          </w:tcPr>
          <w:p w14:paraId="235F77B4" w14:textId="77777777" w:rsidR="00E41882" w:rsidRDefault="00E41882" w:rsidP="007D5C29">
            <w:pPr>
              <w:pStyle w:val="TableParagraph"/>
              <w:ind w:right="304"/>
            </w:pPr>
            <w:r>
              <w:t>Palpitations Supraventricular extrasystoles</w:t>
            </w:r>
          </w:p>
        </w:tc>
        <w:tc>
          <w:tcPr>
            <w:tcW w:w="682" w:type="dxa"/>
            <w:tcBorders>
              <w:top w:val="single" w:sz="4" w:space="0" w:color="000000"/>
              <w:left w:val="single" w:sz="4" w:space="0" w:color="000000"/>
              <w:bottom w:val="single" w:sz="4" w:space="0" w:color="000000"/>
              <w:right w:val="single" w:sz="4" w:space="0" w:color="000000"/>
            </w:tcBorders>
          </w:tcPr>
          <w:p w14:paraId="20800C5C"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6B66E256" w14:textId="77777777" w:rsidR="00E41882" w:rsidRDefault="00E41882" w:rsidP="007D5C29"/>
        </w:tc>
      </w:tr>
      <w:tr w:rsidR="00E41882" w14:paraId="03B6A7CE" w14:textId="77777777" w:rsidTr="00E41882">
        <w:trPr>
          <w:trHeight w:hRule="exact" w:val="768"/>
        </w:trPr>
        <w:tc>
          <w:tcPr>
            <w:tcW w:w="1658" w:type="dxa"/>
            <w:tcBorders>
              <w:top w:val="single" w:sz="4" w:space="0" w:color="000000"/>
              <w:left w:val="single" w:sz="4" w:space="0" w:color="000000"/>
              <w:bottom w:val="single" w:sz="4" w:space="0" w:color="000000"/>
              <w:right w:val="single" w:sz="4" w:space="0" w:color="000000"/>
            </w:tcBorders>
            <w:hideMark/>
          </w:tcPr>
          <w:p w14:paraId="2FF8C5AF" w14:textId="77777777" w:rsidR="00E41882" w:rsidRDefault="00E41882" w:rsidP="007D5C29">
            <w:pPr>
              <w:pStyle w:val="TableParagraph"/>
              <w:ind w:right="719"/>
            </w:pPr>
            <w:r>
              <w:lastRenderedPageBreak/>
              <w:t>Vascular disorders</w:t>
            </w:r>
          </w:p>
        </w:tc>
        <w:tc>
          <w:tcPr>
            <w:tcW w:w="1414" w:type="dxa"/>
            <w:tcBorders>
              <w:top w:val="single" w:sz="4" w:space="0" w:color="000000"/>
              <w:left w:val="single" w:sz="4" w:space="0" w:color="000000"/>
              <w:bottom w:val="single" w:sz="4" w:space="0" w:color="000000"/>
              <w:right w:val="single" w:sz="4" w:space="0" w:color="000000"/>
            </w:tcBorders>
          </w:tcPr>
          <w:p w14:paraId="75C4A1A3"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1379ECF8"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47849838" w14:textId="77777777" w:rsidR="00E41882" w:rsidRDefault="00E41882" w:rsidP="007D5C29">
            <w:pPr>
              <w:pStyle w:val="TableParagraph"/>
              <w:ind w:right="585"/>
            </w:pPr>
            <w:r>
              <w:t>Orthostatic hypotension Hypertension</w:t>
            </w:r>
          </w:p>
        </w:tc>
        <w:tc>
          <w:tcPr>
            <w:tcW w:w="682" w:type="dxa"/>
            <w:tcBorders>
              <w:top w:val="single" w:sz="4" w:space="0" w:color="000000"/>
              <w:left w:val="single" w:sz="4" w:space="0" w:color="000000"/>
              <w:bottom w:val="single" w:sz="4" w:space="0" w:color="000000"/>
              <w:right w:val="single" w:sz="4" w:space="0" w:color="000000"/>
            </w:tcBorders>
          </w:tcPr>
          <w:p w14:paraId="44D08A0A"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0F4C787A" w14:textId="77777777" w:rsidR="00E41882" w:rsidRDefault="00E41882" w:rsidP="007D5C29"/>
        </w:tc>
      </w:tr>
      <w:tr w:rsidR="00E41882" w14:paraId="4F6183BE" w14:textId="77777777" w:rsidTr="00E41882">
        <w:trPr>
          <w:trHeight w:hRule="exact" w:val="1022"/>
        </w:trPr>
        <w:tc>
          <w:tcPr>
            <w:tcW w:w="1658" w:type="dxa"/>
            <w:tcBorders>
              <w:top w:val="single" w:sz="4" w:space="0" w:color="000000"/>
              <w:left w:val="single" w:sz="4" w:space="0" w:color="000000"/>
              <w:bottom w:val="single" w:sz="4" w:space="0" w:color="000000"/>
              <w:right w:val="single" w:sz="4" w:space="0" w:color="000000"/>
            </w:tcBorders>
            <w:hideMark/>
          </w:tcPr>
          <w:p w14:paraId="11504841" w14:textId="77777777" w:rsidR="00E41882" w:rsidRDefault="00E41882" w:rsidP="007D5C29">
            <w:pPr>
              <w:pStyle w:val="TableParagraph"/>
              <w:ind w:right="444"/>
            </w:pPr>
            <w:r>
              <w:t>Respiratory, thoracic and mediastinal disorders</w:t>
            </w:r>
          </w:p>
        </w:tc>
        <w:tc>
          <w:tcPr>
            <w:tcW w:w="1414" w:type="dxa"/>
            <w:tcBorders>
              <w:top w:val="single" w:sz="4" w:space="0" w:color="000000"/>
              <w:left w:val="single" w:sz="4" w:space="0" w:color="000000"/>
              <w:bottom w:val="single" w:sz="4" w:space="0" w:color="000000"/>
              <w:right w:val="single" w:sz="4" w:space="0" w:color="000000"/>
            </w:tcBorders>
          </w:tcPr>
          <w:p w14:paraId="4FF0A4DA"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tcPr>
          <w:p w14:paraId="5DF124B9" w14:textId="77777777" w:rsidR="00E41882" w:rsidRPr="00E41882" w:rsidRDefault="00E41882" w:rsidP="007D5C29">
            <w:pPr>
              <w:rPr>
                <w:lang w:val="en-US"/>
              </w:rPr>
            </w:pPr>
          </w:p>
        </w:tc>
        <w:tc>
          <w:tcPr>
            <w:tcW w:w="1903" w:type="dxa"/>
            <w:tcBorders>
              <w:top w:val="single" w:sz="4" w:space="0" w:color="000000"/>
              <w:left w:val="single" w:sz="4" w:space="0" w:color="000000"/>
              <w:bottom w:val="single" w:sz="4" w:space="0" w:color="000000"/>
              <w:right w:val="single" w:sz="4" w:space="0" w:color="000000"/>
            </w:tcBorders>
            <w:hideMark/>
          </w:tcPr>
          <w:p w14:paraId="071AABC5" w14:textId="77777777" w:rsidR="00E41882" w:rsidRDefault="00E41882" w:rsidP="007D5C29">
            <w:pPr>
              <w:pStyle w:val="TableParagraph"/>
              <w:ind w:right="451"/>
            </w:pPr>
            <w:r>
              <w:t>Oropharyngeal pain</w:t>
            </w:r>
          </w:p>
          <w:p w14:paraId="253C60E3" w14:textId="77777777" w:rsidR="00E41882" w:rsidRDefault="00E41882" w:rsidP="007D5C29">
            <w:pPr>
              <w:pStyle w:val="TableParagraph"/>
            </w:pPr>
            <w:r>
              <w:t>Dyspnoea</w:t>
            </w:r>
          </w:p>
        </w:tc>
        <w:tc>
          <w:tcPr>
            <w:tcW w:w="682" w:type="dxa"/>
            <w:tcBorders>
              <w:top w:val="single" w:sz="4" w:space="0" w:color="000000"/>
              <w:left w:val="single" w:sz="4" w:space="0" w:color="000000"/>
              <w:bottom w:val="single" w:sz="4" w:space="0" w:color="000000"/>
              <w:right w:val="single" w:sz="4" w:space="0" w:color="000000"/>
            </w:tcBorders>
          </w:tcPr>
          <w:p w14:paraId="185DA069"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5ADF9B9C" w14:textId="77777777" w:rsidR="00E41882" w:rsidRDefault="00E41882" w:rsidP="007D5C29"/>
        </w:tc>
      </w:tr>
      <w:tr w:rsidR="00E41882" w14:paraId="7E02A973" w14:textId="77777777" w:rsidTr="00E41882">
        <w:trPr>
          <w:trHeight w:hRule="exact" w:val="2287"/>
        </w:trPr>
        <w:tc>
          <w:tcPr>
            <w:tcW w:w="1658" w:type="dxa"/>
            <w:tcBorders>
              <w:top w:val="single" w:sz="4" w:space="0" w:color="000000"/>
              <w:left w:val="single" w:sz="4" w:space="0" w:color="000000"/>
              <w:bottom w:val="single" w:sz="4" w:space="0" w:color="000000"/>
              <w:right w:val="single" w:sz="4" w:space="0" w:color="000000"/>
            </w:tcBorders>
            <w:hideMark/>
          </w:tcPr>
          <w:p w14:paraId="6B07E238" w14:textId="77777777" w:rsidR="00E41882" w:rsidRDefault="00E41882" w:rsidP="007D5C29">
            <w:pPr>
              <w:pStyle w:val="TableParagraph"/>
              <w:ind w:right="132"/>
            </w:pPr>
            <w:r>
              <w:t>Gastrointestinal disorders</w:t>
            </w:r>
          </w:p>
        </w:tc>
        <w:tc>
          <w:tcPr>
            <w:tcW w:w="1414" w:type="dxa"/>
            <w:tcBorders>
              <w:top w:val="single" w:sz="4" w:space="0" w:color="000000"/>
              <w:left w:val="single" w:sz="4" w:space="0" w:color="000000"/>
              <w:bottom w:val="single" w:sz="4" w:space="0" w:color="000000"/>
              <w:right w:val="single" w:sz="4" w:space="0" w:color="000000"/>
            </w:tcBorders>
            <w:hideMark/>
          </w:tcPr>
          <w:p w14:paraId="287E6226" w14:textId="77777777" w:rsidR="00E41882" w:rsidRDefault="00E41882" w:rsidP="007D5C29">
            <w:pPr>
              <w:pStyle w:val="TableParagraph"/>
            </w:pPr>
            <w:r>
              <w:t>Nausea</w:t>
            </w:r>
          </w:p>
        </w:tc>
        <w:tc>
          <w:tcPr>
            <w:tcW w:w="2074" w:type="dxa"/>
            <w:tcBorders>
              <w:top w:val="single" w:sz="4" w:space="0" w:color="000000"/>
              <w:left w:val="single" w:sz="4" w:space="0" w:color="000000"/>
              <w:bottom w:val="single" w:sz="4" w:space="0" w:color="000000"/>
              <w:right w:val="single" w:sz="4" w:space="0" w:color="000000"/>
            </w:tcBorders>
            <w:hideMark/>
          </w:tcPr>
          <w:p w14:paraId="1388238C" w14:textId="77777777" w:rsidR="00E41882" w:rsidRDefault="00E41882" w:rsidP="007D5C29">
            <w:pPr>
              <w:pStyle w:val="TableParagraph"/>
              <w:ind w:right="646"/>
            </w:pPr>
            <w:r>
              <w:t>Constipation Dry mouth Salivary hypersecretion Vomiting</w:t>
            </w:r>
          </w:p>
        </w:tc>
        <w:tc>
          <w:tcPr>
            <w:tcW w:w="1903" w:type="dxa"/>
            <w:tcBorders>
              <w:top w:val="single" w:sz="4" w:space="0" w:color="000000"/>
              <w:left w:val="single" w:sz="4" w:space="0" w:color="000000"/>
              <w:bottom w:val="single" w:sz="4" w:space="0" w:color="000000"/>
              <w:right w:val="single" w:sz="4" w:space="0" w:color="000000"/>
            </w:tcBorders>
            <w:hideMark/>
          </w:tcPr>
          <w:p w14:paraId="68C8803B" w14:textId="77777777" w:rsidR="00E41882" w:rsidRDefault="00E41882" w:rsidP="007D5C29">
            <w:pPr>
              <w:pStyle w:val="TableParagraph"/>
              <w:ind w:right="362"/>
            </w:pPr>
            <w:r>
              <w:t>Abdominal discomfort Abdominal pain upper Aptyalism Diarrhoea Dyspepsia</w:t>
            </w:r>
          </w:p>
          <w:p w14:paraId="6EEC577C" w14:textId="77777777" w:rsidR="00E41882" w:rsidRDefault="00E41882" w:rsidP="007D5C29">
            <w:pPr>
              <w:pStyle w:val="TableParagraph"/>
              <w:ind w:right="842"/>
            </w:pPr>
            <w:r>
              <w:t>Lip dry Toothache</w:t>
            </w:r>
          </w:p>
        </w:tc>
        <w:tc>
          <w:tcPr>
            <w:tcW w:w="682" w:type="dxa"/>
            <w:tcBorders>
              <w:top w:val="single" w:sz="4" w:space="0" w:color="000000"/>
              <w:left w:val="single" w:sz="4" w:space="0" w:color="000000"/>
              <w:bottom w:val="single" w:sz="4" w:space="0" w:color="000000"/>
              <w:right w:val="single" w:sz="4" w:space="0" w:color="000000"/>
            </w:tcBorders>
          </w:tcPr>
          <w:p w14:paraId="7BE51A24"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1F28DF13" w14:textId="77777777" w:rsidR="00E41882" w:rsidRDefault="00E41882" w:rsidP="007D5C29"/>
        </w:tc>
      </w:tr>
      <w:tr w:rsidR="00E41882" w:rsidRPr="000D0570" w14:paraId="56525315" w14:textId="77777777" w:rsidTr="00E41882">
        <w:trPr>
          <w:trHeight w:hRule="exact" w:val="1274"/>
        </w:trPr>
        <w:tc>
          <w:tcPr>
            <w:tcW w:w="1658" w:type="dxa"/>
            <w:tcBorders>
              <w:top w:val="single" w:sz="4" w:space="0" w:color="000000"/>
              <w:left w:val="single" w:sz="4" w:space="0" w:color="000000"/>
              <w:bottom w:val="single" w:sz="4" w:space="0" w:color="000000"/>
              <w:right w:val="single" w:sz="4" w:space="0" w:color="000000"/>
            </w:tcBorders>
            <w:hideMark/>
          </w:tcPr>
          <w:p w14:paraId="472BA0E8" w14:textId="77777777" w:rsidR="00E41882" w:rsidRDefault="00E41882" w:rsidP="007D5C29">
            <w:pPr>
              <w:pStyle w:val="TableParagraph"/>
              <w:ind w:right="163"/>
            </w:pPr>
            <w:r>
              <w:t>Skin and subcutaneous tissue disorders</w:t>
            </w:r>
          </w:p>
        </w:tc>
        <w:tc>
          <w:tcPr>
            <w:tcW w:w="1414" w:type="dxa"/>
            <w:tcBorders>
              <w:top w:val="single" w:sz="4" w:space="0" w:color="000000"/>
              <w:left w:val="single" w:sz="4" w:space="0" w:color="000000"/>
              <w:bottom w:val="single" w:sz="4" w:space="0" w:color="000000"/>
              <w:right w:val="single" w:sz="4" w:space="0" w:color="000000"/>
            </w:tcBorders>
          </w:tcPr>
          <w:p w14:paraId="6FC8AF22"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hideMark/>
          </w:tcPr>
          <w:p w14:paraId="00F396CE" w14:textId="77777777" w:rsidR="00E41882" w:rsidRDefault="00E41882" w:rsidP="007D5C29">
            <w:pPr>
              <w:pStyle w:val="TableParagraph"/>
            </w:pPr>
            <w:r>
              <w:t>Hyperhidrosis</w:t>
            </w:r>
          </w:p>
        </w:tc>
        <w:tc>
          <w:tcPr>
            <w:tcW w:w="1903" w:type="dxa"/>
            <w:tcBorders>
              <w:top w:val="single" w:sz="4" w:space="0" w:color="000000"/>
              <w:left w:val="single" w:sz="4" w:space="0" w:color="000000"/>
              <w:bottom w:val="single" w:sz="4" w:space="0" w:color="000000"/>
              <w:right w:val="single" w:sz="4" w:space="0" w:color="000000"/>
            </w:tcBorders>
            <w:hideMark/>
          </w:tcPr>
          <w:p w14:paraId="1BECFC3C" w14:textId="77777777" w:rsidR="00E41882" w:rsidRDefault="00E41882" w:rsidP="007D5C29">
            <w:pPr>
              <w:pStyle w:val="TableParagraph"/>
              <w:ind w:right="701"/>
            </w:pPr>
            <w:r>
              <w:t>Alopecia Hair growth abnormal Rash Urticaria</w:t>
            </w:r>
          </w:p>
        </w:tc>
        <w:tc>
          <w:tcPr>
            <w:tcW w:w="682" w:type="dxa"/>
            <w:tcBorders>
              <w:top w:val="single" w:sz="4" w:space="0" w:color="000000"/>
              <w:left w:val="single" w:sz="4" w:space="0" w:color="000000"/>
              <w:bottom w:val="single" w:sz="4" w:space="0" w:color="000000"/>
              <w:right w:val="single" w:sz="4" w:space="0" w:color="000000"/>
            </w:tcBorders>
          </w:tcPr>
          <w:p w14:paraId="6D954164"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11FA9C7E" w14:textId="77777777" w:rsidR="00E41882" w:rsidRPr="00E41882" w:rsidRDefault="00E41882" w:rsidP="007D5C29">
            <w:pPr>
              <w:rPr>
                <w:lang w:val="en-US"/>
              </w:rPr>
            </w:pPr>
          </w:p>
        </w:tc>
      </w:tr>
      <w:tr w:rsidR="00E41882" w:rsidRPr="000D0570" w14:paraId="3FE58CE5" w14:textId="77777777" w:rsidTr="00E41882">
        <w:trPr>
          <w:trHeight w:hRule="exact" w:val="1781"/>
        </w:trPr>
        <w:tc>
          <w:tcPr>
            <w:tcW w:w="1658" w:type="dxa"/>
            <w:tcBorders>
              <w:top w:val="single" w:sz="4" w:space="0" w:color="000000"/>
              <w:left w:val="single" w:sz="4" w:space="0" w:color="000000"/>
              <w:bottom w:val="single" w:sz="4" w:space="0" w:color="000000"/>
              <w:right w:val="single" w:sz="4" w:space="0" w:color="000000"/>
            </w:tcBorders>
            <w:hideMark/>
          </w:tcPr>
          <w:p w14:paraId="7F1E4A25" w14:textId="77777777" w:rsidR="00E41882" w:rsidRDefault="00E41882" w:rsidP="007D5C29">
            <w:pPr>
              <w:pStyle w:val="TableParagraph"/>
              <w:ind w:right="83"/>
            </w:pPr>
            <w:r>
              <w:t>Musculoskeletal and connective tissue disorders</w:t>
            </w:r>
          </w:p>
        </w:tc>
        <w:tc>
          <w:tcPr>
            <w:tcW w:w="1414" w:type="dxa"/>
            <w:tcBorders>
              <w:top w:val="single" w:sz="4" w:space="0" w:color="000000"/>
              <w:left w:val="single" w:sz="4" w:space="0" w:color="000000"/>
              <w:bottom w:val="single" w:sz="4" w:space="0" w:color="000000"/>
              <w:right w:val="single" w:sz="4" w:space="0" w:color="000000"/>
            </w:tcBorders>
          </w:tcPr>
          <w:p w14:paraId="480F6D6B"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hideMark/>
          </w:tcPr>
          <w:p w14:paraId="12E58501" w14:textId="77777777" w:rsidR="00E41882" w:rsidRDefault="00E41882" w:rsidP="007D5C29">
            <w:pPr>
              <w:pStyle w:val="TableParagraph"/>
            </w:pPr>
            <w:r>
              <w:t>Muscle rigidity</w:t>
            </w:r>
          </w:p>
        </w:tc>
        <w:tc>
          <w:tcPr>
            <w:tcW w:w="1903" w:type="dxa"/>
            <w:tcBorders>
              <w:top w:val="single" w:sz="4" w:space="0" w:color="000000"/>
              <w:left w:val="single" w:sz="4" w:space="0" w:color="000000"/>
              <w:bottom w:val="single" w:sz="4" w:space="0" w:color="000000"/>
              <w:right w:val="single" w:sz="4" w:space="0" w:color="000000"/>
            </w:tcBorders>
            <w:hideMark/>
          </w:tcPr>
          <w:p w14:paraId="0A2C36C2" w14:textId="77777777" w:rsidR="00E41882" w:rsidRDefault="00E41882" w:rsidP="007D5C29">
            <w:pPr>
              <w:pStyle w:val="TableParagraph"/>
              <w:ind w:right="300"/>
            </w:pPr>
            <w:r>
              <w:t>Arthralgia Muscle tightness Musculoskeletal stiffness Myalgia</w:t>
            </w:r>
          </w:p>
          <w:p w14:paraId="5D3D5737" w14:textId="77777777" w:rsidR="00E41882" w:rsidRDefault="00E41882" w:rsidP="007D5C29">
            <w:pPr>
              <w:pStyle w:val="TableParagraph"/>
              <w:ind w:right="255"/>
            </w:pPr>
            <w:r>
              <w:t>Pain in extremity Pain in jaw</w:t>
            </w:r>
          </w:p>
        </w:tc>
        <w:tc>
          <w:tcPr>
            <w:tcW w:w="682" w:type="dxa"/>
            <w:tcBorders>
              <w:top w:val="single" w:sz="4" w:space="0" w:color="000000"/>
              <w:left w:val="single" w:sz="4" w:space="0" w:color="000000"/>
              <w:bottom w:val="single" w:sz="4" w:space="0" w:color="000000"/>
              <w:right w:val="single" w:sz="4" w:space="0" w:color="000000"/>
            </w:tcBorders>
          </w:tcPr>
          <w:p w14:paraId="1547AF4D"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7A1CDA09" w14:textId="77777777" w:rsidR="00E41882" w:rsidRPr="00E41882" w:rsidRDefault="00E41882" w:rsidP="007D5C29">
            <w:pPr>
              <w:rPr>
                <w:lang w:val="en-US"/>
              </w:rPr>
            </w:pPr>
          </w:p>
        </w:tc>
      </w:tr>
      <w:tr w:rsidR="00E41882" w:rsidRPr="000D0570" w14:paraId="13A24B2F" w14:textId="77777777" w:rsidTr="00E41882">
        <w:trPr>
          <w:trHeight w:hRule="exact" w:val="1781"/>
        </w:trPr>
        <w:tc>
          <w:tcPr>
            <w:tcW w:w="1658" w:type="dxa"/>
            <w:tcBorders>
              <w:top w:val="single" w:sz="4" w:space="0" w:color="000000"/>
              <w:left w:val="single" w:sz="4" w:space="0" w:color="000000"/>
              <w:bottom w:val="single" w:sz="4" w:space="0" w:color="000000"/>
              <w:right w:val="single" w:sz="4" w:space="0" w:color="000000"/>
            </w:tcBorders>
            <w:hideMark/>
          </w:tcPr>
          <w:p w14:paraId="645B1052" w14:textId="77777777" w:rsidR="00E41882" w:rsidRDefault="00E41882" w:rsidP="007D5C29">
            <w:pPr>
              <w:pStyle w:val="TableParagraph"/>
              <w:ind w:right="640"/>
            </w:pPr>
            <w:r>
              <w:t>Renal and urinary disorders</w:t>
            </w:r>
          </w:p>
        </w:tc>
        <w:tc>
          <w:tcPr>
            <w:tcW w:w="1414" w:type="dxa"/>
            <w:tcBorders>
              <w:top w:val="single" w:sz="4" w:space="0" w:color="000000"/>
              <w:left w:val="single" w:sz="4" w:space="0" w:color="000000"/>
              <w:bottom w:val="single" w:sz="4" w:space="0" w:color="000000"/>
              <w:right w:val="single" w:sz="4" w:space="0" w:color="000000"/>
            </w:tcBorders>
          </w:tcPr>
          <w:p w14:paraId="148DFF8B"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26914499"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2E0177E7" w14:textId="77777777" w:rsidR="00E41882" w:rsidRDefault="00E41882" w:rsidP="007D5C29">
            <w:pPr>
              <w:pStyle w:val="TableParagraph"/>
              <w:ind w:right="481"/>
            </w:pPr>
            <w:r>
              <w:t>Bilirubinuria Dysuria Micturition disorder Polyuria Proteinuria Renal disorder</w:t>
            </w:r>
          </w:p>
        </w:tc>
        <w:tc>
          <w:tcPr>
            <w:tcW w:w="682" w:type="dxa"/>
            <w:tcBorders>
              <w:top w:val="single" w:sz="4" w:space="0" w:color="000000"/>
              <w:left w:val="single" w:sz="4" w:space="0" w:color="000000"/>
              <w:bottom w:val="single" w:sz="4" w:space="0" w:color="000000"/>
              <w:right w:val="single" w:sz="4" w:space="0" w:color="000000"/>
            </w:tcBorders>
          </w:tcPr>
          <w:p w14:paraId="096195FD"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7FC3BFCE" w14:textId="77777777" w:rsidR="00E41882" w:rsidRPr="00E41882" w:rsidRDefault="00E41882" w:rsidP="007D5C29">
            <w:pPr>
              <w:rPr>
                <w:lang w:val="en-US"/>
              </w:rPr>
            </w:pPr>
          </w:p>
        </w:tc>
      </w:tr>
      <w:tr w:rsidR="00E41882" w:rsidRPr="000D0570" w14:paraId="682DD6FF" w14:textId="77777777" w:rsidTr="00E41882">
        <w:trPr>
          <w:trHeight w:hRule="exact" w:val="2794"/>
        </w:trPr>
        <w:tc>
          <w:tcPr>
            <w:tcW w:w="1658" w:type="dxa"/>
            <w:tcBorders>
              <w:top w:val="single" w:sz="4" w:space="0" w:color="000000"/>
              <w:left w:val="single" w:sz="4" w:space="0" w:color="000000"/>
              <w:bottom w:val="single" w:sz="4" w:space="0" w:color="000000"/>
              <w:right w:val="single" w:sz="4" w:space="0" w:color="000000"/>
            </w:tcBorders>
            <w:hideMark/>
          </w:tcPr>
          <w:p w14:paraId="542AFB9A" w14:textId="77777777" w:rsidR="00E41882" w:rsidRDefault="00E41882" w:rsidP="007D5C29">
            <w:pPr>
              <w:pStyle w:val="TableParagraph"/>
              <w:ind w:right="139"/>
            </w:pPr>
            <w:r>
              <w:t>Reproductive system and breast disorders</w:t>
            </w:r>
          </w:p>
        </w:tc>
        <w:tc>
          <w:tcPr>
            <w:tcW w:w="1414" w:type="dxa"/>
            <w:tcBorders>
              <w:top w:val="single" w:sz="4" w:space="0" w:color="000000"/>
              <w:left w:val="single" w:sz="4" w:space="0" w:color="000000"/>
              <w:bottom w:val="single" w:sz="4" w:space="0" w:color="000000"/>
              <w:right w:val="single" w:sz="4" w:space="0" w:color="000000"/>
            </w:tcBorders>
          </w:tcPr>
          <w:p w14:paraId="10031F43"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hideMark/>
          </w:tcPr>
          <w:p w14:paraId="62D2F86C" w14:textId="77777777" w:rsidR="00E41882" w:rsidRDefault="00E41882" w:rsidP="007D5C29">
            <w:pPr>
              <w:pStyle w:val="TableParagraph"/>
            </w:pPr>
            <w:r>
              <w:t>Erectile dysfunction</w:t>
            </w:r>
          </w:p>
        </w:tc>
        <w:tc>
          <w:tcPr>
            <w:tcW w:w="1903" w:type="dxa"/>
            <w:tcBorders>
              <w:top w:val="single" w:sz="4" w:space="0" w:color="000000"/>
              <w:left w:val="single" w:sz="4" w:space="0" w:color="000000"/>
              <w:bottom w:val="single" w:sz="4" w:space="0" w:color="000000"/>
              <w:right w:val="single" w:sz="4" w:space="0" w:color="000000"/>
            </w:tcBorders>
            <w:hideMark/>
          </w:tcPr>
          <w:p w14:paraId="52913215" w14:textId="77777777" w:rsidR="00E41882" w:rsidRDefault="00E41882" w:rsidP="007D5C29">
            <w:pPr>
              <w:pStyle w:val="TableParagraph"/>
              <w:ind w:right="218"/>
            </w:pPr>
            <w:r>
              <w:t>Amenorrhoea Breast pain Ejaculation disorder Galactorrhoea Gynaecomastia Menstruation irregular Oligomenorrhoea Sexual dysfunction</w:t>
            </w:r>
          </w:p>
        </w:tc>
        <w:tc>
          <w:tcPr>
            <w:tcW w:w="682" w:type="dxa"/>
            <w:tcBorders>
              <w:top w:val="single" w:sz="4" w:space="0" w:color="000000"/>
              <w:left w:val="single" w:sz="4" w:space="0" w:color="000000"/>
              <w:bottom w:val="single" w:sz="4" w:space="0" w:color="000000"/>
              <w:right w:val="single" w:sz="4" w:space="0" w:color="000000"/>
            </w:tcBorders>
          </w:tcPr>
          <w:p w14:paraId="273B2A38"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23CF70F9" w14:textId="77777777" w:rsidR="00E41882" w:rsidRPr="00E41882" w:rsidRDefault="00E41882" w:rsidP="007D5C29">
            <w:pPr>
              <w:rPr>
                <w:lang w:val="en-US"/>
              </w:rPr>
            </w:pPr>
          </w:p>
        </w:tc>
      </w:tr>
      <w:tr w:rsidR="00E41882" w14:paraId="775ED105" w14:textId="77777777" w:rsidTr="00E41882">
        <w:trPr>
          <w:trHeight w:hRule="exact" w:val="1022"/>
        </w:trPr>
        <w:tc>
          <w:tcPr>
            <w:tcW w:w="1658" w:type="dxa"/>
            <w:tcBorders>
              <w:top w:val="single" w:sz="4" w:space="0" w:color="000000"/>
              <w:left w:val="single" w:sz="4" w:space="0" w:color="000000"/>
              <w:bottom w:val="single" w:sz="4" w:space="0" w:color="000000"/>
              <w:right w:val="single" w:sz="4" w:space="0" w:color="000000"/>
            </w:tcBorders>
            <w:hideMark/>
          </w:tcPr>
          <w:p w14:paraId="419DECF9" w14:textId="77777777" w:rsidR="00E41882" w:rsidRDefault="00E41882" w:rsidP="007D5C29">
            <w:pPr>
              <w:pStyle w:val="TableParagraph"/>
              <w:ind w:right="469"/>
            </w:pPr>
            <w:r>
              <w:t>Congenital, familial and genetic disorders</w:t>
            </w:r>
          </w:p>
        </w:tc>
        <w:tc>
          <w:tcPr>
            <w:tcW w:w="1414" w:type="dxa"/>
            <w:tcBorders>
              <w:top w:val="single" w:sz="4" w:space="0" w:color="000000"/>
              <w:left w:val="single" w:sz="4" w:space="0" w:color="000000"/>
              <w:bottom w:val="single" w:sz="4" w:space="0" w:color="000000"/>
              <w:right w:val="single" w:sz="4" w:space="0" w:color="000000"/>
            </w:tcBorders>
          </w:tcPr>
          <w:p w14:paraId="6298DB5B"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tcPr>
          <w:p w14:paraId="1D24162A" w14:textId="77777777" w:rsidR="00E41882" w:rsidRPr="00E41882" w:rsidRDefault="00E41882" w:rsidP="007D5C29">
            <w:pPr>
              <w:rPr>
                <w:lang w:val="en-US"/>
              </w:rPr>
            </w:pPr>
          </w:p>
        </w:tc>
        <w:tc>
          <w:tcPr>
            <w:tcW w:w="1903" w:type="dxa"/>
            <w:tcBorders>
              <w:top w:val="single" w:sz="4" w:space="0" w:color="000000"/>
              <w:left w:val="single" w:sz="4" w:space="0" w:color="000000"/>
              <w:bottom w:val="single" w:sz="4" w:space="0" w:color="000000"/>
              <w:right w:val="single" w:sz="4" w:space="0" w:color="000000"/>
            </w:tcBorders>
            <w:hideMark/>
          </w:tcPr>
          <w:p w14:paraId="0C731683" w14:textId="77777777" w:rsidR="00E41882" w:rsidRDefault="00E41882" w:rsidP="007D5C29">
            <w:pPr>
              <w:pStyle w:val="TableParagraph"/>
            </w:pPr>
            <w:r>
              <w:t>Tourette's disorder</w:t>
            </w:r>
          </w:p>
        </w:tc>
        <w:tc>
          <w:tcPr>
            <w:tcW w:w="682" w:type="dxa"/>
            <w:tcBorders>
              <w:top w:val="single" w:sz="4" w:space="0" w:color="000000"/>
              <w:left w:val="single" w:sz="4" w:space="0" w:color="000000"/>
              <w:bottom w:val="single" w:sz="4" w:space="0" w:color="000000"/>
              <w:right w:val="single" w:sz="4" w:space="0" w:color="000000"/>
            </w:tcBorders>
          </w:tcPr>
          <w:p w14:paraId="36335D7B"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6B9612DE" w14:textId="77777777" w:rsidR="00E41882" w:rsidRDefault="00E41882" w:rsidP="007D5C29"/>
        </w:tc>
      </w:tr>
      <w:tr w:rsidR="00E41882" w14:paraId="017D0B3B" w14:textId="77777777" w:rsidTr="00E41882">
        <w:trPr>
          <w:trHeight w:hRule="exact" w:val="1526"/>
        </w:trPr>
        <w:tc>
          <w:tcPr>
            <w:tcW w:w="1658" w:type="dxa"/>
            <w:tcBorders>
              <w:top w:val="single" w:sz="4" w:space="0" w:color="000000"/>
              <w:left w:val="single" w:sz="4" w:space="0" w:color="000000"/>
              <w:bottom w:val="single" w:sz="4" w:space="0" w:color="000000"/>
              <w:right w:val="single" w:sz="4" w:space="0" w:color="000000"/>
            </w:tcBorders>
            <w:hideMark/>
          </w:tcPr>
          <w:p w14:paraId="0B85AF1F" w14:textId="77777777" w:rsidR="00E41882" w:rsidRDefault="00E41882" w:rsidP="007D5C29">
            <w:pPr>
              <w:pStyle w:val="TableParagraph"/>
              <w:ind w:right="248"/>
            </w:pPr>
            <w:r>
              <w:lastRenderedPageBreak/>
              <w:t>General disorders and administration site conditions</w:t>
            </w:r>
          </w:p>
        </w:tc>
        <w:tc>
          <w:tcPr>
            <w:tcW w:w="1414" w:type="dxa"/>
            <w:tcBorders>
              <w:top w:val="single" w:sz="4" w:space="0" w:color="000000"/>
              <w:left w:val="single" w:sz="4" w:space="0" w:color="000000"/>
              <w:bottom w:val="single" w:sz="4" w:space="0" w:color="000000"/>
              <w:right w:val="single" w:sz="4" w:space="0" w:color="000000"/>
            </w:tcBorders>
          </w:tcPr>
          <w:p w14:paraId="229BE6F2"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hideMark/>
          </w:tcPr>
          <w:p w14:paraId="51F78B9C" w14:textId="77777777" w:rsidR="00E41882" w:rsidRDefault="00E41882" w:rsidP="007D5C29">
            <w:pPr>
              <w:pStyle w:val="TableParagraph"/>
              <w:ind w:right="1036"/>
            </w:pPr>
            <w:r>
              <w:t>Asthenia Fatigue Irritability</w:t>
            </w:r>
          </w:p>
        </w:tc>
        <w:tc>
          <w:tcPr>
            <w:tcW w:w="1903" w:type="dxa"/>
            <w:tcBorders>
              <w:top w:val="single" w:sz="4" w:space="0" w:color="000000"/>
              <w:left w:val="single" w:sz="4" w:space="0" w:color="000000"/>
              <w:bottom w:val="single" w:sz="4" w:space="0" w:color="000000"/>
              <w:right w:val="single" w:sz="4" w:space="0" w:color="000000"/>
            </w:tcBorders>
            <w:hideMark/>
          </w:tcPr>
          <w:p w14:paraId="20B3B445" w14:textId="77777777" w:rsidR="00E41882" w:rsidRDefault="00E41882" w:rsidP="007D5C29">
            <w:pPr>
              <w:pStyle w:val="TableParagraph"/>
            </w:pPr>
            <w:r>
              <w:t>Chills</w:t>
            </w:r>
          </w:p>
          <w:p w14:paraId="29177151" w14:textId="77777777" w:rsidR="00E41882" w:rsidRDefault="00E41882" w:rsidP="007D5C29">
            <w:pPr>
              <w:pStyle w:val="TableParagraph"/>
              <w:ind w:right="322"/>
            </w:pPr>
            <w:r>
              <w:t>Gait disturbance Malaise</w:t>
            </w:r>
          </w:p>
          <w:p w14:paraId="0362F763" w14:textId="77777777" w:rsidR="00E41882" w:rsidRDefault="00E41882" w:rsidP="007D5C29">
            <w:pPr>
              <w:pStyle w:val="TableParagraph"/>
              <w:ind w:right="176"/>
            </w:pPr>
            <w:r>
              <w:t>Non-cardiac chest pain</w:t>
            </w:r>
          </w:p>
          <w:p w14:paraId="06B944F8" w14:textId="77777777" w:rsidR="00E41882" w:rsidRDefault="00E41882" w:rsidP="007D5C29">
            <w:pPr>
              <w:pStyle w:val="TableParagraph"/>
            </w:pPr>
            <w:r>
              <w:t>Pyrexia</w:t>
            </w:r>
          </w:p>
        </w:tc>
        <w:tc>
          <w:tcPr>
            <w:tcW w:w="682" w:type="dxa"/>
            <w:tcBorders>
              <w:top w:val="single" w:sz="4" w:space="0" w:color="000000"/>
              <w:left w:val="single" w:sz="4" w:space="0" w:color="000000"/>
              <w:bottom w:val="single" w:sz="4" w:space="0" w:color="000000"/>
              <w:right w:val="single" w:sz="4" w:space="0" w:color="000000"/>
            </w:tcBorders>
          </w:tcPr>
          <w:p w14:paraId="0C9793D2"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2E0E9BD5" w14:textId="77777777" w:rsidR="00E41882" w:rsidRDefault="00E41882" w:rsidP="007D5C29"/>
        </w:tc>
      </w:tr>
      <w:tr w:rsidR="00E41882" w:rsidRPr="000D0570" w14:paraId="07C3456B" w14:textId="77777777" w:rsidTr="00E41882">
        <w:trPr>
          <w:trHeight w:hRule="exact" w:val="8657"/>
        </w:trPr>
        <w:tc>
          <w:tcPr>
            <w:tcW w:w="1658" w:type="dxa"/>
            <w:tcBorders>
              <w:top w:val="single" w:sz="4" w:space="0" w:color="000000"/>
              <w:left w:val="single" w:sz="4" w:space="0" w:color="000000"/>
              <w:bottom w:val="single" w:sz="4" w:space="0" w:color="000000"/>
              <w:right w:val="single" w:sz="4" w:space="0" w:color="000000"/>
            </w:tcBorders>
            <w:hideMark/>
          </w:tcPr>
          <w:p w14:paraId="35248989" w14:textId="77777777" w:rsidR="00E41882" w:rsidRDefault="00E41882" w:rsidP="007D5C29">
            <w:pPr>
              <w:pStyle w:val="TableParagraph"/>
              <w:ind w:right="248"/>
            </w:pPr>
            <w:r>
              <w:t>Investigations</w:t>
            </w:r>
          </w:p>
        </w:tc>
        <w:tc>
          <w:tcPr>
            <w:tcW w:w="1414" w:type="dxa"/>
            <w:tcBorders>
              <w:top w:val="single" w:sz="4" w:space="0" w:color="000000"/>
              <w:left w:val="single" w:sz="4" w:space="0" w:color="000000"/>
              <w:bottom w:val="single" w:sz="4" w:space="0" w:color="000000"/>
              <w:right w:val="single" w:sz="4" w:space="0" w:color="000000"/>
            </w:tcBorders>
          </w:tcPr>
          <w:p w14:paraId="55BD21F7"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53CCD3DD" w14:textId="77777777" w:rsidR="00E41882" w:rsidRDefault="00E41882" w:rsidP="007D5C29">
            <w:pPr>
              <w:pStyle w:val="TableParagraph"/>
              <w:ind w:right="1036"/>
            </w:pPr>
            <w:r>
              <w:t>Blood creatine phosphokinase increased</w:t>
            </w:r>
          </w:p>
          <w:p w14:paraId="73E8A03F" w14:textId="77777777" w:rsidR="00E41882" w:rsidRDefault="00E41882" w:rsidP="007D5C29">
            <w:pPr>
              <w:pStyle w:val="TableParagraph"/>
              <w:ind w:right="1036"/>
            </w:pPr>
          </w:p>
          <w:p w14:paraId="3E587E5B" w14:textId="77777777" w:rsidR="00E41882" w:rsidRDefault="00E41882" w:rsidP="007D5C29">
            <w:pPr>
              <w:pStyle w:val="TableParagraph"/>
              <w:ind w:right="1036"/>
            </w:pPr>
            <w:r>
              <w:t>C-reactive protein increased</w:t>
            </w:r>
          </w:p>
          <w:p w14:paraId="63F4516F" w14:textId="77777777" w:rsidR="00E41882" w:rsidRDefault="00E41882" w:rsidP="007D5C29">
            <w:pPr>
              <w:pStyle w:val="TableParagraph"/>
              <w:ind w:right="1036"/>
            </w:pPr>
          </w:p>
          <w:p w14:paraId="2EE4EA24" w14:textId="77777777" w:rsidR="00E41882" w:rsidRDefault="00E41882" w:rsidP="007D5C29">
            <w:pPr>
              <w:pStyle w:val="TableParagraph"/>
              <w:ind w:right="1036"/>
            </w:pPr>
            <w:r>
              <w:t>Weight decreased Weight increased</w:t>
            </w:r>
          </w:p>
        </w:tc>
        <w:tc>
          <w:tcPr>
            <w:tcW w:w="1903" w:type="dxa"/>
            <w:tcBorders>
              <w:top w:val="single" w:sz="4" w:space="0" w:color="000000"/>
              <w:left w:val="single" w:sz="4" w:space="0" w:color="000000"/>
              <w:bottom w:val="single" w:sz="4" w:space="0" w:color="000000"/>
              <w:right w:val="single" w:sz="4" w:space="0" w:color="000000"/>
            </w:tcBorders>
            <w:hideMark/>
          </w:tcPr>
          <w:p w14:paraId="1EF72040" w14:textId="77777777" w:rsidR="00E41882" w:rsidRDefault="00E41882" w:rsidP="007D5C29">
            <w:pPr>
              <w:pStyle w:val="TableParagraph"/>
            </w:pPr>
            <w:r>
              <w:t>Alanine aminotransferase increased</w:t>
            </w:r>
          </w:p>
          <w:p w14:paraId="099D016F" w14:textId="77777777" w:rsidR="00E41882" w:rsidRDefault="00E41882" w:rsidP="007D5C29">
            <w:pPr>
              <w:pStyle w:val="TableParagraph"/>
            </w:pPr>
            <w:r>
              <w:t>Anti-thyroid antibody positive Aspartate aminotransferase increased</w:t>
            </w:r>
          </w:p>
          <w:p w14:paraId="674CAC0E" w14:textId="77777777" w:rsidR="00E41882" w:rsidRDefault="00E41882" w:rsidP="007D5C29">
            <w:pPr>
              <w:pStyle w:val="TableParagraph"/>
            </w:pPr>
            <w:r>
              <w:t>Blood alkaline phosphatase decreased Blood alkaline phosphokinase increased</w:t>
            </w:r>
          </w:p>
          <w:p w14:paraId="03717FCA" w14:textId="77777777" w:rsidR="00E41882" w:rsidRDefault="00E41882" w:rsidP="007D5C29">
            <w:pPr>
              <w:pStyle w:val="TableParagraph"/>
            </w:pPr>
            <w:r>
              <w:t>Blood cholesterol increased</w:t>
            </w:r>
          </w:p>
          <w:p w14:paraId="34400EAC" w14:textId="77777777" w:rsidR="00E41882" w:rsidRDefault="00E41882" w:rsidP="007D5C29">
            <w:pPr>
              <w:pStyle w:val="TableParagraph"/>
            </w:pPr>
            <w:r>
              <w:t>Blood glucose increased Blood insulin increased</w:t>
            </w:r>
          </w:p>
          <w:p w14:paraId="187FAF5C" w14:textId="77777777" w:rsidR="00E41882" w:rsidRDefault="00E41882" w:rsidP="007D5C29">
            <w:pPr>
              <w:pStyle w:val="TableParagraph"/>
            </w:pPr>
            <w:r>
              <w:t>Blood testosterone decreased</w:t>
            </w:r>
          </w:p>
          <w:p w14:paraId="75770BD9" w14:textId="77777777" w:rsidR="00E41882" w:rsidRDefault="00E41882" w:rsidP="007D5C29">
            <w:pPr>
              <w:pStyle w:val="TableParagraph"/>
            </w:pPr>
            <w:r>
              <w:t>Blood thyroid stimulating hormone increased Blood triglycerides increased Electrocardiogram PR shortened Haemoglobin decreased</w:t>
            </w:r>
          </w:p>
          <w:p w14:paraId="730E8335" w14:textId="77777777" w:rsidR="00E41882" w:rsidRDefault="00E41882" w:rsidP="007D5C29">
            <w:pPr>
              <w:pStyle w:val="TableParagraph"/>
            </w:pPr>
            <w:r>
              <w:t>High density lipoprotein decreased Low density lipoprotein decreased</w:t>
            </w:r>
          </w:p>
        </w:tc>
        <w:tc>
          <w:tcPr>
            <w:tcW w:w="682" w:type="dxa"/>
            <w:tcBorders>
              <w:top w:val="single" w:sz="4" w:space="0" w:color="000000"/>
              <w:left w:val="single" w:sz="4" w:space="0" w:color="000000"/>
              <w:bottom w:val="single" w:sz="4" w:space="0" w:color="000000"/>
              <w:right w:val="single" w:sz="4" w:space="0" w:color="000000"/>
            </w:tcBorders>
          </w:tcPr>
          <w:p w14:paraId="0ECC805E"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56655038" w14:textId="77777777" w:rsidR="00E41882" w:rsidRPr="00E41882" w:rsidRDefault="00E41882" w:rsidP="007D5C29">
            <w:pPr>
              <w:rPr>
                <w:lang w:val="en-US"/>
              </w:rPr>
            </w:pPr>
          </w:p>
        </w:tc>
      </w:tr>
      <w:tr w:rsidR="00E41882" w14:paraId="15B8608A" w14:textId="77777777" w:rsidTr="00E41882">
        <w:trPr>
          <w:trHeight w:hRule="exact" w:val="1146"/>
        </w:trPr>
        <w:tc>
          <w:tcPr>
            <w:tcW w:w="1658" w:type="dxa"/>
            <w:tcBorders>
              <w:top w:val="single" w:sz="4" w:space="0" w:color="000000"/>
              <w:left w:val="single" w:sz="4" w:space="0" w:color="000000"/>
              <w:bottom w:val="single" w:sz="4" w:space="0" w:color="000000"/>
              <w:right w:val="single" w:sz="4" w:space="0" w:color="000000"/>
            </w:tcBorders>
            <w:hideMark/>
          </w:tcPr>
          <w:p w14:paraId="694AE1E0" w14:textId="77777777" w:rsidR="00E41882" w:rsidRDefault="00E41882" w:rsidP="007D5C29">
            <w:pPr>
              <w:pStyle w:val="TableParagraph"/>
              <w:ind w:right="248"/>
            </w:pPr>
            <w:r>
              <w:t>Injury, poisoning and procedural complications</w:t>
            </w:r>
          </w:p>
        </w:tc>
        <w:tc>
          <w:tcPr>
            <w:tcW w:w="1414" w:type="dxa"/>
            <w:tcBorders>
              <w:top w:val="single" w:sz="4" w:space="0" w:color="000000"/>
              <w:left w:val="single" w:sz="4" w:space="0" w:color="000000"/>
              <w:bottom w:val="single" w:sz="4" w:space="0" w:color="000000"/>
              <w:right w:val="single" w:sz="4" w:space="0" w:color="000000"/>
            </w:tcBorders>
          </w:tcPr>
          <w:p w14:paraId="78C83D91"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tcPr>
          <w:p w14:paraId="34EED2CC" w14:textId="77777777" w:rsidR="00E41882" w:rsidRDefault="00E41882" w:rsidP="007D5C29">
            <w:pPr>
              <w:pStyle w:val="TableParagraph"/>
              <w:ind w:right="1036"/>
            </w:pPr>
          </w:p>
        </w:tc>
        <w:tc>
          <w:tcPr>
            <w:tcW w:w="1903" w:type="dxa"/>
            <w:tcBorders>
              <w:top w:val="single" w:sz="4" w:space="0" w:color="000000"/>
              <w:left w:val="single" w:sz="4" w:space="0" w:color="000000"/>
              <w:bottom w:val="single" w:sz="4" w:space="0" w:color="000000"/>
              <w:right w:val="single" w:sz="4" w:space="0" w:color="000000"/>
            </w:tcBorders>
            <w:hideMark/>
          </w:tcPr>
          <w:p w14:paraId="49199DF9" w14:textId="77777777" w:rsidR="00E41882" w:rsidRDefault="00E41882" w:rsidP="007D5C29">
            <w:pPr>
              <w:pStyle w:val="TableParagraph"/>
            </w:pPr>
            <w:r>
              <w:t>Intentional overdose</w:t>
            </w:r>
          </w:p>
        </w:tc>
        <w:tc>
          <w:tcPr>
            <w:tcW w:w="682" w:type="dxa"/>
            <w:tcBorders>
              <w:top w:val="single" w:sz="4" w:space="0" w:color="000000"/>
              <w:left w:val="single" w:sz="4" w:space="0" w:color="000000"/>
              <w:bottom w:val="single" w:sz="4" w:space="0" w:color="000000"/>
              <w:right w:val="single" w:sz="4" w:space="0" w:color="000000"/>
            </w:tcBorders>
          </w:tcPr>
          <w:p w14:paraId="76CE2655"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5DA172A7" w14:textId="77777777" w:rsidR="00E41882" w:rsidRDefault="00E41882" w:rsidP="007D5C29"/>
        </w:tc>
      </w:tr>
    </w:tbl>
    <w:p w14:paraId="5D5C48E0" w14:textId="77777777" w:rsidR="00E41882" w:rsidRDefault="00E41882" w:rsidP="007D5C29">
      <w:pPr>
        <w:pStyle w:val="Brdtekst"/>
        <w:rPr>
          <w:b/>
          <w:sz w:val="19"/>
        </w:rPr>
      </w:pPr>
    </w:p>
    <w:p w14:paraId="3864A2CD" w14:textId="77777777" w:rsidR="00E41882" w:rsidRPr="00E41882" w:rsidRDefault="00E41882" w:rsidP="007D5C29">
      <w:pPr>
        <w:ind w:left="118"/>
        <w:jc w:val="both"/>
        <w:rPr>
          <w:sz w:val="18"/>
          <w:lang w:val="en-US"/>
        </w:rPr>
      </w:pPr>
      <w:r w:rsidRPr="00E41882">
        <w:rPr>
          <w:sz w:val="18"/>
          <w:lang w:val="en-US"/>
        </w:rPr>
        <w:t>*Somnolence includes the following adverse reactions observed in adolescents: hypersomnia, sedation, and somnolence.</w:t>
      </w:r>
    </w:p>
    <w:p w14:paraId="07C65BC2" w14:textId="77777777" w:rsidR="00E41882" w:rsidRPr="00E41882" w:rsidRDefault="00E41882" w:rsidP="007D5C29">
      <w:pPr>
        <w:ind w:left="118" w:right="774"/>
        <w:rPr>
          <w:sz w:val="18"/>
          <w:lang w:val="en-US"/>
        </w:rPr>
      </w:pPr>
      <w:r w:rsidRPr="00E41882">
        <w:rPr>
          <w:sz w:val="18"/>
          <w:lang w:val="en-US"/>
        </w:rPr>
        <w:t>**Parkinsonism includes the following adverse reactions observed in adolescents: cogwheel rigidity, extrapyramidal disorder, hypokinesia, parkinsonism, and tremor.</w:t>
      </w:r>
    </w:p>
    <w:p w14:paraId="5FBAC750" w14:textId="77777777" w:rsidR="00E41882" w:rsidRPr="00E41882" w:rsidRDefault="00E41882" w:rsidP="007D5C29">
      <w:pPr>
        <w:ind w:left="118"/>
        <w:jc w:val="both"/>
        <w:rPr>
          <w:sz w:val="18"/>
          <w:lang w:val="en-US"/>
        </w:rPr>
      </w:pPr>
      <w:r w:rsidRPr="00E41882">
        <w:rPr>
          <w:sz w:val="18"/>
          <w:lang w:val="en-US"/>
        </w:rPr>
        <w:t>*** Dystonia includes the following adverse reactions observed in adolescents: dystonia, oculogyric crisis and torticollis.</w:t>
      </w:r>
    </w:p>
    <w:p w14:paraId="1B7D3DDA" w14:textId="77777777" w:rsidR="00E41882" w:rsidRPr="00E41882" w:rsidRDefault="00E41882" w:rsidP="007D5C29">
      <w:pPr>
        <w:pStyle w:val="Brdtekst"/>
        <w:ind w:left="851"/>
        <w:rPr>
          <w:sz w:val="24"/>
          <w:szCs w:val="24"/>
        </w:rPr>
      </w:pPr>
    </w:p>
    <w:p w14:paraId="2EBA9C5A" w14:textId="77777777" w:rsidR="00E41882" w:rsidRPr="00E41882" w:rsidRDefault="00E41882" w:rsidP="007D5C29">
      <w:pPr>
        <w:pStyle w:val="Brdtekst"/>
        <w:ind w:left="851"/>
        <w:jc w:val="both"/>
        <w:rPr>
          <w:sz w:val="24"/>
          <w:szCs w:val="24"/>
        </w:rPr>
      </w:pPr>
      <w:r w:rsidRPr="00E41882">
        <w:rPr>
          <w:sz w:val="24"/>
          <w:szCs w:val="24"/>
          <w:u w:val="single"/>
        </w:rPr>
        <w:t>Description of selected adverse reactions</w:t>
      </w:r>
    </w:p>
    <w:p w14:paraId="480CFF76" w14:textId="24DD2445" w:rsidR="00E41882" w:rsidRPr="00E41882" w:rsidRDefault="00E41882" w:rsidP="007D5C29">
      <w:pPr>
        <w:pStyle w:val="Brdtekst"/>
        <w:ind w:left="851" w:right="519"/>
        <w:jc w:val="both"/>
        <w:rPr>
          <w:sz w:val="24"/>
          <w:szCs w:val="24"/>
        </w:rPr>
      </w:pPr>
      <w:r w:rsidRPr="00E41882">
        <w:rPr>
          <w:sz w:val="24"/>
          <w:szCs w:val="24"/>
        </w:rPr>
        <w:t>Post marketing reports of clinically serious cases of skin and other hypersensitivity reactions have been reported in association with lurasidone treatment, including some reports of Stevens-Johnson</w:t>
      </w:r>
      <w:r w:rsidR="002305B4">
        <w:rPr>
          <w:sz w:val="24"/>
          <w:szCs w:val="24"/>
        </w:rPr>
        <w:t>'s</w:t>
      </w:r>
      <w:r w:rsidRPr="00E41882">
        <w:rPr>
          <w:sz w:val="24"/>
          <w:szCs w:val="24"/>
        </w:rPr>
        <w:t xml:space="preserve"> syndrome.</w:t>
      </w:r>
    </w:p>
    <w:p w14:paraId="35B138BF" w14:textId="77777777" w:rsidR="00E41882" w:rsidRPr="00E41882" w:rsidRDefault="00E41882" w:rsidP="007D5C29">
      <w:pPr>
        <w:pStyle w:val="Brdtekst"/>
        <w:ind w:left="851"/>
        <w:rPr>
          <w:sz w:val="24"/>
          <w:szCs w:val="24"/>
        </w:rPr>
      </w:pPr>
    </w:p>
    <w:p w14:paraId="6ADAB9EC" w14:textId="52C53565" w:rsidR="00E41882" w:rsidRPr="002305B4" w:rsidRDefault="00E41882" w:rsidP="007D5C29">
      <w:pPr>
        <w:ind w:left="851"/>
        <w:jc w:val="both"/>
        <w:rPr>
          <w:i/>
          <w:sz w:val="24"/>
          <w:szCs w:val="24"/>
          <w:u w:val="single"/>
          <w:lang w:val="en-US"/>
        </w:rPr>
      </w:pPr>
      <w:r w:rsidRPr="002305B4">
        <w:rPr>
          <w:i/>
          <w:sz w:val="24"/>
          <w:szCs w:val="24"/>
          <w:u w:val="single"/>
          <w:lang w:val="en-US"/>
        </w:rPr>
        <w:lastRenderedPageBreak/>
        <w:t>Events of interest to the class</w:t>
      </w:r>
    </w:p>
    <w:p w14:paraId="729E44B9" w14:textId="77777777" w:rsidR="002305B4" w:rsidRPr="00E41882" w:rsidRDefault="002305B4" w:rsidP="007D5C29">
      <w:pPr>
        <w:ind w:left="851"/>
        <w:jc w:val="both"/>
        <w:rPr>
          <w:i/>
          <w:sz w:val="24"/>
          <w:szCs w:val="24"/>
          <w:lang w:val="en-US"/>
        </w:rPr>
      </w:pPr>
    </w:p>
    <w:p w14:paraId="7C483B2E" w14:textId="6C23D9EE" w:rsidR="00E41882" w:rsidRPr="00C1594C" w:rsidRDefault="00E41882" w:rsidP="007D5C29">
      <w:pPr>
        <w:ind w:left="851"/>
        <w:jc w:val="both"/>
        <w:rPr>
          <w:sz w:val="24"/>
          <w:szCs w:val="24"/>
          <w:lang w:val="en-US"/>
        </w:rPr>
      </w:pPr>
      <w:r w:rsidRPr="00E41882">
        <w:rPr>
          <w:i/>
          <w:sz w:val="24"/>
          <w:szCs w:val="24"/>
          <w:lang w:val="en-US"/>
        </w:rPr>
        <w:t xml:space="preserve">Extrapyramidal symptoms (EPS): </w:t>
      </w:r>
      <w:r w:rsidRPr="00E41882">
        <w:rPr>
          <w:sz w:val="24"/>
          <w:szCs w:val="24"/>
          <w:lang w:val="en-US"/>
        </w:rPr>
        <w:t>In the adult short-term placebo-controlled studies, the incidence of</w:t>
      </w:r>
      <w:r w:rsidR="002305B4">
        <w:rPr>
          <w:sz w:val="24"/>
          <w:szCs w:val="24"/>
          <w:lang w:val="en-US"/>
        </w:rPr>
        <w:t xml:space="preserve"> </w:t>
      </w:r>
      <w:r w:rsidRPr="002305B4">
        <w:rPr>
          <w:sz w:val="24"/>
          <w:szCs w:val="24"/>
          <w:lang w:val="en-US"/>
        </w:rPr>
        <w:t>reported events related to EPS, excluding akathisia and restlessness, was 13.5% for lurasidone-treated</w:t>
      </w:r>
      <w:r w:rsidR="002305B4" w:rsidRPr="002305B4">
        <w:rPr>
          <w:sz w:val="24"/>
          <w:szCs w:val="24"/>
          <w:lang w:val="en-US"/>
        </w:rPr>
        <w:t xml:space="preserve"> </w:t>
      </w:r>
      <w:r w:rsidRPr="002305B4">
        <w:rPr>
          <w:sz w:val="24"/>
          <w:szCs w:val="24"/>
          <w:lang w:val="en-US"/>
        </w:rPr>
        <w:t xml:space="preserve">subjects versus 5.8% for placebo-treated subjects. </w:t>
      </w:r>
      <w:r w:rsidRPr="00C1594C">
        <w:rPr>
          <w:sz w:val="24"/>
          <w:szCs w:val="24"/>
          <w:lang w:val="en-US"/>
        </w:rPr>
        <w:t>The incidence of akathisia for lurasidone-treated subjects was 12.9% versus 3.0% for placebo-treated subjects. In the adolescent short-term placebo- controlled study, the incidence of reported events related to EPS, excluding akathisia, was 5.1% for lurasidone-treated subjects versus 1.8% for placebo-treated subjects. The incidence of akathisia for lurasidone-treated subjects was 8.9% versus 1.8% for placebo-treated subjects.</w:t>
      </w:r>
    </w:p>
    <w:p w14:paraId="7A1347FF" w14:textId="77777777" w:rsidR="00E41882" w:rsidRPr="00E41882" w:rsidRDefault="00E41882" w:rsidP="007D5C29">
      <w:pPr>
        <w:pStyle w:val="Brdtekst"/>
        <w:ind w:left="851"/>
        <w:rPr>
          <w:sz w:val="24"/>
          <w:szCs w:val="24"/>
        </w:rPr>
      </w:pPr>
    </w:p>
    <w:p w14:paraId="50BDFE3E" w14:textId="77777777" w:rsidR="00E41882" w:rsidRPr="00E41882" w:rsidRDefault="00E41882" w:rsidP="007D5C29">
      <w:pPr>
        <w:pStyle w:val="Brdtekst"/>
        <w:ind w:left="851" w:right="100"/>
        <w:rPr>
          <w:sz w:val="24"/>
          <w:szCs w:val="24"/>
        </w:rPr>
      </w:pPr>
      <w:r w:rsidRPr="00E41882">
        <w:rPr>
          <w:i/>
          <w:sz w:val="24"/>
          <w:szCs w:val="24"/>
        </w:rPr>
        <w:t xml:space="preserve">Dystonia: </w:t>
      </w:r>
      <w:r w:rsidRPr="00E41882">
        <w:rPr>
          <w:sz w:val="24"/>
          <w:szCs w:val="24"/>
        </w:rPr>
        <w:t>Symptoms of dystonia, prolonged abnormal contractions of muscle groups, may occur in susceptible individuals during the first few days of treatment. Dystonic symptoms include: spasm of the neck muscles, sometimes progressing to tightness of the throat, difficulty swallowing, difficulty breathing, and/or protrusion of the tongue. While these symptoms can occur at low doses, they occur more frequently and with greater severity, higher potency and at higher doses of first generation antipsychotic medicinal products. An elevated risk of acute dystonia is observed in males and younger age groups.</w:t>
      </w:r>
    </w:p>
    <w:p w14:paraId="23CF6D10" w14:textId="77777777" w:rsidR="00E41882" w:rsidRPr="00E41882" w:rsidRDefault="00E41882" w:rsidP="007D5C29">
      <w:pPr>
        <w:pStyle w:val="Brdtekst"/>
        <w:ind w:left="851"/>
        <w:rPr>
          <w:sz w:val="24"/>
          <w:szCs w:val="24"/>
        </w:rPr>
      </w:pPr>
    </w:p>
    <w:p w14:paraId="6797BECD" w14:textId="77777777" w:rsidR="00E41882" w:rsidRPr="00E41882" w:rsidRDefault="00E41882" w:rsidP="007D5C29">
      <w:pPr>
        <w:pStyle w:val="Brdtekst"/>
        <w:ind w:left="851" w:right="173"/>
        <w:rPr>
          <w:sz w:val="24"/>
          <w:szCs w:val="24"/>
        </w:rPr>
      </w:pPr>
      <w:r w:rsidRPr="00E41882">
        <w:rPr>
          <w:i/>
          <w:sz w:val="24"/>
          <w:szCs w:val="24"/>
        </w:rPr>
        <w:t xml:space="preserve">Venous thromboembolism: </w:t>
      </w:r>
      <w:r w:rsidRPr="00E41882">
        <w:rPr>
          <w:sz w:val="24"/>
          <w:szCs w:val="24"/>
        </w:rPr>
        <w:t>Cases of venous thromboembolism, including cases of pulmonary embolism and cases of deep vein thrombosis have been reported with antipsychotic drugs -Frequency unknown.</w:t>
      </w:r>
    </w:p>
    <w:p w14:paraId="437F9CF5" w14:textId="77777777" w:rsidR="00E41882" w:rsidRPr="00E41882" w:rsidRDefault="00E41882" w:rsidP="007D5C29">
      <w:pPr>
        <w:pStyle w:val="Brdtekst"/>
        <w:ind w:left="851"/>
        <w:rPr>
          <w:sz w:val="24"/>
          <w:szCs w:val="24"/>
        </w:rPr>
      </w:pPr>
    </w:p>
    <w:p w14:paraId="11B53EB8" w14:textId="77777777" w:rsidR="00E41882" w:rsidRPr="00E41882" w:rsidRDefault="00E41882" w:rsidP="007D5C29">
      <w:pPr>
        <w:pStyle w:val="Brdtekst"/>
        <w:ind w:left="851"/>
        <w:rPr>
          <w:sz w:val="24"/>
          <w:szCs w:val="24"/>
        </w:rPr>
      </w:pPr>
      <w:r w:rsidRPr="00E41882">
        <w:rPr>
          <w:sz w:val="24"/>
          <w:szCs w:val="24"/>
          <w:u w:val="single"/>
        </w:rPr>
        <w:t>Reporting of suspected adverse reactions</w:t>
      </w:r>
    </w:p>
    <w:p w14:paraId="3618791F" w14:textId="77777777" w:rsidR="002305B4" w:rsidRDefault="00E41882" w:rsidP="007D5C29">
      <w:pPr>
        <w:pStyle w:val="Brdtekst"/>
        <w:ind w:left="851" w:right="467"/>
        <w:rPr>
          <w:sz w:val="24"/>
          <w:szCs w:val="24"/>
        </w:rPr>
      </w:pPr>
      <w:r w:rsidRPr="00E41882">
        <w:rPr>
          <w:sz w:val="24"/>
          <w:szCs w:val="24"/>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2305B4">
        <w:rPr>
          <w:sz w:val="24"/>
          <w:szCs w:val="24"/>
        </w:rPr>
        <w:t>:</w:t>
      </w:r>
    </w:p>
    <w:p w14:paraId="58CF5244" w14:textId="77777777" w:rsidR="002305B4" w:rsidRDefault="002305B4" w:rsidP="007D5C29">
      <w:pPr>
        <w:pStyle w:val="Brdtekst"/>
        <w:ind w:left="851" w:right="467"/>
        <w:rPr>
          <w:sz w:val="24"/>
          <w:szCs w:val="24"/>
        </w:rPr>
      </w:pPr>
    </w:p>
    <w:p w14:paraId="526C66F9" w14:textId="77777777" w:rsidR="002305B4" w:rsidRPr="002305B4" w:rsidRDefault="002305B4" w:rsidP="007D5C29">
      <w:pPr>
        <w:pStyle w:val="Brdtekst"/>
        <w:ind w:left="851"/>
        <w:rPr>
          <w:sz w:val="24"/>
          <w:szCs w:val="24"/>
          <w:lang w:val="da-DK"/>
        </w:rPr>
      </w:pPr>
      <w:bookmarkStart w:id="2" w:name="_Hlk117501544"/>
      <w:bookmarkStart w:id="3" w:name="_Hlk112664459"/>
      <w:r w:rsidRPr="002305B4">
        <w:rPr>
          <w:sz w:val="24"/>
          <w:szCs w:val="24"/>
          <w:lang w:val="da-DK"/>
        </w:rPr>
        <w:t>Lægemiddelstyrelsen</w:t>
      </w:r>
    </w:p>
    <w:p w14:paraId="23B73E24" w14:textId="77777777" w:rsidR="002305B4" w:rsidRPr="002305B4" w:rsidRDefault="002305B4" w:rsidP="007D5C29">
      <w:pPr>
        <w:pStyle w:val="Brdtekst"/>
        <w:ind w:left="851"/>
        <w:rPr>
          <w:sz w:val="24"/>
          <w:szCs w:val="24"/>
          <w:lang w:val="da-DK"/>
        </w:rPr>
      </w:pPr>
      <w:bookmarkStart w:id="4" w:name="_Hlk117501524"/>
      <w:bookmarkEnd w:id="2"/>
      <w:r w:rsidRPr="002305B4">
        <w:rPr>
          <w:sz w:val="24"/>
          <w:szCs w:val="24"/>
          <w:lang w:val="da-DK"/>
        </w:rPr>
        <w:t>Axel Heides Gade 1</w:t>
      </w:r>
    </w:p>
    <w:p w14:paraId="47D7C332" w14:textId="77777777" w:rsidR="002305B4" w:rsidRPr="002305B4" w:rsidRDefault="002305B4" w:rsidP="007D5C29">
      <w:pPr>
        <w:pStyle w:val="Brdtekst"/>
        <w:ind w:left="851"/>
        <w:rPr>
          <w:sz w:val="24"/>
          <w:szCs w:val="24"/>
          <w:lang w:val="da-DK"/>
        </w:rPr>
      </w:pPr>
      <w:r w:rsidRPr="002305B4">
        <w:rPr>
          <w:sz w:val="24"/>
          <w:szCs w:val="24"/>
          <w:lang w:val="da-DK"/>
        </w:rPr>
        <w:t>DK-2300 København S</w:t>
      </w:r>
    </w:p>
    <w:p w14:paraId="3B682005" w14:textId="5CE7F873" w:rsidR="002305B4" w:rsidRPr="002305B4" w:rsidRDefault="002305B4" w:rsidP="007D5C29">
      <w:pPr>
        <w:pStyle w:val="Brdtekst"/>
        <w:ind w:left="851"/>
        <w:rPr>
          <w:sz w:val="24"/>
          <w:szCs w:val="24"/>
        </w:rPr>
      </w:pPr>
      <w:r w:rsidRPr="002305B4">
        <w:rPr>
          <w:sz w:val="24"/>
          <w:szCs w:val="24"/>
        </w:rPr>
        <w:t>Website: www.meldenbivirkning.dk</w:t>
      </w:r>
      <w:bookmarkEnd w:id="3"/>
      <w:bookmarkEnd w:id="4"/>
    </w:p>
    <w:p w14:paraId="491AF4D6" w14:textId="77777777" w:rsidR="007C5D2A" w:rsidRPr="00E41882" w:rsidRDefault="007C5D2A" w:rsidP="007D5C29">
      <w:pPr>
        <w:tabs>
          <w:tab w:val="left" w:pos="851"/>
        </w:tabs>
        <w:ind w:left="851"/>
        <w:rPr>
          <w:sz w:val="24"/>
          <w:szCs w:val="24"/>
          <w:lang w:val="en-US"/>
        </w:rPr>
      </w:pPr>
    </w:p>
    <w:p w14:paraId="2A2FA217"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747C1145" w14:textId="77777777" w:rsidR="007D5C29" w:rsidRDefault="007D5C29" w:rsidP="007D5C29">
      <w:pPr>
        <w:tabs>
          <w:tab w:val="left" w:pos="851"/>
        </w:tabs>
        <w:ind w:left="851"/>
        <w:rPr>
          <w:sz w:val="24"/>
          <w:szCs w:val="24"/>
          <w:u w:val="single"/>
          <w:lang w:val="en-US"/>
        </w:rPr>
      </w:pPr>
    </w:p>
    <w:p w14:paraId="441D4BE3" w14:textId="162DC21A" w:rsidR="007D5C29" w:rsidRPr="007D5C29" w:rsidRDefault="007D5C29" w:rsidP="007D5C29">
      <w:pPr>
        <w:tabs>
          <w:tab w:val="left" w:pos="851"/>
        </w:tabs>
        <w:ind w:left="851"/>
        <w:rPr>
          <w:sz w:val="24"/>
          <w:szCs w:val="24"/>
          <w:lang w:val="en-US"/>
        </w:rPr>
      </w:pPr>
      <w:r w:rsidRPr="007D5C29">
        <w:rPr>
          <w:sz w:val="24"/>
          <w:szCs w:val="24"/>
          <w:u w:val="single"/>
          <w:lang w:val="en-US"/>
        </w:rPr>
        <w:t>Management of overdose</w:t>
      </w:r>
    </w:p>
    <w:p w14:paraId="32F52672" w14:textId="77777777" w:rsidR="007D5C29" w:rsidRPr="007D5C29" w:rsidRDefault="007D5C29" w:rsidP="007D5C29">
      <w:pPr>
        <w:tabs>
          <w:tab w:val="left" w:pos="851"/>
        </w:tabs>
        <w:ind w:left="851"/>
        <w:rPr>
          <w:sz w:val="24"/>
          <w:szCs w:val="24"/>
          <w:lang w:val="en-US"/>
        </w:rPr>
      </w:pPr>
      <w:r w:rsidRPr="007D5C29">
        <w:rPr>
          <w:sz w:val="24"/>
          <w:szCs w:val="24"/>
          <w:lang w:val="en-US"/>
        </w:rPr>
        <w:t>There is no specific antidote to lurasidone, therefore, appropriate supportive measures should be instituted, and close medical supervision and monitoring should continue until the patient recovers.</w:t>
      </w:r>
    </w:p>
    <w:p w14:paraId="01D0BB3C" w14:textId="77777777" w:rsidR="007D5C29" w:rsidRPr="007D5C29" w:rsidRDefault="007D5C29" w:rsidP="007D5C29">
      <w:pPr>
        <w:tabs>
          <w:tab w:val="left" w:pos="851"/>
        </w:tabs>
        <w:ind w:left="851"/>
        <w:rPr>
          <w:sz w:val="24"/>
          <w:szCs w:val="24"/>
          <w:lang w:val="en-US"/>
        </w:rPr>
      </w:pPr>
    </w:p>
    <w:p w14:paraId="3FAB9BC7" w14:textId="77777777" w:rsidR="007D5C29" w:rsidRPr="007D5C29" w:rsidRDefault="007D5C29" w:rsidP="007D5C29">
      <w:pPr>
        <w:tabs>
          <w:tab w:val="left" w:pos="851"/>
        </w:tabs>
        <w:ind w:left="851"/>
        <w:rPr>
          <w:sz w:val="24"/>
          <w:szCs w:val="24"/>
          <w:lang w:val="en-US"/>
        </w:rPr>
      </w:pPr>
      <w:r w:rsidRPr="007D5C29">
        <w:rPr>
          <w:sz w:val="24"/>
          <w:szCs w:val="24"/>
          <w:lang w:val="en-US"/>
        </w:rPr>
        <w:t>Cardiovascular monitoring should commence immediately, including continuous electrocardiographic monitoring for possible arrhythmias. If antiarrhythmic therapy is administered, disopyramide, procainamide, and quinidine carry a theoretical hazard of QT-prolonging effects when administered in patients with an acute overdose of lurasidone. Similarly, the alpha-blocking properties of bretylium might be additive to those of lurasidone, resulting in problematic hypotension.</w:t>
      </w:r>
    </w:p>
    <w:p w14:paraId="3583F6DD" w14:textId="77777777" w:rsidR="007D5C29" w:rsidRPr="007D5C29" w:rsidRDefault="007D5C29" w:rsidP="007D5C29">
      <w:pPr>
        <w:tabs>
          <w:tab w:val="left" w:pos="851"/>
        </w:tabs>
        <w:ind w:left="851"/>
        <w:rPr>
          <w:sz w:val="24"/>
          <w:szCs w:val="24"/>
          <w:lang w:val="en-US"/>
        </w:rPr>
      </w:pPr>
    </w:p>
    <w:p w14:paraId="22A25766" w14:textId="77777777" w:rsidR="007D5C29" w:rsidRPr="007D5C29" w:rsidRDefault="007D5C29" w:rsidP="007D5C29">
      <w:pPr>
        <w:tabs>
          <w:tab w:val="left" w:pos="851"/>
        </w:tabs>
        <w:ind w:left="851"/>
        <w:rPr>
          <w:sz w:val="24"/>
          <w:szCs w:val="24"/>
          <w:lang w:val="en-US"/>
        </w:rPr>
      </w:pPr>
      <w:r w:rsidRPr="007D5C29">
        <w:rPr>
          <w:sz w:val="24"/>
          <w:szCs w:val="24"/>
          <w:lang w:val="en-US"/>
        </w:rPr>
        <w:t>Hypotension and circulatory collapse should be treated with appropriate measures. Adrenaline and dopamine should not be used, or other sympathomimetics with beta agonist activity, since beta stimulation may worsen hypotension in the setting of lurasidone-</w:t>
      </w:r>
      <w:r w:rsidRPr="007D5C29">
        <w:rPr>
          <w:sz w:val="24"/>
          <w:szCs w:val="24"/>
          <w:lang w:val="en-US"/>
        </w:rPr>
        <w:lastRenderedPageBreak/>
        <w:t>induced alpha blockade. In case of severe extrapyramidal symptoms, anticholinergic medicinal products should be administered.</w:t>
      </w:r>
    </w:p>
    <w:p w14:paraId="48FFB919" w14:textId="77777777" w:rsidR="007D5C29" w:rsidRPr="007D5C29" w:rsidRDefault="007D5C29" w:rsidP="007D5C29">
      <w:pPr>
        <w:tabs>
          <w:tab w:val="left" w:pos="851"/>
        </w:tabs>
        <w:ind w:left="851"/>
        <w:rPr>
          <w:sz w:val="24"/>
          <w:szCs w:val="24"/>
          <w:lang w:val="en-US"/>
        </w:rPr>
      </w:pPr>
    </w:p>
    <w:p w14:paraId="156CD425" w14:textId="77777777" w:rsidR="007D5C29" w:rsidRPr="007D5C29" w:rsidRDefault="007D5C29" w:rsidP="007D5C29">
      <w:pPr>
        <w:tabs>
          <w:tab w:val="left" w:pos="851"/>
        </w:tabs>
        <w:ind w:left="851"/>
        <w:rPr>
          <w:sz w:val="24"/>
          <w:szCs w:val="24"/>
          <w:lang w:val="en-US"/>
        </w:rPr>
      </w:pPr>
      <w:r w:rsidRPr="007D5C29">
        <w:rPr>
          <w:sz w:val="24"/>
          <w:szCs w:val="24"/>
          <w:lang w:val="en-US"/>
        </w:rPr>
        <w:t>Gastric lavage (after intubation if patient is unconscious) and administration of activated charcoal together with a laxative should be considered.</w:t>
      </w:r>
    </w:p>
    <w:p w14:paraId="0B133DAD" w14:textId="77777777" w:rsidR="007D5C29" w:rsidRPr="007D5C29" w:rsidRDefault="007D5C29" w:rsidP="007D5C29">
      <w:pPr>
        <w:tabs>
          <w:tab w:val="left" w:pos="851"/>
        </w:tabs>
        <w:ind w:left="851"/>
        <w:rPr>
          <w:sz w:val="24"/>
          <w:szCs w:val="24"/>
          <w:lang w:val="en-US"/>
        </w:rPr>
      </w:pPr>
    </w:p>
    <w:p w14:paraId="7C31CC18" w14:textId="77777777" w:rsidR="007D5C29" w:rsidRPr="007D5C29" w:rsidRDefault="007D5C29" w:rsidP="007D5C29">
      <w:pPr>
        <w:tabs>
          <w:tab w:val="left" w:pos="851"/>
        </w:tabs>
        <w:ind w:left="851"/>
        <w:rPr>
          <w:sz w:val="24"/>
          <w:szCs w:val="24"/>
          <w:lang w:val="en-US"/>
        </w:rPr>
      </w:pPr>
      <w:r w:rsidRPr="007D5C29">
        <w:rPr>
          <w:sz w:val="24"/>
          <w:szCs w:val="24"/>
          <w:lang w:val="en-US"/>
        </w:rPr>
        <w:t>The possibility of obtundation, seizures, or dystonic reaction of the head and neck following overdose may create a risk of aspiration with induced emesis.</w:t>
      </w:r>
    </w:p>
    <w:p w14:paraId="1D6FA20B" w14:textId="77777777" w:rsidR="007D5C29" w:rsidRPr="007D5C29" w:rsidRDefault="007D5C29" w:rsidP="007D5C29">
      <w:pPr>
        <w:tabs>
          <w:tab w:val="left" w:pos="851"/>
        </w:tabs>
        <w:ind w:left="851"/>
        <w:rPr>
          <w:sz w:val="24"/>
          <w:szCs w:val="24"/>
          <w:lang w:val="en-US"/>
        </w:rPr>
      </w:pPr>
    </w:p>
    <w:p w14:paraId="53B7D398" w14:textId="77777777" w:rsidR="008F2F8C" w:rsidRPr="00303008" w:rsidRDefault="0042292D" w:rsidP="007D5C29">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4E3D51FC" w14:textId="253E8A94" w:rsidR="00AD2E36" w:rsidRPr="00303008" w:rsidRDefault="007D5C29" w:rsidP="007D5C29">
      <w:pPr>
        <w:tabs>
          <w:tab w:val="left" w:pos="851"/>
        </w:tabs>
        <w:ind w:left="851"/>
        <w:rPr>
          <w:sz w:val="24"/>
          <w:szCs w:val="24"/>
          <w:lang w:val="en-GB"/>
        </w:rPr>
      </w:pPr>
      <w:r>
        <w:rPr>
          <w:sz w:val="24"/>
          <w:szCs w:val="24"/>
          <w:lang w:val="en-GB"/>
        </w:rPr>
        <w:t>B</w:t>
      </w:r>
    </w:p>
    <w:p w14:paraId="217F0106" w14:textId="77777777" w:rsidR="007C5D2A" w:rsidRPr="00303008" w:rsidRDefault="007C5D2A" w:rsidP="007D5C29">
      <w:pPr>
        <w:tabs>
          <w:tab w:val="left" w:pos="851"/>
        </w:tabs>
        <w:ind w:left="851"/>
        <w:rPr>
          <w:sz w:val="24"/>
          <w:szCs w:val="24"/>
          <w:lang w:val="en-GB"/>
        </w:rPr>
      </w:pPr>
    </w:p>
    <w:p w14:paraId="2056F9CE" w14:textId="77777777" w:rsidR="00AD2E36" w:rsidRPr="00303008" w:rsidRDefault="00AD2E36" w:rsidP="007D5C29">
      <w:pPr>
        <w:tabs>
          <w:tab w:val="left" w:pos="851"/>
        </w:tabs>
        <w:ind w:left="851"/>
        <w:rPr>
          <w:sz w:val="24"/>
          <w:szCs w:val="24"/>
          <w:lang w:val="en-GB"/>
        </w:rPr>
      </w:pPr>
    </w:p>
    <w:p w14:paraId="43BA1746" w14:textId="77777777" w:rsidR="007C5D2A" w:rsidRPr="00303008" w:rsidRDefault="007C5D2A" w:rsidP="007D5C29">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551B9E30" w14:textId="77777777" w:rsidR="007C5D2A" w:rsidRDefault="007C5D2A" w:rsidP="007D5C29">
      <w:pPr>
        <w:tabs>
          <w:tab w:val="left" w:pos="851"/>
        </w:tabs>
        <w:ind w:left="851"/>
        <w:rPr>
          <w:sz w:val="24"/>
          <w:szCs w:val="24"/>
          <w:lang w:val="en-GB"/>
        </w:rPr>
      </w:pPr>
    </w:p>
    <w:p w14:paraId="1F907566"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6D67BDCC" w14:textId="1115C8BA" w:rsidR="007D5C29" w:rsidRPr="007D5C29" w:rsidRDefault="007D5C29" w:rsidP="007D5C29">
      <w:pPr>
        <w:pStyle w:val="Brdtekst"/>
        <w:ind w:left="851"/>
        <w:rPr>
          <w:sz w:val="24"/>
          <w:szCs w:val="24"/>
        </w:rPr>
      </w:pPr>
      <w:r w:rsidRPr="007D5C29">
        <w:rPr>
          <w:sz w:val="24"/>
          <w:szCs w:val="24"/>
        </w:rPr>
        <w:t>Pharmacotherapeutic group: Psycholeptics, antipsychotics</w:t>
      </w:r>
      <w:r>
        <w:rPr>
          <w:sz w:val="24"/>
          <w:szCs w:val="24"/>
        </w:rPr>
        <w:t xml:space="preserve">, </w:t>
      </w:r>
      <w:r w:rsidRPr="007D5C29">
        <w:rPr>
          <w:sz w:val="24"/>
          <w:szCs w:val="24"/>
        </w:rPr>
        <w:t>ATC code: N05AE05</w:t>
      </w:r>
      <w:r>
        <w:rPr>
          <w:sz w:val="24"/>
          <w:szCs w:val="24"/>
        </w:rPr>
        <w:t>.</w:t>
      </w:r>
    </w:p>
    <w:p w14:paraId="3FE932EC" w14:textId="77777777" w:rsidR="007D5C29" w:rsidRPr="007D5C29" w:rsidRDefault="007D5C29" w:rsidP="007D5C29">
      <w:pPr>
        <w:pStyle w:val="Brdtekst"/>
        <w:ind w:left="851"/>
        <w:rPr>
          <w:sz w:val="24"/>
          <w:szCs w:val="24"/>
        </w:rPr>
      </w:pPr>
    </w:p>
    <w:p w14:paraId="70534C4B" w14:textId="77777777" w:rsidR="007D5C29" w:rsidRPr="007D5C29" w:rsidRDefault="007D5C29" w:rsidP="007D5C29">
      <w:pPr>
        <w:pStyle w:val="Brdtekst"/>
        <w:ind w:left="851"/>
        <w:rPr>
          <w:sz w:val="24"/>
          <w:szCs w:val="24"/>
        </w:rPr>
      </w:pPr>
      <w:r w:rsidRPr="007D5C29">
        <w:rPr>
          <w:sz w:val="24"/>
          <w:szCs w:val="24"/>
          <w:u w:val="single"/>
        </w:rPr>
        <w:t>Mechanism of action</w:t>
      </w:r>
    </w:p>
    <w:p w14:paraId="26A703D9" w14:textId="0EFF821A" w:rsidR="007D5C29" w:rsidRPr="007D5C29" w:rsidRDefault="007D5C29" w:rsidP="007D5C29">
      <w:pPr>
        <w:pStyle w:val="Brdtekst"/>
        <w:ind w:left="851" w:right="393"/>
        <w:rPr>
          <w:sz w:val="24"/>
          <w:szCs w:val="24"/>
        </w:rPr>
      </w:pPr>
      <w:r w:rsidRPr="007D5C29">
        <w:rPr>
          <w:sz w:val="24"/>
          <w:szCs w:val="24"/>
        </w:rPr>
        <w:t>Lurasidone is a selective blocking agent of dopamine and monoamine effects. Lurasidone binds strongly to dopaminergic D2- and to serotonergic 5-HT2A and 5-HT7- receptors with high binding</w:t>
      </w:r>
      <w:r>
        <w:rPr>
          <w:sz w:val="24"/>
          <w:szCs w:val="24"/>
        </w:rPr>
        <w:t xml:space="preserve"> </w:t>
      </w:r>
      <w:r w:rsidRPr="007D5C29">
        <w:rPr>
          <w:sz w:val="24"/>
          <w:szCs w:val="24"/>
        </w:rPr>
        <w:t>affinity of 0.994, 0.47 and 0.495 nM, respectively. It also blocks α2c-adrenergic receptors and</w:t>
      </w:r>
      <w:r>
        <w:rPr>
          <w:sz w:val="24"/>
          <w:szCs w:val="24"/>
        </w:rPr>
        <w:t xml:space="preserve"> </w:t>
      </w:r>
      <w:r w:rsidRPr="007D5C29">
        <w:rPr>
          <w:sz w:val="24"/>
          <w:szCs w:val="24"/>
        </w:rPr>
        <w:t>α2a-adrenergic receptors with a binding affinity of 10.8 and 40.7 nM respectively. Lurasidone also exhibits partial agonism at the 5HT-1A receptor with a binding affinity of 6.38 nM. Lurasidone does not bind to histaminergic or muscarinic receptors.</w:t>
      </w:r>
    </w:p>
    <w:p w14:paraId="704B64CF" w14:textId="77777777" w:rsidR="007D5C29" w:rsidRPr="007D5C29" w:rsidRDefault="007D5C29" w:rsidP="007D5C29">
      <w:pPr>
        <w:pStyle w:val="Brdtekst"/>
        <w:ind w:left="851"/>
        <w:rPr>
          <w:sz w:val="24"/>
          <w:szCs w:val="24"/>
        </w:rPr>
      </w:pPr>
    </w:p>
    <w:p w14:paraId="17675642" w14:textId="77777777" w:rsidR="007D5C29" w:rsidRPr="007D5C29" w:rsidRDefault="007D5C29" w:rsidP="007D5C29">
      <w:pPr>
        <w:pStyle w:val="Brdtekst"/>
        <w:ind w:left="851" w:right="318"/>
        <w:rPr>
          <w:sz w:val="24"/>
          <w:szCs w:val="24"/>
        </w:rPr>
      </w:pPr>
      <w:r w:rsidRPr="007D5C29">
        <w:rPr>
          <w:sz w:val="24"/>
          <w:szCs w:val="24"/>
        </w:rPr>
        <w:t>The mechanism of action of the minor active metabolite of lurasidone ID-14283 is similar to that of lurasidone.</w:t>
      </w:r>
    </w:p>
    <w:p w14:paraId="7264DB98" w14:textId="77777777" w:rsidR="007D5C29" w:rsidRPr="007D5C29" w:rsidRDefault="007D5C29" w:rsidP="007D5C29">
      <w:pPr>
        <w:pStyle w:val="Brdtekst"/>
        <w:ind w:left="851"/>
        <w:rPr>
          <w:sz w:val="24"/>
          <w:szCs w:val="24"/>
        </w:rPr>
      </w:pPr>
    </w:p>
    <w:p w14:paraId="22494A36" w14:textId="77777777" w:rsidR="007D5C29" w:rsidRPr="007D5C29" w:rsidRDefault="007D5C29" w:rsidP="007D5C29">
      <w:pPr>
        <w:pStyle w:val="Brdtekst"/>
        <w:ind w:left="851"/>
        <w:rPr>
          <w:sz w:val="24"/>
          <w:szCs w:val="24"/>
        </w:rPr>
      </w:pPr>
      <w:r w:rsidRPr="007D5C29">
        <w:rPr>
          <w:sz w:val="24"/>
          <w:szCs w:val="24"/>
        </w:rPr>
        <w:t>Lurasidone doses ranging from 9 to 74 mg administered to healthy subjects produced a</w:t>
      </w:r>
    </w:p>
    <w:p w14:paraId="70B0B3FC" w14:textId="77777777" w:rsidR="007D5C29" w:rsidRPr="007D5C29" w:rsidRDefault="007D5C29" w:rsidP="007D5C29">
      <w:pPr>
        <w:pStyle w:val="Brdtekst"/>
        <w:ind w:left="851" w:right="294"/>
        <w:rPr>
          <w:sz w:val="24"/>
          <w:szCs w:val="24"/>
        </w:rPr>
      </w:pPr>
      <w:r w:rsidRPr="007D5C29">
        <w:rPr>
          <w:sz w:val="24"/>
          <w:szCs w:val="24"/>
        </w:rPr>
        <w:t>dose-dependent reduction in the binding of 11C-raclopride, a D2/D3 receptor ligand, in the caudate, putamen and ventral striatum detected by positron emission tomography.</w:t>
      </w:r>
    </w:p>
    <w:p w14:paraId="45F5B77E" w14:textId="77777777" w:rsidR="007D5C29" w:rsidRPr="007D5C29" w:rsidRDefault="007D5C29" w:rsidP="007D5C29">
      <w:pPr>
        <w:pStyle w:val="Brdtekst"/>
        <w:ind w:left="851"/>
        <w:rPr>
          <w:sz w:val="24"/>
          <w:szCs w:val="24"/>
        </w:rPr>
      </w:pPr>
    </w:p>
    <w:p w14:paraId="7E8D3ACE" w14:textId="77777777" w:rsidR="007D5C29" w:rsidRPr="007D5C29" w:rsidRDefault="007D5C29" w:rsidP="007D5C29">
      <w:pPr>
        <w:pStyle w:val="Brdtekst"/>
        <w:ind w:left="851"/>
        <w:rPr>
          <w:sz w:val="24"/>
          <w:szCs w:val="24"/>
        </w:rPr>
      </w:pPr>
      <w:r w:rsidRPr="007D5C29">
        <w:rPr>
          <w:sz w:val="24"/>
          <w:szCs w:val="24"/>
          <w:u w:val="single"/>
        </w:rPr>
        <w:t>Pharmacodynamic effects</w:t>
      </w:r>
    </w:p>
    <w:p w14:paraId="0B15EF78" w14:textId="77777777" w:rsidR="007D5C29" w:rsidRPr="007D5C29" w:rsidRDefault="007D5C29" w:rsidP="007D5C29">
      <w:pPr>
        <w:pStyle w:val="Brdtekst"/>
        <w:ind w:left="851"/>
        <w:rPr>
          <w:sz w:val="24"/>
          <w:szCs w:val="24"/>
        </w:rPr>
      </w:pPr>
      <w:r w:rsidRPr="007D5C29">
        <w:rPr>
          <w:sz w:val="24"/>
          <w:szCs w:val="24"/>
        </w:rPr>
        <w:t>In the main clinical efficacy studies, lurasidone was administered at doses of 37-148 mg lurasidone.</w:t>
      </w:r>
    </w:p>
    <w:p w14:paraId="6390812B" w14:textId="77777777" w:rsidR="007D5C29" w:rsidRPr="007D5C29" w:rsidRDefault="007D5C29" w:rsidP="007D5C29">
      <w:pPr>
        <w:pStyle w:val="Brdtekst"/>
        <w:ind w:left="851"/>
        <w:rPr>
          <w:sz w:val="24"/>
          <w:szCs w:val="24"/>
        </w:rPr>
      </w:pPr>
    </w:p>
    <w:p w14:paraId="39B83FC3" w14:textId="77777777" w:rsidR="007D5C29" w:rsidRPr="007D5C29" w:rsidRDefault="007D5C29" w:rsidP="007D5C29">
      <w:pPr>
        <w:pStyle w:val="Brdtekst"/>
        <w:ind w:left="851"/>
        <w:rPr>
          <w:sz w:val="24"/>
          <w:szCs w:val="24"/>
        </w:rPr>
      </w:pPr>
      <w:r w:rsidRPr="007D5C29">
        <w:rPr>
          <w:sz w:val="24"/>
          <w:szCs w:val="24"/>
          <w:u w:val="single"/>
        </w:rPr>
        <w:t>Clinical efficacy</w:t>
      </w:r>
    </w:p>
    <w:p w14:paraId="6C730051" w14:textId="77777777" w:rsidR="007D5C29" w:rsidRPr="007D5C29" w:rsidRDefault="007D5C29" w:rsidP="007D5C29">
      <w:pPr>
        <w:pStyle w:val="Brdtekst"/>
        <w:ind w:left="851" w:right="102"/>
        <w:rPr>
          <w:sz w:val="24"/>
          <w:szCs w:val="24"/>
        </w:rPr>
      </w:pPr>
      <w:r w:rsidRPr="007D5C29">
        <w:rPr>
          <w:sz w:val="24"/>
          <w:szCs w:val="24"/>
        </w:rPr>
        <w:t xml:space="preserve">The efficacy of lurasidone in the treatment of schizophrenia was demonstrated in five multi-centre, placebo-controlled, double-blind, 6-week trials in subjects who met Diagnostic and Statistical Manual of Mental Disorders, Fourth Edition (DSM-IV) criteria for schizophrenia. Lurasidone doses, which varied across the five trials, ranged from 37 to 148 mg lurasidone once daily. In the short-term trials, the primary efficacy endpoint was defined as the mean change from baseline to Week 6 in Positive and Negative Syndrome Scale (PANSS) total scores, a validated multi-item inventory composed of five factors to evaluate positive symptoms, negative symptoms, disorganised thoughts, uncontrolled hostility/excitement, and anxiety/depression. Lurasidone demonstrated superior efficacy compared with placebo across Phase 3 studies (see Table 2). Lurasidone showed significant separation from placebo from as early as Day 4. Additionally, lurasidone was superior to placebo on the predefined secondary endpoint Clinical Global Impression – </w:t>
      </w:r>
      <w:r w:rsidRPr="007D5C29">
        <w:rPr>
          <w:sz w:val="24"/>
          <w:szCs w:val="24"/>
        </w:rPr>
        <w:lastRenderedPageBreak/>
        <w:t>Severity (CGI-S) scale. Efficacy was also confirmed in a secondary analysis of treatment response (defined as ≥ 30% decrease from Baseline in PANSS total score).</w:t>
      </w:r>
    </w:p>
    <w:p w14:paraId="12E01386" w14:textId="77777777" w:rsidR="007D5C29" w:rsidRPr="007D5C29" w:rsidRDefault="007D5C29" w:rsidP="007D5C29">
      <w:pPr>
        <w:ind w:left="851"/>
        <w:rPr>
          <w:sz w:val="24"/>
          <w:szCs w:val="24"/>
          <w:lang w:val="en-US"/>
        </w:rPr>
      </w:pPr>
    </w:p>
    <w:p w14:paraId="3959A4F7" w14:textId="77777777" w:rsidR="007D5C29" w:rsidRDefault="007D5C29" w:rsidP="007D5C29">
      <w:pPr>
        <w:pStyle w:val="Overskrift1"/>
        <w:tabs>
          <w:tab w:val="left" w:pos="1558"/>
        </w:tabs>
        <w:ind w:left="1558" w:right="198" w:hanging="1441"/>
      </w:pPr>
      <w:r>
        <w:t>Table</w:t>
      </w:r>
      <w:r>
        <w:rPr>
          <w:spacing w:val="-1"/>
        </w:rPr>
        <w:t xml:space="preserve"> </w:t>
      </w:r>
      <w:r>
        <w:t>3:</w:t>
      </w:r>
      <w:r>
        <w:tab/>
        <w:t>Schizophrenia Adult Studies: Positive and Negative Syndrome</w:t>
      </w:r>
      <w:r>
        <w:rPr>
          <w:spacing w:val="-16"/>
        </w:rPr>
        <w:t xml:space="preserve"> </w:t>
      </w:r>
      <w:r>
        <w:t>Scale</w:t>
      </w:r>
      <w:r>
        <w:rPr>
          <w:spacing w:val="-4"/>
        </w:rPr>
        <w:t xml:space="preserve"> </w:t>
      </w:r>
      <w:r>
        <w:t>for Schizophrenia (PANSS) Total Score - Change from Baseline to Week 6- MMRM for Studies D1050229, D1050231, and D1050233: Intent-to-Treat Analysis</w:t>
      </w:r>
      <w:r>
        <w:rPr>
          <w:spacing w:val="-22"/>
        </w:rPr>
        <w:t xml:space="preserve"> </w:t>
      </w:r>
      <w:r>
        <w:t>Set</w:t>
      </w:r>
    </w:p>
    <w:p w14:paraId="3F1A74CB" w14:textId="77777777" w:rsidR="007D5C29" w:rsidRDefault="007D5C29" w:rsidP="007D5C29">
      <w:pPr>
        <w:pStyle w:val="Brdtekst"/>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1147"/>
        <w:gridCol w:w="1135"/>
        <w:gridCol w:w="1133"/>
        <w:gridCol w:w="1142"/>
        <w:gridCol w:w="1140"/>
        <w:gridCol w:w="1229"/>
      </w:tblGrid>
      <w:tr w:rsidR="007D5C29" w14:paraId="20A7A527" w14:textId="77777777" w:rsidTr="007D5C29">
        <w:trPr>
          <w:trHeight w:val="266"/>
        </w:trPr>
        <w:tc>
          <w:tcPr>
            <w:tcW w:w="2136" w:type="dxa"/>
            <w:vMerge w:val="restart"/>
            <w:tcBorders>
              <w:top w:val="single" w:sz="4" w:space="0" w:color="000000"/>
              <w:left w:val="single" w:sz="4" w:space="0" w:color="000000"/>
              <w:bottom w:val="single" w:sz="6" w:space="0" w:color="000000"/>
              <w:right w:val="single" w:sz="6" w:space="0" w:color="000000"/>
            </w:tcBorders>
            <w:hideMark/>
          </w:tcPr>
          <w:p w14:paraId="74FF5A26" w14:textId="77777777" w:rsidR="007D5C29" w:rsidRDefault="007D5C29" w:rsidP="007D5C29">
            <w:pPr>
              <w:pStyle w:val="TableParagraph"/>
              <w:ind w:left="398"/>
              <w:rPr>
                <w:b/>
              </w:rPr>
            </w:pPr>
            <w:r>
              <w:rPr>
                <w:b/>
              </w:rPr>
              <w:t>Study Statistic</w:t>
            </w:r>
          </w:p>
        </w:tc>
        <w:tc>
          <w:tcPr>
            <w:tcW w:w="1147" w:type="dxa"/>
            <w:vMerge w:val="restart"/>
            <w:tcBorders>
              <w:top w:val="single" w:sz="4" w:space="0" w:color="000000"/>
              <w:left w:val="single" w:sz="6" w:space="0" w:color="000000"/>
              <w:bottom w:val="single" w:sz="6" w:space="0" w:color="000000"/>
              <w:right w:val="single" w:sz="6" w:space="0" w:color="000000"/>
            </w:tcBorders>
            <w:hideMark/>
          </w:tcPr>
          <w:p w14:paraId="03324BCF" w14:textId="77777777" w:rsidR="007D5C29" w:rsidRDefault="007D5C29" w:rsidP="007D5C29">
            <w:pPr>
              <w:pStyle w:val="TableParagraph"/>
              <w:ind w:left="108"/>
              <w:rPr>
                <w:b/>
              </w:rPr>
            </w:pPr>
            <w:r>
              <w:rPr>
                <w:b/>
              </w:rPr>
              <w:t>Placebo</w:t>
            </w:r>
          </w:p>
        </w:tc>
        <w:tc>
          <w:tcPr>
            <w:tcW w:w="4550" w:type="dxa"/>
            <w:gridSpan w:val="4"/>
            <w:tcBorders>
              <w:top w:val="single" w:sz="4" w:space="0" w:color="000000"/>
              <w:left w:val="single" w:sz="6" w:space="0" w:color="000000"/>
              <w:bottom w:val="single" w:sz="6" w:space="0" w:color="000000"/>
              <w:right w:val="single" w:sz="6" w:space="0" w:color="000000"/>
            </w:tcBorders>
            <w:hideMark/>
          </w:tcPr>
          <w:p w14:paraId="3B92FC2C" w14:textId="77777777" w:rsidR="007D5C29" w:rsidRDefault="007D5C29" w:rsidP="007D5C29">
            <w:pPr>
              <w:pStyle w:val="TableParagraph"/>
              <w:ind w:left="108"/>
              <w:rPr>
                <w:b/>
              </w:rPr>
            </w:pPr>
            <w:r>
              <w:rPr>
                <w:b/>
              </w:rPr>
              <w:t>Lurasidone dose (b)</w:t>
            </w:r>
          </w:p>
        </w:tc>
        <w:tc>
          <w:tcPr>
            <w:tcW w:w="1229" w:type="dxa"/>
            <w:vMerge w:val="restart"/>
            <w:tcBorders>
              <w:top w:val="single" w:sz="4" w:space="0" w:color="000000"/>
              <w:left w:val="single" w:sz="6" w:space="0" w:color="000000"/>
              <w:bottom w:val="single" w:sz="6" w:space="0" w:color="000000"/>
              <w:right w:val="single" w:sz="4" w:space="0" w:color="000000"/>
            </w:tcBorders>
            <w:hideMark/>
          </w:tcPr>
          <w:p w14:paraId="10E0F1C4" w14:textId="77777777" w:rsidR="007D5C29" w:rsidRDefault="007D5C29" w:rsidP="007D5C29">
            <w:pPr>
              <w:pStyle w:val="TableParagraph"/>
              <w:ind w:left="107" w:right="356"/>
              <w:rPr>
                <w:b/>
              </w:rPr>
            </w:pPr>
            <w:r>
              <w:rPr>
                <w:b/>
              </w:rPr>
              <w:t>Active Control (a)</w:t>
            </w:r>
          </w:p>
        </w:tc>
      </w:tr>
      <w:tr w:rsidR="007D5C29" w14:paraId="6E2C8818" w14:textId="77777777" w:rsidTr="007D5C29">
        <w:trPr>
          <w:trHeight w:hRule="exact" w:val="506"/>
        </w:trPr>
        <w:tc>
          <w:tcPr>
            <w:tcW w:w="2136" w:type="dxa"/>
            <w:vMerge/>
            <w:tcBorders>
              <w:top w:val="single" w:sz="4" w:space="0" w:color="000000"/>
              <w:left w:val="single" w:sz="4" w:space="0" w:color="000000"/>
              <w:bottom w:val="single" w:sz="6" w:space="0" w:color="000000"/>
              <w:right w:val="single" w:sz="6" w:space="0" w:color="000000"/>
            </w:tcBorders>
            <w:vAlign w:val="center"/>
            <w:hideMark/>
          </w:tcPr>
          <w:p w14:paraId="5A777E71" w14:textId="77777777" w:rsidR="007D5C29" w:rsidRDefault="007D5C29" w:rsidP="007D5C29">
            <w:pPr>
              <w:rPr>
                <w:b/>
                <w:sz w:val="22"/>
                <w:szCs w:val="22"/>
                <w:lang w:val="en-US" w:eastAsia="en-US"/>
              </w:rPr>
            </w:pPr>
          </w:p>
        </w:tc>
        <w:tc>
          <w:tcPr>
            <w:tcW w:w="1147" w:type="dxa"/>
            <w:vMerge/>
            <w:tcBorders>
              <w:top w:val="single" w:sz="4" w:space="0" w:color="000000"/>
              <w:left w:val="single" w:sz="6" w:space="0" w:color="000000"/>
              <w:bottom w:val="single" w:sz="6" w:space="0" w:color="000000"/>
              <w:right w:val="single" w:sz="6" w:space="0" w:color="000000"/>
            </w:tcBorders>
            <w:vAlign w:val="center"/>
            <w:hideMark/>
          </w:tcPr>
          <w:p w14:paraId="353A9483" w14:textId="77777777" w:rsidR="007D5C29" w:rsidRDefault="007D5C29" w:rsidP="007D5C29">
            <w:pPr>
              <w:rPr>
                <w:b/>
                <w:sz w:val="22"/>
                <w:szCs w:val="22"/>
                <w:lang w:val="en-US" w:eastAsia="en-US"/>
              </w:rPr>
            </w:pPr>
          </w:p>
        </w:tc>
        <w:tc>
          <w:tcPr>
            <w:tcW w:w="1135" w:type="dxa"/>
            <w:tcBorders>
              <w:top w:val="single" w:sz="6" w:space="0" w:color="000000"/>
              <w:left w:val="single" w:sz="6" w:space="0" w:color="000000"/>
              <w:bottom w:val="single" w:sz="6" w:space="0" w:color="000000"/>
              <w:right w:val="single" w:sz="6" w:space="0" w:color="000000"/>
            </w:tcBorders>
            <w:hideMark/>
          </w:tcPr>
          <w:p w14:paraId="236028CD" w14:textId="77777777" w:rsidR="007D5C29" w:rsidRDefault="007D5C29" w:rsidP="007D5C29">
            <w:pPr>
              <w:pStyle w:val="TableParagraph"/>
              <w:ind w:left="108"/>
              <w:rPr>
                <w:b/>
              </w:rPr>
            </w:pPr>
            <w:r>
              <w:rPr>
                <w:b/>
              </w:rPr>
              <w:t>37 mg</w:t>
            </w:r>
          </w:p>
        </w:tc>
        <w:tc>
          <w:tcPr>
            <w:tcW w:w="1133" w:type="dxa"/>
            <w:tcBorders>
              <w:top w:val="single" w:sz="6" w:space="0" w:color="000000"/>
              <w:left w:val="single" w:sz="6" w:space="0" w:color="000000"/>
              <w:bottom w:val="single" w:sz="6" w:space="0" w:color="000000"/>
              <w:right w:val="single" w:sz="6" w:space="0" w:color="000000"/>
            </w:tcBorders>
            <w:hideMark/>
          </w:tcPr>
          <w:p w14:paraId="3B0A17B1" w14:textId="77777777" w:rsidR="007D5C29" w:rsidRDefault="007D5C29" w:rsidP="007D5C29">
            <w:pPr>
              <w:pStyle w:val="TableParagraph"/>
              <w:ind w:left="105"/>
              <w:rPr>
                <w:b/>
              </w:rPr>
            </w:pPr>
            <w:r>
              <w:rPr>
                <w:b/>
              </w:rPr>
              <w:t>74 mg</w:t>
            </w:r>
          </w:p>
        </w:tc>
        <w:tc>
          <w:tcPr>
            <w:tcW w:w="1142" w:type="dxa"/>
            <w:tcBorders>
              <w:top w:val="single" w:sz="6" w:space="0" w:color="000000"/>
              <w:left w:val="single" w:sz="6" w:space="0" w:color="000000"/>
              <w:bottom w:val="single" w:sz="6" w:space="0" w:color="000000"/>
              <w:right w:val="single" w:sz="6" w:space="0" w:color="000000"/>
            </w:tcBorders>
            <w:hideMark/>
          </w:tcPr>
          <w:p w14:paraId="0D3BA544" w14:textId="77777777" w:rsidR="007D5C29" w:rsidRDefault="007D5C29" w:rsidP="007D5C29">
            <w:pPr>
              <w:pStyle w:val="TableParagraph"/>
              <w:ind w:left="107"/>
              <w:rPr>
                <w:b/>
              </w:rPr>
            </w:pPr>
            <w:r>
              <w:rPr>
                <w:b/>
              </w:rPr>
              <w:t>111 mg</w:t>
            </w:r>
          </w:p>
        </w:tc>
        <w:tc>
          <w:tcPr>
            <w:tcW w:w="1140" w:type="dxa"/>
            <w:tcBorders>
              <w:top w:val="single" w:sz="6" w:space="0" w:color="000000"/>
              <w:left w:val="single" w:sz="6" w:space="0" w:color="000000"/>
              <w:bottom w:val="single" w:sz="6" w:space="0" w:color="000000"/>
              <w:right w:val="single" w:sz="6" w:space="0" w:color="000000"/>
            </w:tcBorders>
            <w:hideMark/>
          </w:tcPr>
          <w:p w14:paraId="443FCB83" w14:textId="77777777" w:rsidR="007D5C29" w:rsidRDefault="007D5C29" w:rsidP="007D5C29">
            <w:pPr>
              <w:pStyle w:val="TableParagraph"/>
              <w:ind w:left="107"/>
              <w:rPr>
                <w:b/>
              </w:rPr>
            </w:pPr>
            <w:r>
              <w:rPr>
                <w:b/>
              </w:rPr>
              <w:t>148 mg</w:t>
            </w:r>
          </w:p>
        </w:tc>
        <w:tc>
          <w:tcPr>
            <w:tcW w:w="1229" w:type="dxa"/>
            <w:vMerge/>
            <w:tcBorders>
              <w:top w:val="single" w:sz="4" w:space="0" w:color="000000"/>
              <w:left w:val="single" w:sz="6" w:space="0" w:color="000000"/>
              <w:bottom w:val="single" w:sz="6" w:space="0" w:color="000000"/>
              <w:right w:val="single" w:sz="4" w:space="0" w:color="000000"/>
            </w:tcBorders>
            <w:vAlign w:val="center"/>
            <w:hideMark/>
          </w:tcPr>
          <w:p w14:paraId="5E6F4810" w14:textId="77777777" w:rsidR="007D5C29" w:rsidRDefault="007D5C29" w:rsidP="007D5C29">
            <w:pPr>
              <w:rPr>
                <w:b/>
                <w:sz w:val="22"/>
                <w:szCs w:val="22"/>
                <w:lang w:val="en-US" w:eastAsia="en-US"/>
              </w:rPr>
            </w:pPr>
          </w:p>
        </w:tc>
      </w:tr>
      <w:tr w:rsidR="007D5C29" w14:paraId="21B14B11" w14:textId="77777777" w:rsidTr="007D5C29">
        <w:trPr>
          <w:trHeight w:hRule="exact" w:val="263"/>
        </w:trPr>
        <w:tc>
          <w:tcPr>
            <w:tcW w:w="2136" w:type="dxa"/>
            <w:tcBorders>
              <w:top w:val="single" w:sz="6" w:space="0" w:color="000000"/>
              <w:left w:val="single" w:sz="4" w:space="0" w:color="000000"/>
              <w:bottom w:val="nil"/>
              <w:right w:val="single" w:sz="6" w:space="0" w:color="000000"/>
            </w:tcBorders>
            <w:hideMark/>
          </w:tcPr>
          <w:p w14:paraId="3D6DEB58" w14:textId="77777777" w:rsidR="007D5C29" w:rsidRDefault="007D5C29" w:rsidP="007D5C29">
            <w:pPr>
              <w:pStyle w:val="TableParagraph"/>
              <w:ind w:left="0" w:right="511"/>
              <w:jc w:val="right"/>
            </w:pPr>
            <w:r>
              <w:t>Study D1050229</w:t>
            </w:r>
          </w:p>
        </w:tc>
        <w:tc>
          <w:tcPr>
            <w:tcW w:w="1147" w:type="dxa"/>
            <w:tcBorders>
              <w:top w:val="single" w:sz="6" w:space="0" w:color="000000"/>
              <w:left w:val="single" w:sz="6" w:space="0" w:color="000000"/>
              <w:bottom w:val="nil"/>
              <w:right w:val="single" w:sz="6" w:space="0" w:color="000000"/>
            </w:tcBorders>
            <w:hideMark/>
          </w:tcPr>
          <w:p w14:paraId="3CEA54BA" w14:textId="77777777" w:rsidR="007D5C29" w:rsidRDefault="007D5C29" w:rsidP="007D5C29">
            <w:pPr>
              <w:pStyle w:val="TableParagraph"/>
              <w:ind w:left="108"/>
            </w:pPr>
            <w:r>
              <w:t>N=124</w:t>
            </w:r>
          </w:p>
        </w:tc>
        <w:tc>
          <w:tcPr>
            <w:tcW w:w="1135" w:type="dxa"/>
            <w:tcBorders>
              <w:top w:val="single" w:sz="6" w:space="0" w:color="000000"/>
              <w:left w:val="single" w:sz="6" w:space="0" w:color="000000"/>
              <w:bottom w:val="nil"/>
              <w:right w:val="single" w:sz="6" w:space="0" w:color="000000"/>
            </w:tcBorders>
            <w:hideMark/>
          </w:tcPr>
          <w:p w14:paraId="04C14189" w14:textId="77777777" w:rsidR="007D5C29" w:rsidRDefault="007D5C29" w:rsidP="007D5C29">
            <w:pPr>
              <w:pStyle w:val="TableParagraph"/>
              <w:ind w:left="108"/>
            </w:pPr>
            <w:r>
              <w:t>N=121</w:t>
            </w:r>
          </w:p>
        </w:tc>
        <w:tc>
          <w:tcPr>
            <w:tcW w:w="1133" w:type="dxa"/>
            <w:tcBorders>
              <w:top w:val="single" w:sz="6" w:space="0" w:color="000000"/>
              <w:left w:val="single" w:sz="6" w:space="0" w:color="000000"/>
              <w:bottom w:val="nil"/>
              <w:right w:val="single" w:sz="6" w:space="0" w:color="000000"/>
            </w:tcBorders>
            <w:hideMark/>
          </w:tcPr>
          <w:p w14:paraId="04FBCFB5" w14:textId="77777777" w:rsidR="007D5C29" w:rsidRDefault="007D5C29" w:rsidP="007D5C29">
            <w:pPr>
              <w:pStyle w:val="TableParagraph"/>
              <w:ind w:left="105"/>
            </w:pPr>
            <w:r>
              <w:t>N=118</w:t>
            </w:r>
          </w:p>
        </w:tc>
        <w:tc>
          <w:tcPr>
            <w:tcW w:w="1142" w:type="dxa"/>
            <w:tcBorders>
              <w:top w:val="single" w:sz="6" w:space="0" w:color="000000"/>
              <w:left w:val="single" w:sz="6" w:space="0" w:color="000000"/>
              <w:bottom w:val="nil"/>
              <w:right w:val="single" w:sz="6" w:space="0" w:color="000000"/>
            </w:tcBorders>
            <w:hideMark/>
          </w:tcPr>
          <w:p w14:paraId="4B5C094D" w14:textId="77777777" w:rsidR="007D5C29" w:rsidRDefault="007D5C29" w:rsidP="007D5C29">
            <w:pPr>
              <w:pStyle w:val="TableParagraph"/>
              <w:ind w:left="107"/>
            </w:pPr>
            <w:r>
              <w:t>N=123</w:t>
            </w:r>
          </w:p>
        </w:tc>
        <w:tc>
          <w:tcPr>
            <w:tcW w:w="1140" w:type="dxa"/>
            <w:tcBorders>
              <w:top w:val="single" w:sz="6" w:space="0" w:color="000000"/>
              <w:left w:val="single" w:sz="6" w:space="0" w:color="000000"/>
              <w:bottom w:val="nil"/>
              <w:right w:val="single" w:sz="6" w:space="0" w:color="000000"/>
            </w:tcBorders>
            <w:hideMark/>
          </w:tcPr>
          <w:p w14:paraId="24DDB1CE" w14:textId="77777777" w:rsidR="007D5C29" w:rsidRDefault="007D5C29" w:rsidP="007D5C29">
            <w:pPr>
              <w:pStyle w:val="TableParagraph"/>
              <w:ind w:left="107"/>
            </w:pPr>
            <w:r>
              <w:t>--</w:t>
            </w:r>
          </w:p>
        </w:tc>
        <w:tc>
          <w:tcPr>
            <w:tcW w:w="1229" w:type="dxa"/>
            <w:tcBorders>
              <w:top w:val="single" w:sz="6" w:space="0" w:color="000000"/>
              <w:left w:val="single" w:sz="6" w:space="0" w:color="000000"/>
              <w:bottom w:val="nil"/>
              <w:right w:val="single" w:sz="4" w:space="0" w:color="000000"/>
            </w:tcBorders>
            <w:hideMark/>
          </w:tcPr>
          <w:p w14:paraId="67FAF5B7" w14:textId="77777777" w:rsidR="007D5C29" w:rsidRDefault="007D5C29" w:rsidP="007D5C29">
            <w:pPr>
              <w:pStyle w:val="TableParagraph"/>
              <w:ind w:left="107"/>
            </w:pPr>
            <w:r>
              <w:t>--</w:t>
            </w:r>
          </w:p>
        </w:tc>
      </w:tr>
      <w:tr w:rsidR="007D5C29" w14:paraId="5ED31A78" w14:textId="77777777" w:rsidTr="007D5C29">
        <w:trPr>
          <w:trHeight w:hRule="exact" w:val="506"/>
        </w:trPr>
        <w:tc>
          <w:tcPr>
            <w:tcW w:w="2136" w:type="dxa"/>
            <w:tcBorders>
              <w:top w:val="nil"/>
              <w:left w:val="single" w:sz="4" w:space="0" w:color="000000"/>
              <w:bottom w:val="nil"/>
              <w:right w:val="single" w:sz="6" w:space="0" w:color="000000"/>
            </w:tcBorders>
            <w:hideMark/>
          </w:tcPr>
          <w:p w14:paraId="29999FFF" w14:textId="77777777" w:rsidR="007D5C29" w:rsidRDefault="007D5C29" w:rsidP="007D5C29">
            <w:pPr>
              <w:pStyle w:val="TableParagraph"/>
              <w:ind w:left="398" w:right="392"/>
            </w:pPr>
            <w:r>
              <w:t>Baseline Mean (SD)</w:t>
            </w:r>
          </w:p>
        </w:tc>
        <w:tc>
          <w:tcPr>
            <w:tcW w:w="1147" w:type="dxa"/>
            <w:tcBorders>
              <w:top w:val="nil"/>
              <w:left w:val="single" w:sz="6" w:space="0" w:color="000000"/>
              <w:bottom w:val="nil"/>
              <w:right w:val="single" w:sz="6" w:space="0" w:color="000000"/>
            </w:tcBorders>
            <w:hideMark/>
          </w:tcPr>
          <w:p w14:paraId="059BC4CB" w14:textId="77777777" w:rsidR="007D5C29" w:rsidRDefault="007D5C29" w:rsidP="007D5C29">
            <w:pPr>
              <w:pStyle w:val="TableParagraph"/>
              <w:ind w:left="108"/>
            </w:pPr>
            <w:r>
              <w:t>96.8</w:t>
            </w:r>
          </w:p>
          <w:p w14:paraId="43D95A57" w14:textId="77777777" w:rsidR="007D5C29" w:rsidRDefault="007D5C29" w:rsidP="007D5C29">
            <w:pPr>
              <w:pStyle w:val="TableParagraph"/>
              <w:ind w:left="108"/>
            </w:pPr>
            <w:r>
              <w:t>(11.1)</w:t>
            </w:r>
          </w:p>
        </w:tc>
        <w:tc>
          <w:tcPr>
            <w:tcW w:w="1135" w:type="dxa"/>
            <w:tcBorders>
              <w:top w:val="nil"/>
              <w:left w:val="single" w:sz="6" w:space="0" w:color="000000"/>
              <w:bottom w:val="nil"/>
              <w:right w:val="single" w:sz="6" w:space="0" w:color="000000"/>
            </w:tcBorders>
            <w:hideMark/>
          </w:tcPr>
          <w:p w14:paraId="046B9719" w14:textId="77777777" w:rsidR="007D5C29" w:rsidRDefault="007D5C29" w:rsidP="007D5C29">
            <w:pPr>
              <w:pStyle w:val="TableParagraph"/>
              <w:ind w:left="108"/>
            </w:pPr>
            <w:r>
              <w:t>96.5</w:t>
            </w:r>
          </w:p>
          <w:p w14:paraId="2E90453E" w14:textId="77777777" w:rsidR="007D5C29" w:rsidRDefault="007D5C29" w:rsidP="007D5C29">
            <w:pPr>
              <w:pStyle w:val="TableParagraph"/>
              <w:ind w:left="108"/>
            </w:pPr>
            <w:r>
              <w:t>(11.6)</w:t>
            </w:r>
          </w:p>
        </w:tc>
        <w:tc>
          <w:tcPr>
            <w:tcW w:w="1133" w:type="dxa"/>
            <w:tcBorders>
              <w:top w:val="nil"/>
              <w:left w:val="single" w:sz="6" w:space="0" w:color="000000"/>
              <w:bottom w:val="nil"/>
              <w:right w:val="single" w:sz="6" w:space="0" w:color="000000"/>
            </w:tcBorders>
            <w:hideMark/>
          </w:tcPr>
          <w:p w14:paraId="6FBD26F9" w14:textId="77777777" w:rsidR="007D5C29" w:rsidRDefault="007D5C29" w:rsidP="007D5C29">
            <w:pPr>
              <w:pStyle w:val="TableParagraph"/>
              <w:ind w:left="105"/>
            </w:pPr>
            <w:r>
              <w:t>96.0</w:t>
            </w:r>
          </w:p>
          <w:p w14:paraId="468D1B4A" w14:textId="77777777" w:rsidR="007D5C29" w:rsidRDefault="007D5C29" w:rsidP="007D5C29">
            <w:pPr>
              <w:pStyle w:val="TableParagraph"/>
              <w:ind w:left="105"/>
            </w:pPr>
            <w:r>
              <w:t>(10.8)</w:t>
            </w:r>
          </w:p>
        </w:tc>
        <w:tc>
          <w:tcPr>
            <w:tcW w:w="1142" w:type="dxa"/>
            <w:tcBorders>
              <w:top w:val="nil"/>
              <w:left w:val="single" w:sz="6" w:space="0" w:color="000000"/>
              <w:bottom w:val="nil"/>
              <w:right w:val="single" w:sz="6" w:space="0" w:color="000000"/>
            </w:tcBorders>
            <w:hideMark/>
          </w:tcPr>
          <w:p w14:paraId="2E5CB10A" w14:textId="77777777" w:rsidR="007D5C29" w:rsidRDefault="007D5C29" w:rsidP="007D5C29">
            <w:pPr>
              <w:pStyle w:val="TableParagraph"/>
              <w:ind w:left="107"/>
            </w:pPr>
            <w:r>
              <w:t>96.0 (9.7)</w:t>
            </w:r>
          </w:p>
        </w:tc>
        <w:tc>
          <w:tcPr>
            <w:tcW w:w="1140" w:type="dxa"/>
            <w:tcBorders>
              <w:top w:val="nil"/>
              <w:left w:val="single" w:sz="6" w:space="0" w:color="000000"/>
              <w:bottom w:val="nil"/>
              <w:right w:val="single" w:sz="6" w:space="0" w:color="000000"/>
            </w:tcBorders>
            <w:hideMark/>
          </w:tcPr>
          <w:p w14:paraId="3500873A"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7050978E" w14:textId="77777777" w:rsidR="007D5C29" w:rsidRDefault="007D5C29" w:rsidP="007D5C29">
            <w:pPr>
              <w:pStyle w:val="TableParagraph"/>
              <w:ind w:left="107"/>
            </w:pPr>
            <w:r>
              <w:t>--</w:t>
            </w:r>
          </w:p>
        </w:tc>
      </w:tr>
      <w:tr w:rsidR="007D5C29" w14:paraId="633618EB" w14:textId="77777777" w:rsidTr="007D5C29">
        <w:trPr>
          <w:trHeight w:hRule="exact" w:val="505"/>
        </w:trPr>
        <w:tc>
          <w:tcPr>
            <w:tcW w:w="2136" w:type="dxa"/>
            <w:tcBorders>
              <w:top w:val="nil"/>
              <w:left w:val="single" w:sz="4" w:space="0" w:color="000000"/>
              <w:bottom w:val="nil"/>
              <w:right w:val="single" w:sz="6" w:space="0" w:color="000000"/>
            </w:tcBorders>
            <w:hideMark/>
          </w:tcPr>
          <w:p w14:paraId="63AB5F68" w14:textId="77777777" w:rsidR="007D5C29" w:rsidRDefault="007D5C29" w:rsidP="007D5C29">
            <w:pPr>
              <w:pStyle w:val="TableParagraph"/>
              <w:ind w:left="398" w:right="166"/>
            </w:pPr>
            <w:r>
              <w:t>LS Mean Change (SE)</w:t>
            </w:r>
          </w:p>
        </w:tc>
        <w:tc>
          <w:tcPr>
            <w:tcW w:w="1147" w:type="dxa"/>
            <w:tcBorders>
              <w:top w:val="nil"/>
              <w:left w:val="single" w:sz="6" w:space="0" w:color="000000"/>
              <w:bottom w:val="nil"/>
              <w:right w:val="single" w:sz="6" w:space="0" w:color="000000"/>
            </w:tcBorders>
            <w:hideMark/>
          </w:tcPr>
          <w:p w14:paraId="4078159D" w14:textId="77777777" w:rsidR="007D5C29" w:rsidRDefault="007D5C29" w:rsidP="007D5C29">
            <w:pPr>
              <w:pStyle w:val="TableParagraph"/>
              <w:ind w:left="108"/>
            </w:pPr>
            <w:r>
              <w:t>-17.0</w:t>
            </w:r>
          </w:p>
          <w:p w14:paraId="59E1F30A" w14:textId="77777777" w:rsidR="007D5C29" w:rsidRDefault="007D5C29" w:rsidP="007D5C29">
            <w:pPr>
              <w:pStyle w:val="TableParagraph"/>
              <w:ind w:left="108"/>
            </w:pPr>
            <w:r>
              <w:t>(1.8)</w:t>
            </w:r>
          </w:p>
        </w:tc>
        <w:tc>
          <w:tcPr>
            <w:tcW w:w="1135" w:type="dxa"/>
            <w:tcBorders>
              <w:top w:val="nil"/>
              <w:left w:val="single" w:sz="6" w:space="0" w:color="000000"/>
              <w:bottom w:val="nil"/>
              <w:right w:val="single" w:sz="6" w:space="0" w:color="000000"/>
            </w:tcBorders>
            <w:hideMark/>
          </w:tcPr>
          <w:p w14:paraId="4C3599A7" w14:textId="77777777" w:rsidR="007D5C29" w:rsidRDefault="007D5C29" w:rsidP="007D5C29">
            <w:pPr>
              <w:pStyle w:val="TableParagraph"/>
              <w:ind w:left="108"/>
            </w:pPr>
            <w:r>
              <w:t>-19.2</w:t>
            </w:r>
          </w:p>
          <w:p w14:paraId="3F547F66" w14:textId="77777777" w:rsidR="007D5C29" w:rsidRDefault="007D5C29" w:rsidP="007D5C29">
            <w:pPr>
              <w:pStyle w:val="TableParagraph"/>
              <w:ind w:left="108"/>
            </w:pPr>
            <w:r>
              <w:t>(1.7)</w:t>
            </w:r>
          </w:p>
        </w:tc>
        <w:tc>
          <w:tcPr>
            <w:tcW w:w="1133" w:type="dxa"/>
            <w:tcBorders>
              <w:top w:val="nil"/>
              <w:left w:val="single" w:sz="6" w:space="0" w:color="000000"/>
              <w:bottom w:val="nil"/>
              <w:right w:val="single" w:sz="6" w:space="0" w:color="000000"/>
            </w:tcBorders>
            <w:hideMark/>
          </w:tcPr>
          <w:p w14:paraId="27A83CD4" w14:textId="77777777" w:rsidR="007D5C29" w:rsidRDefault="007D5C29" w:rsidP="007D5C29">
            <w:pPr>
              <w:pStyle w:val="TableParagraph"/>
              <w:ind w:left="105"/>
            </w:pPr>
            <w:r>
              <w:t>-23.4</w:t>
            </w:r>
          </w:p>
          <w:p w14:paraId="7C326382" w14:textId="77777777" w:rsidR="007D5C29" w:rsidRDefault="007D5C29" w:rsidP="007D5C29">
            <w:pPr>
              <w:pStyle w:val="TableParagraph"/>
              <w:ind w:left="105"/>
            </w:pPr>
            <w:r>
              <w:t>(1.8)</w:t>
            </w:r>
          </w:p>
        </w:tc>
        <w:tc>
          <w:tcPr>
            <w:tcW w:w="1142" w:type="dxa"/>
            <w:tcBorders>
              <w:top w:val="nil"/>
              <w:left w:val="single" w:sz="6" w:space="0" w:color="000000"/>
              <w:bottom w:val="nil"/>
              <w:right w:val="single" w:sz="6" w:space="0" w:color="000000"/>
            </w:tcBorders>
            <w:hideMark/>
          </w:tcPr>
          <w:p w14:paraId="342071E8" w14:textId="77777777" w:rsidR="007D5C29" w:rsidRDefault="007D5C29" w:rsidP="007D5C29">
            <w:pPr>
              <w:pStyle w:val="TableParagraph"/>
              <w:ind w:left="107"/>
            </w:pPr>
            <w:r>
              <w:t>-20.5</w:t>
            </w:r>
          </w:p>
          <w:p w14:paraId="5BBE9889" w14:textId="77777777" w:rsidR="007D5C29" w:rsidRDefault="007D5C29" w:rsidP="007D5C29">
            <w:pPr>
              <w:pStyle w:val="TableParagraph"/>
              <w:ind w:left="107"/>
            </w:pPr>
            <w:r>
              <w:t>(1.8)</w:t>
            </w:r>
          </w:p>
        </w:tc>
        <w:tc>
          <w:tcPr>
            <w:tcW w:w="1140" w:type="dxa"/>
            <w:tcBorders>
              <w:top w:val="nil"/>
              <w:left w:val="single" w:sz="6" w:space="0" w:color="000000"/>
              <w:bottom w:val="nil"/>
              <w:right w:val="single" w:sz="6" w:space="0" w:color="000000"/>
            </w:tcBorders>
            <w:hideMark/>
          </w:tcPr>
          <w:p w14:paraId="39EEB602"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15C93655" w14:textId="77777777" w:rsidR="007D5C29" w:rsidRDefault="007D5C29" w:rsidP="007D5C29">
            <w:pPr>
              <w:pStyle w:val="TableParagraph"/>
              <w:ind w:left="107"/>
            </w:pPr>
            <w:r>
              <w:t>--</w:t>
            </w:r>
          </w:p>
        </w:tc>
      </w:tr>
      <w:tr w:rsidR="007D5C29" w14:paraId="5CF42526" w14:textId="77777777" w:rsidTr="007D5C29">
        <w:trPr>
          <w:trHeight w:hRule="exact" w:val="506"/>
        </w:trPr>
        <w:tc>
          <w:tcPr>
            <w:tcW w:w="2136" w:type="dxa"/>
            <w:tcBorders>
              <w:top w:val="nil"/>
              <w:left w:val="single" w:sz="4" w:space="0" w:color="000000"/>
              <w:bottom w:val="nil"/>
              <w:right w:val="single" w:sz="6" w:space="0" w:color="000000"/>
            </w:tcBorders>
            <w:hideMark/>
          </w:tcPr>
          <w:p w14:paraId="2D66D87F" w14:textId="77777777" w:rsidR="007D5C29" w:rsidRDefault="007D5C29" w:rsidP="007D5C29">
            <w:pPr>
              <w:pStyle w:val="TableParagraph"/>
              <w:ind w:left="110" w:right="94"/>
            </w:pPr>
            <w:r>
              <w:t>Treatment Difference vs. placebo</w:t>
            </w:r>
          </w:p>
        </w:tc>
        <w:tc>
          <w:tcPr>
            <w:tcW w:w="1147" w:type="dxa"/>
            <w:tcBorders>
              <w:top w:val="nil"/>
              <w:left w:val="single" w:sz="6" w:space="0" w:color="000000"/>
              <w:bottom w:val="nil"/>
              <w:right w:val="single" w:sz="6" w:space="0" w:color="000000"/>
            </w:tcBorders>
          </w:tcPr>
          <w:p w14:paraId="5D8C53E8" w14:textId="77777777" w:rsidR="007D5C29" w:rsidRDefault="007D5C29" w:rsidP="007D5C29"/>
        </w:tc>
        <w:tc>
          <w:tcPr>
            <w:tcW w:w="1135" w:type="dxa"/>
            <w:tcBorders>
              <w:top w:val="nil"/>
              <w:left w:val="single" w:sz="6" w:space="0" w:color="000000"/>
              <w:bottom w:val="nil"/>
              <w:right w:val="single" w:sz="6" w:space="0" w:color="000000"/>
            </w:tcBorders>
          </w:tcPr>
          <w:p w14:paraId="6B7BC7F7" w14:textId="77777777" w:rsidR="007D5C29" w:rsidRDefault="007D5C29" w:rsidP="007D5C29"/>
        </w:tc>
        <w:tc>
          <w:tcPr>
            <w:tcW w:w="1133" w:type="dxa"/>
            <w:tcBorders>
              <w:top w:val="nil"/>
              <w:left w:val="single" w:sz="6" w:space="0" w:color="000000"/>
              <w:bottom w:val="nil"/>
              <w:right w:val="single" w:sz="6" w:space="0" w:color="000000"/>
            </w:tcBorders>
          </w:tcPr>
          <w:p w14:paraId="06B34306" w14:textId="77777777" w:rsidR="007D5C29" w:rsidRDefault="007D5C29" w:rsidP="007D5C29"/>
        </w:tc>
        <w:tc>
          <w:tcPr>
            <w:tcW w:w="1142" w:type="dxa"/>
            <w:tcBorders>
              <w:top w:val="nil"/>
              <w:left w:val="single" w:sz="6" w:space="0" w:color="000000"/>
              <w:bottom w:val="nil"/>
              <w:right w:val="single" w:sz="6" w:space="0" w:color="000000"/>
            </w:tcBorders>
          </w:tcPr>
          <w:p w14:paraId="261EED10" w14:textId="77777777" w:rsidR="007D5C29" w:rsidRDefault="007D5C29" w:rsidP="007D5C29"/>
        </w:tc>
        <w:tc>
          <w:tcPr>
            <w:tcW w:w="1140" w:type="dxa"/>
            <w:tcBorders>
              <w:top w:val="nil"/>
              <w:left w:val="single" w:sz="6" w:space="0" w:color="000000"/>
              <w:bottom w:val="nil"/>
              <w:right w:val="single" w:sz="6" w:space="0" w:color="000000"/>
            </w:tcBorders>
          </w:tcPr>
          <w:p w14:paraId="0B7934EA" w14:textId="77777777" w:rsidR="007D5C29" w:rsidRDefault="007D5C29" w:rsidP="007D5C29"/>
        </w:tc>
        <w:tc>
          <w:tcPr>
            <w:tcW w:w="1229" w:type="dxa"/>
            <w:tcBorders>
              <w:top w:val="nil"/>
              <w:left w:val="single" w:sz="6" w:space="0" w:color="000000"/>
              <w:bottom w:val="nil"/>
              <w:right w:val="single" w:sz="4" w:space="0" w:color="000000"/>
            </w:tcBorders>
          </w:tcPr>
          <w:p w14:paraId="43EFAE07" w14:textId="77777777" w:rsidR="007D5C29" w:rsidRDefault="007D5C29" w:rsidP="007D5C29"/>
        </w:tc>
      </w:tr>
      <w:tr w:rsidR="007D5C29" w14:paraId="3A101425" w14:textId="77777777" w:rsidTr="007D5C29">
        <w:trPr>
          <w:trHeight w:hRule="exact" w:val="253"/>
        </w:trPr>
        <w:tc>
          <w:tcPr>
            <w:tcW w:w="2136" w:type="dxa"/>
            <w:tcBorders>
              <w:top w:val="nil"/>
              <w:left w:val="single" w:sz="4" w:space="0" w:color="000000"/>
              <w:bottom w:val="nil"/>
              <w:right w:val="single" w:sz="6" w:space="0" w:color="000000"/>
            </w:tcBorders>
            <w:hideMark/>
          </w:tcPr>
          <w:p w14:paraId="1D41FE25" w14:textId="77777777" w:rsidR="007D5C29" w:rsidRDefault="007D5C29" w:rsidP="007D5C29">
            <w:pPr>
              <w:pStyle w:val="TableParagraph"/>
              <w:ind w:left="0" w:right="493"/>
              <w:jc w:val="right"/>
            </w:pPr>
            <w:r>
              <w:t>Estimate (SE)</w:t>
            </w:r>
          </w:p>
        </w:tc>
        <w:tc>
          <w:tcPr>
            <w:tcW w:w="1147" w:type="dxa"/>
            <w:tcBorders>
              <w:top w:val="nil"/>
              <w:left w:val="single" w:sz="6" w:space="0" w:color="000000"/>
              <w:bottom w:val="nil"/>
              <w:right w:val="single" w:sz="6" w:space="0" w:color="000000"/>
            </w:tcBorders>
            <w:hideMark/>
          </w:tcPr>
          <w:p w14:paraId="07BF9508" w14:textId="77777777" w:rsidR="007D5C29" w:rsidRDefault="007D5C29" w:rsidP="007D5C29">
            <w:pPr>
              <w:pStyle w:val="TableParagraph"/>
              <w:ind w:left="108"/>
            </w:pPr>
            <w:r>
              <w:t>--</w:t>
            </w:r>
          </w:p>
        </w:tc>
        <w:tc>
          <w:tcPr>
            <w:tcW w:w="1135" w:type="dxa"/>
            <w:tcBorders>
              <w:top w:val="nil"/>
              <w:left w:val="single" w:sz="6" w:space="0" w:color="000000"/>
              <w:bottom w:val="nil"/>
              <w:right w:val="single" w:sz="6" w:space="0" w:color="000000"/>
            </w:tcBorders>
            <w:hideMark/>
          </w:tcPr>
          <w:p w14:paraId="5BC5013D" w14:textId="77777777" w:rsidR="007D5C29" w:rsidRDefault="007D5C29" w:rsidP="007D5C29">
            <w:pPr>
              <w:pStyle w:val="TableParagraph"/>
              <w:ind w:left="108"/>
            </w:pPr>
            <w:r>
              <w:t>-2.1 (2.5)</w:t>
            </w:r>
          </w:p>
        </w:tc>
        <w:tc>
          <w:tcPr>
            <w:tcW w:w="1133" w:type="dxa"/>
            <w:tcBorders>
              <w:top w:val="nil"/>
              <w:left w:val="single" w:sz="6" w:space="0" w:color="000000"/>
              <w:bottom w:val="nil"/>
              <w:right w:val="single" w:sz="6" w:space="0" w:color="000000"/>
            </w:tcBorders>
            <w:hideMark/>
          </w:tcPr>
          <w:p w14:paraId="2FCD56E1" w14:textId="77777777" w:rsidR="007D5C29" w:rsidRDefault="007D5C29" w:rsidP="007D5C29">
            <w:pPr>
              <w:pStyle w:val="TableParagraph"/>
              <w:ind w:left="105"/>
            </w:pPr>
            <w:r>
              <w:t>-6.4 (2.5)</w:t>
            </w:r>
          </w:p>
        </w:tc>
        <w:tc>
          <w:tcPr>
            <w:tcW w:w="1142" w:type="dxa"/>
            <w:tcBorders>
              <w:top w:val="nil"/>
              <w:left w:val="single" w:sz="6" w:space="0" w:color="000000"/>
              <w:bottom w:val="nil"/>
              <w:right w:val="single" w:sz="6" w:space="0" w:color="000000"/>
            </w:tcBorders>
            <w:hideMark/>
          </w:tcPr>
          <w:p w14:paraId="738AC7C8" w14:textId="77777777" w:rsidR="007D5C29" w:rsidRDefault="007D5C29" w:rsidP="007D5C29">
            <w:pPr>
              <w:pStyle w:val="TableParagraph"/>
              <w:ind w:left="107"/>
            </w:pPr>
            <w:r>
              <w:t>-3.5 (2.5)</w:t>
            </w:r>
          </w:p>
        </w:tc>
        <w:tc>
          <w:tcPr>
            <w:tcW w:w="1140" w:type="dxa"/>
            <w:tcBorders>
              <w:top w:val="nil"/>
              <w:left w:val="single" w:sz="6" w:space="0" w:color="000000"/>
              <w:bottom w:val="nil"/>
              <w:right w:val="single" w:sz="6" w:space="0" w:color="000000"/>
            </w:tcBorders>
            <w:hideMark/>
          </w:tcPr>
          <w:p w14:paraId="2E1F3FE4"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7FE2C798" w14:textId="77777777" w:rsidR="007D5C29" w:rsidRDefault="007D5C29" w:rsidP="007D5C29">
            <w:pPr>
              <w:pStyle w:val="TableParagraph"/>
              <w:ind w:left="107"/>
            </w:pPr>
            <w:r>
              <w:t>--</w:t>
            </w:r>
          </w:p>
        </w:tc>
      </w:tr>
      <w:tr w:rsidR="007D5C29" w14:paraId="43BB3949" w14:textId="77777777" w:rsidTr="007D5C29">
        <w:trPr>
          <w:trHeight w:hRule="exact" w:val="256"/>
        </w:trPr>
        <w:tc>
          <w:tcPr>
            <w:tcW w:w="2136" w:type="dxa"/>
            <w:tcBorders>
              <w:top w:val="nil"/>
              <w:left w:val="single" w:sz="4" w:space="0" w:color="000000"/>
              <w:bottom w:val="single" w:sz="6" w:space="0" w:color="000000"/>
              <w:right w:val="single" w:sz="6" w:space="0" w:color="000000"/>
            </w:tcBorders>
            <w:hideMark/>
          </w:tcPr>
          <w:p w14:paraId="15E1A816" w14:textId="77777777" w:rsidR="007D5C29" w:rsidRDefault="007D5C29" w:rsidP="007D5C29">
            <w:pPr>
              <w:pStyle w:val="TableParagraph"/>
              <w:ind w:left="398"/>
            </w:pPr>
            <w:r>
              <w:t>p-value</w:t>
            </w:r>
          </w:p>
        </w:tc>
        <w:tc>
          <w:tcPr>
            <w:tcW w:w="1147" w:type="dxa"/>
            <w:tcBorders>
              <w:top w:val="nil"/>
              <w:left w:val="single" w:sz="6" w:space="0" w:color="000000"/>
              <w:bottom w:val="single" w:sz="6" w:space="0" w:color="000000"/>
              <w:right w:val="single" w:sz="6" w:space="0" w:color="000000"/>
            </w:tcBorders>
            <w:hideMark/>
          </w:tcPr>
          <w:p w14:paraId="0CFA02E7" w14:textId="77777777" w:rsidR="007D5C29" w:rsidRDefault="007D5C29" w:rsidP="007D5C29">
            <w:pPr>
              <w:pStyle w:val="TableParagraph"/>
              <w:ind w:left="108"/>
            </w:pPr>
            <w:r>
              <w:t>--</w:t>
            </w:r>
          </w:p>
        </w:tc>
        <w:tc>
          <w:tcPr>
            <w:tcW w:w="1135" w:type="dxa"/>
            <w:tcBorders>
              <w:top w:val="nil"/>
              <w:left w:val="single" w:sz="6" w:space="0" w:color="000000"/>
              <w:bottom w:val="single" w:sz="6" w:space="0" w:color="000000"/>
              <w:right w:val="single" w:sz="6" w:space="0" w:color="000000"/>
            </w:tcBorders>
            <w:hideMark/>
          </w:tcPr>
          <w:p w14:paraId="6E4E0027" w14:textId="77777777" w:rsidR="007D5C29" w:rsidRDefault="007D5C29" w:rsidP="007D5C29">
            <w:pPr>
              <w:pStyle w:val="TableParagraph"/>
              <w:ind w:left="108"/>
            </w:pPr>
            <w:r>
              <w:t>0.591</w:t>
            </w:r>
          </w:p>
        </w:tc>
        <w:tc>
          <w:tcPr>
            <w:tcW w:w="1133" w:type="dxa"/>
            <w:tcBorders>
              <w:top w:val="nil"/>
              <w:left w:val="single" w:sz="6" w:space="0" w:color="000000"/>
              <w:bottom w:val="single" w:sz="6" w:space="0" w:color="000000"/>
              <w:right w:val="single" w:sz="6" w:space="0" w:color="000000"/>
            </w:tcBorders>
            <w:hideMark/>
          </w:tcPr>
          <w:p w14:paraId="4168C6C3" w14:textId="77777777" w:rsidR="007D5C29" w:rsidRDefault="007D5C29" w:rsidP="007D5C29">
            <w:pPr>
              <w:pStyle w:val="TableParagraph"/>
              <w:ind w:left="105"/>
            </w:pPr>
            <w:r>
              <w:t>0.034</w:t>
            </w:r>
          </w:p>
        </w:tc>
        <w:tc>
          <w:tcPr>
            <w:tcW w:w="1142" w:type="dxa"/>
            <w:tcBorders>
              <w:top w:val="nil"/>
              <w:left w:val="single" w:sz="6" w:space="0" w:color="000000"/>
              <w:bottom w:val="single" w:sz="6" w:space="0" w:color="000000"/>
              <w:right w:val="single" w:sz="6" w:space="0" w:color="000000"/>
            </w:tcBorders>
            <w:hideMark/>
          </w:tcPr>
          <w:p w14:paraId="6B9E0493" w14:textId="77777777" w:rsidR="007D5C29" w:rsidRDefault="007D5C29" w:rsidP="007D5C29">
            <w:pPr>
              <w:pStyle w:val="TableParagraph"/>
              <w:ind w:left="107"/>
            </w:pPr>
            <w:r>
              <w:t>0.391</w:t>
            </w:r>
          </w:p>
        </w:tc>
        <w:tc>
          <w:tcPr>
            <w:tcW w:w="1140" w:type="dxa"/>
            <w:tcBorders>
              <w:top w:val="nil"/>
              <w:left w:val="single" w:sz="6" w:space="0" w:color="000000"/>
              <w:bottom w:val="single" w:sz="6" w:space="0" w:color="000000"/>
              <w:right w:val="single" w:sz="6" w:space="0" w:color="000000"/>
            </w:tcBorders>
            <w:hideMark/>
          </w:tcPr>
          <w:p w14:paraId="28225E29" w14:textId="77777777" w:rsidR="007D5C29" w:rsidRDefault="007D5C29" w:rsidP="007D5C29">
            <w:pPr>
              <w:pStyle w:val="TableParagraph"/>
              <w:ind w:left="107"/>
            </w:pPr>
            <w:r>
              <w:t>--</w:t>
            </w:r>
          </w:p>
        </w:tc>
        <w:tc>
          <w:tcPr>
            <w:tcW w:w="1229" w:type="dxa"/>
            <w:tcBorders>
              <w:top w:val="nil"/>
              <w:left w:val="single" w:sz="6" w:space="0" w:color="000000"/>
              <w:bottom w:val="single" w:sz="6" w:space="0" w:color="000000"/>
              <w:right w:val="single" w:sz="4" w:space="0" w:color="000000"/>
            </w:tcBorders>
            <w:hideMark/>
          </w:tcPr>
          <w:p w14:paraId="49830DF5" w14:textId="77777777" w:rsidR="007D5C29" w:rsidRDefault="007D5C29" w:rsidP="007D5C29">
            <w:pPr>
              <w:pStyle w:val="TableParagraph"/>
              <w:ind w:left="107"/>
            </w:pPr>
            <w:r>
              <w:t>--</w:t>
            </w:r>
          </w:p>
        </w:tc>
      </w:tr>
      <w:tr w:rsidR="007D5C29" w14:paraId="2BB59F30" w14:textId="77777777" w:rsidTr="007D5C29">
        <w:trPr>
          <w:trHeight w:hRule="exact" w:val="265"/>
        </w:trPr>
        <w:tc>
          <w:tcPr>
            <w:tcW w:w="2136" w:type="dxa"/>
            <w:tcBorders>
              <w:top w:val="single" w:sz="6" w:space="0" w:color="000000"/>
              <w:left w:val="single" w:sz="4" w:space="0" w:color="000000"/>
              <w:bottom w:val="nil"/>
              <w:right w:val="single" w:sz="6" w:space="0" w:color="000000"/>
            </w:tcBorders>
            <w:hideMark/>
          </w:tcPr>
          <w:p w14:paraId="009171BA" w14:textId="77777777" w:rsidR="007D5C29" w:rsidRDefault="007D5C29" w:rsidP="007D5C29">
            <w:pPr>
              <w:pStyle w:val="TableParagraph"/>
              <w:ind w:left="0" w:right="511"/>
              <w:jc w:val="right"/>
            </w:pPr>
            <w:r>
              <w:t>Study D1050231</w:t>
            </w:r>
          </w:p>
        </w:tc>
        <w:tc>
          <w:tcPr>
            <w:tcW w:w="1147" w:type="dxa"/>
            <w:tcBorders>
              <w:top w:val="single" w:sz="6" w:space="0" w:color="000000"/>
              <w:left w:val="single" w:sz="6" w:space="0" w:color="000000"/>
              <w:bottom w:val="nil"/>
              <w:right w:val="single" w:sz="6" w:space="0" w:color="000000"/>
            </w:tcBorders>
            <w:hideMark/>
          </w:tcPr>
          <w:p w14:paraId="66C495A1" w14:textId="77777777" w:rsidR="007D5C29" w:rsidRDefault="007D5C29" w:rsidP="007D5C29">
            <w:pPr>
              <w:pStyle w:val="TableParagraph"/>
              <w:ind w:left="108"/>
            </w:pPr>
            <w:r>
              <w:t>N=114</w:t>
            </w:r>
          </w:p>
        </w:tc>
        <w:tc>
          <w:tcPr>
            <w:tcW w:w="1135" w:type="dxa"/>
            <w:tcBorders>
              <w:top w:val="single" w:sz="6" w:space="0" w:color="000000"/>
              <w:left w:val="single" w:sz="6" w:space="0" w:color="000000"/>
              <w:bottom w:val="nil"/>
              <w:right w:val="single" w:sz="6" w:space="0" w:color="000000"/>
            </w:tcBorders>
            <w:hideMark/>
          </w:tcPr>
          <w:p w14:paraId="1EAD3003" w14:textId="77777777" w:rsidR="007D5C29" w:rsidRDefault="007D5C29" w:rsidP="007D5C29">
            <w:pPr>
              <w:pStyle w:val="TableParagraph"/>
              <w:ind w:left="108"/>
            </w:pPr>
            <w:r>
              <w:t>N=118</w:t>
            </w:r>
          </w:p>
        </w:tc>
        <w:tc>
          <w:tcPr>
            <w:tcW w:w="1133" w:type="dxa"/>
            <w:tcBorders>
              <w:top w:val="single" w:sz="6" w:space="0" w:color="000000"/>
              <w:left w:val="single" w:sz="6" w:space="0" w:color="000000"/>
              <w:bottom w:val="nil"/>
              <w:right w:val="single" w:sz="6" w:space="0" w:color="000000"/>
            </w:tcBorders>
            <w:hideMark/>
          </w:tcPr>
          <w:p w14:paraId="75179EF4" w14:textId="77777777" w:rsidR="007D5C29" w:rsidRDefault="007D5C29" w:rsidP="007D5C29">
            <w:pPr>
              <w:pStyle w:val="TableParagraph"/>
              <w:ind w:left="105"/>
            </w:pPr>
            <w:r>
              <w:t>--</w:t>
            </w:r>
          </w:p>
        </w:tc>
        <w:tc>
          <w:tcPr>
            <w:tcW w:w="1142" w:type="dxa"/>
            <w:tcBorders>
              <w:top w:val="single" w:sz="6" w:space="0" w:color="000000"/>
              <w:left w:val="single" w:sz="6" w:space="0" w:color="000000"/>
              <w:bottom w:val="nil"/>
              <w:right w:val="single" w:sz="6" w:space="0" w:color="000000"/>
            </w:tcBorders>
            <w:hideMark/>
          </w:tcPr>
          <w:p w14:paraId="2639FBDD" w14:textId="77777777" w:rsidR="007D5C29" w:rsidRDefault="007D5C29" w:rsidP="007D5C29">
            <w:pPr>
              <w:pStyle w:val="TableParagraph"/>
              <w:ind w:left="107"/>
            </w:pPr>
            <w:r>
              <w:t>N=118</w:t>
            </w:r>
          </w:p>
        </w:tc>
        <w:tc>
          <w:tcPr>
            <w:tcW w:w="1140" w:type="dxa"/>
            <w:tcBorders>
              <w:top w:val="single" w:sz="6" w:space="0" w:color="000000"/>
              <w:left w:val="single" w:sz="6" w:space="0" w:color="000000"/>
              <w:bottom w:val="nil"/>
              <w:right w:val="single" w:sz="6" w:space="0" w:color="000000"/>
            </w:tcBorders>
            <w:hideMark/>
          </w:tcPr>
          <w:p w14:paraId="198025A1" w14:textId="77777777" w:rsidR="007D5C29" w:rsidRDefault="007D5C29" w:rsidP="007D5C29">
            <w:pPr>
              <w:pStyle w:val="TableParagraph"/>
              <w:ind w:left="107"/>
            </w:pPr>
            <w:r>
              <w:t>--</w:t>
            </w:r>
          </w:p>
        </w:tc>
        <w:tc>
          <w:tcPr>
            <w:tcW w:w="1229" w:type="dxa"/>
            <w:tcBorders>
              <w:top w:val="single" w:sz="6" w:space="0" w:color="000000"/>
              <w:left w:val="single" w:sz="6" w:space="0" w:color="000000"/>
              <w:bottom w:val="nil"/>
              <w:right w:val="single" w:sz="4" w:space="0" w:color="000000"/>
            </w:tcBorders>
            <w:hideMark/>
          </w:tcPr>
          <w:p w14:paraId="64304AE2" w14:textId="77777777" w:rsidR="007D5C29" w:rsidRDefault="007D5C29" w:rsidP="007D5C29">
            <w:pPr>
              <w:pStyle w:val="TableParagraph"/>
              <w:ind w:left="107"/>
            </w:pPr>
            <w:r>
              <w:t>N=121</w:t>
            </w:r>
          </w:p>
        </w:tc>
      </w:tr>
      <w:tr w:rsidR="007D5C29" w14:paraId="59E8BAED" w14:textId="77777777" w:rsidTr="007D5C29">
        <w:trPr>
          <w:trHeight w:hRule="exact" w:val="506"/>
        </w:trPr>
        <w:tc>
          <w:tcPr>
            <w:tcW w:w="2136" w:type="dxa"/>
            <w:tcBorders>
              <w:top w:val="nil"/>
              <w:left w:val="single" w:sz="4" w:space="0" w:color="000000"/>
              <w:bottom w:val="nil"/>
              <w:right w:val="single" w:sz="6" w:space="0" w:color="000000"/>
            </w:tcBorders>
            <w:hideMark/>
          </w:tcPr>
          <w:p w14:paraId="71A8BB2B" w14:textId="77777777" w:rsidR="007D5C29" w:rsidRDefault="007D5C29" w:rsidP="007D5C29">
            <w:pPr>
              <w:pStyle w:val="TableParagraph"/>
              <w:ind w:left="398" w:right="392"/>
            </w:pPr>
            <w:r>
              <w:t>Baseline Mean (SD)</w:t>
            </w:r>
          </w:p>
        </w:tc>
        <w:tc>
          <w:tcPr>
            <w:tcW w:w="1147" w:type="dxa"/>
            <w:tcBorders>
              <w:top w:val="nil"/>
              <w:left w:val="single" w:sz="6" w:space="0" w:color="000000"/>
              <w:bottom w:val="nil"/>
              <w:right w:val="single" w:sz="6" w:space="0" w:color="000000"/>
            </w:tcBorders>
            <w:hideMark/>
          </w:tcPr>
          <w:p w14:paraId="71214C71" w14:textId="77777777" w:rsidR="007D5C29" w:rsidRDefault="007D5C29" w:rsidP="007D5C29">
            <w:pPr>
              <w:pStyle w:val="TableParagraph"/>
              <w:ind w:left="108"/>
            </w:pPr>
            <w:r>
              <w:t>95.8</w:t>
            </w:r>
          </w:p>
          <w:p w14:paraId="257E7394" w14:textId="77777777" w:rsidR="007D5C29" w:rsidRDefault="007D5C29" w:rsidP="007D5C29">
            <w:pPr>
              <w:pStyle w:val="TableParagraph"/>
              <w:ind w:left="108"/>
            </w:pPr>
            <w:r>
              <w:t>(10.8)</w:t>
            </w:r>
          </w:p>
        </w:tc>
        <w:tc>
          <w:tcPr>
            <w:tcW w:w="1135" w:type="dxa"/>
            <w:tcBorders>
              <w:top w:val="nil"/>
              <w:left w:val="single" w:sz="6" w:space="0" w:color="000000"/>
              <w:bottom w:val="nil"/>
              <w:right w:val="single" w:sz="6" w:space="0" w:color="000000"/>
            </w:tcBorders>
            <w:hideMark/>
          </w:tcPr>
          <w:p w14:paraId="7F24B739" w14:textId="77777777" w:rsidR="007D5C29" w:rsidRDefault="007D5C29" w:rsidP="007D5C29">
            <w:pPr>
              <w:pStyle w:val="TableParagraph"/>
              <w:ind w:left="108"/>
            </w:pPr>
            <w:r>
              <w:t>96.6</w:t>
            </w:r>
          </w:p>
          <w:p w14:paraId="3E960A55" w14:textId="77777777" w:rsidR="007D5C29" w:rsidRDefault="007D5C29" w:rsidP="007D5C29">
            <w:pPr>
              <w:pStyle w:val="TableParagraph"/>
              <w:ind w:left="108"/>
            </w:pPr>
            <w:r>
              <w:t>(10.7)</w:t>
            </w:r>
          </w:p>
        </w:tc>
        <w:tc>
          <w:tcPr>
            <w:tcW w:w="1133" w:type="dxa"/>
            <w:tcBorders>
              <w:top w:val="nil"/>
              <w:left w:val="single" w:sz="6" w:space="0" w:color="000000"/>
              <w:bottom w:val="nil"/>
              <w:right w:val="single" w:sz="6" w:space="0" w:color="000000"/>
            </w:tcBorders>
            <w:hideMark/>
          </w:tcPr>
          <w:p w14:paraId="1D1725D7" w14:textId="77777777" w:rsidR="007D5C29" w:rsidRDefault="007D5C29" w:rsidP="007D5C29">
            <w:pPr>
              <w:pStyle w:val="TableParagraph"/>
              <w:ind w:left="105"/>
            </w:pPr>
            <w:r>
              <w:t>--</w:t>
            </w:r>
          </w:p>
        </w:tc>
        <w:tc>
          <w:tcPr>
            <w:tcW w:w="1142" w:type="dxa"/>
            <w:tcBorders>
              <w:top w:val="nil"/>
              <w:left w:val="single" w:sz="6" w:space="0" w:color="000000"/>
              <w:bottom w:val="nil"/>
              <w:right w:val="single" w:sz="6" w:space="0" w:color="000000"/>
            </w:tcBorders>
            <w:hideMark/>
          </w:tcPr>
          <w:p w14:paraId="1C135D1C" w14:textId="77777777" w:rsidR="007D5C29" w:rsidRDefault="007D5C29" w:rsidP="007D5C29">
            <w:pPr>
              <w:pStyle w:val="TableParagraph"/>
              <w:ind w:left="107"/>
            </w:pPr>
            <w:r>
              <w:t>97.9</w:t>
            </w:r>
          </w:p>
          <w:p w14:paraId="2DE7B0E6" w14:textId="77777777" w:rsidR="007D5C29" w:rsidRDefault="007D5C29" w:rsidP="007D5C29">
            <w:pPr>
              <w:pStyle w:val="TableParagraph"/>
              <w:ind w:left="107"/>
            </w:pPr>
            <w:r>
              <w:t>(11.3)</w:t>
            </w:r>
          </w:p>
        </w:tc>
        <w:tc>
          <w:tcPr>
            <w:tcW w:w="1140" w:type="dxa"/>
            <w:tcBorders>
              <w:top w:val="nil"/>
              <w:left w:val="single" w:sz="6" w:space="0" w:color="000000"/>
              <w:bottom w:val="nil"/>
              <w:right w:val="single" w:sz="6" w:space="0" w:color="000000"/>
            </w:tcBorders>
            <w:hideMark/>
          </w:tcPr>
          <w:p w14:paraId="2C7A2419"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64C7A3EE" w14:textId="77777777" w:rsidR="007D5C29" w:rsidRDefault="007D5C29" w:rsidP="007D5C29">
            <w:pPr>
              <w:pStyle w:val="TableParagraph"/>
              <w:ind w:left="107"/>
            </w:pPr>
            <w:r>
              <w:t>96.3 (12.2)</w:t>
            </w:r>
          </w:p>
        </w:tc>
      </w:tr>
      <w:tr w:rsidR="007D5C29" w14:paraId="5185F5E4" w14:textId="77777777" w:rsidTr="007D5C29">
        <w:trPr>
          <w:trHeight w:hRule="exact" w:val="505"/>
        </w:trPr>
        <w:tc>
          <w:tcPr>
            <w:tcW w:w="2136" w:type="dxa"/>
            <w:tcBorders>
              <w:top w:val="nil"/>
              <w:left w:val="single" w:sz="4" w:space="0" w:color="000000"/>
              <w:bottom w:val="nil"/>
              <w:right w:val="single" w:sz="6" w:space="0" w:color="000000"/>
            </w:tcBorders>
            <w:hideMark/>
          </w:tcPr>
          <w:p w14:paraId="5057EB4A" w14:textId="77777777" w:rsidR="007D5C29" w:rsidRDefault="007D5C29" w:rsidP="007D5C29">
            <w:pPr>
              <w:pStyle w:val="TableParagraph"/>
              <w:ind w:left="398" w:right="166"/>
            </w:pPr>
            <w:r>
              <w:t>LS Mean Change (SE)</w:t>
            </w:r>
          </w:p>
        </w:tc>
        <w:tc>
          <w:tcPr>
            <w:tcW w:w="1147" w:type="dxa"/>
            <w:tcBorders>
              <w:top w:val="nil"/>
              <w:left w:val="single" w:sz="6" w:space="0" w:color="000000"/>
              <w:bottom w:val="nil"/>
              <w:right w:val="single" w:sz="6" w:space="0" w:color="000000"/>
            </w:tcBorders>
            <w:hideMark/>
          </w:tcPr>
          <w:p w14:paraId="57EA63E0" w14:textId="77777777" w:rsidR="007D5C29" w:rsidRDefault="007D5C29" w:rsidP="007D5C29">
            <w:pPr>
              <w:pStyle w:val="TableParagraph"/>
              <w:ind w:left="108"/>
            </w:pPr>
            <w:r>
              <w:t>-16.0</w:t>
            </w:r>
          </w:p>
          <w:p w14:paraId="56067B17" w14:textId="77777777" w:rsidR="007D5C29" w:rsidRDefault="007D5C29" w:rsidP="007D5C29">
            <w:pPr>
              <w:pStyle w:val="TableParagraph"/>
              <w:ind w:left="108"/>
            </w:pPr>
            <w:r>
              <w:t>(2.1)</w:t>
            </w:r>
          </w:p>
        </w:tc>
        <w:tc>
          <w:tcPr>
            <w:tcW w:w="1135" w:type="dxa"/>
            <w:tcBorders>
              <w:top w:val="nil"/>
              <w:left w:val="single" w:sz="6" w:space="0" w:color="000000"/>
              <w:bottom w:val="nil"/>
              <w:right w:val="single" w:sz="6" w:space="0" w:color="000000"/>
            </w:tcBorders>
            <w:hideMark/>
          </w:tcPr>
          <w:p w14:paraId="51ACFEB7" w14:textId="77777777" w:rsidR="007D5C29" w:rsidRDefault="007D5C29" w:rsidP="007D5C29">
            <w:pPr>
              <w:pStyle w:val="TableParagraph"/>
              <w:ind w:left="108"/>
            </w:pPr>
            <w:r>
              <w:t>-25.7</w:t>
            </w:r>
          </w:p>
          <w:p w14:paraId="74B498C1" w14:textId="77777777" w:rsidR="007D5C29" w:rsidRDefault="007D5C29" w:rsidP="007D5C29">
            <w:pPr>
              <w:pStyle w:val="TableParagraph"/>
              <w:ind w:left="108"/>
            </w:pPr>
            <w:r>
              <w:t>(2.0)</w:t>
            </w:r>
          </w:p>
        </w:tc>
        <w:tc>
          <w:tcPr>
            <w:tcW w:w="1133" w:type="dxa"/>
            <w:tcBorders>
              <w:top w:val="nil"/>
              <w:left w:val="single" w:sz="6" w:space="0" w:color="000000"/>
              <w:bottom w:val="nil"/>
              <w:right w:val="single" w:sz="6" w:space="0" w:color="000000"/>
            </w:tcBorders>
            <w:hideMark/>
          </w:tcPr>
          <w:p w14:paraId="4F5521FE" w14:textId="77777777" w:rsidR="007D5C29" w:rsidRDefault="007D5C29" w:rsidP="007D5C29">
            <w:pPr>
              <w:pStyle w:val="TableParagraph"/>
              <w:ind w:left="105"/>
            </w:pPr>
            <w:r>
              <w:t>--</w:t>
            </w:r>
          </w:p>
        </w:tc>
        <w:tc>
          <w:tcPr>
            <w:tcW w:w="1142" w:type="dxa"/>
            <w:tcBorders>
              <w:top w:val="nil"/>
              <w:left w:val="single" w:sz="6" w:space="0" w:color="000000"/>
              <w:bottom w:val="nil"/>
              <w:right w:val="single" w:sz="6" w:space="0" w:color="000000"/>
            </w:tcBorders>
            <w:hideMark/>
          </w:tcPr>
          <w:p w14:paraId="1005ED1C" w14:textId="77777777" w:rsidR="007D5C29" w:rsidRDefault="007D5C29" w:rsidP="007D5C29">
            <w:pPr>
              <w:pStyle w:val="TableParagraph"/>
              <w:ind w:left="107"/>
            </w:pPr>
            <w:r>
              <w:t>-23.6</w:t>
            </w:r>
          </w:p>
          <w:p w14:paraId="4E660ADC" w14:textId="77777777" w:rsidR="007D5C29" w:rsidRDefault="007D5C29" w:rsidP="007D5C29">
            <w:pPr>
              <w:pStyle w:val="TableParagraph"/>
              <w:ind w:left="107"/>
            </w:pPr>
            <w:r>
              <w:t>(2.1)</w:t>
            </w:r>
          </w:p>
        </w:tc>
        <w:tc>
          <w:tcPr>
            <w:tcW w:w="1140" w:type="dxa"/>
            <w:tcBorders>
              <w:top w:val="nil"/>
              <w:left w:val="single" w:sz="6" w:space="0" w:color="000000"/>
              <w:bottom w:val="nil"/>
              <w:right w:val="single" w:sz="6" w:space="0" w:color="000000"/>
            </w:tcBorders>
            <w:hideMark/>
          </w:tcPr>
          <w:p w14:paraId="3BBB82E6"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23997764" w14:textId="77777777" w:rsidR="007D5C29" w:rsidRDefault="007D5C29" w:rsidP="007D5C29">
            <w:pPr>
              <w:pStyle w:val="TableParagraph"/>
              <w:ind w:left="107"/>
            </w:pPr>
            <w:r>
              <w:t>-28.7 (1.9)</w:t>
            </w:r>
          </w:p>
        </w:tc>
      </w:tr>
      <w:tr w:rsidR="007D5C29" w14:paraId="3743CDB6" w14:textId="77777777" w:rsidTr="007D5C29">
        <w:trPr>
          <w:trHeight w:hRule="exact" w:val="506"/>
        </w:trPr>
        <w:tc>
          <w:tcPr>
            <w:tcW w:w="2136" w:type="dxa"/>
            <w:tcBorders>
              <w:top w:val="nil"/>
              <w:left w:val="single" w:sz="4" w:space="0" w:color="000000"/>
              <w:bottom w:val="nil"/>
              <w:right w:val="single" w:sz="6" w:space="0" w:color="000000"/>
            </w:tcBorders>
            <w:hideMark/>
          </w:tcPr>
          <w:p w14:paraId="1B371F5F" w14:textId="77777777" w:rsidR="007D5C29" w:rsidRDefault="007D5C29" w:rsidP="007D5C29">
            <w:pPr>
              <w:pStyle w:val="TableParagraph"/>
              <w:ind w:left="110" w:right="94"/>
            </w:pPr>
            <w:r>
              <w:t>Treatment Difference vs. placebo</w:t>
            </w:r>
          </w:p>
        </w:tc>
        <w:tc>
          <w:tcPr>
            <w:tcW w:w="1147" w:type="dxa"/>
            <w:tcBorders>
              <w:top w:val="nil"/>
              <w:left w:val="single" w:sz="6" w:space="0" w:color="000000"/>
              <w:bottom w:val="nil"/>
              <w:right w:val="single" w:sz="6" w:space="0" w:color="000000"/>
            </w:tcBorders>
          </w:tcPr>
          <w:p w14:paraId="2CBB3670" w14:textId="77777777" w:rsidR="007D5C29" w:rsidRDefault="007D5C29" w:rsidP="007D5C29"/>
        </w:tc>
        <w:tc>
          <w:tcPr>
            <w:tcW w:w="1135" w:type="dxa"/>
            <w:tcBorders>
              <w:top w:val="nil"/>
              <w:left w:val="single" w:sz="6" w:space="0" w:color="000000"/>
              <w:bottom w:val="nil"/>
              <w:right w:val="single" w:sz="6" w:space="0" w:color="000000"/>
            </w:tcBorders>
          </w:tcPr>
          <w:p w14:paraId="25241FA3" w14:textId="77777777" w:rsidR="007D5C29" w:rsidRDefault="007D5C29" w:rsidP="007D5C29"/>
        </w:tc>
        <w:tc>
          <w:tcPr>
            <w:tcW w:w="1133" w:type="dxa"/>
            <w:tcBorders>
              <w:top w:val="nil"/>
              <w:left w:val="single" w:sz="6" w:space="0" w:color="000000"/>
              <w:bottom w:val="nil"/>
              <w:right w:val="single" w:sz="6" w:space="0" w:color="000000"/>
            </w:tcBorders>
          </w:tcPr>
          <w:p w14:paraId="75DE657C" w14:textId="77777777" w:rsidR="007D5C29" w:rsidRDefault="007D5C29" w:rsidP="007D5C29"/>
        </w:tc>
        <w:tc>
          <w:tcPr>
            <w:tcW w:w="1142" w:type="dxa"/>
            <w:tcBorders>
              <w:top w:val="nil"/>
              <w:left w:val="single" w:sz="6" w:space="0" w:color="000000"/>
              <w:bottom w:val="nil"/>
              <w:right w:val="single" w:sz="6" w:space="0" w:color="000000"/>
            </w:tcBorders>
          </w:tcPr>
          <w:p w14:paraId="6FE84BDE" w14:textId="77777777" w:rsidR="007D5C29" w:rsidRDefault="007D5C29" w:rsidP="007D5C29"/>
        </w:tc>
        <w:tc>
          <w:tcPr>
            <w:tcW w:w="1140" w:type="dxa"/>
            <w:tcBorders>
              <w:top w:val="nil"/>
              <w:left w:val="single" w:sz="6" w:space="0" w:color="000000"/>
              <w:bottom w:val="nil"/>
              <w:right w:val="single" w:sz="6" w:space="0" w:color="000000"/>
            </w:tcBorders>
          </w:tcPr>
          <w:p w14:paraId="3DB36D5F" w14:textId="77777777" w:rsidR="007D5C29" w:rsidRDefault="007D5C29" w:rsidP="007D5C29"/>
        </w:tc>
        <w:tc>
          <w:tcPr>
            <w:tcW w:w="1229" w:type="dxa"/>
            <w:tcBorders>
              <w:top w:val="nil"/>
              <w:left w:val="single" w:sz="6" w:space="0" w:color="000000"/>
              <w:bottom w:val="nil"/>
              <w:right w:val="single" w:sz="4" w:space="0" w:color="000000"/>
            </w:tcBorders>
          </w:tcPr>
          <w:p w14:paraId="2777BABE" w14:textId="77777777" w:rsidR="007D5C29" w:rsidRDefault="007D5C29" w:rsidP="007D5C29"/>
        </w:tc>
      </w:tr>
      <w:tr w:rsidR="007D5C29" w14:paraId="6B246C49" w14:textId="77777777" w:rsidTr="007D5C29">
        <w:trPr>
          <w:trHeight w:hRule="exact" w:val="253"/>
        </w:trPr>
        <w:tc>
          <w:tcPr>
            <w:tcW w:w="2136" w:type="dxa"/>
            <w:tcBorders>
              <w:top w:val="nil"/>
              <w:left w:val="single" w:sz="4" w:space="0" w:color="000000"/>
              <w:bottom w:val="nil"/>
              <w:right w:val="single" w:sz="6" w:space="0" w:color="000000"/>
            </w:tcBorders>
            <w:hideMark/>
          </w:tcPr>
          <w:p w14:paraId="3F378BEB" w14:textId="77777777" w:rsidR="007D5C29" w:rsidRDefault="007D5C29" w:rsidP="007D5C29">
            <w:pPr>
              <w:pStyle w:val="TableParagraph"/>
              <w:ind w:left="0" w:right="493"/>
              <w:jc w:val="right"/>
            </w:pPr>
            <w:r>
              <w:t>Estimate (SE)</w:t>
            </w:r>
          </w:p>
        </w:tc>
        <w:tc>
          <w:tcPr>
            <w:tcW w:w="1147" w:type="dxa"/>
            <w:tcBorders>
              <w:top w:val="nil"/>
              <w:left w:val="single" w:sz="6" w:space="0" w:color="000000"/>
              <w:bottom w:val="nil"/>
              <w:right w:val="single" w:sz="6" w:space="0" w:color="000000"/>
            </w:tcBorders>
            <w:hideMark/>
          </w:tcPr>
          <w:p w14:paraId="50FF972E" w14:textId="77777777" w:rsidR="007D5C29" w:rsidRDefault="007D5C29" w:rsidP="007D5C29">
            <w:pPr>
              <w:pStyle w:val="TableParagraph"/>
              <w:ind w:left="108"/>
            </w:pPr>
            <w:r>
              <w:t>--</w:t>
            </w:r>
          </w:p>
        </w:tc>
        <w:tc>
          <w:tcPr>
            <w:tcW w:w="1135" w:type="dxa"/>
            <w:tcBorders>
              <w:top w:val="nil"/>
              <w:left w:val="single" w:sz="6" w:space="0" w:color="000000"/>
              <w:bottom w:val="nil"/>
              <w:right w:val="single" w:sz="6" w:space="0" w:color="000000"/>
            </w:tcBorders>
            <w:hideMark/>
          </w:tcPr>
          <w:p w14:paraId="78578D42" w14:textId="77777777" w:rsidR="007D5C29" w:rsidRDefault="007D5C29" w:rsidP="007D5C29">
            <w:pPr>
              <w:pStyle w:val="TableParagraph"/>
              <w:ind w:left="108"/>
            </w:pPr>
            <w:r>
              <w:t>-9.7 (2.9)</w:t>
            </w:r>
          </w:p>
        </w:tc>
        <w:tc>
          <w:tcPr>
            <w:tcW w:w="1133" w:type="dxa"/>
            <w:tcBorders>
              <w:top w:val="nil"/>
              <w:left w:val="single" w:sz="6" w:space="0" w:color="000000"/>
              <w:bottom w:val="nil"/>
              <w:right w:val="single" w:sz="6" w:space="0" w:color="000000"/>
            </w:tcBorders>
            <w:hideMark/>
          </w:tcPr>
          <w:p w14:paraId="51D31D1A" w14:textId="77777777" w:rsidR="007D5C29" w:rsidRDefault="007D5C29" w:rsidP="007D5C29">
            <w:pPr>
              <w:pStyle w:val="TableParagraph"/>
              <w:ind w:left="105"/>
            </w:pPr>
            <w:r>
              <w:t>--</w:t>
            </w:r>
          </w:p>
        </w:tc>
        <w:tc>
          <w:tcPr>
            <w:tcW w:w="1142" w:type="dxa"/>
            <w:tcBorders>
              <w:top w:val="nil"/>
              <w:left w:val="single" w:sz="6" w:space="0" w:color="000000"/>
              <w:bottom w:val="nil"/>
              <w:right w:val="single" w:sz="6" w:space="0" w:color="000000"/>
            </w:tcBorders>
            <w:hideMark/>
          </w:tcPr>
          <w:p w14:paraId="2B105FAA" w14:textId="77777777" w:rsidR="007D5C29" w:rsidRDefault="007D5C29" w:rsidP="007D5C29">
            <w:pPr>
              <w:pStyle w:val="TableParagraph"/>
              <w:ind w:left="107"/>
            </w:pPr>
            <w:r>
              <w:t>-7.5 (3.0)</w:t>
            </w:r>
          </w:p>
        </w:tc>
        <w:tc>
          <w:tcPr>
            <w:tcW w:w="1140" w:type="dxa"/>
            <w:tcBorders>
              <w:top w:val="nil"/>
              <w:left w:val="single" w:sz="6" w:space="0" w:color="000000"/>
              <w:bottom w:val="nil"/>
              <w:right w:val="single" w:sz="6" w:space="0" w:color="000000"/>
            </w:tcBorders>
            <w:hideMark/>
          </w:tcPr>
          <w:p w14:paraId="2E32C1D8"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6C434113" w14:textId="77777777" w:rsidR="007D5C29" w:rsidRDefault="007D5C29" w:rsidP="007D5C29">
            <w:pPr>
              <w:pStyle w:val="TableParagraph"/>
              <w:ind w:left="107"/>
            </w:pPr>
            <w:r>
              <w:t>-12.6 (2.8)</w:t>
            </w:r>
          </w:p>
        </w:tc>
      </w:tr>
      <w:tr w:rsidR="007D5C29" w14:paraId="33F43EF3" w14:textId="77777777" w:rsidTr="007D5C29">
        <w:trPr>
          <w:trHeight w:hRule="exact" w:val="256"/>
        </w:trPr>
        <w:tc>
          <w:tcPr>
            <w:tcW w:w="2136" w:type="dxa"/>
            <w:tcBorders>
              <w:top w:val="nil"/>
              <w:left w:val="single" w:sz="4" w:space="0" w:color="000000"/>
              <w:bottom w:val="single" w:sz="6" w:space="0" w:color="000000"/>
              <w:right w:val="single" w:sz="6" w:space="0" w:color="000000"/>
            </w:tcBorders>
            <w:hideMark/>
          </w:tcPr>
          <w:p w14:paraId="6F5B2C6B" w14:textId="77777777" w:rsidR="007D5C29" w:rsidRDefault="007D5C29" w:rsidP="007D5C29">
            <w:pPr>
              <w:pStyle w:val="TableParagraph"/>
              <w:ind w:left="398"/>
            </w:pPr>
            <w:r>
              <w:t>p-value</w:t>
            </w:r>
          </w:p>
        </w:tc>
        <w:tc>
          <w:tcPr>
            <w:tcW w:w="1147" w:type="dxa"/>
            <w:tcBorders>
              <w:top w:val="nil"/>
              <w:left w:val="single" w:sz="6" w:space="0" w:color="000000"/>
              <w:bottom w:val="single" w:sz="6" w:space="0" w:color="000000"/>
              <w:right w:val="single" w:sz="6" w:space="0" w:color="000000"/>
            </w:tcBorders>
            <w:hideMark/>
          </w:tcPr>
          <w:p w14:paraId="17C40779" w14:textId="77777777" w:rsidR="007D5C29" w:rsidRDefault="007D5C29" w:rsidP="007D5C29">
            <w:pPr>
              <w:pStyle w:val="TableParagraph"/>
              <w:ind w:left="108"/>
            </w:pPr>
            <w:r>
              <w:t>--</w:t>
            </w:r>
          </w:p>
        </w:tc>
        <w:tc>
          <w:tcPr>
            <w:tcW w:w="1135" w:type="dxa"/>
            <w:tcBorders>
              <w:top w:val="nil"/>
              <w:left w:val="single" w:sz="6" w:space="0" w:color="000000"/>
              <w:bottom w:val="single" w:sz="6" w:space="0" w:color="000000"/>
              <w:right w:val="single" w:sz="6" w:space="0" w:color="000000"/>
            </w:tcBorders>
            <w:hideMark/>
          </w:tcPr>
          <w:p w14:paraId="565F7782" w14:textId="77777777" w:rsidR="007D5C29" w:rsidRDefault="007D5C29" w:rsidP="007D5C29">
            <w:pPr>
              <w:pStyle w:val="TableParagraph"/>
              <w:ind w:left="108"/>
            </w:pPr>
            <w:r>
              <w:t>0.002</w:t>
            </w:r>
          </w:p>
        </w:tc>
        <w:tc>
          <w:tcPr>
            <w:tcW w:w="1133" w:type="dxa"/>
            <w:tcBorders>
              <w:top w:val="nil"/>
              <w:left w:val="single" w:sz="6" w:space="0" w:color="000000"/>
              <w:bottom w:val="single" w:sz="6" w:space="0" w:color="000000"/>
              <w:right w:val="single" w:sz="6" w:space="0" w:color="000000"/>
            </w:tcBorders>
            <w:hideMark/>
          </w:tcPr>
          <w:p w14:paraId="2778AC2A" w14:textId="77777777" w:rsidR="007D5C29" w:rsidRDefault="007D5C29" w:rsidP="007D5C29">
            <w:pPr>
              <w:pStyle w:val="TableParagraph"/>
              <w:ind w:left="105"/>
            </w:pPr>
            <w:r>
              <w:t>--</w:t>
            </w:r>
          </w:p>
        </w:tc>
        <w:tc>
          <w:tcPr>
            <w:tcW w:w="1142" w:type="dxa"/>
            <w:tcBorders>
              <w:top w:val="nil"/>
              <w:left w:val="single" w:sz="6" w:space="0" w:color="000000"/>
              <w:bottom w:val="single" w:sz="6" w:space="0" w:color="000000"/>
              <w:right w:val="single" w:sz="6" w:space="0" w:color="000000"/>
            </w:tcBorders>
            <w:hideMark/>
          </w:tcPr>
          <w:p w14:paraId="5B719D59" w14:textId="77777777" w:rsidR="007D5C29" w:rsidRDefault="007D5C29" w:rsidP="007D5C29">
            <w:pPr>
              <w:pStyle w:val="TableParagraph"/>
              <w:ind w:left="107"/>
            </w:pPr>
            <w:r>
              <w:t>0.022</w:t>
            </w:r>
          </w:p>
        </w:tc>
        <w:tc>
          <w:tcPr>
            <w:tcW w:w="1140" w:type="dxa"/>
            <w:tcBorders>
              <w:top w:val="nil"/>
              <w:left w:val="single" w:sz="6" w:space="0" w:color="000000"/>
              <w:bottom w:val="single" w:sz="6" w:space="0" w:color="000000"/>
              <w:right w:val="single" w:sz="6" w:space="0" w:color="000000"/>
            </w:tcBorders>
            <w:hideMark/>
          </w:tcPr>
          <w:p w14:paraId="30AE5439" w14:textId="77777777" w:rsidR="007D5C29" w:rsidRDefault="007D5C29" w:rsidP="007D5C29">
            <w:pPr>
              <w:pStyle w:val="TableParagraph"/>
              <w:ind w:left="107"/>
            </w:pPr>
            <w:r>
              <w:t>--</w:t>
            </w:r>
          </w:p>
        </w:tc>
        <w:tc>
          <w:tcPr>
            <w:tcW w:w="1229" w:type="dxa"/>
            <w:tcBorders>
              <w:top w:val="nil"/>
              <w:left w:val="single" w:sz="6" w:space="0" w:color="000000"/>
              <w:bottom w:val="single" w:sz="6" w:space="0" w:color="000000"/>
              <w:right w:val="single" w:sz="4" w:space="0" w:color="000000"/>
            </w:tcBorders>
            <w:hideMark/>
          </w:tcPr>
          <w:p w14:paraId="2AE1CFF9" w14:textId="77777777" w:rsidR="007D5C29" w:rsidRDefault="007D5C29" w:rsidP="007D5C29">
            <w:pPr>
              <w:pStyle w:val="TableParagraph"/>
              <w:ind w:left="107"/>
            </w:pPr>
            <w:r>
              <w:t>&lt;0.001</w:t>
            </w:r>
          </w:p>
        </w:tc>
      </w:tr>
      <w:tr w:rsidR="007D5C29" w14:paraId="49FB4E5F" w14:textId="77777777" w:rsidTr="007D5C29">
        <w:trPr>
          <w:trHeight w:hRule="exact" w:val="265"/>
        </w:trPr>
        <w:tc>
          <w:tcPr>
            <w:tcW w:w="2136" w:type="dxa"/>
            <w:tcBorders>
              <w:top w:val="single" w:sz="6" w:space="0" w:color="000000"/>
              <w:left w:val="single" w:sz="4" w:space="0" w:color="000000"/>
              <w:bottom w:val="nil"/>
              <w:right w:val="single" w:sz="6" w:space="0" w:color="000000"/>
            </w:tcBorders>
            <w:hideMark/>
          </w:tcPr>
          <w:p w14:paraId="3C1FD2A9" w14:textId="77777777" w:rsidR="007D5C29" w:rsidRDefault="007D5C29" w:rsidP="007D5C29">
            <w:pPr>
              <w:pStyle w:val="TableParagraph"/>
              <w:ind w:left="0" w:right="511"/>
              <w:jc w:val="right"/>
            </w:pPr>
            <w:r>
              <w:t>Study D1050233</w:t>
            </w:r>
          </w:p>
        </w:tc>
        <w:tc>
          <w:tcPr>
            <w:tcW w:w="1147" w:type="dxa"/>
            <w:tcBorders>
              <w:top w:val="single" w:sz="6" w:space="0" w:color="000000"/>
              <w:left w:val="single" w:sz="6" w:space="0" w:color="000000"/>
              <w:bottom w:val="nil"/>
              <w:right w:val="single" w:sz="6" w:space="0" w:color="000000"/>
            </w:tcBorders>
            <w:hideMark/>
          </w:tcPr>
          <w:p w14:paraId="2BE163D4" w14:textId="77777777" w:rsidR="007D5C29" w:rsidRDefault="007D5C29" w:rsidP="007D5C29">
            <w:pPr>
              <w:pStyle w:val="TableParagraph"/>
              <w:ind w:left="108"/>
            </w:pPr>
            <w:r>
              <w:t>N=120</w:t>
            </w:r>
          </w:p>
        </w:tc>
        <w:tc>
          <w:tcPr>
            <w:tcW w:w="1135" w:type="dxa"/>
            <w:tcBorders>
              <w:top w:val="single" w:sz="6" w:space="0" w:color="000000"/>
              <w:left w:val="single" w:sz="6" w:space="0" w:color="000000"/>
              <w:bottom w:val="nil"/>
              <w:right w:val="single" w:sz="6" w:space="0" w:color="000000"/>
            </w:tcBorders>
            <w:hideMark/>
          </w:tcPr>
          <w:p w14:paraId="00BF8BF8" w14:textId="77777777" w:rsidR="007D5C29" w:rsidRDefault="007D5C29" w:rsidP="007D5C29">
            <w:pPr>
              <w:pStyle w:val="TableParagraph"/>
              <w:ind w:left="108"/>
            </w:pPr>
            <w:r>
              <w:t>--</w:t>
            </w:r>
          </w:p>
        </w:tc>
        <w:tc>
          <w:tcPr>
            <w:tcW w:w="1133" w:type="dxa"/>
            <w:tcBorders>
              <w:top w:val="single" w:sz="6" w:space="0" w:color="000000"/>
              <w:left w:val="single" w:sz="6" w:space="0" w:color="000000"/>
              <w:bottom w:val="nil"/>
              <w:right w:val="single" w:sz="6" w:space="0" w:color="000000"/>
            </w:tcBorders>
            <w:hideMark/>
          </w:tcPr>
          <w:p w14:paraId="4F69554D" w14:textId="77777777" w:rsidR="007D5C29" w:rsidRDefault="007D5C29" w:rsidP="007D5C29">
            <w:pPr>
              <w:pStyle w:val="TableParagraph"/>
              <w:ind w:left="105"/>
            </w:pPr>
            <w:r>
              <w:t>N=125</w:t>
            </w:r>
          </w:p>
        </w:tc>
        <w:tc>
          <w:tcPr>
            <w:tcW w:w="1142" w:type="dxa"/>
            <w:tcBorders>
              <w:top w:val="single" w:sz="6" w:space="0" w:color="000000"/>
              <w:left w:val="single" w:sz="6" w:space="0" w:color="000000"/>
              <w:bottom w:val="nil"/>
              <w:right w:val="single" w:sz="6" w:space="0" w:color="000000"/>
            </w:tcBorders>
            <w:hideMark/>
          </w:tcPr>
          <w:p w14:paraId="16FA4B42" w14:textId="77777777" w:rsidR="007D5C29" w:rsidRDefault="007D5C29" w:rsidP="007D5C29">
            <w:pPr>
              <w:pStyle w:val="TableParagraph"/>
              <w:ind w:left="107"/>
            </w:pPr>
            <w:r>
              <w:t>--</w:t>
            </w:r>
          </w:p>
        </w:tc>
        <w:tc>
          <w:tcPr>
            <w:tcW w:w="1140" w:type="dxa"/>
            <w:tcBorders>
              <w:top w:val="single" w:sz="6" w:space="0" w:color="000000"/>
              <w:left w:val="single" w:sz="6" w:space="0" w:color="000000"/>
              <w:bottom w:val="nil"/>
              <w:right w:val="single" w:sz="6" w:space="0" w:color="000000"/>
            </w:tcBorders>
            <w:hideMark/>
          </w:tcPr>
          <w:p w14:paraId="1B25F194" w14:textId="77777777" w:rsidR="007D5C29" w:rsidRDefault="007D5C29" w:rsidP="007D5C29">
            <w:pPr>
              <w:pStyle w:val="TableParagraph"/>
              <w:ind w:left="107"/>
            </w:pPr>
            <w:r>
              <w:t>N=121</w:t>
            </w:r>
          </w:p>
        </w:tc>
        <w:tc>
          <w:tcPr>
            <w:tcW w:w="1229" w:type="dxa"/>
            <w:tcBorders>
              <w:top w:val="single" w:sz="6" w:space="0" w:color="000000"/>
              <w:left w:val="single" w:sz="6" w:space="0" w:color="000000"/>
              <w:bottom w:val="nil"/>
              <w:right w:val="single" w:sz="4" w:space="0" w:color="000000"/>
            </w:tcBorders>
            <w:hideMark/>
          </w:tcPr>
          <w:p w14:paraId="19B18300" w14:textId="77777777" w:rsidR="007D5C29" w:rsidRDefault="007D5C29" w:rsidP="007D5C29">
            <w:pPr>
              <w:pStyle w:val="TableParagraph"/>
              <w:ind w:left="107"/>
            </w:pPr>
            <w:r>
              <w:t>N=116</w:t>
            </w:r>
          </w:p>
        </w:tc>
      </w:tr>
      <w:tr w:rsidR="007D5C29" w14:paraId="0B161BAA" w14:textId="77777777" w:rsidTr="007D5C29">
        <w:trPr>
          <w:trHeight w:hRule="exact" w:val="505"/>
        </w:trPr>
        <w:tc>
          <w:tcPr>
            <w:tcW w:w="2136" w:type="dxa"/>
            <w:tcBorders>
              <w:top w:val="nil"/>
              <w:left w:val="single" w:sz="4" w:space="0" w:color="000000"/>
              <w:bottom w:val="nil"/>
              <w:right w:val="single" w:sz="6" w:space="0" w:color="000000"/>
            </w:tcBorders>
            <w:hideMark/>
          </w:tcPr>
          <w:p w14:paraId="48FA7544" w14:textId="77777777" w:rsidR="007D5C29" w:rsidRDefault="007D5C29" w:rsidP="007D5C29">
            <w:pPr>
              <w:pStyle w:val="TableParagraph"/>
              <w:ind w:left="398" w:right="392"/>
            </w:pPr>
            <w:r>
              <w:t>Baseline Mean (SD)</w:t>
            </w:r>
          </w:p>
        </w:tc>
        <w:tc>
          <w:tcPr>
            <w:tcW w:w="1147" w:type="dxa"/>
            <w:tcBorders>
              <w:top w:val="nil"/>
              <w:left w:val="single" w:sz="6" w:space="0" w:color="000000"/>
              <w:bottom w:val="nil"/>
              <w:right w:val="single" w:sz="6" w:space="0" w:color="000000"/>
            </w:tcBorders>
            <w:hideMark/>
          </w:tcPr>
          <w:p w14:paraId="4B719AFA" w14:textId="77777777" w:rsidR="007D5C29" w:rsidRDefault="007D5C29" w:rsidP="007D5C29">
            <w:pPr>
              <w:pStyle w:val="TableParagraph"/>
              <w:ind w:left="108"/>
            </w:pPr>
            <w:r>
              <w:t>96.6</w:t>
            </w:r>
          </w:p>
          <w:p w14:paraId="60534A86" w14:textId="77777777" w:rsidR="007D5C29" w:rsidRDefault="007D5C29" w:rsidP="007D5C29">
            <w:pPr>
              <w:pStyle w:val="TableParagraph"/>
              <w:ind w:left="108"/>
            </w:pPr>
            <w:r>
              <w:t>(10.2)</w:t>
            </w:r>
          </w:p>
        </w:tc>
        <w:tc>
          <w:tcPr>
            <w:tcW w:w="1135" w:type="dxa"/>
            <w:tcBorders>
              <w:top w:val="nil"/>
              <w:left w:val="single" w:sz="6" w:space="0" w:color="000000"/>
              <w:bottom w:val="nil"/>
              <w:right w:val="single" w:sz="6" w:space="0" w:color="000000"/>
            </w:tcBorders>
            <w:hideMark/>
          </w:tcPr>
          <w:p w14:paraId="765EF17C" w14:textId="77777777" w:rsidR="007D5C29" w:rsidRDefault="007D5C29" w:rsidP="007D5C29">
            <w:pPr>
              <w:pStyle w:val="TableParagraph"/>
              <w:ind w:left="108"/>
            </w:pPr>
            <w:r>
              <w:t>--</w:t>
            </w:r>
          </w:p>
        </w:tc>
        <w:tc>
          <w:tcPr>
            <w:tcW w:w="1133" w:type="dxa"/>
            <w:tcBorders>
              <w:top w:val="nil"/>
              <w:left w:val="single" w:sz="6" w:space="0" w:color="000000"/>
              <w:bottom w:val="nil"/>
              <w:right w:val="single" w:sz="6" w:space="0" w:color="000000"/>
            </w:tcBorders>
            <w:hideMark/>
          </w:tcPr>
          <w:p w14:paraId="33631716" w14:textId="77777777" w:rsidR="007D5C29" w:rsidRDefault="007D5C29" w:rsidP="007D5C29">
            <w:pPr>
              <w:pStyle w:val="TableParagraph"/>
              <w:ind w:left="105"/>
            </w:pPr>
            <w:r>
              <w:t>97.7 (9.7)</w:t>
            </w:r>
          </w:p>
        </w:tc>
        <w:tc>
          <w:tcPr>
            <w:tcW w:w="1142" w:type="dxa"/>
            <w:tcBorders>
              <w:top w:val="nil"/>
              <w:left w:val="single" w:sz="6" w:space="0" w:color="000000"/>
              <w:bottom w:val="nil"/>
              <w:right w:val="single" w:sz="6" w:space="0" w:color="000000"/>
            </w:tcBorders>
            <w:hideMark/>
          </w:tcPr>
          <w:p w14:paraId="7B797657" w14:textId="77777777" w:rsidR="007D5C29" w:rsidRDefault="007D5C29" w:rsidP="007D5C29">
            <w:pPr>
              <w:pStyle w:val="TableParagraph"/>
              <w:ind w:left="107"/>
            </w:pPr>
            <w:r>
              <w:t>--</w:t>
            </w:r>
          </w:p>
        </w:tc>
        <w:tc>
          <w:tcPr>
            <w:tcW w:w="1140" w:type="dxa"/>
            <w:tcBorders>
              <w:top w:val="nil"/>
              <w:left w:val="single" w:sz="6" w:space="0" w:color="000000"/>
              <w:bottom w:val="nil"/>
              <w:right w:val="single" w:sz="6" w:space="0" w:color="000000"/>
            </w:tcBorders>
            <w:hideMark/>
          </w:tcPr>
          <w:p w14:paraId="7DBDCF27" w14:textId="77777777" w:rsidR="007D5C29" w:rsidRDefault="007D5C29" w:rsidP="007D5C29">
            <w:pPr>
              <w:pStyle w:val="TableParagraph"/>
              <w:ind w:left="107"/>
            </w:pPr>
            <w:r>
              <w:t>97.9</w:t>
            </w:r>
          </w:p>
          <w:p w14:paraId="75C10C91" w14:textId="77777777" w:rsidR="007D5C29" w:rsidRDefault="007D5C29" w:rsidP="007D5C29">
            <w:pPr>
              <w:pStyle w:val="TableParagraph"/>
              <w:ind w:left="107"/>
            </w:pPr>
            <w:r>
              <w:t>(11.8)</w:t>
            </w:r>
          </w:p>
        </w:tc>
        <w:tc>
          <w:tcPr>
            <w:tcW w:w="1229" w:type="dxa"/>
            <w:tcBorders>
              <w:top w:val="nil"/>
              <w:left w:val="single" w:sz="6" w:space="0" w:color="000000"/>
              <w:bottom w:val="nil"/>
              <w:right w:val="single" w:sz="4" w:space="0" w:color="000000"/>
            </w:tcBorders>
            <w:hideMark/>
          </w:tcPr>
          <w:p w14:paraId="0A0C0B31" w14:textId="77777777" w:rsidR="007D5C29" w:rsidRDefault="007D5C29" w:rsidP="007D5C29">
            <w:pPr>
              <w:pStyle w:val="TableParagraph"/>
              <w:ind w:left="107"/>
            </w:pPr>
            <w:r>
              <w:t>97.7 (10.2)</w:t>
            </w:r>
          </w:p>
        </w:tc>
      </w:tr>
      <w:tr w:rsidR="007D5C29" w14:paraId="7A93AD96" w14:textId="77777777" w:rsidTr="007D5C29">
        <w:trPr>
          <w:trHeight w:hRule="exact" w:val="506"/>
        </w:trPr>
        <w:tc>
          <w:tcPr>
            <w:tcW w:w="2136" w:type="dxa"/>
            <w:tcBorders>
              <w:top w:val="nil"/>
              <w:left w:val="single" w:sz="4" w:space="0" w:color="000000"/>
              <w:bottom w:val="nil"/>
              <w:right w:val="single" w:sz="6" w:space="0" w:color="000000"/>
            </w:tcBorders>
            <w:hideMark/>
          </w:tcPr>
          <w:p w14:paraId="6A2FF975" w14:textId="77777777" w:rsidR="007D5C29" w:rsidRDefault="007D5C29" w:rsidP="007D5C29">
            <w:pPr>
              <w:pStyle w:val="TableParagraph"/>
              <w:ind w:left="398" w:right="166"/>
            </w:pPr>
            <w:r>
              <w:t>LS Mean Change (SE)</w:t>
            </w:r>
          </w:p>
        </w:tc>
        <w:tc>
          <w:tcPr>
            <w:tcW w:w="1147" w:type="dxa"/>
            <w:tcBorders>
              <w:top w:val="nil"/>
              <w:left w:val="single" w:sz="6" w:space="0" w:color="000000"/>
              <w:bottom w:val="nil"/>
              <w:right w:val="single" w:sz="6" w:space="0" w:color="000000"/>
            </w:tcBorders>
            <w:hideMark/>
          </w:tcPr>
          <w:p w14:paraId="4D820041" w14:textId="77777777" w:rsidR="007D5C29" w:rsidRDefault="007D5C29" w:rsidP="007D5C29">
            <w:pPr>
              <w:pStyle w:val="TableParagraph"/>
              <w:ind w:left="108"/>
            </w:pPr>
            <w:r>
              <w:t>-10.3</w:t>
            </w:r>
          </w:p>
          <w:p w14:paraId="0F509608" w14:textId="77777777" w:rsidR="007D5C29" w:rsidRDefault="007D5C29" w:rsidP="007D5C29">
            <w:pPr>
              <w:pStyle w:val="TableParagraph"/>
              <w:ind w:left="108"/>
            </w:pPr>
            <w:r>
              <w:t>(1.8)</w:t>
            </w:r>
          </w:p>
        </w:tc>
        <w:tc>
          <w:tcPr>
            <w:tcW w:w="1135" w:type="dxa"/>
            <w:tcBorders>
              <w:top w:val="nil"/>
              <w:left w:val="single" w:sz="6" w:space="0" w:color="000000"/>
              <w:bottom w:val="nil"/>
              <w:right w:val="single" w:sz="6" w:space="0" w:color="000000"/>
            </w:tcBorders>
            <w:hideMark/>
          </w:tcPr>
          <w:p w14:paraId="21987146" w14:textId="77777777" w:rsidR="007D5C29" w:rsidRDefault="007D5C29" w:rsidP="007D5C29">
            <w:pPr>
              <w:pStyle w:val="TableParagraph"/>
              <w:ind w:left="108"/>
            </w:pPr>
            <w:r>
              <w:t>--</w:t>
            </w:r>
          </w:p>
        </w:tc>
        <w:tc>
          <w:tcPr>
            <w:tcW w:w="1133" w:type="dxa"/>
            <w:tcBorders>
              <w:top w:val="nil"/>
              <w:left w:val="single" w:sz="6" w:space="0" w:color="000000"/>
              <w:bottom w:val="nil"/>
              <w:right w:val="single" w:sz="6" w:space="0" w:color="000000"/>
            </w:tcBorders>
            <w:hideMark/>
          </w:tcPr>
          <w:p w14:paraId="703E3F07" w14:textId="77777777" w:rsidR="007D5C29" w:rsidRDefault="007D5C29" w:rsidP="007D5C29">
            <w:pPr>
              <w:pStyle w:val="TableParagraph"/>
              <w:ind w:left="105"/>
            </w:pPr>
            <w:r>
              <w:t>-22.2</w:t>
            </w:r>
          </w:p>
          <w:p w14:paraId="1F04DD04" w14:textId="77777777" w:rsidR="007D5C29" w:rsidRDefault="007D5C29" w:rsidP="007D5C29">
            <w:pPr>
              <w:pStyle w:val="TableParagraph"/>
              <w:ind w:left="105"/>
            </w:pPr>
            <w:r>
              <w:t>(1.8)</w:t>
            </w:r>
          </w:p>
        </w:tc>
        <w:tc>
          <w:tcPr>
            <w:tcW w:w="1142" w:type="dxa"/>
            <w:tcBorders>
              <w:top w:val="nil"/>
              <w:left w:val="single" w:sz="6" w:space="0" w:color="000000"/>
              <w:bottom w:val="nil"/>
              <w:right w:val="single" w:sz="6" w:space="0" w:color="000000"/>
            </w:tcBorders>
            <w:hideMark/>
          </w:tcPr>
          <w:p w14:paraId="189FA478" w14:textId="77777777" w:rsidR="007D5C29" w:rsidRDefault="007D5C29" w:rsidP="007D5C29">
            <w:pPr>
              <w:pStyle w:val="TableParagraph"/>
              <w:ind w:left="107"/>
            </w:pPr>
            <w:r>
              <w:t>--</w:t>
            </w:r>
          </w:p>
        </w:tc>
        <w:tc>
          <w:tcPr>
            <w:tcW w:w="1140" w:type="dxa"/>
            <w:tcBorders>
              <w:top w:val="nil"/>
              <w:left w:val="single" w:sz="6" w:space="0" w:color="000000"/>
              <w:bottom w:val="nil"/>
              <w:right w:val="single" w:sz="6" w:space="0" w:color="000000"/>
            </w:tcBorders>
            <w:hideMark/>
          </w:tcPr>
          <w:p w14:paraId="3F75440B" w14:textId="77777777" w:rsidR="007D5C29" w:rsidRDefault="007D5C29" w:rsidP="007D5C29">
            <w:pPr>
              <w:pStyle w:val="TableParagraph"/>
              <w:ind w:left="107"/>
            </w:pPr>
            <w:r>
              <w:t>-26.5</w:t>
            </w:r>
          </w:p>
          <w:p w14:paraId="10C03988" w14:textId="77777777" w:rsidR="007D5C29" w:rsidRDefault="007D5C29" w:rsidP="007D5C29">
            <w:pPr>
              <w:pStyle w:val="TableParagraph"/>
              <w:ind w:left="107"/>
            </w:pPr>
            <w:r>
              <w:t>(1.8)</w:t>
            </w:r>
          </w:p>
        </w:tc>
        <w:tc>
          <w:tcPr>
            <w:tcW w:w="1229" w:type="dxa"/>
            <w:tcBorders>
              <w:top w:val="nil"/>
              <w:left w:val="single" w:sz="6" w:space="0" w:color="000000"/>
              <w:bottom w:val="nil"/>
              <w:right w:val="single" w:sz="4" w:space="0" w:color="000000"/>
            </w:tcBorders>
            <w:hideMark/>
          </w:tcPr>
          <w:p w14:paraId="396BE096" w14:textId="77777777" w:rsidR="007D5C29" w:rsidRDefault="007D5C29" w:rsidP="007D5C29">
            <w:pPr>
              <w:pStyle w:val="TableParagraph"/>
              <w:ind w:left="107"/>
            </w:pPr>
            <w:r>
              <w:t>-27.8 (1.8)</w:t>
            </w:r>
          </w:p>
        </w:tc>
      </w:tr>
      <w:tr w:rsidR="007D5C29" w14:paraId="10FB1C14" w14:textId="77777777" w:rsidTr="007D5C29">
        <w:trPr>
          <w:trHeight w:hRule="exact" w:val="505"/>
        </w:trPr>
        <w:tc>
          <w:tcPr>
            <w:tcW w:w="2136" w:type="dxa"/>
            <w:tcBorders>
              <w:top w:val="nil"/>
              <w:left w:val="single" w:sz="4" w:space="0" w:color="000000"/>
              <w:bottom w:val="nil"/>
              <w:right w:val="single" w:sz="6" w:space="0" w:color="000000"/>
            </w:tcBorders>
            <w:hideMark/>
          </w:tcPr>
          <w:p w14:paraId="0E773E32" w14:textId="77777777" w:rsidR="007D5C29" w:rsidRDefault="007D5C29" w:rsidP="007D5C29">
            <w:pPr>
              <w:pStyle w:val="TableParagraph"/>
              <w:ind w:left="110" w:right="94"/>
            </w:pPr>
            <w:r>
              <w:t>Treatment Difference vs. placebo</w:t>
            </w:r>
          </w:p>
        </w:tc>
        <w:tc>
          <w:tcPr>
            <w:tcW w:w="1147" w:type="dxa"/>
            <w:tcBorders>
              <w:top w:val="nil"/>
              <w:left w:val="single" w:sz="6" w:space="0" w:color="000000"/>
              <w:bottom w:val="nil"/>
              <w:right w:val="single" w:sz="6" w:space="0" w:color="000000"/>
            </w:tcBorders>
          </w:tcPr>
          <w:p w14:paraId="0F99AA75" w14:textId="77777777" w:rsidR="007D5C29" w:rsidRDefault="007D5C29" w:rsidP="007D5C29"/>
        </w:tc>
        <w:tc>
          <w:tcPr>
            <w:tcW w:w="1135" w:type="dxa"/>
            <w:tcBorders>
              <w:top w:val="nil"/>
              <w:left w:val="single" w:sz="6" w:space="0" w:color="000000"/>
              <w:bottom w:val="nil"/>
              <w:right w:val="single" w:sz="6" w:space="0" w:color="000000"/>
            </w:tcBorders>
          </w:tcPr>
          <w:p w14:paraId="152CF704" w14:textId="77777777" w:rsidR="007D5C29" w:rsidRDefault="007D5C29" w:rsidP="007D5C29"/>
        </w:tc>
        <w:tc>
          <w:tcPr>
            <w:tcW w:w="1133" w:type="dxa"/>
            <w:tcBorders>
              <w:top w:val="nil"/>
              <w:left w:val="single" w:sz="6" w:space="0" w:color="000000"/>
              <w:bottom w:val="nil"/>
              <w:right w:val="single" w:sz="6" w:space="0" w:color="000000"/>
            </w:tcBorders>
          </w:tcPr>
          <w:p w14:paraId="790D03E1" w14:textId="77777777" w:rsidR="007D5C29" w:rsidRDefault="007D5C29" w:rsidP="007D5C29"/>
        </w:tc>
        <w:tc>
          <w:tcPr>
            <w:tcW w:w="1142" w:type="dxa"/>
            <w:tcBorders>
              <w:top w:val="nil"/>
              <w:left w:val="single" w:sz="6" w:space="0" w:color="000000"/>
              <w:bottom w:val="nil"/>
              <w:right w:val="single" w:sz="6" w:space="0" w:color="000000"/>
            </w:tcBorders>
          </w:tcPr>
          <w:p w14:paraId="035ACE1F" w14:textId="77777777" w:rsidR="007D5C29" w:rsidRDefault="007D5C29" w:rsidP="007D5C29"/>
        </w:tc>
        <w:tc>
          <w:tcPr>
            <w:tcW w:w="1140" w:type="dxa"/>
            <w:tcBorders>
              <w:top w:val="nil"/>
              <w:left w:val="single" w:sz="6" w:space="0" w:color="000000"/>
              <w:bottom w:val="nil"/>
              <w:right w:val="single" w:sz="6" w:space="0" w:color="000000"/>
            </w:tcBorders>
          </w:tcPr>
          <w:p w14:paraId="4DA226A5" w14:textId="77777777" w:rsidR="007D5C29" w:rsidRDefault="007D5C29" w:rsidP="007D5C29"/>
        </w:tc>
        <w:tc>
          <w:tcPr>
            <w:tcW w:w="1229" w:type="dxa"/>
            <w:tcBorders>
              <w:top w:val="nil"/>
              <w:left w:val="single" w:sz="6" w:space="0" w:color="000000"/>
              <w:bottom w:val="nil"/>
              <w:right w:val="single" w:sz="4" w:space="0" w:color="000000"/>
            </w:tcBorders>
          </w:tcPr>
          <w:p w14:paraId="60B1684C" w14:textId="77777777" w:rsidR="007D5C29" w:rsidRDefault="007D5C29" w:rsidP="007D5C29"/>
        </w:tc>
      </w:tr>
      <w:tr w:rsidR="007D5C29" w14:paraId="262C83CB" w14:textId="77777777" w:rsidTr="007D5C29">
        <w:trPr>
          <w:trHeight w:hRule="exact" w:val="506"/>
        </w:trPr>
        <w:tc>
          <w:tcPr>
            <w:tcW w:w="2136" w:type="dxa"/>
            <w:tcBorders>
              <w:top w:val="nil"/>
              <w:left w:val="single" w:sz="4" w:space="0" w:color="000000"/>
              <w:bottom w:val="nil"/>
              <w:right w:val="single" w:sz="6" w:space="0" w:color="000000"/>
            </w:tcBorders>
            <w:hideMark/>
          </w:tcPr>
          <w:p w14:paraId="0C70F765" w14:textId="77777777" w:rsidR="007D5C29" w:rsidRDefault="007D5C29" w:rsidP="007D5C29">
            <w:pPr>
              <w:pStyle w:val="TableParagraph"/>
              <w:ind w:left="0" w:right="493"/>
              <w:jc w:val="right"/>
            </w:pPr>
            <w:r>
              <w:t>Estimate (SE)</w:t>
            </w:r>
          </w:p>
        </w:tc>
        <w:tc>
          <w:tcPr>
            <w:tcW w:w="1147" w:type="dxa"/>
            <w:tcBorders>
              <w:top w:val="nil"/>
              <w:left w:val="single" w:sz="6" w:space="0" w:color="000000"/>
              <w:bottom w:val="nil"/>
              <w:right w:val="single" w:sz="6" w:space="0" w:color="000000"/>
            </w:tcBorders>
            <w:hideMark/>
          </w:tcPr>
          <w:p w14:paraId="64CFA625" w14:textId="77777777" w:rsidR="007D5C29" w:rsidRDefault="007D5C29" w:rsidP="007D5C29">
            <w:pPr>
              <w:pStyle w:val="TableParagraph"/>
              <w:ind w:left="108"/>
            </w:pPr>
            <w:r>
              <w:t>--</w:t>
            </w:r>
          </w:p>
        </w:tc>
        <w:tc>
          <w:tcPr>
            <w:tcW w:w="1135" w:type="dxa"/>
            <w:tcBorders>
              <w:top w:val="nil"/>
              <w:left w:val="single" w:sz="6" w:space="0" w:color="000000"/>
              <w:bottom w:val="nil"/>
              <w:right w:val="single" w:sz="6" w:space="0" w:color="000000"/>
            </w:tcBorders>
            <w:hideMark/>
          </w:tcPr>
          <w:p w14:paraId="0D25CC16" w14:textId="77777777" w:rsidR="007D5C29" w:rsidRDefault="007D5C29" w:rsidP="007D5C29">
            <w:pPr>
              <w:pStyle w:val="TableParagraph"/>
              <w:ind w:left="108"/>
            </w:pPr>
            <w:r>
              <w:t>--</w:t>
            </w:r>
          </w:p>
        </w:tc>
        <w:tc>
          <w:tcPr>
            <w:tcW w:w="1133" w:type="dxa"/>
            <w:tcBorders>
              <w:top w:val="nil"/>
              <w:left w:val="single" w:sz="6" w:space="0" w:color="000000"/>
              <w:bottom w:val="nil"/>
              <w:right w:val="single" w:sz="6" w:space="0" w:color="000000"/>
            </w:tcBorders>
            <w:hideMark/>
          </w:tcPr>
          <w:p w14:paraId="7E131805" w14:textId="77777777" w:rsidR="007D5C29" w:rsidRDefault="007D5C29" w:rsidP="007D5C29">
            <w:pPr>
              <w:pStyle w:val="TableParagraph"/>
              <w:ind w:left="105"/>
            </w:pPr>
            <w:r>
              <w:t>-11.9</w:t>
            </w:r>
          </w:p>
          <w:p w14:paraId="3D8D6237" w14:textId="77777777" w:rsidR="007D5C29" w:rsidRDefault="007D5C29" w:rsidP="007D5C29">
            <w:pPr>
              <w:pStyle w:val="TableParagraph"/>
              <w:ind w:left="105"/>
            </w:pPr>
            <w:r>
              <w:t>(2.6)</w:t>
            </w:r>
          </w:p>
        </w:tc>
        <w:tc>
          <w:tcPr>
            <w:tcW w:w="1142" w:type="dxa"/>
            <w:tcBorders>
              <w:top w:val="nil"/>
              <w:left w:val="single" w:sz="6" w:space="0" w:color="000000"/>
              <w:bottom w:val="nil"/>
              <w:right w:val="single" w:sz="6" w:space="0" w:color="000000"/>
            </w:tcBorders>
            <w:hideMark/>
          </w:tcPr>
          <w:p w14:paraId="73FDAF1F" w14:textId="77777777" w:rsidR="007D5C29" w:rsidRDefault="007D5C29" w:rsidP="007D5C29">
            <w:pPr>
              <w:pStyle w:val="TableParagraph"/>
              <w:ind w:left="107"/>
            </w:pPr>
            <w:r>
              <w:t>--</w:t>
            </w:r>
          </w:p>
        </w:tc>
        <w:tc>
          <w:tcPr>
            <w:tcW w:w="1140" w:type="dxa"/>
            <w:tcBorders>
              <w:top w:val="nil"/>
              <w:left w:val="single" w:sz="6" w:space="0" w:color="000000"/>
              <w:bottom w:val="nil"/>
              <w:right w:val="single" w:sz="6" w:space="0" w:color="000000"/>
            </w:tcBorders>
            <w:hideMark/>
          </w:tcPr>
          <w:p w14:paraId="66341B9D" w14:textId="77777777" w:rsidR="007D5C29" w:rsidRDefault="007D5C29" w:rsidP="007D5C29">
            <w:pPr>
              <w:pStyle w:val="TableParagraph"/>
              <w:ind w:left="107"/>
            </w:pPr>
            <w:r>
              <w:t>-16.2</w:t>
            </w:r>
          </w:p>
          <w:p w14:paraId="781450D7" w14:textId="77777777" w:rsidR="007D5C29" w:rsidRDefault="007D5C29" w:rsidP="007D5C29">
            <w:pPr>
              <w:pStyle w:val="TableParagraph"/>
              <w:ind w:left="107"/>
            </w:pPr>
            <w:r>
              <w:t>(2.5)</w:t>
            </w:r>
          </w:p>
        </w:tc>
        <w:tc>
          <w:tcPr>
            <w:tcW w:w="1229" w:type="dxa"/>
            <w:tcBorders>
              <w:top w:val="nil"/>
              <w:left w:val="single" w:sz="6" w:space="0" w:color="000000"/>
              <w:bottom w:val="nil"/>
              <w:right w:val="single" w:sz="4" w:space="0" w:color="000000"/>
            </w:tcBorders>
            <w:hideMark/>
          </w:tcPr>
          <w:p w14:paraId="3E6E3D25" w14:textId="77777777" w:rsidR="007D5C29" w:rsidRDefault="007D5C29" w:rsidP="007D5C29">
            <w:pPr>
              <w:pStyle w:val="TableParagraph"/>
              <w:ind w:left="107"/>
            </w:pPr>
            <w:r>
              <w:t>-17.5 (2.6)</w:t>
            </w:r>
          </w:p>
        </w:tc>
      </w:tr>
      <w:tr w:rsidR="007D5C29" w14:paraId="64575402" w14:textId="77777777" w:rsidTr="007D5C29">
        <w:trPr>
          <w:trHeight w:hRule="exact" w:val="256"/>
        </w:trPr>
        <w:tc>
          <w:tcPr>
            <w:tcW w:w="2136" w:type="dxa"/>
            <w:tcBorders>
              <w:top w:val="nil"/>
              <w:left w:val="single" w:sz="4" w:space="0" w:color="000000"/>
              <w:bottom w:val="single" w:sz="4" w:space="0" w:color="000000"/>
              <w:right w:val="single" w:sz="6" w:space="0" w:color="000000"/>
            </w:tcBorders>
            <w:hideMark/>
          </w:tcPr>
          <w:p w14:paraId="14C8C3F0" w14:textId="77777777" w:rsidR="007D5C29" w:rsidRDefault="007D5C29" w:rsidP="007D5C29">
            <w:pPr>
              <w:pStyle w:val="TableParagraph"/>
              <w:ind w:left="398"/>
            </w:pPr>
            <w:r>
              <w:t>p-value</w:t>
            </w:r>
          </w:p>
        </w:tc>
        <w:tc>
          <w:tcPr>
            <w:tcW w:w="1147" w:type="dxa"/>
            <w:tcBorders>
              <w:top w:val="nil"/>
              <w:left w:val="single" w:sz="6" w:space="0" w:color="000000"/>
              <w:bottom w:val="single" w:sz="4" w:space="0" w:color="000000"/>
              <w:right w:val="single" w:sz="6" w:space="0" w:color="000000"/>
            </w:tcBorders>
            <w:hideMark/>
          </w:tcPr>
          <w:p w14:paraId="751182B6" w14:textId="77777777" w:rsidR="007D5C29" w:rsidRDefault="007D5C29" w:rsidP="007D5C29">
            <w:pPr>
              <w:pStyle w:val="TableParagraph"/>
              <w:ind w:left="108"/>
            </w:pPr>
            <w:r>
              <w:t>--</w:t>
            </w:r>
          </w:p>
        </w:tc>
        <w:tc>
          <w:tcPr>
            <w:tcW w:w="1135" w:type="dxa"/>
            <w:tcBorders>
              <w:top w:val="nil"/>
              <w:left w:val="single" w:sz="6" w:space="0" w:color="000000"/>
              <w:bottom w:val="single" w:sz="4" w:space="0" w:color="000000"/>
              <w:right w:val="single" w:sz="6" w:space="0" w:color="000000"/>
            </w:tcBorders>
            <w:hideMark/>
          </w:tcPr>
          <w:p w14:paraId="3BD0669F" w14:textId="77777777" w:rsidR="007D5C29" w:rsidRDefault="007D5C29" w:rsidP="007D5C29">
            <w:pPr>
              <w:pStyle w:val="TableParagraph"/>
              <w:ind w:left="108"/>
            </w:pPr>
            <w:r>
              <w:t>--</w:t>
            </w:r>
          </w:p>
        </w:tc>
        <w:tc>
          <w:tcPr>
            <w:tcW w:w="1133" w:type="dxa"/>
            <w:tcBorders>
              <w:top w:val="nil"/>
              <w:left w:val="single" w:sz="6" w:space="0" w:color="000000"/>
              <w:bottom w:val="single" w:sz="4" w:space="0" w:color="000000"/>
              <w:right w:val="single" w:sz="6" w:space="0" w:color="000000"/>
            </w:tcBorders>
            <w:hideMark/>
          </w:tcPr>
          <w:p w14:paraId="44FDA7D2" w14:textId="77777777" w:rsidR="007D5C29" w:rsidRDefault="007D5C29" w:rsidP="007D5C29">
            <w:pPr>
              <w:pStyle w:val="TableParagraph"/>
              <w:ind w:left="105"/>
            </w:pPr>
            <w:r>
              <w:t>&lt;0.001</w:t>
            </w:r>
          </w:p>
        </w:tc>
        <w:tc>
          <w:tcPr>
            <w:tcW w:w="1142" w:type="dxa"/>
            <w:tcBorders>
              <w:top w:val="nil"/>
              <w:left w:val="single" w:sz="6" w:space="0" w:color="000000"/>
              <w:bottom w:val="single" w:sz="4" w:space="0" w:color="000000"/>
              <w:right w:val="single" w:sz="6" w:space="0" w:color="000000"/>
            </w:tcBorders>
            <w:hideMark/>
          </w:tcPr>
          <w:p w14:paraId="521BF6C2" w14:textId="77777777" w:rsidR="007D5C29" w:rsidRDefault="007D5C29" w:rsidP="007D5C29">
            <w:pPr>
              <w:pStyle w:val="TableParagraph"/>
              <w:ind w:left="107"/>
            </w:pPr>
            <w:r>
              <w:t>--</w:t>
            </w:r>
          </w:p>
        </w:tc>
        <w:tc>
          <w:tcPr>
            <w:tcW w:w="1140" w:type="dxa"/>
            <w:tcBorders>
              <w:top w:val="nil"/>
              <w:left w:val="single" w:sz="6" w:space="0" w:color="000000"/>
              <w:bottom w:val="single" w:sz="4" w:space="0" w:color="000000"/>
              <w:right w:val="single" w:sz="6" w:space="0" w:color="000000"/>
            </w:tcBorders>
            <w:hideMark/>
          </w:tcPr>
          <w:p w14:paraId="15D657A8" w14:textId="77777777" w:rsidR="007D5C29" w:rsidRDefault="007D5C29" w:rsidP="007D5C29">
            <w:pPr>
              <w:pStyle w:val="TableParagraph"/>
              <w:ind w:left="107"/>
            </w:pPr>
            <w:r>
              <w:t>&lt;0.001</w:t>
            </w:r>
          </w:p>
        </w:tc>
        <w:tc>
          <w:tcPr>
            <w:tcW w:w="1229" w:type="dxa"/>
            <w:tcBorders>
              <w:top w:val="nil"/>
              <w:left w:val="single" w:sz="6" w:space="0" w:color="000000"/>
              <w:bottom w:val="single" w:sz="4" w:space="0" w:color="000000"/>
              <w:right w:val="single" w:sz="4" w:space="0" w:color="000000"/>
            </w:tcBorders>
            <w:hideMark/>
          </w:tcPr>
          <w:p w14:paraId="5AED8014" w14:textId="77777777" w:rsidR="007D5C29" w:rsidRDefault="007D5C29" w:rsidP="007D5C29">
            <w:pPr>
              <w:pStyle w:val="TableParagraph"/>
              <w:ind w:left="107"/>
            </w:pPr>
            <w:r>
              <w:t>&lt;0.001</w:t>
            </w:r>
          </w:p>
        </w:tc>
      </w:tr>
    </w:tbl>
    <w:p w14:paraId="053EBB47" w14:textId="77777777" w:rsidR="007D5C29" w:rsidRDefault="007D5C29" w:rsidP="007D5C29">
      <w:pPr>
        <w:pStyle w:val="Listeafsnit"/>
        <w:numPr>
          <w:ilvl w:val="0"/>
          <w:numId w:val="7"/>
        </w:numPr>
        <w:tabs>
          <w:tab w:val="left" w:pos="364"/>
        </w:tabs>
        <w:spacing w:line="240" w:lineRule="auto"/>
        <w:ind w:firstLine="0"/>
        <w:rPr>
          <w:sz w:val="18"/>
        </w:rPr>
      </w:pPr>
      <w:r>
        <w:rPr>
          <w:sz w:val="18"/>
        </w:rPr>
        <w:t>Olanzapine 15 mg in Study D1050231, quetiapine extended-release (XR) 600 mg in Study</w:t>
      </w:r>
      <w:r>
        <w:rPr>
          <w:spacing w:val="-31"/>
          <w:sz w:val="18"/>
        </w:rPr>
        <w:t xml:space="preserve"> </w:t>
      </w:r>
      <w:r>
        <w:rPr>
          <w:sz w:val="18"/>
        </w:rPr>
        <w:t>D1050233.</w:t>
      </w:r>
    </w:p>
    <w:p w14:paraId="52A35182" w14:textId="77777777" w:rsidR="007D5C29" w:rsidRPr="007D5C29" w:rsidRDefault="007D5C29" w:rsidP="007D5C29">
      <w:pPr>
        <w:ind w:left="118"/>
        <w:rPr>
          <w:sz w:val="18"/>
          <w:lang w:val="en-US"/>
        </w:rPr>
      </w:pPr>
      <w:r w:rsidRPr="007D5C29">
        <w:rPr>
          <w:sz w:val="18"/>
          <w:lang w:val="en-US"/>
        </w:rPr>
        <w:t>N is number of subjects per model estimate.</w:t>
      </w:r>
    </w:p>
    <w:p w14:paraId="5E7AC356" w14:textId="77777777" w:rsidR="007D5C29" w:rsidRDefault="007D5C29" w:rsidP="007D5C29">
      <w:pPr>
        <w:pStyle w:val="Listeafsnit"/>
        <w:numPr>
          <w:ilvl w:val="0"/>
          <w:numId w:val="7"/>
        </w:numPr>
        <w:tabs>
          <w:tab w:val="left" w:pos="376"/>
        </w:tabs>
        <w:spacing w:line="240" w:lineRule="auto"/>
        <w:ind w:right="334" w:firstLine="0"/>
        <w:rPr>
          <w:sz w:val="18"/>
        </w:rPr>
      </w:pPr>
      <w:r>
        <w:rPr>
          <w:sz w:val="18"/>
        </w:rPr>
        <w:t>p-values for lurasidone vs. placebo were adjusted for multiple comparisons. P-values for olanzapine and quetiapine XR vs. placebo were</w:t>
      </w:r>
      <w:r>
        <w:rPr>
          <w:spacing w:val="-9"/>
          <w:sz w:val="18"/>
        </w:rPr>
        <w:t xml:space="preserve"> </w:t>
      </w:r>
      <w:r>
        <w:rPr>
          <w:sz w:val="18"/>
        </w:rPr>
        <w:t>unadjusted.</w:t>
      </w:r>
    </w:p>
    <w:p w14:paraId="26A4B5A7" w14:textId="77777777" w:rsidR="007D5C29" w:rsidRPr="007D5C29" w:rsidRDefault="007D5C29" w:rsidP="007D5C29">
      <w:pPr>
        <w:pStyle w:val="Brdtekst"/>
        <w:ind w:left="851"/>
        <w:rPr>
          <w:sz w:val="24"/>
          <w:szCs w:val="24"/>
        </w:rPr>
      </w:pPr>
    </w:p>
    <w:p w14:paraId="17D9815E" w14:textId="77777777" w:rsidR="007D5C29" w:rsidRPr="007D5C29" w:rsidRDefault="007D5C29" w:rsidP="007D5C29">
      <w:pPr>
        <w:pStyle w:val="Brdtekst"/>
        <w:ind w:left="851"/>
        <w:rPr>
          <w:sz w:val="24"/>
          <w:szCs w:val="24"/>
        </w:rPr>
      </w:pPr>
      <w:r w:rsidRPr="007D5C29">
        <w:rPr>
          <w:sz w:val="24"/>
          <w:szCs w:val="24"/>
        </w:rPr>
        <w:t>In the short-term studies there was no consistent dose-response correlation observed.</w:t>
      </w:r>
    </w:p>
    <w:p w14:paraId="0E44A162" w14:textId="77777777" w:rsidR="007D5C29" w:rsidRPr="007D5C29" w:rsidRDefault="007D5C29" w:rsidP="007D5C29">
      <w:pPr>
        <w:pStyle w:val="Brdtekst"/>
        <w:ind w:left="851"/>
        <w:rPr>
          <w:sz w:val="24"/>
          <w:szCs w:val="24"/>
        </w:rPr>
      </w:pPr>
    </w:p>
    <w:p w14:paraId="79EFE2D9" w14:textId="77777777" w:rsidR="007D5C29" w:rsidRPr="007D5C29" w:rsidRDefault="007D5C29" w:rsidP="007D5C29">
      <w:pPr>
        <w:pStyle w:val="Brdtekst"/>
        <w:ind w:left="851" w:right="149"/>
        <w:rPr>
          <w:sz w:val="24"/>
          <w:szCs w:val="24"/>
        </w:rPr>
      </w:pPr>
      <w:r w:rsidRPr="007D5C29">
        <w:rPr>
          <w:sz w:val="24"/>
          <w:szCs w:val="24"/>
        </w:rPr>
        <w:t>Long-term maintenance efficacy of lurasidone (37 to 148 mg lurasidone once daily) was demonstrated in a 12 month non-inferiority trial with quetiapine extended release (200 to 800 mg once daily).</w:t>
      </w:r>
    </w:p>
    <w:p w14:paraId="02DE8C28" w14:textId="77777777" w:rsidR="007D5C29" w:rsidRPr="007D5C29" w:rsidRDefault="007D5C29" w:rsidP="007D5C29">
      <w:pPr>
        <w:pStyle w:val="Brdtekst"/>
        <w:ind w:left="851" w:right="113"/>
        <w:rPr>
          <w:sz w:val="24"/>
          <w:szCs w:val="24"/>
        </w:rPr>
      </w:pPr>
      <w:r w:rsidRPr="007D5C29">
        <w:rPr>
          <w:sz w:val="24"/>
          <w:szCs w:val="24"/>
        </w:rPr>
        <w:t>Lurasidone was non-inferior to quetiapine extended release in time to relapse of schizophrenia. Lurasidone had a small increase from baseline to Month 12 in body weight and body mass index (Mean (SD): 0.73 (3.36) kg and 0.28 (1.17) kg/m2, respectively) compared to quetiapine extended release (1.23 (4.56) kg and 0.45 (1.63) kg/m2, respectively). Overall, lurasidone had a negligible effect on weight and other metabolic parameters including total cholesterol, triglycerides, and glucose levels.</w:t>
      </w:r>
    </w:p>
    <w:p w14:paraId="2EB38E9C" w14:textId="77777777" w:rsidR="007D5C29" w:rsidRPr="007D5C29" w:rsidRDefault="007D5C29" w:rsidP="007D5C29">
      <w:pPr>
        <w:pStyle w:val="Brdtekst"/>
        <w:ind w:left="851"/>
        <w:rPr>
          <w:sz w:val="24"/>
          <w:szCs w:val="24"/>
        </w:rPr>
      </w:pPr>
    </w:p>
    <w:p w14:paraId="3972B35E" w14:textId="77777777" w:rsidR="007D5C29" w:rsidRPr="007D5C29" w:rsidRDefault="007D5C29" w:rsidP="007D5C29">
      <w:pPr>
        <w:pStyle w:val="Brdtekst"/>
        <w:ind w:left="851" w:right="253"/>
        <w:rPr>
          <w:sz w:val="24"/>
          <w:szCs w:val="24"/>
        </w:rPr>
      </w:pPr>
      <w:r w:rsidRPr="007D5C29">
        <w:rPr>
          <w:sz w:val="24"/>
          <w:szCs w:val="24"/>
        </w:rPr>
        <w:t>In a long-term safety study clinically stable patients were treated using 37 – 111 mg lurasidone or risperidone 2 – 6 mg. In that study the rate of relapse over a 12-month period was 20% for lurasidone and 16% for risperidone. This difference neared, but did not reach, statistical significance.</w:t>
      </w:r>
    </w:p>
    <w:p w14:paraId="0057EC94" w14:textId="77777777" w:rsidR="007D5C29" w:rsidRPr="007D5C29" w:rsidRDefault="007D5C29" w:rsidP="007D5C29">
      <w:pPr>
        <w:pStyle w:val="Brdtekst"/>
        <w:ind w:left="851"/>
        <w:rPr>
          <w:sz w:val="24"/>
          <w:szCs w:val="24"/>
        </w:rPr>
      </w:pPr>
    </w:p>
    <w:p w14:paraId="481B8B8F" w14:textId="77777777" w:rsidR="007D5C29" w:rsidRPr="007D5C29" w:rsidRDefault="007D5C29" w:rsidP="007D5C29">
      <w:pPr>
        <w:pStyle w:val="Brdtekst"/>
        <w:ind w:left="851" w:right="296"/>
        <w:rPr>
          <w:sz w:val="24"/>
          <w:szCs w:val="24"/>
        </w:rPr>
      </w:pPr>
      <w:r w:rsidRPr="007D5C29">
        <w:rPr>
          <w:sz w:val="24"/>
          <w:szCs w:val="24"/>
        </w:rPr>
        <w:t>In a long-term trial designed to assess the maintenance of effect, lurasidone was more effective than placebo in maintaining symptom control and delaying relapse of schizophrenia. After having been treated for an acute episode and stabilized for a minimum of 12 weeks with lurasidone, patients were then randomised in a double-blind manner to either continue on lurasidone or on placebo until they experienced a relapse in schizophrenia symptoms. In the primary analysis of time to relapse in which patients that withdrew without relapse were censored at the time of withdrawal, patients on lurasidone showed a significantly longer time to relapse compared with patients on placebo (p=0.039). The Kaplan-Meier estimates of the probability of relapse at Week 28 were 42.2% for lurasidone and 51.2% for placebo. The probability of all-cause discontinuation at Week 28 were 58.2% for lurasidone and 69.9% for placebo (p=0.072).</w:t>
      </w:r>
    </w:p>
    <w:p w14:paraId="63C5C3B7" w14:textId="77777777" w:rsidR="007D5C29" w:rsidRPr="007D5C29" w:rsidRDefault="007D5C29" w:rsidP="007D5C29">
      <w:pPr>
        <w:pStyle w:val="Brdtekst"/>
        <w:ind w:left="851"/>
        <w:rPr>
          <w:sz w:val="24"/>
          <w:szCs w:val="24"/>
        </w:rPr>
      </w:pPr>
    </w:p>
    <w:p w14:paraId="34F238BF" w14:textId="77777777" w:rsidR="007D5C29" w:rsidRPr="007D5C29" w:rsidRDefault="007D5C29" w:rsidP="007D5C29">
      <w:pPr>
        <w:pStyle w:val="Brdtekst"/>
        <w:ind w:left="851"/>
        <w:rPr>
          <w:sz w:val="24"/>
          <w:szCs w:val="24"/>
        </w:rPr>
      </w:pPr>
      <w:r w:rsidRPr="007D5C29">
        <w:rPr>
          <w:sz w:val="24"/>
          <w:szCs w:val="24"/>
          <w:u w:val="single"/>
        </w:rPr>
        <w:t>Paediatric population</w:t>
      </w:r>
    </w:p>
    <w:p w14:paraId="4B77B521" w14:textId="77777777" w:rsidR="007D5C29" w:rsidRPr="007D5C29" w:rsidRDefault="007D5C29" w:rsidP="007D5C29">
      <w:pPr>
        <w:pStyle w:val="Brdtekst"/>
        <w:ind w:left="851"/>
        <w:rPr>
          <w:sz w:val="24"/>
          <w:szCs w:val="24"/>
        </w:rPr>
      </w:pPr>
    </w:p>
    <w:p w14:paraId="4A6C803D" w14:textId="77777777" w:rsidR="007D5C29" w:rsidRPr="00FF184C" w:rsidRDefault="007D5C29" w:rsidP="007D5C29">
      <w:pPr>
        <w:ind w:left="851"/>
        <w:rPr>
          <w:i/>
          <w:sz w:val="24"/>
          <w:szCs w:val="24"/>
          <w:lang w:val="en-US"/>
        </w:rPr>
      </w:pPr>
      <w:r w:rsidRPr="00FF184C">
        <w:rPr>
          <w:i/>
          <w:sz w:val="24"/>
          <w:szCs w:val="24"/>
          <w:lang w:val="en-US"/>
        </w:rPr>
        <w:t>Schizophrenia</w:t>
      </w:r>
    </w:p>
    <w:p w14:paraId="40FE25B2" w14:textId="77777777" w:rsidR="007D5C29" w:rsidRPr="007D5C29" w:rsidRDefault="007D5C29" w:rsidP="007D5C29">
      <w:pPr>
        <w:pStyle w:val="Brdtekst"/>
        <w:ind w:left="851" w:right="414"/>
        <w:rPr>
          <w:sz w:val="24"/>
          <w:szCs w:val="24"/>
        </w:rPr>
      </w:pPr>
      <w:r w:rsidRPr="007D5C29">
        <w:rPr>
          <w:sz w:val="24"/>
          <w:szCs w:val="24"/>
        </w:rPr>
        <w:t>The efficacy of Lurasidonhydrochlorid "Elpen", was established in a 6-week, randomized, double-blind, placebo-controlled study of adolescents (13 to 17 years) who met DSM-IV-TR criteria for schizophrenia (N=326).</w:t>
      </w:r>
    </w:p>
    <w:p w14:paraId="70F8F9AC" w14:textId="77777777" w:rsidR="007D5C29" w:rsidRPr="007D5C29" w:rsidRDefault="007D5C29" w:rsidP="007D5C29">
      <w:pPr>
        <w:pStyle w:val="Brdtekst"/>
        <w:ind w:left="851"/>
        <w:rPr>
          <w:sz w:val="24"/>
          <w:szCs w:val="24"/>
        </w:rPr>
      </w:pPr>
      <w:r w:rsidRPr="007D5C29">
        <w:rPr>
          <w:sz w:val="24"/>
          <w:szCs w:val="24"/>
        </w:rPr>
        <w:t>Patients were randomized to one of two fixed-doses of Lurasidonhydrochlorid "Elpen" (37 or 74 mg/day) or placebo.</w:t>
      </w:r>
    </w:p>
    <w:p w14:paraId="1A8F3DCA" w14:textId="77777777" w:rsidR="007D5C29" w:rsidRPr="007D5C29" w:rsidRDefault="007D5C29" w:rsidP="007D5C29">
      <w:pPr>
        <w:pStyle w:val="Brdtekst"/>
        <w:ind w:left="851"/>
        <w:rPr>
          <w:sz w:val="24"/>
          <w:szCs w:val="24"/>
        </w:rPr>
      </w:pPr>
    </w:p>
    <w:p w14:paraId="04421D11" w14:textId="77777777" w:rsidR="007D5C29" w:rsidRPr="007D5C29" w:rsidRDefault="007D5C29" w:rsidP="007D5C29">
      <w:pPr>
        <w:pStyle w:val="Brdtekst"/>
        <w:ind w:left="851" w:right="425"/>
        <w:rPr>
          <w:sz w:val="24"/>
          <w:szCs w:val="24"/>
        </w:rPr>
      </w:pPr>
      <w:r w:rsidRPr="007D5C29">
        <w:rPr>
          <w:sz w:val="24"/>
          <w:szCs w:val="24"/>
        </w:rPr>
        <w:t>The primary rating instrument used to assess psychiatric signs and symptoms was the PANSS. The key secondary instrument was the CGI-S.</w:t>
      </w:r>
    </w:p>
    <w:p w14:paraId="7761CEDE" w14:textId="77777777" w:rsidR="007D5C29" w:rsidRPr="007D5C29" w:rsidRDefault="007D5C29" w:rsidP="007D5C29">
      <w:pPr>
        <w:pStyle w:val="Brdtekst"/>
        <w:ind w:left="851"/>
        <w:rPr>
          <w:sz w:val="24"/>
          <w:szCs w:val="24"/>
        </w:rPr>
      </w:pPr>
    </w:p>
    <w:p w14:paraId="7E4A159A" w14:textId="77777777" w:rsidR="007D5C29" w:rsidRPr="007D5C29" w:rsidRDefault="007D5C29" w:rsidP="007D5C29">
      <w:pPr>
        <w:pStyle w:val="Brdtekst"/>
        <w:ind w:left="851" w:right="499"/>
        <w:rPr>
          <w:sz w:val="24"/>
          <w:szCs w:val="24"/>
        </w:rPr>
      </w:pPr>
      <w:r w:rsidRPr="007D5C29">
        <w:rPr>
          <w:sz w:val="24"/>
          <w:szCs w:val="24"/>
        </w:rPr>
        <w:t>For both dose groups, Lurasidonhydrochlorid "Elpen" was superior to placebo in reduction of PANSS and CGI-S scores at Week 6. On average, the 74 mg/day dose did not provide additional benefit compared to the 37 mg/day dose.</w:t>
      </w:r>
    </w:p>
    <w:p w14:paraId="7B2BB7FE" w14:textId="77777777" w:rsidR="007D5C29" w:rsidRPr="007D5C29" w:rsidRDefault="007D5C29" w:rsidP="007D5C29">
      <w:pPr>
        <w:pStyle w:val="Brdtekst"/>
        <w:ind w:left="851"/>
        <w:rPr>
          <w:sz w:val="24"/>
          <w:szCs w:val="24"/>
        </w:rPr>
      </w:pPr>
    </w:p>
    <w:p w14:paraId="573E7FA3" w14:textId="77777777" w:rsidR="007D5C29" w:rsidRPr="007D5C29" w:rsidRDefault="007D5C29" w:rsidP="007D5C29">
      <w:pPr>
        <w:pStyle w:val="Brdtekst"/>
        <w:ind w:left="851"/>
        <w:rPr>
          <w:sz w:val="24"/>
          <w:szCs w:val="24"/>
        </w:rPr>
      </w:pPr>
      <w:r w:rsidRPr="007D5C29">
        <w:rPr>
          <w:sz w:val="24"/>
          <w:szCs w:val="24"/>
        </w:rPr>
        <w:t>The primary efficacy results are provided in Table 4.</w:t>
      </w:r>
    </w:p>
    <w:p w14:paraId="13B36D81" w14:textId="77777777" w:rsidR="007D5C29" w:rsidRDefault="007D5C29" w:rsidP="007D5C29">
      <w:pPr>
        <w:pStyle w:val="Brdtekst"/>
      </w:pPr>
    </w:p>
    <w:p w14:paraId="657CA6CF" w14:textId="77777777" w:rsidR="007D5C29" w:rsidRDefault="007D5C29" w:rsidP="007D5C29">
      <w:pPr>
        <w:pStyle w:val="Overskrift1"/>
        <w:tabs>
          <w:tab w:val="left" w:pos="1557"/>
        </w:tabs>
        <w:ind w:left="1557" w:right="155" w:hanging="1441"/>
      </w:pPr>
      <w:r>
        <w:t>Table 4</w:t>
      </w:r>
      <w:r>
        <w:tab/>
        <w:t>Primary Efficacy Results (PANSS Total Score) - Change From Baseline</w:t>
      </w:r>
      <w:r>
        <w:rPr>
          <w:spacing w:val="-20"/>
        </w:rPr>
        <w:t xml:space="preserve"> </w:t>
      </w:r>
      <w:r>
        <w:t>to</w:t>
      </w:r>
      <w:r>
        <w:rPr>
          <w:spacing w:val="-2"/>
        </w:rPr>
        <w:t xml:space="preserve"> </w:t>
      </w:r>
      <w:r>
        <w:t>Week 6- MMRM for the Adolescent Schizophrenia Study D1050301: Intent-to-Treat Analysis</w:t>
      </w:r>
      <w:r>
        <w:rPr>
          <w:spacing w:val="-5"/>
        </w:rPr>
        <w:t xml:space="preserve"> </w:t>
      </w:r>
      <w:r>
        <w:t>Set</w:t>
      </w:r>
    </w:p>
    <w:p w14:paraId="7A182ED5" w14:textId="77777777" w:rsidR="007D5C29" w:rsidRDefault="007D5C29" w:rsidP="007D5C29">
      <w:pPr>
        <w:pStyle w:val="Brdtekst"/>
        <w:rPr>
          <w:b/>
        </w:r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0"/>
        <w:gridCol w:w="1675"/>
        <w:gridCol w:w="2184"/>
        <w:gridCol w:w="1841"/>
      </w:tblGrid>
      <w:tr w:rsidR="007D5C29" w14:paraId="1A111E80" w14:textId="77777777" w:rsidTr="007D5C29">
        <w:trPr>
          <w:trHeight w:hRule="exact" w:val="274"/>
        </w:trPr>
        <w:tc>
          <w:tcPr>
            <w:tcW w:w="3170" w:type="dxa"/>
            <w:vMerge w:val="restart"/>
            <w:tcBorders>
              <w:top w:val="single" w:sz="8" w:space="0" w:color="000000"/>
              <w:left w:val="single" w:sz="8" w:space="0" w:color="000000"/>
              <w:bottom w:val="single" w:sz="8" w:space="0" w:color="000000"/>
              <w:right w:val="single" w:sz="8" w:space="0" w:color="000000"/>
            </w:tcBorders>
            <w:hideMark/>
          </w:tcPr>
          <w:p w14:paraId="0CC9A734" w14:textId="77777777" w:rsidR="007D5C29" w:rsidRDefault="007D5C29" w:rsidP="007D5C29">
            <w:pPr>
              <w:pStyle w:val="TableParagraph"/>
              <w:ind w:left="393"/>
              <w:rPr>
                <w:b/>
              </w:rPr>
            </w:pPr>
            <w:r>
              <w:rPr>
                <w:b/>
              </w:rPr>
              <w:t>Study Statistic</w:t>
            </w:r>
          </w:p>
        </w:tc>
        <w:tc>
          <w:tcPr>
            <w:tcW w:w="1675" w:type="dxa"/>
            <w:vMerge w:val="restart"/>
            <w:tcBorders>
              <w:top w:val="single" w:sz="8" w:space="0" w:color="000000"/>
              <w:left w:val="single" w:sz="8" w:space="0" w:color="000000"/>
              <w:bottom w:val="single" w:sz="8" w:space="0" w:color="000000"/>
              <w:right w:val="single" w:sz="8" w:space="0" w:color="000000"/>
            </w:tcBorders>
            <w:hideMark/>
          </w:tcPr>
          <w:p w14:paraId="2F203941" w14:textId="77777777" w:rsidR="007D5C29" w:rsidRDefault="007D5C29" w:rsidP="007D5C29">
            <w:pPr>
              <w:pStyle w:val="TableParagraph"/>
              <w:ind w:left="105"/>
              <w:rPr>
                <w:b/>
              </w:rPr>
            </w:pPr>
            <w:r>
              <w:rPr>
                <w:b/>
              </w:rPr>
              <w:t>Placebo</w:t>
            </w:r>
          </w:p>
        </w:tc>
        <w:tc>
          <w:tcPr>
            <w:tcW w:w="4025" w:type="dxa"/>
            <w:gridSpan w:val="2"/>
            <w:tcBorders>
              <w:top w:val="single" w:sz="8" w:space="0" w:color="000000"/>
              <w:left w:val="single" w:sz="8" w:space="0" w:color="000000"/>
              <w:bottom w:val="single" w:sz="8" w:space="0" w:color="000000"/>
              <w:right w:val="single" w:sz="8" w:space="0" w:color="000000"/>
            </w:tcBorders>
            <w:hideMark/>
          </w:tcPr>
          <w:p w14:paraId="02413168" w14:textId="77777777" w:rsidR="007D5C29" w:rsidRDefault="007D5C29" w:rsidP="007D5C29">
            <w:pPr>
              <w:pStyle w:val="TableParagraph"/>
              <w:ind w:left="105"/>
              <w:rPr>
                <w:b/>
              </w:rPr>
            </w:pPr>
            <w:r>
              <w:rPr>
                <w:b/>
              </w:rPr>
              <w:t>Lurasidone dose (a)</w:t>
            </w:r>
          </w:p>
        </w:tc>
      </w:tr>
      <w:tr w:rsidR="007D5C29" w14:paraId="7ED6F60F" w14:textId="77777777" w:rsidTr="007D5C29">
        <w:trPr>
          <w:trHeight w:hRule="exact" w:val="271"/>
        </w:trPr>
        <w:tc>
          <w:tcPr>
            <w:tcW w:w="3170" w:type="dxa"/>
            <w:vMerge/>
            <w:tcBorders>
              <w:top w:val="single" w:sz="8" w:space="0" w:color="000000"/>
              <w:left w:val="single" w:sz="8" w:space="0" w:color="000000"/>
              <w:bottom w:val="single" w:sz="8" w:space="0" w:color="000000"/>
              <w:right w:val="single" w:sz="8" w:space="0" w:color="000000"/>
            </w:tcBorders>
            <w:vAlign w:val="center"/>
            <w:hideMark/>
          </w:tcPr>
          <w:p w14:paraId="1DCBE56D" w14:textId="77777777" w:rsidR="007D5C29" w:rsidRDefault="007D5C29" w:rsidP="007D5C29">
            <w:pPr>
              <w:rPr>
                <w:b/>
                <w:sz w:val="22"/>
                <w:szCs w:val="22"/>
                <w:lang w:val="en-US" w:eastAsia="en-US"/>
              </w:rPr>
            </w:pPr>
          </w:p>
        </w:tc>
        <w:tc>
          <w:tcPr>
            <w:tcW w:w="1675" w:type="dxa"/>
            <w:vMerge/>
            <w:tcBorders>
              <w:top w:val="single" w:sz="8" w:space="0" w:color="000000"/>
              <w:left w:val="single" w:sz="8" w:space="0" w:color="000000"/>
              <w:bottom w:val="single" w:sz="8" w:space="0" w:color="000000"/>
              <w:right w:val="single" w:sz="8" w:space="0" w:color="000000"/>
            </w:tcBorders>
            <w:vAlign w:val="center"/>
            <w:hideMark/>
          </w:tcPr>
          <w:p w14:paraId="322D57AC" w14:textId="77777777" w:rsidR="007D5C29" w:rsidRDefault="007D5C29" w:rsidP="007D5C29">
            <w:pPr>
              <w:rPr>
                <w:b/>
                <w:sz w:val="22"/>
                <w:szCs w:val="22"/>
                <w:lang w:val="en-US" w:eastAsia="en-US"/>
              </w:rPr>
            </w:pPr>
          </w:p>
        </w:tc>
        <w:tc>
          <w:tcPr>
            <w:tcW w:w="2184" w:type="dxa"/>
            <w:tcBorders>
              <w:top w:val="single" w:sz="8" w:space="0" w:color="000000"/>
              <w:left w:val="single" w:sz="8" w:space="0" w:color="000000"/>
              <w:bottom w:val="single" w:sz="8" w:space="0" w:color="000000"/>
              <w:right w:val="single" w:sz="8" w:space="0" w:color="000000"/>
            </w:tcBorders>
            <w:hideMark/>
          </w:tcPr>
          <w:p w14:paraId="1089297E" w14:textId="77777777" w:rsidR="007D5C29" w:rsidRDefault="007D5C29" w:rsidP="007D5C29">
            <w:pPr>
              <w:pStyle w:val="TableParagraph"/>
              <w:ind w:left="105"/>
              <w:rPr>
                <w:b/>
              </w:rPr>
            </w:pPr>
            <w:r>
              <w:rPr>
                <w:b/>
              </w:rPr>
              <w:t>37 mg</w:t>
            </w:r>
          </w:p>
        </w:tc>
        <w:tc>
          <w:tcPr>
            <w:tcW w:w="1841" w:type="dxa"/>
            <w:tcBorders>
              <w:top w:val="single" w:sz="8" w:space="0" w:color="000000"/>
              <w:left w:val="single" w:sz="8" w:space="0" w:color="000000"/>
              <w:bottom w:val="single" w:sz="8" w:space="0" w:color="000000"/>
              <w:right w:val="single" w:sz="8" w:space="0" w:color="000000"/>
            </w:tcBorders>
            <w:hideMark/>
          </w:tcPr>
          <w:p w14:paraId="79098F9A" w14:textId="77777777" w:rsidR="007D5C29" w:rsidRDefault="007D5C29" w:rsidP="007D5C29">
            <w:pPr>
              <w:pStyle w:val="TableParagraph"/>
              <w:ind w:left="105"/>
              <w:rPr>
                <w:b/>
              </w:rPr>
            </w:pPr>
            <w:r>
              <w:rPr>
                <w:b/>
              </w:rPr>
              <w:t>74 mg</w:t>
            </w:r>
          </w:p>
        </w:tc>
      </w:tr>
      <w:tr w:rsidR="007D5C29" w14:paraId="445B0C2A" w14:textId="77777777" w:rsidTr="007D5C29">
        <w:trPr>
          <w:trHeight w:hRule="exact" w:val="268"/>
        </w:trPr>
        <w:tc>
          <w:tcPr>
            <w:tcW w:w="3170" w:type="dxa"/>
            <w:tcBorders>
              <w:top w:val="single" w:sz="8" w:space="0" w:color="000000"/>
              <w:left w:val="single" w:sz="8" w:space="0" w:color="000000"/>
              <w:bottom w:val="nil"/>
              <w:right w:val="single" w:sz="8" w:space="0" w:color="000000"/>
            </w:tcBorders>
            <w:hideMark/>
          </w:tcPr>
          <w:p w14:paraId="17AAAC0A" w14:textId="77777777" w:rsidR="007D5C29" w:rsidRDefault="007D5C29" w:rsidP="007D5C29">
            <w:pPr>
              <w:pStyle w:val="TableParagraph"/>
              <w:ind w:left="105"/>
            </w:pPr>
            <w:r>
              <w:t>Study D1050301</w:t>
            </w:r>
          </w:p>
        </w:tc>
        <w:tc>
          <w:tcPr>
            <w:tcW w:w="1675" w:type="dxa"/>
            <w:tcBorders>
              <w:top w:val="single" w:sz="8" w:space="0" w:color="000000"/>
              <w:left w:val="single" w:sz="8" w:space="0" w:color="000000"/>
              <w:bottom w:val="nil"/>
              <w:right w:val="single" w:sz="8" w:space="0" w:color="000000"/>
            </w:tcBorders>
            <w:hideMark/>
          </w:tcPr>
          <w:p w14:paraId="0996C896" w14:textId="77777777" w:rsidR="007D5C29" w:rsidRDefault="007D5C29" w:rsidP="007D5C29">
            <w:pPr>
              <w:pStyle w:val="TableParagraph"/>
              <w:ind w:left="105"/>
            </w:pPr>
            <w:r>
              <w:t>N=112</w:t>
            </w:r>
          </w:p>
        </w:tc>
        <w:tc>
          <w:tcPr>
            <w:tcW w:w="2184" w:type="dxa"/>
            <w:tcBorders>
              <w:top w:val="single" w:sz="8" w:space="0" w:color="000000"/>
              <w:left w:val="single" w:sz="8" w:space="0" w:color="000000"/>
              <w:bottom w:val="nil"/>
              <w:right w:val="single" w:sz="8" w:space="0" w:color="000000"/>
            </w:tcBorders>
            <w:hideMark/>
          </w:tcPr>
          <w:p w14:paraId="7899EADF" w14:textId="77777777" w:rsidR="007D5C29" w:rsidRDefault="007D5C29" w:rsidP="007D5C29">
            <w:pPr>
              <w:pStyle w:val="TableParagraph"/>
              <w:ind w:left="105"/>
            </w:pPr>
            <w:r>
              <w:t>N=108</w:t>
            </w:r>
          </w:p>
        </w:tc>
        <w:tc>
          <w:tcPr>
            <w:tcW w:w="1841" w:type="dxa"/>
            <w:tcBorders>
              <w:top w:val="single" w:sz="8" w:space="0" w:color="000000"/>
              <w:left w:val="single" w:sz="8" w:space="0" w:color="000000"/>
              <w:bottom w:val="nil"/>
              <w:right w:val="single" w:sz="8" w:space="0" w:color="000000"/>
            </w:tcBorders>
            <w:hideMark/>
          </w:tcPr>
          <w:p w14:paraId="43D458AF" w14:textId="77777777" w:rsidR="007D5C29" w:rsidRDefault="007D5C29" w:rsidP="007D5C29">
            <w:pPr>
              <w:pStyle w:val="TableParagraph"/>
              <w:ind w:left="105"/>
            </w:pPr>
            <w:r>
              <w:t>N=106</w:t>
            </w:r>
          </w:p>
        </w:tc>
      </w:tr>
      <w:tr w:rsidR="007D5C29" w14:paraId="70586517" w14:textId="77777777" w:rsidTr="007D5C29">
        <w:trPr>
          <w:trHeight w:hRule="exact" w:val="253"/>
        </w:trPr>
        <w:tc>
          <w:tcPr>
            <w:tcW w:w="3170" w:type="dxa"/>
            <w:tcBorders>
              <w:top w:val="nil"/>
              <w:left w:val="single" w:sz="8" w:space="0" w:color="000000"/>
              <w:bottom w:val="nil"/>
              <w:right w:val="single" w:sz="8" w:space="0" w:color="000000"/>
            </w:tcBorders>
            <w:hideMark/>
          </w:tcPr>
          <w:p w14:paraId="73EE71E2" w14:textId="77777777" w:rsidR="007D5C29" w:rsidRDefault="007D5C29" w:rsidP="007D5C29">
            <w:pPr>
              <w:pStyle w:val="TableParagraph"/>
              <w:ind w:left="393"/>
            </w:pPr>
            <w:r>
              <w:t>Baseline Mean (SD)</w:t>
            </w:r>
          </w:p>
        </w:tc>
        <w:tc>
          <w:tcPr>
            <w:tcW w:w="1675" w:type="dxa"/>
            <w:tcBorders>
              <w:top w:val="nil"/>
              <w:left w:val="single" w:sz="8" w:space="0" w:color="000000"/>
              <w:bottom w:val="nil"/>
              <w:right w:val="single" w:sz="8" w:space="0" w:color="000000"/>
            </w:tcBorders>
            <w:hideMark/>
          </w:tcPr>
          <w:p w14:paraId="1D93E802" w14:textId="77777777" w:rsidR="007D5C29" w:rsidRDefault="007D5C29" w:rsidP="007D5C29">
            <w:pPr>
              <w:pStyle w:val="TableParagraph"/>
              <w:ind w:left="105"/>
            </w:pPr>
            <w:r>
              <w:t>92.8 (11.08)</w:t>
            </w:r>
          </w:p>
        </w:tc>
        <w:tc>
          <w:tcPr>
            <w:tcW w:w="2184" w:type="dxa"/>
            <w:tcBorders>
              <w:top w:val="nil"/>
              <w:left w:val="single" w:sz="8" w:space="0" w:color="000000"/>
              <w:bottom w:val="nil"/>
              <w:right w:val="single" w:sz="8" w:space="0" w:color="000000"/>
            </w:tcBorders>
            <w:hideMark/>
          </w:tcPr>
          <w:p w14:paraId="4E3866C6" w14:textId="77777777" w:rsidR="007D5C29" w:rsidRDefault="007D5C29" w:rsidP="007D5C29">
            <w:pPr>
              <w:pStyle w:val="TableParagraph"/>
              <w:ind w:left="105"/>
            </w:pPr>
            <w:r>
              <w:t>94.5 (10.97)</w:t>
            </w:r>
          </w:p>
        </w:tc>
        <w:tc>
          <w:tcPr>
            <w:tcW w:w="1841" w:type="dxa"/>
            <w:tcBorders>
              <w:top w:val="nil"/>
              <w:left w:val="single" w:sz="8" w:space="0" w:color="000000"/>
              <w:bottom w:val="nil"/>
              <w:right w:val="single" w:sz="8" w:space="0" w:color="000000"/>
            </w:tcBorders>
            <w:hideMark/>
          </w:tcPr>
          <w:p w14:paraId="64CB8FCC" w14:textId="77777777" w:rsidR="007D5C29" w:rsidRDefault="007D5C29" w:rsidP="007D5C29">
            <w:pPr>
              <w:pStyle w:val="TableParagraph"/>
              <w:ind w:left="105"/>
            </w:pPr>
            <w:r>
              <w:t>94.0 (11.12)</w:t>
            </w:r>
          </w:p>
        </w:tc>
      </w:tr>
      <w:tr w:rsidR="007D5C29" w14:paraId="31D1BE4C" w14:textId="77777777" w:rsidTr="007D5C29">
        <w:trPr>
          <w:trHeight w:hRule="exact" w:val="253"/>
        </w:trPr>
        <w:tc>
          <w:tcPr>
            <w:tcW w:w="3170" w:type="dxa"/>
            <w:tcBorders>
              <w:top w:val="nil"/>
              <w:left w:val="single" w:sz="8" w:space="0" w:color="000000"/>
              <w:bottom w:val="nil"/>
              <w:right w:val="single" w:sz="8" w:space="0" w:color="000000"/>
            </w:tcBorders>
            <w:hideMark/>
          </w:tcPr>
          <w:p w14:paraId="0A2B1759" w14:textId="77777777" w:rsidR="007D5C29" w:rsidRDefault="007D5C29" w:rsidP="007D5C29">
            <w:pPr>
              <w:pStyle w:val="TableParagraph"/>
              <w:ind w:left="393"/>
            </w:pPr>
            <w:r>
              <w:t>LS Mean Change (SE)</w:t>
            </w:r>
          </w:p>
        </w:tc>
        <w:tc>
          <w:tcPr>
            <w:tcW w:w="1675" w:type="dxa"/>
            <w:tcBorders>
              <w:top w:val="nil"/>
              <w:left w:val="single" w:sz="8" w:space="0" w:color="000000"/>
              <w:bottom w:val="nil"/>
              <w:right w:val="single" w:sz="8" w:space="0" w:color="000000"/>
            </w:tcBorders>
            <w:hideMark/>
          </w:tcPr>
          <w:p w14:paraId="322B6BB4" w14:textId="77777777" w:rsidR="007D5C29" w:rsidRDefault="007D5C29" w:rsidP="007D5C29">
            <w:pPr>
              <w:pStyle w:val="TableParagraph"/>
              <w:ind w:left="105"/>
            </w:pPr>
            <w:r>
              <w:t>-10.5 (1.59)</w:t>
            </w:r>
          </w:p>
        </w:tc>
        <w:tc>
          <w:tcPr>
            <w:tcW w:w="2184" w:type="dxa"/>
            <w:tcBorders>
              <w:top w:val="nil"/>
              <w:left w:val="single" w:sz="8" w:space="0" w:color="000000"/>
              <w:bottom w:val="nil"/>
              <w:right w:val="single" w:sz="8" w:space="0" w:color="000000"/>
            </w:tcBorders>
            <w:hideMark/>
          </w:tcPr>
          <w:p w14:paraId="46CF9EF9" w14:textId="77777777" w:rsidR="007D5C29" w:rsidRDefault="007D5C29" w:rsidP="007D5C29">
            <w:pPr>
              <w:pStyle w:val="TableParagraph"/>
              <w:ind w:left="105"/>
            </w:pPr>
            <w:r>
              <w:t>-18.6 (1.59)</w:t>
            </w:r>
          </w:p>
        </w:tc>
        <w:tc>
          <w:tcPr>
            <w:tcW w:w="1841" w:type="dxa"/>
            <w:tcBorders>
              <w:top w:val="nil"/>
              <w:left w:val="single" w:sz="8" w:space="0" w:color="000000"/>
              <w:bottom w:val="nil"/>
              <w:right w:val="single" w:sz="8" w:space="0" w:color="000000"/>
            </w:tcBorders>
            <w:hideMark/>
          </w:tcPr>
          <w:p w14:paraId="26129458" w14:textId="77777777" w:rsidR="007D5C29" w:rsidRDefault="007D5C29" w:rsidP="007D5C29">
            <w:pPr>
              <w:pStyle w:val="TableParagraph"/>
              <w:ind w:left="105"/>
            </w:pPr>
            <w:r>
              <w:t>-18.3 (1.60)</w:t>
            </w:r>
          </w:p>
        </w:tc>
      </w:tr>
      <w:tr w:rsidR="007D5C29" w14:paraId="76BD6801" w14:textId="77777777" w:rsidTr="007D5C29">
        <w:trPr>
          <w:trHeight w:hRule="exact" w:val="505"/>
        </w:trPr>
        <w:tc>
          <w:tcPr>
            <w:tcW w:w="3170" w:type="dxa"/>
            <w:tcBorders>
              <w:top w:val="nil"/>
              <w:left w:val="single" w:sz="8" w:space="0" w:color="000000"/>
              <w:bottom w:val="nil"/>
              <w:right w:val="single" w:sz="8" w:space="0" w:color="000000"/>
            </w:tcBorders>
            <w:hideMark/>
          </w:tcPr>
          <w:p w14:paraId="567E4AA4" w14:textId="77777777" w:rsidR="007D5C29" w:rsidRDefault="007D5C29" w:rsidP="007D5C29">
            <w:pPr>
              <w:pStyle w:val="TableParagraph"/>
              <w:ind w:left="105" w:right="821"/>
            </w:pPr>
            <w:r>
              <w:t>Treatment Difference vs. placebo</w:t>
            </w:r>
          </w:p>
        </w:tc>
        <w:tc>
          <w:tcPr>
            <w:tcW w:w="1675" w:type="dxa"/>
            <w:tcBorders>
              <w:top w:val="nil"/>
              <w:left w:val="single" w:sz="8" w:space="0" w:color="000000"/>
              <w:bottom w:val="nil"/>
              <w:right w:val="single" w:sz="8" w:space="0" w:color="000000"/>
            </w:tcBorders>
          </w:tcPr>
          <w:p w14:paraId="46025809" w14:textId="77777777" w:rsidR="007D5C29" w:rsidRDefault="007D5C29" w:rsidP="007D5C29"/>
        </w:tc>
        <w:tc>
          <w:tcPr>
            <w:tcW w:w="2184" w:type="dxa"/>
            <w:tcBorders>
              <w:top w:val="nil"/>
              <w:left w:val="single" w:sz="8" w:space="0" w:color="000000"/>
              <w:bottom w:val="nil"/>
              <w:right w:val="single" w:sz="8" w:space="0" w:color="000000"/>
            </w:tcBorders>
          </w:tcPr>
          <w:p w14:paraId="62F81EAB" w14:textId="77777777" w:rsidR="007D5C29" w:rsidRDefault="007D5C29" w:rsidP="007D5C29"/>
        </w:tc>
        <w:tc>
          <w:tcPr>
            <w:tcW w:w="1841" w:type="dxa"/>
            <w:tcBorders>
              <w:top w:val="nil"/>
              <w:left w:val="single" w:sz="8" w:space="0" w:color="000000"/>
              <w:bottom w:val="nil"/>
              <w:right w:val="single" w:sz="8" w:space="0" w:color="000000"/>
            </w:tcBorders>
          </w:tcPr>
          <w:p w14:paraId="63BD784F" w14:textId="77777777" w:rsidR="007D5C29" w:rsidRDefault="007D5C29" w:rsidP="007D5C29"/>
        </w:tc>
      </w:tr>
      <w:tr w:rsidR="007D5C29" w14:paraId="7207D9DF" w14:textId="77777777" w:rsidTr="007D5C29">
        <w:trPr>
          <w:trHeight w:hRule="exact" w:val="253"/>
        </w:trPr>
        <w:tc>
          <w:tcPr>
            <w:tcW w:w="3170" w:type="dxa"/>
            <w:tcBorders>
              <w:top w:val="nil"/>
              <w:left w:val="single" w:sz="8" w:space="0" w:color="000000"/>
              <w:bottom w:val="nil"/>
              <w:right w:val="single" w:sz="8" w:space="0" w:color="000000"/>
            </w:tcBorders>
            <w:hideMark/>
          </w:tcPr>
          <w:p w14:paraId="5B4BF17D" w14:textId="77777777" w:rsidR="007D5C29" w:rsidRDefault="007D5C29" w:rsidP="007D5C29">
            <w:pPr>
              <w:pStyle w:val="TableParagraph"/>
              <w:ind w:left="393"/>
            </w:pPr>
            <w:r>
              <w:t>Estimate (SE)</w:t>
            </w:r>
          </w:p>
        </w:tc>
        <w:tc>
          <w:tcPr>
            <w:tcW w:w="1675" w:type="dxa"/>
            <w:tcBorders>
              <w:top w:val="nil"/>
              <w:left w:val="single" w:sz="8" w:space="0" w:color="000000"/>
              <w:bottom w:val="nil"/>
              <w:right w:val="single" w:sz="8" w:space="0" w:color="000000"/>
            </w:tcBorders>
            <w:hideMark/>
          </w:tcPr>
          <w:p w14:paraId="0B7C1D75" w14:textId="77777777" w:rsidR="007D5C29" w:rsidRDefault="007D5C29" w:rsidP="007D5C29">
            <w:pPr>
              <w:pStyle w:val="TableParagraph"/>
              <w:ind w:left="105"/>
            </w:pPr>
            <w:r>
              <w:t>--</w:t>
            </w:r>
          </w:p>
        </w:tc>
        <w:tc>
          <w:tcPr>
            <w:tcW w:w="2184" w:type="dxa"/>
            <w:tcBorders>
              <w:top w:val="nil"/>
              <w:left w:val="single" w:sz="8" w:space="0" w:color="000000"/>
              <w:bottom w:val="nil"/>
              <w:right w:val="single" w:sz="8" w:space="0" w:color="000000"/>
            </w:tcBorders>
            <w:hideMark/>
          </w:tcPr>
          <w:p w14:paraId="3382CB33" w14:textId="77777777" w:rsidR="007D5C29" w:rsidRDefault="007D5C29" w:rsidP="007D5C29">
            <w:pPr>
              <w:pStyle w:val="TableParagraph"/>
              <w:ind w:left="105"/>
            </w:pPr>
            <w:r>
              <w:t>-8.0 (2.21)</w:t>
            </w:r>
          </w:p>
        </w:tc>
        <w:tc>
          <w:tcPr>
            <w:tcW w:w="1841" w:type="dxa"/>
            <w:tcBorders>
              <w:top w:val="nil"/>
              <w:left w:val="single" w:sz="8" w:space="0" w:color="000000"/>
              <w:bottom w:val="nil"/>
              <w:right w:val="single" w:sz="8" w:space="0" w:color="000000"/>
            </w:tcBorders>
            <w:hideMark/>
          </w:tcPr>
          <w:p w14:paraId="3BBA381F" w14:textId="77777777" w:rsidR="007D5C29" w:rsidRDefault="007D5C29" w:rsidP="007D5C29">
            <w:pPr>
              <w:pStyle w:val="TableParagraph"/>
              <w:ind w:left="105"/>
            </w:pPr>
            <w:r>
              <w:t>-7.7 (2.22)</w:t>
            </w:r>
          </w:p>
        </w:tc>
      </w:tr>
      <w:tr w:rsidR="007D5C29" w14:paraId="78552BD0" w14:textId="77777777" w:rsidTr="007D5C29">
        <w:trPr>
          <w:trHeight w:hRule="exact" w:val="256"/>
        </w:trPr>
        <w:tc>
          <w:tcPr>
            <w:tcW w:w="3170" w:type="dxa"/>
            <w:tcBorders>
              <w:top w:val="nil"/>
              <w:left w:val="single" w:sz="8" w:space="0" w:color="000000"/>
              <w:bottom w:val="single" w:sz="4" w:space="0" w:color="000000"/>
              <w:right w:val="single" w:sz="8" w:space="0" w:color="000000"/>
            </w:tcBorders>
            <w:hideMark/>
          </w:tcPr>
          <w:p w14:paraId="323E2D55" w14:textId="77777777" w:rsidR="007D5C29" w:rsidRDefault="007D5C29" w:rsidP="007D5C29">
            <w:pPr>
              <w:pStyle w:val="TableParagraph"/>
              <w:ind w:left="393"/>
            </w:pPr>
            <w:r>
              <w:t>p-value</w:t>
            </w:r>
          </w:p>
        </w:tc>
        <w:tc>
          <w:tcPr>
            <w:tcW w:w="1675" w:type="dxa"/>
            <w:tcBorders>
              <w:top w:val="nil"/>
              <w:left w:val="single" w:sz="8" w:space="0" w:color="000000"/>
              <w:bottom w:val="single" w:sz="4" w:space="0" w:color="000000"/>
              <w:right w:val="single" w:sz="8" w:space="0" w:color="000000"/>
            </w:tcBorders>
            <w:hideMark/>
          </w:tcPr>
          <w:p w14:paraId="165DF052" w14:textId="77777777" w:rsidR="007D5C29" w:rsidRDefault="007D5C29" w:rsidP="007D5C29">
            <w:pPr>
              <w:pStyle w:val="TableParagraph"/>
              <w:ind w:left="105"/>
            </w:pPr>
            <w:r>
              <w:t>--</w:t>
            </w:r>
          </w:p>
        </w:tc>
        <w:tc>
          <w:tcPr>
            <w:tcW w:w="2184" w:type="dxa"/>
            <w:tcBorders>
              <w:top w:val="nil"/>
              <w:left w:val="single" w:sz="8" w:space="0" w:color="000000"/>
              <w:bottom w:val="single" w:sz="4" w:space="0" w:color="000000"/>
              <w:right w:val="single" w:sz="8" w:space="0" w:color="000000"/>
            </w:tcBorders>
            <w:hideMark/>
          </w:tcPr>
          <w:p w14:paraId="2CD9367C" w14:textId="77777777" w:rsidR="007D5C29" w:rsidRDefault="007D5C29" w:rsidP="007D5C29">
            <w:pPr>
              <w:pStyle w:val="TableParagraph"/>
              <w:ind w:left="105"/>
            </w:pPr>
            <w:r>
              <w:t>0.0006</w:t>
            </w:r>
          </w:p>
        </w:tc>
        <w:tc>
          <w:tcPr>
            <w:tcW w:w="1841" w:type="dxa"/>
            <w:tcBorders>
              <w:top w:val="nil"/>
              <w:left w:val="single" w:sz="8" w:space="0" w:color="000000"/>
              <w:bottom w:val="single" w:sz="4" w:space="0" w:color="000000"/>
              <w:right w:val="single" w:sz="8" w:space="0" w:color="000000"/>
            </w:tcBorders>
            <w:hideMark/>
          </w:tcPr>
          <w:p w14:paraId="240BEB78" w14:textId="77777777" w:rsidR="007D5C29" w:rsidRDefault="007D5C29" w:rsidP="007D5C29">
            <w:pPr>
              <w:pStyle w:val="TableParagraph"/>
              <w:ind w:left="105"/>
            </w:pPr>
            <w:r>
              <w:t>0.0008</w:t>
            </w:r>
          </w:p>
        </w:tc>
      </w:tr>
    </w:tbl>
    <w:p w14:paraId="767EC6DE" w14:textId="77777777" w:rsidR="007D5C29" w:rsidRDefault="007D5C29" w:rsidP="007D5C29">
      <w:pPr>
        <w:ind w:left="118"/>
        <w:rPr>
          <w:sz w:val="18"/>
          <w:szCs w:val="22"/>
          <w:lang w:val="en-US" w:eastAsia="en-US"/>
        </w:rPr>
      </w:pPr>
      <w:r w:rsidRPr="007D5C29">
        <w:rPr>
          <w:sz w:val="18"/>
          <w:lang w:val="en-US"/>
        </w:rPr>
        <w:t>N is number of subjects per model estimate.</w:t>
      </w:r>
    </w:p>
    <w:p w14:paraId="78A019AC" w14:textId="77777777" w:rsidR="007D5C29" w:rsidRPr="007D5C29" w:rsidRDefault="007D5C29" w:rsidP="007D5C29">
      <w:pPr>
        <w:ind w:left="118"/>
        <w:rPr>
          <w:sz w:val="18"/>
          <w:lang w:val="en-US"/>
        </w:rPr>
      </w:pPr>
      <w:r w:rsidRPr="007D5C29">
        <w:rPr>
          <w:sz w:val="18"/>
          <w:lang w:val="en-US"/>
        </w:rPr>
        <w:t>(a) p-values for lurasidone vs. placebo were adjusted for multiple comparisons.</w:t>
      </w:r>
    </w:p>
    <w:p w14:paraId="3105D266" w14:textId="77777777" w:rsidR="007D5C29" w:rsidRPr="007D5C29" w:rsidRDefault="007D5C29" w:rsidP="007D5C29">
      <w:pPr>
        <w:pStyle w:val="Brdtekst"/>
        <w:ind w:left="851"/>
        <w:rPr>
          <w:sz w:val="24"/>
          <w:szCs w:val="24"/>
        </w:rPr>
      </w:pPr>
    </w:p>
    <w:p w14:paraId="476550B8" w14:textId="77777777" w:rsidR="007D5C29" w:rsidRPr="007D5C29" w:rsidRDefault="007D5C29" w:rsidP="007D5C29">
      <w:pPr>
        <w:pStyle w:val="Brdtekst"/>
        <w:ind w:left="851" w:right="316"/>
        <w:rPr>
          <w:sz w:val="24"/>
          <w:szCs w:val="24"/>
        </w:rPr>
      </w:pPr>
      <w:r w:rsidRPr="007D5C29">
        <w:rPr>
          <w:sz w:val="24"/>
          <w:szCs w:val="24"/>
        </w:rPr>
        <w:t>The improvements in the CGI-S scores at Week 6 were significantly different from placebo for both the lurasidone 74 mg/day (-0.42 ± 0.130, adjusted p = 0.0015) and lurasidone 37 mg/day (-0.47 ± 0.130, adjusted p = 0.0008) treatment groups.</w:t>
      </w:r>
    </w:p>
    <w:p w14:paraId="14D68F7E" w14:textId="77777777" w:rsidR="007D5C29" w:rsidRPr="007D5C29" w:rsidRDefault="007D5C29" w:rsidP="007D5C29">
      <w:pPr>
        <w:pStyle w:val="Brdtekst"/>
        <w:ind w:left="851"/>
        <w:rPr>
          <w:sz w:val="24"/>
          <w:szCs w:val="24"/>
        </w:rPr>
      </w:pPr>
    </w:p>
    <w:p w14:paraId="064B96CA" w14:textId="77777777" w:rsidR="007D5C29" w:rsidRPr="007D5C29" w:rsidRDefault="007D5C29" w:rsidP="007D5C29">
      <w:pPr>
        <w:pStyle w:val="Brdtekst"/>
        <w:ind w:left="851" w:right="175"/>
        <w:rPr>
          <w:sz w:val="24"/>
          <w:szCs w:val="24"/>
        </w:rPr>
      </w:pPr>
      <w:r w:rsidRPr="007D5C29">
        <w:rPr>
          <w:sz w:val="24"/>
          <w:szCs w:val="24"/>
        </w:rPr>
        <w:t>A 104-week extension study (Study D1050302) was designed to evaluate the long-term safety, tolerability, and effectiveness of flexibly dosed lurasidone (18.5, 37, 55.5, or 74 mg/day) in paediatric subjects who completed a 6-week treatment period in three preceding studies of various indications. Only results for 271 subjects with schizophrenia who enrolled from Study D1050301 are hereinafter presented. Of these, 186 subjects (68.6%) completed through 52 weeks and 156 (57.6%) subjects completed 104 weeks of flexible dosing with lurasidone 18.5 to 74 mg/day.</w:t>
      </w:r>
    </w:p>
    <w:p w14:paraId="1CE477D6" w14:textId="77777777" w:rsidR="007D5C29" w:rsidRPr="007D5C29" w:rsidRDefault="007D5C29" w:rsidP="007D5C29">
      <w:pPr>
        <w:pStyle w:val="Brdtekst"/>
        <w:ind w:left="851"/>
        <w:rPr>
          <w:sz w:val="24"/>
          <w:szCs w:val="24"/>
        </w:rPr>
      </w:pPr>
    </w:p>
    <w:p w14:paraId="55B38088" w14:textId="0E6C20F7" w:rsidR="007D5C29" w:rsidRPr="007D5C29" w:rsidRDefault="007D5C29" w:rsidP="007D5C29">
      <w:pPr>
        <w:pStyle w:val="Brdtekst"/>
        <w:ind w:left="851"/>
        <w:rPr>
          <w:sz w:val="24"/>
          <w:szCs w:val="24"/>
        </w:rPr>
      </w:pPr>
      <w:r w:rsidRPr="007D5C29">
        <w:rPr>
          <w:sz w:val="24"/>
          <w:szCs w:val="24"/>
        </w:rPr>
        <w:t>For subjects who continued from D1050301, the mean (95% CI) in PANSS total score from DB</w:t>
      </w:r>
      <w:r>
        <w:rPr>
          <w:sz w:val="24"/>
          <w:szCs w:val="24"/>
        </w:rPr>
        <w:t xml:space="preserve"> </w:t>
      </w:r>
      <w:r w:rsidRPr="007D5C29">
        <w:rPr>
          <w:sz w:val="24"/>
          <w:szCs w:val="24"/>
        </w:rPr>
        <w:t>Baseline was -26.5 (-28.5, -24.5) at Week 28 LOCF, -28.2 (-30.2, -26.2) at Week 52 LOCF, and -29.5</w:t>
      </w:r>
      <w:r>
        <w:rPr>
          <w:sz w:val="24"/>
          <w:szCs w:val="24"/>
        </w:rPr>
        <w:t xml:space="preserve"> </w:t>
      </w:r>
      <w:r w:rsidRPr="007D5C29">
        <w:rPr>
          <w:sz w:val="24"/>
          <w:szCs w:val="24"/>
        </w:rPr>
        <w:t>(-31.8, -27.3) at Week 104 LOCF/post-OL Endpoint, and mean change (95% CI) from OL Baseline was -9.2 (-11.1, -7.2) at Week 28 LOCF, -10.8 (-13.0, -8.7) at Week 52 LOCF, and -12.2 (-14.5, -9.8) at Week 104 LOCF/post-OL Endpoint.</w:t>
      </w:r>
    </w:p>
    <w:p w14:paraId="6256CC1A" w14:textId="77777777" w:rsidR="007D5C29" w:rsidRPr="007D5C29" w:rsidRDefault="007D5C29" w:rsidP="007D5C29">
      <w:pPr>
        <w:ind w:left="851"/>
        <w:rPr>
          <w:i/>
          <w:sz w:val="24"/>
          <w:szCs w:val="24"/>
          <w:lang w:val="en-US"/>
        </w:rPr>
      </w:pPr>
    </w:p>
    <w:p w14:paraId="36E0F476" w14:textId="77777777" w:rsidR="007D5C29" w:rsidRPr="007D5C29" w:rsidRDefault="007D5C29" w:rsidP="007D5C29">
      <w:pPr>
        <w:ind w:left="851"/>
        <w:rPr>
          <w:i/>
          <w:sz w:val="24"/>
          <w:szCs w:val="24"/>
          <w:lang w:val="en-US"/>
        </w:rPr>
      </w:pPr>
      <w:r w:rsidRPr="007D5C29">
        <w:rPr>
          <w:i/>
          <w:sz w:val="24"/>
          <w:szCs w:val="24"/>
          <w:lang w:val="en-US"/>
        </w:rPr>
        <w:t>Bipolar Depression</w:t>
      </w:r>
    </w:p>
    <w:p w14:paraId="33279974" w14:textId="77777777" w:rsidR="007D5C29" w:rsidRPr="007D5C29" w:rsidRDefault="007D5C29" w:rsidP="007D5C29">
      <w:pPr>
        <w:pStyle w:val="Brdtekst"/>
        <w:ind w:left="851" w:right="99"/>
        <w:rPr>
          <w:sz w:val="24"/>
          <w:szCs w:val="24"/>
        </w:rPr>
      </w:pPr>
      <w:r w:rsidRPr="007D5C29">
        <w:rPr>
          <w:sz w:val="24"/>
          <w:szCs w:val="24"/>
        </w:rPr>
        <w:t>The short-term efficacy of lurasidone was studied in a 6-week multicentre, randomized, double-blind, placebo-controlled, study of children and adolescent patients (10-17 years of age) who met Diagnostic and Statistical Manual of Mental Disorders, Fifth Edition (DSM-V) criteria for a major depressive episode associated with bipolar I disorder, with or without rapid cycling, and without psychotic features (N=350). Patients were randomized to flexibly dosed lurasidone 18-74 mg once daily or placebo.</w:t>
      </w:r>
    </w:p>
    <w:p w14:paraId="1136D03C" w14:textId="77777777" w:rsidR="007D5C29" w:rsidRPr="007D5C29" w:rsidRDefault="007D5C29" w:rsidP="007D5C29">
      <w:pPr>
        <w:pStyle w:val="Brdtekst"/>
        <w:ind w:left="851"/>
        <w:rPr>
          <w:sz w:val="24"/>
          <w:szCs w:val="24"/>
        </w:rPr>
      </w:pPr>
    </w:p>
    <w:p w14:paraId="7EDF4025" w14:textId="77777777" w:rsidR="007D5C29" w:rsidRPr="007D5C29" w:rsidRDefault="007D5C29" w:rsidP="007D5C29">
      <w:pPr>
        <w:pStyle w:val="Brdtekst"/>
        <w:ind w:left="851" w:right="109"/>
        <w:rPr>
          <w:sz w:val="24"/>
          <w:szCs w:val="24"/>
        </w:rPr>
      </w:pPr>
      <w:r w:rsidRPr="007D5C29">
        <w:rPr>
          <w:sz w:val="24"/>
          <w:szCs w:val="24"/>
        </w:rPr>
        <w:t>The primary efficacy endpoint was defined as the mean change from baseline to Week 6 in Children's Depression Rating Scale, Revised (CDRS-R) Total Score. The key secondary endpoint was Clinical Global Impression – Bipolar Version, Severity of Illness (CGI-BP-S) Depression Score. Statistically significant differences favouring lurasidone over placebo were shown for these endpoints for the total population studied, beginning at Week 2 and were maintained at each study visit through to the end of the study. However, the primary and key secondary efficacy endpoints were not met in younger patients (below 15 years of age). Placebo-adjusted LS mean change (95% CI) from Baseline to Week 6 LOCF in CDRS-R total score for the lurasidone group was -1.8 (-5.6, 2.0) for subjects in the 10- to 14-year-old age patients and was -8.6 (-12.4, -4.8) for subjects in the 15- to 17-year-old age patients (Table 5).</w:t>
      </w:r>
    </w:p>
    <w:p w14:paraId="55ACCE0A" w14:textId="77777777" w:rsidR="007D5C29" w:rsidRPr="007D5C29" w:rsidRDefault="007D5C29" w:rsidP="007D5C29">
      <w:pPr>
        <w:pStyle w:val="Brdtekst"/>
        <w:ind w:left="851"/>
        <w:rPr>
          <w:sz w:val="24"/>
          <w:szCs w:val="24"/>
        </w:rPr>
      </w:pPr>
    </w:p>
    <w:p w14:paraId="6169468C" w14:textId="77777777" w:rsidR="007D5C29" w:rsidRPr="007D5C29" w:rsidRDefault="007D5C29" w:rsidP="007D5C29">
      <w:pPr>
        <w:pStyle w:val="Brdtekst"/>
        <w:ind w:left="851" w:right="94"/>
        <w:rPr>
          <w:sz w:val="24"/>
          <w:szCs w:val="24"/>
        </w:rPr>
      </w:pPr>
      <w:r w:rsidRPr="007D5C29">
        <w:rPr>
          <w:sz w:val="24"/>
          <w:szCs w:val="24"/>
        </w:rPr>
        <w:t>The safety profile of lurasidone in children included in this short-term study is in general consistent with that observed when treated within the approved indication in adults, however, differences in frequency of the most commonly occurred adverse reactions have been observed in paediatric patients for nausea (very common), diarrhea (common) and decreased appetite (common), compared with adults (common, unknown, and uncommon, respectively).</w:t>
      </w:r>
    </w:p>
    <w:p w14:paraId="1EC45ECD" w14:textId="50B0E5D7" w:rsidR="00DB7D47" w:rsidRDefault="00DB7D47">
      <w:pPr>
        <w:rPr>
          <w:sz w:val="24"/>
          <w:szCs w:val="24"/>
          <w:lang w:val="en-US" w:eastAsia="en-US"/>
        </w:rPr>
      </w:pPr>
      <w:r w:rsidRPr="00C1594C">
        <w:rPr>
          <w:sz w:val="24"/>
          <w:szCs w:val="24"/>
          <w:lang w:val="en-US"/>
        </w:rPr>
        <w:br w:type="page"/>
      </w:r>
    </w:p>
    <w:p w14:paraId="2D6E4E7C" w14:textId="77777777" w:rsidR="007D5C29" w:rsidRPr="007D5C29" w:rsidRDefault="007D5C29" w:rsidP="007D5C29">
      <w:pPr>
        <w:pStyle w:val="Brdtekst"/>
        <w:ind w:left="851"/>
        <w:rPr>
          <w:sz w:val="24"/>
          <w:szCs w:val="24"/>
        </w:rPr>
      </w:pPr>
    </w:p>
    <w:p w14:paraId="6E758E33" w14:textId="77777777" w:rsidR="007D5C29" w:rsidRDefault="007D5C29" w:rsidP="007D5C29">
      <w:pPr>
        <w:pStyle w:val="Overskrift1"/>
        <w:tabs>
          <w:tab w:val="left" w:pos="1557"/>
        </w:tabs>
        <w:ind w:left="1557" w:right="140" w:hanging="1441"/>
      </w:pPr>
      <w:r>
        <w:t>Table 5</w:t>
      </w:r>
      <w:r>
        <w:tab/>
        <w:t>Bipolar Depression Paediatric Study: Children's Depression</w:t>
      </w:r>
      <w:r>
        <w:rPr>
          <w:spacing w:val="-20"/>
        </w:rPr>
        <w:t xml:space="preserve"> </w:t>
      </w:r>
      <w:r>
        <w:t>Rating</w:t>
      </w:r>
      <w:r>
        <w:rPr>
          <w:spacing w:val="-3"/>
        </w:rPr>
        <w:t xml:space="preserve"> </w:t>
      </w:r>
      <w:r>
        <w:t>Scale, Revised (CDRS-R) Total Score and Clinical Global Impression-Bipolar Version, Severity of Illness (CGI-BP-S) Depression Score (Depression) - Change From Baseline to Week 6 - MMRM for Study D1050326: Intent-to-Treat Analysis</w:t>
      </w:r>
      <w:r>
        <w:rPr>
          <w:spacing w:val="-24"/>
        </w:rPr>
        <w:t xml:space="preserve"> </w:t>
      </w:r>
      <w:r>
        <w:t>Set</w:t>
      </w:r>
    </w:p>
    <w:p w14:paraId="2EDD2F6B" w14:textId="77777777" w:rsidR="007D5C29" w:rsidRDefault="007D5C29" w:rsidP="007D5C29">
      <w:pPr>
        <w:pStyle w:val="Brdtekst"/>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616"/>
        <w:gridCol w:w="1390"/>
        <w:gridCol w:w="2808"/>
      </w:tblGrid>
      <w:tr w:rsidR="007D5C29" w:rsidRPr="000D0570" w14:paraId="45A20509" w14:textId="77777777" w:rsidTr="007D5C29">
        <w:trPr>
          <w:trHeight w:hRule="exact" w:val="516"/>
        </w:trPr>
        <w:tc>
          <w:tcPr>
            <w:tcW w:w="2066" w:type="dxa"/>
            <w:tcBorders>
              <w:top w:val="single" w:sz="4" w:space="0" w:color="000000"/>
              <w:left w:val="single" w:sz="4" w:space="0" w:color="000000"/>
              <w:bottom w:val="single" w:sz="4" w:space="0" w:color="000000"/>
              <w:right w:val="single" w:sz="6" w:space="0" w:color="000000"/>
            </w:tcBorders>
            <w:hideMark/>
          </w:tcPr>
          <w:p w14:paraId="7670DD21" w14:textId="77777777" w:rsidR="007D5C29" w:rsidRDefault="007D5C29" w:rsidP="007D5C29">
            <w:pPr>
              <w:pStyle w:val="TableParagraph"/>
              <w:ind w:left="398"/>
              <w:rPr>
                <w:b/>
              </w:rPr>
            </w:pPr>
            <w:r>
              <w:rPr>
                <w:b/>
              </w:rPr>
              <w:t>Parameters</w:t>
            </w:r>
          </w:p>
        </w:tc>
        <w:tc>
          <w:tcPr>
            <w:tcW w:w="2616" w:type="dxa"/>
            <w:tcBorders>
              <w:top w:val="single" w:sz="4" w:space="0" w:color="000000"/>
              <w:left w:val="single" w:sz="6" w:space="0" w:color="000000"/>
              <w:bottom w:val="single" w:sz="4" w:space="0" w:color="000000"/>
              <w:right w:val="single" w:sz="6" w:space="0" w:color="000000"/>
            </w:tcBorders>
            <w:hideMark/>
          </w:tcPr>
          <w:p w14:paraId="62E04335" w14:textId="77777777" w:rsidR="007D5C29" w:rsidRDefault="007D5C29" w:rsidP="007D5C29">
            <w:pPr>
              <w:pStyle w:val="TableParagraph"/>
              <w:ind w:left="395"/>
              <w:rPr>
                <w:b/>
              </w:rPr>
            </w:pPr>
            <w:r>
              <w:rPr>
                <w:b/>
              </w:rPr>
              <w:t>Study Statistic</w:t>
            </w:r>
          </w:p>
        </w:tc>
        <w:tc>
          <w:tcPr>
            <w:tcW w:w="1390" w:type="dxa"/>
            <w:tcBorders>
              <w:top w:val="single" w:sz="4" w:space="0" w:color="000000"/>
              <w:left w:val="single" w:sz="6" w:space="0" w:color="000000"/>
              <w:bottom w:val="single" w:sz="4" w:space="0" w:color="000000"/>
              <w:right w:val="single" w:sz="6" w:space="0" w:color="000000"/>
            </w:tcBorders>
            <w:hideMark/>
          </w:tcPr>
          <w:p w14:paraId="507F2AC9" w14:textId="77777777" w:rsidR="007D5C29" w:rsidRDefault="007D5C29" w:rsidP="007D5C29">
            <w:pPr>
              <w:pStyle w:val="TableParagraph"/>
              <w:ind w:left="301" w:right="301"/>
              <w:jc w:val="center"/>
              <w:rPr>
                <w:b/>
              </w:rPr>
            </w:pPr>
            <w:r>
              <w:rPr>
                <w:b/>
              </w:rPr>
              <w:t>Placebo</w:t>
            </w:r>
          </w:p>
        </w:tc>
        <w:tc>
          <w:tcPr>
            <w:tcW w:w="2808" w:type="dxa"/>
            <w:tcBorders>
              <w:top w:val="single" w:sz="4" w:space="0" w:color="000000"/>
              <w:left w:val="single" w:sz="6" w:space="0" w:color="000000"/>
              <w:bottom w:val="single" w:sz="4" w:space="0" w:color="000000"/>
              <w:right w:val="single" w:sz="4" w:space="0" w:color="000000"/>
            </w:tcBorders>
            <w:hideMark/>
          </w:tcPr>
          <w:p w14:paraId="39993564" w14:textId="77777777" w:rsidR="007D5C29" w:rsidRDefault="007D5C29" w:rsidP="007D5C29">
            <w:pPr>
              <w:pStyle w:val="TableParagraph"/>
              <w:ind w:left="931" w:right="242" w:hanging="677"/>
              <w:rPr>
                <w:b/>
              </w:rPr>
            </w:pPr>
            <w:r>
              <w:rPr>
                <w:b/>
              </w:rPr>
              <w:t>Lurasidone dose 18.5-74 mg (a) (b)</w:t>
            </w:r>
          </w:p>
        </w:tc>
      </w:tr>
      <w:tr w:rsidR="007D5C29" w14:paraId="05442659" w14:textId="77777777" w:rsidTr="007D5C29">
        <w:trPr>
          <w:trHeight w:hRule="exact" w:val="264"/>
        </w:trPr>
        <w:tc>
          <w:tcPr>
            <w:tcW w:w="2066" w:type="dxa"/>
            <w:vMerge w:val="restart"/>
            <w:tcBorders>
              <w:top w:val="single" w:sz="4" w:space="0" w:color="000000"/>
              <w:left w:val="single" w:sz="4" w:space="0" w:color="000000"/>
              <w:bottom w:val="single" w:sz="4" w:space="0" w:color="000000"/>
              <w:right w:val="single" w:sz="4" w:space="0" w:color="000000"/>
            </w:tcBorders>
            <w:hideMark/>
          </w:tcPr>
          <w:p w14:paraId="73A7FD96" w14:textId="77777777" w:rsidR="007D5C29" w:rsidRDefault="007D5C29" w:rsidP="007D5C29">
            <w:pPr>
              <w:pStyle w:val="TableParagraph"/>
              <w:ind w:left="110" w:right="311"/>
            </w:pPr>
            <w:r>
              <w:t>Primary Endpoint: CDRS-R Total Score</w:t>
            </w:r>
          </w:p>
        </w:tc>
        <w:tc>
          <w:tcPr>
            <w:tcW w:w="2616" w:type="dxa"/>
            <w:tcBorders>
              <w:top w:val="single" w:sz="4" w:space="0" w:color="000000"/>
              <w:left w:val="single" w:sz="4" w:space="0" w:color="000000"/>
              <w:bottom w:val="nil"/>
              <w:right w:val="single" w:sz="4" w:space="0" w:color="000000"/>
            </w:tcBorders>
          </w:tcPr>
          <w:p w14:paraId="0EB86319" w14:textId="77777777" w:rsidR="007D5C29" w:rsidRPr="007D5C29" w:rsidRDefault="007D5C29" w:rsidP="007D5C29">
            <w:pPr>
              <w:rPr>
                <w:lang w:val="en-US"/>
              </w:rPr>
            </w:pPr>
          </w:p>
        </w:tc>
        <w:tc>
          <w:tcPr>
            <w:tcW w:w="1390" w:type="dxa"/>
            <w:tcBorders>
              <w:top w:val="single" w:sz="4" w:space="0" w:color="000000"/>
              <w:left w:val="single" w:sz="4" w:space="0" w:color="000000"/>
              <w:bottom w:val="single" w:sz="4" w:space="0" w:color="000000"/>
              <w:right w:val="single" w:sz="4" w:space="0" w:color="000000"/>
            </w:tcBorders>
            <w:hideMark/>
          </w:tcPr>
          <w:p w14:paraId="52BE7672" w14:textId="77777777" w:rsidR="007D5C29" w:rsidRDefault="007D5C29" w:rsidP="007D5C29">
            <w:pPr>
              <w:pStyle w:val="TableParagraph"/>
              <w:ind w:left="93" w:right="91"/>
              <w:jc w:val="center"/>
            </w:pPr>
            <w:r>
              <w:t>N=170</w:t>
            </w:r>
          </w:p>
        </w:tc>
        <w:tc>
          <w:tcPr>
            <w:tcW w:w="2808" w:type="dxa"/>
            <w:tcBorders>
              <w:top w:val="single" w:sz="4" w:space="0" w:color="000000"/>
              <w:left w:val="single" w:sz="4" w:space="0" w:color="000000"/>
              <w:bottom w:val="single" w:sz="4" w:space="0" w:color="000000"/>
              <w:right w:val="single" w:sz="4" w:space="0" w:color="000000"/>
            </w:tcBorders>
            <w:hideMark/>
          </w:tcPr>
          <w:p w14:paraId="6FD2CE60" w14:textId="77777777" w:rsidR="007D5C29" w:rsidRDefault="007D5C29" w:rsidP="007D5C29">
            <w:pPr>
              <w:pStyle w:val="TableParagraph"/>
              <w:ind w:left="144" w:right="144"/>
              <w:jc w:val="center"/>
            </w:pPr>
            <w:r>
              <w:t>N=173</w:t>
            </w:r>
          </w:p>
        </w:tc>
      </w:tr>
      <w:tr w:rsidR="007D5C29" w14:paraId="09CAFD6F" w14:textId="77777777" w:rsidTr="007D5C29">
        <w:trPr>
          <w:trHeight w:hRule="exact" w:val="374"/>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227FE659" w14:textId="77777777" w:rsidR="007D5C29" w:rsidRDefault="007D5C29" w:rsidP="007D5C29">
            <w:pPr>
              <w:rPr>
                <w:sz w:val="22"/>
                <w:szCs w:val="22"/>
                <w:lang w:val="en-US" w:eastAsia="en-US"/>
              </w:rPr>
            </w:pPr>
          </w:p>
        </w:tc>
        <w:tc>
          <w:tcPr>
            <w:tcW w:w="2616" w:type="dxa"/>
            <w:tcBorders>
              <w:top w:val="nil"/>
              <w:left w:val="single" w:sz="4" w:space="0" w:color="000000"/>
              <w:bottom w:val="nil"/>
              <w:right w:val="single" w:sz="4" w:space="0" w:color="000000"/>
            </w:tcBorders>
            <w:hideMark/>
          </w:tcPr>
          <w:p w14:paraId="1FB498C9" w14:textId="77777777" w:rsidR="007D5C29" w:rsidRDefault="007D5C29" w:rsidP="007D5C29">
            <w:pPr>
              <w:pStyle w:val="TableParagraph"/>
              <w:ind w:left="398"/>
            </w:pPr>
            <w:r>
              <w:t>Baseline Mean (SD)</w:t>
            </w:r>
          </w:p>
        </w:tc>
        <w:tc>
          <w:tcPr>
            <w:tcW w:w="1390" w:type="dxa"/>
            <w:tcBorders>
              <w:top w:val="single" w:sz="4" w:space="0" w:color="000000"/>
              <w:left w:val="single" w:sz="4" w:space="0" w:color="000000"/>
              <w:bottom w:val="single" w:sz="4" w:space="0" w:color="000000"/>
              <w:right w:val="single" w:sz="4" w:space="0" w:color="000000"/>
            </w:tcBorders>
            <w:hideMark/>
          </w:tcPr>
          <w:p w14:paraId="6E561030" w14:textId="77777777" w:rsidR="007D5C29" w:rsidRDefault="007D5C29" w:rsidP="007D5C29">
            <w:pPr>
              <w:pStyle w:val="TableParagraph"/>
              <w:ind w:left="93" w:right="92"/>
              <w:jc w:val="center"/>
            </w:pPr>
            <w:r>
              <w:t>58.6 (8.26)</w:t>
            </w:r>
          </w:p>
        </w:tc>
        <w:tc>
          <w:tcPr>
            <w:tcW w:w="2808" w:type="dxa"/>
            <w:tcBorders>
              <w:top w:val="single" w:sz="4" w:space="0" w:color="000000"/>
              <w:left w:val="single" w:sz="4" w:space="0" w:color="000000"/>
              <w:bottom w:val="single" w:sz="4" w:space="0" w:color="000000"/>
              <w:right w:val="single" w:sz="4" w:space="0" w:color="000000"/>
            </w:tcBorders>
            <w:hideMark/>
          </w:tcPr>
          <w:p w14:paraId="76B7F1FA" w14:textId="77777777" w:rsidR="007D5C29" w:rsidRDefault="007D5C29" w:rsidP="007D5C29">
            <w:pPr>
              <w:pStyle w:val="TableParagraph"/>
              <w:ind w:left="144" w:right="144"/>
              <w:jc w:val="center"/>
            </w:pPr>
            <w:r>
              <w:t>59.2 (8.24)</w:t>
            </w:r>
          </w:p>
        </w:tc>
      </w:tr>
      <w:tr w:rsidR="007D5C29" w14:paraId="6AD0EE29" w14:textId="77777777" w:rsidTr="007D5C29">
        <w:trPr>
          <w:trHeight w:hRule="exact" w:val="266"/>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4B69374F" w14:textId="77777777" w:rsidR="007D5C29" w:rsidRDefault="007D5C29" w:rsidP="007D5C29">
            <w:pPr>
              <w:rPr>
                <w:sz w:val="22"/>
                <w:szCs w:val="22"/>
                <w:lang w:val="en-US" w:eastAsia="en-US"/>
              </w:rPr>
            </w:pPr>
          </w:p>
        </w:tc>
        <w:tc>
          <w:tcPr>
            <w:tcW w:w="2616" w:type="dxa"/>
            <w:tcBorders>
              <w:top w:val="nil"/>
              <w:left w:val="single" w:sz="4" w:space="0" w:color="000000"/>
              <w:bottom w:val="nil"/>
              <w:right w:val="single" w:sz="4" w:space="0" w:color="000000"/>
            </w:tcBorders>
            <w:hideMark/>
          </w:tcPr>
          <w:p w14:paraId="1E7B9D14" w14:textId="77777777" w:rsidR="007D5C29" w:rsidRDefault="007D5C29" w:rsidP="007D5C29">
            <w:pPr>
              <w:pStyle w:val="TableParagraph"/>
              <w:ind w:left="398"/>
            </w:pPr>
            <w:r>
              <w:t>LS Mean Change (SE)</w:t>
            </w:r>
          </w:p>
        </w:tc>
        <w:tc>
          <w:tcPr>
            <w:tcW w:w="1390" w:type="dxa"/>
            <w:tcBorders>
              <w:top w:val="single" w:sz="4" w:space="0" w:color="000000"/>
              <w:left w:val="single" w:sz="4" w:space="0" w:color="000000"/>
              <w:bottom w:val="single" w:sz="4" w:space="0" w:color="000000"/>
              <w:right w:val="single" w:sz="4" w:space="0" w:color="000000"/>
            </w:tcBorders>
            <w:hideMark/>
          </w:tcPr>
          <w:p w14:paraId="0745D7C5" w14:textId="77777777" w:rsidR="007D5C29" w:rsidRDefault="007D5C29" w:rsidP="007D5C29">
            <w:pPr>
              <w:pStyle w:val="TableParagraph"/>
              <w:ind w:left="93" w:right="92"/>
              <w:jc w:val="center"/>
            </w:pPr>
            <w:r>
              <w:t>-15.3 (1.08)</w:t>
            </w:r>
          </w:p>
        </w:tc>
        <w:tc>
          <w:tcPr>
            <w:tcW w:w="2808" w:type="dxa"/>
            <w:tcBorders>
              <w:top w:val="single" w:sz="4" w:space="0" w:color="000000"/>
              <w:left w:val="single" w:sz="4" w:space="0" w:color="000000"/>
              <w:bottom w:val="single" w:sz="4" w:space="0" w:color="000000"/>
              <w:right w:val="single" w:sz="4" w:space="0" w:color="000000"/>
            </w:tcBorders>
            <w:hideMark/>
          </w:tcPr>
          <w:p w14:paraId="1D734954" w14:textId="77777777" w:rsidR="007D5C29" w:rsidRDefault="007D5C29" w:rsidP="007D5C29">
            <w:pPr>
              <w:pStyle w:val="TableParagraph"/>
              <w:ind w:left="144" w:right="144"/>
              <w:jc w:val="center"/>
            </w:pPr>
            <w:r>
              <w:t>-21.0 (1.06)</w:t>
            </w:r>
          </w:p>
        </w:tc>
      </w:tr>
      <w:tr w:rsidR="007D5C29" w14:paraId="6260C179" w14:textId="77777777" w:rsidTr="007D5C29">
        <w:trPr>
          <w:trHeight w:hRule="exact" w:val="521"/>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6C4D8225" w14:textId="77777777" w:rsidR="007D5C29" w:rsidRDefault="007D5C29" w:rsidP="007D5C29">
            <w:pPr>
              <w:rPr>
                <w:sz w:val="22"/>
                <w:szCs w:val="22"/>
                <w:lang w:val="en-US" w:eastAsia="en-US"/>
              </w:rPr>
            </w:pPr>
          </w:p>
        </w:tc>
        <w:tc>
          <w:tcPr>
            <w:tcW w:w="2616" w:type="dxa"/>
            <w:tcBorders>
              <w:top w:val="nil"/>
              <w:left w:val="single" w:sz="4" w:space="0" w:color="000000"/>
              <w:bottom w:val="nil"/>
              <w:right w:val="single" w:sz="4" w:space="0" w:color="000000"/>
            </w:tcBorders>
            <w:hideMark/>
          </w:tcPr>
          <w:p w14:paraId="7486AAF7" w14:textId="77777777" w:rsidR="007D5C29" w:rsidRDefault="007D5C29" w:rsidP="007D5C29">
            <w:pPr>
              <w:pStyle w:val="TableParagraph"/>
              <w:ind w:left="110" w:right="271"/>
            </w:pPr>
            <w:r>
              <w:t>Treatment Difference vs. placebo</w:t>
            </w:r>
          </w:p>
        </w:tc>
        <w:tc>
          <w:tcPr>
            <w:tcW w:w="1390" w:type="dxa"/>
            <w:tcBorders>
              <w:top w:val="single" w:sz="4" w:space="0" w:color="000000"/>
              <w:left w:val="single" w:sz="4" w:space="0" w:color="000000"/>
              <w:bottom w:val="single" w:sz="4" w:space="0" w:color="000000"/>
              <w:right w:val="single" w:sz="4" w:space="0" w:color="000000"/>
            </w:tcBorders>
          </w:tcPr>
          <w:p w14:paraId="6D59CABA" w14:textId="77777777" w:rsidR="007D5C29" w:rsidRDefault="007D5C29" w:rsidP="007D5C29"/>
        </w:tc>
        <w:tc>
          <w:tcPr>
            <w:tcW w:w="2808" w:type="dxa"/>
            <w:tcBorders>
              <w:top w:val="single" w:sz="4" w:space="0" w:color="000000"/>
              <w:left w:val="single" w:sz="4" w:space="0" w:color="000000"/>
              <w:bottom w:val="single" w:sz="4" w:space="0" w:color="000000"/>
              <w:right w:val="single" w:sz="4" w:space="0" w:color="000000"/>
            </w:tcBorders>
          </w:tcPr>
          <w:p w14:paraId="28C32B4C" w14:textId="77777777" w:rsidR="007D5C29" w:rsidRDefault="007D5C29" w:rsidP="007D5C29"/>
        </w:tc>
      </w:tr>
      <w:tr w:rsidR="007D5C29" w14:paraId="4C486926" w14:textId="77777777" w:rsidTr="007D5C29">
        <w:trPr>
          <w:trHeight w:hRule="exact" w:val="269"/>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34EB2802" w14:textId="77777777" w:rsidR="007D5C29" w:rsidRDefault="007D5C29" w:rsidP="007D5C29">
            <w:pPr>
              <w:rPr>
                <w:sz w:val="22"/>
                <w:szCs w:val="22"/>
                <w:lang w:val="en-US" w:eastAsia="en-US"/>
              </w:rPr>
            </w:pPr>
          </w:p>
        </w:tc>
        <w:tc>
          <w:tcPr>
            <w:tcW w:w="2616" w:type="dxa"/>
            <w:tcBorders>
              <w:top w:val="nil"/>
              <w:left w:val="single" w:sz="4" w:space="0" w:color="000000"/>
              <w:bottom w:val="single" w:sz="4" w:space="0" w:color="000000"/>
              <w:right w:val="single" w:sz="4" w:space="0" w:color="000000"/>
            </w:tcBorders>
            <w:hideMark/>
          </w:tcPr>
          <w:p w14:paraId="3C6AA187" w14:textId="77777777" w:rsidR="007D5C29" w:rsidRDefault="007D5C29" w:rsidP="007D5C29">
            <w:pPr>
              <w:pStyle w:val="TableParagraph"/>
              <w:ind w:left="398"/>
            </w:pPr>
            <w:r>
              <w:t>Estimate (SE; 95% CI)</w:t>
            </w:r>
          </w:p>
        </w:tc>
        <w:tc>
          <w:tcPr>
            <w:tcW w:w="1390" w:type="dxa"/>
            <w:tcBorders>
              <w:top w:val="single" w:sz="4" w:space="0" w:color="000000"/>
              <w:left w:val="single" w:sz="4" w:space="0" w:color="000000"/>
              <w:bottom w:val="single" w:sz="4" w:space="0" w:color="000000"/>
              <w:right w:val="single" w:sz="4" w:space="0" w:color="000000"/>
            </w:tcBorders>
            <w:hideMark/>
          </w:tcPr>
          <w:p w14:paraId="61C398D9" w14:textId="77777777" w:rsidR="007D5C29" w:rsidRDefault="007D5C29" w:rsidP="007D5C29">
            <w:pPr>
              <w:pStyle w:val="TableParagraph"/>
              <w:ind w:left="92" w:right="92"/>
              <w:jc w:val="center"/>
            </w:pPr>
            <w:r>
              <w:t>--</w:t>
            </w:r>
          </w:p>
        </w:tc>
        <w:tc>
          <w:tcPr>
            <w:tcW w:w="2808" w:type="dxa"/>
            <w:tcBorders>
              <w:top w:val="single" w:sz="4" w:space="0" w:color="000000"/>
              <w:left w:val="single" w:sz="4" w:space="0" w:color="000000"/>
              <w:bottom w:val="single" w:sz="4" w:space="0" w:color="000000"/>
              <w:right w:val="single" w:sz="4" w:space="0" w:color="000000"/>
            </w:tcBorders>
            <w:hideMark/>
          </w:tcPr>
          <w:p w14:paraId="27CBB0BF" w14:textId="77777777" w:rsidR="007D5C29" w:rsidRDefault="007D5C29" w:rsidP="007D5C29">
            <w:pPr>
              <w:pStyle w:val="TableParagraph"/>
              <w:ind w:left="144" w:right="144"/>
              <w:jc w:val="center"/>
            </w:pPr>
            <w:r>
              <w:t>-5.7 (1.39; -8.4 to -3.0)</w:t>
            </w:r>
          </w:p>
        </w:tc>
      </w:tr>
      <w:tr w:rsidR="007D5C29" w14:paraId="20B1B4CC" w14:textId="77777777" w:rsidTr="007D5C29">
        <w:trPr>
          <w:trHeight w:hRule="exact" w:val="269"/>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10F6C7E0"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665E9385" w14:textId="77777777" w:rsidR="007D5C29" w:rsidRDefault="007D5C29" w:rsidP="007D5C29">
            <w:pPr>
              <w:pStyle w:val="TableParagraph"/>
              <w:ind w:left="398"/>
            </w:pPr>
            <w:r>
              <w:t>p-value</w:t>
            </w:r>
          </w:p>
        </w:tc>
        <w:tc>
          <w:tcPr>
            <w:tcW w:w="1390" w:type="dxa"/>
            <w:tcBorders>
              <w:top w:val="single" w:sz="4" w:space="0" w:color="000000"/>
              <w:left w:val="single" w:sz="4" w:space="0" w:color="000000"/>
              <w:bottom w:val="single" w:sz="4" w:space="0" w:color="000000"/>
              <w:right w:val="single" w:sz="4" w:space="0" w:color="000000"/>
            </w:tcBorders>
            <w:hideMark/>
          </w:tcPr>
          <w:p w14:paraId="554E4987" w14:textId="77777777" w:rsidR="007D5C29" w:rsidRDefault="007D5C29" w:rsidP="007D5C29">
            <w:pPr>
              <w:pStyle w:val="TableParagraph"/>
              <w:ind w:left="92" w:right="92"/>
              <w:jc w:val="center"/>
            </w:pPr>
            <w:r>
              <w:t>--</w:t>
            </w:r>
          </w:p>
        </w:tc>
        <w:tc>
          <w:tcPr>
            <w:tcW w:w="2808" w:type="dxa"/>
            <w:tcBorders>
              <w:top w:val="single" w:sz="4" w:space="0" w:color="000000"/>
              <w:left w:val="single" w:sz="4" w:space="0" w:color="000000"/>
              <w:bottom w:val="single" w:sz="4" w:space="0" w:color="000000"/>
              <w:right w:val="single" w:sz="4" w:space="0" w:color="000000"/>
            </w:tcBorders>
            <w:hideMark/>
          </w:tcPr>
          <w:p w14:paraId="3767B5AE" w14:textId="77777777" w:rsidR="007D5C29" w:rsidRDefault="007D5C29" w:rsidP="007D5C29">
            <w:pPr>
              <w:pStyle w:val="TableParagraph"/>
              <w:ind w:left="144" w:right="144"/>
              <w:jc w:val="center"/>
            </w:pPr>
            <w:r>
              <w:t>&lt;0.0001</w:t>
            </w:r>
          </w:p>
        </w:tc>
      </w:tr>
      <w:tr w:rsidR="007D5C29" w14:paraId="104A083E" w14:textId="77777777" w:rsidTr="007D5C29">
        <w:trPr>
          <w:trHeight w:val="262"/>
        </w:trPr>
        <w:tc>
          <w:tcPr>
            <w:tcW w:w="8880" w:type="dxa"/>
            <w:gridSpan w:val="4"/>
            <w:tcBorders>
              <w:top w:val="single" w:sz="4" w:space="0" w:color="000000"/>
              <w:left w:val="single" w:sz="4" w:space="0" w:color="000000"/>
              <w:bottom w:val="single" w:sz="4" w:space="0" w:color="000000"/>
              <w:right w:val="single" w:sz="4" w:space="0" w:color="000000"/>
            </w:tcBorders>
          </w:tcPr>
          <w:p w14:paraId="5C71AEC1" w14:textId="77777777" w:rsidR="007D5C29" w:rsidRDefault="007D5C29" w:rsidP="007D5C29"/>
        </w:tc>
      </w:tr>
      <w:tr w:rsidR="007D5C29" w14:paraId="1D511A10" w14:textId="77777777" w:rsidTr="007D5C29">
        <w:trPr>
          <w:trHeight w:hRule="exact" w:val="264"/>
        </w:trPr>
        <w:tc>
          <w:tcPr>
            <w:tcW w:w="2066" w:type="dxa"/>
            <w:vMerge w:val="restart"/>
            <w:tcBorders>
              <w:top w:val="single" w:sz="4" w:space="0" w:color="000000"/>
              <w:left w:val="single" w:sz="4" w:space="0" w:color="000000"/>
              <w:bottom w:val="single" w:sz="4" w:space="0" w:color="000000"/>
              <w:right w:val="single" w:sz="4" w:space="0" w:color="000000"/>
            </w:tcBorders>
            <w:hideMark/>
          </w:tcPr>
          <w:p w14:paraId="032AFC1B" w14:textId="77777777" w:rsidR="007D5C29" w:rsidRDefault="007D5C29" w:rsidP="007D5C29">
            <w:pPr>
              <w:pStyle w:val="TableParagraph"/>
              <w:ind w:left="110" w:right="576"/>
            </w:pPr>
            <w:r>
              <w:t>Key Secondary Endpoint:</w:t>
            </w:r>
          </w:p>
          <w:p w14:paraId="23165986" w14:textId="77777777" w:rsidR="007D5C29" w:rsidRDefault="007D5C29" w:rsidP="007D5C29">
            <w:pPr>
              <w:pStyle w:val="TableParagraph"/>
              <w:ind w:left="110"/>
            </w:pPr>
            <w:r>
              <w:t>CGI-BP-S</w:t>
            </w:r>
          </w:p>
          <w:p w14:paraId="2B7528A0" w14:textId="77777777" w:rsidR="007D5C29" w:rsidRDefault="007D5C29" w:rsidP="007D5C29">
            <w:pPr>
              <w:pStyle w:val="TableParagraph"/>
              <w:ind w:left="110"/>
            </w:pPr>
            <w:r>
              <w:t>Depression Score</w:t>
            </w:r>
          </w:p>
        </w:tc>
        <w:tc>
          <w:tcPr>
            <w:tcW w:w="2616" w:type="dxa"/>
            <w:tcBorders>
              <w:top w:val="single" w:sz="4" w:space="0" w:color="000000"/>
              <w:left w:val="single" w:sz="4" w:space="0" w:color="000000"/>
              <w:bottom w:val="single" w:sz="4" w:space="0" w:color="000000"/>
              <w:right w:val="single" w:sz="4" w:space="0" w:color="000000"/>
            </w:tcBorders>
          </w:tcPr>
          <w:p w14:paraId="48A43C6B" w14:textId="77777777" w:rsidR="007D5C29" w:rsidRDefault="007D5C29" w:rsidP="007D5C29"/>
        </w:tc>
        <w:tc>
          <w:tcPr>
            <w:tcW w:w="1390" w:type="dxa"/>
            <w:tcBorders>
              <w:top w:val="single" w:sz="4" w:space="0" w:color="000000"/>
              <w:left w:val="single" w:sz="4" w:space="0" w:color="000000"/>
              <w:bottom w:val="single" w:sz="4" w:space="0" w:color="000000"/>
              <w:right w:val="single" w:sz="4" w:space="0" w:color="000000"/>
            </w:tcBorders>
            <w:hideMark/>
          </w:tcPr>
          <w:p w14:paraId="5FAEBAD9" w14:textId="77777777" w:rsidR="007D5C29" w:rsidRDefault="007D5C29" w:rsidP="007D5C29">
            <w:pPr>
              <w:pStyle w:val="TableParagraph"/>
              <w:ind w:left="93" w:right="91"/>
              <w:jc w:val="center"/>
            </w:pPr>
            <w:r>
              <w:t>N=170</w:t>
            </w:r>
          </w:p>
        </w:tc>
        <w:tc>
          <w:tcPr>
            <w:tcW w:w="2808" w:type="dxa"/>
            <w:tcBorders>
              <w:top w:val="single" w:sz="4" w:space="0" w:color="000000"/>
              <w:left w:val="single" w:sz="4" w:space="0" w:color="000000"/>
              <w:bottom w:val="single" w:sz="4" w:space="0" w:color="000000"/>
              <w:right w:val="single" w:sz="4" w:space="0" w:color="000000"/>
            </w:tcBorders>
            <w:hideMark/>
          </w:tcPr>
          <w:p w14:paraId="4D42F8D6" w14:textId="77777777" w:rsidR="007D5C29" w:rsidRDefault="007D5C29" w:rsidP="007D5C29">
            <w:pPr>
              <w:pStyle w:val="TableParagraph"/>
              <w:ind w:left="144" w:right="144"/>
              <w:jc w:val="center"/>
            </w:pPr>
            <w:r>
              <w:t>N=173</w:t>
            </w:r>
          </w:p>
        </w:tc>
      </w:tr>
      <w:tr w:rsidR="007D5C29" w14:paraId="1C1A19E2" w14:textId="77777777" w:rsidTr="007D5C29">
        <w:trPr>
          <w:trHeight w:hRule="exact" w:val="266"/>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4B619601"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79C4750F" w14:textId="77777777" w:rsidR="007D5C29" w:rsidRDefault="007D5C29" w:rsidP="007D5C29">
            <w:pPr>
              <w:pStyle w:val="TableParagraph"/>
              <w:ind w:left="398"/>
            </w:pPr>
            <w:r>
              <w:t>Baseline Mean (SD)</w:t>
            </w:r>
          </w:p>
        </w:tc>
        <w:tc>
          <w:tcPr>
            <w:tcW w:w="1390" w:type="dxa"/>
            <w:tcBorders>
              <w:top w:val="single" w:sz="4" w:space="0" w:color="000000"/>
              <w:left w:val="single" w:sz="4" w:space="0" w:color="000000"/>
              <w:bottom w:val="single" w:sz="4" w:space="0" w:color="000000"/>
              <w:right w:val="single" w:sz="4" w:space="0" w:color="000000"/>
            </w:tcBorders>
            <w:hideMark/>
          </w:tcPr>
          <w:p w14:paraId="00CBB258" w14:textId="77777777" w:rsidR="007D5C29" w:rsidRDefault="007D5C29" w:rsidP="007D5C29">
            <w:pPr>
              <w:pStyle w:val="TableParagraph"/>
              <w:ind w:left="92" w:right="92"/>
              <w:jc w:val="center"/>
            </w:pPr>
            <w:r>
              <w:t>4.5</w:t>
            </w:r>
          </w:p>
        </w:tc>
        <w:tc>
          <w:tcPr>
            <w:tcW w:w="2808" w:type="dxa"/>
            <w:tcBorders>
              <w:top w:val="single" w:sz="4" w:space="0" w:color="000000"/>
              <w:left w:val="single" w:sz="4" w:space="0" w:color="000000"/>
              <w:bottom w:val="single" w:sz="4" w:space="0" w:color="000000"/>
              <w:right w:val="single" w:sz="4" w:space="0" w:color="000000"/>
            </w:tcBorders>
            <w:hideMark/>
          </w:tcPr>
          <w:p w14:paraId="2185910B" w14:textId="77777777" w:rsidR="007D5C29" w:rsidRDefault="007D5C29" w:rsidP="007D5C29">
            <w:pPr>
              <w:pStyle w:val="TableParagraph"/>
              <w:ind w:left="144" w:right="144"/>
              <w:jc w:val="center"/>
            </w:pPr>
            <w:r>
              <w:t>4.6</w:t>
            </w:r>
          </w:p>
        </w:tc>
      </w:tr>
      <w:tr w:rsidR="007D5C29" w14:paraId="565B12DE" w14:textId="77777777" w:rsidTr="007D5C29">
        <w:trPr>
          <w:trHeight w:hRule="exact" w:val="269"/>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305FABA3"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614854B5" w14:textId="77777777" w:rsidR="007D5C29" w:rsidRDefault="007D5C29" w:rsidP="007D5C29">
            <w:pPr>
              <w:pStyle w:val="TableParagraph"/>
              <w:ind w:left="398"/>
            </w:pPr>
            <w:r>
              <w:t>LS Mean Change (SE)</w:t>
            </w:r>
          </w:p>
        </w:tc>
        <w:tc>
          <w:tcPr>
            <w:tcW w:w="1390" w:type="dxa"/>
            <w:tcBorders>
              <w:top w:val="single" w:sz="4" w:space="0" w:color="000000"/>
              <w:left w:val="single" w:sz="4" w:space="0" w:color="000000"/>
              <w:bottom w:val="single" w:sz="4" w:space="0" w:color="000000"/>
              <w:right w:val="single" w:sz="4" w:space="0" w:color="000000"/>
            </w:tcBorders>
            <w:hideMark/>
          </w:tcPr>
          <w:p w14:paraId="2EE686B3" w14:textId="77777777" w:rsidR="007D5C29" w:rsidRDefault="007D5C29" w:rsidP="007D5C29">
            <w:pPr>
              <w:pStyle w:val="TableParagraph"/>
              <w:ind w:left="93" w:right="92"/>
              <w:jc w:val="center"/>
            </w:pPr>
            <w:r>
              <w:t>-1.05 (0.087)</w:t>
            </w:r>
          </w:p>
        </w:tc>
        <w:tc>
          <w:tcPr>
            <w:tcW w:w="2808" w:type="dxa"/>
            <w:tcBorders>
              <w:top w:val="single" w:sz="4" w:space="0" w:color="000000"/>
              <w:left w:val="single" w:sz="4" w:space="0" w:color="000000"/>
              <w:bottom w:val="single" w:sz="4" w:space="0" w:color="000000"/>
              <w:right w:val="single" w:sz="4" w:space="0" w:color="000000"/>
            </w:tcBorders>
            <w:hideMark/>
          </w:tcPr>
          <w:p w14:paraId="5CCA4237" w14:textId="77777777" w:rsidR="007D5C29" w:rsidRDefault="007D5C29" w:rsidP="007D5C29">
            <w:pPr>
              <w:pStyle w:val="TableParagraph"/>
              <w:ind w:left="144" w:right="144"/>
              <w:jc w:val="center"/>
            </w:pPr>
            <w:r>
              <w:t>-1.49 (0.085)</w:t>
            </w:r>
          </w:p>
        </w:tc>
      </w:tr>
      <w:tr w:rsidR="007D5C29" w14:paraId="035BBF01" w14:textId="77777777" w:rsidTr="007D5C29">
        <w:trPr>
          <w:trHeight w:hRule="exact" w:val="521"/>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7EEFB526"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4D055F3A" w14:textId="77777777" w:rsidR="007D5C29" w:rsidRDefault="007D5C29" w:rsidP="007D5C29">
            <w:pPr>
              <w:pStyle w:val="TableParagraph"/>
              <w:ind w:left="110" w:right="271"/>
            </w:pPr>
            <w:r>
              <w:t>Treatment Difference vs. placebo</w:t>
            </w:r>
          </w:p>
        </w:tc>
        <w:tc>
          <w:tcPr>
            <w:tcW w:w="1390" w:type="dxa"/>
            <w:tcBorders>
              <w:top w:val="single" w:sz="4" w:space="0" w:color="000000"/>
              <w:left w:val="single" w:sz="4" w:space="0" w:color="000000"/>
              <w:bottom w:val="single" w:sz="4" w:space="0" w:color="000000"/>
              <w:right w:val="single" w:sz="4" w:space="0" w:color="000000"/>
            </w:tcBorders>
          </w:tcPr>
          <w:p w14:paraId="6223079D" w14:textId="77777777" w:rsidR="007D5C29" w:rsidRDefault="007D5C29" w:rsidP="007D5C29"/>
        </w:tc>
        <w:tc>
          <w:tcPr>
            <w:tcW w:w="2808" w:type="dxa"/>
            <w:tcBorders>
              <w:top w:val="single" w:sz="4" w:space="0" w:color="000000"/>
              <w:left w:val="single" w:sz="4" w:space="0" w:color="000000"/>
              <w:bottom w:val="single" w:sz="4" w:space="0" w:color="000000"/>
              <w:right w:val="single" w:sz="4" w:space="0" w:color="000000"/>
            </w:tcBorders>
          </w:tcPr>
          <w:p w14:paraId="74E8002D" w14:textId="77777777" w:rsidR="007D5C29" w:rsidRDefault="007D5C29" w:rsidP="007D5C29"/>
        </w:tc>
      </w:tr>
      <w:tr w:rsidR="007D5C29" w14:paraId="63175258" w14:textId="77777777" w:rsidTr="007D5C29">
        <w:trPr>
          <w:trHeight w:hRule="exact" w:val="269"/>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71BB3831"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36679DCC" w14:textId="77777777" w:rsidR="007D5C29" w:rsidRDefault="007D5C29" w:rsidP="007D5C29">
            <w:pPr>
              <w:pStyle w:val="TableParagraph"/>
              <w:ind w:left="398"/>
            </w:pPr>
            <w:r>
              <w:t>Estimate (SE; 95% CI)</w:t>
            </w:r>
          </w:p>
        </w:tc>
        <w:tc>
          <w:tcPr>
            <w:tcW w:w="1390" w:type="dxa"/>
            <w:tcBorders>
              <w:top w:val="single" w:sz="4" w:space="0" w:color="000000"/>
              <w:left w:val="single" w:sz="4" w:space="0" w:color="000000"/>
              <w:bottom w:val="single" w:sz="4" w:space="0" w:color="000000"/>
              <w:right w:val="single" w:sz="4" w:space="0" w:color="000000"/>
            </w:tcBorders>
            <w:hideMark/>
          </w:tcPr>
          <w:p w14:paraId="401D6776" w14:textId="77777777" w:rsidR="007D5C29" w:rsidRDefault="007D5C29" w:rsidP="007D5C29">
            <w:pPr>
              <w:pStyle w:val="TableParagraph"/>
              <w:ind w:left="92" w:right="92"/>
              <w:jc w:val="center"/>
            </w:pPr>
            <w:r>
              <w:t>--</w:t>
            </w:r>
          </w:p>
        </w:tc>
        <w:tc>
          <w:tcPr>
            <w:tcW w:w="2808" w:type="dxa"/>
            <w:tcBorders>
              <w:top w:val="single" w:sz="4" w:space="0" w:color="000000"/>
              <w:left w:val="single" w:sz="4" w:space="0" w:color="000000"/>
              <w:bottom w:val="single" w:sz="4" w:space="0" w:color="000000"/>
              <w:right w:val="single" w:sz="4" w:space="0" w:color="000000"/>
            </w:tcBorders>
            <w:hideMark/>
          </w:tcPr>
          <w:p w14:paraId="4316F73A" w14:textId="77777777" w:rsidR="007D5C29" w:rsidRDefault="007D5C29" w:rsidP="007D5C29">
            <w:pPr>
              <w:pStyle w:val="TableParagraph"/>
              <w:ind w:left="144" w:right="145"/>
              <w:jc w:val="center"/>
            </w:pPr>
            <w:r>
              <w:t>-0.44 (0.112; -0.66 to -0.22)</w:t>
            </w:r>
          </w:p>
        </w:tc>
      </w:tr>
      <w:tr w:rsidR="007D5C29" w14:paraId="50EC2C2E" w14:textId="77777777" w:rsidTr="007D5C29">
        <w:trPr>
          <w:trHeight w:hRule="exact" w:val="269"/>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10BEF7DA"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09371FAB" w14:textId="77777777" w:rsidR="007D5C29" w:rsidRDefault="007D5C29" w:rsidP="007D5C29">
            <w:pPr>
              <w:pStyle w:val="TableParagraph"/>
              <w:ind w:left="398"/>
            </w:pPr>
            <w:r>
              <w:t>p-value</w:t>
            </w:r>
          </w:p>
        </w:tc>
        <w:tc>
          <w:tcPr>
            <w:tcW w:w="1390" w:type="dxa"/>
            <w:tcBorders>
              <w:top w:val="single" w:sz="4" w:space="0" w:color="000000"/>
              <w:left w:val="single" w:sz="4" w:space="0" w:color="000000"/>
              <w:bottom w:val="single" w:sz="4" w:space="0" w:color="000000"/>
              <w:right w:val="single" w:sz="4" w:space="0" w:color="000000"/>
            </w:tcBorders>
            <w:hideMark/>
          </w:tcPr>
          <w:p w14:paraId="22C6A2D0" w14:textId="77777777" w:rsidR="007D5C29" w:rsidRDefault="007D5C29" w:rsidP="007D5C29">
            <w:pPr>
              <w:pStyle w:val="TableParagraph"/>
              <w:ind w:left="92" w:right="92"/>
              <w:jc w:val="center"/>
            </w:pPr>
            <w:r>
              <w:t>--</w:t>
            </w:r>
          </w:p>
        </w:tc>
        <w:tc>
          <w:tcPr>
            <w:tcW w:w="2808" w:type="dxa"/>
            <w:tcBorders>
              <w:top w:val="single" w:sz="4" w:space="0" w:color="000000"/>
              <w:left w:val="single" w:sz="4" w:space="0" w:color="000000"/>
              <w:bottom w:val="single" w:sz="4" w:space="0" w:color="000000"/>
              <w:right w:val="single" w:sz="4" w:space="0" w:color="000000"/>
            </w:tcBorders>
            <w:hideMark/>
          </w:tcPr>
          <w:p w14:paraId="3960C82D" w14:textId="77777777" w:rsidR="007D5C29" w:rsidRDefault="007D5C29" w:rsidP="007D5C29">
            <w:pPr>
              <w:pStyle w:val="TableParagraph"/>
              <w:ind w:left="144" w:right="144"/>
              <w:jc w:val="center"/>
            </w:pPr>
            <w:r>
              <w:t>&lt;0.0001</w:t>
            </w:r>
          </w:p>
        </w:tc>
      </w:tr>
    </w:tbl>
    <w:p w14:paraId="0F67C5A5" w14:textId="77777777" w:rsidR="007D5C29" w:rsidRDefault="007D5C29" w:rsidP="007D5C29">
      <w:pPr>
        <w:ind w:left="118"/>
        <w:rPr>
          <w:sz w:val="18"/>
          <w:szCs w:val="22"/>
          <w:lang w:val="en-US" w:eastAsia="en-US"/>
        </w:rPr>
      </w:pPr>
      <w:r w:rsidRPr="007D5C29">
        <w:rPr>
          <w:sz w:val="18"/>
          <w:lang w:val="en-US"/>
        </w:rPr>
        <w:t>N is number of subjects.</w:t>
      </w:r>
    </w:p>
    <w:p w14:paraId="1B15F1C2" w14:textId="77777777" w:rsidR="007D5C29" w:rsidRDefault="007D5C29" w:rsidP="007D5C29">
      <w:pPr>
        <w:pStyle w:val="Listeafsnit"/>
        <w:numPr>
          <w:ilvl w:val="0"/>
          <w:numId w:val="8"/>
        </w:numPr>
        <w:tabs>
          <w:tab w:val="left" w:pos="364"/>
        </w:tabs>
        <w:spacing w:line="240" w:lineRule="auto"/>
        <w:rPr>
          <w:sz w:val="18"/>
        </w:rPr>
      </w:pPr>
      <w:r>
        <w:rPr>
          <w:sz w:val="18"/>
        </w:rPr>
        <w:t>p-values for lurasidone vs. placebo were adjusted for multiple</w:t>
      </w:r>
      <w:r>
        <w:rPr>
          <w:spacing w:val="-22"/>
          <w:sz w:val="18"/>
        </w:rPr>
        <w:t xml:space="preserve"> </w:t>
      </w:r>
      <w:r>
        <w:rPr>
          <w:sz w:val="18"/>
        </w:rPr>
        <w:t>comparisons.</w:t>
      </w:r>
    </w:p>
    <w:p w14:paraId="33E85666" w14:textId="77777777" w:rsidR="007D5C29" w:rsidRDefault="007D5C29" w:rsidP="007D5C29">
      <w:pPr>
        <w:pStyle w:val="Listeafsnit"/>
        <w:numPr>
          <w:ilvl w:val="0"/>
          <w:numId w:val="8"/>
        </w:numPr>
        <w:tabs>
          <w:tab w:val="left" w:pos="376"/>
        </w:tabs>
        <w:spacing w:line="240" w:lineRule="auto"/>
        <w:ind w:left="375" w:hanging="257"/>
        <w:rPr>
          <w:sz w:val="18"/>
        </w:rPr>
      </w:pPr>
      <w:r>
        <w:rPr>
          <w:sz w:val="18"/>
        </w:rPr>
        <w:t>Lurasidone</w:t>
      </w:r>
      <w:r>
        <w:rPr>
          <w:spacing w:val="-2"/>
          <w:sz w:val="18"/>
        </w:rPr>
        <w:t xml:space="preserve"> </w:t>
      </w:r>
      <w:r>
        <w:rPr>
          <w:sz w:val="18"/>
        </w:rPr>
        <w:t>doses</w:t>
      </w:r>
      <w:r>
        <w:rPr>
          <w:spacing w:val="-1"/>
          <w:sz w:val="18"/>
        </w:rPr>
        <w:t xml:space="preserve"> </w:t>
      </w:r>
      <w:r>
        <w:rPr>
          <w:sz w:val="18"/>
        </w:rPr>
        <w:t>of</w:t>
      </w:r>
      <w:r>
        <w:rPr>
          <w:spacing w:val="-1"/>
          <w:sz w:val="18"/>
        </w:rPr>
        <w:t xml:space="preserve"> </w:t>
      </w:r>
      <w:r>
        <w:rPr>
          <w:sz w:val="18"/>
        </w:rPr>
        <w:t>18.5,</w:t>
      </w:r>
      <w:r>
        <w:rPr>
          <w:spacing w:val="-3"/>
          <w:sz w:val="18"/>
        </w:rPr>
        <w:t xml:space="preserve"> </w:t>
      </w:r>
      <w:r>
        <w:rPr>
          <w:sz w:val="18"/>
        </w:rPr>
        <w:t>37,</w:t>
      </w:r>
      <w:r>
        <w:rPr>
          <w:spacing w:val="-5"/>
          <w:sz w:val="18"/>
        </w:rPr>
        <w:t xml:space="preserve"> </w:t>
      </w:r>
      <w:r>
        <w:rPr>
          <w:sz w:val="18"/>
        </w:rPr>
        <w:t>55.5,</w:t>
      </w:r>
      <w:r>
        <w:rPr>
          <w:spacing w:val="-3"/>
          <w:sz w:val="18"/>
        </w:rPr>
        <w:t xml:space="preserve"> </w:t>
      </w:r>
      <w:r>
        <w:rPr>
          <w:sz w:val="18"/>
        </w:rPr>
        <w:t>74 mg are</w:t>
      </w:r>
      <w:r>
        <w:rPr>
          <w:spacing w:val="-2"/>
          <w:sz w:val="18"/>
        </w:rPr>
        <w:t xml:space="preserve"> </w:t>
      </w:r>
      <w:r>
        <w:rPr>
          <w:sz w:val="18"/>
        </w:rPr>
        <w:t>equivalent</w:t>
      </w:r>
      <w:r>
        <w:rPr>
          <w:spacing w:val="-3"/>
          <w:sz w:val="18"/>
        </w:rPr>
        <w:t xml:space="preserve"> </w:t>
      </w:r>
      <w:r>
        <w:rPr>
          <w:sz w:val="18"/>
        </w:rPr>
        <w:t>to</w:t>
      </w:r>
      <w:r>
        <w:rPr>
          <w:spacing w:val="-2"/>
          <w:sz w:val="18"/>
        </w:rPr>
        <w:t xml:space="preserve"> </w:t>
      </w:r>
      <w:r>
        <w:rPr>
          <w:sz w:val="18"/>
        </w:rPr>
        <w:t>20,</w:t>
      </w:r>
      <w:r>
        <w:rPr>
          <w:spacing w:val="-3"/>
          <w:sz w:val="18"/>
        </w:rPr>
        <w:t xml:space="preserve"> </w:t>
      </w:r>
      <w:r>
        <w:rPr>
          <w:sz w:val="18"/>
        </w:rPr>
        <w:t>40,</w:t>
      </w:r>
      <w:r>
        <w:rPr>
          <w:spacing w:val="-3"/>
          <w:sz w:val="18"/>
        </w:rPr>
        <w:t xml:space="preserve"> </w:t>
      </w:r>
      <w:r>
        <w:rPr>
          <w:sz w:val="18"/>
        </w:rPr>
        <w:t>60</w:t>
      </w:r>
      <w:r>
        <w:rPr>
          <w:spacing w:val="-2"/>
          <w:sz w:val="18"/>
        </w:rPr>
        <w:t xml:space="preserve"> </w:t>
      </w:r>
      <w:r>
        <w:rPr>
          <w:sz w:val="18"/>
        </w:rPr>
        <w:t>and</w:t>
      </w:r>
      <w:r>
        <w:rPr>
          <w:spacing w:val="-2"/>
          <w:sz w:val="18"/>
        </w:rPr>
        <w:t xml:space="preserve"> </w:t>
      </w:r>
      <w:r>
        <w:rPr>
          <w:sz w:val="18"/>
        </w:rPr>
        <w:t>80 amounts</w:t>
      </w:r>
      <w:r>
        <w:rPr>
          <w:spacing w:val="-4"/>
          <w:sz w:val="18"/>
        </w:rPr>
        <w:t xml:space="preserve"> </w:t>
      </w:r>
      <w:r>
        <w:rPr>
          <w:sz w:val="18"/>
        </w:rPr>
        <w:t>of</w:t>
      </w:r>
      <w:r>
        <w:rPr>
          <w:spacing w:val="-1"/>
          <w:sz w:val="18"/>
        </w:rPr>
        <w:t xml:space="preserve"> </w:t>
      </w:r>
      <w:r>
        <w:rPr>
          <w:sz w:val="18"/>
        </w:rPr>
        <w:t>lurasidone</w:t>
      </w:r>
      <w:r>
        <w:rPr>
          <w:spacing w:val="-2"/>
          <w:sz w:val="18"/>
        </w:rPr>
        <w:t xml:space="preserve"> </w:t>
      </w:r>
      <w:r>
        <w:rPr>
          <w:sz w:val="18"/>
        </w:rPr>
        <w:t>hydrochloride.</w:t>
      </w:r>
    </w:p>
    <w:p w14:paraId="7347665C" w14:textId="77777777" w:rsidR="007D5C29" w:rsidRDefault="007D5C29" w:rsidP="007D5C29">
      <w:pPr>
        <w:pStyle w:val="Brdtekst"/>
        <w:rPr>
          <w:sz w:val="21"/>
        </w:rPr>
      </w:pPr>
    </w:p>
    <w:p w14:paraId="33692524"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5D622463" w14:textId="77777777" w:rsidR="00FF184C" w:rsidRDefault="00FF184C" w:rsidP="00FF184C">
      <w:pPr>
        <w:tabs>
          <w:tab w:val="left" w:pos="851"/>
        </w:tabs>
        <w:ind w:left="851"/>
        <w:rPr>
          <w:sz w:val="24"/>
          <w:szCs w:val="24"/>
          <w:u w:val="single"/>
          <w:lang w:val="en-US"/>
        </w:rPr>
      </w:pPr>
    </w:p>
    <w:p w14:paraId="1504BB0F" w14:textId="4BE64E99" w:rsidR="00FF184C" w:rsidRPr="00FF184C" w:rsidRDefault="00FF184C" w:rsidP="00FF184C">
      <w:pPr>
        <w:tabs>
          <w:tab w:val="left" w:pos="851"/>
        </w:tabs>
        <w:ind w:left="851"/>
        <w:rPr>
          <w:sz w:val="24"/>
          <w:szCs w:val="24"/>
          <w:lang w:val="en-US"/>
        </w:rPr>
      </w:pPr>
      <w:r w:rsidRPr="00FF184C">
        <w:rPr>
          <w:sz w:val="24"/>
          <w:szCs w:val="24"/>
          <w:u w:val="single"/>
          <w:lang w:val="en-US"/>
        </w:rPr>
        <w:t>Absorption</w:t>
      </w:r>
    </w:p>
    <w:p w14:paraId="7188E3A5" w14:textId="77777777" w:rsidR="00FF184C" w:rsidRPr="00FF184C" w:rsidRDefault="00FF184C" w:rsidP="00FF184C">
      <w:pPr>
        <w:tabs>
          <w:tab w:val="left" w:pos="851"/>
        </w:tabs>
        <w:ind w:left="851"/>
        <w:rPr>
          <w:sz w:val="24"/>
          <w:szCs w:val="24"/>
          <w:lang w:val="en-US"/>
        </w:rPr>
      </w:pPr>
      <w:r w:rsidRPr="00FF184C">
        <w:rPr>
          <w:sz w:val="24"/>
          <w:szCs w:val="24"/>
          <w:lang w:val="en-US"/>
        </w:rPr>
        <w:t>Lurasidone reaches peak serum concentrations in approximately 1-3 hours.</w:t>
      </w:r>
    </w:p>
    <w:p w14:paraId="2B922FCC" w14:textId="77777777" w:rsidR="00FF184C" w:rsidRPr="00FF184C" w:rsidRDefault="00FF184C" w:rsidP="00FF184C">
      <w:pPr>
        <w:tabs>
          <w:tab w:val="left" w:pos="851"/>
        </w:tabs>
        <w:ind w:left="851"/>
        <w:rPr>
          <w:sz w:val="24"/>
          <w:szCs w:val="24"/>
          <w:lang w:val="en-US"/>
        </w:rPr>
      </w:pPr>
      <w:r w:rsidRPr="00FF184C">
        <w:rPr>
          <w:sz w:val="24"/>
          <w:szCs w:val="24"/>
          <w:lang w:val="en-US"/>
        </w:rPr>
        <w:t>In a food effect study, lurasidone mean Cmax and AUC increased approximately by 2-3-times and 1.5-2-times, respectively, when administered with food compared to the levels observed under fasting conditions.</w:t>
      </w:r>
    </w:p>
    <w:p w14:paraId="22406C85" w14:textId="77777777" w:rsidR="00FF184C" w:rsidRPr="00FF184C" w:rsidRDefault="00FF184C" w:rsidP="00FF184C">
      <w:pPr>
        <w:tabs>
          <w:tab w:val="left" w:pos="851"/>
        </w:tabs>
        <w:ind w:left="851"/>
        <w:rPr>
          <w:sz w:val="24"/>
          <w:szCs w:val="24"/>
          <w:lang w:val="en-US"/>
        </w:rPr>
      </w:pPr>
    </w:p>
    <w:p w14:paraId="1C8FE1C4" w14:textId="77777777" w:rsidR="00FF184C" w:rsidRPr="00FF184C" w:rsidRDefault="00FF184C" w:rsidP="00FF184C">
      <w:pPr>
        <w:tabs>
          <w:tab w:val="left" w:pos="851"/>
        </w:tabs>
        <w:ind w:left="851"/>
        <w:rPr>
          <w:sz w:val="24"/>
          <w:szCs w:val="24"/>
          <w:lang w:val="en-US"/>
        </w:rPr>
      </w:pPr>
      <w:r w:rsidRPr="00FF184C">
        <w:rPr>
          <w:sz w:val="24"/>
          <w:szCs w:val="24"/>
          <w:u w:val="single"/>
          <w:lang w:val="en-US"/>
        </w:rPr>
        <w:t>Distribution</w:t>
      </w:r>
    </w:p>
    <w:p w14:paraId="3F917C77" w14:textId="36BEDA81" w:rsidR="00FF184C" w:rsidRPr="00FF184C" w:rsidRDefault="00FF184C" w:rsidP="00FF184C">
      <w:pPr>
        <w:tabs>
          <w:tab w:val="left" w:pos="851"/>
        </w:tabs>
        <w:ind w:left="851"/>
        <w:rPr>
          <w:sz w:val="24"/>
          <w:szCs w:val="24"/>
          <w:lang w:val="en-US"/>
        </w:rPr>
      </w:pPr>
      <w:r w:rsidRPr="00FF184C">
        <w:rPr>
          <w:sz w:val="24"/>
          <w:szCs w:val="24"/>
          <w:lang w:val="en-US"/>
        </w:rPr>
        <w:t>Following administration of 37 mg of lurasidone, the mean approximate apparent volume of</w:t>
      </w:r>
      <w:r>
        <w:rPr>
          <w:sz w:val="24"/>
          <w:szCs w:val="24"/>
          <w:lang w:val="en-US"/>
        </w:rPr>
        <w:t xml:space="preserve"> </w:t>
      </w:r>
      <w:r w:rsidRPr="00FF184C">
        <w:rPr>
          <w:sz w:val="24"/>
          <w:szCs w:val="24"/>
          <w:lang w:val="en-US"/>
        </w:rPr>
        <w:t>distribution was 6000 L. Lurasidone is highly bound (~99%) to serum proteins.</w:t>
      </w:r>
    </w:p>
    <w:p w14:paraId="4B60C350" w14:textId="77777777" w:rsidR="00FF184C" w:rsidRPr="00FF184C" w:rsidRDefault="00FF184C" w:rsidP="00FF184C">
      <w:pPr>
        <w:tabs>
          <w:tab w:val="left" w:pos="851"/>
        </w:tabs>
        <w:ind w:left="851"/>
        <w:rPr>
          <w:sz w:val="24"/>
          <w:szCs w:val="24"/>
          <w:lang w:val="en-US"/>
        </w:rPr>
      </w:pPr>
    </w:p>
    <w:p w14:paraId="5A31A4FC" w14:textId="77777777" w:rsidR="00FF184C" w:rsidRPr="00FF184C" w:rsidRDefault="00FF184C" w:rsidP="00FF184C">
      <w:pPr>
        <w:tabs>
          <w:tab w:val="left" w:pos="851"/>
        </w:tabs>
        <w:ind w:left="851"/>
        <w:rPr>
          <w:sz w:val="24"/>
          <w:szCs w:val="24"/>
          <w:lang w:val="en-US"/>
        </w:rPr>
      </w:pPr>
      <w:r w:rsidRPr="00FF184C">
        <w:rPr>
          <w:sz w:val="24"/>
          <w:szCs w:val="24"/>
          <w:u w:val="single"/>
          <w:lang w:val="en-US"/>
        </w:rPr>
        <w:t>Biotransformation</w:t>
      </w:r>
    </w:p>
    <w:p w14:paraId="3D9337FB" w14:textId="77777777" w:rsidR="00FF184C" w:rsidRPr="00FF184C" w:rsidRDefault="00FF184C" w:rsidP="00FF184C">
      <w:pPr>
        <w:tabs>
          <w:tab w:val="left" w:pos="851"/>
        </w:tabs>
        <w:ind w:left="851"/>
        <w:rPr>
          <w:sz w:val="24"/>
          <w:szCs w:val="24"/>
          <w:lang w:val="en-US"/>
        </w:rPr>
      </w:pPr>
      <w:r w:rsidRPr="00FF184C">
        <w:rPr>
          <w:sz w:val="24"/>
          <w:szCs w:val="24"/>
          <w:lang w:val="en-US"/>
        </w:rPr>
        <w:t>Lurasidone is metabolised mainly via CYP3A4. The major biotransformation pathways are oxidative N-dealkylation, hydroxylation of norbornane ring, and S-oxidation.</w:t>
      </w:r>
    </w:p>
    <w:p w14:paraId="53D76941" w14:textId="77777777" w:rsidR="00FF184C" w:rsidRPr="00FF184C" w:rsidRDefault="00FF184C" w:rsidP="00FF184C">
      <w:pPr>
        <w:tabs>
          <w:tab w:val="left" w:pos="851"/>
        </w:tabs>
        <w:ind w:left="851"/>
        <w:rPr>
          <w:sz w:val="24"/>
          <w:szCs w:val="24"/>
          <w:lang w:val="en-US"/>
        </w:rPr>
      </w:pPr>
    </w:p>
    <w:p w14:paraId="09EDD0FC" w14:textId="77777777" w:rsidR="00FF184C" w:rsidRPr="00FF184C" w:rsidRDefault="00FF184C" w:rsidP="00FF184C">
      <w:pPr>
        <w:tabs>
          <w:tab w:val="left" w:pos="851"/>
        </w:tabs>
        <w:ind w:left="851"/>
        <w:rPr>
          <w:sz w:val="24"/>
          <w:szCs w:val="24"/>
          <w:lang w:val="en-US"/>
        </w:rPr>
      </w:pPr>
      <w:r w:rsidRPr="00FF184C">
        <w:rPr>
          <w:sz w:val="24"/>
          <w:szCs w:val="24"/>
          <w:lang w:val="en-US"/>
        </w:rPr>
        <w:t>Lurasidone is metabolised into two active metabolites (ID-14283 and ID-14326) and two non-active metabolites (ID-20219 and ID-20220). Lurasidone and its metabolites ID-14283, ID-14326, ID-20219 and ID-20220 correspond to approximately 11.4, 4.1, 0.4, 24 and 11% respectively, of serum radioactivity respectively.</w:t>
      </w:r>
    </w:p>
    <w:p w14:paraId="03771C62" w14:textId="77777777" w:rsidR="00FF184C" w:rsidRPr="00FF184C" w:rsidRDefault="00FF184C" w:rsidP="00FF184C">
      <w:pPr>
        <w:tabs>
          <w:tab w:val="left" w:pos="851"/>
        </w:tabs>
        <w:ind w:left="851"/>
        <w:rPr>
          <w:sz w:val="24"/>
          <w:szCs w:val="24"/>
          <w:lang w:val="en-US"/>
        </w:rPr>
      </w:pPr>
    </w:p>
    <w:p w14:paraId="0B887DFF" w14:textId="77777777" w:rsidR="00FF184C" w:rsidRPr="00FF184C" w:rsidRDefault="00FF184C" w:rsidP="00FF184C">
      <w:pPr>
        <w:tabs>
          <w:tab w:val="left" w:pos="851"/>
        </w:tabs>
        <w:ind w:left="851"/>
        <w:rPr>
          <w:sz w:val="24"/>
          <w:szCs w:val="24"/>
          <w:lang w:val="en-US"/>
        </w:rPr>
      </w:pPr>
      <w:r w:rsidRPr="00FF184C">
        <w:rPr>
          <w:sz w:val="24"/>
          <w:szCs w:val="24"/>
          <w:lang w:val="en-US"/>
        </w:rPr>
        <w:t>CYP3A4 is the major enzyme responsible for metabolism of the active metabolite ID-14283. Lurasidone and its active metabolite ID-14283 both contribute to the pharmacodynamic effect at the dopaminergic and serotonergic receptors.</w:t>
      </w:r>
    </w:p>
    <w:p w14:paraId="0E56616D" w14:textId="77777777" w:rsidR="00FF184C" w:rsidRPr="00FF184C" w:rsidRDefault="00FF184C" w:rsidP="00FF184C">
      <w:pPr>
        <w:tabs>
          <w:tab w:val="left" w:pos="851"/>
        </w:tabs>
        <w:ind w:left="851"/>
        <w:rPr>
          <w:sz w:val="24"/>
          <w:szCs w:val="24"/>
          <w:lang w:val="en-US"/>
        </w:rPr>
      </w:pPr>
    </w:p>
    <w:p w14:paraId="22E45882" w14:textId="77777777" w:rsidR="00FF184C" w:rsidRPr="00FF184C" w:rsidRDefault="00FF184C" w:rsidP="00FF184C">
      <w:pPr>
        <w:tabs>
          <w:tab w:val="left" w:pos="851"/>
        </w:tabs>
        <w:ind w:left="851"/>
        <w:rPr>
          <w:sz w:val="24"/>
          <w:szCs w:val="24"/>
          <w:lang w:val="en-US"/>
        </w:rPr>
      </w:pPr>
      <w:r w:rsidRPr="00FF184C">
        <w:rPr>
          <w:sz w:val="24"/>
          <w:szCs w:val="24"/>
          <w:lang w:val="en-US"/>
        </w:rPr>
        <w:lastRenderedPageBreak/>
        <w:t xml:space="preserve">Based on </w:t>
      </w:r>
      <w:r w:rsidRPr="00FF184C">
        <w:rPr>
          <w:i/>
          <w:sz w:val="24"/>
          <w:szCs w:val="24"/>
          <w:lang w:val="en-US"/>
        </w:rPr>
        <w:t xml:space="preserve">in vitro </w:t>
      </w:r>
      <w:r w:rsidRPr="00FF184C">
        <w:rPr>
          <w:sz w:val="24"/>
          <w:szCs w:val="24"/>
          <w:lang w:val="en-US"/>
        </w:rPr>
        <w:t>studies lurasidone is not a substrate of CYP1A1, CYP1A2, CYP2A6, CYP4A11, CYP2B6, CYP2C8, CYP2C9, CYP2C19, CYP2D6 or CYP2E1 enzymes.</w:t>
      </w:r>
    </w:p>
    <w:p w14:paraId="2D2438C3" w14:textId="77777777" w:rsidR="00FF184C" w:rsidRPr="00FF184C" w:rsidRDefault="00FF184C" w:rsidP="00FF184C">
      <w:pPr>
        <w:tabs>
          <w:tab w:val="left" w:pos="851"/>
        </w:tabs>
        <w:ind w:left="851"/>
        <w:rPr>
          <w:sz w:val="24"/>
          <w:szCs w:val="24"/>
          <w:lang w:val="en-US"/>
        </w:rPr>
      </w:pPr>
    </w:p>
    <w:p w14:paraId="61A259E5" w14:textId="77777777" w:rsidR="00FF184C" w:rsidRPr="00FF184C" w:rsidRDefault="00FF184C" w:rsidP="00FF184C">
      <w:pPr>
        <w:tabs>
          <w:tab w:val="left" w:pos="851"/>
        </w:tabs>
        <w:ind w:left="851"/>
        <w:rPr>
          <w:sz w:val="24"/>
          <w:szCs w:val="24"/>
          <w:lang w:val="en-US"/>
        </w:rPr>
      </w:pPr>
      <w:r w:rsidRPr="00FF184C">
        <w:rPr>
          <w:i/>
          <w:sz w:val="24"/>
          <w:szCs w:val="24"/>
          <w:lang w:val="en-US"/>
        </w:rPr>
        <w:t>In vitro</w:t>
      </w:r>
      <w:r w:rsidRPr="00FF184C">
        <w:rPr>
          <w:sz w:val="24"/>
          <w:szCs w:val="24"/>
          <w:lang w:val="en-US"/>
        </w:rPr>
        <w:t>, lurasidone demonstrated no direct, or weak inhibition (direct or time-dependent) (IC50&gt;5.9 μM) of the enzymes cytochrome P450 (CYP)1A2, CYP2B6, CYP2C8, CYP2C9, CYP2C19, CYP2D6, CYP2E1, and CYP3A4. Based on this data, lurasidone is not expected to affect the pharmacokinetics of medicinal products that are substrates of CYP1A2, CYP2B6, CYP2C8, CYP2C9, CYP2C19, CYP2D6, and CYP2E1. For administration of medicinal products that are substrates of CYP3A4 with a narrow therapeutic range, see section 4.5.</w:t>
      </w:r>
    </w:p>
    <w:p w14:paraId="2C5F83DA" w14:textId="77777777" w:rsidR="00FF184C" w:rsidRPr="00FF184C" w:rsidRDefault="00FF184C" w:rsidP="00FF184C">
      <w:pPr>
        <w:tabs>
          <w:tab w:val="left" w:pos="851"/>
        </w:tabs>
        <w:ind w:left="851"/>
        <w:rPr>
          <w:sz w:val="24"/>
          <w:szCs w:val="24"/>
          <w:lang w:val="en-US"/>
        </w:rPr>
      </w:pPr>
    </w:p>
    <w:p w14:paraId="67521DFB" w14:textId="77777777" w:rsidR="00FF184C" w:rsidRPr="00FF184C" w:rsidRDefault="00FF184C" w:rsidP="00FF184C">
      <w:pPr>
        <w:tabs>
          <w:tab w:val="left" w:pos="851"/>
        </w:tabs>
        <w:ind w:left="851"/>
        <w:rPr>
          <w:sz w:val="24"/>
          <w:szCs w:val="24"/>
          <w:lang w:val="en-US"/>
        </w:rPr>
      </w:pPr>
      <w:r w:rsidRPr="00FF184C">
        <w:rPr>
          <w:sz w:val="24"/>
          <w:szCs w:val="24"/>
          <w:lang w:val="en-US"/>
        </w:rPr>
        <w:t xml:space="preserve">Lurasidone is an </w:t>
      </w:r>
      <w:r w:rsidRPr="00FF184C">
        <w:rPr>
          <w:i/>
          <w:sz w:val="24"/>
          <w:szCs w:val="24"/>
          <w:lang w:val="en-US"/>
        </w:rPr>
        <w:t xml:space="preserve">in vitro </w:t>
      </w:r>
      <w:r w:rsidRPr="00FF184C">
        <w:rPr>
          <w:sz w:val="24"/>
          <w:szCs w:val="24"/>
          <w:lang w:val="en-US"/>
        </w:rPr>
        <w:t>substrate of the efflux transporters P-gp and BCRP. Lurasidone is not subject to active uptake transport by OATP1B1 or OATP1B3.</w:t>
      </w:r>
    </w:p>
    <w:p w14:paraId="54551394" w14:textId="77777777" w:rsidR="00FF184C" w:rsidRPr="00FF184C" w:rsidRDefault="00FF184C" w:rsidP="00FF184C">
      <w:pPr>
        <w:tabs>
          <w:tab w:val="left" w:pos="851"/>
        </w:tabs>
        <w:ind w:left="851"/>
        <w:rPr>
          <w:sz w:val="24"/>
          <w:szCs w:val="24"/>
          <w:lang w:val="en-US"/>
        </w:rPr>
      </w:pPr>
    </w:p>
    <w:p w14:paraId="5EDCF619" w14:textId="77777777" w:rsidR="00FF184C" w:rsidRPr="00FF184C" w:rsidRDefault="00FF184C" w:rsidP="00FF184C">
      <w:pPr>
        <w:tabs>
          <w:tab w:val="left" w:pos="851"/>
        </w:tabs>
        <w:ind w:left="851"/>
        <w:rPr>
          <w:sz w:val="24"/>
          <w:szCs w:val="24"/>
          <w:lang w:val="en-US"/>
        </w:rPr>
      </w:pPr>
      <w:r w:rsidRPr="00FF184C">
        <w:rPr>
          <w:sz w:val="24"/>
          <w:szCs w:val="24"/>
          <w:lang w:val="en-US"/>
        </w:rPr>
        <w:t xml:space="preserve">Lurasidone is an inhibitor of P-gp, BCRP and OCT1 </w:t>
      </w:r>
      <w:r w:rsidRPr="00FF184C">
        <w:rPr>
          <w:i/>
          <w:sz w:val="24"/>
          <w:szCs w:val="24"/>
          <w:lang w:val="en-US"/>
        </w:rPr>
        <w:t xml:space="preserve">in vitro </w:t>
      </w:r>
      <w:r w:rsidRPr="00FF184C">
        <w:rPr>
          <w:sz w:val="24"/>
          <w:szCs w:val="24"/>
          <w:lang w:val="en-US"/>
        </w:rPr>
        <w:t xml:space="preserve">(see section 4.5). Lurasidone is not expected to have a clinically relevant inhibitory potential on transporters OATP1B1, OATP1B3, OCT2, OAT1, OAT3, MATE1, MATE2K or BSEP based on </w:t>
      </w:r>
      <w:r w:rsidRPr="00FF184C">
        <w:rPr>
          <w:i/>
          <w:sz w:val="24"/>
          <w:szCs w:val="24"/>
          <w:lang w:val="en-US"/>
        </w:rPr>
        <w:t xml:space="preserve">in vitro </w:t>
      </w:r>
      <w:r w:rsidRPr="00FF184C">
        <w:rPr>
          <w:sz w:val="24"/>
          <w:szCs w:val="24"/>
          <w:lang w:val="en-US"/>
        </w:rPr>
        <w:t>data.</w:t>
      </w:r>
    </w:p>
    <w:p w14:paraId="5DD9F50C" w14:textId="77777777" w:rsidR="00FF184C" w:rsidRPr="00FF184C" w:rsidRDefault="00FF184C" w:rsidP="00FF184C">
      <w:pPr>
        <w:tabs>
          <w:tab w:val="left" w:pos="851"/>
        </w:tabs>
        <w:ind w:left="851"/>
        <w:rPr>
          <w:sz w:val="24"/>
          <w:szCs w:val="24"/>
          <w:lang w:val="en-US"/>
        </w:rPr>
      </w:pPr>
    </w:p>
    <w:p w14:paraId="0D9AB0A5" w14:textId="77777777" w:rsidR="00FF184C" w:rsidRPr="00FF184C" w:rsidRDefault="00FF184C" w:rsidP="00FF184C">
      <w:pPr>
        <w:tabs>
          <w:tab w:val="left" w:pos="851"/>
        </w:tabs>
        <w:ind w:left="851"/>
        <w:rPr>
          <w:sz w:val="24"/>
          <w:szCs w:val="24"/>
          <w:lang w:val="en-US"/>
        </w:rPr>
      </w:pPr>
      <w:r w:rsidRPr="00FF184C">
        <w:rPr>
          <w:sz w:val="24"/>
          <w:szCs w:val="24"/>
          <w:u w:val="single"/>
          <w:lang w:val="en-US"/>
        </w:rPr>
        <w:t>Elimination</w:t>
      </w:r>
    </w:p>
    <w:p w14:paraId="027750E9" w14:textId="77777777" w:rsidR="00FF184C" w:rsidRPr="00FF184C" w:rsidRDefault="00FF184C" w:rsidP="00FF184C">
      <w:pPr>
        <w:tabs>
          <w:tab w:val="left" w:pos="851"/>
        </w:tabs>
        <w:ind w:left="851"/>
        <w:rPr>
          <w:sz w:val="24"/>
          <w:szCs w:val="24"/>
          <w:lang w:val="en-US"/>
        </w:rPr>
      </w:pPr>
      <w:r w:rsidRPr="00FF184C">
        <w:rPr>
          <w:sz w:val="24"/>
          <w:szCs w:val="24"/>
          <w:lang w:val="en-US"/>
        </w:rPr>
        <w:t>Following administration of lurasidone, the elimination half-life was 20-40 hours. Following oral administration of a radiolabelled dose, approximately 67% dose was recovered in faeces and 19% in urine. Urine comprised mostly of a number of metabolites with minimal renal excretion of parent compound.</w:t>
      </w:r>
    </w:p>
    <w:p w14:paraId="36679924" w14:textId="77777777" w:rsidR="00FF184C" w:rsidRPr="00FF184C" w:rsidRDefault="00FF184C" w:rsidP="00FF184C">
      <w:pPr>
        <w:tabs>
          <w:tab w:val="left" w:pos="851"/>
        </w:tabs>
        <w:ind w:left="851"/>
        <w:rPr>
          <w:sz w:val="24"/>
          <w:szCs w:val="24"/>
          <w:lang w:val="en-US"/>
        </w:rPr>
      </w:pPr>
    </w:p>
    <w:p w14:paraId="3F6AD126" w14:textId="77777777" w:rsidR="00FF184C" w:rsidRPr="00FF184C" w:rsidRDefault="00FF184C" w:rsidP="00FF184C">
      <w:pPr>
        <w:tabs>
          <w:tab w:val="left" w:pos="851"/>
        </w:tabs>
        <w:ind w:left="851"/>
        <w:rPr>
          <w:sz w:val="24"/>
          <w:szCs w:val="24"/>
          <w:lang w:val="en-US"/>
        </w:rPr>
      </w:pPr>
      <w:r w:rsidRPr="00FF184C">
        <w:rPr>
          <w:sz w:val="24"/>
          <w:szCs w:val="24"/>
          <w:u w:val="single"/>
          <w:lang w:val="en-US"/>
        </w:rPr>
        <w:t>Linearity/non-linearity</w:t>
      </w:r>
    </w:p>
    <w:p w14:paraId="7FE66BD4" w14:textId="77777777" w:rsidR="00FF184C" w:rsidRPr="00FF184C" w:rsidRDefault="00FF184C" w:rsidP="00FF184C">
      <w:pPr>
        <w:tabs>
          <w:tab w:val="left" w:pos="851"/>
        </w:tabs>
        <w:ind w:left="851"/>
        <w:rPr>
          <w:sz w:val="24"/>
          <w:szCs w:val="24"/>
          <w:lang w:val="en-US"/>
        </w:rPr>
      </w:pPr>
      <w:r w:rsidRPr="00FF184C">
        <w:rPr>
          <w:sz w:val="24"/>
          <w:szCs w:val="24"/>
          <w:lang w:val="en-US"/>
        </w:rPr>
        <w:t>The pharmacokinetics of lurasidone is dose-proportional within a total daily dose range of 18.5 mg to 148 mg. Steady-state concentrations of lurasidone are reached within 7 days of starting lurasidone.</w:t>
      </w:r>
    </w:p>
    <w:p w14:paraId="7BED5C31" w14:textId="77777777" w:rsidR="00FF184C" w:rsidRPr="00FF184C" w:rsidRDefault="00FF184C" w:rsidP="00FF184C">
      <w:pPr>
        <w:tabs>
          <w:tab w:val="left" w:pos="851"/>
        </w:tabs>
        <w:ind w:left="851"/>
        <w:rPr>
          <w:sz w:val="24"/>
          <w:szCs w:val="24"/>
          <w:u w:val="single"/>
          <w:lang w:val="en-US"/>
        </w:rPr>
      </w:pPr>
    </w:p>
    <w:p w14:paraId="5BF6CC05" w14:textId="77777777" w:rsidR="00FF184C" w:rsidRPr="00FF184C" w:rsidRDefault="00FF184C" w:rsidP="00FF184C">
      <w:pPr>
        <w:tabs>
          <w:tab w:val="left" w:pos="851"/>
        </w:tabs>
        <w:ind w:left="851"/>
        <w:rPr>
          <w:sz w:val="24"/>
          <w:szCs w:val="24"/>
          <w:lang w:val="en-US"/>
        </w:rPr>
      </w:pPr>
      <w:r w:rsidRPr="00FF184C">
        <w:rPr>
          <w:sz w:val="24"/>
          <w:szCs w:val="24"/>
          <w:u w:val="single"/>
          <w:lang w:val="en-US"/>
        </w:rPr>
        <w:t>Pharmacokinetics in special patient groups</w:t>
      </w:r>
    </w:p>
    <w:p w14:paraId="25FDBE59" w14:textId="77777777" w:rsidR="00FF184C" w:rsidRPr="00FF184C" w:rsidRDefault="00FF184C" w:rsidP="00FF184C">
      <w:pPr>
        <w:tabs>
          <w:tab w:val="left" w:pos="851"/>
        </w:tabs>
        <w:ind w:left="851"/>
        <w:rPr>
          <w:sz w:val="24"/>
          <w:szCs w:val="24"/>
          <w:lang w:val="en-US"/>
        </w:rPr>
      </w:pPr>
    </w:p>
    <w:p w14:paraId="127C30B4" w14:textId="77777777" w:rsidR="00FF184C" w:rsidRPr="00FF184C" w:rsidRDefault="00FF184C" w:rsidP="00FF184C">
      <w:pPr>
        <w:tabs>
          <w:tab w:val="left" w:pos="851"/>
        </w:tabs>
        <w:ind w:left="851"/>
        <w:rPr>
          <w:i/>
          <w:sz w:val="24"/>
          <w:szCs w:val="24"/>
          <w:lang w:val="en-US"/>
        </w:rPr>
      </w:pPr>
      <w:r w:rsidRPr="00FF184C">
        <w:rPr>
          <w:i/>
          <w:sz w:val="24"/>
          <w:szCs w:val="24"/>
          <w:lang w:val="en-US"/>
        </w:rPr>
        <w:t>Elderly people</w:t>
      </w:r>
    </w:p>
    <w:p w14:paraId="41653119" w14:textId="77777777" w:rsidR="00FF184C" w:rsidRPr="00FF184C" w:rsidRDefault="00FF184C" w:rsidP="00FF184C">
      <w:pPr>
        <w:tabs>
          <w:tab w:val="left" w:pos="851"/>
        </w:tabs>
        <w:ind w:left="851"/>
        <w:rPr>
          <w:sz w:val="24"/>
          <w:szCs w:val="24"/>
          <w:lang w:val="en-US"/>
        </w:rPr>
      </w:pPr>
      <w:r w:rsidRPr="00FF184C">
        <w:rPr>
          <w:sz w:val="24"/>
          <w:szCs w:val="24"/>
          <w:lang w:val="en-US"/>
        </w:rPr>
        <w:t>Limited data have been collected in healthy subjects ≥ 65 years. Of the data collected, similar exposure was obtained compared with subjects &lt; 65 years. However, an increase in exposure in elderly subjects may be expected for patients if they have impaired renal or hepatic function.</w:t>
      </w:r>
    </w:p>
    <w:p w14:paraId="62195F67" w14:textId="77777777" w:rsidR="00FF184C" w:rsidRPr="00FF184C" w:rsidRDefault="00FF184C" w:rsidP="00FF184C">
      <w:pPr>
        <w:tabs>
          <w:tab w:val="left" w:pos="851"/>
        </w:tabs>
        <w:ind w:left="851"/>
        <w:rPr>
          <w:sz w:val="24"/>
          <w:szCs w:val="24"/>
          <w:lang w:val="en-US"/>
        </w:rPr>
      </w:pPr>
    </w:p>
    <w:p w14:paraId="026DCBA9" w14:textId="43330530" w:rsidR="00FF184C" w:rsidRPr="00FF184C" w:rsidRDefault="00FF184C" w:rsidP="00FF184C">
      <w:pPr>
        <w:tabs>
          <w:tab w:val="left" w:pos="851"/>
        </w:tabs>
        <w:ind w:left="851"/>
        <w:rPr>
          <w:i/>
          <w:sz w:val="24"/>
          <w:szCs w:val="24"/>
          <w:lang w:val="en-US"/>
        </w:rPr>
      </w:pPr>
      <w:r w:rsidRPr="00FF184C">
        <w:rPr>
          <w:i/>
          <w:sz w:val="24"/>
          <w:szCs w:val="24"/>
          <w:lang w:val="en-US"/>
        </w:rPr>
        <w:t>Hepatic impairment</w:t>
      </w:r>
    </w:p>
    <w:p w14:paraId="492AD2AF" w14:textId="77777777" w:rsidR="00FF184C" w:rsidRPr="00FF184C" w:rsidRDefault="00FF184C" w:rsidP="00FF184C">
      <w:pPr>
        <w:tabs>
          <w:tab w:val="left" w:pos="851"/>
        </w:tabs>
        <w:ind w:left="851"/>
        <w:rPr>
          <w:sz w:val="24"/>
          <w:szCs w:val="24"/>
          <w:lang w:val="en-US"/>
        </w:rPr>
      </w:pPr>
      <w:r w:rsidRPr="00FF184C">
        <w:rPr>
          <w:sz w:val="24"/>
          <w:szCs w:val="24"/>
          <w:lang w:val="en-US"/>
        </w:rPr>
        <w:t>The serum concentrations of lurasidone are increased in healthy subjects with Child-Pugh Class A, B and C hepatic impairment with an increased exposure of 1.5-, 1.7- and 3-fold respectively.</w:t>
      </w:r>
    </w:p>
    <w:p w14:paraId="0AE15793" w14:textId="77777777" w:rsidR="00FF184C" w:rsidRPr="00FF184C" w:rsidRDefault="00FF184C" w:rsidP="00FF184C">
      <w:pPr>
        <w:tabs>
          <w:tab w:val="left" w:pos="851"/>
        </w:tabs>
        <w:ind w:left="851"/>
        <w:rPr>
          <w:sz w:val="24"/>
          <w:szCs w:val="24"/>
          <w:lang w:val="en-US"/>
        </w:rPr>
      </w:pPr>
    </w:p>
    <w:p w14:paraId="01E95E46" w14:textId="77777777" w:rsidR="00FF184C" w:rsidRPr="00FF184C" w:rsidRDefault="00FF184C" w:rsidP="00FF184C">
      <w:pPr>
        <w:tabs>
          <w:tab w:val="left" w:pos="851"/>
        </w:tabs>
        <w:ind w:left="851"/>
        <w:rPr>
          <w:i/>
          <w:sz w:val="24"/>
          <w:szCs w:val="24"/>
          <w:lang w:val="en-US"/>
        </w:rPr>
      </w:pPr>
      <w:r w:rsidRPr="00FF184C">
        <w:rPr>
          <w:i/>
          <w:sz w:val="24"/>
          <w:szCs w:val="24"/>
          <w:lang w:val="en-US"/>
        </w:rPr>
        <w:t>Renal impairment</w:t>
      </w:r>
    </w:p>
    <w:p w14:paraId="70D25BEC" w14:textId="77777777" w:rsidR="00FF184C" w:rsidRPr="00FF184C" w:rsidRDefault="00FF184C" w:rsidP="00FF184C">
      <w:pPr>
        <w:tabs>
          <w:tab w:val="left" w:pos="851"/>
        </w:tabs>
        <w:ind w:left="851"/>
        <w:rPr>
          <w:sz w:val="24"/>
          <w:szCs w:val="24"/>
          <w:lang w:val="en-US"/>
        </w:rPr>
      </w:pPr>
      <w:r w:rsidRPr="00FF184C">
        <w:rPr>
          <w:sz w:val="24"/>
          <w:szCs w:val="24"/>
          <w:lang w:val="en-US"/>
        </w:rPr>
        <w:t>The serum concentrations of lurasidone are increased in healthy subjects with mild, moderate and severe renal impairment with an increased exposure of 1.5, 1.9 and 2.0-fold respectively. Subjects with ESRD (CrCl&lt;15 ml/min) have not been investigated.</w:t>
      </w:r>
    </w:p>
    <w:p w14:paraId="511D6B4A" w14:textId="77777777" w:rsidR="00FF184C" w:rsidRPr="00FF184C" w:rsidRDefault="00FF184C" w:rsidP="00FF184C">
      <w:pPr>
        <w:tabs>
          <w:tab w:val="left" w:pos="851"/>
        </w:tabs>
        <w:ind w:left="851"/>
        <w:rPr>
          <w:sz w:val="24"/>
          <w:szCs w:val="24"/>
          <w:lang w:val="en-US"/>
        </w:rPr>
      </w:pPr>
    </w:p>
    <w:p w14:paraId="70A9DEB4" w14:textId="77777777" w:rsidR="00FF184C" w:rsidRPr="00FF184C" w:rsidRDefault="00FF184C" w:rsidP="00FF184C">
      <w:pPr>
        <w:tabs>
          <w:tab w:val="left" w:pos="851"/>
        </w:tabs>
        <w:ind w:left="851"/>
        <w:rPr>
          <w:i/>
          <w:sz w:val="24"/>
          <w:szCs w:val="24"/>
          <w:lang w:val="en-US"/>
        </w:rPr>
      </w:pPr>
      <w:r w:rsidRPr="00FF184C">
        <w:rPr>
          <w:i/>
          <w:sz w:val="24"/>
          <w:szCs w:val="24"/>
          <w:lang w:val="en-US"/>
        </w:rPr>
        <w:t>Gender</w:t>
      </w:r>
    </w:p>
    <w:p w14:paraId="3FD1A404" w14:textId="77777777" w:rsidR="00FF184C" w:rsidRPr="00FF184C" w:rsidRDefault="00FF184C" w:rsidP="00FF184C">
      <w:pPr>
        <w:tabs>
          <w:tab w:val="left" w:pos="851"/>
        </w:tabs>
        <w:ind w:left="851"/>
        <w:rPr>
          <w:sz w:val="24"/>
          <w:szCs w:val="24"/>
          <w:lang w:val="en-US"/>
        </w:rPr>
      </w:pPr>
      <w:r w:rsidRPr="00FF184C">
        <w:rPr>
          <w:sz w:val="24"/>
          <w:szCs w:val="24"/>
          <w:lang w:val="en-US"/>
        </w:rPr>
        <w:t>There were no clinically relevant differences between genders in the pharmacokinetics of lurasidone in a population pharmacokinetic analysis in patients with schizophrenia.</w:t>
      </w:r>
    </w:p>
    <w:p w14:paraId="688DF468" w14:textId="77777777" w:rsidR="00FF184C" w:rsidRPr="00FF184C" w:rsidRDefault="00FF184C" w:rsidP="00FF184C">
      <w:pPr>
        <w:tabs>
          <w:tab w:val="left" w:pos="851"/>
        </w:tabs>
        <w:ind w:left="851"/>
        <w:rPr>
          <w:sz w:val="24"/>
          <w:szCs w:val="24"/>
          <w:lang w:val="en-US"/>
        </w:rPr>
      </w:pPr>
    </w:p>
    <w:p w14:paraId="28E63A83" w14:textId="77777777" w:rsidR="00FF184C" w:rsidRPr="00FF184C" w:rsidRDefault="00FF184C" w:rsidP="00FF184C">
      <w:pPr>
        <w:tabs>
          <w:tab w:val="left" w:pos="851"/>
        </w:tabs>
        <w:ind w:left="851"/>
        <w:rPr>
          <w:i/>
          <w:sz w:val="24"/>
          <w:szCs w:val="24"/>
          <w:lang w:val="en-US"/>
        </w:rPr>
      </w:pPr>
      <w:r w:rsidRPr="00FF184C">
        <w:rPr>
          <w:i/>
          <w:sz w:val="24"/>
          <w:szCs w:val="24"/>
          <w:lang w:val="en-US"/>
        </w:rPr>
        <w:lastRenderedPageBreak/>
        <w:t>Race</w:t>
      </w:r>
    </w:p>
    <w:p w14:paraId="235F6951" w14:textId="77777777" w:rsidR="00FF184C" w:rsidRPr="00FF184C" w:rsidRDefault="00FF184C" w:rsidP="00FF184C">
      <w:pPr>
        <w:tabs>
          <w:tab w:val="left" w:pos="851"/>
        </w:tabs>
        <w:ind w:left="851"/>
        <w:rPr>
          <w:sz w:val="24"/>
          <w:szCs w:val="24"/>
          <w:lang w:val="en-US"/>
        </w:rPr>
      </w:pPr>
      <w:r w:rsidRPr="00FF184C">
        <w:rPr>
          <w:sz w:val="24"/>
          <w:szCs w:val="24"/>
          <w:lang w:val="en-US"/>
        </w:rPr>
        <w:t>There were no clinically relevant differences in the pharmacokinetics of lurasidone in a population pharmacokinetic analysis in patients with schizophrenia. It was noted that Asian subjects had 1.5-fold increased exposure to lurasidone compared to Caucasian subjects.</w:t>
      </w:r>
    </w:p>
    <w:p w14:paraId="1E5804F8" w14:textId="77777777" w:rsidR="00FF184C" w:rsidRPr="00FF184C" w:rsidRDefault="00FF184C" w:rsidP="00FF184C">
      <w:pPr>
        <w:tabs>
          <w:tab w:val="left" w:pos="851"/>
        </w:tabs>
        <w:ind w:left="851"/>
        <w:rPr>
          <w:sz w:val="24"/>
          <w:szCs w:val="24"/>
          <w:lang w:val="en-US"/>
        </w:rPr>
      </w:pPr>
    </w:p>
    <w:p w14:paraId="31C36EF1" w14:textId="77777777" w:rsidR="00FF184C" w:rsidRPr="00FF184C" w:rsidRDefault="00FF184C" w:rsidP="00FF184C">
      <w:pPr>
        <w:tabs>
          <w:tab w:val="left" w:pos="851"/>
        </w:tabs>
        <w:ind w:left="851"/>
        <w:rPr>
          <w:i/>
          <w:sz w:val="24"/>
          <w:szCs w:val="24"/>
          <w:lang w:val="en-US"/>
        </w:rPr>
      </w:pPr>
      <w:r w:rsidRPr="00FF184C">
        <w:rPr>
          <w:i/>
          <w:sz w:val="24"/>
          <w:szCs w:val="24"/>
          <w:lang w:val="en-US"/>
        </w:rPr>
        <w:t>Smoking</w:t>
      </w:r>
    </w:p>
    <w:p w14:paraId="3183ED04" w14:textId="77777777" w:rsidR="00FF184C" w:rsidRPr="00FF184C" w:rsidRDefault="00FF184C" w:rsidP="00FF184C">
      <w:pPr>
        <w:tabs>
          <w:tab w:val="left" w:pos="851"/>
        </w:tabs>
        <w:ind w:left="851"/>
        <w:rPr>
          <w:sz w:val="24"/>
          <w:szCs w:val="24"/>
          <w:lang w:val="en-US"/>
        </w:rPr>
      </w:pPr>
      <w:r w:rsidRPr="00FF184C">
        <w:rPr>
          <w:sz w:val="24"/>
          <w:szCs w:val="24"/>
          <w:lang w:val="en-US"/>
        </w:rPr>
        <w:t xml:space="preserve">Based on </w:t>
      </w:r>
      <w:r w:rsidRPr="00FF184C">
        <w:rPr>
          <w:i/>
          <w:sz w:val="24"/>
          <w:szCs w:val="24"/>
          <w:lang w:val="en-US"/>
        </w:rPr>
        <w:t xml:space="preserve">in vitro </w:t>
      </w:r>
      <w:r w:rsidRPr="00FF184C">
        <w:rPr>
          <w:sz w:val="24"/>
          <w:szCs w:val="24"/>
          <w:lang w:val="en-US"/>
        </w:rPr>
        <w:t>studies utilising human liver enzymes, lurasidone is not a substrate for CYP1A2; smoking should, therefore, not have an effect on the pharmacokinetics of lurasidone.</w:t>
      </w:r>
    </w:p>
    <w:p w14:paraId="2D2887A6" w14:textId="77777777" w:rsidR="00FF184C" w:rsidRPr="00FF184C" w:rsidRDefault="00FF184C" w:rsidP="00FF184C">
      <w:pPr>
        <w:tabs>
          <w:tab w:val="left" w:pos="851"/>
        </w:tabs>
        <w:ind w:left="851"/>
        <w:rPr>
          <w:sz w:val="24"/>
          <w:szCs w:val="24"/>
          <w:lang w:val="en-US"/>
        </w:rPr>
      </w:pPr>
    </w:p>
    <w:p w14:paraId="06E8B2F1" w14:textId="77777777" w:rsidR="00FF184C" w:rsidRPr="00FF184C" w:rsidRDefault="00FF184C" w:rsidP="00FF184C">
      <w:pPr>
        <w:tabs>
          <w:tab w:val="left" w:pos="851"/>
        </w:tabs>
        <w:ind w:left="851"/>
        <w:rPr>
          <w:i/>
          <w:sz w:val="24"/>
          <w:szCs w:val="24"/>
          <w:lang w:val="en-US"/>
        </w:rPr>
      </w:pPr>
      <w:r w:rsidRPr="00FF184C">
        <w:rPr>
          <w:i/>
          <w:sz w:val="24"/>
          <w:szCs w:val="24"/>
          <w:lang w:val="en-US"/>
        </w:rPr>
        <w:t>Paediatric population</w:t>
      </w:r>
    </w:p>
    <w:p w14:paraId="28256D8B" w14:textId="77777777" w:rsidR="00FF184C" w:rsidRPr="00FF184C" w:rsidRDefault="00FF184C" w:rsidP="00FF184C">
      <w:pPr>
        <w:tabs>
          <w:tab w:val="left" w:pos="851"/>
        </w:tabs>
        <w:ind w:left="851"/>
        <w:rPr>
          <w:sz w:val="24"/>
          <w:szCs w:val="24"/>
          <w:lang w:val="en-US"/>
        </w:rPr>
      </w:pPr>
      <w:r w:rsidRPr="00FF184C">
        <w:rPr>
          <w:sz w:val="24"/>
          <w:szCs w:val="24"/>
          <w:lang w:val="en-US"/>
        </w:rPr>
        <w:t>The pharmacokinetics of lurasidone in paediatric patients was evaluated in 47 children aged 6-12 years and 234 adolescents aged 13-17 years. Lurasidone was administered as lurasidone hydrochloride at daily doses of either 20, 40, 80, 120 mg (6-17 years) or 160 mg (10-17 years only) for up to 42 days.</w:t>
      </w:r>
    </w:p>
    <w:p w14:paraId="3EE8247E" w14:textId="77777777" w:rsidR="00FF184C" w:rsidRPr="00FF184C" w:rsidRDefault="00FF184C" w:rsidP="00FF184C">
      <w:pPr>
        <w:tabs>
          <w:tab w:val="left" w:pos="851"/>
        </w:tabs>
        <w:ind w:left="851"/>
        <w:rPr>
          <w:sz w:val="24"/>
          <w:szCs w:val="24"/>
          <w:lang w:val="en-US"/>
        </w:rPr>
      </w:pPr>
      <w:r w:rsidRPr="00FF184C">
        <w:rPr>
          <w:sz w:val="24"/>
          <w:szCs w:val="24"/>
          <w:lang w:val="en-US"/>
        </w:rPr>
        <w:t>There was no clear correlation between obtained serum exposure and age or body weight. The pharmacokinetics of lurasidone in paediatric patients aged 6–17 years was generally comparable to those observed in adults.</w:t>
      </w:r>
    </w:p>
    <w:p w14:paraId="6ACCDC0C" w14:textId="77777777" w:rsidR="00FF184C" w:rsidRPr="00FF184C" w:rsidRDefault="00FF184C" w:rsidP="00FF184C">
      <w:pPr>
        <w:tabs>
          <w:tab w:val="left" w:pos="851"/>
        </w:tabs>
        <w:ind w:left="851"/>
        <w:rPr>
          <w:sz w:val="24"/>
          <w:szCs w:val="24"/>
          <w:lang w:val="en-US"/>
        </w:rPr>
      </w:pPr>
    </w:p>
    <w:p w14:paraId="7C5010AC" w14:textId="77777777" w:rsidR="007C5D2A" w:rsidRPr="00303008" w:rsidRDefault="00180A12" w:rsidP="007D5C29">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1094E701" w14:textId="6BB7D8BF" w:rsidR="00C219DD" w:rsidRPr="00C219DD" w:rsidRDefault="00C219DD" w:rsidP="00C219DD">
      <w:pPr>
        <w:tabs>
          <w:tab w:val="left" w:pos="851"/>
        </w:tabs>
        <w:ind w:left="851"/>
        <w:rPr>
          <w:sz w:val="24"/>
          <w:szCs w:val="24"/>
          <w:lang w:val="en-US"/>
        </w:rPr>
      </w:pPr>
      <w:r w:rsidRPr="00C219DD">
        <w:rPr>
          <w:sz w:val="24"/>
          <w:szCs w:val="24"/>
          <w:lang w:val="en-US"/>
        </w:rPr>
        <w:t>Nonclinical data reveal no special hazard for humans based on conventional studies of safety pharmacology, repeated dose toxicity, genotoxicity, and carcinogenic potential. Major findings in repeat-dose toxicity studies of lurasidone were centrally-mediated endocrine changes resulting from serum prolactin elevations in rats, dogs and monkeys. High serum prolactin levels in long-term repeat-dose studies in female rats were associated with effects on bones, adrenal glands, and</w:t>
      </w:r>
      <w:r>
        <w:rPr>
          <w:sz w:val="24"/>
          <w:szCs w:val="24"/>
          <w:lang w:val="en-US"/>
        </w:rPr>
        <w:t xml:space="preserve"> </w:t>
      </w:r>
      <w:r w:rsidRPr="00C219DD">
        <w:rPr>
          <w:sz w:val="24"/>
          <w:szCs w:val="24"/>
          <w:lang w:val="en-US"/>
        </w:rPr>
        <w:t>reproductive tissues. In a long-term dog repeat-dose study, high serum prolactin levels were associated with effects on male and female reproductive tissues.</w:t>
      </w:r>
    </w:p>
    <w:p w14:paraId="3B6EBFF8" w14:textId="77777777" w:rsidR="00C219DD" w:rsidRPr="00C219DD" w:rsidRDefault="00C219DD" w:rsidP="00C219DD">
      <w:pPr>
        <w:tabs>
          <w:tab w:val="left" w:pos="851"/>
        </w:tabs>
        <w:ind w:left="851"/>
        <w:rPr>
          <w:sz w:val="24"/>
          <w:szCs w:val="24"/>
          <w:lang w:val="en-US"/>
        </w:rPr>
      </w:pPr>
    </w:p>
    <w:p w14:paraId="22C76630" w14:textId="77777777" w:rsidR="00C219DD" w:rsidRPr="00C219DD" w:rsidRDefault="00C219DD" w:rsidP="00C219DD">
      <w:pPr>
        <w:tabs>
          <w:tab w:val="left" w:pos="851"/>
        </w:tabs>
        <w:ind w:left="851"/>
        <w:rPr>
          <w:sz w:val="24"/>
          <w:szCs w:val="24"/>
          <w:lang w:val="en-US"/>
        </w:rPr>
      </w:pPr>
      <w:r w:rsidRPr="00C219DD">
        <w:rPr>
          <w:sz w:val="24"/>
          <w:szCs w:val="24"/>
          <w:lang w:val="en-US"/>
        </w:rPr>
        <w:t>In rats, lurasidone had no effect on male and female reproduction at oral doses of 150 and</w:t>
      </w:r>
    </w:p>
    <w:p w14:paraId="56A7F1CA" w14:textId="77777777" w:rsidR="00C219DD" w:rsidRPr="00C219DD" w:rsidRDefault="00C219DD" w:rsidP="00C219DD">
      <w:pPr>
        <w:tabs>
          <w:tab w:val="left" w:pos="851"/>
        </w:tabs>
        <w:ind w:left="851"/>
        <w:rPr>
          <w:sz w:val="24"/>
          <w:szCs w:val="24"/>
          <w:lang w:val="en-US"/>
        </w:rPr>
      </w:pPr>
      <w:r w:rsidRPr="00C219DD">
        <w:rPr>
          <w:sz w:val="24"/>
          <w:szCs w:val="24"/>
          <w:lang w:val="en-US"/>
        </w:rPr>
        <w:t>0.1 mg/kg/day lurasidone hydrochloride, respectively, or on early embryonic development at an oral dose of 15 mg/kg/day lurasidone hydrochloride.</w:t>
      </w:r>
    </w:p>
    <w:p w14:paraId="03F3AEA0" w14:textId="77777777" w:rsidR="00C219DD" w:rsidRPr="00C219DD" w:rsidRDefault="00C219DD" w:rsidP="00C219DD">
      <w:pPr>
        <w:tabs>
          <w:tab w:val="left" w:pos="851"/>
        </w:tabs>
        <w:ind w:left="851"/>
        <w:rPr>
          <w:sz w:val="24"/>
          <w:szCs w:val="24"/>
          <w:lang w:val="en-US"/>
        </w:rPr>
      </w:pPr>
    </w:p>
    <w:p w14:paraId="3AA11721" w14:textId="1AEC61C8" w:rsidR="00C219DD" w:rsidRPr="00C219DD" w:rsidRDefault="00C219DD" w:rsidP="00C219DD">
      <w:pPr>
        <w:tabs>
          <w:tab w:val="left" w:pos="851"/>
        </w:tabs>
        <w:ind w:left="851"/>
        <w:rPr>
          <w:sz w:val="24"/>
          <w:szCs w:val="24"/>
          <w:lang w:val="en-US"/>
        </w:rPr>
      </w:pPr>
      <w:r w:rsidRPr="00C219DD">
        <w:rPr>
          <w:sz w:val="24"/>
          <w:szCs w:val="24"/>
          <w:lang w:val="en-US"/>
        </w:rPr>
        <w:t>A fertility study in female rats resulted in prolonged oestrous cycle and delayed copulation at</w:t>
      </w:r>
      <w:r>
        <w:rPr>
          <w:sz w:val="24"/>
          <w:szCs w:val="24"/>
          <w:lang w:val="en-US"/>
        </w:rPr>
        <w:t xml:space="preserve"> </w:t>
      </w:r>
      <w:r w:rsidRPr="00C219DD">
        <w:rPr>
          <w:sz w:val="24"/>
          <w:szCs w:val="24"/>
          <w:lang w:val="en-US"/>
        </w:rPr>
        <w:t>≥1.5 mg/kg/day lurasidone hydrochloride, whilst the copulation and fertility indices, and the numbers of corpora lutea, implantations and live foetuses were decreased at 150 mg/kg/day lurasidone hydrochloride. These effects were due to the hyperprolactinemia following lurasidone treatment, affecting the oestrous cycle and copulatory behaviour as well as the maintenance of corpus luteum of the female rats, resulting in a decrease in implantation and the number of live foetuses. These prolactin-related effects are not considered to be relevant to human reproduction.</w:t>
      </w:r>
    </w:p>
    <w:p w14:paraId="51012734" w14:textId="77777777" w:rsidR="00C219DD" w:rsidRPr="00C219DD" w:rsidRDefault="00C219DD" w:rsidP="00C219DD">
      <w:pPr>
        <w:tabs>
          <w:tab w:val="left" w:pos="851"/>
        </w:tabs>
        <w:ind w:left="851"/>
        <w:rPr>
          <w:sz w:val="24"/>
          <w:szCs w:val="24"/>
          <w:lang w:val="en-US"/>
        </w:rPr>
      </w:pPr>
    </w:p>
    <w:p w14:paraId="3449C40B" w14:textId="77777777" w:rsidR="00C219DD" w:rsidRPr="00C219DD" w:rsidRDefault="00C219DD" w:rsidP="00C219DD">
      <w:pPr>
        <w:tabs>
          <w:tab w:val="left" w:pos="851"/>
        </w:tabs>
        <w:ind w:left="851"/>
        <w:rPr>
          <w:sz w:val="24"/>
          <w:szCs w:val="24"/>
          <w:lang w:val="en-US"/>
        </w:rPr>
      </w:pPr>
      <w:r w:rsidRPr="00C219DD">
        <w:rPr>
          <w:sz w:val="24"/>
          <w:szCs w:val="24"/>
          <w:lang w:val="en-US"/>
        </w:rPr>
        <w:t>A single dose of 10 mg/kg lurasidone hydrochloride to pregnant rats resulted in fetal exposure. In a dose range finding study in pregnant rats, 150 mg/kg/day lurasidone hydrochloride caused fetal growth retardation without signs of teratogenicity. Lurasidone was not teratogenic in rats or rabbits at an exposure similar to or below the maximum recommended human dose (148 mg lurasidone).</w:t>
      </w:r>
    </w:p>
    <w:p w14:paraId="0CF29EC9" w14:textId="77777777" w:rsidR="00C219DD" w:rsidRPr="00C219DD" w:rsidRDefault="00C219DD" w:rsidP="00C219DD">
      <w:pPr>
        <w:tabs>
          <w:tab w:val="left" w:pos="851"/>
        </w:tabs>
        <w:ind w:left="851"/>
        <w:rPr>
          <w:sz w:val="24"/>
          <w:szCs w:val="24"/>
          <w:lang w:val="en-US"/>
        </w:rPr>
      </w:pPr>
    </w:p>
    <w:p w14:paraId="52C22EC1"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In the definitive juvenile rat toxicity study, no increased sensitivity of juvenile animals to lurasidone- related effects on body weight, food consumption, and clinical observations </w:t>
      </w:r>
      <w:r w:rsidRPr="00C219DD">
        <w:rPr>
          <w:sz w:val="24"/>
          <w:szCs w:val="24"/>
          <w:lang w:val="en-US"/>
        </w:rPr>
        <w:lastRenderedPageBreak/>
        <w:t>were apparent, but similar effects as in adult rat were noted (delays in growth and development and hyperprolactinaemia).</w:t>
      </w:r>
    </w:p>
    <w:p w14:paraId="5607E5CD" w14:textId="54E533CF" w:rsidR="00C219DD" w:rsidRPr="00C219DD" w:rsidRDefault="00C219DD" w:rsidP="00C219DD">
      <w:pPr>
        <w:tabs>
          <w:tab w:val="left" w:pos="851"/>
        </w:tabs>
        <w:ind w:left="851"/>
        <w:rPr>
          <w:sz w:val="24"/>
          <w:szCs w:val="24"/>
          <w:lang w:val="en-US"/>
        </w:rPr>
      </w:pPr>
      <w:r w:rsidRPr="00C219DD">
        <w:rPr>
          <w:sz w:val="24"/>
          <w:szCs w:val="24"/>
          <w:lang w:val="en-US"/>
        </w:rPr>
        <w:t>Hyperactivity that was evident at ≥3 mg/kg/day during the post-treatment period has also been reported for other D2 receptor antagonists. Slightly lower birth weights and body weights/body weight gains during the postnatal period were noted in the offspring of juvenile rats previously treated with</w:t>
      </w:r>
      <w:r>
        <w:rPr>
          <w:sz w:val="24"/>
          <w:szCs w:val="24"/>
          <w:lang w:val="en-US"/>
        </w:rPr>
        <w:t xml:space="preserve"> </w:t>
      </w:r>
      <w:r w:rsidRPr="00C219DD">
        <w:rPr>
          <w:sz w:val="24"/>
          <w:szCs w:val="24"/>
          <w:lang w:val="en-US"/>
        </w:rPr>
        <w:t>≥30 mg/kg/day. At the NOAEL of 3 mg/kg/day, the exposures of lurasidone and most metabolites were lower than that achieved at the recommended clinical dose in adolescents aged 13 years or above.</w:t>
      </w:r>
    </w:p>
    <w:p w14:paraId="0807D3CD" w14:textId="77777777" w:rsidR="00C219DD" w:rsidRPr="00C219DD" w:rsidRDefault="00C219DD" w:rsidP="00C219DD">
      <w:pPr>
        <w:tabs>
          <w:tab w:val="left" w:pos="851"/>
        </w:tabs>
        <w:ind w:left="851"/>
        <w:rPr>
          <w:sz w:val="24"/>
          <w:szCs w:val="24"/>
          <w:lang w:val="en-US"/>
        </w:rPr>
      </w:pPr>
    </w:p>
    <w:p w14:paraId="2F550949" w14:textId="77777777" w:rsidR="00C219DD" w:rsidRPr="00C219DD" w:rsidRDefault="00C219DD" w:rsidP="00C219DD">
      <w:pPr>
        <w:tabs>
          <w:tab w:val="left" w:pos="851"/>
        </w:tabs>
        <w:ind w:left="851"/>
        <w:rPr>
          <w:sz w:val="24"/>
          <w:szCs w:val="24"/>
          <w:lang w:val="en-US"/>
        </w:rPr>
      </w:pPr>
      <w:r w:rsidRPr="00C219DD">
        <w:rPr>
          <w:sz w:val="24"/>
          <w:szCs w:val="24"/>
          <w:lang w:val="en-US"/>
        </w:rPr>
        <w:t>Lurasidone was excreted in milk of rats during lactation.</w:t>
      </w:r>
    </w:p>
    <w:p w14:paraId="6C51F6A1" w14:textId="77777777" w:rsidR="00C219DD" w:rsidRPr="00C219DD" w:rsidRDefault="00C219DD" w:rsidP="00C219DD">
      <w:pPr>
        <w:tabs>
          <w:tab w:val="left" w:pos="851"/>
        </w:tabs>
        <w:ind w:left="851"/>
        <w:rPr>
          <w:sz w:val="24"/>
          <w:szCs w:val="24"/>
          <w:lang w:val="en-US"/>
        </w:rPr>
      </w:pPr>
    </w:p>
    <w:p w14:paraId="1F6F78C6" w14:textId="77777777" w:rsidR="00C219DD" w:rsidRPr="00C219DD" w:rsidRDefault="00C219DD" w:rsidP="00C219DD">
      <w:pPr>
        <w:tabs>
          <w:tab w:val="left" w:pos="851"/>
        </w:tabs>
        <w:ind w:left="851"/>
        <w:rPr>
          <w:sz w:val="24"/>
          <w:szCs w:val="24"/>
          <w:lang w:val="en-US"/>
        </w:rPr>
      </w:pPr>
      <w:r w:rsidRPr="00C219DD">
        <w:rPr>
          <w:sz w:val="24"/>
          <w:szCs w:val="24"/>
          <w:lang w:val="en-US"/>
        </w:rPr>
        <w:t>Lurasidone was not genotoxic in a battery of tests. Mammary gland and/or pituitary gland tumours were observed in the mouse and rat carcinogenicity studies and are most likely due to the increased blood prolactin levels. These findings are common in rodents treated with antipsychotic medicinal products with dopamine D2 blocking activity and are considered to be rodent-specific.</w:t>
      </w:r>
    </w:p>
    <w:p w14:paraId="12790831" w14:textId="77777777" w:rsidR="00C219DD" w:rsidRPr="00C219DD" w:rsidRDefault="00C219DD" w:rsidP="00C219DD">
      <w:pPr>
        <w:tabs>
          <w:tab w:val="left" w:pos="851"/>
        </w:tabs>
        <w:ind w:left="851"/>
        <w:rPr>
          <w:sz w:val="24"/>
          <w:szCs w:val="24"/>
          <w:lang w:val="en-US"/>
        </w:rPr>
      </w:pPr>
    </w:p>
    <w:p w14:paraId="483C057C" w14:textId="77777777" w:rsidR="00C219DD" w:rsidRPr="00C219DD" w:rsidRDefault="00C219DD" w:rsidP="00C219DD">
      <w:pPr>
        <w:tabs>
          <w:tab w:val="left" w:pos="851"/>
        </w:tabs>
        <w:ind w:left="851"/>
        <w:rPr>
          <w:sz w:val="24"/>
          <w:szCs w:val="24"/>
          <w:lang w:val="en-US"/>
        </w:rPr>
      </w:pPr>
    </w:p>
    <w:p w14:paraId="47DEAF30" w14:textId="77777777" w:rsidR="007C5D2A" w:rsidRPr="00303008" w:rsidRDefault="009925C9" w:rsidP="007D5C29">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44F39044" w14:textId="77777777" w:rsidR="007C5D2A" w:rsidRPr="00303008" w:rsidRDefault="007C5D2A" w:rsidP="007D5C29">
      <w:pPr>
        <w:tabs>
          <w:tab w:val="left" w:pos="851"/>
        </w:tabs>
        <w:ind w:left="851"/>
        <w:rPr>
          <w:sz w:val="24"/>
          <w:szCs w:val="24"/>
          <w:lang w:val="en-GB"/>
        </w:rPr>
      </w:pPr>
    </w:p>
    <w:p w14:paraId="4EF253A6" w14:textId="77777777" w:rsidR="007C5D2A" w:rsidRPr="00303008" w:rsidRDefault="007C5D2A" w:rsidP="007D5C29">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4F52AF21" w14:textId="77777777" w:rsidR="00C219DD" w:rsidRPr="00C219DD" w:rsidRDefault="00C219DD" w:rsidP="00C219DD">
      <w:pPr>
        <w:tabs>
          <w:tab w:val="left" w:pos="851"/>
        </w:tabs>
        <w:ind w:left="851"/>
        <w:rPr>
          <w:b/>
          <w:sz w:val="24"/>
          <w:szCs w:val="24"/>
          <w:lang w:val="en-US"/>
        </w:rPr>
      </w:pPr>
    </w:p>
    <w:p w14:paraId="3215669F" w14:textId="77777777" w:rsidR="00C219DD" w:rsidRPr="00C219DD" w:rsidRDefault="00C219DD" w:rsidP="00C219DD">
      <w:pPr>
        <w:tabs>
          <w:tab w:val="left" w:pos="851"/>
        </w:tabs>
        <w:ind w:left="851"/>
        <w:rPr>
          <w:sz w:val="24"/>
          <w:szCs w:val="24"/>
          <w:u w:val="single"/>
          <w:lang w:val="en-US"/>
        </w:rPr>
      </w:pPr>
      <w:r w:rsidRPr="00C219DD">
        <w:rPr>
          <w:sz w:val="24"/>
          <w:szCs w:val="24"/>
          <w:u w:val="single"/>
          <w:lang w:val="en-US"/>
        </w:rPr>
        <w:t xml:space="preserve">Lurasidonhydrochlorid "Elpen" 18.5 mg film-coated tablets </w:t>
      </w:r>
    </w:p>
    <w:p w14:paraId="2C0275E4" w14:textId="77777777" w:rsidR="00C219DD" w:rsidRDefault="00C219DD" w:rsidP="00C219DD">
      <w:pPr>
        <w:tabs>
          <w:tab w:val="left" w:pos="851"/>
        </w:tabs>
        <w:ind w:left="851"/>
        <w:rPr>
          <w:sz w:val="24"/>
          <w:szCs w:val="24"/>
          <w:u w:val="single"/>
          <w:lang w:val="en-US"/>
        </w:rPr>
      </w:pPr>
    </w:p>
    <w:p w14:paraId="7A0EAF3C" w14:textId="2178A298" w:rsidR="00C219DD" w:rsidRPr="00C219DD" w:rsidRDefault="00C219DD" w:rsidP="00C219DD">
      <w:pPr>
        <w:tabs>
          <w:tab w:val="left" w:pos="851"/>
        </w:tabs>
        <w:ind w:left="851"/>
        <w:rPr>
          <w:i/>
          <w:sz w:val="24"/>
          <w:szCs w:val="24"/>
          <w:lang w:val="en-US"/>
        </w:rPr>
      </w:pPr>
      <w:r w:rsidRPr="00C219DD">
        <w:rPr>
          <w:i/>
          <w:sz w:val="24"/>
          <w:szCs w:val="24"/>
          <w:lang w:val="en-US"/>
        </w:rPr>
        <w:t>Core</w:t>
      </w:r>
    </w:p>
    <w:p w14:paraId="206589F5"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Mannitol (E 421) </w:t>
      </w:r>
    </w:p>
    <w:p w14:paraId="726A4AE7"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Croscarmellose sodium (E468) </w:t>
      </w:r>
    </w:p>
    <w:p w14:paraId="72C86405" w14:textId="77777777" w:rsidR="00C219DD" w:rsidRPr="00C219DD" w:rsidRDefault="00C219DD" w:rsidP="00C219DD">
      <w:pPr>
        <w:tabs>
          <w:tab w:val="left" w:pos="851"/>
        </w:tabs>
        <w:ind w:left="851"/>
        <w:rPr>
          <w:sz w:val="24"/>
          <w:szCs w:val="24"/>
          <w:lang w:val="en-US"/>
        </w:rPr>
      </w:pPr>
      <w:r w:rsidRPr="00C219DD">
        <w:rPr>
          <w:sz w:val="24"/>
          <w:szCs w:val="24"/>
          <w:lang w:val="en-US"/>
        </w:rPr>
        <w:t>Hypromellose  (E464)</w:t>
      </w:r>
    </w:p>
    <w:p w14:paraId="0CB2076F" w14:textId="77777777" w:rsidR="00C219DD" w:rsidRPr="00C219DD" w:rsidRDefault="00C219DD" w:rsidP="00C219DD">
      <w:pPr>
        <w:tabs>
          <w:tab w:val="left" w:pos="851"/>
        </w:tabs>
        <w:ind w:left="851"/>
        <w:rPr>
          <w:sz w:val="24"/>
          <w:szCs w:val="24"/>
          <w:lang w:val="en-US"/>
        </w:rPr>
      </w:pPr>
      <w:r w:rsidRPr="00C219DD">
        <w:rPr>
          <w:sz w:val="24"/>
          <w:szCs w:val="24"/>
          <w:lang w:val="en-US"/>
        </w:rPr>
        <w:t>Magnesium stearate (E 470b)</w:t>
      </w:r>
    </w:p>
    <w:p w14:paraId="24D3EB4B" w14:textId="77777777" w:rsidR="00C219DD" w:rsidRPr="00C219DD" w:rsidRDefault="00C219DD" w:rsidP="00C219DD">
      <w:pPr>
        <w:tabs>
          <w:tab w:val="left" w:pos="851"/>
        </w:tabs>
        <w:ind w:left="851"/>
        <w:rPr>
          <w:sz w:val="24"/>
          <w:szCs w:val="24"/>
          <w:lang w:val="en-US"/>
        </w:rPr>
      </w:pPr>
      <w:r w:rsidRPr="00C219DD">
        <w:rPr>
          <w:sz w:val="24"/>
          <w:szCs w:val="24"/>
          <w:lang w:val="en-US"/>
        </w:rPr>
        <w:t>Cellulose, microcrystalline 101 (E460)</w:t>
      </w:r>
    </w:p>
    <w:p w14:paraId="70F65809" w14:textId="77777777" w:rsidR="00C219DD" w:rsidRPr="00C219DD" w:rsidRDefault="00C219DD" w:rsidP="00C219DD">
      <w:pPr>
        <w:tabs>
          <w:tab w:val="left" w:pos="851"/>
        </w:tabs>
        <w:ind w:left="851"/>
        <w:rPr>
          <w:sz w:val="24"/>
          <w:szCs w:val="24"/>
          <w:lang w:val="en-US"/>
        </w:rPr>
      </w:pPr>
      <w:r w:rsidRPr="00C219DD">
        <w:rPr>
          <w:sz w:val="24"/>
          <w:szCs w:val="24"/>
          <w:lang w:val="en-US"/>
        </w:rPr>
        <w:t>Cellulose, microcrystalline 102 (E460)</w:t>
      </w:r>
    </w:p>
    <w:p w14:paraId="359C4F86" w14:textId="77777777" w:rsidR="00C219DD" w:rsidRPr="00C219DD" w:rsidRDefault="00C219DD" w:rsidP="00C219DD">
      <w:pPr>
        <w:tabs>
          <w:tab w:val="left" w:pos="851"/>
        </w:tabs>
        <w:ind w:left="851"/>
        <w:rPr>
          <w:sz w:val="24"/>
          <w:szCs w:val="24"/>
          <w:lang w:val="en-US"/>
        </w:rPr>
      </w:pPr>
    </w:p>
    <w:p w14:paraId="48A3A411" w14:textId="77777777" w:rsidR="00C219DD" w:rsidRPr="00C219DD" w:rsidRDefault="00C219DD" w:rsidP="00C219DD">
      <w:pPr>
        <w:tabs>
          <w:tab w:val="left" w:pos="851"/>
        </w:tabs>
        <w:ind w:left="851"/>
        <w:rPr>
          <w:i/>
          <w:sz w:val="24"/>
          <w:szCs w:val="24"/>
          <w:lang w:val="en-US"/>
        </w:rPr>
      </w:pPr>
      <w:r w:rsidRPr="00C219DD">
        <w:rPr>
          <w:i/>
          <w:sz w:val="24"/>
          <w:szCs w:val="24"/>
          <w:lang w:val="en-US"/>
        </w:rPr>
        <w:t xml:space="preserve">Tablet coating </w:t>
      </w:r>
    </w:p>
    <w:p w14:paraId="48D9F897" w14:textId="77777777" w:rsidR="00C219DD" w:rsidRPr="00C219DD" w:rsidRDefault="00C219DD" w:rsidP="00C219DD">
      <w:pPr>
        <w:tabs>
          <w:tab w:val="left" w:pos="851"/>
        </w:tabs>
        <w:ind w:left="851"/>
        <w:rPr>
          <w:sz w:val="24"/>
          <w:szCs w:val="24"/>
          <w:lang w:val="en-US"/>
        </w:rPr>
      </w:pPr>
      <w:r w:rsidRPr="00C219DD">
        <w:rPr>
          <w:sz w:val="24"/>
          <w:szCs w:val="24"/>
          <w:lang w:val="en-US"/>
        </w:rPr>
        <w:t>Hypromellose 2910 (E464)</w:t>
      </w:r>
    </w:p>
    <w:p w14:paraId="6D229F94" w14:textId="77777777" w:rsidR="00C219DD" w:rsidRPr="00C219DD" w:rsidRDefault="00C219DD" w:rsidP="00C219DD">
      <w:pPr>
        <w:tabs>
          <w:tab w:val="left" w:pos="851"/>
        </w:tabs>
        <w:ind w:left="851"/>
        <w:rPr>
          <w:sz w:val="24"/>
          <w:szCs w:val="24"/>
          <w:lang w:val="en-US"/>
        </w:rPr>
      </w:pPr>
      <w:r w:rsidRPr="00C219DD">
        <w:rPr>
          <w:sz w:val="24"/>
          <w:szCs w:val="24"/>
          <w:lang w:val="en-US"/>
        </w:rPr>
        <w:t>Titanium dioxide (E171) Macrogol 8000 (E1521)</w:t>
      </w:r>
    </w:p>
    <w:p w14:paraId="6450F217" w14:textId="77777777" w:rsidR="00C219DD" w:rsidRPr="00C219DD" w:rsidRDefault="00C219DD" w:rsidP="00C219DD">
      <w:pPr>
        <w:tabs>
          <w:tab w:val="left" w:pos="851"/>
        </w:tabs>
        <w:ind w:left="851"/>
        <w:rPr>
          <w:sz w:val="24"/>
          <w:szCs w:val="24"/>
          <w:lang w:val="en-US"/>
        </w:rPr>
      </w:pPr>
    </w:p>
    <w:p w14:paraId="7276CBB1" w14:textId="77777777" w:rsidR="00C219DD" w:rsidRPr="00C219DD" w:rsidRDefault="00C219DD" w:rsidP="00C219DD">
      <w:pPr>
        <w:tabs>
          <w:tab w:val="left" w:pos="851"/>
        </w:tabs>
        <w:ind w:left="851"/>
        <w:rPr>
          <w:sz w:val="24"/>
          <w:szCs w:val="24"/>
          <w:u w:val="single"/>
          <w:lang w:val="en-US"/>
        </w:rPr>
      </w:pPr>
      <w:r w:rsidRPr="00C219DD">
        <w:rPr>
          <w:sz w:val="24"/>
          <w:szCs w:val="24"/>
          <w:u w:val="single"/>
          <w:lang w:val="en-US"/>
        </w:rPr>
        <w:t xml:space="preserve">Lurasidonhydrochlorid "Elpen" 37 mg film-coated tablets </w:t>
      </w:r>
    </w:p>
    <w:p w14:paraId="1AD7B433" w14:textId="77777777" w:rsidR="00C219DD" w:rsidRDefault="00C219DD" w:rsidP="00C219DD">
      <w:pPr>
        <w:tabs>
          <w:tab w:val="left" w:pos="851"/>
        </w:tabs>
        <w:ind w:left="851"/>
        <w:rPr>
          <w:sz w:val="24"/>
          <w:szCs w:val="24"/>
          <w:u w:val="single"/>
          <w:lang w:val="en-US"/>
        </w:rPr>
      </w:pPr>
    </w:p>
    <w:p w14:paraId="52713744" w14:textId="7571690B" w:rsidR="00C219DD" w:rsidRPr="00C219DD" w:rsidRDefault="00C219DD" w:rsidP="00C219DD">
      <w:pPr>
        <w:tabs>
          <w:tab w:val="left" w:pos="851"/>
        </w:tabs>
        <w:ind w:left="851"/>
        <w:rPr>
          <w:i/>
          <w:sz w:val="24"/>
          <w:szCs w:val="24"/>
          <w:lang w:val="en-US"/>
        </w:rPr>
      </w:pPr>
      <w:r w:rsidRPr="00C219DD">
        <w:rPr>
          <w:i/>
          <w:sz w:val="24"/>
          <w:szCs w:val="24"/>
          <w:lang w:val="en-US"/>
        </w:rPr>
        <w:t>Core</w:t>
      </w:r>
    </w:p>
    <w:p w14:paraId="5C62102E"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Mannitol (E 421) </w:t>
      </w:r>
    </w:p>
    <w:p w14:paraId="3913A4CE"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Croscarmellose sodium (E468) </w:t>
      </w:r>
    </w:p>
    <w:p w14:paraId="41A6427C" w14:textId="77777777" w:rsidR="00C219DD" w:rsidRPr="00C219DD" w:rsidRDefault="00C219DD" w:rsidP="00C219DD">
      <w:pPr>
        <w:tabs>
          <w:tab w:val="left" w:pos="851"/>
        </w:tabs>
        <w:ind w:left="851"/>
        <w:rPr>
          <w:sz w:val="24"/>
          <w:szCs w:val="24"/>
          <w:lang w:val="en-US"/>
        </w:rPr>
      </w:pPr>
      <w:r w:rsidRPr="00C219DD">
        <w:rPr>
          <w:sz w:val="24"/>
          <w:szCs w:val="24"/>
          <w:lang w:val="en-US"/>
        </w:rPr>
        <w:t>Hypromellose (E464)</w:t>
      </w:r>
    </w:p>
    <w:p w14:paraId="22516C1C" w14:textId="77777777" w:rsidR="00C219DD" w:rsidRPr="00C219DD" w:rsidRDefault="00C219DD" w:rsidP="00C219DD">
      <w:pPr>
        <w:tabs>
          <w:tab w:val="left" w:pos="851"/>
        </w:tabs>
        <w:ind w:left="851"/>
        <w:rPr>
          <w:sz w:val="24"/>
          <w:szCs w:val="24"/>
          <w:lang w:val="en-US"/>
        </w:rPr>
      </w:pPr>
      <w:r w:rsidRPr="00C219DD">
        <w:rPr>
          <w:sz w:val="24"/>
          <w:szCs w:val="24"/>
          <w:lang w:val="en-US"/>
        </w:rPr>
        <w:t>Magnesium stearate (E 470b)</w:t>
      </w:r>
    </w:p>
    <w:p w14:paraId="28AD3894" w14:textId="77777777" w:rsidR="00C219DD" w:rsidRPr="00C219DD" w:rsidRDefault="00C219DD" w:rsidP="00C219DD">
      <w:pPr>
        <w:tabs>
          <w:tab w:val="left" w:pos="851"/>
        </w:tabs>
        <w:ind w:left="851"/>
        <w:rPr>
          <w:sz w:val="24"/>
          <w:szCs w:val="24"/>
          <w:lang w:val="en-US"/>
        </w:rPr>
      </w:pPr>
      <w:r w:rsidRPr="00C219DD">
        <w:rPr>
          <w:sz w:val="24"/>
          <w:szCs w:val="24"/>
          <w:lang w:val="en-US"/>
        </w:rPr>
        <w:t>Cellulose, microcrystalline 101 (E460)</w:t>
      </w:r>
    </w:p>
    <w:p w14:paraId="18604768" w14:textId="77777777" w:rsidR="00C219DD" w:rsidRPr="00C219DD" w:rsidRDefault="00C219DD" w:rsidP="00C219DD">
      <w:pPr>
        <w:tabs>
          <w:tab w:val="left" w:pos="851"/>
        </w:tabs>
        <w:ind w:left="851"/>
        <w:rPr>
          <w:sz w:val="24"/>
          <w:szCs w:val="24"/>
          <w:lang w:val="en-US"/>
        </w:rPr>
      </w:pPr>
      <w:r w:rsidRPr="00C219DD">
        <w:rPr>
          <w:sz w:val="24"/>
          <w:szCs w:val="24"/>
          <w:lang w:val="en-US"/>
        </w:rPr>
        <w:t>Cellulose, microcrystalline 102 (E460)</w:t>
      </w:r>
    </w:p>
    <w:p w14:paraId="40A018C1" w14:textId="77777777" w:rsidR="00C219DD" w:rsidRPr="00C219DD" w:rsidRDefault="00C219DD" w:rsidP="00C219DD">
      <w:pPr>
        <w:tabs>
          <w:tab w:val="left" w:pos="851"/>
        </w:tabs>
        <w:ind w:left="851"/>
        <w:rPr>
          <w:sz w:val="24"/>
          <w:szCs w:val="24"/>
          <w:lang w:val="en-US"/>
        </w:rPr>
      </w:pPr>
    </w:p>
    <w:p w14:paraId="58E271E3" w14:textId="77777777" w:rsidR="00C219DD" w:rsidRPr="00C219DD" w:rsidRDefault="00C219DD" w:rsidP="00C219DD">
      <w:pPr>
        <w:tabs>
          <w:tab w:val="left" w:pos="851"/>
        </w:tabs>
        <w:ind w:left="851"/>
        <w:rPr>
          <w:i/>
          <w:sz w:val="24"/>
          <w:szCs w:val="24"/>
          <w:lang w:val="en-US"/>
        </w:rPr>
      </w:pPr>
      <w:r w:rsidRPr="00C219DD">
        <w:rPr>
          <w:i/>
          <w:sz w:val="24"/>
          <w:szCs w:val="24"/>
          <w:lang w:val="en-US"/>
        </w:rPr>
        <w:t xml:space="preserve">Tablet coating </w:t>
      </w:r>
    </w:p>
    <w:p w14:paraId="02380023"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Hypromellose 2910 (E464) </w:t>
      </w:r>
    </w:p>
    <w:p w14:paraId="3969FD0E" w14:textId="77777777" w:rsidR="00C219DD" w:rsidRPr="00C219DD" w:rsidRDefault="00C219DD" w:rsidP="00C219DD">
      <w:pPr>
        <w:tabs>
          <w:tab w:val="left" w:pos="851"/>
        </w:tabs>
        <w:ind w:left="851"/>
        <w:rPr>
          <w:sz w:val="24"/>
          <w:szCs w:val="24"/>
          <w:lang w:val="en-US"/>
        </w:rPr>
      </w:pPr>
      <w:r w:rsidRPr="00C219DD">
        <w:rPr>
          <w:sz w:val="24"/>
          <w:szCs w:val="24"/>
          <w:lang w:val="en-US"/>
        </w:rPr>
        <w:t>Titanium dioxide (E171) Macrogol 8000 (E1521)</w:t>
      </w:r>
    </w:p>
    <w:p w14:paraId="321DE0B9" w14:textId="5DA8DD58" w:rsidR="00C219DD" w:rsidRDefault="00C219DD">
      <w:pPr>
        <w:rPr>
          <w:sz w:val="24"/>
          <w:szCs w:val="24"/>
          <w:lang w:val="en-US"/>
        </w:rPr>
      </w:pPr>
      <w:r>
        <w:rPr>
          <w:sz w:val="24"/>
          <w:szCs w:val="24"/>
          <w:lang w:val="en-US"/>
        </w:rPr>
        <w:br w:type="page"/>
      </w:r>
    </w:p>
    <w:p w14:paraId="3240720E" w14:textId="77777777" w:rsidR="00C219DD" w:rsidRPr="00C219DD" w:rsidRDefault="00C219DD" w:rsidP="00C219DD">
      <w:pPr>
        <w:tabs>
          <w:tab w:val="left" w:pos="851"/>
        </w:tabs>
        <w:ind w:left="851"/>
        <w:rPr>
          <w:sz w:val="24"/>
          <w:szCs w:val="24"/>
          <w:lang w:val="en-US"/>
        </w:rPr>
      </w:pPr>
    </w:p>
    <w:p w14:paraId="06842442" w14:textId="77777777" w:rsidR="00C219DD" w:rsidRPr="00C219DD" w:rsidRDefault="00C219DD" w:rsidP="00C219DD">
      <w:pPr>
        <w:tabs>
          <w:tab w:val="left" w:pos="851"/>
        </w:tabs>
        <w:ind w:left="851"/>
        <w:rPr>
          <w:sz w:val="24"/>
          <w:szCs w:val="24"/>
          <w:u w:val="single"/>
          <w:lang w:val="en-US"/>
        </w:rPr>
      </w:pPr>
      <w:r w:rsidRPr="00C219DD">
        <w:rPr>
          <w:sz w:val="24"/>
          <w:szCs w:val="24"/>
          <w:u w:val="single"/>
          <w:lang w:val="en-US"/>
        </w:rPr>
        <w:t xml:space="preserve">Lurasidonhydrochlorid "Elpen" 74 mg film-coated tablets </w:t>
      </w:r>
    </w:p>
    <w:p w14:paraId="15E3C27C" w14:textId="77777777" w:rsidR="00C219DD" w:rsidRDefault="00C219DD" w:rsidP="00C219DD">
      <w:pPr>
        <w:tabs>
          <w:tab w:val="left" w:pos="851"/>
        </w:tabs>
        <w:ind w:left="851"/>
        <w:rPr>
          <w:sz w:val="24"/>
          <w:szCs w:val="24"/>
          <w:u w:val="single"/>
          <w:lang w:val="en-US"/>
        </w:rPr>
      </w:pPr>
    </w:p>
    <w:p w14:paraId="166FB8A4" w14:textId="6028BCE7" w:rsidR="00C219DD" w:rsidRPr="00C219DD" w:rsidRDefault="00C219DD" w:rsidP="00C219DD">
      <w:pPr>
        <w:tabs>
          <w:tab w:val="left" w:pos="851"/>
        </w:tabs>
        <w:ind w:left="851"/>
        <w:rPr>
          <w:i/>
          <w:sz w:val="24"/>
          <w:szCs w:val="24"/>
          <w:lang w:val="en-US"/>
        </w:rPr>
      </w:pPr>
      <w:r w:rsidRPr="00C219DD">
        <w:rPr>
          <w:i/>
          <w:sz w:val="24"/>
          <w:szCs w:val="24"/>
          <w:lang w:val="en-US"/>
        </w:rPr>
        <w:t>Core</w:t>
      </w:r>
    </w:p>
    <w:p w14:paraId="570B3C0D"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Mannitol (E 421) </w:t>
      </w:r>
    </w:p>
    <w:p w14:paraId="650B9BB5" w14:textId="77777777" w:rsidR="00C219DD" w:rsidRPr="00C219DD" w:rsidRDefault="00C219DD" w:rsidP="00C219DD">
      <w:pPr>
        <w:tabs>
          <w:tab w:val="left" w:pos="851"/>
        </w:tabs>
        <w:ind w:left="851"/>
        <w:rPr>
          <w:sz w:val="24"/>
          <w:szCs w:val="24"/>
          <w:lang w:val="en-US"/>
        </w:rPr>
      </w:pPr>
      <w:r w:rsidRPr="00C219DD">
        <w:rPr>
          <w:sz w:val="24"/>
          <w:szCs w:val="24"/>
          <w:lang w:val="en-US"/>
        </w:rPr>
        <w:t>Croscarmellose sodium (E468)</w:t>
      </w:r>
    </w:p>
    <w:p w14:paraId="0961588E" w14:textId="77777777" w:rsidR="00C219DD" w:rsidRPr="00C219DD" w:rsidRDefault="00C219DD" w:rsidP="00C219DD">
      <w:pPr>
        <w:tabs>
          <w:tab w:val="left" w:pos="851"/>
        </w:tabs>
        <w:ind w:left="851"/>
        <w:rPr>
          <w:sz w:val="24"/>
          <w:szCs w:val="24"/>
          <w:lang w:val="en-US"/>
        </w:rPr>
      </w:pPr>
      <w:r w:rsidRPr="00C219DD">
        <w:rPr>
          <w:sz w:val="24"/>
          <w:szCs w:val="24"/>
          <w:lang w:val="en-US"/>
        </w:rPr>
        <w:t>Hypromellose (E464)</w:t>
      </w:r>
    </w:p>
    <w:p w14:paraId="768F0557" w14:textId="77777777" w:rsidR="00C219DD" w:rsidRPr="00C219DD" w:rsidRDefault="00C219DD" w:rsidP="00C219DD">
      <w:pPr>
        <w:tabs>
          <w:tab w:val="left" w:pos="851"/>
        </w:tabs>
        <w:ind w:left="851"/>
        <w:rPr>
          <w:sz w:val="24"/>
          <w:szCs w:val="24"/>
          <w:lang w:val="en-US"/>
        </w:rPr>
      </w:pPr>
      <w:r w:rsidRPr="00C219DD">
        <w:rPr>
          <w:sz w:val="24"/>
          <w:szCs w:val="24"/>
          <w:lang w:val="en-US"/>
        </w:rPr>
        <w:t>Magnesium stearate (E 470b)</w:t>
      </w:r>
    </w:p>
    <w:p w14:paraId="67CCDEED" w14:textId="77777777" w:rsidR="00C219DD" w:rsidRPr="00C219DD" w:rsidRDefault="00C219DD" w:rsidP="00C219DD">
      <w:pPr>
        <w:tabs>
          <w:tab w:val="left" w:pos="851"/>
        </w:tabs>
        <w:ind w:left="851"/>
        <w:rPr>
          <w:sz w:val="24"/>
          <w:szCs w:val="24"/>
          <w:lang w:val="en-US"/>
        </w:rPr>
      </w:pPr>
      <w:r w:rsidRPr="00C219DD">
        <w:rPr>
          <w:sz w:val="24"/>
          <w:szCs w:val="24"/>
          <w:lang w:val="en-US"/>
        </w:rPr>
        <w:t>Cellulose, microcrystalline 101 (E460)</w:t>
      </w:r>
    </w:p>
    <w:p w14:paraId="399121E9"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Cellulose, microcrystalline 102 (E460) </w:t>
      </w:r>
    </w:p>
    <w:p w14:paraId="0FCEAC22" w14:textId="77777777" w:rsidR="00C219DD" w:rsidRPr="00C219DD" w:rsidRDefault="00C219DD" w:rsidP="00C219DD">
      <w:pPr>
        <w:tabs>
          <w:tab w:val="left" w:pos="851"/>
        </w:tabs>
        <w:ind w:left="851"/>
        <w:rPr>
          <w:sz w:val="24"/>
          <w:szCs w:val="24"/>
          <w:lang w:val="en-US"/>
        </w:rPr>
      </w:pPr>
    </w:p>
    <w:p w14:paraId="06AE4895" w14:textId="77777777" w:rsidR="00C219DD" w:rsidRPr="00C219DD" w:rsidRDefault="00C219DD" w:rsidP="00C219DD">
      <w:pPr>
        <w:tabs>
          <w:tab w:val="left" w:pos="851"/>
        </w:tabs>
        <w:ind w:left="851"/>
        <w:rPr>
          <w:i/>
          <w:sz w:val="24"/>
          <w:szCs w:val="24"/>
          <w:lang w:val="en-US"/>
        </w:rPr>
      </w:pPr>
      <w:r w:rsidRPr="00C219DD">
        <w:rPr>
          <w:i/>
          <w:sz w:val="24"/>
          <w:szCs w:val="24"/>
          <w:lang w:val="en-US"/>
        </w:rPr>
        <w:t xml:space="preserve">Tablet coating </w:t>
      </w:r>
    </w:p>
    <w:p w14:paraId="67232064"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Hypromellose 2910 (E464) </w:t>
      </w:r>
    </w:p>
    <w:p w14:paraId="499E993C"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Titanium dioxide (E171) </w:t>
      </w:r>
    </w:p>
    <w:p w14:paraId="646964C4" w14:textId="77777777" w:rsidR="00C219DD" w:rsidRPr="00C219DD" w:rsidRDefault="00C219DD" w:rsidP="00C219DD">
      <w:pPr>
        <w:tabs>
          <w:tab w:val="left" w:pos="851"/>
        </w:tabs>
        <w:ind w:left="851"/>
        <w:rPr>
          <w:sz w:val="24"/>
          <w:szCs w:val="24"/>
          <w:lang w:val="en-US"/>
        </w:rPr>
      </w:pPr>
      <w:r w:rsidRPr="00C219DD">
        <w:rPr>
          <w:sz w:val="24"/>
          <w:szCs w:val="24"/>
          <w:lang w:val="en-US"/>
        </w:rPr>
        <w:t>Macrogol 8000 (E1521)</w:t>
      </w:r>
    </w:p>
    <w:p w14:paraId="3A4BA877" w14:textId="77777777" w:rsidR="00C219DD" w:rsidRPr="00C219DD" w:rsidRDefault="00C219DD" w:rsidP="00C219DD">
      <w:pPr>
        <w:tabs>
          <w:tab w:val="left" w:pos="851"/>
        </w:tabs>
        <w:ind w:left="851"/>
        <w:rPr>
          <w:sz w:val="24"/>
          <w:szCs w:val="24"/>
          <w:lang w:val="en-US"/>
        </w:rPr>
      </w:pPr>
      <w:r w:rsidRPr="00C219DD">
        <w:rPr>
          <w:sz w:val="24"/>
          <w:szCs w:val="24"/>
          <w:lang w:val="en-US"/>
        </w:rPr>
        <w:t>Iron oxide yellow (E172)</w:t>
      </w:r>
    </w:p>
    <w:p w14:paraId="038AC157" w14:textId="77777777" w:rsidR="00C219DD" w:rsidRPr="00C219DD" w:rsidRDefault="00C219DD" w:rsidP="00C219DD">
      <w:pPr>
        <w:tabs>
          <w:tab w:val="left" w:pos="851"/>
        </w:tabs>
        <w:ind w:left="851"/>
        <w:rPr>
          <w:sz w:val="24"/>
          <w:szCs w:val="24"/>
          <w:lang w:val="en-US"/>
        </w:rPr>
      </w:pPr>
      <w:r w:rsidRPr="00C219DD">
        <w:rPr>
          <w:sz w:val="24"/>
          <w:szCs w:val="24"/>
          <w:lang w:val="en-US"/>
        </w:rPr>
        <w:t>FD&amp;C blue #2/indigo carmine aluminum lake (E132)</w:t>
      </w:r>
    </w:p>
    <w:p w14:paraId="7D27CD7D" w14:textId="77777777" w:rsidR="00C219DD" w:rsidRPr="00C219DD" w:rsidRDefault="00C219DD" w:rsidP="00C219DD">
      <w:pPr>
        <w:tabs>
          <w:tab w:val="left" w:pos="851"/>
        </w:tabs>
        <w:ind w:left="851"/>
        <w:rPr>
          <w:sz w:val="24"/>
          <w:szCs w:val="24"/>
          <w:lang w:val="en-US"/>
        </w:rPr>
      </w:pPr>
      <w:r w:rsidRPr="00C219DD">
        <w:rPr>
          <w:sz w:val="24"/>
          <w:szCs w:val="24"/>
          <w:lang w:val="en-US"/>
        </w:rPr>
        <w:tab/>
      </w:r>
    </w:p>
    <w:p w14:paraId="2CC9C5A9" w14:textId="77777777" w:rsidR="007C5D2A" w:rsidRPr="00303008" w:rsidRDefault="007C5D2A" w:rsidP="007D5C29">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63650DB8" w14:textId="77777777" w:rsidR="000B7D8C" w:rsidRPr="000B7D8C" w:rsidRDefault="000B7D8C" w:rsidP="000B7D8C">
      <w:pPr>
        <w:tabs>
          <w:tab w:val="left" w:pos="851"/>
        </w:tabs>
        <w:ind w:left="851"/>
        <w:rPr>
          <w:sz w:val="24"/>
          <w:szCs w:val="24"/>
          <w:lang w:val="en-US"/>
        </w:rPr>
      </w:pPr>
      <w:r w:rsidRPr="000B7D8C">
        <w:rPr>
          <w:sz w:val="24"/>
          <w:szCs w:val="24"/>
          <w:lang w:val="en-US"/>
        </w:rPr>
        <w:t>Not applicable.</w:t>
      </w:r>
    </w:p>
    <w:p w14:paraId="3EF1D04C" w14:textId="77777777" w:rsidR="007C5D2A" w:rsidRPr="00303008" w:rsidRDefault="007C5D2A" w:rsidP="007D5C29">
      <w:pPr>
        <w:tabs>
          <w:tab w:val="left" w:pos="851"/>
        </w:tabs>
        <w:ind w:left="851"/>
        <w:rPr>
          <w:sz w:val="24"/>
          <w:szCs w:val="24"/>
          <w:lang w:val="en-GB"/>
        </w:rPr>
      </w:pPr>
    </w:p>
    <w:p w14:paraId="5DD0C19C" w14:textId="77777777" w:rsidR="007C5D2A" w:rsidRPr="00303008" w:rsidRDefault="007C5D2A" w:rsidP="007D5C29">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4946879A" w14:textId="20513E9B" w:rsidR="000B7D8C" w:rsidRPr="000B7D8C" w:rsidRDefault="000B7D8C" w:rsidP="000B7D8C">
      <w:pPr>
        <w:tabs>
          <w:tab w:val="left" w:pos="851"/>
        </w:tabs>
        <w:ind w:left="851"/>
        <w:rPr>
          <w:sz w:val="24"/>
          <w:szCs w:val="24"/>
          <w:lang w:val="en-US"/>
        </w:rPr>
      </w:pPr>
      <w:r w:rsidRPr="000B7D8C">
        <w:rPr>
          <w:sz w:val="24"/>
          <w:szCs w:val="24"/>
          <w:lang w:val="en-US"/>
        </w:rPr>
        <w:t>30 months</w:t>
      </w:r>
      <w:r>
        <w:rPr>
          <w:sz w:val="24"/>
          <w:szCs w:val="24"/>
          <w:lang w:val="en-US"/>
        </w:rPr>
        <w:t>.</w:t>
      </w:r>
    </w:p>
    <w:p w14:paraId="1ECB6872" w14:textId="77777777" w:rsidR="007C5D2A" w:rsidRPr="000B7D8C" w:rsidRDefault="007C5D2A" w:rsidP="007D5C29">
      <w:pPr>
        <w:tabs>
          <w:tab w:val="left" w:pos="851"/>
        </w:tabs>
        <w:ind w:left="851"/>
        <w:rPr>
          <w:sz w:val="24"/>
          <w:szCs w:val="24"/>
          <w:lang w:val="en-US"/>
        </w:rPr>
      </w:pPr>
    </w:p>
    <w:p w14:paraId="7C7296CE" w14:textId="77777777" w:rsidR="007C5D2A" w:rsidRPr="00303008" w:rsidRDefault="007C5D2A" w:rsidP="007D5C29">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4598B683" w14:textId="77777777" w:rsidR="00652F97" w:rsidRPr="00652F97" w:rsidRDefault="00652F97" w:rsidP="00652F97">
      <w:pPr>
        <w:tabs>
          <w:tab w:val="left" w:pos="851"/>
        </w:tabs>
        <w:ind w:left="851"/>
        <w:rPr>
          <w:sz w:val="24"/>
          <w:szCs w:val="24"/>
          <w:lang w:val="en-US"/>
        </w:rPr>
      </w:pPr>
      <w:r w:rsidRPr="00652F97">
        <w:rPr>
          <w:sz w:val="24"/>
          <w:szCs w:val="24"/>
          <w:lang w:val="en-US"/>
        </w:rPr>
        <w:t>This medicinal product does not require any special storage conditions.</w:t>
      </w:r>
    </w:p>
    <w:p w14:paraId="36975154" w14:textId="77777777" w:rsidR="007C5D2A" w:rsidRPr="00652F97" w:rsidRDefault="007C5D2A" w:rsidP="007D5C29">
      <w:pPr>
        <w:tabs>
          <w:tab w:val="left" w:pos="851"/>
        </w:tabs>
        <w:ind w:left="851"/>
        <w:rPr>
          <w:sz w:val="24"/>
          <w:szCs w:val="24"/>
          <w:lang w:val="en-US"/>
        </w:rPr>
      </w:pPr>
    </w:p>
    <w:p w14:paraId="6617CFF1" w14:textId="77777777" w:rsidR="007C5D2A" w:rsidRPr="00303008" w:rsidRDefault="007C5D2A" w:rsidP="007D5C29">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35EC2F20" w14:textId="3031AF7F" w:rsidR="00652F97" w:rsidRDefault="00652F97" w:rsidP="00652F97">
      <w:pPr>
        <w:tabs>
          <w:tab w:val="left" w:pos="851"/>
        </w:tabs>
        <w:ind w:left="851"/>
        <w:rPr>
          <w:sz w:val="24"/>
          <w:szCs w:val="24"/>
          <w:lang w:val="en-US"/>
        </w:rPr>
      </w:pPr>
      <w:r w:rsidRPr="00652F97">
        <w:rPr>
          <w:sz w:val="24"/>
          <w:szCs w:val="24"/>
          <w:lang w:val="en-US"/>
        </w:rPr>
        <w:t>OPA/Al/PVC//Al blisters and perforated unit dose blisters, respectively</w:t>
      </w:r>
      <w:r>
        <w:rPr>
          <w:sz w:val="24"/>
          <w:szCs w:val="24"/>
          <w:lang w:val="en-US"/>
        </w:rPr>
        <w:t>, in cart</w:t>
      </w:r>
      <w:bookmarkStart w:id="5" w:name="_GoBack"/>
      <w:bookmarkEnd w:id="5"/>
      <w:r>
        <w:rPr>
          <w:sz w:val="24"/>
          <w:szCs w:val="24"/>
          <w:lang w:val="en-US"/>
        </w:rPr>
        <w:t>ons.</w:t>
      </w:r>
    </w:p>
    <w:p w14:paraId="50F94F24" w14:textId="77777777" w:rsidR="00652F97" w:rsidRDefault="00652F97" w:rsidP="00652F97">
      <w:pPr>
        <w:tabs>
          <w:tab w:val="left" w:pos="851"/>
        </w:tabs>
        <w:ind w:left="851"/>
        <w:rPr>
          <w:sz w:val="24"/>
          <w:szCs w:val="24"/>
          <w:lang w:val="en-US"/>
        </w:rPr>
      </w:pPr>
    </w:p>
    <w:p w14:paraId="3A69F24B" w14:textId="6F7DD66C" w:rsidR="00652F97" w:rsidRPr="00652F97" w:rsidRDefault="00652F97" w:rsidP="00652F97">
      <w:pPr>
        <w:tabs>
          <w:tab w:val="left" w:pos="851"/>
        </w:tabs>
        <w:ind w:left="851"/>
        <w:rPr>
          <w:sz w:val="24"/>
          <w:szCs w:val="24"/>
          <w:u w:val="single"/>
          <w:lang w:val="en-US"/>
        </w:rPr>
      </w:pPr>
      <w:r w:rsidRPr="00652F97">
        <w:rPr>
          <w:sz w:val="24"/>
          <w:szCs w:val="24"/>
          <w:u w:val="single"/>
          <w:lang w:val="en-US"/>
        </w:rPr>
        <w:t>Pack sizes</w:t>
      </w:r>
    </w:p>
    <w:p w14:paraId="6FC0B090" w14:textId="08733E50" w:rsidR="00652F97" w:rsidRDefault="00652F97" w:rsidP="00652F97">
      <w:pPr>
        <w:tabs>
          <w:tab w:val="left" w:pos="851"/>
        </w:tabs>
        <w:ind w:left="851"/>
        <w:rPr>
          <w:sz w:val="24"/>
          <w:szCs w:val="24"/>
          <w:lang w:val="en-US"/>
        </w:rPr>
      </w:pPr>
      <w:r w:rsidRPr="00652F97">
        <w:rPr>
          <w:sz w:val="24"/>
          <w:szCs w:val="24"/>
          <w:lang w:val="en-US"/>
        </w:rPr>
        <w:t>14, 14</w:t>
      </w:r>
      <w:r>
        <w:rPr>
          <w:sz w:val="24"/>
          <w:szCs w:val="24"/>
          <w:lang w:val="en-US"/>
        </w:rPr>
        <w:t>×</w:t>
      </w:r>
      <w:r w:rsidRPr="00652F97">
        <w:rPr>
          <w:sz w:val="24"/>
          <w:szCs w:val="24"/>
          <w:lang w:val="en-US"/>
        </w:rPr>
        <w:t>1, 28, 28</w:t>
      </w:r>
      <w:r>
        <w:rPr>
          <w:sz w:val="24"/>
          <w:szCs w:val="24"/>
          <w:lang w:val="en-US"/>
        </w:rPr>
        <w:t>×</w:t>
      </w:r>
      <w:r w:rsidRPr="00652F97">
        <w:rPr>
          <w:sz w:val="24"/>
          <w:szCs w:val="24"/>
          <w:lang w:val="en-US"/>
        </w:rPr>
        <w:t>1, 30, 30</w:t>
      </w:r>
      <w:r>
        <w:rPr>
          <w:sz w:val="24"/>
          <w:szCs w:val="24"/>
          <w:lang w:val="en-US"/>
        </w:rPr>
        <w:t>×</w:t>
      </w:r>
      <w:r w:rsidRPr="00652F97">
        <w:rPr>
          <w:sz w:val="24"/>
          <w:szCs w:val="24"/>
          <w:lang w:val="en-US"/>
        </w:rPr>
        <w:t>1, 56, 56</w:t>
      </w:r>
      <w:r>
        <w:rPr>
          <w:sz w:val="24"/>
          <w:szCs w:val="24"/>
          <w:lang w:val="en-US"/>
        </w:rPr>
        <w:t>×</w:t>
      </w:r>
      <w:r w:rsidRPr="00652F97">
        <w:rPr>
          <w:sz w:val="24"/>
          <w:szCs w:val="24"/>
          <w:lang w:val="en-US"/>
        </w:rPr>
        <w:t>1, 60, 60</w:t>
      </w:r>
      <w:r>
        <w:rPr>
          <w:sz w:val="24"/>
          <w:szCs w:val="24"/>
          <w:lang w:val="en-US"/>
        </w:rPr>
        <w:t>×</w:t>
      </w:r>
      <w:r w:rsidRPr="00652F97">
        <w:rPr>
          <w:sz w:val="24"/>
          <w:szCs w:val="24"/>
          <w:lang w:val="en-US"/>
        </w:rPr>
        <w:t>1, 90, 90</w:t>
      </w:r>
      <w:r>
        <w:rPr>
          <w:sz w:val="24"/>
          <w:szCs w:val="24"/>
          <w:lang w:val="en-US"/>
        </w:rPr>
        <w:t>×</w:t>
      </w:r>
      <w:r w:rsidRPr="00652F97">
        <w:rPr>
          <w:sz w:val="24"/>
          <w:szCs w:val="24"/>
          <w:lang w:val="en-US"/>
        </w:rPr>
        <w:t>1 or 98, 98</w:t>
      </w:r>
      <w:r>
        <w:rPr>
          <w:sz w:val="24"/>
          <w:szCs w:val="24"/>
          <w:lang w:val="en-US"/>
        </w:rPr>
        <w:t>×</w:t>
      </w:r>
      <w:r w:rsidRPr="00652F97">
        <w:rPr>
          <w:sz w:val="24"/>
          <w:szCs w:val="24"/>
          <w:lang w:val="en-US"/>
        </w:rPr>
        <w:t>1 tablets</w:t>
      </w:r>
      <w:r>
        <w:rPr>
          <w:sz w:val="24"/>
          <w:szCs w:val="24"/>
          <w:lang w:val="en-US"/>
        </w:rPr>
        <w:t>.</w:t>
      </w:r>
    </w:p>
    <w:p w14:paraId="482A39FC" w14:textId="77777777" w:rsidR="00652F97" w:rsidRPr="00652F97" w:rsidRDefault="00652F97" w:rsidP="00652F97">
      <w:pPr>
        <w:tabs>
          <w:tab w:val="left" w:pos="851"/>
        </w:tabs>
        <w:ind w:left="851"/>
        <w:rPr>
          <w:sz w:val="24"/>
          <w:szCs w:val="24"/>
          <w:lang w:val="en-US"/>
        </w:rPr>
      </w:pPr>
    </w:p>
    <w:p w14:paraId="4E427202" w14:textId="77777777" w:rsidR="00652F97" w:rsidRPr="00652F97" w:rsidRDefault="00652F97" w:rsidP="00652F97">
      <w:pPr>
        <w:tabs>
          <w:tab w:val="left" w:pos="851"/>
        </w:tabs>
        <w:ind w:left="851"/>
        <w:rPr>
          <w:sz w:val="24"/>
          <w:szCs w:val="24"/>
          <w:lang w:val="en-US"/>
        </w:rPr>
      </w:pPr>
      <w:r w:rsidRPr="00652F97">
        <w:rPr>
          <w:sz w:val="24"/>
          <w:szCs w:val="24"/>
          <w:lang w:val="en-US"/>
        </w:rPr>
        <w:t>Not all pack sizes may be marketed.</w:t>
      </w:r>
    </w:p>
    <w:p w14:paraId="6FA67DE4" w14:textId="16FF57DC" w:rsidR="007C5D2A" w:rsidRPr="00652F97" w:rsidRDefault="007C5D2A" w:rsidP="007D5C29">
      <w:pPr>
        <w:tabs>
          <w:tab w:val="left" w:pos="851"/>
        </w:tabs>
        <w:ind w:left="851"/>
        <w:rPr>
          <w:sz w:val="24"/>
          <w:szCs w:val="24"/>
          <w:lang w:val="en-US"/>
        </w:rPr>
      </w:pPr>
    </w:p>
    <w:p w14:paraId="61389215" w14:textId="77777777" w:rsidR="007C5D2A" w:rsidRPr="00303008" w:rsidRDefault="007C5D2A" w:rsidP="007D5C29">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442E4B02" w14:textId="77777777" w:rsidR="00652F97" w:rsidRPr="00652F97" w:rsidRDefault="00652F97" w:rsidP="00652F97">
      <w:pPr>
        <w:tabs>
          <w:tab w:val="left" w:pos="851"/>
        </w:tabs>
        <w:ind w:left="851"/>
        <w:rPr>
          <w:sz w:val="24"/>
          <w:szCs w:val="24"/>
          <w:lang w:val="en-US"/>
        </w:rPr>
      </w:pPr>
      <w:r w:rsidRPr="00652F97">
        <w:rPr>
          <w:sz w:val="24"/>
          <w:szCs w:val="24"/>
          <w:lang w:val="en-US"/>
        </w:rPr>
        <w:t>Any unused medicinal product or waste material should be disposed of in accordance with local requirements.</w:t>
      </w:r>
    </w:p>
    <w:p w14:paraId="575ECDDE" w14:textId="77777777" w:rsidR="007C5D2A" w:rsidRPr="00652F97" w:rsidRDefault="007C5D2A" w:rsidP="007D5C29">
      <w:pPr>
        <w:tabs>
          <w:tab w:val="left" w:pos="851"/>
        </w:tabs>
        <w:ind w:left="851"/>
        <w:rPr>
          <w:sz w:val="24"/>
          <w:szCs w:val="24"/>
          <w:lang w:val="en-US"/>
        </w:rPr>
      </w:pPr>
    </w:p>
    <w:p w14:paraId="6B0CA45F" w14:textId="77777777" w:rsidR="007C5D2A" w:rsidRPr="00303008" w:rsidRDefault="007C5D2A" w:rsidP="007D5C29">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58121DB8" w14:textId="77777777" w:rsidR="00652F97" w:rsidRPr="00652F97" w:rsidRDefault="00652F97" w:rsidP="00652F97">
      <w:pPr>
        <w:tabs>
          <w:tab w:val="left" w:pos="851"/>
        </w:tabs>
        <w:ind w:left="851"/>
        <w:jc w:val="both"/>
        <w:rPr>
          <w:sz w:val="24"/>
          <w:szCs w:val="24"/>
          <w:lang w:val="en-US" w:eastAsia="en-US"/>
        </w:rPr>
      </w:pPr>
      <w:r w:rsidRPr="00652F97">
        <w:rPr>
          <w:sz w:val="24"/>
          <w:szCs w:val="24"/>
          <w:lang w:val="en-US" w:eastAsia="en-US"/>
        </w:rPr>
        <w:t>Elpen Pharmaceutical Co. Inc</w:t>
      </w:r>
    </w:p>
    <w:p w14:paraId="4A0B0EC9" w14:textId="77777777" w:rsidR="00652F97" w:rsidRPr="00652F97" w:rsidRDefault="00652F97" w:rsidP="00652F97">
      <w:pPr>
        <w:tabs>
          <w:tab w:val="left" w:pos="851"/>
        </w:tabs>
        <w:ind w:left="851"/>
        <w:jc w:val="both"/>
        <w:rPr>
          <w:sz w:val="24"/>
          <w:szCs w:val="24"/>
          <w:lang w:val="en-US" w:eastAsia="en-US"/>
        </w:rPr>
      </w:pPr>
      <w:r w:rsidRPr="00652F97">
        <w:rPr>
          <w:sz w:val="24"/>
          <w:szCs w:val="24"/>
          <w:lang w:val="en-US" w:eastAsia="en-US"/>
        </w:rPr>
        <w:t>95 Marathonos Avenue</w:t>
      </w:r>
    </w:p>
    <w:p w14:paraId="254300ED" w14:textId="77777777" w:rsidR="00652F97" w:rsidRPr="00652F97" w:rsidRDefault="00652F97" w:rsidP="00652F97">
      <w:pPr>
        <w:tabs>
          <w:tab w:val="left" w:pos="851"/>
        </w:tabs>
        <w:ind w:left="851"/>
        <w:jc w:val="both"/>
        <w:rPr>
          <w:sz w:val="24"/>
          <w:szCs w:val="24"/>
          <w:lang w:val="en-US" w:eastAsia="en-US"/>
        </w:rPr>
      </w:pPr>
      <w:r w:rsidRPr="00652F97">
        <w:rPr>
          <w:sz w:val="24"/>
          <w:szCs w:val="24"/>
          <w:lang w:val="en-US" w:eastAsia="en-US"/>
        </w:rPr>
        <w:t>19009 Pikermi Attikis</w:t>
      </w:r>
    </w:p>
    <w:p w14:paraId="168737A7" w14:textId="77777777" w:rsidR="00652F97" w:rsidRPr="00652F97" w:rsidRDefault="00652F97" w:rsidP="00652F97">
      <w:pPr>
        <w:tabs>
          <w:tab w:val="left" w:pos="851"/>
        </w:tabs>
        <w:ind w:left="851"/>
        <w:jc w:val="both"/>
        <w:rPr>
          <w:sz w:val="24"/>
          <w:szCs w:val="24"/>
          <w:lang w:val="en-US" w:eastAsia="en-US"/>
        </w:rPr>
      </w:pPr>
      <w:r w:rsidRPr="00652F97">
        <w:rPr>
          <w:sz w:val="24"/>
          <w:szCs w:val="24"/>
          <w:lang w:val="en-US" w:eastAsia="en-US"/>
        </w:rPr>
        <w:t>Greece</w:t>
      </w:r>
    </w:p>
    <w:p w14:paraId="3D20EC5D" w14:textId="77777777" w:rsidR="007C5D2A" w:rsidRPr="00652F97" w:rsidRDefault="007C5D2A" w:rsidP="007D5C29">
      <w:pPr>
        <w:tabs>
          <w:tab w:val="left" w:pos="851"/>
        </w:tabs>
        <w:ind w:left="851"/>
        <w:jc w:val="both"/>
        <w:rPr>
          <w:sz w:val="24"/>
          <w:szCs w:val="24"/>
          <w:lang w:val="en-US"/>
        </w:rPr>
      </w:pPr>
    </w:p>
    <w:p w14:paraId="6A472CC1" w14:textId="77777777" w:rsidR="007C5D2A" w:rsidRPr="00303008" w:rsidRDefault="007C5D2A" w:rsidP="007D5C29">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478CE23F" w14:textId="31C53674" w:rsidR="007C5D2A" w:rsidRDefault="00652F97" w:rsidP="00652F97">
      <w:pPr>
        <w:tabs>
          <w:tab w:val="left" w:pos="851"/>
          <w:tab w:val="left" w:pos="1843"/>
        </w:tabs>
        <w:ind w:left="851"/>
        <w:jc w:val="both"/>
        <w:rPr>
          <w:sz w:val="24"/>
          <w:szCs w:val="24"/>
          <w:lang w:val="en-GB"/>
        </w:rPr>
      </w:pPr>
      <w:r>
        <w:rPr>
          <w:sz w:val="24"/>
          <w:szCs w:val="24"/>
          <w:lang w:val="en-GB"/>
        </w:rPr>
        <w:t>18,5 mg:</w:t>
      </w:r>
      <w:r>
        <w:rPr>
          <w:sz w:val="24"/>
          <w:szCs w:val="24"/>
          <w:lang w:val="en-GB"/>
        </w:rPr>
        <w:tab/>
        <w:t>67863</w:t>
      </w:r>
    </w:p>
    <w:p w14:paraId="4C3BE696" w14:textId="45A1EAA0" w:rsidR="00652F97" w:rsidRDefault="00652F97" w:rsidP="00652F97">
      <w:pPr>
        <w:tabs>
          <w:tab w:val="left" w:pos="851"/>
          <w:tab w:val="left" w:pos="1843"/>
        </w:tabs>
        <w:ind w:left="851"/>
        <w:jc w:val="both"/>
        <w:rPr>
          <w:sz w:val="24"/>
          <w:szCs w:val="24"/>
          <w:lang w:val="en-GB"/>
        </w:rPr>
      </w:pPr>
      <w:r>
        <w:rPr>
          <w:sz w:val="24"/>
          <w:szCs w:val="24"/>
          <w:lang w:val="en-GB"/>
        </w:rPr>
        <w:t>37 mg:</w:t>
      </w:r>
      <w:r>
        <w:rPr>
          <w:sz w:val="24"/>
          <w:szCs w:val="24"/>
          <w:lang w:val="en-GB"/>
        </w:rPr>
        <w:tab/>
        <w:t>67864</w:t>
      </w:r>
    </w:p>
    <w:p w14:paraId="0A917B7E" w14:textId="1E8AD4F4" w:rsidR="00652F97" w:rsidRPr="00303008" w:rsidRDefault="00652F97" w:rsidP="00652F97">
      <w:pPr>
        <w:tabs>
          <w:tab w:val="left" w:pos="851"/>
          <w:tab w:val="left" w:pos="1843"/>
        </w:tabs>
        <w:ind w:left="851"/>
        <w:jc w:val="both"/>
        <w:rPr>
          <w:sz w:val="24"/>
          <w:szCs w:val="24"/>
          <w:lang w:val="en-GB"/>
        </w:rPr>
      </w:pPr>
      <w:r>
        <w:rPr>
          <w:sz w:val="24"/>
          <w:szCs w:val="24"/>
          <w:lang w:val="en-GB"/>
        </w:rPr>
        <w:t>74 mg:</w:t>
      </w:r>
      <w:r>
        <w:rPr>
          <w:sz w:val="24"/>
          <w:szCs w:val="24"/>
          <w:lang w:val="en-GB"/>
        </w:rPr>
        <w:tab/>
        <w:t>67865</w:t>
      </w:r>
    </w:p>
    <w:p w14:paraId="02D06794" w14:textId="5CDA4832" w:rsidR="00652F97" w:rsidRDefault="00652F97">
      <w:pPr>
        <w:rPr>
          <w:sz w:val="24"/>
          <w:szCs w:val="24"/>
          <w:lang w:val="en-GB"/>
        </w:rPr>
      </w:pPr>
      <w:r>
        <w:rPr>
          <w:sz w:val="24"/>
          <w:szCs w:val="24"/>
          <w:lang w:val="en-GB"/>
        </w:rPr>
        <w:br w:type="page"/>
      </w:r>
    </w:p>
    <w:p w14:paraId="3D1085A0" w14:textId="77777777" w:rsidR="007C5D2A" w:rsidRPr="00303008" w:rsidRDefault="007C5D2A" w:rsidP="00652F97">
      <w:pPr>
        <w:tabs>
          <w:tab w:val="left" w:pos="851"/>
          <w:tab w:val="left" w:pos="1843"/>
        </w:tabs>
        <w:ind w:left="851"/>
        <w:jc w:val="both"/>
        <w:rPr>
          <w:sz w:val="24"/>
          <w:szCs w:val="24"/>
          <w:lang w:val="en-GB"/>
        </w:rPr>
      </w:pPr>
    </w:p>
    <w:p w14:paraId="10224055" w14:textId="77777777" w:rsidR="007C5D2A" w:rsidRPr="00303008" w:rsidRDefault="007C5D2A" w:rsidP="007D5C29">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0D0AACC4" w14:textId="4D726F25" w:rsidR="007C5D2A" w:rsidRPr="00303008" w:rsidRDefault="00C1594C" w:rsidP="007D5C29">
      <w:pPr>
        <w:ind w:left="851"/>
        <w:jc w:val="both"/>
        <w:rPr>
          <w:sz w:val="24"/>
          <w:szCs w:val="24"/>
          <w:lang w:val="en-GB"/>
        </w:rPr>
      </w:pPr>
      <w:r>
        <w:rPr>
          <w:sz w:val="24"/>
          <w:szCs w:val="24"/>
          <w:lang w:val="en-GB"/>
        </w:rPr>
        <w:t>19</w:t>
      </w:r>
      <w:r w:rsidR="000B691E">
        <w:rPr>
          <w:sz w:val="24"/>
          <w:szCs w:val="24"/>
          <w:lang w:val="en-GB"/>
        </w:rPr>
        <w:t xml:space="preserve"> S</w:t>
      </w:r>
      <w:r>
        <w:rPr>
          <w:sz w:val="24"/>
          <w:szCs w:val="24"/>
          <w:lang w:val="en-GB"/>
        </w:rPr>
        <w:t>eptember 2024</w:t>
      </w:r>
    </w:p>
    <w:p w14:paraId="71B5F704" w14:textId="77777777" w:rsidR="007C5D2A" w:rsidRPr="00303008" w:rsidRDefault="007C5D2A" w:rsidP="007D5C29">
      <w:pPr>
        <w:tabs>
          <w:tab w:val="left" w:pos="851"/>
        </w:tabs>
        <w:ind w:left="851"/>
        <w:jc w:val="both"/>
        <w:rPr>
          <w:sz w:val="24"/>
          <w:szCs w:val="24"/>
          <w:lang w:val="en-GB"/>
        </w:rPr>
      </w:pPr>
    </w:p>
    <w:p w14:paraId="288FD0DF" w14:textId="77777777" w:rsidR="007C5D2A" w:rsidRPr="00303008" w:rsidRDefault="007C5D2A" w:rsidP="007D5C29">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304CB814" w14:textId="0692FBA7" w:rsidR="007C5D2A" w:rsidRPr="00303008" w:rsidRDefault="00652F97" w:rsidP="007D5C29">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1FD8" w14:textId="77777777" w:rsidR="00065EFE" w:rsidRDefault="00065EFE">
      <w:r>
        <w:separator/>
      </w:r>
    </w:p>
  </w:endnote>
  <w:endnote w:type="continuationSeparator" w:id="0">
    <w:p w14:paraId="6D5E5E7F" w14:textId="77777777" w:rsidR="00065EFE" w:rsidRDefault="0006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FF8D" w14:textId="77777777" w:rsidR="00065EFE" w:rsidRDefault="00065E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E4EE" w14:textId="77777777" w:rsidR="00065EFE" w:rsidRDefault="00065EFE">
    <w:pPr>
      <w:pStyle w:val="Sidefod"/>
      <w:pBdr>
        <w:bottom w:val="single" w:sz="6" w:space="1" w:color="auto"/>
      </w:pBdr>
    </w:pPr>
  </w:p>
  <w:p w14:paraId="247C4EC9" w14:textId="77777777" w:rsidR="00065EFE" w:rsidRDefault="00065EFE">
    <w:pPr>
      <w:pStyle w:val="Sidefod"/>
      <w:tabs>
        <w:tab w:val="clear" w:pos="4819"/>
        <w:tab w:val="left" w:pos="8647"/>
      </w:tabs>
      <w:rPr>
        <w:i/>
        <w:snapToGrid w:val="0"/>
        <w:sz w:val="18"/>
      </w:rPr>
    </w:pPr>
  </w:p>
  <w:p w14:paraId="4FE74411" w14:textId="5BCA4702" w:rsidR="00065EFE" w:rsidRDefault="00065EF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Lurasidonhydrochlorid Elpen, filmovertrukne tabletter 18,5 mg, 37 mg og 74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FEF1F" w14:textId="77777777" w:rsidR="00065EFE" w:rsidRDefault="00065EFE">
    <w:pPr>
      <w:pStyle w:val="Sidefod"/>
      <w:pBdr>
        <w:bottom w:val="single" w:sz="6" w:space="1" w:color="auto"/>
      </w:pBdr>
      <w:tabs>
        <w:tab w:val="clear" w:pos="4819"/>
        <w:tab w:val="left" w:pos="8789"/>
      </w:tabs>
      <w:rPr>
        <w:i/>
        <w:snapToGrid w:val="0"/>
        <w:sz w:val="18"/>
      </w:rPr>
    </w:pPr>
  </w:p>
  <w:p w14:paraId="5EB52DE9" w14:textId="77777777" w:rsidR="00065EFE" w:rsidRDefault="00065EFE">
    <w:pPr>
      <w:pStyle w:val="Sidefod"/>
      <w:tabs>
        <w:tab w:val="clear" w:pos="4819"/>
        <w:tab w:val="left" w:pos="8789"/>
      </w:tabs>
      <w:rPr>
        <w:i/>
        <w:snapToGrid w:val="0"/>
        <w:sz w:val="18"/>
      </w:rPr>
    </w:pPr>
  </w:p>
  <w:p w14:paraId="67AF1F94" w14:textId="446DF1FA" w:rsidR="00065EFE" w:rsidRDefault="00065EF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Lurasidonhydrochlorid Elpen, filmovertrukne tabletter 18,5 mg, 37 mg og 74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8C4C7" w14:textId="77777777" w:rsidR="00065EFE" w:rsidRDefault="00065EFE">
      <w:r>
        <w:separator/>
      </w:r>
    </w:p>
  </w:footnote>
  <w:footnote w:type="continuationSeparator" w:id="0">
    <w:p w14:paraId="1543D1C9" w14:textId="77777777" w:rsidR="00065EFE" w:rsidRDefault="00065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0CB2" w14:textId="77777777" w:rsidR="00065EFE" w:rsidRDefault="00065EF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CC7D" w14:textId="77777777" w:rsidR="00065EFE" w:rsidRDefault="00065EF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535A" w14:textId="77777777" w:rsidR="00065EFE" w:rsidRDefault="00065EF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67A2FC5"/>
    <w:multiLevelType w:val="multilevel"/>
    <w:tmpl w:val="6026F4C2"/>
    <w:lvl w:ilvl="0">
      <w:start w:val="1"/>
      <w:numFmt w:val="decimal"/>
      <w:lvlText w:val="%1."/>
      <w:lvlJc w:val="left"/>
      <w:pPr>
        <w:ind w:left="684" w:hanging="567"/>
      </w:pPr>
      <w:rPr>
        <w:rFonts w:ascii="Times New Roman" w:eastAsia="Times New Roman" w:hAnsi="Times New Roman" w:cs="Times New Roman" w:hint="default"/>
        <w:b/>
        <w:bCs/>
        <w:w w:val="100"/>
        <w:sz w:val="22"/>
        <w:szCs w:val="22"/>
      </w:rPr>
    </w:lvl>
    <w:lvl w:ilvl="1">
      <w:start w:val="1"/>
      <w:numFmt w:val="decimal"/>
      <w:lvlText w:val="%1.%2"/>
      <w:lvlJc w:val="left"/>
      <w:pPr>
        <w:ind w:left="679" w:hanging="562"/>
      </w:pPr>
      <w:rPr>
        <w:rFonts w:ascii="Times New Roman" w:eastAsia="Times New Roman" w:hAnsi="Times New Roman" w:cs="Times New Roman" w:hint="default"/>
        <w:b/>
        <w:bCs/>
        <w:w w:val="100"/>
        <w:sz w:val="22"/>
        <w:szCs w:val="22"/>
      </w:rPr>
    </w:lvl>
    <w:lvl w:ilvl="2">
      <w:numFmt w:val="bullet"/>
      <w:lvlText w:val="•"/>
      <w:lvlJc w:val="left"/>
      <w:pPr>
        <w:ind w:left="2393" w:hanging="562"/>
      </w:pPr>
    </w:lvl>
    <w:lvl w:ilvl="3">
      <w:numFmt w:val="bullet"/>
      <w:lvlText w:val="•"/>
      <w:lvlJc w:val="left"/>
      <w:pPr>
        <w:ind w:left="3249" w:hanging="562"/>
      </w:pPr>
    </w:lvl>
    <w:lvl w:ilvl="4">
      <w:numFmt w:val="bullet"/>
      <w:lvlText w:val="•"/>
      <w:lvlJc w:val="left"/>
      <w:pPr>
        <w:ind w:left="4106" w:hanging="562"/>
      </w:pPr>
    </w:lvl>
    <w:lvl w:ilvl="5">
      <w:numFmt w:val="bullet"/>
      <w:lvlText w:val="•"/>
      <w:lvlJc w:val="left"/>
      <w:pPr>
        <w:ind w:left="4963" w:hanging="562"/>
      </w:pPr>
    </w:lvl>
    <w:lvl w:ilvl="6">
      <w:numFmt w:val="bullet"/>
      <w:lvlText w:val="•"/>
      <w:lvlJc w:val="left"/>
      <w:pPr>
        <w:ind w:left="5819" w:hanging="562"/>
      </w:pPr>
    </w:lvl>
    <w:lvl w:ilvl="7">
      <w:numFmt w:val="bullet"/>
      <w:lvlText w:val="•"/>
      <w:lvlJc w:val="left"/>
      <w:pPr>
        <w:ind w:left="6676" w:hanging="562"/>
      </w:pPr>
    </w:lvl>
    <w:lvl w:ilvl="8">
      <w:numFmt w:val="bullet"/>
      <w:lvlText w:val="•"/>
      <w:lvlJc w:val="left"/>
      <w:pPr>
        <w:ind w:left="7533" w:hanging="562"/>
      </w:pPr>
    </w:lvl>
  </w:abstractNum>
  <w:abstractNum w:abstractNumId="4" w15:restartNumberingAfterBreak="0">
    <w:nsid w:val="3DE82494"/>
    <w:multiLevelType w:val="hybridMultilevel"/>
    <w:tmpl w:val="073ABAAE"/>
    <w:lvl w:ilvl="0" w:tplc="167ABB46">
      <w:start w:val="1"/>
      <w:numFmt w:val="lowerLetter"/>
      <w:lvlText w:val="(%1)"/>
      <w:lvlJc w:val="left"/>
      <w:pPr>
        <w:ind w:left="118" w:hanging="245"/>
      </w:pPr>
      <w:rPr>
        <w:rFonts w:ascii="Times New Roman" w:eastAsia="Times New Roman" w:hAnsi="Times New Roman" w:cs="Times New Roman" w:hint="default"/>
        <w:spacing w:val="-3"/>
        <w:w w:val="99"/>
        <w:sz w:val="18"/>
        <w:szCs w:val="18"/>
      </w:rPr>
    </w:lvl>
    <w:lvl w:ilvl="1" w:tplc="0AF845CA">
      <w:numFmt w:val="bullet"/>
      <w:lvlText w:val="•"/>
      <w:lvlJc w:val="left"/>
      <w:pPr>
        <w:ind w:left="1038" w:hanging="245"/>
      </w:pPr>
    </w:lvl>
    <w:lvl w:ilvl="2" w:tplc="CE9A5E7E">
      <w:numFmt w:val="bullet"/>
      <w:lvlText w:val="•"/>
      <w:lvlJc w:val="left"/>
      <w:pPr>
        <w:ind w:left="1957" w:hanging="245"/>
      </w:pPr>
    </w:lvl>
    <w:lvl w:ilvl="3" w:tplc="763C6F10">
      <w:numFmt w:val="bullet"/>
      <w:lvlText w:val="•"/>
      <w:lvlJc w:val="left"/>
      <w:pPr>
        <w:ind w:left="2875" w:hanging="245"/>
      </w:pPr>
    </w:lvl>
    <w:lvl w:ilvl="4" w:tplc="1A047358">
      <w:numFmt w:val="bullet"/>
      <w:lvlText w:val="•"/>
      <w:lvlJc w:val="left"/>
      <w:pPr>
        <w:ind w:left="3794" w:hanging="245"/>
      </w:pPr>
    </w:lvl>
    <w:lvl w:ilvl="5" w:tplc="90EC24EC">
      <w:numFmt w:val="bullet"/>
      <w:lvlText w:val="•"/>
      <w:lvlJc w:val="left"/>
      <w:pPr>
        <w:ind w:left="4713" w:hanging="245"/>
      </w:pPr>
    </w:lvl>
    <w:lvl w:ilvl="6" w:tplc="FA7E5BE8">
      <w:numFmt w:val="bullet"/>
      <w:lvlText w:val="•"/>
      <w:lvlJc w:val="left"/>
      <w:pPr>
        <w:ind w:left="5631" w:hanging="245"/>
      </w:pPr>
    </w:lvl>
    <w:lvl w:ilvl="7" w:tplc="3AA65886">
      <w:numFmt w:val="bullet"/>
      <w:lvlText w:val="•"/>
      <w:lvlJc w:val="left"/>
      <w:pPr>
        <w:ind w:left="6550" w:hanging="245"/>
      </w:pPr>
    </w:lvl>
    <w:lvl w:ilvl="8" w:tplc="74F2E736">
      <w:numFmt w:val="bullet"/>
      <w:lvlText w:val="•"/>
      <w:lvlJc w:val="left"/>
      <w:pPr>
        <w:ind w:left="7469" w:hanging="245"/>
      </w:pPr>
    </w:lvl>
  </w:abstractNum>
  <w:abstractNum w:abstractNumId="5" w15:restartNumberingAfterBreak="0">
    <w:nsid w:val="3F776D0C"/>
    <w:multiLevelType w:val="hybridMultilevel"/>
    <w:tmpl w:val="72F49AA0"/>
    <w:lvl w:ilvl="0" w:tplc="5EE639F4">
      <w:start w:val="1"/>
      <w:numFmt w:val="lowerLetter"/>
      <w:lvlText w:val="(%1)"/>
      <w:lvlJc w:val="left"/>
      <w:pPr>
        <w:ind w:left="363" w:hanging="245"/>
      </w:pPr>
      <w:rPr>
        <w:rFonts w:ascii="Times New Roman" w:eastAsia="Times New Roman" w:hAnsi="Times New Roman" w:cs="Times New Roman" w:hint="default"/>
        <w:spacing w:val="-4"/>
        <w:w w:val="100"/>
        <w:sz w:val="18"/>
        <w:szCs w:val="18"/>
      </w:rPr>
    </w:lvl>
    <w:lvl w:ilvl="1" w:tplc="97202E5C">
      <w:numFmt w:val="bullet"/>
      <w:lvlText w:val="•"/>
      <w:lvlJc w:val="left"/>
      <w:pPr>
        <w:ind w:left="1246" w:hanging="245"/>
      </w:pPr>
    </w:lvl>
    <w:lvl w:ilvl="2" w:tplc="0524B0F8">
      <w:numFmt w:val="bullet"/>
      <w:lvlText w:val="•"/>
      <w:lvlJc w:val="left"/>
      <w:pPr>
        <w:ind w:left="2133" w:hanging="245"/>
      </w:pPr>
    </w:lvl>
    <w:lvl w:ilvl="3" w:tplc="A2702F04">
      <w:numFmt w:val="bullet"/>
      <w:lvlText w:val="•"/>
      <w:lvlJc w:val="left"/>
      <w:pPr>
        <w:ind w:left="3019" w:hanging="245"/>
      </w:pPr>
    </w:lvl>
    <w:lvl w:ilvl="4" w:tplc="0F7451A0">
      <w:numFmt w:val="bullet"/>
      <w:lvlText w:val="•"/>
      <w:lvlJc w:val="left"/>
      <w:pPr>
        <w:ind w:left="3906" w:hanging="245"/>
      </w:pPr>
    </w:lvl>
    <w:lvl w:ilvl="5" w:tplc="E8BE5AA4">
      <w:numFmt w:val="bullet"/>
      <w:lvlText w:val="•"/>
      <w:lvlJc w:val="left"/>
      <w:pPr>
        <w:ind w:left="4793" w:hanging="245"/>
      </w:pPr>
    </w:lvl>
    <w:lvl w:ilvl="6" w:tplc="C0FC029C">
      <w:numFmt w:val="bullet"/>
      <w:lvlText w:val="•"/>
      <w:lvlJc w:val="left"/>
      <w:pPr>
        <w:ind w:left="5679" w:hanging="245"/>
      </w:pPr>
    </w:lvl>
    <w:lvl w:ilvl="7" w:tplc="5D98E366">
      <w:numFmt w:val="bullet"/>
      <w:lvlText w:val="•"/>
      <w:lvlJc w:val="left"/>
      <w:pPr>
        <w:ind w:left="6566" w:hanging="245"/>
      </w:pPr>
    </w:lvl>
    <w:lvl w:ilvl="8" w:tplc="841A6A74">
      <w:numFmt w:val="bullet"/>
      <w:lvlText w:val="•"/>
      <w:lvlJc w:val="left"/>
      <w:pPr>
        <w:ind w:left="7453" w:hanging="245"/>
      </w:pPr>
    </w:lvl>
  </w:abstractNum>
  <w:abstractNum w:abstractNumId="6" w15:restartNumberingAfterBreak="0">
    <w:nsid w:val="50272BC8"/>
    <w:multiLevelType w:val="hybridMultilevel"/>
    <w:tmpl w:val="90DA898A"/>
    <w:lvl w:ilvl="0" w:tplc="F38C03E4">
      <w:numFmt w:val="bullet"/>
      <w:lvlText w:val="-"/>
      <w:lvlJc w:val="left"/>
      <w:pPr>
        <w:ind w:left="684" w:hanging="567"/>
      </w:pPr>
      <w:rPr>
        <w:rFonts w:ascii="Times New Roman" w:eastAsia="Times New Roman" w:hAnsi="Times New Roman" w:cs="Times New Roman" w:hint="default"/>
        <w:w w:val="100"/>
        <w:sz w:val="22"/>
        <w:szCs w:val="22"/>
      </w:rPr>
    </w:lvl>
    <w:lvl w:ilvl="1" w:tplc="9858043E">
      <w:numFmt w:val="bullet"/>
      <w:lvlText w:val="•"/>
      <w:lvlJc w:val="left"/>
      <w:pPr>
        <w:ind w:left="1540" w:hanging="567"/>
      </w:pPr>
    </w:lvl>
    <w:lvl w:ilvl="2" w:tplc="141243EE">
      <w:numFmt w:val="bullet"/>
      <w:lvlText w:val="•"/>
      <w:lvlJc w:val="left"/>
      <w:pPr>
        <w:ind w:left="2401" w:hanging="567"/>
      </w:pPr>
    </w:lvl>
    <w:lvl w:ilvl="3" w:tplc="64441B14">
      <w:numFmt w:val="bullet"/>
      <w:lvlText w:val="•"/>
      <w:lvlJc w:val="left"/>
      <w:pPr>
        <w:ind w:left="3261" w:hanging="567"/>
      </w:pPr>
    </w:lvl>
    <w:lvl w:ilvl="4" w:tplc="4CACED9E">
      <w:numFmt w:val="bullet"/>
      <w:lvlText w:val="•"/>
      <w:lvlJc w:val="left"/>
      <w:pPr>
        <w:ind w:left="4122" w:hanging="567"/>
      </w:pPr>
    </w:lvl>
    <w:lvl w:ilvl="5" w:tplc="737846A4">
      <w:numFmt w:val="bullet"/>
      <w:lvlText w:val="•"/>
      <w:lvlJc w:val="left"/>
      <w:pPr>
        <w:ind w:left="4983" w:hanging="567"/>
      </w:pPr>
    </w:lvl>
    <w:lvl w:ilvl="6" w:tplc="64F8F488">
      <w:numFmt w:val="bullet"/>
      <w:lvlText w:val="•"/>
      <w:lvlJc w:val="left"/>
      <w:pPr>
        <w:ind w:left="5843" w:hanging="567"/>
      </w:pPr>
    </w:lvl>
    <w:lvl w:ilvl="7" w:tplc="BD96C252">
      <w:numFmt w:val="bullet"/>
      <w:lvlText w:val="•"/>
      <w:lvlJc w:val="left"/>
      <w:pPr>
        <w:ind w:left="6704" w:hanging="567"/>
      </w:pPr>
    </w:lvl>
    <w:lvl w:ilvl="8" w:tplc="5E62293C">
      <w:numFmt w:val="bullet"/>
      <w:lvlText w:val="•"/>
      <w:lvlJc w:val="left"/>
      <w:pPr>
        <w:ind w:left="7565" w:hanging="567"/>
      </w:p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7"/>
  </w:num>
  <w:num w:numId="4">
    <w:abstractNumId w:val="1"/>
  </w:num>
  <w:num w:numId="5">
    <w:abstractNumId w:val="6"/>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56"/>
    <w:rsid w:val="00056601"/>
    <w:rsid w:val="00065EFE"/>
    <w:rsid w:val="000B691E"/>
    <w:rsid w:val="000B7D8C"/>
    <w:rsid w:val="000C3846"/>
    <w:rsid w:val="000C6218"/>
    <w:rsid w:val="000D0570"/>
    <w:rsid w:val="000D3C9D"/>
    <w:rsid w:val="000F0D47"/>
    <w:rsid w:val="001242DE"/>
    <w:rsid w:val="00180A12"/>
    <w:rsid w:val="00214331"/>
    <w:rsid w:val="00214CF4"/>
    <w:rsid w:val="002305B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52F97"/>
    <w:rsid w:val="00680052"/>
    <w:rsid w:val="00683267"/>
    <w:rsid w:val="006844E9"/>
    <w:rsid w:val="006B3847"/>
    <w:rsid w:val="0075453D"/>
    <w:rsid w:val="007A4CC6"/>
    <w:rsid w:val="007C3623"/>
    <w:rsid w:val="007C5D2A"/>
    <w:rsid w:val="007D5C29"/>
    <w:rsid w:val="007F1E00"/>
    <w:rsid w:val="00827444"/>
    <w:rsid w:val="008400E3"/>
    <w:rsid w:val="00864538"/>
    <w:rsid w:val="00873B4F"/>
    <w:rsid w:val="008A24F6"/>
    <w:rsid w:val="008E51AE"/>
    <w:rsid w:val="008F2F8C"/>
    <w:rsid w:val="009925C9"/>
    <w:rsid w:val="00A114ED"/>
    <w:rsid w:val="00A179D0"/>
    <w:rsid w:val="00A358A3"/>
    <w:rsid w:val="00A46747"/>
    <w:rsid w:val="00A80446"/>
    <w:rsid w:val="00A85D26"/>
    <w:rsid w:val="00A9153A"/>
    <w:rsid w:val="00A91B56"/>
    <w:rsid w:val="00AB4376"/>
    <w:rsid w:val="00AC033C"/>
    <w:rsid w:val="00AD2E36"/>
    <w:rsid w:val="00B45DC5"/>
    <w:rsid w:val="00BD3490"/>
    <w:rsid w:val="00C1594C"/>
    <w:rsid w:val="00C219DD"/>
    <w:rsid w:val="00C26226"/>
    <w:rsid w:val="00C3571D"/>
    <w:rsid w:val="00C54F0B"/>
    <w:rsid w:val="00C82621"/>
    <w:rsid w:val="00CB1423"/>
    <w:rsid w:val="00D02508"/>
    <w:rsid w:val="00D778CC"/>
    <w:rsid w:val="00D82FE9"/>
    <w:rsid w:val="00D97B77"/>
    <w:rsid w:val="00DB6A85"/>
    <w:rsid w:val="00DB7D47"/>
    <w:rsid w:val="00E06B32"/>
    <w:rsid w:val="00E1290F"/>
    <w:rsid w:val="00E36A80"/>
    <w:rsid w:val="00E37AA7"/>
    <w:rsid w:val="00E41882"/>
    <w:rsid w:val="00EB21D7"/>
    <w:rsid w:val="00EE3EB7"/>
    <w:rsid w:val="00F57E16"/>
    <w:rsid w:val="00F60336"/>
    <w:rsid w:val="00FD652E"/>
    <w:rsid w:val="00FF18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8B84B"/>
  <w15:chartTrackingRefBased/>
  <w15:docId w15:val="{E630EE71-A6D4-4DEB-9028-93796643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9"/>
    <w:qFormat/>
    <w:rsid w:val="00E41882"/>
    <w:pPr>
      <w:widowControl w:val="0"/>
      <w:autoSpaceDE w:val="0"/>
      <w:autoSpaceDN w:val="0"/>
      <w:ind w:left="107"/>
      <w:outlineLvl w:val="0"/>
    </w:pPr>
    <w:rPr>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E41882"/>
    <w:rPr>
      <w:b/>
      <w:bCs/>
      <w:sz w:val="22"/>
      <w:szCs w:val="22"/>
      <w:lang w:val="en-US" w:eastAsia="en-US"/>
    </w:rPr>
  </w:style>
  <w:style w:type="paragraph" w:styleId="Brdtekst">
    <w:name w:val="Body Text"/>
    <w:basedOn w:val="Normal"/>
    <w:link w:val="BrdtekstTegn"/>
    <w:semiHidden/>
    <w:unhideWhenUsed/>
    <w:qFormat/>
    <w:rsid w:val="00E41882"/>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semiHidden/>
    <w:rsid w:val="00E41882"/>
    <w:rPr>
      <w:sz w:val="22"/>
      <w:szCs w:val="22"/>
      <w:lang w:val="en-US" w:eastAsia="en-US"/>
    </w:rPr>
  </w:style>
  <w:style w:type="paragraph" w:customStyle="1" w:styleId="TableParagraph">
    <w:name w:val="Table Paragraph"/>
    <w:basedOn w:val="Normal"/>
    <w:uiPriority w:val="1"/>
    <w:qFormat/>
    <w:rsid w:val="00E41882"/>
    <w:pPr>
      <w:widowControl w:val="0"/>
      <w:autoSpaceDE w:val="0"/>
      <w:autoSpaceDN w:val="0"/>
      <w:ind w:left="103"/>
    </w:pPr>
    <w:rPr>
      <w:sz w:val="22"/>
      <w:szCs w:val="22"/>
      <w:lang w:val="en-US" w:eastAsia="en-US"/>
    </w:rPr>
  </w:style>
  <w:style w:type="character" w:styleId="Hyperlink">
    <w:name w:val="Hyperlink"/>
    <w:basedOn w:val="Standardskrifttypeiafsnit"/>
    <w:uiPriority w:val="99"/>
    <w:semiHidden/>
    <w:unhideWhenUsed/>
    <w:rsid w:val="00E41882"/>
    <w:rPr>
      <w:color w:val="0000FF"/>
      <w:u w:val="single"/>
    </w:rPr>
  </w:style>
  <w:style w:type="paragraph" w:styleId="Listeafsnit">
    <w:name w:val="List Paragraph"/>
    <w:basedOn w:val="Normal"/>
    <w:uiPriority w:val="34"/>
    <w:qFormat/>
    <w:rsid w:val="007D5C29"/>
    <w:pPr>
      <w:widowControl w:val="0"/>
      <w:autoSpaceDE w:val="0"/>
      <w:autoSpaceDN w:val="0"/>
      <w:spacing w:line="269" w:lineRule="exact"/>
      <w:ind w:left="684" w:hanging="566"/>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4349">
      <w:bodyDiv w:val="1"/>
      <w:marLeft w:val="0"/>
      <w:marRight w:val="0"/>
      <w:marTop w:val="0"/>
      <w:marBottom w:val="0"/>
      <w:divBdr>
        <w:top w:val="none" w:sz="0" w:space="0" w:color="auto"/>
        <w:left w:val="none" w:sz="0" w:space="0" w:color="auto"/>
        <w:bottom w:val="none" w:sz="0" w:space="0" w:color="auto"/>
        <w:right w:val="none" w:sz="0" w:space="0" w:color="auto"/>
      </w:divBdr>
    </w:div>
    <w:div w:id="86779452">
      <w:bodyDiv w:val="1"/>
      <w:marLeft w:val="0"/>
      <w:marRight w:val="0"/>
      <w:marTop w:val="0"/>
      <w:marBottom w:val="0"/>
      <w:divBdr>
        <w:top w:val="none" w:sz="0" w:space="0" w:color="auto"/>
        <w:left w:val="none" w:sz="0" w:space="0" w:color="auto"/>
        <w:bottom w:val="none" w:sz="0" w:space="0" w:color="auto"/>
        <w:right w:val="none" w:sz="0" w:space="0" w:color="auto"/>
      </w:divBdr>
    </w:div>
    <w:div w:id="92825195">
      <w:bodyDiv w:val="1"/>
      <w:marLeft w:val="0"/>
      <w:marRight w:val="0"/>
      <w:marTop w:val="0"/>
      <w:marBottom w:val="0"/>
      <w:divBdr>
        <w:top w:val="none" w:sz="0" w:space="0" w:color="auto"/>
        <w:left w:val="none" w:sz="0" w:space="0" w:color="auto"/>
        <w:bottom w:val="none" w:sz="0" w:space="0" w:color="auto"/>
        <w:right w:val="none" w:sz="0" w:space="0" w:color="auto"/>
      </w:divBdr>
    </w:div>
    <w:div w:id="117380075">
      <w:bodyDiv w:val="1"/>
      <w:marLeft w:val="0"/>
      <w:marRight w:val="0"/>
      <w:marTop w:val="0"/>
      <w:marBottom w:val="0"/>
      <w:divBdr>
        <w:top w:val="none" w:sz="0" w:space="0" w:color="auto"/>
        <w:left w:val="none" w:sz="0" w:space="0" w:color="auto"/>
        <w:bottom w:val="none" w:sz="0" w:space="0" w:color="auto"/>
        <w:right w:val="none" w:sz="0" w:space="0" w:color="auto"/>
      </w:divBdr>
    </w:div>
    <w:div w:id="126048989">
      <w:bodyDiv w:val="1"/>
      <w:marLeft w:val="0"/>
      <w:marRight w:val="0"/>
      <w:marTop w:val="0"/>
      <w:marBottom w:val="0"/>
      <w:divBdr>
        <w:top w:val="none" w:sz="0" w:space="0" w:color="auto"/>
        <w:left w:val="none" w:sz="0" w:space="0" w:color="auto"/>
        <w:bottom w:val="none" w:sz="0" w:space="0" w:color="auto"/>
        <w:right w:val="none" w:sz="0" w:space="0" w:color="auto"/>
      </w:divBdr>
    </w:div>
    <w:div w:id="154344337">
      <w:bodyDiv w:val="1"/>
      <w:marLeft w:val="0"/>
      <w:marRight w:val="0"/>
      <w:marTop w:val="0"/>
      <w:marBottom w:val="0"/>
      <w:divBdr>
        <w:top w:val="none" w:sz="0" w:space="0" w:color="auto"/>
        <w:left w:val="none" w:sz="0" w:space="0" w:color="auto"/>
        <w:bottom w:val="none" w:sz="0" w:space="0" w:color="auto"/>
        <w:right w:val="none" w:sz="0" w:space="0" w:color="auto"/>
      </w:divBdr>
    </w:div>
    <w:div w:id="188881573">
      <w:bodyDiv w:val="1"/>
      <w:marLeft w:val="0"/>
      <w:marRight w:val="0"/>
      <w:marTop w:val="0"/>
      <w:marBottom w:val="0"/>
      <w:divBdr>
        <w:top w:val="none" w:sz="0" w:space="0" w:color="auto"/>
        <w:left w:val="none" w:sz="0" w:space="0" w:color="auto"/>
        <w:bottom w:val="none" w:sz="0" w:space="0" w:color="auto"/>
        <w:right w:val="none" w:sz="0" w:space="0" w:color="auto"/>
      </w:divBdr>
    </w:div>
    <w:div w:id="210072832">
      <w:bodyDiv w:val="1"/>
      <w:marLeft w:val="0"/>
      <w:marRight w:val="0"/>
      <w:marTop w:val="0"/>
      <w:marBottom w:val="0"/>
      <w:divBdr>
        <w:top w:val="none" w:sz="0" w:space="0" w:color="auto"/>
        <w:left w:val="none" w:sz="0" w:space="0" w:color="auto"/>
        <w:bottom w:val="none" w:sz="0" w:space="0" w:color="auto"/>
        <w:right w:val="none" w:sz="0" w:space="0" w:color="auto"/>
      </w:divBdr>
    </w:div>
    <w:div w:id="265310896">
      <w:bodyDiv w:val="1"/>
      <w:marLeft w:val="0"/>
      <w:marRight w:val="0"/>
      <w:marTop w:val="0"/>
      <w:marBottom w:val="0"/>
      <w:divBdr>
        <w:top w:val="none" w:sz="0" w:space="0" w:color="auto"/>
        <w:left w:val="none" w:sz="0" w:space="0" w:color="auto"/>
        <w:bottom w:val="none" w:sz="0" w:space="0" w:color="auto"/>
        <w:right w:val="none" w:sz="0" w:space="0" w:color="auto"/>
      </w:divBdr>
    </w:div>
    <w:div w:id="289093463">
      <w:bodyDiv w:val="1"/>
      <w:marLeft w:val="0"/>
      <w:marRight w:val="0"/>
      <w:marTop w:val="0"/>
      <w:marBottom w:val="0"/>
      <w:divBdr>
        <w:top w:val="none" w:sz="0" w:space="0" w:color="auto"/>
        <w:left w:val="none" w:sz="0" w:space="0" w:color="auto"/>
        <w:bottom w:val="none" w:sz="0" w:space="0" w:color="auto"/>
        <w:right w:val="none" w:sz="0" w:space="0" w:color="auto"/>
      </w:divBdr>
    </w:div>
    <w:div w:id="289675573">
      <w:bodyDiv w:val="1"/>
      <w:marLeft w:val="0"/>
      <w:marRight w:val="0"/>
      <w:marTop w:val="0"/>
      <w:marBottom w:val="0"/>
      <w:divBdr>
        <w:top w:val="none" w:sz="0" w:space="0" w:color="auto"/>
        <w:left w:val="none" w:sz="0" w:space="0" w:color="auto"/>
        <w:bottom w:val="none" w:sz="0" w:space="0" w:color="auto"/>
        <w:right w:val="none" w:sz="0" w:space="0" w:color="auto"/>
      </w:divBdr>
    </w:div>
    <w:div w:id="378015371">
      <w:bodyDiv w:val="1"/>
      <w:marLeft w:val="0"/>
      <w:marRight w:val="0"/>
      <w:marTop w:val="0"/>
      <w:marBottom w:val="0"/>
      <w:divBdr>
        <w:top w:val="none" w:sz="0" w:space="0" w:color="auto"/>
        <w:left w:val="none" w:sz="0" w:space="0" w:color="auto"/>
        <w:bottom w:val="none" w:sz="0" w:space="0" w:color="auto"/>
        <w:right w:val="none" w:sz="0" w:space="0" w:color="auto"/>
      </w:divBdr>
    </w:div>
    <w:div w:id="403263337">
      <w:bodyDiv w:val="1"/>
      <w:marLeft w:val="0"/>
      <w:marRight w:val="0"/>
      <w:marTop w:val="0"/>
      <w:marBottom w:val="0"/>
      <w:divBdr>
        <w:top w:val="none" w:sz="0" w:space="0" w:color="auto"/>
        <w:left w:val="none" w:sz="0" w:space="0" w:color="auto"/>
        <w:bottom w:val="none" w:sz="0" w:space="0" w:color="auto"/>
        <w:right w:val="none" w:sz="0" w:space="0" w:color="auto"/>
      </w:divBdr>
    </w:div>
    <w:div w:id="550725928">
      <w:bodyDiv w:val="1"/>
      <w:marLeft w:val="0"/>
      <w:marRight w:val="0"/>
      <w:marTop w:val="0"/>
      <w:marBottom w:val="0"/>
      <w:divBdr>
        <w:top w:val="none" w:sz="0" w:space="0" w:color="auto"/>
        <w:left w:val="none" w:sz="0" w:space="0" w:color="auto"/>
        <w:bottom w:val="none" w:sz="0" w:space="0" w:color="auto"/>
        <w:right w:val="none" w:sz="0" w:space="0" w:color="auto"/>
      </w:divBdr>
    </w:div>
    <w:div w:id="634876522">
      <w:bodyDiv w:val="1"/>
      <w:marLeft w:val="0"/>
      <w:marRight w:val="0"/>
      <w:marTop w:val="0"/>
      <w:marBottom w:val="0"/>
      <w:divBdr>
        <w:top w:val="none" w:sz="0" w:space="0" w:color="auto"/>
        <w:left w:val="none" w:sz="0" w:space="0" w:color="auto"/>
        <w:bottom w:val="none" w:sz="0" w:space="0" w:color="auto"/>
        <w:right w:val="none" w:sz="0" w:space="0" w:color="auto"/>
      </w:divBdr>
    </w:div>
    <w:div w:id="695816169">
      <w:bodyDiv w:val="1"/>
      <w:marLeft w:val="0"/>
      <w:marRight w:val="0"/>
      <w:marTop w:val="0"/>
      <w:marBottom w:val="0"/>
      <w:divBdr>
        <w:top w:val="none" w:sz="0" w:space="0" w:color="auto"/>
        <w:left w:val="none" w:sz="0" w:space="0" w:color="auto"/>
        <w:bottom w:val="none" w:sz="0" w:space="0" w:color="auto"/>
        <w:right w:val="none" w:sz="0" w:space="0" w:color="auto"/>
      </w:divBdr>
    </w:div>
    <w:div w:id="700783821">
      <w:bodyDiv w:val="1"/>
      <w:marLeft w:val="0"/>
      <w:marRight w:val="0"/>
      <w:marTop w:val="0"/>
      <w:marBottom w:val="0"/>
      <w:divBdr>
        <w:top w:val="none" w:sz="0" w:space="0" w:color="auto"/>
        <w:left w:val="none" w:sz="0" w:space="0" w:color="auto"/>
        <w:bottom w:val="none" w:sz="0" w:space="0" w:color="auto"/>
        <w:right w:val="none" w:sz="0" w:space="0" w:color="auto"/>
      </w:divBdr>
    </w:div>
    <w:div w:id="786391938">
      <w:bodyDiv w:val="1"/>
      <w:marLeft w:val="0"/>
      <w:marRight w:val="0"/>
      <w:marTop w:val="0"/>
      <w:marBottom w:val="0"/>
      <w:divBdr>
        <w:top w:val="none" w:sz="0" w:space="0" w:color="auto"/>
        <w:left w:val="none" w:sz="0" w:space="0" w:color="auto"/>
        <w:bottom w:val="none" w:sz="0" w:space="0" w:color="auto"/>
        <w:right w:val="none" w:sz="0" w:space="0" w:color="auto"/>
      </w:divBdr>
    </w:div>
    <w:div w:id="856774586">
      <w:bodyDiv w:val="1"/>
      <w:marLeft w:val="0"/>
      <w:marRight w:val="0"/>
      <w:marTop w:val="0"/>
      <w:marBottom w:val="0"/>
      <w:divBdr>
        <w:top w:val="none" w:sz="0" w:space="0" w:color="auto"/>
        <w:left w:val="none" w:sz="0" w:space="0" w:color="auto"/>
        <w:bottom w:val="none" w:sz="0" w:space="0" w:color="auto"/>
        <w:right w:val="none" w:sz="0" w:space="0" w:color="auto"/>
      </w:divBdr>
    </w:div>
    <w:div w:id="880479602">
      <w:bodyDiv w:val="1"/>
      <w:marLeft w:val="0"/>
      <w:marRight w:val="0"/>
      <w:marTop w:val="0"/>
      <w:marBottom w:val="0"/>
      <w:divBdr>
        <w:top w:val="none" w:sz="0" w:space="0" w:color="auto"/>
        <w:left w:val="none" w:sz="0" w:space="0" w:color="auto"/>
        <w:bottom w:val="none" w:sz="0" w:space="0" w:color="auto"/>
        <w:right w:val="none" w:sz="0" w:space="0" w:color="auto"/>
      </w:divBdr>
    </w:div>
    <w:div w:id="977495345">
      <w:bodyDiv w:val="1"/>
      <w:marLeft w:val="0"/>
      <w:marRight w:val="0"/>
      <w:marTop w:val="0"/>
      <w:marBottom w:val="0"/>
      <w:divBdr>
        <w:top w:val="none" w:sz="0" w:space="0" w:color="auto"/>
        <w:left w:val="none" w:sz="0" w:space="0" w:color="auto"/>
        <w:bottom w:val="none" w:sz="0" w:space="0" w:color="auto"/>
        <w:right w:val="none" w:sz="0" w:space="0" w:color="auto"/>
      </w:divBdr>
    </w:div>
    <w:div w:id="1005548602">
      <w:bodyDiv w:val="1"/>
      <w:marLeft w:val="0"/>
      <w:marRight w:val="0"/>
      <w:marTop w:val="0"/>
      <w:marBottom w:val="0"/>
      <w:divBdr>
        <w:top w:val="none" w:sz="0" w:space="0" w:color="auto"/>
        <w:left w:val="none" w:sz="0" w:space="0" w:color="auto"/>
        <w:bottom w:val="none" w:sz="0" w:space="0" w:color="auto"/>
        <w:right w:val="none" w:sz="0" w:space="0" w:color="auto"/>
      </w:divBdr>
    </w:div>
    <w:div w:id="1008409796">
      <w:bodyDiv w:val="1"/>
      <w:marLeft w:val="0"/>
      <w:marRight w:val="0"/>
      <w:marTop w:val="0"/>
      <w:marBottom w:val="0"/>
      <w:divBdr>
        <w:top w:val="none" w:sz="0" w:space="0" w:color="auto"/>
        <w:left w:val="none" w:sz="0" w:space="0" w:color="auto"/>
        <w:bottom w:val="none" w:sz="0" w:space="0" w:color="auto"/>
        <w:right w:val="none" w:sz="0" w:space="0" w:color="auto"/>
      </w:divBdr>
    </w:div>
    <w:div w:id="1009061776">
      <w:bodyDiv w:val="1"/>
      <w:marLeft w:val="0"/>
      <w:marRight w:val="0"/>
      <w:marTop w:val="0"/>
      <w:marBottom w:val="0"/>
      <w:divBdr>
        <w:top w:val="none" w:sz="0" w:space="0" w:color="auto"/>
        <w:left w:val="none" w:sz="0" w:space="0" w:color="auto"/>
        <w:bottom w:val="none" w:sz="0" w:space="0" w:color="auto"/>
        <w:right w:val="none" w:sz="0" w:space="0" w:color="auto"/>
      </w:divBdr>
    </w:div>
    <w:div w:id="1009287047">
      <w:bodyDiv w:val="1"/>
      <w:marLeft w:val="0"/>
      <w:marRight w:val="0"/>
      <w:marTop w:val="0"/>
      <w:marBottom w:val="0"/>
      <w:divBdr>
        <w:top w:val="none" w:sz="0" w:space="0" w:color="auto"/>
        <w:left w:val="none" w:sz="0" w:space="0" w:color="auto"/>
        <w:bottom w:val="none" w:sz="0" w:space="0" w:color="auto"/>
        <w:right w:val="none" w:sz="0" w:space="0" w:color="auto"/>
      </w:divBdr>
    </w:div>
    <w:div w:id="1171719756">
      <w:bodyDiv w:val="1"/>
      <w:marLeft w:val="0"/>
      <w:marRight w:val="0"/>
      <w:marTop w:val="0"/>
      <w:marBottom w:val="0"/>
      <w:divBdr>
        <w:top w:val="none" w:sz="0" w:space="0" w:color="auto"/>
        <w:left w:val="none" w:sz="0" w:space="0" w:color="auto"/>
        <w:bottom w:val="none" w:sz="0" w:space="0" w:color="auto"/>
        <w:right w:val="none" w:sz="0" w:space="0" w:color="auto"/>
      </w:divBdr>
    </w:div>
    <w:div w:id="1260140466">
      <w:bodyDiv w:val="1"/>
      <w:marLeft w:val="0"/>
      <w:marRight w:val="0"/>
      <w:marTop w:val="0"/>
      <w:marBottom w:val="0"/>
      <w:divBdr>
        <w:top w:val="none" w:sz="0" w:space="0" w:color="auto"/>
        <w:left w:val="none" w:sz="0" w:space="0" w:color="auto"/>
        <w:bottom w:val="none" w:sz="0" w:space="0" w:color="auto"/>
        <w:right w:val="none" w:sz="0" w:space="0" w:color="auto"/>
      </w:divBdr>
    </w:div>
    <w:div w:id="1292708805">
      <w:bodyDiv w:val="1"/>
      <w:marLeft w:val="0"/>
      <w:marRight w:val="0"/>
      <w:marTop w:val="0"/>
      <w:marBottom w:val="0"/>
      <w:divBdr>
        <w:top w:val="none" w:sz="0" w:space="0" w:color="auto"/>
        <w:left w:val="none" w:sz="0" w:space="0" w:color="auto"/>
        <w:bottom w:val="none" w:sz="0" w:space="0" w:color="auto"/>
        <w:right w:val="none" w:sz="0" w:space="0" w:color="auto"/>
      </w:divBdr>
    </w:div>
    <w:div w:id="1366981801">
      <w:bodyDiv w:val="1"/>
      <w:marLeft w:val="0"/>
      <w:marRight w:val="0"/>
      <w:marTop w:val="0"/>
      <w:marBottom w:val="0"/>
      <w:divBdr>
        <w:top w:val="none" w:sz="0" w:space="0" w:color="auto"/>
        <w:left w:val="none" w:sz="0" w:space="0" w:color="auto"/>
        <w:bottom w:val="none" w:sz="0" w:space="0" w:color="auto"/>
        <w:right w:val="none" w:sz="0" w:space="0" w:color="auto"/>
      </w:divBdr>
    </w:div>
    <w:div w:id="1452750628">
      <w:bodyDiv w:val="1"/>
      <w:marLeft w:val="0"/>
      <w:marRight w:val="0"/>
      <w:marTop w:val="0"/>
      <w:marBottom w:val="0"/>
      <w:divBdr>
        <w:top w:val="none" w:sz="0" w:space="0" w:color="auto"/>
        <w:left w:val="none" w:sz="0" w:space="0" w:color="auto"/>
        <w:bottom w:val="none" w:sz="0" w:space="0" w:color="auto"/>
        <w:right w:val="none" w:sz="0" w:space="0" w:color="auto"/>
      </w:divBdr>
    </w:div>
    <w:div w:id="1498839489">
      <w:bodyDiv w:val="1"/>
      <w:marLeft w:val="0"/>
      <w:marRight w:val="0"/>
      <w:marTop w:val="0"/>
      <w:marBottom w:val="0"/>
      <w:divBdr>
        <w:top w:val="none" w:sz="0" w:space="0" w:color="auto"/>
        <w:left w:val="none" w:sz="0" w:space="0" w:color="auto"/>
        <w:bottom w:val="none" w:sz="0" w:space="0" w:color="auto"/>
        <w:right w:val="none" w:sz="0" w:space="0" w:color="auto"/>
      </w:divBdr>
    </w:div>
    <w:div w:id="1586915096">
      <w:bodyDiv w:val="1"/>
      <w:marLeft w:val="0"/>
      <w:marRight w:val="0"/>
      <w:marTop w:val="0"/>
      <w:marBottom w:val="0"/>
      <w:divBdr>
        <w:top w:val="none" w:sz="0" w:space="0" w:color="auto"/>
        <w:left w:val="none" w:sz="0" w:space="0" w:color="auto"/>
        <w:bottom w:val="none" w:sz="0" w:space="0" w:color="auto"/>
        <w:right w:val="none" w:sz="0" w:space="0" w:color="auto"/>
      </w:divBdr>
    </w:div>
    <w:div w:id="1619028178">
      <w:bodyDiv w:val="1"/>
      <w:marLeft w:val="0"/>
      <w:marRight w:val="0"/>
      <w:marTop w:val="0"/>
      <w:marBottom w:val="0"/>
      <w:divBdr>
        <w:top w:val="none" w:sz="0" w:space="0" w:color="auto"/>
        <w:left w:val="none" w:sz="0" w:space="0" w:color="auto"/>
        <w:bottom w:val="none" w:sz="0" w:space="0" w:color="auto"/>
        <w:right w:val="none" w:sz="0" w:space="0" w:color="auto"/>
      </w:divBdr>
    </w:div>
    <w:div w:id="1672637931">
      <w:bodyDiv w:val="1"/>
      <w:marLeft w:val="0"/>
      <w:marRight w:val="0"/>
      <w:marTop w:val="0"/>
      <w:marBottom w:val="0"/>
      <w:divBdr>
        <w:top w:val="none" w:sz="0" w:space="0" w:color="auto"/>
        <w:left w:val="none" w:sz="0" w:space="0" w:color="auto"/>
        <w:bottom w:val="none" w:sz="0" w:space="0" w:color="auto"/>
        <w:right w:val="none" w:sz="0" w:space="0" w:color="auto"/>
      </w:divBdr>
    </w:div>
    <w:div w:id="1699811795">
      <w:bodyDiv w:val="1"/>
      <w:marLeft w:val="0"/>
      <w:marRight w:val="0"/>
      <w:marTop w:val="0"/>
      <w:marBottom w:val="0"/>
      <w:divBdr>
        <w:top w:val="none" w:sz="0" w:space="0" w:color="auto"/>
        <w:left w:val="none" w:sz="0" w:space="0" w:color="auto"/>
        <w:bottom w:val="none" w:sz="0" w:space="0" w:color="auto"/>
        <w:right w:val="none" w:sz="0" w:space="0" w:color="auto"/>
      </w:divBdr>
    </w:div>
    <w:div w:id="1713575521">
      <w:bodyDiv w:val="1"/>
      <w:marLeft w:val="0"/>
      <w:marRight w:val="0"/>
      <w:marTop w:val="0"/>
      <w:marBottom w:val="0"/>
      <w:divBdr>
        <w:top w:val="none" w:sz="0" w:space="0" w:color="auto"/>
        <w:left w:val="none" w:sz="0" w:space="0" w:color="auto"/>
        <w:bottom w:val="none" w:sz="0" w:space="0" w:color="auto"/>
        <w:right w:val="none" w:sz="0" w:space="0" w:color="auto"/>
      </w:divBdr>
    </w:div>
    <w:div w:id="1871840859">
      <w:bodyDiv w:val="1"/>
      <w:marLeft w:val="0"/>
      <w:marRight w:val="0"/>
      <w:marTop w:val="0"/>
      <w:marBottom w:val="0"/>
      <w:divBdr>
        <w:top w:val="none" w:sz="0" w:space="0" w:color="auto"/>
        <w:left w:val="none" w:sz="0" w:space="0" w:color="auto"/>
        <w:bottom w:val="none" w:sz="0" w:space="0" w:color="auto"/>
        <w:right w:val="none" w:sz="0" w:space="0" w:color="auto"/>
      </w:divBdr>
    </w:div>
    <w:div w:id="1960530295">
      <w:bodyDiv w:val="1"/>
      <w:marLeft w:val="0"/>
      <w:marRight w:val="0"/>
      <w:marTop w:val="0"/>
      <w:marBottom w:val="0"/>
      <w:divBdr>
        <w:top w:val="none" w:sz="0" w:space="0" w:color="auto"/>
        <w:left w:val="none" w:sz="0" w:space="0" w:color="auto"/>
        <w:bottom w:val="none" w:sz="0" w:space="0" w:color="auto"/>
        <w:right w:val="none" w:sz="0" w:space="0" w:color="auto"/>
      </w:divBdr>
    </w:div>
    <w:div w:id="1985425130">
      <w:bodyDiv w:val="1"/>
      <w:marLeft w:val="0"/>
      <w:marRight w:val="0"/>
      <w:marTop w:val="0"/>
      <w:marBottom w:val="0"/>
      <w:divBdr>
        <w:top w:val="none" w:sz="0" w:space="0" w:color="auto"/>
        <w:left w:val="none" w:sz="0" w:space="0" w:color="auto"/>
        <w:bottom w:val="none" w:sz="0" w:space="0" w:color="auto"/>
        <w:right w:val="none" w:sz="0" w:space="0" w:color="auto"/>
      </w:divBdr>
    </w:div>
    <w:div w:id="1991251764">
      <w:bodyDiv w:val="1"/>
      <w:marLeft w:val="0"/>
      <w:marRight w:val="0"/>
      <w:marTop w:val="0"/>
      <w:marBottom w:val="0"/>
      <w:divBdr>
        <w:top w:val="none" w:sz="0" w:space="0" w:color="auto"/>
        <w:left w:val="none" w:sz="0" w:space="0" w:color="auto"/>
        <w:bottom w:val="none" w:sz="0" w:space="0" w:color="auto"/>
        <w:right w:val="none" w:sz="0" w:space="0" w:color="auto"/>
      </w:divBdr>
    </w:div>
    <w:div w:id="2062710618">
      <w:bodyDiv w:val="1"/>
      <w:marLeft w:val="0"/>
      <w:marRight w:val="0"/>
      <w:marTop w:val="0"/>
      <w:marBottom w:val="0"/>
      <w:divBdr>
        <w:top w:val="none" w:sz="0" w:space="0" w:color="auto"/>
        <w:left w:val="none" w:sz="0" w:space="0" w:color="auto"/>
        <w:bottom w:val="none" w:sz="0" w:space="0" w:color="auto"/>
        <w:right w:val="none" w:sz="0" w:space="0" w:color="auto"/>
      </w:divBdr>
    </w:div>
    <w:div w:id="2088334311">
      <w:bodyDiv w:val="1"/>
      <w:marLeft w:val="0"/>
      <w:marRight w:val="0"/>
      <w:marTop w:val="0"/>
      <w:marBottom w:val="0"/>
      <w:divBdr>
        <w:top w:val="none" w:sz="0" w:space="0" w:color="auto"/>
        <w:left w:val="none" w:sz="0" w:space="0" w:color="auto"/>
        <w:bottom w:val="none" w:sz="0" w:space="0" w:color="auto"/>
        <w:right w:val="none" w:sz="0" w:space="0" w:color="auto"/>
      </w:divBdr>
    </w:div>
    <w:div w:id="21138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29</TotalTime>
  <Pages>25</Pages>
  <Words>7119</Words>
  <Characters>45026</Characters>
  <Application>Microsoft Office Word</Application>
  <DocSecurity>0</DocSecurity>
  <Lines>375</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2022060052 mt</dc:description>
  <cp:lastModifiedBy>Hanne Thy Iversen</cp:lastModifiedBy>
  <cp:revision>13</cp:revision>
  <cp:lastPrinted>2006-02-24T09:31:00Z</cp:lastPrinted>
  <dcterms:created xsi:type="dcterms:W3CDTF">2024-09-18T14:20:00Z</dcterms:created>
  <dcterms:modified xsi:type="dcterms:W3CDTF">2024-09-19T08:55:00Z</dcterms:modified>
</cp:coreProperties>
</file>