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C" w:rsidRPr="008F49E1" w:rsidRDefault="00585E4C" w:rsidP="00585E4C">
      <w:pPr>
        <w:rPr>
          <w:sz w:val="24"/>
          <w:szCs w:val="24"/>
        </w:rPr>
      </w:pPr>
      <w:r w:rsidRPr="008F49E1">
        <w:rPr>
          <w:noProof/>
          <w:sz w:val="24"/>
          <w:szCs w:val="24"/>
          <w:lang w:eastAsia="da-DK"/>
        </w:rPr>
        <w:drawing>
          <wp:inline distT="0" distB="0" distL="0" distR="0" wp14:anchorId="1CE21A86" wp14:editId="2920577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585E4C" w:rsidRDefault="00585E4C" w:rsidP="00585E4C">
      <w:pPr>
        <w:pStyle w:val="Titel"/>
        <w:tabs>
          <w:tab w:val="right" w:pos="9356"/>
        </w:tabs>
        <w:jc w:val="left"/>
        <w:rPr>
          <w:b w:val="0"/>
          <w:sz w:val="23"/>
          <w:lang w:eastAsia="en-US"/>
        </w:rPr>
      </w:pPr>
    </w:p>
    <w:p w:rsidR="00585E4C" w:rsidRDefault="00585E4C" w:rsidP="00577F6F">
      <w:pPr>
        <w:pStyle w:val="Titel"/>
        <w:tabs>
          <w:tab w:val="right" w:pos="9356"/>
        </w:tabs>
        <w:jc w:val="left"/>
        <w:rPr>
          <w:szCs w:val="24"/>
        </w:rPr>
      </w:pPr>
      <w:r>
        <w:rPr>
          <w:b w:val="0"/>
          <w:sz w:val="23"/>
          <w:lang w:eastAsia="en-US"/>
        </w:rPr>
        <w:tab/>
      </w:r>
      <w:r>
        <w:rPr>
          <w:szCs w:val="24"/>
        </w:rPr>
        <w:t>2</w:t>
      </w:r>
      <w:r w:rsidR="00AA1B76">
        <w:rPr>
          <w:szCs w:val="24"/>
        </w:rPr>
        <w:t>8</w:t>
      </w:r>
      <w:r w:rsidR="00511055">
        <w:rPr>
          <w:szCs w:val="24"/>
        </w:rPr>
        <w:t xml:space="preserve">. </w:t>
      </w:r>
      <w:r w:rsidR="00577F6F">
        <w:rPr>
          <w:szCs w:val="24"/>
        </w:rPr>
        <w:t>februar 2025</w:t>
      </w:r>
    </w:p>
    <w:p w:rsidR="00577F6F" w:rsidRDefault="00577F6F" w:rsidP="00577F6F">
      <w:pPr>
        <w:pStyle w:val="Titel"/>
        <w:tabs>
          <w:tab w:val="right" w:pos="9356"/>
        </w:tabs>
        <w:jc w:val="left"/>
        <w:rPr>
          <w:b w:val="0"/>
        </w:rPr>
      </w:pPr>
    </w:p>
    <w:p w:rsidR="00585E4C" w:rsidRDefault="00585E4C" w:rsidP="00585E4C">
      <w:pPr>
        <w:jc w:val="center"/>
        <w:rPr>
          <w:b/>
          <w:sz w:val="24"/>
          <w:szCs w:val="24"/>
        </w:rPr>
      </w:pPr>
    </w:p>
    <w:p w:rsidR="00C170B4" w:rsidRDefault="00C170B4" w:rsidP="00585E4C">
      <w:pPr>
        <w:jc w:val="center"/>
        <w:rPr>
          <w:b/>
          <w:sz w:val="24"/>
          <w:szCs w:val="24"/>
        </w:rPr>
      </w:pPr>
    </w:p>
    <w:p w:rsidR="00585E4C" w:rsidRPr="00EC0B9B" w:rsidRDefault="00585E4C" w:rsidP="00585E4C">
      <w:pPr>
        <w:jc w:val="center"/>
        <w:rPr>
          <w:b/>
          <w:sz w:val="24"/>
          <w:szCs w:val="24"/>
        </w:rPr>
      </w:pPr>
      <w:r w:rsidRPr="00EC0B9B">
        <w:rPr>
          <w:b/>
          <w:sz w:val="24"/>
          <w:szCs w:val="24"/>
        </w:rPr>
        <w:t>PRODUKTRESUMÉ</w:t>
      </w:r>
    </w:p>
    <w:p w:rsidR="00585E4C" w:rsidRPr="00EC0B9B" w:rsidRDefault="00585E4C" w:rsidP="00585E4C">
      <w:pPr>
        <w:jc w:val="center"/>
        <w:rPr>
          <w:b/>
          <w:sz w:val="24"/>
          <w:szCs w:val="24"/>
        </w:rPr>
      </w:pPr>
    </w:p>
    <w:p w:rsidR="00585E4C" w:rsidRPr="00EC0B9B" w:rsidRDefault="00585E4C" w:rsidP="00585E4C">
      <w:pPr>
        <w:jc w:val="center"/>
        <w:rPr>
          <w:b/>
          <w:sz w:val="24"/>
          <w:szCs w:val="24"/>
        </w:rPr>
      </w:pPr>
      <w:r w:rsidRPr="00EC0B9B">
        <w:rPr>
          <w:b/>
          <w:sz w:val="24"/>
          <w:szCs w:val="24"/>
        </w:rPr>
        <w:t>for</w:t>
      </w:r>
    </w:p>
    <w:p w:rsidR="00585E4C" w:rsidRPr="00EC0B9B" w:rsidRDefault="00585E4C" w:rsidP="00585E4C">
      <w:pPr>
        <w:jc w:val="center"/>
        <w:rPr>
          <w:b/>
          <w:sz w:val="24"/>
          <w:szCs w:val="24"/>
        </w:rPr>
      </w:pPr>
    </w:p>
    <w:p w:rsidR="00585E4C" w:rsidRPr="0049104B" w:rsidRDefault="00585E4C" w:rsidP="00585E4C">
      <w:pPr>
        <w:jc w:val="center"/>
        <w:rPr>
          <w:b/>
          <w:sz w:val="24"/>
          <w:szCs w:val="24"/>
        </w:rPr>
      </w:pPr>
      <w:proofErr w:type="spellStart"/>
      <w:r>
        <w:rPr>
          <w:b/>
          <w:sz w:val="24"/>
          <w:szCs w:val="24"/>
        </w:rPr>
        <w:t>Lymecyclin</w:t>
      </w:r>
      <w:proofErr w:type="spellEnd"/>
      <w:r>
        <w:rPr>
          <w:b/>
          <w:sz w:val="24"/>
          <w:szCs w:val="24"/>
        </w:rPr>
        <w:t xml:space="preserve"> "</w:t>
      </w:r>
      <w:r w:rsidR="00DA7971">
        <w:rPr>
          <w:b/>
          <w:sz w:val="24"/>
          <w:szCs w:val="24"/>
        </w:rPr>
        <w:t xml:space="preserve">Brown &amp; </w:t>
      </w:r>
      <w:proofErr w:type="spellStart"/>
      <w:r w:rsidR="00DA7971">
        <w:rPr>
          <w:b/>
          <w:sz w:val="24"/>
          <w:szCs w:val="24"/>
        </w:rPr>
        <w:t>Burk</w:t>
      </w:r>
      <w:proofErr w:type="spellEnd"/>
      <w:r>
        <w:rPr>
          <w:b/>
          <w:sz w:val="24"/>
          <w:szCs w:val="24"/>
        </w:rPr>
        <w:t>", hårde kapsler</w:t>
      </w:r>
    </w:p>
    <w:p w:rsidR="00585E4C" w:rsidRPr="00EC0B9B" w:rsidRDefault="00585E4C" w:rsidP="00585E4C">
      <w:pPr>
        <w:jc w:val="both"/>
        <w:rPr>
          <w:sz w:val="24"/>
          <w:szCs w:val="24"/>
        </w:rPr>
      </w:pPr>
    </w:p>
    <w:p w:rsidR="00585E4C" w:rsidRPr="00A51832" w:rsidRDefault="00585E4C" w:rsidP="00585E4C">
      <w:pPr>
        <w:ind w:left="851" w:hanging="851"/>
        <w:jc w:val="both"/>
        <w:rPr>
          <w:sz w:val="24"/>
          <w:szCs w:val="24"/>
        </w:rPr>
      </w:pPr>
    </w:p>
    <w:p w:rsidR="00585E4C" w:rsidRPr="00A51832" w:rsidRDefault="00585E4C" w:rsidP="00585E4C">
      <w:pPr>
        <w:ind w:left="851" w:hanging="851"/>
        <w:rPr>
          <w:b/>
          <w:sz w:val="24"/>
          <w:szCs w:val="24"/>
        </w:rPr>
      </w:pPr>
      <w:r w:rsidRPr="00A51832">
        <w:rPr>
          <w:b/>
          <w:sz w:val="24"/>
          <w:szCs w:val="24"/>
        </w:rPr>
        <w:t>0.</w:t>
      </w:r>
      <w:r w:rsidRPr="00A51832">
        <w:rPr>
          <w:b/>
          <w:sz w:val="24"/>
          <w:szCs w:val="24"/>
        </w:rPr>
        <w:tab/>
        <w:t>D.SP.NR.</w:t>
      </w:r>
    </w:p>
    <w:p w:rsidR="0032402F" w:rsidRDefault="0032402F" w:rsidP="00C170B4">
      <w:pPr>
        <w:ind w:left="851"/>
        <w:rPr>
          <w:sz w:val="24"/>
          <w:szCs w:val="24"/>
        </w:rPr>
      </w:pPr>
    </w:p>
    <w:p w:rsidR="00585E4C" w:rsidRPr="00A51832" w:rsidRDefault="00585E4C" w:rsidP="00C170B4">
      <w:pPr>
        <w:ind w:left="851"/>
        <w:rPr>
          <w:sz w:val="24"/>
          <w:szCs w:val="24"/>
        </w:rPr>
      </w:pPr>
      <w:r w:rsidRPr="00A51832">
        <w:rPr>
          <w:sz w:val="24"/>
          <w:szCs w:val="24"/>
        </w:rPr>
        <w:t>27885</w:t>
      </w:r>
    </w:p>
    <w:p w:rsidR="00585E4C" w:rsidRPr="00A51832" w:rsidRDefault="00585E4C" w:rsidP="00C170B4">
      <w:pPr>
        <w:ind w:left="851"/>
        <w:rPr>
          <w:sz w:val="24"/>
          <w:szCs w:val="24"/>
        </w:rPr>
      </w:pPr>
    </w:p>
    <w:p w:rsidR="00585E4C" w:rsidRPr="00A51832" w:rsidRDefault="00585E4C" w:rsidP="007C3C80">
      <w:pPr>
        <w:ind w:left="851" w:hanging="851"/>
        <w:rPr>
          <w:b/>
          <w:sz w:val="24"/>
          <w:szCs w:val="24"/>
        </w:rPr>
      </w:pPr>
      <w:r w:rsidRPr="00A51832">
        <w:rPr>
          <w:b/>
          <w:sz w:val="24"/>
          <w:szCs w:val="24"/>
        </w:rPr>
        <w:t>1.</w:t>
      </w:r>
      <w:r w:rsidRPr="00A51832">
        <w:rPr>
          <w:b/>
          <w:sz w:val="24"/>
          <w:szCs w:val="24"/>
        </w:rPr>
        <w:tab/>
        <w:t>LÆGEMIDLETS NAVN</w:t>
      </w:r>
    </w:p>
    <w:p w:rsidR="0032402F" w:rsidRDefault="0032402F" w:rsidP="00C170B4">
      <w:pPr>
        <w:ind w:left="851"/>
        <w:rPr>
          <w:sz w:val="24"/>
          <w:szCs w:val="24"/>
        </w:rPr>
      </w:pPr>
    </w:p>
    <w:p w:rsidR="00585E4C" w:rsidRPr="00A51832" w:rsidRDefault="00585E4C" w:rsidP="00C170B4">
      <w:pPr>
        <w:ind w:left="851"/>
        <w:rPr>
          <w:sz w:val="24"/>
          <w:szCs w:val="24"/>
        </w:rPr>
      </w:pPr>
      <w:proofErr w:type="spellStart"/>
      <w:r>
        <w:rPr>
          <w:sz w:val="24"/>
          <w:szCs w:val="24"/>
        </w:rPr>
        <w:t>Lymecyclin</w:t>
      </w:r>
      <w:proofErr w:type="spellEnd"/>
      <w:r>
        <w:rPr>
          <w:sz w:val="24"/>
          <w:szCs w:val="24"/>
        </w:rPr>
        <w:t xml:space="preserve"> "</w:t>
      </w:r>
      <w:r w:rsidR="00DA7971">
        <w:rPr>
          <w:sz w:val="24"/>
          <w:szCs w:val="24"/>
        </w:rPr>
        <w:t xml:space="preserve">Brown &amp; </w:t>
      </w:r>
      <w:proofErr w:type="spellStart"/>
      <w:r w:rsidR="00DA7971">
        <w:rPr>
          <w:sz w:val="24"/>
          <w:szCs w:val="24"/>
        </w:rPr>
        <w:t>Burk</w:t>
      </w:r>
      <w:proofErr w:type="spellEnd"/>
      <w:r>
        <w:rPr>
          <w:sz w:val="24"/>
          <w:szCs w:val="24"/>
        </w:rPr>
        <w:t>"</w:t>
      </w:r>
    </w:p>
    <w:p w:rsidR="00585E4C" w:rsidRPr="00A51832" w:rsidRDefault="00585E4C" w:rsidP="00C170B4">
      <w:pPr>
        <w:ind w:left="851"/>
        <w:rPr>
          <w:sz w:val="24"/>
          <w:szCs w:val="24"/>
        </w:rPr>
      </w:pPr>
      <w:r w:rsidRPr="00A51832">
        <w:rPr>
          <w:sz w:val="24"/>
          <w:szCs w:val="24"/>
        </w:rPr>
        <w:tab/>
      </w:r>
    </w:p>
    <w:p w:rsidR="00585E4C" w:rsidRPr="00A51832" w:rsidRDefault="00585E4C" w:rsidP="007C3C80">
      <w:pPr>
        <w:ind w:left="851" w:hanging="851"/>
        <w:rPr>
          <w:b/>
          <w:sz w:val="24"/>
          <w:szCs w:val="24"/>
        </w:rPr>
      </w:pPr>
      <w:r w:rsidRPr="00A51832">
        <w:rPr>
          <w:b/>
          <w:sz w:val="24"/>
          <w:szCs w:val="24"/>
        </w:rPr>
        <w:t>2.</w:t>
      </w:r>
      <w:r w:rsidRPr="00A51832">
        <w:rPr>
          <w:b/>
          <w:sz w:val="24"/>
          <w:szCs w:val="24"/>
        </w:rPr>
        <w:tab/>
        <w:t>KVALITATIV OG KVANTITATIV SAMMENSÆTNING</w:t>
      </w:r>
    </w:p>
    <w:p w:rsidR="0032402F" w:rsidRDefault="0032402F" w:rsidP="00C170B4">
      <w:pPr>
        <w:ind w:left="851"/>
        <w:rPr>
          <w:sz w:val="24"/>
          <w:szCs w:val="24"/>
        </w:rPr>
      </w:pPr>
    </w:p>
    <w:p w:rsidR="00585E4C" w:rsidRDefault="00585E4C" w:rsidP="00C170B4">
      <w:pPr>
        <w:ind w:left="851"/>
        <w:rPr>
          <w:sz w:val="24"/>
          <w:szCs w:val="24"/>
        </w:rPr>
      </w:pPr>
      <w:r w:rsidRPr="00A51832">
        <w:rPr>
          <w:sz w:val="24"/>
          <w:szCs w:val="24"/>
        </w:rPr>
        <w:t xml:space="preserve">Hver kapsel indeholder 408 mg </w:t>
      </w:r>
      <w:proofErr w:type="spellStart"/>
      <w:r w:rsidRPr="00A51832">
        <w:rPr>
          <w:sz w:val="24"/>
          <w:szCs w:val="24"/>
        </w:rPr>
        <w:t>lymecyclin</w:t>
      </w:r>
      <w:proofErr w:type="spellEnd"/>
      <w:r w:rsidRPr="00A51832">
        <w:rPr>
          <w:sz w:val="24"/>
          <w:szCs w:val="24"/>
        </w:rPr>
        <w:t xml:space="preserve"> svarende til 300 mg </w:t>
      </w:r>
      <w:proofErr w:type="spellStart"/>
      <w:r w:rsidRPr="00A51832">
        <w:rPr>
          <w:sz w:val="24"/>
          <w:szCs w:val="24"/>
        </w:rPr>
        <w:t>tetracyclin</w:t>
      </w:r>
      <w:proofErr w:type="spellEnd"/>
      <w:r w:rsidRPr="00A51832">
        <w:rPr>
          <w:sz w:val="24"/>
          <w:szCs w:val="24"/>
        </w:rPr>
        <w:t>.</w:t>
      </w:r>
    </w:p>
    <w:p w:rsidR="00585E4C" w:rsidRPr="00A51832" w:rsidRDefault="00585E4C" w:rsidP="00C170B4">
      <w:pPr>
        <w:ind w:left="851"/>
        <w:rPr>
          <w:sz w:val="24"/>
          <w:szCs w:val="24"/>
        </w:rPr>
      </w:pPr>
    </w:p>
    <w:p w:rsidR="00585E4C" w:rsidRPr="00A51832" w:rsidRDefault="00585E4C" w:rsidP="00C170B4">
      <w:pPr>
        <w:ind w:left="851"/>
        <w:rPr>
          <w:sz w:val="24"/>
          <w:szCs w:val="24"/>
        </w:rPr>
      </w:pPr>
      <w:r w:rsidRPr="00A51832">
        <w:rPr>
          <w:sz w:val="24"/>
          <w:szCs w:val="24"/>
        </w:rPr>
        <w:t>Alle hjælpestoffer er anført under pkt. 6.1.</w:t>
      </w:r>
    </w:p>
    <w:p w:rsidR="00585E4C" w:rsidRPr="00A51832" w:rsidRDefault="00585E4C" w:rsidP="00C170B4">
      <w:pPr>
        <w:ind w:left="851"/>
        <w:rPr>
          <w:sz w:val="24"/>
          <w:szCs w:val="24"/>
        </w:rPr>
      </w:pPr>
    </w:p>
    <w:p w:rsidR="00585E4C" w:rsidRPr="00A51832" w:rsidRDefault="00585E4C" w:rsidP="007C3C80">
      <w:pPr>
        <w:ind w:left="851" w:hanging="851"/>
        <w:rPr>
          <w:b/>
          <w:sz w:val="24"/>
          <w:szCs w:val="24"/>
        </w:rPr>
      </w:pPr>
      <w:r w:rsidRPr="00A51832">
        <w:rPr>
          <w:b/>
          <w:sz w:val="24"/>
          <w:szCs w:val="24"/>
        </w:rPr>
        <w:t>3.</w:t>
      </w:r>
      <w:r w:rsidRPr="00A51832">
        <w:rPr>
          <w:b/>
          <w:sz w:val="24"/>
          <w:szCs w:val="24"/>
        </w:rPr>
        <w:tab/>
        <w:t>LÆGEMIDDELFORM</w:t>
      </w:r>
    </w:p>
    <w:p w:rsidR="0032402F" w:rsidRDefault="0032402F" w:rsidP="00C170B4">
      <w:pPr>
        <w:ind w:left="851"/>
        <w:rPr>
          <w:sz w:val="24"/>
          <w:szCs w:val="24"/>
        </w:rPr>
      </w:pPr>
    </w:p>
    <w:p w:rsidR="00585E4C" w:rsidRDefault="00585E4C" w:rsidP="00C170B4">
      <w:pPr>
        <w:ind w:left="851"/>
        <w:rPr>
          <w:sz w:val="24"/>
          <w:szCs w:val="24"/>
        </w:rPr>
      </w:pPr>
      <w:r>
        <w:rPr>
          <w:sz w:val="24"/>
          <w:szCs w:val="24"/>
        </w:rPr>
        <w:t>Hårde kapsler</w:t>
      </w:r>
    </w:p>
    <w:p w:rsidR="00585E4C" w:rsidRPr="00A51832" w:rsidRDefault="00585E4C" w:rsidP="00C170B4">
      <w:pPr>
        <w:ind w:left="851"/>
        <w:rPr>
          <w:sz w:val="24"/>
          <w:szCs w:val="24"/>
        </w:rPr>
      </w:pPr>
    </w:p>
    <w:p w:rsidR="00585E4C" w:rsidRPr="00A51832" w:rsidRDefault="00585E4C" w:rsidP="00C170B4">
      <w:pPr>
        <w:ind w:left="851"/>
        <w:rPr>
          <w:sz w:val="24"/>
          <w:szCs w:val="24"/>
        </w:rPr>
      </w:pPr>
      <w:r w:rsidRPr="00A51832">
        <w:rPr>
          <w:sz w:val="24"/>
          <w:szCs w:val="24"/>
        </w:rPr>
        <w:t>Hård gelatinekapsel med gul hoveddel og rød top med påtrykt ”NM”.</w:t>
      </w:r>
    </w:p>
    <w:p w:rsidR="00585E4C" w:rsidRPr="00A51832" w:rsidRDefault="00585E4C" w:rsidP="00C170B4">
      <w:pPr>
        <w:ind w:left="851"/>
        <w:rPr>
          <w:sz w:val="24"/>
          <w:szCs w:val="24"/>
        </w:rPr>
      </w:pPr>
    </w:p>
    <w:p w:rsidR="00585E4C" w:rsidRPr="00A51832" w:rsidRDefault="00585E4C" w:rsidP="00C170B4">
      <w:pPr>
        <w:ind w:left="851"/>
        <w:rPr>
          <w:sz w:val="24"/>
          <w:szCs w:val="24"/>
        </w:rPr>
      </w:pPr>
    </w:p>
    <w:p w:rsidR="00585E4C" w:rsidRPr="00A51832" w:rsidRDefault="00585E4C" w:rsidP="007C3C80">
      <w:pPr>
        <w:ind w:left="851" w:hanging="851"/>
        <w:rPr>
          <w:b/>
          <w:sz w:val="24"/>
          <w:szCs w:val="24"/>
        </w:rPr>
      </w:pPr>
      <w:r w:rsidRPr="00A51832">
        <w:rPr>
          <w:b/>
          <w:sz w:val="24"/>
          <w:szCs w:val="24"/>
        </w:rPr>
        <w:t>4.</w:t>
      </w:r>
      <w:r w:rsidRPr="00A51832">
        <w:rPr>
          <w:b/>
          <w:sz w:val="24"/>
          <w:szCs w:val="24"/>
        </w:rPr>
        <w:tab/>
        <w:t>KLINISKE OPLYSNINGER</w:t>
      </w:r>
    </w:p>
    <w:p w:rsidR="00585E4C" w:rsidRPr="00A51832" w:rsidRDefault="00585E4C" w:rsidP="00C170B4">
      <w:pPr>
        <w:ind w:left="851"/>
        <w:rPr>
          <w:b/>
          <w:sz w:val="24"/>
          <w:szCs w:val="24"/>
        </w:rPr>
      </w:pPr>
    </w:p>
    <w:p w:rsidR="00585E4C" w:rsidRPr="00A51832" w:rsidRDefault="00585E4C" w:rsidP="007C3C80">
      <w:pPr>
        <w:ind w:left="851" w:hanging="851"/>
        <w:rPr>
          <w:b/>
          <w:sz w:val="24"/>
          <w:szCs w:val="24"/>
          <w:u w:val="single"/>
        </w:rPr>
      </w:pPr>
      <w:r w:rsidRPr="00A51832">
        <w:rPr>
          <w:b/>
          <w:sz w:val="24"/>
          <w:szCs w:val="24"/>
        </w:rPr>
        <w:t>4.1</w:t>
      </w:r>
      <w:r w:rsidRPr="00A51832">
        <w:rPr>
          <w:b/>
          <w:sz w:val="24"/>
          <w:szCs w:val="24"/>
        </w:rPr>
        <w:tab/>
        <w:t>Terapeutiske indikationer</w:t>
      </w:r>
    </w:p>
    <w:p w:rsidR="00585E4C" w:rsidRPr="00A51832" w:rsidRDefault="00585E4C" w:rsidP="0032402F">
      <w:pPr>
        <w:ind w:left="851"/>
        <w:jc w:val="both"/>
        <w:rPr>
          <w:sz w:val="24"/>
          <w:szCs w:val="24"/>
        </w:rPr>
      </w:pPr>
      <w:proofErr w:type="spellStart"/>
      <w:r w:rsidRPr="00A51832">
        <w:rPr>
          <w:sz w:val="24"/>
          <w:szCs w:val="24"/>
        </w:rPr>
        <w:t>Lymecyclin</w:t>
      </w:r>
      <w:proofErr w:type="spellEnd"/>
      <w:r w:rsidRPr="00A51832">
        <w:rPr>
          <w:sz w:val="24"/>
          <w:szCs w:val="24"/>
        </w:rPr>
        <w:t xml:space="preserve"> er indiceret til behandlingen af moderat til alvorlig </w:t>
      </w:r>
      <w:proofErr w:type="spellStart"/>
      <w:r w:rsidRPr="00A51832">
        <w:rPr>
          <w:sz w:val="24"/>
          <w:szCs w:val="24"/>
        </w:rPr>
        <w:t>acne</w:t>
      </w:r>
      <w:proofErr w:type="spellEnd"/>
      <w:r w:rsidRPr="00A51832">
        <w:rPr>
          <w:sz w:val="24"/>
          <w:szCs w:val="24"/>
        </w:rPr>
        <w:t xml:space="preserve"> </w:t>
      </w:r>
      <w:proofErr w:type="spellStart"/>
      <w:r w:rsidRPr="00A51832">
        <w:rPr>
          <w:sz w:val="24"/>
          <w:szCs w:val="24"/>
        </w:rPr>
        <w:t>vulgaris</w:t>
      </w:r>
      <w:proofErr w:type="spellEnd"/>
      <w:r w:rsidRPr="00A51832">
        <w:rPr>
          <w:sz w:val="24"/>
          <w:szCs w:val="24"/>
        </w:rPr>
        <w:t xml:space="preserve"> (se </w:t>
      </w:r>
      <w:r>
        <w:rPr>
          <w:sz w:val="24"/>
          <w:szCs w:val="24"/>
        </w:rPr>
        <w:t>pkt.</w:t>
      </w:r>
      <w:r w:rsidRPr="00A51832">
        <w:rPr>
          <w:sz w:val="24"/>
          <w:szCs w:val="24"/>
        </w:rPr>
        <w:t xml:space="preserve"> 4.4 og 5.1).</w:t>
      </w:r>
    </w:p>
    <w:p w:rsidR="00585E4C" w:rsidRPr="00A51832" w:rsidRDefault="00585E4C" w:rsidP="0032402F">
      <w:pPr>
        <w:ind w:left="851"/>
        <w:jc w:val="both"/>
        <w:rPr>
          <w:sz w:val="24"/>
          <w:szCs w:val="24"/>
        </w:rPr>
      </w:pPr>
    </w:p>
    <w:p w:rsidR="00585E4C" w:rsidRPr="00A51832" w:rsidRDefault="00585E4C" w:rsidP="0032402F">
      <w:pPr>
        <w:ind w:left="851"/>
        <w:jc w:val="both"/>
        <w:rPr>
          <w:sz w:val="24"/>
          <w:szCs w:val="24"/>
        </w:rPr>
      </w:pPr>
      <w:r w:rsidRPr="00A51832">
        <w:rPr>
          <w:sz w:val="24"/>
          <w:szCs w:val="24"/>
        </w:rPr>
        <w:t>Der bør tages hensyn til den officielle vejledning om korrekt anvendelse af antibakterielle midler.</w:t>
      </w:r>
    </w:p>
    <w:p w:rsidR="00585E4C" w:rsidRPr="00A51832" w:rsidRDefault="00585E4C" w:rsidP="00C170B4">
      <w:pPr>
        <w:ind w:left="851"/>
        <w:rPr>
          <w:sz w:val="24"/>
          <w:szCs w:val="24"/>
        </w:rPr>
      </w:pPr>
    </w:p>
    <w:p w:rsidR="00585E4C" w:rsidRPr="00A51832" w:rsidRDefault="00585E4C" w:rsidP="007C3C80">
      <w:pPr>
        <w:ind w:left="851" w:hanging="851"/>
        <w:rPr>
          <w:b/>
          <w:sz w:val="24"/>
          <w:szCs w:val="24"/>
        </w:rPr>
      </w:pPr>
      <w:r w:rsidRPr="00A51832">
        <w:rPr>
          <w:b/>
          <w:sz w:val="24"/>
          <w:szCs w:val="24"/>
        </w:rPr>
        <w:t>4.2</w:t>
      </w:r>
      <w:r w:rsidRPr="00A51832">
        <w:rPr>
          <w:b/>
          <w:sz w:val="24"/>
          <w:szCs w:val="24"/>
        </w:rPr>
        <w:tab/>
        <w:t xml:space="preserve">Dosering og </w:t>
      </w:r>
      <w:r w:rsidR="00066561" w:rsidRPr="00F31B64">
        <w:rPr>
          <w:b/>
          <w:sz w:val="24"/>
          <w:szCs w:val="24"/>
        </w:rPr>
        <w:t>administration</w:t>
      </w:r>
    </w:p>
    <w:p w:rsidR="00585E4C" w:rsidRPr="00A51832" w:rsidRDefault="00585E4C" w:rsidP="00C170B4">
      <w:pPr>
        <w:ind w:left="851"/>
        <w:rPr>
          <w:sz w:val="24"/>
          <w:szCs w:val="24"/>
        </w:rPr>
      </w:pPr>
      <w:r w:rsidRPr="00A51832">
        <w:rPr>
          <w:sz w:val="24"/>
          <w:szCs w:val="24"/>
        </w:rPr>
        <w:tab/>
      </w:r>
    </w:p>
    <w:p w:rsidR="00066561" w:rsidRDefault="00066561" w:rsidP="00066561">
      <w:pPr>
        <w:ind w:left="851"/>
        <w:rPr>
          <w:sz w:val="24"/>
          <w:szCs w:val="24"/>
          <w:u w:val="single"/>
        </w:rPr>
      </w:pPr>
      <w:r>
        <w:rPr>
          <w:sz w:val="24"/>
          <w:szCs w:val="24"/>
          <w:u w:val="single"/>
        </w:rPr>
        <w:t>Dosering</w:t>
      </w:r>
    </w:p>
    <w:p w:rsidR="00066561" w:rsidRDefault="00066561" w:rsidP="00066561">
      <w:pPr>
        <w:ind w:left="851" w:hanging="851"/>
        <w:rPr>
          <w:sz w:val="24"/>
          <w:szCs w:val="24"/>
          <w:u w:val="single"/>
        </w:rPr>
      </w:pPr>
    </w:p>
    <w:p w:rsidR="00066561" w:rsidRDefault="00066561" w:rsidP="00066561">
      <w:pPr>
        <w:ind w:left="851"/>
        <w:rPr>
          <w:sz w:val="24"/>
          <w:szCs w:val="24"/>
        </w:rPr>
      </w:pPr>
      <w:r>
        <w:rPr>
          <w:sz w:val="24"/>
          <w:szCs w:val="24"/>
        </w:rPr>
        <w:t>Voksne</w:t>
      </w:r>
    </w:p>
    <w:p w:rsidR="00066561" w:rsidRDefault="00066561" w:rsidP="00066561">
      <w:pPr>
        <w:ind w:left="851"/>
        <w:jc w:val="both"/>
        <w:rPr>
          <w:sz w:val="24"/>
          <w:szCs w:val="24"/>
        </w:rPr>
      </w:pPr>
      <w:r>
        <w:rPr>
          <w:sz w:val="24"/>
          <w:szCs w:val="24"/>
        </w:rPr>
        <w:lastRenderedPageBreak/>
        <w:t xml:space="preserve">Den sædvanlige dosering ved langtidsbehandlingen af moderat til svær </w:t>
      </w:r>
      <w:proofErr w:type="spellStart"/>
      <w:r>
        <w:rPr>
          <w:sz w:val="24"/>
          <w:szCs w:val="24"/>
        </w:rPr>
        <w:t>acne</w:t>
      </w:r>
      <w:proofErr w:type="spellEnd"/>
      <w:r>
        <w:rPr>
          <w:sz w:val="24"/>
          <w:szCs w:val="24"/>
        </w:rPr>
        <w:t xml:space="preserve"> er 1 kapsel dagligt. Den bør tages i tilslutning til et let måltid uden mejeriprodukter. Behandling bør fortsættes i mindst 8 til 12 uger, men det er vigtigt at begrænse anvendelsen af antibiotika til den kortest mulige periode og afslutte brugen af det, når yderligere bedring er usandsynlig. Behandlingen bør ikke vare længere end 6 måneder.</w:t>
      </w:r>
    </w:p>
    <w:p w:rsidR="00066561" w:rsidRDefault="00066561" w:rsidP="00066561">
      <w:pPr>
        <w:ind w:left="851" w:hanging="851"/>
        <w:rPr>
          <w:sz w:val="24"/>
          <w:szCs w:val="24"/>
        </w:rPr>
      </w:pPr>
    </w:p>
    <w:p w:rsidR="00066561" w:rsidRDefault="00066561" w:rsidP="00066561">
      <w:pPr>
        <w:ind w:left="851"/>
        <w:rPr>
          <w:sz w:val="24"/>
          <w:szCs w:val="24"/>
        </w:rPr>
      </w:pPr>
      <w:r>
        <w:rPr>
          <w:sz w:val="24"/>
          <w:szCs w:val="24"/>
        </w:rPr>
        <w:t>Ældre</w:t>
      </w:r>
    </w:p>
    <w:p w:rsidR="00066561" w:rsidRDefault="00066561" w:rsidP="00066561">
      <w:pPr>
        <w:ind w:left="851"/>
        <w:rPr>
          <w:sz w:val="24"/>
          <w:szCs w:val="24"/>
        </w:rPr>
      </w:pPr>
      <w:r>
        <w:rPr>
          <w:sz w:val="24"/>
          <w:szCs w:val="24"/>
        </w:rPr>
        <w:t xml:space="preserve">Der kræves som for andre </w:t>
      </w:r>
      <w:proofErr w:type="spellStart"/>
      <w:r>
        <w:rPr>
          <w:sz w:val="24"/>
          <w:szCs w:val="24"/>
        </w:rPr>
        <w:t>tetracycliner</w:t>
      </w:r>
      <w:proofErr w:type="spellEnd"/>
      <w:r>
        <w:rPr>
          <w:sz w:val="24"/>
          <w:szCs w:val="24"/>
        </w:rPr>
        <w:t xml:space="preserve"> ingen særlige dosistilpasning.</w:t>
      </w:r>
    </w:p>
    <w:p w:rsidR="00066561" w:rsidRDefault="00066561" w:rsidP="00066561">
      <w:pPr>
        <w:ind w:left="851" w:hanging="851"/>
        <w:rPr>
          <w:sz w:val="24"/>
          <w:szCs w:val="24"/>
        </w:rPr>
      </w:pPr>
    </w:p>
    <w:p w:rsidR="00066561" w:rsidRDefault="00066561" w:rsidP="00066561">
      <w:pPr>
        <w:ind w:left="851"/>
        <w:rPr>
          <w:sz w:val="24"/>
          <w:szCs w:val="24"/>
        </w:rPr>
      </w:pPr>
      <w:r>
        <w:rPr>
          <w:sz w:val="24"/>
          <w:szCs w:val="24"/>
        </w:rPr>
        <w:t>Nedsat nyrefunktion</w:t>
      </w:r>
    </w:p>
    <w:p w:rsidR="00066561" w:rsidRDefault="00066561" w:rsidP="00066561">
      <w:pPr>
        <w:ind w:left="851"/>
        <w:jc w:val="both"/>
        <w:rPr>
          <w:sz w:val="24"/>
          <w:szCs w:val="24"/>
        </w:rPr>
      </w:pPr>
      <w:r>
        <w:rPr>
          <w:sz w:val="24"/>
          <w:szCs w:val="24"/>
        </w:rPr>
        <w:t xml:space="preserve">Udskillelsesraten for </w:t>
      </w:r>
      <w:proofErr w:type="spellStart"/>
      <w:r>
        <w:rPr>
          <w:sz w:val="24"/>
          <w:szCs w:val="24"/>
        </w:rPr>
        <w:t>tetracyclin</w:t>
      </w:r>
      <w:proofErr w:type="spellEnd"/>
      <w:r>
        <w:rPr>
          <w:sz w:val="24"/>
          <w:szCs w:val="24"/>
        </w:rPr>
        <w:t xml:space="preserve"> er reduceret i tilfælde af nedsat nyrefunktion, og derfor kan normal dosering føre til akkumulation. Det anbefales at reducere dosis hos patienter med nedsat nyrefunktion.</w:t>
      </w:r>
    </w:p>
    <w:p w:rsidR="00066561" w:rsidRDefault="00066561" w:rsidP="00066561">
      <w:pPr>
        <w:ind w:left="851"/>
        <w:rPr>
          <w:sz w:val="24"/>
          <w:szCs w:val="24"/>
        </w:rPr>
      </w:pPr>
    </w:p>
    <w:p w:rsidR="00066561" w:rsidRDefault="00066561" w:rsidP="00066561">
      <w:pPr>
        <w:ind w:left="851"/>
        <w:rPr>
          <w:sz w:val="24"/>
          <w:szCs w:val="24"/>
        </w:rPr>
      </w:pPr>
      <w:r>
        <w:rPr>
          <w:sz w:val="24"/>
          <w:szCs w:val="24"/>
        </w:rPr>
        <w:t>Pædiatrisk population:</w:t>
      </w:r>
    </w:p>
    <w:p w:rsidR="00066561" w:rsidRDefault="00066561" w:rsidP="00066561">
      <w:pPr>
        <w:ind w:left="851"/>
        <w:jc w:val="both"/>
        <w:rPr>
          <w:sz w:val="24"/>
          <w:szCs w:val="24"/>
        </w:rPr>
      </w:pPr>
      <w:proofErr w:type="spellStart"/>
      <w:r>
        <w:rPr>
          <w:sz w:val="24"/>
          <w:szCs w:val="24"/>
        </w:rPr>
        <w:t>Lymecyclins</w:t>
      </w:r>
      <w:proofErr w:type="spellEnd"/>
      <w:r>
        <w:rPr>
          <w:sz w:val="24"/>
          <w:szCs w:val="24"/>
        </w:rPr>
        <w:t xml:space="preserve"> sikkerhed og virkning hos børn under 12 år er ikke blevet fastlagt. Ingen data er tilgængelige. Til børn over 12 år kan voksendoseringen gives.</w:t>
      </w:r>
    </w:p>
    <w:p w:rsidR="00066561" w:rsidRDefault="00066561" w:rsidP="00066561">
      <w:pPr>
        <w:ind w:left="851"/>
        <w:jc w:val="both"/>
        <w:rPr>
          <w:sz w:val="24"/>
          <w:szCs w:val="24"/>
        </w:rPr>
      </w:pPr>
      <w:r>
        <w:rPr>
          <w:sz w:val="24"/>
          <w:szCs w:val="24"/>
        </w:rPr>
        <w:t>For børn under 8 år, se pkt. 4.3.</w:t>
      </w:r>
    </w:p>
    <w:p w:rsidR="00066561" w:rsidRDefault="00066561" w:rsidP="00066561">
      <w:pPr>
        <w:ind w:left="851"/>
        <w:rPr>
          <w:sz w:val="24"/>
          <w:szCs w:val="24"/>
        </w:rPr>
      </w:pPr>
    </w:p>
    <w:p w:rsidR="00066561" w:rsidRDefault="00066561" w:rsidP="00066561">
      <w:pPr>
        <w:ind w:left="851"/>
        <w:rPr>
          <w:sz w:val="24"/>
          <w:szCs w:val="24"/>
        </w:rPr>
      </w:pPr>
      <w:r>
        <w:rPr>
          <w:sz w:val="24"/>
          <w:szCs w:val="24"/>
        </w:rPr>
        <w:t>Indgivelsesmåde</w:t>
      </w:r>
    </w:p>
    <w:p w:rsidR="00066561" w:rsidRDefault="00066561" w:rsidP="00066561">
      <w:pPr>
        <w:ind w:left="851"/>
        <w:jc w:val="both"/>
        <w:rPr>
          <w:sz w:val="24"/>
          <w:szCs w:val="24"/>
        </w:rPr>
      </w:pPr>
      <w:r>
        <w:rPr>
          <w:sz w:val="24"/>
          <w:szCs w:val="24"/>
        </w:rPr>
        <w:t>Kapslerne skal tages med mindst et halvt glas vand i opretstående stilling. De bør tages med et let måltid uden mælkeprodukter. (Se afsnit 4.4)</w:t>
      </w:r>
    </w:p>
    <w:p w:rsidR="00585E4C" w:rsidRPr="00A51832" w:rsidRDefault="00585E4C" w:rsidP="00C170B4">
      <w:pPr>
        <w:ind w:left="851"/>
        <w:rPr>
          <w:sz w:val="24"/>
          <w:szCs w:val="24"/>
        </w:rPr>
      </w:pPr>
    </w:p>
    <w:p w:rsidR="00585E4C" w:rsidRPr="00A51832" w:rsidRDefault="00585E4C" w:rsidP="007C3C80">
      <w:pPr>
        <w:ind w:left="851" w:hanging="851"/>
        <w:rPr>
          <w:b/>
          <w:sz w:val="24"/>
          <w:szCs w:val="24"/>
        </w:rPr>
      </w:pPr>
      <w:r w:rsidRPr="00A51832">
        <w:rPr>
          <w:b/>
          <w:sz w:val="24"/>
          <w:szCs w:val="24"/>
        </w:rPr>
        <w:t>4.3</w:t>
      </w:r>
      <w:r w:rsidRPr="00A51832">
        <w:rPr>
          <w:b/>
          <w:sz w:val="24"/>
          <w:szCs w:val="24"/>
        </w:rPr>
        <w:tab/>
        <w:t>Kontraindikationer</w:t>
      </w:r>
    </w:p>
    <w:p w:rsidR="00066561" w:rsidRDefault="00066561" w:rsidP="00066561">
      <w:pPr>
        <w:ind w:left="851"/>
        <w:jc w:val="both"/>
        <w:rPr>
          <w:sz w:val="24"/>
          <w:szCs w:val="24"/>
        </w:rPr>
      </w:pPr>
      <w:r>
        <w:rPr>
          <w:sz w:val="24"/>
          <w:szCs w:val="24"/>
        </w:rPr>
        <w:t>Overfølsomhed over for det aktive stof eller over for et eller flere af hjælpestofferne anført i pkt. 6.1.</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Det er kontraindiceret til patienter med svært nedsat nyrefunktion, under graviditet og amning, brug i forbindelse med systemiske </w:t>
      </w:r>
      <w:proofErr w:type="spellStart"/>
      <w:r>
        <w:rPr>
          <w:sz w:val="24"/>
          <w:szCs w:val="24"/>
        </w:rPr>
        <w:t>retinoider</w:t>
      </w:r>
      <w:proofErr w:type="spellEnd"/>
      <w:r>
        <w:rPr>
          <w:sz w:val="24"/>
          <w:szCs w:val="24"/>
        </w:rPr>
        <w:t xml:space="preserve"> (se 4.5 og 4.8 afsnit), samtidig behandling med orale </w:t>
      </w:r>
      <w:proofErr w:type="spellStart"/>
      <w:r>
        <w:rPr>
          <w:sz w:val="24"/>
          <w:szCs w:val="24"/>
        </w:rPr>
        <w:t>retinoider</w:t>
      </w:r>
      <w:proofErr w:type="spellEnd"/>
      <w:r>
        <w:rPr>
          <w:sz w:val="24"/>
          <w:szCs w:val="24"/>
        </w:rPr>
        <w:t xml:space="preserve"> og til børn under 12 år.</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Det er kontraindiceret til børn under 8 år på grund af risikoen for permanent tandfarvning og </w:t>
      </w:r>
      <w:proofErr w:type="spellStart"/>
      <w:r>
        <w:rPr>
          <w:sz w:val="24"/>
          <w:szCs w:val="24"/>
        </w:rPr>
        <w:t>emaljehypoplasi</w:t>
      </w:r>
      <w:proofErr w:type="spellEnd"/>
      <w:r>
        <w:rPr>
          <w:sz w:val="24"/>
          <w:szCs w:val="24"/>
        </w:rPr>
        <w:t>.</w:t>
      </w:r>
    </w:p>
    <w:p w:rsidR="00585E4C" w:rsidRPr="00A54B06"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4.4</w:t>
      </w:r>
      <w:r w:rsidRPr="00A51832">
        <w:rPr>
          <w:b/>
          <w:sz w:val="24"/>
          <w:szCs w:val="24"/>
        </w:rPr>
        <w:tab/>
        <w:t>Særlige advarsler og forsigtighedsregler vedrørende brugen</w:t>
      </w:r>
    </w:p>
    <w:p w:rsidR="00066561" w:rsidRDefault="00066561" w:rsidP="00066561">
      <w:pPr>
        <w:ind w:left="851"/>
        <w:jc w:val="both"/>
        <w:rPr>
          <w:sz w:val="24"/>
          <w:szCs w:val="24"/>
        </w:rPr>
      </w:pPr>
      <w:r>
        <w:rPr>
          <w:sz w:val="24"/>
          <w:szCs w:val="24"/>
        </w:rPr>
        <w:t xml:space="preserve">Faste doseringsformer af </w:t>
      </w:r>
      <w:proofErr w:type="spellStart"/>
      <w:r>
        <w:rPr>
          <w:sz w:val="24"/>
          <w:szCs w:val="24"/>
        </w:rPr>
        <w:t>tetracykliner</w:t>
      </w:r>
      <w:proofErr w:type="spellEnd"/>
      <w:r>
        <w:rPr>
          <w:sz w:val="24"/>
          <w:szCs w:val="24"/>
        </w:rPr>
        <w:t xml:space="preserve"> kan forårsage </w:t>
      </w:r>
      <w:proofErr w:type="spellStart"/>
      <w:r>
        <w:rPr>
          <w:sz w:val="24"/>
          <w:szCs w:val="24"/>
        </w:rPr>
        <w:t>esophageal</w:t>
      </w:r>
      <w:proofErr w:type="spellEnd"/>
      <w:r>
        <w:rPr>
          <w:sz w:val="24"/>
          <w:szCs w:val="24"/>
        </w:rPr>
        <w:t xml:space="preserve"> irritation og </w:t>
      </w:r>
      <w:proofErr w:type="spellStart"/>
      <w:r>
        <w:rPr>
          <w:sz w:val="24"/>
          <w:szCs w:val="24"/>
        </w:rPr>
        <w:t>ulceration</w:t>
      </w:r>
      <w:proofErr w:type="spellEnd"/>
      <w:r>
        <w:rPr>
          <w:sz w:val="24"/>
          <w:szCs w:val="24"/>
        </w:rPr>
        <w:t xml:space="preserve">. For at undgå </w:t>
      </w:r>
      <w:proofErr w:type="spellStart"/>
      <w:r>
        <w:rPr>
          <w:sz w:val="24"/>
          <w:szCs w:val="24"/>
        </w:rPr>
        <w:t>esophageal</w:t>
      </w:r>
      <w:proofErr w:type="spellEnd"/>
      <w:r>
        <w:rPr>
          <w:sz w:val="24"/>
          <w:szCs w:val="24"/>
        </w:rPr>
        <w:t xml:space="preserve"> irritation og </w:t>
      </w:r>
      <w:proofErr w:type="spellStart"/>
      <w:r>
        <w:rPr>
          <w:sz w:val="24"/>
          <w:szCs w:val="24"/>
        </w:rPr>
        <w:t>ulceration</w:t>
      </w:r>
      <w:proofErr w:type="spellEnd"/>
      <w:r>
        <w:rPr>
          <w:sz w:val="24"/>
          <w:szCs w:val="24"/>
        </w:rPr>
        <w:t xml:space="preserve"> bør der tages tilstrækkelig væske (vand) sammen med dette lægemiddel (se pkt. 4.2).</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Langvarig brug af bredspektrede antibiotika kan resultere i fremkomsten af resistente organismer og superinfektion.</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Der bør udvises forsigtighed ved administration af </w:t>
      </w:r>
      <w:proofErr w:type="spellStart"/>
      <w:r>
        <w:rPr>
          <w:sz w:val="24"/>
          <w:szCs w:val="24"/>
        </w:rPr>
        <w:t>tetracykliner</w:t>
      </w:r>
      <w:proofErr w:type="spellEnd"/>
      <w:r>
        <w:rPr>
          <w:sz w:val="24"/>
          <w:szCs w:val="24"/>
        </w:rPr>
        <w:t xml:space="preserve"> til patienter med nedsat leverfunktion.</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Udskillelseshastigheden for </w:t>
      </w:r>
      <w:proofErr w:type="spellStart"/>
      <w:r>
        <w:rPr>
          <w:sz w:val="24"/>
          <w:szCs w:val="24"/>
        </w:rPr>
        <w:t>tetracyclin</w:t>
      </w:r>
      <w:proofErr w:type="spellEnd"/>
      <w:r>
        <w:rPr>
          <w:sz w:val="24"/>
          <w:szCs w:val="24"/>
        </w:rPr>
        <w:t xml:space="preserve"> reduceres i tilfælde af nyreinsufficiens, og normal dosering kan derfor føre til akkumulering. Hos patienter med nedsat nyrefunktion anbefales det at sænke dosis.</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Kan forårsage forværring af systemisk lupus </w:t>
      </w:r>
      <w:proofErr w:type="spellStart"/>
      <w:r>
        <w:rPr>
          <w:sz w:val="24"/>
          <w:szCs w:val="24"/>
        </w:rPr>
        <w:t>erythematosus</w:t>
      </w:r>
      <w:proofErr w:type="spellEnd"/>
      <w:r>
        <w:rPr>
          <w:sz w:val="24"/>
          <w:szCs w:val="24"/>
        </w:rPr>
        <w:t>.</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lastRenderedPageBreak/>
        <w:t xml:space="preserve">Kan forårsage svag </w:t>
      </w:r>
      <w:proofErr w:type="spellStart"/>
      <w:r>
        <w:rPr>
          <w:sz w:val="24"/>
          <w:szCs w:val="24"/>
        </w:rPr>
        <w:t>neuromuskulær</w:t>
      </w:r>
      <w:proofErr w:type="spellEnd"/>
      <w:r>
        <w:rPr>
          <w:sz w:val="24"/>
          <w:szCs w:val="24"/>
        </w:rPr>
        <w:t xml:space="preserve"> blokade, så bør bruges med forsigtighed ved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Udbulende fontaneller hos spædbørn og benign </w:t>
      </w:r>
      <w:proofErr w:type="spellStart"/>
      <w:r>
        <w:rPr>
          <w:sz w:val="24"/>
          <w:szCs w:val="24"/>
        </w:rPr>
        <w:t>intrakraniel</w:t>
      </w:r>
      <w:proofErr w:type="spellEnd"/>
      <w:r>
        <w:rPr>
          <w:sz w:val="24"/>
          <w:szCs w:val="24"/>
        </w:rPr>
        <w:t xml:space="preserve"> hypertension hos voksne er blevet rapporteret under behandling med </w:t>
      </w:r>
      <w:proofErr w:type="spellStart"/>
      <w:r>
        <w:rPr>
          <w:sz w:val="24"/>
          <w:szCs w:val="24"/>
        </w:rPr>
        <w:t>tetracykliner</w:t>
      </w:r>
      <w:proofErr w:type="spellEnd"/>
      <w:r>
        <w:rPr>
          <w:sz w:val="24"/>
          <w:szCs w:val="24"/>
        </w:rPr>
        <w:t xml:space="preserve">. Derfor bør behandlingen ophøre, hvis der opstår tegn på forhøjet </w:t>
      </w:r>
      <w:proofErr w:type="spellStart"/>
      <w:r>
        <w:rPr>
          <w:sz w:val="24"/>
          <w:szCs w:val="24"/>
        </w:rPr>
        <w:t>intrakranielt</w:t>
      </w:r>
      <w:proofErr w:type="spellEnd"/>
      <w:r>
        <w:rPr>
          <w:sz w:val="24"/>
          <w:szCs w:val="24"/>
        </w:rPr>
        <w:t xml:space="preserve"> tryk under behandlingen.</w:t>
      </w:r>
    </w:p>
    <w:p w:rsidR="00066561" w:rsidRDefault="00066561" w:rsidP="00066561">
      <w:pPr>
        <w:ind w:left="851"/>
        <w:jc w:val="both"/>
        <w:rPr>
          <w:sz w:val="24"/>
          <w:szCs w:val="24"/>
        </w:rPr>
      </w:pPr>
    </w:p>
    <w:p w:rsidR="00066561" w:rsidRDefault="00066561" w:rsidP="00066561">
      <w:pPr>
        <w:ind w:left="851"/>
        <w:jc w:val="both"/>
        <w:rPr>
          <w:sz w:val="24"/>
          <w:szCs w:val="24"/>
        </w:rPr>
      </w:pPr>
      <w:proofErr w:type="spellStart"/>
      <w:r>
        <w:rPr>
          <w:sz w:val="24"/>
          <w:szCs w:val="24"/>
        </w:rPr>
        <w:t>Tetracykliner</w:t>
      </w:r>
      <w:proofErr w:type="spellEnd"/>
      <w:r>
        <w:rPr>
          <w:sz w:val="24"/>
          <w:szCs w:val="24"/>
        </w:rPr>
        <w:t xml:space="preserve"> kan forårsage lysfølsomhedsreaktioner; der er dog rapporteret meget sjældne tilfælde med </w:t>
      </w:r>
      <w:proofErr w:type="spellStart"/>
      <w:r>
        <w:rPr>
          <w:sz w:val="24"/>
          <w:szCs w:val="24"/>
        </w:rPr>
        <w:t>lymecyclin</w:t>
      </w:r>
      <w:proofErr w:type="spellEnd"/>
      <w:r>
        <w:rPr>
          <w:sz w:val="24"/>
          <w:szCs w:val="24"/>
        </w:rPr>
        <w:t xml:space="preserve">. Lysfølsomhed manifesteret ved en overdreven solskoldningsreaktion er blevet observeret hos nogle individer, der tager </w:t>
      </w:r>
      <w:proofErr w:type="spellStart"/>
      <w:r>
        <w:rPr>
          <w:sz w:val="24"/>
          <w:szCs w:val="24"/>
        </w:rPr>
        <w:t>tetracykliner</w:t>
      </w:r>
      <w:proofErr w:type="spellEnd"/>
      <w:r>
        <w:rPr>
          <w:sz w:val="24"/>
          <w:szCs w:val="24"/>
        </w:rPr>
        <w:t xml:space="preserve">. Patienter skal vide, at denne reaktion kan forekomme, og advares om at undgå direkte eksponering for naturligt og kunstigt sollys, og at behandlingen bør afbrydes ved det første tegn på </w:t>
      </w:r>
      <w:proofErr w:type="spellStart"/>
      <w:r>
        <w:rPr>
          <w:sz w:val="24"/>
          <w:szCs w:val="24"/>
        </w:rPr>
        <w:t>hudrod</w:t>
      </w:r>
      <w:proofErr w:type="spellEnd"/>
      <w:r>
        <w:rPr>
          <w:sz w:val="24"/>
          <w:szCs w:val="24"/>
        </w:rPr>
        <w:t xml:space="preserve"> eller ubehag i huden.</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Med hensyn til moderat </w:t>
      </w:r>
      <w:proofErr w:type="spellStart"/>
      <w:r>
        <w:rPr>
          <w:sz w:val="24"/>
          <w:szCs w:val="24"/>
        </w:rPr>
        <w:t>acne</w:t>
      </w:r>
      <w:proofErr w:type="spellEnd"/>
      <w:r>
        <w:rPr>
          <w:sz w:val="24"/>
          <w:szCs w:val="24"/>
        </w:rPr>
        <w:t xml:space="preserve"> </w:t>
      </w:r>
      <w:proofErr w:type="spellStart"/>
      <w:r>
        <w:rPr>
          <w:sz w:val="24"/>
          <w:szCs w:val="24"/>
        </w:rPr>
        <w:t>vulgaris</w:t>
      </w:r>
      <w:proofErr w:type="spellEnd"/>
      <w:r>
        <w:rPr>
          <w:sz w:val="24"/>
          <w:szCs w:val="24"/>
        </w:rPr>
        <w:t xml:space="preserve"> er </w:t>
      </w:r>
      <w:proofErr w:type="spellStart"/>
      <w:r>
        <w:rPr>
          <w:sz w:val="24"/>
          <w:szCs w:val="24"/>
        </w:rPr>
        <w:t>lymecyclin</w:t>
      </w:r>
      <w:proofErr w:type="spellEnd"/>
      <w:r>
        <w:rPr>
          <w:sz w:val="24"/>
          <w:szCs w:val="24"/>
        </w:rPr>
        <w:t xml:space="preserve"> kun indiceret, hvis topisk behandling ikke er effektiv.</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4.5</w:t>
      </w:r>
      <w:r w:rsidRPr="00A51832">
        <w:rPr>
          <w:b/>
          <w:sz w:val="24"/>
          <w:szCs w:val="24"/>
        </w:rPr>
        <w:tab/>
        <w:t>Interaktion med andre lægemidler og andre former for interaktion</w:t>
      </w:r>
    </w:p>
    <w:p w:rsidR="00066561" w:rsidRDefault="00066561" w:rsidP="00066561">
      <w:pPr>
        <w:ind w:left="851"/>
        <w:jc w:val="both"/>
        <w:rPr>
          <w:sz w:val="24"/>
          <w:szCs w:val="24"/>
        </w:rPr>
      </w:pPr>
      <w:r>
        <w:rPr>
          <w:sz w:val="24"/>
          <w:szCs w:val="24"/>
        </w:rPr>
        <w:t xml:space="preserve">Absorptionen af </w:t>
      </w:r>
      <w:proofErr w:type="spellStart"/>
      <w:r>
        <w:rPr>
          <w:sz w:val="24"/>
          <w:szCs w:val="24"/>
        </w:rPr>
        <w:t>tetracycliner</w:t>
      </w:r>
      <w:proofErr w:type="spellEnd"/>
      <w:r>
        <w:rPr>
          <w:sz w:val="24"/>
          <w:szCs w:val="24"/>
        </w:rPr>
        <w:t xml:space="preserve"> kan blive påvirket af samtidig indgift af calcium, aluminium, </w:t>
      </w:r>
      <w:proofErr w:type="spellStart"/>
      <w:r>
        <w:rPr>
          <w:sz w:val="24"/>
          <w:szCs w:val="24"/>
        </w:rPr>
        <w:t>didanosin</w:t>
      </w:r>
      <w:proofErr w:type="spellEnd"/>
      <w:r>
        <w:rPr>
          <w:sz w:val="24"/>
          <w:szCs w:val="24"/>
        </w:rPr>
        <w:t xml:space="preserve">, magnesium, </w:t>
      </w:r>
      <w:proofErr w:type="spellStart"/>
      <w:r>
        <w:rPr>
          <w:sz w:val="24"/>
          <w:szCs w:val="24"/>
        </w:rPr>
        <w:t>bismuth</w:t>
      </w:r>
      <w:proofErr w:type="spellEnd"/>
      <w:r>
        <w:rPr>
          <w:sz w:val="24"/>
          <w:szCs w:val="24"/>
        </w:rPr>
        <w:t xml:space="preserve"> og zinksalte, </w:t>
      </w:r>
      <w:proofErr w:type="spellStart"/>
      <w:r>
        <w:rPr>
          <w:sz w:val="24"/>
          <w:szCs w:val="24"/>
        </w:rPr>
        <w:t>antacida</w:t>
      </w:r>
      <w:proofErr w:type="spellEnd"/>
      <w:r>
        <w:rPr>
          <w:sz w:val="24"/>
          <w:szCs w:val="24"/>
        </w:rPr>
        <w:t xml:space="preserve">, sårhelingsmidler, som indeholder </w:t>
      </w:r>
      <w:proofErr w:type="spellStart"/>
      <w:r>
        <w:rPr>
          <w:sz w:val="24"/>
          <w:szCs w:val="24"/>
        </w:rPr>
        <w:t>bismuth</w:t>
      </w:r>
      <w:proofErr w:type="spellEnd"/>
      <w:r>
        <w:rPr>
          <w:sz w:val="24"/>
          <w:szCs w:val="24"/>
        </w:rPr>
        <w:t xml:space="preserve">, jernpræparater, </w:t>
      </w:r>
      <w:proofErr w:type="spellStart"/>
      <w:r>
        <w:rPr>
          <w:sz w:val="24"/>
          <w:szCs w:val="24"/>
        </w:rPr>
        <w:t>charbon</w:t>
      </w:r>
      <w:proofErr w:type="spellEnd"/>
      <w:r>
        <w:rPr>
          <w:sz w:val="24"/>
          <w:szCs w:val="24"/>
        </w:rPr>
        <w:t xml:space="preserve"> </w:t>
      </w:r>
      <w:proofErr w:type="spellStart"/>
      <w:r>
        <w:rPr>
          <w:sz w:val="24"/>
          <w:szCs w:val="24"/>
        </w:rPr>
        <w:t>actif</w:t>
      </w:r>
      <w:proofErr w:type="spellEnd"/>
      <w:r>
        <w:rPr>
          <w:sz w:val="24"/>
          <w:szCs w:val="24"/>
        </w:rPr>
        <w:t xml:space="preserve">, </w:t>
      </w:r>
      <w:proofErr w:type="spellStart"/>
      <w:r>
        <w:rPr>
          <w:sz w:val="24"/>
          <w:szCs w:val="24"/>
        </w:rPr>
        <w:t>cholestyramine</w:t>
      </w:r>
      <w:proofErr w:type="spellEnd"/>
      <w:r>
        <w:rPr>
          <w:sz w:val="24"/>
          <w:szCs w:val="24"/>
        </w:rPr>
        <w:t xml:space="preserve">, </w:t>
      </w:r>
      <w:proofErr w:type="spellStart"/>
      <w:r>
        <w:rPr>
          <w:sz w:val="24"/>
          <w:szCs w:val="24"/>
        </w:rPr>
        <w:t>sucralfate</w:t>
      </w:r>
      <w:proofErr w:type="spellEnd"/>
      <w:r>
        <w:rPr>
          <w:sz w:val="24"/>
          <w:szCs w:val="24"/>
        </w:rPr>
        <w:t xml:space="preserve"> og </w:t>
      </w:r>
      <w:proofErr w:type="spellStart"/>
      <w:r>
        <w:rPr>
          <w:sz w:val="24"/>
          <w:szCs w:val="24"/>
        </w:rPr>
        <w:t>quinapril</w:t>
      </w:r>
      <w:proofErr w:type="spellEnd"/>
      <w:r>
        <w:rPr>
          <w:sz w:val="24"/>
          <w:szCs w:val="24"/>
        </w:rPr>
        <w:t>.</w:t>
      </w:r>
    </w:p>
    <w:p w:rsidR="00066561" w:rsidRDefault="00066561" w:rsidP="00066561">
      <w:pPr>
        <w:ind w:left="851" w:hanging="851"/>
        <w:jc w:val="both"/>
        <w:rPr>
          <w:sz w:val="24"/>
          <w:szCs w:val="24"/>
        </w:rPr>
      </w:pPr>
    </w:p>
    <w:p w:rsidR="00066561" w:rsidRDefault="00066561" w:rsidP="00066561">
      <w:pPr>
        <w:ind w:left="851"/>
        <w:jc w:val="both"/>
        <w:rPr>
          <w:sz w:val="24"/>
          <w:szCs w:val="24"/>
          <w:u w:val="single"/>
        </w:rPr>
      </w:pPr>
      <w:r>
        <w:rPr>
          <w:sz w:val="24"/>
          <w:szCs w:val="24"/>
          <w:u w:val="single"/>
        </w:rPr>
        <w:t>Følgende kombinationer bør derfor undgås</w:t>
      </w:r>
    </w:p>
    <w:p w:rsidR="00066561" w:rsidRDefault="00066561" w:rsidP="00066561">
      <w:pPr>
        <w:ind w:left="851"/>
        <w:jc w:val="both"/>
        <w:rPr>
          <w:sz w:val="24"/>
          <w:szCs w:val="24"/>
        </w:rPr>
      </w:pPr>
      <w:proofErr w:type="spellStart"/>
      <w:r>
        <w:rPr>
          <w:sz w:val="24"/>
          <w:szCs w:val="24"/>
        </w:rPr>
        <w:t>Antacida</w:t>
      </w:r>
      <w:proofErr w:type="spellEnd"/>
      <w:r>
        <w:rPr>
          <w:sz w:val="24"/>
          <w:szCs w:val="24"/>
        </w:rPr>
        <w:t xml:space="preserve">: </w:t>
      </w:r>
      <w:proofErr w:type="spellStart"/>
      <w:r>
        <w:rPr>
          <w:sz w:val="24"/>
          <w:szCs w:val="24"/>
        </w:rPr>
        <w:t>Antacida</w:t>
      </w:r>
      <w:proofErr w:type="spellEnd"/>
      <w:r>
        <w:rPr>
          <w:sz w:val="24"/>
          <w:szCs w:val="24"/>
        </w:rPr>
        <w:t xml:space="preserve">, der indeholder bi- eller trivalente kationer danner </w:t>
      </w:r>
      <w:proofErr w:type="spellStart"/>
      <w:r>
        <w:rPr>
          <w:sz w:val="24"/>
          <w:szCs w:val="24"/>
        </w:rPr>
        <w:t>chelat</w:t>
      </w:r>
      <w:proofErr w:type="spellEnd"/>
      <w:r>
        <w:rPr>
          <w:sz w:val="24"/>
          <w:szCs w:val="24"/>
        </w:rPr>
        <w:t xml:space="preserve">-komplekser med </w:t>
      </w:r>
      <w:proofErr w:type="spellStart"/>
      <w:r>
        <w:rPr>
          <w:sz w:val="24"/>
          <w:szCs w:val="24"/>
        </w:rPr>
        <w:t>tetracycliner</w:t>
      </w:r>
      <w:proofErr w:type="spellEnd"/>
      <w:r>
        <w:rPr>
          <w:sz w:val="24"/>
          <w:szCs w:val="24"/>
        </w:rPr>
        <w:t xml:space="preserve">, hvilket resulterer i reduceret absorption. Det er rapporteret, at </w:t>
      </w:r>
      <w:proofErr w:type="spellStart"/>
      <w:r>
        <w:rPr>
          <w:sz w:val="24"/>
          <w:szCs w:val="24"/>
        </w:rPr>
        <w:t>natriumbicarbonat</w:t>
      </w:r>
      <w:proofErr w:type="spellEnd"/>
      <w:r>
        <w:rPr>
          <w:sz w:val="24"/>
          <w:szCs w:val="24"/>
        </w:rPr>
        <w:t xml:space="preserve"> hæmmer absorptionen af </w:t>
      </w:r>
      <w:proofErr w:type="spellStart"/>
      <w:r>
        <w:rPr>
          <w:sz w:val="24"/>
          <w:szCs w:val="24"/>
        </w:rPr>
        <w:t>tetracycliner</w:t>
      </w:r>
      <w:proofErr w:type="spellEnd"/>
      <w:r>
        <w:rPr>
          <w:sz w:val="24"/>
          <w:szCs w:val="24"/>
        </w:rPr>
        <w:t xml:space="preserve"> på grund af ændring i pH. </w:t>
      </w:r>
    </w:p>
    <w:p w:rsidR="00066561" w:rsidRDefault="00066561" w:rsidP="00066561">
      <w:pPr>
        <w:ind w:left="851"/>
        <w:jc w:val="both"/>
        <w:rPr>
          <w:sz w:val="24"/>
          <w:szCs w:val="24"/>
        </w:rPr>
      </w:pPr>
    </w:p>
    <w:p w:rsidR="00066561" w:rsidRDefault="00066561" w:rsidP="00066561">
      <w:pPr>
        <w:ind w:left="851"/>
        <w:jc w:val="both"/>
        <w:rPr>
          <w:sz w:val="24"/>
          <w:szCs w:val="24"/>
        </w:rPr>
      </w:pPr>
      <w:proofErr w:type="spellStart"/>
      <w:r>
        <w:rPr>
          <w:sz w:val="24"/>
          <w:szCs w:val="24"/>
        </w:rPr>
        <w:t>Quinapril</w:t>
      </w:r>
      <w:proofErr w:type="spellEnd"/>
      <w:r>
        <w:rPr>
          <w:sz w:val="24"/>
          <w:szCs w:val="24"/>
        </w:rPr>
        <w:t xml:space="preserve">: </w:t>
      </w:r>
      <w:proofErr w:type="spellStart"/>
      <w:r>
        <w:rPr>
          <w:sz w:val="24"/>
          <w:szCs w:val="24"/>
        </w:rPr>
        <w:t>Quinapril</w:t>
      </w:r>
      <w:proofErr w:type="spellEnd"/>
      <w:r>
        <w:rPr>
          <w:sz w:val="24"/>
          <w:szCs w:val="24"/>
        </w:rPr>
        <w:t xml:space="preserve"> tabletter indeholder magnesium, der danner </w:t>
      </w:r>
      <w:proofErr w:type="spellStart"/>
      <w:r>
        <w:rPr>
          <w:sz w:val="24"/>
          <w:szCs w:val="24"/>
        </w:rPr>
        <w:t>chelat</w:t>
      </w:r>
      <w:proofErr w:type="spellEnd"/>
      <w:r>
        <w:rPr>
          <w:sz w:val="24"/>
          <w:szCs w:val="24"/>
        </w:rPr>
        <w:t xml:space="preserve">-komplekser med </w:t>
      </w:r>
      <w:proofErr w:type="spellStart"/>
      <w:r>
        <w:rPr>
          <w:sz w:val="24"/>
          <w:szCs w:val="24"/>
        </w:rPr>
        <w:t>tetracyclin</w:t>
      </w:r>
      <w:proofErr w:type="spellEnd"/>
      <w:r>
        <w:rPr>
          <w:sz w:val="24"/>
          <w:szCs w:val="24"/>
        </w:rPr>
        <w:t>, som medfører reduceret absorption.</w:t>
      </w:r>
    </w:p>
    <w:p w:rsidR="00066561" w:rsidRDefault="00066561" w:rsidP="00066561">
      <w:pPr>
        <w:ind w:left="851" w:hanging="851"/>
        <w:jc w:val="both"/>
        <w:rPr>
          <w:sz w:val="24"/>
          <w:szCs w:val="24"/>
        </w:rPr>
      </w:pPr>
    </w:p>
    <w:p w:rsidR="00066561" w:rsidRDefault="00066561" w:rsidP="00066561">
      <w:pPr>
        <w:ind w:left="851"/>
        <w:jc w:val="both"/>
        <w:rPr>
          <w:sz w:val="24"/>
          <w:szCs w:val="24"/>
        </w:rPr>
      </w:pPr>
      <w:proofErr w:type="spellStart"/>
      <w:r>
        <w:rPr>
          <w:sz w:val="24"/>
          <w:szCs w:val="24"/>
        </w:rPr>
        <w:t>Didanosin</w:t>
      </w:r>
      <w:proofErr w:type="spellEnd"/>
      <w:r>
        <w:rPr>
          <w:sz w:val="24"/>
          <w:szCs w:val="24"/>
        </w:rPr>
        <w:t xml:space="preserve">: </w:t>
      </w:r>
      <w:proofErr w:type="spellStart"/>
      <w:r>
        <w:rPr>
          <w:sz w:val="24"/>
          <w:szCs w:val="24"/>
        </w:rPr>
        <w:t>Didanosin</w:t>
      </w:r>
      <w:proofErr w:type="spellEnd"/>
      <w:r>
        <w:rPr>
          <w:sz w:val="24"/>
          <w:szCs w:val="24"/>
        </w:rPr>
        <w:t xml:space="preserve"> i tabletform indeholder trivalente kationer, som danner </w:t>
      </w:r>
      <w:proofErr w:type="spellStart"/>
      <w:r>
        <w:rPr>
          <w:sz w:val="24"/>
          <w:szCs w:val="24"/>
        </w:rPr>
        <w:t>chelat</w:t>
      </w:r>
      <w:proofErr w:type="spellEnd"/>
      <w:r>
        <w:rPr>
          <w:sz w:val="24"/>
          <w:szCs w:val="24"/>
        </w:rPr>
        <w:t xml:space="preserve">-komplekser med </w:t>
      </w:r>
      <w:proofErr w:type="spellStart"/>
      <w:r>
        <w:rPr>
          <w:sz w:val="24"/>
          <w:szCs w:val="24"/>
        </w:rPr>
        <w:t>tetracyclin</w:t>
      </w:r>
      <w:proofErr w:type="spellEnd"/>
      <w:r>
        <w:rPr>
          <w:sz w:val="24"/>
          <w:szCs w:val="24"/>
        </w:rPr>
        <w:t>, der medfører reduceret absorption. Der findes dog ingen eksperimentelle studier.</w:t>
      </w:r>
    </w:p>
    <w:p w:rsidR="00066561" w:rsidRDefault="00066561" w:rsidP="00066561">
      <w:pPr>
        <w:ind w:left="851"/>
        <w:jc w:val="both"/>
        <w:rPr>
          <w:sz w:val="24"/>
          <w:szCs w:val="24"/>
        </w:rPr>
      </w:pPr>
    </w:p>
    <w:p w:rsidR="00066561" w:rsidRDefault="00066561" w:rsidP="00066561">
      <w:pPr>
        <w:ind w:left="851"/>
        <w:jc w:val="both"/>
        <w:rPr>
          <w:sz w:val="24"/>
          <w:szCs w:val="24"/>
        </w:rPr>
      </w:pPr>
      <w:proofErr w:type="spellStart"/>
      <w:r>
        <w:rPr>
          <w:sz w:val="24"/>
          <w:szCs w:val="24"/>
        </w:rPr>
        <w:t>Lithium</w:t>
      </w:r>
      <w:proofErr w:type="spellEnd"/>
      <w:r>
        <w:rPr>
          <w:sz w:val="24"/>
          <w:szCs w:val="24"/>
        </w:rPr>
        <w:t xml:space="preserve">: Nogle bivirkninger er blevet rapporteret ved tetracyklinbehandling, når det bruges i kombination med </w:t>
      </w:r>
      <w:proofErr w:type="spellStart"/>
      <w:r>
        <w:rPr>
          <w:sz w:val="24"/>
          <w:szCs w:val="24"/>
        </w:rPr>
        <w:t>lithium</w:t>
      </w:r>
      <w:proofErr w:type="spellEnd"/>
      <w:r>
        <w:rPr>
          <w:sz w:val="24"/>
          <w:szCs w:val="24"/>
        </w:rPr>
        <w:t xml:space="preserve">; en interaktion mellem </w:t>
      </w:r>
      <w:proofErr w:type="spellStart"/>
      <w:r>
        <w:rPr>
          <w:sz w:val="24"/>
          <w:szCs w:val="24"/>
        </w:rPr>
        <w:t>lithium</w:t>
      </w:r>
      <w:proofErr w:type="spellEnd"/>
      <w:r>
        <w:rPr>
          <w:sz w:val="24"/>
          <w:szCs w:val="24"/>
        </w:rPr>
        <w:t xml:space="preserve"> og </w:t>
      </w:r>
      <w:proofErr w:type="spellStart"/>
      <w:r>
        <w:rPr>
          <w:sz w:val="24"/>
          <w:szCs w:val="24"/>
        </w:rPr>
        <w:t>tetracyclin</w:t>
      </w:r>
      <w:proofErr w:type="spellEnd"/>
      <w:r>
        <w:rPr>
          <w:sz w:val="24"/>
          <w:szCs w:val="24"/>
        </w:rPr>
        <w:t xml:space="preserve">-klassen er en anerkendt interaktion. Specifikt kan en kombination af </w:t>
      </w:r>
      <w:proofErr w:type="spellStart"/>
      <w:r>
        <w:rPr>
          <w:sz w:val="24"/>
          <w:szCs w:val="24"/>
        </w:rPr>
        <w:t>lymecyclin</w:t>
      </w:r>
      <w:proofErr w:type="spellEnd"/>
      <w:r>
        <w:rPr>
          <w:sz w:val="24"/>
          <w:szCs w:val="24"/>
        </w:rPr>
        <w:t xml:space="preserve"> med </w:t>
      </w:r>
      <w:proofErr w:type="spellStart"/>
      <w:r>
        <w:rPr>
          <w:sz w:val="24"/>
          <w:szCs w:val="24"/>
        </w:rPr>
        <w:t>lithium</w:t>
      </w:r>
      <w:proofErr w:type="spellEnd"/>
      <w:r>
        <w:rPr>
          <w:sz w:val="24"/>
          <w:szCs w:val="24"/>
        </w:rPr>
        <w:t xml:space="preserve"> forårsage en stigning i </w:t>
      </w:r>
      <w:proofErr w:type="spellStart"/>
      <w:r>
        <w:rPr>
          <w:sz w:val="24"/>
          <w:szCs w:val="24"/>
        </w:rPr>
        <w:t>serumlithiumniveauer</w:t>
      </w:r>
      <w:proofErr w:type="spellEnd"/>
      <w:r>
        <w:rPr>
          <w:sz w:val="24"/>
          <w:szCs w:val="24"/>
        </w:rPr>
        <w:t>.</w:t>
      </w:r>
    </w:p>
    <w:p w:rsidR="00066561" w:rsidRDefault="00066561" w:rsidP="00066561">
      <w:pPr>
        <w:ind w:left="851"/>
        <w:jc w:val="both"/>
        <w:rPr>
          <w:sz w:val="24"/>
          <w:szCs w:val="24"/>
        </w:rPr>
      </w:pPr>
    </w:p>
    <w:p w:rsidR="00066561" w:rsidRDefault="00066561" w:rsidP="00066561">
      <w:pPr>
        <w:ind w:left="851"/>
        <w:jc w:val="both"/>
        <w:rPr>
          <w:sz w:val="24"/>
          <w:szCs w:val="24"/>
        </w:rPr>
      </w:pPr>
      <w:proofErr w:type="spellStart"/>
      <w:r>
        <w:rPr>
          <w:sz w:val="24"/>
          <w:szCs w:val="24"/>
        </w:rPr>
        <w:t>Methoxyfluran</w:t>
      </w:r>
      <w:proofErr w:type="spellEnd"/>
      <w:r>
        <w:rPr>
          <w:sz w:val="24"/>
          <w:szCs w:val="24"/>
        </w:rPr>
        <w:t xml:space="preserve">: Samtidig brug med bedøvelsesmidlet </w:t>
      </w:r>
      <w:proofErr w:type="spellStart"/>
      <w:r>
        <w:rPr>
          <w:sz w:val="24"/>
          <w:szCs w:val="24"/>
        </w:rPr>
        <w:t>methoxyfluran</w:t>
      </w:r>
      <w:proofErr w:type="spellEnd"/>
      <w:r>
        <w:rPr>
          <w:sz w:val="24"/>
          <w:szCs w:val="24"/>
        </w:rPr>
        <w:t xml:space="preserve"> øger risikoen for nyresvigt og er blevet rapporteret at resultere i dødelig nyretoksicitet.</w:t>
      </w:r>
    </w:p>
    <w:p w:rsidR="00066561" w:rsidRDefault="00066561" w:rsidP="00066561">
      <w:pPr>
        <w:ind w:left="851"/>
        <w:jc w:val="both"/>
        <w:rPr>
          <w:sz w:val="24"/>
          <w:szCs w:val="24"/>
        </w:rPr>
      </w:pPr>
    </w:p>
    <w:p w:rsidR="00066561" w:rsidRDefault="00066561" w:rsidP="00066561">
      <w:pPr>
        <w:ind w:left="851"/>
        <w:jc w:val="both"/>
        <w:rPr>
          <w:sz w:val="24"/>
          <w:szCs w:val="24"/>
          <w:u w:val="single"/>
        </w:rPr>
      </w:pPr>
      <w:r>
        <w:rPr>
          <w:sz w:val="24"/>
          <w:szCs w:val="24"/>
          <w:u w:val="single"/>
        </w:rPr>
        <w:t>Kombinationer hvor dosisjusteringer anbefales</w:t>
      </w:r>
    </w:p>
    <w:p w:rsidR="00066561" w:rsidRDefault="00066561" w:rsidP="00066561">
      <w:pPr>
        <w:ind w:left="851"/>
        <w:jc w:val="both"/>
        <w:rPr>
          <w:sz w:val="24"/>
          <w:szCs w:val="24"/>
        </w:rPr>
      </w:pPr>
      <w:r>
        <w:rPr>
          <w:sz w:val="24"/>
          <w:szCs w:val="24"/>
        </w:rPr>
        <w:t xml:space="preserve">Zink, calcium, jern: Ved samtidig behandling er absorptionen af </w:t>
      </w:r>
      <w:proofErr w:type="spellStart"/>
      <w:r>
        <w:rPr>
          <w:sz w:val="24"/>
          <w:szCs w:val="24"/>
        </w:rPr>
        <w:t>tetracyclin</w:t>
      </w:r>
      <w:proofErr w:type="spellEnd"/>
      <w:r>
        <w:rPr>
          <w:sz w:val="24"/>
          <w:szCs w:val="24"/>
        </w:rPr>
        <w:t xml:space="preserve"> reduceret.</w:t>
      </w:r>
    </w:p>
    <w:p w:rsidR="00066561" w:rsidRDefault="00066561" w:rsidP="00066561">
      <w:pPr>
        <w:ind w:left="851"/>
        <w:jc w:val="both"/>
        <w:rPr>
          <w:sz w:val="24"/>
          <w:szCs w:val="24"/>
        </w:rPr>
      </w:pPr>
      <w:r>
        <w:rPr>
          <w:sz w:val="24"/>
          <w:szCs w:val="24"/>
        </w:rPr>
        <w:t xml:space="preserve">Disse præparater bør ikke tages indenfor to til tre timer før eller efter indgift af </w:t>
      </w:r>
      <w:proofErr w:type="spellStart"/>
      <w:r>
        <w:rPr>
          <w:sz w:val="24"/>
          <w:szCs w:val="24"/>
        </w:rPr>
        <w:t>lymecyclin</w:t>
      </w:r>
      <w:proofErr w:type="spellEnd"/>
      <w:r>
        <w:rPr>
          <w:sz w:val="24"/>
          <w:szCs w:val="24"/>
        </w:rPr>
        <w:t xml:space="preserve"> kapsler.</w:t>
      </w:r>
    </w:p>
    <w:p w:rsidR="00066561" w:rsidRDefault="00066561" w:rsidP="00066561">
      <w:pPr>
        <w:ind w:left="851" w:hanging="851"/>
        <w:jc w:val="both"/>
        <w:rPr>
          <w:sz w:val="24"/>
          <w:szCs w:val="24"/>
        </w:rPr>
      </w:pPr>
    </w:p>
    <w:p w:rsidR="00066561" w:rsidRDefault="00066561" w:rsidP="00066561">
      <w:pPr>
        <w:ind w:left="851"/>
        <w:jc w:val="both"/>
        <w:rPr>
          <w:sz w:val="24"/>
          <w:szCs w:val="24"/>
        </w:rPr>
      </w:pPr>
      <w:r>
        <w:rPr>
          <w:sz w:val="24"/>
          <w:szCs w:val="24"/>
        </w:rPr>
        <w:t xml:space="preserve">Samtidig brug af systemiske </w:t>
      </w:r>
      <w:proofErr w:type="spellStart"/>
      <w:r>
        <w:rPr>
          <w:sz w:val="24"/>
          <w:szCs w:val="24"/>
        </w:rPr>
        <w:t>retinoider</w:t>
      </w:r>
      <w:proofErr w:type="spellEnd"/>
      <w:r>
        <w:rPr>
          <w:sz w:val="24"/>
          <w:szCs w:val="24"/>
        </w:rPr>
        <w:t xml:space="preserve"> samt orale </w:t>
      </w:r>
      <w:proofErr w:type="spellStart"/>
      <w:r>
        <w:rPr>
          <w:sz w:val="24"/>
          <w:szCs w:val="24"/>
        </w:rPr>
        <w:t>retinoider</w:t>
      </w:r>
      <w:proofErr w:type="spellEnd"/>
      <w:r>
        <w:rPr>
          <w:sz w:val="24"/>
          <w:szCs w:val="24"/>
        </w:rPr>
        <w:t xml:space="preserve"> bør undgås, da dette kan øge risikoen for benign </w:t>
      </w:r>
      <w:proofErr w:type="spellStart"/>
      <w:r>
        <w:rPr>
          <w:sz w:val="24"/>
          <w:szCs w:val="24"/>
        </w:rPr>
        <w:t>intrakraniel</w:t>
      </w:r>
      <w:proofErr w:type="spellEnd"/>
      <w:r>
        <w:rPr>
          <w:sz w:val="24"/>
          <w:szCs w:val="24"/>
        </w:rPr>
        <w:t xml:space="preserve"> hypertension. Øget virkning af </w:t>
      </w:r>
      <w:proofErr w:type="spellStart"/>
      <w:r>
        <w:rPr>
          <w:sz w:val="24"/>
          <w:szCs w:val="24"/>
        </w:rPr>
        <w:t>antikoagulantia</w:t>
      </w:r>
      <w:proofErr w:type="spellEnd"/>
      <w:r>
        <w:rPr>
          <w:sz w:val="24"/>
          <w:szCs w:val="24"/>
        </w:rPr>
        <w:t xml:space="preserve"> kan forekomme med </w:t>
      </w:r>
      <w:proofErr w:type="spellStart"/>
      <w:r>
        <w:rPr>
          <w:sz w:val="24"/>
          <w:szCs w:val="24"/>
        </w:rPr>
        <w:t>tetracycliner</w:t>
      </w:r>
      <w:proofErr w:type="spellEnd"/>
      <w:r>
        <w:rPr>
          <w:sz w:val="24"/>
          <w:szCs w:val="24"/>
        </w:rPr>
        <w:t xml:space="preserve">. </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lastRenderedPageBreak/>
        <w:t xml:space="preserve">Samtidig brug af </w:t>
      </w:r>
      <w:proofErr w:type="spellStart"/>
      <w:r>
        <w:rPr>
          <w:sz w:val="24"/>
          <w:szCs w:val="24"/>
        </w:rPr>
        <w:t>diuretica</w:t>
      </w:r>
      <w:proofErr w:type="spellEnd"/>
      <w:r>
        <w:rPr>
          <w:sz w:val="24"/>
          <w:szCs w:val="24"/>
        </w:rPr>
        <w:t xml:space="preserve"> bør undgås (se afsnit 4.8).</w:t>
      </w:r>
    </w:p>
    <w:p w:rsidR="00066561" w:rsidRDefault="00066561" w:rsidP="00066561">
      <w:pPr>
        <w:ind w:left="851" w:hanging="851"/>
        <w:jc w:val="both"/>
        <w:rPr>
          <w:sz w:val="24"/>
          <w:szCs w:val="24"/>
        </w:rPr>
      </w:pPr>
    </w:p>
    <w:p w:rsidR="00066561" w:rsidRDefault="00066561" w:rsidP="00066561">
      <w:pPr>
        <w:ind w:left="851"/>
        <w:jc w:val="both"/>
        <w:rPr>
          <w:sz w:val="24"/>
          <w:szCs w:val="24"/>
        </w:rPr>
      </w:pPr>
      <w:r>
        <w:rPr>
          <w:sz w:val="24"/>
          <w:szCs w:val="24"/>
        </w:rPr>
        <w:t xml:space="preserve">Skønt det ikke er rapporteret for </w:t>
      </w:r>
      <w:proofErr w:type="spellStart"/>
      <w:r>
        <w:rPr>
          <w:sz w:val="24"/>
          <w:szCs w:val="24"/>
        </w:rPr>
        <w:t>lymecyclin</w:t>
      </w:r>
      <w:proofErr w:type="spellEnd"/>
      <w:r>
        <w:rPr>
          <w:sz w:val="24"/>
          <w:szCs w:val="24"/>
        </w:rPr>
        <w:t xml:space="preserve"> kapsler, har der været få tilfælde af graviditet eller pletblødning sammen med orale </w:t>
      </w:r>
      <w:proofErr w:type="spellStart"/>
      <w:r>
        <w:rPr>
          <w:sz w:val="24"/>
          <w:szCs w:val="24"/>
        </w:rPr>
        <w:t>anticonceptiva</w:t>
      </w:r>
      <w:proofErr w:type="spellEnd"/>
      <w:r>
        <w:rPr>
          <w:sz w:val="24"/>
          <w:szCs w:val="24"/>
        </w:rPr>
        <w:t xml:space="preserve">, som kan forklares med samtidig brug af </w:t>
      </w:r>
      <w:proofErr w:type="spellStart"/>
      <w:r>
        <w:rPr>
          <w:sz w:val="24"/>
          <w:szCs w:val="24"/>
        </w:rPr>
        <w:t>tetracyclin</w:t>
      </w:r>
      <w:proofErr w:type="spellEnd"/>
      <w:r>
        <w:rPr>
          <w:sz w:val="24"/>
          <w:szCs w:val="24"/>
        </w:rPr>
        <w:t xml:space="preserve"> eller </w:t>
      </w:r>
      <w:proofErr w:type="spellStart"/>
      <w:r>
        <w:rPr>
          <w:sz w:val="24"/>
          <w:szCs w:val="24"/>
        </w:rPr>
        <w:t>oxitetracyclin</w:t>
      </w:r>
      <w:proofErr w:type="spellEnd"/>
      <w:r>
        <w:rPr>
          <w:sz w:val="24"/>
          <w:szCs w:val="24"/>
        </w:rPr>
        <w:t>.</w:t>
      </w:r>
    </w:p>
    <w:p w:rsidR="00066561" w:rsidRDefault="00066561" w:rsidP="00066561">
      <w:pPr>
        <w:ind w:left="851" w:hanging="851"/>
        <w:jc w:val="both"/>
        <w:rPr>
          <w:sz w:val="24"/>
          <w:szCs w:val="24"/>
        </w:rPr>
      </w:pPr>
    </w:p>
    <w:p w:rsidR="00066561" w:rsidRDefault="00066561" w:rsidP="00066561">
      <w:pPr>
        <w:ind w:left="851"/>
        <w:jc w:val="both"/>
        <w:rPr>
          <w:sz w:val="24"/>
          <w:szCs w:val="24"/>
        </w:rPr>
      </w:pPr>
      <w:proofErr w:type="spellStart"/>
      <w:r>
        <w:rPr>
          <w:sz w:val="24"/>
          <w:szCs w:val="24"/>
        </w:rPr>
        <w:t>Lymecyclin</w:t>
      </w:r>
      <w:proofErr w:type="spellEnd"/>
      <w:r>
        <w:rPr>
          <w:sz w:val="24"/>
          <w:szCs w:val="24"/>
        </w:rPr>
        <w:t xml:space="preserve"> kan forårsage falsk-positive målinger af </w:t>
      </w:r>
      <w:proofErr w:type="spellStart"/>
      <w:r>
        <w:rPr>
          <w:sz w:val="24"/>
          <w:szCs w:val="24"/>
        </w:rPr>
        <w:t>uringlucose</w:t>
      </w:r>
      <w:proofErr w:type="spellEnd"/>
      <w:r>
        <w:rPr>
          <w:sz w:val="24"/>
          <w:szCs w:val="24"/>
        </w:rPr>
        <w:t xml:space="preserve">. Det kan også interferere med fluormetriske målinger af </w:t>
      </w:r>
      <w:proofErr w:type="spellStart"/>
      <w:r>
        <w:rPr>
          <w:sz w:val="24"/>
          <w:szCs w:val="24"/>
        </w:rPr>
        <w:t>catecholaminer</w:t>
      </w:r>
      <w:proofErr w:type="spellEnd"/>
      <w:r>
        <w:rPr>
          <w:sz w:val="24"/>
          <w:szCs w:val="24"/>
        </w:rPr>
        <w:t xml:space="preserve"> i urin (</w:t>
      </w:r>
      <w:proofErr w:type="spellStart"/>
      <w:r>
        <w:rPr>
          <w:sz w:val="24"/>
          <w:szCs w:val="24"/>
        </w:rPr>
        <w:t>Hingertys</w:t>
      </w:r>
      <w:proofErr w:type="spellEnd"/>
      <w:r>
        <w:rPr>
          <w:sz w:val="24"/>
          <w:szCs w:val="24"/>
        </w:rPr>
        <w:t xml:space="preserve"> metode) og resultere i falsk-forøgede værdier.</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Enzyminducere såsom barbiturater,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kan fremskynde nedbrydningen af </w:t>
      </w:r>
      <w:proofErr w:type="spellStart"/>
      <w:r>
        <w:rPr>
          <w:sz w:val="24"/>
          <w:szCs w:val="24"/>
        </w:rPr>
        <w:t>tetracyclin</w:t>
      </w:r>
      <w:proofErr w:type="spellEnd"/>
      <w:r>
        <w:rPr>
          <w:sz w:val="24"/>
          <w:szCs w:val="24"/>
        </w:rPr>
        <w:t xml:space="preserve"> på grund af enzyminduktion i leveren og derved nedsætte dets halveringstid. Disse præparater bør ikke tages inden for to timer før eller efter indtagelse af </w:t>
      </w:r>
      <w:proofErr w:type="spellStart"/>
      <w:r>
        <w:rPr>
          <w:sz w:val="24"/>
          <w:szCs w:val="24"/>
        </w:rPr>
        <w:t>lymecyclin</w:t>
      </w:r>
      <w:proofErr w:type="spellEnd"/>
      <w:r>
        <w:rPr>
          <w:sz w:val="24"/>
          <w:szCs w:val="24"/>
        </w:rPr>
        <w:t>.</w:t>
      </w:r>
    </w:p>
    <w:p w:rsidR="00066561" w:rsidRDefault="00066561" w:rsidP="00066561">
      <w:pPr>
        <w:ind w:left="851"/>
        <w:jc w:val="both"/>
        <w:rPr>
          <w:sz w:val="24"/>
          <w:szCs w:val="24"/>
        </w:rPr>
      </w:pP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 xml:space="preserve">I modsætning til tidligere </w:t>
      </w:r>
      <w:proofErr w:type="spellStart"/>
      <w:r>
        <w:rPr>
          <w:sz w:val="24"/>
          <w:szCs w:val="24"/>
        </w:rPr>
        <w:t>tetracykliner</w:t>
      </w:r>
      <w:proofErr w:type="spellEnd"/>
      <w:r>
        <w:rPr>
          <w:sz w:val="24"/>
          <w:szCs w:val="24"/>
        </w:rPr>
        <w:t xml:space="preserve"> forringes absorptionen af </w:t>
      </w:r>
      <w:proofErr w:type="spellStart"/>
      <w:r>
        <w:rPr>
          <w:sz w:val="24"/>
          <w:szCs w:val="24"/>
        </w:rPr>
        <w:t>lymecyclin</w:t>
      </w:r>
      <w:proofErr w:type="spellEnd"/>
      <w:r>
        <w:rPr>
          <w:sz w:val="24"/>
          <w:szCs w:val="24"/>
        </w:rPr>
        <w:t xml:space="preserve"> ikke signifikant af moderate mængder (f.eks. et glas) mælk.</w:t>
      </w:r>
    </w:p>
    <w:p w:rsidR="00066561" w:rsidRDefault="00066561" w:rsidP="00066561">
      <w:pPr>
        <w:ind w:left="851"/>
        <w:jc w:val="both"/>
        <w:rPr>
          <w:sz w:val="24"/>
          <w:szCs w:val="24"/>
        </w:rPr>
      </w:pPr>
    </w:p>
    <w:p w:rsidR="00066561" w:rsidRDefault="00066561" w:rsidP="00066561">
      <w:pPr>
        <w:ind w:left="851"/>
        <w:jc w:val="both"/>
        <w:rPr>
          <w:sz w:val="24"/>
          <w:szCs w:val="24"/>
        </w:rPr>
      </w:pPr>
      <w:proofErr w:type="spellStart"/>
      <w:r>
        <w:rPr>
          <w:sz w:val="24"/>
          <w:szCs w:val="24"/>
        </w:rPr>
        <w:t>Bakteriostatiske</w:t>
      </w:r>
      <w:proofErr w:type="spellEnd"/>
      <w:r>
        <w:rPr>
          <w:sz w:val="24"/>
          <w:szCs w:val="24"/>
        </w:rPr>
        <w:t xml:space="preserve"> lægemidler, herunder </w:t>
      </w:r>
      <w:proofErr w:type="spellStart"/>
      <w:r>
        <w:rPr>
          <w:sz w:val="24"/>
          <w:szCs w:val="24"/>
        </w:rPr>
        <w:t>lymecyclin</w:t>
      </w:r>
      <w:proofErr w:type="spellEnd"/>
      <w:r>
        <w:rPr>
          <w:sz w:val="24"/>
          <w:szCs w:val="24"/>
        </w:rPr>
        <w:t>, kan interferere med den bakteriedræbende virkning af penicillin og beta-</w:t>
      </w:r>
      <w:proofErr w:type="spellStart"/>
      <w:r>
        <w:rPr>
          <w:sz w:val="24"/>
          <w:szCs w:val="24"/>
        </w:rPr>
        <w:t>lactam</w:t>
      </w:r>
      <w:proofErr w:type="spellEnd"/>
      <w:r>
        <w:rPr>
          <w:sz w:val="24"/>
          <w:szCs w:val="24"/>
        </w:rPr>
        <w:t xml:space="preserve"> antibiotika. Det er tilrådeligt, at </w:t>
      </w:r>
      <w:proofErr w:type="spellStart"/>
      <w:r>
        <w:rPr>
          <w:sz w:val="24"/>
          <w:szCs w:val="24"/>
        </w:rPr>
        <w:t>tetracyclin</w:t>
      </w:r>
      <w:proofErr w:type="spellEnd"/>
      <w:r>
        <w:rPr>
          <w:sz w:val="24"/>
          <w:szCs w:val="24"/>
        </w:rPr>
        <w:t>-klassen lægemidler og penicillin derfor ikke bør anvendes i kombination.</w:t>
      </w:r>
    </w:p>
    <w:p w:rsidR="00066561" w:rsidRDefault="00066561" w:rsidP="00066561">
      <w:pPr>
        <w:ind w:left="851"/>
        <w:jc w:val="both"/>
        <w:rPr>
          <w:sz w:val="24"/>
          <w:szCs w:val="24"/>
        </w:rPr>
      </w:pPr>
    </w:p>
    <w:p w:rsidR="00066561" w:rsidRDefault="00066561" w:rsidP="00066561">
      <w:pPr>
        <w:ind w:left="851"/>
        <w:jc w:val="both"/>
        <w:rPr>
          <w:sz w:val="24"/>
          <w:szCs w:val="24"/>
        </w:rPr>
      </w:pPr>
      <w:r>
        <w:rPr>
          <w:sz w:val="24"/>
          <w:szCs w:val="24"/>
        </w:rPr>
        <w:t>Absorption af lægemiddel er blevet rapporteret at være nedsat ved administration af lægemidler, der hæmmer sekretion af mavesyre.</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4.6</w:t>
      </w:r>
      <w:r w:rsidR="00066561">
        <w:rPr>
          <w:b/>
          <w:sz w:val="24"/>
          <w:szCs w:val="24"/>
        </w:rPr>
        <w:tab/>
      </w:r>
      <w:r w:rsidR="00066561" w:rsidRPr="00F31B64">
        <w:rPr>
          <w:b/>
          <w:noProof/>
          <w:sz w:val="24"/>
          <w:szCs w:val="24"/>
        </w:rPr>
        <w:t>Fertilitet, g</w:t>
      </w:r>
      <w:r w:rsidR="00066561" w:rsidRPr="00F31B64">
        <w:rPr>
          <w:b/>
          <w:sz w:val="24"/>
          <w:szCs w:val="24"/>
        </w:rPr>
        <w:t>raviditet og amning</w:t>
      </w:r>
    </w:p>
    <w:p w:rsidR="00585E4C" w:rsidRPr="00A51832" w:rsidRDefault="00585E4C" w:rsidP="00C170B4">
      <w:pPr>
        <w:ind w:left="851"/>
        <w:rPr>
          <w:sz w:val="24"/>
          <w:szCs w:val="24"/>
        </w:rPr>
      </w:pPr>
      <w:r w:rsidRPr="00A51832">
        <w:rPr>
          <w:sz w:val="24"/>
          <w:szCs w:val="24"/>
        </w:rPr>
        <w:tab/>
      </w:r>
    </w:p>
    <w:p w:rsidR="00585E4C" w:rsidRPr="00A51832" w:rsidRDefault="00585E4C" w:rsidP="00C170B4">
      <w:pPr>
        <w:ind w:left="851"/>
        <w:rPr>
          <w:sz w:val="24"/>
          <w:szCs w:val="24"/>
        </w:rPr>
      </w:pPr>
      <w:r w:rsidRPr="00A51832">
        <w:rPr>
          <w:sz w:val="24"/>
          <w:szCs w:val="24"/>
          <w:u w:val="single"/>
        </w:rPr>
        <w:t>Fertilitet</w:t>
      </w:r>
    </w:p>
    <w:p w:rsidR="00585E4C" w:rsidRPr="00A51832" w:rsidRDefault="00585E4C" w:rsidP="00C170B4">
      <w:pPr>
        <w:ind w:left="851"/>
        <w:rPr>
          <w:sz w:val="24"/>
          <w:szCs w:val="24"/>
        </w:rPr>
      </w:pPr>
      <w:proofErr w:type="spellStart"/>
      <w:r w:rsidRPr="00A51832">
        <w:rPr>
          <w:sz w:val="24"/>
          <w:szCs w:val="24"/>
        </w:rPr>
        <w:t>Lymecyclins</w:t>
      </w:r>
      <w:proofErr w:type="spellEnd"/>
      <w:r w:rsidRPr="00A51832">
        <w:rPr>
          <w:sz w:val="24"/>
          <w:szCs w:val="24"/>
        </w:rPr>
        <w:t xml:space="preserve"> påvirkning af fertilitet hos mennesker er ikke kendt. </w:t>
      </w:r>
      <w:proofErr w:type="spellStart"/>
      <w:r w:rsidRPr="00A51832">
        <w:rPr>
          <w:sz w:val="24"/>
          <w:szCs w:val="24"/>
        </w:rPr>
        <w:t>Tetracyclin</w:t>
      </w:r>
      <w:proofErr w:type="spellEnd"/>
      <w:r w:rsidRPr="00A51832">
        <w:rPr>
          <w:sz w:val="24"/>
          <w:szCs w:val="24"/>
        </w:rPr>
        <w:t xml:space="preserve"> medførte vægtreduktion af testis, </w:t>
      </w:r>
      <w:proofErr w:type="spellStart"/>
      <w:r w:rsidRPr="00A51832">
        <w:rPr>
          <w:sz w:val="24"/>
          <w:szCs w:val="24"/>
        </w:rPr>
        <w:t>epididymis</w:t>
      </w:r>
      <w:proofErr w:type="spellEnd"/>
      <w:r w:rsidRPr="00A51832">
        <w:rPr>
          <w:sz w:val="24"/>
          <w:szCs w:val="24"/>
        </w:rPr>
        <w:t xml:space="preserve"> og sædblæren hos rotter. Der blev yderligere set en reduktion i sædvæskens mobilitet, procentdel levende </w:t>
      </w:r>
      <w:proofErr w:type="spellStart"/>
      <w:r w:rsidRPr="00A51832">
        <w:rPr>
          <w:sz w:val="24"/>
          <w:szCs w:val="24"/>
        </w:rPr>
        <w:t>sprematozoer</w:t>
      </w:r>
      <w:proofErr w:type="spellEnd"/>
      <w:r w:rsidRPr="00A51832">
        <w:rPr>
          <w:sz w:val="24"/>
          <w:szCs w:val="24"/>
        </w:rPr>
        <w:t xml:space="preserve"> samt forandringer i den </w:t>
      </w:r>
      <w:proofErr w:type="spellStart"/>
      <w:r w:rsidRPr="00A51832">
        <w:rPr>
          <w:sz w:val="24"/>
          <w:szCs w:val="24"/>
        </w:rPr>
        <w:t>testikulære</w:t>
      </w:r>
      <w:proofErr w:type="spellEnd"/>
      <w:r w:rsidRPr="00A51832">
        <w:rPr>
          <w:sz w:val="24"/>
          <w:szCs w:val="24"/>
        </w:rPr>
        <w:t xml:space="preserve"> </w:t>
      </w:r>
      <w:proofErr w:type="spellStart"/>
      <w:r w:rsidRPr="00A51832">
        <w:rPr>
          <w:sz w:val="24"/>
          <w:szCs w:val="24"/>
        </w:rPr>
        <w:t>histopatologi</w:t>
      </w:r>
      <w:proofErr w:type="spellEnd"/>
      <w:r w:rsidRPr="00A51832">
        <w:rPr>
          <w:sz w:val="24"/>
          <w:szCs w:val="24"/>
        </w:rPr>
        <w:t>.</w:t>
      </w:r>
    </w:p>
    <w:p w:rsidR="00585E4C" w:rsidRPr="00823A5C" w:rsidRDefault="00585E4C" w:rsidP="00C170B4">
      <w:pPr>
        <w:ind w:left="851"/>
        <w:rPr>
          <w:sz w:val="24"/>
          <w:szCs w:val="24"/>
        </w:rPr>
      </w:pPr>
    </w:p>
    <w:p w:rsidR="00585E4C" w:rsidRPr="00A51832" w:rsidRDefault="00585E4C" w:rsidP="00C170B4">
      <w:pPr>
        <w:ind w:left="851"/>
        <w:rPr>
          <w:sz w:val="24"/>
          <w:szCs w:val="24"/>
          <w:u w:val="single"/>
        </w:rPr>
      </w:pPr>
      <w:r w:rsidRPr="00A51832">
        <w:rPr>
          <w:sz w:val="24"/>
          <w:szCs w:val="24"/>
          <w:u w:val="single"/>
        </w:rPr>
        <w:t>Graviditet</w:t>
      </w:r>
    </w:p>
    <w:p w:rsidR="00585E4C" w:rsidRPr="00A51832" w:rsidRDefault="00585E4C" w:rsidP="00C170B4">
      <w:pPr>
        <w:ind w:left="851"/>
        <w:rPr>
          <w:sz w:val="24"/>
          <w:szCs w:val="24"/>
        </w:rPr>
      </w:pPr>
      <w:r w:rsidRPr="00A51832">
        <w:rPr>
          <w:sz w:val="24"/>
          <w:szCs w:val="24"/>
        </w:rPr>
        <w:t xml:space="preserve">Der er ikke rapporteret effekt af </w:t>
      </w:r>
      <w:proofErr w:type="spellStart"/>
      <w:r w:rsidRPr="00A51832">
        <w:rPr>
          <w:sz w:val="24"/>
          <w:szCs w:val="24"/>
        </w:rPr>
        <w:t>tetracycliner</w:t>
      </w:r>
      <w:proofErr w:type="spellEnd"/>
      <w:r w:rsidRPr="00A51832">
        <w:rPr>
          <w:sz w:val="24"/>
          <w:szCs w:val="24"/>
        </w:rPr>
        <w:t xml:space="preserve"> på den embryonale udvikling hos dyr. </w:t>
      </w:r>
      <w:proofErr w:type="spellStart"/>
      <w:r w:rsidRPr="00A51832">
        <w:rPr>
          <w:sz w:val="24"/>
          <w:szCs w:val="24"/>
        </w:rPr>
        <w:t>Tetracycliner</w:t>
      </w:r>
      <w:proofErr w:type="spellEnd"/>
      <w:r w:rsidRPr="00A51832">
        <w:rPr>
          <w:sz w:val="24"/>
          <w:szCs w:val="24"/>
        </w:rPr>
        <w:t xml:space="preserve"> krydser nemt </w:t>
      </w:r>
      <w:proofErr w:type="spellStart"/>
      <w:r w:rsidRPr="00A51832">
        <w:rPr>
          <w:sz w:val="24"/>
          <w:szCs w:val="24"/>
        </w:rPr>
        <w:t>plancentabarrieren</w:t>
      </w:r>
      <w:proofErr w:type="spellEnd"/>
      <w:r w:rsidRPr="00A51832">
        <w:rPr>
          <w:sz w:val="24"/>
          <w:szCs w:val="24"/>
        </w:rPr>
        <w:t xml:space="preserve">. </w:t>
      </w:r>
      <w:proofErr w:type="spellStart"/>
      <w:r w:rsidRPr="00A51832">
        <w:rPr>
          <w:sz w:val="24"/>
          <w:szCs w:val="24"/>
        </w:rPr>
        <w:t>Tetracycliner</w:t>
      </w:r>
      <w:proofErr w:type="spellEnd"/>
      <w:r w:rsidRPr="00A51832">
        <w:rPr>
          <w:sz w:val="24"/>
          <w:szCs w:val="24"/>
        </w:rPr>
        <w:t xml:space="preserve"> bliver selektivt absorberet i udvikling af knogler og tænder og kan medføre misfarvning af tænderne og emalje </w:t>
      </w:r>
      <w:proofErr w:type="spellStart"/>
      <w:r w:rsidRPr="00A51832">
        <w:rPr>
          <w:sz w:val="24"/>
          <w:szCs w:val="24"/>
        </w:rPr>
        <w:t>hypoplasi</w:t>
      </w:r>
      <w:proofErr w:type="spellEnd"/>
      <w:r w:rsidRPr="00A51832">
        <w:rPr>
          <w:sz w:val="24"/>
          <w:szCs w:val="24"/>
        </w:rPr>
        <w:t xml:space="preserve">. Derfor bør </w:t>
      </w:r>
      <w:proofErr w:type="spellStart"/>
      <w:r w:rsidRPr="00A51832">
        <w:rPr>
          <w:sz w:val="24"/>
          <w:szCs w:val="24"/>
        </w:rPr>
        <w:t>lymecyclin</w:t>
      </w:r>
      <w:proofErr w:type="spellEnd"/>
      <w:r w:rsidRPr="00A51832">
        <w:rPr>
          <w:sz w:val="24"/>
          <w:szCs w:val="24"/>
        </w:rPr>
        <w:t xml:space="preserve"> ikke administreres til gravide kvinder (se </w:t>
      </w:r>
      <w:r>
        <w:rPr>
          <w:sz w:val="24"/>
          <w:szCs w:val="24"/>
        </w:rPr>
        <w:t>pkt.</w:t>
      </w:r>
      <w:r w:rsidRPr="00A51832">
        <w:rPr>
          <w:sz w:val="24"/>
          <w:szCs w:val="24"/>
        </w:rPr>
        <w:t xml:space="preserve"> 4.3).</w:t>
      </w:r>
    </w:p>
    <w:p w:rsidR="00585E4C" w:rsidRPr="00A51832" w:rsidRDefault="00585E4C" w:rsidP="00C170B4">
      <w:pPr>
        <w:ind w:left="851"/>
        <w:rPr>
          <w:sz w:val="24"/>
          <w:szCs w:val="24"/>
        </w:rPr>
      </w:pPr>
    </w:p>
    <w:p w:rsidR="00585E4C" w:rsidRPr="00A51832" w:rsidRDefault="00585E4C" w:rsidP="00C170B4">
      <w:pPr>
        <w:ind w:left="851"/>
        <w:rPr>
          <w:sz w:val="24"/>
          <w:szCs w:val="24"/>
          <w:u w:val="single"/>
        </w:rPr>
      </w:pPr>
      <w:r w:rsidRPr="00A51832">
        <w:rPr>
          <w:sz w:val="24"/>
          <w:szCs w:val="24"/>
          <w:u w:val="single"/>
        </w:rPr>
        <w:t>Amning</w:t>
      </w:r>
    </w:p>
    <w:p w:rsidR="00585E4C" w:rsidRPr="00A51832" w:rsidRDefault="00585E4C" w:rsidP="00C170B4">
      <w:pPr>
        <w:ind w:left="851"/>
        <w:rPr>
          <w:sz w:val="24"/>
          <w:szCs w:val="24"/>
        </w:rPr>
      </w:pPr>
      <w:proofErr w:type="spellStart"/>
      <w:r w:rsidRPr="00A51832">
        <w:rPr>
          <w:sz w:val="24"/>
          <w:szCs w:val="24"/>
        </w:rPr>
        <w:t>Tetracycliner</w:t>
      </w:r>
      <w:proofErr w:type="spellEnd"/>
      <w:r w:rsidRPr="00A51832">
        <w:rPr>
          <w:sz w:val="24"/>
          <w:szCs w:val="24"/>
        </w:rPr>
        <w:t xml:space="preserve"> kan også blive udskilt i modermælken og nyfødte spædbørn kan risikere bivirkninger som misfarvning af tænderne og emalje </w:t>
      </w:r>
      <w:proofErr w:type="spellStart"/>
      <w:r w:rsidRPr="00A51832">
        <w:rPr>
          <w:sz w:val="24"/>
          <w:szCs w:val="24"/>
        </w:rPr>
        <w:t>hypoplasi</w:t>
      </w:r>
      <w:proofErr w:type="spellEnd"/>
      <w:r w:rsidRPr="00A51832">
        <w:rPr>
          <w:sz w:val="24"/>
          <w:szCs w:val="24"/>
        </w:rPr>
        <w:t xml:space="preserve">. Derfor bør </w:t>
      </w:r>
      <w:proofErr w:type="spellStart"/>
      <w:r w:rsidRPr="00A51832">
        <w:rPr>
          <w:sz w:val="24"/>
          <w:szCs w:val="24"/>
        </w:rPr>
        <w:t>lymecyclin</w:t>
      </w:r>
      <w:proofErr w:type="spellEnd"/>
      <w:r w:rsidRPr="00A51832">
        <w:rPr>
          <w:sz w:val="24"/>
          <w:szCs w:val="24"/>
        </w:rPr>
        <w:t xml:space="preserve"> ikke administreres til ammende kvinder (se </w:t>
      </w:r>
      <w:r>
        <w:rPr>
          <w:sz w:val="24"/>
          <w:szCs w:val="24"/>
        </w:rPr>
        <w:t>pkt.</w:t>
      </w:r>
      <w:r w:rsidRPr="00A51832">
        <w:rPr>
          <w:sz w:val="24"/>
          <w:szCs w:val="24"/>
        </w:rPr>
        <w:t xml:space="preserve"> 4.3).</w:t>
      </w:r>
    </w:p>
    <w:p w:rsidR="00585E4C" w:rsidRPr="00A51832" w:rsidRDefault="00585E4C" w:rsidP="00C170B4">
      <w:pPr>
        <w:ind w:left="851"/>
        <w:rPr>
          <w:sz w:val="24"/>
          <w:szCs w:val="24"/>
        </w:rPr>
      </w:pPr>
    </w:p>
    <w:p w:rsidR="00066561" w:rsidRPr="00F31B64" w:rsidRDefault="00585E4C" w:rsidP="00066561">
      <w:pPr>
        <w:suppressAutoHyphens/>
        <w:ind w:left="851" w:hanging="851"/>
        <w:rPr>
          <w:b/>
          <w:sz w:val="24"/>
          <w:szCs w:val="24"/>
        </w:rPr>
      </w:pPr>
      <w:r w:rsidRPr="00A51832">
        <w:rPr>
          <w:b/>
          <w:sz w:val="24"/>
          <w:szCs w:val="24"/>
        </w:rPr>
        <w:t>4.7</w:t>
      </w:r>
      <w:r w:rsidRPr="00A51832">
        <w:rPr>
          <w:b/>
          <w:sz w:val="24"/>
          <w:szCs w:val="24"/>
        </w:rPr>
        <w:tab/>
      </w:r>
      <w:bookmarkStart w:id="0" w:name="_Hlk143255910"/>
      <w:r w:rsidR="00066561" w:rsidRPr="00F31B64">
        <w:rPr>
          <w:b/>
          <w:sz w:val="24"/>
          <w:szCs w:val="24"/>
        </w:rPr>
        <w:t xml:space="preserve">Virkning på evnen til at føre motorkøretøj </w:t>
      </w:r>
      <w:r w:rsidR="00066561" w:rsidRPr="00F31B64">
        <w:rPr>
          <w:b/>
          <w:noProof/>
          <w:sz w:val="24"/>
          <w:szCs w:val="24"/>
        </w:rPr>
        <w:t>og</w:t>
      </w:r>
      <w:r w:rsidR="00066561" w:rsidRPr="00F31B64">
        <w:rPr>
          <w:b/>
          <w:sz w:val="24"/>
          <w:szCs w:val="24"/>
        </w:rPr>
        <w:t xml:space="preserve"> betjene maskiner</w:t>
      </w:r>
      <w:bookmarkEnd w:id="0"/>
    </w:p>
    <w:p w:rsidR="00066561" w:rsidRDefault="00066561" w:rsidP="00066561">
      <w:pPr>
        <w:ind w:left="851"/>
        <w:rPr>
          <w:sz w:val="24"/>
          <w:szCs w:val="24"/>
        </w:rPr>
      </w:pPr>
    </w:p>
    <w:p w:rsidR="00066561" w:rsidRDefault="00066561" w:rsidP="00066561">
      <w:pPr>
        <w:ind w:left="851"/>
        <w:rPr>
          <w:sz w:val="24"/>
          <w:szCs w:val="24"/>
        </w:rPr>
      </w:pPr>
      <w:r>
        <w:rPr>
          <w:sz w:val="24"/>
          <w:szCs w:val="24"/>
        </w:rPr>
        <w:t>Der er ikke udført undersøgelser af virkningen på evnen til at føre motorkøretøj eller betjene maskiner.</w:t>
      </w:r>
    </w:p>
    <w:p w:rsidR="00585E4C" w:rsidRPr="00A51832" w:rsidRDefault="00585E4C" w:rsidP="00066561">
      <w:pPr>
        <w:rPr>
          <w:sz w:val="24"/>
          <w:szCs w:val="24"/>
        </w:rPr>
      </w:pPr>
    </w:p>
    <w:p w:rsidR="00585E4C" w:rsidRPr="00A51832" w:rsidRDefault="00585E4C" w:rsidP="00A94E42">
      <w:pPr>
        <w:ind w:left="851" w:hanging="851"/>
        <w:rPr>
          <w:b/>
          <w:sz w:val="24"/>
          <w:szCs w:val="24"/>
        </w:rPr>
      </w:pPr>
      <w:r w:rsidRPr="00A51832">
        <w:rPr>
          <w:b/>
          <w:sz w:val="24"/>
          <w:szCs w:val="24"/>
        </w:rPr>
        <w:t>4.8</w:t>
      </w:r>
      <w:r w:rsidRPr="00A51832">
        <w:rPr>
          <w:b/>
          <w:sz w:val="24"/>
          <w:szCs w:val="24"/>
        </w:rPr>
        <w:tab/>
        <w:t>Bivirkninger</w:t>
      </w:r>
    </w:p>
    <w:p w:rsidR="00585E4C" w:rsidRPr="00A51832" w:rsidRDefault="00585E4C" w:rsidP="00C170B4">
      <w:pPr>
        <w:ind w:left="851"/>
        <w:rPr>
          <w:sz w:val="24"/>
          <w:szCs w:val="24"/>
        </w:rPr>
      </w:pPr>
      <w:r w:rsidRPr="00A51832">
        <w:rPr>
          <w:sz w:val="24"/>
          <w:szCs w:val="24"/>
        </w:rPr>
        <w:lastRenderedPageBreak/>
        <w:t xml:space="preserve">De hyppigst rapporterede bivirkninger ved </w:t>
      </w:r>
      <w:proofErr w:type="spellStart"/>
      <w:r w:rsidRPr="00A51832">
        <w:rPr>
          <w:sz w:val="24"/>
          <w:szCs w:val="24"/>
        </w:rPr>
        <w:t>lymecyclin</w:t>
      </w:r>
      <w:proofErr w:type="spellEnd"/>
      <w:r w:rsidRPr="00A51832">
        <w:rPr>
          <w:sz w:val="24"/>
          <w:szCs w:val="24"/>
        </w:rPr>
        <w:t xml:space="preserve"> er </w:t>
      </w:r>
      <w:proofErr w:type="spellStart"/>
      <w:r w:rsidRPr="00A51832">
        <w:rPr>
          <w:sz w:val="24"/>
          <w:szCs w:val="24"/>
        </w:rPr>
        <w:t>gastrointestinale</w:t>
      </w:r>
      <w:proofErr w:type="spellEnd"/>
      <w:r w:rsidRPr="00A51832">
        <w:rPr>
          <w:sz w:val="24"/>
          <w:szCs w:val="24"/>
        </w:rPr>
        <w:t xml:space="preserve"> forstyrrelser som kvalme, </w:t>
      </w:r>
      <w:proofErr w:type="spellStart"/>
      <w:r w:rsidRPr="00A51832">
        <w:rPr>
          <w:sz w:val="24"/>
          <w:szCs w:val="24"/>
        </w:rPr>
        <w:t>abdominale</w:t>
      </w:r>
      <w:proofErr w:type="spellEnd"/>
      <w:r w:rsidRPr="00A51832">
        <w:rPr>
          <w:sz w:val="24"/>
          <w:szCs w:val="24"/>
        </w:rPr>
        <w:t xml:space="preserve"> smerter, diarre og forstyrrelser i nervesystemet som hovedpine. De alvorligste bivirkninger rapporteret ved </w:t>
      </w:r>
      <w:proofErr w:type="spellStart"/>
      <w:r w:rsidRPr="00A51832">
        <w:rPr>
          <w:sz w:val="24"/>
          <w:szCs w:val="24"/>
        </w:rPr>
        <w:t>lymecyclin</w:t>
      </w:r>
      <w:proofErr w:type="spellEnd"/>
      <w:r w:rsidRPr="00A51832">
        <w:rPr>
          <w:sz w:val="24"/>
          <w:szCs w:val="24"/>
        </w:rPr>
        <w:t xml:space="preserve"> er Stevens</w:t>
      </w:r>
      <w:r>
        <w:rPr>
          <w:sz w:val="24"/>
          <w:szCs w:val="24"/>
        </w:rPr>
        <w:t>-</w:t>
      </w:r>
      <w:proofErr w:type="spellStart"/>
      <w:r w:rsidRPr="00A51832">
        <w:rPr>
          <w:sz w:val="24"/>
          <w:szCs w:val="24"/>
        </w:rPr>
        <w:t>Johnson</w:t>
      </w:r>
      <w:r>
        <w:rPr>
          <w:sz w:val="24"/>
          <w:szCs w:val="24"/>
        </w:rPr>
        <w:t>'</w:t>
      </w:r>
      <w:r w:rsidRPr="00A51832">
        <w:rPr>
          <w:sz w:val="24"/>
          <w:szCs w:val="24"/>
        </w:rPr>
        <w:t>s</w:t>
      </w:r>
      <w:proofErr w:type="spellEnd"/>
      <w:r w:rsidRPr="00A51832">
        <w:rPr>
          <w:sz w:val="24"/>
          <w:szCs w:val="24"/>
        </w:rPr>
        <w:t xml:space="preserve"> Syndrom, </w:t>
      </w:r>
      <w:proofErr w:type="spellStart"/>
      <w:r w:rsidRPr="00A51832">
        <w:rPr>
          <w:sz w:val="24"/>
          <w:szCs w:val="24"/>
        </w:rPr>
        <w:t>anafylaktisk</w:t>
      </w:r>
      <w:proofErr w:type="spellEnd"/>
      <w:r w:rsidRPr="00A51832">
        <w:rPr>
          <w:sz w:val="24"/>
          <w:szCs w:val="24"/>
        </w:rPr>
        <w:t xml:space="preserve"> reaktion, </w:t>
      </w:r>
      <w:proofErr w:type="spellStart"/>
      <w:r w:rsidRPr="00A51832">
        <w:rPr>
          <w:sz w:val="24"/>
          <w:szCs w:val="24"/>
        </w:rPr>
        <w:t>Quinckes</w:t>
      </w:r>
      <w:proofErr w:type="spellEnd"/>
      <w:r w:rsidRPr="00A51832">
        <w:rPr>
          <w:sz w:val="24"/>
          <w:szCs w:val="24"/>
        </w:rPr>
        <w:t xml:space="preserve"> ødem samt </w:t>
      </w:r>
      <w:proofErr w:type="spellStart"/>
      <w:r w:rsidRPr="00A51832">
        <w:rPr>
          <w:sz w:val="24"/>
          <w:szCs w:val="24"/>
        </w:rPr>
        <w:t>intrakraniel</w:t>
      </w:r>
      <w:proofErr w:type="spellEnd"/>
      <w:r w:rsidRPr="00A51832">
        <w:rPr>
          <w:sz w:val="24"/>
          <w:szCs w:val="24"/>
        </w:rPr>
        <w:t xml:space="preserve"> hypertension.</w:t>
      </w:r>
    </w:p>
    <w:p w:rsidR="00585E4C" w:rsidRPr="00A51832" w:rsidRDefault="00585E4C" w:rsidP="00C170B4">
      <w:pPr>
        <w:ind w:left="851"/>
        <w:rPr>
          <w:sz w:val="24"/>
          <w:szCs w:val="24"/>
        </w:rPr>
      </w:pPr>
    </w:p>
    <w:p w:rsidR="00066561" w:rsidRDefault="00066561" w:rsidP="00066561">
      <w:pPr>
        <w:ind w:left="851"/>
        <w:rPr>
          <w:sz w:val="24"/>
          <w:szCs w:val="24"/>
        </w:rPr>
      </w:pPr>
      <w:r>
        <w:rPr>
          <w:sz w:val="24"/>
          <w:szCs w:val="24"/>
        </w:rPr>
        <w:t>Liste over bivirkninger i tabelform</w:t>
      </w:r>
    </w:p>
    <w:p w:rsidR="00066561" w:rsidRDefault="00066561" w:rsidP="00066561">
      <w:pPr>
        <w:ind w:left="851"/>
        <w:rPr>
          <w:sz w:val="24"/>
          <w:szCs w:val="24"/>
        </w:rPr>
      </w:pPr>
    </w:p>
    <w:p w:rsidR="00066561" w:rsidRDefault="00066561" w:rsidP="00066561">
      <w:pPr>
        <w:ind w:left="851"/>
        <w:rPr>
          <w:sz w:val="24"/>
          <w:szCs w:val="24"/>
        </w:rPr>
      </w:pPr>
      <w:r>
        <w:rPr>
          <w:sz w:val="24"/>
          <w:szCs w:val="24"/>
        </w:rPr>
        <w:t xml:space="preserve">Listen over bivirkninger vist nedenfor er præsenteret efter systemorganklasse, </w:t>
      </w:r>
      <w:proofErr w:type="spellStart"/>
      <w:r>
        <w:rPr>
          <w:sz w:val="24"/>
          <w:szCs w:val="24"/>
        </w:rPr>
        <w:t>MedDRA</w:t>
      </w:r>
      <w:proofErr w:type="spellEnd"/>
      <w:r>
        <w:rPr>
          <w:sz w:val="24"/>
          <w:szCs w:val="24"/>
        </w:rPr>
        <w:t xml:space="preserve"> foretrukne term og hyppighed. Almindelig (≥1/100 til &lt;1/10); Ikke kendt (kan ikke estimeres ud fra de tilgængelige data).</w:t>
      </w:r>
    </w:p>
    <w:p w:rsidR="00066561" w:rsidRDefault="00066561" w:rsidP="00066561">
      <w:pPr>
        <w:ind w:left="851" w:hanging="851"/>
        <w:rPr>
          <w:sz w:val="24"/>
          <w:szCs w:val="24"/>
        </w:rPr>
      </w:pPr>
    </w:p>
    <w:tbl>
      <w:tblPr>
        <w:tblW w:w="4534"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111"/>
        <w:gridCol w:w="3718"/>
      </w:tblGrid>
      <w:tr w:rsidR="00066561" w:rsidTr="00066561">
        <w:trPr>
          <w:trHeight w:val="309"/>
        </w:trPr>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Systemorganklasse</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Hyppighed</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b/>
                <w:sz w:val="24"/>
                <w:szCs w:val="24"/>
              </w:rPr>
              <w:t>Bivirkning</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Blod og lymfesystem</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proofErr w:type="spellStart"/>
            <w:r>
              <w:rPr>
                <w:sz w:val="24"/>
                <w:szCs w:val="24"/>
              </w:rPr>
              <w:t>Neutropeni</w:t>
            </w:r>
            <w:proofErr w:type="spellEnd"/>
            <w:r>
              <w:rPr>
                <w:sz w:val="24"/>
                <w:szCs w:val="24"/>
              </w:rPr>
              <w:t xml:space="preserve">, </w:t>
            </w:r>
            <w:proofErr w:type="spellStart"/>
            <w:r>
              <w:rPr>
                <w:sz w:val="24"/>
                <w:szCs w:val="24"/>
              </w:rPr>
              <w:t>trombocytopeni</w:t>
            </w:r>
            <w:proofErr w:type="spellEnd"/>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 xml:space="preserve">Øjne </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*Synsforstyrrelser</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Mave-tarm-kanalen</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Almindelig</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 xml:space="preserve">Kvalme, </w:t>
            </w:r>
            <w:proofErr w:type="spellStart"/>
            <w:r>
              <w:rPr>
                <w:sz w:val="24"/>
                <w:szCs w:val="24"/>
              </w:rPr>
              <w:t>abdominale</w:t>
            </w:r>
            <w:proofErr w:type="spellEnd"/>
            <w:r>
              <w:rPr>
                <w:sz w:val="24"/>
                <w:szCs w:val="24"/>
              </w:rPr>
              <w:t xml:space="preserve"> smerter, diarre</w:t>
            </w:r>
          </w:p>
        </w:tc>
      </w:tr>
      <w:tr w:rsidR="00066561" w:rsidTr="00066561">
        <w:tc>
          <w:tcPr>
            <w:tcW w:w="1662" w:type="pct"/>
            <w:tcBorders>
              <w:top w:val="single" w:sz="4" w:space="0" w:color="auto"/>
              <w:left w:val="single" w:sz="4" w:space="0" w:color="auto"/>
              <w:bottom w:val="single" w:sz="4" w:space="0" w:color="auto"/>
              <w:right w:val="single" w:sz="4" w:space="0" w:color="auto"/>
            </w:tcBorders>
          </w:tcPr>
          <w:p w:rsidR="00066561" w:rsidRDefault="00066561">
            <w:pPr>
              <w:rPr>
                <w:b/>
                <w:sz w:val="24"/>
                <w:szCs w:val="24"/>
              </w:rPr>
            </w:pP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proofErr w:type="spellStart"/>
            <w:r>
              <w:rPr>
                <w:sz w:val="24"/>
                <w:szCs w:val="24"/>
              </w:rPr>
              <w:t>Glossitis</w:t>
            </w:r>
            <w:proofErr w:type="spellEnd"/>
            <w:r>
              <w:rPr>
                <w:sz w:val="24"/>
                <w:szCs w:val="24"/>
              </w:rPr>
              <w:t xml:space="preserve">, </w:t>
            </w:r>
            <w:proofErr w:type="spellStart"/>
            <w:r>
              <w:rPr>
                <w:sz w:val="24"/>
                <w:szCs w:val="24"/>
              </w:rPr>
              <w:t>enterocolitis</w:t>
            </w:r>
            <w:proofErr w:type="spellEnd"/>
            <w:r>
              <w:rPr>
                <w:sz w:val="24"/>
                <w:szCs w:val="24"/>
              </w:rPr>
              <w:t xml:space="preserve">, opkastning, </w:t>
            </w:r>
            <w:proofErr w:type="spellStart"/>
            <w:r>
              <w:rPr>
                <w:sz w:val="24"/>
                <w:szCs w:val="24"/>
              </w:rPr>
              <w:t>Epigastralgi</w:t>
            </w:r>
            <w:proofErr w:type="spellEnd"/>
            <w:r>
              <w:rPr>
                <w:sz w:val="24"/>
                <w:szCs w:val="24"/>
              </w:rPr>
              <w:t xml:space="preserve">, </w:t>
            </w:r>
            <w:proofErr w:type="spellStart"/>
            <w:r>
              <w:rPr>
                <w:sz w:val="24"/>
                <w:szCs w:val="24"/>
              </w:rPr>
              <w:t>esophageal</w:t>
            </w:r>
            <w:proofErr w:type="spellEnd"/>
            <w:r>
              <w:rPr>
                <w:sz w:val="24"/>
                <w:szCs w:val="24"/>
              </w:rPr>
              <w:t xml:space="preserve"> ulcus og </w:t>
            </w:r>
            <w:proofErr w:type="spellStart"/>
            <w:r>
              <w:rPr>
                <w:sz w:val="24"/>
                <w:szCs w:val="24"/>
              </w:rPr>
              <w:t>oesophagitis</w:t>
            </w:r>
            <w:proofErr w:type="spellEnd"/>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Almene symptomer og reaktioner på administrationsstedet</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proofErr w:type="spellStart"/>
            <w:r>
              <w:rPr>
                <w:sz w:val="24"/>
                <w:szCs w:val="24"/>
              </w:rPr>
              <w:t>Pyrexi</w:t>
            </w:r>
            <w:proofErr w:type="spellEnd"/>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Lever og galdeveje</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Gulsot, Hepatitis</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Immunsystemet</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 xml:space="preserve">Overfølsomhed, Nældefeber, </w:t>
            </w:r>
            <w:proofErr w:type="spellStart"/>
            <w:r>
              <w:rPr>
                <w:sz w:val="24"/>
                <w:szCs w:val="24"/>
              </w:rPr>
              <w:t>Angioneurotisk</w:t>
            </w:r>
            <w:proofErr w:type="spellEnd"/>
            <w:r>
              <w:rPr>
                <w:sz w:val="24"/>
                <w:szCs w:val="24"/>
              </w:rPr>
              <w:t xml:space="preserve"> ødem, </w:t>
            </w:r>
            <w:proofErr w:type="spellStart"/>
            <w:r>
              <w:rPr>
                <w:sz w:val="24"/>
                <w:szCs w:val="24"/>
              </w:rPr>
              <w:t>Anafylaktisk</w:t>
            </w:r>
            <w:proofErr w:type="spellEnd"/>
            <w:r>
              <w:rPr>
                <w:sz w:val="24"/>
                <w:szCs w:val="24"/>
              </w:rPr>
              <w:t xml:space="preserve"> reaktion.</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Undersøgelser</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 xml:space="preserve">Forhøjede </w:t>
            </w:r>
            <w:proofErr w:type="spellStart"/>
            <w:r>
              <w:rPr>
                <w:sz w:val="24"/>
                <w:szCs w:val="24"/>
              </w:rPr>
              <w:t>transaminaser</w:t>
            </w:r>
            <w:proofErr w:type="spellEnd"/>
            <w:r>
              <w:rPr>
                <w:sz w:val="24"/>
                <w:szCs w:val="24"/>
              </w:rPr>
              <w:t>, forhøjet alkalisk fosfatase i blodet, forhøjet bilirubin i blodet.</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Nervesystemet</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Almindelig</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Hovedpine</w:t>
            </w:r>
          </w:p>
        </w:tc>
      </w:tr>
      <w:tr w:rsidR="00066561" w:rsidTr="00066561">
        <w:tc>
          <w:tcPr>
            <w:tcW w:w="1662" w:type="pct"/>
            <w:tcBorders>
              <w:top w:val="single" w:sz="4" w:space="0" w:color="auto"/>
              <w:left w:val="single" w:sz="4" w:space="0" w:color="auto"/>
              <w:bottom w:val="single" w:sz="4" w:space="0" w:color="auto"/>
              <w:right w:val="single" w:sz="4" w:space="0" w:color="auto"/>
            </w:tcBorders>
          </w:tcPr>
          <w:p w:rsidR="00066561" w:rsidRDefault="00066561">
            <w:pPr>
              <w:rPr>
                <w:b/>
                <w:sz w:val="24"/>
                <w:szCs w:val="24"/>
              </w:rPr>
            </w:pP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Svimmelhed, *</w:t>
            </w:r>
            <w:proofErr w:type="spellStart"/>
            <w:r>
              <w:rPr>
                <w:sz w:val="24"/>
                <w:szCs w:val="24"/>
              </w:rPr>
              <w:t>intrakraniel</w:t>
            </w:r>
            <w:proofErr w:type="spellEnd"/>
            <w:r>
              <w:rPr>
                <w:sz w:val="24"/>
                <w:szCs w:val="24"/>
              </w:rPr>
              <w:t xml:space="preserve"> hypertension</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Hud og subkutane væv</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proofErr w:type="spellStart"/>
            <w:r>
              <w:rPr>
                <w:sz w:val="24"/>
                <w:szCs w:val="24"/>
              </w:rPr>
              <w:t>Erytematøst</w:t>
            </w:r>
            <w:proofErr w:type="spellEnd"/>
            <w:r>
              <w:rPr>
                <w:sz w:val="24"/>
                <w:szCs w:val="24"/>
              </w:rPr>
              <w:t xml:space="preserve"> udslæt, lysfølsomhedsreaktioner, kløe, Stevens Johnson syndrom</w:t>
            </w:r>
          </w:p>
        </w:tc>
      </w:tr>
      <w:tr w:rsidR="00066561" w:rsidTr="00066561">
        <w:tc>
          <w:tcPr>
            <w:tcW w:w="1662" w:type="pct"/>
            <w:tcBorders>
              <w:top w:val="single" w:sz="4" w:space="0" w:color="auto"/>
              <w:left w:val="single" w:sz="4" w:space="0" w:color="auto"/>
              <w:bottom w:val="single" w:sz="4" w:space="0" w:color="auto"/>
              <w:right w:val="single" w:sz="4" w:space="0" w:color="auto"/>
            </w:tcBorders>
            <w:hideMark/>
          </w:tcPr>
          <w:p w:rsidR="00066561" w:rsidRDefault="00066561">
            <w:pPr>
              <w:rPr>
                <w:b/>
                <w:sz w:val="24"/>
                <w:szCs w:val="24"/>
              </w:rPr>
            </w:pPr>
            <w:r>
              <w:rPr>
                <w:b/>
                <w:sz w:val="24"/>
                <w:szCs w:val="24"/>
              </w:rPr>
              <w:t>Psykiatriske lidelser</w:t>
            </w:r>
          </w:p>
        </w:tc>
        <w:tc>
          <w:tcPr>
            <w:tcW w:w="120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Ikke kendt</w:t>
            </w:r>
          </w:p>
        </w:tc>
        <w:tc>
          <w:tcPr>
            <w:tcW w:w="2129" w:type="pct"/>
            <w:tcBorders>
              <w:top w:val="single" w:sz="4" w:space="0" w:color="auto"/>
              <w:left w:val="single" w:sz="4" w:space="0" w:color="auto"/>
              <w:bottom w:val="single" w:sz="4" w:space="0" w:color="auto"/>
              <w:right w:val="single" w:sz="4" w:space="0" w:color="auto"/>
            </w:tcBorders>
            <w:hideMark/>
          </w:tcPr>
          <w:p w:rsidR="00066561" w:rsidRDefault="00066561">
            <w:pPr>
              <w:rPr>
                <w:sz w:val="24"/>
                <w:szCs w:val="24"/>
              </w:rPr>
            </w:pPr>
            <w:r>
              <w:rPr>
                <w:sz w:val="24"/>
                <w:szCs w:val="24"/>
              </w:rPr>
              <w:t>Depression</w:t>
            </w:r>
          </w:p>
          <w:p w:rsidR="00066561" w:rsidRDefault="00066561">
            <w:pPr>
              <w:rPr>
                <w:sz w:val="24"/>
                <w:szCs w:val="24"/>
              </w:rPr>
            </w:pPr>
            <w:r>
              <w:rPr>
                <w:sz w:val="24"/>
                <w:szCs w:val="24"/>
              </w:rPr>
              <w:t>Mareridt</w:t>
            </w:r>
          </w:p>
        </w:tc>
      </w:tr>
    </w:tbl>
    <w:p w:rsidR="00066561" w:rsidRDefault="00066561" w:rsidP="00066561">
      <w:pPr>
        <w:ind w:left="851"/>
        <w:rPr>
          <w:szCs w:val="24"/>
        </w:rPr>
      </w:pPr>
    </w:p>
    <w:p w:rsidR="00066561" w:rsidRDefault="00066561" w:rsidP="00066561">
      <w:pPr>
        <w:ind w:left="851"/>
        <w:rPr>
          <w:sz w:val="24"/>
          <w:szCs w:val="24"/>
        </w:rPr>
      </w:pPr>
      <w:r>
        <w:rPr>
          <w:sz w:val="24"/>
          <w:szCs w:val="24"/>
        </w:rPr>
        <w:t xml:space="preserve">*Forekomsten af kliniske symptomer inklusive synsforstyrrelser eller hovedpine bør øge muligheden for diagnosen </w:t>
      </w:r>
      <w:proofErr w:type="spellStart"/>
      <w:r>
        <w:rPr>
          <w:sz w:val="24"/>
          <w:szCs w:val="24"/>
        </w:rPr>
        <w:t>kraniel</w:t>
      </w:r>
      <w:proofErr w:type="spellEnd"/>
      <w:r>
        <w:rPr>
          <w:sz w:val="24"/>
          <w:szCs w:val="24"/>
        </w:rPr>
        <w:t xml:space="preserve"> hypertension. Behandlingen bør afbrydes, hvis der er mistanke om forhøjet </w:t>
      </w:r>
      <w:proofErr w:type="spellStart"/>
      <w:r>
        <w:rPr>
          <w:sz w:val="24"/>
          <w:szCs w:val="24"/>
        </w:rPr>
        <w:t>intrakranielt</w:t>
      </w:r>
      <w:proofErr w:type="spellEnd"/>
      <w:r>
        <w:rPr>
          <w:sz w:val="24"/>
          <w:szCs w:val="24"/>
        </w:rPr>
        <w:t xml:space="preserve"> tryk under </w:t>
      </w:r>
      <w:proofErr w:type="spellStart"/>
      <w:r>
        <w:rPr>
          <w:sz w:val="24"/>
          <w:szCs w:val="24"/>
        </w:rPr>
        <w:t>lymecyclinbehandling</w:t>
      </w:r>
      <w:proofErr w:type="spellEnd"/>
      <w:r>
        <w:rPr>
          <w:sz w:val="24"/>
          <w:szCs w:val="24"/>
        </w:rPr>
        <w:t>.</w:t>
      </w:r>
    </w:p>
    <w:p w:rsidR="00066561" w:rsidRDefault="00066561" w:rsidP="00066561">
      <w:pPr>
        <w:ind w:left="851"/>
        <w:rPr>
          <w:sz w:val="24"/>
          <w:szCs w:val="24"/>
        </w:rPr>
      </w:pPr>
    </w:p>
    <w:p w:rsidR="00066561" w:rsidRDefault="00066561" w:rsidP="00066561">
      <w:pPr>
        <w:ind w:left="851"/>
        <w:rPr>
          <w:b/>
          <w:sz w:val="24"/>
          <w:szCs w:val="24"/>
        </w:rPr>
      </w:pPr>
      <w:r>
        <w:rPr>
          <w:b/>
          <w:sz w:val="24"/>
          <w:szCs w:val="24"/>
        </w:rPr>
        <w:t>Beskrivelse af udvalgte bivirkninger ved tetracyklinbehandling generelt:</w:t>
      </w:r>
    </w:p>
    <w:p w:rsidR="00066561" w:rsidRDefault="00066561" w:rsidP="00066561">
      <w:pPr>
        <w:ind w:left="851"/>
        <w:rPr>
          <w:b/>
          <w:sz w:val="24"/>
          <w:szCs w:val="24"/>
        </w:rPr>
      </w:pPr>
    </w:p>
    <w:p w:rsidR="00066561" w:rsidRPr="00066561" w:rsidRDefault="00066561" w:rsidP="00066561">
      <w:pPr>
        <w:pStyle w:val="Listeafsnit"/>
        <w:numPr>
          <w:ilvl w:val="0"/>
          <w:numId w:val="6"/>
        </w:numPr>
        <w:rPr>
          <w:sz w:val="24"/>
          <w:szCs w:val="24"/>
          <w:lang w:val="da-DK"/>
        </w:rPr>
      </w:pPr>
      <w:r>
        <w:rPr>
          <w:rFonts w:ascii="Times New Roman" w:eastAsia="Times New Roman" w:hAnsi="Times New Roman"/>
          <w:sz w:val="24"/>
          <w:szCs w:val="24"/>
          <w:lang w:val="da-DK"/>
        </w:rPr>
        <w:t xml:space="preserve">Benign </w:t>
      </w:r>
      <w:proofErr w:type="spellStart"/>
      <w:r>
        <w:rPr>
          <w:rFonts w:ascii="Times New Roman" w:eastAsia="Times New Roman" w:hAnsi="Times New Roman"/>
          <w:sz w:val="24"/>
          <w:szCs w:val="24"/>
          <w:lang w:val="da-DK"/>
        </w:rPr>
        <w:t>intrakraniel</w:t>
      </w:r>
      <w:proofErr w:type="spellEnd"/>
      <w:r>
        <w:rPr>
          <w:rFonts w:ascii="Times New Roman" w:eastAsia="Times New Roman" w:hAnsi="Times New Roman"/>
          <w:sz w:val="24"/>
          <w:szCs w:val="24"/>
          <w:lang w:val="da-DK"/>
        </w:rPr>
        <w:t xml:space="preserve"> hypertension og svulmende fontaneller hos spædbørn blev rapporteret med </w:t>
      </w:r>
      <w:proofErr w:type="spellStart"/>
      <w:r>
        <w:rPr>
          <w:rFonts w:ascii="Times New Roman" w:eastAsia="Times New Roman" w:hAnsi="Times New Roman"/>
          <w:sz w:val="24"/>
          <w:szCs w:val="24"/>
          <w:lang w:val="da-DK"/>
        </w:rPr>
        <w:t>tetracykliner</w:t>
      </w:r>
      <w:proofErr w:type="spellEnd"/>
      <w:r>
        <w:rPr>
          <w:rFonts w:ascii="Times New Roman" w:eastAsia="Times New Roman" w:hAnsi="Times New Roman"/>
          <w:sz w:val="24"/>
          <w:szCs w:val="24"/>
          <w:lang w:val="da-DK"/>
        </w:rPr>
        <w:t xml:space="preserve"> med mulige symptomer på hovedpine, synsforstyrrelser, herunder sløret syn, </w:t>
      </w:r>
      <w:proofErr w:type="spellStart"/>
      <w:r>
        <w:rPr>
          <w:rFonts w:ascii="Times New Roman" w:eastAsia="Times New Roman" w:hAnsi="Times New Roman"/>
          <w:sz w:val="24"/>
          <w:szCs w:val="24"/>
          <w:lang w:val="da-DK"/>
        </w:rPr>
        <w:t>scotomater</w:t>
      </w:r>
      <w:proofErr w:type="spellEnd"/>
      <w:r>
        <w:rPr>
          <w:rFonts w:ascii="Times New Roman" w:eastAsia="Times New Roman" w:hAnsi="Times New Roman"/>
          <w:sz w:val="24"/>
          <w:szCs w:val="24"/>
          <w:lang w:val="da-DK"/>
        </w:rPr>
        <w:t xml:space="preserve">, </w:t>
      </w:r>
      <w:proofErr w:type="spellStart"/>
      <w:r>
        <w:rPr>
          <w:rFonts w:ascii="Times New Roman" w:eastAsia="Times New Roman" w:hAnsi="Times New Roman"/>
          <w:sz w:val="24"/>
          <w:szCs w:val="24"/>
          <w:lang w:val="da-DK"/>
        </w:rPr>
        <w:t>diplopi</w:t>
      </w:r>
      <w:proofErr w:type="spellEnd"/>
      <w:r>
        <w:rPr>
          <w:rFonts w:ascii="Times New Roman" w:eastAsia="Times New Roman" w:hAnsi="Times New Roman"/>
          <w:sz w:val="24"/>
          <w:szCs w:val="24"/>
          <w:lang w:val="da-DK"/>
        </w:rPr>
        <w:t xml:space="preserve"> eller permanent synstab.</w:t>
      </w:r>
    </w:p>
    <w:p w:rsidR="00066561" w:rsidRPr="00066561" w:rsidRDefault="00066561" w:rsidP="00066561">
      <w:pPr>
        <w:pStyle w:val="Listeafsnit"/>
        <w:numPr>
          <w:ilvl w:val="0"/>
          <w:numId w:val="6"/>
        </w:numPr>
        <w:rPr>
          <w:sz w:val="24"/>
          <w:szCs w:val="24"/>
          <w:lang w:val="da-DK"/>
        </w:rPr>
      </w:pPr>
      <w:r>
        <w:rPr>
          <w:sz w:val="24"/>
          <w:szCs w:val="24"/>
          <w:lang w:val="da-DK"/>
        </w:rPr>
        <w:t xml:space="preserve"> </w:t>
      </w:r>
      <w:r>
        <w:rPr>
          <w:rFonts w:ascii="Times New Roman" w:eastAsia="Times New Roman" w:hAnsi="Times New Roman"/>
          <w:sz w:val="24"/>
          <w:szCs w:val="24"/>
          <w:lang w:val="da-DK"/>
        </w:rPr>
        <w:t xml:space="preserve">Følgende bivirkninger blev rapporteret med </w:t>
      </w:r>
      <w:proofErr w:type="spellStart"/>
      <w:r>
        <w:rPr>
          <w:rFonts w:ascii="Times New Roman" w:eastAsia="Times New Roman" w:hAnsi="Times New Roman"/>
          <w:sz w:val="24"/>
          <w:szCs w:val="24"/>
          <w:lang w:val="da-DK"/>
        </w:rPr>
        <w:t>tetracykliner</w:t>
      </w:r>
      <w:proofErr w:type="spellEnd"/>
      <w:r>
        <w:rPr>
          <w:rFonts w:ascii="Times New Roman" w:eastAsia="Times New Roman" w:hAnsi="Times New Roman"/>
          <w:sz w:val="24"/>
          <w:szCs w:val="24"/>
          <w:lang w:val="da-DK"/>
        </w:rPr>
        <w:t xml:space="preserve"> generelt og kan forekomme med </w:t>
      </w:r>
      <w:proofErr w:type="spellStart"/>
      <w:r>
        <w:rPr>
          <w:rFonts w:ascii="Times New Roman" w:hAnsi="Times New Roman"/>
          <w:sz w:val="24"/>
          <w:szCs w:val="24"/>
          <w:lang w:val="da-DK"/>
        </w:rPr>
        <w:t>Lymecyclin</w:t>
      </w:r>
      <w:proofErr w:type="spellEnd"/>
      <w:r>
        <w:rPr>
          <w:rFonts w:ascii="Times New Roman" w:eastAsia="Times New Roman" w:hAnsi="Times New Roman"/>
          <w:sz w:val="24"/>
          <w:szCs w:val="24"/>
          <w:lang w:val="da-DK"/>
        </w:rPr>
        <w:t xml:space="preserve">: </w:t>
      </w:r>
      <w:proofErr w:type="spellStart"/>
      <w:r>
        <w:rPr>
          <w:rFonts w:ascii="Times New Roman" w:eastAsia="Times New Roman" w:hAnsi="Times New Roman"/>
          <w:sz w:val="24"/>
          <w:szCs w:val="24"/>
          <w:lang w:val="da-DK"/>
        </w:rPr>
        <w:t>dysfagi</w:t>
      </w:r>
      <w:proofErr w:type="spellEnd"/>
      <w:r>
        <w:rPr>
          <w:rFonts w:ascii="Times New Roman" w:eastAsia="Times New Roman" w:hAnsi="Times New Roman"/>
          <w:sz w:val="24"/>
          <w:szCs w:val="24"/>
          <w:lang w:val="da-DK"/>
        </w:rPr>
        <w:t xml:space="preserve">, </w:t>
      </w:r>
      <w:proofErr w:type="spellStart"/>
      <w:r>
        <w:rPr>
          <w:rFonts w:ascii="Times New Roman" w:eastAsia="Times New Roman" w:hAnsi="Times New Roman"/>
          <w:sz w:val="24"/>
          <w:szCs w:val="24"/>
          <w:lang w:val="da-DK"/>
        </w:rPr>
        <w:t>oesophagitis</w:t>
      </w:r>
      <w:proofErr w:type="spellEnd"/>
      <w:r>
        <w:rPr>
          <w:rFonts w:ascii="Times New Roman" w:eastAsia="Times New Roman" w:hAnsi="Times New Roman"/>
          <w:sz w:val="24"/>
          <w:szCs w:val="24"/>
          <w:lang w:val="da-DK"/>
        </w:rPr>
        <w:t xml:space="preserve">, </w:t>
      </w:r>
      <w:proofErr w:type="spellStart"/>
      <w:r>
        <w:rPr>
          <w:rFonts w:ascii="Times New Roman" w:eastAsia="Times New Roman" w:hAnsi="Times New Roman"/>
          <w:sz w:val="24"/>
          <w:szCs w:val="24"/>
          <w:lang w:val="da-DK"/>
        </w:rPr>
        <w:t>esophageal</w:t>
      </w:r>
      <w:proofErr w:type="spellEnd"/>
      <w:r>
        <w:rPr>
          <w:rFonts w:ascii="Times New Roman" w:eastAsia="Times New Roman" w:hAnsi="Times New Roman"/>
          <w:sz w:val="24"/>
          <w:szCs w:val="24"/>
          <w:lang w:val="da-DK"/>
        </w:rPr>
        <w:t xml:space="preserve"> </w:t>
      </w:r>
      <w:proofErr w:type="spellStart"/>
      <w:r>
        <w:rPr>
          <w:rFonts w:ascii="Times New Roman" w:eastAsia="Times New Roman" w:hAnsi="Times New Roman"/>
          <w:sz w:val="24"/>
          <w:szCs w:val="24"/>
          <w:lang w:val="da-DK"/>
        </w:rPr>
        <w:t>ulceration</w:t>
      </w:r>
      <w:proofErr w:type="spellEnd"/>
      <w:r>
        <w:rPr>
          <w:rFonts w:ascii="Times New Roman" w:eastAsia="Times New Roman" w:hAnsi="Times New Roman"/>
          <w:sz w:val="24"/>
          <w:szCs w:val="24"/>
          <w:lang w:val="da-DK"/>
        </w:rPr>
        <w:t xml:space="preserve">, </w:t>
      </w:r>
      <w:proofErr w:type="spellStart"/>
      <w:r>
        <w:rPr>
          <w:rFonts w:ascii="Times New Roman" w:eastAsia="Times New Roman" w:hAnsi="Times New Roman"/>
          <w:sz w:val="24"/>
          <w:szCs w:val="24"/>
          <w:lang w:val="da-DK"/>
        </w:rPr>
        <w:t>pancreatitis</w:t>
      </w:r>
      <w:proofErr w:type="spellEnd"/>
      <w:r>
        <w:rPr>
          <w:rFonts w:ascii="Times New Roman" w:eastAsia="Times New Roman" w:hAnsi="Times New Roman"/>
          <w:sz w:val="24"/>
          <w:szCs w:val="24"/>
          <w:lang w:val="da-DK"/>
        </w:rPr>
        <w:t xml:space="preserve">, tænders misfarvning, hepatitis, leversvigt. </w:t>
      </w:r>
      <w:proofErr w:type="spellStart"/>
      <w:r>
        <w:rPr>
          <w:rFonts w:ascii="Times New Roman" w:eastAsia="Times New Roman" w:hAnsi="Times New Roman"/>
          <w:sz w:val="24"/>
          <w:szCs w:val="24"/>
          <w:lang w:val="da-DK"/>
        </w:rPr>
        <w:t>Tanddyskromi</w:t>
      </w:r>
      <w:proofErr w:type="spellEnd"/>
      <w:r>
        <w:rPr>
          <w:rFonts w:ascii="Times New Roman" w:eastAsia="Times New Roman" w:hAnsi="Times New Roman"/>
          <w:sz w:val="24"/>
          <w:szCs w:val="24"/>
          <w:lang w:val="da-DK"/>
        </w:rPr>
        <w:t xml:space="preserve"> og/eller emalje </w:t>
      </w:r>
      <w:proofErr w:type="spellStart"/>
      <w:r>
        <w:rPr>
          <w:rFonts w:ascii="Times New Roman" w:eastAsia="Times New Roman" w:hAnsi="Times New Roman"/>
          <w:sz w:val="24"/>
          <w:szCs w:val="24"/>
          <w:lang w:val="da-DK"/>
        </w:rPr>
        <w:t>hypoplasi</w:t>
      </w:r>
      <w:proofErr w:type="spellEnd"/>
      <w:r>
        <w:rPr>
          <w:rFonts w:ascii="Times New Roman" w:eastAsia="Times New Roman" w:hAnsi="Times New Roman"/>
          <w:sz w:val="24"/>
          <w:szCs w:val="24"/>
          <w:lang w:val="da-DK"/>
        </w:rPr>
        <w:t xml:space="preserve"> kan forekomme, hvis produktet administreres til børn under 8 år.</w:t>
      </w:r>
    </w:p>
    <w:p w:rsidR="00066561" w:rsidRDefault="00066561" w:rsidP="00066561">
      <w:pPr>
        <w:pStyle w:val="Listeafsnit"/>
        <w:numPr>
          <w:ilvl w:val="0"/>
          <w:numId w:val="6"/>
        </w:numPr>
        <w:rPr>
          <w:sz w:val="24"/>
          <w:szCs w:val="24"/>
        </w:rPr>
      </w:pPr>
      <w:r>
        <w:rPr>
          <w:rFonts w:ascii="Times New Roman" w:eastAsia="Times New Roman" w:hAnsi="Times New Roman"/>
          <w:sz w:val="24"/>
          <w:szCs w:val="24"/>
          <w:lang w:val="da-DK"/>
        </w:rPr>
        <w:lastRenderedPageBreak/>
        <w:t xml:space="preserve">Systemisk lupus </w:t>
      </w:r>
      <w:proofErr w:type="spellStart"/>
      <w:r>
        <w:rPr>
          <w:rFonts w:ascii="Times New Roman" w:eastAsia="Times New Roman" w:hAnsi="Times New Roman"/>
          <w:sz w:val="24"/>
          <w:szCs w:val="24"/>
          <w:lang w:val="da-DK"/>
        </w:rPr>
        <w:t>erythematosus</w:t>
      </w:r>
      <w:proofErr w:type="spellEnd"/>
    </w:p>
    <w:p w:rsidR="00066561" w:rsidRDefault="00066561" w:rsidP="00066561">
      <w:pPr>
        <w:pStyle w:val="Listeafsnit"/>
        <w:numPr>
          <w:ilvl w:val="0"/>
          <w:numId w:val="6"/>
        </w:numPr>
        <w:rPr>
          <w:sz w:val="24"/>
          <w:szCs w:val="24"/>
        </w:rPr>
      </w:pPr>
      <w:r>
        <w:rPr>
          <w:rFonts w:ascii="Times New Roman" w:hAnsi="Times New Roman"/>
          <w:sz w:val="24"/>
          <w:szCs w:val="24"/>
        </w:rPr>
        <w:t>Pancreatitis</w:t>
      </w:r>
    </w:p>
    <w:p w:rsidR="00066561" w:rsidRPr="00066561" w:rsidRDefault="00066561" w:rsidP="00066561">
      <w:pPr>
        <w:pStyle w:val="Listeafsnit"/>
        <w:numPr>
          <w:ilvl w:val="0"/>
          <w:numId w:val="6"/>
        </w:numPr>
        <w:rPr>
          <w:sz w:val="24"/>
          <w:szCs w:val="24"/>
          <w:lang w:val="da-DK"/>
        </w:rPr>
      </w:pPr>
      <w:proofErr w:type="spellStart"/>
      <w:r>
        <w:rPr>
          <w:rFonts w:ascii="Times New Roman" w:hAnsi="Times New Roman"/>
          <w:sz w:val="24"/>
          <w:szCs w:val="24"/>
          <w:lang w:val="da-DK"/>
        </w:rPr>
        <w:t>Hæmolytisk</w:t>
      </w:r>
      <w:proofErr w:type="spellEnd"/>
      <w:r>
        <w:rPr>
          <w:rFonts w:ascii="Times New Roman" w:hAnsi="Times New Roman"/>
          <w:sz w:val="24"/>
          <w:szCs w:val="24"/>
          <w:lang w:val="da-DK"/>
        </w:rPr>
        <w:t xml:space="preserve"> anæmi, </w:t>
      </w:r>
      <w:proofErr w:type="spellStart"/>
      <w:r>
        <w:rPr>
          <w:rFonts w:ascii="Times New Roman" w:hAnsi="Times New Roman"/>
          <w:sz w:val="24"/>
          <w:szCs w:val="24"/>
          <w:lang w:val="da-DK"/>
        </w:rPr>
        <w:t>eosinofili</w:t>
      </w:r>
      <w:proofErr w:type="spellEnd"/>
      <w:r>
        <w:rPr>
          <w:rFonts w:ascii="Times New Roman" w:hAnsi="Times New Roman"/>
          <w:sz w:val="24"/>
          <w:szCs w:val="24"/>
          <w:lang w:val="da-DK"/>
        </w:rPr>
        <w:t xml:space="preserve"> og andre hæmatologiske lidelser er blevet rapporteret ved tetracyklinbehandling.</w:t>
      </w:r>
    </w:p>
    <w:p w:rsidR="00066561" w:rsidRPr="00066561" w:rsidRDefault="00066561" w:rsidP="00066561">
      <w:pPr>
        <w:pStyle w:val="Listeafsnit"/>
        <w:numPr>
          <w:ilvl w:val="0"/>
          <w:numId w:val="6"/>
        </w:numPr>
        <w:rPr>
          <w:sz w:val="24"/>
          <w:szCs w:val="24"/>
          <w:lang w:val="da-DK"/>
        </w:rPr>
      </w:pPr>
      <w:proofErr w:type="spellStart"/>
      <w:r w:rsidRPr="00066561">
        <w:rPr>
          <w:sz w:val="24"/>
          <w:szCs w:val="24"/>
          <w:lang w:val="da-DK"/>
        </w:rPr>
        <w:t>Ekstrarenal</w:t>
      </w:r>
      <w:proofErr w:type="spellEnd"/>
      <w:r w:rsidRPr="00066561">
        <w:rPr>
          <w:sz w:val="24"/>
          <w:szCs w:val="24"/>
          <w:lang w:val="da-DK"/>
        </w:rPr>
        <w:t xml:space="preserve"> </w:t>
      </w:r>
      <w:proofErr w:type="spellStart"/>
      <w:r w:rsidRPr="00066561">
        <w:rPr>
          <w:sz w:val="24"/>
          <w:szCs w:val="24"/>
          <w:lang w:val="da-DK"/>
        </w:rPr>
        <w:t>hyperazotæmi</w:t>
      </w:r>
      <w:proofErr w:type="spellEnd"/>
      <w:r w:rsidRPr="00066561">
        <w:rPr>
          <w:sz w:val="24"/>
          <w:szCs w:val="24"/>
          <w:lang w:val="da-DK"/>
        </w:rPr>
        <w:t xml:space="preserve"> forbundet med en antianabolsk effekt, som kan forstærkes af forbindelsen med </w:t>
      </w:r>
      <w:proofErr w:type="spellStart"/>
      <w:r w:rsidRPr="00066561">
        <w:rPr>
          <w:sz w:val="24"/>
          <w:szCs w:val="24"/>
          <w:lang w:val="da-DK"/>
        </w:rPr>
        <w:t>diuretika</w:t>
      </w:r>
      <w:proofErr w:type="spellEnd"/>
      <w:r w:rsidRPr="00066561">
        <w:rPr>
          <w:sz w:val="24"/>
          <w:szCs w:val="24"/>
          <w:lang w:val="da-DK"/>
        </w:rPr>
        <w:t>, er blevet rapporteret i forbindelse med tetracyklinbehandling.</w:t>
      </w:r>
    </w:p>
    <w:p w:rsidR="00066561" w:rsidRDefault="00066561" w:rsidP="00066561">
      <w:pPr>
        <w:pStyle w:val="Listeafsnit"/>
        <w:numPr>
          <w:ilvl w:val="0"/>
          <w:numId w:val="6"/>
        </w:numPr>
        <w:rPr>
          <w:rFonts w:ascii="Times New Roman" w:hAnsi="Times New Roman"/>
          <w:sz w:val="24"/>
          <w:szCs w:val="24"/>
          <w:lang w:val="da-DK"/>
        </w:rPr>
      </w:pPr>
      <w:r>
        <w:rPr>
          <w:rFonts w:ascii="Times New Roman" w:hAnsi="Times New Roman"/>
          <w:sz w:val="24"/>
          <w:szCs w:val="24"/>
          <w:lang w:val="da-DK"/>
        </w:rPr>
        <w:t xml:space="preserve">Som med alle antibiotika kan overvækst af ikke-følsomme organismer forårsage </w:t>
      </w:r>
      <w:proofErr w:type="spellStart"/>
      <w:r>
        <w:rPr>
          <w:rFonts w:ascii="Times New Roman" w:hAnsi="Times New Roman"/>
          <w:sz w:val="24"/>
          <w:szCs w:val="24"/>
          <w:lang w:val="da-DK"/>
        </w:rPr>
        <w:t>candidiasis</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pseudomembranøs</w:t>
      </w:r>
      <w:proofErr w:type="spellEnd"/>
      <w:r>
        <w:rPr>
          <w:rFonts w:ascii="Times New Roman" w:hAnsi="Times New Roman"/>
          <w:sz w:val="24"/>
          <w:szCs w:val="24"/>
          <w:lang w:val="da-DK"/>
        </w:rPr>
        <w:t xml:space="preserve"> colitis (</w:t>
      </w:r>
      <w:proofErr w:type="spellStart"/>
      <w:r>
        <w:rPr>
          <w:rFonts w:ascii="Times New Roman" w:hAnsi="Times New Roman"/>
          <w:sz w:val="24"/>
          <w:szCs w:val="24"/>
          <w:lang w:val="da-DK"/>
        </w:rPr>
        <w:t>Clostridium</w:t>
      </w:r>
      <w:proofErr w:type="spellEnd"/>
      <w:r>
        <w:rPr>
          <w:rFonts w:ascii="Times New Roman" w:hAnsi="Times New Roman"/>
          <w:sz w:val="24"/>
          <w:szCs w:val="24"/>
          <w:lang w:val="da-DK"/>
        </w:rPr>
        <w:t xml:space="preserve"> Difficile-overvækst), </w:t>
      </w:r>
      <w:proofErr w:type="spellStart"/>
      <w:r>
        <w:rPr>
          <w:rFonts w:ascii="Times New Roman" w:hAnsi="Times New Roman"/>
          <w:sz w:val="24"/>
          <w:szCs w:val="24"/>
          <w:lang w:val="da-DK"/>
        </w:rPr>
        <w:t>glossitis</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stomatitis</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vaginitis</w:t>
      </w:r>
      <w:proofErr w:type="spellEnd"/>
      <w:r>
        <w:rPr>
          <w:rFonts w:ascii="Times New Roman" w:hAnsi="Times New Roman"/>
          <w:sz w:val="24"/>
          <w:szCs w:val="24"/>
          <w:lang w:val="da-DK"/>
        </w:rPr>
        <w:t xml:space="preserve"> eller </w:t>
      </w:r>
      <w:proofErr w:type="spellStart"/>
      <w:r>
        <w:rPr>
          <w:rFonts w:ascii="Times New Roman" w:hAnsi="Times New Roman"/>
          <w:sz w:val="24"/>
          <w:szCs w:val="24"/>
          <w:lang w:val="da-DK"/>
        </w:rPr>
        <w:t>stafylokokkenterocolitis</w:t>
      </w:r>
      <w:proofErr w:type="spellEnd"/>
      <w:r>
        <w:rPr>
          <w:rFonts w:ascii="Times New Roman" w:hAnsi="Times New Roman"/>
          <w:sz w:val="24"/>
          <w:szCs w:val="24"/>
          <w:lang w:val="da-DK"/>
        </w:rPr>
        <w:t>.</w:t>
      </w:r>
    </w:p>
    <w:p w:rsidR="00066561" w:rsidRDefault="00066561" w:rsidP="00066561">
      <w:pPr>
        <w:pStyle w:val="Listeafsnit"/>
        <w:ind w:left="1571"/>
        <w:rPr>
          <w:rFonts w:ascii="Times New Roman" w:hAnsi="Times New Roman"/>
          <w:sz w:val="24"/>
          <w:szCs w:val="24"/>
          <w:lang w:val="da-DK"/>
        </w:rPr>
      </w:pPr>
    </w:p>
    <w:p w:rsidR="00066561" w:rsidRDefault="00066561" w:rsidP="00066561">
      <w:pPr>
        <w:ind w:left="851"/>
        <w:jc w:val="both"/>
        <w:rPr>
          <w:b/>
          <w:sz w:val="24"/>
          <w:szCs w:val="24"/>
        </w:rPr>
      </w:pPr>
      <w:r>
        <w:rPr>
          <w:b/>
          <w:sz w:val="24"/>
          <w:szCs w:val="24"/>
        </w:rPr>
        <w:t>Indberetning af formodede bivirkninger</w:t>
      </w:r>
    </w:p>
    <w:p w:rsidR="00066561" w:rsidRDefault="00066561" w:rsidP="00066561">
      <w:pPr>
        <w:ind w:left="851"/>
        <w:jc w:val="both"/>
        <w:rPr>
          <w:sz w:val="24"/>
          <w:szCs w:val="24"/>
        </w:rPr>
      </w:pPr>
      <w:r>
        <w:rPr>
          <w:sz w:val="24"/>
          <w:szCs w:val="24"/>
        </w:rPr>
        <w:t>Tal med lægen, apotekspersonalet eller sygeplejersken, hvis du får bivirkninger. Dette inkluderer alle mulige bivirkninger, som ikke er nævnt i denne indlægsseddel. Du kan også indberette bivirkninger direkte via th Lægemiddelstyrelsen, Axel Heides Gade 1, DK-2300 København S</w:t>
      </w:r>
    </w:p>
    <w:p w:rsidR="00066561" w:rsidRDefault="00066561" w:rsidP="00066561">
      <w:pPr>
        <w:ind w:left="851"/>
        <w:jc w:val="both"/>
        <w:rPr>
          <w:sz w:val="24"/>
          <w:szCs w:val="24"/>
        </w:rPr>
      </w:pPr>
      <w:r>
        <w:rPr>
          <w:sz w:val="24"/>
          <w:szCs w:val="24"/>
        </w:rPr>
        <w:t xml:space="preserve">Websted: </w:t>
      </w:r>
      <w:hyperlink r:id="rId8" w:history="1">
        <w:r>
          <w:rPr>
            <w:rStyle w:val="Hyperlink"/>
            <w:sz w:val="24"/>
            <w:szCs w:val="24"/>
          </w:rPr>
          <w:t>www.meldenbivirkning.dk</w:t>
        </w:r>
      </w:hyperlink>
    </w:p>
    <w:p w:rsidR="00585E4C" w:rsidRDefault="00585E4C" w:rsidP="00066561">
      <w:pPr>
        <w:pStyle w:val="Sidehoved"/>
        <w:tabs>
          <w:tab w:val="clear" w:pos="4819"/>
          <w:tab w:val="clear" w:pos="9638"/>
        </w:tabs>
        <w:rPr>
          <w:szCs w:val="24"/>
        </w:rPr>
      </w:pPr>
    </w:p>
    <w:p w:rsidR="00066561" w:rsidRPr="005523B5" w:rsidRDefault="00066561" w:rsidP="00066561">
      <w:pPr>
        <w:pStyle w:val="Sidehoved"/>
        <w:tabs>
          <w:tab w:val="clear" w:pos="4819"/>
          <w:tab w:val="clear" w:pos="9638"/>
        </w:tabs>
        <w:rPr>
          <w:szCs w:val="24"/>
        </w:rPr>
      </w:pPr>
    </w:p>
    <w:p w:rsidR="00585E4C" w:rsidRPr="00A51832" w:rsidRDefault="00585E4C" w:rsidP="00A94E42">
      <w:pPr>
        <w:ind w:left="851" w:hanging="851"/>
        <w:rPr>
          <w:b/>
          <w:sz w:val="24"/>
          <w:szCs w:val="24"/>
        </w:rPr>
      </w:pPr>
      <w:r w:rsidRPr="00A51832">
        <w:rPr>
          <w:b/>
          <w:sz w:val="24"/>
          <w:szCs w:val="24"/>
        </w:rPr>
        <w:t>4.9</w:t>
      </w:r>
      <w:r w:rsidRPr="00A51832">
        <w:rPr>
          <w:b/>
          <w:sz w:val="24"/>
          <w:szCs w:val="24"/>
        </w:rPr>
        <w:tab/>
        <w:t>Overdosering</w:t>
      </w:r>
    </w:p>
    <w:p w:rsidR="00066561" w:rsidRDefault="00066561" w:rsidP="00066561">
      <w:pPr>
        <w:ind w:left="851"/>
        <w:jc w:val="both"/>
        <w:rPr>
          <w:sz w:val="24"/>
          <w:szCs w:val="24"/>
        </w:rPr>
      </w:pPr>
      <w:r>
        <w:rPr>
          <w:sz w:val="24"/>
          <w:szCs w:val="24"/>
        </w:rPr>
        <w:t>Akut overdosering er sjælden med antibiotika, og der er ingen specifik behandling.</w:t>
      </w:r>
    </w:p>
    <w:p w:rsidR="00066561" w:rsidRDefault="00066561" w:rsidP="00066561">
      <w:pPr>
        <w:ind w:left="851"/>
        <w:jc w:val="both"/>
        <w:rPr>
          <w:sz w:val="24"/>
          <w:szCs w:val="24"/>
        </w:rPr>
      </w:pPr>
    </w:p>
    <w:p w:rsidR="00066561" w:rsidRDefault="00066561" w:rsidP="00066561">
      <w:pPr>
        <w:ind w:left="851"/>
        <w:jc w:val="both"/>
        <w:rPr>
          <w:sz w:val="24"/>
          <w:szCs w:val="24"/>
          <w:u w:val="single"/>
        </w:rPr>
      </w:pPr>
      <w:r>
        <w:rPr>
          <w:sz w:val="24"/>
          <w:szCs w:val="24"/>
          <w:u w:val="single"/>
        </w:rPr>
        <w:t>Ledelse</w:t>
      </w:r>
    </w:p>
    <w:p w:rsidR="00066561" w:rsidRDefault="00066561" w:rsidP="00066561">
      <w:pPr>
        <w:ind w:left="851"/>
        <w:jc w:val="both"/>
        <w:rPr>
          <w:sz w:val="24"/>
          <w:szCs w:val="24"/>
        </w:rPr>
      </w:pPr>
      <w:r>
        <w:rPr>
          <w:sz w:val="24"/>
          <w:szCs w:val="24"/>
        </w:rPr>
        <w:t>Skulle overdosering forekomme, bør mavetømning overvejes. Støttende foranstaltninger bør iværksættes efter behov, og et højt væskeindtag bør opretholdes.</w:t>
      </w:r>
    </w:p>
    <w:p w:rsidR="00066561" w:rsidRDefault="00066561" w:rsidP="00066561">
      <w:pPr>
        <w:ind w:left="851" w:hanging="851"/>
        <w:rPr>
          <w:sz w:val="24"/>
          <w:szCs w:val="24"/>
        </w:rPr>
      </w:pPr>
    </w:p>
    <w:p w:rsidR="00585E4C" w:rsidRPr="00A51832" w:rsidRDefault="00585E4C" w:rsidP="00C170B4">
      <w:pPr>
        <w:ind w:left="851"/>
        <w:rPr>
          <w:sz w:val="24"/>
          <w:szCs w:val="24"/>
        </w:rPr>
      </w:pP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5.</w:t>
      </w:r>
      <w:r w:rsidRPr="00A51832">
        <w:rPr>
          <w:b/>
          <w:sz w:val="24"/>
          <w:szCs w:val="24"/>
        </w:rPr>
        <w:tab/>
        <w:t>FARMAKOLOGISKE EGENSKABER</w:t>
      </w:r>
    </w:p>
    <w:p w:rsidR="00585E4C" w:rsidRPr="00A51832" w:rsidRDefault="00585E4C" w:rsidP="00066561">
      <w:pPr>
        <w:rPr>
          <w:sz w:val="24"/>
          <w:szCs w:val="24"/>
        </w:rPr>
      </w:pPr>
    </w:p>
    <w:p w:rsidR="00585E4C" w:rsidRPr="00A51832" w:rsidRDefault="00585E4C" w:rsidP="00A94E42">
      <w:pPr>
        <w:ind w:left="851" w:hanging="851"/>
        <w:rPr>
          <w:b/>
          <w:sz w:val="24"/>
          <w:szCs w:val="24"/>
        </w:rPr>
      </w:pPr>
      <w:r w:rsidRPr="00A51832">
        <w:rPr>
          <w:b/>
          <w:sz w:val="24"/>
          <w:szCs w:val="24"/>
        </w:rPr>
        <w:t>5.1</w:t>
      </w:r>
      <w:r w:rsidRPr="00A51832">
        <w:rPr>
          <w:b/>
          <w:sz w:val="24"/>
          <w:szCs w:val="24"/>
        </w:rPr>
        <w:tab/>
      </w:r>
      <w:proofErr w:type="spellStart"/>
      <w:r w:rsidRPr="00A51832">
        <w:rPr>
          <w:b/>
          <w:sz w:val="24"/>
          <w:szCs w:val="24"/>
        </w:rPr>
        <w:t>Farmakodynamiske</w:t>
      </w:r>
      <w:proofErr w:type="spellEnd"/>
      <w:r w:rsidRPr="00A51832">
        <w:rPr>
          <w:b/>
          <w:sz w:val="24"/>
          <w:szCs w:val="24"/>
        </w:rPr>
        <w:t xml:space="preserve"> egenskaber</w:t>
      </w:r>
    </w:p>
    <w:p w:rsidR="00066561" w:rsidRDefault="00066561" w:rsidP="00066561">
      <w:pPr>
        <w:ind w:left="851"/>
        <w:jc w:val="both"/>
        <w:rPr>
          <w:sz w:val="24"/>
          <w:szCs w:val="24"/>
        </w:rPr>
      </w:pPr>
      <w:proofErr w:type="spellStart"/>
      <w:r>
        <w:rPr>
          <w:sz w:val="24"/>
          <w:szCs w:val="24"/>
        </w:rPr>
        <w:t>Farmakoterapeutisk</w:t>
      </w:r>
      <w:proofErr w:type="spellEnd"/>
      <w:r>
        <w:rPr>
          <w:sz w:val="24"/>
          <w:szCs w:val="24"/>
        </w:rPr>
        <w:t xml:space="preserve"> klassifikation: Antibakterielle midler med systemisk brug</w:t>
      </w:r>
    </w:p>
    <w:p w:rsidR="00066561" w:rsidRDefault="00066561" w:rsidP="00066561">
      <w:pPr>
        <w:ind w:left="851"/>
        <w:jc w:val="both"/>
        <w:rPr>
          <w:sz w:val="24"/>
          <w:szCs w:val="24"/>
        </w:rPr>
      </w:pPr>
      <w:r>
        <w:rPr>
          <w:sz w:val="24"/>
          <w:szCs w:val="24"/>
        </w:rPr>
        <w:t>ATC-kode: J 01 AA 04</w:t>
      </w:r>
    </w:p>
    <w:p w:rsidR="00066561" w:rsidRPr="00066561" w:rsidRDefault="00066561" w:rsidP="00066561">
      <w:pPr>
        <w:ind w:left="851"/>
        <w:rPr>
          <w:sz w:val="24"/>
          <w:szCs w:val="24"/>
        </w:rPr>
      </w:pPr>
    </w:p>
    <w:p w:rsidR="00066561" w:rsidRDefault="00066561" w:rsidP="00066561">
      <w:pPr>
        <w:ind w:left="850"/>
        <w:jc w:val="both"/>
        <w:rPr>
          <w:sz w:val="24"/>
          <w:szCs w:val="24"/>
        </w:rPr>
      </w:pPr>
      <w:r>
        <w:rPr>
          <w:sz w:val="24"/>
          <w:szCs w:val="24"/>
        </w:rPr>
        <w:t>Virkningsmekanisme</w:t>
      </w:r>
    </w:p>
    <w:p w:rsidR="00066561" w:rsidRDefault="00066561" w:rsidP="00066561">
      <w:pPr>
        <w:ind w:left="850"/>
        <w:jc w:val="both"/>
        <w:rPr>
          <w:sz w:val="24"/>
          <w:szCs w:val="24"/>
        </w:rPr>
      </w:pPr>
      <w:proofErr w:type="spellStart"/>
      <w:r>
        <w:rPr>
          <w:sz w:val="24"/>
          <w:szCs w:val="24"/>
        </w:rPr>
        <w:t>Tetracycliner</w:t>
      </w:r>
      <w:proofErr w:type="spellEnd"/>
      <w:r>
        <w:rPr>
          <w:sz w:val="24"/>
          <w:szCs w:val="24"/>
        </w:rPr>
        <w:t xml:space="preserve"> virker </w:t>
      </w:r>
      <w:proofErr w:type="spellStart"/>
      <w:r>
        <w:rPr>
          <w:sz w:val="24"/>
          <w:szCs w:val="24"/>
        </w:rPr>
        <w:t>bakteriostatisk</w:t>
      </w:r>
      <w:proofErr w:type="spellEnd"/>
      <w:r>
        <w:rPr>
          <w:sz w:val="24"/>
          <w:szCs w:val="24"/>
        </w:rPr>
        <w:t xml:space="preserve"> i de tilgængelige plasma- og vævskoncentrationer og er effektive mod intracellulære og extracellulære organismer. Deres virkningsmekanisme er baseret på en hæmning af </w:t>
      </w:r>
      <w:proofErr w:type="spellStart"/>
      <w:r>
        <w:rPr>
          <w:sz w:val="24"/>
          <w:szCs w:val="24"/>
        </w:rPr>
        <w:t>ribosomal</w:t>
      </w:r>
      <w:proofErr w:type="spellEnd"/>
      <w:r>
        <w:rPr>
          <w:sz w:val="24"/>
          <w:szCs w:val="24"/>
        </w:rPr>
        <w:t xml:space="preserve"> </w:t>
      </w:r>
      <w:proofErr w:type="spellStart"/>
      <w:r>
        <w:rPr>
          <w:sz w:val="24"/>
          <w:szCs w:val="24"/>
        </w:rPr>
        <w:t>proteinssyntese</w:t>
      </w:r>
      <w:proofErr w:type="spellEnd"/>
      <w:r>
        <w:rPr>
          <w:sz w:val="24"/>
          <w:szCs w:val="24"/>
        </w:rPr>
        <w:t xml:space="preserve">. </w:t>
      </w:r>
      <w:proofErr w:type="spellStart"/>
      <w:r>
        <w:rPr>
          <w:sz w:val="24"/>
          <w:szCs w:val="24"/>
        </w:rPr>
        <w:t>Tetracyclinerne</w:t>
      </w:r>
      <w:proofErr w:type="spellEnd"/>
      <w:r>
        <w:rPr>
          <w:sz w:val="24"/>
          <w:szCs w:val="24"/>
        </w:rPr>
        <w:t xml:space="preserve"> blokerer tilgangen af de bakterielle </w:t>
      </w:r>
      <w:proofErr w:type="spellStart"/>
      <w:r>
        <w:rPr>
          <w:sz w:val="24"/>
          <w:szCs w:val="24"/>
        </w:rPr>
        <w:t>aminoacyl</w:t>
      </w:r>
      <w:proofErr w:type="spellEnd"/>
      <w:r>
        <w:rPr>
          <w:sz w:val="24"/>
          <w:szCs w:val="24"/>
        </w:rPr>
        <w:t>-tRNA til mRNA ribosomkomplekset ved at binde sig til 30S undergruppen af ribosomet og derved forhindre udvidelsen af aminosyrer til den voksende peptidkæde i proteinsyntesen. Administreret i terapeutisk opnåelige doser begrænses den toksiske virkning til bakteriecellerne.</w:t>
      </w:r>
    </w:p>
    <w:p w:rsidR="00066561" w:rsidRDefault="00066561" w:rsidP="00066561">
      <w:pPr>
        <w:ind w:left="850"/>
        <w:jc w:val="both"/>
        <w:rPr>
          <w:sz w:val="24"/>
          <w:szCs w:val="24"/>
        </w:rPr>
      </w:pPr>
    </w:p>
    <w:p w:rsidR="00066561" w:rsidRDefault="00066561" w:rsidP="00066561">
      <w:pPr>
        <w:ind w:left="850"/>
        <w:jc w:val="both"/>
        <w:rPr>
          <w:sz w:val="24"/>
          <w:szCs w:val="24"/>
        </w:rPr>
      </w:pPr>
      <w:r>
        <w:rPr>
          <w:sz w:val="24"/>
          <w:szCs w:val="24"/>
        </w:rPr>
        <w:t xml:space="preserve">De præcise mekanismer, hvorved </w:t>
      </w:r>
      <w:proofErr w:type="spellStart"/>
      <w:r>
        <w:rPr>
          <w:sz w:val="24"/>
          <w:szCs w:val="24"/>
        </w:rPr>
        <w:t>tetracyclinerne</w:t>
      </w:r>
      <w:proofErr w:type="spellEnd"/>
      <w:r>
        <w:rPr>
          <w:sz w:val="24"/>
          <w:szCs w:val="24"/>
        </w:rPr>
        <w:t xml:space="preserve"> nedsætter skaderne ved </w:t>
      </w:r>
      <w:proofErr w:type="spellStart"/>
      <w:r>
        <w:rPr>
          <w:sz w:val="24"/>
          <w:szCs w:val="24"/>
        </w:rPr>
        <w:t>acne</w:t>
      </w:r>
      <w:proofErr w:type="spellEnd"/>
      <w:r>
        <w:rPr>
          <w:sz w:val="24"/>
          <w:szCs w:val="24"/>
        </w:rPr>
        <w:t xml:space="preserve"> </w:t>
      </w:r>
      <w:proofErr w:type="spellStart"/>
      <w:r>
        <w:rPr>
          <w:sz w:val="24"/>
          <w:szCs w:val="24"/>
        </w:rPr>
        <w:t>vulgaris</w:t>
      </w:r>
      <w:proofErr w:type="spellEnd"/>
      <w:r>
        <w:rPr>
          <w:sz w:val="24"/>
          <w:szCs w:val="24"/>
        </w:rPr>
        <w:t xml:space="preserve">, er ikke fuldt belyst, men virkningen synes delvist at være resultat af stoffets </w:t>
      </w:r>
      <w:proofErr w:type="spellStart"/>
      <w:r>
        <w:rPr>
          <w:sz w:val="24"/>
          <w:szCs w:val="24"/>
        </w:rPr>
        <w:t>antibaktielle</w:t>
      </w:r>
      <w:proofErr w:type="spellEnd"/>
      <w:r>
        <w:rPr>
          <w:sz w:val="24"/>
          <w:szCs w:val="24"/>
        </w:rPr>
        <w:t xml:space="preserve"> aktivitet. Lægemidlet hæmmer væksten af følsomme organismer (hovedsageligt </w:t>
      </w:r>
      <w:proofErr w:type="spellStart"/>
      <w:r>
        <w:rPr>
          <w:i/>
          <w:sz w:val="24"/>
          <w:szCs w:val="24"/>
        </w:rPr>
        <w:t>Propionibacterium</w:t>
      </w:r>
      <w:proofErr w:type="spellEnd"/>
      <w:r>
        <w:rPr>
          <w:i/>
          <w:sz w:val="24"/>
          <w:szCs w:val="24"/>
        </w:rPr>
        <w:t xml:space="preserve"> </w:t>
      </w:r>
      <w:proofErr w:type="spellStart"/>
      <w:r>
        <w:rPr>
          <w:i/>
          <w:sz w:val="24"/>
          <w:szCs w:val="24"/>
        </w:rPr>
        <w:t>acnes</w:t>
      </w:r>
      <w:proofErr w:type="spellEnd"/>
      <w:r>
        <w:rPr>
          <w:sz w:val="24"/>
          <w:szCs w:val="24"/>
        </w:rPr>
        <w:t xml:space="preserve">) på hudens overflade og nedsætter produktionen af frie fedtsyrer i talgen efter oral administration. Reduktionen af frie fedtsyrer i talgen kan være et indirekte resultat af hæmningen af </w:t>
      </w:r>
      <w:proofErr w:type="spellStart"/>
      <w:r>
        <w:rPr>
          <w:sz w:val="24"/>
          <w:szCs w:val="24"/>
        </w:rPr>
        <w:t>lipaseproducerende</w:t>
      </w:r>
      <w:proofErr w:type="spellEnd"/>
      <w:r>
        <w:rPr>
          <w:sz w:val="24"/>
          <w:szCs w:val="24"/>
        </w:rPr>
        <w:t xml:space="preserve"> organismer, som omdanner triglycerider til frie </w:t>
      </w:r>
      <w:r>
        <w:rPr>
          <w:sz w:val="24"/>
          <w:szCs w:val="24"/>
        </w:rPr>
        <w:lastRenderedPageBreak/>
        <w:t xml:space="preserve">fedtsyrer eller kan være et direkte resultat af interferens med </w:t>
      </w:r>
      <w:proofErr w:type="spellStart"/>
      <w:r>
        <w:rPr>
          <w:sz w:val="24"/>
          <w:szCs w:val="24"/>
        </w:rPr>
        <w:t>lipaseproduktionen</w:t>
      </w:r>
      <w:proofErr w:type="spellEnd"/>
      <w:r>
        <w:rPr>
          <w:sz w:val="24"/>
          <w:szCs w:val="24"/>
        </w:rPr>
        <w:t xml:space="preserve"> i disse organismer. Frie fedtsyrer er porestoppende og menes at være en mulig årsag til de inflammatoriske læsioner efter </w:t>
      </w:r>
      <w:proofErr w:type="spellStart"/>
      <w:r>
        <w:rPr>
          <w:sz w:val="24"/>
          <w:szCs w:val="24"/>
        </w:rPr>
        <w:t>acne</w:t>
      </w:r>
      <w:proofErr w:type="spellEnd"/>
      <w:r>
        <w:rPr>
          <w:sz w:val="24"/>
          <w:szCs w:val="24"/>
        </w:rPr>
        <w:t xml:space="preserve">, f.eks. </w:t>
      </w:r>
      <w:proofErr w:type="spellStart"/>
      <w:r>
        <w:rPr>
          <w:sz w:val="24"/>
          <w:szCs w:val="24"/>
        </w:rPr>
        <w:t>papler</w:t>
      </w:r>
      <w:proofErr w:type="spellEnd"/>
      <w:r>
        <w:rPr>
          <w:sz w:val="24"/>
          <w:szCs w:val="24"/>
        </w:rPr>
        <w:t xml:space="preserve">, pustler, </w:t>
      </w:r>
      <w:proofErr w:type="spellStart"/>
      <w:r>
        <w:rPr>
          <w:sz w:val="24"/>
          <w:szCs w:val="24"/>
        </w:rPr>
        <w:t>noduli</w:t>
      </w:r>
      <w:proofErr w:type="spellEnd"/>
      <w:r>
        <w:rPr>
          <w:sz w:val="24"/>
          <w:szCs w:val="24"/>
        </w:rPr>
        <w:t xml:space="preserve">, cyster. Andre mekanismer synes dog også at være involverede, fordi klinisk fremgang af </w:t>
      </w:r>
      <w:proofErr w:type="spellStart"/>
      <w:r>
        <w:rPr>
          <w:sz w:val="24"/>
          <w:szCs w:val="24"/>
        </w:rPr>
        <w:t>acne</w:t>
      </w:r>
      <w:proofErr w:type="spellEnd"/>
      <w:r>
        <w:rPr>
          <w:sz w:val="24"/>
          <w:szCs w:val="24"/>
        </w:rPr>
        <w:t xml:space="preserve"> </w:t>
      </w:r>
      <w:proofErr w:type="spellStart"/>
      <w:r>
        <w:rPr>
          <w:sz w:val="24"/>
          <w:szCs w:val="24"/>
        </w:rPr>
        <w:t>vulgaris</w:t>
      </w:r>
      <w:proofErr w:type="spellEnd"/>
      <w:r>
        <w:rPr>
          <w:sz w:val="24"/>
          <w:szCs w:val="24"/>
        </w:rPr>
        <w:t xml:space="preserve"> oralt behandlet med </w:t>
      </w:r>
      <w:proofErr w:type="spellStart"/>
      <w:r>
        <w:rPr>
          <w:sz w:val="24"/>
          <w:szCs w:val="24"/>
        </w:rPr>
        <w:t>tetracycliner</w:t>
      </w:r>
      <w:proofErr w:type="spellEnd"/>
      <w:r>
        <w:rPr>
          <w:sz w:val="24"/>
          <w:szCs w:val="24"/>
        </w:rPr>
        <w:t xml:space="preserve"> ikke nødvendigvis svarer til en reduktion af hudens bakterieflora eller fald i talgens indhold af frie fedtsyrer.</w:t>
      </w:r>
    </w:p>
    <w:p w:rsidR="00066561" w:rsidRDefault="00066561" w:rsidP="00066561">
      <w:pPr>
        <w:ind w:left="850"/>
        <w:jc w:val="both"/>
        <w:rPr>
          <w:sz w:val="24"/>
          <w:szCs w:val="24"/>
        </w:rPr>
      </w:pPr>
    </w:p>
    <w:p w:rsidR="00066561" w:rsidRDefault="00066561" w:rsidP="00066561">
      <w:pPr>
        <w:ind w:left="850"/>
        <w:jc w:val="both"/>
        <w:rPr>
          <w:sz w:val="24"/>
          <w:szCs w:val="24"/>
        </w:rPr>
      </w:pPr>
      <w:r>
        <w:rPr>
          <w:sz w:val="24"/>
          <w:szCs w:val="24"/>
        </w:rPr>
        <w:t>Resistensmekanisme</w:t>
      </w:r>
    </w:p>
    <w:p w:rsidR="00066561" w:rsidRDefault="00066561" w:rsidP="00066561">
      <w:pPr>
        <w:ind w:left="850"/>
        <w:jc w:val="both"/>
        <w:rPr>
          <w:sz w:val="24"/>
          <w:szCs w:val="24"/>
        </w:rPr>
      </w:pPr>
      <w:proofErr w:type="spellStart"/>
      <w:r>
        <w:rPr>
          <w:sz w:val="24"/>
          <w:szCs w:val="24"/>
        </w:rPr>
        <w:t>Tetracyclinresistens</w:t>
      </w:r>
      <w:proofErr w:type="spellEnd"/>
      <w:r>
        <w:rPr>
          <w:sz w:val="24"/>
          <w:szCs w:val="24"/>
        </w:rPr>
        <w:t xml:space="preserve"> i </w:t>
      </w:r>
      <w:proofErr w:type="spellStart"/>
      <w:r>
        <w:rPr>
          <w:i/>
          <w:sz w:val="24"/>
          <w:szCs w:val="24"/>
        </w:rPr>
        <w:t>probionibakteria</w:t>
      </w:r>
      <w:proofErr w:type="spellEnd"/>
      <w:r>
        <w:rPr>
          <w:sz w:val="24"/>
          <w:szCs w:val="24"/>
        </w:rPr>
        <w:t xml:space="preserve"> er almindeligvis forbundet med en single </w:t>
      </w:r>
      <w:proofErr w:type="gramStart"/>
      <w:r>
        <w:rPr>
          <w:sz w:val="24"/>
          <w:szCs w:val="24"/>
        </w:rPr>
        <w:t>point mutation</w:t>
      </w:r>
      <w:proofErr w:type="gramEnd"/>
      <w:r>
        <w:rPr>
          <w:sz w:val="24"/>
          <w:szCs w:val="24"/>
        </w:rPr>
        <w:t xml:space="preserve"> inden for </w:t>
      </w:r>
      <w:proofErr w:type="spellStart"/>
      <w:r>
        <w:rPr>
          <w:sz w:val="24"/>
          <w:szCs w:val="24"/>
        </w:rPr>
        <w:t>genkodingen</w:t>
      </w:r>
      <w:proofErr w:type="spellEnd"/>
      <w:r>
        <w:rPr>
          <w:sz w:val="24"/>
          <w:szCs w:val="24"/>
        </w:rPr>
        <w:t xml:space="preserve"> 16S </w:t>
      </w:r>
      <w:proofErr w:type="spellStart"/>
      <w:r>
        <w:rPr>
          <w:sz w:val="24"/>
          <w:szCs w:val="24"/>
        </w:rPr>
        <w:t>rRNA</w:t>
      </w:r>
      <w:proofErr w:type="spellEnd"/>
      <w:r>
        <w:rPr>
          <w:sz w:val="24"/>
          <w:szCs w:val="24"/>
        </w:rPr>
        <w:t xml:space="preserve">. Det blev konstateret at </w:t>
      </w:r>
      <w:proofErr w:type="spellStart"/>
      <w:r>
        <w:rPr>
          <w:sz w:val="24"/>
          <w:szCs w:val="24"/>
        </w:rPr>
        <w:t>tetracyclinresistente</w:t>
      </w:r>
      <w:proofErr w:type="spellEnd"/>
      <w:r>
        <w:rPr>
          <w:sz w:val="24"/>
          <w:szCs w:val="24"/>
        </w:rPr>
        <w:t xml:space="preserve"> kliniske </w:t>
      </w:r>
      <w:proofErr w:type="spellStart"/>
      <w:r>
        <w:rPr>
          <w:sz w:val="24"/>
          <w:szCs w:val="24"/>
        </w:rPr>
        <w:t>isolater</w:t>
      </w:r>
      <w:proofErr w:type="spellEnd"/>
      <w:r>
        <w:rPr>
          <w:sz w:val="24"/>
          <w:szCs w:val="24"/>
        </w:rPr>
        <w:t xml:space="preserve"> havde cytosin i stedet for guanin på en plads kognat med </w:t>
      </w:r>
      <w:r>
        <w:rPr>
          <w:i/>
          <w:sz w:val="24"/>
          <w:szCs w:val="24"/>
        </w:rPr>
        <w:t>Escherichia coli</w:t>
      </w:r>
      <w:r>
        <w:rPr>
          <w:sz w:val="24"/>
          <w:szCs w:val="24"/>
        </w:rPr>
        <w:t xml:space="preserve"> base 1058. Der er intet bevis for at ribosom mutationer kan overføres mellem forskellige stammer eller arter af </w:t>
      </w:r>
      <w:proofErr w:type="spellStart"/>
      <w:r>
        <w:rPr>
          <w:i/>
          <w:sz w:val="24"/>
          <w:szCs w:val="24"/>
        </w:rPr>
        <w:t>propionibacteria</w:t>
      </w:r>
      <w:proofErr w:type="spellEnd"/>
      <w:r>
        <w:rPr>
          <w:sz w:val="24"/>
          <w:szCs w:val="24"/>
        </w:rPr>
        <w:t xml:space="preserve"> eller mellem </w:t>
      </w:r>
      <w:proofErr w:type="spellStart"/>
      <w:r>
        <w:rPr>
          <w:sz w:val="24"/>
          <w:szCs w:val="24"/>
        </w:rPr>
        <w:t>propionibacteria</w:t>
      </w:r>
      <w:proofErr w:type="spellEnd"/>
      <w:r>
        <w:rPr>
          <w:sz w:val="24"/>
          <w:szCs w:val="24"/>
        </w:rPr>
        <w:t xml:space="preserve"> og andre hud </w:t>
      </w:r>
      <w:proofErr w:type="spellStart"/>
      <w:r>
        <w:rPr>
          <w:sz w:val="24"/>
          <w:szCs w:val="24"/>
        </w:rPr>
        <w:t>kommensaler</w:t>
      </w:r>
      <w:proofErr w:type="spellEnd"/>
      <w:r>
        <w:rPr>
          <w:sz w:val="24"/>
          <w:szCs w:val="24"/>
        </w:rPr>
        <w:t>.</w:t>
      </w:r>
    </w:p>
    <w:p w:rsidR="00066561" w:rsidRDefault="00066561" w:rsidP="00066561">
      <w:pPr>
        <w:ind w:left="850"/>
        <w:jc w:val="both"/>
        <w:rPr>
          <w:sz w:val="24"/>
          <w:szCs w:val="24"/>
        </w:rPr>
      </w:pPr>
    </w:p>
    <w:p w:rsidR="00066561" w:rsidRDefault="00066561" w:rsidP="00066561">
      <w:pPr>
        <w:ind w:left="850"/>
        <w:jc w:val="both"/>
        <w:rPr>
          <w:sz w:val="24"/>
          <w:szCs w:val="24"/>
        </w:rPr>
      </w:pPr>
      <w:r>
        <w:rPr>
          <w:sz w:val="24"/>
          <w:szCs w:val="24"/>
        </w:rPr>
        <w:t xml:space="preserve">Stammer af </w:t>
      </w:r>
      <w:proofErr w:type="spellStart"/>
      <w:r>
        <w:rPr>
          <w:i/>
          <w:sz w:val="24"/>
          <w:szCs w:val="24"/>
        </w:rPr>
        <w:t>propionibacteria</w:t>
      </w:r>
      <w:proofErr w:type="spellEnd"/>
      <w:r>
        <w:rPr>
          <w:sz w:val="24"/>
          <w:szCs w:val="24"/>
        </w:rPr>
        <w:t xml:space="preserve">, der er resistente over for hydrofile </w:t>
      </w:r>
      <w:proofErr w:type="spellStart"/>
      <w:r>
        <w:rPr>
          <w:sz w:val="24"/>
          <w:szCs w:val="24"/>
        </w:rPr>
        <w:t>tetracycliner</w:t>
      </w:r>
      <w:proofErr w:type="spellEnd"/>
      <w:r>
        <w:rPr>
          <w:sz w:val="24"/>
          <w:szCs w:val="24"/>
        </w:rPr>
        <w:t xml:space="preserve"> er krydsresistente over for </w:t>
      </w:r>
      <w:proofErr w:type="spellStart"/>
      <w:r>
        <w:rPr>
          <w:sz w:val="24"/>
          <w:szCs w:val="24"/>
        </w:rPr>
        <w:t>doxycclin</w:t>
      </w:r>
      <w:proofErr w:type="spellEnd"/>
      <w:r>
        <w:rPr>
          <w:sz w:val="24"/>
          <w:szCs w:val="24"/>
        </w:rPr>
        <w:t xml:space="preserve"> og kan måske eller måske ikke vise nedsat følsomhed over for </w:t>
      </w:r>
      <w:proofErr w:type="spellStart"/>
      <w:r>
        <w:rPr>
          <w:sz w:val="24"/>
          <w:szCs w:val="24"/>
        </w:rPr>
        <w:t>minocyclin</w:t>
      </w:r>
      <w:proofErr w:type="spellEnd"/>
      <w:r>
        <w:rPr>
          <w:sz w:val="24"/>
          <w:szCs w:val="24"/>
        </w:rPr>
        <w:t>.</w:t>
      </w:r>
    </w:p>
    <w:p w:rsidR="00066561" w:rsidRDefault="00066561" w:rsidP="00066561">
      <w:pPr>
        <w:ind w:left="850"/>
        <w:jc w:val="both"/>
        <w:rPr>
          <w:sz w:val="24"/>
          <w:szCs w:val="24"/>
        </w:rPr>
      </w:pPr>
    </w:p>
    <w:p w:rsidR="00066561" w:rsidRDefault="00066561" w:rsidP="00066561">
      <w:pPr>
        <w:ind w:left="850"/>
        <w:jc w:val="both"/>
        <w:rPr>
          <w:sz w:val="24"/>
          <w:szCs w:val="24"/>
        </w:rPr>
      </w:pPr>
      <w:proofErr w:type="spellStart"/>
      <w:r>
        <w:rPr>
          <w:sz w:val="24"/>
          <w:szCs w:val="24"/>
        </w:rPr>
        <w:t>KnækpunkterDer</w:t>
      </w:r>
      <w:proofErr w:type="spellEnd"/>
      <w:r>
        <w:rPr>
          <w:sz w:val="24"/>
          <w:szCs w:val="24"/>
        </w:rPr>
        <w:t xml:space="preserve"> er ikke angivet nogen </w:t>
      </w:r>
      <w:proofErr w:type="spellStart"/>
      <w:r>
        <w:rPr>
          <w:sz w:val="24"/>
          <w:szCs w:val="24"/>
        </w:rPr>
        <w:t>breakpoints</w:t>
      </w:r>
      <w:proofErr w:type="spellEnd"/>
      <w:r>
        <w:rPr>
          <w:sz w:val="24"/>
          <w:szCs w:val="24"/>
        </w:rPr>
        <w:t xml:space="preserve"> for </w:t>
      </w:r>
      <w:proofErr w:type="spellStart"/>
      <w:r>
        <w:rPr>
          <w:sz w:val="24"/>
          <w:szCs w:val="24"/>
        </w:rPr>
        <w:t>propionibacterium</w:t>
      </w:r>
      <w:proofErr w:type="spellEnd"/>
      <w:r>
        <w:rPr>
          <w:sz w:val="24"/>
          <w:szCs w:val="24"/>
        </w:rPr>
        <w:t xml:space="preserve"> </w:t>
      </w:r>
      <w:proofErr w:type="spellStart"/>
      <w:r>
        <w:rPr>
          <w:sz w:val="24"/>
          <w:szCs w:val="24"/>
        </w:rPr>
        <w:t>acnes</w:t>
      </w:r>
      <w:proofErr w:type="spellEnd"/>
      <w:r>
        <w:rPr>
          <w:sz w:val="24"/>
          <w:szCs w:val="24"/>
        </w:rPr>
        <w:t xml:space="preserve"> i gældende EUCAST tabeller.</w:t>
      </w:r>
    </w:p>
    <w:p w:rsidR="00066561" w:rsidRDefault="00066561" w:rsidP="00066561">
      <w:pPr>
        <w:ind w:left="850"/>
        <w:jc w:val="both"/>
        <w:rPr>
          <w:sz w:val="24"/>
          <w:szCs w:val="24"/>
        </w:rPr>
      </w:pPr>
      <w:r>
        <w:rPr>
          <w:sz w:val="24"/>
          <w:szCs w:val="24"/>
        </w:rPr>
        <w:t xml:space="preserve">Følsomhed over for </w:t>
      </w:r>
      <w:proofErr w:type="spellStart"/>
      <w:r>
        <w:rPr>
          <w:sz w:val="24"/>
          <w:szCs w:val="24"/>
        </w:rPr>
        <w:t>tetracycliner</w:t>
      </w:r>
      <w:proofErr w:type="spellEnd"/>
      <w:r>
        <w:rPr>
          <w:sz w:val="24"/>
          <w:szCs w:val="24"/>
        </w:rPr>
        <w:t xml:space="preserve"> hos arter, der er relevante for godkendte indikation</w:t>
      </w:r>
    </w:p>
    <w:p w:rsidR="00066561" w:rsidRDefault="00066561" w:rsidP="00066561">
      <w:pPr>
        <w:ind w:left="850"/>
        <w:rPr>
          <w:sz w:val="24"/>
          <w:szCs w:val="24"/>
        </w:rPr>
      </w:pPr>
    </w:p>
    <w:tbl>
      <w:tblPr>
        <w:tblW w:w="0" w:type="auto"/>
        <w:tblInd w:w="959" w:type="dxa"/>
        <w:tblLook w:val="04A0" w:firstRow="1" w:lastRow="0" w:firstColumn="1" w:lastColumn="0" w:noHBand="0" w:noVBand="1"/>
      </w:tblPr>
      <w:tblGrid>
        <w:gridCol w:w="8246"/>
      </w:tblGrid>
      <w:tr w:rsidR="00066561" w:rsidTr="00066561">
        <w:tc>
          <w:tcPr>
            <w:tcW w:w="8246" w:type="dxa"/>
            <w:hideMark/>
          </w:tcPr>
          <w:p w:rsidR="00066561" w:rsidRDefault="00066561">
            <w:pPr>
              <w:rPr>
                <w:sz w:val="24"/>
                <w:szCs w:val="24"/>
              </w:rPr>
            </w:pPr>
            <w:r>
              <w:rPr>
                <w:sz w:val="24"/>
                <w:szCs w:val="24"/>
              </w:rPr>
              <w:t>Almindeligt modtagelige bakteriestammer</w:t>
            </w:r>
          </w:p>
        </w:tc>
      </w:tr>
      <w:tr w:rsidR="00066561" w:rsidTr="00066561">
        <w:tc>
          <w:tcPr>
            <w:tcW w:w="8246" w:type="dxa"/>
            <w:hideMark/>
          </w:tcPr>
          <w:p w:rsidR="00066561" w:rsidRDefault="00066561">
            <w:pPr>
              <w:rPr>
                <w:b/>
                <w:bCs/>
                <w:sz w:val="24"/>
                <w:szCs w:val="24"/>
              </w:rPr>
            </w:pPr>
            <w:proofErr w:type="spellStart"/>
            <w:r>
              <w:rPr>
                <w:b/>
                <w:bCs/>
                <w:sz w:val="24"/>
                <w:szCs w:val="24"/>
              </w:rPr>
              <w:t>Gram-positive</w:t>
            </w:r>
            <w:proofErr w:type="spellEnd"/>
            <w:r>
              <w:rPr>
                <w:b/>
                <w:bCs/>
                <w:sz w:val="24"/>
                <w:szCs w:val="24"/>
              </w:rPr>
              <w:t xml:space="preserve"> anaerobe</w:t>
            </w:r>
          </w:p>
        </w:tc>
      </w:tr>
      <w:tr w:rsidR="00066561" w:rsidTr="00066561">
        <w:tc>
          <w:tcPr>
            <w:tcW w:w="8246" w:type="dxa"/>
            <w:hideMark/>
          </w:tcPr>
          <w:p w:rsidR="00066561" w:rsidRDefault="00066561">
            <w:pPr>
              <w:rPr>
                <w:bCs/>
                <w:sz w:val="24"/>
                <w:szCs w:val="24"/>
              </w:rPr>
            </w:pPr>
            <w:proofErr w:type="spellStart"/>
            <w:r>
              <w:rPr>
                <w:bCs/>
                <w:i/>
                <w:sz w:val="24"/>
                <w:szCs w:val="24"/>
              </w:rPr>
              <w:t>Propionibacterium</w:t>
            </w:r>
            <w:proofErr w:type="spellEnd"/>
            <w:r>
              <w:rPr>
                <w:bCs/>
                <w:i/>
                <w:sz w:val="24"/>
                <w:szCs w:val="24"/>
              </w:rPr>
              <w:t xml:space="preserve"> </w:t>
            </w:r>
            <w:proofErr w:type="spellStart"/>
            <w:r>
              <w:rPr>
                <w:bCs/>
                <w:i/>
                <w:sz w:val="24"/>
                <w:szCs w:val="24"/>
              </w:rPr>
              <w:t>acnes</w:t>
            </w:r>
            <w:proofErr w:type="spellEnd"/>
            <w:r>
              <w:rPr>
                <w:bCs/>
                <w:i/>
                <w:sz w:val="24"/>
                <w:szCs w:val="24"/>
              </w:rPr>
              <w:t xml:space="preserve"> (kliniske </w:t>
            </w:r>
            <w:proofErr w:type="spellStart"/>
            <w:r>
              <w:rPr>
                <w:bCs/>
                <w:i/>
                <w:sz w:val="24"/>
                <w:szCs w:val="24"/>
              </w:rPr>
              <w:t>isolater</w:t>
            </w:r>
            <w:proofErr w:type="spellEnd"/>
            <w:r>
              <w:rPr>
                <w:bCs/>
                <w:i/>
                <w:sz w:val="24"/>
                <w:szCs w:val="24"/>
              </w:rPr>
              <w:t>*)</w:t>
            </w:r>
          </w:p>
        </w:tc>
      </w:tr>
    </w:tbl>
    <w:p w:rsidR="00066561" w:rsidRDefault="00066561" w:rsidP="00066561">
      <w:pPr>
        <w:ind w:left="850"/>
        <w:rPr>
          <w:bCs/>
          <w:sz w:val="24"/>
          <w:szCs w:val="24"/>
        </w:rPr>
      </w:pPr>
    </w:p>
    <w:p w:rsidR="00066561" w:rsidRDefault="00066561" w:rsidP="00066561">
      <w:pPr>
        <w:ind w:left="850"/>
        <w:rPr>
          <w:bCs/>
          <w:i/>
          <w:sz w:val="24"/>
          <w:szCs w:val="24"/>
        </w:rPr>
      </w:pPr>
      <w:r>
        <w:rPr>
          <w:bCs/>
          <w:i/>
          <w:sz w:val="24"/>
          <w:szCs w:val="24"/>
        </w:rPr>
        <w:t>*</w:t>
      </w:r>
      <w:r>
        <w:rPr>
          <w:b/>
          <w:bCs/>
          <w:i/>
          <w:sz w:val="24"/>
          <w:szCs w:val="24"/>
        </w:rPr>
        <w:t xml:space="preserve">Selvom der påvises resistens over for </w:t>
      </w:r>
      <w:proofErr w:type="spellStart"/>
      <w:r>
        <w:rPr>
          <w:b/>
          <w:bCs/>
          <w:i/>
          <w:sz w:val="24"/>
          <w:szCs w:val="24"/>
        </w:rPr>
        <w:t>kutan</w:t>
      </w:r>
      <w:proofErr w:type="spellEnd"/>
      <w:r>
        <w:rPr>
          <w:b/>
          <w:bCs/>
          <w:i/>
          <w:sz w:val="24"/>
          <w:szCs w:val="24"/>
        </w:rPr>
        <w:t xml:space="preserve"> </w:t>
      </w:r>
      <w:proofErr w:type="spellStart"/>
      <w:r>
        <w:rPr>
          <w:b/>
          <w:bCs/>
          <w:i/>
          <w:sz w:val="24"/>
          <w:szCs w:val="24"/>
        </w:rPr>
        <w:t>propionibacterier</w:t>
      </w:r>
      <w:proofErr w:type="spellEnd"/>
      <w:r>
        <w:rPr>
          <w:b/>
          <w:bCs/>
          <w:i/>
          <w:sz w:val="24"/>
          <w:szCs w:val="24"/>
        </w:rPr>
        <w:t xml:space="preserve"> skal det ikke automatisk tolkes som behandlingssvigt da </w:t>
      </w:r>
      <w:proofErr w:type="spellStart"/>
      <w:r>
        <w:rPr>
          <w:b/>
          <w:bCs/>
          <w:i/>
          <w:sz w:val="24"/>
          <w:szCs w:val="24"/>
        </w:rPr>
        <w:t>tetracyclinernes</w:t>
      </w:r>
      <w:proofErr w:type="spellEnd"/>
      <w:r>
        <w:rPr>
          <w:b/>
          <w:bCs/>
          <w:i/>
          <w:sz w:val="24"/>
          <w:szCs w:val="24"/>
        </w:rPr>
        <w:t xml:space="preserve"> antiinflammatoriske virkning ikke kompromitterer resistensen hos målbakterien</w:t>
      </w:r>
      <w:r>
        <w:rPr>
          <w:bCs/>
          <w:i/>
          <w:sz w:val="24"/>
          <w:szCs w:val="24"/>
        </w:rPr>
        <w:t>.</w:t>
      </w:r>
    </w:p>
    <w:p w:rsidR="00066561" w:rsidRPr="00066561" w:rsidRDefault="00066561" w:rsidP="00066561">
      <w:pPr>
        <w:ind w:left="850"/>
        <w:rPr>
          <w:bCs/>
          <w:sz w:val="24"/>
          <w:szCs w:val="24"/>
        </w:rPr>
      </w:pPr>
    </w:p>
    <w:p w:rsidR="00585E4C" w:rsidRPr="00A51832" w:rsidRDefault="00585E4C" w:rsidP="00A94E42">
      <w:pPr>
        <w:ind w:left="851" w:hanging="851"/>
        <w:rPr>
          <w:b/>
          <w:sz w:val="24"/>
          <w:szCs w:val="24"/>
        </w:rPr>
      </w:pPr>
      <w:r w:rsidRPr="00A51832">
        <w:rPr>
          <w:b/>
          <w:sz w:val="24"/>
          <w:szCs w:val="24"/>
        </w:rPr>
        <w:t>5.2</w:t>
      </w:r>
      <w:r w:rsidRPr="00A51832">
        <w:rPr>
          <w:b/>
          <w:sz w:val="24"/>
          <w:szCs w:val="24"/>
        </w:rPr>
        <w:tab/>
      </w:r>
      <w:proofErr w:type="spellStart"/>
      <w:r w:rsidRPr="00A51832">
        <w:rPr>
          <w:b/>
          <w:sz w:val="24"/>
          <w:szCs w:val="24"/>
        </w:rPr>
        <w:t>Farmakokinetiske</w:t>
      </w:r>
      <w:proofErr w:type="spellEnd"/>
      <w:r w:rsidRPr="00A51832">
        <w:rPr>
          <w:b/>
          <w:sz w:val="24"/>
          <w:szCs w:val="24"/>
        </w:rPr>
        <w:t xml:space="preserve"> egenskaber</w:t>
      </w:r>
    </w:p>
    <w:p w:rsidR="00066561" w:rsidRDefault="00066561" w:rsidP="00066561">
      <w:pPr>
        <w:ind w:left="851"/>
        <w:rPr>
          <w:sz w:val="24"/>
          <w:szCs w:val="24"/>
        </w:rPr>
      </w:pPr>
    </w:p>
    <w:p w:rsidR="00066561" w:rsidRDefault="00066561" w:rsidP="00066561">
      <w:pPr>
        <w:ind w:left="851"/>
        <w:jc w:val="both"/>
        <w:rPr>
          <w:sz w:val="24"/>
          <w:szCs w:val="24"/>
        </w:rPr>
      </w:pPr>
      <w:r>
        <w:rPr>
          <w:sz w:val="24"/>
          <w:szCs w:val="24"/>
        </w:rPr>
        <w:t xml:space="preserve">Under absorption hydrolyseres </w:t>
      </w:r>
      <w:proofErr w:type="spellStart"/>
      <w:r>
        <w:rPr>
          <w:sz w:val="24"/>
          <w:szCs w:val="24"/>
        </w:rPr>
        <w:t>lymecyclin</w:t>
      </w:r>
      <w:proofErr w:type="spellEnd"/>
      <w:r>
        <w:rPr>
          <w:sz w:val="24"/>
          <w:szCs w:val="24"/>
        </w:rPr>
        <w:t xml:space="preserve"> hurtigt til aktivt </w:t>
      </w:r>
      <w:proofErr w:type="spellStart"/>
      <w:r>
        <w:rPr>
          <w:sz w:val="24"/>
          <w:szCs w:val="24"/>
        </w:rPr>
        <w:t>tetracyclin</w:t>
      </w:r>
      <w:proofErr w:type="spellEnd"/>
      <w:r>
        <w:rPr>
          <w:sz w:val="24"/>
          <w:szCs w:val="24"/>
        </w:rPr>
        <w:t xml:space="preserve"> og andre inaktive bestanddele. Frit </w:t>
      </w:r>
      <w:proofErr w:type="spellStart"/>
      <w:r>
        <w:rPr>
          <w:sz w:val="24"/>
          <w:szCs w:val="24"/>
        </w:rPr>
        <w:t>tetracyclin</w:t>
      </w:r>
      <w:proofErr w:type="spellEnd"/>
      <w:r>
        <w:rPr>
          <w:sz w:val="24"/>
          <w:szCs w:val="24"/>
        </w:rPr>
        <w:t>, som absorberes hurtigt, giver terapeutiske serumkoncentrationer (&gt;1 mikrogram/ml) i mindst 12 timer. Terapeutiske serumkoncentrationer nås inden for en time, og maksimale serumkoncentrationer (2-3 mikrogram/ml) nås inden for 2-3 timer. Fordobling af dosis giver 80% stigning i serumkoncentrationer.</w:t>
      </w:r>
    </w:p>
    <w:p w:rsidR="00066561" w:rsidRDefault="00066561" w:rsidP="00066561">
      <w:pPr>
        <w:ind w:left="851"/>
        <w:rPr>
          <w:sz w:val="24"/>
          <w:szCs w:val="24"/>
        </w:rPr>
      </w:pPr>
    </w:p>
    <w:p w:rsidR="007F4BFB" w:rsidRDefault="007F4BFB">
      <w:pPr>
        <w:rPr>
          <w:sz w:val="24"/>
          <w:szCs w:val="24"/>
        </w:rPr>
      </w:pPr>
      <w:r>
        <w:rPr>
          <w:sz w:val="24"/>
          <w:szCs w:val="24"/>
        </w:rPr>
        <w:br w:type="page"/>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5.3</w:t>
      </w:r>
      <w:r w:rsidRPr="00A51832">
        <w:rPr>
          <w:b/>
          <w:sz w:val="24"/>
          <w:szCs w:val="24"/>
        </w:rPr>
        <w:tab/>
      </w:r>
      <w:r w:rsidR="00066561">
        <w:rPr>
          <w:b/>
          <w:sz w:val="24"/>
          <w:szCs w:val="24"/>
        </w:rPr>
        <w:t>Non-</w:t>
      </w:r>
      <w:r w:rsidRPr="00A51832">
        <w:rPr>
          <w:b/>
          <w:sz w:val="24"/>
          <w:szCs w:val="24"/>
        </w:rPr>
        <w:t>kliniske sikkerhedsdata</w:t>
      </w:r>
    </w:p>
    <w:p w:rsidR="00066561" w:rsidRDefault="00066561" w:rsidP="00066561">
      <w:pPr>
        <w:ind w:left="851"/>
        <w:jc w:val="both"/>
        <w:rPr>
          <w:sz w:val="24"/>
          <w:szCs w:val="24"/>
        </w:rPr>
      </w:pPr>
      <w:r>
        <w:rPr>
          <w:sz w:val="24"/>
          <w:szCs w:val="24"/>
        </w:rPr>
        <w:t>Der er ingen ikke-kliniske data af relevans for den ordinerende læge, der er ud over det, der allerede er inkluderet i andre dele af dette resumé.</w:t>
      </w:r>
    </w:p>
    <w:p w:rsidR="00585E4C" w:rsidRDefault="00585E4C" w:rsidP="00066561">
      <w:pPr>
        <w:rPr>
          <w:sz w:val="24"/>
          <w:szCs w:val="24"/>
        </w:rPr>
      </w:pPr>
    </w:p>
    <w:p w:rsidR="00066561" w:rsidRPr="00A51832" w:rsidRDefault="00066561" w:rsidP="00066561">
      <w:pPr>
        <w:rPr>
          <w:sz w:val="24"/>
          <w:szCs w:val="24"/>
        </w:rPr>
      </w:pPr>
    </w:p>
    <w:p w:rsidR="00585E4C" w:rsidRPr="00A51832" w:rsidRDefault="00585E4C" w:rsidP="00C170B4">
      <w:pPr>
        <w:ind w:left="851"/>
        <w:rPr>
          <w:sz w:val="24"/>
          <w:szCs w:val="24"/>
        </w:rPr>
      </w:pPr>
    </w:p>
    <w:p w:rsidR="00585E4C" w:rsidRPr="00A51832" w:rsidRDefault="00585E4C" w:rsidP="001E0E74">
      <w:pPr>
        <w:keepNext/>
        <w:ind w:left="851" w:hanging="851"/>
        <w:rPr>
          <w:b/>
          <w:sz w:val="24"/>
          <w:szCs w:val="24"/>
        </w:rPr>
      </w:pPr>
      <w:r w:rsidRPr="00A51832">
        <w:rPr>
          <w:b/>
          <w:sz w:val="24"/>
          <w:szCs w:val="24"/>
        </w:rPr>
        <w:t>6.</w:t>
      </w:r>
      <w:r w:rsidRPr="00A51832">
        <w:rPr>
          <w:b/>
          <w:sz w:val="24"/>
          <w:szCs w:val="24"/>
        </w:rPr>
        <w:tab/>
        <w:t>FARMACEUTISKE OPLYSNINGER</w:t>
      </w:r>
    </w:p>
    <w:p w:rsidR="00585E4C" w:rsidRPr="00A51832" w:rsidRDefault="00585E4C" w:rsidP="00C170B4">
      <w:pPr>
        <w:ind w:left="851"/>
        <w:rPr>
          <w:b/>
          <w:sz w:val="24"/>
          <w:szCs w:val="24"/>
        </w:rPr>
      </w:pPr>
    </w:p>
    <w:p w:rsidR="00585E4C" w:rsidRPr="00A51832" w:rsidRDefault="00585E4C" w:rsidP="00A94E42">
      <w:pPr>
        <w:ind w:left="851" w:hanging="851"/>
        <w:rPr>
          <w:b/>
          <w:sz w:val="24"/>
          <w:szCs w:val="24"/>
        </w:rPr>
      </w:pPr>
      <w:r w:rsidRPr="00A51832">
        <w:rPr>
          <w:b/>
          <w:sz w:val="24"/>
          <w:szCs w:val="24"/>
        </w:rPr>
        <w:t>6.1</w:t>
      </w:r>
      <w:r w:rsidRPr="00A51832">
        <w:rPr>
          <w:b/>
          <w:sz w:val="24"/>
          <w:szCs w:val="24"/>
        </w:rPr>
        <w:tab/>
        <w:t>Hjælpestoffer</w:t>
      </w:r>
    </w:p>
    <w:p w:rsidR="00585E4C" w:rsidRPr="00A51832" w:rsidRDefault="00585E4C" w:rsidP="00C170B4">
      <w:pPr>
        <w:ind w:left="851"/>
        <w:rPr>
          <w:sz w:val="24"/>
          <w:szCs w:val="24"/>
        </w:rPr>
      </w:pPr>
      <w:r w:rsidRPr="00A51832">
        <w:rPr>
          <w:sz w:val="24"/>
          <w:szCs w:val="24"/>
        </w:rPr>
        <w:t>Kolloid siliciumdioxid (</w:t>
      </w:r>
      <w:proofErr w:type="spellStart"/>
      <w:r w:rsidRPr="00A51832">
        <w:rPr>
          <w:sz w:val="24"/>
          <w:szCs w:val="24"/>
        </w:rPr>
        <w:t>Aerosil</w:t>
      </w:r>
      <w:proofErr w:type="spellEnd"/>
      <w:r w:rsidRPr="00A51832">
        <w:rPr>
          <w:sz w:val="24"/>
          <w:szCs w:val="24"/>
        </w:rPr>
        <w:t xml:space="preserve"> 200)</w:t>
      </w:r>
    </w:p>
    <w:p w:rsidR="00585E4C" w:rsidRPr="00A51832" w:rsidRDefault="00585E4C" w:rsidP="00C170B4">
      <w:pPr>
        <w:ind w:left="851"/>
        <w:rPr>
          <w:sz w:val="24"/>
          <w:szCs w:val="24"/>
        </w:rPr>
      </w:pPr>
      <w:proofErr w:type="spellStart"/>
      <w:r w:rsidRPr="00A51832">
        <w:rPr>
          <w:sz w:val="24"/>
          <w:szCs w:val="24"/>
        </w:rPr>
        <w:t>Magnesiumstearat</w:t>
      </w:r>
      <w:proofErr w:type="spellEnd"/>
    </w:p>
    <w:p w:rsidR="00585E4C" w:rsidRPr="00A51832" w:rsidRDefault="00585E4C" w:rsidP="00C170B4">
      <w:pPr>
        <w:ind w:left="851"/>
        <w:rPr>
          <w:sz w:val="24"/>
          <w:szCs w:val="24"/>
          <w:u w:val="single"/>
        </w:rPr>
      </w:pPr>
    </w:p>
    <w:p w:rsidR="00585E4C" w:rsidRPr="00A51832" w:rsidRDefault="00585E4C" w:rsidP="00C170B4">
      <w:pPr>
        <w:ind w:left="851"/>
        <w:rPr>
          <w:sz w:val="24"/>
          <w:szCs w:val="24"/>
          <w:u w:val="single"/>
        </w:rPr>
      </w:pPr>
      <w:r>
        <w:rPr>
          <w:sz w:val="24"/>
          <w:szCs w:val="24"/>
          <w:u w:val="single"/>
        </w:rPr>
        <w:t>Kapselskal</w:t>
      </w:r>
    </w:p>
    <w:p w:rsidR="00585E4C" w:rsidRPr="00A51832" w:rsidRDefault="00585E4C" w:rsidP="00C170B4">
      <w:pPr>
        <w:ind w:left="851"/>
        <w:rPr>
          <w:sz w:val="24"/>
          <w:szCs w:val="24"/>
        </w:rPr>
      </w:pPr>
      <w:r w:rsidRPr="00A51832">
        <w:rPr>
          <w:sz w:val="24"/>
          <w:szCs w:val="24"/>
        </w:rPr>
        <w:t>Gelatine</w:t>
      </w:r>
    </w:p>
    <w:p w:rsidR="00585E4C" w:rsidRPr="00A51832" w:rsidRDefault="00585E4C" w:rsidP="00C170B4">
      <w:pPr>
        <w:ind w:left="851"/>
        <w:rPr>
          <w:sz w:val="24"/>
          <w:szCs w:val="24"/>
        </w:rPr>
      </w:pPr>
      <w:r w:rsidRPr="00A51832">
        <w:rPr>
          <w:sz w:val="24"/>
          <w:szCs w:val="24"/>
        </w:rPr>
        <w:t>Vand</w:t>
      </w:r>
    </w:p>
    <w:p w:rsidR="00585E4C" w:rsidRPr="00745B4A" w:rsidRDefault="00585E4C" w:rsidP="00C170B4">
      <w:pPr>
        <w:ind w:left="851"/>
        <w:rPr>
          <w:sz w:val="24"/>
          <w:szCs w:val="24"/>
        </w:rPr>
      </w:pPr>
      <w:proofErr w:type="spellStart"/>
      <w:r w:rsidRPr="00745B4A">
        <w:rPr>
          <w:sz w:val="24"/>
          <w:szCs w:val="24"/>
        </w:rPr>
        <w:t>Erythrosin</w:t>
      </w:r>
      <w:proofErr w:type="spellEnd"/>
      <w:r w:rsidRPr="00745B4A">
        <w:rPr>
          <w:sz w:val="24"/>
          <w:szCs w:val="24"/>
        </w:rPr>
        <w:t xml:space="preserve"> (E127)</w:t>
      </w:r>
    </w:p>
    <w:p w:rsidR="00585E4C" w:rsidRPr="00301F6E" w:rsidRDefault="00585E4C" w:rsidP="00C170B4">
      <w:pPr>
        <w:ind w:left="851"/>
        <w:rPr>
          <w:sz w:val="24"/>
          <w:szCs w:val="24"/>
          <w:lang w:val="en-US"/>
        </w:rPr>
      </w:pPr>
      <w:proofErr w:type="spellStart"/>
      <w:r w:rsidRPr="00301F6E">
        <w:rPr>
          <w:sz w:val="24"/>
          <w:szCs w:val="24"/>
          <w:lang w:val="en-US"/>
        </w:rPr>
        <w:t>Quinolingul</w:t>
      </w:r>
      <w:proofErr w:type="spellEnd"/>
      <w:r w:rsidRPr="00301F6E">
        <w:rPr>
          <w:sz w:val="24"/>
          <w:szCs w:val="24"/>
          <w:lang w:val="en-US"/>
        </w:rPr>
        <w:t xml:space="preserve"> (E104)</w:t>
      </w:r>
    </w:p>
    <w:p w:rsidR="00585E4C" w:rsidRPr="00301F6E" w:rsidRDefault="00585E4C" w:rsidP="00C170B4">
      <w:pPr>
        <w:ind w:left="851"/>
        <w:rPr>
          <w:sz w:val="24"/>
          <w:szCs w:val="24"/>
          <w:lang w:val="en-US"/>
        </w:rPr>
      </w:pPr>
      <w:proofErr w:type="spellStart"/>
      <w:r w:rsidRPr="00301F6E">
        <w:rPr>
          <w:sz w:val="24"/>
          <w:szCs w:val="24"/>
          <w:lang w:val="en-US"/>
        </w:rPr>
        <w:t>Tintandioxid</w:t>
      </w:r>
      <w:proofErr w:type="spellEnd"/>
      <w:r w:rsidRPr="00301F6E">
        <w:rPr>
          <w:sz w:val="24"/>
          <w:szCs w:val="24"/>
          <w:lang w:val="en-US"/>
        </w:rPr>
        <w:t xml:space="preserve"> (E171)</w:t>
      </w:r>
    </w:p>
    <w:p w:rsidR="00585E4C" w:rsidRPr="00745B4A" w:rsidRDefault="00585E4C" w:rsidP="00C170B4">
      <w:pPr>
        <w:ind w:left="851"/>
        <w:rPr>
          <w:sz w:val="24"/>
          <w:szCs w:val="24"/>
          <w:lang w:val="en-US"/>
        </w:rPr>
      </w:pPr>
      <w:r w:rsidRPr="00745B4A">
        <w:rPr>
          <w:sz w:val="24"/>
          <w:szCs w:val="24"/>
          <w:lang w:val="en-US"/>
        </w:rPr>
        <w:t xml:space="preserve">Indigo </w:t>
      </w:r>
      <w:proofErr w:type="spellStart"/>
      <w:r w:rsidRPr="00745B4A">
        <w:rPr>
          <w:sz w:val="24"/>
          <w:szCs w:val="24"/>
          <w:lang w:val="en-US"/>
        </w:rPr>
        <w:t>Carmin</w:t>
      </w:r>
      <w:proofErr w:type="spellEnd"/>
      <w:r w:rsidRPr="00745B4A">
        <w:rPr>
          <w:sz w:val="24"/>
          <w:szCs w:val="24"/>
          <w:lang w:val="en-US"/>
        </w:rPr>
        <w:t xml:space="preserve"> (E132)</w:t>
      </w:r>
    </w:p>
    <w:p w:rsidR="00585E4C" w:rsidRPr="00745B4A" w:rsidRDefault="00585E4C" w:rsidP="00C170B4">
      <w:pPr>
        <w:ind w:left="851"/>
        <w:rPr>
          <w:sz w:val="24"/>
          <w:szCs w:val="24"/>
          <w:u w:val="single"/>
          <w:lang w:val="en-US"/>
        </w:rPr>
      </w:pPr>
    </w:p>
    <w:p w:rsidR="00585E4C" w:rsidRPr="00745B4A" w:rsidRDefault="00585E4C" w:rsidP="00C170B4">
      <w:pPr>
        <w:ind w:left="851"/>
        <w:rPr>
          <w:sz w:val="24"/>
          <w:szCs w:val="24"/>
          <w:u w:val="single"/>
          <w:lang w:val="en-US"/>
        </w:rPr>
      </w:pPr>
      <w:r w:rsidRPr="00745B4A">
        <w:rPr>
          <w:sz w:val="24"/>
          <w:szCs w:val="24"/>
          <w:u w:val="single"/>
          <w:lang w:val="en-US"/>
        </w:rPr>
        <w:t>Print</w:t>
      </w:r>
    </w:p>
    <w:p w:rsidR="00585E4C" w:rsidRPr="00A51832" w:rsidRDefault="00585E4C" w:rsidP="00C170B4">
      <w:pPr>
        <w:ind w:left="851"/>
        <w:rPr>
          <w:sz w:val="24"/>
          <w:szCs w:val="24"/>
          <w:lang w:val="en-US"/>
        </w:rPr>
      </w:pPr>
      <w:proofErr w:type="spellStart"/>
      <w:r w:rsidRPr="00A51832">
        <w:rPr>
          <w:sz w:val="24"/>
          <w:szCs w:val="24"/>
          <w:lang w:val="en-US"/>
        </w:rPr>
        <w:t>Shellak</w:t>
      </w:r>
      <w:proofErr w:type="spellEnd"/>
    </w:p>
    <w:p w:rsidR="00585E4C" w:rsidRPr="00A51832" w:rsidRDefault="00585E4C" w:rsidP="00C170B4">
      <w:pPr>
        <w:ind w:left="851"/>
        <w:rPr>
          <w:sz w:val="24"/>
          <w:szCs w:val="24"/>
          <w:lang w:val="en-US"/>
        </w:rPr>
      </w:pPr>
      <w:proofErr w:type="spellStart"/>
      <w:r w:rsidRPr="00A51832">
        <w:rPr>
          <w:sz w:val="24"/>
          <w:szCs w:val="24"/>
          <w:lang w:val="en-US"/>
        </w:rPr>
        <w:t>Propylenglycol</w:t>
      </w:r>
      <w:proofErr w:type="spellEnd"/>
    </w:p>
    <w:p w:rsidR="00585E4C" w:rsidRPr="00A51832" w:rsidRDefault="00585E4C" w:rsidP="00C170B4">
      <w:pPr>
        <w:ind w:left="851"/>
        <w:rPr>
          <w:sz w:val="24"/>
          <w:szCs w:val="24"/>
          <w:lang w:val="en-US"/>
        </w:rPr>
      </w:pPr>
      <w:r w:rsidRPr="00A51832">
        <w:rPr>
          <w:sz w:val="24"/>
          <w:szCs w:val="24"/>
          <w:lang w:val="en-US"/>
        </w:rPr>
        <w:t xml:space="preserve">Sort </w:t>
      </w:r>
      <w:proofErr w:type="spellStart"/>
      <w:r w:rsidRPr="00A51832">
        <w:rPr>
          <w:sz w:val="24"/>
          <w:szCs w:val="24"/>
          <w:lang w:val="en-US"/>
        </w:rPr>
        <w:t>jernoxid</w:t>
      </w:r>
      <w:proofErr w:type="spellEnd"/>
      <w:r w:rsidRPr="00A51832">
        <w:rPr>
          <w:sz w:val="24"/>
          <w:szCs w:val="24"/>
          <w:lang w:val="en-US"/>
        </w:rPr>
        <w:t xml:space="preserve"> (E172) </w:t>
      </w:r>
    </w:p>
    <w:p w:rsidR="00585E4C" w:rsidRPr="00A51832" w:rsidRDefault="00585E4C" w:rsidP="00C170B4">
      <w:pPr>
        <w:ind w:left="851"/>
        <w:rPr>
          <w:sz w:val="24"/>
          <w:szCs w:val="24"/>
        </w:rPr>
      </w:pPr>
      <w:r>
        <w:rPr>
          <w:sz w:val="24"/>
          <w:szCs w:val="24"/>
        </w:rPr>
        <w:t>Kaliumhydroxid</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6.2</w:t>
      </w:r>
      <w:r w:rsidRPr="00A51832">
        <w:rPr>
          <w:b/>
          <w:sz w:val="24"/>
          <w:szCs w:val="24"/>
        </w:rPr>
        <w:tab/>
        <w:t>Uforligeligheder</w:t>
      </w:r>
    </w:p>
    <w:p w:rsidR="00066561" w:rsidRDefault="00066561" w:rsidP="00C170B4">
      <w:pPr>
        <w:ind w:left="851"/>
        <w:rPr>
          <w:sz w:val="24"/>
          <w:szCs w:val="24"/>
        </w:rPr>
      </w:pPr>
    </w:p>
    <w:p w:rsidR="00585E4C" w:rsidRPr="00A51832" w:rsidRDefault="00585E4C" w:rsidP="00C170B4">
      <w:pPr>
        <w:ind w:left="851"/>
        <w:rPr>
          <w:sz w:val="24"/>
          <w:szCs w:val="24"/>
        </w:rPr>
      </w:pPr>
      <w:r w:rsidRPr="00A51832">
        <w:rPr>
          <w:sz w:val="24"/>
          <w:szCs w:val="24"/>
        </w:rPr>
        <w:t>Ikke relevant.</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6.3</w:t>
      </w:r>
      <w:r w:rsidRPr="00A51832">
        <w:rPr>
          <w:b/>
          <w:sz w:val="24"/>
          <w:szCs w:val="24"/>
        </w:rPr>
        <w:tab/>
        <w:t>Opbevaringstid</w:t>
      </w:r>
    </w:p>
    <w:p w:rsidR="00066561" w:rsidRDefault="00066561" w:rsidP="00C170B4">
      <w:pPr>
        <w:ind w:left="851"/>
        <w:rPr>
          <w:sz w:val="24"/>
          <w:szCs w:val="24"/>
        </w:rPr>
      </w:pPr>
    </w:p>
    <w:p w:rsidR="00585E4C" w:rsidRPr="00A51832" w:rsidRDefault="00585E4C" w:rsidP="00C170B4">
      <w:pPr>
        <w:ind w:left="851"/>
        <w:rPr>
          <w:sz w:val="24"/>
          <w:szCs w:val="24"/>
        </w:rPr>
      </w:pPr>
      <w:r>
        <w:rPr>
          <w:sz w:val="24"/>
          <w:szCs w:val="24"/>
        </w:rPr>
        <w:t xml:space="preserve">1 </w:t>
      </w:r>
      <w:r w:rsidRPr="00A51832">
        <w:rPr>
          <w:sz w:val="24"/>
          <w:szCs w:val="24"/>
        </w:rPr>
        <w:t>år</w:t>
      </w:r>
      <w:r>
        <w:rPr>
          <w:sz w:val="24"/>
          <w:szCs w:val="24"/>
        </w:rPr>
        <w:t>.</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6.4</w:t>
      </w:r>
      <w:r w:rsidRPr="00A51832">
        <w:rPr>
          <w:b/>
          <w:sz w:val="24"/>
          <w:szCs w:val="24"/>
        </w:rPr>
        <w:tab/>
        <w:t>Særlige opbevaringsforhold</w:t>
      </w:r>
    </w:p>
    <w:p w:rsidR="00066561" w:rsidRDefault="00066561" w:rsidP="00C170B4">
      <w:pPr>
        <w:ind w:left="851"/>
        <w:rPr>
          <w:sz w:val="24"/>
          <w:szCs w:val="24"/>
        </w:rPr>
      </w:pPr>
    </w:p>
    <w:p w:rsidR="00585E4C" w:rsidRDefault="00585E4C" w:rsidP="00C170B4">
      <w:pPr>
        <w:ind w:left="851"/>
        <w:rPr>
          <w:sz w:val="24"/>
          <w:szCs w:val="24"/>
        </w:rPr>
      </w:pPr>
      <w:r w:rsidRPr="00A51832">
        <w:rPr>
          <w:sz w:val="24"/>
          <w:szCs w:val="24"/>
        </w:rPr>
        <w:t>Må ikke opbevares ved temperaturer over 25</w:t>
      </w:r>
      <w:r>
        <w:rPr>
          <w:sz w:val="24"/>
          <w:szCs w:val="24"/>
        </w:rPr>
        <w:t xml:space="preserve"> </w:t>
      </w:r>
      <w:r w:rsidRPr="00A51832">
        <w:rPr>
          <w:sz w:val="24"/>
          <w:szCs w:val="24"/>
        </w:rPr>
        <w:t>°</w:t>
      </w:r>
      <w:r>
        <w:rPr>
          <w:sz w:val="24"/>
          <w:szCs w:val="24"/>
        </w:rPr>
        <w:t>C.</w:t>
      </w:r>
    </w:p>
    <w:p w:rsidR="001E0E74" w:rsidRDefault="001E0E74" w:rsidP="00C170B4">
      <w:pPr>
        <w:ind w:left="851"/>
        <w:rPr>
          <w:sz w:val="24"/>
          <w:szCs w:val="24"/>
        </w:rPr>
      </w:pPr>
    </w:p>
    <w:p w:rsidR="00585E4C" w:rsidRPr="00A51832" w:rsidRDefault="00585E4C" w:rsidP="00C170B4">
      <w:pPr>
        <w:ind w:left="851"/>
        <w:rPr>
          <w:sz w:val="24"/>
          <w:szCs w:val="24"/>
        </w:rPr>
      </w:pPr>
      <w:r w:rsidRPr="00A51832">
        <w:rPr>
          <w:sz w:val="24"/>
          <w:szCs w:val="24"/>
        </w:rPr>
        <w:t>Opbevares i den originale pakning.</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6.5</w:t>
      </w:r>
      <w:r w:rsidRPr="00A51832">
        <w:rPr>
          <w:b/>
          <w:sz w:val="24"/>
          <w:szCs w:val="24"/>
        </w:rPr>
        <w:tab/>
        <w:t>Emballagetype og pakningsstørrelser</w:t>
      </w:r>
    </w:p>
    <w:p w:rsidR="00066561" w:rsidRDefault="00066561" w:rsidP="00C170B4">
      <w:pPr>
        <w:ind w:left="851"/>
        <w:rPr>
          <w:sz w:val="24"/>
          <w:szCs w:val="24"/>
        </w:rPr>
      </w:pPr>
    </w:p>
    <w:p w:rsidR="00585E4C" w:rsidRDefault="00585E4C" w:rsidP="00C170B4">
      <w:pPr>
        <w:ind w:left="851"/>
        <w:rPr>
          <w:sz w:val="24"/>
          <w:szCs w:val="24"/>
        </w:rPr>
      </w:pPr>
      <w:r>
        <w:rPr>
          <w:sz w:val="24"/>
          <w:szCs w:val="24"/>
        </w:rPr>
        <w:t>A</w:t>
      </w:r>
      <w:r w:rsidRPr="00A51832">
        <w:rPr>
          <w:sz w:val="24"/>
          <w:szCs w:val="24"/>
        </w:rPr>
        <w:t>luminium/aluminium blisterpakning</w:t>
      </w:r>
    </w:p>
    <w:p w:rsidR="00585E4C" w:rsidRDefault="00585E4C" w:rsidP="00C170B4">
      <w:pPr>
        <w:ind w:left="851"/>
        <w:rPr>
          <w:sz w:val="24"/>
          <w:szCs w:val="24"/>
        </w:rPr>
      </w:pPr>
    </w:p>
    <w:p w:rsidR="00585E4C" w:rsidRDefault="00585E4C" w:rsidP="00C170B4">
      <w:pPr>
        <w:ind w:left="851"/>
        <w:rPr>
          <w:sz w:val="24"/>
          <w:szCs w:val="24"/>
        </w:rPr>
      </w:pPr>
      <w:r>
        <w:rPr>
          <w:sz w:val="24"/>
          <w:szCs w:val="24"/>
        </w:rPr>
        <w:t xml:space="preserve">Pakningsstørrelser: </w:t>
      </w:r>
      <w:r w:rsidRPr="00A51832">
        <w:rPr>
          <w:sz w:val="24"/>
          <w:szCs w:val="24"/>
        </w:rPr>
        <w:t xml:space="preserve">28 </w:t>
      </w:r>
      <w:r>
        <w:rPr>
          <w:sz w:val="24"/>
          <w:szCs w:val="24"/>
        </w:rPr>
        <w:t>og</w:t>
      </w:r>
      <w:r w:rsidRPr="00A51832">
        <w:rPr>
          <w:sz w:val="24"/>
          <w:szCs w:val="24"/>
        </w:rPr>
        <w:t xml:space="preserve"> 56 </w:t>
      </w:r>
      <w:r>
        <w:rPr>
          <w:sz w:val="24"/>
          <w:szCs w:val="24"/>
        </w:rPr>
        <w:t>stk.</w:t>
      </w:r>
    </w:p>
    <w:p w:rsidR="00585E4C" w:rsidRPr="00A51832" w:rsidRDefault="00585E4C" w:rsidP="00C170B4">
      <w:pPr>
        <w:ind w:left="851"/>
        <w:rPr>
          <w:sz w:val="24"/>
          <w:szCs w:val="24"/>
        </w:rPr>
      </w:pPr>
      <w:r w:rsidRPr="00A51832">
        <w:rPr>
          <w:sz w:val="24"/>
          <w:szCs w:val="24"/>
        </w:rPr>
        <w:t>Ikke alle pakningsstørrelser er nødvendigvis markedsført.</w:t>
      </w:r>
    </w:p>
    <w:p w:rsidR="00585E4C" w:rsidRPr="00A51832" w:rsidRDefault="00585E4C"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6.6</w:t>
      </w:r>
      <w:r w:rsidRPr="00A51832">
        <w:rPr>
          <w:b/>
          <w:sz w:val="24"/>
          <w:szCs w:val="24"/>
        </w:rPr>
        <w:tab/>
        <w:t xml:space="preserve">Regler for </w:t>
      </w:r>
      <w:r w:rsidR="00066561">
        <w:rPr>
          <w:b/>
          <w:sz w:val="24"/>
          <w:szCs w:val="24"/>
        </w:rPr>
        <w:t>bortskaffelse</w:t>
      </w:r>
      <w:r w:rsidRPr="00A51832">
        <w:rPr>
          <w:b/>
          <w:sz w:val="24"/>
          <w:szCs w:val="24"/>
        </w:rPr>
        <w:t xml:space="preserve"> og anden håndtering</w:t>
      </w:r>
    </w:p>
    <w:p w:rsidR="00066561" w:rsidRDefault="00066561" w:rsidP="00C170B4">
      <w:pPr>
        <w:ind w:left="851"/>
        <w:rPr>
          <w:sz w:val="24"/>
          <w:szCs w:val="24"/>
        </w:rPr>
      </w:pPr>
    </w:p>
    <w:p w:rsidR="00585E4C" w:rsidRPr="00A51832" w:rsidRDefault="00585E4C" w:rsidP="00C170B4">
      <w:pPr>
        <w:ind w:left="851"/>
        <w:rPr>
          <w:sz w:val="24"/>
          <w:szCs w:val="24"/>
        </w:rPr>
      </w:pPr>
      <w:r w:rsidRPr="00A51832">
        <w:rPr>
          <w:sz w:val="24"/>
          <w:szCs w:val="24"/>
        </w:rPr>
        <w:t>Ingen særlige forholdsregler.</w:t>
      </w:r>
    </w:p>
    <w:p w:rsidR="00585E4C" w:rsidRPr="00A51832" w:rsidRDefault="00585E4C" w:rsidP="00C170B4">
      <w:pPr>
        <w:ind w:left="851"/>
        <w:jc w:val="both"/>
        <w:rPr>
          <w:sz w:val="24"/>
          <w:szCs w:val="24"/>
        </w:rPr>
      </w:pPr>
    </w:p>
    <w:p w:rsidR="00585E4C" w:rsidRPr="00A51832" w:rsidRDefault="00585E4C" w:rsidP="00A94E42">
      <w:pPr>
        <w:ind w:left="851" w:hanging="851"/>
        <w:rPr>
          <w:b/>
          <w:sz w:val="24"/>
          <w:szCs w:val="24"/>
        </w:rPr>
      </w:pPr>
      <w:r w:rsidRPr="00A51832">
        <w:rPr>
          <w:b/>
          <w:sz w:val="24"/>
          <w:szCs w:val="24"/>
        </w:rPr>
        <w:t>7.</w:t>
      </w:r>
      <w:r w:rsidRPr="00A51832">
        <w:rPr>
          <w:b/>
          <w:sz w:val="24"/>
          <w:szCs w:val="24"/>
        </w:rPr>
        <w:tab/>
        <w:t>INDEHAVER AF MARKEDSFØRINGSTILLADELSEN</w:t>
      </w:r>
    </w:p>
    <w:p w:rsidR="00066561" w:rsidRPr="00AA1B76" w:rsidRDefault="00066561" w:rsidP="00C170B4">
      <w:pPr>
        <w:ind w:left="851"/>
        <w:rPr>
          <w:sz w:val="24"/>
          <w:szCs w:val="24"/>
        </w:rPr>
      </w:pPr>
    </w:p>
    <w:p w:rsidR="0017659D" w:rsidRDefault="0017659D" w:rsidP="00C170B4">
      <w:pPr>
        <w:ind w:left="851"/>
        <w:rPr>
          <w:sz w:val="24"/>
          <w:szCs w:val="24"/>
          <w:lang w:val="en-US"/>
        </w:rPr>
      </w:pPr>
      <w:r w:rsidRPr="0017659D">
        <w:rPr>
          <w:sz w:val="24"/>
          <w:szCs w:val="24"/>
          <w:lang w:val="en-US"/>
        </w:rPr>
        <w:t>Brown &amp; Burk IR Limited</w:t>
      </w:r>
    </w:p>
    <w:p w:rsidR="00297143" w:rsidRDefault="0017659D" w:rsidP="0017659D">
      <w:pPr>
        <w:ind w:left="851"/>
        <w:rPr>
          <w:sz w:val="24"/>
          <w:szCs w:val="24"/>
          <w:lang w:val="en-US"/>
        </w:rPr>
      </w:pPr>
      <w:r w:rsidRPr="0017659D">
        <w:rPr>
          <w:sz w:val="24"/>
          <w:szCs w:val="24"/>
          <w:lang w:val="en-US"/>
        </w:rPr>
        <w:t>22 Northumberland Road</w:t>
      </w:r>
    </w:p>
    <w:p w:rsidR="0017659D" w:rsidRPr="005523B5" w:rsidRDefault="0017659D" w:rsidP="0017659D">
      <w:pPr>
        <w:ind w:left="851"/>
        <w:rPr>
          <w:sz w:val="24"/>
          <w:szCs w:val="24"/>
        </w:rPr>
      </w:pPr>
      <w:proofErr w:type="spellStart"/>
      <w:r w:rsidRPr="005523B5">
        <w:rPr>
          <w:sz w:val="24"/>
          <w:szCs w:val="24"/>
        </w:rPr>
        <w:t>Ballsbridge</w:t>
      </w:r>
      <w:proofErr w:type="spellEnd"/>
      <w:r w:rsidR="00297143" w:rsidRPr="005523B5">
        <w:rPr>
          <w:sz w:val="24"/>
          <w:szCs w:val="24"/>
        </w:rPr>
        <w:t xml:space="preserve">, </w:t>
      </w:r>
      <w:r w:rsidRPr="005523B5">
        <w:rPr>
          <w:sz w:val="24"/>
          <w:szCs w:val="24"/>
        </w:rPr>
        <w:t>Dublin 4</w:t>
      </w:r>
    </w:p>
    <w:p w:rsidR="00585E4C" w:rsidRPr="005523B5" w:rsidRDefault="0017659D" w:rsidP="0017659D">
      <w:pPr>
        <w:ind w:left="851"/>
        <w:rPr>
          <w:sz w:val="24"/>
          <w:szCs w:val="24"/>
        </w:rPr>
      </w:pPr>
      <w:r w:rsidRPr="005523B5">
        <w:rPr>
          <w:sz w:val="24"/>
          <w:szCs w:val="24"/>
        </w:rPr>
        <w:t>Ireland</w:t>
      </w:r>
    </w:p>
    <w:p w:rsidR="001E0E74" w:rsidRPr="005523B5" w:rsidRDefault="001E0E74" w:rsidP="00C170B4">
      <w:pPr>
        <w:ind w:left="851"/>
        <w:rPr>
          <w:sz w:val="24"/>
          <w:szCs w:val="24"/>
        </w:rPr>
      </w:pPr>
    </w:p>
    <w:p w:rsidR="00585E4C" w:rsidRPr="00A51832" w:rsidRDefault="00585E4C" w:rsidP="00A94E42">
      <w:pPr>
        <w:ind w:left="851" w:hanging="851"/>
        <w:rPr>
          <w:b/>
          <w:sz w:val="24"/>
          <w:szCs w:val="24"/>
        </w:rPr>
      </w:pPr>
      <w:r w:rsidRPr="00A51832">
        <w:rPr>
          <w:b/>
          <w:sz w:val="24"/>
          <w:szCs w:val="24"/>
        </w:rPr>
        <w:t>8.</w:t>
      </w:r>
      <w:r w:rsidRPr="00A51832">
        <w:rPr>
          <w:b/>
          <w:sz w:val="24"/>
          <w:szCs w:val="24"/>
        </w:rPr>
        <w:tab/>
        <w:t>MARKEDSFØRINGSTILLADELSESNUMMER (</w:t>
      </w:r>
      <w:r w:rsidR="00066561">
        <w:rPr>
          <w:b/>
          <w:sz w:val="24"/>
          <w:szCs w:val="24"/>
        </w:rPr>
        <w:t>-</w:t>
      </w:r>
      <w:r w:rsidRPr="00A51832">
        <w:rPr>
          <w:b/>
          <w:sz w:val="24"/>
          <w:szCs w:val="24"/>
        </w:rPr>
        <w:t>NUMRE)</w:t>
      </w:r>
    </w:p>
    <w:p w:rsidR="00066561" w:rsidRDefault="00066561" w:rsidP="00C170B4">
      <w:pPr>
        <w:ind w:left="851"/>
        <w:rPr>
          <w:sz w:val="24"/>
          <w:szCs w:val="24"/>
        </w:rPr>
      </w:pPr>
    </w:p>
    <w:p w:rsidR="00585E4C" w:rsidRPr="00A51832" w:rsidRDefault="00585E4C" w:rsidP="00C170B4">
      <w:pPr>
        <w:ind w:left="851"/>
        <w:rPr>
          <w:sz w:val="24"/>
          <w:szCs w:val="24"/>
        </w:rPr>
      </w:pPr>
      <w:r w:rsidRPr="00A51832">
        <w:rPr>
          <w:sz w:val="24"/>
          <w:szCs w:val="24"/>
        </w:rPr>
        <w:t>49011</w:t>
      </w:r>
    </w:p>
    <w:p w:rsidR="00585E4C" w:rsidRPr="00A51832" w:rsidRDefault="00585E4C" w:rsidP="00C170B4">
      <w:pPr>
        <w:ind w:left="851"/>
        <w:jc w:val="both"/>
        <w:rPr>
          <w:sz w:val="24"/>
          <w:szCs w:val="24"/>
        </w:rPr>
      </w:pPr>
    </w:p>
    <w:p w:rsidR="00585E4C" w:rsidRPr="00A51832" w:rsidRDefault="00585E4C" w:rsidP="00A94E42">
      <w:pPr>
        <w:ind w:left="851" w:hanging="851"/>
        <w:rPr>
          <w:b/>
          <w:sz w:val="24"/>
          <w:szCs w:val="24"/>
        </w:rPr>
      </w:pPr>
      <w:r w:rsidRPr="00A51832">
        <w:rPr>
          <w:b/>
          <w:sz w:val="24"/>
          <w:szCs w:val="24"/>
        </w:rPr>
        <w:t>9.</w:t>
      </w:r>
      <w:r w:rsidRPr="00A51832">
        <w:rPr>
          <w:b/>
          <w:sz w:val="24"/>
          <w:szCs w:val="24"/>
        </w:rPr>
        <w:tab/>
        <w:t>DATO FOR FØRSTE MARKEDSFØRINGSTILLADELSE</w:t>
      </w:r>
    </w:p>
    <w:p w:rsidR="00066561" w:rsidRDefault="00066561" w:rsidP="00C170B4">
      <w:pPr>
        <w:ind w:left="851"/>
        <w:rPr>
          <w:sz w:val="24"/>
          <w:szCs w:val="24"/>
        </w:rPr>
      </w:pPr>
    </w:p>
    <w:p w:rsidR="00585E4C" w:rsidRPr="00A51832" w:rsidRDefault="00585E4C" w:rsidP="00C170B4">
      <w:pPr>
        <w:ind w:left="851"/>
        <w:rPr>
          <w:sz w:val="24"/>
          <w:szCs w:val="24"/>
        </w:rPr>
      </w:pPr>
      <w:r w:rsidRPr="00A51832">
        <w:rPr>
          <w:sz w:val="24"/>
          <w:szCs w:val="24"/>
        </w:rPr>
        <w:t>20. september 2012</w:t>
      </w:r>
    </w:p>
    <w:p w:rsidR="00585E4C" w:rsidRPr="00A51832" w:rsidRDefault="00585E4C" w:rsidP="00C170B4">
      <w:pPr>
        <w:ind w:left="851"/>
        <w:rPr>
          <w:sz w:val="24"/>
          <w:szCs w:val="24"/>
        </w:rPr>
      </w:pPr>
    </w:p>
    <w:p w:rsidR="00585E4C" w:rsidRPr="00A51832" w:rsidRDefault="00585E4C" w:rsidP="00C170B4">
      <w:pPr>
        <w:ind w:left="851" w:hanging="851"/>
        <w:rPr>
          <w:b/>
          <w:sz w:val="24"/>
          <w:szCs w:val="24"/>
        </w:rPr>
      </w:pPr>
      <w:r w:rsidRPr="00A51832">
        <w:rPr>
          <w:b/>
          <w:sz w:val="24"/>
          <w:szCs w:val="24"/>
        </w:rPr>
        <w:t>10.</w:t>
      </w:r>
      <w:r w:rsidRPr="00A51832">
        <w:rPr>
          <w:b/>
          <w:sz w:val="24"/>
          <w:szCs w:val="24"/>
        </w:rPr>
        <w:tab/>
        <w:t>DATO FOR ÆNDRING AF TEKSTEN</w:t>
      </w:r>
    </w:p>
    <w:p w:rsidR="00066561" w:rsidRDefault="00585E4C" w:rsidP="00511055">
      <w:pPr>
        <w:ind w:left="851" w:hanging="851"/>
        <w:rPr>
          <w:sz w:val="24"/>
          <w:szCs w:val="24"/>
        </w:rPr>
      </w:pPr>
      <w:r w:rsidRPr="00964B79">
        <w:rPr>
          <w:sz w:val="24"/>
          <w:szCs w:val="24"/>
        </w:rPr>
        <w:tab/>
      </w:r>
    </w:p>
    <w:p w:rsidR="009260DE" w:rsidRPr="00511055" w:rsidRDefault="00577F6F" w:rsidP="00066561">
      <w:pPr>
        <w:ind w:left="851"/>
        <w:rPr>
          <w:sz w:val="24"/>
          <w:szCs w:val="24"/>
        </w:rPr>
      </w:pPr>
      <w:r>
        <w:rPr>
          <w:sz w:val="24"/>
          <w:szCs w:val="24"/>
        </w:rPr>
        <w:t>2</w:t>
      </w:r>
      <w:r w:rsidR="00AA1B76">
        <w:rPr>
          <w:sz w:val="24"/>
          <w:szCs w:val="24"/>
        </w:rPr>
        <w:t>8</w:t>
      </w:r>
      <w:bookmarkStart w:id="1" w:name="_GoBack"/>
      <w:bookmarkEnd w:id="1"/>
      <w:r>
        <w:rPr>
          <w:sz w:val="24"/>
          <w:szCs w:val="24"/>
        </w:rPr>
        <w:t>. februar 2025</w:t>
      </w:r>
    </w:p>
    <w:sectPr w:rsidR="009260DE" w:rsidRPr="005110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E4C" w:rsidRDefault="00585E4C">
      <w:r>
        <w:separator/>
      </w:r>
    </w:p>
  </w:endnote>
  <w:endnote w:type="continuationSeparator" w:id="0">
    <w:p w:rsidR="00585E4C" w:rsidRDefault="0058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170B4">
      <w:rPr>
        <w:i/>
        <w:noProof/>
        <w:sz w:val="18"/>
        <w:szCs w:val="18"/>
      </w:rPr>
      <w:t>Lymecyclin Brown &amp; Burk, hårde kapsler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E4C" w:rsidRDefault="00585E4C">
      <w:r>
        <w:separator/>
      </w:r>
    </w:p>
  </w:footnote>
  <w:footnote w:type="continuationSeparator" w:id="0">
    <w:p w:rsidR="00585E4C" w:rsidRDefault="0058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4635DF"/>
    <w:multiLevelType w:val="hybridMultilevel"/>
    <w:tmpl w:val="DC9847B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4C"/>
    <w:rsid w:val="000259B9"/>
    <w:rsid w:val="00041491"/>
    <w:rsid w:val="00050D16"/>
    <w:rsid w:val="00056A6B"/>
    <w:rsid w:val="00066561"/>
    <w:rsid w:val="00074F2A"/>
    <w:rsid w:val="000A1CA8"/>
    <w:rsid w:val="000A466B"/>
    <w:rsid w:val="000B058C"/>
    <w:rsid w:val="000E4EE6"/>
    <w:rsid w:val="001454E2"/>
    <w:rsid w:val="0017659D"/>
    <w:rsid w:val="0019548F"/>
    <w:rsid w:val="001E0E74"/>
    <w:rsid w:val="00206CE8"/>
    <w:rsid w:val="0021526C"/>
    <w:rsid w:val="00283A2B"/>
    <w:rsid w:val="00297143"/>
    <w:rsid w:val="002B30AD"/>
    <w:rsid w:val="002C2C01"/>
    <w:rsid w:val="002C7840"/>
    <w:rsid w:val="0032402F"/>
    <w:rsid w:val="003A29AE"/>
    <w:rsid w:val="003A32D7"/>
    <w:rsid w:val="003B4074"/>
    <w:rsid w:val="003B6EDB"/>
    <w:rsid w:val="003C769A"/>
    <w:rsid w:val="003F1838"/>
    <w:rsid w:val="0045746C"/>
    <w:rsid w:val="0049104B"/>
    <w:rsid w:val="004E3B12"/>
    <w:rsid w:val="00511055"/>
    <w:rsid w:val="00532310"/>
    <w:rsid w:val="005523B5"/>
    <w:rsid w:val="00560ECC"/>
    <w:rsid w:val="00565F0F"/>
    <w:rsid w:val="00577F6F"/>
    <w:rsid w:val="00585E4C"/>
    <w:rsid w:val="00594A86"/>
    <w:rsid w:val="00596D86"/>
    <w:rsid w:val="00637F5A"/>
    <w:rsid w:val="006560B1"/>
    <w:rsid w:val="006756DD"/>
    <w:rsid w:val="006E5B7D"/>
    <w:rsid w:val="00737275"/>
    <w:rsid w:val="00740EEC"/>
    <w:rsid w:val="0078011A"/>
    <w:rsid w:val="00782AF4"/>
    <w:rsid w:val="00790EE7"/>
    <w:rsid w:val="007B6649"/>
    <w:rsid w:val="007C3C80"/>
    <w:rsid w:val="007F4BFB"/>
    <w:rsid w:val="0081546F"/>
    <w:rsid w:val="0082576E"/>
    <w:rsid w:val="0090522B"/>
    <w:rsid w:val="00907F75"/>
    <w:rsid w:val="009260DE"/>
    <w:rsid w:val="0093258A"/>
    <w:rsid w:val="009C7BA3"/>
    <w:rsid w:val="009D1F5A"/>
    <w:rsid w:val="00A94E42"/>
    <w:rsid w:val="00AA1B76"/>
    <w:rsid w:val="00B003BF"/>
    <w:rsid w:val="00B373D7"/>
    <w:rsid w:val="00C170B4"/>
    <w:rsid w:val="00C36276"/>
    <w:rsid w:val="00C42586"/>
    <w:rsid w:val="00C60CCD"/>
    <w:rsid w:val="00C84483"/>
    <w:rsid w:val="00C95551"/>
    <w:rsid w:val="00CB20D7"/>
    <w:rsid w:val="00D020B0"/>
    <w:rsid w:val="00D11748"/>
    <w:rsid w:val="00D30DBC"/>
    <w:rsid w:val="00D366CF"/>
    <w:rsid w:val="00DA7971"/>
    <w:rsid w:val="00E108AA"/>
    <w:rsid w:val="00E31812"/>
    <w:rsid w:val="00E3749A"/>
    <w:rsid w:val="00E7437F"/>
    <w:rsid w:val="00E865B8"/>
    <w:rsid w:val="00EC0B9B"/>
    <w:rsid w:val="00ED5E9F"/>
    <w:rsid w:val="00F5287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58EB2"/>
  <w15:chartTrackingRefBased/>
  <w15:docId w15:val="{CAF7D089-631E-42B9-9971-5E38AC24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85E4C"/>
    <w:rPr>
      <w:color w:val="0563C1"/>
      <w:u w:val="single"/>
    </w:rPr>
  </w:style>
  <w:style w:type="paragraph" w:styleId="Listeafsnit">
    <w:name w:val="List Paragraph"/>
    <w:basedOn w:val="Normal"/>
    <w:uiPriority w:val="34"/>
    <w:qFormat/>
    <w:rsid w:val="00066561"/>
    <w:pPr>
      <w:spacing w:after="160" w:line="25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894">
      <w:bodyDiv w:val="1"/>
      <w:marLeft w:val="0"/>
      <w:marRight w:val="0"/>
      <w:marTop w:val="0"/>
      <w:marBottom w:val="0"/>
      <w:divBdr>
        <w:top w:val="none" w:sz="0" w:space="0" w:color="auto"/>
        <w:left w:val="none" w:sz="0" w:space="0" w:color="auto"/>
        <w:bottom w:val="none" w:sz="0" w:space="0" w:color="auto"/>
        <w:right w:val="none" w:sz="0" w:space="0" w:color="auto"/>
      </w:divBdr>
    </w:div>
    <w:div w:id="10497421">
      <w:bodyDiv w:val="1"/>
      <w:marLeft w:val="0"/>
      <w:marRight w:val="0"/>
      <w:marTop w:val="0"/>
      <w:marBottom w:val="0"/>
      <w:divBdr>
        <w:top w:val="none" w:sz="0" w:space="0" w:color="auto"/>
        <w:left w:val="none" w:sz="0" w:space="0" w:color="auto"/>
        <w:bottom w:val="none" w:sz="0" w:space="0" w:color="auto"/>
        <w:right w:val="none" w:sz="0" w:space="0" w:color="auto"/>
      </w:divBdr>
    </w:div>
    <w:div w:id="234838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570521">
      <w:bodyDiv w:val="1"/>
      <w:marLeft w:val="0"/>
      <w:marRight w:val="0"/>
      <w:marTop w:val="0"/>
      <w:marBottom w:val="0"/>
      <w:divBdr>
        <w:top w:val="none" w:sz="0" w:space="0" w:color="auto"/>
        <w:left w:val="none" w:sz="0" w:space="0" w:color="auto"/>
        <w:bottom w:val="none" w:sz="0" w:space="0" w:color="auto"/>
        <w:right w:val="none" w:sz="0" w:space="0" w:color="auto"/>
      </w:divBdr>
    </w:div>
    <w:div w:id="228661910">
      <w:bodyDiv w:val="1"/>
      <w:marLeft w:val="0"/>
      <w:marRight w:val="0"/>
      <w:marTop w:val="0"/>
      <w:marBottom w:val="0"/>
      <w:divBdr>
        <w:top w:val="none" w:sz="0" w:space="0" w:color="auto"/>
        <w:left w:val="none" w:sz="0" w:space="0" w:color="auto"/>
        <w:bottom w:val="none" w:sz="0" w:space="0" w:color="auto"/>
        <w:right w:val="none" w:sz="0" w:space="0" w:color="auto"/>
      </w:divBdr>
    </w:div>
    <w:div w:id="258680615">
      <w:bodyDiv w:val="1"/>
      <w:marLeft w:val="0"/>
      <w:marRight w:val="0"/>
      <w:marTop w:val="0"/>
      <w:marBottom w:val="0"/>
      <w:divBdr>
        <w:top w:val="none" w:sz="0" w:space="0" w:color="auto"/>
        <w:left w:val="none" w:sz="0" w:space="0" w:color="auto"/>
        <w:bottom w:val="none" w:sz="0" w:space="0" w:color="auto"/>
        <w:right w:val="none" w:sz="0" w:space="0" w:color="auto"/>
      </w:divBdr>
    </w:div>
    <w:div w:id="706444618">
      <w:bodyDiv w:val="1"/>
      <w:marLeft w:val="0"/>
      <w:marRight w:val="0"/>
      <w:marTop w:val="0"/>
      <w:marBottom w:val="0"/>
      <w:divBdr>
        <w:top w:val="none" w:sz="0" w:space="0" w:color="auto"/>
        <w:left w:val="none" w:sz="0" w:space="0" w:color="auto"/>
        <w:bottom w:val="none" w:sz="0" w:space="0" w:color="auto"/>
        <w:right w:val="none" w:sz="0" w:space="0" w:color="auto"/>
      </w:divBdr>
    </w:div>
    <w:div w:id="1047877598">
      <w:bodyDiv w:val="1"/>
      <w:marLeft w:val="0"/>
      <w:marRight w:val="0"/>
      <w:marTop w:val="0"/>
      <w:marBottom w:val="0"/>
      <w:divBdr>
        <w:top w:val="none" w:sz="0" w:space="0" w:color="auto"/>
        <w:left w:val="none" w:sz="0" w:space="0" w:color="auto"/>
        <w:bottom w:val="none" w:sz="0" w:space="0" w:color="auto"/>
        <w:right w:val="none" w:sz="0" w:space="0" w:color="auto"/>
      </w:divBdr>
    </w:div>
    <w:div w:id="1272274074">
      <w:bodyDiv w:val="1"/>
      <w:marLeft w:val="0"/>
      <w:marRight w:val="0"/>
      <w:marTop w:val="0"/>
      <w:marBottom w:val="0"/>
      <w:divBdr>
        <w:top w:val="none" w:sz="0" w:space="0" w:color="auto"/>
        <w:left w:val="none" w:sz="0" w:space="0" w:color="auto"/>
        <w:bottom w:val="none" w:sz="0" w:space="0" w:color="auto"/>
        <w:right w:val="none" w:sz="0" w:space="0" w:color="auto"/>
      </w:divBdr>
    </w:div>
    <w:div w:id="1341591526">
      <w:bodyDiv w:val="1"/>
      <w:marLeft w:val="0"/>
      <w:marRight w:val="0"/>
      <w:marTop w:val="0"/>
      <w:marBottom w:val="0"/>
      <w:divBdr>
        <w:top w:val="none" w:sz="0" w:space="0" w:color="auto"/>
        <w:left w:val="none" w:sz="0" w:space="0" w:color="auto"/>
        <w:bottom w:val="none" w:sz="0" w:space="0" w:color="auto"/>
        <w:right w:val="none" w:sz="0" w:space="0" w:color="auto"/>
      </w:divBdr>
    </w:div>
    <w:div w:id="1946690224">
      <w:bodyDiv w:val="1"/>
      <w:marLeft w:val="0"/>
      <w:marRight w:val="0"/>
      <w:marTop w:val="0"/>
      <w:marBottom w:val="0"/>
      <w:divBdr>
        <w:top w:val="none" w:sz="0" w:space="0" w:color="auto"/>
        <w:left w:val="none" w:sz="0" w:space="0" w:color="auto"/>
        <w:bottom w:val="none" w:sz="0" w:space="0" w:color="auto"/>
        <w:right w:val="none" w:sz="0" w:space="0" w:color="auto"/>
      </w:divBdr>
    </w:div>
    <w:div w:id="2036346876">
      <w:bodyDiv w:val="1"/>
      <w:marLeft w:val="0"/>
      <w:marRight w:val="0"/>
      <w:marTop w:val="0"/>
      <w:marBottom w:val="0"/>
      <w:divBdr>
        <w:top w:val="none" w:sz="0" w:space="0" w:color="auto"/>
        <w:left w:val="none" w:sz="0" w:space="0" w:color="auto"/>
        <w:bottom w:val="none" w:sz="0" w:space="0" w:color="auto"/>
        <w:right w:val="none" w:sz="0" w:space="0" w:color="auto"/>
      </w:divBdr>
    </w:div>
    <w:div w:id="20720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2076</Words>
  <Characters>14281</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2023010718 _x000d_
SPC pkt. 1, 2, 3, 4.1, 4.2, 4.3, 4.4, 4.5, 4.7, 4.8, 4.9, 5.1, 5.2, 5.3, QRD</dc:description>
  <cp:lastModifiedBy>Lea Daugaard Kristiansen</cp:lastModifiedBy>
  <cp:revision>4</cp:revision>
  <cp:lastPrinted>2012-08-22T08:53:00Z</cp:lastPrinted>
  <dcterms:created xsi:type="dcterms:W3CDTF">2025-02-20T12:31:00Z</dcterms:created>
  <dcterms:modified xsi:type="dcterms:W3CDTF">2025-02-28T08:40:00Z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