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r w:rsidRPr="00303008">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303008" w:rsidRDefault="006B3847" w:rsidP="006B3847">
      <w:pPr>
        <w:tabs>
          <w:tab w:val="right" w:pos="9356"/>
        </w:tabs>
        <w:rPr>
          <w:b/>
          <w:sz w:val="24"/>
          <w:szCs w:val="24"/>
          <w:lang w:val="en-GB"/>
        </w:rPr>
      </w:pPr>
      <w:r w:rsidRPr="00303008">
        <w:rPr>
          <w:b/>
          <w:sz w:val="24"/>
          <w:szCs w:val="24"/>
          <w:lang w:val="en-GB"/>
        </w:rPr>
        <w:tab/>
      </w:r>
      <w:r w:rsidR="004F01F7">
        <w:rPr>
          <w:b/>
          <w:sz w:val="24"/>
          <w:szCs w:val="24"/>
          <w:lang w:val="en-GB"/>
        </w:rPr>
        <w:t>18. juli 2022</w:t>
      </w:r>
    </w:p>
    <w:p w:rsidR="006B3847" w:rsidRPr="00303008" w:rsidRDefault="006B3847" w:rsidP="006B3847">
      <w:pPr>
        <w:rPr>
          <w:sz w:val="24"/>
          <w:szCs w:val="24"/>
          <w:lang w:val="en-GB"/>
        </w:rPr>
      </w:pPr>
    </w:p>
    <w:p w:rsidR="007C5D2A" w:rsidRDefault="007C5D2A" w:rsidP="007C5D2A">
      <w:pPr>
        <w:rPr>
          <w:sz w:val="24"/>
          <w:szCs w:val="24"/>
          <w:lang w:val="en-GB"/>
        </w:rPr>
      </w:pPr>
    </w:p>
    <w:p w:rsidR="00E312D1" w:rsidRDefault="00E312D1" w:rsidP="007C5D2A">
      <w:pPr>
        <w:rPr>
          <w:sz w:val="24"/>
          <w:szCs w:val="24"/>
          <w:lang w:val="en-GB"/>
        </w:rPr>
      </w:pPr>
    </w:p>
    <w:p w:rsidR="00165110" w:rsidRPr="00303008" w:rsidRDefault="00165110" w:rsidP="007C5D2A">
      <w:pPr>
        <w:rPr>
          <w:sz w:val="24"/>
          <w:szCs w:val="24"/>
          <w:lang w:val="en-GB"/>
        </w:rPr>
      </w:pPr>
    </w:p>
    <w:p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1C0439" w:rsidRDefault="001C0439" w:rsidP="007C5D2A">
      <w:pPr>
        <w:jc w:val="center"/>
        <w:rPr>
          <w:b/>
          <w:sz w:val="24"/>
          <w:szCs w:val="24"/>
        </w:rPr>
      </w:pPr>
      <w:r w:rsidRPr="001C0439">
        <w:rPr>
          <w:b/>
          <w:sz w:val="24"/>
          <w:szCs w:val="24"/>
        </w:rPr>
        <w:t>Lyomet, p</w:t>
      </w:r>
      <w:r>
        <w:rPr>
          <w:b/>
          <w:sz w:val="24"/>
          <w:szCs w:val="24"/>
        </w:rPr>
        <w:t>rolonged release tablets</w:t>
      </w:r>
    </w:p>
    <w:p w:rsidR="007C5D2A" w:rsidRPr="001C0439" w:rsidRDefault="007C5D2A" w:rsidP="007C5D2A">
      <w:pPr>
        <w:jc w:val="both"/>
        <w:rPr>
          <w:sz w:val="24"/>
          <w:szCs w:val="24"/>
        </w:rPr>
      </w:pPr>
    </w:p>
    <w:p w:rsidR="0042292D" w:rsidRPr="001C0439" w:rsidRDefault="0042292D" w:rsidP="007C5D2A">
      <w:pPr>
        <w:jc w:val="both"/>
        <w:rPr>
          <w:sz w:val="24"/>
          <w:szCs w:val="24"/>
        </w:rPr>
      </w:pPr>
    </w:p>
    <w:p w:rsidR="008F2F8C" w:rsidRPr="001C0439" w:rsidRDefault="008F2F8C" w:rsidP="008F2F8C">
      <w:pPr>
        <w:tabs>
          <w:tab w:val="left" w:pos="8222"/>
        </w:tabs>
        <w:ind w:left="851" w:hanging="851"/>
        <w:rPr>
          <w:b/>
          <w:sz w:val="24"/>
          <w:szCs w:val="24"/>
        </w:rPr>
      </w:pPr>
      <w:r w:rsidRPr="001C0439">
        <w:rPr>
          <w:b/>
          <w:sz w:val="24"/>
          <w:szCs w:val="24"/>
        </w:rPr>
        <w:t>0.</w:t>
      </w:r>
      <w:r w:rsidRPr="001C0439">
        <w:rPr>
          <w:b/>
          <w:sz w:val="24"/>
          <w:szCs w:val="24"/>
        </w:rPr>
        <w:tab/>
        <w:t>D.SP.NO.</w:t>
      </w:r>
    </w:p>
    <w:p w:rsidR="008F2F8C" w:rsidRPr="00303008" w:rsidRDefault="001C0439" w:rsidP="008F2F8C">
      <w:pPr>
        <w:tabs>
          <w:tab w:val="left" w:pos="8222"/>
        </w:tabs>
        <w:ind w:left="851"/>
        <w:rPr>
          <w:sz w:val="24"/>
          <w:szCs w:val="24"/>
          <w:lang w:val="en-GB"/>
        </w:rPr>
      </w:pPr>
      <w:r>
        <w:rPr>
          <w:sz w:val="24"/>
          <w:szCs w:val="24"/>
          <w:lang w:val="en-GB"/>
        </w:rPr>
        <w:t>28663</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1C0439" w:rsidP="004A3BF4">
      <w:pPr>
        <w:tabs>
          <w:tab w:val="left" w:pos="851"/>
        </w:tabs>
        <w:ind w:left="851"/>
        <w:rPr>
          <w:sz w:val="24"/>
          <w:szCs w:val="24"/>
          <w:lang w:val="en-GB"/>
        </w:rPr>
      </w:pPr>
      <w:r>
        <w:rPr>
          <w:sz w:val="24"/>
          <w:szCs w:val="24"/>
          <w:lang w:val="en-GB"/>
        </w:rPr>
        <w:t>Lyomet</w:t>
      </w:r>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D026FD" w:rsidRDefault="00D026FD" w:rsidP="00D026FD">
      <w:pPr>
        <w:tabs>
          <w:tab w:val="left" w:pos="851"/>
        </w:tabs>
        <w:ind w:left="851"/>
        <w:rPr>
          <w:sz w:val="24"/>
          <w:szCs w:val="24"/>
          <w:lang w:val="en-GB"/>
        </w:rPr>
      </w:pPr>
    </w:p>
    <w:p w:rsidR="00D026FD" w:rsidRPr="0066126F" w:rsidRDefault="00D026FD" w:rsidP="00D026FD">
      <w:pPr>
        <w:tabs>
          <w:tab w:val="left" w:pos="851"/>
        </w:tabs>
        <w:ind w:left="851"/>
        <w:rPr>
          <w:sz w:val="24"/>
          <w:szCs w:val="24"/>
          <w:u w:val="single"/>
          <w:lang w:val="en-GB"/>
        </w:rPr>
      </w:pPr>
      <w:r w:rsidRPr="0066126F">
        <w:rPr>
          <w:sz w:val="24"/>
          <w:szCs w:val="24"/>
          <w:u w:val="single"/>
          <w:lang w:val="en-GB"/>
        </w:rPr>
        <w:t>500 mg</w:t>
      </w:r>
    </w:p>
    <w:p w:rsidR="00D026FD" w:rsidRDefault="00D026FD" w:rsidP="00D026FD">
      <w:pPr>
        <w:tabs>
          <w:tab w:val="left" w:pos="851"/>
        </w:tabs>
        <w:ind w:left="851"/>
        <w:rPr>
          <w:sz w:val="24"/>
          <w:szCs w:val="24"/>
          <w:lang w:val="en-GB"/>
        </w:rPr>
      </w:pPr>
      <w:r w:rsidRPr="00D026FD">
        <w:rPr>
          <w:sz w:val="24"/>
          <w:szCs w:val="24"/>
          <w:lang w:val="en-GB"/>
        </w:rPr>
        <w:t>Each prolonged release tablet contains 500 mg metformin hydrochloride corresponding to 390 mg metformin base.</w:t>
      </w:r>
    </w:p>
    <w:p w:rsidR="00D026FD" w:rsidRPr="00D026FD" w:rsidRDefault="00D026FD" w:rsidP="00D026FD">
      <w:pPr>
        <w:tabs>
          <w:tab w:val="left" w:pos="851"/>
        </w:tabs>
        <w:ind w:left="851"/>
        <w:rPr>
          <w:bCs/>
          <w:sz w:val="24"/>
          <w:szCs w:val="24"/>
          <w:lang w:val="en-GB"/>
        </w:rPr>
      </w:pPr>
    </w:p>
    <w:p w:rsidR="00D026FD" w:rsidRPr="0066126F" w:rsidRDefault="00D026FD" w:rsidP="00D026FD">
      <w:pPr>
        <w:tabs>
          <w:tab w:val="left" w:pos="851"/>
        </w:tabs>
        <w:ind w:left="851"/>
        <w:rPr>
          <w:sz w:val="24"/>
          <w:szCs w:val="24"/>
          <w:u w:val="single"/>
          <w:lang w:val="en-GB"/>
        </w:rPr>
      </w:pPr>
      <w:r w:rsidRPr="0066126F">
        <w:rPr>
          <w:sz w:val="24"/>
          <w:szCs w:val="24"/>
          <w:u w:val="single"/>
          <w:lang w:val="en-GB"/>
        </w:rPr>
        <w:t>750 mg</w:t>
      </w:r>
    </w:p>
    <w:p w:rsidR="00D026FD" w:rsidRPr="00D026FD" w:rsidRDefault="00D026FD" w:rsidP="00D026FD">
      <w:pPr>
        <w:tabs>
          <w:tab w:val="left" w:pos="851"/>
        </w:tabs>
        <w:ind w:left="851"/>
        <w:rPr>
          <w:bCs/>
          <w:sz w:val="24"/>
          <w:szCs w:val="24"/>
          <w:lang w:val="en-GB"/>
        </w:rPr>
      </w:pPr>
      <w:r w:rsidRPr="00D026FD">
        <w:rPr>
          <w:sz w:val="24"/>
          <w:szCs w:val="24"/>
          <w:lang w:val="en-GB"/>
        </w:rPr>
        <w:t>Each prolonged release tablet contains 750 mg metformin hydrochloride corresponding to 585 mg metformin base.</w:t>
      </w:r>
    </w:p>
    <w:p w:rsidR="00D026FD" w:rsidRDefault="00D026FD" w:rsidP="00D026FD">
      <w:pPr>
        <w:tabs>
          <w:tab w:val="left" w:pos="851"/>
        </w:tabs>
        <w:ind w:left="851"/>
        <w:rPr>
          <w:sz w:val="24"/>
          <w:szCs w:val="24"/>
          <w:lang w:val="en-GB"/>
        </w:rPr>
      </w:pPr>
    </w:p>
    <w:p w:rsidR="00D026FD" w:rsidRPr="0066126F" w:rsidRDefault="00D026FD" w:rsidP="00D026FD">
      <w:pPr>
        <w:tabs>
          <w:tab w:val="left" w:pos="851"/>
        </w:tabs>
        <w:ind w:left="851"/>
        <w:rPr>
          <w:sz w:val="24"/>
          <w:szCs w:val="24"/>
          <w:u w:val="single"/>
          <w:lang w:val="en-GB"/>
        </w:rPr>
      </w:pPr>
      <w:r w:rsidRPr="0066126F">
        <w:rPr>
          <w:sz w:val="24"/>
          <w:szCs w:val="24"/>
          <w:u w:val="single"/>
          <w:lang w:val="en-GB"/>
        </w:rPr>
        <w:t>1000 mg</w:t>
      </w:r>
    </w:p>
    <w:p w:rsidR="00D026FD" w:rsidRDefault="00D026FD" w:rsidP="00D026FD">
      <w:pPr>
        <w:tabs>
          <w:tab w:val="left" w:pos="851"/>
        </w:tabs>
        <w:ind w:left="851"/>
        <w:rPr>
          <w:sz w:val="24"/>
          <w:szCs w:val="24"/>
          <w:lang w:val="en-GB"/>
        </w:rPr>
      </w:pPr>
      <w:r w:rsidRPr="00D026FD">
        <w:rPr>
          <w:sz w:val="24"/>
          <w:szCs w:val="24"/>
          <w:lang w:val="en-GB"/>
        </w:rPr>
        <w:t>Each prolonged release tablet contains 1000 mg metformin hydrochloride corresponding to 780 mg metformin base.</w:t>
      </w:r>
    </w:p>
    <w:p w:rsidR="007B73F8" w:rsidRDefault="007B73F8" w:rsidP="00D026FD">
      <w:pPr>
        <w:tabs>
          <w:tab w:val="left" w:pos="851"/>
        </w:tabs>
        <w:ind w:left="851"/>
        <w:rPr>
          <w:sz w:val="24"/>
          <w:szCs w:val="24"/>
          <w:lang w:val="en-GB"/>
        </w:rPr>
      </w:pPr>
    </w:p>
    <w:p w:rsidR="007B73F8" w:rsidRPr="007B73F8" w:rsidRDefault="007B73F8" w:rsidP="007B73F8">
      <w:pPr>
        <w:tabs>
          <w:tab w:val="left" w:pos="851"/>
        </w:tabs>
        <w:ind w:left="851"/>
        <w:rPr>
          <w:sz w:val="24"/>
          <w:szCs w:val="24"/>
          <w:lang w:val="en-GB"/>
        </w:rPr>
      </w:pPr>
      <w:r w:rsidRPr="007B73F8">
        <w:rPr>
          <w:sz w:val="24"/>
          <w:szCs w:val="24"/>
          <w:lang w:val="en-GB"/>
        </w:rPr>
        <w:t>For the full list of excipients, see section 6.1.</w:t>
      </w:r>
    </w:p>
    <w:p w:rsidR="007B73F8" w:rsidRPr="007B73F8" w:rsidRDefault="007B73F8" w:rsidP="00D026FD">
      <w:pPr>
        <w:tabs>
          <w:tab w:val="left" w:pos="851"/>
        </w:tabs>
        <w:ind w:left="851"/>
        <w:rPr>
          <w:sz w:val="24"/>
          <w:szCs w:val="24"/>
          <w:lang w:val="en-GB"/>
        </w:rPr>
      </w:pPr>
    </w:p>
    <w:p w:rsidR="007C5D2A" w:rsidRPr="00D026FD" w:rsidRDefault="007C5D2A" w:rsidP="004A3BF4">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66126F" w:rsidRPr="0066126F" w:rsidRDefault="0066126F" w:rsidP="0066126F">
      <w:pPr>
        <w:tabs>
          <w:tab w:val="left" w:pos="851"/>
        </w:tabs>
        <w:ind w:left="851"/>
        <w:rPr>
          <w:bCs/>
          <w:sz w:val="24"/>
          <w:szCs w:val="24"/>
          <w:lang w:val="en-GB"/>
        </w:rPr>
      </w:pPr>
      <w:r w:rsidRPr="0066126F">
        <w:rPr>
          <w:bCs/>
          <w:sz w:val="24"/>
          <w:szCs w:val="24"/>
          <w:lang w:val="en-GB"/>
        </w:rPr>
        <w:t>Prolonged release tablet</w:t>
      </w:r>
      <w:r>
        <w:rPr>
          <w:bCs/>
          <w:sz w:val="24"/>
          <w:szCs w:val="24"/>
          <w:lang w:val="en-GB"/>
        </w:rPr>
        <w:t>s</w:t>
      </w:r>
    </w:p>
    <w:p w:rsidR="0066126F" w:rsidRPr="0066126F" w:rsidRDefault="0066126F" w:rsidP="0066126F">
      <w:pPr>
        <w:tabs>
          <w:tab w:val="left" w:pos="851"/>
        </w:tabs>
        <w:ind w:left="851"/>
        <w:rPr>
          <w:sz w:val="24"/>
          <w:szCs w:val="24"/>
          <w:lang w:val="en-GB"/>
        </w:rPr>
      </w:pPr>
    </w:p>
    <w:p w:rsidR="0066126F" w:rsidRPr="00346462" w:rsidRDefault="0066126F" w:rsidP="0066126F">
      <w:pPr>
        <w:tabs>
          <w:tab w:val="left" w:pos="851"/>
        </w:tabs>
        <w:ind w:left="851"/>
        <w:rPr>
          <w:sz w:val="24"/>
          <w:szCs w:val="24"/>
          <w:u w:val="single"/>
          <w:lang w:val="en-GB"/>
        </w:rPr>
      </w:pPr>
      <w:r w:rsidRPr="00346462">
        <w:rPr>
          <w:sz w:val="24"/>
          <w:szCs w:val="24"/>
          <w:u w:val="single"/>
          <w:lang w:val="en-GB"/>
        </w:rPr>
        <w:t>500 mg</w:t>
      </w:r>
    </w:p>
    <w:p w:rsidR="0066126F" w:rsidRPr="0066126F" w:rsidRDefault="0066126F" w:rsidP="0066126F">
      <w:pPr>
        <w:tabs>
          <w:tab w:val="left" w:pos="851"/>
        </w:tabs>
        <w:ind w:left="851"/>
        <w:rPr>
          <w:sz w:val="24"/>
          <w:szCs w:val="24"/>
          <w:lang w:val="en-GB"/>
        </w:rPr>
      </w:pPr>
      <w:r>
        <w:rPr>
          <w:sz w:val="24"/>
          <w:szCs w:val="24"/>
          <w:lang w:val="en-GB"/>
        </w:rPr>
        <w:t>W</w:t>
      </w:r>
      <w:r w:rsidRPr="0066126F">
        <w:rPr>
          <w:sz w:val="24"/>
          <w:szCs w:val="24"/>
          <w:lang w:val="en-GB"/>
        </w:rPr>
        <w:t>hite to off-white, capsule shaped uncoated tablets, 16.50 mm in length, 8.20 mm in width, debossed with 'XR500' on one side and plain on other side.</w:t>
      </w:r>
    </w:p>
    <w:p w:rsidR="0066126F" w:rsidRPr="0066126F" w:rsidRDefault="0066126F" w:rsidP="0066126F">
      <w:pPr>
        <w:tabs>
          <w:tab w:val="left" w:pos="851"/>
        </w:tabs>
        <w:ind w:left="851"/>
        <w:rPr>
          <w:sz w:val="24"/>
          <w:szCs w:val="24"/>
          <w:lang w:val="en-GB"/>
        </w:rPr>
      </w:pPr>
    </w:p>
    <w:p w:rsidR="0066126F" w:rsidRPr="00346462" w:rsidRDefault="0066126F" w:rsidP="0066126F">
      <w:pPr>
        <w:tabs>
          <w:tab w:val="left" w:pos="851"/>
        </w:tabs>
        <w:ind w:left="851"/>
        <w:rPr>
          <w:sz w:val="24"/>
          <w:szCs w:val="24"/>
          <w:u w:val="single"/>
          <w:lang w:val="en-GB"/>
        </w:rPr>
      </w:pPr>
      <w:r w:rsidRPr="00346462">
        <w:rPr>
          <w:sz w:val="24"/>
          <w:szCs w:val="24"/>
          <w:u w:val="single"/>
          <w:lang w:val="en-GB"/>
        </w:rPr>
        <w:t>750 mg</w:t>
      </w:r>
    </w:p>
    <w:p w:rsidR="0066126F" w:rsidRPr="0066126F" w:rsidRDefault="0066126F" w:rsidP="0066126F">
      <w:pPr>
        <w:tabs>
          <w:tab w:val="left" w:pos="851"/>
        </w:tabs>
        <w:ind w:left="851"/>
        <w:rPr>
          <w:bCs/>
          <w:sz w:val="24"/>
          <w:szCs w:val="24"/>
          <w:lang w:val="en-GB"/>
        </w:rPr>
      </w:pPr>
      <w:r>
        <w:rPr>
          <w:sz w:val="24"/>
          <w:szCs w:val="24"/>
          <w:lang w:val="en-GB"/>
        </w:rPr>
        <w:t>W</w:t>
      </w:r>
      <w:r w:rsidRPr="0066126F">
        <w:rPr>
          <w:sz w:val="24"/>
          <w:szCs w:val="24"/>
          <w:lang w:val="en-GB"/>
        </w:rPr>
        <w:t>hite to off-white, capsule shaped, uncoated tablets, 19.60 mm in length, 9.30 mm in width, debossed with 'XR 750' on one side and plain on other side</w:t>
      </w:r>
    </w:p>
    <w:p w:rsidR="0066126F" w:rsidRPr="0066126F" w:rsidRDefault="0066126F" w:rsidP="0066126F">
      <w:pPr>
        <w:tabs>
          <w:tab w:val="left" w:pos="851"/>
        </w:tabs>
        <w:ind w:left="851"/>
        <w:rPr>
          <w:bCs/>
          <w:sz w:val="24"/>
          <w:szCs w:val="24"/>
          <w:lang w:val="en-GB"/>
        </w:rPr>
      </w:pPr>
    </w:p>
    <w:p w:rsidR="0066126F" w:rsidRPr="00346462" w:rsidRDefault="0066126F" w:rsidP="0066126F">
      <w:pPr>
        <w:tabs>
          <w:tab w:val="left" w:pos="851"/>
        </w:tabs>
        <w:ind w:left="851"/>
        <w:rPr>
          <w:sz w:val="24"/>
          <w:szCs w:val="24"/>
          <w:u w:val="single"/>
          <w:lang w:val="en-GB"/>
        </w:rPr>
      </w:pPr>
      <w:r w:rsidRPr="00346462">
        <w:rPr>
          <w:sz w:val="24"/>
          <w:szCs w:val="24"/>
          <w:u w:val="single"/>
          <w:lang w:val="en-GB"/>
        </w:rPr>
        <w:t>1000 mg</w:t>
      </w:r>
    </w:p>
    <w:p w:rsidR="0066126F" w:rsidRPr="0066126F" w:rsidRDefault="0066126F" w:rsidP="0066126F">
      <w:pPr>
        <w:tabs>
          <w:tab w:val="left" w:pos="851"/>
        </w:tabs>
        <w:ind w:left="851"/>
        <w:rPr>
          <w:sz w:val="24"/>
          <w:szCs w:val="24"/>
          <w:lang w:val="en-GB"/>
        </w:rPr>
      </w:pPr>
      <w:r>
        <w:rPr>
          <w:sz w:val="24"/>
          <w:szCs w:val="24"/>
          <w:lang w:val="en-GB"/>
        </w:rPr>
        <w:t>W</w:t>
      </w:r>
      <w:r w:rsidRPr="0066126F">
        <w:rPr>
          <w:sz w:val="24"/>
          <w:szCs w:val="24"/>
          <w:lang w:val="en-GB"/>
        </w:rPr>
        <w:t>hite to off-white, capsule shaped, uncoated tablets, 21.10 mm in length, 10.10 mm in width, debossed with 'XR 1000' on one side and plain on other side.</w:t>
      </w:r>
    </w:p>
    <w:p w:rsidR="0066126F" w:rsidRPr="0066126F" w:rsidRDefault="0066126F" w:rsidP="0066126F">
      <w:pPr>
        <w:tabs>
          <w:tab w:val="left" w:pos="851"/>
        </w:tabs>
        <w:ind w:left="851"/>
        <w:rPr>
          <w:sz w:val="24"/>
          <w:szCs w:val="24"/>
          <w:lang w:val="en-GB"/>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346462" w:rsidRPr="00346462" w:rsidRDefault="00346462" w:rsidP="00346462">
      <w:pPr>
        <w:tabs>
          <w:tab w:val="left" w:pos="851"/>
        </w:tabs>
        <w:ind w:left="851"/>
        <w:rPr>
          <w:i/>
          <w:sz w:val="24"/>
          <w:szCs w:val="24"/>
          <w:lang w:val="en-GB"/>
        </w:rPr>
      </w:pPr>
      <w:r w:rsidRPr="00346462">
        <w:rPr>
          <w:sz w:val="24"/>
          <w:szCs w:val="24"/>
          <w:lang w:val="en-GB"/>
        </w:rPr>
        <w:t>Treatment of type 2 diabetes mellitus in adults, particularly in overweight patients, when dietary management and exercise alone does not result in adequate glycaemic control. Metformin prolonged release tablets may be used as monotherapy or in combination with other oral antidiabetic agents, or with insulin.</w:t>
      </w:r>
    </w:p>
    <w:p w:rsidR="00346462" w:rsidRPr="00346462" w:rsidRDefault="00346462" w:rsidP="00346462">
      <w:pPr>
        <w:tabs>
          <w:tab w:val="left" w:pos="851"/>
        </w:tabs>
        <w:ind w:left="851"/>
        <w:rPr>
          <w:sz w:val="24"/>
          <w:szCs w:val="24"/>
          <w:lang w:val="en-GB"/>
        </w:rPr>
      </w:pPr>
    </w:p>
    <w:p w:rsidR="00346462" w:rsidRPr="00346462" w:rsidRDefault="00346462" w:rsidP="00346462">
      <w:pPr>
        <w:tabs>
          <w:tab w:val="left" w:pos="851"/>
        </w:tabs>
        <w:ind w:left="851"/>
        <w:rPr>
          <w:sz w:val="24"/>
          <w:szCs w:val="24"/>
          <w:lang w:val="hu-HU"/>
        </w:rPr>
      </w:pPr>
      <w:r w:rsidRPr="00346462">
        <w:rPr>
          <w:sz w:val="24"/>
          <w:szCs w:val="24"/>
          <w:lang w:val="hu-HU"/>
        </w:rPr>
        <w:t>For study results with respect to effects on glycaemic control and diabetic complications, see section 5.1.</w:t>
      </w:r>
    </w:p>
    <w:p w:rsidR="007C5D2A" w:rsidRPr="00346462" w:rsidRDefault="007C5D2A" w:rsidP="00A85D26">
      <w:pPr>
        <w:tabs>
          <w:tab w:val="left" w:pos="851"/>
        </w:tabs>
        <w:ind w:left="851"/>
        <w:rPr>
          <w:sz w:val="24"/>
          <w:szCs w:val="24"/>
          <w:lang w:val="hu-HU"/>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346462" w:rsidRPr="00346462" w:rsidRDefault="00346462" w:rsidP="00346462">
      <w:pPr>
        <w:tabs>
          <w:tab w:val="left" w:pos="851"/>
        </w:tabs>
        <w:ind w:left="851"/>
        <w:rPr>
          <w:sz w:val="24"/>
          <w:szCs w:val="24"/>
          <w:lang w:val="en-GB"/>
        </w:rPr>
      </w:pPr>
    </w:p>
    <w:p w:rsidR="00346462" w:rsidRPr="007910FC" w:rsidRDefault="00346462" w:rsidP="00346462">
      <w:pPr>
        <w:tabs>
          <w:tab w:val="left" w:pos="851"/>
        </w:tabs>
        <w:ind w:left="851"/>
        <w:rPr>
          <w:b/>
          <w:sz w:val="24"/>
          <w:szCs w:val="24"/>
          <w:lang w:val="en-GB"/>
        </w:rPr>
      </w:pPr>
      <w:r w:rsidRPr="007910FC">
        <w:rPr>
          <w:b/>
          <w:sz w:val="24"/>
          <w:szCs w:val="24"/>
          <w:lang w:val="en-GB"/>
        </w:rPr>
        <w:t>Posology</w:t>
      </w:r>
    </w:p>
    <w:p w:rsidR="00346462" w:rsidRPr="00346462" w:rsidRDefault="00346462" w:rsidP="00346462">
      <w:pPr>
        <w:tabs>
          <w:tab w:val="left" w:pos="851"/>
        </w:tabs>
        <w:ind w:left="851"/>
        <w:rPr>
          <w:sz w:val="24"/>
          <w:szCs w:val="24"/>
          <w:lang w:val="en-GB"/>
        </w:rPr>
      </w:pPr>
    </w:p>
    <w:p w:rsidR="00346462" w:rsidRPr="007910FC" w:rsidRDefault="00346462" w:rsidP="00346462">
      <w:pPr>
        <w:tabs>
          <w:tab w:val="left" w:pos="851"/>
        </w:tabs>
        <w:ind w:left="851"/>
        <w:rPr>
          <w:sz w:val="24"/>
          <w:szCs w:val="24"/>
          <w:u w:val="single"/>
          <w:lang w:val="en-GB"/>
        </w:rPr>
      </w:pPr>
      <w:r w:rsidRPr="007910FC">
        <w:rPr>
          <w:sz w:val="24"/>
          <w:szCs w:val="24"/>
          <w:u w:val="single"/>
          <w:lang w:val="en-GB"/>
        </w:rPr>
        <w:t>Adults with normal renal function (GFR ≥ 90 ml/min)</w:t>
      </w:r>
    </w:p>
    <w:p w:rsidR="00346462" w:rsidRPr="00346462" w:rsidRDefault="00346462" w:rsidP="00346462">
      <w:pPr>
        <w:tabs>
          <w:tab w:val="left" w:pos="851"/>
        </w:tabs>
        <w:ind w:left="851"/>
        <w:rPr>
          <w:sz w:val="24"/>
          <w:szCs w:val="24"/>
          <w:lang w:val="en-GB"/>
        </w:rPr>
      </w:pPr>
    </w:p>
    <w:p w:rsidR="00346462" w:rsidRPr="00346462" w:rsidRDefault="00346462" w:rsidP="00346462">
      <w:pPr>
        <w:tabs>
          <w:tab w:val="left" w:pos="851"/>
        </w:tabs>
        <w:ind w:left="851"/>
        <w:rPr>
          <w:i/>
          <w:sz w:val="24"/>
          <w:szCs w:val="24"/>
          <w:lang w:val="en-GB"/>
        </w:rPr>
      </w:pPr>
      <w:r w:rsidRPr="00346462">
        <w:rPr>
          <w:i/>
          <w:iCs/>
          <w:sz w:val="24"/>
          <w:szCs w:val="24"/>
          <w:lang w:val="en-GB"/>
        </w:rPr>
        <w:t>Monotherapy and combination with other oral anti-diabetic agents</w:t>
      </w:r>
    </w:p>
    <w:p w:rsidR="00346462" w:rsidRPr="00346462" w:rsidRDefault="00346462" w:rsidP="00346462">
      <w:pPr>
        <w:tabs>
          <w:tab w:val="left" w:pos="851"/>
        </w:tabs>
        <w:ind w:left="851"/>
        <w:rPr>
          <w:sz w:val="24"/>
          <w:szCs w:val="24"/>
          <w:lang w:val="en-GB"/>
        </w:rPr>
      </w:pPr>
      <w:r w:rsidRPr="00346462">
        <w:rPr>
          <w:sz w:val="24"/>
          <w:szCs w:val="24"/>
          <w:lang w:val="en-GB"/>
        </w:rPr>
        <w:t>The usual starting dose is one Lyomet 500 mg prolonged release tablet once daily, taken with the evening meal.</w:t>
      </w:r>
    </w:p>
    <w:p w:rsidR="00346462" w:rsidRPr="00346462" w:rsidRDefault="00346462" w:rsidP="00346462">
      <w:pPr>
        <w:tabs>
          <w:tab w:val="left" w:pos="851"/>
        </w:tabs>
        <w:ind w:left="851"/>
        <w:rPr>
          <w:sz w:val="24"/>
          <w:szCs w:val="24"/>
          <w:lang w:val="en-GB"/>
        </w:rPr>
      </w:pPr>
    </w:p>
    <w:p w:rsidR="00346462" w:rsidRPr="00346462" w:rsidRDefault="00346462" w:rsidP="00346462">
      <w:pPr>
        <w:tabs>
          <w:tab w:val="left" w:pos="851"/>
        </w:tabs>
        <w:ind w:left="851"/>
        <w:rPr>
          <w:sz w:val="24"/>
          <w:szCs w:val="24"/>
          <w:lang w:val="en-GB"/>
        </w:rPr>
      </w:pPr>
      <w:r w:rsidRPr="00346462">
        <w:rPr>
          <w:sz w:val="24"/>
          <w:szCs w:val="24"/>
          <w:lang w:val="en-GB"/>
        </w:rPr>
        <w:t>After 10 to 15 days the dose should be adjusted on the basis of blood glucose measurements. A slow increase of dose may improve gastro-intestinal tolerability. The maximum recommended dose is 4 tablets of Lyomet 500 mg daily with an evening meal.</w:t>
      </w:r>
    </w:p>
    <w:p w:rsidR="00346462" w:rsidRPr="00346462" w:rsidRDefault="00346462" w:rsidP="00346462">
      <w:pPr>
        <w:tabs>
          <w:tab w:val="left" w:pos="851"/>
        </w:tabs>
        <w:ind w:left="851"/>
        <w:rPr>
          <w:sz w:val="24"/>
          <w:szCs w:val="24"/>
          <w:lang w:val="en-GB"/>
        </w:rPr>
      </w:pPr>
    </w:p>
    <w:p w:rsidR="00346462" w:rsidRPr="00346462" w:rsidRDefault="00346462" w:rsidP="00346462">
      <w:pPr>
        <w:tabs>
          <w:tab w:val="left" w:pos="851"/>
        </w:tabs>
        <w:ind w:left="851"/>
        <w:rPr>
          <w:sz w:val="24"/>
          <w:szCs w:val="24"/>
          <w:lang w:val="en-GB"/>
        </w:rPr>
      </w:pPr>
      <w:r w:rsidRPr="00346462">
        <w:rPr>
          <w:sz w:val="24"/>
          <w:szCs w:val="24"/>
          <w:lang w:val="en-GB"/>
        </w:rPr>
        <w:t xml:space="preserve">Dosage increases should be made in increments of 500 mg every 10-15 days, up to a maximum of 2000 mg once daily with the evening meal. If glycaemic control is not achieved on 2000 mg once daily, 1000 mg twice daily should be considered, with both doses being given with food, at the time of the morning and evening meals. If glycaemic control is still not achieved, patients may be switched to standard metformin tablets to a maximum dose of 3000 mg daily. </w:t>
      </w:r>
    </w:p>
    <w:p w:rsidR="00346462" w:rsidRPr="00346462" w:rsidRDefault="00346462" w:rsidP="00346462">
      <w:pPr>
        <w:tabs>
          <w:tab w:val="left" w:pos="851"/>
        </w:tabs>
        <w:ind w:left="851"/>
        <w:rPr>
          <w:sz w:val="24"/>
          <w:szCs w:val="24"/>
          <w:lang w:val="en-GB"/>
        </w:rPr>
      </w:pPr>
    </w:p>
    <w:p w:rsidR="00346462" w:rsidRPr="00346462" w:rsidRDefault="00346462" w:rsidP="00346462">
      <w:pPr>
        <w:tabs>
          <w:tab w:val="left" w:pos="851"/>
        </w:tabs>
        <w:ind w:left="851"/>
        <w:rPr>
          <w:sz w:val="24"/>
          <w:szCs w:val="24"/>
          <w:lang w:val="en-GB"/>
        </w:rPr>
      </w:pPr>
      <w:r w:rsidRPr="00346462">
        <w:rPr>
          <w:sz w:val="24"/>
          <w:szCs w:val="24"/>
          <w:lang w:val="en-GB"/>
        </w:rPr>
        <w:t>In patients already treated with metformin tablets, the starting dose of Lyomet prolonged release tablets should be equivalent to the daily dose of metformin immediate release tablets. In patients treated with metformin at a dose above 2000 mg daily, switching to Lyomet prolonged release tablets is not recommended.</w:t>
      </w:r>
    </w:p>
    <w:p w:rsidR="00346462" w:rsidRPr="00346462" w:rsidRDefault="00346462" w:rsidP="00346462">
      <w:pPr>
        <w:tabs>
          <w:tab w:val="left" w:pos="851"/>
        </w:tabs>
        <w:ind w:left="851"/>
        <w:rPr>
          <w:sz w:val="24"/>
          <w:szCs w:val="24"/>
          <w:lang w:val="en-GB"/>
        </w:rPr>
      </w:pPr>
    </w:p>
    <w:p w:rsidR="00346462" w:rsidRPr="00346462" w:rsidRDefault="00346462" w:rsidP="00346462">
      <w:pPr>
        <w:tabs>
          <w:tab w:val="left" w:pos="851"/>
        </w:tabs>
        <w:ind w:left="851"/>
        <w:rPr>
          <w:sz w:val="24"/>
          <w:szCs w:val="24"/>
          <w:lang w:val="en-GB"/>
        </w:rPr>
      </w:pPr>
      <w:r w:rsidRPr="00346462">
        <w:rPr>
          <w:sz w:val="24"/>
          <w:szCs w:val="24"/>
          <w:lang w:val="en-GB"/>
        </w:rPr>
        <w:t xml:space="preserve">Lyomet 750 mg and 1000 mg prolonged release tablets are intended as maintenance therapy for patients currently treated with metformin tablets (prolonged or immediate release). </w:t>
      </w:r>
    </w:p>
    <w:p w:rsidR="00346462" w:rsidRPr="00346462" w:rsidRDefault="00346462" w:rsidP="00346462">
      <w:pPr>
        <w:tabs>
          <w:tab w:val="left" w:pos="851"/>
        </w:tabs>
        <w:ind w:left="851"/>
        <w:rPr>
          <w:sz w:val="24"/>
          <w:szCs w:val="24"/>
          <w:lang w:val="en-GB"/>
        </w:rPr>
      </w:pPr>
    </w:p>
    <w:p w:rsidR="00346462" w:rsidRPr="00346462" w:rsidRDefault="00346462" w:rsidP="00346462">
      <w:pPr>
        <w:tabs>
          <w:tab w:val="left" w:pos="851"/>
        </w:tabs>
        <w:ind w:left="851"/>
        <w:rPr>
          <w:sz w:val="24"/>
          <w:szCs w:val="24"/>
          <w:lang w:val="en-GB"/>
        </w:rPr>
      </w:pPr>
      <w:r w:rsidRPr="00346462">
        <w:rPr>
          <w:sz w:val="24"/>
          <w:szCs w:val="24"/>
          <w:lang w:val="en-GB"/>
        </w:rPr>
        <w:t>The dose of Lyomet 750 mg or 1000 mg prolonged release tablets should be equivalent to the daily dose of metformin tablets (prolonged or immediate release), up to a maximum dose of 1500 mg or 2000 mg respectively, given with the evening meal. After 10 to 15 days, it is recommended to check that the dose of Lyomet 750 mg or 1000 mg is adequate on the basis of blood glucose measurements.</w:t>
      </w:r>
    </w:p>
    <w:p w:rsidR="00346462" w:rsidRPr="00346462" w:rsidRDefault="00346462" w:rsidP="00346462">
      <w:pPr>
        <w:tabs>
          <w:tab w:val="left" w:pos="851"/>
        </w:tabs>
        <w:ind w:left="851"/>
        <w:rPr>
          <w:sz w:val="24"/>
          <w:szCs w:val="24"/>
          <w:lang w:val="en-GB"/>
        </w:rPr>
      </w:pPr>
    </w:p>
    <w:p w:rsidR="007910FC" w:rsidRDefault="00346462" w:rsidP="00346462">
      <w:pPr>
        <w:tabs>
          <w:tab w:val="left" w:pos="851"/>
        </w:tabs>
        <w:ind w:left="851"/>
        <w:rPr>
          <w:i/>
          <w:sz w:val="24"/>
          <w:szCs w:val="24"/>
          <w:lang w:val="en-GB"/>
        </w:rPr>
      </w:pPr>
      <w:r w:rsidRPr="00346462">
        <w:rPr>
          <w:i/>
          <w:sz w:val="24"/>
          <w:szCs w:val="24"/>
          <w:lang w:val="en-GB"/>
        </w:rPr>
        <w:t>In the event of transfer from another oral anti-diabetic agent</w:t>
      </w:r>
    </w:p>
    <w:p w:rsidR="00346462" w:rsidRPr="00346462" w:rsidRDefault="00346462" w:rsidP="00346462">
      <w:pPr>
        <w:tabs>
          <w:tab w:val="left" w:pos="851"/>
        </w:tabs>
        <w:ind w:left="851"/>
        <w:rPr>
          <w:sz w:val="24"/>
          <w:szCs w:val="24"/>
          <w:lang w:val="en-GB"/>
        </w:rPr>
      </w:pPr>
      <w:r w:rsidRPr="00346462">
        <w:rPr>
          <w:sz w:val="24"/>
          <w:szCs w:val="24"/>
          <w:lang w:val="en-GB"/>
        </w:rPr>
        <w:t xml:space="preserve">The other agent should be discontinued and titration should begin with Lyomet 500 mg prolonged release tablets as indicated above, before switching to Lyomet 750 mg or Lyomet 1000 mg. </w:t>
      </w:r>
      <w:r w:rsidRPr="00346462">
        <w:rPr>
          <w:i/>
          <w:sz w:val="24"/>
          <w:szCs w:val="24"/>
          <w:lang w:val="en-GB"/>
        </w:rPr>
        <w:t xml:space="preserve"> </w:t>
      </w:r>
    </w:p>
    <w:p w:rsidR="00346462" w:rsidRPr="00346462" w:rsidRDefault="00346462" w:rsidP="00346462">
      <w:pPr>
        <w:tabs>
          <w:tab w:val="left" w:pos="851"/>
        </w:tabs>
        <w:ind w:left="851"/>
        <w:rPr>
          <w:sz w:val="24"/>
          <w:szCs w:val="24"/>
          <w:lang w:val="en-GB"/>
        </w:rPr>
      </w:pPr>
    </w:p>
    <w:p w:rsidR="00346462" w:rsidRPr="00346462" w:rsidRDefault="00346462" w:rsidP="00346462">
      <w:pPr>
        <w:tabs>
          <w:tab w:val="left" w:pos="851"/>
        </w:tabs>
        <w:ind w:left="851"/>
        <w:rPr>
          <w:i/>
          <w:iCs/>
          <w:sz w:val="24"/>
          <w:szCs w:val="24"/>
          <w:lang w:val="en-GB"/>
        </w:rPr>
      </w:pPr>
      <w:r w:rsidRPr="00346462">
        <w:rPr>
          <w:i/>
          <w:iCs/>
          <w:sz w:val="24"/>
          <w:szCs w:val="24"/>
          <w:lang w:val="en-GB"/>
        </w:rPr>
        <w:t>Combination with insulin</w:t>
      </w:r>
    </w:p>
    <w:p w:rsidR="00346462" w:rsidRPr="00346462" w:rsidRDefault="00346462" w:rsidP="00346462">
      <w:pPr>
        <w:tabs>
          <w:tab w:val="left" w:pos="851"/>
        </w:tabs>
        <w:ind w:left="851"/>
        <w:rPr>
          <w:iCs/>
          <w:sz w:val="24"/>
          <w:szCs w:val="24"/>
          <w:lang w:val="en-GB"/>
        </w:rPr>
      </w:pPr>
      <w:r w:rsidRPr="00346462">
        <w:rPr>
          <w:sz w:val="24"/>
          <w:szCs w:val="24"/>
          <w:lang w:val="en-GB"/>
        </w:rPr>
        <w:t xml:space="preserve">Metformin and insulin may be used in combination therapy to achieve better blood glucose control. The usual starting dose of metformin is one 500 mg prolonged release tablet once daily, taken with the evening meal, while insulin dosage is adjusted on the basis of blood glucose measurements. </w:t>
      </w:r>
      <w:r w:rsidRPr="00346462">
        <w:rPr>
          <w:iCs/>
          <w:sz w:val="24"/>
          <w:szCs w:val="24"/>
          <w:lang w:val="en-GB"/>
        </w:rPr>
        <w:t>After titration, switching to Lyomet 1000 mg prolonged-release tablets should be considered.</w:t>
      </w:r>
    </w:p>
    <w:p w:rsidR="00346462" w:rsidRPr="00346462" w:rsidRDefault="00346462" w:rsidP="00346462">
      <w:pPr>
        <w:tabs>
          <w:tab w:val="left" w:pos="851"/>
        </w:tabs>
        <w:ind w:left="851"/>
        <w:rPr>
          <w:sz w:val="24"/>
          <w:szCs w:val="24"/>
          <w:lang w:val="en-GB"/>
        </w:rPr>
      </w:pPr>
    </w:p>
    <w:p w:rsidR="00346462" w:rsidRPr="00346462" w:rsidRDefault="00346462" w:rsidP="00346462">
      <w:pPr>
        <w:tabs>
          <w:tab w:val="left" w:pos="851"/>
        </w:tabs>
        <w:ind w:left="851"/>
        <w:rPr>
          <w:sz w:val="24"/>
          <w:szCs w:val="24"/>
          <w:lang w:val="en-GB"/>
        </w:rPr>
      </w:pPr>
      <w:r w:rsidRPr="00346462">
        <w:rPr>
          <w:sz w:val="24"/>
          <w:szCs w:val="24"/>
          <w:lang w:val="en-GB"/>
        </w:rPr>
        <w:t>For patients already treated with metformin and insulin in combination therapy, the dose of Lyomet 750 mg or 1000 mg prolonged release tablets should be equivalent to the already used daily dose of metformin tablets up to a maximum of 1500 mg or 2000 mg respectively, given with the evening meal, while insulin dosage is adjusted on the basis of blood glucose measurements.</w:t>
      </w:r>
    </w:p>
    <w:p w:rsidR="00346462" w:rsidRPr="00346462" w:rsidRDefault="00346462" w:rsidP="00346462">
      <w:pPr>
        <w:tabs>
          <w:tab w:val="left" w:pos="851"/>
        </w:tabs>
        <w:ind w:left="851"/>
        <w:rPr>
          <w:sz w:val="24"/>
          <w:szCs w:val="24"/>
          <w:lang w:val="en-GB"/>
        </w:rPr>
      </w:pPr>
    </w:p>
    <w:p w:rsidR="00346462" w:rsidRPr="007E3627" w:rsidRDefault="00346462" w:rsidP="00346462">
      <w:pPr>
        <w:tabs>
          <w:tab w:val="left" w:pos="851"/>
        </w:tabs>
        <w:ind w:left="851"/>
        <w:rPr>
          <w:i/>
          <w:iCs/>
          <w:sz w:val="24"/>
          <w:szCs w:val="24"/>
          <w:lang w:val="en-GB"/>
        </w:rPr>
      </w:pPr>
      <w:r w:rsidRPr="007E3627">
        <w:rPr>
          <w:i/>
          <w:iCs/>
          <w:sz w:val="24"/>
          <w:szCs w:val="24"/>
          <w:lang w:val="en-GB"/>
        </w:rPr>
        <w:t xml:space="preserve">Renal impairment </w:t>
      </w:r>
    </w:p>
    <w:p w:rsidR="00346462" w:rsidRPr="00346462" w:rsidRDefault="00346462" w:rsidP="00346462">
      <w:pPr>
        <w:tabs>
          <w:tab w:val="left" w:pos="851"/>
        </w:tabs>
        <w:ind w:left="851"/>
        <w:rPr>
          <w:sz w:val="24"/>
          <w:szCs w:val="24"/>
          <w:lang w:val="en-GB"/>
        </w:rPr>
      </w:pPr>
      <w:r w:rsidRPr="00346462">
        <w:rPr>
          <w:sz w:val="24"/>
          <w:szCs w:val="24"/>
          <w:lang w:val="en-GB"/>
        </w:rPr>
        <w:t>GFR should be assessed before initiation of treatment with Lyomet and at least annually thereafter. In patients at an increased risk of further progression of renal impairment and in the elderly, renal function should be assessed more frequently, e.g. every 3-6 months.</w:t>
      </w:r>
    </w:p>
    <w:p w:rsidR="00346462" w:rsidRPr="00346462" w:rsidRDefault="00346462" w:rsidP="00346462">
      <w:pPr>
        <w:tabs>
          <w:tab w:val="left" w:pos="851"/>
        </w:tabs>
        <w:ind w:left="851"/>
        <w:rPr>
          <w:sz w:val="24"/>
          <w:szCs w:val="24"/>
          <w:lang w:val="en-GB"/>
        </w:rPr>
      </w:pPr>
    </w:p>
    <w:tbl>
      <w:tblPr>
        <w:tblW w:w="900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543"/>
        <w:gridCol w:w="3901"/>
      </w:tblGrid>
      <w:tr w:rsidR="00346462" w:rsidRPr="007910FC" w:rsidTr="007910FC">
        <w:trPr>
          <w:trHeight w:val="340"/>
        </w:trPr>
        <w:tc>
          <w:tcPr>
            <w:tcW w:w="1560" w:type="dxa"/>
            <w:tcBorders>
              <w:top w:val="single" w:sz="4" w:space="0" w:color="auto"/>
              <w:left w:val="single" w:sz="4" w:space="0" w:color="auto"/>
              <w:bottom w:val="single" w:sz="4" w:space="0" w:color="auto"/>
              <w:right w:val="single" w:sz="4" w:space="0" w:color="auto"/>
            </w:tcBorders>
            <w:vAlign w:val="center"/>
            <w:hideMark/>
          </w:tcPr>
          <w:p w:rsidR="00346462" w:rsidRPr="007910FC" w:rsidRDefault="00346462" w:rsidP="007910FC">
            <w:pPr>
              <w:ind w:left="33"/>
              <w:rPr>
                <w:sz w:val="22"/>
                <w:szCs w:val="22"/>
                <w:lang w:val="en-GB"/>
              </w:rPr>
            </w:pPr>
            <w:r w:rsidRPr="007910FC">
              <w:rPr>
                <w:sz w:val="22"/>
                <w:szCs w:val="22"/>
                <w:lang w:val="en-GB"/>
              </w:rPr>
              <w:t xml:space="preserve">GFR ml/min </w:t>
            </w:r>
          </w:p>
        </w:tc>
        <w:tc>
          <w:tcPr>
            <w:tcW w:w="3543" w:type="dxa"/>
            <w:tcBorders>
              <w:top w:val="single" w:sz="4" w:space="0" w:color="auto"/>
              <w:left w:val="single" w:sz="4" w:space="0" w:color="auto"/>
              <w:bottom w:val="single" w:sz="4" w:space="0" w:color="auto"/>
              <w:right w:val="single" w:sz="4" w:space="0" w:color="auto"/>
            </w:tcBorders>
            <w:vAlign w:val="center"/>
            <w:hideMark/>
          </w:tcPr>
          <w:p w:rsidR="00346462" w:rsidRPr="007910FC" w:rsidRDefault="00346462" w:rsidP="007E3627">
            <w:pPr>
              <w:ind w:left="32"/>
              <w:rPr>
                <w:sz w:val="22"/>
                <w:szCs w:val="22"/>
                <w:lang w:val="en-GB"/>
              </w:rPr>
            </w:pPr>
            <w:r w:rsidRPr="007910FC">
              <w:rPr>
                <w:iCs/>
                <w:sz w:val="22"/>
                <w:szCs w:val="22"/>
                <w:lang w:val="en-GB"/>
              </w:rPr>
              <w:t xml:space="preserve">Total maximum daily dose </w:t>
            </w:r>
          </w:p>
        </w:tc>
        <w:tc>
          <w:tcPr>
            <w:tcW w:w="3901" w:type="dxa"/>
            <w:tcBorders>
              <w:top w:val="single" w:sz="4" w:space="0" w:color="auto"/>
              <w:left w:val="single" w:sz="4" w:space="0" w:color="auto"/>
              <w:bottom w:val="single" w:sz="4" w:space="0" w:color="auto"/>
              <w:right w:val="single" w:sz="4" w:space="0" w:color="auto"/>
            </w:tcBorders>
            <w:vAlign w:val="center"/>
            <w:hideMark/>
          </w:tcPr>
          <w:p w:rsidR="00346462" w:rsidRPr="007910FC" w:rsidRDefault="00346462" w:rsidP="007E3627">
            <w:pPr>
              <w:ind w:left="36"/>
              <w:rPr>
                <w:sz w:val="22"/>
                <w:szCs w:val="22"/>
                <w:lang w:val="en-GB"/>
              </w:rPr>
            </w:pPr>
            <w:r w:rsidRPr="007910FC">
              <w:rPr>
                <w:sz w:val="22"/>
                <w:szCs w:val="22"/>
                <w:lang w:val="en-GB"/>
              </w:rPr>
              <w:t xml:space="preserve">Additional considerations </w:t>
            </w:r>
          </w:p>
        </w:tc>
      </w:tr>
      <w:tr w:rsidR="00346462" w:rsidRPr="007910FC" w:rsidTr="007910FC">
        <w:trPr>
          <w:trHeight w:val="231"/>
        </w:trPr>
        <w:tc>
          <w:tcPr>
            <w:tcW w:w="1560" w:type="dxa"/>
            <w:tcBorders>
              <w:top w:val="single" w:sz="4" w:space="0" w:color="auto"/>
              <w:left w:val="single" w:sz="4" w:space="0" w:color="auto"/>
              <w:bottom w:val="single" w:sz="4" w:space="0" w:color="auto"/>
              <w:right w:val="single" w:sz="4" w:space="0" w:color="auto"/>
            </w:tcBorders>
            <w:vAlign w:val="center"/>
            <w:hideMark/>
          </w:tcPr>
          <w:p w:rsidR="00346462" w:rsidRPr="007910FC" w:rsidRDefault="00346462" w:rsidP="007910FC">
            <w:pPr>
              <w:ind w:left="33"/>
              <w:rPr>
                <w:sz w:val="22"/>
                <w:szCs w:val="22"/>
                <w:lang w:val="en-GB"/>
              </w:rPr>
            </w:pPr>
            <w:r w:rsidRPr="007910FC">
              <w:rPr>
                <w:sz w:val="22"/>
                <w:szCs w:val="22"/>
                <w:lang w:val="en-GB"/>
              </w:rPr>
              <w:t xml:space="preserve">60-89 </w:t>
            </w:r>
          </w:p>
        </w:tc>
        <w:tc>
          <w:tcPr>
            <w:tcW w:w="3543" w:type="dxa"/>
            <w:tcBorders>
              <w:top w:val="single" w:sz="4" w:space="0" w:color="auto"/>
              <w:left w:val="single" w:sz="4" w:space="0" w:color="auto"/>
              <w:bottom w:val="single" w:sz="4" w:space="0" w:color="auto"/>
              <w:right w:val="single" w:sz="4" w:space="0" w:color="auto"/>
            </w:tcBorders>
            <w:vAlign w:val="center"/>
            <w:hideMark/>
          </w:tcPr>
          <w:p w:rsidR="00346462" w:rsidRPr="007910FC" w:rsidRDefault="00346462" w:rsidP="007E3627">
            <w:pPr>
              <w:ind w:left="32"/>
              <w:rPr>
                <w:sz w:val="22"/>
                <w:szCs w:val="22"/>
                <w:lang w:val="en-GB"/>
              </w:rPr>
            </w:pPr>
            <w:r w:rsidRPr="007910FC">
              <w:rPr>
                <w:sz w:val="22"/>
                <w:szCs w:val="22"/>
                <w:lang w:val="en-GB"/>
              </w:rPr>
              <w:t xml:space="preserve">2000 mg </w:t>
            </w:r>
          </w:p>
        </w:tc>
        <w:tc>
          <w:tcPr>
            <w:tcW w:w="3901" w:type="dxa"/>
            <w:tcBorders>
              <w:top w:val="single" w:sz="4" w:space="0" w:color="auto"/>
              <w:left w:val="single" w:sz="4" w:space="0" w:color="auto"/>
              <w:bottom w:val="single" w:sz="4" w:space="0" w:color="auto"/>
              <w:right w:val="single" w:sz="4" w:space="0" w:color="auto"/>
            </w:tcBorders>
            <w:vAlign w:val="center"/>
            <w:hideMark/>
          </w:tcPr>
          <w:p w:rsidR="00346462" w:rsidRPr="007910FC" w:rsidRDefault="00346462" w:rsidP="007E3627">
            <w:pPr>
              <w:ind w:left="36"/>
              <w:rPr>
                <w:sz w:val="22"/>
                <w:szCs w:val="22"/>
                <w:lang w:val="en-GB"/>
              </w:rPr>
            </w:pPr>
            <w:r w:rsidRPr="007910FC">
              <w:rPr>
                <w:sz w:val="22"/>
                <w:szCs w:val="22"/>
                <w:lang w:val="en-GB"/>
              </w:rPr>
              <w:t>Dose reduction may be considered in relation to declining renal function.</w:t>
            </w:r>
          </w:p>
          <w:p w:rsidR="00346462" w:rsidRPr="007910FC" w:rsidRDefault="00346462" w:rsidP="007E3627">
            <w:pPr>
              <w:ind w:left="36"/>
              <w:rPr>
                <w:sz w:val="22"/>
                <w:szCs w:val="22"/>
                <w:lang w:val="en-GB"/>
              </w:rPr>
            </w:pPr>
            <w:r w:rsidRPr="007910FC">
              <w:rPr>
                <w:sz w:val="22"/>
                <w:szCs w:val="22"/>
                <w:lang w:val="en-GB"/>
              </w:rPr>
              <w:t xml:space="preserve"> </w:t>
            </w:r>
            <w:r w:rsidRPr="007910FC">
              <w:rPr>
                <w:sz w:val="22"/>
                <w:szCs w:val="22"/>
                <w:lang w:val="en-US"/>
              </w:rPr>
              <w:t>For patients with a GFR of 60-89 ml/min, the maximum total daily dose is the currently approved dose for adults with normal renal function.</w:t>
            </w:r>
          </w:p>
        </w:tc>
      </w:tr>
      <w:tr w:rsidR="00346462" w:rsidRPr="007910FC" w:rsidTr="007910FC">
        <w:trPr>
          <w:trHeight w:val="559"/>
        </w:trPr>
        <w:tc>
          <w:tcPr>
            <w:tcW w:w="1560" w:type="dxa"/>
            <w:tcBorders>
              <w:top w:val="single" w:sz="4" w:space="0" w:color="auto"/>
              <w:left w:val="single" w:sz="4" w:space="0" w:color="auto"/>
              <w:bottom w:val="single" w:sz="4" w:space="0" w:color="auto"/>
              <w:right w:val="single" w:sz="4" w:space="0" w:color="auto"/>
            </w:tcBorders>
            <w:vAlign w:val="center"/>
            <w:hideMark/>
          </w:tcPr>
          <w:p w:rsidR="00346462" w:rsidRPr="007910FC" w:rsidRDefault="00346462" w:rsidP="007910FC">
            <w:pPr>
              <w:ind w:left="33"/>
              <w:rPr>
                <w:sz w:val="22"/>
                <w:szCs w:val="22"/>
                <w:lang w:val="en-GB"/>
              </w:rPr>
            </w:pPr>
            <w:r w:rsidRPr="007910FC">
              <w:rPr>
                <w:sz w:val="22"/>
                <w:szCs w:val="22"/>
                <w:lang w:val="en-GB"/>
              </w:rPr>
              <w:t xml:space="preserve">45-59 </w:t>
            </w:r>
          </w:p>
        </w:tc>
        <w:tc>
          <w:tcPr>
            <w:tcW w:w="3543" w:type="dxa"/>
            <w:tcBorders>
              <w:top w:val="single" w:sz="4" w:space="0" w:color="auto"/>
              <w:left w:val="single" w:sz="4" w:space="0" w:color="auto"/>
              <w:bottom w:val="single" w:sz="4" w:space="0" w:color="auto"/>
              <w:right w:val="single" w:sz="4" w:space="0" w:color="auto"/>
            </w:tcBorders>
            <w:vAlign w:val="center"/>
            <w:hideMark/>
          </w:tcPr>
          <w:p w:rsidR="00346462" w:rsidRPr="007910FC" w:rsidRDefault="00346462" w:rsidP="007E3627">
            <w:pPr>
              <w:ind w:left="32"/>
              <w:rPr>
                <w:sz w:val="22"/>
                <w:szCs w:val="22"/>
                <w:lang w:val="en-GB"/>
              </w:rPr>
            </w:pPr>
            <w:r w:rsidRPr="007910FC">
              <w:rPr>
                <w:sz w:val="22"/>
                <w:szCs w:val="22"/>
                <w:lang w:val="en-GB"/>
              </w:rPr>
              <w:t xml:space="preserve">2000 mg </w:t>
            </w:r>
          </w:p>
        </w:tc>
        <w:tc>
          <w:tcPr>
            <w:tcW w:w="3901" w:type="dxa"/>
            <w:vMerge w:val="restart"/>
            <w:tcBorders>
              <w:top w:val="single" w:sz="4" w:space="0" w:color="auto"/>
              <w:left w:val="single" w:sz="4" w:space="0" w:color="auto"/>
              <w:bottom w:val="single" w:sz="4" w:space="0" w:color="auto"/>
              <w:right w:val="single" w:sz="4" w:space="0" w:color="auto"/>
            </w:tcBorders>
            <w:vAlign w:val="center"/>
            <w:hideMark/>
          </w:tcPr>
          <w:p w:rsidR="00346462" w:rsidRPr="007910FC" w:rsidRDefault="00346462" w:rsidP="007E3627">
            <w:pPr>
              <w:ind w:left="36"/>
              <w:rPr>
                <w:sz w:val="22"/>
                <w:szCs w:val="22"/>
                <w:lang w:val="en-GB"/>
              </w:rPr>
            </w:pPr>
            <w:r w:rsidRPr="007910FC">
              <w:rPr>
                <w:sz w:val="22"/>
                <w:szCs w:val="22"/>
                <w:lang w:val="en-GB"/>
              </w:rPr>
              <w:t xml:space="preserve">Factors that may increase the risk of lactic acidosis (see section 4.4) should be reviewed before considering initiation of metformin. </w:t>
            </w:r>
          </w:p>
          <w:p w:rsidR="00346462" w:rsidRPr="007910FC" w:rsidRDefault="00346462" w:rsidP="007E3627">
            <w:pPr>
              <w:ind w:left="36"/>
              <w:rPr>
                <w:sz w:val="22"/>
                <w:szCs w:val="22"/>
                <w:lang w:val="en-GB"/>
              </w:rPr>
            </w:pPr>
            <w:r w:rsidRPr="007910FC">
              <w:rPr>
                <w:sz w:val="22"/>
                <w:szCs w:val="22"/>
                <w:lang w:val="en-GB"/>
              </w:rPr>
              <w:t xml:space="preserve">The starting dose is at most half of the maximum dose. </w:t>
            </w:r>
          </w:p>
        </w:tc>
      </w:tr>
      <w:tr w:rsidR="00346462" w:rsidRPr="007910FC" w:rsidTr="007910FC">
        <w:trPr>
          <w:trHeight w:val="559"/>
        </w:trPr>
        <w:tc>
          <w:tcPr>
            <w:tcW w:w="1560" w:type="dxa"/>
            <w:tcBorders>
              <w:top w:val="single" w:sz="4" w:space="0" w:color="auto"/>
              <w:left w:val="single" w:sz="4" w:space="0" w:color="auto"/>
              <w:bottom w:val="single" w:sz="4" w:space="0" w:color="auto"/>
              <w:right w:val="single" w:sz="4" w:space="0" w:color="auto"/>
            </w:tcBorders>
            <w:vAlign w:val="center"/>
            <w:hideMark/>
          </w:tcPr>
          <w:p w:rsidR="00346462" w:rsidRPr="007910FC" w:rsidRDefault="00346462" w:rsidP="007910FC">
            <w:pPr>
              <w:ind w:left="33"/>
              <w:rPr>
                <w:sz w:val="22"/>
                <w:szCs w:val="22"/>
                <w:lang w:val="en-GB"/>
              </w:rPr>
            </w:pPr>
            <w:r w:rsidRPr="007910FC">
              <w:rPr>
                <w:sz w:val="22"/>
                <w:szCs w:val="22"/>
                <w:lang w:val="en-GB"/>
              </w:rPr>
              <w:t>30-44</w:t>
            </w:r>
          </w:p>
        </w:tc>
        <w:tc>
          <w:tcPr>
            <w:tcW w:w="3543" w:type="dxa"/>
            <w:tcBorders>
              <w:top w:val="single" w:sz="4" w:space="0" w:color="auto"/>
              <w:left w:val="single" w:sz="4" w:space="0" w:color="auto"/>
              <w:bottom w:val="single" w:sz="4" w:space="0" w:color="auto"/>
              <w:right w:val="single" w:sz="4" w:space="0" w:color="auto"/>
            </w:tcBorders>
            <w:vAlign w:val="center"/>
            <w:hideMark/>
          </w:tcPr>
          <w:p w:rsidR="00346462" w:rsidRPr="007910FC" w:rsidRDefault="00346462" w:rsidP="007E3627">
            <w:pPr>
              <w:ind w:left="32"/>
              <w:rPr>
                <w:sz w:val="22"/>
                <w:szCs w:val="22"/>
                <w:lang w:val="en-GB"/>
              </w:rPr>
            </w:pPr>
            <w:r w:rsidRPr="007910FC">
              <w:rPr>
                <w:sz w:val="22"/>
                <w:szCs w:val="22"/>
                <w:lang w:val="en-GB"/>
              </w:rPr>
              <w:t>1000 mg</w:t>
            </w:r>
          </w:p>
        </w:tc>
        <w:tc>
          <w:tcPr>
            <w:tcW w:w="3901" w:type="dxa"/>
            <w:vMerge/>
            <w:tcBorders>
              <w:top w:val="single" w:sz="4" w:space="0" w:color="auto"/>
              <w:left w:val="single" w:sz="4" w:space="0" w:color="auto"/>
              <w:bottom w:val="single" w:sz="4" w:space="0" w:color="auto"/>
              <w:right w:val="single" w:sz="4" w:space="0" w:color="auto"/>
            </w:tcBorders>
            <w:vAlign w:val="center"/>
            <w:hideMark/>
          </w:tcPr>
          <w:p w:rsidR="00346462" w:rsidRPr="007910FC" w:rsidRDefault="00346462" w:rsidP="007E3627">
            <w:pPr>
              <w:ind w:left="36"/>
              <w:rPr>
                <w:sz w:val="22"/>
                <w:szCs w:val="22"/>
                <w:lang w:val="en-GB"/>
              </w:rPr>
            </w:pPr>
          </w:p>
        </w:tc>
      </w:tr>
      <w:tr w:rsidR="00346462" w:rsidRPr="007910FC" w:rsidTr="007910FC">
        <w:trPr>
          <w:trHeight w:val="121"/>
        </w:trPr>
        <w:tc>
          <w:tcPr>
            <w:tcW w:w="1560" w:type="dxa"/>
            <w:tcBorders>
              <w:top w:val="single" w:sz="4" w:space="0" w:color="auto"/>
              <w:left w:val="single" w:sz="4" w:space="0" w:color="auto"/>
              <w:bottom w:val="single" w:sz="4" w:space="0" w:color="auto"/>
              <w:right w:val="single" w:sz="4" w:space="0" w:color="auto"/>
            </w:tcBorders>
            <w:vAlign w:val="center"/>
            <w:hideMark/>
          </w:tcPr>
          <w:p w:rsidR="00346462" w:rsidRPr="007910FC" w:rsidRDefault="00346462" w:rsidP="007910FC">
            <w:pPr>
              <w:ind w:left="33"/>
              <w:rPr>
                <w:sz w:val="22"/>
                <w:szCs w:val="22"/>
                <w:lang w:val="en-GB"/>
              </w:rPr>
            </w:pPr>
            <w:r w:rsidRPr="007910FC">
              <w:rPr>
                <w:sz w:val="22"/>
                <w:szCs w:val="22"/>
                <w:lang w:val="en-GB"/>
              </w:rPr>
              <w:t xml:space="preserve">&lt;30 </w:t>
            </w:r>
          </w:p>
        </w:tc>
        <w:tc>
          <w:tcPr>
            <w:tcW w:w="3543" w:type="dxa"/>
            <w:tcBorders>
              <w:top w:val="single" w:sz="4" w:space="0" w:color="auto"/>
              <w:left w:val="single" w:sz="4" w:space="0" w:color="auto"/>
              <w:bottom w:val="single" w:sz="4" w:space="0" w:color="auto"/>
              <w:right w:val="single" w:sz="4" w:space="0" w:color="auto"/>
            </w:tcBorders>
            <w:vAlign w:val="center"/>
            <w:hideMark/>
          </w:tcPr>
          <w:p w:rsidR="00346462" w:rsidRPr="007910FC" w:rsidRDefault="00346462" w:rsidP="007E3627">
            <w:pPr>
              <w:ind w:left="32"/>
              <w:rPr>
                <w:sz w:val="22"/>
                <w:szCs w:val="22"/>
                <w:lang w:val="en-GB"/>
              </w:rPr>
            </w:pPr>
            <w:r w:rsidRPr="007910FC">
              <w:rPr>
                <w:sz w:val="22"/>
                <w:szCs w:val="22"/>
                <w:lang w:val="en-GB"/>
              </w:rPr>
              <w:t xml:space="preserve">- </w:t>
            </w:r>
          </w:p>
        </w:tc>
        <w:tc>
          <w:tcPr>
            <w:tcW w:w="3901" w:type="dxa"/>
            <w:tcBorders>
              <w:top w:val="single" w:sz="4" w:space="0" w:color="auto"/>
              <w:left w:val="single" w:sz="4" w:space="0" w:color="auto"/>
              <w:bottom w:val="single" w:sz="4" w:space="0" w:color="auto"/>
              <w:right w:val="single" w:sz="4" w:space="0" w:color="auto"/>
            </w:tcBorders>
            <w:vAlign w:val="center"/>
            <w:hideMark/>
          </w:tcPr>
          <w:p w:rsidR="00346462" w:rsidRPr="007910FC" w:rsidRDefault="00346462" w:rsidP="007E3627">
            <w:pPr>
              <w:ind w:left="36"/>
              <w:rPr>
                <w:sz w:val="22"/>
                <w:szCs w:val="22"/>
                <w:lang w:val="en-GB"/>
              </w:rPr>
            </w:pPr>
            <w:r w:rsidRPr="007910FC">
              <w:rPr>
                <w:sz w:val="22"/>
                <w:szCs w:val="22"/>
                <w:lang w:val="en-GB"/>
              </w:rPr>
              <w:t xml:space="preserve">Metformin is contraindicated. </w:t>
            </w:r>
          </w:p>
        </w:tc>
      </w:tr>
    </w:tbl>
    <w:p w:rsidR="00346462" w:rsidRPr="00346462" w:rsidRDefault="00346462" w:rsidP="00346462">
      <w:pPr>
        <w:tabs>
          <w:tab w:val="left" w:pos="851"/>
        </w:tabs>
        <w:ind w:left="851"/>
        <w:rPr>
          <w:sz w:val="24"/>
          <w:szCs w:val="24"/>
          <w:lang w:val="en-GB"/>
        </w:rPr>
      </w:pPr>
    </w:p>
    <w:p w:rsidR="00346462" w:rsidRPr="007E3627" w:rsidRDefault="00346462" w:rsidP="00346462">
      <w:pPr>
        <w:tabs>
          <w:tab w:val="left" w:pos="851"/>
        </w:tabs>
        <w:ind w:left="851"/>
        <w:rPr>
          <w:sz w:val="24"/>
          <w:szCs w:val="24"/>
          <w:u w:val="single"/>
          <w:lang w:val="en-GB"/>
        </w:rPr>
      </w:pPr>
      <w:r w:rsidRPr="007E3627">
        <w:rPr>
          <w:iCs/>
          <w:sz w:val="24"/>
          <w:szCs w:val="24"/>
          <w:u w:val="single"/>
          <w:lang w:val="en-GB"/>
        </w:rPr>
        <w:t>Elderly</w:t>
      </w:r>
    </w:p>
    <w:p w:rsidR="00346462" w:rsidRPr="00346462" w:rsidRDefault="00346462" w:rsidP="00346462">
      <w:pPr>
        <w:tabs>
          <w:tab w:val="left" w:pos="851"/>
        </w:tabs>
        <w:ind w:left="851"/>
        <w:rPr>
          <w:sz w:val="24"/>
          <w:szCs w:val="24"/>
          <w:lang w:val="en-GB"/>
        </w:rPr>
      </w:pPr>
      <w:r w:rsidRPr="00346462">
        <w:rPr>
          <w:sz w:val="24"/>
          <w:szCs w:val="24"/>
          <w:lang w:val="en-GB"/>
        </w:rPr>
        <w:t xml:space="preserve">Due to the potential for decreased renal function in elderly subjects, the metformin dosage should be adjusted based on renal function. Regular assessment of renal function is necessary (see section 4.4). </w:t>
      </w:r>
    </w:p>
    <w:p w:rsidR="00346462" w:rsidRPr="00346462" w:rsidRDefault="00346462" w:rsidP="00346462">
      <w:pPr>
        <w:tabs>
          <w:tab w:val="left" w:pos="851"/>
        </w:tabs>
        <w:ind w:left="851"/>
        <w:rPr>
          <w:sz w:val="24"/>
          <w:szCs w:val="24"/>
          <w:lang w:val="en-GB"/>
        </w:rPr>
      </w:pPr>
    </w:p>
    <w:p w:rsidR="00346462" w:rsidRPr="007E3627" w:rsidRDefault="00346462" w:rsidP="00346462">
      <w:pPr>
        <w:tabs>
          <w:tab w:val="left" w:pos="851"/>
        </w:tabs>
        <w:ind w:left="851"/>
        <w:rPr>
          <w:sz w:val="24"/>
          <w:szCs w:val="24"/>
          <w:u w:val="single"/>
          <w:lang w:val="en-GB"/>
        </w:rPr>
      </w:pPr>
      <w:r w:rsidRPr="007E3627">
        <w:rPr>
          <w:sz w:val="24"/>
          <w:szCs w:val="24"/>
          <w:u w:val="single"/>
          <w:lang w:val="en-GB"/>
        </w:rPr>
        <w:t>Paediatric population</w:t>
      </w:r>
    </w:p>
    <w:p w:rsidR="00346462" w:rsidRPr="00346462" w:rsidRDefault="00346462" w:rsidP="00346462">
      <w:pPr>
        <w:tabs>
          <w:tab w:val="left" w:pos="851"/>
        </w:tabs>
        <w:ind w:left="851"/>
        <w:rPr>
          <w:sz w:val="24"/>
          <w:szCs w:val="24"/>
          <w:lang w:val="en-GB"/>
        </w:rPr>
      </w:pPr>
      <w:r w:rsidRPr="00346462">
        <w:rPr>
          <w:sz w:val="24"/>
          <w:szCs w:val="24"/>
          <w:lang w:val="en-GB"/>
        </w:rPr>
        <w:t>In the absence of available data, Lyomet prolonged release tablets should not be used in children.</w:t>
      </w:r>
    </w:p>
    <w:p w:rsidR="00346462" w:rsidRPr="00346462" w:rsidRDefault="00346462" w:rsidP="00346462">
      <w:pPr>
        <w:tabs>
          <w:tab w:val="left" w:pos="851"/>
        </w:tabs>
        <w:ind w:left="851"/>
        <w:rPr>
          <w:sz w:val="24"/>
          <w:szCs w:val="24"/>
          <w:lang w:val="en-GB"/>
        </w:rPr>
      </w:pPr>
    </w:p>
    <w:p w:rsidR="00346462" w:rsidRPr="007E3627" w:rsidRDefault="00346462" w:rsidP="00346462">
      <w:pPr>
        <w:tabs>
          <w:tab w:val="left" w:pos="851"/>
        </w:tabs>
        <w:ind w:left="851"/>
        <w:rPr>
          <w:b/>
          <w:sz w:val="24"/>
          <w:szCs w:val="24"/>
          <w:lang w:val="en-GB"/>
        </w:rPr>
      </w:pPr>
      <w:r w:rsidRPr="007E3627">
        <w:rPr>
          <w:b/>
          <w:sz w:val="24"/>
          <w:szCs w:val="24"/>
          <w:lang w:val="en-GB"/>
        </w:rPr>
        <w:t xml:space="preserve">Method of administration </w:t>
      </w:r>
    </w:p>
    <w:p w:rsidR="00346462" w:rsidRPr="00346462" w:rsidRDefault="00346462" w:rsidP="00346462">
      <w:pPr>
        <w:tabs>
          <w:tab w:val="left" w:pos="851"/>
        </w:tabs>
        <w:ind w:left="851"/>
        <w:rPr>
          <w:sz w:val="24"/>
          <w:szCs w:val="24"/>
          <w:lang w:val="en-GB"/>
        </w:rPr>
      </w:pPr>
      <w:r w:rsidRPr="00346462">
        <w:rPr>
          <w:sz w:val="24"/>
          <w:szCs w:val="24"/>
          <w:lang w:val="en-GB"/>
        </w:rPr>
        <w:t>The tablets should not be chewed, split or crushed and should be taken whole with a glass of water.</w:t>
      </w:r>
    </w:p>
    <w:p w:rsidR="007C5D2A" w:rsidRPr="00346462" w:rsidRDefault="007C5D2A" w:rsidP="00A85D26">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130E57" w:rsidRPr="00130E57" w:rsidRDefault="00130E57" w:rsidP="00130E57">
      <w:pPr>
        <w:tabs>
          <w:tab w:val="left" w:pos="1134"/>
        </w:tabs>
        <w:ind w:left="1134" w:hanging="283"/>
        <w:rPr>
          <w:sz w:val="24"/>
          <w:szCs w:val="24"/>
          <w:lang w:val="en-GB"/>
        </w:rPr>
      </w:pPr>
      <w:bookmarkStart w:id="1" w:name="_Hlk58599855"/>
      <w:r w:rsidRPr="00130E57">
        <w:rPr>
          <w:sz w:val="24"/>
          <w:szCs w:val="24"/>
          <w:lang w:val="en-GB"/>
        </w:rPr>
        <w:t>-</w:t>
      </w:r>
      <w:r w:rsidRPr="00130E57">
        <w:rPr>
          <w:sz w:val="24"/>
          <w:szCs w:val="24"/>
          <w:lang w:val="en-GB"/>
        </w:rPr>
        <w:tab/>
      </w:r>
      <w:bookmarkEnd w:id="1"/>
      <w:r w:rsidRPr="00130E57">
        <w:rPr>
          <w:sz w:val="24"/>
          <w:szCs w:val="24"/>
          <w:lang w:val="en-GB"/>
        </w:rPr>
        <w:t>Hypersensitivity to the active substance or to any of the excipients listed in section 6.1.</w:t>
      </w:r>
    </w:p>
    <w:p w:rsidR="00130E57" w:rsidRPr="00130E57" w:rsidRDefault="00130E57" w:rsidP="00130E57">
      <w:pPr>
        <w:tabs>
          <w:tab w:val="left" w:pos="1134"/>
        </w:tabs>
        <w:ind w:left="1134" w:hanging="283"/>
        <w:rPr>
          <w:sz w:val="24"/>
          <w:szCs w:val="24"/>
          <w:lang w:val="en-GB"/>
        </w:rPr>
      </w:pPr>
      <w:r w:rsidRPr="00130E57">
        <w:rPr>
          <w:sz w:val="24"/>
          <w:szCs w:val="24"/>
          <w:lang w:val="en-GB"/>
        </w:rPr>
        <w:t>-</w:t>
      </w:r>
      <w:r w:rsidRPr="00130E57">
        <w:rPr>
          <w:sz w:val="24"/>
          <w:szCs w:val="24"/>
          <w:lang w:val="en-GB"/>
        </w:rPr>
        <w:tab/>
        <w:t xml:space="preserve">Any type of acute metabolic acidosis (such as lactic acidosis, diabetic ketoacidosis) </w:t>
      </w:r>
    </w:p>
    <w:p w:rsidR="00130E57" w:rsidRPr="00130E57" w:rsidRDefault="00130E57" w:rsidP="00130E57">
      <w:pPr>
        <w:tabs>
          <w:tab w:val="left" w:pos="1134"/>
        </w:tabs>
        <w:ind w:left="1134" w:hanging="283"/>
        <w:rPr>
          <w:sz w:val="24"/>
          <w:szCs w:val="24"/>
          <w:lang w:val="en-GB"/>
        </w:rPr>
      </w:pPr>
      <w:r w:rsidRPr="00130E57">
        <w:rPr>
          <w:sz w:val="24"/>
          <w:szCs w:val="24"/>
          <w:lang w:val="en-GB"/>
        </w:rPr>
        <w:t>-</w:t>
      </w:r>
      <w:r w:rsidRPr="00130E57">
        <w:rPr>
          <w:sz w:val="24"/>
          <w:szCs w:val="24"/>
          <w:lang w:val="en-GB"/>
        </w:rPr>
        <w:tab/>
        <w:t>Diabetic pre-coma</w:t>
      </w:r>
    </w:p>
    <w:p w:rsidR="00130E57" w:rsidRPr="00130E57" w:rsidRDefault="00130E57" w:rsidP="00130E57">
      <w:pPr>
        <w:tabs>
          <w:tab w:val="left" w:pos="1134"/>
        </w:tabs>
        <w:ind w:left="1134" w:hanging="283"/>
        <w:rPr>
          <w:sz w:val="24"/>
          <w:szCs w:val="24"/>
          <w:lang w:val="en-GB"/>
        </w:rPr>
      </w:pPr>
      <w:r w:rsidRPr="00130E57">
        <w:rPr>
          <w:sz w:val="24"/>
          <w:szCs w:val="24"/>
          <w:lang w:val="en-GB"/>
        </w:rPr>
        <w:t>-</w:t>
      </w:r>
      <w:r w:rsidRPr="00130E57">
        <w:rPr>
          <w:sz w:val="24"/>
          <w:szCs w:val="24"/>
          <w:lang w:val="en-GB"/>
        </w:rPr>
        <w:tab/>
        <w:t xml:space="preserve">Severe renal failure (GFR &lt;30 ml/min) </w:t>
      </w:r>
    </w:p>
    <w:p w:rsidR="00130E57" w:rsidRPr="00130E57" w:rsidRDefault="00130E57" w:rsidP="00130E57">
      <w:pPr>
        <w:tabs>
          <w:tab w:val="left" w:pos="1134"/>
        </w:tabs>
        <w:ind w:left="1134" w:hanging="283"/>
        <w:rPr>
          <w:sz w:val="24"/>
          <w:szCs w:val="24"/>
          <w:lang w:val="en-GB"/>
        </w:rPr>
      </w:pPr>
      <w:r w:rsidRPr="00130E57">
        <w:rPr>
          <w:sz w:val="24"/>
          <w:szCs w:val="24"/>
          <w:lang w:val="en-GB"/>
        </w:rPr>
        <w:t>-</w:t>
      </w:r>
      <w:r w:rsidRPr="00130E57">
        <w:rPr>
          <w:sz w:val="24"/>
          <w:szCs w:val="24"/>
          <w:lang w:val="en-GB"/>
        </w:rPr>
        <w:tab/>
        <w:t xml:space="preserve">Acute conditions with the potential to alter renal function such as: </w:t>
      </w:r>
    </w:p>
    <w:p w:rsidR="00130E57" w:rsidRPr="00130E57" w:rsidRDefault="00130E57" w:rsidP="00130E57">
      <w:pPr>
        <w:tabs>
          <w:tab w:val="left" w:pos="1134"/>
        </w:tabs>
        <w:ind w:left="1134"/>
        <w:rPr>
          <w:sz w:val="24"/>
          <w:szCs w:val="24"/>
          <w:lang w:val="en-GB"/>
        </w:rPr>
      </w:pPr>
      <w:r w:rsidRPr="00130E57">
        <w:rPr>
          <w:sz w:val="24"/>
          <w:szCs w:val="24"/>
          <w:lang w:val="en-GB"/>
        </w:rPr>
        <w:t>-</w:t>
      </w:r>
      <w:r w:rsidRPr="00130E57">
        <w:rPr>
          <w:sz w:val="24"/>
          <w:szCs w:val="24"/>
          <w:lang w:val="en-GB"/>
        </w:rPr>
        <w:tab/>
        <w:t>dehydration</w:t>
      </w:r>
    </w:p>
    <w:p w:rsidR="00130E57" w:rsidRPr="00130E57" w:rsidRDefault="00130E57" w:rsidP="00130E57">
      <w:pPr>
        <w:tabs>
          <w:tab w:val="left" w:pos="1134"/>
        </w:tabs>
        <w:ind w:left="1134"/>
        <w:rPr>
          <w:sz w:val="24"/>
          <w:szCs w:val="24"/>
          <w:lang w:val="en-GB"/>
        </w:rPr>
      </w:pPr>
      <w:r w:rsidRPr="00130E57">
        <w:rPr>
          <w:sz w:val="24"/>
          <w:szCs w:val="24"/>
          <w:lang w:val="en-GB"/>
        </w:rPr>
        <w:t>-</w:t>
      </w:r>
      <w:r w:rsidRPr="00130E57">
        <w:rPr>
          <w:sz w:val="24"/>
          <w:szCs w:val="24"/>
          <w:lang w:val="en-GB"/>
        </w:rPr>
        <w:tab/>
        <w:t>severe infection</w:t>
      </w:r>
    </w:p>
    <w:p w:rsidR="00130E57" w:rsidRPr="00130E57" w:rsidRDefault="00130E57" w:rsidP="00130E57">
      <w:pPr>
        <w:tabs>
          <w:tab w:val="left" w:pos="1134"/>
        </w:tabs>
        <w:ind w:left="1134"/>
        <w:rPr>
          <w:sz w:val="24"/>
          <w:szCs w:val="24"/>
          <w:lang w:val="en-GB"/>
        </w:rPr>
      </w:pPr>
      <w:r w:rsidRPr="00130E57">
        <w:rPr>
          <w:sz w:val="24"/>
          <w:szCs w:val="24"/>
          <w:lang w:val="en-GB"/>
        </w:rPr>
        <w:t>-</w:t>
      </w:r>
      <w:r w:rsidRPr="00130E57">
        <w:rPr>
          <w:sz w:val="24"/>
          <w:szCs w:val="24"/>
          <w:lang w:val="en-GB"/>
        </w:rPr>
        <w:tab/>
        <w:t>shock</w:t>
      </w:r>
    </w:p>
    <w:p w:rsidR="00130E57" w:rsidRPr="00130E57" w:rsidRDefault="00130E57" w:rsidP="00130E57">
      <w:pPr>
        <w:tabs>
          <w:tab w:val="left" w:pos="1134"/>
        </w:tabs>
        <w:ind w:left="1134" w:hanging="283"/>
        <w:rPr>
          <w:sz w:val="24"/>
          <w:szCs w:val="24"/>
          <w:lang w:val="en-GB"/>
        </w:rPr>
      </w:pPr>
      <w:r w:rsidRPr="00130E57">
        <w:rPr>
          <w:sz w:val="24"/>
          <w:szCs w:val="24"/>
          <w:lang w:val="en-GB"/>
        </w:rPr>
        <w:t>-</w:t>
      </w:r>
      <w:r w:rsidRPr="00130E57">
        <w:rPr>
          <w:sz w:val="24"/>
          <w:szCs w:val="24"/>
          <w:lang w:val="en-GB"/>
        </w:rPr>
        <w:tab/>
        <w:t xml:space="preserve">Disease which may cause tissue hypoxia (especially acute disease, or worsening of chronic disease such as: </w:t>
      </w:r>
    </w:p>
    <w:p w:rsidR="00130E57" w:rsidRPr="00130E57" w:rsidRDefault="00130E57" w:rsidP="00130E57">
      <w:pPr>
        <w:tabs>
          <w:tab w:val="left" w:pos="1134"/>
        </w:tabs>
        <w:ind w:left="1134"/>
        <w:rPr>
          <w:sz w:val="24"/>
          <w:szCs w:val="24"/>
          <w:lang w:val="en-GB"/>
        </w:rPr>
      </w:pPr>
      <w:bookmarkStart w:id="2" w:name="_Hlk59011467"/>
      <w:r w:rsidRPr="00130E57">
        <w:rPr>
          <w:sz w:val="24"/>
          <w:szCs w:val="24"/>
          <w:lang w:val="en-GB"/>
        </w:rPr>
        <w:t>-</w:t>
      </w:r>
      <w:r w:rsidRPr="00130E57">
        <w:rPr>
          <w:sz w:val="24"/>
          <w:szCs w:val="24"/>
          <w:lang w:val="en-GB"/>
        </w:rPr>
        <w:tab/>
      </w:r>
      <w:bookmarkEnd w:id="2"/>
      <w:r w:rsidRPr="00130E57">
        <w:rPr>
          <w:sz w:val="24"/>
          <w:szCs w:val="24"/>
          <w:lang w:val="en-GB"/>
        </w:rPr>
        <w:t xml:space="preserve">decompensated heart failure, </w:t>
      </w:r>
    </w:p>
    <w:p w:rsidR="00130E57" w:rsidRPr="00130E57" w:rsidRDefault="00130E57" w:rsidP="00130E57">
      <w:pPr>
        <w:tabs>
          <w:tab w:val="left" w:pos="1134"/>
        </w:tabs>
        <w:ind w:left="1134"/>
        <w:rPr>
          <w:sz w:val="24"/>
          <w:szCs w:val="24"/>
          <w:lang w:val="en-GB"/>
        </w:rPr>
      </w:pPr>
      <w:r w:rsidRPr="00130E57">
        <w:rPr>
          <w:sz w:val="24"/>
          <w:szCs w:val="24"/>
          <w:lang w:val="en-GB"/>
        </w:rPr>
        <w:t>-</w:t>
      </w:r>
      <w:r w:rsidRPr="00130E57">
        <w:rPr>
          <w:sz w:val="24"/>
          <w:szCs w:val="24"/>
          <w:lang w:val="en-GB"/>
        </w:rPr>
        <w:tab/>
        <w:t>respiratory failure,</w:t>
      </w:r>
    </w:p>
    <w:p w:rsidR="00130E57" w:rsidRPr="00130E57" w:rsidRDefault="00130E57" w:rsidP="00130E57">
      <w:pPr>
        <w:tabs>
          <w:tab w:val="left" w:pos="1134"/>
        </w:tabs>
        <w:ind w:left="1134"/>
        <w:rPr>
          <w:sz w:val="24"/>
          <w:szCs w:val="24"/>
          <w:lang w:val="en-GB"/>
        </w:rPr>
      </w:pPr>
      <w:r w:rsidRPr="00130E57">
        <w:rPr>
          <w:sz w:val="24"/>
          <w:szCs w:val="24"/>
          <w:lang w:val="en-GB"/>
        </w:rPr>
        <w:t>-</w:t>
      </w:r>
      <w:r w:rsidRPr="00130E57">
        <w:rPr>
          <w:sz w:val="24"/>
          <w:szCs w:val="24"/>
          <w:lang w:val="en-GB"/>
        </w:rPr>
        <w:tab/>
        <w:t xml:space="preserve">recent myocardial infarction, </w:t>
      </w:r>
    </w:p>
    <w:p w:rsidR="00130E57" w:rsidRPr="00130E57" w:rsidRDefault="00130E57" w:rsidP="00130E57">
      <w:pPr>
        <w:tabs>
          <w:tab w:val="left" w:pos="1134"/>
        </w:tabs>
        <w:ind w:left="1134"/>
        <w:rPr>
          <w:sz w:val="24"/>
          <w:szCs w:val="24"/>
          <w:lang w:val="en-GB"/>
        </w:rPr>
      </w:pPr>
      <w:r w:rsidRPr="00130E57">
        <w:rPr>
          <w:sz w:val="24"/>
          <w:szCs w:val="24"/>
          <w:lang w:val="en-GB"/>
        </w:rPr>
        <w:t>-</w:t>
      </w:r>
      <w:r w:rsidRPr="00130E57">
        <w:rPr>
          <w:sz w:val="24"/>
          <w:szCs w:val="24"/>
          <w:lang w:val="en-GB"/>
        </w:rPr>
        <w:tab/>
        <w:t xml:space="preserve">shock </w:t>
      </w:r>
    </w:p>
    <w:p w:rsidR="00130E57" w:rsidRPr="00130E57" w:rsidRDefault="00130E57" w:rsidP="00130E57">
      <w:pPr>
        <w:tabs>
          <w:tab w:val="left" w:pos="1134"/>
        </w:tabs>
        <w:ind w:left="1134" w:hanging="283"/>
        <w:rPr>
          <w:sz w:val="24"/>
          <w:szCs w:val="24"/>
          <w:lang w:val="en-GB"/>
        </w:rPr>
      </w:pPr>
      <w:r w:rsidRPr="00130E57">
        <w:rPr>
          <w:sz w:val="24"/>
          <w:szCs w:val="24"/>
          <w:lang w:val="en-GB"/>
        </w:rPr>
        <w:t>-</w:t>
      </w:r>
      <w:r w:rsidRPr="00130E57">
        <w:rPr>
          <w:sz w:val="24"/>
          <w:szCs w:val="24"/>
          <w:lang w:val="en-GB"/>
        </w:rPr>
        <w:tab/>
        <w:t xml:space="preserve">Hepatic insufficiency, acute alcohol intoxication, alcoholism </w:t>
      </w:r>
    </w:p>
    <w:p w:rsidR="007C5D2A" w:rsidRPr="00303008" w:rsidRDefault="007C5D2A"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1160AB" w:rsidRPr="001160AB" w:rsidRDefault="001160AB" w:rsidP="001160AB">
      <w:pPr>
        <w:tabs>
          <w:tab w:val="left" w:pos="851"/>
        </w:tabs>
        <w:ind w:left="851"/>
        <w:rPr>
          <w:sz w:val="24"/>
          <w:szCs w:val="24"/>
          <w:lang w:val="en-GB"/>
        </w:rPr>
      </w:pPr>
    </w:p>
    <w:p w:rsidR="001160AB" w:rsidRPr="001160AB" w:rsidRDefault="001160AB" w:rsidP="001160AB">
      <w:pPr>
        <w:tabs>
          <w:tab w:val="left" w:pos="851"/>
        </w:tabs>
        <w:ind w:left="851"/>
        <w:rPr>
          <w:sz w:val="24"/>
          <w:szCs w:val="24"/>
          <w:u w:val="single"/>
          <w:lang w:val="en-GB"/>
        </w:rPr>
      </w:pPr>
      <w:r w:rsidRPr="001160AB">
        <w:rPr>
          <w:sz w:val="24"/>
          <w:szCs w:val="24"/>
          <w:u w:val="single"/>
          <w:lang w:val="en-GB"/>
        </w:rPr>
        <w:t>Lactic acidosis</w:t>
      </w:r>
    </w:p>
    <w:p w:rsidR="001160AB" w:rsidRPr="001160AB" w:rsidRDefault="001160AB" w:rsidP="001160AB">
      <w:pPr>
        <w:tabs>
          <w:tab w:val="left" w:pos="851"/>
        </w:tabs>
        <w:ind w:left="851"/>
        <w:rPr>
          <w:sz w:val="24"/>
          <w:szCs w:val="24"/>
          <w:lang w:val="en-GB"/>
        </w:rPr>
      </w:pPr>
      <w:r w:rsidRPr="001160AB">
        <w:rPr>
          <w:sz w:val="24"/>
          <w:szCs w:val="24"/>
          <w:lang w:val="en-GB"/>
        </w:rPr>
        <w:t>Lactic acidosis, a very rare but serious metabolic complication, most often occurs at acute worsening of renal function heart and respiratory disease or sepsis. Metformin accumulation occurs at acute worsening of renal function and increases the risk of lactic acidosis.</w:t>
      </w:r>
    </w:p>
    <w:p w:rsidR="001160AB" w:rsidRPr="001160AB" w:rsidRDefault="001160AB" w:rsidP="001160AB">
      <w:pPr>
        <w:tabs>
          <w:tab w:val="left" w:pos="851"/>
        </w:tabs>
        <w:ind w:left="851"/>
        <w:rPr>
          <w:sz w:val="24"/>
          <w:szCs w:val="24"/>
          <w:lang w:val="en-GB"/>
        </w:rPr>
      </w:pPr>
    </w:p>
    <w:p w:rsidR="001160AB" w:rsidRPr="001160AB" w:rsidRDefault="001160AB" w:rsidP="001160AB">
      <w:pPr>
        <w:tabs>
          <w:tab w:val="left" w:pos="851"/>
        </w:tabs>
        <w:ind w:left="851"/>
        <w:rPr>
          <w:sz w:val="24"/>
          <w:szCs w:val="24"/>
          <w:lang w:val="en-GB"/>
        </w:rPr>
      </w:pPr>
      <w:r w:rsidRPr="001160AB">
        <w:rPr>
          <w:sz w:val="24"/>
          <w:szCs w:val="24"/>
          <w:lang w:val="en-GB"/>
        </w:rPr>
        <w:t xml:space="preserve">In case of dehydration (severe diarrhoea or vomiting, fever or reduced fluid intake), metformin should be temporarily discontinued and contact with a health care professional is recommended. </w:t>
      </w:r>
    </w:p>
    <w:p w:rsidR="001160AB" w:rsidRPr="001160AB" w:rsidRDefault="001160AB" w:rsidP="001160AB">
      <w:pPr>
        <w:tabs>
          <w:tab w:val="left" w:pos="851"/>
        </w:tabs>
        <w:ind w:left="851"/>
        <w:rPr>
          <w:sz w:val="24"/>
          <w:szCs w:val="24"/>
          <w:lang w:val="en-GB"/>
        </w:rPr>
      </w:pPr>
    </w:p>
    <w:p w:rsidR="001160AB" w:rsidRPr="001160AB" w:rsidRDefault="001160AB" w:rsidP="001160AB">
      <w:pPr>
        <w:tabs>
          <w:tab w:val="left" w:pos="851"/>
        </w:tabs>
        <w:ind w:left="851"/>
        <w:rPr>
          <w:sz w:val="24"/>
          <w:szCs w:val="24"/>
          <w:lang w:val="en-GB"/>
        </w:rPr>
      </w:pPr>
      <w:r w:rsidRPr="001160AB">
        <w:rPr>
          <w:sz w:val="24"/>
          <w:szCs w:val="24"/>
          <w:lang w:val="en-GB"/>
        </w:rPr>
        <w:t xml:space="preserve">In patients treated with metformin, caution should be exercised when initiating therapy with medicinal products that may cause acute renal insufficiency (such as antihypertensives, diuretics and non-steroidal anti-inflammatory drugs (NSAIDs)). Other risk factors for lactic acidosis are excessive alcohol intake, hepatic insufficiency, inadequately controlled diabetes, ketosis, prolonged fasting and any conditions associated with hypoxia, as well as concomitant use of medicinal products that may cause lactic acidosis (see sections 4.3 and 4.5). </w:t>
      </w:r>
    </w:p>
    <w:p w:rsidR="001160AB" w:rsidRPr="001160AB" w:rsidRDefault="001160AB" w:rsidP="001160AB">
      <w:pPr>
        <w:tabs>
          <w:tab w:val="left" w:pos="851"/>
        </w:tabs>
        <w:ind w:left="851"/>
        <w:rPr>
          <w:sz w:val="24"/>
          <w:szCs w:val="24"/>
          <w:lang w:val="en-GB"/>
        </w:rPr>
      </w:pPr>
    </w:p>
    <w:p w:rsidR="001160AB" w:rsidRPr="001160AB" w:rsidRDefault="001160AB" w:rsidP="001160AB">
      <w:pPr>
        <w:tabs>
          <w:tab w:val="left" w:pos="851"/>
        </w:tabs>
        <w:ind w:left="851"/>
        <w:rPr>
          <w:sz w:val="24"/>
          <w:szCs w:val="24"/>
          <w:lang w:val="en-GB"/>
        </w:rPr>
      </w:pPr>
      <w:r w:rsidRPr="001160AB">
        <w:rPr>
          <w:sz w:val="24"/>
          <w:szCs w:val="24"/>
          <w:lang w:val="en-GB"/>
        </w:rPr>
        <w:t xml:space="preserve">Patients and/or their care-givers should be informed of the risk of lactic acidosis. Lactic acidosis is characterised by acidotic dyspnoea, abdominal pain, muscle cramps, asthenia and hypothermia followed by coma. In case of suspected symptoms, the patient should stop taking metformin and seek immediate medical attention. Diagnostic laboratory findings are decreased blood pH (&lt; 7.35), increased plasma lactate levels (&gt;5 mmol/l), and an increased anion gap and lactate/pyruvate ratio. </w:t>
      </w:r>
    </w:p>
    <w:p w:rsidR="001160AB" w:rsidRPr="001160AB" w:rsidRDefault="001160AB" w:rsidP="001160AB">
      <w:pPr>
        <w:tabs>
          <w:tab w:val="left" w:pos="851"/>
        </w:tabs>
        <w:ind w:left="851"/>
        <w:rPr>
          <w:sz w:val="24"/>
          <w:szCs w:val="24"/>
          <w:lang w:val="en-GB"/>
        </w:rPr>
      </w:pPr>
    </w:p>
    <w:p w:rsidR="001160AB" w:rsidRPr="001160AB" w:rsidRDefault="001160AB" w:rsidP="001160AB">
      <w:pPr>
        <w:tabs>
          <w:tab w:val="left" w:pos="851"/>
        </w:tabs>
        <w:ind w:left="851"/>
        <w:rPr>
          <w:sz w:val="24"/>
          <w:szCs w:val="24"/>
          <w:u w:val="single"/>
          <w:lang w:val="en-GB"/>
        </w:rPr>
      </w:pPr>
      <w:r w:rsidRPr="001160AB">
        <w:rPr>
          <w:sz w:val="24"/>
          <w:szCs w:val="24"/>
          <w:u w:val="single"/>
          <w:lang w:val="en-GB"/>
        </w:rPr>
        <w:t>Renal function</w:t>
      </w:r>
    </w:p>
    <w:p w:rsidR="001160AB" w:rsidRPr="001160AB" w:rsidRDefault="001160AB" w:rsidP="001160AB">
      <w:pPr>
        <w:tabs>
          <w:tab w:val="left" w:pos="851"/>
        </w:tabs>
        <w:ind w:left="851"/>
        <w:rPr>
          <w:sz w:val="24"/>
          <w:szCs w:val="24"/>
          <w:lang w:val="en-GB"/>
        </w:rPr>
      </w:pPr>
      <w:r w:rsidRPr="001160AB">
        <w:rPr>
          <w:sz w:val="24"/>
          <w:szCs w:val="24"/>
          <w:lang w:val="en-GB"/>
        </w:rPr>
        <w:t xml:space="preserve">GFR should be assessed before treatment initiation and regularly thereafter, see section 4.2. Metformin is contraindicated in patients with GFR&lt;30 ml/min and should be temporarily discontinued in the presence of conditions that alter renal function, see section 4.3. </w:t>
      </w:r>
    </w:p>
    <w:p w:rsidR="001160AB" w:rsidRPr="001160AB" w:rsidRDefault="001160AB" w:rsidP="001160AB">
      <w:pPr>
        <w:tabs>
          <w:tab w:val="left" w:pos="851"/>
        </w:tabs>
        <w:ind w:left="851"/>
        <w:rPr>
          <w:sz w:val="24"/>
          <w:szCs w:val="24"/>
          <w:lang w:val="en-GB"/>
        </w:rPr>
      </w:pPr>
    </w:p>
    <w:p w:rsidR="001160AB" w:rsidRPr="001160AB" w:rsidRDefault="001160AB" w:rsidP="001160AB">
      <w:pPr>
        <w:tabs>
          <w:tab w:val="left" w:pos="851"/>
        </w:tabs>
        <w:ind w:left="851"/>
        <w:rPr>
          <w:sz w:val="24"/>
          <w:szCs w:val="24"/>
          <w:u w:val="single"/>
          <w:lang w:val="en-GB"/>
        </w:rPr>
      </w:pPr>
      <w:r w:rsidRPr="001160AB">
        <w:rPr>
          <w:sz w:val="24"/>
          <w:szCs w:val="24"/>
          <w:u w:val="single"/>
          <w:lang w:val="en-GB"/>
        </w:rPr>
        <w:t xml:space="preserve">Cardiac function </w:t>
      </w:r>
    </w:p>
    <w:p w:rsidR="001160AB" w:rsidRPr="001160AB" w:rsidRDefault="001160AB" w:rsidP="001160AB">
      <w:pPr>
        <w:tabs>
          <w:tab w:val="left" w:pos="851"/>
        </w:tabs>
        <w:ind w:left="851"/>
        <w:rPr>
          <w:sz w:val="24"/>
          <w:szCs w:val="24"/>
          <w:lang w:val="en-GB"/>
        </w:rPr>
      </w:pPr>
      <w:r w:rsidRPr="001160AB">
        <w:rPr>
          <w:sz w:val="24"/>
          <w:szCs w:val="24"/>
          <w:lang w:val="en-GB"/>
        </w:rPr>
        <w:t>Patients with heart failure are more at risk of hypoxia and renal insufficiency. In patients with stable chronic heart failure, metformin may be used with a regular monitoring of cardiac and renal function.</w:t>
      </w:r>
    </w:p>
    <w:p w:rsidR="001160AB" w:rsidRPr="001160AB" w:rsidRDefault="001160AB" w:rsidP="001160AB">
      <w:pPr>
        <w:tabs>
          <w:tab w:val="left" w:pos="851"/>
        </w:tabs>
        <w:ind w:left="851"/>
        <w:rPr>
          <w:sz w:val="24"/>
          <w:szCs w:val="24"/>
          <w:lang w:val="en-GB"/>
        </w:rPr>
      </w:pPr>
    </w:p>
    <w:p w:rsidR="001160AB" w:rsidRPr="001160AB" w:rsidRDefault="001160AB" w:rsidP="001160AB">
      <w:pPr>
        <w:tabs>
          <w:tab w:val="left" w:pos="851"/>
        </w:tabs>
        <w:ind w:left="851"/>
        <w:rPr>
          <w:bCs/>
          <w:sz w:val="24"/>
          <w:szCs w:val="24"/>
          <w:lang w:val="en-GB"/>
        </w:rPr>
      </w:pPr>
      <w:r w:rsidRPr="001160AB">
        <w:rPr>
          <w:sz w:val="24"/>
          <w:szCs w:val="24"/>
          <w:lang w:val="en-GB"/>
        </w:rPr>
        <w:t>Metformin is contraindicated in patients with acute and unstable heart failure (see section 4.3).</w:t>
      </w:r>
    </w:p>
    <w:p w:rsidR="001160AB" w:rsidRPr="001160AB" w:rsidRDefault="001160AB" w:rsidP="001160AB">
      <w:pPr>
        <w:tabs>
          <w:tab w:val="left" w:pos="851"/>
        </w:tabs>
        <w:ind w:left="851"/>
        <w:rPr>
          <w:sz w:val="24"/>
          <w:szCs w:val="24"/>
          <w:lang w:val="en-GB"/>
        </w:rPr>
      </w:pPr>
    </w:p>
    <w:p w:rsidR="001160AB" w:rsidRPr="001160AB" w:rsidRDefault="001160AB" w:rsidP="001160AB">
      <w:pPr>
        <w:tabs>
          <w:tab w:val="left" w:pos="851"/>
        </w:tabs>
        <w:ind w:left="851"/>
        <w:rPr>
          <w:sz w:val="24"/>
          <w:szCs w:val="24"/>
          <w:u w:val="single"/>
          <w:lang w:val="en-GB"/>
        </w:rPr>
      </w:pPr>
      <w:r w:rsidRPr="001160AB">
        <w:rPr>
          <w:sz w:val="24"/>
          <w:szCs w:val="24"/>
          <w:u w:val="single"/>
          <w:lang w:val="en-GB"/>
        </w:rPr>
        <w:t>Administration of iodinated contrast agents</w:t>
      </w:r>
    </w:p>
    <w:p w:rsidR="001160AB" w:rsidRPr="001160AB" w:rsidRDefault="001160AB" w:rsidP="001160AB">
      <w:pPr>
        <w:tabs>
          <w:tab w:val="left" w:pos="851"/>
        </w:tabs>
        <w:ind w:left="851"/>
        <w:rPr>
          <w:sz w:val="24"/>
          <w:szCs w:val="24"/>
          <w:lang w:val="en-GB"/>
        </w:rPr>
      </w:pPr>
      <w:r w:rsidRPr="001160AB">
        <w:rPr>
          <w:sz w:val="24"/>
          <w:szCs w:val="24"/>
          <w:lang w:val="en-GB"/>
        </w:rPr>
        <w:t>Intravascular administration of iodinated contrast agents may lead to contrast induced nephropathy, resulting in metformin accumulation and an increased risk of lactic acidosis. Metformin should be discontinued prior to or at the time of the imaging procedure and not restarted until at least 48 hours after, provided that renal function has been re-evaluated and found to be stable, see sections 4.2 and 4.5.</w:t>
      </w:r>
    </w:p>
    <w:p w:rsidR="001160AB" w:rsidRPr="001160AB" w:rsidRDefault="001160AB" w:rsidP="001160AB">
      <w:pPr>
        <w:tabs>
          <w:tab w:val="left" w:pos="851"/>
        </w:tabs>
        <w:ind w:left="851"/>
        <w:rPr>
          <w:sz w:val="24"/>
          <w:szCs w:val="24"/>
          <w:lang w:val="en-GB"/>
        </w:rPr>
      </w:pPr>
    </w:p>
    <w:p w:rsidR="001160AB" w:rsidRPr="001160AB" w:rsidRDefault="001160AB" w:rsidP="001160AB">
      <w:pPr>
        <w:tabs>
          <w:tab w:val="left" w:pos="851"/>
        </w:tabs>
        <w:ind w:left="851"/>
        <w:rPr>
          <w:sz w:val="24"/>
          <w:szCs w:val="24"/>
          <w:u w:val="single"/>
          <w:lang w:val="en-GB"/>
        </w:rPr>
      </w:pPr>
      <w:r w:rsidRPr="001160AB">
        <w:rPr>
          <w:sz w:val="24"/>
          <w:szCs w:val="24"/>
          <w:u w:val="single"/>
          <w:lang w:val="en-GB"/>
        </w:rPr>
        <w:t>Surgery</w:t>
      </w:r>
    </w:p>
    <w:p w:rsidR="001160AB" w:rsidRPr="001160AB" w:rsidRDefault="001160AB" w:rsidP="001160AB">
      <w:pPr>
        <w:tabs>
          <w:tab w:val="left" w:pos="851"/>
        </w:tabs>
        <w:ind w:left="851"/>
        <w:rPr>
          <w:sz w:val="24"/>
          <w:szCs w:val="24"/>
          <w:lang w:val="en-GB"/>
        </w:rPr>
      </w:pPr>
      <w:r w:rsidRPr="001160AB">
        <w:rPr>
          <w:sz w:val="24"/>
          <w:szCs w:val="24"/>
          <w:lang w:val="en-GB"/>
        </w:rPr>
        <w:t>Metformin must be discontinued at the time of surgery under general, spinal or epidural anaesthesia. Therapy may be restarted no earlier than 48 hours following surgery or resumption of oral nutrition and provided that renal function has been re-evaluated and found to be stable.</w:t>
      </w:r>
    </w:p>
    <w:p w:rsidR="001160AB" w:rsidRPr="001160AB" w:rsidRDefault="001160AB" w:rsidP="001160AB">
      <w:pPr>
        <w:tabs>
          <w:tab w:val="left" w:pos="851"/>
        </w:tabs>
        <w:ind w:left="851"/>
        <w:rPr>
          <w:sz w:val="24"/>
          <w:szCs w:val="24"/>
          <w:lang w:val="en-GB"/>
        </w:rPr>
      </w:pPr>
    </w:p>
    <w:p w:rsidR="001160AB" w:rsidRPr="001160AB" w:rsidRDefault="001160AB" w:rsidP="001160AB">
      <w:pPr>
        <w:tabs>
          <w:tab w:val="left" w:pos="851"/>
        </w:tabs>
        <w:ind w:left="851"/>
        <w:rPr>
          <w:sz w:val="24"/>
          <w:szCs w:val="24"/>
          <w:u w:val="single"/>
          <w:lang w:val="en-GB"/>
        </w:rPr>
      </w:pPr>
      <w:r w:rsidRPr="001160AB">
        <w:rPr>
          <w:sz w:val="24"/>
          <w:szCs w:val="24"/>
          <w:u w:val="single"/>
          <w:lang w:val="en-GB"/>
        </w:rPr>
        <w:t>Other precautions</w:t>
      </w:r>
    </w:p>
    <w:p w:rsidR="001160AB" w:rsidRPr="001160AB" w:rsidRDefault="001160AB" w:rsidP="001160AB">
      <w:pPr>
        <w:tabs>
          <w:tab w:val="left" w:pos="851"/>
        </w:tabs>
        <w:ind w:left="851"/>
        <w:rPr>
          <w:sz w:val="24"/>
          <w:szCs w:val="24"/>
          <w:lang w:val="en-GB"/>
        </w:rPr>
      </w:pPr>
      <w:r w:rsidRPr="001160AB">
        <w:rPr>
          <w:sz w:val="24"/>
          <w:szCs w:val="24"/>
          <w:lang w:val="en-GB"/>
        </w:rPr>
        <w:t xml:space="preserve">All patients should continue their diet with a regular distribution of carbohydrate intake during the day. Overweight patients should continue their energy-restricted diet. </w:t>
      </w:r>
    </w:p>
    <w:p w:rsidR="001160AB" w:rsidRPr="001160AB" w:rsidRDefault="001160AB" w:rsidP="001160AB">
      <w:pPr>
        <w:tabs>
          <w:tab w:val="left" w:pos="851"/>
        </w:tabs>
        <w:ind w:left="851"/>
        <w:rPr>
          <w:sz w:val="24"/>
          <w:szCs w:val="24"/>
          <w:lang w:val="en-GB"/>
        </w:rPr>
      </w:pPr>
    </w:p>
    <w:p w:rsidR="001160AB" w:rsidRPr="001160AB" w:rsidRDefault="001160AB" w:rsidP="001160AB">
      <w:pPr>
        <w:tabs>
          <w:tab w:val="left" w:pos="851"/>
        </w:tabs>
        <w:ind w:left="851"/>
        <w:rPr>
          <w:sz w:val="24"/>
          <w:szCs w:val="24"/>
          <w:lang w:val="en-GB"/>
        </w:rPr>
      </w:pPr>
      <w:r w:rsidRPr="001160AB">
        <w:rPr>
          <w:sz w:val="24"/>
          <w:szCs w:val="24"/>
          <w:lang w:val="en-GB"/>
        </w:rPr>
        <w:t xml:space="preserve">The usual laboratory tests for diabetes monitoring should be performed regularly. </w:t>
      </w:r>
    </w:p>
    <w:p w:rsidR="001160AB" w:rsidRPr="001160AB" w:rsidRDefault="001160AB" w:rsidP="001160AB">
      <w:pPr>
        <w:tabs>
          <w:tab w:val="left" w:pos="851"/>
        </w:tabs>
        <w:ind w:left="851"/>
        <w:rPr>
          <w:sz w:val="24"/>
          <w:szCs w:val="24"/>
          <w:lang w:val="en-GB"/>
        </w:rPr>
      </w:pPr>
    </w:p>
    <w:p w:rsidR="001160AB" w:rsidRPr="001160AB" w:rsidRDefault="001160AB" w:rsidP="001160AB">
      <w:pPr>
        <w:tabs>
          <w:tab w:val="left" w:pos="851"/>
        </w:tabs>
        <w:ind w:left="851"/>
        <w:rPr>
          <w:sz w:val="24"/>
          <w:szCs w:val="24"/>
          <w:lang w:val="en-GB"/>
        </w:rPr>
      </w:pPr>
      <w:r w:rsidRPr="001160AB">
        <w:rPr>
          <w:sz w:val="24"/>
          <w:szCs w:val="24"/>
          <w:lang w:val="en-GB"/>
        </w:rPr>
        <w:t xml:space="preserve">Metformin alone does not cause hypoglycaemia, but caution is advised when it is used in combination with insulin or other oral antidiabetics (e.g. sulphonylureas or meglitinides). </w:t>
      </w:r>
    </w:p>
    <w:p w:rsidR="001160AB" w:rsidRPr="001160AB" w:rsidRDefault="001160AB" w:rsidP="001160AB">
      <w:pPr>
        <w:tabs>
          <w:tab w:val="left" w:pos="851"/>
        </w:tabs>
        <w:ind w:left="851"/>
        <w:rPr>
          <w:sz w:val="24"/>
          <w:szCs w:val="24"/>
          <w:lang w:val="en-GB"/>
        </w:rPr>
      </w:pPr>
    </w:p>
    <w:p w:rsidR="001160AB" w:rsidRPr="001160AB" w:rsidRDefault="001160AB" w:rsidP="001160AB">
      <w:pPr>
        <w:tabs>
          <w:tab w:val="left" w:pos="851"/>
        </w:tabs>
        <w:ind w:left="851"/>
        <w:rPr>
          <w:sz w:val="24"/>
          <w:szCs w:val="24"/>
          <w:lang w:val="en-GB"/>
        </w:rPr>
      </w:pPr>
      <w:r w:rsidRPr="001160AB">
        <w:rPr>
          <w:sz w:val="24"/>
          <w:szCs w:val="24"/>
          <w:lang w:val="en-GB"/>
        </w:rPr>
        <w:t>The tablet shells may be present in the faeces. It is recommended that patients be advised that this is normal.</w:t>
      </w:r>
    </w:p>
    <w:p w:rsidR="007C5D2A" w:rsidRPr="001160AB"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1160AB" w:rsidRPr="001160AB" w:rsidRDefault="001160AB" w:rsidP="001160AB">
      <w:pPr>
        <w:tabs>
          <w:tab w:val="left" w:pos="851"/>
        </w:tabs>
        <w:ind w:left="851"/>
        <w:rPr>
          <w:sz w:val="24"/>
          <w:szCs w:val="24"/>
          <w:lang w:val="en-GB"/>
        </w:rPr>
      </w:pPr>
    </w:p>
    <w:p w:rsidR="001160AB" w:rsidRPr="001160AB" w:rsidRDefault="001160AB" w:rsidP="001160AB">
      <w:pPr>
        <w:tabs>
          <w:tab w:val="left" w:pos="851"/>
        </w:tabs>
        <w:ind w:left="851"/>
        <w:rPr>
          <w:sz w:val="24"/>
          <w:szCs w:val="24"/>
          <w:u w:val="single"/>
          <w:lang w:val="en-GB"/>
        </w:rPr>
      </w:pPr>
      <w:r w:rsidRPr="001160AB">
        <w:rPr>
          <w:sz w:val="24"/>
          <w:szCs w:val="24"/>
          <w:u w:val="single"/>
          <w:lang w:val="en-GB"/>
        </w:rPr>
        <w:t>Concomitant use not recommended</w:t>
      </w:r>
    </w:p>
    <w:p w:rsidR="001160AB" w:rsidRPr="001160AB" w:rsidRDefault="001160AB" w:rsidP="001160AB">
      <w:pPr>
        <w:tabs>
          <w:tab w:val="left" w:pos="851"/>
        </w:tabs>
        <w:ind w:left="851"/>
        <w:rPr>
          <w:sz w:val="24"/>
          <w:szCs w:val="24"/>
          <w:lang w:val="en-GB"/>
        </w:rPr>
      </w:pPr>
    </w:p>
    <w:p w:rsidR="001160AB" w:rsidRPr="00D45B47" w:rsidRDefault="001160AB" w:rsidP="001160AB">
      <w:pPr>
        <w:tabs>
          <w:tab w:val="left" w:pos="851"/>
        </w:tabs>
        <w:ind w:left="851"/>
        <w:rPr>
          <w:i/>
          <w:sz w:val="24"/>
          <w:szCs w:val="24"/>
          <w:lang w:val="en-GB"/>
        </w:rPr>
      </w:pPr>
      <w:r w:rsidRPr="00D45B47">
        <w:rPr>
          <w:i/>
          <w:sz w:val="24"/>
          <w:szCs w:val="24"/>
          <w:lang w:val="en-GB"/>
        </w:rPr>
        <w:t>Alcohol</w:t>
      </w:r>
    </w:p>
    <w:p w:rsidR="001160AB" w:rsidRPr="001160AB" w:rsidRDefault="001160AB" w:rsidP="001160AB">
      <w:pPr>
        <w:tabs>
          <w:tab w:val="left" w:pos="851"/>
        </w:tabs>
        <w:ind w:left="851"/>
        <w:rPr>
          <w:sz w:val="24"/>
          <w:szCs w:val="24"/>
          <w:lang w:val="en-GB"/>
        </w:rPr>
      </w:pPr>
      <w:r w:rsidRPr="001160AB">
        <w:rPr>
          <w:sz w:val="24"/>
          <w:szCs w:val="24"/>
          <w:lang w:val="en-GB"/>
        </w:rPr>
        <w:t>Alcohol intoxication is associated with an increased risk of lactic acidosis, particularly in cases of fasting, malnutrition or hepatic impairment.</w:t>
      </w:r>
    </w:p>
    <w:p w:rsidR="001160AB" w:rsidRPr="001160AB" w:rsidRDefault="001160AB" w:rsidP="001160AB">
      <w:pPr>
        <w:tabs>
          <w:tab w:val="left" w:pos="851"/>
        </w:tabs>
        <w:ind w:left="851"/>
        <w:rPr>
          <w:sz w:val="24"/>
          <w:szCs w:val="24"/>
          <w:lang w:val="en-GB"/>
        </w:rPr>
      </w:pPr>
    </w:p>
    <w:p w:rsidR="001160AB" w:rsidRPr="006E67DC" w:rsidRDefault="001160AB" w:rsidP="001160AB">
      <w:pPr>
        <w:tabs>
          <w:tab w:val="left" w:pos="851"/>
        </w:tabs>
        <w:ind w:left="851"/>
        <w:rPr>
          <w:i/>
          <w:sz w:val="24"/>
          <w:szCs w:val="24"/>
          <w:lang w:val="en-GB"/>
        </w:rPr>
      </w:pPr>
      <w:r w:rsidRPr="006E67DC">
        <w:rPr>
          <w:i/>
          <w:sz w:val="24"/>
          <w:szCs w:val="24"/>
          <w:lang w:val="en-GB"/>
        </w:rPr>
        <w:t>Iodinated contrast agents</w:t>
      </w:r>
    </w:p>
    <w:p w:rsidR="001160AB" w:rsidRPr="001160AB" w:rsidRDefault="001160AB" w:rsidP="001160AB">
      <w:pPr>
        <w:tabs>
          <w:tab w:val="left" w:pos="851"/>
        </w:tabs>
        <w:ind w:left="851"/>
        <w:rPr>
          <w:sz w:val="24"/>
          <w:szCs w:val="24"/>
          <w:lang w:val="en-GB"/>
        </w:rPr>
      </w:pPr>
      <w:r w:rsidRPr="001160AB">
        <w:rPr>
          <w:sz w:val="24"/>
          <w:szCs w:val="24"/>
          <w:lang w:val="en-GB"/>
        </w:rPr>
        <w:t>Metformin must be discontinued prior to or at the time of the imaging procedure and not restarted until at least 48 hours after, provided that renal function has been re-evaluated and found to be stable, see sections 4.2 and 4.4.</w:t>
      </w:r>
    </w:p>
    <w:p w:rsidR="001160AB" w:rsidRPr="001160AB" w:rsidRDefault="001160AB" w:rsidP="001160AB">
      <w:pPr>
        <w:tabs>
          <w:tab w:val="left" w:pos="851"/>
        </w:tabs>
        <w:ind w:left="851"/>
        <w:rPr>
          <w:sz w:val="24"/>
          <w:szCs w:val="24"/>
          <w:lang w:val="en-GB"/>
        </w:rPr>
      </w:pPr>
    </w:p>
    <w:p w:rsidR="001160AB" w:rsidRPr="001160AB" w:rsidRDefault="001160AB" w:rsidP="001160AB">
      <w:pPr>
        <w:tabs>
          <w:tab w:val="left" w:pos="851"/>
        </w:tabs>
        <w:ind w:left="851"/>
        <w:rPr>
          <w:sz w:val="24"/>
          <w:szCs w:val="24"/>
          <w:u w:val="single"/>
          <w:lang w:val="en-GB"/>
        </w:rPr>
      </w:pPr>
      <w:r w:rsidRPr="001160AB">
        <w:rPr>
          <w:sz w:val="24"/>
          <w:szCs w:val="24"/>
          <w:u w:val="single"/>
          <w:lang w:val="en-GB"/>
        </w:rPr>
        <w:t>Combinations requiring precautions for use</w:t>
      </w:r>
    </w:p>
    <w:p w:rsidR="001160AB" w:rsidRPr="001160AB" w:rsidRDefault="001160AB" w:rsidP="001160AB">
      <w:pPr>
        <w:tabs>
          <w:tab w:val="left" w:pos="851"/>
        </w:tabs>
        <w:ind w:left="851"/>
        <w:rPr>
          <w:sz w:val="24"/>
          <w:szCs w:val="24"/>
          <w:lang w:val="en-GB"/>
        </w:rPr>
      </w:pPr>
      <w:r w:rsidRPr="001160AB">
        <w:rPr>
          <w:sz w:val="24"/>
          <w:szCs w:val="24"/>
          <w:lang w:val="en-GB"/>
        </w:rPr>
        <w:t xml:space="preserve">Some medicinal products can adversely affect renal function which may increase the risk of lactic acidosis, e.g. NSAIDs, including selective cyclo-oxygenase (COX) II inhibitors, ACE inhibitors, angiotensin II receptor antagonists and diuretics, especially loop diuretics. When starting or using such products in combination with metformin, close monitoring of renal function is necessary. </w:t>
      </w:r>
    </w:p>
    <w:p w:rsidR="001160AB" w:rsidRPr="001160AB" w:rsidRDefault="001160AB" w:rsidP="001160AB">
      <w:pPr>
        <w:tabs>
          <w:tab w:val="left" w:pos="851"/>
        </w:tabs>
        <w:ind w:left="851"/>
        <w:rPr>
          <w:sz w:val="24"/>
          <w:szCs w:val="24"/>
          <w:lang w:val="en-GB"/>
        </w:rPr>
      </w:pPr>
    </w:p>
    <w:p w:rsidR="001160AB" w:rsidRPr="001160AB" w:rsidRDefault="001160AB" w:rsidP="001160AB">
      <w:pPr>
        <w:tabs>
          <w:tab w:val="left" w:pos="851"/>
        </w:tabs>
        <w:ind w:left="851"/>
        <w:rPr>
          <w:sz w:val="24"/>
          <w:szCs w:val="24"/>
          <w:lang w:val="en-GB"/>
        </w:rPr>
      </w:pPr>
      <w:r w:rsidRPr="001160AB">
        <w:rPr>
          <w:sz w:val="24"/>
          <w:szCs w:val="24"/>
          <w:lang w:val="en-GB"/>
        </w:rPr>
        <w:t>Medicinal products with intrinsic hyperglycaemic activity (e.g. glucocorticoids (systemic and local routes) and sympathomimetics). More frequent blood glucose monitoring may be required, especially at the beginning of treatment. If necessary, adjust the metformin dosage during therapy with the respective medicinal product and upon its discontinuation.</w:t>
      </w:r>
    </w:p>
    <w:p w:rsidR="001160AB" w:rsidRPr="001160AB" w:rsidRDefault="001160AB" w:rsidP="001160AB">
      <w:pPr>
        <w:tabs>
          <w:tab w:val="left" w:pos="851"/>
        </w:tabs>
        <w:ind w:left="851"/>
        <w:rPr>
          <w:sz w:val="24"/>
          <w:szCs w:val="24"/>
          <w:lang w:val="en-GB"/>
        </w:rPr>
      </w:pPr>
    </w:p>
    <w:p w:rsidR="001160AB" w:rsidRPr="001160AB" w:rsidRDefault="001160AB" w:rsidP="001160AB">
      <w:pPr>
        <w:tabs>
          <w:tab w:val="left" w:pos="851"/>
        </w:tabs>
        <w:ind w:left="851"/>
        <w:rPr>
          <w:i/>
          <w:sz w:val="24"/>
          <w:szCs w:val="24"/>
          <w:lang w:val="en-GB"/>
        </w:rPr>
      </w:pPr>
      <w:r w:rsidRPr="001160AB">
        <w:rPr>
          <w:i/>
          <w:sz w:val="24"/>
          <w:szCs w:val="24"/>
          <w:lang w:val="en-GB"/>
        </w:rPr>
        <w:t>Organic cation transporters (OCT)</w:t>
      </w:r>
    </w:p>
    <w:p w:rsidR="001160AB" w:rsidRPr="001160AB" w:rsidRDefault="001160AB" w:rsidP="001160AB">
      <w:pPr>
        <w:tabs>
          <w:tab w:val="left" w:pos="851"/>
        </w:tabs>
        <w:ind w:left="851"/>
        <w:rPr>
          <w:sz w:val="24"/>
          <w:szCs w:val="24"/>
          <w:lang w:val="en-GB"/>
        </w:rPr>
      </w:pPr>
      <w:r w:rsidRPr="001160AB">
        <w:rPr>
          <w:sz w:val="24"/>
          <w:szCs w:val="24"/>
          <w:lang w:val="en-GB"/>
        </w:rPr>
        <w:t xml:space="preserve">Metformin is the substrate for both the transporters OCT1 and OCT2. </w:t>
      </w:r>
    </w:p>
    <w:p w:rsidR="001160AB" w:rsidRPr="001160AB" w:rsidRDefault="001160AB" w:rsidP="001160AB">
      <w:pPr>
        <w:tabs>
          <w:tab w:val="left" w:pos="851"/>
        </w:tabs>
        <w:ind w:left="851"/>
        <w:rPr>
          <w:sz w:val="24"/>
          <w:szCs w:val="24"/>
          <w:lang w:val="en-GB"/>
        </w:rPr>
      </w:pPr>
      <w:r w:rsidRPr="001160AB">
        <w:rPr>
          <w:sz w:val="24"/>
          <w:szCs w:val="24"/>
          <w:lang w:val="en-GB"/>
        </w:rPr>
        <w:t xml:space="preserve">Concomitant use with metformin: </w:t>
      </w:r>
    </w:p>
    <w:p w:rsidR="001160AB" w:rsidRPr="001160AB" w:rsidRDefault="001160AB" w:rsidP="006E67DC">
      <w:pPr>
        <w:numPr>
          <w:ilvl w:val="0"/>
          <w:numId w:val="5"/>
        </w:numPr>
        <w:tabs>
          <w:tab w:val="left" w:pos="851"/>
        </w:tabs>
        <w:ind w:left="1134" w:hanging="283"/>
        <w:rPr>
          <w:sz w:val="24"/>
          <w:szCs w:val="24"/>
          <w:lang w:val="en-GB"/>
        </w:rPr>
      </w:pPr>
      <w:r w:rsidRPr="001160AB">
        <w:rPr>
          <w:sz w:val="24"/>
          <w:szCs w:val="24"/>
          <w:lang w:val="en-GB"/>
        </w:rPr>
        <w:t>OCT1 inhibitors (such as verapamil) can decrease the effectiveness of metformin.</w:t>
      </w:r>
    </w:p>
    <w:p w:rsidR="001160AB" w:rsidRPr="001160AB" w:rsidRDefault="001160AB" w:rsidP="006E67DC">
      <w:pPr>
        <w:numPr>
          <w:ilvl w:val="0"/>
          <w:numId w:val="5"/>
        </w:numPr>
        <w:tabs>
          <w:tab w:val="left" w:pos="851"/>
        </w:tabs>
        <w:ind w:left="1134" w:hanging="283"/>
        <w:rPr>
          <w:sz w:val="24"/>
          <w:szCs w:val="24"/>
          <w:lang w:val="en-GB"/>
        </w:rPr>
      </w:pPr>
      <w:r w:rsidRPr="001160AB">
        <w:rPr>
          <w:sz w:val="24"/>
          <w:szCs w:val="24"/>
          <w:lang w:val="en-GB"/>
        </w:rPr>
        <w:t xml:space="preserve">OCT1 inducers (such as rifampicin) can increase the absorption of metformin from the gastrointestinal tract and its effectiveness. </w:t>
      </w:r>
    </w:p>
    <w:p w:rsidR="001160AB" w:rsidRPr="001160AB" w:rsidRDefault="001160AB" w:rsidP="006E67DC">
      <w:pPr>
        <w:numPr>
          <w:ilvl w:val="0"/>
          <w:numId w:val="5"/>
        </w:numPr>
        <w:tabs>
          <w:tab w:val="left" w:pos="851"/>
        </w:tabs>
        <w:ind w:left="1134" w:hanging="283"/>
        <w:rPr>
          <w:sz w:val="24"/>
          <w:szCs w:val="24"/>
          <w:lang w:val="en-GB"/>
        </w:rPr>
      </w:pPr>
      <w:r w:rsidRPr="001160AB">
        <w:rPr>
          <w:sz w:val="24"/>
          <w:szCs w:val="24"/>
          <w:lang w:val="en-GB"/>
        </w:rPr>
        <w:t>OCT2 inhibitors (such as cimetidine, dolutegravir, ranolazine,</w:t>
      </w:r>
      <w:r w:rsidRPr="001160AB">
        <w:rPr>
          <w:b/>
          <w:sz w:val="24"/>
          <w:szCs w:val="24"/>
          <w:lang w:val="en-GB"/>
        </w:rPr>
        <w:t xml:space="preserve"> </w:t>
      </w:r>
      <w:r w:rsidRPr="001160AB">
        <w:rPr>
          <w:sz w:val="24"/>
          <w:szCs w:val="24"/>
          <w:lang w:val="en-GB"/>
        </w:rPr>
        <w:t xml:space="preserve">trimethoprim, vandetanib, isavuconazole) can decrease the renal excretion of metformin and may result in increased plasma concentrations of metformin. </w:t>
      </w:r>
    </w:p>
    <w:p w:rsidR="001160AB" w:rsidRPr="001160AB" w:rsidRDefault="001160AB" w:rsidP="006E67DC">
      <w:pPr>
        <w:numPr>
          <w:ilvl w:val="0"/>
          <w:numId w:val="5"/>
        </w:numPr>
        <w:tabs>
          <w:tab w:val="left" w:pos="851"/>
        </w:tabs>
        <w:ind w:left="1134" w:hanging="283"/>
        <w:rPr>
          <w:sz w:val="24"/>
          <w:szCs w:val="24"/>
          <w:lang w:val="en-GB"/>
        </w:rPr>
      </w:pPr>
      <w:r w:rsidRPr="001160AB">
        <w:rPr>
          <w:sz w:val="24"/>
          <w:szCs w:val="24"/>
          <w:lang w:val="en-GB"/>
        </w:rPr>
        <w:t xml:space="preserve">OCT1 and OCT2 inhibitors (such as crisotinib and olaparib) can alter the efficacy and the renal elimination of metformin. </w:t>
      </w:r>
    </w:p>
    <w:p w:rsidR="001160AB" w:rsidRPr="001160AB" w:rsidRDefault="001160AB" w:rsidP="001160AB">
      <w:pPr>
        <w:tabs>
          <w:tab w:val="left" w:pos="851"/>
        </w:tabs>
        <w:ind w:left="851"/>
        <w:rPr>
          <w:sz w:val="24"/>
          <w:szCs w:val="24"/>
          <w:lang w:val="en-GB"/>
        </w:rPr>
      </w:pPr>
      <w:r w:rsidRPr="001160AB">
        <w:rPr>
          <w:sz w:val="24"/>
          <w:szCs w:val="24"/>
          <w:lang w:val="en-GB"/>
        </w:rPr>
        <w:t xml:space="preserve">Caution should therefore be used when these medicinal products are co-administered with metformin, especially in patients with renal impairment, as the plasma concentrations of metformin may be increased. If necessary, adjusting the dose of metformin should be considered, as OCT inhibitors/inducers can modify the effectiveness of metformin. </w:t>
      </w:r>
    </w:p>
    <w:p w:rsidR="001160AB" w:rsidRPr="001160AB" w:rsidRDefault="001160AB" w:rsidP="001160AB">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5641D5" w:rsidRPr="005641D5" w:rsidRDefault="005641D5" w:rsidP="005641D5">
      <w:pPr>
        <w:tabs>
          <w:tab w:val="left" w:pos="851"/>
        </w:tabs>
        <w:ind w:left="851"/>
        <w:rPr>
          <w:sz w:val="24"/>
          <w:szCs w:val="24"/>
          <w:lang w:val="en-GB"/>
        </w:rPr>
      </w:pPr>
    </w:p>
    <w:p w:rsidR="005641D5" w:rsidRPr="005641D5" w:rsidRDefault="005641D5" w:rsidP="005641D5">
      <w:pPr>
        <w:tabs>
          <w:tab w:val="left" w:pos="851"/>
        </w:tabs>
        <w:ind w:left="851"/>
        <w:rPr>
          <w:sz w:val="24"/>
          <w:szCs w:val="24"/>
          <w:u w:val="single"/>
          <w:lang w:val="en-GB"/>
        </w:rPr>
      </w:pPr>
      <w:r w:rsidRPr="005641D5">
        <w:rPr>
          <w:sz w:val="24"/>
          <w:szCs w:val="24"/>
          <w:u w:val="single"/>
          <w:lang w:val="en-GB"/>
        </w:rPr>
        <w:t>Pregnancy</w:t>
      </w:r>
    </w:p>
    <w:p w:rsidR="005641D5" w:rsidRPr="005641D5" w:rsidRDefault="005641D5" w:rsidP="005641D5">
      <w:pPr>
        <w:tabs>
          <w:tab w:val="left" w:pos="851"/>
        </w:tabs>
        <w:ind w:left="851"/>
        <w:rPr>
          <w:sz w:val="24"/>
          <w:szCs w:val="24"/>
          <w:lang w:val="en-GB"/>
        </w:rPr>
      </w:pPr>
      <w:r w:rsidRPr="005641D5">
        <w:rPr>
          <w:sz w:val="24"/>
          <w:szCs w:val="24"/>
          <w:lang w:val="en-GB"/>
        </w:rPr>
        <w:t xml:space="preserve">Uncontrolled diabetes during pregnancy (gestational or permanent) is associated with increased risk of congenital abnormalities and perinatal mortality. </w:t>
      </w:r>
    </w:p>
    <w:p w:rsidR="005641D5" w:rsidRPr="005641D5" w:rsidRDefault="005641D5" w:rsidP="005641D5">
      <w:pPr>
        <w:tabs>
          <w:tab w:val="left" w:pos="851"/>
        </w:tabs>
        <w:ind w:left="851"/>
        <w:rPr>
          <w:sz w:val="24"/>
          <w:szCs w:val="24"/>
          <w:lang w:val="en-GB"/>
        </w:rPr>
      </w:pPr>
    </w:p>
    <w:p w:rsidR="005641D5" w:rsidRPr="005641D5" w:rsidRDefault="005641D5" w:rsidP="005641D5">
      <w:pPr>
        <w:tabs>
          <w:tab w:val="left" w:pos="851"/>
        </w:tabs>
        <w:ind w:left="851"/>
        <w:rPr>
          <w:sz w:val="24"/>
          <w:szCs w:val="24"/>
          <w:lang w:val="en-GB"/>
        </w:rPr>
      </w:pPr>
      <w:r w:rsidRPr="005641D5">
        <w:rPr>
          <w:sz w:val="24"/>
          <w:szCs w:val="24"/>
          <w:lang w:val="en-GB"/>
        </w:rPr>
        <w:t xml:space="preserve">A limited amount of data from the use of metformin in pregnant women does not indicate an increased risk of congenital abnormalities. Animal studies do not indicate harmful effects with respect to pregnancy, embryonic or foetal development, parturition or postnatal development (see section 5.3). </w:t>
      </w:r>
    </w:p>
    <w:p w:rsidR="005641D5" w:rsidRPr="005641D5" w:rsidRDefault="005641D5" w:rsidP="005641D5">
      <w:pPr>
        <w:tabs>
          <w:tab w:val="left" w:pos="851"/>
        </w:tabs>
        <w:ind w:left="851"/>
        <w:rPr>
          <w:sz w:val="24"/>
          <w:szCs w:val="24"/>
          <w:lang w:val="en-GB"/>
        </w:rPr>
      </w:pPr>
    </w:p>
    <w:p w:rsidR="005641D5" w:rsidRPr="005641D5" w:rsidRDefault="005641D5" w:rsidP="005641D5">
      <w:pPr>
        <w:tabs>
          <w:tab w:val="left" w:pos="851"/>
        </w:tabs>
        <w:ind w:left="851"/>
        <w:rPr>
          <w:sz w:val="24"/>
          <w:szCs w:val="24"/>
          <w:lang w:val="en-GB"/>
        </w:rPr>
      </w:pPr>
      <w:r w:rsidRPr="005641D5">
        <w:rPr>
          <w:sz w:val="24"/>
          <w:szCs w:val="24"/>
          <w:lang w:val="en-GB"/>
        </w:rPr>
        <w:t>When the patient plans to become pregnant and during pregnancy, it is recommended that diabetes is not treated with metformin but insulin be used to maintain blood glucose levels as close to normal as possible to reduce the risk of malformations of the foetus.</w:t>
      </w:r>
    </w:p>
    <w:p w:rsidR="005641D5" w:rsidRPr="005641D5" w:rsidRDefault="005641D5" w:rsidP="005641D5">
      <w:pPr>
        <w:tabs>
          <w:tab w:val="left" w:pos="851"/>
        </w:tabs>
        <w:ind w:left="851"/>
        <w:rPr>
          <w:sz w:val="24"/>
          <w:szCs w:val="24"/>
          <w:lang w:val="en-GB"/>
        </w:rPr>
      </w:pPr>
    </w:p>
    <w:p w:rsidR="005641D5" w:rsidRPr="005641D5" w:rsidRDefault="005641D5" w:rsidP="005641D5">
      <w:pPr>
        <w:tabs>
          <w:tab w:val="left" w:pos="851"/>
        </w:tabs>
        <w:ind w:left="851"/>
        <w:rPr>
          <w:sz w:val="24"/>
          <w:szCs w:val="24"/>
          <w:u w:val="single"/>
          <w:lang w:val="en-GB"/>
        </w:rPr>
      </w:pPr>
      <w:r w:rsidRPr="005641D5">
        <w:rPr>
          <w:sz w:val="24"/>
          <w:szCs w:val="24"/>
          <w:u w:val="single"/>
          <w:lang w:val="en-GB"/>
        </w:rPr>
        <w:t>Breastfeeding</w:t>
      </w:r>
    </w:p>
    <w:p w:rsidR="005641D5" w:rsidRPr="005641D5" w:rsidRDefault="005641D5" w:rsidP="005641D5">
      <w:pPr>
        <w:tabs>
          <w:tab w:val="left" w:pos="851"/>
        </w:tabs>
        <w:ind w:left="851"/>
        <w:rPr>
          <w:sz w:val="24"/>
          <w:szCs w:val="24"/>
          <w:lang w:val="en-GB"/>
        </w:rPr>
      </w:pPr>
      <w:r w:rsidRPr="005641D5">
        <w:rPr>
          <w:sz w:val="24"/>
          <w:szCs w:val="24"/>
          <w:lang w:val="en-GB"/>
        </w:rPr>
        <w:t>Metformin is excreted into human breast milk. No adverse effects were observed in breastfed newborns/infants. However, as only limited data are available, breastfeeding is not recommended during metformin treatment. A decision on whether to discontinue breast-feeding should be made, taking into account the benefit of breast-feeding and the potential risk to adverse effects on the child.</w:t>
      </w:r>
    </w:p>
    <w:p w:rsidR="005641D5" w:rsidRPr="005641D5" w:rsidRDefault="005641D5" w:rsidP="005641D5">
      <w:pPr>
        <w:tabs>
          <w:tab w:val="left" w:pos="851"/>
        </w:tabs>
        <w:ind w:left="851"/>
        <w:rPr>
          <w:sz w:val="24"/>
          <w:szCs w:val="24"/>
          <w:lang w:val="en-GB"/>
        </w:rPr>
      </w:pPr>
    </w:p>
    <w:p w:rsidR="005641D5" w:rsidRPr="005641D5" w:rsidRDefault="005641D5" w:rsidP="005641D5">
      <w:pPr>
        <w:tabs>
          <w:tab w:val="left" w:pos="851"/>
        </w:tabs>
        <w:ind w:left="851"/>
        <w:rPr>
          <w:sz w:val="24"/>
          <w:szCs w:val="24"/>
          <w:u w:val="single"/>
          <w:lang w:val="en-GB"/>
        </w:rPr>
      </w:pPr>
      <w:r w:rsidRPr="005641D5">
        <w:rPr>
          <w:sz w:val="24"/>
          <w:szCs w:val="24"/>
          <w:u w:val="single"/>
          <w:lang w:val="en-GB"/>
        </w:rPr>
        <w:t>Fertility</w:t>
      </w:r>
    </w:p>
    <w:p w:rsidR="005641D5" w:rsidRPr="005641D5" w:rsidRDefault="005641D5" w:rsidP="005641D5">
      <w:pPr>
        <w:tabs>
          <w:tab w:val="left" w:pos="851"/>
        </w:tabs>
        <w:ind w:left="851"/>
        <w:rPr>
          <w:sz w:val="24"/>
          <w:szCs w:val="24"/>
          <w:lang w:val="en-GB"/>
        </w:rPr>
      </w:pPr>
      <w:r w:rsidRPr="005641D5">
        <w:rPr>
          <w:sz w:val="24"/>
          <w:szCs w:val="24"/>
          <w:lang w:val="en-GB"/>
        </w:rPr>
        <w:t>Fertility of male or female rats was unaffected by metformin when administered at doses as high as 600 mg/kg/day, which is approximately three times the maximum recommended human daily dose based on body surface area comparisons.</w:t>
      </w:r>
    </w:p>
    <w:p w:rsidR="005641D5" w:rsidRPr="005641D5" w:rsidRDefault="005641D5" w:rsidP="005641D5">
      <w:pPr>
        <w:tabs>
          <w:tab w:val="left" w:pos="851"/>
        </w:tabs>
        <w:ind w:left="851"/>
        <w:rPr>
          <w:sz w:val="24"/>
          <w:szCs w:val="24"/>
          <w:lang w:val="en-GB"/>
        </w:rPr>
      </w:pPr>
    </w:p>
    <w:p w:rsidR="005641D5" w:rsidRPr="005641D5" w:rsidRDefault="005641D5" w:rsidP="005641D5">
      <w:pPr>
        <w:tabs>
          <w:tab w:val="left" w:pos="851"/>
        </w:tabs>
        <w:ind w:left="851"/>
        <w:rPr>
          <w:bCs/>
          <w:sz w:val="24"/>
          <w:szCs w:val="24"/>
          <w:lang w:val="en-GB"/>
        </w:rPr>
      </w:pPr>
      <w:r w:rsidRPr="005641D5">
        <w:rPr>
          <w:bCs/>
          <w:sz w:val="24"/>
          <w:szCs w:val="24"/>
          <w:lang w:val="en-GB"/>
        </w:rPr>
        <w:t>Some clinical studies suggest that metformin can increase ovulation in women with polycystic ovarian syndrome (PCOS). However, there is no evidence to date that metformin increases the number of live births in women with PCOS.</w:t>
      </w:r>
    </w:p>
    <w:p w:rsidR="007C5D2A" w:rsidRPr="005641D5"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B73586" w:rsidRDefault="00B73586" w:rsidP="00B73586">
      <w:pPr>
        <w:tabs>
          <w:tab w:val="left" w:pos="851"/>
        </w:tabs>
        <w:ind w:left="851"/>
        <w:rPr>
          <w:sz w:val="24"/>
          <w:szCs w:val="24"/>
          <w:lang w:val="en-GB"/>
        </w:rPr>
      </w:pPr>
      <w:r>
        <w:rPr>
          <w:sz w:val="24"/>
          <w:szCs w:val="24"/>
          <w:lang w:val="en-GB"/>
        </w:rPr>
        <w:t>No traffic warning.</w:t>
      </w:r>
    </w:p>
    <w:p w:rsidR="00B73586" w:rsidRPr="00B73586" w:rsidRDefault="00B73586" w:rsidP="00B73586">
      <w:pPr>
        <w:tabs>
          <w:tab w:val="left" w:pos="851"/>
        </w:tabs>
        <w:ind w:left="851"/>
        <w:rPr>
          <w:sz w:val="24"/>
          <w:szCs w:val="24"/>
          <w:lang w:val="en-GB"/>
        </w:rPr>
      </w:pPr>
      <w:r w:rsidRPr="00B73586">
        <w:rPr>
          <w:sz w:val="24"/>
          <w:szCs w:val="24"/>
          <w:lang w:val="en-GB"/>
        </w:rPr>
        <w:t xml:space="preserve">Metformin monotherapy does not cause hypoglycaemia and therefore has no effect on the ability to drive or to use machines. </w:t>
      </w:r>
    </w:p>
    <w:p w:rsidR="00B73586" w:rsidRPr="00B73586" w:rsidRDefault="00B73586" w:rsidP="00B73586">
      <w:pPr>
        <w:tabs>
          <w:tab w:val="left" w:pos="851"/>
        </w:tabs>
        <w:ind w:left="851"/>
        <w:rPr>
          <w:sz w:val="24"/>
          <w:szCs w:val="24"/>
          <w:lang w:val="en-GB"/>
        </w:rPr>
      </w:pPr>
      <w:r w:rsidRPr="00B73586">
        <w:rPr>
          <w:sz w:val="24"/>
          <w:szCs w:val="24"/>
          <w:lang w:val="en-GB"/>
        </w:rPr>
        <w:t>However, patients should be alerted to the risk of hypoglycaemia when metformin is used in combination with other antidiabetic agents (e.g. sulphonylureas, insulin, or meglitinides).</w:t>
      </w:r>
    </w:p>
    <w:p w:rsidR="007C5D2A" w:rsidRPr="00B73586"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F809B9" w:rsidRPr="00F809B9" w:rsidRDefault="00F809B9" w:rsidP="00F809B9">
      <w:pPr>
        <w:tabs>
          <w:tab w:val="left" w:pos="851"/>
        </w:tabs>
        <w:ind w:left="851"/>
        <w:rPr>
          <w:sz w:val="24"/>
          <w:szCs w:val="24"/>
          <w:lang w:val="en-GB"/>
        </w:rPr>
      </w:pPr>
      <w:r w:rsidRPr="00F809B9">
        <w:rPr>
          <w:sz w:val="24"/>
          <w:szCs w:val="24"/>
          <w:lang w:val="en-GB"/>
        </w:rPr>
        <w:t xml:space="preserve">In post marketing data and in controlled clinical studies, adverse event reporting in patients treated with metformin prolonged release tablets was similar in nature and severity to that reported in patients treated with metformin immediate release tablets. </w:t>
      </w:r>
    </w:p>
    <w:p w:rsidR="00F809B9" w:rsidRPr="00F809B9" w:rsidRDefault="00F809B9" w:rsidP="00F809B9">
      <w:pPr>
        <w:tabs>
          <w:tab w:val="left" w:pos="851"/>
        </w:tabs>
        <w:ind w:left="851"/>
        <w:rPr>
          <w:sz w:val="24"/>
          <w:szCs w:val="24"/>
          <w:lang w:val="en-GB"/>
        </w:rPr>
      </w:pPr>
    </w:p>
    <w:p w:rsidR="00F809B9" w:rsidRPr="00F809B9" w:rsidRDefault="00F809B9" w:rsidP="00F809B9">
      <w:pPr>
        <w:tabs>
          <w:tab w:val="left" w:pos="851"/>
        </w:tabs>
        <w:ind w:left="851"/>
        <w:rPr>
          <w:sz w:val="24"/>
          <w:szCs w:val="24"/>
          <w:lang w:val="en-GB"/>
        </w:rPr>
      </w:pPr>
      <w:r w:rsidRPr="00F809B9">
        <w:rPr>
          <w:sz w:val="24"/>
          <w:szCs w:val="24"/>
          <w:lang w:val="en-GB"/>
        </w:rPr>
        <w:t>During treatment initiation, the most common adverse reactions are nausea, vomiting, diarrhoea, abdominal pain and loss of appetite, which resolve spontaneously in most cases.</w:t>
      </w:r>
    </w:p>
    <w:p w:rsidR="00F809B9" w:rsidRPr="00F809B9" w:rsidRDefault="00F809B9" w:rsidP="00F809B9">
      <w:pPr>
        <w:tabs>
          <w:tab w:val="left" w:pos="851"/>
        </w:tabs>
        <w:ind w:left="851"/>
        <w:rPr>
          <w:sz w:val="24"/>
          <w:szCs w:val="24"/>
          <w:lang w:val="en-GB"/>
        </w:rPr>
      </w:pPr>
    </w:p>
    <w:p w:rsidR="00F809B9" w:rsidRPr="00F809B9" w:rsidRDefault="00F809B9" w:rsidP="00F809B9">
      <w:pPr>
        <w:tabs>
          <w:tab w:val="left" w:pos="851"/>
        </w:tabs>
        <w:ind w:left="851"/>
        <w:rPr>
          <w:sz w:val="24"/>
          <w:szCs w:val="24"/>
          <w:lang w:val="en-GB"/>
        </w:rPr>
      </w:pPr>
      <w:r w:rsidRPr="00F809B9">
        <w:rPr>
          <w:sz w:val="24"/>
          <w:szCs w:val="24"/>
          <w:lang w:val="en-GB"/>
        </w:rPr>
        <w:t xml:space="preserve">The following adverse reactions may occur under treatment with metformin. </w:t>
      </w:r>
    </w:p>
    <w:p w:rsidR="00F809B9" w:rsidRPr="00F809B9" w:rsidRDefault="00F809B9" w:rsidP="00F809B9">
      <w:pPr>
        <w:tabs>
          <w:tab w:val="left" w:pos="851"/>
        </w:tabs>
        <w:ind w:left="851"/>
        <w:rPr>
          <w:sz w:val="24"/>
          <w:szCs w:val="24"/>
          <w:lang w:val="en-GB"/>
        </w:rPr>
      </w:pPr>
    </w:p>
    <w:p w:rsidR="00F809B9" w:rsidRPr="00F809B9" w:rsidRDefault="00F809B9" w:rsidP="00F809B9">
      <w:pPr>
        <w:tabs>
          <w:tab w:val="left" w:pos="851"/>
        </w:tabs>
        <w:ind w:left="851"/>
        <w:rPr>
          <w:sz w:val="24"/>
          <w:szCs w:val="24"/>
          <w:lang w:val="en-GB"/>
        </w:rPr>
      </w:pPr>
      <w:r w:rsidRPr="00F809B9">
        <w:rPr>
          <w:sz w:val="24"/>
          <w:szCs w:val="24"/>
          <w:lang w:val="en-GB"/>
        </w:rPr>
        <w:t xml:space="preserve">Frequencies are defined as follows: </w:t>
      </w:r>
      <w:r w:rsidR="00F32726">
        <w:rPr>
          <w:sz w:val="24"/>
          <w:szCs w:val="24"/>
          <w:lang w:val="en-GB"/>
        </w:rPr>
        <w:t>V</w:t>
      </w:r>
      <w:r w:rsidRPr="00F809B9">
        <w:rPr>
          <w:sz w:val="24"/>
          <w:szCs w:val="24"/>
          <w:lang w:val="en-GB"/>
        </w:rPr>
        <w:t xml:space="preserve">ery common: ≥1/10; common ≥1/100 to &lt;1/10; uncommon ≥1/1,000 to &lt;1/100; rare ≥1/10,000 to &lt;1/1,000; very rare &lt;1/10,000. </w:t>
      </w:r>
    </w:p>
    <w:p w:rsidR="00F809B9" w:rsidRPr="00F809B9" w:rsidRDefault="00F809B9" w:rsidP="00F809B9">
      <w:pPr>
        <w:tabs>
          <w:tab w:val="left" w:pos="851"/>
        </w:tabs>
        <w:ind w:left="851"/>
        <w:rPr>
          <w:sz w:val="24"/>
          <w:szCs w:val="24"/>
          <w:lang w:val="en-GB"/>
        </w:rPr>
      </w:pPr>
    </w:p>
    <w:p w:rsidR="00F809B9" w:rsidRPr="00F809B9" w:rsidRDefault="00F809B9" w:rsidP="00F809B9">
      <w:pPr>
        <w:tabs>
          <w:tab w:val="left" w:pos="851"/>
        </w:tabs>
        <w:ind w:left="851"/>
        <w:rPr>
          <w:sz w:val="24"/>
          <w:szCs w:val="24"/>
          <w:lang w:val="en-GB"/>
        </w:rPr>
      </w:pPr>
      <w:r w:rsidRPr="00F809B9">
        <w:rPr>
          <w:sz w:val="24"/>
          <w:szCs w:val="24"/>
          <w:lang w:val="en-GB"/>
        </w:rPr>
        <w:t xml:space="preserve">Within each frequency grouping, adverse reactions are presented in order of decreasing seriousness. </w:t>
      </w:r>
    </w:p>
    <w:p w:rsidR="00F809B9" w:rsidRPr="00F809B9" w:rsidRDefault="00F809B9" w:rsidP="00F809B9">
      <w:pPr>
        <w:tabs>
          <w:tab w:val="left" w:pos="851"/>
        </w:tabs>
        <w:ind w:left="851"/>
        <w:rPr>
          <w:sz w:val="24"/>
          <w:szCs w:val="24"/>
          <w:lang w:val="en-GB"/>
        </w:rPr>
      </w:pPr>
    </w:p>
    <w:p w:rsidR="00F809B9" w:rsidRPr="00F809B9" w:rsidRDefault="00F809B9" w:rsidP="00F809B9">
      <w:pPr>
        <w:tabs>
          <w:tab w:val="left" w:pos="851"/>
        </w:tabs>
        <w:ind w:left="851"/>
        <w:rPr>
          <w:sz w:val="24"/>
          <w:szCs w:val="24"/>
          <w:u w:val="single"/>
          <w:lang w:val="en-GB"/>
        </w:rPr>
      </w:pPr>
      <w:r w:rsidRPr="00F809B9">
        <w:rPr>
          <w:sz w:val="24"/>
          <w:szCs w:val="24"/>
          <w:u w:val="single"/>
          <w:lang w:val="en-GB"/>
        </w:rPr>
        <w:t>Metabolism and nutrition disorders</w:t>
      </w:r>
    </w:p>
    <w:p w:rsidR="00F809B9" w:rsidRPr="00F809B9" w:rsidRDefault="00F809B9" w:rsidP="00F809B9">
      <w:pPr>
        <w:tabs>
          <w:tab w:val="left" w:pos="851"/>
        </w:tabs>
        <w:ind w:left="851"/>
        <w:rPr>
          <w:sz w:val="24"/>
          <w:szCs w:val="24"/>
          <w:lang w:val="en-GB"/>
        </w:rPr>
      </w:pPr>
      <w:r w:rsidRPr="00F809B9">
        <w:rPr>
          <w:i/>
          <w:sz w:val="24"/>
          <w:szCs w:val="24"/>
          <w:lang w:val="en-GB"/>
        </w:rPr>
        <w:t>Very rare:</w:t>
      </w:r>
      <w:r w:rsidRPr="00F809B9">
        <w:rPr>
          <w:sz w:val="24"/>
          <w:szCs w:val="24"/>
          <w:lang w:val="en-GB"/>
        </w:rPr>
        <w:t xml:space="preserve"> Lactic acidosis (see section 4.4). </w:t>
      </w:r>
    </w:p>
    <w:p w:rsidR="00F809B9" w:rsidRPr="00F809B9" w:rsidRDefault="00F809B9" w:rsidP="00F809B9">
      <w:pPr>
        <w:tabs>
          <w:tab w:val="left" w:pos="851"/>
        </w:tabs>
        <w:ind w:left="851"/>
        <w:rPr>
          <w:sz w:val="24"/>
          <w:szCs w:val="24"/>
          <w:lang w:val="en-GB"/>
        </w:rPr>
      </w:pPr>
    </w:p>
    <w:p w:rsidR="00F809B9" w:rsidRPr="00F809B9" w:rsidRDefault="00F809B9" w:rsidP="00F809B9">
      <w:pPr>
        <w:tabs>
          <w:tab w:val="left" w:pos="851"/>
        </w:tabs>
        <w:ind w:left="851"/>
        <w:rPr>
          <w:sz w:val="24"/>
          <w:szCs w:val="24"/>
          <w:lang w:val="en-GB"/>
        </w:rPr>
      </w:pPr>
      <w:r w:rsidRPr="00F809B9">
        <w:rPr>
          <w:sz w:val="24"/>
          <w:szCs w:val="24"/>
          <w:lang w:val="en-GB"/>
        </w:rPr>
        <w:t>Decrease of vitamin B12 absorption with decrease of serum levels during long-term use of metformin. Consideration of such aetiology is recommended if a patient presents with megaloblastic anaemia.</w:t>
      </w:r>
    </w:p>
    <w:p w:rsidR="00F809B9" w:rsidRPr="00F809B9" w:rsidRDefault="00F809B9" w:rsidP="00F809B9">
      <w:pPr>
        <w:tabs>
          <w:tab w:val="left" w:pos="851"/>
        </w:tabs>
        <w:ind w:left="851"/>
        <w:rPr>
          <w:sz w:val="24"/>
          <w:szCs w:val="24"/>
          <w:lang w:val="en-GB"/>
        </w:rPr>
      </w:pPr>
    </w:p>
    <w:p w:rsidR="00F809B9" w:rsidRPr="00F809B9" w:rsidRDefault="00F809B9" w:rsidP="00F809B9">
      <w:pPr>
        <w:tabs>
          <w:tab w:val="left" w:pos="851"/>
        </w:tabs>
        <w:ind w:left="851"/>
        <w:rPr>
          <w:sz w:val="24"/>
          <w:szCs w:val="24"/>
          <w:u w:val="single"/>
          <w:lang w:val="en-GB"/>
        </w:rPr>
      </w:pPr>
      <w:r w:rsidRPr="00F809B9">
        <w:rPr>
          <w:sz w:val="24"/>
          <w:szCs w:val="24"/>
          <w:u w:val="single"/>
          <w:lang w:val="en-GB"/>
        </w:rPr>
        <w:t>Nervous system disorders</w:t>
      </w:r>
    </w:p>
    <w:p w:rsidR="00F809B9" w:rsidRPr="00F809B9" w:rsidRDefault="00F809B9" w:rsidP="00F809B9">
      <w:pPr>
        <w:tabs>
          <w:tab w:val="left" w:pos="851"/>
        </w:tabs>
        <w:ind w:left="851"/>
        <w:rPr>
          <w:sz w:val="24"/>
          <w:szCs w:val="24"/>
          <w:lang w:val="en-GB"/>
        </w:rPr>
      </w:pPr>
      <w:r w:rsidRPr="00F809B9">
        <w:rPr>
          <w:i/>
          <w:sz w:val="24"/>
          <w:szCs w:val="24"/>
          <w:lang w:val="en-GB"/>
        </w:rPr>
        <w:t>Common:</w:t>
      </w:r>
      <w:r w:rsidRPr="00F809B9">
        <w:rPr>
          <w:sz w:val="24"/>
          <w:szCs w:val="24"/>
          <w:lang w:val="en-GB"/>
        </w:rPr>
        <w:t xml:space="preserve"> Altered taste </w:t>
      </w:r>
    </w:p>
    <w:p w:rsidR="00F809B9" w:rsidRPr="00F809B9" w:rsidRDefault="00F809B9" w:rsidP="00F809B9">
      <w:pPr>
        <w:tabs>
          <w:tab w:val="left" w:pos="851"/>
        </w:tabs>
        <w:ind w:left="851"/>
        <w:rPr>
          <w:sz w:val="24"/>
          <w:szCs w:val="24"/>
          <w:lang w:val="en-GB"/>
        </w:rPr>
      </w:pPr>
    </w:p>
    <w:p w:rsidR="00F809B9" w:rsidRPr="00F809B9" w:rsidRDefault="00F809B9" w:rsidP="00F809B9">
      <w:pPr>
        <w:tabs>
          <w:tab w:val="left" w:pos="851"/>
        </w:tabs>
        <w:ind w:left="851"/>
        <w:rPr>
          <w:sz w:val="24"/>
          <w:szCs w:val="24"/>
          <w:u w:val="single"/>
          <w:lang w:val="en-GB"/>
        </w:rPr>
      </w:pPr>
      <w:r w:rsidRPr="00F809B9">
        <w:rPr>
          <w:sz w:val="24"/>
          <w:szCs w:val="24"/>
          <w:u w:val="single"/>
          <w:lang w:val="en-GB"/>
        </w:rPr>
        <w:t>Gastrointestinal disorders</w:t>
      </w:r>
    </w:p>
    <w:p w:rsidR="00F809B9" w:rsidRPr="00F809B9" w:rsidRDefault="00F809B9" w:rsidP="00F809B9">
      <w:pPr>
        <w:tabs>
          <w:tab w:val="left" w:pos="851"/>
        </w:tabs>
        <w:ind w:left="851"/>
        <w:rPr>
          <w:sz w:val="24"/>
          <w:szCs w:val="24"/>
          <w:lang w:val="en-GB"/>
        </w:rPr>
      </w:pPr>
      <w:r w:rsidRPr="00F809B9">
        <w:rPr>
          <w:i/>
          <w:sz w:val="24"/>
          <w:szCs w:val="24"/>
          <w:lang w:val="en-GB"/>
        </w:rPr>
        <w:t>Very common:</w:t>
      </w:r>
      <w:r w:rsidRPr="00F809B9">
        <w:rPr>
          <w:sz w:val="24"/>
          <w:szCs w:val="24"/>
          <w:lang w:val="en-GB"/>
        </w:rPr>
        <w:t xml:space="preserve"> Gastrointestinal disorders such as nausea, vomiting, diarrhoea, abdominal pain and loss of appetite. These undesirable effects occur most frequently during initiation of therapy and resolve spontaneously in most cases. To prevent this, it is recommended to take metformin distributed over 2–3 doses per day, with or after a meal. A slow increase of the dose may also improve gastrointestinal tolerability.</w:t>
      </w:r>
    </w:p>
    <w:p w:rsidR="00F809B9" w:rsidRPr="00F809B9" w:rsidRDefault="00F809B9" w:rsidP="00F809B9">
      <w:pPr>
        <w:tabs>
          <w:tab w:val="left" w:pos="851"/>
        </w:tabs>
        <w:ind w:left="851"/>
        <w:rPr>
          <w:sz w:val="24"/>
          <w:szCs w:val="24"/>
          <w:lang w:val="en-GB"/>
        </w:rPr>
      </w:pPr>
    </w:p>
    <w:p w:rsidR="00F809B9" w:rsidRPr="00F809B9" w:rsidRDefault="00F809B9" w:rsidP="00F809B9">
      <w:pPr>
        <w:tabs>
          <w:tab w:val="left" w:pos="851"/>
        </w:tabs>
        <w:ind w:left="851"/>
        <w:rPr>
          <w:sz w:val="24"/>
          <w:szCs w:val="24"/>
          <w:u w:val="single"/>
          <w:lang w:val="en-GB"/>
        </w:rPr>
      </w:pPr>
      <w:r w:rsidRPr="00F809B9">
        <w:rPr>
          <w:sz w:val="24"/>
          <w:szCs w:val="24"/>
          <w:u w:val="single"/>
          <w:lang w:val="en-GB"/>
        </w:rPr>
        <w:t>Hepatobiliary disorders</w:t>
      </w:r>
    </w:p>
    <w:p w:rsidR="00F809B9" w:rsidRPr="00F809B9" w:rsidRDefault="00F809B9" w:rsidP="00F809B9">
      <w:pPr>
        <w:tabs>
          <w:tab w:val="left" w:pos="851"/>
        </w:tabs>
        <w:ind w:left="851"/>
        <w:rPr>
          <w:sz w:val="24"/>
          <w:szCs w:val="24"/>
          <w:lang w:val="en-GB"/>
        </w:rPr>
      </w:pPr>
      <w:r w:rsidRPr="00F809B9">
        <w:rPr>
          <w:i/>
          <w:sz w:val="24"/>
          <w:szCs w:val="24"/>
          <w:lang w:val="en-GB"/>
        </w:rPr>
        <w:t>Very rare:</w:t>
      </w:r>
      <w:r w:rsidRPr="00F809B9">
        <w:rPr>
          <w:sz w:val="24"/>
          <w:szCs w:val="24"/>
          <w:lang w:val="en-GB"/>
        </w:rPr>
        <w:t xml:space="preserve"> Isolated reports of liver function tests abnormalities or hepatitis resolving upon metformin discontinuation. </w:t>
      </w:r>
    </w:p>
    <w:p w:rsidR="00F809B9" w:rsidRPr="00F809B9" w:rsidRDefault="00F809B9" w:rsidP="00F809B9">
      <w:pPr>
        <w:tabs>
          <w:tab w:val="left" w:pos="851"/>
        </w:tabs>
        <w:ind w:left="851"/>
        <w:rPr>
          <w:sz w:val="24"/>
          <w:szCs w:val="24"/>
          <w:lang w:val="en-GB"/>
        </w:rPr>
      </w:pPr>
    </w:p>
    <w:p w:rsidR="00F809B9" w:rsidRPr="00F809B9" w:rsidRDefault="00F809B9" w:rsidP="00F809B9">
      <w:pPr>
        <w:tabs>
          <w:tab w:val="left" w:pos="851"/>
        </w:tabs>
        <w:ind w:left="851"/>
        <w:rPr>
          <w:sz w:val="24"/>
          <w:szCs w:val="24"/>
          <w:u w:val="single"/>
          <w:lang w:val="en-GB"/>
        </w:rPr>
      </w:pPr>
      <w:r w:rsidRPr="00F809B9">
        <w:rPr>
          <w:sz w:val="24"/>
          <w:szCs w:val="24"/>
          <w:u w:val="single"/>
          <w:lang w:val="en-GB"/>
        </w:rPr>
        <w:t>Skin and subcutaneous tissue disorders</w:t>
      </w:r>
    </w:p>
    <w:p w:rsidR="00F809B9" w:rsidRPr="00F809B9" w:rsidRDefault="00F809B9" w:rsidP="00F809B9">
      <w:pPr>
        <w:tabs>
          <w:tab w:val="left" w:pos="851"/>
        </w:tabs>
        <w:ind w:left="851"/>
        <w:rPr>
          <w:sz w:val="24"/>
          <w:szCs w:val="24"/>
          <w:lang w:val="en-GB"/>
        </w:rPr>
      </w:pPr>
      <w:r w:rsidRPr="00F809B9">
        <w:rPr>
          <w:i/>
          <w:sz w:val="24"/>
          <w:szCs w:val="24"/>
          <w:lang w:val="en-GB"/>
        </w:rPr>
        <w:t>Very rare:</w:t>
      </w:r>
      <w:r w:rsidRPr="00F809B9">
        <w:rPr>
          <w:sz w:val="24"/>
          <w:szCs w:val="24"/>
          <w:lang w:val="en-GB"/>
        </w:rPr>
        <w:t xml:space="preserve"> Skin reactions such as erythema, pruritus, urticaria.</w:t>
      </w:r>
    </w:p>
    <w:p w:rsidR="00F809B9" w:rsidRPr="00F809B9" w:rsidRDefault="00F809B9" w:rsidP="00F809B9">
      <w:pPr>
        <w:tabs>
          <w:tab w:val="left" w:pos="851"/>
        </w:tabs>
        <w:ind w:left="851"/>
        <w:rPr>
          <w:sz w:val="24"/>
          <w:szCs w:val="24"/>
          <w:lang w:val="en-GB"/>
        </w:rPr>
      </w:pPr>
    </w:p>
    <w:p w:rsidR="00F809B9" w:rsidRPr="00F809B9" w:rsidRDefault="00F809B9" w:rsidP="00F809B9">
      <w:pPr>
        <w:tabs>
          <w:tab w:val="left" w:pos="851"/>
        </w:tabs>
        <w:ind w:left="851"/>
        <w:rPr>
          <w:sz w:val="24"/>
          <w:szCs w:val="24"/>
          <w:u w:val="single"/>
          <w:lang w:val="en-GB"/>
        </w:rPr>
      </w:pPr>
      <w:r w:rsidRPr="00F809B9">
        <w:rPr>
          <w:sz w:val="24"/>
          <w:szCs w:val="24"/>
          <w:u w:val="single"/>
          <w:lang w:val="en-GB"/>
        </w:rPr>
        <w:t>Reporting of suspected adverse reactions</w:t>
      </w:r>
    </w:p>
    <w:p w:rsidR="00F809B9" w:rsidRDefault="00F809B9" w:rsidP="00F809B9">
      <w:pPr>
        <w:tabs>
          <w:tab w:val="left" w:pos="851"/>
        </w:tabs>
        <w:ind w:left="851"/>
        <w:rPr>
          <w:sz w:val="24"/>
          <w:szCs w:val="24"/>
          <w:lang w:val="en-GB"/>
        </w:rPr>
      </w:pPr>
      <w:r w:rsidRPr="00F809B9">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F32726">
        <w:rPr>
          <w:sz w:val="24"/>
          <w:szCs w:val="24"/>
          <w:lang w:val="en-GB"/>
        </w:rPr>
        <w:t>:</w:t>
      </w:r>
    </w:p>
    <w:p w:rsidR="00F32726" w:rsidRDefault="00F32726" w:rsidP="00F809B9">
      <w:pPr>
        <w:tabs>
          <w:tab w:val="left" w:pos="851"/>
        </w:tabs>
        <w:ind w:left="851"/>
        <w:rPr>
          <w:sz w:val="24"/>
          <w:szCs w:val="24"/>
          <w:lang w:val="en-GB"/>
        </w:rPr>
      </w:pPr>
    </w:p>
    <w:p w:rsidR="00F32726" w:rsidRDefault="00F32726" w:rsidP="00F32726">
      <w:pPr>
        <w:ind w:left="851"/>
        <w:rPr>
          <w:sz w:val="24"/>
          <w:szCs w:val="24"/>
        </w:rPr>
      </w:pPr>
      <w:bookmarkStart w:id="3" w:name="_Hlk79581812"/>
      <w:r>
        <w:rPr>
          <w:sz w:val="24"/>
          <w:szCs w:val="24"/>
        </w:rPr>
        <w:t>Lægemiddelstyrelsen</w:t>
      </w:r>
    </w:p>
    <w:p w:rsidR="00F32726" w:rsidRDefault="00F32726" w:rsidP="00F32726">
      <w:pPr>
        <w:ind w:left="851"/>
        <w:rPr>
          <w:sz w:val="24"/>
          <w:szCs w:val="24"/>
        </w:rPr>
      </w:pPr>
      <w:r>
        <w:rPr>
          <w:sz w:val="24"/>
          <w:szCs w:val="24"/>
        </w:rPr>
        <w:t>Axel Heides Gade 1</w:t>
      </w:r>
    </w:p>
    <w:p w:rsidR="00F32726" w:rsidRDefault="00F32726" w:rsidP="00F32726">
      <w:pPr>
        <w:ind w:left="851"/>
        <w:rPr>
          <w:sz w:val="24"/>
          <w:szCs w:val="24"/>
        </w:rPr>
      </w:pPr>
      <w:r>
        <w:rPr>
          <w:sz w:val="24"/>
          <w:szCs w:val="24"/>
        </w:rPr>
        <w:t>DK-2300 København S</w:t>
      </w:r>
    </w:p>
    <w:p w:rsidR="00F809B9" w:rsidRPr="00F809B9" w:rsidRDefault="00F32726" w:rsidP="00F32726">
      <w:pPr>
        <w:ind w:left="851"/>
        <w:rPr>
          <w:sz w:val="24"/>
          <w:szCs w:val="24"/>
          <w:lang w:val="en-GB"/>
        </w:rPr>
      </w:pPr>
      <w:r w:rsidRPr="006D4450">
        <w:rPr>
          <w:sz w:val="24"/>
          <w:szCs w:val="24"/>
          <w:lang w:val="en-US"/>
        </w:rPr>
        <w:t>Webs</w:t>
      </w:r>
      <w:r w:rsidRPr="006D4450">
        <w:rPr>
          <w:sz w:val="24"/>
          <w:szCs w:val="24"/>
          <w:lang w:val="en-US"/>
        </w:rPr>
        <w:t>ite</w:t>
      </w:r>
      <w:r w:rsidRPr="006D4450">
        <w:rPr>
          <w:sz w:val="24"/>
          <w:szCs w:val="24"/>
          <w:lang w:val="en-US"/>
        </w:rPr>
        <w:t>: www.meldenbivirkning.dk</w:t>
      </w:r>
      <w:bookmarkEnd w:id="3"/>
    </w:p>
    <w:p w:rsidR="007C5D2A" w:rsidRPr="00F809B9" w:rsidRDefault="007C5D2A" w:rsidP="007A4CC6">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6D4450" w:rsidRPr="006D4450" w:rsidRDefault="006D4450" w:rsidP="006D4450">
      <w:pPr>
        <w:tabs>
          <w:tab w:val="left" w:pos="851"/>
        </w:tabs>
        <w:ind w:left="851"/>
        <w:rPr>
          <w:sz w:val="24"/>
          <w:szCs w:val="24"/>
          <w:lang w:val="en-GB"/>
        </w:rPr>
      </w:pPr>
      <w:r w:rsidRPr="006D4450">
        <w:rPr>
          <w:sz w:val="24"/>
          <w:szCs w:val="24"/>
          <w:lang w:val="en-GB"/>
        </w:rPr>
        <w:t>Hypoglycaemia has not been seen with metformin hydrochloride doses of up to 85 g, although lactic acidosis has occurred in such circumstances. High overdose of metformin or concomitant risks may lead to lactic acidosis. Lactic acidosis is a medical emergency and must be treated in hospital. The most effective method to remove lactate and metformin is haemodialysis.</w:t>
      </w:r>
    </w:p>
    <w:p w:rsidR="007C5D2A" w:rsidRPr="006D4450" w:rsidRDefault="007C5D2A" w:rsidP="003E0341">
      <w:pPr>
        <w:tabs>
          <w:tab w:val="left" w:pos="851"/>
        </w:tabs>
        <w:ind w:left="851"/>
        <w:rPr>
          <w:sz w:val="24"/>
          <w:szCs w:val="24"/>
          <w:lang w:val="en-GB"/>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6D4450" w:rsidP="00AD2E36">
      <w:pPr>
        <w:tabs>
          <w:tab w:val="left" w:pos="851"/>
        </w:tabs>
        <w:ind w:left="851"/>
        <w:rPr>
          <w:sz w:val="24"/>
          <w:szCs w:val="24"/>
          <w:lang w:val="en-GB"/>
        </w:rPr>
      </w:pPr>
      <w:r>
        <w:rPr>
          <w:sz w:val="24"/>
          <w:szCs w:val="24"/>
          <w:lang w:val="en-GB"/>
        </w:rPr>
        <w:t>B</w:t>
      </w:r>
    </w:p>
    <w:p w:rsidR="007C5D2A" w:rsidRPr="00303008" w:rsidRDefault="007C5D2A" w:rsidP="003E0341">
      <w:pPr>
        <w:tabs>
          <w:tab w:val="left" w:pos="851"/>
        </w:tabs>
        <w:ind w:left="851"/>
        <w:rPr>
          <w:sz w:val="24"/>
          <w:szCs w:val="24"/>
          <w:lang w:val="en-GB"/>
        </w:rPr>
      </w:pP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4860D3" w:rsidRPr="00303008" w:rsidRDefault="004860D3" w:rsidP="004860D3">
      <w:pPr>
        <w:tabs>
          <w:tab w:val="left" w:pos="851"/>
        </w:tabs>
        <w:ind w:left="851" w:hanging="851"/>
        <w:rPr>
          <w:b/>
          <w:sz w:val="24"/>
          <w:szCs w:val="24"/>
          <w:lang w:val="en-GB"/>
        </w:rPr>
      </w:pPr>
      <w:r w:rsidRPr="00303008">
        <w:rPr>
          <w:b/>
          <w:sz w:val="24"/>
          <w:szCs w:val="24"/>
          <w:lang w:val="en-GB"/>
        </w:rPr>
        <w:t>5.</w:t>
      </w:r>
      <w:r>
        <w:rPr>
          <w:b/>
          <w:sz w:val="24"/>
          <w:szCs w:val="24"/>
          <w:lang w:val="en-GB"/>
        </w:rPr>
        <w:t>0</w:t>
      </w:r>
      <w:r w:rsidRPr="00303008">
        <w:rPr>
          <w:b/>
          <w:sz w:val="24"/>
          <w:szCs w:val="24"/>
          <w:lang w:val="en-GB"/>
        </w:rPr>
        <w:tab/>
      </w:r>
      <w:r>
        <w:rPr>
          <w:b/>
          <w:sz w:val="24"/>
          <w:szCs w:val="24"/>
          <w:lang w:val="en-GB"/>
        </w:rPr>
        <w:t>Therapeutic</w:t>
      </w:r>
      <w:r w:rsidR="00A80446">
        <w:rPr>
          <w:b/>
          <w:sz w:val="24"/>
          <w:szCs w:val="24"/>
          <w:lang w:val="en-GB"/>
        </w:rPr>
        <w:t xml:space="preserve"> classification</w:t>
      </w:r>
      <w:r w:rsidRPr="00303008">
        <w:rPr>
          <w:b/>
          <w:sz w:val="24"/>
          <w:szCs w:val="24"/>
          <w:lang w:val="en-GB"/>
        </w:rPr>
        <w:tab/>
      </w:r>
    </w:p>
    <w:p w:rsidR="007F19F5" w:rsidRPr="00C0122C" w:rsidRDefault="007F19F5" w:rsidP="007F19F5">
      <w:pPr>
        <w:tabs>
          <w:tab w:val="left" w:pos="851"/>
        </w:tabs>
        <w:ind w:left="851"/>
        <w:rPr>
          <w:sz w:val="24"/>
          <w:szCs w:val="24"/>
          <w:lang w:val="en-US"/>
        </w:rPr>
      </w:pPr>
      <w:r w:rsidRPr="00C0122C">
        <w:rPr>
          <w:sz w:val="24"/>
          <w:szCs w:val="24"/>
          <w:lang w:val="en-US"/>
        </w:rPr>
        <w:t>ATC-</w:t>
      </w:r>
      <w:r w:rsidR="00C0122C" w:rsidRPr="00C0122C">
        <w:rPr>
          <w:sz w:val="24"/>
          <w:szCs w:val="24"/>
          <w:lang w:val="en-US"/>
        </w:rPr>
        <w:t>c</w:t>
      </w:r>
      <w:r w:rsidRPr="00C0122C">
        <w:rPr>
          <w:sz w:val="24"/>
          <w:szCs w:val="24"/>
          <w:lang w:val="en-US"/>
        </w:rPr>
        <w:t xml:space="preserve">ode: A 10 BA 02. </w:t>
      </w:r>
      <w:r w:rsidR="00C0122C" w:rsidRPr="00C0122C">
        <w:rPr>
          <w:sz w:val="24"/>
          <w:szCs w:val="24"/>
          <w:lang w:val="en-US"/>
        </w:rPr>
        <w:t>Drugs used in diabetes; blood glucose lowering drugs, excl</w:t>
      </w:r>
      <w:r w:rsidR="00C0122C">
        <w:rPr>
          <w:sz w:val="24"/>
          <w:szCs w:val="24"/>
          <w:lang w:val="en-US"/>
        </w:rPr>
        <w:t xml:space="preserve">usive </w:t>
      </w:r>
      <w:r w:rsidR="00C0122C" w:rsidRPr="00C0122C">
        <w:rPr>
          <w:sz w:val="24"/>
          <w:szCs w:val="24"/>
          <w:lang w:val="en-US"/>
        </w:rPr>
        <w:t>insulins</w:t>
      </w:r>
      <w:r w:rsidRPr="00C0122C">
        <w:rPr>
          <w:sz w:val="24"/>
          <w:szCs w:val="24"/>
          <w:lang w:val="en-US"/>
        </w:rPr>
        <w:t>.</w:t>
      </w:r>
    </w:p>
    <w:p w:rsidR="004860D3" w:rsidRPr="00C0122C" w:rsidRDefault="004860D3"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C0122C" w:rsidRPr="00C0122C" w:rsidRDefault="00C0122C" w:rsidP="00C0122C">
      <w:pPr>
        <w:tabs>
          <w:tab w:val="left" w:pos="851"/>
        </w:tabs>
        <w:ind w:left="851"/>
        <w:rPr>
          <w:sz w:val="24"/>
          <w:szCs w:val="24"/>
          <w:lang w:val="en-GB"/>
        </w:rPr>
      </w:pPr>
      <w:r w:rsidRPr="00C0122C">
        <w:rPr>
          <w:sz w:val="24"/>
          <w:szCs w:val="24"/>
          <w:lang w:val="en-GB"/>
        </w:rPr>
        <w:t>Metformin is a biguanide with antihyperglycaemic effects, lowering both basal and postprandial plasma glucose. It does not stimulate insulin secretion and therefore does not produce hypoglycaemia.</w:t>
      </w:r>
    </w:p>
    <w:p w:rsidR="00C0122C" w:rsidRPr="00C0122C" w:rsidRDefault="00C0122C" w:rsidP="00C0122C">
      <w:pPr>
        <w:tabs>
          <w:tab w:val="left" w:pos="851"/>
        </w:tabs>
        <w:ind w:left="851"/>
        <w:rPr>
          <w:sz w:val="24"/>
          <w:szCs w:val="24"/>
          <w:lang w:val="en-GB"/>
        </w:rPr>
      </w:pPr>
    </w:p>
    <w:p w:rsidR="00C0122C" w:rsidRPr="00C0122C" w:rsidRDefault="00C0122C" w:rsidP="00C0122C">
      <w:pPr>
        <w:tabs>
          <w:tab w:val="left" w:pos="851"/>
        </w:tabs>
        <w:ind w:left="851"/>
        <w:rPr>
          <w:sz w:val="24"/>
          <w:szCs w:val="24"/>
          <w:lang w:val="en-GB"/>
        </w:rPr>
      </w:pPr>
      <w:r w:rsidRPr="00C0122C">
        <w:rPr>
          <w:sz w:val="24"/>
          <w:szCs w:val="24"/>
          <w:u w:val="single"/>
          <w:lang w:val="en-GB"/>
        </w:rPr>
        <w:t>Mechanism of action</w:t>
      </w:r>
    </w:p>
    <w:p w:rsidR="00C0122C" w:rsidRPr="00C0122C" w:rsidRDefault="00C0122C" w:rsidP="00C0122C">
      <w:pPr>
        <w:tabs>
          <w:tab w:val="left" w:pos="851"/>
        </w:tabs>
        <w:ind w:left="851"/>
        <w:rPr>
          <w:sz w:val="24"/>
          <w:szCs w:val="24"/>
          <w:lang w:val="en-GB"/>
        </w:rPr>
      </w:pPr>
      <w:r w:rsidRPr="00C0122C">
        <w:rPr>
          <w:sz w:val="24"/>
          <w:szCs w:val="24"/>
          <w:lang w:val="en-GB"/>
        </w:rPr>
        <w:t>Metformin may act via 3 mechanisms:</w:t>
      </w:r>
    </w:p>
    <w:p w:rsidR="00C0122C" w:rsidRPr="00C0122C" w:rsidRDefault="00C0122C" w:rsidP="00C0122C">
      <w:pPr>
        <w:tabs>
          <w:tab w:val="left" w:pos="851"/>
        </w:tabs>
        <w:ind w:left="851"/>
        <w:rPr>
          <w:sz w:val="24"/>
          <w:szCs w:val="24"/>
          <w:lang w:val="en-GB"/>
        </w:rPr>
      </w:pPr>
      <w:r w:rsidRPr="00C0122C">
        <w:rPr>
          <w:sz w:val="24"/>
          <w:szCs w:val="24"/>
          <w:lang w:val="en-GB"/>
        </w:rPr>
        <w:t>(1) reduction of hepatic glucose production by inhibiting gluconeogenesis and glycogenolysis;</w:t>
      </w:r>
    </w:p>
    <w:p w:rsidR="00C0122C" w:rsidRPr="00C0122C" w:rsidRDefault="00C0122C" w:rsidP="00C0122C">
      <w:pPr>
        <w:tabs>
          <w:tab w:val="left" w:pos="851"/>
        </w:tabs>
        <w:ind w:left="851"/>
        <w:rPr>
          <w:sz w:val="24"/>
          <w:szCs w:val="24"/>
          <w:lang w:val="en-GB"/>
        </w:rPr>
      </w:pPr>
      <w:r w:rsidRPr="00C0122C">
        <w:rPr>
          <w:sz w:val="24"/>
          <w:szCs w:val="24"/>
          <w:lang w:val="en-GB"/>
        </w:rPr>
        <w:t>(2) in muscle, by increasing insulin sensitivity, improving peripheral glucose uptake and utilisation;</w:t>
      </w:r>
    </w:p>
    <w:p w:rsidR="00C0122C" w:rsidRPr="00C0122C" w:rsidRDefault="00C0122C" w:rsidP="00C0122C">
      <w:pPr>
        <w:tabs>
          <w:tab w:val="left" w:pos="851"/>
        </w:tabs>
        <w:ind w:left="851"/>
        <w:rPr>
          <w:sz w:val="24"/>
          <w:szCs w:val="24"/>
          <w:lang w:val="en-GB"/>
        </w:rPr>
      </w:pPr>
      <w:r w:rsidRPr="00C0122C">
        <w:rPr>
          <w:sz w:val="24"/>
          <w:szCs w:val="24"/>
          <w:lang w:val="en-GB"/>
        </w:rPr>
        <w:t>(3) and delay of intestinal glucose absorption.</w:t>
      </w:r>
    </w:p>
    <w:p w:rsidR="00C0122C" w:rsidRPr="00C0122C" w:rsidRDefault="00C0122C" w:rsidP="00C0122C">
      <w:pPr>
        <w:tabs>
          <w:tab w:val="left" w:pos="851"/>
        </w:tabs>
        <w:ind w:left="851"/>
        <w:rPr>
          <w:sz w:val="24"/>
          <w:szCs w:val="24"/>
          <w:lang w:val="en-GB"/>
        </w:rPr>
      </w:pPr>
    </w:p>
    <w:p w:rsidR="00C0122C" w:rsidRPr="00C0122C" w:rsidRDefault="00C0122C" w:rsidP="00C0122C">
      <w:pPr>
        <w:tabs>
          <w:tab w:val="left" w:pos="851"/>
        </w:tabs>
        <w:ind w:left="851"/>
        <w:rPr>
          <w:sz w:val="24"/>
          <w:szCs w:val="24"/>
          <w:lang w:val="en-GB"/>
        </w:rPr>
      </w:pPr>
      <w:r w:rsidRPr="00C0122C">
        <w:rPr>
          <w:sz w:val="24"/>
          <w:szCs w:val="24"/>
          <w:lang w:val="en-GB"/>
        </w:rPr>
        <w:t>Metformin stimulates intracellular glycogen synthesis by acting on glycogen synthase.</w:t>
      </w:r>
    </w:p>
    <w:p w:rsidR="00C0122C" w:rsidRPr="00C0122C" w:rsidRDefault="00C0122C" w:rsidP="00C0122C">
      <w:pPr>
        <w:tabs>
          <w:tab w:val="left" w:pos="851"/>
        </w:tabs>
        <w:ind w:left="851"/>
        <w:rPr>
          <w:sz w:val="24"/>
          <w:szCs w:val="24"/>
          <w:lang w:val="en-GB"/>
        </w:rPr>
      </w:pPr>
    </w:p>
    <w:p w:rsidR="00C0122C" w:rsidRPr="00C0122C" w:rsidRDefault="00C0122C" w:rsidP="00C0122C">
      <w:pPr>
        <w:tabs>
          <w:tab w:val="left" w:pos="851"/>
        </w:tabs>
        <w:ind w:left="851"/>
        <w:rPr>
          <w:sz w:val="24"/>
          <w:szCs w:val="24"/>
          <w:lang w:val="en-GB"/>
        </w:rPr>
      </w:pPr>
      <w:r w:rsidRPr="00C0122C">
        <w:rPr>
          <w:sz w:val="24"/>
          <w:szCs w:val="24"/>
          <w:lang w:val="en-GB"/>
        </w:rPr>
        <w:t>Metformin increases the transport capacity of all types of membrane glucose transporters (GLUT).</w:t>
      </w:r>
    </w:p>
    <w:p w:rsidR="00C0122C" w:rsidRPr="00C0122C" w:rsidRDefault="00C0122C" w:rsidP="00C0122C">
      <w:pPr>
        <w:tabs>
          <w:tab w:val="left" w:pos="851"/>
        </w:tabs>
        <w:ind w:left="851"/>
        <w:rPr>
          <w:sz w:val="24"/>
          <w:szCs w:val="24"/>
          <w:lang w:val="en-GB"/>
        </w:rPr>
      </w:pPr>
    </w:p>
    <w:p w:rsidR="00C0122C" w:rsidRPr="00C0122C" w:rsidRDefault="00C0122C" w:rsidP="00C0122C">
      <w:pPr>
        <w:tabs>
          <w:tab w:val="left" w:pos="851"/>
        </w:tabs>
        <w:ind w:left="851"/>
        <w:rPr>
          <w:sz w:val="24"/>
          <w:szCs w:val="24"/>
          <w:u w:val="single"/>
          <w:lang w:val="en-GB"/>
        </w:rPr>
      </w:pPr>
      <w:r w:rsidRPr="00C0122C">
        <w:rPr>
          <w:sz w:val="24"/>
          <w:szCs w:val="24"/>
          <w:u w:val="single"/>
          <w:lang w:val="en-GB"/>
        </w:rPr>
        <w:t>Pharmacodynamic effects</w:t>
      </w:r>
    </w:p>
    <w:p w:rsidR="00C0122C" w:rsidRPr="00C0122C" w:rsidRDefault="00C0122C" w:rsidP="00C0122C">
      <w:pPr>
        <w:tabs>
          <w:tab w:val="left" w:pos="851"/>
        </w:tabs>
        <w:ind w:left="851"/>
        <w:rPr>
          <w:sz w:val="24"/>
          <w:szCs w:val="24"/>
          <w:lang w:val="en-GB"/>
        </w:rPr>
      </w:pPr>
      <w:r w:rsidRPr="00C0122C">
        <w:rPr>
          <w:sz w:val="24"/>
          <w:szCs w:val="24"/>
          <w:lang w:val="en-GB"/>
        </w:rPr>
        <w:t>In clinical studies, the major non-glycaemic effect of metformin is either weight stability or modest weight loss.</w:t>
      </w:r>
    </w:p>
    <w:p w:rsidR="00C0122C" w:rsidRPr="00C0122C" w:rsidRDefault="00C0122C" w:rsidP="00C0122C">
      <w:pPr>
        <w:tabs>
          <w:tab w:val="left" w:pos="851"/>
        </w:tabs>
        <w:ind w:left="851"/>
        <w:rPr>
          <w:sz w:val="24"/>
          <w:szCs w:val="24"/>
          <w:lang w:val="en-GB"/>
        </w:rPr>
      </w:pPr>
    </w:p>
    <w:p w:rsidR="00C0122C" w:rsidRPr="00C0122C" w:rsidRDefault="00C0122C" w:rsidP="00C0122C">
      <w:pPr>
        <w:tabs>
          <w:tab w:val="left" w:pos="851"/>
        </w:tabs>
        <w:ind w:left="851"/>
        <w:rPr>
          <w:sz w:val="24"/>
          <w:szCs w:val="24"/>
          <w:lang w:val="en-GB"/>
        </w:rPr>
      </w:pPr>
      <w:r w:rsidRPr="00C0122C">
        <w:rPr>
          <w:sz w:val="24"/>
          <w:szCs w:val="24"/>
          <w:lang w:val="en-GB"/>
        </w:rPr>
        <w:t>In humans, independently of its action on glycaemia, immediate release metformin has favourable effects on lipid metabolism. This has been shown at therapeutic doses in controlled, medium-term or long-term clinical studies: immediate release metformin reduces total cholesterol, LDL cholesterol and triglyceride levels. A similar action has not been demonstrated with the prolonged release formulation, possibly due to the evening administration, and an increase in triglycerides may occur.</w:t>
      </w:r>
    </w:p>
    <w:p w:rsidR="00C0122C" w:rsidRPr="00C0122C" w:rsidRDefault="00C0122C" w:rsidP="00C0122C">
      <w:pPr>
        <w:tabs>
          <w:tab w:val="left" w:pos="851"/>
        </w:tabs>
        <w:ind w:left="851"/>
        <w:rPr>
          <w:sz w:val="24"/>
          <w:szCs w:val="24"/>
          <w:lang w:val="en-GB"/>
        </w:rPr>
      </w:pPr>
    </w:p>
    <w:p w:rsidR="00C0122C" w:rsidRPr="00C0122C" w:rsidRDefault="00C0122C" w:rsidP="00C0122C">
      <w:pPr>
        <w:tabs>
          <w:tab w:val="left" w:pos="851"/>
        </w:tabs>
        <w:ind w:left="851"/>
        <w:rPr>
          <w:sz w:val="24"/>
          <w:szCs w:val="24"/>
          <w:lang w:val="en-GB"/>
        </w:rPr>
      </w:pPr>
      <w:r w:rsidRPr="00C0122C">
        <w:rPr>
          <w:sz w:val="24"/>
          <w:szCs w:val="24"/>
          <w:u w:val="single"/>
          <w:lang w:val="en-GB"/>
        </w:rPr>
        <w:t>Clinical efficacy and safety</w:t>
      </w:r>
    </w:p>
    <w:p w:rsidR="00C0122C" w:rsidRPr="00C0122C" w:rsidRDefault="00C0122C" w:rsidP="00C0122C">
      <w:pPr>
        <w:tabs>
          <w:tab w:val="left" w:pos="851"/>
        </w:tabs>
        <w:ind w:left="851"/>
        <w:rPr>
          <w:sz w:val="24"/>
          <w:szCs w:val="24"/>
          <w:lang w:val="en-GB"/>
        </w:rPr>
      </w:pPr>
      <w:r w:rsidRPr="00C0122C">
        <w:rPr>
          <w:sz w:val="24"/>
          <w:szCs w:val="24"/>
          <w:lang w:val="en-GB"/>
        </w:rPr>
        <w:t>The prospective randomised (UKPDS) study has established the long-term benefit of intensive blood glucose control in overweight type 2 diabetic patients treated with immediate release metformin as first-line therapy after diet failure. Analysis of the results for overweight patients treated with metformin after failure of diet alone showed:</w:t>
      </w:r>
    </w:p>
    <w:p w:rsidR="00C0122C" w:rsidRPr="00C0122C" w:rsidRDefault="00C0122C" w:rsidP="00EE6B3D">
      <w:pPr>
        <w:ind w:left="1134" w:hanging="283"/>
        <w:rPr>
          <w:sz w:val="24"/>
          <w:szCs w:val="24"/>
          <w:lang w:val="en-GB"/>
        </w:rPr>
      </w:pPr>
      <w:r w:rsidRPr="00C0122C">
        <w:rPr>
          <w:sz w:val="24"/>
          <w:szCs w:val="24"/>
          <w:lang w:val="en-GB"/>
        </w:rPr>
        <w:t>-</w:t>
      </w:r>
      <w:r w:rsidRPr="00C0122C">
        <w:rPr>
          <w:sz w:val="24"/>
          <w:szCs w:val="24"/>
          <w:lang w:val="en-GB"/>
        </w:rPr>
        <w:tab/>
        <w:t xml:space="preserve">a significant reduction of the absolute risk of any diabetes-related complication in the metformin group (29.8 events/ 1000 patient-years) versus diet alone (43.3 events/ 1000 patient-years), p=0.0023, and versus the combined sulphonylurea and insulin monotherapy groups (40.1 events/ 1000 patient-years), p=0.0034; </w:t>
      </w:r>
    </w:p>
    <w:p w:rsidR="00C0122C" w:rsidRPr="00C0122C" w:rsidRDefault="00C0122C" w:rsidP="00EE6B3D">
      <w:pPr>
        <w:ind w:left="1134" w:hanging="283"/>
        <w:rPr>
          <w:sz w:val="24"/>
          <w:szCs w:val="24"/>
          <w:lang w:val="en-GB"/>
        </w:rPr>
      </w:pPr>
      <w:r w:rsidRPr="00C0122C">
        <w:rPr>
          <w:sz w:val="24"/>
          <w:szCs w:val="24"/>
          <w:lang w:val="en-GB"/>
        </w:rPr>
        <w:t>-</w:t>
      </w:r>
      <w:r w:rsidRPr="00C0122C">
        <w:rPr>
          <w:sz w:val="24"/>
          <w:szCs w:val="24"/>
          <w:lang w:val="en-GB"/>
        </w:rPr>
        <w:tab/>
        <w:t xml:space="preserve">a significant reduction of the absolute risk of diabetes-related mortality: metformin 7.5 events/1000 patient-years, diet alone 12.7 events/ 1000 patient-years, p=0.017; </w:t>
      </w:r>
    </w:p>
    <w:p w:rsidR="00C0122C" w:rsidRPr="00C0122C" w:rsidRDefault="00C0122C" w:rsidP="00EE6B3D">
      <w:pPr>
        <w:ind w:left="1134" w:hanging="283"/>
        <w:rPr>
          <w:sz w:val="24"/>
          <w:szCs w:val="24"/>
          <w:lang w:val="en-GB"/>
        </w:rPr>
      </w:pPr>
      <w:r w:rsidRPr="00C0122C">
        <w:rPr>
          <w:sz w:val="24"/>
          <w:szCs w:val="24"/>
          <w:lang w:val="en-GB"/>
        </w:rPr>
        <w:t>-</w:t>
      </w:r>
      <w:r w:rsidRPr="00C0122C">
        <w:rPr>
          <w:sz w:val="24"/>
          <w:szCs w:val="24"/>
          <w:lang w:val="en-GB"/>
        </w:rPr>
        <w:tab/>
        <w:t xml:space="preserve">a significant reduction of the absolute risk of overall mortality: metformin 13.5 events/ 1000 patient-years versus diet alone 20.6 events/ 1000 patient-years (p=0.011), and versus the combined sulphonylurea and insulin monotherapy groups 18.9 events/ 1000 patient-years (p=0.021); </w:t>
      </w:r>
    </w:p>
    <w:p w:rsidR="00C0122C" w:rsidRPr="00C0122C" w:rsidRDefault="00C0122C" w:rsidP="00EE6B3D">
      <w:pPr>
        <w:ind w:left="1134" w:hanging="283"/>
        <w:rPr>
          <w:sz w:val="24"/>
          <w:szCs w:val="24"/>
          <w:lang w:val="en-GB"/>
        </w:rPr>
      </w:pPr>
      <w:r w:rsidRPr="00C0122C">
        <w:rPr>
          <w:sz w:val="24"/>
          <w:szCs w:val="24"/>
          <w:lang w:val="en-GB"/>
        </w:rPr>
        <w:t>-</w:t>
      </w:r>
      <w:r w:rsidRPr="00C0122C">
        <w:rPr>
          <w:sz w:val="24"/>
          <w:szCs w:val="24"/>
          <w:lang w:val="en-GB"/>
        </w:rPr>
        <w:tab/>
        <w:t>a significant reduction in the absolute risk of myocardial infarction: metformin 11 events/ 1000 patient-years, diet alone 18 events/ 1000 patient-years (p=0.01).</w:t>
      </w:r>
    </w:p>
    <w:p w:rsidR="00C0122C" w:rsidRPr="00C0122C" w:rsidRDefault="00C0122C" w:rsidP="00C0122C">
      <w:pPr>
        <w:tabs>
          <w:tab w:val="left" w:pos="851"/>
        </w:tabs>
        <w:ind w:left="851"/>
        <w:rPr>
          <w:sz w:val="24"/>
          <w:szCs w:val="24"/>
          <w:lang w:val="en-GB"/>
        </w:rPr>
      </w:pPr>
    </w:p>
    <w:p w:rsidR="00C0122C" w:rsidRPr="00C0122C" w:rsidRDefault="00C0122C" w:rsidP="00C0122C">
      <w:pPr>
        <w:tabs>
          <w:tab w:val="left" w:pos="851"/>
        </w:tabs>
        <w:ind w:left="851"/>
        <w:rPr>
          <w:sz w:val="24"/>
          <w:szCs w:val="24"/>
          <w:lang w:val="en-GB"/>
        </w:rPr>
      </w:pPr>
      <w:r w:rsidRPr="00C0122C">
        <w:rPr>
          <w:sz w:val="24"/>
          <w:szCs w:val="24"/>
          <w:lang w:val="en-GB"/>
        </w:rPr>
        <w:t xml:space="preserve">For metformin used as second-line therapy, in combination with a sulphonylurea, benefit regarding clinical outcome has not been shown. </w:t>
      </w:r>
    </w:p>
    <w:p w:rsidR="00C0122C" w:rsidRPr="00C0122C" w:rsidRDefault="00C0122C" w:rsidP="00C0122C">
      <w:pPr>
        <w:tabs>
          <w:tab w:val="left" w:pos="851"/>
        </w:tabs>
        <w:ind w:left="851"/>
        <w:rPr>
          <w:sz w:val="24"/>
          <w:szCs w:val="24"/>
          <w:lang w:val="en-GB"/>
        </w:rPr>
      </w:pPr>
    </w:p>
    <w:p w:rsidR="00C0122C" w:rsidRPr="00C0122C" w:rsidRDefault="00C0122C" w:rsidP="00C0122C">
      <w:pPr>
        <w:tabs>
          <w:tab w:val="left" w:pos="851"/>
        </w:tabs>
        <w:ind w:left="851"/>
        <w:rPr>
          <w:sz w:val="24"/>
          <w:szCs w:val="24"/>
          <w:lang w:val="en-GB"/>
        </w:rPr>
      </w:pPr>
      <w:r w:rsidRPr="00C0122C">
        <w:rPr>
          <w:sz w:val="24"/>
          <w:szCs w:val="24"/>
          <w:lang w:val="en-GB"/>
        </w:rPr>
        <w:t>In type 1 diabetes, the combination of metformin and insulin has been used in selected patients, but the clinical benefit of this combination has not been formally established.</w:t>
      </w:r>
    </w:p>
    <w:p w:rsidR="007C5D2A" w:rsidRPr="00C0122C"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4A2D4C" w:rsidRDefault="004A2D4C" w:rsidP="004A2D4C">
      <w:pPr>
        <w:tabs>
          <w:tab w:val="left" w:pos="851"/>
        </w:tabs>
        <w:ind w:left="851"/>
        <w:rPr>
          <w:iCs/>
          <w:sz w:val="24"/>
          <w:szCs w:val="24"/>
          <w:u w:val="single"/>
          <w:lang w:val="en-GB"/>
        </w:rPr>
      </w:pPr>
    </w:p>
    <w:p w:rsidR="004A2D4C" w:rsidRPr="004A2D4C" w:rsidRDefault="004A2D4C" w:rsidP="004A2D4C">
      <w:pPr>
        <w:tabs>
          <w:tab w:val="left" w:pos="851"/>
        </w:tabs>
        <w:ind w:left="851"/>
        <w:rPr>
          <w:iCs/>
          <w:sz w:val="24"/>
          <w:szCs w:val="24"/>
          <w:u w:val="single"/>
          <w:lang w:val="en-GB"/>
        </w:rPr>
      </w:pPr>
      <w:r w:rsidRPr="004A2D4C">
        <w:rPr>
          <w:iCs/>
          <w:sz w:val="24"/>
          <w:szCs w:val="24"/>
          <w:u w:val="single"/>
          <w:lang w:val="en-GB"/>
        </w:rPr>
        <w:t>Absorption</w:t>
      </w:r>
    </w:p>
    <w:p w:rsidR="004A2D4C" w:rsidRPr="004A2D4C" w:rsidRDefault="004A2D4C" w:rsidP="004A2D4C">
      <w:pPr>
        <w:tabs>
          <w:tab w:val="left" w:pos="851"/>
        </w:tabs>
        <w:ind w:left="851"/>
        <w:rPr>
          <w:iCs/>
          <w:sz w:val="24"/>
          <w:szCs w:val="24"/>
          <w:lang w:val="en-GB"/>
        </w:rPr>
      </w:pPr>
      <w:r w:rsidRPr="004A2D4C">
        <w:rPr>
          <w:iCs/>
          <w:sz w:val="24"/>
          <w:szCs w:val="24"/>
          <w:lang w:val="en-GB"/>
        </w:rPr>
        <w:t>After an oral dose of the prolonged release tablet, metformin absorption is significantly delayed compared to the immediate release tablet with a T</w:t>
      </w:r>
      <w:r w:rsidRPr="004A2D4C">
        <w:rPr>
          <w:iCs/>
          <w:sz w:val="24"/>
          <w:szCs w:val="24"/>
          <w:vertAlign w:val="subscript"/>
          <w:lang w:val="en-GB"/>
        </w:rPr>
        <w:t>max</w:t>
      </w:r>
      <w:r w:rsidRPr="004A2D4C">
        <w:rPr>
          <w:iCs/>
          <w:sz w:val="24"/>
          <w:szCs w:val="24"/>
          <w:lang w:val="en-GB"/>
        </w:rPr>
        <w:t xml:space="preserve"> at 7 hours (T</w:t>
      </w:r>
      <w:r w:rsidRPr="004A2D4C">
        <w:rPr>
          <w:iCs/>
          <w:sz w:val="24"/>
          <w:szCs w:val="24"/>
          <w:vertAlign w:val="subscript"/>
          <w:lang w:val="en-GB"/>
        </w:rPr>
        <w:t>max</w:t>
      </w:r>
      <w:r w:rsidRPr="004A2D4C">
        <w:rPr>
          <w:iCs/>
          <w:sz w:val="24"/>
          <w:szCs w:val="24"/>
          <w:lang w:val="en-GB"/>
        </w:rPr>
        <w:t xml:space="preserve"> for the immediate release tablet is 2.5 hours).</w:t>
      </w:r>
    </w:p>
    <w:p w:rsidR="004A2D4C" w:rsidRPr="004A2D4C" w:rsidRDefault="004A2D4C" w:rsidP="004A2D4C">
      <w:pPr>
        <w:tabs>
          <w:tab w:val="left" w:pos="851"/>
        </w:tabs>
        <w:ind w:left="851"/>
        <w:rPr>
          <w:iCs/>
          <w:sz w:val="24"/>
          <w:szCs w:val="24"/>
          <w:lang w:val="en-GB"/>
        </w:rPr>
      </w:pPr>
    </w:p>
    <w:p w:rsidR="004A2D4C" w:rsidRPr="004A2D4C" w:rsidRDefault="004A2D4C" w:rsidP="004A2D4C">
      <w:pPr>
        <w:tabs>
          <w:tab w:val="left" w:pos="851"/>
        </w:tabs>
        <w:ind w:left="851"/>
        <w:rPr>
          <w:iCs/>
          <w:sz w:val="24"/>
          <w:szCs w:val="24"/>
          <w:lang w:val="en-GB"/>
        </w:rPr>
      </w:pPr>
      <w:r w:rsidRPr="004A2D4C">
        <w:rPr>
          <w:iCs/>
          <w:sz w:val="24"/>
          <w:szCs w:val="24"/>
          <w:lang w:val="en-GB"/>
        </w:rPr>
        <w:t>At steady state, similar to the immediate release formulation, C</w:t>
      </w:r>
      <w:r w:rsidRPr="004A2D4C">
        <w:rPr>
          <w:iCs/>
          <w:sz w:val="24"/>
          <w:szCs w:val="24"/>
          <w:vertAlign w:val="subscript"/>
          <w:lang w:val="en-GB"/>
        </w:rPr>
        <w:t>max</w:t>
      </w:r>
      <w:r w:rsidRPr="004A2D4C">
        <w:rPr>
          <w:iCs/>
          <w:sz w:val="24"/>
          <w:szCs w:val="24"/>
          <w:lang w:val="en-GB"/>
        </w:rPr>
        <w:t xml:space="preserve"> and AUC are not proportionally increased to the administered dose. The AUC after a single oral administration of 2000 mg of metformin prolonged release tablets is similar to that observed after administration of 1000 mg of metformin immediate release tablets b.i.d.</w:t>
      </w:r>
    </w:p>
    <w:p w:rsidR="004A2D4C" w:rsidRPr="004A2D4C" w:rsidRDefault="004A2D4C" w:rsidP="004A2D4C">
      <w:pPr>
        <w:tabs>
          <w:tab w:val="left" w:pos="851"/>
        </w:tabs>
        <w:ind w:left="851"/>
        <w:rPr>
          <w:iCs/>
          <w:sz w:val="24"/>
          <w:szCs w:val="24"/>
          <w:lang w:val="en-GB"/>
        </w:rPr>
      </w:pPr>
    </w:p>
    <w:p w:rsidR="004A2D4C" w:rsidRPr="004A2D4C" w:rsidRDefault="004A2D4C" w:rsidP="004A2D4C">
      <w:pPr>
        <w:tabs>
          <w:tab w:val="left" w:pos="851"/>
        </w:tabs>
        <w:ind w:left="851"/>
        <w:rPr>
          <w:iCs/>
          <w:sz w:val="24"/>
          <w:szCs w:val="24"/>
          <w:lang w:val="en-GB"/>
        </w:rPr>
      </w:pPr>
      <w:r w:rsidRPr="004A2D4C">
        <w:rPr>
          <w:iCs/>
          <w:sz w:val="24"/>
          <w:szCs w:val="24"/>
          <w:lang w:val="en-GB"/>
        </w:rPr>
        <w:t>Intrasubject variability of C</w:t>
      </w:r>
      <w:r w:rsidRPr="004A2D4C">
        <w:rPr>
          <w:iCs/>
          <w:sz w:val="24"/>
          <w:szCs w:val="24"/>
          <w:vertAlign w:val="subscript"/>
          <w:lang w:val="en-GB"/>
        </w:rPr>
        <w:t>max</w:t>
      </w:r>
      <w:r w:rsidRPr="004A2D4C">
        <w:rPr>
          <w:iCs/>
          <w:sz w:val="24"/>
          <w:szCs w:val="24"/>
          <w:lang w:val="en-GB"/>
        </w:rPr>
        <w:t xml:space="preserve"> and AUC of metformin prolonged release is comparable to that observed with metformin immediate release tablets.</w:t>
      </w:r>
    </w:p>
    <w:p w:rsidR="004A2D4C" w:rsidRPr="004A2D4C" w:rsidRDefault="004A2D4C" w:rsidP="004A2D4C">
      <w:pPr>
        <w:tabs>
          <w:tab w:val="left" w:pos="851"/>
        </w:tabs>
        <w:ind w:left="851"/>
        <w:rPr>
          <w:iCs/>
          <w:sz w:val="24"/>
          <w:szCs w:val="24"/>
          <w:lang w:val="en-GB"/>
        </w:rPr>
      </w:pPr>
    </w:p>
    <w:p w:rsidR="004A2D4C" w:rsidRPr="004A2D4C" w:rsidRDefault="004A2D4C" w:rsidP="004A2D4C">
      <w:pPr>
        <w:tabs>
          <w:tab w:val="left" w:pos="851"/>
        </w:tabs>
        <w:ind w:left="851"/>
        <w:rPr>
          <w:iCs/>
          <w:sz w:val="24"/>
          <w:szCs w:val="24"/>
          <w:lang w:val="en-GB"/>
        </w:rPr>
      </w:pPr>
      <w:r w:rsidRPr="004A2D4C">
        <w:rPr>
          <w:iCs/>
          <w:sz w:val="24"/>
          <w:szCs w:val="24"/>
          <w:lang w:val="en-GB"/>
        </w:rPr>
        <w:t>When the prolonged release tablet is administered in fasting conditions the AUC is decreased by 30% (both C</w:t>
      </w:r>
      <w:r w:rsidRPr="004A2D4C">
        <w:rPr>
          <w:iCs/>
          <w:sz w:val="24"/>
          <w:szCs w:val="24"/>
          <w:vertAlign w:val="subscript"/>
          <w:lang w:val="en-GB"/>
        </w:rPr>
        <w:t>max</w:t>
      </w:r>
      <w:r w:rsidRPr="004A2D4C">
        <w:rPr>
          <w:iCs/>
          <w:sz w:val="24"/>
          <w:szCs w:val="24"/>
          <w:lang w:val="en-GB"/>
        </w:rPr>
        <w:t xml:space="preserve"> and T</w:t>
      </w:r>
      <w:r w:rsidRPr="004A2D4C">
        <w:rPr>
          <w:iCs/>
          <w:sz w:val="24"/>
          <w:szCs w:val="24"/>
          <w:vertAlign w:val="subscript"/>
          <w:lang w:val="en-GB"/>
        </w:rPr>
        <w:t>max</w:t>
      </w:r>
      <w:r w:rsidRPr="004A2D4C">
        <w:rPr>
          <w:iCs/>
          <w:sz w:val="24"/>
          <w:szCs w:val="24"/>
          <w:lang w:val="en-GB"/>
        </w:rPr>
        <w:t xml:space="preserve"> are unaffected).</w:t>
      </w:r>
    </w:p>
    <w:p w:rsidR="004A2D4C" w:rsidRPr="004A2D4C" w:rsidRDefault="004A2D4C" w:rsidP="004A2D4C">
      <w:pPr>
        <w:tabs>
          <w:tab w:val="left" w:pos="851"/>
        </w:tabs>
        <w:ind w:left="851"/>
        <w:rPr>
          <w:iCs/>
          <w:sz w:val="24"/>
          <w:szCs w:val="24"/>
          <w:lang w:val="en-GB"/>
        </w:rPr>
      </w:pPr>
    </w:p>
    <w:p w:rsidR="004A2D4C" w:rsidRPr="004A2D4C" w:rsidRDefault="004A2D4C" w:rsidP="004A2D4C">
      <w:pPr>
        <w:tabs>
          <w:tab w:val="left" w:pos="851"/>
        </w:tabs>
        <w:ind w:left="851"/>
        <w:rPr>
          <w:iCs/>
          <w:sz w:val="24"/>
          <w:szCs w:val="24"/>
          <w:lang w:val="en-GB"/>
        </w:rPr>
      </w:pPr>
      <w:r w:rsidRPr="004A2D4C">
        <w:rPr>
          <w:iCs/>
          <w:sz w:val="24"/>
          <w:szCs w:val="24"/>
          <w:lang w:val="en-GB"/>
        </w:rPr>
        <w:t>Mean metformin absorption from the prolonged release formulation is almost not altered by meal composition.</w:t>
      </w:r>
    </w:p>
    <w:p w:rsidR="004A2D4C" w:rsidRPr="004A2D4C" w:rsidRDefault="004A2D4C" w:rsidP="004A2D4C">
      <w:pPr>
        <w:tabs>
          <w:tab w:val="left" w:pos="851"/>
        </w:tabs>
        <w:ind w:left="851"/>
        <w:rPr>
          <w:iCs/>
          <w:sz w:val="24"/>
          <w:szCs w:val="24"/>
          <w:lang w:val="en-GB"/>
        </w:rPr>
      </w:pPr>
    </w:p>
    <w:p w:rsidR="004A2D4C" w:rsidRPr="004A2D4C" w:rsidRDefault="004A2D4C" w:rsidP="004A2D4C">
      <w:pPr>
        <w:tabs>
          <w:tab w:val="left" w:pos="851"/>
        </w:tabs>
        <w:ind w:left="851"/>
        <w:rPr>
          <w:iCs/>
          <w:sz w:val="24"/>
          <w:szCs w:val="24"/>
          <w:lang w:val="en-GB"/>
        </w:rPr>
      </w:pPr>
      <w:r w:rsidRPr="004A2D4C">
        <w:rPr>
          <w:iCs/>
          <w:sz w:val="24"/>
          <w:szCs w:val="24"/>
          <w:lang w:val="en-GB"/>
        </w:rPr>
        <w:t>No accumulation is observed after repeated administration of up to 2000 mg of metformin as prolonged release tablets.</w:t>
      </w:r>
    </w:p>
    <w:p w:rsidR="004A2D4C" w:rsidRPr="004A2D4C" w:rsidRDefault="004A2D4C" w:rsidP="004A2D4C">
      <w:pPr>
        <w:tabs>
          <w:tab w:val="left" w:pos="851"/>
        </w:tabs>
        <w:ind w:left="851"/>
        <w:rPr>
          <w:iCs/>
          <w:sz w:val="24"/>
          <w:szCs w:val="24"/>
          <w:lang w:val="en-GB"/>
        </w:rPr>
      </w:pPr>
    </w:p>
    <w:p w:rsidR="004A2D4C" w:rsidRPr="004A2D4C" w:rsidRDefault="004A2D4C" w:rsidP="004A2D4C">
      <w:pPr>
        <w:tabs>
          <w:tab w:val="left" w:pos="851"/>
        </w:tabs>
        <w:ind w:left="851"/>
        <w:rPr>
          <w:iCs/>
          <w:sz w:val="24"/>
          <w:szCs w:val="24"/>
          <w:lang w:val="en-GB"/>
        </w:rPr>
      </w:pPr>
      <w:r w:rsidRPr="004A2D4C">
        <w:rPr>
          <w:iCs/>
          <w:sz w:val="24"/>
          <w:szCs w:val="24"/>
          <w:lang w:val="en-GB"/>
        </w:rPr>
        <w:t>Following a single oral administration in the fed state of one tablet of Metformin 1000 mg prolonged release tablets, a mean peak plasma concentration of 1214 ng/ml is achieved with a median time of 5 hours (range of 4 to 10 hours).</w:t>
      </w:r>
    </w:p>
    <w:p w:rsidR="004A2D4C" w:rsidRPr="004A2D4C" w:rsidRDefault="004A2D4C" w:rsidP="004A2D4C">
      <w:pPr>
        <w:tabs>
          <w:tab w:val="left" w:pos="851"/>
        </w:tabs>
        <w:ind w:left="851"/>
        <w:rPr>
          <w:iCs/>
          <w:sz w:val="24"/>
          <w:szCs w:val="24"/>
          <w:lang w:val="en-GB"/>
        </w:rPr>
      </w:pPr>
    </w:p>
    <w:p w:rsidR="004A2D4C" w:rsidRPr="004A2D4C" w:rsidRDefault="004A2D4C" w:rsidP="004A2D4C">
      <w:pPr>
        <w:tabs>
          <w:tab w:val="left" w:pos="851"/>
        </w:tabs>
        <w:ind w:left="851"/>
        <w:rPr>
          <w:iCs/>
          <w:sz w:val="24"/>
          <w:szCs w:val="24"/>
          <w:lang w:val="en-GB"/>
        </w:rPr>
      </w:pPr>
      <w:r w:rsidRPr="004A2D4C">
        <w:rPr>
          <w:iCs/>
          <w:sz w:val="24"/>
          <w:szCs w:val="24"/>
          <w:lang w:val="en-GB"/>
        </w:rPr>
        <w:t>Metformin 1000 mg prolonged release tablets were shown to be bioequivalent to Metformin 500 mg prolonged release tablets at a 1000 mg dose with respect to C</w:t>
      </w:r>
      <w:r w:rsidRPr="004A2D4C">
        <w:rPr>
          <w:iCs/>
          <w:sz w:val="24"/>
          <w:szCs w:val="24"/>
          <w:vertAlign w:val="subscript"/>
          <w:lang w:val="en-GB"/>
        </w:rPr>
        <w:t>max</w:t>
      </w:r>
      <w:r w:rsidRPr="004A2D4C">
        <w:rPr>
          <w:iCs/>
          <w:sz w:val="24"/>
          <w:szCs w:val="24"/>
          <w:lang w:val="en-GB"/>
        </w:rPr>
        <w:t xml:space="preserve"> and AUC in healthy fed and fasted subjects.</w:t>
      </w:r>
    </w:p>
    <w:p w:rsidR="004A2D4C" w:rsidRPr="004A2D4C" w:rsidRDefault="004A2D4C" w:rsidP="004A2D4C">
      <w:pPr>
        <w:tabs>
          <w:tab w:val="left" w:pos="851"/>
        </w:tabs>
        <w:ind w:left="851"/>
        <w:rPr>
          <w:iCs/>
          <w:sz w:val="24"/>
          <w:szCs w:val="24"/>
          <w:lang w:val="en-GB"/>
        </w:rPr>
      </w:pPr>
    </w:p>
    <w:p w:rsidR="004A2D4C" w:rsidRPr="004A2D4C" w:rsidRDefault="004A2D4C" w:rsidP="004A2D4C">
      <w:pPr>
        <w:tabs>
          <w:tab w:val="left" w:pos="851"/>
        </w:tabs>
        <w:ind w:left="851"/>
        <w:rPr>
          <w:iCs/>
          <w:sz w:val="24"/>
          <w:szCs w:val="24"/>
          <w:lang w:val="en-GB"/>
        </w:rPr>
      </w:pPr>
      <w:r w:rsidRPr="004A2D4C">
        <w:rPr>
          <w:iCs/>
          <w:sz w:val="24"/>
          <w:szCs w:val="24"/>
          <w:lang w:val="en-GB"/>
        </w:rPr>
        <w:t>When the 1000 mg prolonged release tablet is administered in fed conditions the AUC is increased by 77% (C</w:t>
      </w:r>
      <w:r w:rsidRPr="004A2D4C">
        <w:rPr>
          <w:iCs/>
          <w:sz w:val="24"/>
          <w:szCs w:val="24"/>
          <w:vertAlign w:val="subscript"/>
          <w:lang w:val="en-GB"/>
        </w:rPr>
        <w:t>max</w:t>
      </w:r>
      <w:r w:rsidRPr="004A2D4C">
        <w:rPr>
          <w:iCs/>
          <w:sz w:val="24"/>
          <w:szCs w:val="24"/>
          <w:lang w:val="en-GB"/>
        </w:rPr>
        <w:t xml:space="preserve"> is increased by 26% and T</w:t>
      </w:r>
      <w:r w:rsidRPr="004A2D4C">
        <w:rPr>
          <w:iCs/>
          <w:sz w:val="24"/>
          <w:szCs w:val="24"/>
          <w:vertAlign w:val="subscript"/>
          <w:lang w:val="en-GB"/>
        </w:rPr>
        <w:t>max</w:t>
      </w:r>
      <w:r w:rsidRPr="004A2D4C">
        <w:rPr>
          <w:iCs/>
          <w:sz w:val="24"/>
          <w:szCs w:val="24"/>
          <w:lang w:val="en-GB"/>
        </w:rPr>
        <w:t xml:space="preserve"> is slightly prolonged by about 1 hour).</w:t>
      </w:r>
    </w:p>
    <w:p w:rsidR="004A2D4C" w:rsidRPr="004A2D4C" w:rsidRDefault="004A2D4C" w:rsidP="004A2D4C">
      <w:pPr>
        <w:tabs>
          <w:tab w:val="left" w:pos="851"/>
        </w:tabs>
        <w:ind w:left="851"/>
        <w:rPr>
          <w:iCs/>
          <w:sz w:val="24"/>
          <w:szCs w:val="24"/>
          <w:lang w:val="en-GB"/>
        </w:rPr>
      </w:pPr>
    </w:p>
    <w:p w:rsidR="004A2D4C" w:rsidRPr="004A2D4C" w:rsidRDefault="004A2D4C" w:rsidP="004A2D4C">
      <w:pPr>
        <w:tabs>
          <w:tab w:val="left" w:pos="851"/>
        </w:tabs>
        <w:ind w:left="851"/>
        <w:rPr>
          <w:iCs/>
          <w:sz w:val="24"/>
          <w:szCs w:val="24"/>
          <w:u w:val="single"/>
          <w:lang w:val="en-GB"/>
        </w:rPr>
      </w:pPr>
      <w:r w:rsidRPr="004A2D4C">
        <w:rPr>
          <w:iCs/>
          <w:sz w:val="24"/>
          <w:szCs w:val="24"/>
          <w:u w:val="single"/>
          <w:lang w:val="en-GB"/>
        </w:rPr>
        <w:t>Distribution</w:t>
      </w:r>
    </w:p>
    <w:p w:rsidR="004A2D4C" w:rsidRPr="004A2D4C" w:rsidRDefault="004A2D4C" w:rsidP="004A2D4C">
      <w:pPr>
        <w:tabs>
          <w:tab w:val="left" w:pos="851"/>
        </w:tabs>
        <w:ind w:left="851"/>
        <w:rPr>
          <w:iCs/>
          <w:sz w:val="24"/>
          <w:szCs w:val="24"/>
          <w:lang w:val="en-GB"/>
        </w:rPr>
      </w:pPr>
      <w:r w:rsidRPr="004A2D4C">
        <w:rPr>
          <w:iCs/>
          <w:sz w:val="24"/>
          <w:szCs w:val="24"/>
          <w:lang w:val="en-GB"/>
        </w:rPr>
        <w:t>Plasma protein binding is negligible. Metformin partitions into erythrocytes. The blood peak is lower than the plasma peak and appears at approximately the same time. The red blood cells most likely represent a secondary compartment of distribution. The mean volume of distribution (Vd) ranged between 63-276 L.</w:t>
      </w:r>
    </w:p>
    <w:p w:rsidR="004A2D4C" w:rsidRPr="004A2D4C" w:rsidRDefault="004A2D4C" w:rsidP="004A2D4C">
      <w:pPr>
        <w:tabs>
          <w:tab w:val="left" w:pos="851"/>
        </w:tabs>
        <w:ind w:left="851"/>
        <w:rPr>
          <w:iCs/>
          <w:sz w:val="24"/>
          <w:szCs w:val="24"/>
          <w:u w:val="single"/>
          <w:lang w:val="en-GB"/>
        </w:rPr>
      </w:pPr>
    </w:p>
    <w:p w:rsidR="004A2D4C" w:rsidRPr="004A2D4C" w:rsidRDefault="004A2D4C" w:rsidP="004A2D4C">
      <w:pPr>
        <w:tabs>
          <w:tab w:val="left" w:pos="851"/>
        </w:tabs>
        <w:ind w:left="851"/>
        <w:rPr>
          <w:iCs/>
          <w:sz w:val="24"/>
          <w:szCs w:val="24"/>
          <w:u w:val="single"/>
          <w:lang w:val="en-GB"/>
        </w:rPr>
      </w:pPr>
      <w:r w:rsidRPr="004A2D4C">
        <w:rPr>
          <w:iCs/>
          <w:sz w:val="24"/>
          <w:szCs w:val="24"/>
          <w:u w:val="single"/>
          <w:lang w:val="en-GB"/>
        </w:rPr>
        <w:t>Biotransformation</w:t>
      </w:r>
    </w:p>
    <w:p w:rsidR="004A2D4C" w:rsidRPr="004A2D4C" w:rsidRDefault="004A2D4C" w:rsidP="004A2D4C">
      <w:pPr>
        <w:tabs>
          <w:tab w:val="left" w:pos="851"/>
        </w:tabs>
        <w:ind w:left="851"/>
        <w:rPr>
          <w:iCs/>
          <w:sz w:val="24"/>
          <w:szCs w:val="24"/>
          <w:lang w:val="en-GB"/>
        </w:rPr>
      </w:pPr>
      <w:r w:rsidRPr="004A2D4C">
        <w:rPr>
          <w:iCs/>
          <w:sz w:val="24"/>
          <w:szCs w:val="24"/>
          <w:lang w:val="en-GB"/>
        </w:rPr>
        <w:t>Metformin is excreted unchanged in the urine. No metabolites have been identified in humans.</w:t>
      </w:r>
    </w:p>
    <w:p w:rsidR="004A2D4C" w:rsidRPr="004A2D4C" w:rsidRDefault="004A2D4C" w:rsidP="004A2D4C">
      <w:pPr>
        <w:tabs>
          <w:tab w:val="left" w:pos="851"/>
        </w:tabs>
        <w:ind w:left="851"/>
        <w:rPr>
          <w:iCs/>
          <w:sz w:val="24"/>
          <w:szCs w:val="24"/>
          <w:u w:val="single"/>
          <w:lang w:val="en-GB"/>
        </w:rPr>
      </w:pPr>
    </w:p>
    <w:p w:rsidR="004A2D4C" w:rsidRPr="004A2D4C" w:rsidRDefault="004A2D4C" w:rsidP="004A2D4C">
      <w:pPr>
        <w:tabs>
          <w:tab w:val="left" w:pos="851"/>
        </w:tabs>
        <w:ind w:left="851"/>
        <w:rPr>
          <w:iCs/>
          <w:sz w:val="24"/>
          <w:szCs w:val="24"/>
          <w:u w:val="single"/>
          <w:lang w:val="en-GB"/>
        </w:rPr>
      </w:pPr>
      <w:r w:rsidRPr="004A2D4C">
        <w:rPr>
          <w:iCs/>
          <w:sz w:val="24"/>
          <w:szCs w:val="24"/>
          <w:u w:val="single"/>
          <w:lang w:val="en-GB"/>
        </w:rPr>
        <w:t>Elimination</w:t>
      </w:r>
    </w:p>
    <w:p w:rsidR="004A2D4C" w:rsidRPr="004A2D4C" w:rsidRDefault="004A2D4C" w:rsidP="004A2D4C">
      <w:pPr>
        <w:tabs>
          <w:tab w:val="left" w:pos="851"/>
        </w:tabs>
        <w:ind w:left="851"/>
        <w:rPr>
          <w:iCs/>
          <w:sz w:val="24"/>
          <w:szCs w:val="24"/>
          <w:lang w:val="en-GB"/>
        </w:rPr>
      </w:pPr>
      <w:r w:rsidRPr="004A2D4C">
        <w:rPr>
          <w:iCs/>
          <w:sz w:val="24"/>
          <w:szCs w:val="24"/>
          <w:lang w:val="en-GB"/>
        </w:rPr>
        <w:t>Renal clearance of metformin is &gt; 400 ml/min, indicating that metformin is eliminated by glomerular filtration and tubular secretion. Following an oral dose, the apparent terminal elimination half-life is approximately 6.5 hours.</w:t>
      </w:r>
    </w:p>
    <w:p w:rsidR="004A2D4C" w:rsidRPr="004A2D4C" w:rsidRDefault="004A2D4C" w:rsidP="004A2D4C">
      <w:pPr>
        <w:tabs>
          <w:tab w:val="left" w:pos="851"/>
        </w:tabs>
        <w:ind w:left="851"/>
        <w:rPr>
          <w:iCs/>
          <w:sz w:val="24"/>
          <w:szCs w:val="24"/>
          <w:lang w:val="en-GB"/>
        </w:rPr>
      </w:pPr>
    </w:p>
    <w:p w:rsidR="004A2D4C" w:rsidRPr="004A2D4C" w:rsidRDefault="004A2D4C" w:rsidP="004A2D4C">
      <w:pPr>
        <w:tabs>
          <w:tab w:val="left" w:pos="851"/>
        </w:tabs>
        <w:ind w:left="851"/>
        <w:rPr>
          <w:iCs/>
          <w:sz w:val="24"/>
          <w:szCs w:val="24"/>
          <w:lang w:val="en-GB"/>
        </w:rPr>
      </w:pPr>
      <w:r w:rsidRPr="004A2D4C">
        <w:rPr>
          <w:iCs/>
          <w:sz w:val="24"/>
          <w:szCs w:val="24"/>
          <w:lang w:val="en-GB"/>
        </w:rPr>
        <w:t>When renal function is impaired, renal clearance is decreased in proportion to that of creatinine and thus the elimination half-life is prolonged, leading to increased levels of metformin in plasma.</w:t>
      </w:r>
    </w:p>
    <w:p w:rsidR="004A2D4C" w:rsidRPr="004A2D4C" w:rsidRDefault="004A2D4C" w:rsidP="004A2D4C">
      <w:pPr>
        <w:tabs>
          <w:tab w:val="left" w:pos="851"/>
        </w:tabs>
        <w:ind w:left="851"/>
        <w:rPr>
          <w:iCs/>
          <w:sz w:val="24"/>
          <w:szCs w:val="24"/>
          <w:lang w:val="en-GB"/>
        </w:rPr>
      </w:pPr>
    </w:p>
    <w:p w:rsidR="004A2D4C" w:rsidRPr="004A2D4C" w:rsidRDefault="004A2D4C" w:rsidP="004A2D4C">
      <w:pPr>
        <w:tabs>
          <w:tab w:val="left" w:pos="851"/>
        </w:tabs>
        <w:ind w:left="851"/>
        <w:rPr>
          <w:iCs/>
          <w:sz w:val="24"/>
          <w:szCs w:val="24"/>
          <w:lang w:val="en-GB"/>
        </w:rPr>
      </w:pPr>
      <w:r w:rsidRPr="004A2D4C">
        <w:rPr>
          <w:iCs/>
          <w:sz w:val="24"/>
          <w:szCs w:val="24"/>
          <w:u w:val="single"/>
          <w:lang w:val="en-GB"/>
        </w:rPr>
        <w:t>Characteristics in specific groups of patients</w:t>
      </w:r>
      <w:r w:rsidRPr="004A2D4C">
        <w:rPr>
          <w:iCs/>
          <w:sz w:val="24"/>
          <w:szCs w:val="24"/>
          <w:lang w:val="en-GB"/>
        </w:rPr>
        <w:t xml:space="preserve"> </w:t>
      </w:r>
    </w:p>
    <w:p w:rsidR="004A2D4C" w:rsidRPr="004A2D4C" w:rsidRDefault="004A2D4C" w:rsidP="004A2D4C">
      <w:pPr>
        <w:tabs>
          <w:tab w:val="left" w:pos="851"/>
        </w:tabs>
        <w:ind w:left="851"/>
        <w:rPr>
          <w:iCs/>
          <w:sz w:val="24"/>
          <w:szCs w:val="24"/>
          <w:lang w:val="en-GB"/>
        </w:rPr>
      </w:pPr>
      <w:r w:rsidRPr="004A2D4C">
        <w:rPr>
          <w:iCs/>
          <w:sz w:val="24"/>
          <w:szCs w:val="24"/>
          <w:lang w:val="en-GB"/>
        </w:rPr>
        <w:t>Renal impairment</w:t>
      </w:r>
    </w:p>
    <w:p w:rsidR="004A2D4C" w:rsidRPr="004A2D4C" w:rsidRDefault="004A2D4C" w:rsidP="004A2D4C">
      <w:pPr>
        <w:tabs>
          <w:tab w:val="left" w:pos="851"/>
        </w:tabs>
        <w:ind w:left="851"/>
        <w:rPr>
          <w:iCs/>
          <w:sz w:val="24"/>
          <w:szCs w:val="24"/>
          <w:lang w:val="en-GB"/>
        </w:rPr>
      </w:pPr>
      <w:r w:rsidRPr="004A2D4C">
        <w:rPr>
          <w:iCs/>
          <w:sz w:val="24"/>
          <w:szCs w:val="24"/>
          <w:lang w:val="en-GB"/>
        </w:rPr>
        <w:t>The available data in subjects with moderate renal insufficiency are scarce and no reliable estimation of the systemic exposure to metformin in this subgroup as compared to subjects with normal renal function could be made. Therefore, the dose adaptation should be made upon clinical efficacy/tolerability considerations (see section 4.2).</w:t>
      </w:r>
    </w:p>
    <w:p w:rsidR="007C5D2A" w:rsidRPr="004A2D4C" w:rsidRDefault="007C5D2A" w:rsidP="003E0341">
      <w:pPr>
        <w:tabs>
          <w:tab w:val="left" w:pos="851"/>
        </w:tabs>
        <w:ind w:left="851"/>
        <w:rPr>
          <w:sz w:val="24"/>
          <w:szCs w:val="24"/>
          <w:lang w:val="en-GB"/>
        </w:rPr>
      </w:pP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8C73E9" w:rsidRPr="008C73E9" w:rsidRDefault="008C73E9" w:rsidP="008C73E9">
      <w:pPr>
        <w:tabs>
          <w:tab w:val="left" w:pos="851"/>
        </w:tabs>
        <w:ind w:left="851"/>
        <w:rPr>
          <w:sz w:val="24"/>
          <w:szCs w:val="24"/>
          <w:lang w:val="en-GB"/>
        </w:rPr>
      </w:pPr>
      <w:r w:rsidRPr="008C73E9">
        <w:rPr>
          <w:sz w:val="24"/>
          <w:szCs w:val="24"/>
          <w:lang w:val="en-GB"/>
        </w:rPr>
        <w:t>Non-clinical data reveal no special hazard for humans based on conventional studies of safety pharmacology, repeated dose toxicity, genotoxicity, carcinogenic potential, toxicity to reproduction.</w:t>
      </w:r>
    </w:p>
    <w:p w:rsidR="007C5D2A" w:rsidRPr="008C73E9" w:rsidRDefault="007C5D2A" w:rsidP="003E0341">
      <w:pPr>
        <w:tabs>
          <w:tab w:val="left" w:pos="851"/>
        </w:tabs>
        <w:ind w:left="851"/>
        <w:rPr>
          <w:sz w:val="24"/>
          <w:szCs w:val="24"/>
          <w:lang w:val="en-GB"/>
        </w:rPr>
      </w:pPr>
    </w:p>
    <w:p w:rsidR="00C0586E" w:rsidRDefault="00C0586E">
      <w:pPr>
        <w:rPr>
          <w:sz w:val="24"/>
          <w:szCs w:val="24"/>
          <w:lang w:val="en-GB"/>
        </w:rPr>
      </w:pPr>
      <w:r>
        <w:rPr>
          <w:sz w:val="24"/>
          <w:szCs w:val="24"/>
          <w:lang w:val="en-GB"/>
        </w:rPr>
        <w:br w:type="page"/>
      </w: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C0586E" w:rsidRPr="00C0586E" w:rsidRDefault="00C0586E" w:rsidP="00C0586E">
      <w:pPr>
        <w:tabs>
          <w:tab w:val="left" w:pos="851"/>
        </w:tabs>
        <w:ind w:left="851"/>
        <w:rPr>
          <w:sz w:val="24"/>
          <w:szCs w:val="24"/>
          <w:lang w:val="en-GB"/>
        </w:rPr>
      </w:pPr>
      <w:r w:rsidRPr="00C0586E">
        <w:rPr>
          <w:sz w:val="24"/>
          <w:szCs w:val="24"/>
          <w:lang w:val="en-GB"/>
        </w:rPr>
        <w:t>Magnesium stearate</w:t>
      </w:r>
    </w:p>
    <w:p w:rsidR="00C0586E" w:rsidRPr="00C0586E" w:rsidRDefault="00C0586E" w:rsidP="00C0586E">
      <w:pPr>
        <w:tabs>
          <w:tab w:val="left" w:pos="851"/>
        </w:tabs>
        <w:ind w:left="851"/>
        <w:rPr>
          <w:sz w:val="24"/>
          <w:szCs w:val="24"/>
          <w:lang w:val="en-GB"/>
        </w:rPr>
      </w:pPr>
      <w:r w:rsidRPr="00C0586E">
        <w:rPr>
          <w:sz w:val="24"/>
          <w:szCs w:val="24"/>
          <w:lang w:val="en-GB"/>
        </w:rPr>
        <w:t>Silica, colloidal anhydrous</w:t>
      </w:r>
    </w:p>
    <w:p w:rsidR="00C0586E" w:rsidRPr="00C0586E" w:rsidRDefault="00C0586E" w:rsidP="00C0586E">
      <w:pPr>
        <w:tabs>
          <w:tab w:val="left" w:pos="851"/>
        </w:tabs>
        <w:ind w:left="851"/>
        <w:rPr>
          <w:sz w:val="24"/>
          <w:szCs w:val="24"/>
          <w:lang w:val="en-GB"/>
        </w:rPr>
      </w:pPr>
      <w:r w:rsidRPr="00C0586E">
        <w:rPr>
          <w:sz w:val="24"/>
          <w:szCs w:val="24"/>
          <w:lang w:val="en-GB"/>
        </w:rPr>
        <w:t xml:space="preserve">Povidone K30 </w:t>
      </w:r>
    </w:p>
    <w:p w:rsidR="00C0586E" w:rsidRPr="00C0586E" w:rsidRDefault="00C0586E" w:rsidP="00C0586E">
      <w:pPr>
        <w:tabs>
          <w:tab w:val="left" w:pos="851"/>
        </w:tabs>
        <w:ind w:left="851"/>
        <w:rPr>
          <w:sz w:val="24"/>
          <w:szCs w:val="24"/>
          <w:lang w:val="en-GB"/>
        </w:rPr>
      </w:pPr>
      <w:r w:rsidRPr="00C0586E">
        <w:rPr>
          <w:sz w:val="24"/>
          <w:szCs w:val="24"/>
          <w:lang w:val="en-GB"/>
        </w:rPr>
        <w:t>Hypromellose</w:t>
      </w:r>
    </w:p>
    <w:p w:rsidR="00C0586E" w:rsidRPr="00C0586E" w:rsidRDefault="00C0586E" w:rsidP="00C0586E">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7C5D2A" w:rsidRPr="00303008" w:rsidRDefault="005A1E79" w:rsidP="00A85D26">
      <w:pPr>
        <w:tabs>
          <w:tab w:val="left" w:pos="851"/>
        </w:tabs>
        <w:ind w:left="851"/>
        <w:rPr>
          <w:sz w:val="24"/>
          <w:szCs w:val="24"/>
          <w:lang w:val="en-GB"/>
        </w:rPr>
      </w:pPr>
      <w:r>
        <w:rPr>
          <w:sz w:val="24"/>
          <w:szCs w:val="24"/>
          <w:lang w:val="en-GB"/>
        </w:rPr>
        <w:t>Not applicable.</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FD652E">
        <w:rPr>
          <w:b/>
          <w:sz w:val="24"/>
          <w:szCs w:val="24"/>
          <w:lang w:val="en-GB"/>
        </w:rPr>
        <w:t>-</w:t>
      </w:r>
      <w:r w:rsidRPr="00303008">
        <w:rPr>
          <w:b/>
          <w:sz w:val="24"/>
          <w:szCs w:val="24"/>
          <w:lang w:val="en-GB"/>
        </w:rPr>
        <w:t>life</w:t>
      </w:r>
    </w:p>
    <w:p w:rsidR="007C5D2A" w:rsidRPr="00303008" w:rsidRDefault="005A1E79" w:rsidP="00A85D26">
      <w:pPr>
        <w:tabs>
          <w:tab w:val="left" w:pos="851"/>
        </w:tabs>
        <w:ind w:left="851"/>
        <w:rPr>
          <w:sz w:val="24"/>
          <w:szCs w:val="24"/>
          <w:lang w:val="en-GB"/>
        </w:rPr>
      </w:pPr>
      <w:r>
        <w:rPr>
          <w:sz w:val="24"/>
          <w:szCs w:val="24"/>
          <w:lang w:val="en-GB"/>
        </w:rPr>
        <w:t>3 years.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F83AE7" w:rsidRPr="00F83AE7" w:rsidRDefault="00F83AE7" w:rsidP="00F83AE7">
      <w:pPr>
        <w:tabs>
          <w:tab w:val="left" w:pos="851"/>
        </w:tabs>
        <w:ind w:left="851"/>
        <w:rPr>
          <w:sz w:val="24"/>
          <w:szCs w:val="24"/>
          <w:lang w:val="en-GB"/>
        </w:rPr>
      </w:pPr>
      <w:r w:rsidRPr="00F83AE7">
        <w:rPr>
          <w:sz w:val="24"/>
          <w:szCs w:val="24"/>
          <w:lang w:val="en-GB"/>
        </w:rPr>
        <w:t>This medicinal product does not require any special storage conditions.</w:t>
      </w:r>
    </w:p>
    <w:p w:rsidR="007C5D2A" w:rsidRPr="00F83AE7"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F83AE7" w:rsidRPr="00F83AE7" w:rsidRDefault="00F83AE7" w:rsidP="00F83AE7">
      <w:pPr>
        <w:tabs>
          <w:tab w:val="left" w:pos="851"/>
        </w:tabs>
        <w:ind w:left="851"/>
        <w:rPr>
          <w:sz w:val="24"/>
          <w:szCs w:val="24"/>
          <w:lang w:val="en-GB"/>
        </w:rPr>
      </w:pPr>
      <w:r>
        <w:rPr>
          <w:sz w:val="24"/>
          <w:szCs w:val="24"/>
          <w:lang w:val="en-GB"/>
        </w:rPr>
        <w:t>B</w:t>
      </w:r>
      <w:r w:rsidRPr="00F83AE7">
        <w:rPr>
          <w:sz w:val="24"/>
          <w:szCs w:val="24"/>
          <w:lang w:val="en-GB"/>
        </w:rPr>
        <w:t>lister strip composed of aluminium foil and PVC.</w:t>
      </w:r>
    </w:p>
    <w:p w:rsidR="00F83AE7" w:rsidRDefault="00F83AE7" w:rsidP="00F83AE7">
      <w:pPr>
        <w:tabs>
          <w:tab w:val="left" w:pos="851"/>
        </w:tabs>
        <w:ind w:left="851"/>
        <w:rPr>
          <w:sz w:val="24"/>
          <w:szCs w:val="24"/>
          <w:lang w:val="en-GB"/>
        </w:rPr>
      </w:pPr>
    </w:p>
    <w:p w:rsidR="00F83AE7" w:rsidRPr="00C65339" w:rsidRDefault="00C65339" w:rsidP="00F83AE7">
      <w:pPr>
        <w:tabs>
          <w:tab w:val="left" w:pos="851"/>
        </w:tabs>
        <w:ind w:left="851"/>
        <w:rPr>
          <w:sz w:val="24"/>
          <w:szCs w:val="24"/>
          <w:u w:val="single"/>
          <w:lang w:val="en-GB"/>
        </w:rPr>
      </w:pPr>
      <w:r w:rsidRPr="00C65339">
        <w:rPr>
          <w:sz w:val="24"/>
          <w:szCs w:val="24"/>
          <w:u w:val="single"/>
          <w:lang w:val="en-GB"/>
        </w:rPr>
        <w:t>P</w:t>
      </w:r>
      <w:r w:rsidR="00F83AE7" w:rsidRPr="00C65339">
        <w:rPr>
          <w:sz w:val="24"/>
          <w:szCs w:val="24"/>
          <w:u w:val="single"/>
          <w:lang w:val="en-GB"/>
        </w:rPr>
        <w:t>ack sizes</w:t>
      </w:r>
    </w:p>
    <w:p w:rsidR="00F83AE7" w:rsidRPr="00F83AE7" w:rsidRDefault="00F83AE7" w:rsidP="00F83AE7">
      <w:pPr>
        <w:tabs>
          <w:tab w:val="left" w:pos="851"/>
        </w:tabs>
        <w:ind w:left="851"/>
        <w:rPr>
          <w:sz w:val="24"/>
          <w:szCs w:val="24"/>
          <w:lang w:val="en-GB"/>
        </w:rPr>
      </w:pPr>
      <w:r w:rsidRPr="00F83AE7">
        <w:rPr>
          <w:sz w:val="24"/>
          <w:szCs w:val="24"/>
          <w:lang w:val="en-GB"/>
        </w:rPr>
        <w:t>14, 20, 28, 30, 50, 56, 60, 84, 90, 100, 112, 120, 180</w:t>
      </w:r>
      <w:r w:rsidR="00C65339">
        <w:rPr>
          <w:sz w:val="24"/>
          <w:szCs w:val="24"/>
          <w:lang w:val="en-GB"/>
        </w:rPr>
        <w:t xml:space="preserve"> and</w:t>
      </w:r>
      <w:r w:rsidRPr="00F83AE7">
        <w:rPr>
          <w:sz w:val="24"/>
          <w:szCs w:val="24"/>
          <w:lang w:val="en-GB"/>
        </w:rPr>
        <w:t xml:space="preserve"> 600 tablets</w:t>
      </w:r>
      <w:r w:rsidR="00C65339">
        <w:rPr>
          <w:sz w:val="24"/>
          <w:szCs w:val="24"/>
          <w:lang w:val="en-GB"/>
        </w:rPr>
        <w:t>.</w:t>
      </w:r>
    </w:p>
    <w:p w:rsidR="00F83AE7" w:rsidRPr="00F83AE7" w:rsidRDefault="00F83AE7" w:rsidP="00F83AE7">
      <w:pPr>
        <w:tabs>
          <w:tab w:val="left" w:pos="851"/>
        </w:tabs>
        <w:ind w:left="851"/>
        <w:rPr>
          <w:b/>
          <w:sz w:val="24"/>
          <w:szCs w:val="24"/>
          <w:lang w:val="en-GB"/>
        </w:rPr>
      </w:pPr>
      <w:r w:rsidRPr="00F83AE7">
        <w:rPr>
          <w:sz w:val="24"/>
          <w:szCs w:val="24"/>
          <w:lang w:val="en-GB"/>
        </w:rPr>
        <w:t>Not all pack sizes may be marketed.</w:t>
      </w:r>
    </w:p>
    <w:p w:rsidR="007C5D2A" w:rsidRPr="00F83AE7"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A67C61" w:rsidRPr="00A67C61" w:rsidRDefault="00A67C61" w:rsidP="00A67C61">
      <w:pPr>
        <w:tabs>
          <w:tab w:val="left" w:pos="851"/>
        </w:tabs>
        <w:ind w:left="851"/>
        <w:rPr>
          <w:sz w:val="24"/>
          <w:szCs w:val="24"/>
          <w:lang w:val="en-GB"/>
        </w:rPr>
      </w:pPr>
      <w:r w:rsidRPr="00A67C61">
        <w:rPr>
          <w:sz w:val="24"/>
          <w:szCs w:val="24"/>
          <w:lang w:val="en-GB"/>
        </w:rPr>
        <w:t>No special requirements.</w:t>
      </w:r>
    </w:p>
    <w:p w:rsidR="00A67C61" w:rsidRPr="00A67C61" w:rsidRDefault="00A67C61" w:rsidP="00A67C61">
      <w:pPr>
        <w:tabs>
          <w:tab w:val="left" w:pos="851"/>
        </w:tabs>
        <w:ind w:left="851"/>
        <w:rPr>
          <w:sz w:val="24"/>
          <w:szCs w:val="24"/>
          <w:lang w:val="en-GB"/>
        </w:rPr>
      </w:pPr>
    </w:p>
    <w:p w:rsidR="00A67C61" w:rsidRPr="00A67C61" w:rsidRDefault="00A67C61" w:rsidP="00A67C61">
      <w:pPr>
        <w:tabs>
          <w:tab w:val="left" w:pos="851"/>
        </w:tabs>
        <w:ind w:left="851"/>
        <w:rPr>
          <w:sz w:val="24"/>
          <w:szCs w:val="24"/>
          <w:lang w:val="en-GB"/>
        </w:rPr>
      </w:pPr>
      <w:r w:rsidRPr="00A67C61">
        <w:rPr>
          <w:sz w:val="24"/>
          <w:szCs w:val="24"/>
          <w:lang w:val="en-GB"/>
        </w:rPr>
        <w:t>Any unused medicinal product or waste material should be disposed of in accordance with local requirements.</w:t>
      </w:r>
    </w:p>
    <w:p w:rsidR="007C5D2A" w:rsidRPr="00A67C61" w:rsidRDefault="007C5D2A" w:rsidP="00AB4376">
      <w:pPr>
        <w:tabs>
          <w:tab w:val="left" w:pos="851"/>
        </w:tabs>
        <w:ind w:left="851"/>
        <w:rPr>
          <w:sz w:val="24"/>
          <w:szCs w:val="24"/>
          <w:lang w:val="en-GB"/>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BE1C15" w:rsidRPr="00BE1C15" w:rsidRDefault="00BE1C15" w:rsidP="00BE1C15">
      <w:pPr>
        <w:widowControl w:val="0"/>
        <w:autoSpaceDE w:val="0"/>
        <w:autoSpaceDN w:val="0"/>
        <w:adjustRightInd w:val="0"/>
        <w:ind w:left="851" w:right="-20"/>
        <w:rPr>
          <w:rFonts w:eastAsiaTheme="minorEastAsia"/>
          <w:sz w:val="24"/>
          <w:szCs w:val="24"/>
          <w:lang w:val="en-US" w:eastAsia="sv-SE"/>
        </w:rPr>
      </w:pPr>
      <w:r w:rsidRPr="00BE1C15">
        <w:rPr>
          <w:rFonts w:eastAsiaTheme="minorEastAsia"/>
          <w:sz w:val="24"/>
          <w:szCs w:val="24"/>
          <w:lang w:val="en-US" w:eastAsia="sv-SE"/>
        </w:rPr>
        <w:t xml:space="preserve">Strides Pharma (Cyprus) Limited </w:t>
      </w:r>
    </w:p>
    <w:p w:rsidR="00BE1C15" w:rsidRDefault="00BE1C15" w:rsidP="00BE1C15">
      <w:pPr>
        <w:widowControl w:val="0"/>
        <w:autoSpaceDE w:val="0"/>
        <w:autoSpaceDN w:val="0"/>
        <w:adjustRightInd w:val="0"/>
        <w:ind w:left="851" w:right="-20"/>
        <w:rPr>
          <w:rFonts w:eastAsiaTheme="minorEastAsia"/>
          <w:sz w:val="24"/>
          <w:szCs w:val="24"/>
          <w:lang w:val="en-US" w:eastAsia="sv-SE"/>
        </w:rPr>
      </w:pPr>
      <w:r>
        <w:rPr>
          <w:rFonts w:eastAsiaTheme="minorEastAsia"/>
          <w:sz w:val="24"/>
          <w:szCs w:val="24"/>
          <w:lang w:val="en-US" w:eastAsia="sv-SE"/>
        </w:rPr>
        <w:t xml:space="preserve">Themistokli Dervi, </w:t>
      </w:r>
    </w:p>
    <w:p w:rsidR="00BE1C15" w:rsidRDefault="00BE1C15" w:rsidP="00BE1C15">
      <w:pPr>
        <w:widowControl w:val="0"/>
        <w:autoSpaceDE w:val="0"/>
        <w:autoSpaceDN w:val="0"/>
        <w:adjustRightInd w:val="0"/>
        <w:ind w:left="851" w:right="-20"/>
        <w:rPr>
          <w:rFonts w:eastAsiaTheme="minorEastAsia"/>
          <w:sz w:val="24"/>
          <w:szCs w:val="24"/>
          <w:lang w:val="en-US" w:eastAsia="sv-SE"/>
        </w:rPr>
      </w:pPr>
      <w:r>
        <w:rPr>
          <w:rFonts w:eastAsiaTheme="minorEastAsia"/>
          <w:sz w:val="24"/>
          <w:szCs w:val="24"/>
          <w:lang w:val="en-US" w:eastAsia="sv-SE"/>
        </w:rPr>
        <w:t>3 julia house, 1st Floor</w:t>
      </w:r>
    </w:p>
    <w:p w:rsidR="00BE1C15" w:rsidRDefault="00BE1C15" w:rsidP="00BE1C15">
      <w:pPr>
        <w:widowControl w:val="0"/>
        <w:autoSpaceDE w:val="0"/>
        <w:autoSpaceDN w:val="0"/>
        <w:adjustRightInd w:val="0"/>
        <w:ind w:left="851" w:right="-20"/>
        <w:rPr>
          <w:rFonts w:eastAsiaTheme="minorEastAsia"/>
          <w:sz w:val="24"/>
          <w:szCs w:val="24"/>
          <w:lang w:eastAsia="sv-SE"/>
        </w:rPr>
      </w:pPr>
      <w:r>
        <w:rPr>
          <w:rFonts w:eastAsiaTheme="minorEastAsia"/>
          <w:sz w:val="24"/>
          <w:szCs w:val="24"/>
          <w:lang w:eastAsia="sv-SE"/>
        </w:rPr>
        <w:t>1066 Nicosia</w:t>
      </w:r>
    </w:p>
    <w:p w:rsidR="00BE1C15" w:rsidRDefault="00BE1C15" w:rsidP="00BE1C15">
      <w:pPr>
        <w:widowControl w:val="0"/>
        <w:autoSpaceDE w:val="0"/>
        <w:autoSpaceDN w:val="0"/>
        <w:adjustRightInd w:val="0"/>
        <w:ind w:left="851" w:right="-20"/>
        <w:rPr>
          <w:rFonts w:eastAsiaTheme="minorEastAsia"/>
          <w:sz w:val="24"/>
          <w:szCs w:val="24"/>
          <w:lang w:eastAsia="sv-SE"/>
        </w:rPr>
      </w:pPr>
      <w:r>
        <w:rPr>
          <w:rFonts w:eastAsiaTheme="minorEastAsia"/>
          <w:sz w:val="24"/>
          <w:szCs w:val="24"/>
          <w:lang w:eastAsia="sv-SE"/>
        </w:rPr>
        <w:t>Cypern</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BE1C15" w:rsidRPr="00AA65D4" w:rsidRDefault="00BE1C15" w:rsidP="00BE1C15">
      <w:pPr>
        <w:tabs>
          <w:tab w:val="left" w:pos="851"/>
          <w:tab w:val="left" w:pos="1843"/>
        </w:tabs>
        <w:ind w:left="851" w:hanging="851"/>
        <w:rPr>
          <w:sz w:val="24"/>
          <w:szCs w:val="24"/>
          <w:lang w:val="en-US"/>
        </w:rPr>
      </w:pPr>
      <w:r>
        <w:rPr>
          <w:sz w:val="24"/>
          <w:szCs w:val="24"/>
        </w:rPr>
        <w:tab/>
      </w:r>
      <w:r w:rsidRPr="00AA65D4">
        <w:rPr>
          <w:sz w:val="24"/>
          <w:szCs w:val="24"/>
          <w:lang w:val="en-US"/>
        </w:rPr>
        <w:t>500 mg:</w:t>
      </w:r>
      <w:r w:rsidRPr="00AA65D4">
        <w:rPr>
          <w:sz w:val="24"/>
          <w:szCs w:val="24"/>
          <w:lang w:val="en-US"/>
        </w:rPr>
        <w:tab/>
        <w:t>51937</w:t>
      </w:r>
    </w:p>
    <w:p w:rsidR="00BE1C15" w:rsidRPr="00AA65D4" w:rsidRDefault="00BE1C15" w:rsidP="00BE1C15">
      <w:pPr>
        <w:tabs>
          <w:tab w:val="left" w:pos="851"/>
          <w:tab w:val="left" w:pos="1843"/>
        </w:tabs>
        <w:ind w:left="851" w:hanging="851"/>
        <w:rPr>
          <w:sz w:val="24"/>
          <w:szCs w:val="24"/>
          <w:lang w:val="en-US"/>
        </w:rPr>
      </w:pPr>
      <w:r w:rsidRPr="00AA65D4">
        <w:rPr>
          <w:sz w:val="24"/>
          <w:szCs w:val="24"/>
          <w:lang w:val="en-US"/>
        </w:rPr>
        <w:tab/>
        <w:t>750 mg:</w:t>
      </w:r>
      <w:r w:rsidRPr="00AA65D4">
        <w:rPr>
          <w:sz w:val="24"/>
          <w:szCs w:val="24"/>
          <w:lang w:val="en-US"/>
        </w:rPr>
        <w:tab/>
        <w:t>51938</w:t>
      </w:r>
      <w:bookmarkStart w:id="4" w:name="_GoBack"/>
      <w:bookmarkEnd w:id="4"/>
    </w:p>
    <w:p w:rsidR="00BE1C15" w:rsidRPr="00AA65D4" w:rsidRDefault="00BE1C15" w:rsidP="00BE1C15">
      <w:pPr>
        <w:tabs>
          <w:tab w:val="left" w:pos="851"/>
          <w:tab w:val="left" w:pos="1843"/>
        </w:tabs>
        <w:ind w:left="851" w:hanging="851"/>
        <w:rPr>
          <w:sz w:val="24"/>
          <w:szCs w:val="24"/>
          <w:lang w:val="en-US"/>
        </w:rPr>
      </w:pPr>
      <w:r w:rsidRPr="00AA65D4">
        <w:rPr>
          <w:sz w:val="24"/>
          <w:szCs w:val="24"/>
          <w:lang w:val="en-US"/>
        </w:rPr>
        <w:tab/>
        <w:t>1000 mg:</w:t>
      </w:r>
      <w:r w:rsidRPr="00AA65D4">
        <w:rPr>
          <w:sz w:val="24"/>
          <w:szCs w:val="24"/>
          <w:lang w:val="en-US"/>
        </w:rPr>
        <w:tab/>
        <w:t>51939</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BE1C15" w:rsidP="00A85D26">
      <w:pPr>
        <w:ind w:left="851"/>
        <w:jc w:val="both"/>
        <w:rPr>
          <w:sz w:val="24"/>
          <w:szCs w:val="24"/>
          <w:lang w:val="en-GB"/>
        </w:rPr>
      </w:pPr>
      <w:r>
        <w:rPr>
          <w:sz w:val="24"/>
          <w:szCs w:val="24"/>
          <w:lang w:val="en-GB"/>
        </w:rPr>
        <w:t>4 July 2014</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AA65D4" w:rsidP="003E0341">
      <w:pPr>
        <w:tabs>
          <w:tab w:val="left" w:pos="851"/>
        </w:tabs>
        <w:ind w:left="851"/>
        <w:jc w:val="both"/>
        <w:rPr>
          <w:sz w:val="24"/>
          <w:szCs w:val="24"/>
          <w:lang w:val="en-GB"/>
        </w:rPr>
      </w:pPr>
      <w:r>
        <w:rPr>
          <w:sz w:val="24"/>
          <w:szCs w:val="24"/>
          <w:lang w:val="en-GB"/>
        </w:rPr>
        <w:t>18 July 2022</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A78" w:rsidRDefault="001D1A78">
      <w:r>
        <w:separator/>
      </w:r>
    </w:p>
  </w:endnote>
  <w:endnote w:type="continuationSeparator" w:id="0">
    <w:p w:rsidR="001D1A78" w:rsidRDefault="001D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864538">
    <w:pPr>
      <w:pStyle w:val="Sidefod"/>
      <w:pBdr>
        <w:bottom w:val="single" w:sz="6" w:space="1" w:color="auto"/>
      </w:pBdr>
    </w:pPr>
  </w:p>
  <w:p w:rsidR="00864538" w:rsidRDefault="00864538">
    <w:pPr>
      <w:pStyle w:val="Sidefod"/>
      <w:tabs>
        <w:tab w:val="clear" w:pos="4819"/>
        <w:tab w:val="left" w:pos="8647"/>
      </w:tabs>
      <w:rPr>
        <w:i/>
        <w:snapToGrid w:val="0"/>
        <w:sz w:val="18"/>
      </w:rPr>
    </w:pPr>
  </w:p>
  <w:p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66126F">
      <w:rPr>
        <w:i/>
        <w:noProof/>
        <w:snapToGrid w:val="0"/>
        <w:sz w:val="18"/>
      </w:rPr>
      <w:t>Lyomet, depottabletter 500 mg, 750 mg og 1000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864538">
    <w:pPr>
      <w:pStyle w:val="Sidefod"/>
      <w:pBdr>
        <w:bottom w:val="single" w:sz="6" w:space="1" w:color="auto"/>
      </w:pBdr>
      <w:tabs>
        <w:tab w:val="clear" w:pos="4819"/>
        <w:tab w:val="left" w:pos="8789"/>
      </w:tabs>
      <w:rPr>
        <w:i/>
        <w:snapToGrid w:val="0"/>
        <w:sz w:val="18"/>
      </w:rPr>
    </w:pPr>
  </w:p>
  <w:p w:rsidR="00864538" w:rsidRDefault="00864538">
    <w:pPr>
      <w:pStyle w:val="Sidefod"/>
      <w:tabs>
        <w:tab w:val="clear" w:pos="4819"/>
        <w:tab w:val="left" w:pos="8789"/>
      </w:tabs>
      <w:rPr>
        <w:i/>
        <w:snapToGrid w:val="0"/>
        <w:sz w:val="18"/>
      </w:rPr>
    </w:pPr>
  </w:p>
  <w:p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66126F">
      <w:rPr>
        <w:i/>
        <w:noProof/>
        <w:snapToGrid w:val="0"/>
        <w:sz w:val="18"/>
      </w:rPr>
      <w:t>Lyomet, depottabletter 500 mg, 750 mg og 1000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A78" w:rsidRDefault="001D1A78">
      <w:r>
        <w:separator/>
      </w:r>
    </w:p>
  </w:footnote>
  <w:footnote w:type="continuationSeparator" w:id="0">
    <w:p w:rsidR="001D1A78" w:rsidRDefault="001D1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D7F114D"/>
    <w:multiLevelType w:val="hybridMultilevel"/>
    <w:tmpl w:val="D3CCD752"/>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4"/>
  </w:num>
  <w:num w:numId="4">
    <w:abstractNumId w:val="1"/>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A78"/>
    <w:rsid w:val="00056601"/>
    <w:rsid w:val="000C3846"/>
    <w:rsid w:val="000C6218"/>
    <w:rsid w:val="000D3C9D"/>
    <w:rsid w:val="000F0D47"/>
    <w:rsid w:val="001160AB"/>
    <w:rsid w:val="001242DE"/>
    <w:rsid w:val="00130E57"/>
    <w:rsid w:val="00165110"/>
    <w:rsid w:val="00180A12"/>
    <w:rsid w:val="001C0439"/>
    <w:rsid w:val="001D1A78"/>
    <w:rsid w:val="00214331"/>
    <w:rsid w:val="00214CF4"/>
    <w:rsid w:val="00281F03"/>
    <w:rsid w:val="0029458A"/>
    <w:rsid w:val="002A1587"/>
    <w:rsid w:val="002B27C5"/>
    <w:rsid w:val="00303008"/>
    <w:rsid w:val="00346462"/>
    <w:rsid w:val="00373B55"/>
    <w:rsid w:val="003D727E"/>
    <w:rsid w:val="003E0341"/>
    <w:rsid w:val="003E3402"/>
    <w:rsid w:val="003F4736"/>
    <w:rsid w:val="00401B49"/>
    <w:rsid w:val="0042292D"/>
    <w:rsid w:val="00440254"/>
    <w:rsid w:val="004860D3"/>
    <w:rsid w:val="004A2D4C"/>
    <w:rsid w:val="004A3BF4"/>
    <w:rsid w:val="004A5DB3"/>
    <w:rsid w:val="004F01F7"/>
    <w:rsid w:val="005152D9"/>
    <w:rsid w:val="00533AD4"/>
    <w:rsid w:val="00534849"/>
    <w:rsid w:val="00560102"/>
    <w:rsid w:val="00562EA1"/>
    <w:rsid w:val="005641D5"/>
    <w:rsid w:val="005A1E79"/>
    <w:rsid w:val="00617BB8"/>
    <w:rsid w:val="0066126F"/>
    <w:rsid w:val="00680052"/>
    <w:rsid w:val="00683267"/>
    <w:rsid w:val="006844E9"/>
    <w:rsid w:val="006B3847"/>
    <w:rsid w:val="006D4450"/>
    <w:rsid w:val="006D4574"/>
    <w:rsid w:val="006E67DC"/>
    <w:rsid w:val="0075453D"/>
    <w:rsid w:val="007910FC"/>
    <w:rsid w:val="007A4CC6"/>
    <w:rsid w:val="007B73F8"/>
    <w:rsid w:val="007C3623"/>
    <w:rsid w:val="007C5D2A"/>
    <w:rsid w:val="007E3627"/>
    <w:rsid w:val="007F19F5"/>
    <w:rsid w:val="007F1E00"/>
    <w:rsid w:val="008400E3"/>
    <w:rsid w:val="00864538"/>
    <w:rsid w:val="00873B4F"/>
    <w:rsid w:val="008C73E9"/>
    <w:rsid w:val="008E51AE"/>
    <w:rsid w:val="008F2F8C"/>
    <w:rsid w:val="009925C9"/>
    <w:rsid w:val="00A179D0"/>
    <w:rsid w:val="00A358A3"/>
    <w:rsid w:val="00A46747"/>
    <w:rsid w:val="00A67C61"/>
    <w:rsid w:val="00A80446"/>
    <w:rsid w:val="00A85D26"/>
    <w:rsid w:val="00A9153A"/>
    <w:rsid w:val="00AA65D4"/>
    <w:rsid w:val="00AB4376"/>
    <w:rsid w:val="00AC033C"/>
    <w:rsid w:val="00AD2E36"/>
    <w:rsid w:val="00B73586"/>
    <w:rsid w:val="00BD3490"/>
    <w:rsid w:val="00BE1C15"/>
    <w:rsid w:val="00C0122C"/>
    <w:rsid w:val="00C0586E"/>
    <w:rsid w:val="00C26226"/>
    <w:rsid w:val="00C3571D"/>
    <w:rsid w:val="00C54F0B"/>
    <w:rsid w:val="00C65339"/>
    <w:rsid w:val="00C82621"/>
    <w:rsid w:val="00CB1423"/>
    <w:rsid w:val="00D02508"/>
    <w:rsid w:val="00D026FD"/>
    <w:rsid w:val="00D45B47"/>
    <w:rsid w:val="00D778CC"/>
    <w:rsid w:val="00D82FE9"/>
    <w:rsid w:val="00D97B77"/>
    <w:rsid w:val="00DB6A85"/>
    <w:rsid w:val="00E06B32"/>
    <w:rsid w:val="00E1290F"/>
    <w:rsid w:val="00E312D1"/>
    <w:rsid w:val="00E36A80"/>
    <w:rsid w:val="00EB21D7"/>
    <w:rsid w:val="00EE3EB7"/>
    <w:rsid w:val="00EE6B3D"/>
    <w:rsid w:val="00F32726"/>
    <w:rsid w:val="00F57E16"/>
    <w:rsid w:val="00F60336"/>
    <w:rsid w:val="00F809B9"/>
    <w:rsid w:val="00F83AE7"/>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D73E5"/>
  <w15:chartTrackingRefBased/>
  <w15:docId w15:val="{ABA57775-88F9-4AEF-A7AD-A22CD7A7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76662">
      <w:bodyDiv w:val="1"/>
      <w:marLeft w:val="0"/>
      <w:marRight w:val="0"/>
      <w:marTop w:val="0"/>
      <w:marBottom w:val="0"/>
      <w:divBdr>
        <w:top w:val="none" w:sz="0" w:space="0" w:color="auto"/>
        <w:left w:val="none" w:sz="0" w:space="0" w:color="auto"/>
        <w:bottom w:val="none" w:sz="0" w:space="0" w:color="auto"/>
        <w:right w:val="none" w:sz="0" w:space="0" w:color="auto"/>
      </w:divBdr>
    </w:div>
    <w:div w:id="112865850">
      <w:bodyDiv w:val="1"/>
      <w:marLeft w:val="0"/>
      <w:marRight w:val="0"/>
      <w:marTop w:val="0"/>
      <w:marBottom w:val="0"/>
      <w:divBdr>
        <w:top w:val="none" w:sz="0" w:space="0" w:color="auto"/>
        <w:left w:val="none" w:sz="0" w:space="0" w:color="auto"/>
        <w:bottom w:val="none" w:sz="0" w:space="0" w:color="auto"/>
        <w:right w:val="none" w:sz="0" w:space="0" w:color="auto"/>
      </w:divBdr>
    </w:div>
    <w:div w:id="163865601">
      <w:bodyDiv w:val="1"/>
      <w:marLeft w:val="0"/>
      <w:marRight w:val="0"/>
      <w:marTop w:val="0"/>
      <w:marBottom w:val="0"/>
      <w:divBdr>
        <w:top w:val="none" w:sz="0" w:space="0" w:color="auto"/>
        <w:left w:val="none" w:sz="0" w:space="0" w:color="auto"/>
        <w:bottom w:val="none" w:sz="0" w:space="0" w:color="auto"/>
        <w:right w:val="none" w:sz="0" w:space="0" w:color="auto"/>
      </w:divBdr>
    </w:div>
    <w:div w:id="354621909">
      <w:bodyDiv w:val="1"/>
      <w:marLeft w:val="0"/>
      <w:marRight w:val="0"/>
      <w:marTop w:val="0"/>
      <w:marBottom w:val="0"/>
      <w:divBdr>
        <w:top w:val="none" w:sz="0" w:space="0" w:color="auto"/>
        <w:left w:val="none" w:sz="0" w:space="0" w:color="auto"/>
        <w:bottom w:val="none" w:sz="0" w:space="0" w:color="auto"/>
        <w:right w:val="none" w:sz="0" w:space="0" w:color="auto"/>
      </w:divBdr>
    </w:div>
    <w:div w:id="380637694">
      <w:bodyDiv w:val="1"/>
      <w:marLeft w:val="0"/>
      <w:marRight w:val="0"/>
      <w:marTop w:val="0"/>
      <w:marBottom w:val="0"/>
      <w:divBdr>
        <w:top w:val="none" w:sz="0" w:space="0" w:color="auto"/>
        <w:left w:val="none" w:sz="0" w:space="0" w:color="auto"/>
        <w:bottom w:val="none" w:sz="0" w:space="0" w:color="auto"/>
        <w:right w:val="none" w:sz="0" w:space="0" w:color="auto"/>
      </w:divBdr>
    </w:div>
    <w:div w:id="394207210">
      <w:bodyDiv w:val="1"/>
      <w:marLeft w:val="0"/>
      <w:marRight w:val="0"/>
      <w:marTop w:val="0"/>
      <w:marBottom w:val="0"/>
      <w:divBdr>
        <w:top w:val="none" w:sz="0" w:space="0" w:color="auto"/>
        <w:left w:val="none" w:sz="0" w:space="0" w:color="auto"/>
        <w:bottom w:val="none" w:sz="0" w:space="0" w:color="auto"/>
        <w:right w:val="none" w:sz="0" w:space="0" w:color="auto"/>
      </w:divBdr>
    </w:div>
    <w:div w:id="413672390">
      <w:bodyDiv w:val="1"/>
      <w:marLeft w:val="0"/>
      <w:marRight w:val="0"/>
      <w:marTop w:val="0"/>
      <w:marBottom w:val="0"/>
      <w:divBdr>
        <w:top w:val="none" w:sz="0" w:space="0" w:color="auto"/>
        <w:left w:val="none" w:sz="0" w:space="0" w:color="auto"/>
        <w:bottom w:val="none" w:sz="0" w:space="0" w:color="auto"/>
        <w:right w:val="none" w:sz="0" w:space="0" w:color="auto"/>
      </w:divBdr>
    </w:div>
    <w:div w:id="435297026">
      <w:bodyDiv w:val="1"/>
      <w:marLeft w:val="0"/>
      <w:marRight w:val="0"/>
      <w:marTop w:val="0"/>
      <w:marBottom w:val="0"/>
      <w:divBdr>
        <w:top w:val="none" w:sz="0" w:space="0" w:color="auto"/>
        <w:left w:val="none" w:sz="0" w:space="0" w:color="auto"/>
        <w:bottom w:val="none" w:sz="0" w:space="0" w:color="auto"/>
        <w:right w:val="none" w:sz="0" w:space="0" w:color="auto"/>
      </w:divBdr>
    </w:div>
    <w:div w:id="499083694">
      <w:bodyDiv w:val="1"/>
      <w:marLeft w:val="0"/>
      <w:marRight w:val="0"/>
      <w:marTop w:val="0"/>
      <w:marBottom w:val="0"/>
      <w:divBdr>
        <w:top w:val="none" w:sz="0" w:space="0" w:color="auto"/>
        <w:left w:val="none" w:sz="0" w:space="0" w:color="auto"/>
        <w:bottom w:val="none" w:sz="0" w:space="0" w:color="auto"/>
        <w:right w:val="none" w:sz="0" w:space="0" w:color="auto"/>
      </w:divBdr>
    </w:div>
    <w:div w:id="503787912">
      <w:bodyDiv w:val="1"/>
      <w:marLeft w:val="0"/>
      <w:marRight w:val="0"/>
      <w:marTop w:val="0"/>
      <w:marBottom w:val="0"/>
      <w:divBdr>
        <w:top w:val="none" w:sz="0" w:space="0" w:color="auto"/>
        <w:left w:val="none" w:sz="0" w:space="0" w:color="auto"/>
        <w:bottom w:val="none" w:sz="0" w:space="0" w:color="auto"/>
        <w:right w:val="none" w:sz="0" w:space="0" w:color="auto"/>
      </w:divBdr>
    </w:div>
    <w:div w:id="589657757">
      <w:bodyDiv w:val="1"/>
      <w:marLeft w:val="0"/>
      <w:marRight w:val="0"/>
      <w:marTop w:val="0"/>
      <w:marBottom w:val="0"/>
      <w:divBdr>
        <w:top w:val="none" w:sz="0" w:space="0" w:color="auto"/>
        <w:left w:val="none" w:sz="0" w:space="0" w:color="auto"/>
        <w:bottom w:val="none" w:sz="0" w:space="0" w:color="auto"/>
        <w:right w:val="none" w:sz="0" w:space="0" w:color="auto"/>
      </w:divBdr>
    </w:div>
    <w:div w:id="686755995">
      <w:bodyDiv w:val="1"/>
      <w:marLeft w:val="0"/>
      <w:marRight w:val="0"/>
      <w:marTop w:val="0"/>
      <w:marBottom w:val="0"/>
      <w:divBdr>
        <w:top w:val="none" w:sz="0" w:space="0" w:color="auto"/>
        <w:left w:val="none" w:sz="0" w:space="0" w:color="auto"/>
        <w:bottom w:val="none" w:sz="0" w:space="0" w:color="auto"/>
        <w:right w:val="none" w:sz="0" w:space="0" w:color="auto"/>
      </w:divBdr>
    </w:div>
    <w:div w:id="731197323">
      <w:bodyDiv w:val="1"/>
      <w:marLeft w:val="0"/>
      <w:marRight w:val="0"/>
      <w:marTop w:val="0"/>
      <w:marBottom w:val="0"/>
      <w:divBdr>
        <w:top w:val="none" w:sz="0" w:space="0" w:color="auto"/>
        <w:left w:val="none" w:sz="0" w:space="0" w:color="auto"/>
        <w:bottom w:val="none" w:sz="0" w:space="0" w:color="auto"/>
        <w:right w:val="none" w:sz="0" w:space="0" w:color="auto"/>
      </w:divBdr>
    </w:div>
    <w:div w:id="772163712">
      <w:bodyDiv w:val="1"/>
      <w:marLeft w:val="0"/>
      <w:marRight w:val="0"/>
      <w:marTop w:val="0"/>
      <w:marBottom w:val="0"/>
      <w:divBdr>
        <w:top w:val="none" w:sz="0" w:space="0" w:color="auto"/>
        <w:left w:val="none" w:sz="0" w:space="0" w:color="auto"/>
        <w:bottom w:val="none" w:sz="0" w:space="0" w:color="auto"/>
        <w:right w:val="none" w:sz="0" w:space="0" w:color="auto"/>
      </w:divBdr>
    </w:div>
    <w:div w:id="783696623">
      <w:bodyDiv w:val="1"/>
      <w:marLeft w:val="0"/>
      <w:marRight w:val="0"/>
      <w:marTop w:val="0"/>
      <w:marBottom w:val="0"/>
      <w:divBdr>
        <w:top w:val="none" w:sz="0" w:space="0" w:color="auto"/>
        <w:left w:val="none" w:sz="0" w:space="0" w:color="auto"/>
        <w:bottom w:val="none" w:sz="0" w:space="0" w:color="auto"/>
        <w:right w:val="none" w:sz="0" w:space="0" w:color="auto"/>
      </w:divBdr>
    </w:div>
    <w:div w:id="802964847">
      <w:bodyDiv w:val="1"/>
      <w:marLeft w:val="0"/>
      <w:marRight w:val="0"/>
      <w:marTop w:val="0"/>
      <w:marBottom w:val="0"/>
      <w:divBdr>
        <w:top w:val="none" w:sz="0" w:space="0" w:color="auto"/>
        <w:left w:val="none" w:sz="0" w:space="0" w:color="auto"/>
        <w:bottom w:val="none" w:sz="0" w:space="0" w:color="auto"/>
        <w:right w:val="none" w:sz="0" w:space="0" w:color="auto"/>
      </w:divBdr>
    </w:div>
    <w:div w:id="816723531">
      <w:bodyDiv w:val="1"/>
      <w:marLeft w:val="0"/>
      <w:marRight w:val="0"/>
      <w:marTop w:val="0"/>
      <w:marBottom w:val="0"/>
      <w:divBdr>
        <w:top w:val="none" w:sz="0" w:space="0" w:color="auto"/>
        <w:left w:val="none" w:sz="0" w:space="0" w:color="auto"/>
        <w:bottom w:val="none" w:sz="0" w:space="0" w:color="auto"/>
        <w:right w:val="none" w:sz="0" w:space="0" w:color="auto"/>
      </w:divBdr>
    </w:div>
    <w:div w:id="901915643">
      <w:bodyDiv w:val="1"/>
      <w:marLeft w:val="0"/>
      <w:marRight w:val="0"/>
      <w:marTop w:val="0"/>
      <w:marBottom w:val="0"/>
      <w:divBdr>
        <w:top w:val="none" w:sz="0" w:space="0" w:color="auto"/>
        <w:left w:val="none" w:sz="0" w:space="0" w:color="auto"/>
        <w:bottom w:val="none" w:sz="0" w:space="0" w:color="auto"/>
        <w:right w:val="none" w:sz="0" w:space="0" w:color="auto"/>
      </w:divBdr>
    </w:div>
    <w:div w:id="995189457">
      <w:bodyDiv w:val="1"/>
      <w:marLeft w:val="0"/>
      <w:marRight w:val="0"/>
      <w:marTop w:val="0"/>
      <w:marBottom w:val="0"/>
      <w:divBdr>
        <w:top w:val="none" w:sz="0" w:space="0" w:color="auto"/>
        <w:left w:val="none" w:sz="0" w:space="0" w:color="auto"/>
        <w:bottom w:val="none" w:sz="0" w:space="0" w:color="auto"/>
        <w:right w:val="none" w:sz="0" w:space="0" w:color="auto"/>
      </w:divBdr>
    </w:div>
    <w:div w:id="1008941387">
      <w:bodyDiv w:val="1"/>
      <w:marLeft w:val="0"/>
      <w:marRight w:val="0"/>
      <w:marTop w:val="0"/>
      <w:marBottom w:val="0"/>
      <w:divBdr>
        <w:top w:val="none" w:sz="0" w:space="0" w:color="auto"/>
        <w:left w:val="none" w:sz="0" w:space="0" w:color="auto"/>
        <w:bottom w:val="none" w:sz="0" w:space="0" w:color="auto"/>
        <w:right w:val="none" w:sz="0" w:space="0" w:color="auto"/>
      </w:divBdr>
    </w:div>
    <w:div w:id="1086145141">
      <w:bodyDiv w:val="1"/>
      <w:marLeft w:val="0"/>
      <w:marRight w:val="0"/>
      <w:marTop w:val="0"/>
      <w:marBottom w:val="0"/>
      <w:divBdr>
        <w:top w:val="none" w:sz="0" w:space="0" w:color="auto"/>
        <w:left w:val="none" w:sz="0" w:space="0" w:color="auto"/>
        <w:bottom w:val="none" w:sz="0" w:space="0" w:color="auto"/>
        <w:right w:val="none" w:sz="0" w:space="0" w:color="auto"/>
      </w:divBdr>
    </w:div>
    <w:div w:id="1136028174">
      <w:bodyDiv w:val="1"/>
      <w:marLeft w:val="0"/>
      <w:marRight w:val="0"/>
      <w:marTop w:val="0"/>
      <w:marBottom w:val="0"/>
      <w:divBdr>
        <w:top w:val="none" w:sz="0" w:space="0" w:color="auto"/>
        <w:left w:val="none" w:sz="0" w:space="0" w:color="auto"/>
        <w:bottom w:val="none" w:sz="0" w:space="0" w:color="auto"/>
        <w:right w:val="none" w:sz="0" w:space="0" w:color="auto"/>
      </w:divBdr>
    </w:div>
    <w:div w:id="1149127837">
      <w:bodyDiv w:val="1"/>
      <w:marLeft w:val="0"/>
      <w:marRight w:val="0"/>
      <w:marTop w:val="0"/>
      <w:marBottom w:val="0"/>
      <w:divBdr>
        <w:top w:val="none" w:sz="0" w:space="0" w:color="auto"/>
        <w:left w:val="none" w:sz="0" w:space="0" w:color="auto"/>
        <w:bottom w:val="none" w:sz="0" w:space="0" w:color="auto"/>
        <w:right w:val="none" w:sz="0" w:space="0" w:color="auto"/>
      </w:divBdr>
    </w:div>
    <w:div w:id="1309479590">
      <w:bodyDiv w:val="1"/>
      <w:marLeft w:val="0"/>
      <w:marRight w:val="0"/>
      <w:marTop w:val="0"/>
      <w:marBottom w:val="0"/>
      <w:divBdr>
        <w:top w:val="none" w:sz="0" w:space="0" w:color="auto"/>
        <w:left w:val="none" w:sz="0" w:space="0" w:color="auto"/>
        <w:bottom w:val="none" w:sz="0" w:space="0" w:color="auto"/>
        <w:right w:val="none" w:sz="0" w:space="0" w:color="auto"/>
      </w:divBdr>
    </w:div>
    <w:div w:id="1334839528">
      <w:bodyDiv w:val="1"/>
      <w:marLeft w:val="0"/>
      <w:marRight w:val="0"/>
      <w:marTop w:val="0"/>
      <w:marBottom w:val="0"/>
      <w:divBdr>
        <w:top w:val="none" w:sz="0" w:space="0" w:color="auto"/>
        <w:left w:val="none" w:sz="0" w:space="0" w:color="auto"/>
        <w:bottom w:val="none" w:sz="0" w:space="0" w:color="auto"/>
        <w:right w:val="none" w:sz="0" w:space="0" w:color="auto"/>
      </w:divBdr>
    </w:div>
    <w:div w:id="1368261543">
      <w:bodyDiv w:val="1"/>
      <w:marLeft w:val="0"/>
      <w:marRight w:val="0"/>
      <w:marTop w:val="0"/>
      <w:marBottom w:val="0"/>
      <w:divBdr>
        <w:top w:val="none" w:sz="0" w:space="0" w:color="auto"/>
        <w:left w:val="none" w:sz="0" w:space="0" w:color="auto"/>
        <w:bottom w:val="none" w:sz="0" w:space="0" w:color="auto"/>
        <w:right w:val="none" w:sz="0" w:space="0" w:color="auto"/>
      </w:divBdr>
    </w:div>
    <w:div w:id="1372069052">
      <w:bodyDiv w:val="1"/>
      <w:marLeft w:val="0"/>
      <w:marRight w:val="0"/>
      <w:marTop w:val="0"/>
      <w:marBottom w:val="0"/>
      <w:divBdr>
        <w:top w:val="none" w:sz="0" w:space="0" w:color="auto"/>
        <w:left w:val="none" w:sz="0" w:space="0" w:color="auto"/>
        <w:bottom w:val="none" w:sz="0" w:space="0" w:color="auto"/>
        <w:right w:val="none" w:sz="0" w:space="0" w:color="auto"/>
      </w:divBdr>
    </w:div>
    <w:div w:id="1450777336">
      <w:bodyDiv w:val="1"/>
      <w:marLeft w:val="0"/>
      <w:marRight w:val="0"/>
      <w:marTop w:val="0"/>
      <w:marBottom w:val="0"/>
      <w:divBdr>
        <w:top w:val="none" w:sz="0" w:space="0" w:color="auto"/>
        <w:left w:val="none" w:sz="0" w:space="0" w:color="auto"/>
        <w:bottom w:val="none" w:sz="0" w:space="0" w:color="auto"/>
        <w:right w:val="none" w:sz="0" w:space="0" w:color="auto"/>
      </w:divBdr>
    </w:div>
    <w:div w:id="1458600614">
      <w:bodyDiv w:val="1"/>
      <w:marLeft w:val="0"/>
      <w:marRight w:val="0"/>
      <w:marTop w:val="0"/>
      <w:marBottom w:val="0"/>
      <w:divBdr>
        <w:top w:val="none" w:sz="0" w:space="0" w:color="auto"/>
        <w:left w:val="none" w:sz="0" w:space="0" w:color="auto"/>
        <w:bottom w:val="none" w:sz="0" w:space="0" w:color="auto"/>
        <w:right w:val="none" w:sz="0" w:space="0" w:color="auto"/>
      </w:divBdr>
    </w:div>
    <w:div w:id="1460103186">
      <w:bodyDiv w:val="1"/>
      <w:marLeft w:val="0"/>
      <w:marRight w:val="0"/>
      <w:marTop w:val="0"/>
      <w:marBottom w:val="0"/>
      <w:divBdr>
        <w:top w:val="none" w:sz="0" w:space="0" w:color="auto"/>
        <w:left w:val="none" w:sz="0" w:space="0" w:color="auto"/>
        <w:bottom w:val="none" w:sz="0" w:space="0" w:color="auto"/>
        <w:right w:val="none" w:sz="0" w:space="0" w:color="auto"/>
      </w:divBdr>
    </w:div>
    <w:div w:id="1495687687">
      <w:bodyDiv w:val="1"/>
      <w:marLeft w:val="0"/>
      <w:marRight w:val="0"/>
      <w:marTop w:val="0"/>
      <w:marBottom w:val="0"/>
      <w:divBdr>
        <w:top w:val="none" w:sz="0" w:space="0" w:color="auto"/>
        <w:left w:val="none" w:sz="0" w:space="0" w:color="auto"/>
        <w:bottom w:val="none" w:sz="0" w:space="0" w:color="auto"/>
        <w:right w:val="none" w:sz="0" w:space="0" w:color="auto"/>
      </w:divBdr>
    </w:div>
    <w:div w:id="1635406787">
      <w:bodyDiv w:val="1"/>
      <w:marLeft w:val="0"/>
      <w:marRight w:val="0"/>
      <w:marTop w:val="0"/>
      <w:marBottom w:val="0"/>
      <w:divBdr>
        <w:top w:val="none" w:sz="0" w:space="0" w:color="auto"/>
        <w:left w:val="none" w:sz="0" w:space="0" w:color="auto"/>
        <w:bottom w:val="none" w:sz="0" w:space="0" w:color="auto"/>
        <w:right w:val="none" w:sz="0" w:space="0" w:color="auto"/>
      </w:divBdr>
    </w:div>
    <w:div w:id="1795440054">
      <w:bodyDiv w:val="1"/>
      <w:marLeft w:val="0"/>
      <w:marRight w:val="0"/>
      <w:marTop w:val="0"/>
      <w:marBottom w:val="0"/>
      <w:divBdr>
        <w:top w:val="none" w:sz="0" w:space="0" w:color="auto"/>
        <w:left w:val="none" w:sz="0" w:space="0" w:color="auto"/>
        <w:bottom w:val="none" w:sz="0" w:space="0" w:color="auto"/>
        <w:right w:val="none" w:sz="0" w:space="0" w:color="auto"/>
      </w:divBdr>
    </w:div>
    <w:div w:id="1795829918">
      <w:bodyDiv w:val="1"/>
      <w:marLeft w:val="0"/>
      <w:marRight w:val="0"/>
      <w:marTop w:val="0"/>
      <w:marBottom w:val="0"/>
      <w:divBdr>
        <w:top w:val="none" w:sz="0" w:space="0" w:color="auto"/>
        <w:left w:val="none" w:sz="0" w:space="0" w:color="auto"/>
        <w:bottom w:val="none" w:sz="0" w:space="0" w:color="auto"/>
        <w:right w:val="none" w:sz="0" w:space="0" w:color="auto"/>
      </w:divBdr>
    </w:div>
    <w:div w:id="1835488490">
      <w:bodyDiv w:val="1"/>
      <w:marLeft w:val="0"/>
      <w:marRight w:val="0"/>
      <w:marTop w:val="0"/>
      <w:marBottom w:val="0"/>
      <w:divBdr>
        <w:top w:val="none" w:sz="0" w:space="0" w:color="auto"/>
        <w:left w:val="none" w:sz="0" w:space="0" w:color="auto"/>
        <w:bottom w:val="none" w:sz="0" w:space="0" w:color="auto"/>
        <w:right w:val="none" w:sz="0" w:space="0" w:color="auto"/>
      </w:divBdr>
    </w:div>
    <w:div w:id="1870295001">
      <w:bodyDiv w:val="1"/>
      <w:marLeft w:val="0"/>
      <w:marRight w:val="0"/>
      <w:marTop w:val="0"/>
      <w:marBottom w:val="0"/>
      <w:divBdr>
        <w:top w:val="none" w:sz="0" w:space="0" w:color="auto"/>
        <w:left w:val="none" w:sz="0" w:space="0" w:color="auto"/>
        <w:bottom w:val="none" w:sz="0" w:space="0" w:color="auto"/>
        <w:right w:val="none" w:sz="0" w:space="0" w:color="auto"/>
      </w:divBdr>
    </w:div>
    <w:div w:id="1883327864">
      <w:bodyDiv w:val="1"/>
      <w:marLeft w:val="0"/>
      <w:marRight w:val="0"/>
      <w:marTop w:val="0"/>
      <w:marBottom w:val="0"/>
      <w:divBdr>
        <w:top w:val="none" w:sz="0" w:space="0" w:color="auto"/>
        <w:left w:val="none" w:sz="0" w:space="0" w:color="auto"/>
        <w:bottom w:val="none" w:sz="0" w:space="0" w:color="auto"/>
        <w:right w:val="none" w:sz="0" w:space="0" w:color="auto"/>
      </w:divBdr>
    </w:div>
    <w:div w:id="1916041712">
      <w:bodyDiv w:val="1"/>
      <w:marLeft w:val="0"/>
      <w:marRight w:val="0"/>
      <w:marTop w:val="0"/>
      <w:marBottom w:val="0"/>
      <w:divBdr>
        <w:top w:val="none" w:sz="0" w:space="0" w:color="auto"/>
        <w:left w:val="none" w:sz="0" w:space="0" w:color="auto"/>
        <w:bottom w:val="none" w:sz="0" w:space="0" w:color="auto"/>
        <w:right w:val="none" w:sz="0" w:space="0" w:color="auto"/>
      </w:divBdr>
    </w:div>
    <w:div w:id="1917741831">
      <w:bodyDiv w:val="1"/>
      <w:marLeft w:val="0"/>
      <w:marRight w:val="0"/>
      <w:marTop w:val="0"/>
      <w:marBottom w:val="0"/>
      <w:divBdr>
        <w:top w:val="none" w:sz="0" w:space="0" w:color="auto"/>
        <w:left w:val="none" w:sz="0" w:space="0" w:color="auto"/>
        <w:bottom w:val="none" w:sz="0" w:space="0" w:color="auto"/>
        <w:right w:val="none" w:sz="0" w:space="0" w:color="auto"/>
      </w:divBdr>
    </w:div>
    <w:div w:id="2009743983">
      <w:bodyDiv w:val="1"/>
      <w:marLeft w:val="0"/>
      <w:marRight w:val="0"/>
      <w:marTop w:val="0"/>
      <w:marBottom w:val="0"/>
      <w:divBdr>
        <w:top w:val="none" w:sz="0" w:space="0" w:color="auto"/>
        <w:left w:val="none" w:sz="0" w:space="0" w:color="auto"/>
        <w:bottom w:val="none" w:sz="0" w:space="0" w:color="auto"/>
        <w:right w:val="none" w:sz="0" w:space="0" w:color="auto"/>
      </w:divBdr>
    </w:div>
    <w:div w:id="2019114876">
      <w:bodyDiv w:val="1"/>
      <w:marLeft w:val="0"/>
      <w:marRight w:val="0"/>
      <w:marTop w:val="0"/>
      <w:marBottom w:val="0"/>
      <w:divBdr>
        <w:top w:val="none" w:sz="0" w:space="0" w:color="auto"/>
        <w:left w:val="none" w:sz="0" w:space="0" w:color="auto"/>
        <w:bottom w:val="none" w:sz="0" w:space="0" w:color="auto"/>
        <w:right w:val="none" w:sz="0" w:space="0" w:color="auto"/>
      </w:divBdr>
    </w:div>
    <w:div w:id="2090688980">
      <w:bodyDiv w:val="1"/>
      <w:marLeft w:val="0"/>
      <w:marRight w:val="0"/>
      <w:marTop w:val="0"/>
      <w:marBottom w:val="0"/>
      <w:divBdr>
        <w:top w:val="none" w:sz="0" w:space="0" w:color="auto"/>
        <w:left w:val="none" w:sz="0" w:space="0" w:color="auto"/>
        <w:bottom w:val="none" w:sz="0" w:space="0" w:color="auto"/>
        <w:right w:val="none" w:sz="0" w:space="0" w:color="auto"/>
      </w:divBdr>
    </w:div>
    <w:div w:id="211867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Template>
  <TotalTime>28</TotalTime>
  <Pages>11</Pages>
  <Words>3574</Words>
  <Characters>20800</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2021021180 var 21 - opdat iht ref.præparatet + engelske tekster</dc:description>
  <cp:lastModifiedBy>Hanne Thy Iversen</cp:lastModifiedBy>
  <cp:revision>14</cp:revision>
  <cp:lastPrinted>2006-02-24T09:31:00Z</cp:lastPrinted>
  <dcterms:created xsi:type="dcterms:W3CDTF">2022-07-18T08:18:00Z</dcterms:created>
  <dcterms:modified xsi:type="dcterms:W3CDTF">2022-07-18T08:46:00Z</dcterms:modified>
</cp:coreProperties>
</file>