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F1F52" w14:textId="77777777" w:rsidR="009260DE" w:rsidRPr="00380D3E" w:rsidRDefault="0021526C" w:rsidP="009260DE">
      <w:pPr>
        <w:rPr>
          <w:sz w:val="24"/>
          <w:szCs w:val="24"/>
        </w:rPr>
      </w:pPr>
      <w:bookmarkStart w:id="0" w:name="_GoBack"/>
      <w:bookmarkEnd w:id="0"/>
      <w:r w:rsidRPr="00380D3E">
        <w:rPr>
          <w:noProof/>
          <w:sz w:val="24"/>
          <w:szCs w:val="24"/>
          <w:lang w:eastAsia="da-DK"/>
        </w:rPr>
        <w:drawing>
          <wp:anchor distT="0" distB="0" distL="114300" distR="114300" simplePos="0" relativeHeight="251658240" behindDoc="0" locked="0" layoutInCell="1" allowOverlap="1" wp14:anchorId="30FF06A2" wp14:editId="42AE4088">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380D3E">
        <w:rPr>
          <w:sz w:val="24"/>
          <w:szCs w:val="24"/>
        </w:rPr>
        <w:br w:type="textWrapping" w:clear="all"/>
      </w:r>
    </w:p>
    <w:p w14:paraId="233E4BDC" w14:textId="74D48EE2" w:rsidR="009260DE" w:rsidRPr="00380D3E" w:rsidRDefault="009260DE" w:rsidP="009260DE">
      <w:pPr>
        <w:pStyle w:val="Titel"/>
        <w:tabs>
          <w:tab w:val="right" w:pos="9356"/>
        </w:tabs>
        <w:jc w:val="left"/>
        <w:rPr>
          <w:b w:val="0"/>
          <w:szCs w:val="24"/>
          <w:lang w:eastAsia="en-US"/>
        </w:rPr>
      </w:pPr>
      <w:r w:rsidRPr="00380D3E">
        <w:rPr>
          <w:b w:val="0"/>
          <w:szCs w:val="24"/>
          <w:lang w:eastAsia="en-US"/>
        </w:rPr>
        <w:tab/>
      </w:r>
      <w:r w:rsidR="009C5B2F">
        <w:rPr>
          <w:szCs w:val="24"/>
        </w:rPr>
        <w:t>19. december 2025</w:t>
      </w:r>
    </w:p>
    <w:p w14:paraId="27F0EF1F" w14:textId="77777777" w:rsidR="009260DE" w:rsidRPr="00380D3E" w:rsidRDefault="009260DE" w:rsidP="009260DE">
      <w:pPr>
        <w:pStyle w:val="Titel"/>
        <w:tabs>
          <w:tab w:val="left" w:pos="8222"/>
        </w:tabs>
        <w:jc w:val="left"/>
        <w:rPr>
          <w:b w:val="0"/>
          <w:szCs w:val="24"/>
        </w:rPr>
      </w:pPr>
    </w:p>
    <w:p w14:paraId="61123494" w14:textId="77777777" w:rsidR="009260DE" w:rsidRPr="00380D3E" w:rsidRDefault="009260DE" w:rsidP="009260DE">
      <w:pPr>
        <w:pStyle w:val="Titel"/>
        <w:jc w:val="left"/>
        <w:rPr>
          <w:b w:val="0"/>
          <w:szCs w:val="24"/>
        </w:rPr>
      </w:pPr>
    </w:p>
    <w:p w14:paraId="1277F413" w14:textId="77777777" w:rsidR="009260DE" w:rsidRPr="00380D3E" w:rsidRDefault="009260DE" w:rsidP="009260DE">
      <w:pPr>
        <w:pStyle w:val="Titel"/>
        <w:jc w:val="left"/>
        <w:rPr>
          <w:b w:val="0"/>
          <w:szCs w:val="24"/>
        </w:rPr>
      </w:pPr>
    </w:p>
    <w:p w14:paraId="1EDB3C5E" w14:textId="77777777" w:rsidR="009260DE" w:rsidRPr="00380D3E" w:rsidRDefault="009260DE" w:rsidP="009260DE">
      <w:pPr>
        <w:jc w:val="center"/>
        <w:rPr>
          <w:b/>
          <w:sz w:val="24"/>
          <w:szCs w:val="24"/>
        </w:rPr>
      </w:pPr>
      <w:r w:rsidRPr="00380D3E">
        <w:rPr>
          <w:b/>
          <w:sz w:val="24"/>
          <w:szCs w:val="24"/>
        </w:rPr>
        <w:t>PRODUKTRESUMÉ</w:t>
      </w:r>
    </w:p>
    <w:p w14:paraId="5BA7B637" w14:textId="77777777" w:rsidR="009260DE" w:rsidRPr="00380D3E" w:rsidRDefault="009260DE" w:rsidP="009260DE">
      <w:pPr>
        <w:jc w:val="center"/>
        <w:rPr>
          <w:b/>
          <w:sz w:val="24"/>
          <w:szCs w:val="24"/>
        </w:rPr>
      </w:pPr>
    </w:p>
    <w:p w14:paraId="4C06548A" w14:textId="77777777" w:rsidR="009260DE" w:rsidRPr="00380D3E" w:rsidRDefault="009260DE" w:rsidP="009260DE">
      <w:pPr>
        <w:jc w:val="center"/>
        <w:rPr>
          <w:b/>
          <w:sz w:val="24"/>
          <w:szCs w:val="24"/>
        </w:rPr>
      </w:pPr>
      <w:r w:rsidRPr="00380D3E">
        <w:rPr>
          <w:b/>
          <w:sz w:val="24"/>
          <w:szCs w:val="24"/>
        </w:rPr>
        <w:t>for</w:t>
      </w:r>
    </w:p>
    <w:p w14:paraId="29E615F0" w14:textId="77777777" w:rsidR="000B058C" w:rsidRPr="00380D3E" w:rsidRDefault="000B058C" w:rsidP="009260DE">
      <w:pPr>
        <w:jc w:val="center"/>
        <w:rPr>
          <w:b/>
          <w:sz w:val="24"/>
          <w:szCs w:val="24"/>
        </w:rPr>
      </w:pPr>
    </w:p>
    <w:p w14:paraId="7AE46FED" w14:textId="43A2EC04" w:rsidR="009260DE" w:rsidRPr="00380D3E" w:rsidRDefault="00446E45" w:rsidP="009260DE">
      <w:pPr>
        <w:jc w:val="center"/>
        <w:rPr>
          <w:b/>
          <w:sz w:val="24"/>
          <w:szCs w:val="24"/>
        </w:rPr>
      </w:pPr>
      <w:proofErr w:type="spellStart"/>
      <w:r w:rsidRPr="00380D3E">
        <w:rPr>
          <w:b/>
          <w:sz w:val="24"/>
          <w:szCs w:val="24"/>
        </w:rPr>
        <w:t>Macitentan</w:t>
      </w:r>
      <w:proofErr w:type="spellEnd"/>
      <w:r w:rsidRPr="00380D3E">
        <w:rPr>
          <w:b/>
          <w:sz w:val="24"/>
          <w:szCs w:val="24"/>
        </w:rPr>
        <w:t xml:space="preserve"> "Sandoz", filmovertrukne tabletter</w:t>
      </w:r>
    </w:p>
    <w:p w14:paraId="28A6CBD6" w14:textId="77777777" w:rsidR="009260DE" w:rsidRPr="00380D3E" w:rsidRDefault="009260DE" w:rsidP="009260DE">
      <w:pPr>
        <w:jc w:val="both"/>
        <w:rPr>
          <w:sz w:val="24"/>
          <w:szCs w:val="24"/>
        </w:rPr>
      </w:pPr>
    </w:p>
    <w:p w14:paraId="21E6AA95" w14:textId="77777777" w:rsidR="009260DE" w:rsidRPr="00380D3E" w:rsidRDefault="009260DE" w:rsidP="009260DE">
      <w:pPr>
        <w:jc w:val="both"/>
        <w:rPr>
          <w:sz w:val="24"/>
          <w:szCs w:val="24"/>
        </w:rPr>
      </w:pPr>
    </w:p>
    <w:p w14:paraId="292AE7CD" w14:textId="77777777" w:rsidR="009260DE" w:rsidRPr="00380D3E" w:rsidRDefault="009260DE" w:rsidP="009260DE">
      <w:pPr>
        <w:tabs>
          <w:tab w:val="left" w:pos="851"/>
        </w:tabs>
        <w:ind w:left="851" w:hanging="851"/>
        <w:rPr>
          <w:b/>
          <w:sz w:val="24"/>
          <w:szCs w:val="24"/>
        </w:rPr>
      </w:pPr>
      <w:r w:rsidRPr="00380D3E">
        <w:rPr>
          <w:b/>
          <w:sz w:val="24"/>
          <w:szCs w:val="24"/>
        </w:rPr>
        <w:t>0.</w:t>
      </w:r>
      <w:r w:rsidRPr="00380D3E">
        <w:rPr>
          <w:b/>
          <w:sz w:val="24"/>
          <w:szCs w:val="24"/>
        </w:rPr>
        <w:tab/>
        <w:t>D.SP.NR.</w:t>
      </w:r>
    </w:p>
    <w:p w14:paraId="6E0B7CDC" w14:textId="68FAFA7A" w:rsidR="009260DE" w:rsidRPr="00380D3E" w:rsidRDefault="00446E45" w:rsidP="009260DE">
      <w:pPr>
        <w:tabs>
          <w:tab w:val="left" w:pos="851"/>
        </w:tabs>
        <w:ind w:left="851"/>
        <w:rPr>
          <w:sz w:val="24"/>
          <w:szCs w:val="24"/>
        </w:rPr>
      </w:pPr>
      <w:r w:rsidRPr="00380D3E">
        <w:rPr>
          <w:sz w:val="24"/>
          <w:szCs w:val="24"/>
        </w:rPr>
        <w:t>34003</w:t>
      </w:r>
    </w:p>
    <w:p w14:paraId="49C1F883" w14:textId="77777777" w:rsidR="009260DE" w:rsidRPr="00380D3E" w:rsidRDefault="009260DE" w:rsidP="009260DE">
      <w:pPr>
        <w:tabs>
          <w:tab w:val="left" w:pos="851"/>
        </w:tabs>
        <w:ind w:left="851"/>
        <w:rPr>
          <w:sz w:val="24"/>
          <w:szCs w:val="24"/>
        </w:rPr>
      </w:pPr>
    </w:p>
    <w:p w14:paraId="31678558" w14:textId="77777777" w:rsidR="009260DE" w:rsidRPr="00380D3E" w:rsidRDefault="009260DE" w:rsidP="009260DE">
      <w:pPr>
        <w:tabs>
          <w:tab w:val="left" w:pos="851"/>
        </w:tabs>
        <w:ind w:left="851" w:hanging="851"/>
        <w:rPr>
          <w:b/>
          <w:sz w:val="24"/>
          <w:szCs w:val="24"/>
        </w:rPr>
      </w:pPr>
      <w:r w:rsidRPr="00380D3E">
        <w:rPr>
          <w:b/>
          <w:sz w:val="24"/>
          <w:szCs w:val="24"/>
        </w:rPr>
        <w:t>1.</w:t>
      </w:r>
      <w:r w:rsidRPr="00380D3E">
        <w:rPr>
          <w:b/>
          <w:sz w:val="24"/>
          <w:szCs w:val="24"/>
        </w:rPr>
        <w:tab/>
        <w:t>LÆGEMIDLETS NAVN</w:t>
      </w:r>
    </w:p>
    <w:p w14:paraId="6B734CF2" w14:textId="7E18C4CD" w:rsidR="009260DE" w:rsidRPr="00380D3E" w:rsidRDefault="00446E45" w:rsidP="009260DE">
      <w:pPr>
        <w:tabs>
          <w:tab w:val="left" w:pos="851"/>
        </w:tabs>
        <w:ind w:left="851"/>
        <w:rPr>
          <w:sz w:val="24"/>
          <w:szCs w:val="24"/>
        </w:rPr>
      </w:pPr>
      <w:proofErr w:type="spellStart"/>
      <w:r w:rsidRPr="00380D3E">
        <w:rPr>
          <w:sz w:val="24"/>
          <w:szCs w:val="24"/>
        </w:rPr>
        <w:t>Macitentan</w:t>
      </w:r>
      <w:proofErr w:type="spellEnd"/>
      <w:r w:rsidRPr="00380D3E">
        <w:rPr>
          <w:sz w:val="24"/>
          <w:szCs w:val="24"/>
        </w:rPr>
        <w:t xml:space="preserve"> "Sandoz"</w:t>
      </w:r>
    </w:p>
    <w:p w14:paraId="415BC0CC" w14:textId="77777777" w:rsidR="009260DE" w:rsidRPr="00380D3E" w:rsidRDefault="009260DE" w:rsidP="009260DE">
      <w:pPr>
        <w:tabs>
          <w:tab w:val="left" w:pos="851"/>
        </w:tabs>
        <w:ind w:left="851"/>
        <w:rPr>
          <w:sz w:val="24"/>
          <w:szCs w:val="24"/>
        </w:rPr>
      </w:pPr>
    </w:p>
    <w:p w14:paraId="780026B3" w14:textId="77777777" w:rsidR="009260DE" w:rsidRPr="00380D3E" w:rsidRDefault="009260DE" w:rsidP="009260DE">
      <w:pPr>
        <w:tabs>
          <w:tab w:val="left" w:pos="851"/>
        </w:tabs>
        <w:ind w:left="851" w:hanging="851"/>
        <w:rPr>
          <w:b/>
          <w:sz w:val="24"/>
          <w:szCs w:val="24"/>
        </w:rPr>
      </w:pPr>
      <w:r w:rsidRPr="00380D3E">
        <w:rPr>
          <w:b/>
          <w:sz w:val="24"/>
          <w:szCs w:val="24"/>
        </w:rPr>
        <w:t>2.</w:t>
      </w:r>
      <w:r w:rsidRPr="00380D3E">
        <w:rPr>
          <w:b/>
          <w:sz w:val="24"/>
          <w:szCs w:val="24"/>
        </w:rPr>
        <w:tab/>
        <w:t>KVALITATIV OG KVANTITATIV SAMMENSÆTNING</w:t>
      </w:r>
    </w:p>
    <w:p w14:paraId="2EBE840B" w14:textId="3A408F9C" w:rsidR="00061CA5" w:rsidRPr="00380D3E" w:rsidRDefault="00061CA5" w:rsidP="008C3804">
      <w:pPr>
        <w:suppressAutoHyphens/>
        <w:ind w:left="851"/>
        <w:rPr>
          <w:sz w:val="24"/>
          <w:szCs w:val="24"/>
        </w:rPr>
      </w:pPr>
      <w:r w:rsidRPr="00380D3E">
        <w:rPr>
          <w:sz w:val="24"/>
          <w:szCs w:val="24"/>
        </w:rPr>
        <w:t>Hver filmovertrukke</w:t>
      </w:r>
      <w:r w:rsidR="00380D3E">
        <w:rPr>
          <w:sz w:val="24"/>
          <w:szCs w:val="24"/>
        </w:rPr>
        <w:t>t</w:t>
      </w:r>
      <w:r w:rsidRPr="00380D3E">
        <w:rPr>
          <w:sz w:val="24"/>
          <w:szCs w:val="24"/>
        </w:rPr>
        <w:t xml:space="preserve"> tablet indeholder 10 mg </w:t>
      </w:r>
      <w:proofErr w:type="spellStart"/>
      <w:r w:rsidRPr="00380D3E">
        <w:rPr>
          <w:sz w:val="24"/>
          <w:szCs w:val="24"/>
        </w:rPr>
        <w:t>macitentan</w:t>
      </w:r>
      <w:proofErr w:type="spellEnd"/>
      <w:r w:rsidRPr="00380D3E">
        <w:rPr>
          <w:sz w:val="24"/>
          <w:szCs w:val="24"/>
        </w:rPr>
        <w:t>.</w:t>
      </w:r>
    </w:p>
    <w:p w14:paraId="5DDC587D" w14:textId="77777777" w:rsidR="00061CA5" w:rsidRPr="00380D3E" w:rsidRDefault="00061CA5" w:rsidP="008C3804">
      <w:pPr>
        <w:suppressAutoHyphens/>
        <w:ind w:left="851"/>
        <w:rPr>
          <w:sz w:val="24"/>
          <w:szCs w:val="24"/>
        </w:rPr>
      </w:pPr>
    </w:p>
    <w:p w14:paraId="693B909E" w14:textId="77777777" w:rsidR="00061CA5" w:rsidRPr="00380D3E" w:rsidRDefault="00061CA5" w:rsidP="008C3804">
      <w:pPr>
        <w:suppressAutoHyphens/>
        <w:ind w:left="851"/>
        <w:rPr>
          <w:sz w:val="24"/>
          <w:szCs w:val="24"/>
          <w:u w:val="single"/>
        </w:rPr>
      </w:pPr>
      <w:r w:rsidRPr="00380D3E">
        <w:rPr>
          <w:sz w:val="24"/>
          <w:szCs w:val="24"/>
          <w:u w:val="single"/>
        </w:rPr>
        <w:t>Hjælpestoffer, som behandleren skal være opmærksom på</w:t>
      </w:r>
    </w:p>
    <w:p w14:paraId="2D27FC1B" w14:textId="38C6A6C0" w:rsidR="00061CA5" w:rsidRPr="00380D3E" w:rsidRDefault="00061CA5" w:rsidP="008C3804">
      <w:pPr>
        <w:suppressAutoHyphens/>
        <w:ind w:left="851"/>
        <w:rPr>
          <w:sz w:val="24"/>
          <w:szCs w:val="24"/>
        </w:rPr>
      </w:pPr>
      <w:r w:rsidRPr="00380D3E">
        <w:rPr>
          <w:sz w:val="24"/>
          <w:szCs w:val="24"/>
        </w:rPr>
        <w:t>Hver filmovertrukke</w:t>
      </w:r>
      <w:r w:rsidR="00380D3E">
        <w:rPr>
          <w:sz w:val="24"/>
          <w:szCs w:val="24"/>
        </w:rPr>
        <w:t>t</w:t>
      </w:r>
      <w:r w:rsidRPr="00380D3E">
        <w:rPr>
          <w:sz w:val="24"/>
          <w:szCs w:val="24"/>
        </w:rPr>
        <w:t xml:space="preserve"> tablet indeholder cirka 44 mg </w:t>
      </w:r>
      <w:proofErr w:type="spellStart"/>
      <w:r w:rsidRPr="00380D3E">
        <w:rPr>
          <w:sz w:val="24"/>
          <w:szCs w:val="24"/>
        </w:rPr>
        <w:t>lactose</w:t>
      </w:r>
      <w:proofErr w:type="spellEnd"/>
      <w:r w:rsidRPr="00380D3E">
        <w:rPr>
          <w:sz w:val="24"/>
          <w:szCs w:val="24"/>
        </w:rPr>
        <w:t xml:space="preserve"> (som monohydrat) og 0,06 mg </w:t>
      </w:r>
      <w:proofErr w:type="spellStart"/>
      <w:r w:rsidRPr="00380D3E">
        <w:rPr>
          <w:sz w:val="24"/>
          <w:szCs w:val="24"/>
        </w:rPr>
        <w:t>sojalecithin</w:t>
      </w:r>
      <w:proofErr w:type="spellEnd"/>
      <w:r w:rsidRPr="00380D3E">
        <w:rPr>
          <w:sz w:val="24"/>
          <w:szCs w:val="24"/>
        </w:rPr>
        <w:t>.</w:t>
      </w:r>
    </w:p>
    <w:p w14:paraId="71FF5133" w14:textId="77777777" w:rsidR="00061CA5" w:rsidRPr="00380D3E" w:rsidRDefault="00061CA5" w:rsidP="008C3804">
      <w:pPr>
        <w:suppressAutoHyphens/>
        <w:ind w:left="851"/>
        <w:rPr>
          <w:sz w:val="24"/>
          <w:szCs w:val="24"/>
        </w:rPr>
      </w:pPr>
    </w:p>
    <w:p w14:paraId="6ADB16F9" w14:textId="77777777" w:rsidR="00061CA5" w:rsidRPr="00380D3E" w:rsidRDefault="00061CA5" w:rsidP="008C3804">
      <w:pPr>
        <w:suppressAutoHyphens/>
        <w:ind w:left="851"/>
        <w:rPr>
          <w:sz w:val="24"/>
          <w:szCs w:val="24"/>
        </w:rPr>
      </w:pPr>
      <w:r w:rsidRPr="00380D3E">
        <w:rPr>
          <w:sz w:val="24"/>
          <w:szCs w:val="24"/>
        </w:rPr>
        <w:t>Alle hjælpestoffer er anført under pkt. 6.1.</w:t>
      </w:r>
    </w:p>
    <w:p w14:paraId="10758153" w14:textId="77777777" w:rsidR="009260DE" w:rsidRPr="00380D3E" w:rsidRDefault="009260DE" w:rsidP="009260DE">
      <w:pPr>
        <w:tabs>
          <w:tab w:val="left" w:pos="851"/>
        </w:tabs>
        <w:ind w:left="851"/>
        <w:rPr>
          <w:sz w:val="24"/>
          <w:szCs w:val="24"/>
        </w:rPr>
      </w:pPr>
    </w:p>
    <w:p w14:paraId="06EF0128" w14:textId="77777777" w:rsidR="009260DE" w:rsidRPr="00380D3E" w:rsidRDefault="009260DE" w:rsidP="009260DE">
      <w:pPr>
        <w:tabs>
          <w:tab w:val="left" w:pos="851"/>
        </w:tabs>
        <w:ind w:left="851" w:hanging="851"/>
        <w:rPr>
          <w:b/>
          <w:sz w:val="24"/>
          <w:szCs w:val="24"/>
        </w:rPr>
      </w:pPr>
      <w:r w:rsidRPr="00380D3E">
        <w:rPr>
          <w:b/>
          <w:sz w:val="24"/>
          <w:szCs w:val="24"/>
        </w:rPr>
        <w:t>3.</w:t>
      </w:r>
      <w:r w:rsidRPr="00380D3E">
        <w:rPr>
          <w:b/>
          <w:sz w:val="24"/>
          <w:szCs w:val="24"/>
        </w:rPr>
        <w:tab/>
        <w:t>LÆGEMIDDELFORM</w:t>
      </w:r>
    </w:p>
    <w:p w14:paraId="651929B4" w14:textId="7562715C" w:rsidR="00061CA5" w:rsidRPr="00380D3E" w:rsidRDefault="00061CA5" w:rsidP="008C3804">
      <w:pPr>
        <w:suppressAutoHyphens/>
        <w:ind w:left="851"/>
        <w:rPr>
          <w:spacing w:val="-3"/>
          <w:sz w:val="24"/>
          <w:szCs w:val="24"/>
        </w:rPr>
      </w:pPr>
      <w:r w:rsidRPr="00380D3E">
        <w:rPr>
          <w:spacing w:val="-3"/>
          <w:sz w:val="24"/>
          <w:szCs w:val="24"/>
        </w:rPr>
        <w:t>Filmovertruk</w:t>
      </w:r>
      <w:r w:rsidR="00380D3E">
        <w:rPr>
          <w:spacing w:val="-3"/>
          <w:sz w:val="24"/>
          <w:szCs w:val="24"/>
        </w:rPr>
        <w:t>ne</w:t>
      </w:r>
      <w:r w:rsidRPr="00380D3E">
        <w:rPr>
          <w:spacing w:val="-3"/>
          <w:sz w:val="24"/>
          <w:szCs w:val="24"/>
        </w:rPr>
        <w:t xml:space="preserve"> tablet</w:t>
      </w:r>
      <w:r w:rsidR="00380D3E">
        <w:rPr>
          <w:spacing w:val="-3"/>
          <w:sz w:val="24"/>
          <w:szCs w:val="24"/>
        </w:rPr>
        <w:t>ter</w:t>
      </w:r>
      <w:r w:rsidRPr="00380D3E">
        <w:rPr>
          <w:spacing w:val="-3"/>
          <w:sz w:val="24"/>
          <w:szCs w:val="24"/>
        </w:rPr>
        <w:t xml:space="preserve"> (tablet</w:t>
      </w:r>
      <w:r w:rsidR="00380D3E">
        <w:rPr>
          <w:spacing w:val="-3"/>
          <w:sz w:val="24"/>
          <w:szCs w:val="24"/>
        </w:rPr>
        <w:t>ter</w:t>
      </w:r>
      <w:r w:rsidRPr="00380D3E">
        <w:rPr>
          <w:spacing w:val="-3"/>
          <w:sz w:val="24"/>
          <w:szCs w:val="24"/>
        </w:rPr>
        <w:t>)</w:t>
      </w:r>
    </w:p>
    <w:p w14:paraId="1161BE74" w14:textId="77777777" w:rsidR="00061CA5" w:rsidRPr="00380D3E" w:rsidRDefault="00061CA5" w:rsidP="008C3804">
      <w:pPr>
        <w:suppressAutoHyphens/>
        <w:ind w:left="851"/>
        <w:rPr>
          <w:spacing w:val="-3"/>
          <w:sz w:val="24"/>
          <w:szCs w:val="24"/>
        </w:rPr>
      </w:pPr>
    </w:p>
    <w:p w14:paraId="6DD4165E" w14:textId="280754F0" w:rsidR="00061CA5" w:rsidRPr="00380D3E" w:rsidRDefault="00061CA5" w:rsidP="008C3804">
      <w:pPr>
        <w:suppressAutoHyphens/>
        <w:ind w:left="851"/>
        <w:rPr>
          <w:spacing w:val="-3"/>
          <w:sz w:val="24"/>
          <w:szCs w:val="24"/>
        </w:rPr>
      </w:pPr>
      <w:r w:rsidRPr="00380D3E">
        <w:rPr>
          <w:spacing w:val="-3"/>
          <w:sz w:val="24"/>
          <w:szCs w:val="24"/>
        </w:rPr>
        <w:t xml:space="preserve">Rund, </w:t>
      </w:r>
      <w:proofErr w:type="spellStart"/>
      <w:r w:rsidRPr="00380D3E">
        <w:rPr>
          <w:spacing w:val="-3"/>
          <w:sz w:val="24"/>
          <w:szCs w:val="24"/>
        </w:rPr>
        <w:t>bikonveks</w:t>
      </w:r>
      <w:proofErr w:type="spellEnd"/>
      <w:r w:rsidRPr="00380D3E">
        <w:rPr>
          <w:spacing w:val="-3"/>
          <w:sz w:val="24"/>
          <w:szCs w:val="24"/>
        </w:rPr>
        <w:t>, hvid til råhvid filmovertrukke</w:t>
      </w:r>
      <w:r w:rsidR="00B73B47">
        <w:rPr>
          <w:spacing w:val="-3"/>
          <w:sz w:val="24"/>
          <w:szCs w:val="24"/>
        </w:rPr>
        <w:t>t</w:t>
      </w:r>
      <w:r w:rsidRPr="00380D3E">
        <w:rPr>
          <w:spacing w:val="-3"/>
          <w:sz w:val="24"/>
          <w:szCs w:val="24"/>
        </w:rPr>
        <w:t xml:space="preserve"> tablet præget med ”L” på den ene side og ”11” på den anden side. Diameteren er ca. 5,4 mm.</w:t>
      </w:r>
    </w:p>
    <w:p w14:paraId="5BFECD84" w14:textId="77777777" w:rsidR="009260DE" w:rsidRPr="00380D3E" w:rsidRDefault="009260DE" w:rsidP="009260DE">
      <w:pPr>
        <w:tabs>
          <w:tab w:val="left" w:pos="851"/>
        </w:tabs>
        <w:ind w:left="851"/>
        <w:rPr>
          <w:sz w:val="24"/>
          <w:szCs w:val="24"/>
        </w:rPr>
      </w:pPr>
    </w:p>
    <w:p w14:paraId="591F382A" w14:textId="77777777" w:rsidR="009260DE" w:rsidRPr="00380D3E" w:rsidRDefault="009260DE" w:rsidP="009260DE">
      <w:pPr>
        <w:tabs>
          <w:tab w:val="left" w:pos="851"/>
        </w:tabs>
        <w:ind w:left="851"/>
        <w:rPr>
          <w:sz w:val="24"/>
          <w:szCs w:val="24"/>
        </w:rPr>
      </w:pPr>
    </w:p>
    <w:p w14:paraId="1DBA7CBA" w14:textId="77777777" w:rsidR="009260DE" w:rsidRPr="00380D3E" w:rsidRDefault="009260DE" w:rsidP="009260DE">
      <w:pPr>
        <w:tabs>
          <w:tab w:val="left" w:pos="851"/>
        </w:tabs>
        <w:ind w:left="851" w:hanging="851"/>
        <w:rPr>
          <w:b/>
          <w:sz w:val="24"/>
          <w:szCs w:val="24"/>
        </w:rPr>
      </w:pPr>
      <w:r w:rsidRPr="00380D3E">
        <w:rPr>
          <w:b/>
          <w:sz w:val="24"/>
          <w:szCs w:val="24"/>
        </w:rPr>
        <w:t>4.</w:t>
      </w:r>
      <w:r w:rsidRPr="00380D3E">
        <w:rPr>
          <w:b/>
          <w:sz w:val="24"/>
          <w:szCs w:val="24"/>
        </w:rPr>
        <w:tab/>
        <w:t>KLINISKE OPLYSNINGER</w:t>
      </w:r>
    </w:p>
    <w:p w14:paraId="164F9A67" w14:textId="77777777" w:rsidR="009260DE" w:rsidRPr="00380D3E" w:rsidRDefault="009260DE" w:rsidP="009260DE">
      <w:pPr>
        <w:tabs>
          <w:tab w:val="left" w:pos="851"/>
        </w:tabs>
        <w:ind w:left="851"/>
        <w:rPr>
          <w:b/>
          <w:sz w:val="24"/>
          <w:szCs w:val="24"/>
        </w:rPr>
      </w:pPr>
    </w:p>
    <w:p w14:paraId="06E3290E" w14:textId="77777777" w:rsidR="009260DE" w:rsidRPr="00380D3E" w:rsidRDefault="009260DE" w:rsidP="009260DE">
      <w:pPr>
        <w:tabs>
          <w:tab w:val="left" w:pos="851"/>
        </w:tabs>
        <w:ind w:left="851" w:hanging="851"/>
        <w:rPr>
          <w:b/>
          <w:sz w:val="24"/>
          <w:szCs w:val="24"/>
          <w:u w:val="single"/>
        </w:rPr>
      </w:pPr>
      <w:r w:rsidRPr="00380D3E">
        <w:rPr>
          <w:b/>
          <w:sz w:val="24"/>
          <w:szCs w:val="24"/>
        </w:rPr>
        <w:t>4.1</w:t>
      </w:r>
      <w:r w:rsidRPr="00380D3E">
        <w:rPr>
          <w:b/>
          <w:sz w:val="24"/>
          <w:szCs w:val="24"/>
        </w:rPr>
        <w:tab/>
        <w:t>Terapeutiske indikationer</w:t>
      </w:r>
    </w:p>
    <w:p w14:paraId="1117D05C" w14:textId="77777777" w:rsidR="00380D3E" w:rsidRDefault="00380D3E" w:rsidP="008C3804">
      <w:pPr>
        <w:ind w:left="851"/>
        <w:rPr>
          <w:sz w:val="24"/>
          <w:szCs w:val="24"/>
          <w:u w:val="single"/>
        </w:rPr>
      </w:pPr>
    </w:p>
    <w:p w14:paraId="2D425516" w14:textId="5CA3C05E" w:rsidR="00061CA5" w:rsidRPr="00380D3E" w:rsidRDefault="00061CA5" w:rsidP="008C3804">
      <w:pPr>
        <w:ind w:left="851"/>
        <w:rPr>
          <w:sz w:val="24"/>
          <w:szCs w:val="24"/>
          <w:u w:val="single"/>
        </w:rPr>
      </w:pPr>
      <w:r w:rsidRPr="00380D3E">
        <w:rPr>
          <w:sz w:val="24"/>
          <w:szCs w:val="24"/>
          <w:u w:val="single"/>
        </w:rPr>
        <w:t>Voksne</w:t>
      </w:r>
    </w:p>
    <w:p w14:paraId="64C6F96B" w14:textId="6764593E" w:rsidR="00061CA5" w:rsidRPr="00380D3E" w:rsidRDefault="00061CA5" w:rsidP="008C3804">
      <w:pPr>
        <w:ind w:left="851"/>
        <w:rPr>
          <w:sz w:val="24"/>
          <w:szCs w:val="24"/>
        </w:rPr>
      </w:pPr>
      <w:proofErr w:type="spellStart"/>
      <w:r w:rsidRPr="00380D3E">
        <w:rPr>
          <w:sz w:val="24"/>
          <w:szCs w:val="24"/>
        </w:rPr>
        <w:t>Macitentan</w:t>
      </w:r>
      <w:proofErr w:type="spellEnd"/>
      <w:r w:rsidRPr="00380D3E">
        <w:rPr>
          <w:sz w:val="24"/>
          <w:szCs w:val="24"/>
        </w:rPr>
        <w:t xml:space="preserve"> </w:t>
      </w:r>
      <w:r w:rsidR="007D7859">
        <w:rPr>
          <w:sz w:val="24"/>
          <w:szCs w:val="24"/>
        </w:rPr>
        <w:t>"Sandoz"</w:t>
      </w:r>
      <w:r w:rsidRPr="00380D3E">
        <w:rPr>
          <w:sz w:val="24"/>
          <w:szCs w:val="24"/>
        </w:rPr>
        <w:t xml:space="preserve"> er indiceret som monoterapi eller i kombination med andre lægemidler til langvarig behandling af </w:t>
      </w:r>
      <w:proofErr w:type="spellStart"/>
      <w:r w:rsidRPr="00380D3E">
        <w:rPr>
          <w:sz w:val="24"/>
          <w:szCs w:val="24"/>
        </w:rPr>
        <w:t>pulmonal</w:t>
      </w:r>
      <w:proofErr w:type="spellEnd"/>
      <w:r w:rsidRPr="00380D3E">
        <w:rPr>
          <w:sz w:val="24"/>
          <w:szCs w:val="24"/>
        </w:rPr>
        <w:t xml:space="preserve"> arteriel hypertension (PAH) hos voksne patienter i WHO-funktionsklasse II eller III (se pkt. 5.1).</w:t>
      </w:r>
    </w:p>
    <w:p w14:paraId="405B6233" w14:textId="77777777" w:rsidR="00061CA5" w:rsidRPr="00380D3E" w:rsidRDefault="00061CA5" w:rsidP="008C3804">
      <w:pPr>
        <w:ind w:left="851"/>
        <w:rPr>
          <w:sz w:val="24"/>
          <w:szCs w:val="24"/>
        </w:rPr>
      </w:pPr>
    </w:p>
    <w:p w14:paraId="0CD320B0" w14:textId="77777777" w:rsidR="00061CA5" w:rsidRPr="00380D3E" w:rsidRDefault="00061CA5" w:rsidP="008C3804">
      <w:pPr>
        <w:ind w:left="851"/>
        <w:rPr>
          <w:sz w:val="24"/>
          <w:szCs w:val="24"/>
          <w:u w:val="single"/>
        </w:rPr>
      </w:pPr>
      <w:r w:rsidRPr="00380D3E">
        <w:rPr>
          <w:sz w:val="24"/>
          <w:szCs w:val="24"/>
          <w:u w:val="single"/>
        </w:rPr>
        <w:t>Pædiatrisk population</w:t>
      </w:r>
    </w:p>
    <w:p w14:paraId="1A99B178" w14:textId="6A77A2DB" w:rsidR="00061CA5" w:rsidRPr="00380D3E" w:rsidRDefault="00061CA5" w:rsidP="008C3804">
      <w:pPr>
        <w:ind w:left="851"/>
        <w:rPr>
          <w:sz w:val="24"/>
          <w:szCs w:val="24"/>
        </w:rPr>
      </w:pPr>
      <w:proofErr w:type="spellStart"/>
      <w:r w:rsidRPr="00380D3E">
        <w:rPr>
          <w:sz w:val="24"/>
          <w:szCs w:val="24"/>
        </w:rPr>
        <w:t>Macitentan</w:t>
      </w:r>
      <w:proofErr w:type="spellEnd"/>
      <w:r w:rsidRPr="00380D3E">
        <w:rPr>
          <w:sz w:val="24"/>
          <w:szCs w:val="24"/>
        </w:rPr>
        <w:t xml:space="preserve"> </w:t>
      </w:r>
      <w:r w:rsidR="007D7859">
        <w:rPr>
          <w:sz w:val="24"/>
          <w:szCs w:val="24"/>
        </w:rPr>
        <w:t>"Sandoz"</w:t>
      </w:r>
      <w:r w:rsidRPr="00380D3E">
        <w:rPr>
          <w:sz w:val="24"/>
          <w:szCs w:val="24"/>
        </w:rPr>
        <w:t xml:space="preserve"> er indiceret som monoterapi eller i kombination med andre lægemidler til langvarig behandling af </w:t>
      </w:r>
      <w:proofErr w:type="spellStart"/>
      <w:r w:rsidRPr="00380D3E">
        <w:rPr>
          <w:sz w:val="24"/>
          <w:szCs w:val="24"/>
        </w:rPr>
        <w:t>pulmonal</w:t>
      </w:r>
      <w:proofErr w:type="spellEnd"/>
      <w:r w:rsidRPr="00380D3E">
        <w:rPr>
          <w:sz w:val="24"/>
          <w:szCs w:val="24"/>
        </w:rPr>
        <w:t xml:space="preserve"> arteriel hypertension (PAH) hos </w:t>
      </w:r>
      <w:r w:rsidRPr="00380D3E">
        <w:rPr>
          <w:sz w:val="24"/>
          <w:szCs w:val="24"/>
        </w:rPr>
        <w:lastRenderedPageBreak/>
        <w:t>pædiatriske patienter under 18 år med en legemsvægt ≥ 40 kg i WHO-funktionsklasse II eller III (se pkt. 5.1).</w:t>
      </w:r>
    </w:p>
    <w:p w14:paraId="54654A43" w14:textId="77777777" w:rsidR="009260DE" w:rsidRPr="00380D3E" w:rsidRDefault="009260DE" w:rsidP="009260DE">
      <w:pPr>
        <w:tabs>
          <w:tab w:val="left" w:pos="851"/>
        </w:tabs>
        <w:ind w:left="851"/>
        <w:rPr>
          <w:sz w:val="24"/>
          <w:szCs w:val="24"/>
        </w:rPr>
      </w:pPr>
    </w:p>
    <w:p w14:paraId="4CDED29E" w14:textId="77777777" w:rsidR="009260DE" w:rsidRPr="00380D3E" w:rsidRDefault="009260DE" w:rsidP="009260DE">
      <w:pPr>
        <w:tabs>
          <w:tab w:val="left" w:pos="851"/>
        </w:tabs>
        <w:ind w:left="851" w:hanging="851"/>
        <w:rPr>
          <w:b/>
          <w:sz w:val="24"/>
          <w:szCs w:val="24"/>
        </w:rPr>
      </w:pPr>
      <w:r w:rsidRPr="00380D3E">
        <w:rPr>
          <w:b/>
          <w:sz w:val="24"/>
          <w:szCs w:val="24"/>
        </w:rPr>
        <w:t>4.2</w:t>
      </w:r>
      <w:r w:rsidRPr="00380D3E">
        <w:rPr>
          <w:b/>
          <w:sz w:val="24"/>
          <w:szCs w:val="24"/>
        </w:rPr>
        <w:tab/>
        <w:t xml:space="preserve">Dosering og </w:t>
      </w:r>
      <w:r w:rsidR="002C1EC0" w:rsidRPr="00380D3E">
        <w:rPr>
          <w:b/>
          <w:sz w:val="24"/>
          <w:szCs w:val="24"/>
        </w:rPr>
        <w:t>administration</w:t>
      </w:r>
    </w:p>
    <w:p w14:paraId="02582F9E" w14:textId="77777777" w:rsidR="00061CA5" w:rsidRPr="00380D3E" w:rsidRDefault="00061CA5" w:rsidP="008C3804">
      <w:pPr>
        <w:ind w:left="851"/>
        <w:rPr>
          <w:noProof/>
          <w:sz w:val="24"/>
          <w:szCs w:val="24"/>
        </w:rPr>
      </w:pPr>
      <w:r w:rsidRPr="00380D3E">
        <w:rPr>
          <w:noProof/>
          <w:sz w:val="24"/>
          <w:szCs w:val="24"/>
        </w:rPr>
        <w:t>Behandlingen bør kun indledes og monitoreres af en læge med erfaring i behandling af PAH.</w:t>
      </w:r>
    </w:p>
    <w:p w14:paraId="0C277899" w14:textId="77777777" w:rsidR="00061CA5" w:rsidRPr="00380D3E" w:rsidRDefault="00061CA5" w:rsidP="008C3804">
      <w:pPr>
        <w:ind w:left="851"/>
        <w:rPr>
          <w:noProof/>
          <w:sz w:val="24"/>
          <w:szCs w:val="24"/>
        </w:rPr>
      </w:pPr>
    </w:p>
    <w:p w14:paraId="614A41E6" w14:textId="77777777" w:rsidR="00061CA5" w:rsidRPr="00380D3E" w:rsidRDefault="00061CA5" w:rsidP="008C3804">
      <w:pPr>
        <w:ind w:left="851"/>
        <w:rPr>
          <w:noProof/>
          <w:sz w:val="24"/>
          <w:szCs w:val="24"/>
          <w:u w:val="single"/>
        </w:rPr>
      </w:pPr>
      <w:r w:rsidRPr="00380D3E">
        <w:rPr>
          <w:noProof/>
          <w:sz w:val="24"/>
          <w:szCs w:val="24"/>
          <w:u w:val="single"/>
        </w:rPr>
        <w:t>Dosering</w:t>
      </w:r>
    </w:p>
    <w:p w14:paraId="78CF0DDA" w14:textId="77777777" w:rsidR="00061CA5" w:rsidRPr="00380D3E" w:rsidRDefault="00061CA5" w:rsidP="008C3804">
      <w:pPr>
        <w:ind w:left="851"/>
        <w:rPr>
          <w:noProof/>
          <w:sz w:val="24"/>
          <w:szCs w:val="24"/>
          <w:u w:val="single"/>
        </w:rPr>
      </w:pPr>
    </w:p>
    <w:p w14:paraId="3A535809" w14:textId="77777777" w:rsidR="00061CA5" w:rsidRPr="00380D3E" w:rsidRDefault="00061CA5" w:rsidP="008C3804">
      <w:pPr>
        <w:ind w:left="851"/>
        <w:rPr>
          <w:i/>
          <w:iCs/>
          <w:noProof/>
          <w:sz w:val="24"/>
          <w:szCs w:val="24"/>
          <w:u w:val="single"/>
        </w:rPr>
      </w:pPr>
      <w:r w:rsidRPr="00380D3E">
        <w:rPr>
          <w:i/>
          <w:iCs/>
          <w:noProof/>
          <w:sz w:val="24"/>
          <w:szCs w:val="24"/>
          <w:u w:val="single"/>
        </w:rPr>
        <w:t>Voksne og pædiatriske patienter under 18 år med en legemsvægt på mindst 40 kg</w:t>
      </w:r>
    </w:p>
    <w:p w14:paraId="2A652437" w14:textId="0B584353" w:rsidR="00061CA5" w:rsidRPr="00380D3E" w:rsidRDefault="00061CA5" w:rsidP="008C3804">
      <w:pPr>
        <w:ind w:left="851"/>
        <w:rPr>
          <w:noProof/>
          <w:sz w:val="24"/>
          <w:szCs w:val="24"/>
        </w:rPr>
      </w:pPr>
      <w:r w:rsidRPr="00380D3E">
        <w:rPr>
          <w:noProof/>
          <w:sz w:val="24"/>
          <w:szCs w:val="24"/>
        </w:rPr>
        <w:t xml:space="preserve">Den anbefalede dosis er 10 mg én gang dagligt. Macitentan </w:t>
      </w:r>
      <w:r w:rsidR="007D7859">
        <w:rPr>
          <w:noProof/>
          <w:sz w:val="24"/>
          <w:szCs w:val="24"/>
        </w:rPr>
        <w:t>"Sandoz"</w:t>
      </w:r>
      <w:r w:rsidRPr="00380D3E">
        <w:rPr>
          <w:noProof/>
          <w:sz w:val="24"/>
          <w:szCs w:val="24"/>
        </w:rPr>
        <w:t xml:space="preserve"> skal tages hver dag på cirka samme tidspunkt.</w:t>
      </w:r>
    </w:p>
    <w:p w14:paraId="052B2EBF" w14:textId="77777777" w:rsidR="00061CA5" w:rsidRPr="00380D3E" w:rsidRDefault="00061CA5" w:rsidP="008C3804">
      <w:pPr>
        <w:ind w:left="851"/>
        <w:rPr>
          <w:noProof/>
          <w:sz w:val="24"/>
          <w:szCs w:val="24"/>
        </w:rPr>
      </w:pPr>
    </w:p>
    <w:p w14:paraId="64AD03EA" w14:textId="3D44E3C6" w:rsidR="00061CA5" w:rsidRPr="00380D3E" w:rsidRDefault="00061CA5" w:rsidP="008C3804">
      <w:pPr>
        <w:ind w:left="851"/>
        <w:rPr>
          <w:noProof/>
          <w:sz w:val="24"/>
          <w:szCs w:val="24"/>
        </w:rPr>
      </w:pPr>
      <w:r w:rsidRPr="00380D3E">
        <w:rPr>
          <w:noProof/>
          <w:sz w:val="24"/>
          <w:szCs w:val="24"/>
        </w:rPr>
        <w:t xml:space="preserve">Hvis patienten glemmer en dosis af Macitentan </w:t>
      </w:r>
      <w:r w:rsidR="007D7859">
        <w:rPr>
          <w:noProof/>
          <w:sz w:val="24"/>
          <w:szCs w:val="24"/>
        </w:rPr>
        <w:t>"Sandoz"</w:t>
      </w:r>
      <w:r w:rsidRPr="00380D3E">
        <w:rPr>
          <w:noProof/>
          <w:sz w:val="24"/>
          <w:szCs w:val="24"/>
        </w:rPr>
        <w:t>, instrueres patienten i at tage den så hurtigt som muligt og derefter tage den næste dosis på det sædvanlige tidspunkt. Patienten skal have besked på ikke at tage to doser på samme tid, hvis en dosis er glemt.</w:t>
      </w:r>
    </w:p>
    <w:p w14:paraId="5C7C207E" w14:textId="77777777" w:rsidR="00061CA5" w:rsidRPr="00380D3E" w:rsidRDefault="00061CA5" w:rsidP="008C3804">
      <w:pPr>
        <w:ind w:left="851"/>
        <w:rPr>
          <w:noProof/>
          <w:sz w:val="24"/>
          <w:szCs w:val="24"/>
        </w:rPr>
      </w:pPr>
    </w:p>
    <w:p w14:paraId="20F75E9D" w14:textId="77777777" w:rsidR="00061CA5" w:rsidRPr="00380D3E" w:rsidRDefault="00061CA5" w:rsidP="008C3804">
      <w:pPr>
        <w:ind w:left="851"/>
        <w:rPr>
          <w:noProof/>
          <w:sz w:val="24"/>
          <w:szCs w:val="24"/>
          <w:u w:val="single"/>
        </w:rPr>
      </w:pPr>
      <w:r w:rsidRPr="00380D3E">
        <w:rPr>
          <w:noProof/>
          <w:sz w:val="24"/>
          <w:szCs w:val="24"/>
        </w:rPr>
        <w:t>De 10 mg filmovertrukne tabletter anbefales kun til pædiatriske patienter, der vejer mindst 40 kg. Til pædiatriske patienter, der vejer mindre end 40 kg, findes der macitentan dispergible tabletter med en lavere styrke under andre mærkenavne.</w:t>
      </w:r>
    </w:p>
    <w:p w14:paraId="4CF56289" w14:textId="77777777" w:rsidR="00061CA5" w:rsidRPr="00380D3E" w:rsidRDefault="00061CA5" w:rsidP="008C3804">
      <w:pPr>
        <w:ind w:left="851"/>
        <w:rPr>
          <w:noProof/>
          <w:sz w:val="24"/>
          <w:szCs w:val="24"/>
        </w:rPr>
      </w:pPr>
    </w:p>
    <w:p w14:paraId="7CD1EFC4" w14:textId="77777777" w:rsidR="00061CA5" w:rsidRPr="00380D3E" w:rsidRDefault="00061CA5" w:rsidP="008C3804">
      <w:pPr>
        <w:ind w:left="851"/>
        <w:rPr>
          <w:noProof/>
          <w:sz w:val="24"/>
          <w:szCs w:val="24"/>
          <w:u w:val="single"/>
        </w:rPr>
      </w:pPr>
      <w:r w:rsidRPr="00380D3E">
        <w:rPr>
          <w:noProof/>
          <w:sz w:val="24"/>
          <w:szCs w:val="24"/>
          <w:u w:val="single"/>
        </w:rPr>
        <w:t>Særlige populationer</w:t>
      </w:r>
    </w:p>
    <w:p w14:paraId="1CE835C8" w14:textId="77777777" w:rsidR="00061CA5" w:rsidRPr="00380D3E" w:rsidRDefault="00061CA5" w:rsidP="008C3804">
      <w:pPr>
        <w:ind w:left="851"/>
        <w:rPr>
          <w:noProof/>
          <w:sz w:val="24"/>
          <w:szCs w:val="24"/>
          <w:u w:val="single"/>
        </w:rPr>
      </w:pPr>
    </w:p>
    <w:p w14:paraId="1363EBA3" w14:textId="77777777" w:rsidR="00061CA5" w:rsidRPr="00380D3E" w:rsidRDefault="00061CA5" w:rsidP="008C3804">
      <w:pPr>
        <w:ind w:left="851"/>
        <w:rPr>
          <w:i/>
          <w:iCs/>
          <w:noProof/>
          <w:sz w:val="24"/>
          <w:szCs w:val="24"/>
        </w:rPr>
      </w:pPr>
      <w:r w:rsidRPr="00380D3E">
        <w:rPr>
          <w:i/>
          <w:iCs/>
          <w:noProof/>
          <w:sz w:val="24"/>
          <w:szCs w:val="24"/>
        </w:rPr>
        <w:t>Ældre</w:t>
      </w:r>
    </w:p>
    <w:p w14:paraId="7B53859B" w14:textId="77777777" w:rsidR="00061CA5" w:rsidRPr="00380D3E" w:rsidRDefault="00061CA5" w:rsidP="008C3804">
      <w:pPr>
        <w:ind w:left="851"/>
        <w:rPr>
          <w:noProof/>
          <w:sz w:val="24"/>
          <w:szCs w:val="24"/>
        </w:rPr>
      </w:pPr>
      <w:r w:rsidRPr="00380D3E">
        <w:rPr>
          <w:noProof/>
          <w:sz w:val="24"/>
          <w:szCs w:val="24"/>
        </w:rPr>
        <w:t>Det er ikke nødvendigt at justere dosis hos patienter over 65 år (se pkt. 5.2).</w:t>
      </w:r>
    </w:p>
    <w:p w14:paraId="4E3990C1" w14:textId="77777777" w:rsidR="00061CA5" w:rsidRPr="00380D3E" w:rsidRDefault="00061CA5" w:rsidP="008C3804">
      <w:pPr>
        <w:ind w:left="851"/>
        <w:rPr>
          <w:noProof/>
          <w:sz w:val="24"/>
          <w:szCs w:val="24"/>
        </w:rPr>
      </w:pPr>
    </w:p>
    <w:p w14:paraId="11732949" w14:textId="77777777" w:rsidR="00061CA5" w:rsidRPr="00380D3E" w:rsidRDefault="00061CA5" w:rsidP="008C3804">
      <w:pPr>
        <w:ind w:left="851"/>
        <w:rPr>
          <w:i/>
          <w:iCs/>
          <w:noProof/>
          <w:sz w:val="24"/>
          <w:szCs w:val="24"/>
        </w:rPr>
      </w:pPr>
      <w:r w:rsidRPr="00380D3E">
        <w:rPr>
          <w:i/>
          <w:iCs/>
          <w:noProof/>
          <w:sz w:val="24"/>
          <w:szCs w:val="24"/>
        </w:rPr>
        <w:t>Nedsat leverfunktion</w:t>
      </w:r>
    </w:p>
    <w:p w14:paraId="0A03A1F3" w14:textId="1B1C595B" w:rsidR="00061CA5" w:rsidRPr="00380D3E" w:rsidRDefault="00061CA5" w:rsidP="008C3804">
      <w:pPr>
        <w:ind w:left="851"/>
        <w:rPr>
          <w:noProof/>
          <w:sz w:val="24"/>
          <w:szCs w:val="24"/>
        </w:rPr>
      </w:pPr>
      <w:r w:rsidRPr="00380D3E">
        <w:rPr>
          <w:noProof/>
          <w:sz w:val="24"/>
          <w:szCs w:val="24"/>
        </w:rPr>
        <w:t xml:space="preserve">Baseret på farmakokinetiske data er det ikke nødvendigt at justere dosis hos patienter med mild, moderat eller svær leverinsufficiens (se pkt. 4.4 og 5.2). Der er imidlertid ingen klinisk erfaring med brug af macitentan hos PAH-patienter med moderat eller svær leverinsufficiens. Macitentan </w:t>
      </w:r>
      <w:r w:rsidR="007D7859">
        <w:rPr>
          <w:noProof/>
          <w:sz w:val="24"/>
          <w:szCs w:val="24"/>
        </w:rPr>
        <w:t>"Sandoz"</w:t>
      </w:r>
      <w:r w:rsidRPr="00380D3E">
        <w:rPr>
          <w:noProof/>
          <w:sz w:val="24"/>
          <w:szCs w:val="24"/>
        </w:rPr>
        <w:t xml:space="preserve"> må ikke påbegyndes hos patienter med svær leverinsufficiens eller klinisk signifikant forhøjede leveraminotransferaser (over 3 gange den øvre normalgrænse (&gt; 3 x ULN); se pkt. 4.3 og 4.4).</w:t>
      </w:r>
    </w:p>
    <w:p w14:paraId="4868A53E" w14:textId="77777777" w:rsidR="00061CA5" w:rsidRPr="00380D3E" w:rsidRDefault="00061CA5" w:rsidP="008C3804">
      <w:pPr>
        <w:ind w:left="851"/>
        <w:rPr>
          <w:noProof/>
          <w:sz w:val="24"/>
          <w:szCs w:val="24"/>
        </w:rPr>
      </w:pPr>
    </w:p>
    <w:p w14:paraId="71981DAD" w14:textId="77777777" w:rsidR="00061CA5" w:rsidRPr="00380D3E" w:rsidRDefault="00061CA5" w:rsidP="008C3804">
      <w:pPr>
        <w:ind w:left="851"/>
        <w:rPr>
          <w:i/>
          <w:iCs/>
          <w:noProof/>
          <w:sz w:val="24"/>
          <w:szCs w:val="24"/>
        </w:rPr>
      </w:pPr>
      <w:r w:rsidRPr="00380D3E">
        <w:rPr>
          <w:i/>
          <w:iCs/>
          <w:noProof/>
          <w:sz w:val="24"/>
          <w:szCs w:val="24"/>
        </w:rPr>
        <w:t>Nedsat nyrefunktion</w:t>
      </w:r>
    </w:p>
    <w:p w14:paraId="73B77419" w14:textId="7C7B80C5" w:rsidR="00061CA5" w:rsidRPr="00380D3E" w:rsidRDefault="00061CA5" w:rsidP="008C3804">
      <w:pPr>
        <w:ind w:left="851"/>
        <w:rPr>
          <w:noProof/>
          <w:sz w:val="24"/>
          <w:szCs w:val="24"/>
        </w:rPr>
      </w:pPr>
      <w:r w:rsidRPr="00380D3E">
        <w:rPr>
          <w:noProof/>
          <w:sz w:val="24"/>
          <w:szCs w:val="24"/>
        </w:rPr>
        <w:t xml:space="preserve">Baseret på farmakokinetiske data er det ikke nødvendigt at justere dosis hos patienter med nyreinsufficiens. Der er ingen klinisk erfaring med brug af macitentan hos PAH-patienter med svær nyreinsufficiens. Det frarådes at bruge Macitentan </w:t>
      </w:r>
      <w:r w:rsidR="007D7859">
        <w:rPr>
          <w:noProof/>
          <w:sz w:val="24"/>
          <w:szCs w:val="24"/>
        </w:rPr>
        <w:t>"Sandoz"</w:t>
      </w:r>
      <w:r w:rsidRPr="00380D3E">
        <w:rPr>
          <w:noProof/>
          <w:sz w:val="24"/>
          <w:szCs w:val="24"/>
        </w:rPr>
        <w:t xml:space="preserve"> hos patienter, der er i dialyse (se pkt. 4.4 og 5.2).</w:t>
      </w:r>
    </w:p>
    <w:p w14:paraId="5FEDE5D5" w14:textId="77777777" w:rsidR="00061CA5" w:rsidRPr="00380D3E" w:rsidRDefault="00061CA5" w:rsidP="008C3804">
      <w:pPr>
        <w:ind w:left="851"/>
        <w:rPr>
          <w:noProof/>
          <w:sz w:val="24"/>
          <w:szCs w:val="24"/>
        </w:rPr>
      </w:pPr>
    </w:p>
    <w:p w14:paraId="4496F4DF" w14:textId="77777777" w:rsidR="00061CA5" w:rsidRPr="00380D3E" w:rsidRDefault="00061CA5" w:rsidP="008C3804">
      <w:pPr>
        <w:ind w:left="851"/>
        <w:rPr>
          <w:i/>
          <w:iCs/>
          <w:noProof/>
          <w:sz w:val="24"/>
          <w:szCs w:val="24"/>
        </w:rPr>
      </w:pPr>
      <w:r w:rsidRPr="00380D3E">
        <w:rPr>
          <w:i/>
          <w:iCs/>
          <w:noProof/>
          <w:sz w:val="24"/>
          <w:szCs w:val="24"/>
        </w:rPr>
        <w:t>Pædiatrisk population</w:t>
      </w:r>
    </w:p>
    <w:p w14:paraId="6E3CD657" w14:textId="77777777" w:rsidR="00061CA5" w:rsidRPr="00380D3E" w:rsidRDefault="00061CA5" w:rsidP="008C3804">
      <w:pPr>
        <w:ind w:left="851"/>
        <w:rPr>
          <w:noProof/>
          <w:sz w:val="24"/>
          <w:szCs w:val="24"/>
        </w:rPr>
      </w:pPr>
      <w:r w:rsidRPr="00380D3E">
        <w:rPr>
          <w:noProof/>
          <w:sz w:val="24"/>
          <w:szCs w:val="24"/>
        </w:rPr>
        <w:t>Macitentans dosering og virkning hos børn under 2 år er ikke klarlagt. De foreliggende data er beskrevet i pkt. 4.8, 5.1 og 5.2, men der kan ikke gives nogen anbefalinger vedrørende dosering.</w:t>
      </w:r>
    </w:p>
    <w:p w14:paraId="2EF7C4D0" w14:textId="77777777" w:rsidR="00061CA5" w:rsidRPr="00380D3E" w:rsidRDefault="00061CA5" w:rsidP="008C3804">
      <w:pPr>
        <w:ind w:left="851"/>
        <w:rPr>
          <w:noProof/>
          <w:sz w:val="24"/>
          <w:szCs w:val="24"/>
        </w:rPr>
      </w:pPr>
    </w:p>
    <w:p w14:paraId="7246271E" w14:textId="77777777" w:rsidR="00061CA5" w:rsidRPr="00380D3E" w:rsidRDefault="00061CA5" w:rsidP="008C3804">
      <w:pPr>
        <w:ind w:left="851"/>
        <w:rPr>
          <w:noProof/>
          <w:sz w:val="24"/>
          <w:szCs w:val="24"/>
          <w:u w:val="single"/>
        </w:rPr>
      </w:pPr>
      <w:r w:rsidRPr="00380D3E">
        <w:rPr>
          <w:noProof/>
          <w:sz w:val="24"/>
          <w:szCs w:val="24"/>
          <w:u w:val="single"/>
        </w:rPr>
        <w:t>Administration</w:t>
      </w:r>
    </w:p>
    <w:p w14:paraId="085795A6" w14:textId="77777777" w:rsidR="00061CA5" w:rsidRPr="00380D3E" w:rsidRDefault="00061CA5" w:rsidP="008C3804">
      <w:pPr>
        <w:ind w:left="851"/>
        <w:rPr>
          <w:noProof/>
          <w:sz w:val="24"/>
          <w:szCs w:val="24"/>
        </w:rPr>
      </w:pPr>
      <w:r w:rsidRPr="00380D3E">
        <w:rPr>
          <w:bCs/>
          <w:noProof/>
          <w:sz w:val="24"/>
          <w:szCs w:val="24"/>
        </w:rPr>
        <w:t>De filmovertrukne tabletter må ikke deles</w:t>
      </w:r>
      <w:r w:rsidRPr="00380D3E">
        <w:rPr>
          <w:noProof/>
          <w:sz w:val="24"/>
          <w:szCs w:val="24"/>
        </w:rPr>
        <w:t xml:space="preserve"> </w:t>
      </w:r>
      <w:r w:rsidRPr="00380D3E">
        <w:rPr>
          <w:bCs/>
          <w:noProof/>
          <w:sz w:val="24"/>
          <w:szCs w:val="24"/>
        </w:rPr>
        <w:t xml:space="preserve">og </w:t>
      </w:r>
      <w:r w:rsidRPr="00380D3E">
        <w:rPr>
          <w:noProof/>
          <w:sz w:val="24"/>
          <w:szCs w:val="24"/>
        </w:rPr>
        <w:t>skal synkes hele med vand. Patienter, der ikke kan synke tabletterne hele, bør bruge andre lægemiddelformer, der indeholder macitentan, som er tilgængelige på markedet. De kan tages sammen med eller uden føde.</w:t>
      </w:r>
    </w:p>
    <w:p w14:paraId="6D08C6D7" w14:textId="51507C34" w:rsidR="007D7859" w:rsidRDefault="007D7859">
      <w:pPr>
        <w:rPr>
          <w:sz w:val="24"/>
          <w:szCs w:val="24"/>
        </w:rPr>
      </w:pPr>
      <w:r>
        <w:rPr>
          <w:sz w:val="24"/>
          <w:szCs w:val="24"/>
        </w:rPr>
        <w:br w:type="page"/>
      </w:r>
    </w:p>
    <w:p w14:paraId="17B9AE69" w14:textId="77777777" w:rsidR="009260DE" w:rsidRPr="00380D3E" w:rsidRDefault="009260DE" w:rsidP="009260DE">
      <w:pPr>
        <w:tabs>
          <w:tab w:val="left" w:pos="851"/>
        </w:tabs>
        <w:ind w:left="851"/>
        <w:rPr>
          <w:sz w:val="24"/>
          <w:szCs w:val="24"/>
        </w:rPr>
      </w:pPr>
    </w:p>
    <w:p w14:paraId="04C10C29" w14:textId="77777777" w:rsidR="009260DE" w:rsidRPr="00380D3E" w:rsidRDefault="009260DE" w:rsidP="009260DE">
      <w:pPr>
        <w:tabs>
          <w:tab w:val="left" w:pos="851"/>
        </w:tabs>
        <w:ind w:left="851" w:hanging="851"/>
        <w:rPr>
          <w:b/>
          <w:sz w:val="24"/>
          <w:szCs w:val="24"/>
        </w:rPr>
      </w:pPr>
      <w:r w:rsidRPr="00380D3E">
        <w:rPr>
          <w:b/>
          <w:sz w:val="24"/>
          <w:szCs w:val="24"/>
        </w:rPr>
        <w:t>4.3</w:t>
      </w:r>
      <w:r w:rsidRPr="00380D3E">
        <w:rPr>
          <w:b/>
          <w:sz w:val="24"/>
          <w:szCs w:val="24"/>
        </w:rPr>
        <w:tab/>
        <w:t>Kontraindikationer</w:t>
      </w:r>
    </w:p>
    <w:p w14:paraId="394D8E90" w14:textId="77777777" w:rsidR="00061CA5" w:rsidRPr="00380D3E" w:rsidRDefault="00061CA5" w:rsidP="008C3804">
      <w:pPr>
        <w:pStyle w:val="Listeafsnit"/>
        <w:numPr>
          <w:ilvl w:val="0"/>
          <w:numId w:val="6"/>
        </w:numPr>
        <w:suppressAutoHyphens/>
        <w:ind w:left="1276" w:hanging="425"/>
        <w:rPr>
          <w:sz w:val="24"/>
          <w:szCs w:val="24"/>
        </w:rPr>
      </w:pPr>
      <w:r w:rsidRPr="00380D3E">
        <w:rPr>
          <w:sz w:val="24"/>
          <w:szCs w:val="24"/>
        </w:rPr>
        <w:t xml:space="preserve">Overfølsomhed over for det aktive stof, soja eller over for et eller flere af hjælpestofferne anført i pkt. 6.1. </w:t>
      </w:r>
    </w:p>
    <w:p w14:paraId="6F630426" w14:textId="77777777" w:rsidR="00061CA5" w:rsidRPr="00380D3E" w:rsidRDefault="00061CA5" w:rsidP="008C3804">
      <w:pPr>
        <w:pStyle w:val="Listeafsnit"/>
        <w:numPr>
          <w:ilvl w:val="0"/>
          <w:numId w:val="6"/>
        </w:numPr>
        <w:suppressAutoHyphens/>
        <w:ind w:left="1276" w:hanging="425"/>
        <w:rPr>
          <w:sz w:val="24"/>
          <w:szCs w:val="24"/>
        </w:rPr>
      </w:pPr>
      <w:r w:rsidRPr="00380D3E">
        <w:rPr>
          <w:sz w:val="24"/>
          <w:szCs w:val="24"/>
        </w:rPr>
        <w:t>Graviditet (se pkt. 4.6).</w:t>
      </w:r>
    </w:p>
    <w:p w14:paraId="44A31DD7" w14:textId="77777777" w:rsidR="00061CA5" w:rsidRPr="00380D3E" w:rsidRDefault="00061CA5" w:rsidP="008C3804">
      <w:pPr>
        <w:pStyle w:val="Listeafsnit"/>
        <w:numPr>
          <w:ilvl w:val="0"/>
          <w:numId w:val="6"/>
        </w:numPr>
        <w:suppressAutoHyphens/>
        <w:ind w:left="1276" w:hanging="425"/>
        <w:rPr>
          <w:sz w:val="24"/>
          <w:szCs w:val="24"/>
        </w:rPr>
      </w:pPr>
      <w:r w:rsidRPr="00380D3E">
        <w:rPr>
          <w:sz w:val="24"/>
          <w:szCs w:val="24"/>
        </w:rPr>
        <w:t xml:space="preserve">Kvinder i den fertile alder, der ikke anvender sikker </w:t>
      </w:r>
      <w:proofErr w:type="spellStart"/>
      <w:r w:rsidRPr="00380D3E">
        <w:rPr>
          <w:sz w:val="24"/>
          <w:szCs w:val="24"/>
        </w:rPr>
        <w:t>kontraception</w:t>
      </w:r>
      <w:proofErr w:type="spellEnd"/>
      <w:r w:rsidRPr="00380D3E">
        <w:rPr>
          <w:sz w:val="24"/>
          <w:szCs w:val="24"/>
        </w:rPr>
        <w:t xml:space="preserve"> (se pkt. 4.4 og 4.6).</w:t>
      </w:r>
    </w:p>
    <w:p w14:paraId="40BC9AA5" w14:textId="77777777" w:rsidR="00061CA5" w:rsidRPr="00380D3E" w:rsidRDefault="00061CA5" w:rsidP="008C3804">
      <w:pPr>
        <w:pStyle w:val="Listeafsnit"/>
        <w:numPr>
          <w:ilvl w:val="0"/>
          <w:numId w:val="6"/>
        </w:numPr>
        <w:suppressAutoHyphens/>
        <w:ind w:left="1276" w:hanging="425"/>
        <w:rPr>
          <w:sz w:val="24"/>
          <w:szCs w:val="24"/>
        </w:rPr>
      </w:pPr>
      <w:r w:rsidRPr="00380D3E">
        <w:rPr>
          <w:sz w:val="24"/>
          <w:szCs w:val="24"/>
        </w:rPr>
        <w:t>Amning (se pkt. 4.6).</w:t>
      </w:r>
    </w:p>
    <w:p w14:paraId="1E85881B" w14:textId="77777777" w:rsidR="00061CA5" w:rsidRPr="00380D3E" w:rsidRDefault="00061CA5" w:rsidP="008C3804">
      <w:pPr>
        <w:pStyle w:val="Listeafsnit"/>
        <w:numPr>
          <w:ilvl w:val="0"/>
          <w:numId w:val="6"/>
        </w:numPr>
        <w:suppressAutoHyphens/>
        <w:ind w:left="1276" w:hanging="425"/>
        <w:rPr>
          <w:sz w:val="24"/>
          <w:szCs w:val="24"/>
        </w:rPr>
      </w:pPr>
      <w:r w:rsidRPr="00380D3E">
        <w:rPr>
          <w:sz w:val="24"/>
          <w:szCs w:val="24"/>
        </w:rPr>
        <w:t>Patienter med svær leverinsufficiens (med eller uden cirrose) (se pkt. 4.2).</w:t>
      </w:r>
    </w:p>
    <w:p w14:paraId="03C33753" w14:textId="77777777" w:rsidR="00061CA5" w:rsidRPr="00380D3E" w:rsidRDefault="00061CA5" w:rsidP="008C3804">
      <w:pPr>
        <w:pStyle w:val="Listeafsnit"/>
        <w:numPr>
          <w:ilvl w:val="0"/>
          <w:numId w:val="6"/>
        </w:numPr>
        <w:suppressAutoHyphens/>
        <w:ind w:left="1276" w:hanging="425"/>
        <w:rPr>
          <w:sz w:val="24"/>
          <w:szCs w:val="24"/>
        </w:rPr>
      </w:pPr>
      <w:proofErr w:type="spellStart"/>
      <w:r w:rsidRPr="00380D3E">
        <w:rPr>
          <w:sz w:val="24"/>
          <w:szCs w:val="24"/>
        </w:rPr>
        <w:t>Leveraminotransferaseniveauer</w:t>
      </w:r>
      <w:proofErr w:type="spellEnd"/>
      <w:r w:rsidRPr="00380D3E">
        <w:rPr>
          <w:sz w:val="24"/>
          <w:szCs w:val="24"/>
        </w:rPr>
        <w:t xml:space="preserve"> ved baseline (</w:t>
      </w:r>
      <w:proofErr w:type="spellStart"/>
      <w:r w:rsidRPr="00380D3E">
        <w:rPr>
          <w:sz w:val="24"/>
          <w:szCs w:val="24"/>
        </w:rPr>
        <w:t>aspartataminotransferaser</w:t>
      </w:r>
      <w:proofErr w:type="spellEnd"/>
      <w:r w:rsidRPr="00380D3E">
        <w:rPr>
          <w:sz w:val="24"/>
          <w:szCs w:val="24"/>
        </w:rPr>
        <w:t xml:space="preserve"> (ASAT) og/eller </w:t>
      </w:r>
      <w:proofErr w:type="spellStart"/>
      <w:r w:rsidRPr="00380D3E">
        <w:rPr>
          <w:sz w:val="24"/>
          <w:szCs w:val="24"/>
        </w:rPr>
        <w:t>alaninaminotransferaser</w:t>
      </w:r>
      <w:proofErr w:type="spellEnd"/>
      <w:r w:rsidRPr="00380D3E">
        <w:rPr>
          <w:sz w:val="24"/>
          <w:szCs w:val="24"/>
        </w:rPr>
        <w:t xml:space="preserve"> (ALAT) &gt; 3 x ULN) (se pkt. 4.2 og 4.4).</w:t>
      </w:r>
    </w:p>
    <w:p w14:paraId="74BC57CC" w14:textId="77777777" w:rsidR="009260DE" w:rsidRPr="00380D3E" w:rsidRDefault="009260DE" w:rsidP="009260DE">
      <w:pPr>
        <w:tabs>
          <w:tab w:val="left" w:pos="851"/>
        </w:tabs>
        <w:ind w:left="851"/>
        <w:rPr>
          <w:sz w:val="24"/>
          <w:szCs w:val="24"/>
        </w:rPr>
      </w:pPr>
    </w:p>
    <w:p w14:paraId="7881304E" w14:textId="77777777" w:rsidR="009260DE" w:rsidRPr="00380D3E" w:rsidRDefault="009260DE" w:rsidP="009260DE">
      <w:pPr>
        <w:tabs>
          <w:tab w:val="left" w:pos="851"/>
        </w:tabs>
        <w:ind w:left="851" w:hanging="851"/>
        <w:rPr>
          <w:b/>
          <w:sz w:val="24"/>
          <w:szCs w:val="24"/>
        </w:rPr>
      </w:pPr>
      <w:r w:rsidRPr="00380D3E">
        <w:rPr>
          <w:b/>
          <w:sz w:val="24"/>
          <w:szCs w:val="24"/>
        </w:rPr>
        <w:t>4.4</w:t>
      </w:r>
      <w:r w:rsidRPr="00380D3E">
        <w:rPr>
          <w:b/>
          <w:sz w:val="24"/>
          <w:szCs w:val="24"/>
        </w:rPr>
        <w:tab/>
        <w:t>Særlige advarsler og forsigtighedsregler vedrørende brugen</w:t>
      </w:r>
    </w:p>
    <w:p w14:paraId="4105BC0C" w14:textId="77777777" w:rsidR="00061CA5" w:rsidRPr="00380D3E" w:rsidRDefault="00061CA5" w:rsidP="008C3804">
      <w:pPr>
        <w:autoSpaceDE w:val="0"/>
        <w:autoSpaceDN w:val="0"/>
        <w:adjustRightInd w:val="0"/>
        <w:ind w:left="851"/>
        <w:rPr>
          <w:iCs/>
          <w:noProof/>
          <w:sz w:val="24"/>
          <w:szCs w:val="24"/>
        </w:rPr>
      </w:pPr>
      <w:r w:rsidRPr="00380D3E">
        <w:rPr>
          <w:iCs/>
          <w:noProof/>
          <w:sz w:val="24"/>
          <w:szCs w:val="24"/>
        </w:rPr>
        <w:t>Benefit/risk-forholdet af macitentan er ikke klarlagt hos patienter med pulmonal arteriel hypertension i WHO-funktionsklasse I.</w:t>
      </w:r>
    </w:p>
    <w:p w14:paraId="140BFD24" w14:textId="77777777" w:rsidR="00061CA5" w:rsidRPr="00380D3E" w:rsidRDefault="00061CA5" w:rsidP="008C3804">
      <w:pPr>
        <w:autoSpaceDE w:val="0"/>
        <w:autoSpaceDN w:val="0"/>
        <w:adjustRightInd w:val="0"/>
        <w:ind w:left="851"/>
        <w:rPr>
          <w:iCs/>
          <w:noProof/>
          <w:sz w:val="24"/>
          <w:szCs w:val="24"/>
        </w:rPr>
      </w:pPr>
    </w:p>
    <w:p w14:paraId="2AFB0D52" w14:textId="77777777" w:rsidR="00061CA5" w:rsidRPr="00380D3E" w:rsidRDefault="00061CA5" w:rsidP="008C3804">
      <w:pPr>
        <w:autoSpaceDE w:val="0"/>
        <w:autoSpaceDN w:val="0"/>
        <w:adjustRightInd w:val="0"/>
        <w:ind w:left="851"/>
        <w:rPr>
          <w:iCs/>
          <w:noProof/>
          <w:sz w:val="24"/>
          <w:szCs w:val="24"/>
          <w:u w:val="single"/>
        </w:rPr>
      </w:pPr>
      <w:r w:rsidRPr="00380D3E">
        <w:rPr>
          <w:iCs/>
          <w:noProof/>
          <w:sz w:val="24"/>
          <w:szCs w:val="24"/>
          <w:u w:val="single"/>
        </w:rPr>
        <w:t>Leverfunktion</w:t>
      </w:r>
    </w:p>
    <w:p w14:paraId="7C3AC1F3" w14:textId="129732B8" w:rsidR="00061CA5" w:rsidRPr="00380D3E" w:rsidRDefault="00061CA5" w:rsidP="008C3804">
      <w:pPr>
        <w:autoSpaceDE w:val="0"/>
        <w:autoSpaceDN w:val="0"/>
        <w:adjustRightInd w:val="0"/>
        <w:ind w:left="851"/>
        <w:rPr>
          <w:iCs/>
          <w:noProof/>
          <w:sz w:val="24"/>
          <w:szCs w:val="24"/>
        </w:rPr>
      </w:pPr>
      <w:r w:rsidRPr="00380D3E">
        <w:rPr>
          <w:iCs/>
          <w:noProof/>
          <w:sz w:val="24"/>
          <w:szCs w:val="24"/>
        </w:rPr>
        <w:t xml:space="preserve">Stigninger i leveraminotransferaser (ASAT, ALAT) er blevet forbundet med PAH og med endothelinreceptorantagonister (ERA’er). Macitentan </w:t>
      </w:r>
      <w:r w:rsidR="007D7859">
        <w:rPr>
          <w:iCs/>
          <w:noProof/>
          <w:sz w:val="24"/>
          <w:szCs w:val="24"/>
        </w:rPr>
        <w:t>"Sandoz"</w:t>
      </w:r>
      <w:r w:rsidRPr="00380D3E">
        <w:rPr>
          <w:iCs/>
          <w:noProof/>
          <w:sz w:val="24"/>
          <w:szCs w:val="24"/>
        </w:rPr>
        <w:t xml:space="preserve"> må ikke initieres hos patienter, der har svær leverinsufficiens eller forhøjede aminotransferaseniveauer (&gt; 3 x ULN) (se pkt. 4.2 og 4.3), og anvendelse frarådes hos patienter med moderat leverinsufficiens. Der skal indhentes leverenzymprøver inden indledning af Macitentan </w:t>
      </w:r>
      <w:r w:rsidR="007D7859">
        <w:rPr>
          <w:iCs/>
          <w:noProof/>
          <w:sz w:val="24"/>
          <w:szCs w:val="24"/>
        </w:rPr>
        <w:t>"Sandoz"</w:t>
      </w:r>
      <w:r w:rsidRPr="00380D3E">
        <w:rPr>
          <w:iCs/>
          <w:noProof/>
          <w:sz w:val="24"/>
          <w:szCs w:val="24"/>
        </w:rPr>
        <w:t>.</w:t>
      </w:r>
    </w:p>
    <w:p w14:paraId="752F8C32" w14:textId="77777777" w:rsidR="00061CA5" w:rsidRPr="00380D3E" w:rsidRDefault="00061CA5" w:rsidP="008C3804">
      <w:pPr>
        <w:autoSpaceDE w:val="0"/>
        <w:autoSpaceDN w:val="0"/>
        <w:adjustRightInd w:val="0"/>
        <w:ind w:left="851"/>
        <w:rPr>
          <w:iCs/>
          <w:noProof/>
          <w:sz w:val="24"/>
          <w:szCs w:val="24"/>
        </w:rPr>
      </w:pPr>
    </w:p>
    <w:p w14:paraId="3C22635C" w14:textId="7A710371" w:rsidR="00061CA5" w:rsidRPr="00380D3E" w:rsidRDefault="00061CA5" w:rsidP="008C3804">
      <w:pPr>
        <w:autoSpaceDE w:val="0"/>
        <w:autoSpaceDN w:val="0"/>
        <w:adjustRightInd w:val="0"/>
        <w:ind w:left="851"/>
        <w:rPr>
          <w:iCs/>
          <w:noProof/>
          <w:sz w:val="24"/>
          <w:szCs w:val="24"/>
        </w:rPr>
      </w:pPr>
      <w:r w:rsidRPr="00380D3E">
        <w:rPr>
          <w:iCs/>
          <w:noProof/>
          <w:sz w:val="24"/>
          <w:szCs w:val="24"/>
        </w:rPr>
        <w:t xml:space="preserve">Patienter bør monitoreres for tegn på leverskade, og det anbefales at kontrollere ALAT og ASAT en gang om måneden. Hvis der opstår vedvarende, uforklarlige, klinisk relevante stigninger i aminotransferaseniveauerne, eller hvis stigninger er ledsaget af en stigning i bilirubin &gt; 2 x ULN eller af kliniske symptomer på leverskade (f.eks. ikterus), skal behandlingen med Macitentan </w:t>
      </w:r>
      <w:r w:rsidR="007D7859">
        <w:rPr>
          <w:iCs/>
          <w:noProof/>
          <w:sz w:val="24"/>
          <w:szCs w:val="24"/>
        </w:rPr>
        <w:t>"Sandoz"</w:t>
      </w:r>
      <w:r w:rsidRPr="00380D3E">
        <w:rPr>
          <w:iCs/>
          <w:noProof/>
          <w:sz w:val="24"/>
          <w:szCs w:val="24"/>
        </w:rPr>
        <w:t xml:space="preserve"> seponeres.</w:t>
      </w:r>
    </w:p>
    <w:p w14:paraId="0E4A8A61" w14:textId="77777777" w:rsidR="00061CA5" w:rsidRPr="00380D3E" w:rsidRDefault="00061CA5" w:rsidP="008C3804">
      <w:pPr>
        <w:autoSpaceDE w:val="0"/>
        <w:autoSpaceDN w:val="0"/>
        <w:adjustRightInd w:val="0"/>
        <w:ind w:left="851"/>
        <w:rPr>
          <w:iCs/>
          <w:noProof/>
          <w:sz w:val="24"/>
          <w:szCs w:val="24"/>
        </w:rPr>
      </w:pPr>
    </w:p>
    <w:p w14:paraId="5CAB696D" w14:textId="3185E9D9" w:rsidR="00061CA5" w:rsidRPr="00380D3E" w:rsidRDefault="00061CA5" w:rsidP="008C3804">
      <w:pPr>
        <w:autoSpaceDE w:val="0"/>
        <w:autoSpaceDN w:val="0"/>
        <w:adjustRightInd w:val="0"/>
        <w:ind w:left="851"/>
        <w:rPr>
          <w:iCs/>
          <w:noProof/>
          <w:sz w:val="24"/>
          <w:szCs w:val="24"/>
        </w:rPr>
      </w:pPr>
      <w:r w:rsidRPr="00380D3E">
        <w:rPr>
          <w:iCs/>
          <w:noProof/>
          <w:sz w:val="24"/>
          <w:szCs w:val="24"/>
        </w:rPr>
        <w:t xml:space="preserve">Det kan overvejes at genoptage behandlingen med Macitentan </w:t>
      </w:r>
      <w:r w:rsidR="007D7859">
        <w:rPr>
          <w:iCs/>
          <w:noProof/>
          <w:sz w:val="24"/>
          <w:szCs w:val="24"/>
        </w:rPr>
        <w:t>"Sandoz"</w:t>
      </w:r>
      <w:r w:rsidRPr="00380D3E">
        <w:rPr>
          <w:iCs/>
          <w:noProof/>
          <w:sz w:val="24"/>
          <w:szCs w:val="24"/>
        </w:rPr>
        <w:t>, når leverenzymniveauerne igen ligger inden for normalområdet hos patienter, der ikke har haft kliniske symptomer på leverskade. Det anbefales at søge rådgivning hos en hepatolog.</w:t>
      </w:r>
    </w:p>
    <w:p w14:paraId="36F871A9" w14:textId="77777777" w:rsidR="00061CA5" w:rsidRPr="00380D3E" w:rsidRDefault="00061CA5" w:rsidP="008C3804">
      <w:pPr>
        <w:autoSpaceDE w:val="0"/>
        <w:autoSpaceDN w:val="0"/>
        <w:adjustRightInd w:val="0"/>
        <w:ind w:left="851"/>
        <w:rPr>
          <w:iCs/>
          <w:noProof/>
          <w:sz w:val="24"/>
          <w:szCs w:val="24"/>
        </w:rPr>
      </w:pPr>
    </w:p>
    <w:p w14:paraId="742D2BEB" w14:textId="77777777" w:rsidR="00061CA5" w:rsidRPr="00380D3E" w:rsidRDefault="00061CA5" w:rsidP="008C3804">
      <w:pPr>
        <w:autoSpaceDE w:val="0"/>
        <w:autoSpaceDN w:val="0"/>
        <w:adjustRightInd w:val="0"/>
        <w:ind w:left="851"/>
        <w:rPr>
          <w:iCs/>
          <w:noProof/>
          <w:sz w:val="24"/>
          <w:szCs w:val="24"/>
          <w:u w:val="single"/>
        </w:rPr>
      </w:pPr>
      <w:r w:rsidRPr="00380D3E">
        <w:rPr>
          <w:iCs/>
          <w:noProof/>
          <w:sz w:val="24"/>
          <w:szCs w:val="24"/>
          <w:u w:val="single"/>
        </w:rPr>
        <w:t>Hæmoglobinkoncentration</w:t>
      </w:r>
    </w:p>
    <w:p w14:paraId="03FADA2D" w14:textId="4D73C702" w:rsidR="00061CA5" w:rsidRPr="00380D3E" w:rsidRDefault="00061CA5" w:rsidP="008C3804">
      <w:pPr>
        <w:autoSpaceDE w:val="0"/>
        <w:autoSpaceDN w:val="0"/>
        <w:adjustRightInd w:val="0"/>
        <w:ind w:left="851"/>
        <w:rPr>
          <w:iCs/>
          <w:noProof/>
          <w:sz w:val="24"/>
          <w:szCs w:val="24"/>
        </w:rPr>
      </w:pPr>
      <w:r w:rsidRPr="00380D3E">
        <w:rPr>
          <w:iCs/>
          <w:noProof/>
          <w:sz w:val="24"/>
          <w:szCs w:val="24"/>
        </w:rPr>
        <w:t xml:space="preserve">Endothelinreceptorantagonister (ERA’er), herunder macitentan, er blevet forbundet med fald i hæmoglobinkoncentrationen (se pkt. 4.8). I placebokontrollerede studier var macitentanrelaterede fald i hæmoglobinkoncentrationen ikke-progressive. De var stabiliseret efter de første 4 til 12 ugers behandling og forblev stabile under kronisk behandling. Der er rapporteret om tilfælde af anæmi, der krævede transfusion af blodceller, med macitentan og andre ERA’er. Det frarådes at påbegynde behandling med Macitentan </w:t>
      </w:r>
      <w:r w:rsidR="007D7859">
        <w:rPr>
          <w:iCs/>
          <w:noProof/>
          <w:sz w:val="24"/>
          <w:szCs w:val="24"/>
        </w:rPr>
        <w:t>"Sandoz"</w:t>
      </w:r>
      <w:r w:rsidRPr="00380D3E">
        <w:rPr>
          <w:iCs/>
          <w:noProof/>
          <w:sz w:val="24"/>
          <w:szCs w:val="24"/>
        </w:rPr>
        <w:t xml:space="preserve"> hos patienter med svær anæmi. Det anbefales at måle hæmoglobin</w:t>
      </w:r>
      <w:r w:rsidR="006B0162">
        <w:rPr>
          <w:iCs/>
          <w:noProof/>
          <w:sz w:val="24"/>
          <w:szCs w:val="24"/>
        </w:rPr>
        <w:softHyphen/>
      </w:r>
      <w:r w:rsidRPr="00380D3E">
        <w:rPr>
          <w:iCs/>
          <w:noProof/>
          <w:sz w:val="24"/>
          <w:szCs w:val="24"/>
        </w:rPr>
        <w:t>koncentrationerne før indledning af behandlingen og at gentage sådanne målinger efter klinisk behov under behandlingen.</w:t>
      </w:r>
    </w:p>
    <w:p w14:paraId="499090F1" w14:textId="77777777" w:rsidR="00061CA5" w:rsidRPr="00380D3E" w:rsidRDefault="00061CA5" w:rsidP="008C3804">
      <w:pPr>
        <w:autoSpaceDE w:val="0"/>
        <w:autoSpaceDN w:val="0"/>
        <w:adjustRightInd w:val="0"/>
        <w:ind w:left="851"/>
        <w:rPr>
          <w:iCs/>
          <w:noProof/>
          <w:sz w:val="24"/>
          <w:szCs w:val="24"/>
        </w:rPr>
      </w:pPr>
    </w:p>
    <w:p w14:paraId="4A1547EA" w14:textId="77777777" w:rsidR="00061CA5" w:rsidRPr="00380D3E" w:rsidRDefault="00061CA5" w:rsidP="008C3804">
      <w:pPr>
        <w:autoSpaceDE w:val="0"/>
        <w:autoSpaceDN w:val="0"/>
        <w:adjustRightInd w:val="0"/>
        <w:ind w:left="851"/>
        <w:rPr>
          <w:iCs/>
          <w:noProof/>
          <w:sz w:val="24"/>
          <w:szCs w:val="24"/>
          <w:u w:val="single"/>
        </w:rPr>
      </w:pPr>
      <w:r w:rsidRPr="00380D3E">
        <w:rPr>
          <w:iCs/>
          <w:noProof/>
          <w:sz w:val="24"/>
          <w:szCs w:val="24"/>
          <w:u w:val="single"/>
        </w:rPr>
        <w:t>Pulmonal veno-okklusiv sygdom</w:t>
      </w:r>
    </w:p>
    <w:p w14:paraId="2D74B819" w14:textId="77777777" w:rsidR="00061CA5" w:rsidRPr="00380D3E" w:rsidRDefault="00061CA5" w:rsidP="008C3804">
      <w:pPr>
        <w:autoSpaceDE w:val="0"/>
        <w:autoSpaceDN w:val="0"/>
        <w:adjustRightInd w:val="0"/>
        <w:ind w:left="851"/>
        <w:rPr>
          <w:iCs/>
          <w:noProof/>
          <w:sz w:val="24"/>
          <w:szCs w:val="24"/>
        </w:rPr>
      </w:pPr>
      <w:r w:rsidRPr="00380D3E">
        <w:rPr>
          <w:iCs/>
          <w:noProof/>
          <w:sz w:val="24"/>
          <w:szCs w:val="24"/>
        </w:rPr>
        <w:t>Der er rapporteret om tilfælde af lungeødemer i forbindelse med brug af vasodilatatorer (hovedsageligt prostacykliner) hos patienter med pulmonal veno-okklusiv sygdom. Som følge heraf skal der tages højde for muligheden for pulmonal veno-okklusiv sygdom, hvis der opstår tegn på lungeødemer, når macitentan administreres til patienter med PAH.</w:t>
      </w:r>
    </w:p>
    <w:p w14:paraId="71C7539F" w14:textId="4964AB9D" w:rsidR="007D7859" w:rsidRDefault="007D7859">
      <w:pPr>
        <w:rPr>
          <w:iCs/>
          <w:noProof/>
          <w:sz w:val="24"/>
          <w:szCs w:val="24"/>
        </w:rPr>
      </w:pPr>
      <w:r>
        <w:rPr>
          <w:iCs/>
          <w:noProof/>
          <w:sz w:val="24"/>
          <w:szCs w:val="24"/>
        </w:rPr>
        <w:br w:type="page"/>
      </w:r>
    </w:p>
    <w:p w14:paraId="36188C17" w14:textId="77777777" w:rsidR="00061CA5" w:rsidRPr="00380D3E" w:rsidRDefault="00061CA5" w:rsidP="008C3804">
      <w:pPr>
        <w:autoSpaceDE w:val="0"/>
        <w:autoSpaceDN w:val="0"/>
        <w:adjustRightInd w:val="0"/>
        <w:ind w:left="851"/>
        <w:rPr>
          <w:iCs/>
          <w:noProof/>
          <w:sz w:val="24"/>
          <w:szCs w:val="24"/>
        </w:rPr>
      </w:pPr>
    </w:p>
    <w:p w14:paraId="06DFF1FA" w14:textId="77777777" w:rsidR="00061CA5" w:rsidRPr="00380D3E" w:rsidRDefault="00061CA5" w:rsidP="008C3804">
      <w:pPr>
        <w:autoSpaceDE w:val="0"/>
        <w:autoSpaceDN w:val="0"/>
        <w:adjustRightInd w:val="0"/>
        <w:ind w:left="851"/>
        <w:rPr>
          <w:iCs/>
          <w:noProof/>
          <w:sz w:val="24"/>
          <w:szCs w:val="24"/>
          <w:u w:val="single"/>
        </w:rPr>
      </w:pPr>
      <w:r w:rsidRPr="00380D3E">
        <w:rPr>
          <w:iCs/>
          <w:noProof/>
          <w:sz w:val="24"/>
          <w:szCs w:val="24"/>
          <w:u w:val="single"/>
        </w:rPr>
        <w:t>Brug hos kvinder i den fertile alder</w:t>
      </w:r>
    </w:p>
    <w:p w14:paraId="5852B6FF" w14:textId="5AF71F51" w:rsidR="00061CA5" w:rsidRPr="00380D3E" w:rsidRDefault="00061CA5" w:rsidP="008C3804">
      <w:pPr>
        <w:autoSpaceDE w:val="0"/>
        <w:autoSpaceDN w:val="0"/>
        <w:adjustRightInd w:val="0"/>
        <w:ind w:left="851"/>
        <w:rPr>
          <w:iCs/>
          <w:noProof/>
          <w:sz w:val="24"/>
          <w:szCs w:val="24"/>
        </w:rPr>
      </w:pPr>
      <w:r w:rsidRPr="00380D3E">
        <w:rPr>
          <w:iCs/>
          <w:noProof/>
          <w:sz w:val="24"/>
          <w:szCs w:val="24"/>
        </w:rPr>
        <w:t xml:space="preserve">Behandling med Macitentan </w:t>
      </w:r>
      <w:r w:rsidR="007D7859">
        <w:rPr>
          <w:iCs/>
          <w:noProof/>
          <w:sz w:val="24"/>
          <w:szCs w:val="24"/>
        </w:rPr>
        <w:t>"Sandoz"</w:t>
      </w:r>
      <w:r w:rsidRPr="00380D3E">
        <w:rPr>
          <w:iCs/>
          <w:noProof/>
          <w:sz w:val="24"/>
          <w:szCs w:val="24"/>
        </w:rPr>
        <w:t xml:space="preserve"> bør først indledes hos kvinder i den fertile alder, når graviditet er blevet udelukket, når der er givet tilstrækkelig rådgivning om kontraception, og kvinden anvender sikker kontraception (se pkt. 4.3 og 4.6). Kvinder skal undgå graviditet i en måned efter seponering af Macitentan </w:t>
      </w:r>
      <w:r w:rsidR="007D7859">
        <w:rPr>
          <w:iCs/>
          <w:noProof/>
          <w:sz w:val="24"/>
          <w:szCs w:val="24"/>
        </w:rPr>
        <w:t>"Sandoz"</w:t>
      </w:r>
      <w:r w:rsidRPr="00380D3E">
        <w:rPr>
          <w:iCs/>
          <w:noProof/>
          <w:sz w:val="24"/>
          <w:szCs w:val="24"/>
        </w:rPr>
        <w:t xml:space="preserve">. Det anbefales at foretage månedlige graviditetstest under behandlingen med Macitentan </w:t>
      </w:r>
      <w:r w:rsidR="007D7859">
        <w:rPr>
          <w:iCs/>
          <w:noProof/>
          <w:sz w:val="24"/>
          <w:szCs w:val="24"/>
        </w:rPr>
        <w:t>"Sandoz"</w:t>
      </w:r>
      <w:r w:rsidRPr="00380D3E">
        <w:rPr>
          <w:iCs/>
          <w:noProof/>
          <w:sz w:val="24"/>
          <w:szCs w:val="24"/>
        </w:rPr>
        <w:t xml:space="preserve"> med henblik på tidlig konstatering af graviditet.</w:t>
      </w:r>
    </w:p>
    <w:p w14:paraId="784330CC" w14:textId="77777777" w:rsidR="00061CA5" w:rsidRPr="00380D3E" w:rsidRDefault="00061CA5" w:rsidP="008C3804">
      <w:pPr>
        <w:autoSpaceDE w:val="0"/>
        <w:autoSpaceDN w:val="0"/>
        <w:adjustRightInd w:val="0"/>
        <w:ind w:left="851"/>
        <w:rPr>
          <w:iCs/>
          <w:noProof/>
          <w:sz w:val="24"/>
          <w:szCs w:val="24"/>
        </w:rPr>
      </w:pPr>
    </w:p>
    <w:p w14:paraId="44B3EBFC" w14:textId="77777777" w:rsidR="00061CA5" w:rsidRPr="00380D3E" w:rsidRDefault="00061CA5" w:rsidP="008C3804">
      <w:pPr>
        <w:autoSpaceDE w:val="0"/>
        <w:autoSpaceDN w:val="0"/>
        <w:adjustRightInd w:val="0"/>
        <w:ind w:left="851"/>
        <w:rPr>
          <w:iCs/>
          <w:noProof/>
          <w:sz w:val="24"/>
          <w:szCs w:val="24"/>
          <w:u w:val="single"/>
        </w:rPr>
      </w:pPr>
      <w:r w:rsidRPr="00380D3E">
        <w:rPr>
          <w:iCs/>
          <w:noProof/>
          <w:sz w:val="24"/>
          <w:szCs w:val="24"/>
          <w:u w:val="single"/>
        </w:rPr>
        <w:t>Samtidig brug af stærke CYP3A4-induktorer</w:t>
      </w:r>
    </w:p>
    <w:p w14:paraId="4570EF59" w14:textId="77777777" w:rsidR="00061CA5" w:rsidRPr="00380D3E" w:rsidRDefault="00061CA5" w:rsidP="008C3804">
      <w:pPr>
        <w:autoSpaceDE w:val="0"/>
        <w:autoSpaceDN w:val="0"/>
        <w:adjustRightInd w:val="0"/>
        <w:ind w:left="851"/>
        <w:rPr>
          <w:iCs/>
          <w:noProof/>
          <w:sz w:val="24"/>
          <w:szCs w:val="24"/>
        </w:rPr>
      </w:pPr>
      <w:r w:rsidRPr="00380D3E">
        <w:rPr>
          <w:iCs/>
          <w:noProof/>
          <w:sz w:val="24"/>
          <w:szCs w:val="24"/>
        </w:rPr>
        <w:t>Stærke CYP3A4-induktorer kan nedsætte effekten af macitentan. Kombination af macitentan og stærke CYP3A4-induktorer (f.eks. rifampicin, hypericum perforatum, carbamazepin og phenytoin) bør undgås (se pkt. 4.5).</w:t>
      </w:r>
    </w:p>
    <w:p w14:paraId="189B0A24" w14:textId="77777777" w:rsidR="00061CA5" w:rsidRPr="00380D3E" w:rsidRDefault="00061CA5" w:rsidP="008C3804">
      <w:pPr>
        <w:autoSpaceDE w:val="0"/>
        <w:autoSpaceDN w:val="0"/>
        <w:adjustRightInd w:val="0"/>
        <w:ind w:left="851"/>
        <w:rPr>
          <w:iCs/>
          <w:noProof/>
          <w:sz w:val="24"/>
          <w:szCs w:val="24"/>
        </w:rPr>
      </w:pPr>
    </w:p>
    <w:p w14:paraId="0EE0D4A2" w14:textId="77777777" w:rsidR="00061CA5" w:rsidRPr="00380D3E" w:rsidRDefault="00061CA5" w:rsidP="008C3804">
      <w:pPr>
        <w:autoSpaceDE w:val="0"/>
        <w:autoSpaceDN w:val="0"/>
        <w:adjustRightInd w:val="0"/>
        <w:ind w:left="851"/>
        <w:rPr>
          <w:iCs/>
          <w:noProof/>
          <w:sz w:val="24"/>
          <w:szCs w:val="24"/>
          <w:u w:val="single"/>
        </w:rPr>
      </w:pPr>
      <w:r w:rsidRPr="00380D3E">
        <w:rPr>
          <w:iCs/>
          <w:noProof/>
          <w:sz w:val="24"/>
          <w:szCs w:val="24"/>
          <w:u w:val="single"/>
        </w:rPr>
        <w:t>Samtidig brug af stærke CYP3A4-hæmmere</w:t>
      </w:r>
    </w:p>
    <w:p w14:paraId="6249FE40" w14:textId="77777777" w:rsidR="00061CA5" w:rsidRPr="00380D3E" w:rsidRDefault="00061CA5" w:rsidP="008C3804">
      <w:pPr>
        <w:autoSpaceDE w:val="0"/>
        <w:autoSpaceDN w:val="0"/>
        <w:adjustRightInd w:val="0"/>
        <w:ind w:left="851"/>
        <w:rPr>
          <w:iCs/>
          <w:noProof/>
          <w:sz w:val="24"/>
          <w:szCs w:val="24"/>
        </w:rPr>
      </w:pPr>
      <w:r w:rsidRPr="00380D3E">
        <w:rPr>
          <w:iCs/>
          <w:noProof/>
          <w:sz w:val="24"/>
          <w:szCs w:val="24"/>
        </w:rPr>
        <w:t>Der skal udvises forsigtighed ved samtidig administration af macitentan og stærke CYP3A4-hæmere (f.eks. itraconazol, ketoconazol, voriconazol, clarithromycin, telithromycin, nefazodon, ritonavir og saquinavir) (se pkt. 4.5).</w:t>
      </w:r>
    </w:p>
    <w:p w14:paraId="4BABCE51" w14:textId="77777777" w:rsidR="00061CA5" w:rsidRPr="00380D3E" w:rsidRDefault="00061CA5" w:rsidP="008C3804">
      <w:pPr>
        <w:autoSpaceDE w:val="0"/>
        <w:autoSpaceDN w:val="0"/>
        <w:adjustRightInd w:val="0"/>
        <w:ind w:left="851"/>
        <w:rPr>
          <w:iCs/>
          <w:noProof/>
          <w:sz w:val="24"/>
          <w:szCs w:val="24"/>
        </w:rPr>
      </w:pPr>
    </w:p>
    <w:p w14:paraId="1916D6F0" w14:textId="77777777" w:rsidR="00061CA5" w:rsidRPr="00380D3E" w:rsidRDefault="00061CA5" w:rsidP="008C3804">
      <w:pPr>
        <w:autoSpaceDE w:val="0"/>
        <w:autoSpaceDN w:val="0"/>
        <w:adjustRightInd w:val="0"/>
        <w:ind w:left="851"/>
        <w:rPr>
          <w:iCs/>
          <w:noProof/>
          <w:sz w:val="24"/>
          <w:szCs w:val="24"/>
          <w:u w:val="single"/>
        </w:rPr>
      </w:pPr>
      <w:r w:rsidRPr="00380D3E">
        <w:rPr>
          <w:iCs/>
          <w:noProof/>
          <w:sz w:val="24"/>
          <w:szCs w:val="24"/>
          <w:u w:val="single"/>
        </w:rPr>
        <w:t>Samtidig brug af moderate dobbelte eller kombinerede CYP3A4- og CYP2C9-hæmmere</w:t>
      </w:r>
    </w:p>
    <w:p w14:paraId="1C40830A" w14:textId="77777777" w:rsidR="00061CA5" w:rsidRPr="00380D3E" w:rsidRDefault="00061CA5" w:rsidP="008C3804">
      <w:pPr>
        <w:autoSpaceDE w:val="0"/>
        <w:autoSpaceDN w:val="0"/>
        <w:adjustRightInd w:val="0"/>
        <w:ind w:left="851"/>
        <w:rPr>
          <w:iCs/>
          <w:noProof/>
          <w:sz w:val="24"/>
          <w:szCs w:val="24"/>
        </w:rPr>
      </w:pPr>
      <w:r w:rsidRPr="00380D3E">
        <w:rPr>
          <w:iCs/>
          <w:noProof/>
          <w:sz w:val="24"/>
          <w:szCs w:val="24"/>
        </w:rPr>
        <w:t xml:space="preserve">Der skal udvises forsigtighed ved samtidig administration af macitentan og moderate dobbelte CYP3A4- og CYP2C9-hæmmere (f.eks. fluconazol og amiodaron) (se pkt. 4.5). </w:t>
      </w:r>
    </w:p>
    <w:p w14:paraId="71EFE5E7" w14:textId="77777777" w:rsidR="00061CA5" w:rsidRPr="00380D3E" w:rsidRDefault="00061CA5" w:rsidP="008C3804">
      <w:pPr>
        <w:autoSpaceDE w:val="0"/>
        <w:autoSpaceDN w:val="0"/>
        <w:adjustRightInd w:val="0"/>
        <w:ind w:left="851"/>
        <w:rPr>
          <w:iCs/>
          <w:noProof/>
          <w:sz w:val="24"/>
          <w:szCs w:val="24"/>
        </w:rPr>
      </w:pPr>
    </w:p>
    <w:p w14:paraId="1B53D5DE" w14:textId="77777777" w:rsidR="00061CA5" w:rsidRPr="00380D3E" w:rsidRDefault="00061CA5" w:rsidP="008C3804">
      <w:pPr>
        <w:autoSpaceDE w:val="0"/>
        <w:autoSpaceDN w:val="0"/>
        <w:adjustRightInd w:val="0"/>
        <w:ind w:left="851"/>
        <w:rPr>
          <w:iCs/>
          <w:noProof/>
          <w:sz w:val="24"/>
          <w:szCs w:val="24"/>
        </w:rPr>
      </w:pPr>
      <w:r w:rsidRPr="00380D3E">
        <w:rPr>
          <w:iCs/>
          <w:noProof/>
          <w:sz w:val="24"/>
          <w:szCs w:val="24"/>
        </w:rPr>
        <w:t>Der skal også udvises forsigtighed ved samtidig administration af macitentan og både en moderat CYP3A4-hæmmer (f.eks. ciprofloxacin, ciclosporin, diltiazem, erythromycin, verapamil) og en moderat CYP2C9-hæmmer (f.eks. miconazol, piperin) (se pkt. 4.5).</w:t>
      </w:r>
    </w:p>
    <w:p w14:paraId="7A405E5E" w14:textId="77777777" w:rsidR="00061CA5" w:rsidRPr="00380D3E" w:rsidRDefault="00061CA5" w:rsidP="008C3804">
      <w:pPr>
        <w:autoSpaceDE w:val="0"/>
        <w:autoSpaceDN w:val="0"/>
        <w:adjustRightInd w:val="0"/>
        <w:ind w:left="851"/>
        <w:rPr>
          <w:iCs/>
          <w:noProof/>
          <w:sz w:val="24"/>
          <w:szCs w:val="24"/>
        </w:rPr>
      </w:pPr>
    </w:p>
    <w:p w14:paraId="1271293F" w14:textId="77777777" w:rsidR="00061CA5" w:rsidRPr="00380D3E" w:rsidRDefault="00061CA5" w:rsidP="008C3804">
      <w:pPr>
        <w:autoSpaceDE w:val="0"/>
        <w:autoSpaceDN w:val="0"/>
        <w:adjustRightInd w:val="0"/>
        <w:ind w:left="851"/>
        <w:rPr>
          <w:iCs/>
          <w:noProof/>
          <w:sz w:val="24"/>
          <w:szCs w:val="24"/>
          <w:u w:val="single"/>
        </w:rPr>
      </w:pPr>
      <w:r w:rsidRPr="00380D3E">
        <w:rPr>
          <w:iCs/>
          <w:noProof/>
          <w:sz w:val="24"/>
          <w:szCs w:val="24"/>
          <w:u w:val="single"/>
        </w:rPr>
        <w:t>Nedsat nyrefunktion</w:t>
      </w:r>
    </w:p>
    <w:p w14:paraId="1A481B59" w14:textId="6B7A747C" w:rsidR="00061CA5" w:rsidRPr="00380D3E" w:rsidRDefault="00061CA5" w:rsidP="008C3804">
      <w:pPr>
        <w:autoSpaceDE w:val="0"/>
        <w:autoSpaceDN w:val="0"/>
        <w:adjustRightInd w:val="0"/>
        <w:ind w:left="851"/>
        <w:rPr>
          <w:iCs/>
          <w:noProof/>
          <w:sz w:val="24"/>
          <w:szCs w:val="24"/>
        </w:rPr>
      </w:pPr>
      <w:r w:rsidRPr="00380D3E">
        <w:rPr>
          <w:iCs/>
          <w:noProof/>
          <w:sz w:val="24"/>
          <w:szCs w:val="24"/>
        </w:rPr>
        <w:t xml:space="preserve">Patienter med nyreinsufficiens kan have større risiko for at opleve hypotension og anæmi under behandlingen med macitentan. Det bør derfor overvejes at monitorere blodtryk og hæmoglobin. Der er ingen klinisk erfaring med brug af macitentan hos PAH-patienter med svær nyreinsufficiens. Det anbefales at udvise forsigtighed i denne population. Der er ingen erfaring med brug af Macitentan </w:t>
      </w:r>
      <w:r w:rsidR="007D7859">
        <w:rPr>
          <w:iCs/>
          <w:noProof/>
          <w:sz w:val="24"/>
          <w:szCs w:val="24"/>
        </w:rPr>
        <w:t>"Sandoz"</w:t>
      </w:r>
      <w:r w:rsidRPr="00380D3E">
        <w:rPr>
          <w:iCs/>
          <w:noProof/>
          <w:sz w:val="24"/>
          <w:szCs w:val="24"/>
        </w:rPr>
        <w:t xml:space="preserve"> hos patienter, der er i dialyse. Det frarådes derfor at anvende Macitentan </w:t>
      </w:r>
      <w:r w:rsidR="007D7859">
        <w:rPr>
          <w:iCs/>
          <w:noProof/>
          <w:sz w:val="24"/>
          <w:szCs w:val="24"/>
        </w:rPr>
        <w:t>"Sandoz"</w:t>
      </w:r>
      <w:r w:rsidRPr="00380D3E">
        <w:rPr>
          <w:iCs/>
          <w:noProof/>
          <w:sz w:val="24"/>
          <w:szCs w:val="24"/>
        </w:rPr>
        <w:t xml:space="preserve"> i denne population (se pkt. 4.2 og 5.2).</w:t>
      </w:r>
    </w:p>
    <w:p w14:paraId="5B4DE76B" w14:textId="77777777" w:rsidR="00061CA5" w:rsidRPr="00380D3E" w:rsidRDefault="00061CA5" w:rsidP="008C3804">
      <w:pPr>
        <w:autoSpaceDE w:val="0"/>
        <w:autoSpaceDN w:val="0"/>
        <w:adjustRightInd w:val="0"/>
        <w:ind w:left="851"/>
        <w:rPr>
          <w:iCs/>
          <w:noProof/>
          <w:sz w:val="24"/>
          <w:szCs w:val="24"/>
        </w:rPr>
      </w:pPr>
    </w:p>
    <w:p w14:paraId="56B3D5A7" w14:textId="77777777" w:rsidR="00061CA5" w:rsidRPr="00380D3E" w:rsidRDefault="00061CA5" w:rsidP="008C3804">
      <w:pPr>
        <w:autoSpaceDE w:val="0"/>
        <w:autoSpaceDN w:val="0"/>
        <w:adjustRightInd w:val="0"/>
        <w:ind w:left="851"/>
        <w:rPr>
          <w:iCs/>
          <w:noProof/>
          <w:sz w:val="24"/>
          <w:szCs w:val="24"/>
          <w:u w:val="single"/>
        </w:rPr>
      </w:pPr>
      <w:r w:rsidRPr="00380D3E">
        <w:rPr>
          <w:iCs/>
          <w:noProof/>
          <w:sz w:val="24"/>
          <w:szCs w:val="24"/>
          <w:u w:val="single"/>
        </w:rPr>
        <w:t>Hjælpestoffer, som behandleren skal være opmærksom på</w:t>
      </w:r>
    </w:p>
    <w:p w14:paraId="4C184314" w14:textId="797A0065" w:rsidR="00061CA5" w:rsidRPr="00380D3E" w:rsidRDefault="00061CA5" w:rsidP="008C3804">
      <w:pPr>
        <w:autoSpaceDE w:val="0"/>
        <w:autoSpaceDN w:val="0"/>
        <w:adjustRightInd w:val="0"/>
        <w:ind w:left="851"/>
        <w:rPr>
          <w:iCs/>
          <w:noProof/>
          <w:sz w:val="24"/>
          <w:szCs w:val="24"/>
        </w:rPr>
      </w:pPr>
      <w:r w:rsidRPr="00380D3E">
        <w:rPr>
          <w:iCs/>
          <w:noProof/>
          <w:sz w:val="24"/>
          <w:szCs w:val="24"/>
        </w:rPr>
        <w:t xml:space="preserve">Macitentan </w:t>
      </w:r>
      <w:r w:rsidR="007D7859">
        <w:rPr>
          <w:iCs/>
          <w:noProof/>
          <w:sz w:val="24"/>
          <w:szCs w:val="24"/>
        </w:rPr>
        <w:t>"Sandoz"</w:t>
      </w:r>
      <w:r w:rsidRPr="00380D3E">
        <w:rPr>
          <w:iCs/>
          <w:noProof/>
          <w:sz w:val="24"/>
          <w:szCs w:val="24"/>
        </w:rPr>
        <w:t xml:space="preserve"> indeholder lactose. Bør ikke anvendes til patienter med hereditær galactoseintolerans, total lactasemangel eller glucose/galactosemalabsorption.</w:t>
      </w:r>
    </w:p>
    <w:p w14:paraId="59D2472E" w14:textId="77777777" w:rsidR="00061CA5" w:rsidRPr="00380D3E" w:rsidRDefault="00061CA5" w:rsidP="008C3804">
      <w:pPr>
        <w:autoSpaceDE w:val="0"/>
        <w:autoSpaceDN w:val="0"/>
        <w:adjustRightInd w:val="0"/>
        <w:ind w:left="851"/>
        <w:rPr>
          <w:iCs/>
          <w:noProof/>
          <w:sz w:val="24"/>
          <w:szCs w:val="24"/>
        </w:rPr>
      </w:pPr>
    </w:p>
    <w:p w14:paraId="7301A5A5" w14:textId="5713A80B" w:rsidR="00061CA5" w:rsidRPr="00380D3E" w:rsidRDefault="00061CA5" w:rsidP="008C3804">
      <w:pPr>
        <w:autoSpaceDE w:val="0"/>
        <w:autoSpaceDN w:val="0"/>
        <w:adjustRightInd w:val="0"/>
        <w:ind w:left="851"/>
        <w:rPr>
          <w:noProof/>
          <w:sz w:val="24"/>
          <w:szCs w:val="24"/>
        </w:rPr>
      </w:pPr>
      <w:r w:rsidRPr="00380D3E">
        <w:rPr>
          <w:noProof/>
          <w:sz w:val="24"/>
          <w:szCs w:val="24"/>
        </w:rPr>
        <w:t xml:space="preserve">Macitentan </w:t>
      </w:r>
      <w:r w:rsidR="007D7859">
        <w:rPr>
          <w:noProof/>
          <w:sz w:val="24"/>
          <w:szCs w:val="24"/>
        </w:rPr>
        <w:t>"Sandoz"</w:t>
      </w:r>
      <w:r w:rsidRPr="00380D3E">
        <w:rPr>
          <w:noProof/>
          <w:sz w:val="24"/>
          <w:szCs w:val="24"/>
        </w:rPr>
        <w:t xml:space="preserve"> indeholder sojalecithin. Hvis en patient er overfølsom over for soja eller jordnødder, må du ikke bruge dette lægemiddel (se </w:t>
      </w:r>
      <w:r w:rsidR="00B73B47">
        <w:rPr>
          <w:noProof/>
          <w:sz w:val="24"/>
          <w:szCs w:val="24"/>
        </w:rPr>
        <w:t>pkt.</w:t>
      </w:r>
      <w:r w:rsidRPr="00380D3E">
        <w:rPr>
          <w:noProof/>
          <w:sz w:val="24"/>
          <w:szCs w:val="24"/>
        </w:rPr>
        <w:t xml:space="preserve"> 4.3).</w:t>
      </w:r>
    </w:p>
    <w:p w14:paraId="213CA766" w14:textId="77777777" w:rsidR="00061CA5" w:rsidRPr="00380D3E" w:rsidRDefault="00061CA5" w:rsidP="008C3804">
      <w:pPr>
        <w:autoSpaceDE w:val="0"/>
        <w:autoSpaceDN w:val="0"/>
        <w:adjustRightInd w:val="0"/>
        <w:ind w:left="851"/>
        <w:rPr>
          <w:iCs/>
          <w:noProof/>
          <w:sz w:val="24"/>
          <w:szCs w:val="24"/>
        </w:rPr>
      </w:pPr>
    </w:p>
    <w:p w14:paraId="18AE6F44" w14:textId="13F1344A" w:rsidR="00061CA5" w:rsidRPr="00380D3E" w:rsidRDefault="00061CA5" w:rsidP="008C3804">
      <w:pPr>
        <w:autoSpaceDE w:val="0"/>
        <w:autoSpaceDN w:val="0"/>
        <w:adjustRightInd w:val="0"/>
        <w:ind w:left="851"/>
        <w:rPr>
          <w:iCs/>
          <w:noProof/>
          <w:sz w:val="24"/>
          <w:szCs w:val="24"/>
        </w:rPr>
      </w:pPr>
      <w:r w:rsidRPr="00380D3E">
        <w:rPr>
          <w:iCs/>
          <w:noProof/>
          <w:sz w:val="24"/>
          <w:szCs w:val="24"/>
        </w:rPr>
        <w:t>Dette lægemiddel indeholder mindre end 1 mmol (23 mg) natrium pr. tablet, dvs. det er i det</w:t>
      </w:r>
      <w:r w:rsidR="00380D3E">
        <w:rPr>
          <w:iCs/>
          <w:noProof/>
          <w:sz w:val="24"/>
          <w:szCs w:val="24"/>
        </w:rPr>
        <w:t xml:space="preserve"> </w:t>
      </w:r>
      <w:r w:rsidRPr="00380D3E">
        <w:rPr>
          <w:iCs/>
          <w:noProof/>
          <w:sz w:val="24"/>
          <w:szCs w:val="24"/>
        </w:rPr>
        <w:t>væsentlige natrium-frit.</w:t>
      </w:r>
    </w:p>
    <w:p w14:paraId="6B689C42" w14:textId="77777777" w:rsidR="009260DE" w:rsidRPr="00380D3E" w:rsidRDefault="009260DE" w:rsidP="009260DE">
      <w:pPr>
        <w:tabs>
          <w:tab w:val="left" w:pos="851"/>
        </w:tabs>
        <w:ind w:left="851"/>
        <w:rPr>
          <w:sz w:val="24"/>
          <w:szCs w:val="24"/>
        </w:rPr>
      </w:pPr>
    </w:p>
    <w:p w14:paraId="273F7009" w14:textId="77777777" w:rsidR="009260DE" w:rsidRPr="00380D3E" w:rsidRDefault="009260DE" w:rsidP="009260DE">
      <w:pPr>
        <w:tabs>
          <w:tab w:val="left" w:pos="851"/>
        </w:tabs>
        <w:ind w:left="851" w:hanging="851"/>
        <w:rPr>
          <w:b/>
          <w:sz w:val="24"/>
          <w:szCs w:val="24"/>
        </w:rPr>
      </w:pPr>
      <w:r w:rsidRPr="00380D3E">
        <w:rPr>
          <w:b/>
          <w:sz w:val="24"/>
          <w:szCs w:val="24"/>
        </w:rPr>
        <w:t>4.5</w:t>
      </w:r>
      <w:r w:rsidRPr="00380D3E">
        <w:rPr>
          <w:b/>
          <w:sz w:val="24"/>
          <w:szCs w:val="24"/>
        </w:rPr>
        <w:tab/>
        <w:t>Interaktion med andre lægemidler og andre former for interaktion</w:t>
      </w:r>
    </w:p>
    <w:p w14:paraId="020536A9" w14:textId="77777777" w:rsidR="00380D3E" w:rsidRDefault="00380D3E" w:rsidP="008C3804">
      <w:pPr>
        <w:ind w:left="851"/>
        <w:rPr>
          <w:i/>
          <w:iCs/>
          <w:noProof/>
          <w:sz w:val="24"/>
          <w:szCs w:val="24"/>
          <w:u w:val="single"/>
        </w:rPr>
      </w:pPr>
    </w:p>
    <w:p w14:paraId="30FD6C88" w14:textId="276FAB23" w:rsidR="00061CA5" w:rsidRPr="00380D3E" w:rsidRDefault="00061CA5" w:rsidP="008C3804">
      <w:pPr>
        <w:ind w:left="851"/>
        <w:rPr>
          <w:noProof/>
          <w:sz w:val="24"/>
          <w:szCs w:val="24"/>
          <w:u w:val="single"/>
        </w:rPr>
      </w:pPr>
      <w:r w:rsidRPr="00380D3E">
        <w:rPr>
          <w:i/>
          <w:iCs/>
          <w:noProof/>
          <w:sz w:val="24"/>
          <w:szCs w:val="24"/>
          <w:u w:val="single"/>
        </w:rPr>
        <w:t>In vitro</w:t>
      </w:r>
      <w:r w:rsidRPr="00380D3E">
        <w:rPr>
          <w:noProof/>
          <w:sz w:val="24"/>
          <w:szCs w:val="24"/>
          <w:u w:val="single"/>
        </w:rPr>
        <w:t>-studier</w:t>
      </w:r>
    </w:p>
    <w:p w14:paraId="05395D40" w14:textId="71888A65" w:rsidR="00061CA5" w:rsidRPr="00380D3E" w:rsidRDefault="00061CA5" w:rsidP="008C3804">
      <w:pPr>
        <w:ind w:left="851"/>
        <w:rPr>
          <w:noProof/>
          <w:sz w:val="24"/>
          <w:szCs w:val="24"/>
        </w:rPr>
      </w:pPr>
      <w:r w:rsidRPr="00380D3E">
        <w:rPr>
          <w:noProof/>
          <w:sz w:val="24"/>
          <w:szCs w:val="24"/>
        </w:rPr>
        <w:t xml:space="preserve">Cytochrom P450 CYP3A4 er det vigtigste enzym, der er involveret i metabolismen af macitentan og i dannelsen af dets aktive metabolit, med mindre bidrag fra CYP2C8-, </w:t>
      </w:r>
      <w:r w:rsidRPr="00380D3E">
        <w:rPr>
          <w:noProof/>
          <w:sz w:val="24"/>
          <w:szCs w:val="24"/>
        </w:rPr>
        <w:lastRenderedPageBreak/>
        <w:t>CYP2C9- og CYP2C19-enzymerne (se pkt. 5.2). Macitentan og dets aktive metabolit har ingen klinisk relevante hæmmende eller inducerende effekter på cytochrom P450-enzymer.</w:t>
      </w:r>
    </w:p>
    <w:p w14:paraId="04BB0A70" w14:textId="77777777" w:rsidR="00061CA5" w:rsidRPr="00380D3E" w:rsidRDefault="00061CA5" w:rsidP="008C3804">
      <w:pPr>
        <w:ind w:left="851"/>
        <w:rPr>
          <w:noProof/>
          <w:sz w:val="24"/>
          <w:szCs w:val="24"/>
        </w:rPr>
      </w:pPr>
    </w:p>
    <w:p w14:paraId="168C2848" w14:textId="77777777" w:rsidR="00061CA5" w:rsidRPr="00380D3E" w:rsidRDefault="00061CA5" w:rsidP="008C3804">
      <w:pPr>
        <w:ind w:left="851"/>
        <w:rPr>
          <w:noProof/>
          <w:sz w:val="24"/>
          <w:szCs w:val="24"/>
        </w:rPr>
      </w:pPr>
      <w:r w:rsidRPr="00380D3E">
        <w:rPr>
          <w:noProof/>
          <w:sz w:val="24"/>
          <w:szCs w:val="24"/>
        </w:rPr>
        <w:t>Macitentan og dets aktive metabolit er ikke hæmmere af hepatiske eller renale optagstransportører i klinisk relevante koncentrationer, herunder de organiske aniontransporterende polypeptider (OATP1B1 og OATP1B3). Macitentan og dets aktive metabolit er ikke relevante substrater af OATP1B1 og OATP1B3 men overføres til leveren via passiv diffusion.</w:t>
      </w:r>
    </w:p>
    <w:p w14:paraId="19F21179" w14:textId="77777777" w:rsidR="00061CA5" w:rsidRPr="00380D3E" w:rsidRDefault="00061CA5" w:rsidP="008C3804">
      <w:pPr>
        <w:ind w:left="851"/>
        <w:rPr>
          <w:noProof/>
          <w:sz w:val="24"/>
          <w:szCs w:val="24"/>
        </w:rPr>
      </w:pPr>
    </w:p>
    <w:p w14:paraId="76951516" w14:textId="77777777" w:rsidR="00061CA5" w:rsidRPr="00380D3E" w:rsidRDefault="00061CA5" w:rsidP="008C3804">
      <w:pPr>
        <w:ind w:left="851"/>
        <w:rPr>
          <w:noProof/>
          <w:sz w:val="24"/>
          <w:szCs w:val="24"/>
        </w:rPr>
      </w:pPr>
      <w:r w:rsidRPr="00380D3E">
        <w:rPr>
          <w:noProof/>
          <w:sz w:val="24"/>
          <w:szCs w:val="24"/>
        </w:rPr>
        <w:t>Macitentan og dets aktive metabolit i klinisk relevante koncentrationer hæmmer ikke hepatiske eller renale efflukspumper, herunder det multilægemiddelresistente protein (P-gp, MDR-1) og multilægemiddel- og toksinekstrusiontransportørerne (MATE1 og MATE2-K). Macitentan er ikke et substrat for P-gp/MDR-1.</w:t>
      </w:r>
    </w:p>
    <w:p w14:paraId="5056EDCB" w14:textId="77777777" w:rsidR="00061CA5" w:rsidRPr="00380D3E" w:rsidRDefault="00061CA5" w:rsidP="008C3804">
      <w:pPr>
        <w:ind w:left="851"/>
        <w:rPr>
          <w:noProof/>
          <w:sz w:val="24"/>
          <w:szCs w:val="24"/>
        </w:rPr>
      </w:pPr>
    </w:p>
    <w:p w14:paraId="31ED67E1" w14:textId="77777777" w:rsidR="00061CA5" w:rsidRPr="00380D3E" w:rsidRDefault="00061CA5" w:rsidP="008C3804">
      <w:pPr>
        <w:ind w:left="851"/>
        <w:rPr>
          <w:noProof/>
          <w:sz w:val="24"/>
          <w:szCs w:val="24"/>
        </w:rPr>
      </w:pPr>
      <w:r w:rsidRPr="00380D3E">
        <w:rPr>
          <w:noProof/>
          <w:sz w:val="24"/>
          <w:szCs w:val="24"/>
        </w:rPr>
        <w:t>Macitentan og dets aktive metabolit i klinisk relevante koncentrationer interagerer ikke med de proteiner, der er involveret i den hepatiske galdesalttransport, dvs. Galdesalteksportpumpen (BSEP) og det natriumafhængige taurocholat-co-transporterende polypeptid (NTCP).</w:t>
      </w:r>
    </w:p>
    <w:p w14:paraId="7BB6E220" w14:textId="77777777" w:rsidR="00061CA5" w:rsidRPr="00380D3E" w:rsidRDefault="00061CA5" w:rsidP="008C3804">
      <w:pPr>
        <w:ind w:left="851"/>
        <w:rPr>
          <w:i/>
          <w:iCs/>
          <w:noProof/>
          <w:sz w:val="24"/>
          <w:szCs w:val="24"/>
        </w:rPr>
      </w:pPr>
    </w:p>
    <w:p w14:paraId="320DD917" w14:textId="77777777" w:rsidR="00061CA5" w:rsidRPr="00380D3E" w:rsidRDefault="00061CA5" w:rsidP="008C3804">
      <w:pPr>
        <w:ind w:left="851"/>
        <w:rPr>
          <w:noProof/>
          <w:sz w:val="24"/>
          <w:szCs w:val="24"/>
          <w:u w:val="single"/>
        </w:rPr>
      </w:pPr>
      <w:r w:rsidRPr="00380D3E">
        <w:rPr>
          <w:i/>
          <w:iCs/>
          <w:noProof/>
          <w:sz w:val="24"/>
          <w:szCs w:val="24"/>
          <w:u w:val="single"/>
        </w:rPr>
        <w:t>In vivo-</w:t>
      </w:r>
      <w:r w:rsidRPr="00380D3E">
        <w:rPr>
          <w:noProof/>
          <w:sz w:val="24"/>
          <w:szCs w:val="24"/>
          <w:u w:val="single"/>
        </w:rPr>
        <w:t>studier</w:t>
      </w:r>
    </w:p>
    <w:p w14:paraId="584E1DBF" w14:textId="77777777" w:rsidR="00061CA5" w:rsidRPr="00380D3E" w:rsidRDefault="00061CA5" w:rsidP="008C3804">
      <w:pPr>
        <w:ind w:left="851"/>
        <w:rPr>
          <w:i/>
          <w:iCs/>
          <w:noProof/>
          <w:sz w:val="24"/>
          <w:szCs w:val="24"/>
        </w:rPr>
      </w:pPr>
      <w:r w:rsidRPr="00380D3E">
        <w:rPr>
          <w:i/>
          <w:iCs/>
          <w:noProof/>
          <w:sz w:val="24"/>
          <w:szCs w:val="24"/>
        </w:rPr>
        <w:t xml:space="preserve">Stærke CYP3A4-induktorer: </w:t>
      </w:r>
      <w:r w:rsidRPr="00380D3E">
        <w:rPr>
          <w:noProof/>
          <w:sz w:val="24"/>
          <w:szCs w:val="24"/>
        </w:rPr>
        <w:t>Samtidig behandling med rifampicin (potent CYP3A4-induktor) 600 mg dagligt reducerede steady-state-eksponeringen for macitentan med 79 % men påvirkede ikke eksponeringen for den aktive</w:t>
      </w:r>
      <w:r w:rsidRPr="00380D3E">
        <w:rPr>
          <w:i/>
          <w:iCs/>
          <w:noProof/>
          <w:sz w:val="24"/>
          <w:szCs w:val="24"/>
        </w:rPr>
        <w:t xml:space="preserve"> </w:t>
      </w:r>
      <w:r w:rsidRPr="00380D3E">
        <w:rPr>
          <w:noProof/>
          <w:sz w:val="24"/>
          <w:szCs w:val="24"/>
        </w:rPr>
        <w:t>metabolit. Der skal tages højde for nedsat effekt af macitentan ved samtidig brug af en stærk</w:t>
      </w:r>
      <w:r w:rsidRPr="00380D3E">
        <w:rPr>
          <w:i/>
          <w:iCs/>
          <w:noProof/>
          <w:sz w:val="24"/>
          <w:szCs w:val="24"/>
        </w:rPr>
        <w:t xml:space="preserve"> </w:t>
      </w:r>
      <w:r w:rsidRPr="00380D3E">
        <w:rPr>
          <w:noProof/>
          <w:sz w:val="24"/>
          <w:szCs w:val="24"/>
        </w:rPr>
        <w:t>CYP3A4-induktor, såsom rifampicin. Kombination af macitentan og stærke CYP3A4-induktorer bør</w:t>
      </w:r>
      <w:r w:rsidRPr="00380D3E">
        <w:rPr>
          <w:i/>
          <w:iCs/>
          <w:noProof/>
          <w:sz w:val="24"/>
          <w:szCs w:val="24"/>
        </w:rPr>
        <w:t xml:space="preserve"> </w:t>
      </w:r>
      <w:r w:rsidRPr="00380D3E">
        <w:rPr>
          <w:noProof/>
          <w:sz w:val="24"/>
          <w:szCs w:val="24"/>
        </w:rPr>
        <w:t>undgås (se pkt. 4.4).</w:t>
      </w:r>
    </w:p>
    <w:p w14:paraId="47D812C9" w14:textId="77777777" w:rsidR="00061CA5" w:rsidRPr="00380D3E" w:rsidRDefault="00061CA5" w:rsidP="008C3804">
      <w:pPr>
        <w:ind w:left="851"/>
        <w:rPr>
          <w:i/>
          <w:iCs/>
          <w:noProof/>
          <w:sz w:val="24"/>
          <w:szCs w:val="24"/>
        </w:rPr>
      </w:pPr>
    </w:p>
    <w:p w14:paraId="47558029" w14:textId="77777777" w:rsidR="00061CA5" w:rsidRPr="00380D3E" w:rsidRDefault="00061CA5" w:rsidP="008C3804">
      <w:pPr>
        <w:ind w:left="851"/>
        <w:rPr>
          <w:i/>
          <w:iCs/>
          <w:noProof/>
          <w:sz w:val="24"/>
          <w:szCs w:val="24"/>
        </w:rPr>
      </w:pPr>
      <w:r w:rsidRPr="00380D3E">
        <w:rPr>
          <w:i/>
          <w:iCs/>
          <w:noProof/>
          <w:sz w:val="24"/>
          <w:szCs w:val="24"/>
        </w:rPr>
        <w:t xml:space="preserve">Ketoconazol: </w:t>
      </w:r>
      <w:r w:rsidRPr="00380D3E">
        <w:rPr>
          <w:noProof/>
          <w:sz w:val="24"/>
          <w:szCs w:val="24"/>
        </w:rPr>
        <w:t>Ved brug af 400 mg ketoconazol, der er en stærk CYP3A4-hæmmer, én gang dagligt steg</w:t>
      </w:r>
      <w:r w:rsidRPr="00380D3E">
        <w:rPr>
          <w:i/>
          <w:iCs/>
          <w:noProof/>
          <w:sz w:val="24"/>
          <w:szCs w:val="24"/>
        </w:rPr>
        <w:t xml:space="preserve"> </w:t>
      </w:r>
      <w:r w:rsidRPr="00380D3E">
        <w:rPr>
          <w:noProof/>
          <w:sz w:val="24"/>
          <w:szCs w:val="24"/>
        </w:rPr>
        <w:t>eksponeringen for macitentan ca. to gange. Den forventede stigning var cirka tre gange højere ved</w:t>
      </w:r>
      <w:r w:rsidRPr="00380D3E">
        <w:rPr>
          <w:i/>
          <w:iCs/>
          <w:noProof/>
          <w:sz w:val="24"/>
          <w:szCs w:val="24"/>
        </w:rPr>
        <w:t xml:space="preserve"> </w:t>
      </w:r>
      <w:r w:rsidRPr="00380D3E">
        <w:rPr>
          <w:noProof/>
          <w:sz w:val="24"/>
          <w:szCs w:val="24"/>
        </w:rPr>
        <w:t>administration af ketoconazol 200 mg to gange dagligt ved brug af en fysiologisk baseret</w:t>
      </w:r>
      <w:r w:rsidRPr="00380D3E">
        <w:rPr>
          <w:i/>
          <w:iCs/>
          <w:noProof/>
          <w:sz w:val="24"/>
          <w:szCs w:val="24"/>
        </w:rPr>
        <w:t xml:space="preserve"> </w:t>
      </w:r>
      <w:r w:rsidRPr="00380D3E">
        <w:rPr>
          <w:noProof/>
          <w:sz w:val="24"/>
          <w:szCs w:val="24"/>
        </w:rPr>
        <w:t>farmakokinetisk (PBPK) model. Der skal tages højde for usikkerheden ved sådanne modeller.</w:t>
      </w:r>
      <w:r w:rsidRPr="00380D3E">
        <w:rPr>
          <w:i/>
          <w:iCs/>
          <w:noProof/>
          <w:sz w:val="24"/>
          <w:szCs w:val="24"/>
        </w:rPr>
        <w:t xml:space="preserve"> </w:t>
      </w:r>
      <w:r w:rsidRPr="00380D3E">
        <w:rPr>
          <w:noProof/>
          <w:sz w:val="24"/>
          <w:szCs w:val="24"/>
        </w:rPr>
        <w:t>Eksponeringen for macitentans aktive metabolit faldt med 26 %: Der skal udvises forsigtighed ved</w:t>
      </w:r>
      <w:r w:rsidRPr="00380D3E">
        <w:rPr>
          <w:i/>
          <w:iCs/>
          <w:noProof/>
          <w:sz w:val="24"/>
          <w:szCs w:val="24"/>
        </w:rPr>
        <w:t xml:space="preserve"> </w:t>
      </w:r>
      <w:r w:rsidRPr="00380D3E">
        <w:rPr>
          <w:noProof/>
          <w:sz w:val="24"/>
          <w:szCs w:val="24"/>
        </w:rPr>
        <w:t>samtidig administration af macitentan og stærke CYP3A4-hæmmere (se pkt. 4.4).</w:t>
      </w:r>
    </w:p>
    <w:p w14:paraId="36228840" w14:textId="77777777" w:rsidR="00061CA5" w:rsidRPr="00380D3E" w:rsidRDefault="00061CA5" w:rsidP="008C3804">
      <w:pPr>
        <w:ind w:left="851"/>
        <w:rPr>
          <w:i/>
          <w:iCs/>
          <w:noProof/>
          <w:sz w:val="24"/>
          <w:szCs w:val="24"/>
        </w:rPr>
      </w:pPr>
    </w:p>
    <w:p w14:paraId="65D1D38B" w14:textId="77777777" w:rsidR="00061CA5" w:rsidRPr="00380D3E" w:rsidRDefault="00061CA5" w:rsidP="008C3804">
      <w:pPr>
        <w:ind w:left="851"/>
        <w:rPr>
          <w:i/>
          <w:iCs/>
          <w:noProof/>
          <w:sz w:val="24"/>
          <w:szCs w:val="24"/>
        </w:rPr>
      </w:pPr>
      <w:r w:rsidRPr="00380D3E">
        <w:rPr>
          <w:i/>
          <w:iCs/>
          <w:noProof/>
          <w:sz w:val="24"/>
          <w:szCs w:val="24"/>
        </w:rPr>
        <w:t xml:space="preserve">Fluconazol: </w:t>
      </w:r>
      <w:r w:rsidRPr="00380D3E">
        <w:rPr>
          <w:noProof/>
          <w:sz w:val="24"/>
          <w:szCs w:val="24"/>
        </w:rPr>
        <w:t>Ved brug af 400 mg fluconazol, der er en moderat dobbelt CYP3A4- og CYP2C9-hæmmer, dagligt</w:t>
      </w:r>
      <w:r w:rsidRPr="00380D3E">
        <w:rPr>
          <w:i/>
          <w:iCs/>
          <w:noProof/>
          <w:sz w:val="24"/>
          <w:szCs w:val="24"/>
        </w:rPr>
        <w:t xml:space="preserve"> </w:t>
      </w:r>
      <w:r w:rsidRPr="00380D3E">
        <w:rPr>
          <w:noProof/>
          <w:sz w:val="24"/>
          <w:szCs w:val="24"/>
        </w:rPr>
        <w:t>kan eksponeringen for macitentan stige ca. 3,8 gange baseret på PBPK modellering. Der var dog ingen</w:t>
      </w:r>
      <w:r w:rsidRPr="00380D3E">
        <w:rPr>
          <w:i/>
          <w:iCs/>
          <w:noProof/>
          <w:sz w:val="24"/>
          <w:szCs w:val="24"/>
        </w:rPr>
        <w:t xml:space="preserve"> </w:t>
      </w:r>
      <w:r w:rsidRPr="00380D3E">
        <w:rPr>
          <w:noProof/>
          <w:sz w:val="24"/>
          <w:szCs w:val="24"/>
        </w:rPr>
        <w:t>klinisk relevant ændring i eksponering for macitentans aktive metabolit. Der skal tages højde for</w:t>
      </w:r>
      <w:r w:rsidRPr="00380D3E">
        <w:rPr>
          <w:i/>
          <w:iCs/>
          <w:noProof/>
          <w:sz w:val="24"/>
          <w:szCs w:val="24"/>
        </w:rPr>
        <w:t xml:space="preserve"> </w:t>
      </w:r>
      <w:r w:rsidRPr="00380D3E">
        <w:rPr>
          <w:noProof/>
          <w:sz w:val="24"/>
          <w:szCs w:val="24"/>
        </w:rPr>
        <w:t>usikkerheden ved sådanne modeller. Der skal udvises forsigtighed ved samtidig administration af</w:t>
      </w:r>
      <w:r w:rsidRPr="00380D3E">
        <w:rPr>
          <w:i/>
          <w:iCs/>
          <w:noProof/>
          <w:sz w:val="24"/>
          <w:szCs w:val="24"/>
        </w:rPr>
        <w:t xml:space="preserve"> </w:t>
      </w:r>
      <w:r w:rsidRPr="00380D3E">
        <w:rPr>
          <w:noProof/>
          <w:sz w:val="24"/>
          <w:szCs w:val="24"/>
        </w:rPr>
        <w:t>macitentan og moderate dobbelte CYP3A4- og CYP2C9-hæmmere (f.eks. fluconazol og amiodaron)</w:t>
      </w:r>
      <w:r w:rsidRPr="00380D3E">
        <w:rPr>
          <w:i/>
          <w:iCs/>
          <w:noProof/>
          <w:sz w:val="24"/>
          <w:szCs w:val="24"/>
        </w:rPr>
        <w:t xml:space="preserve"> </w:t>
      </w:r>
      <w:r w:rsidRPr="00380D3E">
        <w:rPr>
          <w:noProof/>
          <w:sz w:val="24"/>
          <w:szCs w:val="24"/>
        </w:rPr>
        <w:t>(se pkt. 4.4).</w:t>
      </w:r>
    </w:p>
    <w:p w14:paraId="3DAD6299" w14:textId="77777777" w:rsidR="00061CA5" w:rsidRPr="00380D3E" w:rsidRDefault="00061CA5" w:rsidP="008C3804">
      <w:pPr>
        <w:ind w:left="851"/>
        <w:rPr>
          <w:noProof/>
          <w:sz w:val="24"/>
          <w:szCs w:val="24"/>
        </w:rPr>
      </w:pPr>
    </w:p>
    <w:p w14:paraId="3FAC5F06" w14:textId="77777777" w:rsidR="00061CA5" w:rsidRPr="00380D3E" w:rsidRDefault="00061CA5" w:rsidP="008C3804">
      <w:pPr>
        <w:ind w:left="851"/>
        <w:rPr>
          <w:noProof/>
          <w:sz w:val="24"/>
          <w:szCs w:val="24"/>
        </w:rPr>
      </w:pPr>
      <w:r w:rsidRPr="00380D3E">
        <w:rPr>
          <w:noProof/>
          <w:sz w:val="24"/>
          <w:szCs w:val="24"/>
        </w:rPr>
        <w:t>Der skal også udvises forsigtighed ved samtidig administration af macitentan og både en moderat CYP3A4-hæmmer (f.eks. ciprofloxacin, ciclosporin, diltiazem, erythromycin, verapamil) og en moderat CYP2C9-hæmmer (f.eks. miconazol, piperin) (se pkt. 4.4).</w:t>
      </w:r>
    </w:p>
    <w:p w14:paraId="52C6420B" w14:textId="77777777" w:rsidR="00061CA5" w:rsidRPr="00380D3E" w:rsidRDefault="00061CA5" w:rsidP="008C3804">
      <w:pPr>
        <w:ind w:left="851"/>
        <w:rPr>
          <w:i/>
          <w:iCs/>
          <w:noProof/>
          <w:sz w:val="24"/>
          <w:szCs w:val="24"/>
        </w:rPr>
      </w:pPr>
    </w:p>
    <w:p w14:paraId="1AE08A2C" w14:textId="77777777" w:rsidR="00061CA5" w:rsidRPr="00380D3E" w:rsidRDefault="00061CA5" w:rsidP="008C3804">
      <w:pPr>
        <w:ind w:left="851"/>
        <w:rPr>
          <w:i/>
          <w:iCs/>
          <w:noProof/>
          <w:sz w:val="24"/>
          <w:szCs w:val="24"/>
        </w:rPr>
      </w:pPr>
      <w:r w:rsidRPr="00380D3E">
        <w:rPr>
          <w:i/>
          <w:iCs/>
          <w:noProof/>
          <w:sz w:val="24"/>
          <w:szCs w:val="24"/>
        </w:rPr>
        <w:t xml:space="preserve">Warfarin: </w:t>
      </w:r>
      <w:r w:rsidRPr="00380D3E">
        <w:rPr>
          <w:noProof/>
          <w:sz w:val="24"/>
          <w:szCs w:val="24"/>
        </w:rPr>
        <w:t>Gentagne doser af 10 mg macitentan én gang dagligt havde ingen effekt på eksponeringen for</w:t>
      </w:r>
      <w:r w:rsidRPr="00380D3E">
        <w:rPr>
          <w:i/>
          <w:iCs/>
          <w:noProof/>
          <w:sz w:val="24"/>
          <w:szCs w:val="24"/>
        </w:rPr>
        <w:t xml:space="preserve"> </w:t>
      </w:r>
      <w:r w:rsidRPr="00380D3E">
        <w:rPr>
          <w:noProof/>
          <w:sz w:val="24"/>
          <w:szCs w:val="24"/>
        </w:rPr>
        <w:t>S-warfarin (CYP2C9-substrat) eller R-warfarin (CYP3A4-substrat) efter en enkelt dosis af 25 mg</w:t>
      </w:r>
      <w:r w:rsidRPr="00380D3E">
        <w:rPr>
          <w:i/>
          <w:iCs/>
          <w:noProof/>
          <w:sz w:val="24"/>
          <w:szCs w:val="24"/>
        </w:rPr>
        <w:t xml:space="preserve"> </w:t>
      </w:r>
      <w:r w:rsidRPr="00380D3E">
        <w:rPr>
          <w:noProof/>
          <w:sz w:val="24"/>
          <w:szCs w:val="24"/>
        </w:rPr>
        <w:t>warfarin. Den farmakodynamiske effekt af warfarin på INR (international normaliseret ratio) blev ikke</w:t>
      </w:r>
      <w:r w:rsidRPr="00380D3E">
        <w:rPr>
          <w:i/>
          <w:iCs/>
          <w:noProof/>
          <w:sz w:val="24"/>
          <w:szCs w:val="24"/>
        </w:rPr>
        <w:t xml:space="preserve"> </w:t>
      </w:r>
      <w:r w:rsidRPr="00380D3E">
        <w:rPr>
          <w:noProof/>
          <w:sz w:val="24"/>
          <w:szCs w:val="24"/>
        </w:rPr>
        <w:t>påvirket af macitentan. Farmakokinetikken af macitentan og dets aktive metabolit blev ikke påvirket af</w:t>
      </w:r>
      <w:r w:rsidRPr="00380D3E">
        <w:rPr>
          <w:i/>
          <w:iCs/>
          <w:noProof/>
          <w:sz w:val="24"/>
          <w:szCs w:val="24"/>
        </w:rPr>
        <w:t xml:space="preserve"> </w:t>
      </w:r>
      <w:r w:rsidRPr="00380D3E">
        <w:rPr>
          <w:noProof/>
          <w:sz w:val="24"/>
          <w:szCs w:val="24"/>
        </w:rPr>
        <w:t>warfarin.</w:t>
      </w:r>
    </w:p>
    <w:p w14:paraId="33217C39" w14:textId="77777777" w:rsidR="00061CA5" w:rsidRPr="00380D3E" w:rsidRDefault="00061CA5" w:rsidP="008C3804">
      <w:pPr>
        <w:ind w:left="851"/>
        <w:rPr>
          <w:i/>
          <w:iCs/>
          <w:noProof/>
          <w:sz w:val="24"/>
          <w:szCs w:val="24"/>
        </w:rPr>
      </w:pPr>
    </w:p>
    <w:p w14:paraId="26A76010" w14:textId="77777777" w:rsidR="00061CA5" w:rsidRPr="00380D3E" w:rsidRDefault="00061CA5" w:rsidP="008C3804">
      <w:pPr>
        <w:ind w:left="851"/>
        <w:rPr>
          <w:i/>
          <w:iCs/>
          <w:noProof/>
          <w:sz w:val="24"/>
          <w:szCs w:val="24"/>
        </w:rPr>
      </w:pPr>
      <w:r w:rsidRPr="00380D3E">
        <w:rPr>
          <w:i/>
          <w:iCs/>
          <w:noProof/>
          <w:sz w:val="24"/>
          <w:szCs w:val="24"/>
        </w:rPr>
        <w:t xml:space="preserve">Sildenafil: </w:t>
      </w:r>
      <w:r w:rsidRPr="00380D3E">
        <w:rPr>
          <w:noProof/>
          <w:sz w:val="24"/>
          <w:szCs w:val="24"/>
        </w:rPr>
        <w:t>Ved steady-state var eksponeringen for sildenafil 20 mg tre gange dagligt øget med 15 % ved samtidig</w:t>
      </w:r>
      <w:r w:rsidRPr="00380D3E">
        <w:rPr>
          <w:i/>
          <w:iCs/>
          <w:noProof/>
          <w:sz w:val="24"/>
          <w:szCs w:val="24"/>
        </w:rPr>
        <w:t xml:space="preserve"> </w:t>
      </w:r>
      <w:r w:rsidRPr="00380D3E">
        <w:rPr>
          <w:noProof/>
          <w:sz w:val="24"/>
          <w:szCs w:val="24"/>
        </w:rPr>
        <w:t>administration af macitentan 10 mg én gang dagligt. Sildenafil, der er et CYP3A4-substrat, påvirkede</w:t>
      </w:r>
      <w:r w:rsidRPr="00380D3E">
        <w:rPr>
          <w:i/>
          <w:iCs/>
          <w:noProof/>
          <w:sz w:val="24"/>
          <w:szCs w:val="24"/>
        </w:rPr>
        <w:t xml:space="preserve"> </w:t>
      </w:r>
      <w:r w:rsidRPr="00380D3E">
        <w:rPr>
          <w:noProof/>
          <w:sz w:val="24"/>
          <w:szCs w:val="24"/>
        </w:rPr>
        <w:t>ikke farmakokinetikken af macitentan, men der blev set en reduktion på 15 % i eksponeringen for den</w:t>
      </w:r>
      <w:r w:rsidRPr="00380D3E">
        <w:rPr>
          <w:i/>
          <w:iCs/>
          <w:noProof/>
          <w:sz w:val="24"/>
          <w:szCs w:val="24"/>
        </w:rPr>
        <w:t xml:space="preserve"> </w:t>
      </w:r>
      <w:r w:rsidRPr="00380D3E">
        <w:rPr>
          <w:noProof/>
          <w:sz w:val="24"/>
          <w:szCs w:val="24"/>
        </w:rPr>
        <w:t>aktive metabolit af macitentan. Disse ændringer anses ikke for at være af klinisk relevans. I et</w:t>
      </w:r>
      <w:r w:rsidRPr="00380D3E">
        <w:rPr>
          <w:i/>
          <w:iCs/>
          <w:noProof/>
          <w:sz w:val="24"/>
          <w:szCs w:val="24"/>
        </w:rPr>
        <w:t xml:space="preserve"> </w:t>
      </w:r>
      <w:r w:rsidRPr="00380D3E">
        <w:rPr>
          <w:noProof/>
          <w:sz w:val="24"/>
          <w:szCs w:val="24"/>
        </w:rPr>
        <w:t>placebokontrolleret forsøg med patienter med PAH blev der påvist effekt og sikkerhed af macitentan i</w:t>
      </w:r>
      <w:r w:rsidRPr="00380D3E">
        <w:rPr>
          <w:i/>
          <w:iCs/>
          <w:noProof/>
          <w:sz w:val="24"/>
          <w:szCs w:val="24"/>
        </w:rPr>
        <w:t xml:space="preserve"> </w:t>
      </w:r>
      <w:r w:rsidRPr="00380D3E">
        <w:rPr>
          <w:noProof/>
          <w:sz w:val="24"/>
          <w:szCs w:val="24"/>
        </w:rPr>
        <w:t>kombination med sildenafil.</w:t>
      </w:r>
    </w:p>
    <w:p w14:paraId="7E1D18FB" w14:textId="77777777" w:rsidR="00061CA5" w:rsidRPr="00380D3E" w:rsidRDefault="00061CA5" w:rsidP="008C3804">
      <w:pPr>
        <w:ind w:left="851"/>
        <w:rPr>
          <w:i/>
          <w:iCs/>
          <w:noProof/>
          <w:sz w:val="24"/>
          <w:szCs w:val="24"/>
        </w:rPr>
      </w:pPr>
    </w:p>
    <w:p w14:paraId="3D5446DA" w14:textId="77777777" w:rsidR="00061CA5" w:rsidRPr="00380D3E" w:rsidRDefault="00061CA5" w:rsidP="008C3804">
      <w:pPr>
        <w:ind w:left="851"/>
        <w:rPr>
          <w:i/>
          <w:iCs/>
          <w:noProof/>
          <w:sz w:val="24"/>
          <w:szCs w:val="24"/>
        </w:rPr>
      </w:pPr>
      <w:r w:rsidRPr="00380D3E">
        <w:rPr>
          <w:i/>
          <w:iCs/>
          <w:noProof/>
          <w:sz w:val="24"/>
          <w:szCs w:val="24"/>
        </w:rPr>
        <w:t xml:space="preserve">Ciclosporin A: </w:t>
      </w:r>
      <w:r w:rsidRPr="00380D3E">
        <w:rPr>
          <w:noProof/>
          <w:sz w:val="24"/>
          <w:szCs w:val="24"/>
        </w:rPr>
        <w:t>Samtidig behandling med ciclosporin A (kombineret CYP3A4- og OATP-hæmmer) 100 mg to gange</w:t>
      </w:r>
      <w:r w:rsidRPr="00380D3E">
        <w:rPr>
          <w:i/>
          <w:iCs/>
          <w:noProof/>
          <w:sz w:val="24"/>
          <w:szCs w:val="24"/>
        </w:rPr>
        <w:t xml:space="preserve"> </w:t>
      </w:r>
      <w:r w:rsidRPr="00380D3E">
        <w:rPr>
          <w:noProof/>
          <w:sz w:val="24"/>
          <w:szCs w:val="24"/>
        </w:rPr>
        <w:t>dagligt ændrede ikke steady-state-eksponeringen for macitentan og dets aktive metabolit i klinisk</w:t>
      </w:r>
      <w:r w:rsidRPr="00380D3E">
        <w:rPr>
          <w:i/>
          <w:iCs/>
          <w:noProof/>
          <w:sz w:val="24"/>
          <w:szCs w:val="24"/>
        </w:rPr>
        <w:t xml:space="preserve"> </w:t>
      </w:r>
      <w:r w:rsidRPr="00380D3E">
        <w:rPr>
          <w:noProof/>
          <w:sz w:val="24"/>
          <w:szCs w:val="24"/>
        </w:rPr>
        <w:t>relevant omfang.</w:t>
      </w:r>
    </w:p>
    <w:p w14:paraId="652EE1CD" w14:textId="77777777" w:rsidR="00061CA5" w:rsidRPr="00380D3E" w:rsidRDefault="00061CA5" w:rsidP="008C3804">
      <w:pPr>
        <w:ind w:left="851"/>
        <w:rPr>
          <w:i/>
          <w:iCs/>
          <w:noProof/>
          <w:sz w:val="24"/>
          <w:szCs w:val="24"/>
        </w:rPr>
      </w:pPr>
    </w:p>
    <w:p w14:paraId="52994FAF" w14:textId="073613EF" w:rsidR="00061CA5" w:rsidRPr="00380D3E" w:rsidRDefault="00061CA5" w:rsidP="008C3804">
      <w:pPr>
        <w:ind w:left="851"/>
        <w:rPr>
          <w:i/>
          <w:iCs/>
          <w:noProof/>
          <w:sz w:val="24"/>
          <w:szCs w:val="24"/>
        </w:rPr>
      </w:pPr>
      <w:r w:rsidRPr="00380D3E">
        <w:rPr>
          <w:i/>
          <w:iCs/>
          <w:noProof/>
          <w:sz w:val="24"/>
          <w:szCs w:val="24"/>
        </w:rPr>
        <w:t xml:space="preserve">Hormonelle antikonceptiva: </w:t>
      </w:r>
      <w:r w:rsidRPr="00380D3E">
        <w:rPr>
          <w:noProof/>
          <w:sz w:val="24"/>
          <w:szCs w:val="24"/>
        </w:rPr>
        <w:t>Macitentan 10 mg én gang dagligt påvirkede ikke farmakokinetikken af et oralt antikonceptivum</w:t>
      </w:r>
      <w:r w:rsidRPr="00380D3E">
        <w:rPr>
          <w:i/>
          <w:iCs/>
          <w:noProof/>
          <w:sz w:val="24"/>
          <w:szCs w:val="24"/>
        </w:rPr>
        <w:t xml:space="preserve"> </w:t>
      </w:r>
      <w:r w:rsidRPr="00380D3E">
        <w:rPr>
          <w:noProof/>
          <w:sz w:val="24"/>
          <w:szCs w:val="24"/>
        </w:rPr>
        <w:t>(norethisteron 1 mg og ethinylestradiol 35</w:t>
      </w:r>
      <w:r w:rsidR="009C5B2F">
        <w:rPr>
          <w:noProof/>
          <w:sz w:val="24"/>
          <w:szCs w:val="24"/>
        </w:rPr>
        <w:t> </w:t>
      </w:r>
      <w:r w:rsidRPr="00380D3E">
        <w:rPr>
          <w:noProof/>
          <w:sz w:val="24"/>
          <w:szCs w:val="24"/>
        </w:rPr>
        <w:t>µg).</w:t>
      </w:r>
    </w:p>
    <w:p w14:paraId="5E92E116" w14:textId="77777777" w:rsidR="00061CA5" w:rsidRPr="00380D3E" w:rsidRDefault="00061CA5" w:rsidP="008C3804">
      <w:pPr>
        <w:ind w:left="851"/>
        <w:rPr>
          <w:i/>
          <w:iCs/>
          <w:noProof/>
          <w:sz w:val="24"/>
          <w:szCs w:val="24"/>
        </w:rPr>
      </w:pPr>
    </w:p>
    <w:p w14:paraId="43D1F424" w14:textId="77777777" w:rsidR="00061CA5" w:rsidRPr="00380D3E" w:rsidRDefault="00061CA5" w:rsidP="008C3804">
      <w:pPr>
        <w:ind w:left="851"/>
        <w:rPr>
          <w:i/>
          <w:iCs/>
          <w:noProof/>
          <w:sz w:val="24"/>
          <w:szCs w:val="24"/>
        </w:rPr>
      </w:pPr>
      <w:r w:rsidRPr="00380D3E">
        <w:rPr>
          <w:i/>
          <w:iCs/>
          <w:noProof/>
          <w:sz w:val="24"/>
          <w:szCs w:val="24"/>
        </w:rPr>
        <w:t xml:space="preserve">Lægemidler, der er substrat for brystcancerresistent protein (BCRP): </w:t>
      </w:r>
      <w:r w:rsidRPr="00380D3E">
        <w:rPr>
          <w:noProof/>
          <w:sz w:val="24"/>
          <w:szCs w:val="24"/>
        </w:rPr>
        <w:t>Macitentan 10 mg én gang dagligt påvirkede ikke farmakokinetikken af lægemidler, der er substrat for</w:t>
      </w:r>
      <w:r w:rsidRPr="00380D3E">
        <w:rPr>
          <w:i/>
          <w:iCs/>
          <w:noProof/>
          <w:sz w:val="24"/>
          <w:szCs w:val="24"/>
        </w:rPr>
        <w:t xml:space="preserve"> </w:t>
      </w:r>
      <w:r w:rsidRPr="00380D3E">
        <w:rPr>
          <w:noProof/>
          <w:sz w:val="24"/>
          <w:szCs w:val="24"/>
        </w:rPr>
        <w:t>BCRP (riociguat 1 mg; rosuvastatin 10 mg).</w:t>
      </w:r>
    </w:p>
    <w:p w14:paraId="688FD92D" w14:textId="77777777" w:rsidR="00061CA5" w:rsidRPr="00380D3E" w:rsidRDefault="00061CA5" w:rsidP="008C3804">
      <w:pPr>
        <w:ind w:left="851"/>
        <w:rPr>
          <w:noProof/>
          <w:sz w:val="24"/>
          <w:szCs w:val="24"/>
        </w:rPr>
      </w:pPr>
    </w:p>
    <w:p w14:paraId="718B73DA" w14:textId="77777777" w:rsidR="00061CA5" w:rsidRPr="00380D3E" w:rsidRDefault="00061CA5" w:rsidP="008C3804">
      <w:pPr>
        <w:ind w:left="851"/>
        <w:rPr>
          <w:noProof/>
          <w:sz w:val="24"/>
          <w:szCs w:val="24"/>
          <w:u w:val="single"/>
        </w:rPr>
      </w:pPr>
      <w:r w:rsidRPr="00380D3E">
        <w:rPr>
          <w:noProof/>
          <w:sz w:val="24"/>
          <w:szCs w:val="24"/>
          <w:u w:val="single"/>
        </w:rPr>
        <w:t>Pædiatrisk population</w:t>
      </w:r>
    </w:p>
    <w:p w14:paraId="0DE8709A" w14:textId="77777777" w:rsidR="00061CA5" w:rsidRPr="00380D3E" w:rsidRDefault="00061CA5" w:rsidP="008C3804">
      <w:pPr>
        <w:ind w:left="851"/>
        <w:rPr>
          <w:noProof/>
          <w:sz w:val="24"/>
          <w:szCs w:val="24"/>
        </w:rPr>
      </w:pPr>
      <w:r w:rsidRPr="00380D3E">
        <w:rPr>
          <w:noProof/>
          <w:sz w:val="24"/>
          <w:szCs w:val="24"/>
        </w:rPr>
        <w:t>Interaktionsstudier er kun udført hos voksne.</w:t>
      </w:r>
    </w:p>
    <w:p w14:paraId="408703A3" w14:textId="77777777" w:rsidR="009260DE" w:rsidRPr="00380D3E" w:rsidRDefault="009260DE" w:rsidP="009260DE">
      <w:pPr>
        <w:tabs>
          <w:tab w:val="left" w:pos="851"/>
        </w:tabs>
        <w:ind w:left="851"/>
        <w:rPr>
          <w:sz w:val="24"/>
          <w:szCs w:val="24"/>
        </w:rPr>
      </w:pPr>
    </w:p>
    <w:p w14:paraId="16A3694C" w14:textId="77777777" w:rsidR="009260DE" w:rsidRPr="00380D3E" w:rsidRDefault="009260DE" w:rsidP="009260DE">
      <w:pPr>
        <w:tabs>
          <w:tab w:val="left" w:pos="851"/>
        </w:tabs>
        <w:ind w:left="851" w:hanging="851"/>
        <w:rPr>
          <w:b/>
          <w:sz w:val="24"/>
          <w:szCs w:val="24"/>
        </w:rPr>
      </w:pPr>
      <w:r w:rsidRPr="00380D3E">
        <w:rPr>
          <w:b/>
          <w:sz w:val="24"/>
          <w:szCs w:val="24"/>
        </w:rPr>
        <w:t>4.6</w:t>
      </w:r>
      <w:r w:rsidRPr="00380D3E">
        <w:rPr>
          <w:b/>
          <w:sz w:val="24"/>
          <w:szCs w:val="24"/>
        </w:rPr>
        <w:tab/>
      </w:r>
      <w:r w:rsidR="0071241E" w:rsidRPr="00380D3E">
        <w:rPr>
          <w:b/>
          <w:sz w:val="24"/>
          <w:szCs w:val="24"/>
        </w:rPr>
        <w:t>Fertilitet, g</w:t>
      </w:r>
      <w:r w:rsidRPr="00380D3E">
        <w:rPr>
          <w:b/>
          <w:sz w:val="24"/>
          <w:szCs w:val="24"/>
        </w:rPr>
        <w:t>raviditet og amning</w:t>
      </w:r>
    </w:p>
    <w:p w14:paraId="53960AAE" w14:textId="77777777" w:rsidR="00380D3E" w:rsidRDefault="00380D3E" w:rsidP="008C3804">
      <w:pPr>
        <w:ind w:left="851"/>
        <w:rPr>
          <w:noProof/>
          <w:sz w:val="24"/>
          <w:szCs w:val="24"/>
          <w:u w:val="single"/>
        </w:rPr>
      </w:pPr>
    </w:p>
    <w:p w14:paraId="6AE35A22" w14:textId="1D0E95D0" w:rsidR="00061CA5" w:rsidRPr="00380D3E" w:rsidRDefault="00061CA5" w:rsidP="008C3804">
      <w:pPr>
        <w:ind w:left="851"/>
        <w:rPr>
          <w:noProof/>
          <w:sz w:val="24"/>
          <w:szCs w:val="24"/>
          <w:u w:val="single"/>
        </w:rPr>
      </w:pPr>
      <w:r w:rsidRPr="00380D3E">
        <w:rPr>
          <w:noProof/>
          <w:sz w:val="24"/>
          <w:szCs w:val="24"/>
          <w:u w:val="single"/>
        </w:rPr>
        <w:t>Brug hos kvinder i den fertile alder/Kontraception hos mænd og kvinder</w:t>
      </w:r>
    </w:p>
    <w:p w14:paraId="2F05C7AC" w14:textId="4E38386A" w:rsidR="00061CA5" w:rsidRPr="00380D3E" w:rsidRDefault="00061CA5" w:rsidP="008C3804">
      <w:pPr>
        <w:ind w:left="851"/>
        <w:rPr>
          <w:noProof/>
          <w:sz w:val="24"/>
          <w:szCs w:val="24"/>
        </w:rPr>
      </w:pPr>
      <w:r w:rsidRPr="00380D3E">
        <w:rPr>
          <w:noProof/>
          <w:sz w:val="24"/>
          <w:szCs w:val="24"/>
        </w:rPr>
        <w:t xml:space="preserve">Behandling med Macitentan </w:t>
      </w:r>
      <w:r w:rsidR="007D7859">
        <w:rPr>
          <w:noProof/>
          <w:sz w:val="24"/>
          <w:szCs w:val="24"/>
        </w:rPr>
        <w:t>"Sandoz"</w:t>
      </w:r>
      <w:r w:rsidRPr="00380D3E">
        <w:rPr>
          <w:noProof/>
          <w:sz w:val="24"/>
          <w:szCs w:val="24"/>
        </w:rPr>
        <w:t xml:space="preserve"> må først indledes hos kvinder i den fertile alder, når graviditet er blevet udelukket, når der er givet tilstrækkelig rådgivning om kontraception, og når kvinden anvender sikker kontraception (se pkt. 4.3 og 4.4). Kvinder skal undgå graviditet i en måned efter seponering af Macitentan </w:t>
      </w:r>
      <w:r w:rsidR="007D7859">
        <w:rPr>
          <w:noProof/>
          <w:sz w:val="24"/>
          <w:szCs w:val="24"/>
        </w:rPr>
        <w:t>"Sandoz"</w:t>
      </w:r>
      <w:r w:rsidRPr="00380D3E">
        <w:rPr>
          <w:noProof/>
          <w:sz w:val="24"/>
          <w:szCs w:val="24"/>
        </w:rPr>
        <w:t xml:space="preserve">. Det anbefales at foretage månedlige graviditetstest under behandlingen med Macitentan </w:t>
      </w:r>
      <w:r w:rsidR="007D7859">
        <w:rPr>
          <w:noProof/>
          <w:sz w:val="24"/>
          <w:szCs w:val="24"/>
        </w:rPr>
        <w:t>"Sandoz"</w:t>
      </w:r>
      <w:r w:rsidRPr="00380D3E">
        <w:rPr>
          <w:noProof/>
          <w:sz w:val="24"/>
          <w:szCs w:val="24"/>
        </w:rPr>
        <w:t>, så eventuel graviditet kan konstateres så hurtigt som muligt.</w:t>
      </w:r>
    </w:p>
    <w:p w14:paraId="0BC9D05A" w14:textId="77777777" w:rsidR="00061CA5" w:rsidRPr="00380D3E" w:rsidRDefault="00061CA5" w:rsidP="008C3804">
      <w:pPr>
        <w:ind w:left="851"/>
        <w:rPr>
          <w:noProof/>
          <w:sz w:val="24"/>
          <w:szCs w:val="24"/>
        </w:rPr>
      </w:pPr>
    </w:p>
    <w:p w14:paraId="584ACF61" w14:textId="77777777" w:rsidR="00061CA5" w:rsidRPr="00380D3E" w:rsidRDefault="00061CA5" w:rsidP="008C3804">
      <w:pPr>
        <w:ind w:left="851"/>
        <w:rPr>
          <w:noProof/>
          <w:sz w:val="24"/>
          <w:szCs w:val="24"/>
          <w:u w:val="single"/>
        </w:rPr>
      </w:pPr>
      <w:r w:rsidRPr="00380D3E">
        <w:rPr>
          <w:noProof/>
          <w:sz w:val="24"/>
          <w:szCs w:val="24"/>
          <w:u w:val="single"/>
        </w:rPr>
        <w:t>Graviditet</w:t>
      </w:r>
    </w:p>
    <w:p w14:paraId="4902AF67" w14:textId="6C4A67DD" w:rsidR="00061CA5" w:rsidRPr="00380D3E" w:rsidRDefault="00061CA5" w:rsidP="008C3804">
      <w:pPr>
        <w:ind w:left="851"/>
        <w:rPr>
          <w:noProof/>
          <w:sz w:val="24"/>
          <w:szCs w:val="24"/>
        </w:rPr>
      </w:pPr>
      <w:r w:rsidRPr="00380D3E">
        <w:rPr>
          <w:noProof/>
          <w:sz w:val="24"/>
          <w:szCs w:val="24"/>
        </w:rPr>
        <w:t xml:space="preserve">Der er ingen data fra anvendelse af macitentan til gravide kvinder. Dyrestudier har påvist reproduktionstoksicitet (se pkt. 5.3). Den potentielle risiko for mennesker er stadig ukendt. Macitentan </w:t>
      </w:r>
      <w:r w:rsidR="007D7859">
        <w:rPr>
          <w:noProof/>
          <w:sz w:val="24"/>
          <w:szCs w:val="24"/>
        </w:rPr>
        <w:t>"Sandoz"</w:t>
      </w:r>
      <w:r w:rsidRPr="00380D3E">
        <w:rPr>
          <w:noProof/>
          <w:sz w:val="24"/>
          <w:szCs w:val="24"/>
        </w:rPr>
        <w:t xml:space="preserve"> er kontraindiceret under graviditeten og hos fertile kvinder, der ikke anvender sikker kontraception (se pkt. 4.3).</w:t>
      </w:r>
    </w:p>
    <w:p w14:paraId="070FE33B" w14:textId="77777777" w:rsidR="00061CA5" w:rsidRPr="00380D3E" w:rsidRDefault="00061CA5" w:rsidP="008C3804">
      <w:pPr>
        <w:ind w:left="851"/>
        <w:rPr>
          <w:noProof/>
          <w:sz w:val="24"/>
          <w:szCs w:val="24"/>
        </w:rPr>
      </w:pPr>
    </w:p>
    <w:p w14:paraId="078CF5A0" w14:textId="77777777" w:rsidR="00061CA5" w:rsidRPr="00380D3E" w:rsidRDefault="00061CA5" w:rsidP="008C3804">
      <w:pPr>
        <w:ind w:left="851"/>
        <w:rPr>
          <w:noProof/>
          <w:sz w:val="24"/>
          <w:szCs w:val="24"/>
          <w:u w:val="single"/>
        </w:rPr>
      </w:pPr>
      <w:r w:rsidRPr="00380D3E">
        <w:rPr>
          <w:noProof/>
          <w:sz w:val="24"/>
          <w:szCs w:val="24"/>
          <w:u w:val="single"/>
        </w:rPr>
        <w:t>Amning</w:t>
      </w:r>
    </w:p>
    <w:p w14:paraId="45B7AE87" w14:textId="1E352FE7" w:rsidR="00061CA5" w:rsidRPr="00380D3E" w:rsidRDefault="00061CA5" w:rsidP="008C3804">
      <w:pPr>
        <w:ind w:left="851"/>
        <w:rPr>
          <w:noProof/>
          <w:sz w:val="24"/>
          <w:szCs w:val="24"/>
        </w:rPr>
      </w:pPr>
      <w:r w:rsidRPr="00380D3E">
        <w:rPr>
          <w:noProof/>
          <w:sz w:val="24"/>
          <w:szCs w:val="24"/>
        </w:rPr>
        <w:t xml:space="preserve">Det er ukendt, om macitentan udskilles i human mælk. Hos rotter udskilles macitentan og dets metabolitter i mælken under diegivning (se pkt. 5.3). Det kan ikke udelukkes, at der er en risiko hos ammede børn. Macitentan </w:t>
      </w:r>
      <w:r w:rsidR="007D7859">
        <w:rPr>
          <w:noProof/>
          <w:sz w:val="24"/>
          <w:szCs w:val="24"/>
        </w:rPr>
        <w:t>"Sandoz"</w:t>
      </w:r>
      <w:r w:rsidRPr="00380D3E">
        <w:rPr>
          <w:noProof/>
          <w:sz w:val="24"/>
          <w:szCs w:val="24"/>
        </w:rPr>
        <w:t xml:space="preserve"> er kontraindiceret under amning (se pkt. 4.3).</w:t>
      </w:r>
    </w:p>
    <w:p w14:paraId="32AF3BBF" w14:textId="77777777" w:rsidR="00061CA5" w:rsidRPr="00380D3E" w:rsidRDefault="00061CA5" w:rsidP="008C3804">
      <w:pPr>
        <w:ind w:left="851"/>
        <w:rPr>
          <w:noProof/>
          <w:sz w:val="24"/>
          <w:szCs w:val="24"/>
        </w:rPr>
      </w:pPr>
    </w:p>
    <w:p w14:paraId="0793EBE7" w14:textId="77777777" w:rsidR="00061CA5" w:rsidRPr="00380D3E" w:rsidRDefault="00061CA5" w:rsidP="008C3804">
      <w:pPr>
        <w:ind w:left="851"/>
        <w:rPr>
          <w:noProof/>
          <w:sz w:val="24"/>
          <w:szCs w:val="24"/>
          <w:u w:val="single"/>
        </w:rPr>
      </w:pPr>
      <w:r w:rsidRPr="00380D3E">
        <w:rPr>
          <w:noProof/>
          <w:sz w:val="24"/>
          <w:szCs w:val="24"/>
          <w:u w:val="single"/>
        </w:rPr>
        <w:t>Mandlig fertilitet</w:t>
      </w:r>
    </w:p>
    <w:p w14:paraId="50CDA468" w14:textId="77777777" w:rsidR="00061CA5" w:rsidRPr="00380D3E" w:rsidRDefault="00061CA5" w:rsidP="008C3804">
      <w:pPr>
        <w:ind w:left="851"/>
        <w:rPr>
          <w:noProof/>
          <w:sz w:val="24"/>
          <w:szCs w:val="24"/>
        </w:rPr>
      </w:pPr>
      <w:r w:rsidRPr="00380D3E">
        <w:rPr>
          <w:noProof/>
          <w:sz w:val="24"/>
          <w:szCs w:val="24"/>
        </w:rPr>
        <w:t>Der er set udvikling af testikulær tubulær atrofi hos handyr efter behandling med macitentan (se pkt. 5.3). Der er set fald i antallet af sædceller hos patienter, der tager ERA’er. Macitentan kan, ligesom andre ERA’er, have en negativ indvirkning på spermatogenesen hos mænd.</w:t>
      </w:r>
    </w:p>
    <w:p w14:paraId="483DC777" w14:textId="77777777" w:rsidR="009260DE" w:rsidRPr="00380D3E" w:rsidRDefault="009260DE" w:rsidP="009260DE">
      <w:pPr>
        <w:tabs>
          <w:tab w:val="left" w:pos="851"/>
        </w:tabs>
        <w:ind w:left="851"/>
        <w:rPr>
          <w:sz w:val="24"/>
          <w:szCs w:val="24"/>
        </w:rPr>
      </w:pPr>
    </w:p>
    <w:p w14:paraId="051A004B" w14:textId="77777777" w:rsidR="009260DE" w:rsidRPr="00380D3E" w:rsidRDefault="009260DE" w:rsidP="009260DE">
      <w:pPr>
        <w:tabs>
          <w:tab w:val="left" w:pos="851"/>
        </w:tabs>
        <w:ind w:left="851" w:hanging="851"/>
        <w:rPr>
          <w:b/>
          <w:sz w:val="24"/>
          <w:szCs w:val="24"/>
        </w:rPr>
      </w:pPr>
      <w:r w:rsidRPr="00380D3E">
        <w:rPr>
          <w:b/>
          <w:sz w:val="24"/>
          <w:szCs w:val="24"/>
        </w:rPr>
        <w:t>4.7</w:t>
      </w:r>
      <w:r w:rsidRPr="00380D3E">
        <w:rPr>
          <w:b/>
          <w:sz w:val="24"/>
          <w:szCs w:val="24"/>
        </w:rPr>
        <w:tab/>
        <w:t xml:space="preserve">Virkning på evnen til at føre motorkøretøj </w:t>
      </w:r>
      <w:r w:rsidR="0071241E" w:rsidRPr="00380D3E">
        <w:rPr>
          <w:b/>
          <w:sz w:val="24"/>
          <w:szCs w:val="24"/>
        </w:rPr>
        <w:t>og</w:t>
      </w:r>
      <w:r w:rsidRPr="00380D3E">
        <w:rPr>
          <w:b/>
          <w:sz w:val="24"/>
          <w:szCs w:val="24"/>
        </w:rPr>
        <w:t xml:space="preserve"> betjene maskiner</w:t>
      </w:r>
    </w:p>
    <w:p w14:paraId="2DD5723B" w14:textId="77777777" w:rsidR="00380D3E" w:rsidRDefault="00380D3E" w:rsidP="008C3804">
      <w:pPr>
        <w:ind w:left="851"/>
        <w:rPr>
          <w:sz w:val="24"/>
          <w:szCs w:val="24"/>
        </w:rPr>
      </w:pPr>
      <w:r>
        <w:rPr>
          <w:sz w:val="24"/>
          <w:szCs w:val="24"/>
        </w:rPr>
        <w:t>Ikke mærkning.</w:t>
      </w:r>
    </w:p>
    <w:p w14:paraId="56F8D8F5" w14:textId="32C79615" w:rsidR="00061CA5" w:rsidRPr="00380D3E" w:rsidRDefault="00061CA5" w:rsidP="008C3804">
      <w:pPr>
        <w:ind w:left="851"/>
        <w:rPr>
          <w:sz w:val="24"/>
          <w:szCs w:val="24"/>
        </w:rPr>
      </w:pPr>
      <w:proofErr w:type="spellStart"/>
      <w:r w:rsidRPr="00380D3E">
        <w:rPr>
          <w:sz w:val="24"/>
          <w:szCs w:val="24"/>
        </w:rPr>
        <w:t>Macitentan</w:t>
      </w:r>
      <w:proofErr w:type="spellEnd"/>
      <w:r w:rsidRPr="00380D3E">
        <w:rPr>
          <w:sz w:val="24"/>
          <w:szCs w:val="24"/>
        </w:rPr>
        <w:t xml:space="preserve"> påvirker i mindre grad evnen til at føre motorkøretøj og betjene maskiner. Der er ikke udført studier af virkningen på evnen til at føre motorkøretøj og betjene maskiner. Der kan imidlertid forekomme bivirkninger (f.eks. hovedpine og hypotension), som kan påvirke evnen til at føre motorkøretøj og betjene maskiner (se pkt. 4.8).</w:t>
      </w:r>
    </w:p>
    <w:p w14:paraId="331B83EF" w14:textId="77777777" w:rsidR="009260DE" w:rsidRPr="00380D3E" w:rsidRDefault="009260DE" w:rsidP="009260DE">
      <w:pPr>
        <w:tabs>
          <w:tab w:val="left" w:pos="851"/>
        </w:tabs>
        <w:ind w:left="851"/>
        <w:rPr>
          <w:sz w:val="24"/>
          <w:szCs w:val="24"/>
        </w:rPr>
      </w:pPr>
    </w:p>
    <w:p w14:paraId="41A12EC8" w14:textId="77777777" w:rsidR="009260DE" w:rsidRPr="00380D3E" w:rsidRDefault="009260DE" w:rsidP="009260DE">
      <w:pPr>
        <w:tabs>
          <w:tab w:val="left" w:pos="851"/>
        </w:tabs>
        <w:ind w:left="851" w:hanging="851"/>
        <w:rPr>
          <w:b/>
          <w:sz w:val="24"/>
          <w:szCs w:val="24"/>
        </w:rPr>
      </w:pPr>
      <w:r w:rsidRPr="00380D3E">
        <w:rPr>
          <w:b/>
          <w:sz w:val="24"/>
          <w:szCs w:val="24"/>
        </w:rPr>
        <w:t>4.8</w:t>
      </w:r>
      <w:r w:rsidRPr="00380D3E">
        <w:rPr>
          <w:b/>
          <w:sz w:val="24"/>
          <w:szCs w:val="24"/>
        </w:rPr>
        <w:tab/>
        <w:t>Bivirkninger</w:t>
      </w:r>
    </w:p>
    <w:p w14:paraId="475B9C7E" w14:textId="77777777" w:rsidR="00380D3E" w:rsidRDefault="00380D3E" w:rsidP="008C3804">
      <w:pPr>
        <w:ind w:left="851"/>
        <w:rPr>
          <w:noProof/>
          <w:sz w:val="24"/>
          <w:szCs w:val="24"/>
          <w:u w:val="single"/>
        </w:rPr>
      </w:pPr>
    </w:p>
    <w:p w14:paraId="64A46D7B" w14:textId="708C09A9" w:rsidR="00061CA5" w:rsidRPr="00380D3E" w:rsidRDefault="00061CA5" w:rsidP="008C3804">
      <w:pPr>
        <w:ind w:left="851"/>
        <w:rPr>
          <w:i/>
          <w:noProof/>
          <w:sz w:val="24"/>
          <w:szCs w:val="24"/>
        </w:rPr>
      </w:pPr>
      <w:r w:rsidRPr="00380D3E">
        <w:rPr>
          <w:noProof/>
          <w:sz w:val="24"/>
          <w:szCs w:val="24"/>
          <w:u w:val="single"/>
        </w:rPr>
        <w:t>Sammendrag af sikkerhedsprofilen</w:t>
      </w:r>
    </w:p>
    <w:p w14:paraId="1309044B" w14:textId="77777777" w:rsidR="00061CA5" w:rsidRPr="00380D3E" w:rsidRDefault="00061CA5" w:rsidP="008C3804">
      <w:pPr>
        <w:ind w:left="851"/>
        <w:rPr>
          <w:iCs/>
          <w:noProof/>
          <w:sz w:val="24"/>
          <w:szCs w:val="24"/>
        </w:rPr>
      </w:pPr>
      <w:r w:rsidRPr="00380D3E">
        <w:rPr>
          <w:iCs/>
          <w:noProof/>
          <w:sz w:val="24"/>
          <w:szCs w:val="24"/>
        </w:rPr>
        <w:t xml:space="preserve">De hyppigst indberettede bivirkninger i SERAPHIN-studiet var nasopharyngitis (14 %), hovedpine (13,6 %) og anæmi (13,2 %, se pkt. 4.4). </w:t>
      </w:r>
    </w:p>
    <w:p w14:paraId="5BF66758" w14:textId="77777777" w:rsidR="00061CA5" w:rsidRPr="00380D3E" w:rsidRDefault="00061CA5" w:rsidP="008C3804">
      <w:pPr>
        <w:ind w:left="851"/>
        <w:rPr>
          <w:noProof/>
          <w:sz w:val="24"/>
          <w:szCs w:val="24"/>
          <w:u w:val="single"/>
        </w:rPr>
      </w:pPr>
    </w:p>
    <w:p w14:paraId="16E77A5B" w14:textId="77777777" w:rsidR="00061CA5" w:rsidRPr="00380D3E" w:rsidRDefault="00061CA5" w:rsidP="008C3804">
      <w:pPr>
        <w:ind w:left="851"/>
        <w:rPr>
          <w:noProof/>
          <w:sz w:val="24"/>
          <w:szCs w:val="24"/>
          <w:u w:val="single"/>
        </w:rPr>
      </w:pPr>
      <w:r w:rsidRPr="00380D3E">
        <w:rPr>
          <w:noProof/>
          <w:sz w:val="24"/>
          <w:szCs w:val="24"/>
          <w:u w:val="single"/>
        </w:rPr>
        <w:t>Bivirkningsliste i tabelform</w:t>
      </w:r>
    </w:p>
    <w:p w14:paraId="6CAC73B7" w14:textId="71EBD938" w:rsidR="00061CA5" w:rsidRPr="00380D3E" w:rsidRDefault="00061CA5" w:rsidP="008C3804">
      <w:pPr>
        <w:ind w:left="851"/>
        <w:rPr>
          <w:iCs/>
          <w:noProof/>
          <w:sz w:val="24"/>
          <w:szCs w:val="24"/>
        </w:rPr>
      </w:pPr>
      <w:r w:rsidRPr="00380D3E">
        <w:rPr>
          <w:iCs/>
          <w:noProof/>
          <w:sz w:val="24"/>
          <w:szCs w:val="24"/>
        </w:rPr>
        <w:t>Sikkerheden af macitentan er blevet vurderet i et langvarigt placebokontrolleret forsøg med</w:t>
      </w:r>
      <w:r w:rsidR="007D7859">
        <w:rPr>
          <w:iCs/>
          <w:noProof/>
          <w:sz w:val="24"/>
          <w:szCs w:val="24"/>
        </w:rPr>
        <w:t xml:space="preserve"> </w:t>
      </w:r>
      <w:r w:rsidRPr="00380D3E">
        <w:rPr>
          <w:iCs/>
          <w:noProof/>
          <w:sz w:val="24"/>
          <w:szCs w:val="24"/>
          <w:lang w:val="nb-NO"/>
        </w:rPr>
        <w:t>742 voksne</w:t>
      </w:r>
      <w:r w:rsidRPr="00380D3E">
        <w:rPr>
          <w:sz w:val="24"/>
          <w:szCs w:val="24"/>
          <w:lang w:val="nb-NO"/>
        </w:rPr>
        <w:t xml:space="preserve"> </w:t>
      </w:r>
      <w:r w:rsidRPr="00380D3E">
        <w:rPr>
          <w:iCs/>
          <w:noProof/>
          <w:sz w:val="24"/>
          <w:szCs w:val="24"/>
        </w:rPr>
        <w:t>og unge patienter</w:t>
      </w:r>
      <w:r w:rsidRPr="00380D3E">
        <w:rPr>
          <w:iCs/>
          <w:noProof/>
          <w:sz w:val="24"/>
          <w:szCs w:val="24"/>
          <w:lang w:val="nb-NO"/>
        </w:rPr>
        <w:t xml:space="preserve"> med symptomatisk PAH (SERAPHIN-studiet). </w:t>
      </w:r>
      <w:r w:rsidRPr="00380D3E">
        <w:rPr>
          <w:iCs/>
          <w:noProof/>
          <w:sz w:val="24"/>
          <w:szCs w:val="24"/>
        </w:rPr>
        <w:t>Den gennemsnitlige</w:t>
      </w:r>
      <w:r w:rsidR="007D7859">
        <w:rPr>
          <w:iCs/>
          <w:noProof/>
          <w:sz w:val="24"/>
          <w:szCs w:val="24"/>
        </w:rPr>
        <w:t xml:space="preserve"> </w:t>
      </w:r>
      <w:r w:rsidRPr="00380D3E">
        <w:rPr>
          <w:iCs/>
          <w:noProof/>
          <w:sz w:val="24"/>
          <w:szCs w:val="24"/>
        </w:rPr>
        <w:t>behandlingsvarighed var 103,9 uger i den gruppe, der fik macitentan 10</w:t>
      </w:r>
      <w:r w:rsidR="009C5B2F">
        <w:rPr>
          <w:iCs/>
          <w:noProof/>
          <w:sz w:val="24"/>
          <w:szCs w:val="24"/>
        </w:rPr>
        <w:t> </w:t>
      </w:r>
      <w:r w:rsidRPr="00380D3E">
        <w:rPr>
          <w:iCs/>
          <w:noProof/>
          <w:sz w:val="24"/>
          <w:szCs w:val="24"/>
        </w:rPr>
        <w:t>mg, og 85,3 uger i</w:t>
      </w:r>
      <w:r w:rsidR="007D7859">
        <w:rPr>
          <w:iCs/>
          <w:noProof/>
          <w:sz w:val="24"/>
          <w:szCs w:val="24"/>
        </w:rPr>
        <w:t xml:space="preserve"> </w:t>
      </w:r>
      <w:r w:rsidRPr="00380D3E">
        <w:rPr>
          <w:iCs/>
          <w:noProof/>
          <w:sz w:val="24"/>
          <w:szCs w:val="24"/>
        </w:rPr>
        <w:t>placebogruppen. Bivirkninger forbundet med macitentan i dette kliniske studie er angivet i tabellen</w:t>
      </w:r>
      <w:r w:rsidR="007D7859">
        <w:rPr>
          <w:iCs/>
          <w:noProof/>
          <w:sz w:val="24"/>
          <w:szCs w:val="24"/>
        </w:rPr>
        <w:t xml:space="preserve"> </w:t>
      </w:r>
      <w:r w:rsidRPr="00380D3E">
        <w:rPr>
          <w:iCs/>
          <w:noProof/>
          <w:sz w:val="24"/>
          <w:szCs w:val="24"/>
        </w:rPr>
        <w:t>nedenfor. Bivirkninger, der er indberettet efter markedsføringen, er også medtaget.</w:t>
      </w:r>
    </w:p>
    <w:p w14:paraId="2EE02BE4" w14:textId="77777777" w:rsidR="00061CA5" w:rsidRPr="007D7859" w:rsidRDefault="00061CA5" w:rsidP="008C3804">
      <w:pPr>
        <w:ind w:left="851"/>
        <w:rPr>
          <w:noProof/>
          <w:sz w:val="24"/>
          <w:szCs w:val="24"/>
        </w:rPr>
      </w:pPr>
    </w:p>
    <w:p w14:paraId="69009FC5" w14:textId="2AA0E65A" w:rsidR="00061CA5" w:rsidRPr="00380D3E" w:rsidRDefault="00061CA5" w:rsidP="008C3804">
      <w:pPr>
        <w:ind w:left="851"/>
        <w:rPr>
          <w:noProof/>
          <w:sz w:val="24"/>
          <w:szCs w:val="24"/>
        </w:rPr>
      </w:pPr>
      <w:r w:rsidRPr="00380D3E">
        <w:rPr>
          <w:noProof/>
          <w:sz w:val="24"/>
          <w:szCs w:val="24"/>
        </w:rPr>
        <w:t>Hyppighederne er defineret som: meget almindelig (≥ 1/10), almindelig (≥ 1/100 til &lt;</w:t>
      </w:r>
      <w:r w:rsidR="005B6B84">
        <w:rPr>
          <w:noProof/>
          <w:sz w:val="24"/>
          <w:szCs w:val="24"/>
        </w:rPr>
        <w:t> </w:t>
      </w:r>
      <w:r w:rsidRPr="00380D3E">
        <w:rPr>
          <w:noProof/>
          <w:sz w:val="24"/>
          <w:szCs w:val="24"/>
        </w:rPr>
        <w:t>1/10), ikke almindelig (≥ 1/1.000 til &lt; 1/100), sjælden (≥ 1/10.000 til &lt; 1/1.000), meget sjælden (&lt; 1/10.000) og ikke kendt (kan ikke estimeres ud fra forhåndenværende data).</w:t>
      </w:r>
    </w:p>
    <w:p w14:paraId="57FE2F84" w14:textId="77777777" w:rsidR="00061CA5" w:rsidRPr="00380D3E" w:rsidRDefault="00061CA5" w:rsidP="00061CA5">
      <w:pPr>
        <w:rPr>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930"/>
        <w:gridCol w:w="3489"/>
      </w:tblGrid>
      <w:tr w:rsidR="00061CA5" w:rsidRPr="00380D3E" w14:paraId="7F99772D" w14:textId="77777777" w:rsidTr="008C3804">
        <w:trPr>
          <w:trHeight w:val="397"/>
        </w:trPr>
        <w:tc>
          <w:tcPr>
            <w:tcW w:w="1666" w:type="pct"/>
            <w:tcBorders>
              <w:top w:val="single" w:sz="4" w:space="0" w:color="auto"/>
              <w:left w:val="single" w:sz="4" w:space="0" w:color="auto"/>
              <w:bottom w:val="single" w:sz="4" w:space="0" w:color="auto"/>
              <w:right w:val="single" w:sz="4" w:space="0" w:color="auto"/>
            </w:tcBorders>
            <w:vAlign w:val="center"/>
            <w:hideMark/>
          </w:tcPr>
          <w:p w14:paraId="4D71CAD2" w14:textId="77777777" w:rsidR="00061CA5" w:rsidRPr="00380D3E" w:rsidRDefault="00061CA5">
            <w:pPr>
              <w:jc w:val="center"/>
              <w:rPr>
                <w:rFonts w:eastAsia="SimSun"/>
                <w:b/>
                <w:bCs/>
                <w:sz w:val="24"/>
                <w:szCs w:val="24"/>
              </w:rPr>
            </w:pPr>
            <w:r w:rsidRPr="00380D3E">
              <w:rPr>
                <w:rFonts w:eastAsia="TimesNewRoman,Bold"/>
                <w:b/>
                <w:bCs/>
                <w:sz w:val="24"/>
                <w:szCs w:val="24"/>
                <w:lang w:eastAsia="en-GB"/>
              </w:rPr>
              <w:t>Systemorganklasse</w:t>
            </w:r>
          </w:p>
        </w:tc>
        <w:tc>
          <w:tcPr>
            <w:tcW w:w="1521" w:type="pct"/>
            <w:tcBorders>
              <w:top w:val="single" w:sz="4" w:space="0" w:color="auto"/>
              <w:left w:val="single" w:sz="4" w:space="0" w:color="auto"/>
              <w:bottom w:val="single" w:sz="4" w:space="0" w:color="auto"/>
              <w:right w:val="single" w:sz="4" w:space="0" w:color="auto"/>
            </w:tcBorders>
            <w:vAlign w:val="center"/>
            <w:hideMark/>
          </w:tcPr>
          <w:p w14:paraId="217EBB66" w14:textId="77777777" w:rsidR="00061CA5" w:rsidRPr="00380D3E" w:rsidRDefault="00061CA5">
            <w:pPr>
              <w:jc w:val="center"/>
              <w:rPr>
                <w:rFonts w:eastAsia="SimSun"/>
                <w:b/>
                <w:bCs/>
                <w:sz w:val="24"/>
                <w:szCs w:val="24"/>
              </w:rPr>
            </w:pPr>
            <w:r w:rsidRPr="00380D3E">
              <w:rPr>
                <w:rFonts w:eastAsia="TimesNewRoman,Bold"/>
                <w:b/>
                <w:bCs/>
                <w:sz w:val="24"/>
                <w:szCs w:val="24"/>
                <w:lang w:eastAsia="en-GB"/>
              </w:rPr>
              <w:t>Hyppighed</w:t>
            </w:r>
          </w:p>
        </w:tc>
        <w:tc>
          <w:tcPr>
            <w:tcW w:w="1812" w:type="pct"/>
            <w:tcBorders>
              <w:top w:val="single" w:sz="4" w:space="0" w:color="auto"/>
              <w:left w:val="single" w:sz="4" w:space="0" w:color="auto"/>
              <w:bottom w:val="single" w:sz="4" w:space="0" w:color="auto"/>
              <w:right w:val="single" w:sz="4" w:space="0" w:color="auto"/>
            </w:tcBorders>
            <w:vAlign w:val="center"/>
            <w:hideMark/>
          </w:tcPr>
          <w:p w14:paraId="15E7FB1E" w14:textId="77777777" w:rsidR="00061CA5" w:rsidRPr="00380D3E" w:rsidRDefault="00061CA5">
            <w:pPr>
              <w:jc w:val="center"/>
              <w:rPr>
                <w:rFonts w:eastAsia="SimSun"/>
                <w:b/>
                <w:bCs/>
                <w:sz w:val="24"/>
                <w:szCs w:val="24"/>
                <w:lang w:eastAsia="en-GB"/>
              </w:rPr>
            </w:pPr>
            <w:r w:rsidRPr="00380D3E">
              <w:rPr>
                <w:rFonts w:eastAsia="TimesNewRoman,Bold"/>
                <w:b/>
                <w:bCs/>
                <w:sz w:val="24"/>
                <w:szCs w:val="24"/>
                <w:lang w:eastAsia="en-GB"/>
              </w:rPr>
              <w:t>Bivirkning</w:t>
            </w:r>
          </w:p>
        </w:tc>
      </w:tr>
      <w:tr w:rsidR="00061CA5" w:rsidRPr="00380D3E" w14:paraId="00A7F8DC" w14:textId="77777777" w:rsidTr="008C3804">
        <w:trPr>
          <w:trHeight w:val="397"/>
        </w:trPr>
        <w:tc>
          <w:tcPr>
            <w:tcW w:w="1666" w:type="pct"/>
            <w:vMerge w:val="restart"/>
            <w:tcBorders>
              <w:top w:val="single" w:sz="4" w:space="0" w:color="auto"/>
              <w:left w:val="single" w:sz="4" w:space="0" w:color="auto"/>
              <w:bottom w:val="single" w:sz="4" w:space="0" w:color="auto"/>
              <w:right w:val="single" w:sz="4" w:space="0" w:color="auto"/>
            </w:tcBorders>
            <w:hideMark/>
          </w:tcPr>
          <w:p w14:paraId="22D03F82" w14:textId="6035FBEA" w:rsidR="00061CA5" w:rsidRPr="00380D3E" w:rsidRDefault="00061CA5" w:rsidP="005B6B84">
            <w:pPr>
              <w:jc w:val="center"/>
              <w:rPr>
                <w:rFonts w:eastAsia="SimSun"/>
                <w:sz w:val="24"/>
                <w:szCs w:val="24"/>
              </w:rPr>
            </w:pPr>
            <w:r w:rsidRPr="00380D3E">
              <w:rPr>
                <w:sz w:val="24"/>
                <w:szCs w:val="24"/>
                <w:lang w:eastAsia="en-GB"/>
              </w:rPr>
              <w:t>Infektioner og parasitære</w:t>
            </w:r>
            <w:r w:rsidR="005B6B84">
              <w:rPr>
                <w:sz w:val="24"/>
                <w:szCs w:val="24"/>
                <w:lang w:eastAsia="en-GB"/>
              </w:rPr>
              <w:t xml:space="preserve"> </w:t>
            </w:r>
            <w:r w:rsidRPr="00380D3E">
              <w:rPr>
                <w:sz w:val="24"/>
                <w:szCs w:val="24"/>
                <w:lang w:eastAsia="en-GB"/>
              </w:rPr>
              <w:t>sygdomme</w:t>
            </w:r>
          </w:p>
        </w:tc>
        <w:tc>
          <w:tcPr>
            <w:tcW w:w="1521" w:type="pct"/>
            <w:tcBorders>
              <w:top w:val="single" w:sz="4" w:space="0" w:color="auto"/>
              <w:left w:val="single" w:sz="4" w:space="0" w:color="auto"/>
              <w:bottom w:val="single" w:sz="4" w:space="0" w:color="auto"/>
              <w:right w:val="single" w:sz="4" w:space="0" w:color="auto"/>
            </w:tcBorders>
            <w:vAlign w:val="center"/>
            <w:hideMark/>
          </w:tcPr>
          <w:p w14:paraId="2A212D5A" w14:textId="77777777" w:rsidR="00061CA5" w:rsidRPr="00380D3E" w:rsidRDefault="00061CA5">
            <w:pPr>
              <w:jc w:val="center"/>
              <w:rPr>
                <w:rFonts w:eastAsia="SimSun"/>
                <w:sz w:val="24"/>
                <w:szCs w:val="24"/>
              </w:rPr>
            </w:pPr>
            <w:r w:rsidRPr="00380D3E">
              <w:rPr>
                <w:sz w:val="24"/>
                <w:szCs w:val="24"/>
                <w:lang w:eastAsia="en-GB"/>
              </w:rPr>
              <w:t>Meget almindelig</w:t>
            </w:r>
          </w:p>
        </w:tc>
        <w:tc>
          <w:tcPr>
            <w:tcW w:w="1812" w:type="pct"/>
            <w:tcBorders>
              <w:top w:val="single" w:sz="4" w:space="0" w:color="auto"/>
              <w:left w:val="single" w:sz="4" w:space="0" w:color="auto"/>
              <w:bottom w:val="single" w:sz="4" w:space="0" w:color="auto"/>
              <w:right w:val="single" w:sz="4" w:space="0" w:color="auto"/>
            </w:tcBorders>
            <w:vAlign w:val="center"/>
            <w:hideMark/>
          </w:tcPr>
          <w:p w14:paraId="55D5A857" w14:textId="77777777" w:rsidR="00061CA5" w:rsidRPr="00380D3E" w:rsidRDefault="00061CA5">
            <w:pPr>
              <w:jc w:val="center"/>
              <w:rPr>
                <w:rFonts w:eastAsia="SimSun"/>
                <w:sz w:val="24"/>
                <w:szCs w:val="24"/>
              </w:rPr>
            </w:pPr>
            <w:proofErr w:type="spellStart"/>
            <w:r w:rsidRPr="00380D3E">
              <w:rPr>
                <w:rFonts w:eastAsia="SimSun"/>
                <w:sz w:val="24"/>
                <w:szCs w:val="24"/>
              </w:rPr>
              <w:t>Nasopharyngitis</w:t>
            </w:r>
            <w:proofErr w:type="spellEnd"/>
          </w:p>
        </w:tc>
      </w:tr>
      <w:tr w:rsidR="00061CA5" w:rsidRPr="00380D3E" w14:paraId="3494C808" w14:textId="77777777" w:rsidTr="008C3804">
        <w:trPr>
          <w:trHeight w:val="397"/>
        </w:trPr>
        <w:tc>
          <w:tcPr>
            <w:tcW w:w="1666" w:type="pct"/>
            <w:vMerge/>
            <w:tcBorders>
              <w:top w:val="single" w:sz="4" w:space="0" w:color="auto"/>
              <w:left w:val="single" w:sz="4" w:space="0" w:color="auto"/>
              <w:bottom w:val="single" w:sz="4" w:space="0" w:color="auto"/>
              <w:right w:val="single" w:sz="4" w:space="0" w:color="auto"/>
            </w:tcBorders>
            <w:vAlign w:val="center"/>
            <w:hideMark/>
          </w:tcPr>
          <w:p w14:paraId="4702CEF0" w14:textId="77777777" w:rsidR="00061CA5" w:rsidRPr="00380D3E" w:rsidRDefault="00061CA5">
            <w:pPr>
              <w:rPr>
                <w:rFonts w:eastAsia="SimSun"/>
                <w:sz w:val="24"/>
                <w:szCs w:val="24"/>
              </w:rPr>
            </w:pPr>
          </w:p>
        </w:tc>
        <w:tc>
          <w:tcPr>
            <w:tcW w:w="1521" w:type="pct"/>
            <w:tcBorders>
              <w:top w:val="single" w:sz="4" w:space="0" w:color="auto"/>
              <w:left w:val="single" w:sz="4" w:space="0" w:color="auto"/>
              <w:bottom w:val="single" w:sz="4" w:space="0" w:color="auto"/>
              <w:right w:val="single" w:sz="4" w:space="0" w:color="auto"/>
            </w:tcBorders>
            <w:vAlign w:val="center"/>
            <w:hideMark/>
          </w:tcPr>
          <w:p w14:paraId="51C99DD0" w14:textId="77777777" w:rsidR="00061CA5" w:rsidRPr="00380D3E" w:rsidRDefault="00061CA5">
            <w:pPr>
              <w:jc w:val="center"/>
              <w:rPr>
                <w:rFonts w:eastAsia="SimSun"/>
                <w:sz w:val="24"/>
                <w:szCs w:val="24"/>
              </w:rPr>
            </w:pPr>
            <w:r w:rsidRPr="00380D3E">
              <w:rPr>
                <w:sz w:val="24"/>
                <w:szCs w:val="24"/>
                <w:lang w:eastAsia="en-GB"/>
              </w:rPr>
              <w:t>Meget almindelig</w:t>
            </w:r>
          </w:p>
        </w:tc>
        <w:tc>
          <w:tcPr>
            <w:tcW w:w="1812" w:type="pct"/>
            <w:tcBorders>
              <w:top w:val="single" w:sz="4" w:space="0" w:color="auto"/>
              <w:left w:val="single" w:sz="4" w:space="0" w:color="auto"/>
              <w:bottom w:val="single" w:sz="4" w:space="0" w:color="auto"/>
              <w:right w:val="single" w:sz="4" w:space="0" w:color="auto"/>
            </w:tcBorders>
            <w:vAlign w:val="center"/>
            <w:hideMark/>
          </w:tcPr>
          <w:p w14:paraId="3EB80496" w14:textId="77777777" w:rsidR="00061CA5" w:rsidRPr="00380D3E" w:rsidRDefault="00061CA5">
            <w:pPr>
              <w:jc w:val="center"/>
              <w:rPr>
                <w:rFonts w:eastAsia="SimSun"/>
                <w:sz w:val="24"/>
                <w:szCs w:val="24"/>
              </w:rPr>
            </w:pPr>
            <w:proofErr w:type="spellStart"/>
            <w:r w:rsidRPr="00380D3E">
              <w:rPr>
                <w:rFonts w:eastAsia="SimSun"/>
                <w:sz w:val="24"/>
                <w:szCs w:val="24"/>
              </w:rPr>
              <w:t>Bronchitis</w:t>
            </w:r>
            <w:proofErr w:type="spellEnd"/>
          </w:p>
        </w:tc>
      </w:tr>
      <w:tr w:rsidR="00061CA5" w:rsidRPr="00380D3E" w14:paraId="7D02B19D" w14:textId="77777777" w:rsidTr="008C3804">
        <w:trPr>
          <w:trHeight w:val="397"/>
        </w:trPr>
        <w:tc>
          <w:tcPr>
            <w:tcW w:w="1666" w:type="pct"/>
            <w:vMerge/>
            <w:tcBorders>
              <w:top w:val="single" w:sz="4" w:space="0" w:color="auto"/>
              <w:left w:val="single" w:sz="4" w:space="0" w:color="auto"/>
              <w:bottom w:val="single" w:sz="4" w:space="0" w:color="auto"/>
              <w:right w:val="single" w:sz="4" w:space="0" w:color="auto"/>
            </w:tcBorders>
            <w:vAlign w:val="center"/>
            <w:hideMark/>
          </w:tcPr>
          <w:p w14:paraId="4ACAB711" w14:textId="77777777" w:rsidR="00061CA5" w:rsidRPr="00380D3E" w:rsidRDefault="00061CA5">
            <w:pPr>
              <w:rPr>
                <w:rFonts w:eastAsia="SimSun"/>
                <w:sz w:val="24"/>
                <w:szCs w:val="24"/>
              </w:rPr>
            </w:pPr>
          </w:p>
        </w:tc>
        <w:tc>
          <w:tcPr>
            <w:tcW w:w="1521" w:type="pct"/>
            <w:tcBorders>
              <w:top w:val="single" w:sz="4" w:space="0" w:color="auto"/>
              <w:left w:val="single" w:sz="4" w:space="0" w:color="auto"/>
              <w:bottom w:val="single" w:sz="4" w:space="0" w:color="auto"/>
              <w:right w:val="single" w:sz="4" w:space="0" w:color="auto"/>
            </w:tcBorders>
            <w:vAlign w:val="center"/>
            <w:hideMark/>
          </w:tcPr>
          <w:p w14:paraId="5DDDF10C" w14:textId="77777777" w:rsidR="00061CA5" w:rsidRPr="00380D3E" w:rsidRDefault="00061CA5">
            <w:pPr>
              <w:jc w:val="center"/>
              <w:rPr>
                <w:rFonts w:eastAsia="SimSun"/>
                <w:sz w:val="24"/>
                <w:szCs w:val="24"/>
              </w:rPr>
            </w:pPr>
            <w:r w:rsidRPr="00380D3E">
              <w:rPr>
                <w:sz w:val="24"/>
                <w:szCs w:val="24"/>
                <w:lang w:eastAsia="en-GB"/>
              </w:rPr>
              <w:t>Almindelig</w:t>
            </w:r>
          </w:p>
        </w:tc>
        <w:tc>
          <w:tcPr>
            <w:tcW w:w="1812" w:type="pct"/>
            <w:tcBorders>
              <w:top w:val="single" w:sz="4" w:space="0" w:color="auto"/>
              <w:left w:val="single" w:sz="4" w:space="0" w:color="auto"/>
              <w:bottom w:val="single" w:sz="4" w:space="0" w:color="auto"/>
              <w:right w:val="single" w:sz="4" w:space="0" w:color="auto"/>
            </w:tcBorders>
            <w:vAlign w:val="center"/>
            <w:hideMark/>
          </w:tcPr>
          <w:p w14:paraId="26754C73" w14:textId="77777777" w:rsidR="00061CA5" w:rsidRPr="00380D3E" w:rsidRDefault="00061CA5">
            <w:pPr>
              <w:jc w:val="center"/>
              <w:rPr>
                <w:rFonts w:eastAsia="SimSun"/>
                <w:sz w:val="24"/>
                <w:szCs w:val="24"/>
              </w:rPr>
            </w:pPr>
            <w:proofErr w:type="spellStart"/>
            <w:r w:rsidRPr="00380D3E">
              <w:rPr>
                <w:rFonts w:eastAsia="SimSun"/>
                <w:sz w:val="24"/>
                <w:szCs w:val="24"/>
              </w:rPr>
              <w:t>Faryngitis</w:t>
            </w:r>
            <w:proofErr w:type="spellEnd"/>
          </w:p>
        </w:tc>
      </w:tr>
      <w:tr w:rsidR="00061CA5" w:rsidRPr="00380D3E" w14:paraId="744D9657" w14:textId="77777777" w:rsidTr="008C3804">
        <w:trPr>
          <w:trHeight w:val="397"/>
        </w:trPr>
        <w:tc>
          <w:tcPr>
            <w:tcW w:w="1666" w:type="pct"/>
            <w:vMerge/>
            <w:tcBorders>
              <w:top w:val="single" w:sz="4" w:space="0" w:color="auto"/>
              <w:left w:val="single" w:sz="4" w:space="0" w:color="auto"/>
              <w:bottom w:val="single" w:sz="4" w:space="0" w:color="auto"/>
              <w:right w:val="single" w:sz="4" w:space="0" w:color="auto"/>
            </w:tcBorders>
            <w:vAlign w:val="center"/>
            <w:hideMark/>
          </w:tcPr>
          <w:p w14:paraId="6B64CC11" w14:textId="77777777" w:rsidR="00061CA5" w:rsidRPr="00380D3E" w:rsidRDefault="00061CA5">
            <w:pPr>
              <w:rPr>
                <w:rFonts w:eastAsia="SimSun"/>
                <w:sz w:val="24"/>
                <w:szCs w:val="24"/>
              </w:rPr>
            </w:pPr>
          </w:p>
        </w:tc>
        <w:tc>
          <w:tcPr>
            <w:tcW w:w="1521" w:type="pct"/>
            <w:tcBorders>
              <w:top w:val="single" w:sz="4" w:space="0" w:color="auto"/>
              <w:left w:val="single" w:sz="4" w:space="0" w:color="auto"/>
              <w:bottom w:val="single" w:sz="4" w:space="0" w:color="auto"/>
              <w:right w:val="single" w:sz="4" w:space="0" w:color="auto"/>
            </w:tcBorders>
            <w:vAlign w:val="center"/>
            <w:hideMark/>
          </w:tcPr>
          <w:p w14:paraId="14F5A815" w14:textId="77777777" w:rsidR="00061CA5" w:rsidRPr="00380D3E" w:rsidRDefault="00061CA5">
            <w:pPr>
              <w:jc w:val="center"/>
              <w:rPr>
                <w:rFonts w:eastAsia="SimSun"/>
                <w:sz w:val="24"/>
                <w:szCs w:val="24"/>
              </w:rPr>
            </w:pPr>
            <w:r w:rsidRPr="00380D3E">
              <w:rPr>
                <w:sz w:val="24"/>
                <w:szCs w:val="24"/>
                <w:lang w:eastAsia="en-GB"/>
              </w:rPr>
              <w:t>Almindelig</w:t>
            </w:r>
          </w:p>
        </w:tc>
        <w:tc>
          <w:tcPr>
            <w:tcW w:w="1812" w:type="pct"/>
            <w:tcBorders>
              <w:top w:val="single" w:sz="4" w:space="0" w:color="auto"/>
              <w:left w:val="single" w:sz="4" w:space="0" w:color="auto"/>
              <w:bottom w:val="single" w:sz="4" w:space="0" w:color="auto"/>
              <w:right w:val="single" w:sz="4" w:space="0" w:color="auto"/>
            </w:tcBorders>
            <w:vAlign w:val="center"/>
            <w:hideMark/>
          </w:tcPr>
          <w:p w14:paraId="2F3DE381" w14:textId="77777777" w:rsidR="00061CA5" w:rsidRPr="00380D3E" w:rsidRDefault="00061CA5">
            <w:pPr>
              <w:jc w:val="center"/>
              <w:rPr>
                <w:rFonts w:eastAsia="SimSun"/>
                <w:sz w:val="24"/>
                <w:szCs w:val="24"/>
              </w:rPr>
            </w:pPr>
            <w:r w:rsidRPr="00380D3E">
              <w:rPr>
                <w:rFonts w:eastAsia="SimSun"/>
                <w:sz w:val="24"/>
                <w:szCs w:val="24"/>
              </w:rPr>
              <w:t>Influenza</w:t>
            </w:r>
          </w:p>
        </w:tc>
      </w:tr>
      <w:tr w:rsidR="00061CA5" w:rsidRPr="00380D3E" w14:paraId="615DF5E5" w14:textId="77777777" w:rsidTr="008C3804">
        <w:trPr>
          <w:trHeight w:val="397"/>
        </w:trPr>
        <w:tc>
          <w:tcPr>
            <w:tcW w:w="1666" w:type="pct"/>
            <w:vMerge/>
            <w:tcBorders>
              <w:top w:val="single" w:sz="4" w:space="0" w:color="auto"/>
              <w:left w:val="single" w:sz="4" w:space="0" w:color="auto"/>
              <w:bottom w:val="single" w:sz="4" w:space="0" w:color="auto"/>
              <w:right w:val="single" w:sz="4" w:space="0" w:color="auto"/>
            </w:tcBorders>
            <w:vAlign w:val="center"/>
            <w:hideMark/>
          </w:tcPr>
          <w:p w14:paraId="5F8D7693" w14:textId="77777777" w:rsidR="00061CA5" w:rsidRPr="00380D3E" w:rsidRDefault="00061CA5">
            <w:pPr>
              <w:rPr>
                <w:rFonts w:eastAsia="SimSun"/>
                <w:sz w:val="24"/>
                <w:szCs w:val="24"/>
              </w:rPr>
            </w:pPr>
          </w:p>
        </w:tc>
        <w:tc>
          <w:tcPr>
            <w:tcW w:w="1521" w:type="pct"/>
            <w:tcBorders>
              <w:top w:val="single" w:sz="4" w:space="0" w:color="auto"/>
              <w:left w:val="single" w:sz="4" w:space="0" w:color="auto"/>
              <w:bottom w:val="single" w:sz="4" w:space="0" w:color="auto"/>
              <w:right w:val="single" w:sz="4" w:space="0" w:color="auto"/>
            </w:tcBorders>
            <w:vAlign w:val="center"/>
            <w:hideMark/>
          </w:tcPr>
          <w:p w14:paraId="510ABFB1" w14:textId="77777777" w:rsidR="00061CA5" w:rsidRPr="00380D3E" w:rsidRDefault="00061CA5">
            <w:pPr>
              <w:jc w:val="center"/>
              <w:rPr>
                <w:rFonts w:eastAsia="SimSun"/>
                <w:sz w:val="24"/>
                <w:szCs w:val="24"/>
              </w:rPr>
            </w:pPr>
            <w:r w:rsidRPr="00380D3E">
              <w:rPr>
                <w:sz w:val="24"/>
                <w:szCs w:val="24"/>
                <w:lang w:eastAsia="en-GB"/>
              </w:rPr>
              <w:t>Almindelig</w:t>
            </w:r>
          </w:p>
        </w:tc>
        <w:tc>
          <w:tcPr>
            <w:tcW w:w="1812" w:type="pct"/>
            <w:tcBorders>
              <w:top w:val="single" w:sz="4" w:space="0" w:color="auto"/>
              <w:left w:val="single" w:sz="4" w:space="0" w:color="auto"/>
              <w:bottom w:val="single" w:sz="4" w:space="0" w:color="auto"/>
              <w:right w:val="single" w:sz="4" w:space="0" w:color="auto"/>
            </w:tcBorders>
            <w:vAlign w:val="center"/>
            <w:hideMark/>
          </w:tcPr>
          <w:p w14:paraId="2468BE6C" w14:textId="77777777" w:rsidR="00061CA5" w:rsidRPr="00380D3E" w:rsidRDefault="00061CA5">
            <w:pPr>
              <w:jc w:val="center"/>
              <w:rPr>
                <w:rFonts w:eastAsia="SimSun"/>
                <w:sz w:val="24"/>
                <w:szCs w:val="24"/>
              </w:rPr>
            </w:pPr>
            <w:r w:rsidRPr="00380D3E">
              <w:rPr>
                <w:rFonts w:eastAsia="SimSun"/>
                <w:sz w:val="24"/>
                <w:szCs w:val="24"/>
              </w:rPr>
              <w:t>U</w:t>
            </w:r>
            <w:r w:rsidRPr="00380D3E">
              <w:rPr>
                <w:sz w:val="24"/>
                <w:szCs w:val="24"/>
              </w:rPr>
              <w:t>rinvejsinfektion</w:t>
            </w:r>
          </w:p>
        </w:tc>
      </w:tr>
      <w:tr w:rsidR="00061CA5" w:rsidRPr="00380D3E" w14:paraId="76F77618" w14:textId="77777777" w:rsidTr="008C3804">
        <w:trPr>
          <w:trHeight w:val="397"/>
        </w:trPr>
        <w:tc>
          <w:tcPr>
            <w:tcW w:w="1666" w:type="pct"/>
            <w:vMerge w:val="restart"/>
            <w:tcBorders>
              <w:top w:val="single" w:sz="4" w:space="0" w:color="auto"/>
              <w:left w:val="single" w:sz="4" w:space="0" w:color="auto"/>
              <w:bottom w:val="single" w:sz="4" w:space="0" w:color="auto"/>
              <w:right w:val="single" w:sz="4" w:space="0" w:color="auto"/>
            </w:tcBorders>
            <w:hideMark/>
          </w:tcPr>
          <w:p w14:paraId="6CAF4906" w14:textId="77777777" w:rsidR="00061CA5" w:rsidRPr="00380D3E" w:rsidRDefault="00061CA5">
            <w:pPr>
              <w:jc w:val="center"/>
              <w:rPr>
                <w:rFonts w:eastAsia="SimSun"/>
                <w:sz w:val="24"/>
                <w:szCs w:val="24"/>
              </w:rPr>
            </w:pPr>
            <w:r w:rsidRPr="00380D3E">
              <w:rPr>
                <w:sz w:val="24"/>
                <w:szCs w:val="24"/>
                <w:lang w:eastAsia="en-GB"/>
              </w:rPr>
              <w:t>Blod og lymfesystem</w:t>
            </w:r>
          </w:p>
        </w:tc>
        <w:tc>
          <w:tcPr>
            <w:tcW w:w="1521" w:type="pct"/>
            <w:tcBorders>
              <w:top w:val="single" w:sz="4" w:space="0" w:color="auto"/>
              <w:left w:val="single" w:sz="4" w:space="0" w:color="auto"/>
              <w:bottom w:val="single" w:sz="4" w:space="0" w:color="auto"/>
              <w:right w:val="single" w:sz="4" w:space="0" w:color="auto"/>
            </w:tcBorders>
            <w:vAlign w:val="center"/>
            <w:hideMark/>
          </w:tcPr>
          <w:p w14:paraId="1B916E88" w14:textId="77777777" w:rsidR="00061CA5" w:rsidRPr="00380D3E" w:rsidRDefault="00061CA5">
            <w:pPr>
              <w:jc w:val="center"/>
              <w:rPr>
                <w:rFonts w:eastAsia="SimSun"/>
                <w:sz w:val="24"/>
                <w:szCs w:val="24"/>
              </w:rPr>
            </w:pPr>
            <w:r w:rsidRPr="00380D3E">
              <w:rPr>
                <w:sz w:val="24"/>
                <w:szCs w:val="24"/>
                <w:lang w:eastAsia="en-GB"/>
              </w:rPr>
              <w:t>Meget almindelig</w:t>
            </w:r>
          </w:p>
        </w:tc>
        <w:tc>
          <w:tcPr>
            <w:tcW w:w="1812" w:type="pct"/>
            <w:tcBorders>
              <w:top w:val="single" w:sz="4" w:space="0" w:color="auto"/>
              <w:left w:val="single" w:sz="4" w:space="0" w:color="auto"/>
              <w:bottom w:val="single" w:sz="4" w:space="0" w:color="auto"/>
              <w:right w:val="single" w:sz="4" w:space="0" w:color="auto"/>
            </w:tcBorders>
            <w:vAlign w:val="center"/>
            <w:hideMark/>
          </w:tcPr>
          <w:p w14:paraId="354A1AEB" w14:textId="77777777" w:rsidR="00061CA5" w:rsidRPr="00380D3E" w:rsidRDefault="00061CA5">
            <w:pPr>
              <w:jc w:val="center"/>
              <w:rPr>
                <w:sz w:val="24"/>
                <w:szCs w:val="24"/>
              </w:rPr>
            </w:pPr>
            <w:r w:rsidRPr="00380D3E">
              <w:rPr>
                <w:sz w:val="24"/>
                <w:szCs w:val="24"/>
                <w:lang w:eastAsia="nl-NL"/>
              </w:rPr>
              <w:t>Anæmi, fald i hæmoglobin</w:t>
            </w:r>
            <w:r w:rsidRPr="00380D3E">
              <w:rPr>
                <w:sz w:val="24"/>
                <w:szCs w:val="24"/>
                <w:vertAlign w:val="superscript"/>
                <w:lang w:eastAsia="nl-NL"/>
              </w:rPr>
              <w:t>5</w:t>
            </w:r>
          </w:p>
        </w:tc>
      </w:tr>
      <w:tr w:rsidR="00061CA5" w:rsidRPr="00380D3E" w14:paraId="4E44581A" w14:textId="77777777" w:rsidTr="008C3804">
        <w:trPr>
          <w:trHeight w:val="397"/>
        </w:trPr>
        <w:tc>
          <w:tcPr>
            <w:tcW w:w="1666" w:type="pct"/>
            <w:vMerge/>
            <w:tcBorders>
              <w:top w:val="single" w:sz="4" w:space="0" w:color="auto"/>
              <w:left w:val="single" w:sz="4" w:space="0" w:color="auto"/>
              <w:bottom w:val="single" w:sz="4" w:space="0" w:color="auto"/>
              <w:right w:val="single" w:sz="4" w:space="0" w:color="auto"/>
            </w:tcBorders>
            <w:vAlign w:val="center"/>
            <w:hideMark/>
          </w:tcPr>
          <w:p w14:paraId="0E7A76ED" w14:textId="77777777" w:rsidR="00061CA5" w:rsidRPr="00380D3E" w:rsidRDefault="00061CA5">
            <w:pPr>
              <w:rPr>
                <w:rFonts w:eastAsia="SimSun"/>
                <w:sz w:val="24"/>
                <w:szCs w:val="24"/>
              </w:rPr>
            </w:pPr>
          </w:p>
        </w:tc>
        <w:tc>
          <w:tcPr>
            <w:tcW w:w="1521" w:type="pct"/>
            <w:tcBorders>
              <w:top w:val="single" w:sz="4" w:space="0" w:color="auto"/>
              <w:left w:val="single" w:sz="4" w:space="0" w:color="auto"/>
              <w:bottom w:val="single" w:sz="4" w:space="0" w:color="auto"/>
              <w:right w:val="single" w:sz="4" w:space="0" w:color="auto"/>
            </w:tcBorders>
            <w:vAlign w:val="center"/>
            <w:hideMark/>
          </w:tcPr>
          <w:p w14:paraId="0B310D7C" w14:textId="77777777" w:rsidR="00061CA5" w:rsidRPr="00380D3E" w:rsidRDefault="00061CA5">
            <w:pPr>
              <w:jc w:val="center"/>
              <w:rPr>
                <w:rFonts w:eastAsia="SimSun"/>
                <w:sz w:val="24"/>
                <w:szCs w:val="24"/>
              </w:rPr>
            </w:pPr>
            <w:r w:rsidRPr="00380D3E">
              <w:rPr>
                <w:sz w:val="24"/>
                <w:szCs w:val="24"/>
                <w:lang w:eastAsia="en-GB"/>
              </w:rPr>
              <w:t>Almindelig</w:t>
            </w:r>
          </w:p>
        </w:tc>
        <w:tc>
          <w:tcPr>
            <w:tcW w:w="1812" w:type="pct"/>
            <w:tcBorders>
              <w:top w:val="single" w:sz="4" w:space="0" w:color="auto"/>
              <w:left w:val="single" w:sz="4" w:space="0" w:color="auto"/>
              <w:bottom w:val="single" w:sz="4" w:space="0" w:color="auto"/>
              <w:right w:val="single" w:sz="4" w:space="0" w:color="auto"/>
            </w:tcBorders>
            <w:vAlign w:val="center"/>
            <w:hideMark/>
          </w:tcPr>
          <w:p w14:paraId="73DF080A" w14:textId="77777777" w:rsidR="00061CA5" w:rsidRPr="00380D3E" w:rsidRDefault="00061CA5">
            <w:pPr>
              <w:jc w:val="center"/>
              <w:rPr>
                <w:sz w:val="24"/>
                <w:szCs w:val="24"/>
              </w:rPr>
            </w:pPr>
            <w:r w:rsidRPr="00380D3E">
              <w:rPr>
                <w:sz w:val="24"/>
                <w:szCs w:val="24"/>
                <w:lang w:eastAsia="nl-NL"/>
              </w:rPr>
              <w:t>Leukopeni</w:t>
            </w:r>
            <w:r w:rsidRPr="00380D3E">
              <w:rPr>
                <w:sz w:val="24"/>
                <w:szCs w:val="24"/>
                <w:vertAlign w:val="superscript"/>
                <w:lang w:eastAsia="nl-NL"/>
              </w:rPr>
              <w:t>6</w:t>
            </w:r>
          </w:p>
        </w:tc>
      </w:tr>
      <w:tr w:rsidR="00061CA5" w:rsidRPr="00380D3E" w14:paraId="150FD333" w14:textId="77777777" w:rsidTr="008C3804">
        <w:trPr>
          <w:trHeight w:val="397"/>
        </w:trPr>
        <w:tc>
          <w:tcPr>
            <w:tcW w:w="1666" w:type="pct"/>
            <w:vMerge/>
            <w:tcBorders>
              <w:top w:val="single" w:sz="4" w:space="0" w:color="auto"/>
              <w:left w:val="single" w:sz="4" w:space="0" w:color="auto"/>
              <w:bottom w:val="single" w:sz="4" w:space="0" w:color="auto"/>
              <w:right w:val="single" w:sz="4" w:space="0" w:color="auto"/>
            </w:tcBorders>
            <w:vAlign w:val="center"/>
            <w:hideMark/>
          </w:tcPr>
          <w:p w14:paraId="2EF4A9A6" w14:textId="77777777" w:rsidR="00061CA5" w:rsidRPr="00380D3E" w:rsidRDefault="00061CA5">
            <w:pPr>
              <w:rPr>
                <w:rFonts w:eastAsia="SimSun"/>
                <w:sz w:val="24"/>
                <w:szCs w:val="24"/>
              </w:rPr>
            </w:pPr>
          </w:p>
        </w:tc>
        <w:tc>
          <w:tcPr>
            <w:tcW w:w="1521" w:type="pct"/>
            <w:tcBorders>
              <w:top w:val="single" w:sz="4" w:space="0" w:color="auto"/>
              <w:left w:val="single" w:sz="4" w:space="0" w:color="auto"/>
              <w:bottom w:val="single" w:sz="4" w:space="0" w:color="auto"/>
              <w:right w:val="single" w:sz="4" w:space="0" w:color="auto"/>
            </w:tcBorders>
            <w:vAlign w:val="center"/>
            <w:hideMark/>
          </w:tcPr>
          <w:p w14:paraId="7B1D14BA" w14:textId="77777777" w:rsidR="00061CA5" w:rsidRPr="00380D3E" w:rsidRDefault="00061CA5">
            <w:pPr>
              <w:jc w:val="center"/>
              <w:rPr>
                <w:rFonts w:eastAsia="SimSun"/>
                <w:sz w:val="24"/>
                <w:szCs w:val="24"/>
                <w:highlight w:val="magenta"/>
              </w:rPr>
            </w:pPr>
            <w:r w:rsidRPr="00380D3E">
              <w:rPr>
                <w:sz w:val="24"/>
                <w:szCs w:val="24"/>
                <w:lang w:eastAsia="en-GB"/>
              </w:rPr>
              <w:t>Almindelig</w:t>
            </w:r>
          </w:p>
        </w:tc>
        <w:tc>
          <w:tcPr>
            <w:tcW w:w="1812" w:type="pct"/>
            <w:tcBorders>
              <w:top w:val="single" w:sz="4" w:space="0" w:color="auto"/>
              <w:left w:val="single" w:sz="4" w:space="0" w:color="auto"/>
              <w:bottom w:val="single" w:sz="4" w:space="0" w:color="auto"/>
              <w:right w:val="single" w:sz="4" w:space="0" w:color="auto"/>
            </w:tcBorders>
            <w:vAlign w:val="center"/>
            <w:hideMark/>
          </w:tcPr>
          <w:p w14:paraId="25B11217" w14:textId="77777777" w:rsidR="00061CA5" w:rsidRPr="00380D3E" w:rsidRDefault="00061CA5">
            <w:pPr>
              <w:jc w:val="center"/>
              <w:rPr>
                <w:sz w:val="24"/>
                <w:szCs w:val="24"/>
              </w:rPr>
            </w:pPr>
            <w:r w:rsidRPr="00380D3E">
              <w:rPr>
                <w:sz w:val="24"/>
                <w:szCs w:val="24"/>
                <w:lang w:eastAsia="nl-NL"/>
              </w:rPr>
              <w:t>Trombocytopeni</w:t>
            </w:r>
            <w:r w:rsidRPr="00380D3E">
              <w:rPr>
                <w:sz w:val="24"/>
                <w:szCs w:val="24"/>
                <w:vertAlign w:val="superscript"/>
                <w:lang w:eastAsia="nl-NL"/>
              </w:rPr>
              <w:t>7</w:t>
            </w:r>
          </w:p>
        </w:tc>
      </w:tr>
      <w:tr w:rsidR="00061CA5" w:rsidRPr="00380D3E" w14:paraId="378EA4C2" w14:textId="77777777" w:rsidTr="008C3804">
        <w:trPr>
          <w:trHeight w:val="397"/>
        </w:trPr>
        <w:tc>
          <w:tcPr>
            <w:tcW w:w="1666" w:type="pct"/>
            <w:tcBorders>
              <w:top w:val="single" w:sz="4" w:space="0" w:color="auto"/>
              <w:left w:val="single" w:sz="4" w:space="0" w:color="auto"/>
              <w:bottom w:val="single" w:sz="4" w:space="0" w:color="auto"/>
              <w:right w:val="single" w:sz="4" w:space="0" w:color="auto"/>
            </w:tcBorders>
            <w:vAlign w:val="center"/>
            <w:hideMark/>
          </w:tcPr>
          <w:p w14:paraId="1B261303" w14:textId="77777777" w:rsidR="00061CA5" w:rsidRPr="00380D3E" w:rsidRDefault="00061CA5">
            <w:pPr>
              <w:jc w:val="center"/>
              <w:rPr>
                <w:rFonts w:eastAsia="SimSun"/>
                <w:sz w:val="24"/>
                <w:szCs w:val="24"/>
                <w:highlight w:val="magenta"/>
              </w:rPr>
            </w:pPr>
            <w:r w:rsidRPr="00380D3E">
              <w:rPr>
                <w:sz w:val="24"/>
                <w:szCs w:val="24"/>
                <w:lang w:eastAsia="en-GB"/>
              </w:rPr>
              <w:t>Immunsystemet</w:t>
            </w:r>
          </w:p>
        </w:tc>
        <w:tc>
          <w:tcPr>
            <w:tcW w:w="1521" w:type="pct"/>
            <w:tcBorders>
              <w:top w:val="single" w:sz="4" w:space="0" w:color="auto"/>
              <w:left w:val="single" w:sz="4" w:space="0" w:color="auto"/>
              <w:bottom w:val="single" w:sz="4" w:space="0" w:color="auto"/>
              <w:right w:val="single" w:sz="4" w:space="0" w:color="auto"/>
            </w:tcBorders>
            <w:vAlign w:val="center"/>
            <w:hideMark/>
          </w:tcPr>
          <w:p w14:paraId="1EB41882" w14:textId="77777777" w:rsidR="00061CA5" w:rsidRPr="00380D3E" w:rsidRDefault="00061CA5">
            <w:pPr>
              <w:jc w:val="center"/>
              <w:rPr>
                <w:rFonts w:eastAsia="SimSun"/>
                <w:sz w:val="24"/>
                <w:szCs w:val="24"/>
                <w:highlight w:val="magenta"/>
              </w:rPr>
            </w:pPr>
            <w:r w:rsidRPr="00380D3E">
              <w:rPr>
                <w:sz w:val="24"/>
                <w:szCs w:val="24"/>
                <w:lang w:eastAsia="en-GB"/>
              </w:rPr>
              <w:t>Ikke almindelig</w:t>
            </w:r>
          </w:p>
        </w:tc>
        <w:tc>
          <w:tcPr>
            <w:tcW w:w="1812" w:type="pct"/>
            <w:tcBorders>
              <w:top w:val="single" w:sz="4" w:space="0" w:color="auto"/>
              <w:left w:val="single" w:sz="4" w:space="0" w:color="auto"/>
              <w:bottom w:val="single" w:sz="4" w:space="0" w:color="auto"/>
              <w:right w:val="single" w:sz="4" w:space="0" w:color="auto"/>
            </w:tcBorders>
            <w:vAlign w:val="center"/>
            <w:hideMark/>
          </w:tcPr>
          <w:p w14:paraId="7E1CF276" w14:textId="77777777" w:rsidR="00061CA5" w:rsidRPr="00380D3E" w:rsidRDefault="00061CA5">
            <w:pPr>
              <w:jc w:val="center"/>
              <w:rPr>
                <w:rFonts w:eastAsia="SimSun"/>
                <w:sz w:val="24"/>
                <w:szCs w:val="24"/>
              </w:rPr>
            </w:pPr>
            <w:r w:rsidRPr="00380D3E">
              <w:rPr>
                <w:sz w:val="24"/>
                <w:szCs w:val="24"/>
                <w:lang w:eastAsia="en-GB"/>
              </w:rPr>
              <w:t>Overfølsomhedsreaktioner</w:t>
            </w:r>
            <w:r w:rsidRPr="00380D3E">
              <w:rPr>
                <w:rFonts w:eastAsia="SimSun"/>
                <w:sz w:val="24"/>
                <w:szCs w:val="24"/>
              </w:rPr>
              <w:t xml:space="preserve"> </w:t>
            </w:r>
            <w:r w:rsidRPr="00380D3E">
              <w:rPr>
                <w:sz w:val="24"/>
                <w:szCs w:val="24"/>
                <w:lang w:eastAsia="en-GB"/>
              </w:rPr>
              <w:t xml:space="preserve">(f.eks. </w:t>
            </w:r>
            <w:proofErr w:type="spellStart"/>
            <w:r w:rsidRPr="00380D3E">
              <w:rPr>
                <w:sz w:val="24"/>
                <w:szCs w:val="24"/>
                <w:lang w:eastAsia="en-GB"/>
              </w:rPr>
              <w:t>angioødem</w:t>
            </w:r>
            <w:proofErr w:type="spellEnd"/>
            <w:r w:rsidRPr="00380D3E">
              <w:rPr>
                <w:sz w:val="24"/>
                <w:szCs w:val="24"/>
                <w:lang w:eastAsia="en-GB"/>
              </w:rPr>
              <w:t xml:space="preserve">, </w:t>
            </w:r>
            <w:proofErr w:type="spellStart"/>
            <w:r w:rsidRPr="00380D3E">
              <w:rPr>
                <w:sz w:val="24"/>
                <w:szCs w:val="24"/>
                <w:lang w:eastAsia="en-GB"/>
              </w:rPr>
              <w:t>pruritus</w:t>
            </w:r>
            <w:proofErr w:type="spellEnd"/>
            <w:r w:rsidRPr="00380D3E">
              <w:rPr>
                <w:sz w:val="24"/>
                <w:szCs w:val="24"/>
                <w:lang w:eastAsia="en-GB"/>
              </w:rPr>
              <w:t>,</w:t>
            </w:r>
            <w:r w:rsidRPr="00380D3E">
              <w:rPr>
                <w:rFonts w:eastAsia="SimSun"/>
                <w:sz w:val="24"/>
                <w:szCs w:val="24"/>
              </w:rPr>
              <w:t xml:space="preserve"> </w:t>
            </w:r>
            <w:r w:rsidRPr="00380D3E">
              <w:rPr>
                <w:sz w:val="24"/>
                <w:szCs w:val="24"/>
                <w:lang w:eastAsia="en-GB"/>
              </w:rPr>
              <w:t>udslæt)</w:t>
            </w:r>
            <w:r w:rsidRPr="00380D3E">
              <w:rPr>
                <w:sz w:val="24"/>
                <w:szCs w:val="24"/>
                <w:vertAlign w:val="superscript"/>
                <w:lang w:eastAsia="en-GB"/>
              </w:rPr>
              <w:t>1</w:t>
            </w:r>
          </w:p>
        </w:tc>
      </w:tr>
      <w:tr w:rsidR="00061CA5" w:rsidRPr="00380D3E" w14:paraId="43EAD1FA" w14:textId="77777777" w:rsidTr="008C3804">
        <w:trPr>
          <w:trHeight w:val="397"/>
        </w:trPr>
        <w:tc>
          <w:tcPr>
            <w:tcW w:w="1666" w:type="pct"/>
            <w:tcBorders>
              <w:top w:val="single" w:sz="4" w:space="0" w:color="auto"/>
              <w:left w:val="single" w:sz="4" w:space="0" w:color="auto"/>
              <w:bottom w:val="single" w:sz="4" w:space="0" w:color="auto"/>
              <w:right w:val="single" w:sz="4" w:space="0" w:color="auto"/>
            </w:tcBorders>
            <w:vAlign w:val="center"/>
            <w:hideMark/>
          </w:tcPr>
          <w:p w14:paraId="7653851C" w14:textId="77777777" w:rsidR="00061CA5" w:rsidRPr="00380D3E" w:rsidRDefault="00061CA5">
            <w:pPr>
              <w:jc w:val="center"/>
              <w:rPr>
                <w:rFonts w:eastAsia="SimSun"/>
                <w:sz w:val="24"/>
                <w:szCs w:val="24"/>
                <w:highlight w:val="magenta"/>
              </w:rPr>
            </w:pPr>
            <w:r w:rsidRPr="00380D3E">
              <w:rPr>
                <w:sz w:val="24"/>
                <w:szCs w:val="24"/>
                <w:lang w:eastAsia="en-GB"/>
              </w:rPr>
              <w:t>Nervesystemet</w:t>
            </w:r>
          </w:p>
        </w:tc>
        <w:tc>
          <w:tcPr>
            <w:tcW w:w="1521" w:type="pct"/>
            <w:tcBorders>
              <w:top w:val="single" w:sz="4" w:space="0" w:color="auto"/>
              <w:left w:val="single" w:sz="4" w:space="0" w:color="auto"/>
              <w:bottom w:val="single" w:sz="4" w:space="0" w:color="auto"/>
              <w:right w:val="single" w:sz="4" w:space="0" w:color="auto"/>
            </w:tcBorders>
            <w:vAlign w:val="center"/>
            <w:hideMark/>
          </w:tcPr>
          <w:p w14:paraId="7D266CD1" w14:textId="77777777" w:rsidR="00061CA5" w:rsidRPr="00380D3E" w:rsidRDefault="00061CA5">
            <w:pPr>
              <w:jc w:val="center"/>
              <w:rPr>
                <w:rFonts w:eastAsia="SimSun"/>
                <w:sz w:val="24"/>
                <w:szCs w:val="24"/>
                <w:highlight w:val="magenta"/>
              </w:rPr>
            </w:pPr>
            <w:r w:rsidRPr="00380D3E">
              <w:rPr>
                <w:sz w:val="24"/>
                <w:szCs w:val="24"/>
                <w:lang w:eastAsia="en-GB"/>
              </w:rPr>
              <w:t>Meget almindelig</w:t>
            </w:r>
          </w:p>
        </w:tc>
        <w:tc>
          <w:tcPr>
            <w:tcW w:w="1812" w:type="pct"/>
            <w:tcBorders>
              <w:top w:val="single" w:sz="4" w:space="0" w:color="auto"/>
              <w:left w:val="single" w:sz="4" w:space="0" w:color="auto"/>
              <w:bottom w:val="single" w:sz="4" w:space="0" w:color="auto"/>
              <w:right w:val="single" w:sz="4" w:space="0" w:color="auto"/>
            </w:tcBorders>
            <w:vAlign w:val="center"/>
            <w:hideMark/>
          </w:tcPr>
          <w:p w14:paraId="462992A0" w14:textId="77777777" w:rsidR="00061CA5" w:rsidRPr="00380D3E" w:rsidRDefault="00061CA5">
            <w:pPr>
              <w:jc w:val="center"/>
              <w:rPr>
                <w:rFonts w:eastAsia="SimSun"/>
                <w:sz w:val="24"/>
                <w:szCs w:val="24"/>
                <w:highlight w:val="magenta"/>
              </w:rPr>
            </w:pPr>
            <w:r w:rsidRPr="00380D3E">
              <w:rPr>
                <w:sz w:val="24"/>
                <w:szCs w:val="24"/>
                <w:lang w:eastAsia="en-GB"/>
              </w:rPr>
              <w:t>Hovedpine</w:t>
            </w:r>
          </w:p>
        </w:tc>
      </w:tr>
      <w:tr w:rsidR="00061CA5" w:rsidRPr="00380D3E" w14:paraId="503B4B4F" w14:textId="77777777" w:rsidTr="008C3804">
        <w:trPr>
          <w:trHeight w:val="397"/>
        </w:trPr>
        <w:tc>
          <w:tcPr>
            <w:tcW w:w="1666" w:type="pct"/>
            <w:tcBorders>
              <w:top w:val="single" w:sz="4" w:space="0" w:color="auto"/>
              <w:left w:val="single" w:sz="4" w:space="0" w:color="auto"/>
              <w:bottom w:val="single" w:sz="4" w:space="0" w:color="auto"/>
              <w:right w:val="single" w:sz="4" w:space="0" w:color="auto"/>
            </w:tcBorders>
            <w:vAlign w:val="center"/>
            <w:hideMark/>
          </w:tcPr>
          <w:p w14:paraId="22863319" w14:textId="77777777" w:rsidR="00061CA5" w:rsidRPr="00380D3E" w:rsidRDefault="00061CA5">
            <w:pPr>
              <w:jc w:val="center"/>
              <w:rPr>
                <w:rFonts w:eastAsia="SimSun"/>
                <w:sz w:val="24"/>
                <w:szCs w:val="24"/>
                <w:highlight w:val="magenta"/>
              </w:rPr>
            </w:pPr>
            <w:proofErr w:type="spellStart"/>
            <w:r w:rsidRPr="00380D3E">
              <w:rPr>
                <w:sz w:val="24"/>
                <w:szCs w:val="24"/>
                <w:lang w:eastAsia="en-GB"/>
              </w:rPr>
              <w:t>Vaskulære</w:t>
            </w:r>
            <w:proofErr w:type="spellEnd"/>
            <w:r w:rsidRPr="00380D3E">
              <w:rPr>
                <w:sz w:val="24"/>
                <w:szCs w:val="24"/>
                <w:lang w:eastAsia="en-GB"/>
              </w:rPr>
              <w:t xml:space="preserve"> sygdomme</w:t>
            </w:r>
          </w:p>
        </w:tc>
        <w:tc>
          <w:tcPr>
            <w:tcW w:w="1521" w:type="pct"/>
            <w:tcBorders>
              <w:top w:val="single" w:sz="4" w:space="0" w:color="auto"/>
              <w:left w:val="single" w:sz="4" w:space="0" w:color="auto"/>
              <w:bottom w:val="single" w:sz="4" w:space="0" w:color="auto"/>
              <w:right w:val="single" w:sz="4" w:space="0" w:color="auto"/>
            </w:tcBorders>
            <w:vAlign w:val="center"/>
            <w:hideMark/>
          </w:tcPr>
          <w:p w14:paraId="1163004E" w14:textId="77777777" w:rsidR="00061CA5" w:rsidRPr="00380D3E" w:rsidRDefault="00061CA5">
            <w:pPr>
              <w:jc w:val="center"/>
              <w:rPr>
                <w:rFonts w:eastAsia="SimSun"/>
                <w:sz w:val="24"/>
                <w:szCs w:val="24"/>
                <w:highlight w:val="magenta"/>
              </w:rPr>
            </w:pPr>
            <w:r w:rsidRPr="00380D3E">
              <w:rPr>
                <w:sz w:val="24"/>
                <w:szCs w:val="24"/>
                <w:lang w:eastAsia="en-GB"/>
              </w:rPr>
              <w:t>Almindelig</w:t>
            </w:r>
          </w:p>
        </w:tc>
        <w:tc>
          <w:tcPr>
            <w:tcW w:w="1812" w:type="pct"/>
            <w:tcBorders>
              <w:top w:val="single" w:sz="4" w:space="0" w:color="auto"/>
              <w:left w:val="single" w:sz="4" w:space="0" w:color="auto"/>
              <w:bottom w:val="single" w:sz="4" w:space="0" w:color="auto"/>
              <w:right w:val="single" w:sz="4" w:space="0" w:color="auto"/>
            </w:tcBorders>
            <w:vAlign w:val="center"/>
            <w:hideMark/>
          </w:tcPr>
          <w:p w14:paraId="1E0F68FC" w14:textId="77777777" w:rsidR="00061CA5" w:rsidRPr="00380D3E" w:rsidRDefault="00061CA5">
            <w:pPr>
              <w:jc w:val="center"/>
              <w:rPr>
                <w:sz w:val="24"/>
                <w:szCs w:val="24"/>
              </w:rPr>
            </w:pPr>
            <w:r w:rsidRPr="00380D3E">
              <w:rPr>
                <w:sz w:val="24"/>
                <w:szCs w:val="24"/>
                <w:lang w:eastAsia="nl-NL"/>
              </w:rPr>
              <w:t>Hypotension</w:t>
            </w:r>
            <w:r w:rsidRPr="00380D3E">
              <w:rPr>
                <w:sz w:val="24"/>
                <w:szCs w:val="24"/>
                <w:vertAlign w:val="superscript"/>
                <w:lang w:eastAsia="nl-NL"/>
              </w:rPr>
              <w:t>2</w:t>
            </w:r>
            <w:r w:rsidRPr="00380D3E">
              <w:rPr>
                <w:sz w:val="24"/>
                <w:szCs w:val="24"/>
                <w:lang w:eastAsia="nl-NL"/>
              </w:rPr>
              <w:t xml:space="preserve">, </w:t>
            </w:r>
            <w:proofErr w:type="spellStart"/>
            <w:r w:rsidRPr="00380D3E">
              <w:rPr>
                <w:sz w:val="24"/>
                <w:szCs w:val="24"/>
                <w:lang w:eastAsia="nl-NL"/>
              </w:rPr>
              <w:t>blussen</w:t>
            </w:r>
            <w:proofErr w:type="spellEnd"/>
          </w:p>
        </w:tc>
      </w:tr>
      <w:tr w:rsidR="00061CA5" w:rsidRPr="00380D3E" w14:paraId="29D8251D" w14:textId="77777777" w:rsidTr="008C3804">
        <w:trPr>
          <w:trHeight w:val="397"/>
        </w:trPr>
        <w:tc>
          <w:tcPr>
            <w:tcW w:w="1666" w:type="pct"/>
            <w:tcBorders>
              <w:top w:val="single" w:sz="4" w:space="0" w:color="auto"/>
              <w:left w:val="single" w:sz="4" w:space="0" w:color="auto"/>
              <w:bottom w:val="single" w:sz="4" w:space="0" w:color="auto"/>
              <w:right w:val="single" w:sz="4" w:space="0" w:color="auto"/>
            </w:tcBorders>
            <w:vAlign w:val="center"/>
            <w:hideMark/>
          </w:tcPr>
          <w:p w14:paraId="0DC505A5" w14:textId="77777777" w:rsidR="00061CA5" w:rsidRPr="00380D3E" w:rsidRDefault="00061CA5">
            <w:pPr>
              <w:jc w:val="center"/>
              <w:rPr>
                <w:rFonts w:eastAsia="SimSun"/>
                <w:sz w:val="24"/>
                <w:szCs w:val="24"/>
              </w:rPr>
            </w:pPr>
            <w:r w:rsidRPr="00380D3E">
              <w:rPr>
                <w:sz w:val="24"/>
                <w:szCs w:val="24"/>
                <w:lang w:eastAsia="en-GB"/>
              </w:rPr>
              <w:t xml:space="preserve">Luftveje, thorax og </w:t>
            </w:r>
            <w:proofErr w:type="spellStart"/>
            <w:r w:rsidRPr="00380D3E">
              <w:rPr>
                <w:sz w:val="24"/>
                <w:szCs w:val="24"/>
                <w:lang w:eastAsia="en-GB"/>
              </w:rPr>
              <w:t>mediastinum</w:t>
            </w:r>
            <w:proofErr w:type="spellEnd"/>
          </w:p>
        </w:tc>
        <w:tc>
          <w:tcPr>
            <w:tcW w:w="1521" w:type="pct"/>
            <w:tcBorders>
              <w:top w:val="single" w:sz="4" w:space="0" w:color="auto"/>
              <w:left w:val="single" w:sz="4" w:space="0" w:color="auto"/>
              <w:bottom w:val="single" w:sz="4" w:space="0" w:color="auto"/>
              <w:right w:val="single" w:sz="4" w:space="0" w:color="auto"/>
            </w:tcBorders>
            <w:vAlign w:val="center"/>
            <w:hideMark/>
          </w:tcPr>
          <w:p w14:paraId="5A764CA7" w14:textId="77777777" w:rsidR="00061CA5" w:rsidRPr="00380D3E" w:rsidRDefault="00061CA5">
            <w:pPr>
              <w:jc w:val="center"/>
              <w:rPr>
                <w:rFonts w:eastAsia="SimSun"/>
                <w:sz w:val="24"/>
                <w:szCs w:val="24"/>
              </w:rPr>
            </w:pPr>
            <w:r w:rsidRPr="00380D3E">
              <w:rPr>
                <w:sz w:val="24"/>
                <w:szCs w:val="24"/>
                <w:lang w:eastAsia="en-GB"/>
              </w:rPr>
              <w:t>Almindelig</w:t>
            </w:r>
          </w:p>
        </w:tc>
        <w:tc>
          <w:tcPr>
            <w:tcW w:w="1812" w:type="pct"/>
            <w:tcBorders>
              <w:top w:val="single" w:sz="4" w:space="0" w:color="auto"/>
              <w:left w:val="single" w:sz="4" w:space="0" w:color="auto"/>
              <w:bottom w:val="single" w:sz="4" w:space="0" w:color="auto"/>
              <w:right w:val="single" w:sz="4" w:space="0" w:color="auto"/>
            </w:tcBorders>
            <w:vAlign w:val="center"/>
            <w:hideMark/>
          </w:tcPr>
          <w:p w14:paraId="076787FA" w14:textId="77777777" w:rsidR="00061CA5" w:rsidRPr="00380D3E" w:rsidRDefault="00061CA5">
            <w:pPr>
              <w:jc w:val="center"/>
              <w:rPr>
                <w:sz w:val="24"/>
                <w:szCs w:val="24"/>
              </w:rPr>
            </w:pPr>
            <w:r w:rsidRPr="00380D3E">
              <w:rPr>
                <w:sz w:val="24"/>
                <w:szCs w:val="24"/>
                <w:lang w:eastAsia="nl-NL"/>
              </w:rPr>
              <w:t>Nasal obstruktion</w:t>
            </w:r>
            <w:r w:rsidRPr="00380D3E">
              <w:rPr>
                <w:sz w:val="24"/>
                <w:szCs w:val="24"/>
                <w:vertAlign w:val="superscript"/>
                <w:lang w:eastAsia="nl-NL"/>
              </w:rPr>
              <w:t>1</w:t>
            </w:r>
          </w:p>
        </w:tc>
      </w:tr>
      <w:tr w:rsidR="00061CA5" w:rsidRPr="00380D3E" w14:paraId="1F13AE0B" w14:textId="77777777" w:rsidTr="008C3804">
        <w:trPr>
          <w:trHeight w:val="397"/>
        </w:trPr>
        <w:tc>
          <w:tcPr>
            <w:tcW w:w="1666" w:type="pct"/>
            <w:tcBorders>
              <w:top w:val="single" w:sz="4" w:space="0" w:color="auto"/>
              <w:left w:val="single" w:sz="4" w:space="0" w:color="auto"/>
              <w:bottom w:val="single" w:sz="4" w:space="0" w:color="auto"/>
              <w:right w:val="single" w:sz="4" w:space="0" w:color="auto"/>
            </w:tcBorders>
            <w:vAlign w:val="center"/>
            <w:hideMark/>
          </w:tcPr>
          <w:p w14:paraId="64149237" w14:textId="77777777" w:rsidR="00061CA5" w:rsidRPr="00380D3E" w:rsidRDefault="00061CA5">
            <w:pPr>
              <w:jc w:val="center"/>
              <w:rPr>
                <w:rFonts w:eastAsia="SimSun"/>
                <w:sz w:val="24"/>
                <w:szCs w:val="24"/>
              </w:rPr>
            </w:pPr>
            <w:r w:rsidRPr="00380D3E">
              <w:rPr>
                <w:sz w:val="24"/>
                <w:szCs w:val="24"/>
                <w:lang w:eastAsia="en-GB"/>
              </w:rPr>
              <w:t>Lever og galdeveje</w:t>
            </w:r>
          </w:p>
        </w:tc>
        <w:tc>
          <w:tcPr>
            <w:tcW w:w="1521" w:type="pct"/>
            <w:tcBorders>
              <w:top w:val="single" w:sz="4" w:space="0" w:color="auto"/>
              <w:left w:val="single" w:sz="4" w:space="0" w:color="auto"/>
              <w:bottom w:val="single" w:sz="4" w:space="0" w:color="auto"/>
              <w:right w:val="single" w:sz="4" w:space="0" w:color="auto"/>
            </w:tcBorders>
            <w:vAlign w:val="center"/>
            <w:hideMark/>
          </w:tcPr>
          <w:p w14:paraId="043A292B" w14:textId="77777777" w:rsidR="00061CA5" w:rsidRPr="00380D3E" w:rsidRDefault="00061CA5">
            <w:pPr>
              <w:jc w:val="center"/>
              <w:rPr>
                <w:rFonts w:eastAsia="SimSun"/>
                <w:sz w:val="24"/>
                <w:szCs w:val="24"/>
              </w:rPr>
            </w:pPr>
            <w:r w:rsidRPr="00380D3E">
              <w:rPr>
                <w:sz w:val="24"/>
                <w:szCs w:val="24"/>
                <w:lang w:eastAsia="en-GB"/>
              </w:rPr>
              <w:t>Almindelig</w:t>
            </w:r>
          </w:p>
        </w:tc>
        <w:tc>
          <w:tcPr>
            <w:tcW w:w="1812" w:type="pct"/>
            <w:tcBorders>
              <w:top w:val="single" w:sz="4" w:space="0" w:color="auto"/>
              <w:left w:val="single" w:sz="4" w:space="0" w:color="auto"/>
              <w:bottom w:val="single" w:sz="4" w:space="0" w:color="auto"/>
              <w:right w:val="single" w:sz="4" w:space="0" w:color="auto"/>
            </w:tcBorders>
            <w:vAlign w:val="center"/>
            <w:hideMark/>
          </w:tcPr>
          <w:p w14:paraId="4649FA49" w14:textId="77777777" w:rsidR="00061CA5" w:rsidRPr="00380D3E" w:rsidRDefault="00061CA5">
            <w:pPr>
              <w:jc w:val="center"/>
              <w:rPr>
                <w:sz w:val="24"/>
                <w:szCs w:val="24"/>
              </w:rPr>
            </w:pPr>
            <w:r w:rsidRPr="00380D3E">
              <w:rPr>
                <w:sz w:val="24"/>
                <w:szCs w:val="24"/>
                <w:lang w:eastAsia="nl-NL"/>
              </w:rPr>
              <w:t>Øgede aminotransferaser</w:t>
            </w:r>
            <w:r w:rsidRPr="00380D3E">
              <w:rPr>
                <w:sz w:val="24"/>
                <w:szCs w:val="24"/>
                <w:vertAlign w:val="superscript"/>
                <w:lang w:eastAsia="nl-NL"/>
              </w:rPr>
              <w:t>4</w:t>
            </w:r>
          </w:p>
        </w:tc>
      </w:tr>
      <w:tr w:rsidR="00061CA5" w:rsidRPr="00380D3E" w14:paraId="6A24F42B" w14:textId="77777777" w:rsidTr="008C3804">
        <w:trPr>
          <w:trHeight w:val="397"/>
        </w:trPr>
        <w:tc>
          <w:tcPr>
            <w:tcW w:w="1666" w:type="pct"/>
            <w:tcBorders>
              <w:top w:val="single" w:sz="4" w:space="0" w:color="auto"/>
              <w:left w:val="single" w:sz="4" w:space="0" w:color="auto"/>
              <w:bottom w:val="single" w:sz="4" w:space="0" w:color="auto"/>
              <w:right w:val="single" w:sz="4" w:space="0" w:color="auto"/>
            </w:tcBorders>
            <w:vAlign w:val="center"/>
            <w:hideMark/>
          </w:tcPr>
          <w:p w14:paraId="5437DB4E" w14:textId="37A7B84E" w:rsidR="00061CA5" w:rsidRPr="00380D3E" w:rsidRDefault="00061CA5" w:rsidP="005B6B84">
            <w:pPr>
              <w:jc w:val="center"/>
              <w:rPr>
                <w:sz w:val="24"/>
                <w:szCs w:val="24"/>
                <w:lang w:eastAsia="en-GB"/>
              </w:rPr>
            </w:pPr>
            <w:r w:rsidRPr="00380D3E">
              <w:rPr>
                <w:sz w:val="24"/>
                <w:szCs w:val="24"/>
                <w:lang w:eastAsia="en-GB"/>
              </w:rPr>
              <w:t>Det reproduktive system og</w:t>
            </w:r>
            <w:r w:rsidR="005B6B84">
              <w:rPr>
                <w:sz w:val="24"/>
                <w:szCs w:val="24"/>
                <w:lang w:eastAsia="en-GB"/>
              </w:rPr>
              <w:t xml:space="preserve"> </w:t>
            </w:r>
            <w:r w:rsidRPr="00380D3E">
              <w:rPr>
                <w:sz w:val="24"/>
                <w:szCs w:val="24"/>
                <w:lang w:eastAsia="en-GB"/>
              </w:rPr>
              <w:t>mammae</w:t>
            </w:r>
          </w:p>
        </w:tc>
        <w:tc>
          <w:tcPr>
            <w:tcW w:w="1521" w:type="pct"/>
            <w:tcBorders>
              <w:top w:val="single" w:sz="4" w:space="0" w:color="auto"/>
              <w:left w:val="single" w:sz="4" w:space="0" w:color="auto"/>
              <w:bottom w:val="single" w:sz="4" w:space="0" w:color="auto"/>
              <w:right w:val="single" w:sz="4" w:space="0" w:color="auto"/>
            </w:tcBorders>
            <w:vAlign w:val="center"/>
            <w:hideMark/>
          </w:tcPr>
          <w:p w14:paraId="7DE5193F" w14:textId="77777777" w:rsidR="00061CA5" w:rsidRPr="00380D3E" w:rsidRDefault="00061CA5">
            <w:pPr>
              <w:jc w:val="center"/>
              <w:rPr>
                <w:sz w:val="24"/>
                <w:szCs w:val="24"/>
                <w:lang w:eastAsia="en-GB"/>
              </w:rPr>
            </w:pPr>
            <w:r w:rsidRPr="00380D3E">
              <w:rPr>
                <w:sz w:val="24"/>
                <w:szCs w:val="24"/>
                <w:lang w:eastAsia="en-GB"/>
              </w:rPr>
              <w:t>Almindelig</w:t>
            </w:r>
          </w:p>
        </w:tc>
        <w:tc>
          <w:tcPr>
            <w:tcW w:w="1812" w:type="pct"/>
            <w:tcBorders>
              <w:top w:val="single" w:sz="4" w:space="0" w:color="auto"/>
              <w:left w:val="single" w:sz="4" w:space="0" w:color="auto"/>
              <w:bottom w:val="single" w:sz="4" w:space="0" w:color="auto"/>
              <w:right w:val="single" w:sz="4" w:space="0" w:color="auto"/>
            </w:tcBorders>
            <w:vAlign w:val="center"/>
            <w:hideMark/>
          </w:tcPr>
          <w:p w14:paraId="590684E4" w14:textId="77777777" w:rsidR="00061CA5" w:rsidRPr="00380D3E" w:rsidRDefault="00061CA5">
            <w:pPr>
              <w:jc w:val="center"/>
              <w:rPr>
                <w:sz w:val="24"/>
                <w:szCs w:val="24"/>
                <w:lang w:eastAsia="nl-NL"/>
              </w:rPr>
            </w:pPr>
            <w:r w:rsidRPr="00380D3E">
              <w:rPr>
                <w:sz w:val="24"/>
                <w:szCs w:val="24"/>
                <w:lang w:eastAsia="nl-NL"/>
              </w:rPr>
              <w:t xml:space="preserve">Øget </w:t>
            </w:r>
            <w:proofErr w:type="spellStart"/>
            <w:r w:rsidRPr="00380D3E">
              <w:rPr>
                <w:sz w:val="24"/>
                <w:szCs w:val="24"/>
                <w:lang w:eastAsia="nl-NL"/>
              </w:rPr>
              <w:t>uterin</w:t>
            </w:r>
            <w:proofErr w:type="spellEnd"/>
            <w:r w:rsidRPr="00380D3E">
              <w:rPr>
                <w:sz w:val="24"/>
                <w:szCs w:val="24"/>
                <w:lang w:eastAsia="nl-NL"/>
              </w:rPr>
              <w:t xml:space="preserve"> blødning</w:t>
            </w:r>
            <w:r w:rsidRPr="00380D3E">
              <w:rPr>
                <w:sz w:val="24"/>
                <w:szCs w:val="24"/>
                <w:vertAlign w:val="superscript"/>
                <w:lang w:eastAsia="nl-NL"/>
              </w:rPr>
              <w:t>8</w:t>
            </w:r>
          </w:p>
        </w:tc>
      </w:tr>
      <w:tr w:rsidR="00061CA5" w:rsidRPr="00380D3E" w14:paraId="2F77178D" w14:textId="77777777" w:rsidTr="008C3804">
        <w:trPr>
          <w:trHeight w:val="397"/>
        </w:trPr>
        <w:tc>
          <w:tcPr>
            <w:tcW w:w="1666" w:type="pct"/>
            <w:tcBorders>
              <w:top w:val="single" w:sz="4" w:space="0" w:color="auto"/>
              <w:left w:val="single" w:sz="4" w:space="0" w:color="auto"/>
              <w:bottom w:val="single" w:sz="4" w:space="0" w:color="auto"/>
              <w:right w:val="single" w:sz="4" w:space="0" w:color="auto"/>
            </w:tcBorders>
            <w:vAlign w:val="center"/>
            <w:hideMark/>
          </w:tcPr>
          <w:p w14:paraId="7E39E2C5" w14:textId="0E09D01B" w:rsidR="00061CA5" w:rsidRPr="00380D3E" w:rsidRDefault="00061CA5" w:rsidP="005B6B84">
            <w:pPr>
              <w:jc w:val="center"/>
              <w:rPr>
                <w:rFonts w:eastAsia="SimSun"/>
                <w:sz w:val="24"/>
                <w:szCs w:val="24"/>
              </w:rPr>
            </w:pPr>
            <w:r w:rsidRPr="00380D3E">
              <w:rPr>
                <w:sz w:val="24"/>
                <w:szCs w:val="24"/>
                <w:lang w:eastAsia="en-GB"/>
              </w:rPr>
              <w:lastRenderedPageBreak/>
              <w:t>Almene symptomer og</w:t>
            </w:r>
            <w:r w:rsidR="005B6B84">
              <w:rPr>
                <w:sz w:val="24"/>
                <w:szCs w:val="24"/>
                <w:lang w:eastAsia="en-GB"/>
              </w:rPr>
              <w:t xml:space="preserve"> </w:t>
            </w:r>
            <w:r w:rsidRPr="00380D3E">
              <w:rPr>
                <w:sz w:val="24"/>
                <w:szCs w:val="24"/>
                <w:lang w:eastAsia="en-GB"/>
              </w:rPr>
              <w:t>reaktioner på</w:t>
            </w:r>
            <w:r w:rsidR="005B6B84">
              <w:rPr>
                <w:sz w:val="24"/>
                <w:szCs w:val="24"/>
                <w:lang w:eastAsia="en-GB"/>
              </w:rPr>
              <w:t xml:space="preserve"> </w:t>
            </w:r>
            <w:r w:rsidRPr="00380D3E">
              <w:rPr>
                <w:sz w:val="24"/>
                <w:szCs w:val="24"/>
                <w:lang w:eastAsia="en-GB"/>
              </w:rPr>
              <w:t>administrationsstedet</w:t>
            </w:r>
          </w:p>
        </w:tc>
        <w:tc>
          <w:tcPr>
            <w:tcW w:w="1521" w:type="pct"/>
            <w:tcBorders>
              <w:top w:val="single" w:sz="4" w:space="0" w:color="auto"/>
              <w:left w:val="single" w:sz="4" w:space="0" w:color="auto"/>
              <w:bottom w:val="single" w:sz="4" w:space="0" w:color="auto"/>
              <w:right w:val="single" w:sz="4" w:space="0" w:color="auto"/>
            </w:tcBorders>
            <w:vAlign w:val="center"/>
            <w:hideMark/>
          </w:tcPr>
          <w:p w14:paraId="0DBDA52B" w14:textId="77777777" w:rsidR="00061CA5" w:rsidRPr="00380D3E" w:rsidRDefault="00061CA5">
            <w:pPr>
              <w:jc w:val="center"/>
              <w:rPr>
                <w:rFonts w:eastAsia="SimSun"/>
                <w:sz w:val="24"/>
                <w:szCs w:val="24"/>
              </w:rPr>
            </w:pPr>
            <w:r w:rsidRPr="00380D3E">
              <w:rPr>
                <w:sz w:val="24"/>
                <w:szCs w:val="24"/>
                <w:lang w:eastAsia="en-GB"/>
              </w:rPr>
              <w:t>Meget almindelig</w:t>
            </w:r>
          </w:p>
        </w:tc>
        <w:tc>
          <w:tcPr>
            <w:tcW w:w="1812" w:type="pct"/>
            <w:tcBorders>
              <w:top w:val="single" w:sz="4" w:space="0" w:color="auto"/>
              <w:left w:val="single" w:sz="4" w:space="0" w:color="auto"/>
              <w:bottom w:val="single" w:sz="4" w:space="0" w:color="auto"/>
              <w:right w:val="single" w:sz="4" w:space="0" w:color="auto"/>
            </w:tcBorders>
            <w:vAlign w:val="center"/>
            <w:hideMark/>
          </w:tcPr>
          <w:p w14:paraId="3F761101" w14:textId="77777777" w:rsidR="00061CA5" w:rsidRPr="00380D3E" w:rsidRDefault="00061CA5">
            <w:pPr>
              <w:jc w:val="center"/>
              <w:rPr>
                <w:sz w:val="24"/>
                <w:szCs w:val="24"/>
              </w:rPr>
            </w:pPr>
            <w:r w:rsidRPr="00380D3E">
              <w:rPr>
                <w:sz w:val="24"/>
                <w:szCs w:val="24"/>
                <w:lang w:eastAsia="nl-NL"/>
              </w:rPr>
              <w:t>Ødem, væskeretention</w:t>
            </w:r>
            <w:r w:rsidRPr="00380D3E">
              <w:rPr>
                <w:sz w:val="24"/>
                <w:szCs w:val="24"/>
                <w:vertAlign w:val="superscript"/>
                <w:lang w:eastAsia="nl-NL"/>
              </w:rPr>
              <w:t>3</w:t>
            </w:r>
          </w:p>
        </w:tc>
      </w:tr>
    </w:tbl>
    <w:p w14:paraId="06CF3AF1" w14:textId="77777777" w:rsidR="00061CA5" w:rsidRPr="00380D3E" w:rsidRDefault="00061CA5" w:rsidP="00380D3E">
      <w:pPr>
        <w:autoSpaceDE w:val="0"/>
        <w:autoSpaceDN w:val="0"/>
        <w:adjustRightInd w:val="0"/>
        <w:ind w:left="851"/>
        <w:rPr>
          <w:rFonts w:eastAsia="SimSun"/>
          <w:sz w:val="24"/>
          <w:szCs w:val="24"/>
          <w:lang w:eastAsia="en-GB"/>
        </w:rPr>
      </w:pPr>
      <w:r w:rsidRPr="00380D3E">
        <w:rPr>
          <w:rFonts w:eastAsia="SimSun"/>
          <w:sz w:val="24"/>
          <w:szCs w:val="24"/>
          <w:vertAlign w:val="superscript"/>
          <w:lang w:eastAsia="en-GB"/>
        </w:rPr>
        <w:t>1</w:t>
      </w:r>
      <w:r w:rsidRPr="00380D3E">
        <w:rPr>
          <w:rFonts w:eastAsia="SimSun"/>
          <w:sz w:val="24"/>
          <w:szCs w:val="24"/>
          <w:lang w:eastAsia="en-GB"/>
        </w:rPr>
        <w:t xml:space="preserve"> Data udledt fra samlede placebokontrollerede studier.</w:t>
      </w:r>
    </w:p>
    <w:p w14:paraId="78BD0082" w14:textId="3F541578" w:rsidR="00061CA5" w:rsidRPr="00380D3E" w:rsidRDefault="00061CA5" w:rsidP="00380D3E">
      <w:pPr>
        <w:autoSpaceDE w:val="0"/>
        <w:autoSpaceDN w:val="0"/>
        <w:adjustRightInd w:val="0"/>
        <w:ind w:left="851"/>
        <w:rPr>
          <w:rFonts w:eastAsia="SimSun"/>
          <w:sz w:val="24"/>
          <w:szCs w:val="24"/>
          <w:lang w:eastAsia="en-GB"/>
        </w:rPr>
      </w:pPr>
      <w:r w:rsidRPr="00380D3E">
        <w:rPr>
          <w:rFonts w:eastAsia="SimSun"/>
          <w:sz w:val="24"/>
          <w:szCs w:val="24"/>
          <w:vertAlign w:val="superscript"/>
          <w:lang w:val="nb-NO" w:eastAsia="en-GB"/>
        </w:rPr>
        <w:t xml:space="preserve">8  </w:t>
      </w:r>
      <w:r w:rsidRPr="00380D3E">
        <w:rPr>
          <w:rFonts w:eastAsia="SimSun"/>
          <w:sz w:val="24"/>
          <w:szCs w:val="24"/>
          <w:lang w:val="nb-NO" w:eastAsia="en-GB"/>
        </w:rPr>
        <w:t xml:space="preserve">Omfatter de foretrukne termer kraftig menstruationsblødning, abnorm uterin blødning, intermenstruel blødning, uterin/vaginal blødning, polymenoré og uregelmæssig menstruation. </w:t>
      </w:r>
      <w:r w:rsidRPr="00380D3E">
        <w:rPr>
          <w:rFonts w:eastAsia="SimSun"/>
          <w:sz w:val="24"/>
          <w:szCs w:val="24"/>
          <w:lang w:eastAsia="en-GB"/>
        </w:rPr>
        <w:t>Hyppigheden er baseret</w:t>
      </w:r>
      <w:r w:rsidR="005B6B84">
        <w:rPr>
          <w:rFonts w:eastAsia="SimSun"/>
          <w:sz w:val="24"/>
          <w:szCs w:val="24"/>
          <w:lang w:eastAsia="en-GB"/>
        </w:rPr>
        <w:t xml:space="preserve"> </w:t>
      </w:r>
      <w:r w:rsidRPr="00380D3E">
        <w:rPr>
          <w:rFonts w:eastAsia="SimSun"/>
          <w:sz w:val="24"/>
          <w:szCs w:val="24"/>
          <w:lang w:eastAsia="en-GB"/>
        </w:rPr>
        <w:t>på eksponeringen hos kvinder.</w:t>
      </w:r>
    </w:p>
    <w:p w14:paraId="05C97630" w14:textId="77777777" w:rsidR="00061CA5" w:rsidRPr="00380D3E" w:rsidRDefault="00061CA5" w:rsidP="00380D3E">
      <w:pPr>
        <w:ind w:left="851"/>
        <w:rPr>
          <w:noProof/>
          <w:sz w:val="24"/>
          <w:szCs w:val="24"/>
        </w:rPr>
      </w:pPr>
    </w:p>
    <w:p w14:paraId="1CC7C5C3" w14:textId="77777777" w:rsidR="00061CA5" w:rsidRPr="00380D3E" w:rsidRDefault="00061CA5" w:rsidP="00380D3E">
      <w:pPr>
        <w:autoSpaceDE w:val="0"/>
        <w:autoSpaceDN w:val="0"/>
        <w:adjustRightInd w:val="0"/>
        <w:ind w:left="851"/>
        <w:rPr>
          <w:noProof/>
          <w:sz w:val="24"/>
          <w:szCs w:val="24"/>
          <w:u w:val="single"/>
        </w:rPr>
      </w:pPr>
      <w:r w:rsidRPr="00380D3E">
        <w:rPr>
          <w:noProof/>
          <w:sz w:val="24"/>
          <w:szCs w:val="24"/>
          <w:u w:val="single"/>
        </w:rPr>
        <w:t>Beskrivelse af udvalgte bivirkninger</w:t>
      </w:r>
    </w:p>
    <w:p w14:paraId="36FA97C4" w14:textId="637A76EC" w:rsidR="00061CA5" w:rsidRPr="00380D3E" w:rsidRDefault="00061CA5" w:rsidP="00380D3E">
      <w:pPr>
        <w:autoSpaceDE w:val="0"/>
        <w:autoSpaceDN w:val="0"/>
        <w:adjustRightInd w:val="0"/>
        <w:ind w:left="851"/>
        <w:rPr>
          <w:noProof/>
          <w:sz w:val="24"/>
          <w:szCs w:val="24"/>
        </w:rPr>
      </w:pPr>
      <w:r w:rsidRPr="00380D3E">
        <w:rPr>
          <w:noProof/>
          <w:sz w:val="24"/>
          <w:szCs w:val="24"/>
          <w:vertAlign w:val="superscript"/>
        </w:rPr>
        <w:t>2</w:t>
      </w:r>
      <w:r w:rsidRPr="00380D3E">
        <w:rPr>
          <w:noProof/>
          <w:sz w:val="24"/>
          <w:szCs w:val="24"/>
        </w:rPr>
        <w:t xml:space="preserve"> Hypotension er blevet forbundet med brug af ERA’er, herunder macitentan. I</w:t>
      </w:r>
      <w:r w:rsidR="005B6B84">
        <w:rPr>
          <w:sz w:val="24"/>
          <w:szCs w:val="24"/>
        </w:rPr>
        <w:t> </w:t>
      </w:r>
      <w:r w:rsidRPr="00380D3E">
        <w:rPr>
          <w:noProof/>
          <w:sz w:val="24"/>
          <w:szCs w:val="24"/>
        </w:rPr>
        <w:t>SERAPHIN, et langvarigt dobbeltblindet studie hos patienter med PAH, blev der rapporteret om hypotension hos 7,0 % og 4,4 % af de patienter, der fik hhv. macitentan 10</w:t>
      </w:r>
      <w:r w:rsidR="005B6B84">
        <w:rPr>
          <w:noProof/>
          <w:sz w:val="24"/>
          <w:szCs w:val="24"/>
        </w:rPr>
        <w:t> </w:t>
      </w:r>
      <w:r w:rsidRPr="00380D3E">
        <w:rPr>
          <w:noProof/>
          <w:sz w:val="24"/>
          <w:szCs w:val="24"/>
        </w:rPr>
        <w:t>mg og placebo. Det svarede til 3,5 hændelser / 100 patientår med macitentan 10 mg vs. 2,7 hændelser / 100 patientår med placebo.</w:t>
      </w:r>
    </w:p>
    <w:p w14:paraId="469D1072" w14:textId="77777777" w:rsidR="00061CA5" w:rsidRPr="00380D3E" w:rsidRDefault="00061CA5" w:rsidP="00380D3E">
      <w:pPr>
        <w:autoSpaceDE w:val="0"/>
        <w:autoSpaceDN w:val="0"/>
        <w:adjustRightInd w:val="0"/>
        <w:ind w:left="851"/>
        <w:rPr>
          <w:noProof/>
          <w:sz w:val="24"/>
          <w:szCs w:val="24"/>
        </w:rPr>
      </w:pPr>
    </w:p>
    <w:p w14:paraId="128CC1E1" w14:textId="32CD71CC" w:rsidR="00061CA5" w:rsidRPr="00380D3E" w:rsidRDefault="00061CA5" w:rsidP="00380D3E">
      <w:pPr>
        <w:autoSpaceDE w:val="0"/>
        <w:autoSpaceDN w:val="0"/>
        <w:adjustRightInd w:val="0"/>
        <w:ind w:left="851"/>
        <w:rPr>
          <w:noProof/>
          <w:sz w:val="24"/>
          <w:szCs w:val="24"/>
        </w:rPr>
      </w:pPr>
      <w:r w:rsidRPr="00380D3E">
        <w:rPr>
          <w:noProof/>
          <w:sz w:val="24"/>
          <w:szCs w:val="24"/>
          <w:vertAlign w:val="superscript"/>
        </w:rPr>
        <w:t>3</w:t>
      </w:r>
      <w:r w:rsidRPr="00380D3E">
        <w:rPr>
          <w:noProof/>
          <w:sz w:val="24"/>
          <w:szCs w:val="24"/>
        </w:rPr>
        <w:t xml:space="preserve"> Ødem/væskeretention er blevet forbundet med brug af ERA’er, herunder macitentan. I</w:t>
      </w:r>
      <w:r w:rsidR="005B6B84">
        <w:rPr>
          <w:noProof/>
          <w:sz w:val="24"/>
          <w:szCs w:val="24"/>
        </w:rPr>
        <w:t> </w:t>
      </w:r>
      <w:r w:rsidRPr="00380D3E">
        <w:rPr>
          <w:noProof/>
          <w:sz w:val="24"/>
          <w:szCs w:val="24"/>
        </w:rPr>
        <w:t>SERAPHIN, et langvarigt dobbeltblindet studie hos patienter med PAH, var forekomsten af ødemrelaterede bivirkninger i den gruppe, der fik macitentan 10 mg, og i placebogruppen henholdsvis 21,9 % og 20,5 %. I et dobbeltblindet studie hos voksne patienter med idiopatisk lungefibrose var forekomsten af bivirkninger i form af perifere ødemer i macitentangruppen og placebogruppen henholdsvis 11,8 % og 6,8 %. I to dobbeltblindede kliniske studier hos voksne patienter med fingersår i forbindelse med systemisk sklerose var forekomsten af bivirkninger i form af perifere ødemer fra 13,4 % til 16,1 % i de grupper, der fik macitentan 10 mg, og fra 6,2 % til 4,5 % i placebogrupperne.</w:t>
      </w:r>
    </w:p>
    <w:p w14:paraId="3CF68DC2" w14:textId="77777777" w:rsidR="00061CA5" w:rsidRPr="00380D3E" w:rsidRDefault="00061CA5" w:rsidP="00380D3E">
      <w:pPr>
        <w:autoSpaceDE w:val="0"/>
        <w:autoSpaceDN w:val="0"/>
        <w:adjustRightInd w:val="0"/>
        <w:ind w:left="851"/>
        <w:rPr>
          <w:noProof/>
          <w:sz w:val="24"/>
          <w:szCs w:val="24"/>
        </w:rPr>
      </w:pPr>
    </w:p>
    <w:p w14:paraId="59A92E15" w14:textId="77777777" w:rsidR="00061CA5" w:rsidRPr="00380D3E" w:rsidRDefault="00061CA5" w:rsidP="00380D3E">
      <w:pPr>
        <w:autoSpaceDE w:val="0"/>
        <w:autoSpaceDN w:val="0"/>
        <w:adjustRightInd w:val="0"/>
        <w:ind w:left="851"/>
        <w:rPr>
          <w:b/>
          <w:bCs/>
          <w:i/>
          <w:iCs/>
          <w:noProof/>
          <w:sz w:val="24"/>
          <w:szCs w:val="24"/>
        </w:rPr>
      </w:pPr>
      <w:r w:rsidRPr="00380D3E">
        <w:rPr>
          <w:b/>
          <w:bCs/>
          <w:i/>
          <w:iCs/>
          <w:noProof/>
          <w:sz w:val="24"/>
          <w:szCs w:val="24"/>
        </w:rPr>
        <w:t>Abnorme laboratorieværdier</w:t>
      </w:r>
    </w:p>
    <w:p w14:paraId="4A59B6F7" w14:textId="77777777" w:rsidR="00061CA5" w:rsidRPr="00380D3E" w:rsidRDefault="00061CA5" w:rsidP="00380D3E">
      <w:pPr>
        <w:autoSpaceDE w:val="0"/>
        <w:autoSpaceDN w:val="0"/>
        <w:adjustRightInd w:val="0"/>
        <w:ind w:left="851"/>
        <w:rPr>
          <w:noProof/>
          <w:sz w:val="24"/>
          <w:szCs w:val="24"/>
        </w:rPr>
      </w:pPr>
    </w:p>
    <w:p w14:paraId="6ECD0BAD" w14:textId="77777777" w:rsidR="00061CA5" w:rsidRPr="00380D3E" w:rsidRDefault="00061CA5" w:rsidP="00380D3E">
      <w:pPr>
        <w:autoSpaceDE w:val="0"/>
        <w:autoSpaceDN w:val="0"/>
        <w:adjustRightInd w:val="0"/>
        <w:ind w:left="851"/>
        <w:rPr>
          <w:noProof/>
          <w:sz w:val="24"/>
          <w:szCs w:val="24"/>
          <w:u w:val="single"/>
        </w:rPr>
      </w:pPr>
      <w:r w:rsidRPr="00380D3E">
        <w:rPr>
          <w:noProof/>
          <w:sz w:val="24"/>
          <w:szCs w:val="24"/>
          <w:u w:val="single"/>
          <w:vertAlign w:val="superscript"/>
        </w:rPr>
        <w:t>4</w:t>
      </w:r>
      <w:r w:rsidRPr="00380D3E">
        <w:rPr>
          <w:noProof/>
          <w:sz w:val="24"/>
          <w:szCs w:val="24"/>
          <w:u w:val="single"/>
        </w:rPr>
        <w:t xml:space="preserve"> Leveraminotransferaser</w:t>
      </w:r>
    </w:p>
    <w:p w14:paraId="4B45E5E8" w14:textId="1604EE56" w:rsidR="00061CA5" w:rsidRPr="00380D3E" w:rsidRDefault="00061CA5" w:rsidP="00380D3E">
      <w:pPr>
        <w:autoSpaceDE w:val="0"/>
        <w:autoSpaceDN w:val="0"/>
        <w:adjustRightInd w:val="0"/>
        <w:ind w:left="851"/>
        <w:rPr>
          <w:noProof/>
          <w:sz w:val="24"/>
          <w:szCs w:val="24"/>
        </w:rPr>
      </w:pPr>
      <w:r w:rsidRPr="00380D3E">
        <w:rPr>
          <w:noProof/>
          <w:sz w:val="24"/>
          <w:szCs w:val="24"/>
        </w:rPr>
        <w:t>Forekomsten af øgede aminotransferaser (ALAT/ASAT) &gt; 3 x ULN var 3,4 % med macitentan 10 mg og 4,5 % med placebo i SERAPHIN, et dobbeltblindet studie med PAH-patienter. Øgninger &gt; 5 x ULN optrådte hos 2,5 % af de patienter, der fik macitentan 10</w:t>
      </w:r>
      <w:r w:rsidR="009C5B2F">
        <w:rPr>
          <w:noProof/>
          <w:sz w:val="24"/>
          <w:szCs w:val="24"/>
        </w:rPr>
        <w:t> </w:t>
      </w:r>
      <w:r w:rsidRPr="00380D3E">
        <w:rPr>
          <w:noProof/>
          <w:sz w:val="24"/>
          <w:szCs w:val="24"/>
        </w:rPr>
        <w:t>mg, og hos 2 % af de patienter, der fik placebo.</w:t>
      </w:r>
    </w:p>
    <w:p w14:paraId="5391CB13" w14:textId="77777777" w:rsidR="00061CA5" w:rsidRPr="00380D3E" w:rsidRDefault="00061CA5" w:rsidP="00380D3E">
      <w:pPr>
        <w:autoSpaceDE w:val="0"/>
        <w:autoSpaceDN w:val="0"/>
        <w:adjustRightInd w:val="0"/>
        <w:ind w:left="851"/>
        <w:rPr>
          <w:noProof/>
          <w:sz w:val="24"/>
          <w:szCs w:val="24"/>
        </w:rPr>
      </w:pPr>
    </w:p>
    <w:p w14:paraId="1B2870EB" w14:textId="77777777" w:rsidR="00061CA5" w:rsidRPr="00380D3E" w:rsidRDefault="00061CA5" w:rsidP="00380D3E">
      <w:pPr>
        <w:autoSpaceDE w:val="0"/>
        <w:autoSpaceDN w:val="0"/>
        <w:adjustRightInd w:val="0"/>
        <w:ind w:left="851"/>
        <w:rPr>
          <w:noProof/>
          <w:sz w:val="24"/>
          <w:szCs w:val="24"/>
          <w:u w:val="single"/>
        </w:rPr>
      </w:pPr>
      <w:r w:rsidRPr="00380D3E">
        <w:rPr>
          <w:noProof/>
          <w:sz w:val="24"/>
          <w:szCs w:val="24"/>
          <w:u w:val="single"/>
          <w:vertAlign w:val="superscript"/>
        </w:rPr>
        <w:t>5</w:t>
      </w:r>
      <w:r w:rsidRPr="00380D3E">
        <w:rPr>
          <w:noProof/>
          <w:sz w:val="24"/>
          <w:szCs w:val="24"/>
          <w:u w:val="single"/>
        </w:rPr>
        <w:t xml:space="preserve"> Hæmoglobin</w:t>
      </w:r>
    </w:p>
    <w:p w14:paraId="7980B91D" w14:textId="77777777" w:rsidR="00061CA5" w:rsidRPr="00380D3E" w:rsidRDefault="00061CA5" w:rsidP="00380D3E">
      <w:pPr>
        <w:autoSpaceDE w:val="0"/>
        <w:autoSpaceDN w:val="0"/>
        <w:adjustRightInd w:val="0"/>
        <w:ind w:left="851"/>
        <w:rPr>
          <w:noProof/>
          <w:sz w:val="24"/>
          <w:szCs w:val="24"/>
        </w:rPr>
      </w:pPr>
      <w:r w:rsidRPr="00380D3E">
        <w:rPr>
          <w:noProof/>
          <w:sz w:val="24"/>
          <w:szCs w:val="24"/>
        </w:rPr>
        <w:t>I SERAPHIN, et dobbeltblindet studie hos patienter med PAH, var macitentan 10 mg forbundet med et gennemsnitligt fald i hæmoglobin på 0,62 mmol/l (1 g/dl) i forhold til placebo. Der blev rapporteret om et fald i hæmoglobinkoncentration i forhold til udgangsvurderingen til under 6,2 mmol/l (10 g/dl) hos 8,7 % af de patienter, der blev behandlet med macitentan 10 mg, og hos 3,4 % af de patienter, der blev behandlet med placebo.</w:t>
      </w:r>
    </w:p>
    <w:p w14:paraId="5A4A9441" w14:textId="77777777" w:rsidR="00061CA5" w:rsidRPr="00380D3E" w:rsidRDefault="00061CA5" w:rsidP="00380D3E">
      <w:pPr>
        <w:autoSpaceDE w:val="0"/>
        <w:autoSpaceDN w:val="0"/>
        <w:adjustRightInd w:val="0"/>
        <w:ind w:left="851"/>
        <w:rPr>
          <w:noProof/>
          <w:sz w:val="24"/>
          <w:szCs w:val="24"/>
        </w:rPr>
      </w:pPr>
    </w:p>
    <w:p w14:paraId="7A26723A" w14:textId="77777777" w:rsidR="00061CA5" w:rsidRPr="00380D3E" w:rsidRDefault="00061CA5" w:rsidP="00380D3E">
      <w:pPr>
        <w:autoSpaceDE w:val="0"/>
        <w:autoSpaceDN w:val="0"/>
        <w:adjustRightInd w:val="0"/>
        <w:ind w:left="851"/>
        <w:rPr>
          <w:noProof/>
          <w:sz w:val="24"/>
          <w:szCs w:val="24"/>
          <w:u w:val="single"/>
        </w:rPr>
      </w:pPr>
      <w:r w:rsidRPr="00380D3E">
        <w:rPr>
          <w:noProof/>
          <w:sz w:val="24"/>
          <w:szCs w:val="24"/>
          <w:u w:val="single"/>
          <w:vertAlign w:val="superscript"/>
        </w:rPr>
        <w:t xml:space="preserve">6 </w:t>
      </w:r>
      <w:r w:rsidRPr="00380D3E">
        <w:rPr>
          <w:noProof/>
          <w:sz w:val="24"/>
          <w:szCs w:val="24"/>
          <w:u w:val="single"/>
        </w:rPr>
        <w:t>Hvide blodlegemer</w:t>
      </w:r>
    </w:p>
    <w:p w14:paraId="2FF91B80" w14:textId="77777777" w:rsidR="00061CA5" w:rsidRPr="00380D3E" w:rsidRDefault="00061CA5" w:rsidP="00380D3E">
      <w:pPr>
        <w:autoSpaceDE w:val="0"/>
        <w:autoSpaceDN w:val="0"/>
        <w:adjustRightInd w:val="0"/>
        <w:ind w:left="851"/>
        <w:rPr>
          <w:noProof/>
          <w:sz w:val="24"/>
          <w:szCs w:val="24"/>
        </w:rPr>
      </w:pPr>
      <w:r w:rsidRPr="00380D3E">
        <w:rPr>
          <w:noProof/>
          <w:sz w:val="24"/>
          <w:szCs w:val="24"/>
        </w:rPr>
        <w:t>I SERAPHIN, et dobbeltblindet studie hos patienter med PAH, var macitentan 10 mg forbundet med et fald i det gennemsnitlige leukocyttal i forhold til udgangsvurderingen på 0,7 x 10</w:t>
      </w:r>
      <w:r w:rsidRPr="00380D3E">
        <w:rPr>
          <w:noProof/>
          <w:sz w:val="24"/>
          <w:szCs w:val="24"/>
          <w:vertAlign w:val="superscript"/>
        </w:rPr>
        <w:t>9</w:t>
      </w:r>
      <w:r w:rsidRPr="00380D3E">
        <w:rPr>
          <w:noProof/>
          <w:sz w:val="24"/>
          <w:szCs w:val="24"/>
        </w:rPr>
        <w:t>/l, hvorimod der ikke var nogen ændringer hos de patienter, der blev behandlet med placebo.</w:t>
      </w:r>
    </w:p>
    <w:p w14:paraId="02A0BDDE" w14:textId="77777777" w:rsidR="00061CA5" w:rsidRPr="00380D3E" w:rsidRDefault="00061CA5" w:rsidP="00380D3E">
      <w:pPr>
        <w:autoSpaceDE w:val="0"/>
        <w:autoSpaceDN w:val="0"/>
        <w:adjustRightInd w:val="0"/>
        <w:ind w:left="851"/>
        <w:rPr>
          <w:noProof/>
          <w:sz w:val="24"/>
          <w:szCs w:val="24"/>
        </w:rPr>
      </w:pPr>
    </w:p>
    <w:p w14:paraId="6BA0A23F" w14:textId="77777777" w:rsidR="00061CA5" w:rsidRPr="00380D3E" w:rsidRDefault="00061CA5" w:rsidP="00380D3E">
      <w:pPr>
        <w:autoSpaceDE w:val="0"/>
        <w:autoSpaceDN w:val="0"/>
        <w:adjustRightInd w:val="0"/>
        <w:ind w:left="851"/>
        <w:rPr>
          <w:noProof/>
          <w:sz w:val="24"/>
          <w:szCs w:val="24"/>
          <w:u w:val="single"/>
        </w:rPr>
      </w:pPr>
      <w:r w:rsidRPr="00380D3E">
        <w:rPr>
          <w:noProof/>
          <w:sz w:val="24"/>
          <w:szCs w:val="24"/>
          <w:u w:val="single"/>
          <w:vertAlign w:val="superscript"/>
        </w:rPr>
        <w:t>7</w:t>
      </w:r>
      <w:r w:rsidRPr="00380D3E">
        <w:rPr>
          <w:noProof/>
          <w:sz w:val="24"/>
          <w:szCs w:val="24"/>
          <w:u w:val="single"/>
        </w:rPr>
        <w:t xml:space="preserve"> Trombocytter</w:t>
      </w:r>
    </w:p>
    <w:p w14:paraId="0C7D385D" w14:textId="77777777" w:rsidR="00061CA5" w:rsidRPr="00380D3E" w:rsidRDefault="00061CA5" w:rsidP="00380D3E">
      <w:pPr>
        <w:autoSpaceDE w:val="0"/>
        <w:autoSpaceDN w:val="0"/>
        <w:adjustRightInd w:val="0"/>
        <w:ind w:left="851"/>
        <w:rPr>
          <w:noProof/>
          <w:sz w:val="24"/>
          <w:szCs w:val="24"/>
        </w:rPr>
      </w:pPr>
      <w:r w:rsidRPr="00380D3E">
        <w:rPr>
          <w:noProof/>
          <w:sz w:val="24"/>
          <w:szCs w:val="24"/>
        </w:rPr>
        <w:t>I SERAPHIN, et dobbeltblindet studie hos patienter med PAH, var macitentan 10 mg forbundet med et fald i det gennemsnitlige trombocyttal på 17 x 10</w:t>
      </w:r>
      <w:r w:rsidRPr="00380D3E">
        <w:rPr>
          <w:noProof/>
          <w:sz w:val="24"/>
          <w:szCs w:val="24"/>
          <w:vertAlign w:val="superscript"/>
        </w:rPr>
        <w:t>9</w:t>
      </w:r>
      <w:r w:rsidRPr="00380D3E">
        <w:rPr>
          <w:noProof/>
          <w:sz w:val="24"/>
          <w:szCs w:val="24"/>
        </w:rPr>
        <w:t>/l vs. et gennemsnitligt fald på 11 x 10</w:t>
      </w:r>
      <w:r w:rsidRPr="00380D3E">
        <w:rPr>
          <w:noProof/>
          <w:sz w:val="24"/>
          <w:szCs w:val="24"/>
          <w:vertAlign w:val="superscript"/>
        </w:rPr>
        <w:t>9</w:t>
      </w:r>
      <w:r w:rsidRPr="00380D3E">
        <w:rPr>
          <w:noProof/>
          <w:sz w:val="24"/>
          <w:szCs w:val="24"/>
        </w:rPr>
        <w:t>/l hos de patienter, der blev behandlet med placebo.</w:t>
      </w:r>
    </w:p>
    <w:p w14:paraId="3AE7FA5D" w14:textId="77777777" w:rsidR="00061CA5" w:rsidRPr="00380D3E" w:rsidRDefault="00061CA5" w:rsidP="00380D3E">
      <w:pPr>
        <w:autoSpaceDE w:val="0"/>
        <w:autoSpaceDN w:val="0"/>
        <w:adjustRightInd w:val="0"/>
        <w:ind w:left="851"/>
        <w:rPr>
          <w:noProof/>
          <w:sz w:val="24"/>
          <w:szCs w:val="24"/>
        </w:rPr>
      </w:pPr>
    </w:p>
    <w:p w14:paraId="707C8C90" w14:textId="77777777" w:rsidR="00061CA5" w:rsidRPr="00380D3E" w:rsidRDefault="00061CA5" w:rsidP="00380D3E">
      <w:pPr>
        <w:autoSpaceDE w:val="0"/>
        <w:autoSpaceDN w:val="0"/>
        <w:adjustRightInd w:val="0"/>
        <w:ind w:left="851"/>
        <w:rPr>
          <w:noProof/>
          <w:sz w:val="24"/>
          <w:szCs w:val="24"/>
          <w:u w:val="single"/>
        </w:rPr>
      </w:pPr>
      <w:r w:rsidRPr="00380D3E">
        <w:rPr>
          <w:noProof/>
          <w:sz w:val="24"/>
          <w:szCs w:val="24"/>
          <w:u w:val="single"/>
        </w:rPr>
        <w:t>Langtidssikkerhed</w:t>
      </w:r>
    </w:p>
    <w:p w14:paraId="752954CA" w14:textId="77777777" w:rsidR="00061CA5" w:rsidRPr="00380D3E" w:rsidRDefault="00061CA5" w:rsidP="00380D3E">
      <w:pPr>
        <w:autoSpaceDE w:val="0"/>
        <w:autoSpaceDN w:val="0"/>
        <w:adjustRightInd w:val="0"/>
        <w:ind w:left="851"/>
        <w:rPr>
          <w:noProof/>
          <w:sz w:val="24"/>
          <w:szCs w:val="24"/>
        </w:rPr>
      </w:pPr>
      <w:r w:rsidRPr="00380D3E">
        <w:rPr>
          <w:noProof/>
          <w:sz w:val="24"/>
          <w:szCs w:val="24"/>
        </w:rPr>
        <w:t>Ud af 742 patienter, som deltog i det pivotale, dobbeltblindede SERAPHIN-studie, indgik 550 patienter i et langvarigt åbent (OL – open label) forlængelsesstudie. OL-kohorten omfattede 182 patienter, som fortsatte med macitentan 10 mg, og 368 patienter, som fik placebo eller macitentan 3 mg og krydsede over til macitentan 10 mg.</w:t>
      </w:r>
    </w:p>
    <w:p w14:paraId="4DA6B98D" w14:textId="77777777" w:rsidR="00061CA5" w:rsidRPr="00380D3E" w:rsidRDefault="00061CA5" w:rsidP="00380D3E">
      <w:pPr>
        <w:autoSpaceDE w:val="0"/>
        <w:autoSpaceDN w:val="0"/>
        <w:adjustRightInd w:val="0"/>
        <w:ind w:left="851"/>
        <w:rPr>
          <w:noProof/>
          <w:sz w:val="24"/>
          <w:szCs w:val="24"/>
        </w:rPr>
      </w:pPr>
    </w:p>
    <w:p w14:paraId="10292CEB" w14:textId="77777777" w:rsidR="00061CA5" w:rsidRPr="00380D3E" w:rsidRDefault="00061CA5" w:rsidP="00380D3E">
      <w:pPr>
        <w:autoSpaceDE w:val="0"/>
        <w:autoSpaceDN w:val="0"/>
        <w:adjustRightInd w:val="0"/>
        <w:ind w:left="851"/>
        <w:rPr>
          <w:noProof/>
          <w:sz w:val="24"/>
          <w:szCs w:val="24"/>
        </w:rPr>
      </w:pPr>
      <w:r w:rsidRPr="00380D3E">
        <w:rPr>
          <w:noProof/>
          <w:sz w:val="24"/>
          <w:szCs w:val="24"/>
        </w:rPr>
        <w:t>Langtidsopfølgningen på disse 550 patienter over en gennemsnitlig eksponering på 3,3 år og en maksimal eksponering på 10,9 år viste en sikkerhedsprofil, som svarede til den, der er beskrevet herover for SERAPHIN-studiets dobbeltblindede fase.</w:t>
      </w:r>
    </w:p>
    <w:p w14:paraId="16ACECEB" w14:textId="77777777" w:rsidR="00061CA5" w:rsidRPr="00380D3E" w:rsidRDefault="00061CA5" w:rsidP="00380D3E">
      <w:pPr>
        <w:autoSpaceDE w:val="0"/>
        <w:autoSpaceDN w:val="0"/>
        <w:adjustRightInd w:val="0"/>
        <w:ind w:left="851"/>
        <w:rPr>
          <w:noProof/>
          <w:sz w:val="24"/>
          <w:szCs w:val="24"/>
        </w:rPr>
      </w:pPr>
    </w:p>
    <w:p w14:paraId="0309BA08" w14:textId="77777777" w:rsidR="00061CA5" w:rsidRPr="00380D3E" w:rsidRDefault="00061CA5" w:rsidP="00380D3E">
      <w:pPr>
        <w:autoSpaceDE w:val="0"/>
        <w:autoSpaceDN w:val="0"/>
        <w:adjustRightInd w:val="0"/>
        <w:ind w:left="851"/>
        <w:rPr>
          <w:noProof/>
          <w:sz w:val="24"/>
          <w:szCs w:val="24"/>
          <w:u w:val="single"/>
        </w:rPr>
      </w:pPr>
      <w:r w:rsidRPr="00380D3E">
        <w:rPr>
          <w:noProof/>
          <w:sz w:val="24"/>
          <w:szCs w:val="24"/>
          <w:u w:val="single"/>
        </w:rPr>
        <w:t>Pædiatrisk population</w:t>
      </w:r>
      <w:r w:rsidRPr="00380D3E">
        <w:rPr>
          <w:rFonts w:eastAsia="TimesNewRoman"/>
          <w:sz w:val="24"/>
          <w:szCs w:val="24"/>
          <w:u w:val="single"/>
          <w:lang w:eastAsia="da-DK"/>
        </w:rPr>
        <w:t xml:space="preserve"> </w:t>
      </w:r>
      <w:r w:rsidRPr="00380D3E">
        <w:rPr>
          <w:noProof/>
          <w:sz w:val="24"/>
          <w:szCs w:val="24"/>
          <w:u w:val="single"/>
        </w:rPr>
        <w:t>(i alderen ≥ 2 år til under 18 år)</w:t>
      </w:r>
    </w:p>
    <w:p w14:paraId="27328366" w14:textId="77777777" w:rsidR="00061CA5" w:rsidRPr="00380D3E" w:rsidRDefault="00061CA5" w:rsidP="00380D3E">
      <w:pPr>
        <w:autoSpaceDE w:val="0"/>
        <w:autoSpaceDN w:val="0"/>
        <w:adjustRightInd w:val="0"/>
        <w:ind w:left="851"/>
        <w:rPr>
          <w:noProof/>
          <w:sz w:val="24"/>
          <w:szCs w:val="24"/>
        </w:rPr>
      </w:pPr>
      <w:r w:rsidRPr="00380D3E">
        <w:rPr>
          <w:noProof/>
          <w:sz w:val="24"/>
          <w:szCs w:val="24"/>
        </w:rPr>
        <w:t>Sikkerheden af macitentan blev vurderet i TOMORROW, et fase III-studie hos pædiatriske patienter med PAH. I alt 72 patienter i alderen ≥ 2 år til under 18 år blev randomiseret og fik macitentan. Gennemsnitsalderen ved inklusion var 10,5 år (interval 2,1 år-17,9 år). Medianvarigheden af behandling i det randomiserede studie var 168,4 uger (interval 12,9 uger-312,4 uger) i macitentan-armen.</w:t>
      </w:r>
    </w:p>
    <w:p w14:paraId="57E7A644" w14:textId="77777777" w:rsidR="00061CA5" w:rsidRPr="00380D3E" w:rsidRDefault="00061CA5" w:rsidP="00380D3E">
      <w:pPr>
        <w:autoSpaceDE w:val="0"/>
        <w:autoSpaceDN w:val="0"/>
        <w:adjustRightInd w:val="0"/>
        <w:ind w:left="851"/>
        <w:rPr>
          <w:noProof/>
          <w:sz w:val="24"/>
          <w:szCs w:val="24"/>
        </w:rPr>
      </w:pPr>
    </w:p>
    <w:p w14:paraId="6CE250BF" w14:textId="77777777" w:rsidR="00061CA5" w:rsidRPr="00380D3E" w:rsidRDefault="00061CA5" w:rsidP="00380D3E">
      <w:pPr>
        <w:autoSpaceDE w:val="0"/>
        <w:autoSpaceDN w:val="0"/>
        <w:adjustRightInd w:val="0"/>
        <w:ind w:left="851"/>
        <w:rPr>
          <w:noProof/>
          <w:sz w:val="24"/>
          <w:szCs w:val="24"/>
        </w:rPr>
      </w:pPr>
      <w:r w:rsidRPr="00380D3E">
        <w:rPr>
          <w:noProof/>
          <w:sz w:val="24"/>
          <w:szCs w:val="24"/>
        </w:rPr>
        <w:t>Overordnet set var sikkerhedsprofilen i denne pædiatriske population overensstemmende med den sikkerhedsprofil, der er set i den voksne population. Udover bivirkningerne i tabellen ovenfor blev der rapporteret følgende pædiatriske bivirkninger: øvre luftvejsinfektion (31,9 %), rhinitis (8,3 %) og gastroenteritis (11,1 %).</w:t>
      </w:r>
    </w:p>
    <w:p w14:paraId="4140AB9E" w14:textId="77777777" w:rsidR="00061CA5" w:rsidRPr="00380D3E" w:rsidRDefault="00061CA5" w:rsidP="00380D3E">
      <w:pPr>
        <w:autoSpaceDE w:val="0"/>
        <w:autoSpaceDN w:val="0"/>
        <w:adjustRightInd w:val="0"/>
        <w:ind w:left="851"/>
        <w:rPr>
          <w:noProof/>
          <w:sz w:val="24"/>
          <w:szCs w:val="24"/>
        </w:rPr>
      </w:pPr>
    </w:p>
    <w:p w14:paraId="6904AC87" w14:textId="77777777" w:rsidR="00061CA5" w:rsidRPr="00380D3E" w:rsidRDefault="00061CA5" w:rsidP="00380D3E">
      <w:pPr>
        <w:autoSpaceDE w:val="0"/>
        <w:autoSpaceDN w:val="0"/>
        <w:adjustRightInd w:val="0"/>
        <w:ind w:left="851"/>
        <w:rPr>
          <w:noProof/>
          <w:sz w:val="24"/>
          <w:szCs w:val="24"/>
          <w:u w:val="single"/>
        </w:rPr>
      </w:pPr>
      <w:r w:rsidRPr="00380D3E">
        <w:rPr>
          <w:noProof/>
          <w:sz w:val="24"/>
          <w:szCs w:val="24"/>
          <w:u w:val="single"/>
        </w:rPr>
        <w:t>Pædiatrisk population (i alderen ≥ 1 måned til under 2 år)</w:t>
      </w:r>
    </w:p>
    <w:p w14:paraId="735BB8F7" w14:textId="77777777" w:rsidR="00061CA5" w:rsidRPr="00380D3E" w:rsidRDefault="00061CA5" w:rsidP="00380D3E">
      <w:pPr>
        <w:autoSpaceDE w:val="0"/>
        <w:autoSpaceDN w:val="0"/>
        <w:adjustRightInd w:val="0"/>
        <w:ind w:left="851"/>
        <w:rPr>
          <w:noProof/>
          <w:sz w:val="24"/>
          <w:szCs w:val="24"/>
        </w:rPr>
      </w:pPr>
      <w:r w:rsidRPr="00380D3E">
        <w:rPr>
          <w:noProof/>
          <w:sz w:val="24"/>
          <w:szCs w:val="24"/>
        </w:rPr>
        <w:t xml:space="preserve">Yderligere 11 patienter i alderen ≥ 1 måned til under 2 år blev inkluderet og fik macitentan uden randomisering: 9 patienter fra </w:t>
      </w:r>
      <w:r w:rsidRPr="00380D3E">
        <w:rPr>
          <w:i/>
          <w:iCs/>
          <w:noProof/>
          <w:sz w:val="24"/>
          <w:szCs w:val="24"/>
        </w:rPr>
        <w:t>open label</w:t>
      </w:r>
      <w:r w:rsidRPr="00380D3E">
        <w:rPr>
          <w:noProof/>
          <w:sz w:val="24"/>
          <w:szCs w:val="24"/>
        </w:rPr>
        <w:t>-armen i TOMORROW-studiet og 2 japanske patienter fra PAH3001-studiet. Ved inklusionen var aldersintervallet hos patienterne fra TOMORROW-studiet 1,2 år til 1,9 år, og medianvarigheden af behandling var 37,1 uge (interval 7,0-72,9 uger). Ved inklusionen var alderen på de 2 patienter fra PAH3001 21 måneder og 22 måneder.</w:t>
      </w:r>
    </w:p>
    <w:p w14:paraId="20D3DA96" w14:textId="77777777" w:rsidR="00061CA5" w:rsidRPr="00380D3E" w:rsidRDefault="00061CA5" w:rsidP="00380D3E">
      <w:pPr>
        <w:autoSpaceDE w:val="0"/>
        <w:autoSpaceDN w:val="0"/>
        <w:adjustRightInd w:val="0"/>
        <w:ind w:left="851"/>
        <w:rPr>
          <w:noProof/>
          <w:sz w:val="24"/>
          <w:szCs w:val="24"/>
        </w:rPr>
      </w:pPr>
    </w:p>
    <w:p w14:paraId="7A7573E5" w14:textId="77777777" w:rsidR="00061CA5" w:rsidRPr="00380D3E" w:rsidRDefault="00061CA5" w:rsidP="00380D3E">
      <w:pPr>
        <w:autoSpaceDE w:val="0"/>
        <w:autoSpaceDN w:val="0"/>
        <w:adjustRightInd w:val="0"/>
        <w:ind w:left="851"/>
        <w:rPr>
          <w:noProof/>
          <w:sz w:val="24"/>
          <w:szCs w:val="24"/>
        </w:rPr>
      </w:pPr>
      <w:r w:rsidRPr="00380D3E">
        <w:rPr>
          <w:noProof/>
          <w:sz w:val="24"/>
          <w:szCs w:val="24"/>
        </w:rPr>
        <w:t>Overordnet set var sikkerhedsprofilen i denne pædiatriske population overensstemmende med den sikkerhedsprofil, der er set i den voksne population og i den pædiatriske population i alderen ≥ 2 år til under 18 år. Der er imidlertid meget begrænsede kliniske sikkerhedsdata til rådighed til klarlægning af en robust sikkerhedskonklusion i den pædiatriske population under 2 år.</w:t>
      </w:r>
    </w:p>
    <w:p w14:paraId="06EC1C5E" w14:textId="77777777" w:rsidR="00061CA5" w:rsidRPr="00380D3E" w:rsidRDefault="00061CA5" w:rsidP="00380D3E">
      <w:pPr>
        <w:autoSpaceDE w:val="0"/>
        <w:autoSpaceDN w:val="0"/>
        <w:adjustRightInd w:val="0"/>
        <w:ind w:left="851"/>
        <w:rPr>
          <w:noProof/>
          <w:sz w:val="24"/>
          <w:szCs w:val="24"/>
        </w:rPr>
      </w:pPr>
    </w:p>
    <w:p w14:paraId="2B090583" w14:textId="77777777" w:rsidR="00061CA5" w:rsidRPr="00380D3E" w:rsidRDefault="00061CA5" w:rsidP="00380D3E">
      <w:pPr>
        <w:autoSpaceDE w:val="0"/>
        <w:autoSpaceDN w:val="0"/>
        <w:adjustRightInd w:val="0"/>
        <w:ind w:left="851"/>
        <w:rPr>
          <w:noProof/>
          <w:sz w:val="24"/>
          <w:szCs w:val="24"/>
        </w:rPr>
      </w:pPr>
      <w:r w:rsidRPr="00380D3E">
        <w:rPr>
          <w:noProof/>
          <w:sz w:val="24"/>
          <w:szCs w:val="24"/>
        </w:rPr>
        <w:t>Sikkerheden af macitentan hos børn under 2 år er ikke klarlagt (se pkt. 4.2).</w:t>
      </w:r>
    </w:p>
    <w:p w14:paraId="14253162" w14:textId="77777777" w:rsidR="00061CA5" w:rsidRPr="00380D3E" w:rsidRDefault="00061CA5" w:rsidP="00380D3E">
      <w:pPr>
        <w:autoSpaceDE w:val="0"/>
        <w:autoSpaceDN w:val="0"/>
        <w:adjustRightInd w:val="0"/>
        <w:ind w:left="851"/>
        <w:rPr>
          <w:noProof/>
          <w:sz w:val="24"/>
          <w:szCs w:val="24"/>
          <w:u w:val="single"/>
        </w:rPr>
      </w:pPr>
    </w:p>
    <w:p w14:paraId="71E43851" w14:textId="77777777" w:rsidR="00061CA5" w:rsidRPr="00380D3E" w:rsidRDefault="00061CA5" w:rsidP="00380D3E">
      <w:pPr>
        <w:autoSpaceDE w:val="0"/>
        <w:autoSpaceDN w:val="0"/>
        <w:adjustRightInd w:val="0"/>
        <w:ind w:left="851"/>
        <w:rPr>
          <w:sz w:val="24"/>
          <w:szCs w:val="24"/>
          <w:u w:val="single"/>
        </w:rPr>
      </w:pPr>
      <w:r w:rsidRPr="00380D3E">
        <w:rPr>
          <w:noProof/>
          <w:sz w:val="24"/>
          <w:szCs w:val="24"/>
          <w:u w:val="single"/>
        </w:rPr>
        <w:t>Indberetning af formodede bivirkninger</w:t>
      </w:r>
    </w:p>
    <w:p w14:paraId="5B5172B6" w14:textId="77777777" w:rsidR="00061CA5" w:rsidRPr="00380D3E" w:rsidRDefault="00061CA5" w:rsidP="00380D3E">
      <w:pPr>
        <w:autoSpaceDE w:val="0"/>
        <w:autoSpaceDN w:val="0"/>
        <w:adjustRightInd w:val="0"/>
        <w:ind w:left="851"/>
        <w:rPr>
          <w:noProof/>
          <w:color w:val="000000" w:themeColor="text1"/>
          <w:sz w:val="24"/>
          <w:szCs w:val="24"/>
        </w:rPr>
      </w:pPr>
      <w:r w:rsidRPr="00380D3E">
        <w:rPr>
          <w:noProof/>
          <w:sz w:val="24"/>
          <w:szCs w:val="24"/>
        </w:rPr>
        <w:t>Når lægemidlet er godkendt, er indberetning af formodede bivirkninger vigtig.</w:t>
      </w:r>
      <w:r w:rsidRPr="00380D3E">
        <w:rPr>
          <w:sz w:val="24"/>
          <w:szCs w:val="24"/>
        </w:rPr>
        <w:t xml:space="preserve"> </w:t>
      </w:r>
      <w:r w:rsidRPr="00380D3E">
        <w:rPr>
          <w:noProof/>
          <w:sz w:val="24"/>
          <w:szCs w:val="24"/>
        </w:rPr>
        <w:t>Det muliggør løbende overvågning af benefit/risk-forholdet for lægemidlet.</w:t>
      </w:r>
      <w:r w:rsidRPr="00380D3E">
        <w:rPr>
          <w:sz w:val="24"/>
          <w:szCs w:val="24"/>
        </w:rPr>
        <w:t xml:space="preserve"> </w:t>
      </w:r>
      <w:r w:rsidRPr="00380D3E">
        <w:rPr>
          <w:noProof/>
          <w:sz w:val="24"/>
          <w:szCs w:val="24"/>
        </w:rPr>
        <w:t>Sundhedspersoner anmodes om at indberette alle formodede bivirkninger via</w:t>
      </w:r>
      <w:r w:rsidRPr="00380D3E">
        <w:rPr>
          <w:noProof/>
          <w:color w:val="000000" w:themeColor="text1"/>
          <w:sz w:val="24"/>
          <w:szCs w:val="24"/>
        </w:rPr>
        <w:t>:</w:t>
      </w:r>
    </w:p>
    <w:p w14:paraId="5EAA908C" w14:textId="77777777" w:rsidR="00061CA5" w:rsidRPr="00380D3E" w:rsidRDefault="00061CA5" w:rsidP="00380D3E">
      <w:pPr>
        <w:autoSpaceDE w:val="0"/>
        <w:autoSpaceDN w:val="0"/>
        <w:adjustRightInd w:val="0"/>
        <w:ind w:left="851"/>
        <w:rPr>
          <w:noProof/>
          <w:color w:val="000000" w:themeColor="text1"/>
          <w:sz w:val="24"/>
          <w:szCs w:val="24"/>
        </w:rPr>
      </w:pPr>
    </w:p>
    <w:p w14:paraId="5078424B" w14:textId="77777777" w:rsidR="00061CA5" w:rsidRPr="00380D3E" w:rsidRDefault="00061CA5" w:rsidP="00380D3E">
      <w:pPr>
        <w:autoSpaceDE w:val="0"/>
        <w:autoSpaceDN w:val="0"/>
        <w:adjustRightInd w:val="0"/>
        <w:ind w:left="851"/>
        <w:rPr>
          <w:noProof/>
          <w:color w:val="000000" w:themeColor="text1"/>
          <w:sz w:val="24"/>
          <w:szCs w:val="24"/>
        </w:rPr>
      </w:pPr>
      <w:r w:rsidRPr="00380D3E">
        <w:rPr>
          <w:noProof/>
          <w:color w:val="000000" w:themeColor="text1"/>
          <w:sz w:val="24"/>
          <w:szCs w:val="24"/>
        </w:rPr>
        <w:t>Lægemiddelstyrelsen</w:t>
      </w:r>
    </w:p>
    <w:p w14:paraId="3094259E" w14:textId="77777777" w:rsidR="00061CA5" w:rsidRPr="00380D3E" w:rsidRDefault="00061CA5" w:rsidP="00380D3E">
      <w:pPr>
        <w:autoSpaceDE w:val="0"/>
        <w:autoSpaceDN w:val="0"/>
        <w:adjustRightInd w:val="0"/>
        <w:ind w:left="851"/>
        <w:rPr>
          <w:noProof/>
          <w:color w:val="000000" w:themeColor="text1"/>
          <w:sz w:val="24"/>
          <w:szCs w:val="24"/>
        </w:rPr>
      </w:pPr>
      <w:r w:rsidRPr="00380D3E">
        <w:rPr>
          <w:noProof/>
          <w:color w:val="000000" w:themeColor="text1"/>
          <w:sz w:val="24"/>
          <w:szCs w:val="24"/>
        </w:rPr>
        <w:t>Axel Heides Gade 1</w:t>
      </w:r>
    </w:p>
    <w:p w14:paraId="3E73E73B" w14:textId="77777777" w:rsidR="00061CA5" w:rsidRPr="00380D3E" w:rsidRDefault="00061CA5" w:rsidP="00380D3E">
      <w:pPr>
        <w:autoSpaceDE w:val="0"/>
        <w:autoSpaceDN w:val="0"/>
        <w:adjustRightInd w:val="0"/>
        <w:ind w:left="851"/>
        <w:rPr>
          <w:noProof/>
          <w:color w:val="000000" w:themeColor="text1"/>
          <w:sz w:val="24"/>
          <w:szCs w:val="24"/>
        </w:rPr>
      </w:pPr>
      <w:r w:rsidRPr="00380D3E">
        <w:rPr>
          <w:noProof/>
          <w:color w:val="000000" w:themeColor="text1"/>
          <w:sz w:val="24"/>
          <w:szCs w:val="24"/>
        </w:rPr>
        <w:t>DK-2300 København S</w:t>
      </w:r>
    </w:p>
    <w:p w14:paraId="7F7A8B2F" w14:textId="77777777" w:rsidR="00061CA5" w:rsidRPr="00380D3E" w:rsidRDefault="00061CA5" w:rsidP="00380D3E">
      <w:pPr>
        <w:autoSpaceDE w:val="0"/>
        <w:autoSpaceDN w:val="0"/>
        <w:adjustRightInd w:val="0"/>
        <w:ind w:left="851"/>
        <w:rPr>
          <w:color w:val="000000" w:themeColor="text1"/>
          <w:sz w:val="24"/>
          <w:szCs w:val="24"/>
        </w:rPr>
      </w:pPr>
      <w:r w:rsidRPr="00380D3E">
        <w:rPr>
          <w:noProof/>
          <w:color w:val="000000" w:themeColor="text1"/>
          <w:sz w:val="24"/>
          <w:szCs w:val="24"/>
        </w:rPr>
        <w:t xml:space="preserve">Websted: </w:t>
      </w:r>
      <w:r w:rsidRPr="00380D3E">
        <w:rPr>
          <w:color w:val="000000" w:themeColor="text1"/>
          <w:sz w:val="24"/>
          <w:szCs w:val="24"/>
        </w:rPr>
        <w:t>www.meldenbivirkning.dk</w:t>
      </w:r>
    </w:p>
    <w:p w14:paraId="2D7160E8" w14:textId="3F94F6B1" w:rsidR="007D7859" w:rsidRDefault="007D7859">
      <w:pPr>
        <w:rPr>
          <w:sz w:val="24"/>
          <w:szCs w:val="24"/>
        </w:rPr>
      </w:pPr>
      <w:r>
        <w:rPr>
          <w:sz w:val="24"/>
          <w:szCs w:val="24"/>
        </w:rPr>
        <w:br w:type="page"/>
      </w:r>
    </w:p>
    <w:p w14:paraId="50C8C974" w14:textId="77777777" w:rsidR="009260DE" w:rsidRPr="00380D3E" w:rsidRDefault="009260DE" w:rsidP="00A10294">
      <w:pPr>
        <w:tabs>
          <w:tab w:val="left" w:pos="851"/>
        </w:tabs>
        <w:ind w:left="851"/>
        <w:rPr>
          <w:sz w:val="24"/>
          <w:szCs w:val="24"/>
        </w:rPr>
      </w:pPr>
    </w:p>
    <w:p w14:paraId="719F60D2" w14:textId="77777777" w:rsidR="009260DE" w:rsidRPr="00380D3E" w:rsidRDefault="009260DE" w:rsidP="009260DE">
      <w:pPr>
        <w:tabs>
          <w:tab w:val="left" w:pos="851"/>
        </w:tabs>
        <w:ind w:left="851" w:hanging="851"/>
        <w:rPr>
          <w:b/>
          <w:sz w:val="24"/>
          <w:szCs w:val="24"/>
        </w:rPr>
      </w:pPr>
      <w:r w:rsidRPr="00380D3E">
        <w:rPr>
          <w:b/>
          <w:sz w:val="24"/>
          <w:szCs w:val="24"/>
        </w:rPr>
        <w:t>4.9</w:t>
      </w:r>
      <w:r w:rsidRPr="00380D3E">
        <w:rPr>
          <w:b/>
          <w:sz w:val="24"/>
          <w:szCs w:val="24"/>
        </w:rPr>
        <w:tab/>
        <w:t>Overdosering</w:t>
      </w:r>
    </w:p>
    <w:p w14:paraId="1FC7D2BA" w14:textId="77777777" w:rsidR="00061CA5" w:rsidRPr="00380D3E" w:rsidRDefault="00061CA5" w:rsidP="00380D3E">
      <w:pPr>
        <w:ind w:left="851"/>
        <w:rPr>
          <w:iCs/>
          <w:noProof/>
          <w:sz w:val="24"/>
          <w:szCs w:val="24"/>
        </w:rPr>
      </w:pPr>
      <w:r w:rsidRPr="00380D3E">
        <w:rPr>
          <w:iCs/>
          <w:noProof/>
          <w:sz w:val="24"/>
          <w:szCs w:val="24"/>
        </w:rPr>
        <w:t>Macitentan er blevet administreret som en enkelt dosis på op til 600 mg hos raske voksne personer. Der blev set bivirkninger i form af hovedpine, kvalme og opkastning. I tilfælde af overdosering skal der gives almen understøttende behandling efter behov. Da macitentan har en høj proteinbindingsgrad er dialyse sandsynligvis uden virkning.</w:t>
      </w:r>
    </w:p>
    <w:p w14:paraId="12C0BB0B" w14:textId="77777777" w:rsidR="009260DE" w:rsidRPr="00380D3E" w:rsidRDefault="009260DE" w:rsidP="009260DE">
      <w:pPr>
        <w:tabs>
          <w:tab w:val="left" w:pos="851"/>
        </w:tabs>
        <w:ind w:left="851"/>
        <w:rPr>
          <w:sz w:val="24"/>
          <w:szCs w:val="24"/>
        </w:rPr>
      </w:pPr>
    </w:p>
    <w:p w14:paraId="06D44ACC" w14:textId="77777777" w:rsidR="009260DE" w:rsidRPr="00380D3E" w:rsidRDefault="009260DE" w:rsidP="009260DE">
      <w:pPr>
        <w:tabs>
          <w:tab w:val="left" w:pos="851"/>
        </w:tabs>
        <w:ind w:left="851" w:hanging="851"/>
        <w:rPr>
          <w:b/>
          <w:sz w:val="24"/>
          <w:szCs w:val="24"/>
        </w:rPr>
      </w:pPr>
      <w:r w:rsidRPr="00380D3E">
        <w:rPr>
          <w:b/>
          <w:sz w:val="24"/>
          <w:szCs w:val="24"/>
        </w:rPr>
        <w:t>4.10</w:t>
      </w:r>
      <w:r w:rsidRPr="00380D3E">
        <w:rPr>
          <w:b/>
          <w:sz w:val="24"/>
          <w:szCs w:val="24"/>
        </w:rPr>
        <w:tab/>
        <w:t>Udlevering</w:t>
      </w:r>
    </w:p>
    <w:p w14:paraId="1946379F" w14:textId="6BDA963D" w:rsidR="009260DE" w:rsidRPr="00380D3E" w:rsidRDefault="00061CA5" w:rsidP="009260DE">
      <w:pPr>
        <w:tabs>
          <w:tab w:val="left" w:pos="851"/>
        </w:tabs>
        <w:ind w:left="851"/>
        <w:rPr>
          <w:sz w:val="24"/>
          <w:szCs w:val="24"/>
        </w:rPr>
      </w:pPr>
      <w:r w:rsidRPr="00380D3E">
        <w:rPr>
          <w:sz w:val="24"/>
          <w:szCs w:val="24"/>
        </w:rPr>
        <w:t>BEGR (kun til sygehuse)</w:t>
      </w:r>
    </w:p>
    <w:p w14:paraId="35D09B7D" w14:textId="77777777" w:rsidR="009260DE" w:rsidRPr="00380D3E" w:rsidRDefault="009260DE" w:rsidP="009260DE">
      <w:pPr>
        <w:tabs>
          <w:tab w:val="left" w:pos="851"/>
        </w:tabs>
        <w:ind w:left="851"/>
        <w:rPr>
          <w:sz w:val="24"/>
          <w:szCs w:val="24"/>
        </w:rPr>
      </w:pPr>
    </w:p>
    <w:p w14:paraId="1EE9E440" w14:textId="77777777" w:rsidR="009260DE" w:rsidRPr="00380D3E" w:rsidRDefault="009260DE" w:rsidP="009260DE">
      <w:pPr>
        <w:tabs>
          <w:tab w:val="left" w:pos="851"/>
        </w:tabs>
        <w:ind w:left="851"/>
        <w:rPr>
          <w:sz w:val="24"/>
          <w:szCs w:val="24"/>
        </w:rPr>
      </w:pPr>
    </w:p>
    <w:p w14:paraId="0DE63CED" w14:textId="77777777" w:rsidR="009260DE" w:rsidRPr="00380D3E" w:rsidRDefault="009260DE" w:rsidP="009260DE">
      <w:pPr>
        <w:tabs>
          <w:tab w:val="left" w:pos="851"/>
        </w:tabs>
        <w:ind w:left="851" w:hanging="851"/>
        <w:rPr>
          <w:b/>
          <w:sz w:val="24"/>
          <w:szCs w:val="24"/>
        </w:rPr>
      </w:pPr>
      <w:r w:rsidRPr="00380D3E">
        <w:rPr>
          <w:b/>
          <w:sz w:val="24"/>
          <w:szCs w:val="24"/>
        </w:rPr>
        <w:t>5.</w:t>
      </w:r>
      <w:r w:rsidRPr="00380D3E">
        <w:rPr>
          <w:b/>
          <w:sz w:val="24"/>
          <w:szCs w:val="24"/>
        </w:rPr>
        <w:tab/>
        <w:t>FARMAKOLOGISKE EGENSKABER</w:t>
      </w:r>
    </w:p>
    <w:p w14:paraId="54BC031F" w14:textId="77777777" w:rsidR="009260DE" w:rsidRPr="00380D3E" w:rsidRDefault="009260DE" w:rsidP="009260DE">
      <w:pPr>
        <w:tabs>
          <w:tab w:val="left" w:pos="851"/>
        </w:tabs>
        <w:ind w:left="851"/>
        <w:rPr>
          <w:sz w:val="24"/>
          <w:szCs w:val="24"/>
        </w:rPr>
      </w:pPr>
    </w:p>
    <w:p w14:paraId="4BD0B0DA" w14:textId="77777777" w:rsidR="009260DE" w:rsidRPr="00380D3E" w:rsidRDefault="009260DE" w:rsidP="009260DE">
      <w:pPr>
        <w:tabs>
          <w:tab w:val="num" w:pos="851"/>
        </w:tabs>
        <w:ind w:left="851" w:hanging="851"/>
        <w:rPr>
          <w:b/>
          <w:sz w:val="24"/>
          <w:szCs w:val="24"/>
        </w:rPr>
      </w:pPr>
      <w:r w:rsidRPr="00380D3E">
        <w:rPr>
          <w:b/>
          <w:sz w:val="24"/>
          <w:szCs w:val="24"/>
        </w:rPr>
        <w:t>5.1</w:t>
      </w:r>
      <w:r w:rsidRPr="00380D3E">
        <w:rPr>
          <w:b/>
          <w:sz w:val="24"/>
          <w:szCs w:val="24"/>
        </w:rPr>
        <w:tab/>
      </w:r>
      <w:proofErr w:type="spellStart"/>
      <w:r w:rsidRPr="00380D3E">
        <w:rPr>
          <w:b/>
          <w:sz w:val="24"/>
          <w:szCs w:val="24"/>
        </w:rPr>
        <w:t>Farmakodynamiske</w:t>
      </w:r>
      <w:proofErr w:type="spellEnd"/>
      <w:r w:rsidRPr="00380D3E">
        <w:rPr>
          <w:b/>
          <w:sz w:val="24"/>
          <w:szCs w:val="24"/>
        </w:rPr>
        <w:t xml:space="preserve"> egenskaber</w:t>
      </w:r>
    </w:p>
    <w:p w14:paraId="2333B69A" w14:textId="77777777" w:rsidR="00061CA5" w:rsidRPr="00380D3E" w:rsidRDefault="00061CA5" w:rsidP="00380D3E">
      <w:pPr>
        <w:suppressAutoHyphens/>
        <w:ind w:left="851"/>
        <w:rPr>
          <w:sz w:val="24"/>
          <w:szCs w:val="24"/>
        </w:rPr>
      </w:pPr>
      <w:proofErr w:type="spellStart"/>
      <w:r w:rsidRPr="00380D3E">
        <w:rPr>
          <w:sz w:val="24"/>
          <w:szCs w:val="24"/>
        </w:rPr>
        <w:t>Farmakoterapeutisk</w:t>
      </w:r>
      <w:proofErr w:type="spellEnd"/>
      <w:r w:rsidRPr="00380D3E">
        <w:rPr>
          <w:sz w:val="24"/>
          <w:szCs w:val="24"/>
        </w:rPr>
        <w:t xml:space="preserve"> klassifikation: </w:t>
      </w:r>
      <w:proofErr w:type="spellStart"/>
      <w:r w:rsidRPr="00380D3E">
        <w:rPr>
          <w:sz w:val="24"/>
          <w:szCs w:val="24"/>
        </w:rPr>
        <w:t>antihypertensiva</w:t>
      </w:r>
      <w:proofErr w:type="spellEnd"/>
      <w:r w:rsidRPr="00380D3E">
        <w:rPr>
          <w:sz w:val="24"/>
          <w:szCs w:val="24"/>
        </w:rPr>
        <w:t xml:space="preserve">, </w:t>
      </w:r>
      <w:proofErr w:type="spellStart"/>
      <w:r w:rsidRPr="00380D3E">
        <w:rPr>
          <w:sz w:val="24"/>
          <w:szCs w:val="24"/>
        </w:rPr>
        <w:t>antihypertensiva</w:t>
      </w:r>
      <w:proofErr w:type="spellEnd"/>
      <w:r w:rsidRPr="00380D3E">
        <w:rPr>
          <w:sz w:val="24"/>
          <w:szCs w:val="24"/>
        </w:rPr>
        <w:t xml:space="preserve"> til </w:t>
      </w:r>
      <w:proofErr w:type="spellStart"/>
      <w:r w:rsidRPr="00380D3E">
        <w:rPr>
          <w:sz w:val="24"/>
          <w:szCs w:val="24"/>
        </w:rPr>
        <w:t>pulmonal</w:t>
      </w:r>
      <w:proofErr w:type="spellEnd"/>
      <w:r w:rsidRPr="00380D3E">
        <w:rPr>
          <w:sz w:val="24"/>
          <w:szCs w:val="24"/>
        </w:rPr>
        <w:t xml:space="preserve"> arteriel hypertension. ATC-kode: C02KX04.</w:t>
      </w:r>
    </w:p>
    <w:p w14:paraId="11F10545" w14:textId="77777777" w:rsidR="00061CA5" w:rsidRPr="00380D3E" w:rsidRDefault="00061CA5" w:rsidP="00380D3E">
      <w:pPr>
        <w:suppressAutoHyphens/>
        <w:ind w:left="851"/>
        <w:rPr>
          <w:bCs/>
          <w:noProof/>
          <w:sz w:val="24"/>
          <w:szCs w:val="24"/>
        </w:rPr>
      </w:pPr>
    </w:p>
    <w:p w14:paraId="6663DAF1" w14:textId="77777777" w:rsidR="00061CA5" w:rsidRPr="00380D3E" w:rsidRDefault="00061CA5" w:rsidP="00380D3E">
      <w:pPr>
        <w:ind w:left="851"/>
        <w:rPr>
          <w:bCs/>
          <w:noProof/>
          <w:sz w:val="24"/>
          <w:szCs w:val="24"/>
          <w:u w:val="single"/>
        </w:rPr>
      </w:pPr>
      <w:r w:rsidRPr="00380D3E">
        <w:rPr>
          <w:bCs/>
          <w:noProof/>
          <w:sz w:val="24"/>
          <w:szCs w:val="24"/>
          <w:u w:val="single"/>
        </w:rPr>
        <w:t>Virkningsmekanisme</w:t>
      </w:r>
    </w:p>
    <w:p w14:paraId="1FD33634" w14:textId="77777777" w:rsidR="00061CA5" w:rsidRPr="00380D3E" w:rsidRDefault="00061CA5" w:rsidP="00380D3E">
      <w:pPr>
        <w:ind w:left="851"/>
        <w:rPr>
          <w:bCs/>
          <w:noProof/>
          <w:sz w:val="24"/>
          <w:szCs w:val="24"/>
        </w:rPr>
      </w:pPr>
      <w:r w:rsidRPr="00380D3E">
        <w:rPr>
          <w:bCs/>
          <w:noProof/>
          <w:sz w:val="24"/>
          <w:szCs w:val="24"/>
        </w:rPr>
        <w:t>Endothelin (ET)-1 og dets receptorer (ET</w:t>
      </w:r>
      <w:r w:rsidRPr="00380D3E">
        <w:rPr>
          <w:bCs/>
          <w:noProof/>
          <w:sz w:val="24"/>
          <w:szCs w:val="24"/>
          <w:vertAlign w:val="subscript"/>
        </w:rPr>
        <w:t>A</w:t>
      </w:r>
      <w:r w:rsidRPr="00380D3E">
        <w:rPr>
          <w:bCs/>
          <w:noProof/>
          <w:sz w:val="24"/>
          <w:szCs w:val="24"/>
        </w:rPr>
        <w:t xml:space="preserve"> og ET</w:t>
      </w:r>
      <w:r w:rsidRPr="00380D3E">
        <w:rPr>
          <w:bCs/>
          <w:noProof/>
          <w:sz w:val="24"/>
          <w:szCs w:val="24"/>
          <w:vertAlign w:val="subscript"/>
        </w:rPr>
        <w:t>B</w:t>
      </w:r>
      <w:r w:rsidRPr="00380D3E">
        <w:rPr>
          <w:bCs/>
          <w:noProof/>
          <w:sz w:val="24"/>
          <w:szCs w:val="24"/>
        </w:rPr>
        <w:t xml:space="preserve">) medierer en række virkninger, såsom vasokonstriktion, fibrose, proliferation, hypertrofi og inflammation. Ved sygdomstilstande såsom PAH er det lokale ET-system opreguleret og involveret i vaskulær hypertrofi og organbeskadigelse. </w:t>
      </w:r>
    </w:p>
    <w:p w14:paraId="04D33CE4" w14:textId="77777777" w:rsidR="00061CA5" w:rsidRPr="00380D3E" w:rsidRDefault="00061CA5" w:rsidP="00380D3E">
      <w:pPr>
        <w:ind w:left="851"/>
        <w:rPr>
          <w:bCs/>
          <w:noProof/>
          <w:sz w:val="24"/>
          <w:szCs w:val="24"/>
        </w:rPr>
      </w:pPr>
    </w:p>
    <w:p w14:paraId="36D39BB2" w14:textId="77777777" w:rsidR="00061CA5" w:rsidRPr="00380D3E" w:rsidRDefault="00061CA5" w:rsidP="00380D3E">
      <w:pPr>
        <w:ind w:left="851"/>
        <w:rPr>
          <w:bCs/>
          <w:noProof/>
          <w:sz w:val="24"/>
          <w:szCs w:val="24"/>
        </w:rPr>
      </w:pPr>
      <w:r w:rsidRPr="00380D3E">
        <w:rPr>
          <w:bCs/>
          <w:noProof/>
          <w:sz w:val="24"/>
          <w:szCs w:val="24"/>
        </w:rPr>
        <w:t>Macitentan er en oralt aktiv, potent endothelinreceptorantagonist med virkning på både ET</w:t>
      </w:r>
      <w:r w:rsidRPr="00380D3E">
        <w:rPr>
          <w:bCs/>
          <w:noProof/>
          <w:sz w:val="24"/>
          <w:szCs w:val="24"/>
          <w:vertAlign w:val="subscript"/>
        </w:rPr>
        <w:t>A</w:t>
      </w:r>
      <w:r w:rsidRPr="00380D3E">
        <w:rPr>
          <w:bCs/>
          <w:noProof/>
          <w:sz w:val="24"/>
          <w:szCs w:val="24"/>
        </w:rPr>
        <w:t>- og ET</w:t>
      </w:r>
      <w:r w:rsidRPr="00380D3E">
        <w:rPr>
          <w:bCs/>
          <w:noProof/>
          <w:sz w:val="24"/>
          <w:szCs w:val="24"/>
          <w:vertAlign w:val="subscript"/>
        </w:rPr>
        <w:t>B</w:t>
      </w:r>
      <w:r w:rsidRPr="00380D3E">
        <w:rPr>
          <w:bCs/>
          <w:noProof/>
          <w:sz w:val="24"/>
          <w:szCs w:val="24"/>
        </w:rPr>
        <w:t>-receptorer og cirka 100 gange mere selektiv over for ET</w:t>
      </w:r>
      <w:r w:rsidRPr="00380D3E">
        <w:rPr>
          <w:bCs/>
          <w:noProof/>
          <w:sz w:val="24"/>
          <w:szCs w:val="24"/>
          <w:vertAlign w:val="subscript"/>
        </w:rPr>
        <w:t>A</w:t>
      </w:r>
      <w:r w:rsidRPr="00380D3E">
        <w:rPr>
          <w:bCs/>
          <w:noProof/>
          <w:sz w:val="24"/>
          <w:szCs w:val="24"/>
        </w:rPr>
        <w:t xml:space="preserve"> end over for ET</w:t>
      </w:r>
      <w:r w:rsidRPr="00380D3E">
        <w:rPr>
          <w:bCs/>
          <w:noProof/>
          <w:sz w:val="24"/>
          <w:szCs w:val="24"/>
          <w:vertAlign w:val="subscript"/>
        </w:rPr>
        <w:t>B</w:t>
      </w:r>
      <w:r w:rsidRPr="00380D3E">
        <w:rPr>
          <w:bCs/>
          <w:noProof/>
          <w:sz w:val="24"/>
          <w:szCs w:val="24"/>
        </w:rPr>
        <w:t xml:space="preserve"> </w:t>
      </w:r>
      <w:r w:rsidRPr="00380D3E">
        <w:rPr>
          <w:bCs/>
          <w:i/>
          <w:iCs/>
          <w:noProof/>
          <w:sz w:val="24"/>
          <w:szCs w:val="24"/>
        </w:rPr>
        <w:t>in vitro</w:t>
      </w:r>
      <w:r w:rsidRPr="00380D3E">
        <w:rPr>
          <w:bCs/>
          <w:noProof/>
          <w:sz w:val="24"/>
          <w:szCs w:val="24"/>
        </w:rPr>
        <w:t>. Macitentan udviser høj affinitet til og vedvarende okkupation af ET-receptorerne i cellerne i den glatte muskulatur i lungearterierne hos mennesker. Dette forhindrer endothelinmedieret aktivering af sekundære beskedsystemer, der resulterer i vasokonstriktion og proliferation af glatte muskelceller.</w:t>
      </w:r>
    </w:p>
    <w:p w14:paraId="6F08BD39" w14:textId="77777777" w:rsidR="00061CA5" w:rsidRPr="00380D3E" w:rsidRDefault="00061CA5" w:rsidP="00380D3E">
      <w:pPr>
        <w:ind w:left="851"/>
        <w:rPr>
          <w:bCs/>
          <w:noProof/>
          <w:sz w:val="24"/>
          <w:szCs w:val="24"/>
        </w:rPr>
      </w:pPr>
    </w:p>
    <w:p w14:paraId="3D503170" w14:textId="77777777" w:rsidR="00061CA5" w:rsidRPr="00380D3E" w:rsidRDefault="00061CA5" w:rsidP="00380D3E">
      <w:pPr>
        <w:ind w:left="851"/>
        <w:rPr>
          <w:bCs/>
          <w:noProof/>
          <w:sz w:val="24"/>
          <w:szCs w:val="24"/>
          <w:u w:val="single"/>
        </w:rPr>
      </w:pPr>
      <w:r w:rsidRPr="00380D3E">
        <w:rPr>
          <w:bCs/>
          <w:noProof/>
          <w:sz w:val="24"/>
          <w:szCs w:val="24"/>
          <w:u w:val="single"/>
        </w:rPr>
        <w:t>Klinisk virkning og sikkerhed</w:t>
      </w:r>
    </w:p>
    <w:p w14:paraId="488567BC" w14:textId="77777777" w:rsidR="00061CA5" w:rsidRPr="00380D3E" w:rsidRDefault="00061CA5" w:rsidP="00380D3E">
      <w:pPr>
        <w:ind w:left="851"/>
        <w:rPr>
          <w:bCs/>
          <w:i/>
          <w:iCs/>
          <w:noProof/>
          <w:sz w:val="24"/>
          <w:szCs w:val="24"/>
        </w:rPr>
      </w:pPr>
    </w:p>
    <w:p w14:paraId="40E96D2A" w14:textId="77777777" w:rsidR="00061CA5" w:rsidRPr="00380D3E" w:rsidRDefault="00061CA5" w:rsidP="00380D3E">
      <w:pPr>
        <w:ind w:left="851"/>
        <w:rPr>
          <w:bCs/>
          <w:i/>
          <w:iCs/>
          <w:noProof/>
          <w:sz w:val="24"/>
          <w:szCs w:val="24"/>
        </w:rPr>
      </w:pPr>
      <w:r w:rsidRPr="00380D3E">
        <w:rPr>
          <w:bCs/>
          <w:i/>
          <w:iCs/>
          <w:noProof/>
          <w:sz w:val="24"/>
          <w:szCs w:val="24"/>
        </w:rPr>
        <w:t>Virkning hos patienter med pulmonal arteriel hypertension</w:t>
      </w:r>
    </w:p>
    <w:p w14:paraId="560DC43D" w14:textId="77777777" w:rsidR="00061CA5" w:rsidRPr="00380D3E" w:rsidRDefault="00061CA5" w:rsidP="00380D3E">
      <w:pPr>
        <w:ind w:left="851"/>
        <w:rPr>
          <w:bCs/>
          <w:noProof/>
          <w:sz w:val="24"/>
          <w:szCs w:val="24"/>
        </w:rPr>
      </w:pPr>
      <w:r w:rsidRPr="00380D3E">
        <w:rPr>
          <w:bCs/>
          <w:noProof/>
          <w:sz w:val="24"/>
          <w:szCs w:val="24"/>
        </w:rPr>
        <w:t>Et dobbeltblindet, placebokontrolleret, hændelsesstyret, udfaldsstudie i fase III udført på flere centre ('multicenter') og med parallelgrupper (AC-055-302/SERAPHIN) inkluderede i alt 742 patienter med symptomatisk PAH, der blev randomiseret til tre behandlingsgrupper (placebo [N = 250], 3 mg [N = 250] eller 10 mg [N = 242] macitentan én gang dagligt), med henblik på at vurdere den langsigtede virkning på morbiditet og mortalitet.</w:t>
      </w:r>
    </w:p>
    <w:p w14:paraId="692E4C26" w14:textId="77777777" w:rsidR="00061CA5" w:rsidRPr="00380D3E" w:rsidRDefault="00061CA5" w:rsidP="00380D3E">
      <w:pPr>
        <w:ind w:left="851"/>
        <w:rPr>
          <w:bCs/>
          <w:noProof/>
          <w:sz w:val="24"/>
          <w:szCs w:val="24"/>
        </w:rPr>
      </w:pPr>
    </w:p>
    <w:p w14:paraId="302C2E8A" w14:textId="77777777" w:rsidR="00061CA5" w:rsidRPr="00380D3E" w:rsidRDefault="00061CA5" w:rsidP="00380D3E">
      <w:pPr>
        <w:ind w:left="851"/>
        <w:rPr>
          <w:bCs/>
          <w:noProof/>
          <w:sz w:val="24"/>
          <w:szCs w:val="24"/>
        </w:rPr>
      </w:pPr>
      <w:r w:rsidRPr="00380D3E">
        <w:rPr>
          <w:bCs/>
          <w:noProof/>
          <w:sz w:val="24"/>
          <w:szCs w:val="24"/>
        </w:rPr>
        <w:t>Størstedelen af de inkluderede patienter (64 %) var ved udgangspunktet ('baseline') i behandling med en stabil dosis af en specifik PAH-behandling, enten orale phosphodiesterasehæmmere (61 %) og/eller inhalerede/orale prostanoider (6 %).</w:t>
      </w:r>
    </w:p>
    <w:p w14:paraId="2A022AB8" w14:textId="77777777" w:rsidR="00061CA5" w:rsidRPr="00380D3E" w:rsidRDefault="00061CA5" w:rsidP="00380D3E">
      <w:pPr>
        <w:ind w:left="851"/>
        <w:rPr>
          <w:bCs/>
          <w:noProof/>
          <w:sz w:val="24"/>
          <w:szCs w:val="24"/>
        </w:rPr>
      </w:pPr>
    </w:p>
    <w:p w14:paraId="302D8C5E" w14:textId="41E54939" w:rsidR="00061CA5" w:rsidRPr="00380D3E" w:rsidRDefault="00061CA5" w:rsidP="00380D3E">
      <w:pPr>
        <w:ind w:left="851"/>
        <w:rPr>
          <w:bCs/>
          <w:noProof/>
          <w:sz w:val="24"/>
          <w:szCs w:val="24"/>
        </w:rPr>
      </w:pPr>
      <w:r w:rsidRPr="00380D3E">
        <w:rPr>
          <w:bCs/>
          <w:noProof/>
          <w:sz w:val="24"/>
          <w:szCs w:val="24"/>
        </w:rPr>
        <w:t>Det primære endepunkt var tid til første forekomst af en morbiditets- eller mortalitets</w:t>
      </w:r>
      <w:r w:rsidR="007D7859">
        <w:rPr>
          <w:bCs/>
          <w:noProof/>
          <w:sz w:val="24"/>
          <w:szCs w:val="24"/>
        </w:rPr>
        <w:softHyphen/>
      </w:r>
      <w:r w:rsidRPr="00380D3E">
        <w:rPr>
          <w:bCs/>
          <w:noProof/>
          <w:sz w:val="24"/>
          <w:szCs w:val="24"/>
        </w:rPr>
        <w:t xml:space="preserve">hændelse indtil afslutningen af dobbeltblindet behandling. Dette var defineret som død eller atrieseptostomi eller lungetransplantation eller indledning af intravenøse (i.v.) eller subkutane (s.c.) prostanoider eller anden forværring af PAH. Anden forværring af PAH var defineret som forekomst af alle tre af følgende komponenter: et vedvarende fald i 6-minutters gangdistance (6MWD) på mindst 15 % i forhold til udgangsværdien, forværring af PAH-symptomer (forværring af WHO-funktionsklasse eller højresidigt hjertesvigt) og </w:t>
      </w:r>
      <w:r w:rsidRPr="00380D3E">
        <w:rPr>
          <w:bCs/>
          <w:noProof/>
          <w:sz w:val="24"/>
          <w:szCs w:val="24"/>
        </w:rPr>
        <w:lastRenderedPageBreak/>
        <w:t>behov for ny behandling mod PAH. Alle hændelser blev bekræftet af en uafhængig bedømmelseskomité, der var blindet over for behandlingstildelingen.</w:t>
      </w:r>
    </w:p>
    <w:p w14:paraId="5E6EBC7A" w14:textId="77777777" w:rsidR="00061CA5" w:rsidRPr="00380D3E" w:rsidRDefault="00061CA5" w:rsidP="00380D3E">
      <w:pPr>
        <w:ind w:left="851"/>
        <w:rPr>
          <w:bCs/>
          <w:noProof/>
          <w:sz w:val="24"/>
          <w:szCs w:val="24"/>
        </w:rPr>
      </w:pPr>
    </w:p>
    <w:p w14:paraId="5941755A" w14:textId="77777777" w:rsidR="00061CA5" w:rsidRPr="00380D3E" w:rsidRDefault="00061CA5" w:rsidP="00380D3E">
      <w:pPr>
        <w:ind w:left="851"/>
        <w:rPr>
          <w:bCs/>
          <w:noProof/>
          <w:sz w:val="24"/>
          <w:szCs w:val="24"/>
        </w:rPr>
      </w:pPr>
      <w:r w:rsidRPr="00380D3E">
        <w:rPr>
          <w:bCs/>
          <w:noProof/>
          <w:sz w:val="24"/>
          <w:szCs w:val="24"/>
        </w:rPr>
        <w:t>Alle patienter blev fulgt med henblik på vital status indtil studiets afslutning. Studiet blev afsluttet, da det prædefinerede antal af primære endepunkter var nået. I den periode, der lå imellem behandlingens afslutning og studiets afslutning, kunne patienterne få åben macitentan 10 mg eller anden PAH-behandling. Den samlede, gennemsnitlige varighed af blindet behandling var 115 uger (op til højst 188 uger med macitentanbehandling).</w:t>
      </w:r>
    </w:p>
    <w:p w14:paraId="3F3FE027" w14:textId="77777777" w:rsidR="00061CA5" w:rsidRPr="00380D3E" w:rsidRDefault="00061CA5" w:rsidP="00380D3E">
      <w:pPr>
        <w:ind w:left="851"/>
        <w:rPr>
          <w:bCs/>
          <w:noProof/>
          <w:sz w:val="24"/>
          <w:szCs w:val="24"/>
        </w:rPr>
      </w:pPr>
    </w:p>
    <w:p w14:paraId="10870592" w14:textId="77777777" w:rsidR="00061CA5" w:rsidRPr="00380D3E" w:rsidRDefault="00061CA5" w:rsidP="00380D3E">
      <w:pPr>
        <w:ind w:left="851"/>
        <w:rPr>
          <w:bCs/>
          <w:noProof/>
          <w:sz w:val="24"/>
          <w:szCs w:val="24"/>
        </w:rPr>
      </w:pPr>
      <w:r w:rsidRPr="00380D3E">
        <w:rPr>
          <w:bCs/>
          <w:noProof/>
          <w:sz w:val="24"/>
          <w:szCs w:val="24"/>
        </w:rPr>
        <w:t>Den gennemsnitlige alder af samtlige patienter var 46 år (aldersområde: 12-85 år, herunder 20 patienter under 18 år, 706 patienter i alderen 18-74 år og 16 patienter på 75 år eller derover), og størstedelen af forsøgsdeltagerne var kaukasere (55 %) og kvinder (77 %). Cirka hhv. 52 %, 46 % og 2 % af patienterne var i WHO-funktionsgruppe II, III og IV</w:t>
      </w:r>
    </w:p>
    <w:p w14:paraId="26ED7DDE" w14:textId="77777777" w:rsidR="00061CA5" w:rsidRPr="00380D3E" w:rsidRDefault="00061CA5" w:rsidP="00380D3E">
      <w:pPr>
        <w:ind w:left="851"/>
        <w:rPr>
          <w:bCs/>
          <w:noProof/>
          <w:sz w:val="24"/>
          <w:szCs w:val="24"/>
        </w:rPr>
      </w:pPr>
    </w:p>
    <w:p w14:paraId="00028099" w14:textId="185460EC" w:rsidR="00061CA5" w:rsidRPr="00380D3E" w:rsidRDefault="00061CA5" w:rsidP="00380D3E">
      <w:pPr>
        <w:ind w:left="851"/>
        <w:rPr>
          <w:bCs/>
          <w:noProof/>
          <w:sz w:val="24"/>
          <w:szCs w:val="24"/>
        </w:rPr>
      </w:pPr>
      <w:r w:rsidRPr="00380D3E">
        <w:rPr>
          <w:bCs/>
          <w:noProof/>
          <w:sz w:val="24"/>
          <w:szCs w:val="24"/>
        </w:rPr>
        <w:t>Idiopatisk eller hereditær PAH var den mest almindelige ætiologi i studiepopulationen (57</w:t>
      </w:r>
      <w:r w:rsidR="007D7859">
        <w:rPr>
          <w:bCs/>
          <w:noProof/>
          <w:sz w:val="24"/>
          <w:szCs w:val="24"/>
        </w:rPr>
        <w:t> </w:t>
      </w:r>
      <w:r w:rsidRPr="00380D3E">
        <w:rPr>
          <w:bCs/>
          <w:noProof/>
          <w:sz w:val="24"/>
          <w:szCs w:val="24"/>
        </w:rPr>
        <w:t>%) efterfulgt af PAH på grund af bindevævssygdom (31 %), PAH forbundet med korrigeret simpel kongenit hjertesygdom (8 %) og PAH forbundet med andre ætiologier (lægemidler og toksiner [3 %] og hiv [1 %]).</w:t>
      </w:r>
    </w:p>
    <w:p w14:paraId="7B0C23FA" w14:textId="77777777" w:rsidR="00061CA5" w:rsidRPr="00380D3E" w:rsidRDefault="00061CA5" w:rsidP="00380D3E">
      <w:pPr>
        <w:ind w:left="851"/>
        <w:rPr>
          <w:bCs/>
          <w:noProof/>
          <w:sz w:val="24"/>
          <w:szCs w:val="24"/>
        </w:rPr>
      </w:pPr>
    </w:p>
    <w:p w14:paraId="1BCD2915" w14:textId="77777777" w:rsidR="00061CA5" w:rsidRPr="00380D3E" w:rsidRDefault="00061CA5" w:rsidP="00380D3E">
      <w:pPr>
        <w:ind w:left="851"/>
        <w:rPr>
          <w:bCs/>
          <w:noProof/>
          <w:sz w:val="24"/>
          <w:szCs w:val="24"/>
          <w:u w:val="single"/>
        </w:rPr>
      </w:pPr>
      <w:r w:rsidRPr="00380D3E">
        <w:rPr>
          <w:bCs/>
          <w:noProof/>
          <w:sz w:val="24"/>
          <w:szCs w:val="24"/>
          <w:u w:val="single"/>
        </w:rPr>
        <w:t>Udfaldsrelaterede endepunkter</w:t>
      </w:r>
    </w:p>
    <w:p w14:paraId="28ADC440" w14:textId="77777777" w:rsidR="00061CA5" w:rsidRPr="00380D3E" w:rsidRDefault="00061CA5" w:rsidP="00380D3E">
      <w:pPr>
        <w:ind w:left="851"/>
        <w:rPr>
          <w:bCs/>
          <w:noProof/>
          <w:sz w:val="24"/>
          <w:szCs w:val="24"/>
        </w:rPr>
      </w:pPr>
      <w:r w:rsidRPr="00380D3E">
        <w:rPr>
          <w:bCs/>
          <w:noProof/>
          <w:sz w:val="24"/>
          <w:szCs w:val="24"/>
        </w:rPr>
        <w:t>Behandling med macitentan 10 mg resulterede i en risikoreduktion på 45 % (risikoforhold [HR] 0,55; 97,5 % CI: 0,39 til 0,76; logrank p &lt; 0,0001) i det sammensatte endepunkt bestående af morbiditet-mortalitet indtil behandlingens afslutning sammenlignet med placebo [Figur 1 og Tabel 1]. Behandlingens effekt indsatte tidligt og blev opretholdt.</w:t>
      </w:r>
    </w:p>
    <w:p w14:paraId="2D4E98E1" w14:textId="77777777" w:rsidR="00061CA5" w:rsidRPr="00380D3E" w:rsidRDefault="00061CA5" w:rsidP="00380D3E">
      <w:pPr>
        <w:ind w:left="851"/>
        <w:rPr>
          <w:bCs/>
          <w:noProof/>
          <w:sz w:val="24"/>
          <w:szCs w:val="24"/>
        </w:rPr>
      </w:pPr>
    </w:p>
    <w:p w14:paraId="3B4BAA1C" w14:textId="77777777" w:rsidR="00061CA5" w:rsidRPr="00380D3E" w:rsidRDefault="00061CA5" w:rsidP="00380D3E">
      <w:pPr>
        <w:ind w:left="851"/>
        <w:rPr>
          <w:bCs/>
          <w:noProof/>
          <w:sz w:val="24"/>
          <w:szCs w:val="24"/>
        </w:rPr>
      </w:pPr>
      <w:r w:rsidRPr="00380D3E">
        <w:rPr>
          <w:bCs/>
          <w:noProof/>
          <w:sz w:val="24"/>
          <w:szCs w:val="24"/>
        </w:rPr>
        <w:t>Effekten af macitentan 10 mg på det primære endepunkt var konsekvent på tværs af undergrupper af alder, køn, etnisk oprindelse, geografisk region, ætiologi og WHO-funktionsklasse (I/II og III/IV), både som monoterapi og i kombination med anden PAH-behandling.</w:t>
      </w:r>
    </w:p>
    <w:p w14:paraId="60C9BAC1" w14:textId="77777777" w:rsidR="00061CA5" w:rsidRPr="00380D3E" w:rsidRDefault="00061CA5" w:rsidP="00380D3E">
      <w:pPr>
        <w:ind w:left="851"/>
        <w:rPr>
          <w:bCs/>
          <w:noProof/>
          <w:sz w:val="24"/>
          <w:szCs w:val="24"/>
        </w:rPr>
      </w:pPr>
    </w:p>
    <w:p w14:paraId="360E5C00" w14:textId="77777777" w:rsidR="00061CA5" w:rsidRPr="00380D3E" w:rsidRDefault="00061CA5" w:rsidP="007D7859">
      <w:pPr>
        <w:keepNext/>
        <w:ind w:left="851"/>
        <w:rPr>
          <w:b/>
          <w:noProof/>
          <w:sz w:val="24"/>
          <w:szCs w:val="24"/>
        </w:rPr>
      </w:pPr>
      <w:r w:rsidRPr="00380D3E">
        <w:rPr>
          <w:b/>
          <w:noProof/>
          <w:sz w:val="24"/>
          <w:szCs w:val="24"/>
        </w:rPr>
        <w:lastRenderedPageBreak/>
        <w:t>Figur 1 Kaplan-Meier-estimater af første morbiditets-mortalitetshændelse i SERAPHIN</w:t>
      </w:r>
    </w:p>
    <w:p w14:paraId="5FEC3654" w14:textId="4B943534" w:rsidR="00061CA5" w:rsidRPr="00380D3E" w:rsidRDefault="00061CA5" w:rsidP="007D7859">
      <w:pPr>
        <w:keepNext/>
        <w:ind w:left="851"/>
        <w:jc w:val="center"/>
        <w:rPr>
          <w:bCs/>
          <w:noProof/>
          <w:sz w:val="24"/>
          <w:szCs w:val="24"/>
        </w:rPr>
      </w:pPr>
      <w:r w:rsidRPr="00380D3E">
        <w:rPr>
          <w:noProof/>
          <w:sz w:val="24"/>
          <w:szCs w:val="24"/>
        </w:rPr>
        <w:drawing>
          <wp:inline distT="0" distB="0" distL="0" distR="0" wp14:anchorId="1FC35229" wp14:editId="024FD467">
            <wp:extent cx="5189220" cy="3642360"/>
            <wp:effectExtent l="0" t="0" r="0" b="0"/>
            <wp:docPr id="2" name="Billede 2" descr="A graph of a patient's disea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patient's diseas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9220" cy="3642360"/>
                    </a:xfrm>
                    <a:prstGeom prst="rect">
                      <a:avLst/>
                    </a:prstGeom>
                    <a:noFill/>
                    <a:ln>
                      <a:noFill/>
                    </a:ln>
                  </pic:spPr>
                </pic:pic>
              </a:graphicData>
            </a:graphic>
          </wp:inline>
        </w:drawing>
      </w:r>
    </w:p>
    <w:p w14:paraId="03ED158D" w14:textId="77777777" w:rsidR="00061CA5" w:rsidRPr="00380D3E" w:rsidRDefault="00061CA5" w:rsidP="00061CA5">
      <w:pPr>
        <w:rPr>
          <w:sz w:val="24"/>
          <w:szCs w:val="24"/>
        </w:rPr>
      </w:pPr>
    </w:p>
    <w:p w14:paraId="39607E51" w14:textId="77777777" w:rsidR="00061CA5" w:rsidRPr="00380D3E" w:rsidRDefault="00061CA5" w:rsidP="00061CA5">
      <w:pPr>
        <w:keepNext/>
        <w:keepLines/>
        <w:widowControl w:val="0"/>
        <w:numPr>
          <w:ilvl w:val="12"/>
          <w:numId w:val="0"/>
        </w:numPr>
        <w:tabs>
          <w:tab w:val="left" w:pos="567"/>
        </w:tabs>
        <w:ind w:right="-2"/>
        <w:rPr>
          <w:rFonts w:eastAsia="TimesNewRoman,Bold"/>
          <w:b/>
          <w:bCs/>
          <w:sz w:val="24"/>
          <w:szCs w:val="24"/>
          <w:lang w:eastAsia="en-GB"/>
        </w:rPr>
      </w:pPr>
      <w:r w:rsidRPr="00380D3E">
        <w:rPr>
          <w:rFonts w:eastAsia="TimesNewRoman,Bold"/>
          <w:b/>
          <w:bCs/>
          <w:sz w:val="24"/>
          <w:szCs w:val="24"/>
          <w:lang w:eastAsia="en-GB"/>
        </w:rPr>
        <w:t>Tabel 1: Opsummering af udfaldsrelaterede hændelser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973"/>
        <w:gridCol w:w="1194"/>
        <w:gridCol w:w="1061"/>
        <w:gridCol w:w="1550"/>
        <w:gridCol w:w="689"/>
        <w:gridCol w:w="1139"/>
      </w:tblGrid>
      <w:tr w:rsidR="00061CA5" w:rsidRPr="00380D3E" w14:paraId="2877B262" w14:textId="77777777" w:rsidTr="00380D3E">
        <w:tc>
          <w:tcPr>
            <w:tcW w:w="838" w:type="pct"/>
            <w:vMerge w:val="restart"/>
            <w:tcBorders>
              <w:top w:val="single" w:sz="4" w:space="0" w:color="auto"/>
              <w:left w:val="single" w:sz="4" w:space="0" w:color="auto"/>
              <w:bottom w:val="single" w:sz="4" w:space="0" w:color="auto"/>
              <w:right w:val="single" w:sz="4" w:space="0" w:color="auto"/>
            </w:tcBorders>
            <w:vAlign w:val="center"/>
            <w:hideMark/>
          </w:tcPr>
          <w:p w14:paraId="45DAB6D4" w14:textId="77777777" w:rsidR="00061CA5" w:rsidRPr="00380D3E" w:rsidRDefault="00061CA5">
            <w:pPr>
              <w:jc w:val="center"/>
              <w:rPr>
                <w:rFonts w:eastAsia="SimSun"/>
                <w:b/>
                <w:bCs/>
                <w:sz w:val="20"/>
              </w:rPr>
            </w:pPr>
            <w:r w:rsidRPr="00380D3E">
              <w:rPr>
                <w:rFonts w:eastAsia="SimSun"/>
                <w:b/>
                <w:bCs/>
                <w:sz w:val="20"/>
              </w:rPr>
              <w:t>Endepunkter</w:t>
            </w:r>
          </w:p>
          <w:p w14:paraId="72A4AED7" w14:textId="77777777" w:rsidR="00061CA5" w:rsidRPr="00380D3E" w:rsidRDefault="00061CA5">
            <w:pPr>
              <w:jc w:val="center"/>
              <w:rPr>
                <w:rFonts w:eastAsia="SimSun"/>
                <w:b/>
                <w:bCs/>
                <w:sz w:val="20"/>
              </w:rPr>
            </w:pPr>
            <w:r w:rsidRPr="00380D3E">
              <w:rPr>
                <w:rFonts w:eastAsia="SimSun"/>
                <w:b/>
                <w:bCs/>
                <w:sz w:val="20"/>
              </w:rPr>
              <w:t>og statistik</w:t>
            </w:r>
          </w:p>
        </w:tc>
        <w:tc>
          <w:tcPr>
            <w:tcW w:w="1418" w:type="pct"/>
            <w:gridSpan w:val="2"/>
            <w:tcBorders>
              <w:top w:val="single" w:sz="4" w:space="0" w:color="auto"/>
              <w:left w:val="single" w:sz="4" w:space="0" w:color="auto"/>
              <w:bottom w:val="single" w:sz="4" w:space="0" w:color="auto"/>
              <w:right w:val="single" w:sz="4" w:space="0" w:color="auto"/>
            </w:tcBorders>
            <w:vAlign w:val="center"/>
            <w:hideMark/>
          </w:tcPr>
          <w:p w14:paraId="32D4676A" w14:textId="77777777" w:rsidR="00061CA5" w:rsidRPr="00380D3E" w:rsidRDefault="00061CA5">
            <w:pPr>
              <w:jc w:val="center"/>
              <w:rPr>
                <w:rFonts w:eastAsia="SimSun"/>
                <w:b/>
                <w:bCs/>
                <w:sz w:val="20"/>
              </w:rPr>
            </w:pPr>
            <w:r w:rsidRPr="00380D3E">
              <w:rPr>
                <w:rFonts w:eastAsia="SimSun"/>
                <w:b/>
                <w:bCs/>
                <w:sz w:val="20"/>
              </w:rPr>
              <w:t>Patienter med hændelser</w:t>
            </w:r>
          </w:p>
        </w:tc>
        <w:tc>
          <w:tcPr>
            <w:tcW w:w="2744" w:type="pct"/>
            <w:gridSpan w:val="4"/>
            <w:tcBorders>
              <w:top w:val="single" w:sz="4" w:space="0" w:color="auto"/>
              <w:left w:val="single" w:sz="4" w:space="0" w:color="auto"/>
              <w:bottom w:val="single" w:sz="4" w:space="0" w:color="auto"/>
              <w:right w:val="single" w:sz="4" w:space="0" w:color="auto"/>
            </w:tcBorders>
            <w:vAlign w:val="center"/>
            <w:hideMark/>
          </w:tcPr>
          <w:p w14:paraId="19902A59" w14:textId="77777777" w:rsidR="00061CA5" w:rsidRPr="00380D3E" w:rsidRDefault="00061CA5">
            <w:pPr>
              <w:jc w:val="center"/>
              <w:rPr>
                <w:rFonts w:eastAsia="SimSun"/>
                <w:b/>
                <w:bCs/>
                <w:sz w:val="20"/>
              </w:rPr>
            </w:pPr>
            <w:r w:rsidRPr="00380D3E">
              <w:rPr>
                <w:rFonts w:eastAsia="SimSun"/>
                <w:b/>
                <w:bCs/>
                <w:sz w:val="20"/>
              </w:rPr>
              <w:t>Behandlingssammenligning:</w:t>
            </w:r>
          </w:p>
          <w:p w14:paraId="4AB54DD5" w14:textId="77777777" w:rsidR="00061CA5" w:rsidRPr="00380D3E" w:rsidRDefault="00061CA5">
            <w:pPr>
              <w:jc w:val="center"/>
              <w:rPr>
                <w:rFonts w:eastAsia="SimSun"/>
                <w:b/>
                <w:bCs/>
                <w:sz w:val="20"/>
              </w:rPr>
            </w:pPr>
            <w:proofErr w:type="spellStart"/>
            <w:r w:rsidRPr="00380D3E">
              <w:rPr>
                <w:rFonts w:eastAsia="SimSun"/>
                <w:b/>
                <w:bCs/>
                <w:sz w:val="20"/>
              </w:rPr>
              <w:t>macitentan</w:t>
            </w:r>
            <w:proofErr w:type="spellEnd"/>
            <w:r w:rsidRPr="00380D3E">
              <w:rPr>
                <w:rFonts w:eastAsia="SimSun"/>
                <w:b/>
                <w:bCs/>
                <w:sz w:val="20"/>
              </w:rPr>
              <w:t xml:space="preserve"> 10 mg vs. placebo</w:t>
            </w:r>
          </w:p>
        </w:tc>
      </w:tr>
      <w:tr w:rsidR="00061CA5" w:rsidRPr="00380D3E" w14:paraId="5D755F6C" w14:textId="77777777" w:rsidTr="00380D3E">
        <w:tc>
          <w:tcPr>
            <w:tcW w:w="838" w:type="pct"/>
            <w:vMerge/>
            <w:tcBorders>
              <w:top w:val="single" w:sz="4" w:space="0" w:color="auto"/>
              <w:left w:val="single" w:sz="4" w:space="0" w:color="auto"/>
              <w:bottom w:val="single" w:sz="4" w:space="0" w:color="auto"/>
              <w:right w:val="single" w:sz="4" w:space="0" w:color="auto"/>
            </w:tcBorders>
            <w:vAlign w:val="center"/>
            <w:hideMark/>
          </w:tcPr>
          <w:p w14:paraId="13031074" w14:textId="77777777" w:rsidR="00061CA5" w:rsidRPr="00380D3E" w:rsidRDefault="00061CA5">
            <w:pPr>
              <w:rPr>
                <w:rFonts w:eastAsia="SimSun"/>
                <w:b/>
                <w:bCs/>
                <w:sz w:val="20"/>
              </w:rPr>
            </w:pPr>
          </w:p>
        </w:tc>
        <w:tc>
          <w:tcPr>
            <w:tcW w:w="780" w:type="pct"/>
            <w:tcBorders>
              <w:top w:val="single" w:sz="4" w:space="0" w:color="auto"/>
              <w:left w:val="single" w:sz="4" w:space="0" w:color="auto"/>
              <w:bottom w:val="single" w:sz="4" w:space="0" w:color="auto"/>
              <w:right w:val="single" w:sz="4" w:space="0" w:color="auto"/>
            </w:tcBorders>
            <w:vAlign w:val="center"/>
            <w:hideMark/>
          </w:tcPr>
          <w:p w14:paraId="779AE41D" w14:textId="77777777" w:rsidR="00061CA5" w:rsidRPr="00380D3E" w:rsidRDefault="00061CA5">
            <w:pPr>
              <w:jc w:val="center"/>
              <w:rPr>
                <w:rFonts w:eastAsia="SimSun"/>
                <w:b/>
                <w:bCs/>
                <w:sz w:val="20"/>
              </w:rPr>
            </w:pPr>
            <w:r w:rsidRPr="00380D3E">
              <w:rPr>
                <w:rFonts w:eastAsia="SimSun"/>
                <w:b/>
                <w:bCs/>
                <w:sz w:val="20"/>
              </w:rPr>
              <w:t>Placebo</w:t>
            </w:r>
          </w:p>
          <w:p w14:paraId="0C2E32A9" w14:textId="77777777" w:rsidR="00061CA5" w:rsidRPr="00380D3E" w:rsidRDefault="00061CA5">
            <w:pPr>
              <w:jc w:val="center"/>
              <w:rPr>
                <w:rFonts w:eastAsia="SimSun"/>
                <w:b/>
                <w:bCs/>
                <w:sz w:val="20"/>
              </w:rPr>
            </w:pPr>
            <w:r w:rsidRPr="00380D3E">
              <w:rPr>
                <w:rFonts w:eastAsia="SimSun"/>
                <w:b/>
                <w:bCs/>
                <w:sz w:val="20"/>
              </w:rPr>
              <w:t>(N = 250)</w:t>
            </w:r>
          </w:p>
        </w:tc>
        <w:tc>
          <w:tcPr>
            <w:tcW w:w="638" w:type="pct"/>
            <w:tcBorders>
              <w:top w:val="single" w:sz="4" w:space="0" w:color="auto"/>
              <w:left w:val="single" w:sz="4" w:space="0" w:color="auto"/>
              <w:bottom w:val="single" w:sz="4" w:space="0" w:color="auto"/>
              <w:right w:val="single" w:sz="4" w:space="0" w:color="auto"/>
            </w:tcBorders>
            <w:vAlign w:val="center"/>
            <w:hideMark/>
          </w:tcPr>
          <w:p w14:paraId="635A3643" w14:textId="77777777" w:rsidR="00061CA5" w:rsidRPr="00380D3E" w:rsidRDefault="00061CA5">
            <w:pPr>
              <w:jc w:val="center"/>
              <w:rPr>
                <w:rFonts w:eastAsia="SimSun"/>
                <w:b/>
                <w:bCs/>
                <w:sz w:val="20"/>
              </w:rPr>
            </w:pPr>
            <w:proofErr w:type="spellStart"/>
            <w:r w:rsidRPr="00380D3E">
              <w:rPr>
                <w:rFonts w:eastAsia="SimSun"/>
                <w:b/>
                <w:bCs/>
                <w:sz w:val="20"/>
              </w:rPr>
              <w:t>Macitentan</w:t>
            </w:r>
            <w:proofErr w:type="spellEnd"/>
            <w:r w:rsidRPr="00380D3E">
              <w:rPr>
                <w:rFonts w:eastAsia="SimSun"/>
                <w:b/>
                <w:bCs/>
                <w:sz w:val="20"/>
              </w:rPr>
              <w:t xml:space="preserve"> 10 mg</w:t>
            </w:r>
          </w:p>
          <w:p w14:paraId="16E0A360" w14:textId="77777777" w:rsidR="00061CA5" w:rsidRPr="00380D3E" w:rsidRDefault="00061CA5">
            <w:pPr>
              <w:jc w:val="center"/>
              <w:rPr>
                <w:rFonts w:eastAsia="SimSun"/>
                <w:b/>
                <w:bCs/>
                <w:sz w:val="20"/>
              </w:rPr>
            </w:pPr>
            <w:r w:rsidRPr="00380D3E">
              <w:rPr>
                <w:rFonts w:eastAsia="SimSun"/>
                <w:b/>
                <w:bCs/>
                <w:sz w:val="20"/>
              </w:rPr>
              <w:t>(N = 242)</w:t>
            </w:r>
          </w:p>
        </w:tc>
        <w:tc>
          <w:tcPr>
            <w:tcW w:w="688" w:type="pct"/>
            <w:tcBorders>
              <w:top w:val="single" w:sz="4" w:space="0" w:color="auto"/>
              <w:left w:val="single" w:sz="4" w:space="0" w:color="auto"/>
              <w:bottom w:val="single" w:sz="4" w:space="0" w:color="auto"/>
              <w:right w:val="single" w:sz="4" w:space="0" w:color="auto"/>
            </w:tcBorders>
            <w:vAlign w:val="center"/>
            <w:hideMark/>
          </w:tcPr>
          <w:p w14:paraId="42E85717" w14:textId="77777777" w:rsidR="00061CA5" w:rsidRPr="00380D3E" w:rsidRDefault="00061CA5">
            <w:pPr>
              <w:jc w:val="center"/>
              <w:rPr>
                <w:rFonts w:eastAsia="SimSun"/>
                <w:b/>
                <w:bCs/>
                <w:sz w:val="20"/>
              </w:rPr>
            </w:pPr>
            <w:r w:rsidRPr="00380D3E">
              <w:rPr>
                <w:rFonts w:eastAsia="SimSun"/>
                <w:b/>
                <w:bCs/>
                <w:sz w:val="20"/>
              </w:rPr>
              <w:t>Absolut</w:t>
            </w:r>
          </w:p>
          <w:p w14:paraId="6661F68E" w14:textId="77777777" w:rsidR="00061CA5" w:rsidRPr="00380D3E" w:rsidRDefault="00061CA5">
            <w:pPr>
              <w:jc w:val="center"/>
              <w:rPr>
                <w:rFonts w:eastAsia="SimSun"/>
                <w:b/>
                <w:bCs/>
                <w:sz w:val="20"/>
              </w:rPr>
            </w:pPr>
            <w:r w:rsidRPr="00380D3E">
              <w:rPr>
                <w:rFonts w:eastAsia="SimSun"/>
                <w:b/>
                <w:bCs/>
                <w:sz w:val="20"/>
              </w:rPr>
              <w:t>risiko-reduktion</w:t>
            </w:r>
          </w:p>
        </w:tc>
        <w:tc>
          <w:tcPr>
            <w:tcW w:w="735" w:type="pct"/>
            <w:tcBorders>
              <w:top w:val="single" w:sz="4" w:space="0" w:color="auto"/>
              <w:left w:val="single" w:sz="4" w:space="0" w:color="auto"/>
              <w:bottom w:val="single" w:sz="4" w:space="0" w:color="auto"/>
              <w:right w:val="single" w:sz="4" w:space="0" w:color="auto"/>
            </w:tcBorders>
            <w:vAlign w:val="center"/>
            <w:hideMark/>
          </w:tcPr>
          <w:p w14:paraId="573C8053" w14:textId="77777777" w:rsidR="00061CA5" w:rsidRPr="00380D3E" w:rsidRDefault="00061CA5">
            <w:pPr>
              <w:jc w:val="center"/>
              <w:rPr>
                <w:rFonts w:eastAsia="SimSun"/>
                <w:b/>
                <w:bCs/>
                <w:sz w:val="20"/>
              </w:rPr>
            </w:pPr>
            <w:r w:rsidRPr="00380D3E">
              <w:rPr>
                <w:rFonts w:eastAsia="SimSun"/>
                <w:b/>
                <w:bCs/>
                <w:sz w:val="20"/>
              </w:rPr>
              <w:t>Relativ</w:t>
            </w:r>
          </w:p>
          <w:p w14:paraId="4713C8B8" w14:textId="77777777" w:rsidR="00061CA5" w:rsidRPr="00380D3E" w:rsidRDefault="00061CA5">
            <w:pPr>
              <w:jc w:val="center"/>
              <w:rPr>
                <w:rFonts w:eastAsia="SimSun"/>
                <w:b/>
                <w:bCs/>
                <w:sz w:val="20"/>
              </w:rPr>
            </w:pPr>
            <w:r w:rsidRPr="00380D3E">
              <w:rPr>
                <w:rFonts w:eastAsia="SimSun"/>
                <w:b/>
                <w:bCs/>
                <w:sz w:val="20"/>
              </w:rPr>
              <w:t>risikoreduktion</w:t>
            </w:r>
          </w:p>
          <w:p w14:paraId="5D080924" w14:textId="77777777" w:rsidR="00061CA5" w:rsidRPr="00380D3E" w:rsidRDefault="00061CA5">
            <w:pPr>
              <w:jc w:val="center"/>
              <w:rPr>
                <w:rFonts w:eastAsia="SimSun"/>
                <w:b/>
                <w:bCs/>
                <w:sz w:val="20"/>
              </w:rPr>
            </w:pPr>
            <w:r w:rsidRPr="00380D3E">
              <w:rPr>
                <w:rFonts w:eastAsia="SimSun"/>
                <w:b/>
                <w:bCs/>
                <w:sz w:val="20"/>
              </w:rPr>
              <w:t>(97,5 % CI)</w:t>
            </w:r>
          </w:p>
        </w:tc>
        <w:tc>
          <w:tcPr>
            <w:tcW w:w="692" w:type="pct"/>
            <w:tcBorders>
              <w:top w:val="single" w:sz="4" w:space="0" w:color="auto"/>
              <w:left w:val="single" w:sz="4" w:space="0" w:color="auto"/>
              <w:bottom w:val="single" w:sz="4" w:space="0" w:color="auto"/>
              <w:right w:val="single" w:sz="4" w:space="0" w:color="auto"/>
            </w:tcBorders>
            <w:vAlign w:val="center"/>
            <w:hideMark/>
          </w:tcPr>
          <w:p w14:paraId="1853A32A" w14:textId="77777777" w:rsidR="00061CA5" w:rsidRPr="00380D3E" w:rsidRDefault="00061CA5">
            <w:pPr>
              <w:jc w:val="center"/>
              <w:rPr>
                <w:rFonts w:eastAsia="SimSun"/>
                <w:b/>
                <w:bCs/>
                <w:sz w:val="20"/>
              </w:rPr>
            </w:pPr>
            <w:proofErr w:type="spellStart"/>
            <w:r w:rsidRPr="00380D3E">
              <w:rPr>
                <w:rFonts w:eastAsia="SimSun"/>
                <w:b/>
                <w:bCs/>
                <w:sz w:val="20"/>
              </w:rPr>
              <w:t>HR</w:t>
            </w:r>
            <w:r w:rsidRPr="00380D3E">
              <w:rPr>
                <w:rFonts w:eastAsia="SimSun"/>
                <w:b/>
                <w:bCs/>
                <w:sz w:val="20"/>
                <w:vertAlign w:val="superscript"/>
              </w:rPr>
              <w:t>a</w:t>
            </w:r>
            <w:proofErr w:type="spellEnd"/>
          </w:p>
          <w:p w14:paraId="5BA74A1D" w14:textId="77777777" w:rsidR="00061CA5" w:rsidRPr="00380D3E" w:rsidRDefault="00061CA5">
            <w:pPr>
              <w:jc w:val="center"/>
              <w:rPr>
                <w:rFonts w:eastAsia="SimSun"/>
                <w:b/>
                <w:bCs/>
                <w:sz w:val="20"/>
              </w:rPr>
            </w:pPr>
            <w:r w:rsidRPr="00380D3E">
              <w:rPr>
                <w:rFonts w:eastAsia="SimSun"/>
                <w:b/>
                <w:bCs/>
                <w:sz w:val="20"/>
              </w:rPr>
              <w:t>(97,5 %</w:t>
            </w:r>
          </w:p>
          <w:p w14:paraId="3BD31BCB" w14:textId="77777777" w:rsidR="00061CA5" w:rsidRPr="00380D3E" w:rsidRDefault="00061CA5">
            <w:pPr>
              <w:jc w:val="center"/>
              <w:rPr>
                <w:rFonts w:eastAsia="SimSun"/>
                <w:b/>
                <w:bCs/>
                <w:sz w:val="20"/>
              </w:rPr>
            </w:pPr>
            <w:r w:rsidRPr="00380D3E">
              <w:rPr>
                <w:rFonts w:eastAsia="SimSun"/>
                <w:b/>
                <w:bCs/>
                <w:sz w:val="20"/>
              </w:rPr>
              <w:t>CI)</w:t>
            </w:r>
          </w:p>
        </w:tc>
        <w:tc>
          <w:tcPr>
            <w:tcW w:w="628" w:type="pct"/>
            <w:tcBorders>
              <w:top w:val="single" w:sz="4" w:space="0" w:color="auto"/>
              <w:left w:val="single" w:sz="4" w:space="0" w:color="auto"/>
              <w:bottom w:val="single" w:sz="4" w:space="0" w:color="auto"/>
              <w:right w:val="single" w:sz="4" w:space="0" w:color="auto"/>
            </w:tcBorders>
            <w:vAlign w:val="center"/>
            <w:hideMark/>
          </w:tcPr>
          <w:p w14:paraId="2CDE0BBF" w14:textId="77777777" w:rsidR="00061CA5" w:rsidRPr="00380D3E" w:rsidRDefault="00061CA5">
            <w:pPr>
              <w:jc w:val="center"/>
              <w:rPr>
                <w:rFonts w:eastAsia="SimSun"/>
                <w:b/>
                <w:bCs/>
                <w:sz w:val="20"/>
              </w:rPr>
            </w:pPr>
            <w:proofErr w:type="spellStart"/>
            <w:r w:rsidRPr="00380D3E">
              <w:rPr>
                <w:rFonts w:eastAsia="SimSun"/>
                <w:b/>
                <w:bCs/>
                <w:sz w:val="20"/>
              </w:rPr>
              <w:t>Logrankp</w:t>
            </w:r>
            <w:proofErr w:type="spellEnd"/>
            <w:r w:rsidRPr="00380D3E">
              <w:rPr>
                <w:rFonts w:eastAsia="SimSun"/>
                <w:b/>
                <w:bCs/>
                <w:sz w:val="20"/>
              </w:rPr>
              <w:t>-værdi</w:t>
            </w:r>
          </w:p>
        </w:tc>
      </w:tr>
      <w:tr w:rsidR="00061CA5" w:rsidRPr="00380D3E" w14:paraId="02E87342" w14:textId="77777777" w:rsidTr="00380D3E">
        <w:trPr>
          <w:trHeight w:val="769"/>
        </w:trPr>
        <w:tc>
          <w:tcPr>
            <w:tcW w:w="838" w:type="pct"/>
            <w:tcBorders>
              <w:top w:val="single" w:sz="4" w:space="0" w:color="auto"/>
              <w:left w:val="single" w:sz="4" w:space="0" w:color="auto"/>
              <w:bottom w:val="single" w:sz="4" w:space="0" w:color="auto"/>
              <w:right w:val="single" w:sz="4" w:space="0" w:color="auto"/>
            </w:tcBorders>
            <w:vAlign w:val="center"/>
            <w:hideMark/>
          </w:tcPr>
          <w:p w14:paraId="7ADAA58C" w14:textId="77777777" w:rsidR="00061CA5" w:rsidRPr="00380D3E" w:rsidRDefault="00061CA5">
            <w:pPr>
              <w:jc w:val="center"/>
              <w:rPr>
                <w:rFonts w:eastAsia="SimSun"/>
                <w:sz w:val="20"/>
              </w:rPr>
            </w:pPr>
            <w:proofErr w:type="spellStart"/>
            <w:r w:rsidRPr="00380D3E">
              <w:rPr>
                <w:rFonts w:eastAsia="SimSun"/>
                <w:b/>
                <w:bCs/>
                <w:sz w:val="20"/>
              </w:rPr>
              <w:t>Morbiditetsmortalitetshændelse</w:t>
            </w:r>
            <w:r w:rsidRPr="00380D3E">
              <w:rPr>
                <w:rFonts w:eastAsia="SimSun"/>
                <w:b/>
                <w:bCs/>
                <w:sz w:val="20"/>
                <w:vertAlign w:val="superscript"/>
              </w:rPr>
              <w:t>b</w:t>
            </w:r>
            <w:proofErr w:type="spellEnd"/>
          </w:p>
        </w:tc>
        <w:tc>
          <w:tcPr>
            <w:tcW w:w="780" w:type="pct"/>
            <w:tcBorders>
              <w:top w:val="single" w:sz="4" w:space="0" w:color="auto"/>
              <w:left w:val="single" w:sz="4" w:space="0" w:color="auto"/>
              <w:bottom w:val="single" w:sz="4" w:space="0" w:color="auto"/>
              <w:right w:val="single" w:sz="4" w:space="0" w:color="auto"/>
            </w:tcBorders>
            <w:vAlign w:val="center"/>
            <w:hideMark/>
          </w:tcPr>
          <w:p w14:paraId="310DDA9B" w14:textId="77777777" w:rsidR="00061CA5" w:rsidRPr="00380D3E" w:rsidRDefault="00061CA5">
            <w:pPr>
              <w:jc w:val="center"/>
              <w:rPr>
                <w:rFonts w:eastAsia="SimSun"/>
                <w:sz w:val="20"/>
              </w:rPr>
            </w:pPr>
            <w:r w:rsidRPr="00380D3E">
              <w:rPr>
                <w:rFonts w:eastAsia="SimSun"/>
                <w:sz w:val="20"/>
              </w:rPr>
              <w:t>53 %</w:t>
            </w:r>
          </w:p>
        </w:tc>
        <w:tc>
          <w:tcPr>
            <w:tcW w:w="638" w:type="pct"/>
            <w:tcBorders>
              <w:top w:val="single" w:sz="4" w:space="0" w:color="auto"/>
              <w:left w:val="single" w:sz="4" w:space="0" w:color="auto"/>
              <w:bottom w:val="single" w:sz="4" w:space="0" w:color="auto"/>
              <w:right w:val="single" w:sz="4" w:space="0" w:color="auto"/>
            </w:tcBorders>
            <w:vAlign w:val="center"/>
            <w:hideMark/>
          </w:tcPr>
          <w:p w14:paraId="7B8831C4" w14:textId="77777777" w:rsidR="00061CA5" w:rsidRPr="00380D3E" w:rsidRDefault="00061CA5">
            <w:pPr>
              <w:jc w:val="center"/>
              <w:rPr>
                <w:rFonts w:eastAsia="SimSun"/>
                <w:sz w:val="20"/>
              </w:rPr>
            </w:pPr>
            <w:r w:rsidRPr="00380D3E">
              <w:rPr>
                <w:rFonts w:eastAsia="SimSun"/>
                <w:sz w:val="20"/>
              </w:rPr>
              <w:t>37 %</w:t>
            </w:r>
          </w:p>
        </w:tc>
        <w:tc>
          <w:tcPr>
            <w:tcW w:w="688" w:type="pct"/>
            <w:tcBorders>
              <w:top w:val="single" w:sz="4" w:space="0" w:color="auto"/>
              <w:left w:val="single" w:sz="4" w:space="0" w:color="auto"/>
              <w:bottom w:val="single" w:sz="4" w:space="0" w:color="auto"/>
              <w:right w:val="single" w:sz="4" w:space="0" w:color="auto"/>
            </w:tcBorders>
            <w:vAlign w:val="center"/>
            <w:hideMark/>
          </w:tcPr>
          <w:p w14:paraId="32EA14A8" w14:textId="77777777" w:rsidR="00061CA5" w:rsidRPr="00380D3E" w:rsidRDefault="00061CA5">
            <w:pPr>
              <w:jc w:val="center"/>
              <w:rPr>
                <w:rFonts w:eastAsia="SimSun"/>
                <w:sz w:val="20"/>
              </w:rPr>
            </w:pPr>
            <w:r w:rsidRPr="00380D3E">
              <w:rPr>
                <w:rFonts w:eastAsia="SimSun"/>
                <w:sz w:val="20"/>
              </w:rPr>
              <w:t>16 %</w:t>
            </w:r>
          </w:p>
        </w:tc>
        <w:tc>
          <w:tcPr>
            <w:tcW w:w="735" w:type="pct"/>
            <w:tcBorders>
              <w:top w:val="single" w:sz="4" w:space="0" w:color="auto"/>
              <w:left w:val="single" w:sz="4" w:space="0" w:color="auto"/>
              <w:bottom w:val="single" w:sz="4" w:space="0" w:color="auto"/>
              <w:right w:val="single" w:sz="4" w:space="0" w:color="auto"/>
            </w:tcBorders>
            <w:vAlign w:val="center"/>
            <w:hideMark/>
          </w:tcPr>
          <w:p w14:paraId="59272C99" w14:textId="77777777" w:rsidR="00061CA5" w:rsidRPr="00380D3E" w:rsidRDefault="00061CA5">
            <w:pPr>
              <w:jc w:val="center"/>
              <w:rPr>
                <w:rFonts w:eastAsia="SimSun"/>
                <w:sz w:val="20"/>
              </w:rPr>
            </w:pPr>
            <w:r w:rsidRPr="00380D3E">
              <w:rPr>
                <w:rFonts w:eastAsia="SimSun"/>
                <w:sz w:val="20"/>
              </w:rPr>
              <w:t>45 %</w:t>
            </w:r>
          </w:p>
          <w:p w14:paraId="4EE6D2EE" w14:textId="77777777" w:rsidR="00061CA5" w:rsidRPr="00380D3E" w:rsidRDefault="00061CA5">
            <w:pPr>
              <w:jc w:val="center"/>
              <w:rPr>
                <w:rFonts w:eastAsia="SimSun"/>
                <w:sz w:val="20"/>
              </w:rPr>
            </w:pPr>
            <w:r w:rsidRPr="00380D3E">
              <w:rPr>
                <w:rFonts w:eastAsia="SimSun"/>
                <w:sz w:val="20"/>
              </w:rPr>
              <w:t>(24 %;61 %)</w:t>
            </w:r>
          </w:p>
        </w:tc>
        <w:tc>
          <w:tcPr>
            <w:tcW w:w="692" w:type="pct"/>
            <w:tcBorders>
              <w:top w:val="single" w:sz="4" w:space="0" w:color="auto"/>
              <w:left w:val="single" w:sz="4" w:space="0" w:color="auto"/>
              <w:bottom w:val="single" w:sz="4" w:space="0" w:color="auto"/>
              <w:right w:val="single" w:sz="4" w:space="0" w:color="auto"/>
            </w:tcBorders>
            <w:vAlign w:val="center"/>
            <w:hideMark/>
          </w:tcPr>
          <w:p w14:paraId="0836DD24" w14:textId="77777777" w:rsidR="00061CA5" w:rsidRPr="00380D3E" w:rsidRDefault="00061CA5">
            <w:pPr>
              <w:jc w:val="center"/>
              <w:rPr>
                <w:rFonts w:eastAsia="SimSun"/>
                <w:sz w:val="20"/>
              </w:rPr>
            </w:pPr>
            <w:r w:rsidRPr="00380D3E">
              <w:rPr>
                <w:rFonts w:eastAsia="SimSun"/>
                <w:sz w:val="20"/>
              </w:rPr>
              <w:t>0,55</w:t>
            </w:r>
          </w:p>
          <w:p w14:paraId="3BCE580A" w14:textId="77777777" w:rsidR="00061CA5" w:rsidRPr="00380D3E" w:rsidRDefault="00061CA5">
            <w:pPr>
              <w:jc w:val="center"/>
              <w:rPr>
                <w:rFonts w:eastAsia="SimSun"/>
                <w:sz w:val="20"/>
              </w:rPr>
            </w:pPr>
            <w:r w:rsidRPr="00380D3E">
              <w:rPr>
                <w:rFonts w:eastAsia="SimSun"/>
                <w:sz w:val="20"/>
              </w:rPr>
              <w:t>(0,39; 0,76)</w:t>
            </w:r>
          </w:p>
        </w:tc>
        <w:tc>
          <w:tcPr>
            <w:tcW w:w="628" w:type="pct"/>
            <w:tcBorders>
              <w:top w:val="single" w:sz="4" w:space="0" w:color="auto"/>
              <w:left w:val="single" w:sz="4" w:space="0" w:color="auto"/>
              <w:bottom w:val="single" w:sz="4" w:space="0" w:color="auto"/>
              <w:right w:val="single" w:sz="4" w:space="0" w:color="auto"/>
            </w:tcBorders>
            <w:vAlign w:val="center"/>
            <w:hideMark/>
          </w:tcPr>
          <w:p w14:paraId="761446AE" w14:textId="77777777" w:rsidR="00061CA5" w:rsidRPr="00380D3E" w:rsidRDefault="00061CA5">
            <w:pPr>
              <w:jc w:val="center"/>
              <w:rPr>
                <w:rFonts w:eastAsia="SimSun"/>
                <w:sz w:val="20"/>
              </w:rPr>
            </w:pPr>
            <w:r w:rsidRPr="00380D3E">
              <w:rPr>
                <w:rFonts w:eastAsia="SimSun"/>
                <w:sz w:val="20"/>
              </w:rPr>
              <w:t>&lt; 0,0001</w:t>
            </w:r>
          </w:p>
        </w:tc>
      </w:tr>
      <w:tr w:rsidR="00061CA5" w:rsidRPr="00380D3E" w14:paraId="5287C2A7" w14:textId="77777777" w:rsidTr="00380D3E">
        <w:trPr>
          <w:trHeight w:val="706"/>
        </w:trPr>
        <w:tc>
          <w:tcPr>
            <w:tcW w:w="838" w:type="pct"/>
            <w:tcBorders>
              <w:top w:val="single" w:sz="4" w:space="0" w:color="auto"/>
              <w:left w:val="single" w:sz="4" w:space="0" w:color="auto"/>
              <w:bottom w:val="single" w:sz="4" w:space="0" w:color="auto"/>
              <w:right w:val="single" w:sz="4" w:space="0" w:color="auto"/>
            </w:tcBorders>
            <w:vAlign w:val="center"/>
            <w:hideMark/>
          </w:tcPr>
          <w:p w14:paraId="2A9A49C6" w14:textId="77777777" w:rsidR="00061CA5" w:rsidRPr="00380D3E" w:rsidRDefault="00061CA5">
            <w:pPr>
              <w:jc w:val="center"/>
              <w:rPr>
                <w:rFonts w:eastAsia="SimSun"/>
                <w:b/>
                <w:bCs/>
                <w:sz w:val="20"/>
              </w:rPr>
            </w:pPr>
            <w:proofErr w:type="spellStart"/>
            <w:r w:rsidRPr="00380D3E">
              <w:rPr>
                <w:rFonts w:eastAsia="SimSun"/>
                <w:b/>
                <w:bCs/>
                <w:sz w:val="20"/>
              </w:rPr>
              <w:t>Dødsfald</w:t>
            </w:r>
            <w:r w:rsidRPr="00380D3E">
              <w:rPr>
                <w:rFonts w:eastAsia="SimSun"/>
                <w:b/>
                <w:bCs/>
                <w:sz w:val="20"/>
                <w:vertAlign w:val="superscript"/>
              </w:rPr>
              <w:t>c</w:t>
            </w:r>
            <w:proofErr w:type="spellEnd"/>
          </w:p>
          <w:p w14:paraId="7C0CFD81" w14:textId="77777777" w:rsidR="00061CA5" w:rsidRPr="00380D3E" w:rsidRDefault="00061CA5">
            <w:pPr>
              <w:jc w:val="center"/>
              <w:rPr>
                <w:rFonts w:eastAsia="SimSun"/>
                <w:sz w:val="20"/>
              </w:rPr>
            </w:pPr>
            <w:r w:rsidRPr="00380D3E">
              <w:rPr>
                <w:rFonts w:eastAsia="SimSun"/>
                <w:b/>
                <w:bCs/>
                <w:sz w:val="20"/>
              </w:rPr>
              <w:t>n (%)</w:t>
            </w:r>
          </w:p>
        </w:tc>
        <w:tc>
          <w:tcPr>
            <w:tcW w:w="780" w:type="pct"/>
            <w:tcBorders>
              <w:top w:val="single" w:sz="4" w:space="0" w:color="auto"/>
              <w:left w:val="single" w:sz="4" w:space="0" w:color="auto"/>
              <w:bottom w:val="single" w:sz="4" w:space="0" w:color="auto"/>
              <w:right w:val="single" w:sz="4" w:space="0" w:color="auto"/>
            </w:tcBorders>
            <w:vAlign w:val="center"/>
            <w:hideMark/>
          </w:tcPr>
          <w:p w14:paraId="19664722" w14:textId="77777777" w:rsidR="00061CA5" w:rsidRPr="00380D3E" w:rsidRDefault="00061CA5">
            <w:pPr>
              <w:jc w:val="center"/>
              <w:rPr>
                <w:rFonts w:eastAsia="SimSun"/>
                <w:sz w:val="20"/>
              </w:rPr>
            </w:pPr>
            <w:r w:rsidRPr="00380D3E">
              <w:rPr>
                <w:rFonts w:eastAsia="SimSun"/>
                <w:sz w:val="20"/>
              </w:rPr>
              <w:t>19 (7,6 %)</w:t>
            </w:r>
          </w:p>
        </w:tc>
        <w:tc>
          <w:tcPr>
            <w:tcW w:w="638" w:type="pct"/>
            <w:tcBorders>
              <w:top w:val="single" w:sz="4" w:space="0" w:color="auto"/>
              <w:left w:val="single" w:sz="4" w:space="0" w:color="auto"/>
              <w:bottom w:val="single" w:sz="4" w:space="0" w:color="auto"/>
              <w:right w:val="single" w:sz="4" w:space="0" w:color="auto"/>
            </w:tcBorders>
            <w:vAlign w:val="center"/>
            <w:hideMark/>
          </w:tcPr>
          <w:p w14:paraId="03C3B434" w14:textId="77777777" w:rsidR="00061CA5" w:rsidRPr="00380D3E" w:rsidRDefault="00061CA5">
            <w:pPr>
              <w:jc w:val="center"/>
              <w:rPr>
                <w:rFonts w:eastAsia="SimSun"/>
                <w:sz w:val="20"/>
              </w:rPr>
            </w:pPr>
            <w:r w:rsidRPr="00380D3E">
              <w:rPr>
                <w:rFonts w:eastAsia="SimSun"/>
                <w:sz w:val="20"/>
              </w:rPr>
              <w:t>14 (5,8 %)</w:t>
            </w:r>
          </w:p>
        </w:tc>
        <w:tc>
          <w:tcPr>
            <w:tcW w:w="688" w:type="pct"/>
            <w:tcBorders>
              <w:top w:val="single" w:sz="4" w:space="0" w:color="auto"/>
              <w:left w:val="single" w:sz="4" w:space="0" w:color="auto"/>
              <w:bottom w:val="single" w:sz="4" w:space="0" w:color="auto"/>
              <w:right w:val="single" w:sz="4" w:space="0" w:color="auto"/>
            </w:tcBorders>
            <w:vAlign w:val="center"/>
            <w:hideMark/>
          </w:tcPr>
          <w:p w14:paraId="05E4E1FF" w14:textId="77777777" w:rsidR="00061CA5" w:rsidRPr="00380D3E" w:rsidRDefault="00061CA5">
            <w:pPr>
              <w:jc w:val="center"/>
              <w:rPr>
                <w:rFonts w:eastAsia="SimSun"/>
                <w:sz w:val="20"/>
              </w:rPr>
            </w:pPr>
            <w:r w:rsidRPr="00380D3E">
              <w:rPr>
                <w:rFonts w:eastAsia="SimSun"/>
                <w:sz w:val="20"/>
              </w:rPr>
              <w:t>2 %</w:t>
            </w:r>
          </w:p>
        </w:tc>
        <w:tc>
          <w:tcPr>
            <w:tcW w:w="735" w:type="pct"/>
            <w:tcBorders>
              <w:top w:val="single" w:sz="4" w:space="0" w:color="auto"/>
              <w:left w:val="single" w:sz="4" w:space="0" w:color="auto"/>
              <w:bottom w:val="single" w:sz="4" w:space="0" w:color="auto"/>
              <w:right w:val="single" w:sz="4" w:space="0" w:color="auto"/>
            </w:tcBorders>
            <w:vAlign w:val="center"/>
            <w:hideMark/>
          </w:tcPr>
          <w:p w14:paraId="38BEA278" w14:textId="77777777" w:rsidR="00061CA5" w:rsidRPr="00380D3E" w:rsidRDefault="00061CA5">
            <w:pPr>
              <w:jc w:val="center"/>
              <w:rPr>
                <w:rFonts w:eastAsia="SimSun"/>
                <w:sz w:val="20"/>
              </w:rPr>
            </w:pPr>
            <w:r w:rsidRPr="00380D3E">
              <w:rPr>
                <w:rFonts w:eastAsia="SimSun"/>
                <w:sz w:val="20"/>
              </w:rPr>
              <w:t>36 %</w:t>
            </w:r>
          </w:p>
          <w:p w14:paraId="046B9D3B" w14:textId="77777777" w:rsidR="00061CA5" w:rsidRPr="00380D3E" w:rsidRDefault="00061CA5">
            <w:pPr>
              <w:jc w:val="center"/>
              <w:rPr>
                <w:rFonts w:eastAsia="SimSun"/>
                <w:sz w:val="20"/>
              </w:rPr>
            </w:pPr>
            <w:r w:rsidRPr="00380D3E">
              <w:rPr>
                <w:rFonts w:eastAsia="SimSun"/>
                <w:sz w:val="20"/>
              </w:rPr>
              <w:t>(−42 %; 71 %)</w:t>
            </w:r>
          </w:p>
        </w:tc>
        <w:tc>
          <w:tcPr>
            <w:tcW w:w="692" w:type="pct"/>
            <w:tcBorders>
              <w:top w:val="single" w:sz="4" w:space="0" w:color="auto"/>
              <w:left w:val="single" w:sz="4" w:space="0" w:color="auto"/>
              <w:bottom w:val="single" w:sz="4" w:space="0" w:color="auto"/>
              <w:right w:val="single" w:sz="4" w:space="0" w:color="auto"/>
            </w:tcBorders>
            <w:vAlign w:val="center"/>
            <w:hideMark/>
          </w:tcPr>
          <w:p w14:paraId="2F7B866C" w14:textId="77777777" w:rsidR="00061CA5" w:rsidRPr="00380D3E" w:rsidRDefault="00061CA5">
            <w:pPr>
              <w:jc w:val="center"/>
              <w:rPr>
                <w:rFonts w:eastAsia="SimSun"/>
                <w:sz w:val="20"/>
              </w:rPr>
            </w:pPr>
            <w:r w:rsidRPr="00380D3E">
              <w:rPr>
                <w:rFonts w:eastAsia="SimSun"/>
                <w:sz w:val="20"/>
              </w:rPr>
              <w:t>0,64</w:t>
            </w:r>
          </w:p>
          <w:p w14:paraId="30E0BA99" w14:textId="77777777" w:rsidR="00061CA5" w:rsidRPr="00380D3E" w:rsidRDefault="00061CA5">
            <w:pPr>
              <w:jc w:val="center"/>
              <w:rPr>
                <w:rFonts w:eastAsia="SimSun"/>
                <w:sz w:val="20"/>
              </w:rPr>
            </w:pPr>
            <w:r w:rsidRPr="00380D3E">
              <w:rPr>
                <w:rFonts w:eastAsia="SimSun"/>
                <w:sz w:val="20"/>
              </w:rPr>
              <w:t>(0,29; 1,42)</w:t>
            </w:r>
          </w:p>
        </w:tc>
        <w:tc>
          <w:tcPr>
            <w:tcW w:w="628" w:type="pct"/>
            <w:tcBorders>
              <w:top w:val="single" w:sz="4" w:space="0" w:color="auto"/>
              <w:left w:val="single" w:sz="4" w:space="0" w:color="auto"/>
              <w:bottom w:val="single" w:sz="4" w:space="0" w:color="auto"/>
              <w:right w:val="single" w:sz="4" w:space="0" w:color="auto"/>
            </w:tcBorders>
            <w:vAlign w:val="center"/>
            <w:hideMark/>
          </w:tcPr>
          <w:p w14:paraId="38633F7F" w14:textId="77777777" w:rsidR="00061CA5" w:rsidRPr="00380D3E" w:rsidRDefault="00061CA5">
            <w:pPr>
              <w:jc w:val="center"/>
              <w:rPr>
                <w:rFonts w:eastAsia="SimSun"/>
                <w:sz w:val="20"/>
              </w:rPr>
            </w:pPr>
            <w:r w:rsidRPr="00380D3E">
              <w:rPr>
                <w:rFonts w:eastAsia="SimSun"/>
                <w:sz w:val="20"/>
              </w:rPr>
              <w:t>0, 20</w:t>
            </w:r>
          </w:p>
        </w:tc>
      </w:tr>
      <w:tr w:rsidR="00061CA5" w:rsidRPr="00380D3E" w14:paraId="5768A0A6" w14:textId="77777777" w:rsidTr="00380D3E">
        <w:tc>
          <w:tcPr>
            <w:tcW w:w="838" w:type="pct"/>
            <w:tcBorders>
              <w:top w:val="single" w:sz="4" w:space="0" w:color="auto"/>
              <w:left w:val="single" w:sz="4" w:space="0" w:color="auto"/>
              <w:bottom w:val="single" w:sz="4" w:space="0" w:color="auto"/>
              <w:right w:val="single" w:sz="4" w:space="0" w:color="auto"/>
            </w:tcBorders>
            <w:vAlign w:val="center"/>
            <w:hideMark/>
          </w:tcPr>
          <w:p w14:paraId="3D436080" w14:textId="77777777" w:rsidR="00061CA5" w:rsidRPr="00380D3E" w:rsidRDefault="00061CA5">
            <w:pPr>
              <w:jc w:val="center"/>
              <w:rPr>
                <w:rFonts w:eastAsia="SimSun"/>
                <w:b/>
                <w:bCs/>
                <w:sz w:val="20"/>
              </w:rPr>
            </w:pPr>
            <w:r w:rsidRPr="00380D3E">
              <w:rPr>
                <w:rFonts w:eastAsia="SimSun"/>
                <w:b/>
                <w:bCs/>
                <w:sz w:val="20"/>
              </w:rPr>
              <w:t>Forværring</w:t>
            </w:r>
          </w:p>
          <w:p w14:paraId="5CD9F48D" w14:textId="77777777" w:rsidR="00061CA5" w:rsidRPr="00380D3E" w:rsidRDefault="00061CA5">
            <w:pPr>
              <w:jc w:val="center"/>
              <w:rPr>
                <w:rFonts w:eastAsia="SimSun"/>
                <w:b/>
                <w:bCs/>
                <w:sz w:val="20"/>
              </w:rPr>
            </w:pPr>
            <w:r w:rsidRPr="00380D3E">
              <w:rPr>
                <w:rFonts w:eastAsia="SimSun"/>
                <w:b/>
                <w:bCs/>
                <w:sz w:val="20"/>
              </w:rPr>
              <w:t>af PAH</w:t>
            </w:r>
          </w:p>
          <w:p w14:paraId="3087AE33" w14:textId="77777777" w:rsidR="00061CA5" w:rsidRPr="00380D3E" w:rsidRDefault="00061CA5">
            <w:pPr>
              <w:jc w:val="center"/>
              <w:rPr>
                <w:rFonts w:eastAsia="SimSun"/>
                <w:sz w:val="20"/>
              </w:rPr>
            </w:pPr>
            <w:r w:rsidRPr="00380D3E">
              <w:rPr>
                <w:rFonts w:eastAsia="SimSun"/>
                <w:b/>
                <w:bCs/>
                <w:sz w:val="20"/>
              </w:rPr>
              <w:t>n (%)</w:t>
            </w:r>
          </w:p>
        </w:tc>
        <w:tc>
          <w:tcPr>
            <w:tcW w:w="780" w:type="pct"/>
            <w:tcBorders>
              <w:top w:val="single" w:sz="4" w:space="0" w:color="auto"/>
              <w:left w:val="single" w:sz="4" w:space="0" w:color="auto"/>
              <w:bottom w:val="single" w:sz="4" w:space="0" w:color="auto"/>
              <w:right w:val="single" w:sz="4" w:space="0" w:color="auto"/>
            </w:tcBorders>
            <w:vAlign w:val="center"/>
            <w:hideMark/>
          </w:tcPr>
          <w:p w14:paraId="6032A05C" w14:textId="77777777" w:rsidR="00061CA5" w:rsidRPr="00380D3E" w:rsidRDefault="00061CA5">
            <w:pPr>
              <w:jc w:val="center"/>
              <w:rPr>
                <w:rFonts w:eastAsia="SimSun"/>
                <w:sz w:val="20"/>
              </w:rPr>
            </w:pPr>
            <w:r w:rsidRPr="00380D3E">
              <w:rPr>
                <w:rFonts w:eastAsia="SimSun"/>
                <w:sz w:val="20"/>
              </w:rPr>
              <w:t>93 (37,2 %)</w:t>
            </w:r>
          </w:p>
        </w:tc>
        <w:tc>
          <w:tcPr>
            <w:tcW w:w="638" w:type="pct"/>
            <w:tcBorders>
              <w:top w:val="single" w:sz="4" w:space="0" w:color="auto"/>
              <w:left w:val="single" w:sz="4" w:space="0" w:color="auto"/>
              <w:bottom w:val="single" w:sz="4" w:space="0" w:color="auto"/>
              <w:right w:val="single" w:sz="4" w:space="0" w:color="auto"/>
            </w:tcBorders>
            <w:vAlign w:val="center"/>
            <w:hideMark/>
          </w:tcPr>
          <w:p w14:paraId="113ECE5A" w14:textId="77777777" w:rsidR="00061CA5" w:rsidRPr="00380D3E" w:rsidRDefault="00061CA5">
            <w:pPr>
              <w:jc w:val="center"/>
              <w:rPr>
                <w:rFonts w:eastAsia="SimSun"/>
                <w:sz w:val="20"/>
              </w:rPr>
            </w:pPr>
            <w:r w:rsidRPr="00380D3E">
              <w:rPr>
                <w:rFonts w:eastAsia="SimSun"/>
                <w:sz w:val="20"/>
              </w:rPr>
              <w:t>59 (24,4 %)</w:t>
            </w:r>
          </w:p>
        </w:tc>
        <w:tc>
          <w:tcPr>
            <w:tcW w:w="688" w:type="pct"/>
            <w:tcBorders>
              <w:top w:val="single" w:sz="4" w:space="0" w:color="auto"/>
              <w:left w:val="single" w:sz="4" w:space="0" w:color="auto"/>
              <w:bottom w:val="single" w:sz="4" w:space="0" w:color="auto"/>
              <w:right w:val="single" w:sz="4" w:space="0" w:color="auto"/>
            </w:tcBorders>
            <w:vAlign w:val="center"/>
            <w:hideMark/>
          </w:tcPr>
          <w:p w14:paraId="317F1FDF" w14:textId="77777777" w:rsidR="00061CA5" w:rsidRPr="00380D3E" w:rsidRDefault="00061CA5">
            <w:pPr>
              <w:jc w:val="center"/>
              <w:rPr>
                <w:rFonts w:eastAsia="SimSun"/>
                <w:sz w:val="20"/>
              </w:rPr>
            </w:pPr>
            <w:r w:rsidRPr="00380D3E">
              <w:rPr>
                <w:rFonts w:eastAsia="SimSun"/>
                <w:sz w:val="20"/>
              </w:rPr>
              <w:t>13 %</w:t>
            </w:r>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14:paraId="74F68B4B" w14:textId="77777777" w:rsidR="00061CA5" w:rsidRPr="00380D3E" w:rsidRDefault="00061CA5">
            <w:pPr>
              <w:jc w:val="center"/>
              <w:rPr>
                <w:rFonts w:eastAsia="SimSun"/>
                <w:sz w:val="20"/>
              </w:rPr>
            </w:pPr>
            <w:r w:rsidRPr="00380D3E">
              <w:rPr>
                <w:rFonts w:eastAsia="SimSun"/>
                <w:sz w:val="20"/>
              </w:rPr>
              <w:t>49 %</w:t>
            </w:r>
          </w:p>
          <w:p w14:paraId="314AC1EB" w14:textId="77777777" w:rsidR="00061CA5" w:rsidRPr="00380D3E" w:rsidRDefault="00061CA5">
            <w:pPr>
              <w:jc w:val="center"/>
              <w:rPr>
                <w:rFonts w:eastAsia="SimSun"/>
                <w:sz w:val="20"/>
              </w:rPr>
            </w:pPr>
            <w:r w:rsidRPr="00380D3E">
              <w:rPr>
                <w:rFonts w:eastAsia="SimSun"/>
                <w:sz w:val="20"/>
              </w:rPr>
              <w:t>(27 %; 65 %)</w:t>
            </w:r>
          </w:p>
        </w:tc>
        <w:tc>
          <w:tcPr>
            <w:tcW w:w="692" w:type="pct"/>
            <w:vMerge w:val="restart"/>
            <w:tcBorders>
              <w:top w:val="single" w:sz="4" w:space="0" w:color="auto"/>
              <w:left w:val="single" w:sz="4" w:space="0" w:color="auto"/>
              <w:bottom w:val="single" w:sz="4" w:space="0" w:color="auto"/>
              <w:right w:val="single" w:sz="4" w:space="0" w:color="auto"/>
            </w:tcBorders>
            <w:vAlign w:val="center"/>
            <w:hideMark/>
          </w:tcPr>
          <w:p w14:paraId="1BFE3003" w14:textId="77777777" w:rsidR="00061CA5" w:rsidRPr="00380D3E" w:rsidRDefault="00061CA5">
            <w:pPr>
              <w:jc w:val="center"/>
              <w:rPr>
                <w:rFonts w:eastAsia="SimSun"/>
                <w:sz w:val="20"/>
              </w:rPr>
            </w:pPr>
            <w:r w:rsidRPr="00380D3E">
              <w:rPr>
                <w:rFonts w:eastAsia="SimSun"/>
                <w:sz w:val="20"/>
              </w:rPr>
              <w:t>0,51 (0,35; 0,73)</w:t>
            </w:r>
          </w:p>
        </w:tc>
        <w:tc>
          <w:tcPr>
            <w:tcW w:w="628" w:type="pct"/>
            <w:vMerge w:val="restart"/>
            <w:tcBorders>
              <w:top w:val="single" w:sz="4" w:space="0" w:color="auto"/>
              <w:left w:val="single" w:sz="4" w:space="0" w:color="auto"/>
              <w:bottom w:val="single" w:sz="4" w:space="0" w:color="auto"/>
              <w:right w:val="single" w:sz="4" w:space="0" w:color="auto"/>
            </w:tcBorders>
            <w:vAlign w:val="center"/>
            <w:hideMark/>
          </w:tcPr>
          <w:p w14:paraId="01849C30" w14:textId="77777777" w:rsidR="00061CA5" w:rsidRPr="00380D3E" w:rsidRDefault="00061CA5">
            <w:pPr>
              <w:jc w:val="center"/>
              <w:rPr>
                <w:rFonts w:eastAsia="SimSun"/>
                <w:sz w:val="20"/>
              </w:rPr>
            </w:pPr>
            <w:r w:rsidRPr="00380D3E">
              <w:rPr>
                <w:rFonts w:eastAsia="SimSun"/>
                <w:sz w:val="20"/>
              </w:rPr>
              <w:t>&lt; 0,0001</w:t>
            </w:r>
          </w:p>
        </w:tc>
      </w:tr>
      <w:tr w:rsidR="00061CA5" w:rsidRPr="00380D3E" w14:paraId="00A9332D" w14:textId="77777777" w:rsidTr="00380D3E">
        <w:tc>
          <w:tcPr>
            <w:tcW w:w="838" w:type="pct"/>
            <w:tcBorders>
              <w:top w:val="single" w:sz="4" w:space="0" w:color="auto"/>
              <w:left w:val="single" w:sz="4" w:space="0" w:color="auto"/>
              <w:bottom w:val="single" w:sz="4" w:space="0" w:color="auto"/>
              <w:right w:val="single" w:sz="4" w:space="0" w:color="auto"/>
            </w:tcBorders>
            <w:vAlign w:val="center"/>
            <w:hideMark/>
          </w:tcPr>
          <w:p w14:paraId="63E7D785" w14:textId="77777777" w:rsidR="00061CA5" w:rsidRPr="00380D3E" w:rsidRDefault="00061CA5">
            <w:pPr>
              <w:jc w:val="center"/>
              <w:rPr>
                <w:rFonts w:eastAsia="SimSun"/>
                <w:b/>
                <w:bCs/>
                <w:sz w:val="20"/>
              </w:rPr>
            </w:pPr>
            <w:r w:rsidRPr="00380D3E">
              <w:rPr>
                <w:rFonts w:eastAsia="SimSun"/>
                <w:b/>
                <w:bCs/>
                <w:sz w:val="20"/>
              </w:rPr>
              <w:t xml:space="preserve">Indledning af </w:t>
            </w:r>
            <w:proofErr w:type="spellStart"/>
            <w:r w:rsidRPr="00380D3E">
              <w:rPr>
                <w:rFonts w:eastAsia="SimSun"/>
                <w:b/>
                <w:bCs/>
                <w:sz w:val="20"/>
              </w:rPr>
              <w:t>i.v</w:t>
            </w:r>
            <w:proofErr w:type="spellEnd"/>
            <w:r w:rsidRPr="00380D3E">
              <w:rPr>
                <w:rFonts w:eastAsia="SimSun"/>
                <w:b/>
                <w:bCs/>
                <w:sz w:val="20"/>
              </w:rPr>
              <w:t>./</w:t>
            </w:r>
            <w:proofErr w:type="spellStart"/>
            <w:r w:rsidRPr="00380D3E">
              <w:rPr>
                <w:rFonts w:eastAsia="SimSun"/>
                <w:b/>
                <w:bCs/>
                <w:sz w:val="20"/>
              </w:rPr>
              <w:t>s.c</w:t>
            </w:r>
            <w:proofErr w:type="spellEnd"/>
            <w:r w:rsidRPr="00380D3E">
              <w:rPr>
                <w:rFonts w:eastAsia="SimSun"/>
                <w:b/>
                <w:bCs/>
                <w:sz w:val="20"/>
              </w:rPr>
              <w:t>.</w:t>
            </w:r>
          </w:p>
          <w:p w14:paraId="5043FF1A" w14:textId="77777777" w:rsidR="00061CA5" w:rsidRPr="00380D3E" w:rsidRDefault="00061CA5">
            <w:pPr>
              <w:jc w:val="center"/>
              <w:rPr>
                <w:rFonts w:eastAsia="SimSun"/>
                <w:b/>
                <w:bCs/>
                <w:sz w:val="20"/>
              </w:rPr>
            </w:pPr>
            <w:proofErr w:type="spellStart"/>
            <w:r w:rsidRPr="00380D3E">
              <w:rPr>
                <w:rFonts w:eastAsia="SimSun"/>
                <w:b/>
                <w:bCs/>
                <w:sz w:val="20"/>
              </w:rPr>
              <w:t>prostanoid</w:t>
            </w:r>
            <w:proofErr w:type="spellEnd"/>
          </w:p>
          <w:p w14:paraId="5B9E76F7" w14:textId="77777777" w:rsidR="00061CA5" w:rsidRPr="00380D3E" w:rsidRDefault="00061CA5">
            <w:pPr>
              <w:jc w:val="center"/>
              <w:rPr>
                <w:rFonts w:eastAsia="SimSun"/>
                <w:sz w:val="20"/>
              </w:rPr>
            </w:pPr>
            <w:r w:rsidRPr="00380D3E">
              <w:rPr>
                <w:rFonts w:eastAsia="SimSun"/>
                <w:b/>
                <w:bCs/>
                <w:sz w:val="20"/>
              </w:rPr>
              <w:t>n (%)</w:t>
            </w:r>
          </w:p>
        </w:tc>
        <w:tc>
          <w:tcPr>
            <w:tcW w:w="780" w:type="pct"/>
            <w:tcBorders>
              <w:top w:val="single" w:sz="4" w:space="0" w:color="auto"/>
              <w:left w:val="single" w:sz="4" w:space="0" w:color="auto"/>
              <w:bottom w:val="single" w:sz="4" w:space="0" w:color="auto"/>
              <w:right w:val="single" w:sz="4" w:space="0" w:color="auto"/>
            </w:tcBorders>
            <w:vAlign w:val="center"/>
            <w:hideMark/>
          </w:tcPr>
          <w:p w14:paraId="6946B87F" w14:textId="77777777" w:rsidR="00061CA5" w:rsidRPr="00380D3E" w:rsidRDefault="00061CA5">
            <w:pPr>
              <w:jc w:val="center"/>
              <w:rPr>
                <w:rFonts w:eastAsia="SimSun"/>
                <w:sz w:val="20"/>
              </w:rPr>
            </w:pPr>
            <w:r w:rsidRPr="00380D3E">
              <w:rPr>
                <w:rFonts w:eastAsia="SimSun"/>
                <w:sz w:val="20"/>
              </w:rPr>
              <w:t>6 (2,4 %)</w:t>
            </w:r>
          </w:p>
        </w:tc>
        <w:tc>
          <w:tcPr>
            <w:tcW w:w="638" w:type="pct"/>
            <w:tcBorders>
              <w:top w:val="single" w:sz="4" w:space="0" w:color="auto"/>
              <w:left w:val="single" w:sz="4" w:space="0" w:color="auto"/>
              <w:bottom w:val="single" w:sz="4" w:space="0" w:color="auto"/>
              <w:right w:val="single" w:sz="4" w:space="0" w:color="auto"/>
            </w:tcBorders>
            <w:vAlign w:val="center"/>
            <w:hideMark/>
          </w:tcPr>
          <w:p w14:paraId="5920C703" w14:textId="77777777" w:rsidR="00061CA5" w:rsidRPr="00380D3E" w:rsidRDefault="00061CA5">
            <w:pPr>
              <w:jc w:val="center"/>
              <w:rPr>
                <w:rFonts w:eastAsia="SimSun"/>
                <w:sz w:val="20"/>
              </w:rPr>
            </w:pPr>
            <w:r w:rsidRPr="00380D3E">
              <w:rPr>
                <w:rFonts w:eastAsia="SimSun"/>
                <w:sz w:val="20"/>
              </w:rPr>
              <w:t>1 (0,4 %)</w:t>
            </w:r>
          </w:p>
        </w:tc>
        <w:tc>
          <w:tcPr>
            <w:tcW w:w="688" w:type="pct"/>
            <w:tcBorders>
              <w:top w:val="single" w:sz="4" w:space="0" w:color="auto"/>
              <w:left w:val="single" w:sz="4" w:space="0" w:color="auto"/>
              <w:bottom w:val="single" w:sz="4" w:space="0" w:color="auto"/>
              <w:right w:val="single" w:sz="4" w:space="0" w:color="auto"/>
            </w:tcBorders>
            <w:vAlign w:val="center"/>
            <w:hideMark/>
          </w:tcPr>
          <w:p w14:paraId="597FA6FD" w14:textId="77777777" w:rsidR="00061CA5" w:rsidRPr="00380D3E" w:rsidRDefault="00061CA5">
            <w:pPr>
              <w:jc w:val="center"/>
              <w:rPr>
                <w:rFonts w:eastAsia="SimSun"/>
                <w:sz w:val="20"/>
              </w:rPr>
            </w:pPr>
            <w:r w:rsidRPr="00380D3E">
              <w:rPr>
                <w:rFonts w:eastAsia="SimSun"/>
                <w:sz w:val="20"/>
              </w:rPr>
              <w:t>2 %</w:t>
            </w: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1361D24" w14:textId="77777777" w:rsidR="00061CA5" w:rsidRPr="00380D3E" w:rsidRDefault="00061CA5">
            <w:pPr>
              <w:rPr>
                <w:rFonts w:eastAsia="SimSun"/>
                <w:sz w:val="20"/>
              </w:rPr>
            </w:pPr>
          </w:p>
        </w:tc>
        <w:tc>
          <w:tcPr>
            <w:tcW w:w="692" w:type="pct"/>
            <w:vMerge/>
            <w:tcBorders>
              <w:top w:val="single" w:sz="4" w:space="0" w:color="auto"/>
              <w:left w:val="single" w:sz="4" w:space="0" w:color="auto"/>
              <w:bottom w:val="single" w:sz="4" w:space="0" w:color="auto"/>
              <w:right w:val="single" w:sz="4" w:space="0" w:color="auto"/>
            </w:tcBorders>
            <w:vAlign w:val="center"/>
            <w:hideMark/>
          </w:tcPr>
          <w:p w14:paraId="6408B0C3" w14:textId="77777777" w:rsidR="00061CA5" w:rsidRPr="00380D3E" w:rsidRDefault="00061CA5">
            <w:pPr>
              <w:rPr>
                <w:rFonts w:eastAsia="SimSun"/>
                <w:sz w:val="20"/>
              </w:rPr>
            </w:pPr>
          </w:p>
        </w:tc>
        <w:tc>
          <w:tcPr>
            <w:tcW w:w="628" w:type="pct"/>
            <w:vMerge/>
            <w:tcBorders>
              <w:top w:val="single" w:sz="4" w:space="0" w:color="auto"/>
              <w:left w:val="single" w:sz="4" w:space="0" w:color="auto"/>
              <w:bottom w:val="single" w:sz="4" w:space="0" w:color="auto"/>
              <w:right w:val="single" w:sz="4" w:space="0" w:color="auto"/>
            </w:tcBorders>
            <w:vAlign w:val="center"/>
            <w:hideMark/>
          </w:tcPr>
          <w:p w14:paraId="3C721C01" w14:textId="77777777" w:rsidR="00061CA5" w:rsidRPr="00380D3E" w:rsidRDefault="00061CA5">
            <w:pPr>
              <w:rPr>
                <w:rFonts w:eastAsia="SimSun"/>
                <w:sz w:val="20"/>
              </w:rPr>
            </w:pPr>
          </w:p>
        </w:tc>
      </w:tr>
    </w:tbl>
    <w:p w14:paraId="761CEC88" w14:textId="77777777" w:rsidR="00061CA5" w:rsidRPr="005B6B84" w:rsidRDefault="00061CA5" w:rsidP="005B6B84">
      <w:pPr>
        <w:rPr>
          <w:rFonts w:eastAsia="SimSun"/>
          <w:sz w:val="20"/>
        </w:rPr>
      </w:pPr>
      <w:r w:rsidRPr="005B6B84">
        <w:rPr>
          <w:rFonts w:eastAsia="SimSun"/>
          <w:sz w:val="20"/>
          <w:vertAlign w:val="superscript"/>
        </w:rPr>
        <w:t>a</w:t>
      </w:r>
      <w:r w:rsidRPr="005B6B84">
        <w:rPr>
          <w:rFonts w:eastAsia="SimSun"/>
          <w:sz w:val="20"/>
        </w:rPr>
        <w:t xml:space="preserve"> = baseret på Cox’ proportionelle risikomodel</w:t>
      </w:r>
    </w:p>
    <w:p w14:paraId="4EAB1D89" w14:textId="77777777" w:rsidR="00061CA5" w:rsidRPr="005B6B84" w:rsidRDefault="00061CA5" w:rsidP="005B6B84">
      <w:pPr>
        <w:rPr>
          <w:rFonts w:eastAsia="SimSun"/>
          <w:color w:val="000000"/>
          <w:sz w:val="20"/>
          <w:lang w:eastAsia="en-GB"/>
        </w:rPr>
      </w:pPr>
      <w:r w:rsidRPr="005B6B84">
        <w:rPr>
          <w:rFonts w:eastAsia="SimSun"/>
          <w:color w:val="000000"/>
          <w:sz w:val="20"/>
          <w:vertAlign w:val="superscript"/>
          <w:lang w:eastAsia="en-GB"/>
        </w:rPr>
        <w:t>b</w:t>
      </w:r>
      <w:r w:rsidRPr="005B6B84">
        <w:rPr>
          <w:rFonts w:eastAsia="SimSun"/>
          <w:color w:val="000000"/>
          <w:sz w:val="20"/>
          <w:lang w:eastAsia="en-GB"/>
        </w:rPr>
        <w:t xml:space="preserve"> = % af patienter med en hændelse efter 36 måneder = 100 × (1 – KM-estimat)</w:t>
      </w:r>
    </w:p>
    <w:p w14:paraId="1598E704" w14:textId="77777777" w:rsidR="00061CA5" w:rsidRPr="005B6B84" w:rsidRDefault="00061CA5" w:rsidP="005B6B84">
      <w:pPr>
        <w:rPr>
          <w:rFonts w:eastAsia="TimesNewRoman,Bold"/>
          <w:b/>
          <w:bCs/>
          <w:color w:val="000000"/>
          <w:sz w:val="20"/>
          <w:lang w:eastAsia="en-GB"/>
        </w:rPr>
      </w:pPr>
      <w:r w:rsidRPr="005B6B84">
        <w:rPr>
          <w:rFonts w:eastAsia="SimSun"/>
          <w:color w:val="000000"/>
          <w:sz w:val="20"/>
          <w:vertAlign w:val="superscript"/>
          <w:lang w:eastAsia="en-GB"/>
        </w:rPr>
        <w:t>c</w:t>
      </w:r>
      <w:r w:rsidRPr="005B6B84">
        <w:rPr>
          <w:rFonts w:eastAsia="SimSun"/>
          <w:color w:val="000000"/>
          <w:sz w:val="20"/>
          <w:lang w:eastAsia="en-GB"/>
        </w:rPr>
        <w:t xml:space="preserve"> = dødsfald af enhver årsag indtil behandlingens afslutning uanset tidligere forværring.</w:t>
      </w:r>
    </w:p>
    <w:p w14:paraId="25E33A8E" w14:textId="77777777" w:rsidR="00061CA5" w:rsidRPr="00380D3E" w:rsidRDefault="00061CA5" w:rsidP="00061CA5">
      <w:pPr>
        <w:rPr>
          <w:sz w:val="24"/>
          <w:szCs w:val="24"/>
        </w:rPr>
      </w:pPr>
    </w:p>
    <w:p w14:paraId="194A129C" w14:textId="4586783E" w:rsidR="00061CA5" w:rsidRPr="00380D3E" w:rsidRDefault="00061CA5" w:rsidP="00380D3E">
      <w:pPr>
        <w:ind w:left="851"/>
        <w:rPr>
          <w:sz w:val="24"/>
          <w:szCs w:val="24"/>
        </w:rPr>
      </w:pPr>
      <w:r w:rsidRPr="00380D3E">
        <w:rPr>
          <w:sz w:val="24"/>
          <w:szCs w:val="24"/>
        </w:rPr>
        <w:t xml:space="preserve">Antallet af dødsfald af enhver årsag frem til forsøgets afslutning var 35 med </w:t>
      </w:r>
      <w:proofErr w:type="spellStart"/>
      <w:r w:rsidRPr="00380D3E">
        <w:rPr>
          <w:sz w:val="24"/>
          <w:szCs w:val="24"/>
        </w:rPr>
        <w:t>macitentan</w:t>
      </w:r>
      <w:proofErr w:type="spellEnd"/>
      <w:r w:rsidRPr="00380D3E">
        <w:rPr>
          <w:sz w:val="24"/>
          <w:szCs w:val="24"/>
        </w:rPr>
        <w:t xml:space="preserve"> 10</w:t>
      </w:r>
      <w:r w:rsidR="007D7859">
        <w:rPr>
          <w:sz w:val="24"/>
          <w:szCs w:val="24"/>
        </w:rPr>
        <w:t> </w:t>
      </w:r>
      <w:r w:rsidRPr="00380D3E">
        <w:rPr>
          <w:sz w:val="24"/>
          <w:szCs w:val="24"/>
        </w:rPr>
        <w:t>mg vs. 44 med placebo (risikoforhold 0,77; 97,5 % CI: 0,46 til 1,28).</w:t>
      </w:r>
    </w:p>
    <w:p w14:paraId="49B8A6EA" w14:textId="77777777" w:rsidR="00061CA5" w:rsidRPr="00380D3E" w:rsidRDefault="00061CA5" w:rsidP="00380D3E">
      <w:pPr>
        <w:ind w:left="851"/>
        <w:rPr>
          <w:sz w:val="24"/>
          <w:szCs w:val="24"/>
        </w:rPr>
      </w:pPr>
    </w:p>
    <w:p w14:paraId="4BE83A58" w14:textId="22D7B45F" w:rsidR="00061CA5" w:rsidRPr="00380D3E" w:rsidRDefault="00061CA5" w:rsidP="00380D3E">
      <w:pPr>
        <w:ind w:left="851"/>
        <w:rPr>
          <w:sz w:val="24"/>
          <w:szCs w:val="24"/>
        </w:rPr>
      </w:pPr>
      <w:r w:rsidRPr="00380D3E">
        <w:rPr>
          <w:sz w:val="24"/>
          <w:szCs w:val="24"/>
        </w:rPr>
        <w:t xml:space="preserve">Risikoen for PAH-relateret dødsfald eller hospitalisering på grund af PAH frem til behandlingens afslutning var nedsat med 50 % (risikoforhold 0,50; 97,5 % CI: 0,34 til 0,75; logrank p &lt; 0,0001) hos de patienter, der fik </w:t>
      </w:r>
      <w:proofErr w:type="spellStart"/>
      <w:r w:rsidRPr="00380D3E">
        <w:rPr>
          <w:sz w:val="24"/>
          <w:szCs w:val="24"/>
        </w:rPr>
        <w:t>macitentan</w:t>
      </w:r>
      <w:proofErr w:type="spellEnd"/>
      <w:r w:rsidRPr="00380D3E">
        <w:rPr>
          <w:sz w:val="24"/>
          <w:szCs w:val="24"/>
        </w:rPr>
        <w:t xml:space="preserve"> 10 mg (50 hændelser), sammenlignet med placebo (84 hændelser). Efter 36 måneder havde 44,6 % af patienterne </w:t>
      </w:r>
      <w:r w:rsidRPr="00380D3E">
        <w:rPr>
          <w:sz w:val="24"/>
          <w:szCs w:val="24"/>
        </w:rPr>
        <w:lastRenderedPageBreak/>
        <w:t xml:space="preserve">på placebo og 29,4 % af patienterne på </w:t>
      </w:r>
      <w:proofErr w:type="spellStart"/>
      <w:r w:rsidRPr="00380D3E">
        <w:rPr>
          <w:sz w:val="24"/>
          <w:szCs w:val="24"/>
        </w:rPr>
        <w:t>macitentan</w:t>
      </w:r>
      <w:proofErr w:type="spellEnd"/>
      <w:r w:rsidRPr="00380D3E">
        <w:rPr>
          <w:sz w:val="24"/>
          <w:szCs w:val="24"/>
        </w:rPr>
        <w:t xml:space="preserve"> 10 mg (absolut risikoreduktion = 15,2</w:t>
      </w:r>
      <w:r w:rsidR="007D7859">
        <w:rPr>
          <w:sz w:val="24"/>
          <w:szCs w:val="24"/>
        </w:rPr>
        <w:t> </w:t>
      </w:r>
      <w:r w:rsidRPr="00380D3E">
        <w:rPr>
          <w:sz w:val="24"/>
          <w:szCs w:val="24"/>
        </w:rPr>
        <w:t>%) været indlagt for PAH eller var døde af PAH-relateret årsag.</w:t>
      </w:r>
    </w:p>
    <w:p w14:paraId="27132BEB" w14:textId="77777777" w:rsidR="00061CA5" w:rsidRPr="00380D3E" w:rsidRDefault="00061CA5" w:rsidP="00380D3E">
      <w:pPr>
        <w:ind w:left="851"/>
        <w:rPr>
          <w:sz w:val="24"/>
          <w:szCs w:val="24"/>
        </w:rPr>
      </w:pPr>
    </w:p>
    <w:p w14:paraId="2588AA11" w14:textId="77777777" w:rsidR="00061CA5" w:rsidRPr="00380D3E" w:rsidRDefault="00061CA5" w:rsidP="00380D3E">
      <w:pPr>
        <w:ind w:left="851"/>
        <w:rPr>
          <w:sz w:val="24"/>
          <w:szCs w:val="24"/>
          <w:u w:val="single"/>
        </w:rPr>
      </w:pPr>
      <w:r w:rsidRPr="00380D3E">
        <w:rPr>
          <w:sz w:val="24"/>
          <w:szCs w:val="24"/>
          <w:u w:val="single"/>
        </w:rPr>
        <w:t>Symptomatiske endepunkter</w:t>
      </w:r>
    </w:p>
    <w:p w14:paraId="06F123E6" w14:textId="77777777" w:rsidR="00061CA5" w:rsidRPr="00380D3E" w:rsidRDefault="00061CA5" w:rsidP="00380D3E">
      <w:pPr>
        <w:ind w:left="851"/>
        <w:rPr>
          <w:sz w:val="24"/>
          <w:szCs w:val="24"/>
        </w:rPr>
      </w:pPr>
      <w:r w:rsidRPr="00380D3E">
        <w:rPr>
          <w:sz w:val="24"/>
          <w:szCs w:val="24"/>
        </w:rPr>
        <w:t xml:space="preserve">Motionskapaciteten blev vurderet som et sekundært endepunkt. Behandling med </w:t>
      </w:r>
      <w:proofErr w:type="spellStart"/>
      <w:r w:rsidRPr="00380D3E">
        <w:rPr>
          <w:sz w:val="24"/>
          <w:szCs w:val="24"/>
        </w:rPr>
        <w:t>macitentan</w:t>
      </w:r>
      <w:proofErr w:type="spellEnd"/>
      <w:r w:rsidRPr="00380D3E">
        <w:rPr>
          <w:sz w:val="24"/>
          <w:szCs w:val="24"/>
        </w:rPr>
        <w:t xml:space="preserve"> 10 mg i 6 måneder resulterede i en placebokorrigeret gennemsnitlig stigning i 6MWD på 22 meter (97,5 % CI: 3 til 41; p = 0,0078). Evaluering af 6MWD i henhold til funktionsklasse resulterede i en placebokorrigeret gennemsnitlig stigning fra udgangsvurderingen til måned 6 på 37 meter hos patienter i funktionsklasse III/IV (97,5 % CI: 5 til 69) og på 12 meter hos patienter i funktionsklasse I/II (97,5 % CI: -8 til 33). Den øgning i 6MWD, der blev opnået med </w:t>
      </w:r>
      <w:proofErr w:type="spellStart"/>
      <w:r w:rsidRPr="00380D3E">
        <w:rPr>
          <w:sz w:val="24"/>
          <w:szCs w:val="24"/>
        </w:rPr>
        <w:t>macitentan</w:t>
      </w:r>
      <w:proofErr w:type="spellEnd"/>
      <w:r w:rsidRPr="00380D3E">
        <w:rPr>
          <w:sz w:val="24"/>
          <w:szCs w:val="24"/>
        </w:rPr>
        <w:t>, blev fastholdt igennem hele studiets varighed.</w:t>
      </w:r>
    </w:p>
    <w:p w14:paraId="6BFADA3C" w14:textId="77777777" w:rsidR="00061CA5" w:rsidRPr="00380D3E" w:rsidRDefault="00061CA5" w:rsidP="00380D3E">
      <w:pPr>
        <w:ind w:left="851"/>
        <w:rPr>
          <w:sz w:val="24"/>
          <w:szCs w:val="24"/>
        </w:rPr>
      </w:pPr>
    </w:p>
    <w:p w14:paraId="11932C08" w14:textId="2FB83C83" w:rsidR="00061CA5" w:rsidRPr="00380D3E" w:rsidRDefault="00061CA5" w:rsidP="00380D3E">
      <w:pPr>
        <w:ind w:left="851"/>
        <w:rPr>
          <w:sz w:val="24"/>
          <w:szCs w:val="24"/>
        </w:rPr>
      </w:pPr>
      <w:r w:rsidRPr="00380D3E">
        <w:rPr>
          <w:sz w:val="24"/>
          <w:szCs w:val="24"/>
        </w:rPr>
        <w:t xml:space="preserve">Behandling med </w:t>
      </w:r>
      <w:proofErr w:type="spellStart"/>
      <w:r w:rsidRPr="00380D3E">
        <w:rPr>
          <w:sz w:val="24"/>
          <w:szCs w:val="24"/>
        </w:rPr>
        <w:t>macitentan</w:t>
      </w:r>
      <w:proofErr w:type="spellEnd"/>
      <w:r w:rsidRPr="00380D3E">
        <w:rPr>
          <w:sz w:val="24"/>
          <w:szCs w:val="24"/>
        </w:rPr>
        <w:t xml:space="preserve"> 10 mg i 6 måneder medførte 74 % større chance for forbedring i WHO-funktionsklasse i forhold til placebo (risikoforhold 1,74; 97,5 % CI: 1,10 til 2,74; p</w:t>
      </w:r>
      <w:r w:rsidR="005B6B84">
        <w:rPr>
          <w:sz w:val="24"/>
          <w:szCs w:val="24"/>
        </w:rPr>
        <w:t> </w:t>
      </w:r>
      <w:r w:rsidRPr="00380D3E">
        <w:rPr>
          <w:sz w:val="24"/>
          <w:szCs w:val="24"/>
        </w:rPr>
        <w:t>=</w:t>
      </w:r>
      <w:r w:rsidR="005B6B84">
        <w:rPr>
          <w:sz w:val="24"/>
          <w:szCs w:val="24"/>
        </w:rPr>
        <w:t> </w:t>
      </w:r>
      <w:r w:rsidRPr="00380D3E">
        <w:rPr>
          <w:sz w:val="24"/>
          <w:szCs w:val="24"/>
        </w:rPr>
        <w:t xml:space="preserve">0,0063). </w:t>
      </w:r>
    </w:p>
    <w:p w14:paraId="560CE8AD" w14:textId="77777777" w:rsidR="00061CA5" w:rsidRPr="00380D3E" w:rsidRDefault="00061CA5" w:rsidP="00380D3E">
      <w:pPr>
        <w:ind w:left="851"/>
        <w:rPr>
          <w:sz w:val="24"/>
          <w:szCs w:val="24"/>
        </w:rPr>
      </w:pPr>
    </w:p>
    <w:p w14:paraId="48471069" w14:textId="77777777" w:rsidR="00061CA5" w:rsidRPr="00380D3E" w:rsidRDefault="00061CA5" w:rsidP="00380D3E">
      <w:pPr>
        <w:ind w:left="851"/>
        <w:rPr>
          <w:sz w:val="24"/>
          <w:szCs w:val="24"/>
        </w:rPr>
      </w:pPr>
      <w:proofErr w:type="spellStart"/>
      <w:r w:rsidRPr="00380D3E">
        <w:rPr>
          <w:sz w:val="24"/>
          <w:szCs w:val="24"/>
        </w:rPr>
        <w:t>Macitentan</w:t>
      </w:r>
      <w:proofErr w:type="spellEnd"/>
      <w:r w:rsidRPr="00380D3E">
        <w:rPr>
          <w:sz w:val="24"/>
          <w:szCs w:val="24"/>
        </w:rPr>
        <w:t xml:space="preserve"> 10 mg forbedrede livskvaliteten, der blev vurderet på SF-36-spørgeskemaet.</w:t>
      </w:r>
    </w:p>
    <w:p w14:paraId="694D64A2" w14:textId="77777777" w:rsidR="00061CA5" w:rsidRPr="00380D3E" w:rsidRDefault="00061CA5" w:rsidP="00380D3E">
      <w:pPr>
        <w:ind w:left="851"/>
        <w:rPr>
          <w:sz w:val="24"/>
          <w:szCs w:val="24"/>
        </w:rPr>
      </w:pPr>
    </w:p>
    <w:p w14:paraId="591A888C" w14:textId="77777777" w:rsidR="00061CA5" w:rsidRPr="00380D3E" w:rsidRDefault="00061CA5" w:rsidP="00380D3E">
      <w:pPr>
        <w:ind w:left="851"/>
        <w:rPr>
          <w:sz w:val="24"/>
          <w:szCs w:val="24"/>
          <w:u w:val="single"/>
        </w:rPr>
      </w:pPr>
      <w:proofErr w:type="spellStart"/>
      <w:r w:rsidRPr="00380D3E">
        <w:rPr>
          <w:sz w:val="24"/>
          <w:szCs w:val="24"/>
          <w:u w:val="single"/>
        </w:rPr>
        <w:t>Hæmodynamiske</w:t>
      </w:r>
      <w:proofErr w:type="spellEnd"/>
      <w:r w:rsidRPr="00380D3E">
        <w:rPr>
          <w:sz w:val="24"/>
          <w:szCs w:val="24"/>
          <w:u w:val="single"/>
        </w:rPr>
        <w:t xml:space="preserve"> endepunkter</w:t>
      </w:r>
    </w:p>
    <w:p w14:paraId="69F539B3" w14:textId="77777777" w:rsidR="00061CA5" w:rsidRPr="00380D3E" w:rsidRDefault="00061CA5" w:rsidP="00380D3E">
      <w:pPr>
        <w:ind w:left="851"/>
        <w:rPr>
          <w:sz w:val="24"/>
          <w:szCs w:val="24"/>
        </w:rPr>
      </w:pPr>
      <w:r w:rsidRPr="00380D3E">
        <w:rPr>
          <w:sz w:val="24"/>
          <w:szCs w:val="24"/>
        </w:rPr>
        <w:t xml:space="preserve">Der blev foretaget en vurdering af </w:t>
      </w:r>
      <w:proofErr w:type="spellStart"/>
      <w:r w:rsidRPr="00380D3E">
        <w:rPr>
          <w:sz w:val="24"/>
          <w:szCs w:val="24"/>
        </w:rPr>
        <w:t>hæmodynamiske</w:t>
      </w:r>
      <w:proofErr w:type="spellEnd"/>
      <w:r w:rsidRPr="00380D3E">
        <w:rPr>
          <w:sz w:val="24"/>
          <w:szCs w:val="24"/>
        </w:rPr>
        <w:t xml:space="preserve"> parametre i en undergruppe af patienter (placebo [N = 67], </w:t>
      </w:r>
      <w:proofErr w:type="spellStart"/>
      <w:r w:rsidRPr="00380D3E">
        <w:rPr>
          <w:sz w:val="24"/>
          <w:szCs w:val="24"/>
        </w:rPr>
        <w:t>macitentan</w:t>
      </w:r>
      <w:proofErr w:type="spellEnd"/>
      <w:r w:rsidRPr="00380D3E">
        <w:rPr>
          <w:sz w:val="24"/>
          <w:szCs w:val="24"/>
        </w:rPr>
        <w:t xml:space="preserve"> 10 mg [N = 57]) efter 6 måneders behandling. De patienter, der blev behandlet med </w:t>
      </w:r>
      <w:proofErr w:type="spellStart"/>
      <w:r w:rsidRPr="00380D3E">
        <w:rPr>
          <w:sz w:val="24"/>
          <w:szCs w:val="24"/>
        </w:rPr>
        <w:t>macitentan</w:t>
      </w:r>
      <w:proofErr w:type="spellEnd"/>
      <w:r w:rsidRPr="00380D3E">
        <w:rPr>
          <w:sz w:val="24"/>
          <w:szCs w:val="24"/>
        </w:rPr>
        <w:t xml:space="preserve"> 10 mg, opnåede en gennemsnitlig reduktion på 36,5 % (97,5 % CI: 21,7 til 49,2 %) i den </w:t>
      </w:r>
      <w:proofErr w:type="spellStart"/>
      <w:r w:rsidRPr="00380D3E">
        <w:rPr>
          <w:sz w:val="24"/>
          <w:szCs w:val="24"/>
        </w:rPr>
        <w:t>pulmonale</w:t>
      </w:r>
      <w:proofErr w:type="spellEnd"/>
      <w:r w:rsidRPr="00380D3E">
        <w:rPr>
          <w:sz w:val="24"/>
          <w:szCs w:val="24"/>
        </w:rPr>
        <w:t xml:space="preserve"> </w:t>
      </w:r>
      <w:proofErr w:type="spellStart"/>
      <w:r w:rsidRPr="00380D3E">
        <w:rPr>
          <w:sz w:val="24"/>
          <w:szCs w:val="24"/>
        </w:rPr>
        <w:t>vaskulære</w:t>
      </w:r>
      <w:proofErr w:type="spellEnd"/>
      <w:r w:rsidRPr="00380D3E">
        <w:rPr>
          <w:sz w:val="24"/>
          <w:szCs w:val="24"/>
        </w:rPr>
        <w:t xml:space="preserve"> modstand og en stigning på 0,58 l/minut/m</w:t>
      </w:r>
      <w:r w:rsidRPr="00380D3E">
        <w:rPr>
          <w:sz w:val="24"/>
          <w:szCs w:val="24"/>
          <w:vertAlign w:val="superscript"/>
        </w:rPr>
        <w:t>2</w:t>
      </w:r>
      <w:r w:rsidRPr="00380D3E">
        <w:rPr>
          <w:sz w:val="24"/>
          <w:szCs w:val="24"/>
        </w:rPr>
        <w:t xml:space="preserve"> (97,5 % CI: 0,28 til 0,93 l/minut/m</w:t>
      </w:r>
      <w:r w:rsidRPr="00380D3E">
        <w:rPr>
          <w:sz w:val="24"/>
          <w:szCs w:val="24"/>
          <w:vertAlign w:val="superscript"/>
        </w:rPr>
        <w:t>2</w:t>
      </w:r>
      <w:r w:rsidRPr="00380D3E">
        <w:rPr>
          <w:sz w:val="24"/>
          <w:szCs w:val="24"/>
        </w:rPr>
        <w:t>) i hjerteindeks sammenlignet med placebo.</w:t>
      </w:r>
    </w:p>
    <w:p w14:paraId="7FB375DE" w14:textId="77777777" w:rsidR="00061CA5" w:rsidRPr="00380D3E" w:rsidRDefault="00061CA5" w:rsidP="00380D3E">
      <w:pPr>
        <w:ind w:left="851"/>
        <w:rPr>
          <w:sz w:val="24"/>
          <w:szCs w:val="24"/>
        </w:rPr>
      </w:pPr>
    </w:p>
    <w:p w14:paraId="22BDD0CB" w14:textId="77777777" w:rsidR="00061CA5" w:rsidRPr="00380D3E" w:rsidRDefault="00061CA5" w:rsidP="00380D3E">
      <w:pPr>
        <w:ind w:left="851"/>
        <w:rPr>
          <w:i/>
          <w:iCs/>
          <w:sz w:val="24"/>
          <w:szCs w:val="24"/>
        </w:rPr>
      </w:pPr>
      <w:r w:rsidRPr="00380D3E">
        <w:rPr>
          <w:i/>
          <w:iCs/>
          <w:sz w:val="24"/>
          <w:szCs w:val="24"/>
        </w:rPr>
        <w:t>Langtidsdata for PAH</w:t>
      </w:r>
    </w:p>
    <w:p w14:paraId="66FFBB0F" w14:textId="08D7105C" w:rsidR="00061CA5" w:rsidRPr="00380D3E" w:rsidRDefault="00061CA5" w:rsidP="00380D3E">
      <w:pPr>
        <w:ind w:left="851"/>
        <w:rPr>
          <w:sz w:val="24"/>
          <w:szCs w:val="24"/>
        </w:rPr>
      </w:pPr>
      <w:r w:rsidRPr="00380D3E">
        <w:rPr>
          <w:sz w:val="24"/>
          <w:szCs w:val="24"/>
        </w:rPr>
        <w:t xml:space="preserve">Under langtidsopfølgningen af 242 patienter, som blev behandlet med </w:t>
      </w:r>
      <w:proofErr w:type="spellStart"/>
      <w:r w:rsidRPr="00380D3E">
        <w:rPr>
          <w:sz w:val="24"/>
          <w:szCs w:val="24"/>
        </w:rPr>
        <w:t>macitentan</w:t>
      </w:r>
      <w:proofErr w:type="spellEnd"/>
      <w:r w:rsidRPr="00380D3E">
        <w:rPr>
          <w:sz w:val="24"/>
          <w:szCs w:val="24"/>
        </w:rPr>
        <w:t xml:space="preserve"> 10 mg i den dobbeltblindede (DB) fase af SERAPHIN-studiet, af hvilke 182 fortsatte med </w:t>
      </w:r>
      <w:proofErr w:type="spellStart"/>
      <w:r w:rsidRPr="00380D3E">
        <w:rPr>
          <w:sz w:val="24"/>
          <w:szCs w:val="24"/>
        </w:rPr>
        <w:t>macitentan</w:t>
      </w:r>
      <w:proofErr w:type="spellEnd"/>
      <w:r w:rsidRPr="00380D3E">
        <w:rPr>
          <w:sz w:val="24"/>
          <w:szCs w:val="24"/>
        </w:rPr>
        <w:t xml:space="preserve"> i det åbne forlængelsesstudie (SERAPHIN OL) (DB/OL-kohorte), var Kaplan-Meier-estimaterne for overlevelse efter 1, 2, 5, 7 og 9 år henholdsvis 95 %, 89 %, 73 %, 63</w:t>
      </w:r>
      <w:r w:rsidR="005B6B84">
        <w:rPr>
          <w:sz w:val="24"/>
          <w:szCs w:val="24"/>
        </w:rPr>
        <w:t> </w:t>
      </w:r>
      <w:r w:rsidRPr="00380D3E">
        <w:rPr>
          <w:sz w:val="24"/>
          <w:szCs w:val="24"/>
        </w:rPr>
        <w:t xml:space="preserve">% og 53 %. Den </w:t>
      </w:r>
      <w:proofErr w:type="spellStart"/>
      <w:r w:rsidRPr="00380D3E">
        <w:rPr>
          <w:sz w:val="24"/>
          <w:szCs w:val="24"/>
        </w:rPr>
        <w:t>mediane</w:t>
      </w:r>
      <w:proofErr w:type="spellEnd"/>
      <w:r w:rsidRPr="00380D3E">
        <w:rPr>
          <w:sz w:val="24"/>
          <w:szCs w:val="24"/>
        </w:rPr>
        <w:t xml:space="preserve"> opfølgningstid var 5,9 år.</w:t>
      </w:r>
    </w:p>
    <w:p w14:paraId="7BB81AF1" w14:textId="77777777" w:rsidR="00061CA5" w:rsidRPr="00380D3E" w:rsidRDefault="00061CA5" w:rsidP="00380D3E">
      <w:pPr>
        <w:ind w:left="851"/>
        <w:rPr>
          <w:sz w:val="24"/>
          <w:szCs w:val="24"/>
        </w:rPr>
      </w:pPr>
    </w:p>
    <w:p w14:paraId="60EE905A" w14:textId="77777777" w:rsidR="00061CA5" w:rsidRPr="00380D3E" w:rsidRDefault="00061CA5" w:rsidP="00380D3E">
      <w:pPr>
        <w:ind w:left="851"/>
        <w:rPr>
          <w:sz w:val="24"/>
          <w:szCs w:val="24"/>
          <w:u w:val="single"/>
        </w:rPr>
      </w:pPr>
      <w:r w:rsidRPr="00380D3E">
        <w:rPr>
          <w:sz w:val="24"/>
          <w:szCs w:val="24"/>
          <w:u w:val="single"/>
        </w:rPr>
        <w:t>Pædiatrisk population</w:t>
      </w:r>
    </w:p>
    <w:p w14:paraId="3B24AFD3" w14:textId="77777777" w:rsidR="00061CA5" w:rsidRPr="00380D3E" w:rsidRDefault="00061CA5" w:rsidP="00380D3E">
      <w:pPr>
        <w:ind w:left="851"/>
        <w:rPr>
          <w:sz w:val="24"/>
          <w:szCs w:val="24"/>
        </w:rPr>
      </w:pPr>
      <w:r w:rsidRPr="00380D3E">
        <w:rPr>
          <w:sz w:val="24"/>
          <w:szCs w:val="24"/>
        </w:rPr>
        <w:t>Virkningen i den pædiatriske population er primært baseret på en ekstrapolationsøvelse baseret på matching af eksponeringen i forhold til det effektive dosisinterval hos voksne, eftersom sygdommen er ensartet hos børn og voksne, og på understøttende virknings- og sikkerhedsdata fra fase III-studiet TOMORROW, der er beskrevet nedenfor.</w:t>
      </w:r>
    </w:p>
    <w:p w14:paraId="097A1769" w14:textId="77777777" w:rsidR="00061CA5" w:rsidRPr="00380D3E" w:rsidRDefault="00061CA5" w:rsidP="00380D3E">
      <w:pPr>
        <w:ind w:left="851"/>
        <w:rPr>
          <w:sz w:val="24"/>
          <w:szCs w:val="24"/>
        </w:rPr>
      </w:pPr>
    </w:p>
    <w:p w14:paraId="2BE0BDE2" w14:textId="77777777" w:rsidR="00061CA5" w:rsidRPr="00380D3E" w:rsidRDefault="00061CA5" w:rsidP="00380D3E">
      <w:pPr>
        <w:ind w:left="851"/>
        <w:rPr>
          <w:sz w:val="24"/>
          <w:szCs w:val="24"/>
        </w:rPr>
      </w:pPr>
      <w:r w:rsidRPr="00380D3E">
        <w:rPr>
          <w:sz w:val="24"/>
          <w:szCs w:val="24"/>
        </w:rPr>
        <w:t xml:space="preserve">Der er blevet udført et åbent, randomiseret fase III-multicenterstudie med en åben, </w:t>
      </w:r>
      <w:proofErr w:type="spellStart"/>
      <w:r w:rsidRPr="00380D3E">
        <w:rPr>
          <w:sz w:val="24"/>
          <w:szCs w:val="24"/>
        </w:rPr>
        <w:t>enkeltarmet</w:t>
      </w:r>
      <w:proofErr w:type="spellEnd"/>
      <w:r w:rsidRPr="00380D3E">
        <w:rPr>
          <w:sz w:val="24"/>
          <w:szCs w:val="24"/>
        </w:rPr>
        <w:t xml:space="preserve"> forlængelsesperiode (TOMORROW) for at vurdere </w:t>
      </w:r>
      <w:proofErr w:type="spellStart"/>
      <w:r w:rsidRPr="00380D3E">
        <w:rPr>
          <w:sz w:val="24"/>
          <w:szCs w:val="24"/>
        </w:rPr>
        <w:t>macitentans</w:t>
      </w:r>
      <w:proofErr w:type="spellEnd"/>
      <w:r w:rsidRPr="00380D3E">
        <w:rPr>
          <w:sz w:val="24"/>
          <w:szCs w:val="24"/>
        </w:rPr>
        <w:t xml:space="preserve"> farmakokinetik, virkning og sikkerhed hos pædiatriske patienter med symptomatisk PAH.</w:t>
      </w:r>
    </w:p>
    <w:p w14:paraId="67E15D6B" w14:textId="77777777" w:rsidR="00061CA5" w:rsidRPr="00380D3E" w:rsidRDefault="00061CA5" w:rsidP="00380D3E">
      <w:pPr>
        <w:ind w:left="851"/>
        <w:rPr>
          <w:sz w:val="24"/>
          <w:szCs w:val="24"/>
        </w:rPr>
      </w:pPr>
    </w:p>
    <w:p w14:paraId="4BC9B54D" w14:textId="77777777" w:rsidR="00061CA5" w:rsidRPr="00380D3E" w:rsidRDefault="00061CA5" w:rsidP="00380D3E">
      <w:pPr>
        <w:ind w:left="851"/>
        <w:rPr>
          <w:sz w:val="24"/>
          <w:szCs w:val="24"/>
        </w:rPr>
      </w:pPr>
      <w:r w:rsidRPr="00380D3E">
        <w:rPr>
          <w:sz w:val="24"/>
          <w:szCs w:val="24"/>
        </w:rPr>
        <w:t>Det primære endepunkt var karakterisering af farmakokinetikken (se pkt. 5.2).</w:t>
      </w:r>
    </w:p>
    <w:p w14:paraId="143D263D" w14:textId="77777777" w:rsidR="00061CA5" w:rsidRPr="00380D3E" w:rsidRDefault="00061CA5" w:rsidP="00380D3E">
      <w:pPr>
        <w:ind w:left="851"/>
        <w:rPr>
          <w:sz w:val="24"/>
          <w:szCs w:val="24"/>
        </w:rPr>
      </w:pPr>
    </w:p>
    <w:p w14:paraId="08F0AEC8" w14:textId="0A889DBB" w:rsidR="00061CA5" w:rsidRPr="00380D3E" w:rsidRDefault="00061CA5" w:rsidP="00380D3E">
      <w:pPr>
        <w:ind w:left="851"/>
        <w:rPr>
          <w:sz w:val="24"/>
          <w:szCs w:val="24"/>
        </w:rPr>
      </w:pPr>
      <w:r w:rsidRPr="00380D3E">
        <w:rPr>
          <w:sz w:val="24"/>
          <w:szCs w:val="24"/>
        </w:rPr>
        <w:t xml:space="preserve">Det vigtigste sammensatte endepunkt var tid til første </w:t>
      </w:r>
      <w:proofErr w:type="spellStart"/>
      <w:r w:rsidRPr="00380D3E">
        <w:rPr>
          <w:sz w:val="24"/>
          <w:szCs w:val="24"/>
        </w:rPr>
        <w:t>Clinical</w:t>
      </w:r>
      <w:proofErr w:type="spellEnd"/>
      <w:r w:rsidRPr="00380D3E">
        <w:rPr>
          <w:sz w:val="24"/>
          <w:szCs w:val="24"/>
        </w:rPr>
        <w:t xml:space="preserve"> Events </w:t>
      </w:r>
      <w:proofErr w:type="spellStart"/>
      <w:r w:rsidRPr="00380D3E">
        <w:rPr>
          <w:sz w:val="24"/>
          <w:szCs w:val="24"/>
        </w:rPr>
        <w:t>Committee</w:t>
      </w:r>
      <w:proofErr w:type="spellEnd"/>
      <w:r w:rsidRPr="00380D3E">
        <w:rPr>
          <w:sz w:val="24"/>
          <w:szCs w:val="24"/>
        </w:rPr>
        <w:t xml:space="preserve"> (CEC)-bekræftede sygdomsprogression med indtræden mellem </w:t>
      </w:r>
      <w:proofErr w:type="spellStart"/>
      <w:r w:rsidRPr="00380D3E">
        <w:rPr>
          <w:sz w:val="24"/>
          <w:szCs w:val="24"/>
        </w:rPr>
        <w:t>randomiseringen</w:t>
      </w:r>
      <w:proofErr w:type="spellEnd"/>
      <w:r w:rsidRPr="00380D3E">
        <w:rPr>
          <w:sz w:val="24"/>
          <w:szCs w:val="24"/>
        </w:rPr>
        <w:t xml:space="preserve"> og besøget ved afslutningen af hovedperioden, defineret som død (enhver årsag) eller </w:t>
      </w:r>
      <w:proofErr w:type="spellStart"/>
      <w:r w:rsidRPr="00380D3E">
        <w:rPr>
          <w:sz w:val="24"/>
          <w:szCs w:val="24"/>
        </w:rPr>
        <w:t>atrieseptostomi</w:t>
      </w:r>
      <w:proofErr w:type="spellEnd"/>
      <w:r w:rsidRPr="00380D3E">
        <w:rPr>
          <w:sz w:val="24"/>
          <w:szCs w:val="24"/>
        </w:rPr>
        <w:t xml:space="preserve"> eller </w:t>
      </w:r>
      <w:proofErr w:type="spellStart"/>
      <w:r w:rsidRPr="00380D3E">
        <w:rPr>
          <w:sz w:val="24"/>
          <w:szCs w:val="24"/>
        </w:rPr>
        <w:t>Potts</w:t>
      </w:r>
      <w:proofErr w:type="spellEnd"/>
      <w:r w:rsidRPr="00380D3E">
        <w:rPr>
          <w:sz w:val="24"/>
          <w:szCs w:val="24"/>
        </w:rPr>
        <w:t xml:space="preserve"> </w:t>
      </w:r>
      <w:proofErr w:type="spellStart"/>
      <w:r w:rsidRPr="00380D3E">
        <w:rPr>
          <w:sz w:val="24"/>
          <w:szCs w:val="24"/>
        </w:rPr>
        <w:t>anastomose</w:t>
      </w:r>
      <w:proofErr w:type="spellEnd"/>
      <w:r w:rsidRPr="00380D3E">
        <w:rPr>
          <w:sz w:val="24"/>
          <w:szCs w:val="24"/>
        </w:rPr>
        <w:t xml:space="preserve"> eller opskrivning på lungetransplantationsliste eller hospitalsindlæggelse på grund af PAH-forværring eller klinisk forværring af PAH. Klinisk forværring af PAH </w:t>
      </w:r>
      <w:r w:rsidRPr="00380D3E">
        <w:rPr>
          <w:sz w:val="24"/>
          <w:szCs w:val="24"/>
        </w:rPr>
        <w:lastRenderedPageBreak/>
        <w:t xml:space="preserve">var defineret som: behov for eller opstart af ny PAH-specifik behandling eller </w:t>
      </w:r>
      <w:proofErr w:type="spellStart"/>
      <w:r w:rsidRPr="00380D3E">
        <w:rPr>
          <w:sz w:val="24"/>
          <w:szCs w:val="24"/>
        </w:rPr>
        <w:t>i.v</w:t>
      </w:r>
      <w:proofErr w:type="spellEnd"/>
      <w:r w:rsidRPr="00380D3E">
        <w:rPr>
          <w:sz w:val="24"/>
          <w:szCs w:val="24"/>
        </w:rPr>
        <w:t xml:space="preserve">. </w:t>
      </w:r>
      <w:proofErr w:type="spellStart"/>
      <w:r w:rsidRPr="00380D3E">
        <w:rPr>
          <w:sz w:val="24"/>
          <w:szCs w:val="24"/>
        </w:rPr>
        <w:t>diuretika</w:t>
      </w:r>
      <w:proofErr w:type="spellEnd"/>
      <w:r w:rsidRPr="00380D3E">
        <w:rPr>
          <w:sz w:val="24"/>
          <w:szCs w:val="24"/>
        </w:rPr>
        <w:t xml:space="preserve"> eller kontinuerlig ilt OG mindst 1 af følgende: forværring af WHO-funktionsklasse eller ny forekomst eller forværring af synkope eller ny forekomst eller forværring af mindst 2</w:t>
      </w:r>
      <w:r w:rsidR="005B6B84">
        <w:rPr>
          <w:sz w:val="24"/>
          <w:szCs w:val="24"/>
        </w:rPr>
        <w:t> </w:t>
      </w:r>
      <w:r w:rsidRPr="00380D3E">
        <w:rPr>
          <w:sz w:val="24"/>
          <w:szCs w:val="24"/>
        </w:rPr>
        <w:t>PAH-symptomer eller ny forekomst eller forværring af tegn på højresidigt</w:t>
      </w:r>
    </w:p>
    <w:p w14:paraId="146DE01D" w14:textId="77777777" w:rsidR="00061CA5" w:rsidRPr="00380D3E" w:rsidRDefault="00061CA5" w:rsidP="00380D3E">
      <w:pPr>
        <w:ind w:left="851"/>
        <w:rPr>
          <w:sz w:val="24"/>
          <w:szCs w:val="24"/>
        </w:rPr>
      </w:pPr>
      <w:r w:rsidRPr="00380D3E">
        <w:rPr>
          <w:sz w:val="24"/>
          <w:szCs w:val="24"/>
        </w:rPr>
        <w:t xml:space="preserve">hjertesvigt, der ikke responderer på orale </w:t>
      </w:r>
      <w:proofErr w:type="spellStart"/>
      <w:r w:rsidRPr="00380D3E">
        <w:rPr>
          <w:sz w:val="24"/>
          <w:szCs w:val="24"/>
        </w:rPr>
        <w:t>diuretika</w:t>
      </w:r>
      <w:proofErr w:type="spellEnd"/>
      <w:r w:rsidRPr="00380D3E">
        <w:rPr>
          <w:sz w:val="24"/>
          <w:szCs w:val="24"/>
        </w:rPr>
        <w:t>.</w:t>
      </w:r>
    </w:p>
    <w:p w14:paraId="563B6784" w14:textId="77777777" w:rsidR="00061CA5" w:rsidRPr="00380D3E" w:rsidRDefault="00061CA5" w:rsidP="00380D3E">
      <w:pPr>
        <w:ind w:left="851"/>
        <w:rPr>
          <w:sz w:val="24"/>
          <w:szCs w:val="24"/>
        </w:rPr>
      </w:pPr>
    </w:p>
    <w:p w14:paraId="3FFF0886" w14:textId="3617B91F" w:rsidR="00061CA5" w:rsidRPr="00380D3E" w:rsidRDefault="00061CA5" w:rsidP="00380D3E">
      <w:pPr>
        <w:ind w:left="851"/>
        <w:rPr>
          <w:sz w:val="24"/>
          <w:szCs w:val="24"/>
        </w:rPr>
      </w:pPr>
      <w:r w:rsidRPr="00380D3E">
        <w:rPr>
          <w:sz w:val="24"/>
          <w:szCs w:val="24"/>
        </w:rPr>
        <w:t>Andre sekundære endepunkter omfattede tid til første CEC-bekræftede hospitals</w:t>
      </w:r>
      <w:r w:rsidR="005B6B84">
        <w:rPr>
          <w:sz w:val="24"/>
          <w:szCs w:val="24"/>
        </w:rPr>
        <w:softHyphen/>
      </w:r>
      <w:r w:rsidRPr="00380D3E">
        <w:rPr>
          <w:sz w:val="24"/>
          <w:szCs w:val="24"/>
        </w:rPr>
        <w:t xml:space="preserve">indlæggelse for PAH, tid til CEC-bekræftet død på grund af PAH, begge mellem </w:t>
      </w:r>
      <w:proofErr w:type="spellStart"/>
      <w:r w:rsidRPr="00380D3E">
        <w:rPr>
          <w:sz w:val="24"/>
          <w:szCs w:val="24"/>
        </w:rPr>
        <w:t>randomiseringen</w:t>
      </w:r>
      <w:proofErr w:type="spellEnd"/>
      <w:r w:rsidRPr="00380D3E">
        <w:rPr>
          <w:sz w:val="24"/>
          <w:szCs w:val="24"/>
        </w:rPr>
        <w:t xml:space="preserve"> og afslutningen af hovedperioden, tid til død af enhver årsag mellem </w:t>
      </w:r>
      <w:proofErr w:type="spellStart"/>
      <w:r w:rsidRPr="00380D3E">
        <w:rPr>
          <w:sz w:val="24"/>
          <w:szCs w:val="24"/>
        </w:rPr>
        <w:t>randomiseringen</w:t>
      </w:r>
      <w:proofErr w:type="spellEnd"/>
      <w:r w:rsidRPr="00380D3E">
        <w:rPr>
          <w:sz w:val="24"/>
          <w:szCs w:val="24"/>
        </w:rPr>
        <w:t xml:space="preserve"> og afslutningen af hovedperioden, ændring i WHO-funktionsklasse og data om N-terminal pro b-type </w:t>
      </w:r>
      <w:proofErr w:type="spellStart"/>
      <w:r w:rsidRPr="00380D3E">
        <w:rPr>
          <w:sz w:val="24"/>
          <w:szCs w:val="24"/>
        </w:rPr>
        <w:t>natriuretisk</w:t>
      </w:r>
      <w:proofErr w:type="spellEnd"/>
      <w:r w:rsidRPr="00380D3E">
        <w:rPr>
          <w:sz w:val="24"/>
          <w:szCs w:val="24"/>
        </w:rPr>
        <w:t xml:space="preserve"> peptid (NT-</w:t>
      </w:r>
      <w:proofErr w:type="spellStart"/>
      <w:r w:rsidRPr="00380D3E">
        <w:rPr>
          <w:sz w:val="24"/>
          <w:szCs w:val="24"/>
        </w:rPr>
        <w:t>proBNP</w:t>
      </w:r>
      <w:proofErr w:type="spellEnd"/>
      <w:r w:rsidRPr="00380D3E">
        <w:rPr>
          <w:sz w:val="24"/>
          <w:szCs w:val="24"/>
        </w:rPr>
        <w:t>).</w:t>
      </w:r>
    </w:p>
    <w:p w14:paraId="35F6C0CA" w14:textId="77777777" w:rsidR="00061CA5" w:rsidRPr="00380D3E" w:rsidRDefault="00061CA5" w:rsidP="00380D3E">
      <w:pPr>
        <w:ind w:left="851"/>
        <w:rPr>
          <w:sz w:val="24"/>
          <w:szCs w:val="24"/>
        </w:rPr>
      </w:pPr>
    </w:p>
    <w:p w14:paraId="564EE37E" w14:textId="77777777" w:rsidR="00061CA5" w:rsidRPr="00380D3E" w:rsidRDefault="00061CA5" w:rsidP="00380D3E">
      <w:pPr>
        <w:ind w:left="851"/>
        <w:rPr>
          <w:i/>
          <w:iCs/>
          <w:sz w:val="24"/>
          <w:szCs w:val="24"/>
        </w:rPr>
      </w:pPr>
      <w:r w:rsidRPr="00380D3E">
        <w:rPr>
          <w:i/>
          <w:iCs/>
          <w:sz w:val="24"/>
          <w:szCs w:val="24"/>
        </w:rPr>
        <w:t>Pædiatrisk population (i alderen ≥ 2 år til under 18 år)</w:t>
      </w:r>
    </w:p>
    <w:p w14:paraId="2B7A3802" w14:textId="77777777" w:rsidR="00061CA5" w:rsidRPr="00380D3E" w:rsidRDefault="00061CA5" w:rsidP="00380D3E">
      <w:pPr>
        <w:ind w:left="851"/>
        <w:rPr>
          <w:sz w:val="24"/>
          <w:szCs w:val="24"/>
        </w:rPr>
      </w:pPr>
      <w:r w:rsidRPr="00380D3E">
        <w:rPr>
          <w:sz w:val="24"/>
          <w:szCs w:val="24"/>
        </w:rPr>
        <w:t xml:space="preserve">I alt 148 patienter i alderen ≥ 2 år til &lt; 18 år blev randomiseret 1:1 til at få enten </w:t>
      </w:r>
      <w:proofErr w:type="spellStart"/>
      <w:r w:rsidRPr="00380D3E">
        <w:rPr>
          <w:sz w:val="24"/>
          <w:szCs w:val="24"/>
        </w:rPr>
        <w:t>macitentan</w:t>
      </w:r>
      <w:proofErr w:type="spellEnd"/>
      <w:r w:rsidRPr="00380D3E">
        <w:rPr>
          <w:sz w:val="24"/>
          <w:szCs w:val="24"/>
        </w:rPr>
        <w:t xml:space="preserve"> eller standardbehandling. Standardbehandling omfattede uspecifik PAH-behandling og/eller op til 2 PAH-specifikke lægemidler (herunder en anden ERA) og udelukkede </w:t>
      </w:r>
      <w:proofErr w:type="spellStart"/>
      <w:r w:rsidRPr="00380D3E">
        <w:rPr>
          <w:sz w:val="24"/>
          <w:szCs w:val="24"/>
        </w:rPr>
        <w:t>macitentan</w:t>
      </w:r>
      <w:proofErr w:type="spellEnd"/>
      <w:r w:rsidRPr="00380D3E">
        <w:rPr>
          <w:sz w:val="24"/>
          <w:szCs w:val="24"/>
        </w:rPr>
        <w:t xml:space="preserve"> og </w:t>
      </w:r>
      <w:proofErr w:type="spellStart"/>
      <w:r w:rsidRPr="00380D3E">
        <w:rPr>
          <w:sz w:val="24"/>
          <w:szCs w:val="24"/>
        </w:rPr>
        <w:t>i.v</w:t>
      </w:r>
      <w:proofErr w:type="spellEnd"/>
      <w:r w:rsidRPr="00380D3E">
        <w:rPr>
          <w:sz w:val="24"/>
          <w:szCs w:val="24"/>
        </w:rPr>
        <w:t>./</w:t>
      </w:r>
      <w:proofErr w:type="spellStart"/>
      <w:r w:rsidRPr="00380D3E">
        <w:rPr>
          <w:sz w:val="24"/>
          <w:szCs w:val="24"/>
        </w:rPr>
        <w:t>s.c</w:t>
      </w:r>
      <w:proofErr w:type="spellEnd"/>
      <w:r w:rsidRPr="00380D3E">
        <w:rPr>
          <w:sz w:val="24"/>
          <w:szCs w:val="24"/>
        </w:rPr>
        <w:t xml:space="preserve">. </w:t>
      </w:r>
      <w:proofErr w:type="spellStart"/>
      <w:r w:rsidRPr="00380D3E">
        <w:rPr>
          <w:sz w:val="24"/>
          <w:szCs w:val="24"/>
        </w:rPr>
        <w:t>prostanoider</w:t>
      </w:r>
      <w:proofErr w:type="spellEnd"/>
      <w:r w:rsidRPr="00380D3E">
        <w:rPr>
          <w:sz w:val="24"/>
          <w:szCs w:val="24"/>
        </w:rPr>
        <w:t>. Gennemsnitsalderen var 9,8 år (interval 2,1 år-17,9 år), med 35 (23,6 %) i alderen ≥ 2 til &lt; 6 år, 61 (41,2 %) i alderen ≥ 6 til &lt; 12 år og 52 (35,1 %) i alderen ≥ 12 til &lt; 18 år. Størstedelen af patienterne var hvide (51,4 %) og kvinder (59,5 %). Patienterne var enten i WHO-funktionsklasse I (25,0 %), WHO-funktionsklasse II (56,1 %) eller WHO-funktionsklasse III (18,9 %).</w:t>
      </w:r>
    </w:p>
    <w:p w14:paraId="0AC37966" w14:textId="77777777" w:rsidR="00061CA5" w:rsidRPr="00380D3E" w:rsidRDefault="00061CA5" w:rsidP="00380D3E">
      <w:pPr>
        <w:ind w:left="851"/>
        <w:rPr>
          <w:sz w:val="24"/>
          <w:szCs w:val="24"/>
        </w:rPr>
      </w:pPr>
    </w:p>
    <w:p w14:paraId="0814FB46" w14:textId="77777777" w:rsidR="00061CA5" w:rsidRPr="00380D3E" w:rsidRDefault="00061CA5" w:rsidP="00380D3E">
      <w:pPr>
        <w:ind w:left="851"/>
        <w:rPr>
          <w:sz w:val="24"/>
          <w:szCs w:val="24"/>
        </w:rPr>
      </w:pPr>
      <w:r w:rsidRPr="00380D3E">
        <w:rPr>
          <w:sz w:val="24"/>
          <w:szCs w:val="24"/>
        </w:rPr>
        <w:t xml:space="preserve">Idiopatisk PAH var den mest almindelige ætiologi i studiepopulationen (48,0 %), efterfulgt af PAH forbundet med postoperativ kongenit hjertesygdom (28,4 %), PAH med samtidig kongenit hjertesygdom (17,6 %), arvelig PAH (4,1 %) og PAH forbundet med bindevævssygdom (2,0 %). Samtidig kongenit hjertesygdom omfattede typisk kun små samtidige defekter, såsom </w:t>
      </w:r>
      <w:proofErr w:type="spellStart"/>
      <w:r w:rsidRPr="00380D3E">
        <w:rPr>
          <w:sz w:val="24"/>
          <w:szCs w:val="24"/>
        </w:rPr>
        <w:t>prætrikuspidale</w:t>
      </w:r>
      <w:proofErr w:type="spellEnd"/>
      <w:r w:rsidRPr="00380D3E">
        <w:rPr>
          <w:sz w:val="24"/>
          <w:szCs w:val="24"/>
        </w:rPr>
        <w:t>, post-</w:t>
      </w:r>
      <w:proofErr w:type="spellStart"/>
      <w:r w:rsidRPr="00380D3E">
        <w:rPr>
          <w:sz w:val="24"/>
          <w:szCs w:val="24"/>
        </w:rPr>
        <w:t>trikuspidale</w:t>
      </w:r>
      <w:proofErr w:type="spellEnd"/>
      <w:r w:rsidRPr="00380D3E">
        <w:rPr>
          <w:sz w:val="24"/>
          <w:szCs w:val="24"/>
        </w:rPr>
        <w:t xml:space="preserve"> shunts, </w:t>
      </w:r>
      <w:proofErr w:type="spellStart"/>
      <w:r w:rsidRPr="00380D3E">
        <w:rPr>
          <w:sz w:val="24"/>
          <w:szCs w:val="24"/>
        </w:rPr>
        <w:t>atrieseptumdefekt</w:t>
      </w:r>
      <w:proofErr w:type="spellEnd"/>
      <w:r w:rsidRPr="00380D3E">
        <w:rPr>
          <w:sz w:val="24"/>
          <w:szCs w:val="24"/>
        </w:rPr>
        <w:t xml:space="preserve">, ventrikelseptumdefekt, åbentstående </w:t>
      </w:r>
      <w:proofErr w:type="spellStart"/>
      <w:r w:rsidRPr="00380D3E">
        <w:rPr>
          <w:sz w:val="24"/>
          <w:szCs w:val="24"/>
        </w:rPr>
        <w:t>ductus</w:t>
      </w:r>
      <w:proofErr w:type="spellEnd"/>
      <w:r w:rsidRPr="00380D3E">
        <w:rPr>
          <w:sz w:val="24"/>
          <w:szCs w:val="24"/>
        </w:rPr>
        <w:t xml:space="preserve"> </w:t>
      </w:r>
      <w:proofErr w:type="spellStart"/>
      <w:r w:rsidRPr="00380D3E">
        <w:rPr>
          <w:sz w:val="24"/>
          <w:szCs w:val="24"/>
        </w:rPr>
        <w:t>arteriosus</w:t>
      </w:r>
      <w:proofErr w:type="spellEnd"/>
      <w:r w:rsidRPr="00380D3E">
        <w:rPr>
          <w:sz w:val="24"/>
          <w:szCs w:val="24"/>
        </w:rPr>
        <w:t>, og ingen af dem blevet vurderet at være tilgrundliggende for graden af PAH.</w:t>
      </w:r>
    </w:p>
    <w:p w14:paraId="27F86F44" w14:textId="77777777" w:rsidR="00061CA5" w:rsidRPr="00380D3E" w:rsidRDefault="00061CA5" w:rsidP="00380D3E">
      <w:pPr>
        <w:ind w:left="851"/>
        <w:rPr>
          <w:sz w:val="24"/>
          <w:szCs w:val="24"/>
        </w:rPr>
      </w:pPr>
    </w:p>
    <w:p w14:paraId="00D15E72" w14:textId="77777777" w:rsidR="00061CA5" w:rsidRPr="00380D3E" w:rsidRDefault="00061CA5" w:rsidP="00380D3E">
      <w:pPr>
        <w:ind w:left="851"/>
        <w:rPr>
          <w:sz w:val="24"/>
          <w:szCs w:val="24"/>
        </w:rPr>
      </w:pPr>
      <w:r w:rsidRPr="00380D3E">
        <w:rPr>
          <w:sz w:val="24"/>
          <w:szCs w:val="24"/>
        </w:rPr>
        <w:t xml:space="preserve">Den gennemsnitlige behandlingsvarighed i det randomiserede studie var 183,4 uger i </w:t>
      </w:r>
      <w:proofErr w:type="spellStart"/>
      <w:r w:rsidRPr="00380D3E">
        <w:rPr>
          <w:sz w:val="24"/>
          <w:szCs w:val="24"/>
        </w:rPr>
        <w:t>macitentanarmen</w:t>
      </w:r>
      <w:proofErr w:type="spellEnd"/>
      <w:r w:rsidRPr="00380D3E">
        <w:rPr>
          <w:sz w:val="24"/>
          <w:szCs w:val="24"/>
        </w:rPr>
        <w:t xml:space="preserve"> og 130,6 uger i standardbehandlingsarmen.</w:t>
      </w:r>
    </w:p>
    <w:p w14:paraId="7B20ED9D" w14:textId="77777777" w:rsidR="00061CA5" w:rsidRPr="00380D3E" w:rsidRDefault="00061CA5" w:rsidP="00380D3E">
      <w:pPr>
        <w:ind w:left="851"/>
        <w:rPr>
          <w:sz w:val="24"/>
          <w:szCs w:val="24"/>
        </w:rPr>
      </w:pPr>
    </w:p>
    <w:p w14:paraId="394894B3" w14:textId="509A417F" w:rsidR="00061CA5" w:rsidRPr="00380D3E" w:rsidRDefault="00061CA5" w:rsidP="00380D3E">
      <w:pPr>
        <w:ind w:left="851"/>
        <w:rPr>
          <w:sz w:val="24"/>
          <w:szCs w:val="24"/>
        </w:rPr>
      </w:pPr>
      <w:r w:rsidRPr="00380D3E">
        <w:rPr>
          <w:sz w:val="24"/>
          <w:szCs w:val="24"/>
        </w:rPr>
        <w:t xml:space="preserve">Hvad angik det vigtigste sekundære endepunkt, CEC-bekræftet sygdomsprogression, blev der set færre hændelser i </w:t>
      </w:r>
      <w:proofErr w:type="spellStart"/>
      <w:r w:rsidRPr="00380D3E">
        <w:rPr>
          <w:sz w:val="24"/>
          <w:szCs w:val="24"/>
        </w:rPr>
        <w:t>macitentan</w:t>
      </w:r>
      <w:proofErr w:type="spellEnd"/>
      <w:r w:rsidRPr="00380D3E">
        <w:rPr>
          <w:sz w:val="24"/>
          <w:szCs w:val="24"/>
        </w:rPr>
        <w:t>-armen (21 hændelser/73 patienter, 29 %) end i standardbehandlingsarmen (24 hændelser/75 patienter, 32 %); absolut risikoreduktion på 3</w:t>
      </w:r>
      <w:r w:rsidR="005B6B84">
        <w:rPr>
          <w:sz w:val="24"/>
          <w:szCs w:val="24"/>
        </w:rPr>
        <w:t> </w:t>
      </w:r>
      <w:r w:rsidRPr="00380D3E">
        <w:rPr>
          <w:sz w:val="24"/>
          <w:szCs w:val="24"/>
        </w:rPr>
        <w:t xml:space="preserve">%. Risikoforholdet var 0,828 (95 % CI 0,460; 1,492; 2-sidet stratificeret </w:t>
      </w:r>
      <w:proofErr w:type="spellStart"/>
      <w:r w:rsidRPr="00380D3E">
        <w:rPr>
          <w:sz w:val="24"/>
          <w:szCs w:val="24"/>
        </w:rPr>
        <w:t>p-værdi</w:t>
      </w:r>
      <w:proofErr w:type="spellEnd"/>
      <w:r w:rsidR="005B6B84">
        <w:rPr>
          <w:sz w:val="24"/>
          <w:szCs w:val="24"/>
        </w:rPr>
        <w:t> </w:t>
      </w:r>
      <w:r w:rsidRPr="00380D3E">
        <w:rPr>
          <w:sz w:val="24"/>
          <w:szCs w:val="24"/>
        </w:rPr>
        <w:t>=</w:t>
      </w:r>
      <w:r w:rsidR="005B6B84">
        <w:rPr>
          <w:sz w:val="24"/>
          <w:szCs w:val="24"/>
        </w:rPr>
        <w:t> </w:t>
      </w:r>
      <w:r w:rsidRPr="00380D3E">
        <w:rPr>
          <w:sz w:val="24"/>
          <w:szCs w:val="24"/>
        </w:rPr>
        <w:t>0,567). Den numeriske tendens i retning af en fordel var primært drevet af den kliniske forværring af PAH.</w:t>
      </w:r>
    </w:p>
    <w:p w14:paraId="307D755D" w14:textId="77777777" w:rsidR="00061CA5" w:rsidRPr="00380D3E" w:rsidRDefault="00061CA5" w:rsidP="00380D3E">
      <w:pPr>
        <w:ind w:left="851"/>
        <w:rPr>
          <w:sz w:val="24"/>
          <w:szCs w:val="24"/>
        </w:rPr>
      </w:pPr>
    </w:p>
    <w:p w14:paraId="580C3E8F" w14:textId="77777777" w:rsidR="00061CA5" w:rsidRPr="00380D3E" w:rsidRDefault="00061CA5" w:rsidP="00380D3E">
      <w:pPr>
        <w:ind w:left="851"/>
        <w:rPr>
          <w:i/>
          <w:iCs/>
          <w:sz w:val="24"/>
          <w:szCs w:val="24"/>
        </w:rPr>
      </w:pPr>
      <w:r w:rsidRPr="00380D3E">
        <w:rPr>
          <w:i/>
          <w:iCs/>
          <w:sz w:val="24"/>
          <w:szCs w:val="24"/>
        </w:rPr>
        <w:t>Andre sekundære virkningsanalyser</w:t>
      </w:r>
    </w:p>
    <w:p w14:paraId="68C8E29E" w14:textId="77777777" w:rsidR="00061CA5" w:rsidRPr="00380D3E" w:rsidRDefault="00061CA5" w:rsidP="00380D3E">
      <w:pPr>
        <w:ind w:left="851"/>
        <w:rPr>
          <w:sz w:val="24"/>
          <w:szCs w:val="24"/>
        </w:rPr>
      </w:pPr>
      <w:r w:rsidRPr="00380D3E">
        <w:rPr>
          <w:sz w:val="24"/>
          <w:szCs w:val="24"/>
        </w:rPr>
        <w:t>Der blev set det samme antal hændelser, hvad angik første bekræftede hospitalsindlæggelse for PAH, i begge grupper (</w:t>
      </w:r>
      <w:proofErr w:type="spellStart"/>
      <w:r w:rsidRPr="00380D3E">
        <w:rPr>
          <w:sz w:val="24"/>
          <w:szCs w:val="24"/>
        </w:rPr>
        <w:t>macitentan</w:t>
      </w:r>
      <w:proofErr w:type="spellEnd"/>
      <w:r w:rsidRPr="00380D3E">
        <w:rPr>
          <w:sz w:val="24"/>
          <w:szCs w:val="24"/>
        </w:rPr>
        <w:t xml:space="preserve"> 11 vs. standardbehandling 11; justeret HR = 0,912; 95 % CI = [0,393; 2,118]). Hvad angik tid til CEC-bekræftet død på grund af PAH og død af enhver årsag, blev der set i alt 7 dødsfald (hvoraf 6 skyldtes PAH i henhold til CEC) i </w:t>
      </w:r>
      <w:proofErr w:type="spellStart"/>
      <w:r w:rsidRPr="00380D3E">
        <w:rPr>
          <w:sz w:val="24"/>
          <w:szCs w:val="24"/>
        </w:rPr>
        <w:t>macitentan</w:t>
      </w:r>
      <w:proofErr w:type="spellEnd"/>
      <w:r w:rsidRPr="00380D3E">
        <w:rPr>
          <w:sz w:val="24"/>
          <w:szCs w:val="24"/>
        </w:rPr>
        <w:t>-armen, sammenlignet med 6 dødsfald (hvoraf 4 skyldtes PAH i henhold til CEC) i standardbehandlingsarmen.</w:t>
      </w:r>
    </w:p>
    <w:p w14:paraId="37FD5710" w14:textId="35802B5D" w:rsidR="00061CA5" w:rsidRPr="00380D3E" w:rsidRDefault="00061CA5" w:rsidP="00380D3E">
      <w:pPr>
        <w:ind w:left="851"/>
        <w:rPr>
          <w:sz w:val="24"/>
          <w:szCs w:val="24"/>
        </w:rPr>
      </w:pPr>
      <w:r w:rsidRPr="00380D3E">
        <w:rPr>
          <w:sz w:val="24"/>
          <w:szCs w:val="24"/>
        </w:rPr>
        <w:t>Der blev rapporteret om en numerisk højere andel af patienter i WHO-funktionsklasse I eller II i</w:t>
      </w:r>
      <w:r w:rsidR="00380D3E">
        <w:rPr>
          <w:sz w:val="24"/>
          <w:szCs w:val="24"/>
        </w:rPr>
        <w:t xml:space="preserve"> </w:t>
      </w:r>
      <w:proofErr w:type="spellStart"/>
      <w:r w:rsidRPr="00380D3E">
        <w:rPr>
          <w:sz w:val="24"/>
          <w:szCs w:val="24"/>
        </w:rPr>
        <w:t>macitentan</w:t>
      </w:r>
      <w:proofErr w:type="spellEnd"/>
      <w:r w:rsidRPr="00380D3E">
        <w:rPr>
          <w:sz w:val="24"/>
          <w:szCs w:val="24"/>
        </w:rPr>
        <w:t xml:space="preserve">-armen end i standardbehandlingsarmen ved uge 12 (88,7 % i </w:t>
      </w:r>
      <w:proofErr w:type="spellStart"/>
      <w:r w:rsidRPr="00380D3E">
        <w:rPr>
          <w:sz w:val="24"/>
          <w:szCs w:val="24"/>
        </w:rPr>
        <w:t>macitentan</w:t>
      </w:r>
      <w:proofErr w:type="spellEnd"/>
      <w:r w:rsidRPr="00380D3E">
        <w:rPr>
          <w:sz w:val="24"/>
          <w:szCs w:val="24"/>
        </w:rPr>
        <w:t>-armen vs. 81,7 %</w:t>
      </w:r>
      <w:r w:rsidR="00380D3E">
        <w:rPr>
          <w:sz w:val="24"/>
          <w:szCs w:val="24"/>
        </w:rPr>
        <w:t xml:space="preserve"> </w:t>
      </w:r>
      <w:r w:rsidRPr="00380D3E">
        <w:rPr>
          <w:sz w:val="24"/>
          <w:szCs w:val="24"/>
        </w:rPr>
        <w:t xml:space="preserve">i standardbehandlingsarmen) og ved uge 24 (90,0 % i </w:t>
      </w:r>
      <w:proofErr w:type="spellStart"/>
      <w:r w:rsidRPr="00380D3E">
        <w:rPr>
          <w:sz w:val="24"/>
          <w:szCs w:val="24"/>
        </w:rPr>
        <w:t>macitentan</w:t>
      </w:r>
      <w:proofErr w:type="spellEnd"/>
      <w:r w:rsidRPr="00380D3E">
        <w:rPr>
          <w:sz w:val="24"/>
          <w:szCs w:val="24"/>
        </w:rPr>
        <w:t>-armen vs. 82,5 %</w:t>
      </w:r>
      <w:r w:rsidR="00380D3E">
        <w:rPr>
          <w:sz w:val="24"/>
          <w:szCs w:val="24"/>
        </w:rPr>
        <w:t xml:space="preserve"> </w:t>
      </w:r>
      <w:r w:rsidRPr="00380D3E">
        <w:rPr>
          <w:sz w:val="24"/>
          <w:szCs w:val="24"/>
        </w:rPr>
        <w:t>standardbehandlingsarmen).</w:t>
      </w:r>
    </w:p>
    <w:p w14:paraId="0D01E30C" w14:textId="77777777" w:rsidR="00061CA5" w:rsidRPr="00380D3E" w:rsidRDefault="00061CA5" w:rsidP="00380D3E">
      <w:pPr>
        <w:ind w:left="851"/>
        <w:rPr>
          <w:sz w:val="24"/>
          <w:szCs w:val="24"/>
        </w:rPr>
      </w:pPr>
    </w:p>
    <w:p w14:paraId="1C6FFBDC" w14:textId="77777777" w:rsidR="00061CA5" w:rsidRPr="00380D3E" w:rsidRDefault="00061CA5" w:rsidP="00380D3E">
      <w:pPr>
        <w:ind w:left="851"/>
        <w:rPr>
          <w:sz w:val="24"/>
          <w:szCs w:val="24"/>
        </w:rPr>
      </w:pPr>
      <w:r w:rsidRPr="00380D3E">
        <w:rPr>
          <w:sz w:val="24"/>
          <w:szCs w:val="24"/>
        </w:rPr>
        <w:t>Der blev set en tendens til en reduktion af procenten af baseline-NT-</w:t>
      </w:r>
      <w:proofErr w:type="spellStart"/>
      <w:r w:rsidRPr="00380D3E">
        <w:rPr>
          <w:sz w:val="24"/>
          <w:szCs w:val="24"/>
        </w:rPr>
        <w:t>proBNP</w:t>
      </w:r>
      <w:proofErr w:type="spellEnd"/>
      <w:r w:rsidRPr="00380D3E">
        <w:rPr>
          <w:sz w:val="24"/>
          <w:szCs w:val="24"/>
        </w:rPr>
        <w:t xml:space="preserve"> (pmol/l) ved uge 12 med </w:t>
      </w:r>
      <w:proofErr w:type="spellStart"/>
      <w:r w:rsidRPr="00380D3E">
        <w:rPr>
          <w:sz w:val="24"/>
          <w:szCs w:val="24"/>
        </w:rPr>
        <w:t>macitentanbehandling</w:t>
      </w:r>
      <w:proofErr w:type="spellEnd"/>
      <w:r w:rsidRPr="00380D3E">
        <w:rPr>
          <w:sz w:val="24"/>
          <w:szCs w:val="24"/>
        </w:rPr>
        <w:t xml:space="preserve"> sammenlignet med standardbehandlingsarmen (geometrisk gennemsnitsratio: 0,72; 95 % CI: 0,49 til 1,05), men resultaterne var ikke statistisk signifikante (2-sidet </w:t>
      </w:r>
      <w:proofErr w:type="spellStart"/>
      <w:r w:rsidRPr="00380D3E">
        <w:rPr>
          <w:sz w:val="24"/>
          <w:szCs w:val="24"/>
        </w:rPr>
        <w:t>p-værdi</w:t>
      </w:r>
      <w:proofErr w:type="spellEnd"/>
      <w:r w:rsidRPr="00380D3E">
        <w:rPr>
          <w:sz w:val="24"/>
          <w:szCs w:val="24"/>
        </w:rPr>
        <w:t xml:space="preserve"> på 0,086). Den ikke-signifikante tendens var mindre udtalt ved uge 24 (geometrisk gennemsnitsratio: 0,97; 95 % CI: 0,66 til 1,43; 2-sidet </w:t>
      </w:r>
      <w:proofErr w:type="spellStart"/>
      <w:r w:rsidRPr="00380D3E">
        <w:rPr>
          <w:sz w:val="24"/>
          <w:szCs w:val="24"/>
        </w:rPr>
        <w:t>p-værdi</w:t>
      </w:r>
      <w:proofErr w:type="spellEnd"/>
      <w:r w:rsidRPr="00380D3E">
        <w:rPr>
          <w:sz w:val="24"/>
          <w:szCs w:val="24"/>
        </w:rPr>
        <w:t xml:space="preserve"> på 0,884).</w:t>
      </w:r>
    </w:p>
    <w:p w14:paraId="0F1DD8C1" w14:textId="77777777" w:rsidR="00061CA5" w:rsidRPr="00380D3E" w:rsidRDefault="00061CA5" w:rsidP="00380D3E">
      <w:pPr>
        <w:ind w:left="851"/>
        <w:rPr>
          <w:sz w:val="24"/>
          <w:szCs w:val="24"/>
        </w:rPr>
      </w:pPr>
    </w:p>
    <w:p w14:paraId="07110F93" w14:textId="77777777" w:rsidR="00061CA5" w:rsidRPr="00380D3E" w:rsidRDefault="00061CA5" w:rsidP="00380D3E">
      <w:pPr>
        <w:ind w:left="851"/>
        <w:rPr>
          <w:sz w:val="24"/>
          <w:szCs w:val="24"/>
        </w:rPr>
      </w:pPr>
      <w:r w:rsidRPr="00380D3E">
        <w:rPr>
          <w:sz w:val="24"/>
          <w:szCs w:val="24"/>
        </w:rPr>
        <w:t>Virkningsresultaterne fra patienter i alderen ≥ 2 år til under 18 år var overensstemmende med virkningsresultaterne hos voksne patienter.</w:t>
      </w:r>
    </w:p>
    <w:p w14:paraId="348F3B5E" w14:textId="77777777" w:rsidR="00061CA5" w:rsidRPr="00380D3E" w:rsidRDefault="00061CA5" w:rsidP="00380D3E">
      <w:pPr>
        <w:ind w:left="851"/>
        <w:rPr>
          <w:sz w:val="24"/>
          <w:szCs w:val="24"/>
        </w:rPr>
      </w:pPr>
    </w:p>
    <w:p w14:paraId="75E54B21" w14:textId="77777777" w:rsidR="00061CA5" w:rsidRPr="00380D3E" w:rsidRDefault="00061CA5" w:rsidP="00380D3E">
      <w:pPr>
        <w:ind w:left="851"/>
        <w:rPr>
          <w:i/>
          <w:iCs/>
          <w:sz w:val="24"/>
          <w:szCs w:val="24"/>
        </w:rPr>
      </w:pPr>
      <w:r w:rsidRPr="00380D3E">
        <w:rPr>
          <w:i/>
          <w:iCs/>
          <w:sz w:val="24"/>
          <w:szCs w:val="24"/>
        </w:rPr>
        <w:t>Pædiatrisk population (i alderen ≥ 1 måned til under 2 år)</w:t>
      </w:r>
    </w:p>
    <w:p w14:paraId="788023DA" w14:textId="77777777" w:rsidR="00061CA5" w:rsidRPr="00380D3E" w:rsidRDefault="00061CA5" w:rsidP="00380D3E">
      <w:pPr>
        <w:ind w:left="851"/>
        <w:rPr>
          <w:sz w:val="24"/>
          <w:szCs w:val="24"/>
        </w:rPr>
      </w:pPr>
      <w:r w:rsidRPr="00380D3E">
        <w:rPr>
          <w:sz w:val="24"/>
          <w:szCs w:val="24"/>
        </w:rPr>
        <w:t xml:space="preserve">Yderligere 11 patienter i alderen ≥ 1 måned til under 2 år blev inkluderet og fik </w:t>
      </w:r>
      <w:proofErr w:type="spellStart"/>
      <w:r w:rsidRPr="00380D3E">
        <w:rPr>
          <w:sz w:val="24"/>
          <w:szCs w:val="24"/>
        </w:rPr>
        <w:t>macitentan</w:t>
      </w:r>
      <w:proofErr w:type="spellEnd"/>
      <w:r w:rsidRPr="00380D3E">
        <w:rPr>
          <w:sz w:val="24"/>
          <w:szCs w:val="24"/>
        </w:rPr>
        <w:t xml:space="preserve"> uden </w:t>
      </w:r>
      <w:proofErr w:type="spellStart"/>
      <w:r w:rsidRPr="00380D3E">
        <w:rPr>
          <w:sz w:val="24"/>
          <w:szCs w:val="24"/>
        </w:rPr>
        <w:t>randomisering</w:t>
      </w:r>
      <w:proofErr w:type="spellEnd"/>
      <w:r w:rsidRPr="00380D3E">
        <w:rPr>
          <w:sz w:val="24"/>
          <w:szCs w:val="24"/>
        </w:rPr>
        <w:t xml:space="preserve">, 9 patienter fra open label-armen i TOMORROW-studiet og 2 japanske patienter fra PAH3001-studiet. PAH3001 var et åbent, </w:t>
      </w:r>
      <w:proofErr w:type="spellStart"/>
      <w:r w:rsidRPr="00380D3E">
        <w:rPr>
          <w:sz w:val="24"/>
          <w:szCs w:val="24"/>
        </w:rPr>
        <w:t>enkeltarmet</w:t>
      </w:r>
      <w:proofErr w:type="spellEnd"/>
      <w:r w:rsidRPr="00380D3E">
        <w:rPr>
          <w:sz w:val="24"/>
          <w:szCs w:val="24"/>
        </w:rPr>
        <w:t xml:space="preserve"> fase III-multicenterstudie hos japanske pædiatriske deltagere (i alderen mellem ≥ 3 måneder og &lt; 15 år) med PAH, der blev udført for at vurdere </w:t>
      </w:r>
      <w:proofErr w:type="spellStart"/>
      <w:r w:rsidRPr="00380D3E">
        <w:rPr>
          <w:sz w:val="24"/>
          <w:szCs w:val="24"/>
        </w:rPr>
        <w:t>macitentans</w:t>
      </w:r>
      <w:proofErr w:type="spellEnd"/>
      <w:r w:rsidRPr="00380D3E">
        <w:rPr>
          <w:sz w:val="24"/>
          <w:szCs w:val="24"/>
        </w:rPr>
        <w:t xml:space="preserve"> farmakokinetik og virkning.</w:t>
      </w:r>
    </w:p>
    <w:p w14:paraId="66EC4D91" w14:textId="77777777" w:rsidR="00061CA5" w:rsidRPr="00380D3E" w:rsidRDefault="00061CA5" w:rsidP="00380D3E">
      <w:pPr>
        <w:ind w:left="851"/>
        <w:rPr>
          <w:sz w:val="24"/>
          <w:szCs w:val="24"/>
        </w:rPr>
      </w:pPr>
    </w:p>
    <w:p w14:paraId="126898C2" w14:textId="48CF844C" w:rsidR="00061CA5" w:rsidRPr="00380D3E" w:rsidRDefault="00061CA5" w:rsidP="00380D3E">
      <w:pPr>
        <w:ind w:left="851"/>
        <w:rPr>
          <w:sz w:val="24"/>
          <w:szCs w:val="24"/>
        </w:rPr>
      </w:pPr>
      <w:r w:rsidRPr="00380D3E">
        <w:rPr>
          <w:sz w:val="24"/>
          <w:szCs w:val="24"/>
        </w:rPr>
        <w:t xml:space="preserve">Ved baseline var 6 patienter fra TOMORROW-studiet i PDE5i-behandling. Ved inklusionen var patienternes aldersinterval 1,2 år-1,9 år. Patienterne var enten i WHO-funktionsklasse II (4) eller WHO-funktionsklasse I (5). PAH forbundet med kongenit hjertesygdom var den mest almindelige ætiologi (5 patienter), efterfulgt af idiopatisk PAH (4 patienter). Den initialt administrerede daglige dosis var 2,5 mg </w:t>
      </w:r>
      <w:proofErr w:type="spellStart"/>
      <w:r w:rsidRPr="00380D3E">
        <w:rPr>
          <w:sz w:val="24"/>
          <w:szCs w:val="24"/>
        </w:rPr>
        <w:t>macitentan</w:t>
      </w:r>
      <w:proofErr w:type="spellEnd"/>
      <w:r w:rsidRPr="00380D3E">
        <w:rPr>
          <w:sz w:val="24"/>
          <w:szCs w:val="24"/>
        </w:rPr>
        <w:t>, indtil patienterne nåede 2-årsalderen. Efter en median opfølgning på 37,3 uger havde ingen af patienterne oplevet CEC-bekræftet sygdomsprogression, CEC-bekræftet hospitals</w:t>
      </w:r>
      <w:r w:rsidR="005B6B84">
        <w:rPr>
          <w:sz w:val="24"/>
          <w:szCs w:val="24"/>
        </w:rPr>
        <w:softHyphen/>
      </w:r>
      <w:r w:rsidRPr="00380D3E">
        <w:rPr>
          <w:sz w:val="24"/>
          <w:szCs w:val="24"/>
        </w:rPr>
        <w:t>indlæggelse for PAH, CEC-bekræftet død på grund af PAH eller død af enhver årsag. NT-</w:t>
      </w:r>
      <w:proofErr w:type="spellStart"/>
      <w:r w:rsidRPr="00380D3E">
        <w:rPr>
          <w:sz w:val="24"/>
          <w:szCs w:val="24"/>
        </w:rPr>
        <w:t>proBN</w:t>
      </w:r>
      <w:proofErr w:type="spellEnd"/>
      <w:r w:rsidRPr="00380D3E">
        <w:rPr>
          <w:sz w:val="24"/>
          <w:szCs w:val="24"/>
        </w:rPr>
        <w:t xml:space="preserve"> var reduceret med 42,9 % (n = 6) ved uge 12, 53,2 % (n = 5) ved uge 24 og 26,1 % (n = 6) ved uge 36.</w:t>
      </w:r>
    </w:p>
    <w:p w14:paraId="51B8FF3A" w14:textId="77777777" w:rsidR="00061CA5" w:rsidRPr="00380D3E" w:rsidRDefault="00061CA5" w:rsidP="00380D3E">
      <w:pPr>
        <w:ind w:left="851"/>
        <w:rPr>
          <w:sz w:val="24"/>
          <w:szCs w:val="24"/>
        </w:rPr>
      </w:pPr>
    </w:p>
    <w:p w14:paraId="4124291D" w14:textId="77777777" w:rsidR="00061CA5" w:rsidRPr="00380D3E" w:rsidRDefault="00061CA5" w:rsidP="00380D3E">
      <w:pPr>
        <w:ind w:left="851"/>
        <w:rPr>
          <w:sz w:val="24"/>
          <w:szCs w:val="24"/>
        </w:rPr>
      </w:pPr>
      <w:r w:rsidRPr="00380D3E">
        <w:rPr>
          <w:sz w:val="24"/>
          <w:szCs w:val="24"/>
        </w:rPr>
        <w:t>Ved baseline var 1 japansk patient fra PAH3001-studiet i PDE5i-behandling. Begge japanske patienter var drenge, og deres alder ved inklusionen var 21 måneder og 22 måneder. Begge patienter var i Panama-funktionsklasse I og II, og den førende ætiologi var postoperativ PAH. Ved uge 24 blev der set en reduktion i baseline-NT-</w:t>
      </w:r>
      <w:proofErr w:type="spellStart"/>
      <w:r w:rsidRPr="00380D3E">
        <w:rPr>
          <w:sz w:val="24"/>
          <w:szCs w:val="24"/>
        </w:rPr>
        <w:t>proBNP</w:t>
      </w:r>
      <w:proofErr w:type="spellEnd"/>
      <w:r w:rsidRPr="00380D3E">
        <w:rPr>
          <w:sz w:val="24"/>
          <w:szCs w:val="24"/>
        </w:rPr>
        <w:t>-niveauet på -3,894 pmol/l og -16,402 pmol/l.</w:t>
      </w:r>
    </w:p>
    <w:p w14:paraId="234A1D98" w14:textId="77777777" w:rsidR="00061CA5" w:rsidRPr="00380D3E" w:rsidRDefault="00061CA5" w:rsidP="00380D3E">
      <w:pPr>
        <w:ind w:left="851"/>
        <w:rPr>
          <w:sz w:val="24"/>
          <w:szCs w:val="24"/>
        </w:rPr>
      </w:pPr>
    </w:p>
    <w:p w14:paraId="4FB71C2C" w14:textId="658B2F66" w:rsidR="00061CA5" w:rsidRPr="00380D3E" w:rsidRDefault="00061CA5" w:rsidP="00380D3E">
      <w:pPr>
        <w:ind w:left="851"/>
        <w:rPr>
          <w:sz w:val="24"/>
          <w:szCs w:val="24"/>
        </w:rPr>
      </w:pPr>
      <w:r w:rsidRPr="00380D3E">
        <w:rPr>
          <w:sz w:val="24"/>
          <w:szCs w:val="24"/>
        </w:rPr>
        <w:t>Matching af eksponeringen i forhold til voksne patienter blev ikke klarlagt i denne aldersgruppe (se</w:t>
      </w:r>
      <w:r w:rsidR="005B6B84">
        <w:rPr>
          <w:sz w:val="24"/>
          <w:szCs w:val="24"/>
        </w:rPr>
        <w:t xml:space="preserve"> </w:t>
      </w:r>
      <w:r w:rsidRPr="00380D3E">
        <w:rPr>
          <w:sz w:val="24"/>
          <w:szCs w:val="24"/>
        </w:rPr>
        <w:t>pkt. 4.2 og 5.2).</w:t>
      </w:r>
    </w:p>
    <w:p w14:paraId="23034442" w14:textId="77777777" w:rsidR="009260DE" w:rsidRPr="00380D3E" w:rsidRDefault="009260DE" w:rsidP="009260DE">
      <w:pPr>
        <w:tabs>
          <w:tab w:val="left" w:pos="851"/>
        </w:tabs>
        <w:ind w:left="851"/>
        <w:rPr>
          <w:sz w:val="24"/>
          <w:szCs w:val="24"/>
        </w:rPr>
      </w:pPr>
    </w:p>
    <w:p w14:paraId="4F5E527F" w14:textId="77777777" w:rsidR="009260DE" w:rsidRPr="00380D3E" w:rsidRDefault="009260DE" w:rsidP="009260DE">
      <w:pPr>
        <w:tabs>
          <w:tab w:val="left" w:pos="851"/>
        </w:tabs>
        <w:ind w:left="851" w:hanging="851"/>
        <w:rPr>
          <w:b/>
          <w:sz w:val="24"/>
          <w:szCs w:val="24"/>
        </w:rPr>
      </w:pPr>
      <w:r w:rsidRPr="00380D3E">
        <w:rPr>
          <w:b/>
          <w:sz w:val="24"/>
          <w:szCs w:val="24"/>
        </w:rPr>
        <w:t>5.2</w:t>
      </w:r>
      <w:r w:rsidRPr="00380D3E">
        <w:rPr>
          <w:b/>
          <w:sz w:val="24"/>
          <w:szCs w:val="24"/>
        </w:rPr>
        <w:tab/>
      </w:r>
      <w:proofErr w:type="spellStart"/>
      <w:r w:rsidRPr="00380D3E">
        <w:rPr>
          <w:b/>
          <w:sz w:val="24"/>
          <w:szCs w:val="24"/>
        </w:rPr>
        <w:t>Farmakokinetiske</w:t>
      </w:r>
      <w:proofErr w:type="spellEnd"/>
      <w:r w:rsidRPr="00380D3E">
        <w:rPr>
          <w:b/>
          <w:sz w:val="24"/>
          <w:szCs w:val="24"/>
        </w:rPr>
        <w:t xml:space="preserve"> egenskaber</w:t>
      </w:r>
    </w:p>
    <w:p w14:paraId="08A8DD57" w14:textId="77777777" w:rsidR="00061CA5" w:rsidRPr="00380D3E" w:rsidRDefault="00061CA5" w:rsidP="00380D3E">
      <w:pPr>
        <w:ind w:left="851"/>
        <w:rPr>
          <w:sz w:val="24"/>
          <w:szCs w:val="24"/>
        </w:rPr>
      </w:pPr>
      <w:r w:rsidRPr="00380D3E">
        <w:rPr>
          <w:sz w:val="24"/>
          <w:szCs w:val="24"/>
        </w:rPr>
        <w:t xml:space="preserve">Farmakokinetikken af </w:t>
      </w:r>
      <w:proofErr w:type="spellStart"/>
      <w:r w:rsidRPr="00380D3E">
        <w:rPr>
          <w:sz w:val="24"/>
          <w:szCs w:val="24"/>
        </w:rPr>
        <w:t>macitentan</w:t>
      </w:r>
      <w:proofErr w:type="spellEnd"/>
      <w:r w:rsidRPr="00380D3E">
        <w:rPr>
          <w:sz w:val="24"/>
          <w:szCs w:val="24"/>
        </w:rPr>
        <w:t xml:space="preserve"> og dets aktive metabolit er primært blevet dokumenteret hos raske voksne forsøgsdeltagere. Eksponeringen for </w:t>
      </w:r>
      <w:proofErr w:type="spellStart"/>
      <w:r w:rsidRPr="00380D3E">
        <w:rPr>
          <w:sz w:val="24"/>
          <w:szCs w:val="24"/>
        </w:rPr>
        <w:t>macitentan</w:t>
      </w:r>
      <w:proofErr w:type="spellEnd"/>
      <w:r w:rsidRPr="00380D3E">
        <w:rPr>
          <w:sz w:val="24"/>
          <w:szCs w:val="24"/>
        </w:rPr>
        <w:t xml:space="preserve"> hos patienter med PAH var cirka 1,2 gange højere end hos raske forsøgsdeltagere. Eksponeringen for den aktive metabolit, der er cirka 5 gange mindre potent end </w:t>
      </w:r>
      <w:proofErr w:type="spellStart"/>
      <w:r w:rsidRPr="00380D3E">
        <w:rPr>
          <w:sz w:val="24"/>
          <w:szCs w:val="24"/>
        </w:rPr>
        <w:t>macitentan</w:t>
      </w:r>
      <w:proofErr w:type="spellEnd"/>
      <w:r w:rsidRPr="00380D3E">
        <w:rPr>
          <w:sz w:val="24"/>
          <w:szCs w:val="24"/>
        </w:rPr>
        <w:t xml:space="preserve">, var cirka 1,3 gange højere hos patienter end hos raske forsøgsdeltagere. Sygdommens sværhedsgrad påvirkede ikke farmakokinetikken af </w:t>
      </w:r>
      <w:proofErr w:type="spellStart"/>
      <w:r w:rsidRPr="00380D3E">
        <w:rPr>
          <w:sz w:val="24"/>
          <w:szCs w:val="24"/>
        </w:rPr>
        <w:t>macitentan</w:t>
      </w:r>
      <w:proofErr w:type="spellEnd"/>
      <w:r w:rsidRPr="00380D3E">
        <w:rPr>
          <w:sz w:val="24"/>
          <w:szCs w:val="24"/>
        </w:rPr>
        <w:t xml:space="preserve"> hos PAH-patienter.</w:t>
      </w:r>
    </w:p>
    <w:p w14:paraId="51400A20" w14:textId="77777777" w:rsidR="00061CA5" w:rsidRPr="00380D3E" w:rsidRDefault="00061CA5" w:rsidP="00380D3E">
      <w:pPr>
        <w:ind w:left="851"/>
        <w:rPr>
          <w:sz w:val="24"/>
          <w:szCs w:val="24"/>
        </w:rPr>
      </w:pPr>
    </w:p>
    <w:p w14:paraId="20D15E52" w14:textId="77777777" w:rsidR="00061CA5" w:rsidRPr="00380D3E" w:rsidRDefault="00061CA5" w:rsidP="00380D3E">
      <w:pPr>
        <w:ind w:left="851"/>
        <w:rPr>
          <w:sz w:val="24"/>
          <w:szCs w:val="24"/>
        </w:rPr>
      </w:pPr>
      <w:r w:rsidRPr="00380D3E">
        <w:rPr>
          <w:sz w:val="24"/>
          <w:szCs w:val="24"/>
        </w:rPr>
        <w:t xml:space="preserve">Efter gentagen administration er farmakokinetikken af </w:t>
      </w:r>
      <w:proofErr w:type="spellStart"/>
      <w:r w:rsidRPr="00380D3E">
        <w:rPr>
          <w:sz w:val="24"/>
          <w:szCs w:val="24"/>
        </w:rPr>
        <w:t>macitentan</w:t>
      </w:r>
      <w:proofErr w:type="spellEnd"/>
      <w:r w:rsidRPr="00380D3E">
        <w:rPr>
          <w:sz w:val="24"/>
          <w:szCs w:val="24"/>
        </w:rPr>
        <w:t xml:space="preserve"> dosisproportionel til og med 30 mg.</w:t>
      </w:r>
    </w:p>
    <w:p w14:paraId="1B1C2A76" w14:textId="482F59AF" w:rsidR="007D7859" w:rsidRDefault="007D7859">
      <w:pPr>
        <w:rPr>
          <w:sz w:val="24"/>
          <w:szCs w:val="24"/>
        </w:rPr>
      </w:pPr>
      <w:r>
        <w:rPr>
          <w:sz w:val="24"/>
          <w:szCs w:val="24"/>
        </w:rPr>
        <w:br w:type="page"/>
      </w:r>
    </w:p>
    <w:p w14:paraId="5B9058C0" w14:textId="77777777" w:rsidR="00061CA5" w:rsidRPr="00380D3E" w:rsidRDefault="00061CA5" w:rsidP="00380D3E">
      <w:pPr>
        <w:ind w:left="851"/>
        <w:rPr>
          <w:sz w:val="24"/>
          <w:szCs w:val="24"/>
        </w:rPr>
      </w:pPr>
    </w:p>
    <w:p w14:paraId="2295ACF6" w14:textId="77777777" w:rsidR="00061CA5" w:rsidRPr="00380D3E" w:rsidRDefault="00061CA5" w:rsidP="00380D3E">
      <w:pPr>
        <w:ind w:left="851"/>
        <w:rPr>
          <w:sz w:val="24"/>
          <w:szCs w:val="24"/>
          <w:u w:val="single"/>
        </w:rPr>
      </w:pPr>
      <w:r w:rsidRPr="00380D3E">
        <w:rPr>
          <w:sz w:val="24"/>
          <w:szCs w:val="24"/>
          <w:u w:val="single"/>
        </w:rPr>
        <w:t>Absorption</w:t>
      </w:r>
    </w:p>
    <w:p w14:paraId="631926C4" w14:textId="77777777" w:rsidR="00061CA5" w:rsidRPr="00380D3E" w:rsidRDefault="00061CA5" w:rsidP="00380D3E">
      <w:pPr>
        <w:ind w:left="851"/>
        <w:rPr>
          <w:sz w:val="24"/>
          <w:szCs w:val="24"/>
        </w:rPr>
      </w:pPr>
      <w:r w:rsidRPr="00380D3E">
        <w:rPr>
          <w:sz w:val="24"/>
          <w:szCs w:val="24"/>
        </w:rPr>
        <w:t xml:space="preserve">De maksimale plasmakoncentrationer af </w:t>
      </w:r>
      <w:proofErr w:type="spellStart"/>
      <w:r w:rsidRPr="00380D3E">
        <w:rPr>
          <w:sz w:val="24"/>
          <w:szCs w:val="24"/>
        </w:rPr>
        <w:t>macitentan</w:t>
      </w:r>
      <w:proofErr w:type="spellEnd"/>
      <w:r w:rsidRPr="00380D3E">
        <w:rPr>
          <w:sz w:val="24"/>
          <w:szCs w:val="24"/>
        </w:rPr>
        <w:t xml:space="preserve"> opnås cirka 8-9 timer efter administration. Derefter falder plasmakoncentrationerne af </w:t>
      </w:r>
      <w:proofErr w:type="spellStart"/>
      <w:r w:rsidRPr="00380D3E">
        <w:rPr>
          <w:sz w:val="24"/>
          <w:szCs w:val="24"/>
        </w:rPr>
        <w:t>macitentan</w:t>
      </w:r>
      <w:proofErr w:type="spellEnd"/>
      <w:r w:rsidRPr="00380D3E">
        <w:rPr>
          <w:sz w:val="24"/>
          <w:szCs w:val="24"/>
        </w:rPr>
        <w:t xml:space="preserve"> og dets aktive metabolit langsomt med en terminal halveringstid på hhv. cirka 16 timer og 48 timer.</w:t>
      </w:r>
    </w:p>
    <w:p w14:paraId="56F11F65" w14:textId="77777777" w:rsidR="00061CA5" w:rsidRPr="00380D3E" w:rsidRDefault="00061CA5" w:rsidP="00380D3E">
      <w:pPr>
        <w:ind w:left="851"/>
        <w:rPr>
          <w:sz w:val="24"/>
          <w:szCs w:val="24"/>
        </w:rPr>
      </w:pPr>
    </w:p>
    <w:p w14:paraId="7B4E38A2" w14:textId="77777777" w:rsidR="00061CA5" w:rsidRPr="00380D3E" w:rsidRDefault="00061CA5" w:rsidP="00380D3E">
      <w:pPr>
        <w:ind w:left="851"/>
        <w:rPr>
          <w:sz w:val="24"/>
          <w:szCs w:val="24"/>
        </w:rPr>
      </w:pPr>
      <w:r w:rsidRPr="00380D3E">
        <w:rPr>
          <w:sz w:val="24"/>
          <w:szCs w:val="24"/>
        </w:rPr>
        <w:t xml:space="preserve">Hos raske forsøgsdeltagere påvirker føde ikke eksponeringen for </w:t>
      </w:r>
      <w:proofErr w:type="spellStart"/>
      <w:r w:rsidRPr="00380D3E">
        <w:rPr>
          <w:sz w:val="24"/>
          <w:szCs w:val="24"/>
        </w:rPr>
        <w:t>macitentan</w:t>
      </w:r>
      <w:proofErr w:type="spellEnd"/>
      <w:r w:rsidRPr="00380D3E">
        <w:rPr>
          <w:sz w:val="24"/>
          <w:szCs w:val="24"/>
        </w:rPr>
        <w:t xml:space="preserve"> og dets aktive metabolit. </w:t>
      </w:r>
      <w:proofErr w:type="spellStart"/>
      <w:r w:rsidRPr="00380D3E">
        <w:rPr>
          <w:sz w:val="24"/>
          <w:szCs w:val="24"/>
        </w:rPr>
        <w:t>Macitentan</w:t>
      </w:r>
      <w:proofErr w:type="spellEnd"/>
      <w:r w:rsidRPr="00380D3E">
        <w:rPr>
          <w:sz w:val="24"/>
          <w:szCs w:val="24"/>
        </w:rPr>
        <w:t xml:space="preserve"> kan derfor tages sammen med eller uden føde.</w:t>
      </w:r>
    </w:p>
    <w:p w14:paraId="02DFA1FB" w14:textId="77777777" w:rsidR="00061CA5" w:rsidRPr="00380D3E" w:rsidRDefault="00061CA5" w:rsidP="00380D3E">
      <w:pPr>
        <w:ind w:left="851"/>
        <w:rPr>
          <w:sz w:val="24"/>
          <w:szCs w:val="24"/>
        </w:rPr>
      </w:pPr>
    </w:p>
    <w:p w14:paraId="5855C8DD" w14:textId="77777777" w:rsidR="00061CA5" w:rsidRPr="00380D3E" w:rsidRDefault="00061CA5" w:rsidP="00380D3E">
      <w:pPr>
        <w:ind w:left="851"/>
        <w:rPr>
          <w:sz w:val="24"/>
          <w:szCs w:val="24"/>
          <w:u w:val="single"/>
        </w:rPr>
      </w:pPr>
      <w:r w:rsidRPr="00380D3E">
        <w:rPr>
          <w:sz w:val="24"/>
          <w:szCs w:val="24"/>
          <w:u w:val="single"/>
        </w:rPr>
        <w:t>Fordeling</w:t>
      </w:r>
    </w:p>
    <w:p w14:paraId="6E07A658" w14:textId="77777777" w:rsidR="00061CA5" w:rsidRPr="00380D3E" w:rsidRDefault="00061CA5" w:rsidP="00380D3E">
      <w:pPr>
        <w:ind w:left="851"/>
        <w:rPr>
          <w:sz w:val="24"/>
          <w:szCs w:val="24"/>
        </w:rPr>
      </w:pPr>
      <w:proofErr w:type="spellStart"/>
      <w:r w:rsidRPr="00380D3E">
        <w:rPr>
          <w:sz w:val="24"/>
          <w:szCs w:val="24"/>
        </w:rPr>
        <w:t>Macitentan</w:t>
      </w:r>
      <w:proofErr w:type="spellEnd"/>
      <w:r w:rsidRPr="00380D3E">
        <w:rPr>
          <w:sz w:val="24"/>
          <w:szCs w:val="24"/>
        </w:rPr>
        <w:t xml:space="preserve"> og dets aktive metabolit bindes i høj grad til plasmaproteiner (&gt; 99 %), primært til albumin og i mindre omfang til alfa1-surt </w:t>
      </w:r>
      <w:proofErr w:type="spellStart"/>
      <w:r w:rsidRPr="00380D3E">
        <w:rPr>
          <w:sz w:val="24"/>
          <w:szCs w:val="24"/>
        </w:rPr>
        <w:t>glykoprotein</w:t>
      </w:r>
      <w:proofErr w:type="spellEnd"/>
      <w:r w:rsidRPr="00380D3E">
        <w:rPr>
          <w:sz w:val="24"/>
          <w:szCs w:val="24"/>
        </w:rPr>
        <w:t xml:space="preserve">. </w:t>
      </w:r>
      <w:proofErr w:type="spellStart"/>
      <w:r w:rsidRPr="00380D3E">
        <w:rPr>
          <w:sz w:val="24"/>
          <w:szCs w:val="24"/>
        </w:rPr>
        <w:t>Macitentan</w:t>
      </w:r>
      <w:proofErr w:type="spellEnd"/>
      <w:r w:rsidRPr="00380D3E">
        <w:rPr>
          <w:sz w:val="24"/>
          <w:szCs w:val="24"/>
        </w:rPr>
        <w:t xml:space="preserve"> og dets aktive metabolit, ACT-132577, fordeles godt til vævene, hvilket viser sig ved et tilsyneladende fordelingsvolumen (</w:t>
      </w:r>
      <w:proofErr w:type="spellStart"/>
      <w:r w:rsidRPr="00380D3E">
        <w:rPr>
          <w:sz w:val="24"/>
          <w:szCs w:val="24"/>
        </w:rPr>
        <w:t>Fss</w:t>
      </w:r>
      <w:proofErr w:type="spellEnd"/>
      <w:r w:rsidRPr="00380D3E">
        <w:rPr>
          <w:sz w:val="24"/>
          <w:szCs w:val="24"/>
        </w:rPr>
        <w:t xml:space="preserve">/F) af </w:t>
      </w:r>
      <w:proofErr w:type="spellStart"/>
      <w:r w:rsidRPr="00380D3E">
        <w:rPr>
          <w:sz w:val="24"/>
          <w:szCs w:val="24"/>
        </w:rPr>
        <w:t>macitentan</w:t>
      </w:r>
      <w:proofErr w:type="spellEnd"/>
      <w:r w:rsidRPr="00380D3E">
        <w:rPr>
          <w:sz w:val="24"/>
          <w:szCs w:val="24"/>
        </w:rPr>
        <w:t xml:space="preserve"> og ACT-132577 på hhv. cirka 50 l og 40 l.</w:t>
      </w:r>
    </w:p>
    <w:p w14:paraId="36856991" w14:textId="77777777" w:rsidR="00061CA5" w:rsidRPr="00380D3E" w:rsidRDefault="00061CA5" w:rsidP="00380D3E">
      <w:pPr>
        <w:ind w:left="851"/>
        <w:rPr>
          <w:sz w:val="24"/>
          <w:szCs w:val="24"/>
        </w:rPr>
      </w:pPr>
    </w:p>
    <w:p w14:paraId="372FB339" w14:textId="77777777" w:rsidR="00061CA5" w:rsidRPr="00380D3E" w:rsidRDefault="00061CA5" w:rsidP="00380D3E">
      <w:pPr>
        <w:ind w:left="851"/>
        <w:rPr>
          <w:sz w:val="24"/>
          <w:szCs w:val="24"/>
          <w:u w:val="single"/>
        </w:rPr>
      </w:pPr>
      <w:r w:rsidRPr="00380D3E">
        <w:rPr>
          <w:sz w:val="24"/>
          <w:szCs w:val="24"/>
          <w:u w:val="single"/>
        </w:rPr>
        <w:t>Biotransformation</w:t>
      </w:r>
    </w:p>
    <w:p w14:paraId="3BFB597D" w14:textId="77777777" w:rsidR="00061CA5" w:rsidRPr="00380D3E" w:rsidRDefault="00061CA5" w:rsidP="00380D3E">
      <w:pPr>
        <w:ind w:left="851"/>
        <w:rPr>
          <w:sz w:val="24"/>
          <w:szCs w:val="24"/>
        </w:rPr>
      </w:pPr>
      <w:proofErr w:type="spellStart"/>
      <w:r w:rsidRPr="00380D3E">
        <w:rPr>
          <w:sz w:val="24"/>
          <w:szCs w:val="24"/>
        </w:rPr>
        <w:t>Macitentan</w:t>
      </w:r>
      <w:proofErr w:type="spellEnd"/>
      <w:r w:rsidRPr="00380D3E">
        <w:rPr>
          <w:sz w:val="24"/>
          <w:szCs w:val="24"/>
        </w:rPr>
        <w:t xml:space="preserve"> har fire primære </w:t>
      </w:r>
      <w:proofErr w:type="spellStart"/>
      <w:r w:rsidRPr="00380D3E">
        <w:rPr>
          <w:sz w:val="24"/>
          <w:szCs w:val="24"/>
        </w:rPr>
        <w:t>metaboliseringsveje</w:t>
      </w:r>
      <w:proofErr w:type="spellEnd"/>
      <w:r w:rsidRPr="00380D3E">
        <w:rPr>
          <w:sz w:val="24"/>
          <w:szCs w:val="24"/>
        </w:rPr>
        <w:t xml:space="preserve">. </w:t>
      </w:r>
      <w:proofErr w:type="spellStart"/>
      <w:r w:rsidRPr="00380D3E">
        <w:rPr>
          <w:sz w:val="24"/>
          <w:szCs w:val="24"/>
        </w:rPr>
        <w:t>Oxidativ</w:t>
      </w:r>
      <w:proofErr w:type="spellEnd"/>
      <w:r w:rsidRPr="00380D3E">
        <w:rPr>
          <w:sz w:val="24"/>
          <w:szCs w:val="24"/>
        </w:rPr>
        <w:t xml:space="preserve"> </w:t>
      </w:r>
      <w:proofErr w:type="spellStart"/>
      <w:r w:rsidRPr="00380D3E">
        <w:rPr>
          <w:sz w:val="24"/>
          <w:szCs w:val="24"/>
        </w:rPr>
        <w:t>depropylering</w:t>
      </w:r>
      <w:proofErr w:type="spellEnd"/>
      <w:r w:rsidRPr="00380D3E">
        <w:rPr>
          <w:sz w:val="24"/>
          <w:szCs w:val="24"/>
        </w:rPr>
        <w:t xml:space="preserve"> af </w:t>
      </w:r>
      <w:proofErr w:type="spellStart"/>
      <w:r w:rsidRPr="00380D3E">
        <w:rPr>
          <w:sz w:val="24"/>
          <w:szCs w:val="24"/>
        </w:rPr>
        <w:t>sulfamidet</w:t>
      </w:r>
      <w:proofErr w:type="spellEnd"/>
      <w:r w:rsidRPr="00380D3E">
        <w:rPr>
          <w:sz w:val="24"/>
          <w:szCs w:val="24"/>
        </w:rPr>
        <w:t xml:space="preserve"> frembringer en farmakologisk aktiv metabolit. Denne reaktion er afhængig af </w:t>
      </w:r>
      <w:proofErr w:type="spellStart"/>
      <w:r w:rsidRPr="00380D3E">
        <w:rPr>
          <w:sz w:val="24"/>
          <w:szCs w:val="24"/>
        </w:rPr>
        <w:t>cytochrom</w:t>
      </w:r>
      <w:proofErr w:type="spellEnd"/>
      <w:r w:rsidRPr="00380D3E">
        <w:rPr>
          <w:sz w:val="24"/>
          <w:szCs w:val="24"/>
        </w:rPr>
        <w:t xml:space="preserve"> P450-systemet, hovedsageligt CYP3A4 (ca. 99 %) med mindre bidrag fra CYP2C8, CYP2C9 og CYP2C19. Den aktive metabolit cirkulerer i humant plasma og kan medvirke til den farmakologiske virkning. </w:t>
      </w:r>
    </w:p>
    <w:p w14:paraId="34A4EAB3" w14:textId="77777777" w:rsidR="00061CA5" w:rsidRPr="00380D3E" w:rsidRDefault="00061CA5" w:rsidP="00380D3E">
      <w:pPr>
        <w:ind w:left="851"/>
        <w:rPr>
          <w:sz w:val="24"/>
          <w:szCs w:val="24"/>
        </w:rPr>
      </w:pPr>
      <w:r w:rsidRPr="00380D3E">
        <w:rPr>
          <w:sz w:val="24"/>
          <w:szCs w:val="24"/>
        </w:rPr>
        <w:t xml:space="preserve">Øvrige </w:t>
      </w:r>
      <w:proofErr w:type="spellStart"/>
      <w:r w:rsidRPr="00380D3E">
        <w:rPr>
          <w:sz w:val="24"/>
          <w:szCs w:val="24"/>
        </w:rPr>
        <w:t>metaboliseringsveje</w:t>
      </w:r>
      <w:proofErr w:type="spellEnd"/>
      <w:r w:rsidRPr="00380D3E">
        <w:rPr>
          <w:sz w:val="24"/>
          <w:szCs w:val="24"/>
        </w:rPr>
        <w:t xml:space="preserve"> frembringer produkter uden farmakologisk aktivitet. For disse veje spiller CYP2C9 en dominerende rolle med mindre bidrag fra CYP2C8, CYP2C19 og CYP3A4.</w:t>
      </w:r>
    </w:p>
    <w:p w14:paraId="35CCAA26" w14:textId="77777777" w:rsidR="00061CA5" w:rsidRPr="00380D3E" w:rsidRDefault="00061CA5" w:rsidP="00380D3E">
      <w:pPr>
        <w:ind w:left="851"/>
        <w:rPr>
          <w:sz w:val="24"/>
          <w:szCs w:val="24"/>
        </w:rPr>
      </w:pPr>
    </w:p>
    <w:p w14:paraId="07A83479" w14:textId="77777777" w:rsidR="00061CA5" w:rsidRPr="00380D3E" w:rsidRDefault="00061CA5" w:rsidP="00380D3E">
      <w:pPr>
        <w:ind w:left="851"/>
        <w:rPr>
          <w:sz w:val="24"/>
          <w:szCs w:val="24"/>
          <w:u w:val="single"/>
        </w:rPr>
      </w:pPr>
      <w:r w:rsidRPr="00380D3E">
        <w:rPr>
          <w:sz w:val="24"/>
          <w:szCs w:val="24"/>
          <w:u w:val="single"/>
        </w:rPr>
        <w:t>Elimination</w:t>
      </w:r>
    </w:p>
    <w:p w14:paraId="5AF1B011" w14:textId="77777777" w:rsidR="00061CA5" w:rsidRPr="00380D3E" w:rsidRDefault="00061CA5" w:rsidP="00380D3E">
      <w:pPr>
        <w:ind w:left="851"/>
        <w:rPr>
          <w:sz w:val="24"/>
          <w:szCs w:val="24"/>
        </w:rPr>
      </w:pPr>
      <w:proofErr w:type="spellStart"/>
      <w:r w:rsidRPr="00380D3E">
        <w:rPr>
          <w:sz w:val="24"/>
          <w:szCs w:val="24"/>
        </w:rPr>
        <w:t>Macitentan</w:t>
      </w:r>
      <w:proofErr w:type="spellEnd"/>
      <w:r w:rsidRPr="00380D3E">
        <w:rPr>
          <w:sz w:val="24"/>
          <w:szCs w:val="24"/>
        </w:rPr>
        <w:t xml:space="preserve"> udskilles først efter omfattende </w:t>
      </w:r>
      <w:proofErr w:type="spellStart"/>
      <w:r w:rsidRPr="00380D3E">
        <w:rPr>
          <w:sz w:val="24"/>
          <w:szCs w:val="24"/>
        </w:rPr>
        <w:t>metabolisering</w:t>
      </w:r>
      <w:proofErr w:type="spellEnd"/>
      <w:r w:rsidRPr="00380D3E">
        <w:rPr>
          <w:sz w:val="24"/>
          <w:szCs w:val="24"/>
        </w:rPr>
        <w:t>. Den primære udskillelsesvej er via urinen, hvor ca. 50 % af dosis genfindes.</w:t>
      </w:r>
    </w:p>
    <w:p w14:paraId="04FC592A" w14:textId="77777777" w:rsidR="00061CA5" w:rsidRPr="00380D3E" w:rsidRDefault="00061CA5" w:rsidP="00380D3E">
      <w:pPr>
        <w:ind w:left="851"/>
        <w:rPr>
          <w:sz w:val="24"/>
          <w:szCs w:val="24"/>
        </w:rPr>
      </w:pPr>
    </w:p>
    <w:p w14:paraId="5FF563B1" w14:textId="77777777" w:rsidR="00061CA5" w:rsidRPr="00380D3E" w:rsidRDefault="00061CA5" w:rsidP="00380D3E">
      <w:pPr>
        <w:ind w:left="851"/>
        <w:rPr>
          <w:sz w:val="24"/>
          <w:szCs w:val="24"/>
          <w:u w:val="single"/>
        </w:rPr>
      </w:pPr>
      <w:r w:rsidRPr="00380D3E">
        <w:rPr>
          <w:sz w:val="24"/>
          <w:szCs w:val="24"/>
          <w:u w:val="single"/>
        </w:rPr>
        <w:t>Særlige populationer</w:t>
      </w:r>
    </w:p>
    <w:p w14:paraId="321F3232" w14:textId="48E656F4" w:rsidR="00061CA5" w:rsidRPr="00380D3E" w:rsidRDefault="00061CA5" w:rsidP="00380D3E">
      <w:pPr>
        <w:ind w:left="851"/>
        <w:rPr>
          <w:sz w:val="24"/>
          <w:szCs w:val="24"/>
        </w:rPr>
      </w:pPr>
      <w:r w:rsidRPr="00380D3E">
        <w:rPr>
          <w:sz w:val="24"/>
          <w:szCs w:val="24"/>
        </w:rPr>
        <w:t>Alder, køn og etnisk oprindelse har ingen klinisk relevant indvirkning på farmakokinetikken af</w:t>
      </w:r>
      <w:r w:rsidR="007D7859">
        <w:rPr>
          <w:sz w:val="24"/>
          <w:szCs w:val="24"/>
        </w:rPr>
        <w:t xml:space="preserve"> </w:t>
      </w:r>
      <w:proofErr w:type="spellStart"/>
      <w:r w:rsidRPr="00380D3E">
        <w:rPr>
          <w:sz w:val="24"/>
          <w:szCs w:val="24"/>
        </w:rPr>
        <w:t>macitentan</w:t>
      </w:r>
      <w:proofErr w:type="spellEnd"/>
      <w:r w:rsidRPr="00380D3E">
        <w:rPr>
          <w:sz w:val="24"/>
          <w:szCs w:val="24"/>
        </w:rPr>
        <w:t xml:space="preserve"> og dets aktive metabolit.</w:t>
      </w:r>
    </w:p>
    <w:p w14:paraId="71D57975" w14:textId="77777777" w:rsidR="00061CA5" w:rsidRPr="00380D3E" w:rsidRDefault="00061CA5" w:rsidP="00380D3E">
      <w:pPr>
        <w:ind w:left="851"/>
        <w:rPr>
          <w:sz w:val="24"/>
          <w:szCs w:val="24"/>
        </w:rPr>
      </w:pPr>
    </w:p>
    <w:p w14:paraId="25A180C8" w14:textId="77777777" w:rsidR="00061CA5" w:rsidRPr="00380D3E" w:rsidRDefault="00061CA5" w:rsidP="00380D3E">
      <w:pPr>
        <w:ind w:left="851"/>
        <w:rPr>
          <w:i/>
          <w:iCs/>
          <w:sz w:val="24"/>
          <w:szCs w:val="24"/>
        </w:rPr>
      </w:pPr>
      <w:r w:rsidRPr="00380D3E">
        <w:rPr>
          <w:i/>
          <w:iCs/>
          <w:sz w:val="24"/>
          <w:szCs w:val="24"/>
        </w:rPr>
        <w:t>Nyreinsufficiens</w:t>
      </w:r>
    </w:p>
    <w:p w14:paraId="3FD63520" w14:textId="77777777" w:rsidR="00061CA5" w:rsidRPr="00380D3E" w:rsidRDefault="00061CA5" w:rsidP="00380D3E">
      <w:pPr>
        <w:ind w:left="851"/>
        <w:rPr>
          <w:sz w:val="24"/>
          <w:szCs w:val="24"/>
        </w:rPr>
      </w:pPr>
      <w:r w:rsidRPr="00380D3E">
        <w:rPr>
          <w:sz w:val="24"/>
          <w:szCs w:val="24"/>
        </w:rPr>
        <w:t xml:space="preserve">Eksponeringen for </w:t>
      </w:r>
      <w:proofErr w:type="spellStart"/>
      <w:r w:rsidRPr="00380D3E">
        <w:rPr>
          <w:sz w:val="24"/>
          <w:szCs w:val="24"/>
        </w:rPr>
        <w:t>macitentan</w:t>
      </w:r>
      <w:proofErr w:type="spellEnd"/>
      <w:r w:rsidRPr="00380D3E">
        <w:rPr>
          <w:sz w:val="24"/>
          <w:szCs w:val="24"/>
        </w:rPr>
        <w:t xml:space="preserve"> og dets aktive metabolit var hhv. 1,3 og 1,6 gange højere hos voksne patienter med svær nyreinsufficiens. Denne stigning anses ikke for at være klinisk relevant (se pkt. 4.2 og 4.4).</w:t>
      </w:r>
    </w:p>
    <w:p w14:paraId="17C0D682" w14:textId="77777777" w:rsidR="00061CA5" w:rsidRPr="00380D3E" w:rsidRDefault="00061CA5" w:rsidP="00380D3E">
      <w:pPr>
        <w:ind w:left="851"/>
        <w:rPr>
          <w:sz w:val="24"/>
          <w:szCs w:val="24"/>
        </w:rPr>
      </w:pPr>
    </w:p>
    <w:p w14:paraId="5BF1F073" w14:textId="77777777" w:rsidR="00061CA5" w:rsidRPr="00380D3E" w:rsidRDefault="00061CA5" w:rsidP="00380D3E">
      <w:pPr>
        <w:ind w:left="851"/>
        <w:rPr>
          <w:i/>
          <w:iCs/>
          <w:sz w:val="24"/>
          <w:szCs w:val="24"/>
        </w:rPr>
      </w:pPr>
      <w:r w:rsidRPr="00380D3E">
        <w:rPr>
          <w:i/>
          <w:iCs/>
          <w:sz w:val="24"/>
          <w:szCs w:val="24"/>
        </w:rPr>
        <w:t>Leverinsufficiens</w:t>
      </w:r>
    </w:p>
    <w:p w14:paraId="6BA24098" w14:textId="77777777" w:rsidR="00061CA5" w:rsidRPr="00380D3E" w:rsidRDefault="00061CA5" w:rsidP="00380D3E">
      <w:pPr>
        <w:ind w:left="851"/>
        <w:rPr>
          <w:sz w:val="24"/>
          <w:szCs w:val="24"/>
        </w:rPr>
      </w:pPr>
      <w:r w:rsidRPr="00380D3E">
        <w:rPr>
          <w:sz w:val="24"/>
          <w:szCs w:val="24"/>
        </w:rPr>
        <w:t xml:space="preserve">Hos voksne patienter med mild, moderat eller svær leverinsufficiens var eksponeringen for </w:t>
      </w:r>
      <w:proofErr w:type="spellStart"/>
      <w:r w:rsidRPr="00380D3E">
        <w:rPr>
          <w:sz w:val="24"/>
          <w:szCs w:val="24"/>
        </w:rPr>
        <w:t>macitentan</w:t>
      </w:r>
      <w:proofErr w:type="spellEnd"/>
      <w:r w:rsidRPr="00380D3E">
        <w:rPr>
          <w:sz w:val="24"/>
          <w:szCs w:val="24"/>
        </w:rPr>
        <w:t xml:space="preserve"> nedsat med hhv. 21 %, 34 % og 6 %, og eksponeringen for den aktive metabolit var nedsat med hhv. 20 %, 25 % og 25 %. Dette fald anses ikke for at være klinisk relevant (se pkt. 4.2 og 4.4).</w:t>
      </w:r>
    </w:p>
    <w:p w14:paraId="4A94F8BC" w14:textId="77777777" w:rsidR="00061CA5" w:rsidRPr="00380D3E" w:rsidRDefault="00061CA5" w:rsidP="00380D3E">
      <w:pPr>
        <w:ind w:left="851"/>
        <w:rPr>
          <w:sz w:val="24"/>
          <w:szCs w:val="24"/>
        </w:rPr>
      </w:pPr>
    </w:p>
    <w:p w14:paraId="50172554" w14:textId="77777777" w:rsidR="00061CA5" w:rsidRPr="00380D3E" w:rsidRDefault="00061CA5" w:rsidP="00380D3E">
      <w:pPr>
        <w:ind w:left="851"/>
        <w:rPr>
          <w:sz w:val="24"/>
          <w:szCs w:val="24"/>
          <w:u w:val="single"/>
        </w:rPr>
      </w:pPr>
      <w:r w:rsidRPr="00380D3E">
        <w:rPr>
          <w:sz w:val="24"/>
          <w:szCs w:val="24"/>
          <w:u w:val="single"/>
        </w:rPr>
        <w:t>Pædiatrisk population (i alderen ≥ 1 måned til under 18 år)</w:t>
      </w:r>
    </w:p>
    <w:p w14:paraId="22FFE9F9" w14:textId="2CE47A51" w:rsidR="00061CA5" w:rsidRPr="00380D3E" w:rsidRDefault="00061CA5" w:rsidP="00380D3E">
      <w:pPr>
        <w:ind w:left="851"/>
        <w:rPr>
          <w:sz w:val="24"/>
          <w:szCs w:val="24"/>
        </w:rPr>
      </w:pPr>
      <w:r w:rsidRPr="00380D3E">
        <w:rPr>
          <w:sz w:val="24"/>
          <w:szCs w:val="24"/>
        </w:rPr>
        <w:t xml:space="preserve">Farmakokinetikken af </w:t>
      </w:r>
      <w:proofErr w:type="spellStart"/>
      <w:r w:rsidRPr="00380D3E">
        <w:rPr>
          <w:sz w:val="24"/>
          <w:szCs w:val="24"/>
        </w:rPr>
        <w:t>macitentan</w:t>
      </w:r>
      <w:proofErr w:type="spellEnd"/>
      <w:r w:rsidRPr="00380D3E">
        <w:rPr>
          <w:sz w:val="24"/>
          <w:szCs w:val="24"/>
        </w:rPr>
        <w:t xml:space="preserve"> og dets aktive metabolit, </w:t>
      </w:r>
      <w:proofErr w:type="spellStart"/>
      <w:r w:rsidRPr="00380D3E">
        <w:rPr>
          <w:sz w:val="24"/>
          <w:szCs w:val="24"/>
        </w:rPr>
        <w:t>aprocitentan</w:t>
      </w:r>
      <w:proofErr w:type="spellEnd"/>
      <w:r w:rsidRPr="00380D3E">
        <w:rPr>
          <w:sz w:val="24"/>
          <w:szCs w:val="24"/>
        </w:rPr>
        <w:t>, er blevet karakteriseret hos 47 pædiatriske patienter i alderen ≥ 2 år og hos 11 patienter i alderen ≥</w:t>
      </w:r>
      <w:r w:rsidR="007D7859">
        <w:rPr>
          <w:sz w:val="24"/>
          <w:szCs w:val="24"/>
        </w:rPr>
        <w:t> </w:t>
      </w:r>
      <w:r w:rsidRPr="00380D3E">
        <w:rPr>
          <w:sz w:val="24"/>
          <w:szCs w:val="24"/>
        </w:rPr>
        <w:t>1</w:t>
      </w:r>
      <w:r w:rsidR="007D7859">
        <w:rPr>
          <w:sz w:val="24"/>
          <w:szCs w:val="24"/>
        </w:rPr>
        <w:t> </w:t>
      </w:r>
      <w:r w:rsidRPr="00380D3E">
        <w:rPr>
          <w:sz w:val="24"/>
          <w:szCs w:val="24"/>
        </w:rPr>
        <w:t>måned til under 2 år.</w:t>
      </w:r>
    </w:p>
    <w:p w14:paraId="4EBFC2DB" w14:textId="77777777" w:rsidR="00061CA5" w:rsidRPr="00380D3E" w:rsidRDefault="00061CA5" w:rsidP="00380D3E">
      <w:pPr>
        <w:ind w:left="851"/>
        <w:rPr>
          <w:sz w:val="24"/>
          <w:szCs w:val="24"/>
        </w:rPr>
      </w:pPr>
    </w:p>
    <w:p w14:paraId="2DA33DC0" w14:textId="77777777" w:rsidR="00061CA5" w:rsidRPr="00380D3E" w:rsidRDefault="00061CA5" w:rsidP="00380D3E">
      <w:pPr>
        <w:ind w:left="851"/>
        <w:rPr>
          <w:sz w:val="24"/>
          <w:szCs w:val="24"/>
        </w:rPr>
      </w:pPr>
      <w:r w:rsidRPr="00380D3E">
        <w:rPr>
          <w:sz w:val="24"/>
          <w:szCs w:val="24"/>
        </w:rPr>
        <w:t xml:space="preserve">Vægtbaserede dosisregimer for </w:t>
      </w:r>
      <w:proofErr w:type="spellStart"/>
      <w:r w:rsidRPr="00380D3E">
        <w:rPr>
          <w:sz w:val="24"/>
          <w:szCs w:val="24"/>
        </w:rPr>
        <w:t>macitentan</w:t>
      </w:r>
      <w:proofErr w:type="spellEnd"/>
      <w:r w:rsidRPr="00380D3E">
        <w:rPr>
          <w:sz w:val="24"/>
          <w:szCs w:val="24"/>
        </w:rPr>
        <w:t xml:space="preserve"> resulterede i observerede/simulerede eksponeringer hos pædiatriske patienter i alderen 2 år til under 18 år, som var </w:t>
      </w:r>
      <w:r w:rsidRPr="00380D3E">
        <w:rPr>
          <w:sz w:val="24"/>
          <w:szCs w:val="24"/>
        </w:rPr>
        <w:lastRenderedPageBreak/>
        <w:t>sammenlignelige med de observerede eksponeringer hos voksne PAH-patienter og raske forsøgsdeltagere, som fik 10 mg én gang dagligt.</w:t>
      </w:r>
    </w:p>
    <w:p w14:paraId="6A84C1B1" w14:textId="77777777" w:rsidR="00061CA5" w:rsidRPr="00380D3E" w:rsidRDefault="00061CA5" w:rsidP="00380D3E">
      <w:pPr>
        <w:ind w:left="851"/>
        <w:rPr>
          <w:sz w:val="24"/>
          <w:szCs w:val="24"/>
        </w:rPr>
      </w:pPr>
    </w:p>
    <w:p w14:paraId="0207A66E" w14:textId="77777777" w:rsidR="00061CA5" w:rsidRPr="00380D3E" w:rsidRDefault="00061CA5" w:rsidP="00380D3E">
      <w:pPr>
        <w:ind w:left="851"/>
        <w:rPr>
          <w:sz w:val="24"/>
          <w:szCs w:val="24"/>
        </w:rPr>
      </w:pPr>
      <w:r w:rsidRPr="00380D3E">
        <w:rPr>
          <w:sz w:val="24"/>
          <w:szCs w:val="24"/>
        </w:rPr>
        <w:t xml:space="preserve">I aldersgruppen ≥ 1 måned til under 2 år blev der ikke opnået </w:t>
      </w:r>
      <w:proofErr w:type="spellStart"/>
      <w:r w:rsidRPr="00380D3E">
        <w:rPr>
          <w:sz w:val="24"/>
          <w:szCs w:val="24"/>
        </w:rPr>
        <w:t>macitentaneksponeringer</w:t>
      </w:r>
      <w:proofErr w:type="spellEnd"/>
      <w:r w:rsidRPr="00380D3E">
        <w:rPr>
          <w:sz w:val="24"/>
          <w:szCs w:val="24"/>
        </w:rPr>
        <w:t xml:space="preserve">, der var sammenlignelige med </w:t>
      </w:r>
      <w:proofErr w:type="spellStart"/>
      <w:r w:rsidRPr="00380D3E">
        <w:rPr>
          <w:sz w:val="24"/>
          <w:szCs w:val="24"/>
        </w:rPr>
        <w:t>macitentaneksponeringen</w:t>
      </w:r>
      <w:proofErr w:type="spellEnd"/>
      <w:r w:rsidRPr="00380D3E">
        <w:rPr>
          <w:sz w:val="24"/>
          <w:szCs w:val="24"/>
        </w:rPr>
        <w:t xml:space="preserve"> hos voksne PAH-patienter, der fik 10 mg én gang dagligt (se pkt. 4.2).</w:t>
      </w:r>
    </w:p>
    <w:p w14:paraId="51F950AC" w14:textId="77777777" w:rsidR="009260DE" w:rsidRPr="00380D3E" w:rsidRDefault="009260DE" w:rsidP="009260DE">
      <w:pPr>
        <w:tabs>
          <w:tab w:val="left" w:pos="851"/>
        </w:tabs>
        <w:ind w:left="851"/>
        <w:rPr>
          <w:sz w:val="24"/>
          <w:szCs w:val="24"/>
        </w:rPr>
      </w:pPr>
    </w:p>
    <w:p w14:paraId="6498C800" w14:textId="77777777" w:rsidR="009260DE" w:rsidRPr="00380D3E" w:rsidRDefault="009260DE" w:rsidP="009260DE">
      <w:pPr>
        <w:tabs>
          <w:tab w:val="left" w:pos="851"/>
        </w:tabs>
        <w:ind w:left="851" w:hanging="851"/>
        <w:rPr>
          <w:b/>
          <w:sz w:val="24"/>
          <w:szCs w:val="24"/>
        </w:rPr>
      </w:pPr>
      <w:r w:rsidRPr="00380D3E">
        <w:rPr>
          <w:b/>
          <w:sz w:val="24"/>
          <w:szCs w:val="24"/>
        </w:rPr>
        <w:t>5.3</w:t>
      </w:r>
      <w:r w:rsidRPr="00380D3E">
        <w:rPr>
          <w:b/>
          <w:sz w:val="24"/>
          <w:szCs w:val="24"/>
        </w:rPr>
        <w:tab/>
      </w:r>
      <w:r w:rsidR="00BD7931" w:rsidRPr="00380D3E">
        <w:rPr>
          <w:b/>
          <w:sz w:val="24"/>
          <w:szCs w:val="24"/>
        </w:rPr>
        <w:t>Non-</w:t>
      </w:r>
      <w:r w:rsidRPr="00380D3E">
        <w:rPr>
          <w:b/>
          <w:sz w:val="24"/>
          <w:szCs w:val="24"/>
        </w:rPr>
        <w:t>kliniske sikkerhedsdata</w:t>
      </w:r>
    </w:p>
    <w:p w14:paraId="48DF99D4" w14:textId="77777777" w:rsidR="00061CA5" w:rsidRPr="00380D3E" w:rsidRDefault="00061CA5" w:rsidP="00380D3E">
      <w:pPr>
        <w:ind w:left="851"/>
        <w:rPr>
          <w:sz w:val="24"/>
          <w:szCs w:val="24"/>
        </w:rPr>
      </w:pPr>
      <w:r w:rsidRPr="00380D3E">
        <w:rPr>
          <w:sz w:val="24"/>
          <w:szCs w:val="24"/>
        </w:rPr>
        <w:t xml:space="preserve">Hos hunde sænkede </w:t>
      </w:r>
      <w:proofErr w:type="spellStart"/>
      <w:r w:rsidRPr="00380D3E">
        <w:rPr>
          <w:sz w:val="24"/>
          <w:szCs w:val="24"/>
        </w:rPr>
        <w:t>macitentan</w:t>
      </w:r>
      <w:proofErr w:type="spellEnd"/>
      <w:r w:rsidRPr="00380D3E">
        <w:rPr>
          <w:sz w:val="24"/>
          <w:szCs w:val="24"/>
        </w:rPr>
        <w:t xml:space="preserve"> blodtrykket ved eksponeringer, der svarede til den terapeutiske eksponering hos mennesker. Der blev set </w:t>
      </w:r>
      <w:proofErr w:type="spellStart"/>
      <w:r w:rsidRPr="00380D3E">
        <w:rPr>
          <w:sz w:val="24"/>
          <w:szCs w:val="24"/>
        </w:rPr>
        <w:t>intimafortykkelse</w:t>
      </w:r>
      <w:proofErr w:type="spellEnd"/>
      <w:r w:rsidRPr="00380D3E">
        <w:rPr>
          <w:sz w:val="24"/>
          <w:szCs w:val="24"/>
        </w:rPr>
        <w:t xml:space="preserve"> af koronararterierne ved eksponeringer, der var 17 gange højere end eksponeringen hos mennesker, efter 4 til 39 ugers behandling. På grund af den artsspecifikke følsomhed og sikkerhedsmargin anses dette fund ikke for at være af relevans hos mennesker.</w:t>
      </w:r>
    </w:p>
    <w:p w14:paraId="451D26D1" w14:textId="77777777" w:rsidR="00061CA5" w:rsidRPr="00380D3E" w:rsidRDefault="00061CA5" w:rsidP="00380D3E">
      <w:pPr>
        <w:ind w:left="851"/>
        <w:rPr>
          <w:sz w:val="24"/>
          <w:szCs w:val="24"/>
        </w:rPr>
      </w:pPr>
    </w:p>
    <w:p w14:paraId="0A6700BD" w14:textId="77777777" w:rsidR="00061CA5" w:rsidRPr="00380D3E" w:rsidRDefault="00061CA5" w:rsidP="00380D3E">
      <w:pPr>
        <w:ind w:left="851"/>
        <w:rPr>
          <w:sz w:val="24"/>
          <w:szCs w:val="24"/>
        </w:rPr>
      </w:pPr>
      <w:r w:rsidRPr="00380D3E">
        <w:rPr>
          <w:sz w:val="24"/>
          <w:szCs w:val="24"/>
        </w:rPr>
        <w:t xml:space="preserve">Der blev set øget levervægt og </w:t>
      </w:r>
      <w:proofErr w:type="spellStart"/>
      <w:r w:rsidRPr="00380D3E">
        <w:rPr>
          <w:sz w:val="24"/>
          <w:szCs w:val="24"/>
        </w:rPr>
        <w:t>hepatocellulær</w:t>
      </w:r>
      <w:proofErr w:type="spellEnd"/>
      <w:r w:rsidRPr="00380D3E">
        <w:rPr>
          <w:sz w:val="24"/>
          <w:szCs w:val="24"/>
        </w:rPr>
        <w:t xml:space="preserve"> hypertrofi hos mus, rotter og hunde efter behandling med </w:t>
      </w:r>
      <w:proofErr w:type="spellStart"/>
      <w:r w:rsidRPr="00380D3E">
        <w:rPr>
          <w:sz w:val="24"/>
          <w:szCs w:val="24"/>
        </w:rPr>
        <w:t>macitentan</w:t>
      </w:r>
      <w:proofErr w:type="spellEnd"/>
      <w:r w:rsidRPr="00380D3E">
        <w:rPr>
          <w:sz w:val="24"/>
          <w:szCs w:val="24"/>
        </w:rPr>
        <w:t>. Disse forandringer var stort set reversible og anses for at være ikke-negative tilpasninger af leveren til øget metabolisk behov.</w:t>
      </w:r>
    </w:p>
    <w:p w14:paraId="2C93F9D9" w14:textId="77777777" w:rsidR="00061CA5" w:rsidRPr="00380D3E" w:rsidRDefault="00061CA5" w:rsidP="00380D3E">
      <w:pPr>
        <w:ind w:left="851"/>
        <w:rPr>
          <w:sz w:val="24"/>
          <w:szCs w:val="24"/>
        </w:rPr>
      </w:pPr>
    </w:p>
    <w:p w14:paraId="43E4D399" w14:textId="77777777" w:rsidR="00061CA5" w:rsidRPr="00380D3E" w:rsidRDefault="00061CA5" w:rsidP="00380D3E">
      <w:pPr>
        <w:ind w:left="851"/>
        <w:rPr>
          <w:sz w:val="24"/>
          <w:szCs w:val="24"/>
        </w:rPr>
      </w:pPr>
      <w:proofErr w:type="spellStart"/>
      <w:r w:rsidRPr="00380D3E">
        <w:rPr>
          <w:sz w:val="24"/>
          <w:szCs w:val="24"/>
        </w:rPr>
        <w:t>Macitentan</w:t>
      </w:r>
      <w:proofErr w:type="spellEnd"/>
      <w:r w:rsidRPr="00380D3E">
        <w:rPr>
          <w:sz w:val="24"/>
          <w:szCs w:val="24"/>
        </w:rPr>
        <w:t xml:space="preserve"> forårsagede minimal til let </w:t>
      </w:r>
      <w:proofErr w:type="spellStart"/>
      <w:r w:rsidRPr="00380D3E">
        <w:rPr>
          <w:sz w:val="24"/>
          <w:szCs w:val="24"/>
        </w:rPr>
        <w:t>slimhindehyperplasi</w:t>
      </w:r>
      <w:proofErr w:type="spellEnd"/>
      <w:r w:rsidRPr="00380D3E">
        <w:rPr>
          <w:sz w:val="24"/>
          <w:szCs w:val="24"/>
        </w:rPr>
        <w:t xml:space="preserve"> og inflammatorisk infiltration i </w:t>
      </w:r>
      <w:proofErr w:type="spellStart"/>
      <w:r w:rsidRPr="00380D3E">
        <w:rPr>
          <w:sz w:val="24"/>
          <w:szCs w:val="24"/>
        </w:rPr>
        <w:t>submucosa</w:t>
      </w:r>
      <w:proofErr w:type="spellEnd"/>
      <w:r w:rsidRPr="00380D3E">
        <w:rPr>
          <w:sz w:val="24"/>
          <w:szCs w:val="24"/>
        </w:rPr>
        <w:t xml:space="preserve"> i næsehulen i alle doser i </w:t>
      </w:r>
      <w:proofErr w:type="spellStart"/>
      <w:r w:rsidRPr="00380D3E">
        <w:rPr>
          <w:sz w:val="24"/>
          <w:szCs w:val="24"/>
        </w:rPr>
        <w:t>karcinogenicitetsstudierne</w:t>
      </w:r>
      <w:proofErr w:type="spellEnd"/>
      <w:r w:rsidRPr="00380D3E">
        <w:rPr>
          <w:sz w:val="24"/>
          <w:szCs w:val="24"/>
        </w:rPr>
        <w:t xml:space="preserve"> med mus. Der blev ikke set nogen effekter i næsehulen i musetoksicitetsstudiet af tre måneders varighed eller i rotte- og hundestudier. </w:t>
      </w:r>
    </w:p>
    <w:p w14:paraId="3C965F49" w14:textId="77777777" w:rsidR="00061CA5" w:rsidRPr="00380D3E" w:rsidRDefault="00061CA5" w:rsidP="00380D3E">
      <w:pPr>
        <w:ind w:left="851"/>
        <w:rPr>
          <w:sz w:val="24"/>
          <w:szCs w:val="24"/>
        </w:rPr>
      </w:pPr>
    </w:p>
    <w:p w14:paraId="6FD25107" w14:textId="77777777" w:rsidR="00061CA5" w:rsidRPr="00380D3E" w:rsidRDefault="00061CA5" w:rsidP="00380D3E">
      <w:pPr>
        <w:ind w:left="851"/>
        <w:rPr>
          <w:sz w:val="24"/>
          <w:szCs w:val="24"/>
        </w:rPr>
      </w:pPr>
      <w:proofErr w:type="spellStart"/>
      <w:r w:rsidRPr="00380D3E">
        <w:rPr>
          <w:sz w:val="24"/>
          <w:szCs w:val="24"/>
        </w:rPr>
        <w:t>Macitentan</w:t>
      </w:r>
      <w:proofErr w:type="spellEnd"/>
      <w:r w:rsidRPr="00380D3E">
        <w:rPr>
          <w:sz w:val="24"/>
          <w:szCs w:val="24"/>
        </w:rPr>
        <w:t xml:space="preserve"> var ikke genotoksisk i en række standardprøver </w:t>
      </w:r>
      <w:r w:rsidRPr="00380D3E">
        <w:rPr>
          <w:i/>
          <w:iCs/>
          <w:sz w:val="24"/>
          <w:szCs w:val="24"/>
        </w:rPr>
        <w:t xml:space="preserve">in </w:t>
      </w:r>
      <w:proofErr w:type="spellStart"/>
      <w:r w:rsidRPr="00380D3E">
        <w:rPr>
          <w:i/>
          <w:iCs/>
          <w:sz w:val="24"/>
          <w:szCs w:val="24"/>
        </w:rPr>
        <w:t>vitro</w:t>
      </w:r>
      <w:proofErr w:type="spellEnd"/>
      <w:r w:rsidRPr="00380D3E">
        <w:rPr>
          <w:sz w:val="24"/>
          <w:szCs w:val="24"/>
        </w:rPr>
        <w:t xml:space="preserve"> og </w:t>
      </w:r>
      <w:r w:rsidRPr="00380D3E">
        <w:rPr>
          <w:i/>
          <w:iCs/>
          <w:sz w:val="24"/>
          <w:szCs w:val="24"/>
        </w:rPr>
        <w:t xml:space="preserve">in </w:t>
      </w:r>
      <w:proofErr w:type="spellStart"/>
      <w:r w:rsidRPr="00380D3E">
        <w:rPr>
          <w:i/>
          <w:iCs/>
          <w:sz w:val="24"/>
          <w:szCs w:val="24"/>
        </w:rPr>
        <w:t>vivo</w:t>
      </w:r>
      <w:proofErr w:type="spellEnd"/>
      <w:r w:rsidRPr="00380D3E">
        <w:rPr>
          <w:sz w:val="24"/>
          <w:szCs w:val="24"/>
        </w:rPr>
        <w:t xml:space="preserve">. </w:t>
      </w:r>
      <w:proofErr w:type="spellStart"/>
      <w:r w:rsidRPr="00380D3E">
        <w:rPr>
          <w:sz w:val="24"/>
          <w:szCs w:val="24"/>
        </w:rPr>
        <w:t>Macitentan</w:t>
      </w:r>
      <w:proofErr w:type="spellEnd"/>
      <w:r w:rsidRPr="00380D3E">
        <w:rPr>
          <w:sz w:val="24"/>
          <w:szCs w:val="24"/>
        </w:rPr>
        <w:t xml:space="preserve"> var ikke fototoksisk </w:t>
      </w:r>
      <w:r w:rsidRPr="00380D3E">
        <w:rPr>
          <w:i/>
          <w:iCs/>
          <w:sz w:val="24"/>
          <w:szCs w:val="24"/>
        </w:rPr>
        <w:t xml:space="preserve">in </w:t>
      </w:r>
      <w:proofErr w:type="spellStart"/>
      <w:r w:rsidRPr="00380D3E">
        <w:rPr>
          <w:i/>
          <w:iCs/>
          <w:sz w:val="24"/>
          <w:szCs w:val="24"/>
        </w:rPr>
        <w:t>vivo</w:t>
      </w:r>
      <w:proofErr w:type="spellEnd"/>
      <w:r w:rsidRPr="00380D3E">
        <w:rPr>
          <w:sz w:val="24"/>
          <w:szCs w:val="24"/>
        </w:rPr>
        <w:t xml:space="preserve"> efter enkeltdosering ved eksponeringer, der var op til 24 gange højere end eksponeringen hos mennesker.</w:t>
      </w:r>
    </w:p>
    <w:p w14:paraId="727B6DC1" w14:textId="77777777" w:rsidR="00061CA5" w:rsidRPr="00380D3E" w:rsidRDefault="00061CA5" w:rsidP="00380D3E">
      <w:pPr>
        <w:ind w:left="851"/>
        <w:rPr>
          <w:sz w:val="24"/>
          <w:szCs w:val="24"/>
        </w:rPr>
      </w:pPr>
    </w:p>
    <w:p w14:paraId="042E7AD4" w14:textId="77777777" w:rsidR="00061CA5" w:rsidRPr="00380D3E" w:rsidRDefault="00061CA5" w:rsidP="00380D3E">
      <w:pPr>
        <w:ind w:left="851"/>
        <w:rPr>
          <w:sz w:val="24"/>
          <w:szCs w:val="24"/>
        </w:rPr>
      </w:pPr>
      <w:proofErr w:type="spellStart"/>
      <w:r w:rsidRPr="00380D3E">
        <w:rPr>
          <w:sz w:val="24"/>
          <w:szCs w:val="24"/>
        </w:rPr>
        <w:t>Karcinogenicitetsstudier</w:t>
      </w:r>
      <w:proofErr w:type="spellEnd"/>
      <w:r w:rsidRPr="00380D3E">
        <w:rPr>
          <w:sz w:val="24"/>
          <w:szCs w:val="24"/>
        </w:rPr>
        <w:t xml:space="preserve"> af 2 års varighed viste intet </w:t>
      </w:r>
      <w:proofErr w:type="spellStart"/>
      <w:r w:rsidRPr="00380D3E">
        <w:rPr>
          <w:sz w:val="24"/>
          <w:szCs w:val="24"/>
        </w:rPr>
        <w:t>karcinogent</w:t>
      </w:r>
      <w:proofErr w:type="spellEnd"/>
      <w:r w:rsidRPr="00380D3E">
        <w:rPr>
          <w:sz w:val="24"/>
          <w:szCs w:val="24"/>
        </w:rPr>
        <w:t xml:space="preserve"> potentiale ved eksponeringer hos rotter og mus, der var hhv. 18 gange og 116 gange højere end eksponeringen hos mennesker.</w:t>
      </w:r>
    </w:p>
    <w:p w14:paraId="062AD848" w14:textId="77777777" w:rsidR="00061CA5" w:rsidRPr="00380D3E" w:rsidRDefault="00061CA5" w:rsidP="00380D3E">
      <w:pPr>
        <w:ind w:left="851"/>
        <w:rPr>
          <w:sz w:val="24"/>
          <w:szCs w:val="24"/>
        </w:rPr>
      </w:pPr>
    </w:p>
    <w:p w14:paraId="34B7FDA6" w14:textId="77777777" w:rsidR="00061CA5" w:rsidRPr="00380D3E" w:rsidRDefault="00061CA5" w:rsidP="00380D3E">
      <w:pPr>
        <w:ind w:left="851"/>
        <w:rPr>
          <w:sz w:val="24"/>
          <w:szCs w:val="24"/>
        </w:rPr>
      </w:pPr>
      <w:r w:rsidRPr="00380D3E">
        <w:rPr>
          <w:sz w:val="24"/>
          <w:szCs w:val="24"/>
        </w:rPr>
        <w:t xml:space="preserve">Der blev set </w:t>
      </w:r>
      <w:proofErr w:type="spellStart"/>
      <w:r w:rsidRPr="00380D3E">
        <w:rPr>
          <w:sz w:val="24"/>
          <w:szCs w:val="24"/>
        </w:rPr>
        <w:t>testikulær</w:t>
      </w:r>
      <w:proofErr w:type="spellEnd"/>
      <w:r w:rsidRPr="00380D3E">
        <w:rPr>
          <w:sz w:val="24"/>
          <w:szCs w:val="24"/>
        </w:rPr>
        <w:t xml:space="preserve"> </w:t>
      </w:r>
      <w:proofErr w:type="spellStart"/>
      <w:r w:rsidRPr="00380D3E">
        <w:rPr>
          <w:sz w:val="24"/>
          <w:szCs w:val="24"/>
        </w:rPr>
        <w:t>tubulær</w:t>
      </w:r>
      <w:proofErr w:type="spellEnd"/>
      <w:r w:rsidRPr="00380D3E">
        <w:rPr>
          <w:sz w:val="24"/>
          <w:szCs w:val="24"/>
        </w:rPr>
        <w:t xml:space="preserve"> dilatation i kroniske toksicitetsstudier med hanrotter og -hunde med sikkerhedsmarginer på hhv. 11,6 og 5,8. </w:t>
      </w:r>
      <w:proofErr w:type="spellStart"/>
      <w:r w:rsidRPr="00380D3E">
        <w:rPr>
          <w:sz w:val="24"/>
          <w:szCs w:val="24"/>
        </w:rPr>
        <w:t>Tubulær</w:t>
      </w:r>
      <w:proofErr w:type="spellEnd"/>
      <w:r w:rsidRPr="00380D3E">
        <w:rPr>
          <w:sz w:val="24"/>
          <w:szCs w:val="24"/>
        </w:rPr>
        <w:t xml:space="preserve"> dilatation var fuldstændigt reversibel. Efter 2 års behandling blev der set </w:t>
      </w:r>
      <w:proofErr w:type="spellStart"/>
      <w:r w:rsidRPr="00380D3E">
        <w:rPr>
          <w:sz w:val="24"/>
          <w:szCs w:val="24"/>
        </w:rPr>
        <w:t>testikulær</w:t>
      </w:r>
      <w:proofErr w:type="spellEnd"/>
      <w:r w:rsidRPr="00380D3E">
        <w:rPr>
          <w:sz w:val="24"/>
          <w:szCs w:val="24"/>
        </w:rPr>
        <w:t xml:space="preserve"> </w:t>
      </w:r>
      <w:proofErr w:type="spellStart"/>
      <w:r w:rsidRPr="00380D3E">
        <w:rPr>
          <w:sz w:val="24"/>
          <w:szCs w:val="24"/>
        </w:rPr>
        <w:t>tubulær</w:t>
      </w:r>
      <w:proofErr w:type="spellEnd"/>
      <w:r w:rsidRPr="00380D3E">
        <w:rPr>
          <w:sz w:val="24"/>
          <w:szCs w:val="24"/>
        </w:rPr>
        <w:t xml:space="preserve"> atrofi hos rotter ved eksponeringer, der var 4 gange højere end eksponeringen hos mennesker. Der blev set </w:t>
      </w:r>
      <w:proofErr w:type="spellStart"/>
      <w:r w:rsidRPr="00380D3E">
        <w:rPr>
          <w:sz w:val="24"/>
          <w:szCs w:val="24"/>
        </w:rPr>
        <w:t>hypospermatogenese</w:t>
      </w:r>
      <w:proofErr w:type="spellEnd"/>
      <w:r w:rsidRPr="00380D3E">
        <w:rPr>
          <w:sz w:val="24"/>
          <w:szCs w:val="24"/>
        </w:rPr>
        <w:t xml:space="preserve"> i det livslange </w:t>
      </w:r>
      <w:proofErr w:type="spellStart"/>
      <w:r w:rsidRPr="00380D3E">
        <w:rPr>
          <w:sz w:val="24"/>
          <w:szCs w:val="24"/>
        </w:rPr>
        <w:t>karcinogenicitetsstudie</w:t>
      </w:r>
      <w:proofErr w:type="spellEnd"/>
      <w:r w:rsidRPr="00380D3E">
        <w:rPr>
          <w:sz w:val="24"/>
          <w:szCs w:val="24"/>
        </w:rPr>
        <w:t xml:space="preserve"> med rotter og i studiet af toksicitet efter gentagen administration hos hunde ved eksponeringer, der giver sikkerhedsmarginer på 9,7 hos rotter og 23 hos hunde. Sikkerhedsmarginerne vedrørende fertiliteten var 18 hos hanrotter og 44 hos hunrotter. Der blev ikke noteret </w:t>
      </w:r>
      <w:proofErr w:type="spellStart"/>
      <w:r w:rsidRPr="00380D3E">
        <w:rPr>
          <w:sz w:val="24"/>
          <w:szCs w:val="24"/>
        </w:rPr>
        <w:t>testikulære</w:t>
      </w:r>
      <w:proofErr w:type="spellEnd"/>
      <w:r w:rsidRPr="00380D3E">
        <w:rPr>
          <w:sz w:val="24"/>
          <w:szCs w:val="24"/>
        </w:rPr>
        <w:t xml:space="preserve"> påvirkninger hos mus efter behandling af op til 2 års varighed.</w:t>
      </w:r>
    </w:p>
    <w:p w14:paraId="118AABB0" w14:textId="77777777" w:rsidR="00061CA5" w:rsidRPr="00380D3E" w:rsidRDefault="00061CA5" w:rsidP="00380D3E">
      <w:pPr>
        <w:ind w:left="851"/>
        <w:rPr>
          <w:sz w:val="24"/>
          <w:szCs w:val="24"/>
        </w:rPr>
      </w:pPr>
    </w:p>
    <w:p w14:paraId="0FE94560" w14:textId="77777777" w:rsidR="00061CA5" w:rsidRPr="00380D3E" w:rsidRDefault="00061CA5" w:rsidP="00380D3E">
      <w:pPr>
        <w:ind w:left="851"/>
        <w:rPr>
          <w:sz w:val="24"/>
          <w:szCs w:val="24"/>
        </w:rPr>
      </w:pPr>
      <w:proofErr w:type="spellStart"/>
      <w:r w:rsidRPr="00380D3E">
        <w:rPr>
          <w:sz w:val="24"/>
          <w:szCs w:val="24"/>
        </w:rPr>
        <w:t>Macitentan</w:t>
      </w:r>
      <w:proofErr w:type="spellEnd"/>
      <w:r w:rsidRPr="00380D3E">
        <w:rPr>
          <w:sz w:val="24"/>
          <w:szCs w:val="24"/>
        </w:rPr>
        <w:t xml:space="preserve"> var </w:t>
      </w:r>
      <w:proofErr w:type="spellStart"/>
      <w:r w:rsidRPr="00380D3E">
        <w:rPr>
          <w:sz w:val="24"/>
          <w:szCs w:val="24"/>
        </w:rPr>
        <w:t>teratogent</w:t>
      </w:r>
      <w:proofErr w:type="spellEnd"/>
      <w:r w:rsidRPr="00380D3E">
        <w:rPr>
          <w:sz w:val="24"/>
          <w:szCs w:val="24"/>
        </w:rPr>
        <w:t xml:space="preserve"> hos kaniner og rotter i alle afprøvede doser. Hos begge arter blev der set </w:t>
      </w:r>
      <w:proofErr w:type="spellStart"/>
      <w:r w:rsidRPr="00380D3E">
        <w:rPr>
          <w:sz w:val="24"/>
          <w:szCs w:val="24"/>
        </w:rPr>
        <w:t>kardiovaskulære</w:t>
      </w:r>
      <w:proofErr w:type="spellEnd"/>
      <w:r w:rsidRPr="00380D3E">
        <w:rPr>
          <w:sz w:val="24"/>
          <w:szCs w:val="24"/>
        </w:rPr>
        <w:t xml:space="preserve"> og fusion af </w:t>
      </w:r>
      <w:proofErr w:type="spellStart"/>
      <w:r w:rsidRPr="00380D3E">
        <w:rPr>
          <w:sz w:val="24"/>
          <w:szCs w:val="24"/>
        </w:rPr>
        <w:t>arcus</w:t>
      </w:r>
      <w:proofErr w:type="spellEnd"/>
      <w:r w:rsidRPr="00380D3E">
        <w:rPr>
          <w:sz w:val="24"/>
          <w:szCs w:val="24"/>
        </w:rPr>
        <w:t xml:space="preserve"> </w:t>
      </w:r>
      <w:proofErr w:type="spellStart"/>
      <w:r w:rsidRPr="00380D3E">
        <w:rPr>
          <w:sz w:val="24"/>
          <w:szCs w:val="24"/>
        </w:rPr>
        <w:t>mandibularis</w:t>
      </w:r>
      <w:proofErr w:type="spellEnd"/>
      <w:r w:rsidRPr="00380D3E">
        <w:rPr>
          <w:sz w:val="24"/>
          <w:szCs w:val="24"/>
        </w:rPr>
        <w:t xml:space="preserve"> abnormiteter.</w:t>
      </w:r>
    </w:p>
    <w:p w14:paraId="03171D77" w14:textId="77777777" w:rsidR="00061CA5" w:rsidRPr="00380D3E" w:rsidRDefault="00061CA5" w:rsidP="00380D3E">
      <w:pPr>
        <w:ind w:left="851"/>
        <w:rPr>
          <w:sz w:val="24"/>
          <w:szCs w:val="24"/>
        </w:rPr>
      </w:pPr>
    </w:p>
    <w:p w14:paraId="28D20A71" w14:textId="77777777" w:rsidR="00061CA5" w:rsidRPr="00380D3E" w:rsidRDefault="00061CA5" w:rsidP="00380D3E">
      <w:pPr>
        <w:ind w:left="851"/>
        <w:rPr>
          <w:sz w:val="24"/>
          <w:szCs w:val="24"/>
        </w:rPr>
      </w:pPr>
      <w:r w:rsidRPr="00380D3E">
        <w:rPr>
          <w:sz w:val="24"/>
          <w:szCs w:val="24"/>
        </w:rPr>
        <w:t xml:space="preserve">Administration af </w:t>
      </w:r>
      <w:proofErr w:type="spellStart"/>
      <w:r w:rsidRPr="00380D3E">
        <w:rPr>
          <w:sz w:val="24"/>
          <w:szCs w:val="24"/>
        </w:rPr>
        <w:t>macitentan</w:t>
      </w:r>
      <w:proofErr w:type="spellEnd"/>
      <w:r w:rsidRPr="00380D3E">
        <w:rPr>
          <w:sz w:val="24"/>
          <w:szCs w:val="24"/>
        </w:rPr>
        <w:t xml:space="preserve"> til hunrotter i </w:t>
      </w:r>
      <w:proofErr w:type="spellStart"/>
      <w:r w:rsidRPr="00380D3E">
        <w:rPr>
          <w:sz w:val="24"/>
          <w:szCs w:val="24"/>
        </w:rPr>
        <w:t>maternelle</w:t>
      </w:r>
      <w:proofErr w:type="spellEnd"/>
      <w:r w:rsidRPr="00380D3E">
        <w:rPr>
          <w:sz w:val="24"/>
          <w:szCs w:val="24"/>
        </w:rPr>
        <w:t xml:space="preserve"> eksponeringer, der var fem gange højere end den humane eksponering, fra den sene drægtighedsperiode til og med den diegivende periode forårsagede nedsat overlevelse hos afkommet og nedsat reproduktionsevne hos afkom, der blev eksponeret for </w:t>
      </w:r>
      <w:proofErr w:type="spellStart"/>
      <w:r w:rsidRPr="00380D3E">
        <w:rPr>
          <w:sz w:val="24"/>
          <w:szCs w:val="24"/>
        </w:rPr>
        <w:t>macitentan</w:t>
      </w:r>
      <w:proofErr w:type="spellEnd"/>
      <w:r w:rsidRPr="00380D3E">
        <w:rPr>
          <w:sz w:val="24"/>
          <w:szCs w:val="24"/>
        </w:rPr>
        <w:t xml:space="preserve"> sent i fostertilværelsen og via mælken i dieperioden.</w:t>
      </w:r>
    </w:p>
    <w:p w14:paraId="1CE74AFA" w14:textId="77777777" w:rsidR="00061CA5" w:rsidRPr="00380D3E" w:rsidRDefault="00061CA5" w:rsidP="00380D3E">
      <w:pPr>
        <w:ind w:left="851"/>
        <w:rPr>
          <w:sz w:val="24"/>
          <w:szCs w:val="24"/>
        </w:rPr>
      </w:pPr>
    </w:p>
    <w:p w14:paraId="70340C98" w14:textId="77777777" w:rsidR="00061CA5" w:rsidRPr="00380D3E" w:rsidRDefault="00061CA5" w:rsidP="00380D3E">
      <w:pPr>
        <w:ind w:left="851"/>
        <w:rPr>
          <w:sz w:val="24"/>
          <w:szCs w:val="24"/>
        </w:rPr>
      </w:pPr>
      <w:r w:rsidRPr="00380D3E">
        <w:rPr>
          <w:sz w:val="24"/>
          <w:szCs w:val="24"/>
        </w:rPr>
        <w:lastRenderedPageBreak/>
        <w:t xml:space="preserve">Behandling af unge rotter fra dag 4 til dag 114 efter fødslen forårsagede nedsat legemsvægtøgning, der medførte sekundære virkninger på udviklingen (let forsinket </w:t>
      </w:r>
      <w:proofErr w:type="spellStart"/>
      <w:r w:rsidRPr="00380D3E">
        <w:rPr>
          <w:sz w:val="24"/>
          <w:szCs w:val="24"/>
        </w:rPr>
        <w:t>descensus</w:t>
      </w:r>
      <w:proofErr w:type="spellEnd"/>
      <w:r w:rsidRPr="00380D3E">
        <w:rPr>
          <w:sz w:val="24"/>
          <w:szCs w:val="24"/>
        </w:rPr>
        <w:t xml:space="preserve"> </w:t>
      </w:r>
      <w:proofErr w:type="spellStart"/>
      <w:r w:rsidRPr="00380D3E">
        <w:rPr>
          <w:sz w:val="24"/>
          <w:szCs w:val="24"/>
        </w:rPr>
        <w:t>testium</w:t>
      </w:r>
      <w:proofErr w:type="spellEnd"/>
      <w:r w:rsidRPr="00380D3E">
        <w:rPr>
          <w:sz w:val="24"/>
          <w:szCs w:val="24"/>
        </w:rPr>
        <w:t xml:space="preserve">, reversibel reduktion af længden af os </w:t>
      </w:r>
      <w:proofErr w:type="spellStart"/>
      <w:r w:rsidRPr="00380D3E">
        <w:rPr>
          <w:sz w:val="24"/>
          <w:szCs w:val="24"/>
        </w:rPr>
        <w:t>longum</w:t>
      </w:r>
      <w:proofErr w:type="spellEnd"/>
      <w:r w:rsidRPr="00380D3E">
        <w:rPr>
          <w:sz w:val="24"/>
          <w:szCs w:val="24"/>
        </w:rPr>
        <w:t xml:space="preserve">, forlænget østruscyklus). Der blev set et let forøget præ- og postimplantationstab, fald i gennemsnitligt antal unger og nedsat vægt af testis og </w:t>
      </w:r>
      <w:proofErr w:type="spellStart"/>
      <w:r w:rsidRPr="00380D3E">
        <w:rPr>
          <w:sz w:val="24"/>
          <w:szCs w:val="24"/>
        </w:rPr>
        <w:t>epididymis</w:t>
      </w:r>
      <w:proofErr w:type="spellEnd"/>
      <w:r w:rsidRPr="00380D3E">
        <w:rPr>
          <w:sz w:val="24"/>
          <w:szCs w:val="24"/>
        </w:rPr>
        <w:t xml:space="preserve"> ved eksponeringer, der var 7 gange højere end den humane eksponering. Der blev registreret </w:t>
      </w:r>
      <w:proofErr w:type="spellStart"/>
      <w:r w:rsidRPr="00380D3E">
        <w:rPr>
          <w:sz w:val="24"/>
          <w:szCs w:val="24"/>
        </w:rPr>
        <w:t>testikulær</w:t>
      </w:r>
      <w:proofErr w:type="spellEnd"/>
      <w:r w:rsidRPr="00380D3E">
        <w:rPr>
          <w:sz w:val="24"/>
          <w:szCs w:val="24"/>
        </w:rPr>
        <w:t xml:space="preserve"> </w:t>
      </w:r>
      <w:proofErr w:type="spellStart"/>
      <w:r w:rsidRPr="00380D3E">
        <w:rPr>
          <w:sz w:val="24"/>
          <w:szCs w:val="24"/>
        </w:rPr>
        <w:t>tubulær</w:t>
      </w:r>
      <w:proofErr w:type="spellEnd"/>
      <w:r w:rsidRPr="00380D3E">
        <w:rPr>
          <w:sz w:val="24"/>
          <w:szCs w:val="24"/>
        </w:rPr>
        <w:t xml:space="preserve"> atrofi og minimale virkninger på reproduktionsvariabler og sædmorfologi ved eksponeringer, der var 3,8 gange højere end den humane eksponering.</w:t>
      </w:r>
    </w:p>
    <w:p w14:paraId="57BBFA7D" w14:textId="77777777" w:rsidR="009260DE" w:rsidRPr="00380D3E" w:rsidRDefault="009260DE" w:rsidP="009260DE">
      <w:pPr>
        <w:tabs>
          <w:tab w:val="left" w:pos="851"/>
        </w:tabs>
        <w:ind w:left="851"/>
        <w:rPr>
          <w:sz w:val="24"/>
          <w:szCs w:val="24"/>
        </w:rPr>
      </w:pPr>
    </w:p>
    <w:p w14:paraId="6185854B" w14:textId="77777777" w:rsidR="009260DE" w:rsidRPr="00380D3E" w:rsidRDefault="009260DE" w:rsidP="009260DE">
      <w:pPr>
        <w:tabs>
          <w:tab w:val="left" w:pos="851"/>
        </w:tabs>
        <w:ind w:left="851"/>
        <w:rPr>
          <w:sz w:val="24"/>
          <w:szCs w:val="24"/>
        </w:rPr>
      </w:pPr>
    </w:p>
    <w:p w14:paraId="5A578010" w14:textId="77777777" w:rsidR="009260DE" w:rsidRPr="00380D3E" w:rsidRDefault="009260DE" w:rsidP="009260DE">
      <w:pPr>
        <w:tabs>
          <w:tab w:val="left" w:pos="851"/>
        </w:tabs>
        <w:ind w:left="851" w:hanging="851"/>
        <w:rPr>
          <w:b/>
          <w:sz w:val="24"/>
          <w:szCs w:val="24"/>
        </w:rPr>
      </w:pPr>
      <w:r w:rsidRPr="00380D3E">
        <w:rPr>
          <w:b/>
          <w:sz w:val="24"/>
          <w:szCs w:val="24"/>
        </w:rPr>
        <w:t>6.</w:t>
      </w:r>
      <w:r w:rsidRPr="00380D3E">
        <w:rPr>
          <w:b/>
          <w:sz w:val="24"/>
          <w:szCs w:val="24"/>
        </w:rPr>
        <w:tab/>
        <w:t>FARMACEUTISKE OPLYSNINGER</w:t>
      </w:r>
    </w:p>
    <w:p w14:paraId="69D8BC47" w14:textId="77777777" w:rsidR="009260DE" w:rsidRPr="00380D3E" w:rsidRDefault="009260DE" w:rsidP="009260DE">
      <w:pPr>
        <w:tabs>
          <w:tab w:val="left" w:pos="851"/>
        </w:tabs>
        <w:ind w:left="851"/>
        <w:rPr>
          <w:sz w:val="24"/>
          <w:szCs w:val="24"/>
        </w:rPr>
      </w:pPr>
    </w:p>
    <w:p w14:paraId="3ABBE129" w14:textId="77777777" w:rsidR="009260DE" w:rsidRPr="00380D3E" w:rsidRDefault="009260DE" w:rsidP="009260DE">
      <w:pPr>
        <w:tabs>
          <w:tab w:val="left" w:pos="851"/>
        </w:tabs>
        <w:ind w:left="851" w:hanging="851"/>
        <w:rPr>
          <w:b/>
          <w:sz w:val="24"/>
          <w:szCs w:val="24"/>
        </w:rPr>
      </w:pPr>
      <w:r w:rsidRPr="00380D3E">
        <w:rPr>
          <w:b/>
          <w:sz w:val="24"/>
          <w:szCs w:val="24"/>
        </w:rPr>
        <w:t>6.1</w:t>
      </w:r>
      <w:r w:rsidRPr="00380D3E">
        <w:rPr>
          <w:b/>
          <w:sz w:val="24"/>
          <w:szCs w:val="24"/>
        </w:rPr>
        <w:tab/>
        <w:t>Hjælpestoffer</w:t>
      </w:r>
    </w:p>
    <w:p w14:paraId="30AD4A00" w14:textId="77777777" w:rsidR="005B6B84" w:rsidRDefault="005B6B84" w:rsidP="00380D3E">
      <w:pPr>
        <w:ind w:left="851"/>
        <w:rPr>
          <w:sz w:val="24"/>
          <w:szCs w:val="24"/>
          <w:u w:val="single"/>
        </w:rPr>
      </w:pPr>
    </w:p>
    <w:p w14:paraId="3C67FBDA" w14:textId="27A644E2" w:rsidR="00061CA5" w:rsidRPr="00380D3E" w:rsidRDefault="00061CA5" w:rsidP="00380D3E">
      <w:pPr>
        <w:ind w:left="851"/>
        <w:rPr>
          <w:sz w:val="24"/>
          <w:szCs w:val="24"/>
          <w:u w:val="single"/>
        </w:rPr>
      </w:pPr>
      <w:r w:rsidRPr="00380D3E">
        <w:rPr>
          <w:sz w:val="24"/>
          <w:szCs w:val="24"/>
          <w:u w:val="single"/>
        </w:rPr>
        <w:t>Tabletkerne</w:t>
      </w:r>
    </w:p>
    <w:p w14:paraId="7C35A0D9" w14:textId="77777777" w:rsidR="00061CA5" w:rsidRPr="00380D3E" w:rsidRDefault="00061CA5" w:rsidP="00380D3E">
      <w:pPr>
        <w:ind w:left="851"/>
        <w:rPr>
          <w:sz w:val="24"/>
          <w:szCs w:val="24"/>
        </w:rPr>
      </w:pPr>
      <w:proofErr w:type="spellStart"/>
      <w:r w:rsidRPr="00380D3E">
        <w:rPr>
          <w:sz w:val="24"/>
          <w:szCs w:val="24"/>
        </w:rPr>
        <w:t>Lactosemonohydrat</w:t>
      </w:r>
      <w:proofErr w:type="spellEnd"/>
    </w:p>
    <w:p w14:paraId="3068B00D" w14:textId="77777777" w:rsidR="00061CA5" w:rsidRPr="00380D3E" w:rsidRDefault="00061CA5" w:rsidP="00380D3E">
      <w:pPr>
        <w:ind w:left="851"/>
        <w:rPr>
          <w:sz w:val="24"/>
          <w:szCs w:val="24"/>
        </w:rPr>
      </w:pPr>
      <w:r w:rsidRPr="00380D3E">
        <w:rPr>
          <w:sz w:val="24"/>
          <w:szCs w:val="24"/>
        </w:rPr>
        <w:t>Cellulose, mikrokrystallinsk</w:t>
      </w:r>
    </w:p>
    <w:p w14:paraId="3B36A915" w14:textId="77777777" w:rsidR="00061CA5" w:rsidRPr="00380D3E" w:rsidRDefault="00061CA5" w:rsidP="00380D3E">
      <w:pPr>
        <w:ind w:left="851"/>
        <w:rPr>
          <w:sz w:val="24"/>
          <w:szCs w:val="24"/>
        </w:rPr>
      </w:pPr>
      <w:proofErr w:type="spellStart"/>
      <w:r w:rsidRPr="00380D3E">
        <w:rPr>
          <w:sz w:val="24"/>
          <w:szCs w:val="24"/>
        </w:rPr>
        <w:t>Croscarmellosenatrium</w:t>
      </w:r>
      <w:proofErr w:type="spellEnd"/>
    </w:p>
    <w:p w14:paraId="3B01539C" w14:textId="77777777" w:rsidR="00061CA5" w:rsidRPr="00380D3E" w:rsidRDefault="00061CA5" w:rsidP="00380D3E">
      <w:pPr>
        <w:ind w:left="851"/>
        <w:rPr>
          <w:sz w:val="24"/>
          <w:szCs w:val="24"/>
        </w:rPr>
      </w:pPr>
      <w:proofErr w:type="spellStart"/>
      <w:r w:rsidRPr="00380D3E">
        <w:rPr>
          <w:sz w:val="24"/>
          <w:szCs w:val="24"/>
        </w:rPr>
        <w:t>Poloxamer</w:t>
      </w:r>
      <w:proofErr w:type="spellEnd"/>
    </w:p>
    <w:p w14:paraId="3CF15E5D" w14:textId="77777777" w:rsidR="00061CA5" w:rsidRPr="00380D3E" w:rsidRDefault="00061CA5" w:rsidP="00380D3E">
      <w:pPr>
        <w:ind w:left="851"/>
        <w:rPr>
          <w:sz w:val="24"/>
          <w:szCs w:val="24"/>
        </w:rPr>
      </w:pPr>
      <w:proofErr w:type="spellStart"/>
      <w:r w:rsidRPr="00380D3E">
        <w:rPr>
          <w:sz w:val="24"/>
          <w:szCs w:val="24"/>
        </w:rPr>
        <w:t>Povidon</w:t>
      </w:r>
      <w:proofErr w:type="spellEnd"/>
    </w:p>
    <w:p w14:paraId="12BDF5B2" w14:textId="77777777" w:rsidR="00061CA5" w:rsidRPr="00380D3E" w:rsidRDefault="00061CA5" w:rsidP="00380D3E">
      <w:pPr>
        <w:ind w:left="851"/>
        <w:rPr>
          <w:sz w:val="24"/>
          <w:szCs w:val="24"/>
        </w:rPr>
      </w:pPr>
      <w:proofErr w:type="spellStart"/>
      <w:r w:rsidRPr="00380D3E">
        <w:rPr>
          <w:sz w:val="24"/>
          <w:szCs w:val="24"/>
        </w:rPr>
        <w:t>Natriumstearylfumarat</w:t>
      </w:r>
      <w:proofErr w:type="spellEnd"/>
    </w:p>
    <w:p w14:paraId="1C877453" w14:textId="77777777" w:rsidR="00061CA5" w:rsidRPr="00380D3E" w:rsidRDefault="00061CA5" w:rsidP="00380D3E">
      <w:pPr>
        <w:ind w:left="851"/>
        <w:rPr>
          <w:sz w:val="24"/>
          <w:szCs w:val="24"/>
        </w:rPr>
      </w:pPr>
    </w:p>
    <w:p w14:paraId="138652A5" w14:textId="77777777" w:rsidR="00061CA5" w:rsidRPr="00380D3E" w:rsidRDefault="00061CA5" w:rsidP="00380D3E">
      <w:pPr>
        <w:ind w:left="851"/>
        <w:rPr>
          <w:sz w:val="24"/>
          <w:szCs w:val="24"/>
          <w:u w:val="single"/>
        </w:rPr>
      </w:pPr>
      <w:r w:rsidRPr="00380D3E">
        <w:rPr>
          <w:sz w:val="24"/>
          <w:szCs w:val="24"/>
          <w:u w:val="single"/>
        </w:rPr>
        <w:t>Filmovertræk</w:t>
      </w:r>
    </w:p>
    <w:p w14:paraId="231D4A27" w14:textId="77777777" w:rsidR="00061CA5" w:rsidRPr="00380D3E" w:rsidRDefault="00061CA5" w:rsidP="00380D3E">
      <w:pPr>
        <w:ind w:left="851"/>
        <w:rPr>
          <w:sz w:val="24"/>
          <w:szCs w:val="24"/>
        </w:rPr>
      </w:pPr>
      <w:r w:rsidRPr="00380D3E">
        <w:rPr>
          <w:sz w:val="24"/>
          <w:szCs w:val="24"/>
        </w:rPr>
        <w:t>Polyvinylalkohol (delvist hydrolyseret)</w:t>
      </w:r>
    </w:p>
    <w:p w14:paraId="35B27536" w14:textId="77777777" w:rsidR="00061CA5" w:rsidRPr="00380D3E" w:rsidRDefault="00061CA5" w:rsidP="00380D3E">
      <w:pPr>
        <w:ind w:left="851"/>
        <w:rPr>
          <w:sz w:val="24"/>
          <w:szCs w:val="24"/>
        </w:rPr>
      </w:pPr>
      <w:r w:rsidRPr="00380D3E">
        <w:rPr>
          <w:sz w:val="24"/>
          <w:szCs w:val="24"/>
        </w:rPr>
        <w:t>Titandioxid</w:t>
      </w:r>
    </w:p>
    <w:p w14:paraId="1A47778E" w14:textId="77777777" w:rsidR="00061CA5" w:rsidRPr="00380D3E" w:rsidRDefault="00061CA5" w:rsidP="00380D3E">
      <w:pPr>
        <w:ind w:left="851"/>
        <w:rPr>
          <w:sz w:val="24"/>
          <w:szCs w:val="24"/>
        </w:rPr>
      </w:pPr>
      <w:proofErr w:type="spellStart"/>
      <w:r w:rsidRPr="00380D3E">
        <w:rPr>
          <w:sz w:val="24"/>
          <w:szCs w:val="24"/>
        </w:rPr>
        <w:t>Talcum</w:t>
      </w:r>
      <w:proofErr w:type="spellEnd"/>
    </w:p>
    <w:p w14:paraId="42C23B62" w14:textId="77777777" w:rsidR="00061CA5" w:rsidRPr="00380D3E" w:rsidRDefault="00061CA5" w:rsidP="00380D3E">
      <w:pPr>
        <w:ind w:left="851"/>
        <w:rPr>
          <w:sz w:val="24"/>
          <w:szCs w:val="24"/>
        </w:rPr>
      </w:pPr>
      <w:proofErr w:type="spellStart"/>
      <w:r w:rsidRPr="00380D3E">
        <w:rPr>
          <w:sz w:val="24"/>
          <w:szCs w:val="24"/>
        </w:rPr>
        <w:t>Sojalecithin</w:t>
      </w:r>
      <w:proofErr w:type="spellEnd"/>
    </w:p>
    <w:p w14:paraId="306CEC4E" w14:textId="77777777" w:rsidR="00061CA5" w:rsidRPr="00380D3E" w:rsidRDefault="00061CA5" w:rsidP="00380D3E">
      <w:pPr>
        <w:ind w:left="851"/>
        <w:rPr>
          <w:sz w:val="24"/>
          <w:szCs w:val="24"/>
        </w:rPr>
      </w:pPr>
      <w:proofErr w:type="spellStart"/>
      <w:r w:rsidRPr="00380D3E">
        <w:rPr>
          <w:sz w:val="24"/>
          <w:szCs w:val="24"/>
        </w:rPr>
        <w:t>Xanthangummi</w:t>
      </w:r>
      <w:proofErr w:type="spellEnd"/>
    </w:p>
    <w:p w14:paraId="735E58BC" w14:textId="77777777" w:rsidR="009260DE" w:rsidRPr="00380D3E" w:rsidRDefault="009260DE" w:rsidP="009260DE">
      <w:pPr>
        <w:tabs>
          <w:tab w:val="left" w:pos="851"/>
        </w:tabs>
        <w:ind w:left="851"/>
        <w:rPr>
          <w:sz w:val="24"/>
          <w:szCs w:val="24"/>
        </w:rPr>
      </w:pPr>
    </w:p>
    <w:p w14:paraId="057F1B70" w14:textId="77777777" w:rsidR="009260DE" w:rsidRPr="00380D3E" w:rsidRDefault="009260DE" w:rsidP="009260DE">
      <w:pPr>
        <w:tabs>
          <w:tab w:val="left" w:pos="851"/>
        </w:tabs>
        <w:ind w:left="851" w:hanging="851"/>
        <w:rPr>
          <w:b/>
          <w:sz w:val="24"/>
          <w:szCs w:val="24"/>
        </w:rPr>
      </w:pPr>
      <w:r w:rsidRPr="00380D3E">
        <w:rPr>
          <w:b/>
          <w:sz w:val="24"/>
          <w:szCs w:val="24"/>
        </w:rPr>
        <w:t>6.2</w:t>
      </w:r>
      <w:r w:rsidRPr="00380D3E">
        <w:rPr>
          <w:b/>
          <w:sz w:val="24"/>
          <w:szCs w:val="24"/>
        </w:rPr>
        <w:tab/>
        <w:t>Uforligeligheder</w:t>
      </w:r>
    </w:p>
    <w:p w14:paraId="45200035" w14:textId="77777777" w:rsidR="00061CA5" w:rsidRPr="00380D3E" w:rsidRDefault="00061CA5" w:rsidP="00380D3E">
      <w:pPr>
        <w:ind w:left="851"/>
        <w:rPr>
          <w:sz w:val="24"/>
          <w:szCs w:val="24"/>
        </w:rPr>
      </w:pPr>
      <w:r w:rsidRPr="00380D3E">
        <w:rPr>
          <w:sz w:val="24"/>
          <w:szCs w:val="24"/>
        </w:rPr>
        <w:t>Ikke relevant.</w:t>
      </w:r>
    </w:p>
    <w:p w14:paraId="20D86859" w14:textId="77777777" w:rsidR="009260DE" w:rsidRPr="00380D3E" w:rsidRDefault="009260DE" w:rsidP="009260DE">
      <w:pPr>
        <w:tabs>
          <w:tab w:val="left" w:pos="851"/>
        </w:tabs>
        <w:ind w:left="851"/>
        <w:rPr>
          <w:sz w:val="24"/>
          <w:szCs w:val="24"/>
        </w:rPr>
      </w:pPr>
    </w:p>
    <w:p w14:paraId="2927DD80" w14:textId="77777777" w:rsidR="009260DE" w:rsidRPr="00380D3E" w:rsidRDefault="009260DE" w:rsidP="009260DE">
      <w:pPr>
        <w:tabs>
          <w:tab w:val="left" w:pos="851"/>
        </w:tabs>
        <w:ind w:left="851" w:hanging="851"/>
        <w:rPr>
          <w:b/>
          <w:sz w:val="24"/>
          <w:szCs w:val="24"/>
        </w:rPr>
      </w:pPr>
      <w:r w:rsidRPr="00380D3E">
        <w:rPr>
          <w:b/>
          <w:sz w:val="24"/>
          <w:szCs w:val="24"/>
        </w:rPr>
        <w:t>6.3</w:t>
      </w:r>
      <w:r w:rsidRPr="00380D3E">
        <w:rPr>
          <w:b/>
          <w:sz w:val="24"/>
          <w:szCs w:val="24"/>
        </w:rPr>
        <w:tab/>
        <w:t>Opbevaringstid</w:t>
      </w:r>
    </w:p>
    <w:p w14:paraId="2551CF96" w14:textId="77777777" w:rsidR="00061CA5" w:rsidRPr="00380D3E" w:rsidRDefault="00061CA5" w:rsidP="00380D3E">
      <w:pPr>
        <w:ind w:left="851"/>
        <w:rPr>
          <w:sz w:val="24"/>
          <w:szCs w:val="24"/>
        </w:rPr>
      </w:pPr>
      <w:r w:rsidRPr="00380D3E">
        <w:rPr>
          <w:sz w:val="24"/>
          <w:szCs w:val="24"/>
        </w:rPr>
        <w:t>3 år</w:t>
      </w:r>
    </w:p>
    <w:p w14:paraId="5357A258" w14:textId="77777777" w:rsidR="009260DE" w:rsidRPr="00380D3E" w:rsidRDefault="009260DE" w:rsidP="009260DE">
      <w:pPr>
        <w:tabs>
          <w:tab w:val="left" w:pos="851"/>
        </w:tabs>
        <w:ind w:left="851"/>
        <w:rPr>
          <w:sz w:val="24"/>
          <w:szCs w:val="24"/>
        </w:rPr>
      </w:pPr>
    </w:p>
    <w:p w14:paraId="63FBEC59" w14:textId="77777777" w:rsidR="009260DE" w:rsidRPr="00380D3E" w:rsidRDefault="009260DE" w:rsidP="009260DE">
      <w:pPr>
        <w:tabs>
          <w:tab w:val="left" w:pos="851"/>
        </w:tabs>
        <w:ind w:left="851" w:hanging="851"/>
        <w:rPr>
          <w:b/>
          <w:sz w:val="24"/>
          <w:szCs w:val="24"/>
        </w:rPr>
      </w:pPr>
      <w:r w:rsidRPr="00380D3E">
        <w:rPr>
          <w:b/>
          <w:sz w:val="24"/>
          <w:szCs w:val="24"/>
        </w:rPr>
        <w:t>6.4</w:t>
      </w:r>
      <w:r w:rsidRPr="00380D3E">
        <w:rPr>
          <w:b/>
          <w:sz w:val="24"/>
          <w:szCs w:val="24"/>
        </w:rPr>
        <w:tab/>
        <w:t>Særlige opbevaringsforhold</w:t>
      </w:r>
    </w:p>
    <w:p w14:paraId="2F9A407C" w14:textId="77777777" w:rsidR="00061CA5" w:rsidRPr="00380D3E" w:rsidRDefault="00061CA5" w:rsidP="00380D3E">
      <w:pPr>
        <w:ind w:left="851"/>
        <w:rPr>
          <w:noProof/>
          <w:sz w:val="24"/>
          <w:szCs w:val="24"/>
        </w:rPr>
      </w:pPr>
      <w:r w:rsidRPr="00380D3E">
        <w:rPr>
          <w:noProof/>
          <w:sz w:val="24"/>
          <w:szCs w:val="24"/>
        </w:rPr>
        <w:t>Dette lægemiddel kræver ingen særlige forholdsregler vedrørende opbevaringen.</w:t>
      </w:r>
    </w:p>
    <w:p w14:paraId="6B9664EF" w14:textId="77777777" w:rsidR="009260DE" w:rsidRPr="00380D3E" w:rsidRDefault="009260DE" w:rsidP="009260DE">
      <w:pPr>
        <w:tabs>
          <w:tab w:val="left" w:pos="851"/>
        </w:tabs>
        <w:ind w:left="851"/>
        <w:rPr>
          <w:sz w:val="24"/>
          <w:szCs w:val="24"/>
        </w:rPr>
      </w:pPr>
    </w:p>
    <w:p w14:paraId="03AB1DC3" w14:textId="77777777" w:rsidR="009260DE" w:rsidRPr="00380D3E" w:rsidRDefault="009260DE" w:rsidP="009260DE">
      <w:pPr>
        <w:tabs>
          <w:tab w:val="left" w:pos="851"/>
        </w:tabs>
        <w:ind w:left="851" w:hanging="851"/>
        <w:rPr>
          <w:b/>
          <w:sz w:val="24"/>
          <w:szCs w:val="24"/>
        </w:rPr>
      </w:pPr>
      <w:r w:rsidRPr="00380D3E">
        <w:rPr>
          <w:b/>
          <w:sz w:val="24"/>
          <w:szCs w:val="24"/>
        </w:rPr>
        <w:t>6.5</w:t>
      </w:r>
      <w:r w:rsidRPr="00380D3E">
        <w:rPr>
          <w:b/>
          <w:sz w:val="24"/>
          <w:szCs w:val="24"/>
        </w:rPr>
        <w:tab/>
        <w:t>Emballagetype og pakningsstørrelser</w:t>
      </w:r>
    </w:p>
    <w:p w14:paraId="10C045C1" w14:textId="12D4CE2B" w:rsidR="00061CA5" w:rsidRPr="00380D3E" w:rsidRDefault="00061CA5" w:rsidP="00380D3E">
      <w:pPr>
        <w:suppressAutoHyphens/>
        <w:ind w:left="851"/>
        <w:rPr>
          <w:sz w:val="24"/>
          <w:szCs w:val="24"/>
        </w:rPr>
      </w:pPr>
      <w:proofErr w:type="spellStart"/>
      <w:r w:rsidRPr="00380D3E">
        <w:rPr>
          <w:sz w:val="24"/>
          <w:szCs w:val="24"/>
        </w:rPr>
        <w:t>Macitentan</w:t>
      </w:r>
      <w:proofErr w:type="spellEnd"/>
      <w:r w:rsidRPr="00380D3E">
        <w:rPr>
          <w:sz w:val="24"/>
          <w:szCs w:val="24"/>
        </w:rPr>
        <w:t xml:space="preserve"> </w:t>
      </w:r>
      <w:r w:rsidR="007D7859">
        <w:rPr>
          <w:sz w:val="24"/>
          <w:szCs w:val="24"/>
        </w:rPr>
        <w:t>"Sandoz"</w:t>
      </w:r>
      <w:r w:rsidRPr="00380D3E">
        <w:rPr>
          <w:sz w:val="24"/>
          <w:szCs w:val="24"/>
        </w:rPr>
        <w:t xml:space="preserve"> leveres som 10 mg filmovertrukne tabletter i </w:t>
      </w:r>
      <w:proofErr w:type="spellStart"/>
      <w:r w:rsidRPr="00380D3E">
        <w:rPr>
          <w:sz w:val="24"/>
          <w:szCs w:val="24"/>
        </w:rPr>
        <w:t>Alu</w:t>
      </w:r>
      <w:proofErr w:type="spellEnd"/>
      <w:r w:rsidRPr="00380D3E">
        <w:rPr>
          <w:sz w:val="24"/>
          <w:szCs w:val="24"/>
        </w:rPr>
        <w:t>/PVC/PE/</w:t>
      </w:r>
      <w:proofErr w:type="spellStart"/>
      <w:r w:rsidRPr="00380D3E">
        <w:rPr>
          <w:sz w:val="24"/>
          <w:szCs w:val="24"/>
        </w:rPr>
        <w:t>PVdC</w:t>
      </w:r>
      <w:proofErr w:type="spellEnd"/>
      <w:r w:rsidRPr="00380D3E">
        <w:rPr>
          <w:sz w:val="24"/>
          <w:szCs w:val="24"/>
        </w:rPr>
        <w:t>-blisterpakninger indeholdende 15 eller 30 tabletter.</w:t>
      </w:r>
    </w:p>
    <w:p w14:paraId="3B40B4C9" w14:textId="77777777" w:rsidR="00061CA5" w:rsidRPr="00380D3E" w:rsidRDefault="00061CA5" w:rsidP="00380D3E">
      <w:pPr>
        <w:suppressAutoHyphens/>
        <w:ind w:left="851"/>
        <w:rPr>
          <w:sz w:val="24"/>
          <w:szCs w:val="24"/>
        </w:rPr>
      </w:pPr>
    </w:p>
    <w:p w14:paraId="3C645B49" w14:textId="636914D1" w:rsidR="00061CA5" w:rsidRPr="00380D3E" w:rsidRDefault="00061CA5" w:rsidP="00380D3E">
      <w:pPr>
        <w:suppressAutoHyphens/>
        <w:ind w:left="851"/>
        <w:rPr>
          <w:sz w:val="24"/>
          <w:szCs w:val="24"/>
        </w:rPr>
      </w:pPr>
      <w:proofErr w:type="spellStart"/>
      <w:r w:rsidRPr="00380D3E">
        <w:rPr>
          <w:sz w:val="24"/>
          <w:szCs w:val="24"/>
        </w:rPr>
        <w:t>Macitentan</w:t>
      </w:r>
      <w:proofErr w:type="spellEnd"/>
      <w:r w:rsidRPr="00380D3E">
        <w:rPr>
          <w:sz w:val="24"/>
          <w:szCs w:val="24"/>
        </w:rPr>
        <w:t xml:space="preserve"> </w:t>
      </w:r>
      <w:r w:rsidR="007D7859">
        <w:rPr>
          <w:sz w:val="24"/>
          <w:szCs w:val="24"/>
        </w:rPr>
        <w:t>"Sandoz"</w:t>
      </w:r>
      <w:r w:rsidRPr="00380D3E">
        <w:rPr>
          <w:sz w:val="24"/>
          <w:szCs w:val="24"/>
        </w:rPr>
        <w:t xml:space="preserve"> leveres som 10 mg filmovertrukne tabletter i </w:t>
      </w:r>
      <w:proofErr w:type="spellStart"/>
      <w:r w:rsidRPr="00380D3E">
        <w:rPr>
          <w:sz w:val="24"/>
          <w:szCs w:val="24"/>
        </w:rPr>
        <w:t>Alu</w:t>
      </w:r>
      <w:proofErr w:type="spellEnd"/>
      <w:r w:rsidRPr="00380D3E">
        <w:rPr>
          <w:sz w:val="24"/>
          <w:szCs w:val="24"/>
        </w:rPr>
        <w:t>/PVC/PE/</w:t>
      </w:r>
      <w:proofErr w:type="spellStart"/>
      <w:r w:rsidRPr="00380D3E">
        <w:rPr>
          <w:sz w:val="24"/>
          <w:szCs w:val="24"/>
        </w:rPr>
        <w:t>PVdC</w:t>
      </w:r>
      <w:proofErr w:type="spellEnd"/>
      <w:r w:rsidRPr="00380D3E">
        <w:rPr>
          <w:sz w:val="24"/>
          <w:szCs w:val="24"/>
        </w:rPr>
        <w:t>-</w:t>
      </w:r>
      <w:r w:rsidRPr="00380D3E">
        <w:rPr>
          <w:noProof/>
          <w:sz w:val="24"/>
          <w:szCs w:val="24"/>
        </w:rPr>
        <w:t xml:space="preserve"> </w:t>
      </w:r>
      <w:r w:rsidRPr="00380D3E">
        <w:rPr>
          <w:sz w:val="24"/>
          <w:szCs w:val="24"/>
        </w:rPr>
        <w:t xml:space="preserve">enkeltdosisblisterpakninger </w:t>
      </w:r>
      <w:bookmarkStart w:id="1" w:name="_Hlk212624241"/>
      <w:r w:rsidRPr="00380D3E">
        <w:rPr>
          <w:sz w:val="24"/>
          <w:szCs w:val="24"/>
        </w:rPr>
        <w:t>indeholdende 15</w:t>
      </w:r>
      <w:r w:rsidR="00380D3E" w:rsidRPr="00380D3E">
        <w:rPr>
          <w:sz w:val="24"/>
          <w:szCs w:val="24"/>
        </w:rPr>
        <w:t>×</w:t>
      </w:r>
      <w:r w:rsidRPr="00380D3E">
        <w:rPr>
          <w:sz w:val="24"/>
          <w:szCs w:val="24"/>
        </w:rPr>
        <w:t>1 eller 30</w:t>
      </w:r>
      <w:r w:rsidR="00380D3E" w:rsidRPr="00380D3E">
        <w:rPr>
          <w:sz w:val="24"/>
          <w:szCs w:val="24"/>
        </w:rPr>
        <w:t>×</w:t>
      </w:r>
      <w:r w:rsidRPr="00380D3E">
        <w:rPr>
          <w:sz w:val="24"/>
          <w:szCs w:val="24"/>
        </w:rPr>
        <w:t>1 tabletter</w:t>
      </w:r>
      <w:bookmarkEnd w:id="1"/>
      <w:r w:rsidRPr="00380D3E">
        <w:rPr>
          <w:sz w:val="24"/>
          <w:szCs w:val="24"/>
        </w:rPr>
        <w:t>.</w:t>
      </w:r>
    </w:p>
    <w:p w14:paraId="710ED84F" w14:textId="77777777" w:rsidR="00061CA5" w:rsidRPr="00380D3E" w:rsidRDefault="00061CA5" w:rsidP="00380D3E">
      <w:pPr>
        <w:suppressAutoHyphens/>
        <w:ind w:left="851"/>
        <w:rPr>
          <w:sz w:val="24"/>
          <w:szCs w:val="24"/>
        </w:rPr>
      </w:pPr>
    </w:p>
    <w:p w14:paraId="618D31E7" w14:textId="77777777" w:rsidR="00061CA5" w:rsidRPr="00380D3E" w:rsidRDefault="00061CA5" w:rsidP="00380D3E">
      <w:pPr>
        <w:suppressAutoHyphens/>
        <w:ind w:left="851"/>
        <w:rPr>
          <w:sz w:val="24"/>
          <w:szCs w:val="24"/>
        </w:rPr>
      </w:pPr>
      <w:r w:rsidRPr="00380D3E">
        <w:rPr>
          <w:sz w:val="24"/>
          <w:szCs w:val="24"/>
        </w:rPr>
        <w:t xml:space="preserve">Ikke alle pakningsstørrelser er nødvendigvis markedsført. </w:t>
      </w:r>
    </w:p>
    <w:p w14:paraId="0C1B6AB8" w14:textId="77777777" w:rsidR="009260DE" w:rsidRPr="00380D3E" w:rsidRDefault="009260DE" w:rsidP="009260DE">
      <w:pPr>
        <w:tabs>
          <w:tab w:val="left" w:pos="851"/>
        </w:tabs>
        <w:ind w:left="851"/>
        <w:rPr>
          <w:sz w:val="24"/>
          <w:szCs w:val="24"/>
        </w:rPr>
      </w:pPr>
    </w:p>
    <w:p w14:paraId="12D9DCDA" w14:textId="77777777" w:rsidR="009260DE" w:rsidRPr="00380D3E" w:rsidRDefault="009260DE" w:rsidP="009260DE">
      <w:pPr>
        <w:tabs>
          <w:tab w:val="left" w:pos="851"/>
        </w:tabs>
        <w:ind w:left="851" w:hanging="851"/>
        <w:rPr>
          <w:b/>
          <w:sz w:val="24"/>
          <w:szCs w:val="24"/>
        </w:rPr>
      </w:pPr>
      <w:r w:rsidRPr="00380D3E">
        <w:rPr>
          <w:b/>
          <w:sz w:val="24"/>
          <w:szCs w:val="24"/>
        </w:rPr>
        <w:t>6.6</w:t>
      </w:r>
      <w:r w:rsidRPr="00380D3E">
        <w:rPr>
          <w:b/>
          <w:sz w:val="24"/>
          <w:szCs w:val="24"/>
        </w:rPr>
        <w:tab/>
        <w:t xml:space="preserve">Regler for </w:t>
      </w:r>
      <w:r w:rsidR="00BD7931" w:rsidRPr="00380D3E">
        <w:rPr>
          <w:b/>
          <w:sz w:val="24"/>
          <w:szCs w:val="24"/>
        </w:rPr>
        <w:t>bortskaffelse</w:t>
      </w:r>
      <w:r w:rsidRPr="00380D3E">
        <w:rPr>
          <w:b/>
          <w:sz w:val="24"/>
          <w:szCs w:val="24"/>
        </w:rPr>
        <w:t xml:space="preserve"> og anden håndtering</w:t>
      </w:r>
    </w:p>
    <w:p w14:paraId="6EE3158A" w14:textId="77777777" w:rsidR="00061CA5" w:rsidRPr="00380D3E" w:rsidRDefault="00061CA5" w:rsidP="00380D3E">
      <w:pPr>
        <w:ind w:left="851"/>
        <w:rPr>
          <w:sz w:val="24"/>
          <w:szCs w:val="24"/>
        </w:rPr>
      </w:pPr>
      <w:r w:rsidRPr="00380D3E">
        <w:rPr>
          <w:sz w:val="24"/>
          <w:szCs w:val="24"/>
        </w:rPr>
        <w:t>Ikke anvendt lægemiddel samt affald heraf skal bortskaffes i henhold til lokale retningslinjer.</w:t>
      </w:r>
    </w:p>
    <w:p w14:paraId="0242B54D" w14:textId="77777777" w:rsidR="009260DE" w:rsidRPr="00380D3E" w:rsidRDefault="009260DE" w:rsidP="000730CA">
      <w:pPr>
        <w:tabs>
          <w:tab w:val="left" w:pos="851"/>
        </w:tabs>
        <w:ind w:left="851"/>
        <w:rPr>
          <w:sz w:val="24"/>
          <w:szCs w:val="24"/>
        </w:rPr>
      </w:pPr>
    </w:p>
    <w:p w14:paraId="54320CC2" w14:textId="77777777" w:rsidR="009260DE" w:rsidRPr="00380D3E" w:rsidRDefault="009260DE" w:rsidP="009260DE">
      <w:pPr>
        <w:tabs>
          <w:tab w:val="left" w:pos="851"/>
        </w:tabs>
        <w:ind w:left="851" w:hanging="851"/>
        <w:rPr>
          <w:b/>
          <w:sz w:val="24"/>
          <w:szCs w:val="24"/>
        </w:rPr>
      </w:pPr>
      <w:r w:rsidRPr="00380D3E">
        <w:rPr>
          <w:b/>
          <w:sz w:val="24"/>
          <w:szCs w:val="24"/>
        </w:rPr>
        <w:lastRenderedPageBreak/>
        <w:t>7.</w:t>
      </w:r>
      <w:r w:rsidRPr="00380D3E">
        <w:rPr>
          <w:b/>
          <w:sz w:val="24"/>
          <w:szCs w:val="24"/>
        </w:rPr>
        <w:tab/>
        <w:t>INDEHAVER AF MARKEDSFØRINGSTILLADELSEN</w:t>
      </w:r>
    </w:p>
    <w:p w14:paraId="54D289AB" w14:textId="77777777" w:rsidR="00061CA5" w:rsidRPr="00380D3E" w:rsidRDefault="00061CA5" w:rsidP="00380D3E">
      <w:pPr>
        <w:ind w:left="851"/>
        <w:rPr>
          <w:sz w:val="24"/>
          <w:szCs w:val="24"/>
        </w:rPr>
      </w:pPr>
      <w:r w:rsidRPr="00380D3E">
        <w:rPr>
          <w:sz w:val="24"/>
          <w:szCs w:val="24"/>
        </w:rPr>
        <w:t>Sandoz A/S</w:t>
      </w:r>
    </w:p>
    <w:p w14:paraId="2BF83FDC" w14:textId="77777777" w:rsidR="00061CA5" w:rsidRPr="00380D3E" w:rsidRDefault="00061CA5" w:rsidP="00380D3E">
      <w:pPr>
        <w:ind w:left="851"/>
        <w:rPr>
          <w:sz w:val="24"/>
          <w:szCs w:val="24"/>
        </w:rPr>
      </w:pPr>
      <w:r w:rsidRPr="00380D3E">
        <w:rPr>
          <w:sz w:val="24"/>
          <w:szCs w:val="24"/>
        </w:rPr>
        <w:t>Edvard Thomsens Vej 14</w:t>
      </w:r>
    </w:p>
    <w:p w14:paraId="6DB6B37C" w14:textId="77777777" w:rsidR="00061CA5" w:rsidRPr="00380D3E" w:rsidRDefault="00061CA5" w:rsidP="00380D3E">
      <w:pPr>
        <w:ind w:left="851"/>
        <w:rPr>
          <w:sz w:val="24"/>
          <w:szCs w:val="24"/>
        </w:rPr>
      </w:pPr>
      <w:r w:rsidRPr="00380D3E">
        <w:rPr>
          <w:sz w:val="24"/>
          <w:szCs w:val="24"/>
        </w:rPr>
        <w:t>2300 København S</w:t>
      </w:r>
    </w:p>
    <w:p w14:paraId="247B12DA" w14:textId="77777777" w:rsidR="00641C65" w:rsidRPr="00380D3E" w:rsidRDefault="00641C65" w:rsidP="009260DE">
      <w:pPr>
        <w:tabs>
          <w:tab w:val="left" w:pos="851"/>
        </w:tabs>
        <w:ind w:left="851"/>
        <w:rPr>
          <w:sz w:val="24"/>
          <w:szCs w:val="24"/>
        </w:rPr>
      </w:pPr>
    </w:p>
    <w:p w14:paraId="208EF543" w14:textId="77777777" w:rsidR="009260DE" w:rsidRPr="00380D3E" w:rsidRDefault="009260DE" w:rsidP="009260DE">
      <w:pPr>
        <w:tabs>
          <w:tab w:val="left" w:pos="851"/>
        </w:tabs>
        <w:ind w:left="851" w:hanging="851"/>
        <w:rPr>
          <w:b/>
          <w:sz w:val="24"/>
          <w:szCs w:val="24"/>
        </w:rPr>
      </w:pPr>
      <w:r w:rsidRPr="00380D3E">
        <w:rPr>
          <w:b/>
          <w:sz w:val="24"/>
          <w:szCs w:val="24"/>
        </w:rPr>
        <w:t>8.</w:t>
      </w:r>
      <w:r w:rsidRPr="00380D3E">
        <w:rPr>
          <w:b/>
          <w:sz w:val="24"/>
          <w:szCs w:val="24"/>
        </w:rPr>
        <w:tab/>
        <w:t>MARKEDSFØRINGSTILLADELSESNUMMER (</w:t>
      </w:r>
      <w:r w:rsidR="00BF6243" w:rsidRPr="00380D3E">
        <w:rPr>
          <w:b/>
          <w:sz w:val="24"/>
          <w:szCs w:val="24"/>
        </w:rPr>
        <w:t>-</w:t>
      </w:r>
      <w:r w:rsidRPr="00380D3E">
        <w:rPr>
          <w:b/>
          <w:sz w:val="24"/>
          <w:szCs w:val="24"/>
        </w:rPr>
        <w:t>NUMRE)</w:t>
      </w:r>
    </w:p>
    <w:p w14:paraId="2763CA6E" w14:textId="7D18342E" w:rsidR="009260DE" w:rsidRPr="00380D3E" w:rsidRDefault="00061CA5" w:rsidP="009260DE">
      <w:pPr>
        <w:tabs>
          <w:tab w:val="left" w:pos="851"/>
        </w:tabs>
        <w:ind w:left="851"/>
        <w:rPr>
          <w:sz w:val="24"/>
          <w:szCs w:val="24"/>
        </w:rPr>
      </w:pPr>
      <w:r w:rsidRPr="00380D3E">
        <w:rPr>
          <w:sz w:val="24"/>
          <w:szCs w:val="24"/>
        </w:rPr>
        <w:t>71749</w:t>
      </w:r>
    </w:p>
    <w:p w14:paraId="3A59B58E" w14:textId="77777777" w:rsidR="009260DE" w:rsidRPr="00380D3E" w:rsidRDefault="009260DE" w:rsidP="009260DE">
      <w:pPr>
        <w:tabs>
          <w:tab w:val="left" w:pos="851"/>
        </w:tabs>
        <w:ind w:left="851"/>
        <w:jc w:val="both"/>
        <w:rPr>
          <w:sz w:val="24"/>
          <w:szCs w:val="24"/>
        </w:rPr>
      </w:pPr>
    </w:p>
    <w:p w14:paraId="1E96C907" w14:textId="77777777" w:rsidR="009260DE" w:rsidRPr="00380D3E" w:rsidRDefault="009260DE" w:rsidP="009260DE">
      <w:pPr>
        <w:tabs>
          <w:tab w:val="left" w:pos="851"/>
        </w:tabs>
        <w:ind w:left="851" w:hanging="851"/>
        <w:rPr>
          <w:b/>
          <w:sz w:val="24"/>
          <w:szCs w:val="24"/>
        </w:rPr>
      </w:pPr>
      <w:r w:rsidRPr="00380D3E">
        <w:rPr>
          <w:b/>
          <w:sz w:val="24"/>
          <w:szCs w:val="24"/>
        </w:rPr>
        <w:t>9.</w:t>
      </w:r>
      <w:r w:rsidRPr="00380D3E">
        <w:rPr>
          <w:b/>
          <w:sz w:val="24"/>
          <w:szCs w:val="24"/>
        </w:rPr>
        <w:tab/>
        <w:t>DATO FOR FØRSTE MARKEDSFØRINGSTILLADELSE</w:t>
      </w:r>
    </w:p>
    <w:p w14:paraId="19AACD1D" w14:textId="1ACD0CDC" w:rsidR="009260DE" w:rsidRPr="00380D3E" w:rsidRDefault="009C5B2F" w:rsidP="009260DE">
      <w:pPr>
        <w:tabs>
          <w:tab w:val="left" w:pos="851"/>
        </w:tabs>
        <w:ind w:left="851"/>
        <w:rPr>
          <w:sz w:val="24"/>
          <w:szCs w:val="24"/>
        </w:rPr>
      </w:pPr>
      <w:r>
        <w:rPr>
          <w:sz w:val="24"/>
          <w:szCs w:val="24"/>
        </w:rPr>
        <w:t>19. december 2025</w:t>
      </w:r>
    </w:p>
    <w:p w14:paraId="488B9485" w14:textId="77777777" w:rsidR="009260DE" w:rsidRPr="00380D3E" w:rsidRDefault="009260DE" w:rsidP="009260DE">
      <w:pPr>
        <w:tabs>
          <w:tab w:val="left" w:pos="851"/>
        </w:tabs>
        <w:ind w:left="851"/>
        <w:rPr>
          <w:sz w:val="24"/>
          <w:szCs w:val="24"/>
        </w:rPr>
      </w:pPr>
    </w:p>
    <w:p w14:paraId="2DCD9AFE" w14:textId="77777777" w:rsidR="009260DE" w:rsidRPr="00380D3E" w:rsidRDefault="009260DE" w:rsidP="009260DE">
      <w:pPr>
        <w:tabs>
          <w:tab w:val="left" w:pos="851"/>
        </w:tabs>
        <w:ind w:left="851" w:hanging="851"/>
        <w:rPr>
          <w:b/>
          <w:sz w:val="24"/>
          <w:szCs w:val="24"/>
        </w:rPr>
      </w:pPr>
      <w:r w:rsidRPr="00380D3E">
        <w:rPr>
          <w:b/>
          <w:sz w:val="24"/>
          <w:szCs w:val="24"/>
        </w:rPr>
        <w:t>10.</w:t>
      </w:r>
      <w:r w:rsidRPr="00380D3E">
        <w:rPr>
          <w:b/>
          <w:sz w:val="24"/>
          <w:szCs w:val="24"/>
        </w:rPr>
        <w:tab/>
        <w:t>DATO FOR ÆNDRING AF TEKSTEN</w:t>
      </w:r>
    </w:p>
    <w:p w14:paraId="43BFD299" w14:textId="1FC87793" w:rsidR="009260DE" w:rsidRPr="00380D3E" w:rsidRDefault="00061CA5" w:rsidP="009260DE">
      <w:pPr>
        <w:tabs>
          <w:tab w:val="left" w:pos="851"/>
        </w:tabs>
        <w:ind w:left="851"/>
        <w:rPr>
          <w:sz w:val="24"/>
          <w:szCs w:val="24"/>
        </w:rPr>
      </w:pPr>
      <w:r w:rsidRPr="00380D3E">
        <w:rPr>
          <w:sz w:val="24"/>
          <w:szCs w:val="24"/>
        </w:rPr>
        <w:t>-</w:t>
      </w:r>
    </w:p>
    <w:sectPr w:rsidR="009260DE" w:rsidRPr="00380D3E"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69254" w14:textId="77777777" w:rsidR="006B0162" w:rsidRDefault="006B0162">
      <w:r>
        <w:separator/>
      </w:r>
    </w:p>
  </w:endnote>
  <w:endnote w:type="continuationSeparator" w:id="0">
    <w:p w14:paraId="286D3F2E" w14:textId="77777777" w:rsidR="006B0162" w:rsidRDefault="006B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Klee On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0B969" w14:textId="77777777" w:rsidR="006B0162" w:rsidRDefault="006B0162">
    <w:pPr>
      <w:pStyle w:val="Sidefod"/>
      <w:pBdr>
        <w:bottom w:val="single" w:sz="6" w:space="1" w:color="auto"/>
      </w:pBdr>
    </w:pPr>
  </w:p>
  <w:p w14:paraId="6245B6AE" w14:textId="77777777" w:rsidR="006B0162" w:rsidRDefault="006B0162" w:rsidP="00C42586">
    <w:pPr>
      <w:pStyle w:val="Sidefod"/>
      <w:tabs>
        <w:tab w:val="clear" w:pos="4819"/>
        <w:tab w:val="left" w:pos="8505"/>
      </w:tabs>
      <w:rPr>
        <w:i/>
        <w:sz w:val="18"/>
        <w:szCs w:val="18"/>
      </w:rPr>
    </w:pPr>
  </w:p>
  <w:p w14:paraId="277E1145" w14:textId="3BD17385" w:rsidR="006B0162" w:rsidRPr="00B373D7" w:rsidRDefault="006B0162"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B73B47">
      <w:rPr>
        <w:i/>
        <w:noProof/>
        <w:sz w:val="18"/>
        <w:szCs w:val="18"/>
      </w:rPr>
      <w:t>Macitentan Sandoz, filmovertrukne tabletter 10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2F1F4" w14:textId="77777777" w:rsidR="006B0162" w:rsidRDefault="006B0162">
      <w:r>
        <w:separator/>
      </w:r>
    </w:p>
  </w:footnote>
  <w:footnote w:type="continuationSeparator" w:id="0">
    <w:p w14:paraId="7A02DE45" w14:textId="77777777" w:rsidR="006B0162" w:rsidRDefault="006B0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666B6FAD"/>
    <w:multiLevelType w:val="hybridMultilevel"/>
    <w:tmpl w:val="200836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16"/>
    <w:rsid w:val="000259B9"/>
    <w:rsid w:val="00041491"/>
    <w:rsid w:val="00050D16"/>
    <w:rsid w:val="00061CA5"/>
    <w:rsid w:val="000730CA"/>
    <w:rsid w:val="00074F2A"/>
    <w:rsid w:val="000A1CA8"/>
    <w:rsid w:val="000A466B"/>
    <w:rsid w:val="000B058C"/>
    <w:rsid w:val="000D68B0"/>
    <w:rsid w:val="000E4EE6"/>
    <w:rsid w:val="001454E2"/>
    <w:rsid w:val="00206CE8"/>
    <w:rsid w:val="0021526C"/>
    <w:rsid w:val="00283A2B"/>
    <w:rsid w:val="002B30AD"/>
    <w:rsid w:val="002C1EC0"/>
    <w:rsid w:val="002C2C01"/>
    <w:rsid w:val="00380D3E"/>
    <w:rsid w:val="003A29AE"/>
    <w:rsid w:val="003A32D7"/>
    <w:rsid w:val="003B4074"/>
    <w:rsid w:val="003C769A"/>
    <w:rsid w:val="003D3A90"/>
    <w:rsid w:val="003F1838"/>
    <w:rsid w:val="004251C1"/>
    <w:rsid w:val="00446E45"/>
    <w:rsid w:val="0045746C"/>
    <w:rsid w:val="0049104B"/>
    <w:rsid w:val="004E3B12"/>
    <w:rsid w:val="00532310"/>
    <w:rsid w:val="00565F0F"/>
    <w:rsid w:val="00594A86"/>
    <w:rsid w:val="00596D86"/>
    <w:rsid w:val="005B6B84"/>
    <w:rsid w:val="00637F5A"/>
    <w:rsid w:val="00641C65"/>
    <w:rsid w:val="006560B1"/>
    <w:rsid w:val="006756DD"/>
    <w:rsid w:val="006B0162"/>
    <w:rsid w:val="0071241E"/>
    <w:rsid w:val="00737275"/>
    <w:rsid w:val="00740EEC"/>
    <w:rsid w:val="0078011A"/>
    <w:rsid w:val="00782AF4"/>
    <w:rsid w:val="00790EE7"/>
    <w:rsid w:val="007B6649"/>
    <w:rsid w:val="007D7859"/>
    <w:rsid w:val="0082576E"/>
    <w:rsid w:val="0089346F"/>
    <w:rsid w:val="008C3804"/>
    <w:rsid w:val="00907F75"/>
    <w:rsid w:val="009260DE"/>
    <w:rsid w:val="0093258A"/>
    <w:rsid w:val="009C2128"/>
    <w:rsid w:val="009C5B2F"/>
    <w:rsid w:val="009C7BA3"/>
    <w:rsid w:val="009D1F5A"/>
    <w:rsid w:val="00A10294"/>
    <w:rsid w:val="00B003BF"/>
    <w:rsid w:val="00B373D7"/>
    <w:rsid w:val="00B55271"/>
    <w:rsid w:val="00B73B47"/>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83C16"/>
    <w:rsid w:val="00D93992"/>
    <w:rsid w:val="00E108AA"/>
    <w:rsid w:val="00E3749A"/>
    <w:rsid w:val="00E576C0"/>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362F0"/>
  <w15:chartTrackingRefBased/>
  <w15:docId w15:val="{AF435669-4B74-4D21-8823-5CE5E61B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061CA5"/>
    <w:pPr>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9450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1239500">
      <w:bodyDiv w:val="1"/>
      <w:marLeft w:val="0"/>
      <w:marRight w:val="0"/>
      <w:marTop w:val="0"/>
      <w:marBottom w:val="0"/>
      <w:divBdr>
        <w:top w:val="none" w:sz="0" w:space="0" w:color="auto"/>
        <w:left w:val="none" w:sz="0" w:space="0" w:color="auto"/>
        <w:bottom w:val="none" w:sz="0" w:space="0" w:color="auto"/>
        <w:right w:val="none" w:sz="0" w:space="0" w:color="auto"/>
      </w:divBdr>
    </w:div>
    <w:div w:id="254411640">
      <w:bodyDiv w:val="1"/>
      <w:marLeft w:val="0"/>
      <w:marRight w:val="0"/>
      <w:marTop w:val="0"/>
      <w:marBottom w:val="0"/>
      <w:divBdr>
        <w:top w:val="none" w:sz="0" w:space="0" w:color="auto"/>
        <w:left w:val="none" w:sz="0" w:space="0" w:color="auto"/>
        <w:bottom w:val="none" w:sz="0" w:space="0" w:color="auto"/>
        <w:right w:val="none" w:sz="0" w:space="0" w:color="auto"/>
      </w:divBdr>
    </w:div>
    <w:div w:id="671295984">
      <w:bodyDiv w:val="1"/>
      <w:marLeft w:val="0"/>
      <w:marRight w:val="0"/>
      <w:marTop w:val="0"/>
      <w:marBottom w:val="0"/>
      <w:divBdr>
        <w:top w:val="none" w:sz="0" w:space="0" w:color="auto"/>
        <w:left w:val="none" w:sz="0" w:space="0" w:color="auto"/>
        <w:bottom w:val="none" w:sz="0" w:space="0" w:color="auto"/>
        <w:right w:val="none" w:sz="0" w:space="0" w:color="auto"/>
      </w:divBdr>
    </w:div>
    <w:div w:id="672025892">
      <w:bodyDiv w:val="1"/>
      <w:marLeft w:val="0"/>
      <w:marRight w:val="0"/>
      <w:marTop w:val="0"/>
      <w:marBottom w:val="0"/>
      <w:divBdr>
        <w:top w:val="none" w:sz="0" w:space="0" w:color="auto"/>
        <w:left w:val="none" w:sz="0" w:space="0" w:color="auto"/>
        <w:bottom w:val="none" w:sz="0" w:space="0" w:color="auto"/>
        <w:right w:val="none" w:sz="0" w:space="0" w:color="auto"/>
      </w:divBdr>
    </w:div>
    <w:div w:id="730688726">
      <w:bodyDiv w:val="1"/>
      <w:marLeft w:val="0"/>
      <w:marRight w:val="0"/>
      <w:marTop w:val="0"/>
      <w:marBottom w:val="0"/>
      <w:divBdr>
        <w:top w:val="none" w:sz="0" w:space="0" w:color="auto"/>
        <w:left w:val="none" w:sz="0" w:space="0" w:color="auto"/>
        <w:bottom w:val="none" w:sz="0" w:space="0" w:color="auto"/>
        <w:right w:val="none" w:sz="0" w:space="0" w:color="auto"/>
      </w:divBdr>
    </w:div>
    <w:div w:id="938954224">
      <w:bodyDiv w:val="1"/>
      <w:marLeft w:val="0"/>
      <w:marRight w:val="0"/>
      <w:marTop w:val="0"/>
      <w:marBottom w:val="0"/>
      <w:divBdr>
        <w:top w:val="none" w:sz="0" w:space="0" w:color="auto"/>
        <w:left w:val="none" w:sz="0" w:space="0" w:color="auto"/>
        <w:bottom w:val="none" w:sz="0" w:space="0" w:color="auto"/>
        <w:right w:val="none" w:sz="0" w:space="0" w:color="auto"/>
      </w:divBdr>
    </w:div>
    <w:div w:id="1050223940">
      <w:bodyDiv w:val="1"/>
      <w:marLeft w:val="0"/>
      <w:marRight w:val="0"/>
      <w:marTop w:val="0"/>
      <w:marBottom w:val="0"/>
      <w:divBdr>
        <w:top w:val="none" w:sz="0" w:space="0" w:color="auto"/>
        <w:left w:val="none" w:sz="0" w:space="0" w:color="auto"/>
        <w:bottom w:val="none" w:sz="0" w:space="0" w:color="auto"/>
        <w:right w:val="none" w:sz="0" w:space="0" w:color="auto"/>
      </w:divBdr>
    </w:div>
    <w:div w:id="1130903899">
      <w:bodyDiv w:val="1"/>
      <w:marLeft w:val="0"/>
      <w:marRight w:val="0"/>
      <w:marTop w:val="0"/>
      <w:marBottom w:val="0"/>
      <w:divBdr>
        <w:top w:val="none" w:sz="0" w:space="0" w:color="auto"/>
        <w:left w:val="none" w:sz="0" w:space="0" w:color="auto"/>
        <w:bottom w:val="none" w:sz="0" w:space="0" w:color="auto"/>
        <w:right w:val="none" w:sz="0" w:space="0" w:color="auto"/>
      </w:divBdr>
    </w:div>
    <w:div w:id="1181629427">
      <w:bodyDiv w:val="1"/>
      <w:marLeft w:val="0"/>
      <w:marRight w:val="0"/>
      <w:marTop w:val="0"/>
      <w:marBottom w:val="0"/>
      <w:divBdr>
        <w:top w:val="none" w:sz="0" w:space="0" w:color="auto"/>
        <w:left w:val="none" w:sz="0" w:space="0" w:color="auto"/>
        <w:bottom w:val="none" w:sz="0" w:space="0" w:color="auto"/>
        <w:right w:val="none" w:sz="0" w:space="0" w:color="auto"/>
      </w:divBdr>
    </w:div>
    <w:div w:id="1385523072">
      <w:bodyDiv w:val="1"/>
      <w:marLeft w:val="0"/>
      <w:marRight w:val="0"/>
      <w:marTop w:val="0"/>
      <w:marBottom w:val="0"/>
      <w:divBdr>
        <w:top w:val="none" w:sz="0" w:space="0" w:color="auto"/>
        <w:left w:val="none" w:sz="0" w:space="0" w:color="auto"/>
        <w:bottom w:val="none" w:sz="0" w:space="0" w:color="auto"/>
        <w:right w:val="none" w:sz="0" w:space="0" w:color="auto"/>
      </w:divBdr>
    </w:div>
    <w:div w:id="1516534476">
      <w:bodyDiv w:val="1"/>
      <w:marLeft w:val="0"/>
      <w:marRight w:val="0"/>
      <w:marTop w:val="0"/>
      <w:marBottom w:val="0"/>
      <w:divBdr>
        <w:top w:val="none" w:sz="0" w:space="0" w:color="auto"/>
        <w:left w:val="none" w:sz="0" w:space="0" w:color="auto"/>
        <w:bottom w:val="none" w:sz="0" w:space="0" w:color="auto"/>
        <w:right w:val="none" w:sz="0" w:space="0" w:color="auto"/>
      </w:divBdr>
    </w:div>
    <w:div w:id="1606383476">
      <w:bodyDiv w:val="1"/>
      <w:marLeft w:val="0"/>
      <w:marRight w:val="0"/>
      <w:marTop w:val="0"/>
      <w:marBottom w:val="0"/>
      <w:divBdr>
        <w:top w:val="none" w:sz="0" w:space="0" w:color="auto"/>
        <w:left w:val="none" w:sz="0" w:space="0" w:color="auto"/>
        <w:bottom w:val="none" w:sz="0" w:space="0" w:color="auto"/>
        <w:right w:val="none" w:sz="0" w:space="0" w:color="auto"/>
      </w:divBdr>
    </w:div>
    <w:div w:id="1698508312">
      <w:bodyDiv w:val="1"/>
      <w:marLeft w:val="0"/>
      <w:marRight w:val="0"/>
      <w:marTop w:val="0"/>
      <w:marBottom w:val="0"/>
      <w:divBdr>
        <w:top w:val="none" w:sz="0" w:space="0" w:color="auto"/>
        <w:left w:val="none" w:sz="0" w:space="0" w:color="auto"/>
        <w:bottom w:val="none" w:sz="0" w:space="0" w:color="auto"/>
        <w:right w:val="none" w:sz="0" w:space="0" w:color="auto"/>
      </w:divBdr>
    </w:div>
    <w:div w:id="1715959064">
      <w:bodyDiv w:val="1"/>
      <w:marLeft w:val="0"/>
      <w:marRight w:val="0"/>
      <w:marTop w:val="0"/>
      <w:marBottom w:val="0"/>
      <w:divBdr>
        <w:top w:val="none" w:sz="0" w:space="0" w:color="auto"/>
        <w:left w:val="none" w:sz="0" w:space="0" w:color="auto"/>
        <w:bottom w:val="none" w:sz="0" w:space="0" w:color="auto"/>
        <w:right w:val="none" w:sz="0" w:space="0" w:color="auto"/>
      </w:divBdr>
    </w:div>
    <w:div w:id="1821968765">
      <w:bodyDiv w:val="1"/>
      <w:marLeft w:val="0"/>
      <w:marRight w:val="0"/>
      <w:marTop w:val="0"/>
      <w:marBottom w:val="0"/>
      <w:divBdr>
        <w:top w:val="none" w:sz="0" w:space="0" w:color="auto"/>
        <w:left w:val="none" w:sz="0" w:space="0" w:color="auto"/>
        <w:bottom w:val="none" w:sz="0" w:space="0" w:color="auto"/>
        <w:right w:val="none" w:sz="0" w:space="0" w:color="auto"/>
      </w:divBdr>
    </w:div>
    <w:div w:id="1856186253">
      <w:bodyDiv w:val="1"/>
      <w:marLeft w:val="0"/>
      <w:marRight w:val="0"/>
      <w:marTop w:val="0"/>
      <w:marBottom w:val="0"/>
      <w:divBdr>
        <w:top w:val="none" w:sz="0" w:space="0" w:color="auto"/>
        <w:left w:val="none" w:sz="0" w:space="0" w:color="auto"/>
        <w:bottom w:val="none" w:sz="0" w:space="0" w:color="auto"/>
        <w:right w:val="none" w:sz="0" w:space="0" w:color="auto"/>
      </w:divBdr>
    </w:div>
    <w:div w:id="1911887082">
      <w:bodyDiv w:val="1"/>
      <w:marLeft w:val="0"/>
      <w:marRight w:val="0"/>
      <w:marTop w:val="0"/>
      <w:marBottom w:val="0"/>
      <w:divBdr>
        <w:top w:val="none" w:sz="0" w:space="0" w:color="auto"/>
        <w:left w:val="none" w:sz="0" w:space="0" w:color="auto"/>
        <w:bottom w:val="none" w:sz="0" w:space="0" w:color="auto"/>
        <w:right w:val="none" w:sz="0" w:space="0" w:color="auto"/>
      </w:divBdr>
    </w:div>
    <w:div w:id="1918125677">
      <w:bodyDiv w:val="1"/>
      <w:marLeft w:val="0"/>
      <w:marRight w:val="0"/>
      <w:marTop w:val="0"/>
      <w:marBottom w:val="0"/>
      <w:divBdr>
        <w:top w:val="none" w:sz="0" w:space="0" w:color="auto"/>
        <w:left w:val="none" w:sz="0" w:space="0" w:color="auto"/>
        <w:bottom w:val="none" w:sz="0" w:space="0" w:color="auto"/>
        <w:right w:val="none" w:sz="0" w:space="0" w:color="auto"/>
      </w:divBdr>
    </w:div>
    <w:div w:id="1967154275">
      <w:bodyDiv w:val="1"/>
      <w:marLeft w:val="0"/>
      <w:marRight w:val="0"/>
      <w:marTop w:val="0"/>
      <w:marBottom w:val="0"/>
      <w:divBdr>
        <w:top w:val="none" w:sz="0" w:space="0" w:color="auto"/>
        <w:left w:val="none" w:sz="0" w:space="0" w:color="auto"/>
        <w:bottom w:val="none" w:sz="0" w:space="0" w:color="auto"/>
        <w:right w:val="none" w:sz="0" w:space="0" w:color="auto"/>
      </w:divBdr>
    </w:div>
    <w:div w:id="20174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47</TotalTime>
  <Pages>19</Pages>
  <Words>6493</Words>
  <Characters>39446</Characters>
  <Application>Microsoft Office Word</Application>
  <DocSecurity>0</DocSecurity>
  <Lines>328</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2024050101, MT</dc:description>
  <cp:lastModifiedBy>Gitte Jørgensen</cp:lastModifiedBy>
  <cp:revision>10</cp:revision>
  <cp:lastPrinted>2012-08-22T08:53:00Z</cp:lastPrinted>
  <dcterms:created xsi:type="dcterms:W3CDTF">2025-12-17T14:18:00Z</dcterms:created>
  <dcterms:modified xsi:type="dcterms:W3CDTF">2025-12-19T07:22:00Z</dcterms:modified>
</cp:coreProperties>
</file>