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61" w:rsidRPr="00955972" w:rsidRDefault="00E76C61" w:rsidP="00E76C61">
      <w:r>
        <w:rPr>
          <w:noProof/>
          <w:lang w:eastAsia="da-DK"/>
        </w:rPr>
        <w:drawing>
          <wp:inline distT="0" distB="0" distL="0" distR="0" wp14:anchorId="18A245DB" wp14:editId="245EA9F8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3BF" w:rsidRDefault="00B003BF" w:rsidP="00B003BF">
      <w:pPr>
        <w:pStyle w:val="Titel"/>
        <w:tabs>
          <w:tab w:val="right" w:pos="9356"/>
        </w:tabs>
        <w:jc w:val="left"/>
        <w:rPr>
          <w:b w:val="0"/>
          <w:sz w:val="23"/>
          <w:lang w:eastAsia="en-US"/>
        </w:rPr>
      </w:pPr>
      <w:bookmarkStart w:id="0" w:name="_GoBack"/>
      <w:bookmarkEnd w:id="0"/>
    </w:p>
    <w:p w:rsidR="00B003BF" w:rsidRPr="00260E6B" w:rsidRDefault="00260E6B" w:rsidP="009B00EA">
      <w:pPr>
        <w:pStyle w:val="Titel"/>
        <w:tabs>
          <w:tab w:val="right" w:pos="9356"/>
        </w:tabs>
        <w:jc w:val="right"/>
        <w:rPr>
          <w:sz w:val="23"/>
          <w:lang w:eastAsia="en-US"/>
        </w:rPr>
      </w:pPr>
      <w:r w:rsidRPr="00260E6B">
        <w:rPr>
          <w:sz w:val="23"/>
          <w:lang w:eastAsia="en-US"/>
        </w:rPr>
        <w:t>5. november 2018</w:t>
      </w:r>
    </w:p>
    <w:p w:rsidR="00B003BF" w:rsidRDefault="00B003BF" w:rsidP="00B003BF">
      <w:pPr>
        <w:pStyle w:val="Titel"/>
        <w:jc w:val="left"/>
        <w:rPr>
          <w:b w:val="0"/>
        </w:rPr>
      </w:pPr>
    </w:p>
    <w:p w:rsidR="00260E6B" w:rsidRDefault="00260E6B" w:rsidP="00B003BF">
      <w:pPr>
        <w:pStyle w:val="Titel"/>
        <w:jc w:val="left"/>
        <w:rPr>
          <w:b w:val="0"/>
        </w:rPr>
      </w:pPr>
    </w:p>
    <w:p w:rsidR="00B003BF" w:rsidRDefault="00B003BF" w:rsidP="00B003BF">
      <w:pPr>
        <w:pStyle w:val="Titel"/>
        <w:jc w:val="left"/>
        <w:rPr>
          <w:b w:val="0"/>
        </w:rPr>
      </w:pPr>
    </w:p>
    <w:p w:rsidR="00B003BF" w:rsidRPr="00EC0B9B" w:rsidRDefault="00B003BF" w:rsidP="00B003BF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B003BF" w:rsidRPr="00EC0B9B" w:rsidRDefault="00B003BF" w:rsidP="00B003BF">
      <w:pPr>
        <w:jc w:val="center"/>
        <w:rPr>
          <w:b/>
          <w:sz w:val="24"/>
          <w:szCs w:val="24"/>
        </w:rPr>
      </w:pPr>
    </w:p>
    <w:p w:rsidR="00B003BF" w:rsidRPr="00EC0B9B" w:rsidRDefault="00B003BF" w:rsidP="00B003BF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B003BF" w:rsidRPr="00EC0B9B" w:rsidRDefault="00B003BF" w:rsidP="00B003BF">
      <w:pPr>
        <w:jc w:val="center"/>
        <w:rPr>
          <w:b/>
          <w:sz w:val="24"/>
          <w:szCs w:val="24"/>
        </w:rPr>
      </w:pPr>
    </w:p>
    <w:p w:rsidR="00B003BF" w:rsidRPr="0049104B" w:rsidRDefault="00E60C92" w:rsidP="00B003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Magnesium </w:t>
      </w:r>
      <w:proofErr w:type="spellStart"/>
      <w:r>
        <w:rPr>
          <w:b/>
          <w:sz w:val="24"/>
          <w:szCs w:val="24"/>
        </w:rPr>
        <w:t>Diasporal</w:t>
      </w:r>
      <w:proofErr w:type="spellEnd"/>
      <w:r w:rsidR="00EC2028">
        <w:rPr>
          <w:b/>
          <w:sz w:val="24"/>
          <w:szCs w:val="24"/>
        </w:rPr>
        <w:t>, granulat til oral opløsning</w:t>
      </w:r>
    </w:p>
    <w:p w:rsidR="00B003BF" w:rsidRPr="00EC0B9B" w:rsidRDefault="00B003BF" w:rsidP="00B003BF">
      <w:pPr>
        <w:jc w:val="both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jc w:val="both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0.</w:t>
      </w:r>
      <w:r w:rsidRPr="001C6EA0">
        <w:rPr>
          <w:b/>
          <w:sz w:val="24"/>
          <w:szCs w:val="24"/>
        </w:rPr>
        <w:tab/>
        <w:t>D.SP.NR.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  <w:r w:rsidRPr="001C6EA0">
        <w:rPr>
          <w:sz w:val="24"/>
          <w:szCs w:val="24"/>
        </w:rPr>
        <w:tab/>
      </w:r>
      <w:r w:rsidR="00EC2028" w:rsidRPr="001C6EA0">
        <w:rPr>
          <w:sz w:val="24"/>
          <w:szCs w:val="24"/>
        </w:rPr>
        <w:t>28520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1.</w:t>
      </w:r>
      <w:r w:rsidRPr="001C6EA0">
        <w:rPr>
          <w:b/>
          <w:sz w:val="24"/>
          <w:szCs w:val="24"/>
        </w:rPr>
        <w:tab/>
        <w:t>LÆGEMIDLETS NAVN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  <w:r w:rsidRPr="001C6EA0">
        <w:rPr>
          <w:sz w:val="24"/>
          <w:szCs w:val="24"/>
        </w:rPr>
        <w:tab/>
      </w:r>
      <w:r w:rsidR="00E60C92">
        <w:rPr>
          <w:sz w:val="24"/>
          <w:szCs w:val="24"/>
        </w:rPr>
        <w:t xml:space="preserve">Magnesium </w:t>
      </w:r>
      <w:proofErr w:type="spellStart"/>
      <w:r w:rsidR="00E60C92">
        <w:rPr>
          <w:sz w:val="24"/>
          <w:szCs w:val="24"/>
        </w:rPr>
        <w:t>Diasporal</w:t>
      </w:r>
      <w:proofErr w:type="spellEnd"/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  <w:r w:rsidRPr="001C6EA0">
        <w:rPr>
          <w:sz w:val="24"/>
          <w:szCs w:val="24"/>
        </w:rPr>
        <w:tab/>
      </w: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2.</w:t>
      </w:r>
      <w:r w:rsidRPr="001C6EA0">
        <w:rPr>
          <w:b/>
          <w:sz w:val="24"/>
          <w:szCs w:val="24"/>
        </w:rPr>
        <w:tab/>
        <w:t>KVALITATIV OG KVANTITATIV SAMMENSÆTNING</w:t>
      </w:r>
    </w:p>
    <w:p w:rsidR="009B00EA" w:rsidRDefault="00B003BF" w:rsidP="009B00EA">
      <w:pPr>
        <w:ind w:left="851" w:hanging="851"/>
        <w:rPr>
          <w:sz w:val="24"/>
          <w:szCs w:val="24"/>
        </w:rPr>
      </w:pPr>
      <w:r w:rsidRPr="001C6EA0">
        <w:rPr>
          <w:sz w:val="24"/>
          <w:szCs w:val="24"/>
        </w:rPr>
        <w:tab/>
      </w:r>
      <w:r w:rsidR="009B00EA" w:rsidRPr="009B00EA">
        <w:rPr>
          <w:sz w:val="24"/>
          <w:szCs w:val="24"/>
        </w:rPr>
        <w:t>Et brev (5 g) indeholder 300 mg magnesium som magnesiumcitrat</w:t>
      </w:r>
    </w:p>
    <w:p w:rsidR="009B00EA" w:rsidRPr="009B00EA" w:rsidRDefault="009B00EA" w:rsidP="009B00EA">
      <w:pPr>
        <w:ind w:left="851" w:hanging="851"/>
        <w:rPr>
          <w:sz w:val="24"/>
          <w:szCs w:val="24"/>
        </w:rPr>
      </w:pPr>
    </w:p>
    <w:p w:rsidR="009B00EA" w:rsidRPr="009B00EA" w:rsidRDefault="009B00EA" w:rsidP="009B00EA">
      <w:pPr>
        <w:ind w:left="1702" w:hanging="851"/>
        <w:rPr>
          <w:sz w:val="24"/>
          <w:szCs w:val="24"/>
        </w:rPr>
      </w:pPr>
      <w:r w:rsidRPr="009B00EA">
        <w:rPr>
          <w:sz w:val="24"/>
          <w:szCs w:val="24"/>
          <w:u w:val="single"/>
        </w:rPr>
        <w:t>Hjælpestoffer, som behandleren skal være opmærksom på</w:t>
      </w:r>
      <w:r w:rsidRPr="009B00EA">
        <w:rPr>
          <w:sz w:val="24"/>
          <w:szCs w:val="24"/>
        </w:rPr>
        <w:t>:</w:t>
      </w:r>
    </w:p>
    <w:p w:rsidR="009B00EA" w:rsidRPr="009B00EA" w:rsidRDefault="009B00EA" w:rsidP="009B00EA">
      <w:pPr>
        <w:ind w:left="1702" w:hanging="851"/>
        <w:rPr>
          <w:sz w:val="24"/>
          <w:szCs w:val="24"/>
        </w:rPr>
      </w:pPr>
      <w:r w:rsidRPr="009B00EA">
        <w:rPr>
          <w:sz w:val="24"/>
          <w:szCs w:val="24"/>
        </w:rPr>
        <w:t>Et brev indeholder</w:t>
      </w:r>
    </w:p>
    <w:p w:rsidR="009B00EA" w:rsidRPr="009B00EA" w:rsidRDefault="009B00EA" w:rsidP="009B00EA">
      <w:pPr>
        <w:ind w:left="1702" w:hanging="851"/>
        <w:rPr>
          <w:sz w:val="24"/>
          <w:szCs w:val="24"/>
        </w:rPr>
      </w:pPr>
      <w:proofErr w:type="spellStart"/>
      <w:r w:rsidRPr="009B00EA">
        <w:rPr>
          <w:sz w:val="24"/>
          <w:szCs w:val="24"/>
        </w:rPr>
        <w:t>Saccharose</w:t>
      </w:r>
      <w:proofErr w:type="spellEnd"/>
      <w:r w:rsidRPr="009B00EA">
        <w:rPr>
          <w:sz w:val="24"/>
          <w:szCs w:val="24"/>
        </w:rPr>
        <w:t xml:space="preserve"> (sukker) 2375,2 mg</w:t>
      </w:r>
    </w:p>
    <w:p w:rsidR="00ED7785" w:rsidRPr="001C6EA0" w:rsidRDefault="009B00EA" w:rsidP="009B00EA">
      <w:pPr>
        <w:ind w:left="1702" w:hanging="851"/>
        <w:rPr>
          <w:sz w:val="24"/>
          <w:szCs w:val="24"/>
        </w:rPr>
      </w:pPr>
      <w:r w:rsidRPr="009B00EA">
        <w:rPr>
          <w:sz w:val="24"/>
          <w:szCs w:val="24"/>
        </w:rPr>
        <w:t>Natrium 40 mg</w:t>
      </w:r>
    </w:p>
    <w:p w:rsidR="00ED7785" w:rsidRPr="001C6EA0" w:rsidRDefault="00ED7785" w:rsidP="001C6EA0">
      <w:pPr>
        <w:ind w:left="851" w:hanging="851"/>
        <w:rPr>
          <w:sz w:val="24"/>
          <w:szCs w:val="24"/>
        </w:rPr>
      </w:pPr>
    </w:p>
    <w:p w:rsidR="00ED7785" w:rsidRPr="001C6EA0" w:rsidRDefault="001C6EA0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Alle hjælpestoffer er anført under pkt. 6.1.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3.</w:t>
      </w:r>
      <w:r w:rsidRPr="001C6EA0">
        <w:rPr>
          <w:b/>
          <w:sz w:val="24"/>
          <w:szCs w:val="24"/>
        </w:rPr>
        <w:tab/>
        <w:t>LÆGEMIDDELFORM</w:t>
      </w:r>
    </w:p>
    <w:p w:rsidR="00ED7785" w:rsidRPr="001C6EA0" w:rsidRDefault="001C6EA0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Granulat til oral opløsning</w:t>
      </w:r>
      <w:r w:rsidR="009B00EA">
        <w:rPr>
          <w:sz w:val="24"/>
          <w:szCs w:val="24"/>
        </w:rPr>
        <w:t xml:space="preserve"> </w:t>
      </w:r>
      <w:r w:rsidR="009B00EA" w:rsidRPr="005B1329">
        <w:t>i sachetter</w:t>
      </w:r>
    </w:p>
    <w:p w:rsidR="00ED7785" w:rsidRPr="001C6EA0" w:rsidRDefault="00ED7785" w:rsidP="001C6EA0">
      <w:pPr>
        <w:ind w:left="851" w:hanging="851"/>
        <w:rPr>
          <w:sz w:val="24"/>
          <w:szCs w:val="24"/>
        </w:rPr>
      </w:pPr>
    </w:p>
    <w:p w:rsidR="00ED7785" w:rsidRPr="001C6EA0" w:rsidRDefault="001C6EA0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Gult granulat med en frugtagtig, orangelignende smag</w:t>
      </w:r>
      <w:r>
        <w:rPr>
          <w:sz w:val="24"/>
          <w:szCs w:val="24"/>
        </w:rPr>
        <w:t>.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4.</w:t>
      </w:r>
      <w:r w:rsidRPr="001C6EA0">
        <w:rPr>
          <w:b/>
          <w:sz w:val="24"/>
          <w:szCs w:val="24"/>
        </w:rPr>
        <w:tab/>
        <w:t>KLINISKE OPLYSNINGER</w:t>
      </w: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  <w:u w:val="single"/>
        </w:rPr>
      </w:pPr>
      <w:r w:rsidRPr="001C6EA0">
        <w:rPr>
          <w:b/>
          <w:sz w:val="24"/>
          <w:szCs w:val="24"/>
        </w:rPr>
        <w:t>4.1</w:t>
      </w:r>
      <w:r w:rsidRPr="001C6EA0">
        <w:rPr>
          <w:b/>
          <w:sz w:val="24"/>
          <w:szCs w:val="24"/>
        </w:rPr>
        <w:tab/>
        <w:t>Terapeutiske indikationer</w:t>
      </w:r>
    </w:p>
    <w:p w:rsidR="00ED7785" w:rsidRPr="001C6EA0" w:rsidRDefault="00B003BF" w:rsidP="001C6EA0">
      <w:pPr>
        <w:ind w:left="851" w:hanging="851"/>
        <w:rPr>
          <w:sz w:val="24"/>
          <w:szCs w:val="24"/>
        </w:rPr>
      </w:pPr>
      <w:r w:rsidRPr="001C6EA0"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Behandling og forebyggelse af magnesiummangel</w:t>
      </w:r>
      <w:r w:rsidR="009B00EA">
        <w:rPr>
          <w:sz w:val="24"/>
          <w:szCs w:val="24"/>
        </w:rPr>
        <w:t xml:space="preserve"> hos voksne</w:t>
      </w:r>
      <w:r w:rsidR="00ED7785" w:rsidRPr="001C6EA0">
        <w:rPr>
          <w:sz w:val="24"/>
          <w:szCs w:val="24"/>
        </w:rPr>
        <w:t>.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4.2</w:t>
      </w:r>
      <w:r w:rsidRPr="001C6EA0">
        <w:rPr>
          <w:b/>
          <w:sz w:val="24"/>
          <w:szCs w:val="24"/>
        </w:rPr>
        <w:tab/>
        <w:t>Dosering og indgivelsesmåde</w:t>
      </w:r>
    </w:p>
    <w:p w:rsidR="001C6EA0" w:rsidRDefault="001C6EA0" w:rsidP="001C6EA0">
      <w:pPr>
        <w:ind w:left="851" w:hanging="851"/>
        <w:rPr>
          <w:sz w:val="24"/>
          <w:szCs w:val="24"/>
        </w:rPr>
      </w:pPr>
    </w:p>
    <w:p w:rsidR="00ED7785" w:rsidRPr="001C6EA0" w:rsidRDefault="00ED7785" w:rsidP="001C6EA0">
      <w:pPr>
        <w:ind w:left="851"/>
        <w:rPr>
          <w:sz w:val="24"/>
          <w:szCs w:val="24"/>
          <w:u w:val="single"/>
        </w:rPr>
      </w:pPr>
      <w:r w:rsidRPr="001C6EA0">
        <w:rPr>
          <w:sz w:val="24"/>
          <w:szCs w:val="24"/>
          <w:u w:val="single"/>
        </w:rPr>
        <w:t>Dosering</w:t>
      </w:r>
    </w:p>
    <w:p w:rsidR="00ED7785" w:rsidRPr="001C6EA0" w:rsidRDefault="00ED7785" w:rsidP="001C6EA0">
      <w:pPr>
        <w:ind w:left="851"/>
        <w:rPr>
          <w:sz w:val="24"/>
          <w:szCs w:val="24"/>
        </w:rPr>
      </w:pPr>
      <w:r w:rsidRPr="001C6EA0">
        <w:rPr>
          <w:sz w:val="24"/>
          <w:szCs w:val="24"/>
        </w:rPr>
        <w:t xml:space="preserve">Voksne: 1 brev med granulat dagligt (300 mg magnesium). </w:t>
      </w:r>
    </w:p>
    <w:p w:rsidR="00ED7785" w:rsidRPr="001C6EA0" w:rsidRDefault="00ED7785" w:rsidP="001C6EA0">
      <w:pPr>
        <w:ind w:left="851"/>
        <w:rPr>
          <w:sz w:val="24"/>
          <w:szCs w:val="24"/>
        </w:rPr>
      </w:pPr>
    </w:p>
    <w:p w:rsidR="00EB52B0" w:rsidRDefault="00ED7785" w:rsidP="001C6EA0">
      <w:pPr>
        <w:ind w:left="851"/>
        <w:rPr>
          <w:i/>
          <w:sz w:val="24"/>
          <w:szCs w:val="24"/>
        </w:rPr>
      </w:pPr>
      <w:r w:rsidRPr="001C6EA0">
        <w:rPr>
          <w:i/>
          <w:sz w:val="24"/>
          <w:szCs w:val="24"/>
        </w:rPr>
        <w:t xml:space="preserve">Pædiatrisk population </w:t>
      </w:r>
    </w:p>
    <w:p w:rsidR="00ED7785" w:rsidRDefault="00E60C92" w:rsidP="001C6EA0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Magnesium </w:t>
      </w:r>
      <w:proofErr w:type="spellStart"/>
      <w:r>
        <w:rPr>
          <w:sz w:val="24"/>
          <w:szCs w:val="24"/>
        </w:rPr>
        <w:t>Diasporal</w:t>
      </w:r>
      <w:r w:rsidR="001C6EA0">
        <w:rPr>
          <w:sz w:val="24"/>
          <w:szCs w:val="24"/>
        </w:rPr>
        <w:t>s</w:t>
      </w:r>
      <w:proofErr w:type="spellEnd"/>
      <w:r w:rsidR="00ED7785" w:rsidRPr="001C6EA0">
        <w:rPr>
          <w:sz w:val="24"/>
          <w:szCs w:val="24"/>
        </w:rPr>
        <w:t xml:space="preserve"> sikkerhed og virkning hos børn og unge er ikke klarlagt.</w:t>
      </w:r>
    </w:p>
    <w:p w:rsidR="00EB52B0" w:rsidRPr="001C6EA0" w:rsidRDefault="00EB52B0" w:rsidP="001C6EA0">
      <w:pPr>
        <w:ind w:left="851"/>
        <w:rPr>
          <w:sz w:val="24"/>
          <w:szCs w:val="24"/>
        </w:rPr>
      </w:pPr>
      <w:r w:rsidRPr="00EB52B0">
        <w:rPr>
          <w:sz w:val="24"/>
          <w:szCs w:val="24"/>
        </w:rPr>
        <w:t>Derfor anbefales det ikke at anvendes til børn og unge.</w:t>
      </w:r>
    </w:p>
    <w:p w:rsidR="00ED7785" w:rsidRPr="001C6EA0" w:rsidRDefault="00ED7785" w:rsidP="001C6EA0">
      <w:pPr>
        <w:ind w:left="851"/>
        <w:rPr>
          <w:sz w:val="24"/>
          <w:szCs w:val="24"/>
        </w:rPr>
      </w:pPr>
    </w:p>
    <w:p w:rsidR="00ED7785" w:rsidRPr="001C6EA0" w:rsidRDefault="00ED7785" w:rsidP="001C6EA0">
      <w:pPr>
        <w:ind w:left="851"/>
        <w:rPr>
          <w:i/>
          <w:sz w:val="24"/>
          <w:szCs w:val="24"/>
        </w:rPr>
      </w:pPr>
      <w:r w:rsidRPr="001C6EA0">
        <w:rPr>
          <w:i/>
          <w:sz w:val="24"/>
          <w:szCs w:val="24"/>
        </w:rPr>
        <w:t>Nedsat nyrefunktion</w:t>
      </w:r>
    </w:p>
    <w:p w:rsidR="00ED7785" w:rsidRPr="001C6EA0" w:rsidRDefault="00E60C92" w:rsidP="001C6EA0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Magnesium </w:t>
      </w:r>
      <w:proofErr w:type="spellStart"/>
      <w:r>
        <w:rPr>
          <w:sz w:val="24"/>
          <w:szCs w:val="24"/>
        </w:rPr>
        <w:t>Diasporal</w:t>
      </w:r>
      <w:proofErr w:type="spellEnd"/>
      <w:r w:rsidR="00ED7785" w:rsidRPr="001C6EA0">
        <w:rPr>
          <w:sz w:val="24"/>
          <w:szCs w:val="24"/>
        </w:rPr>
        <w:t xml:space="preserve"> er kontraindiceret til patienter med svært nedsat nyrefunktion (se pkt. 4.3).</w:t>
      </w:r>
    </w:p>
    <w:p w:rsidR="00ED7785" w:rsidRPr="001C6EA0" w:rsidRDefault="00ED7785" w:rsidP="001C6EA0">
      <w:pPr>
        <w:ind w:left="851"/>
        <w:rPr>
          <w:sz w:val="24"/>
          <w:szCs w:val="24"/>
        </w:rPr>
      </w:pPr>
    </w:p>
    <w:p w:rsidR="00ED7785" w:rsidRPr="001C6EA0" w:rsidRDefault="00ED7785" w:rsidP="001C6EA0">
      <w:pPr>
        <w:ind w:left="851"/>
        <w:rPr>
          <w:sz w:val="24"/>
          <w:szCs w:val="24"/>
          <w:u w:val="single"/>
        </w:rPr>
      </w:pPr>
      <w:r w:rsidRPr="001C6EA0">
        <w:rPr>
          <w:sz w:val="24"/>
          <w:szCs w:val="24"/>
          <w:u w:val="single"/>
        </w:rPr>
        <w:t>Administration</w:t>
      </w:r>
    </w:p>
    <w:p w:rsidR="00ED7785" w:rsidRPr="001C6EA0" w:rsidRDefault="00ED7785" w:rsidP="001C6EA0">
      <w:pPr>
        <w:ind w:left="851"/>
        <w:rPr>
          <w:sz w:val="24"/>
          <w:szCs w:val="24"/>
        </w:rPr>
      </w:pPr>
      <w:r w:rsidRPr="001C6EA0">
        <w:rPr>
          <w:sz w:val="24"/>
          <w:szCs w:val="24"/>
        </w:rPr>
        <w:t>Til oral anvendelse efter opløsning i vand</w:t>
      </w:r>
      <w:r w:rsidR="001C6EA0">
        <w:rPr>
          <w:sz w:val="24"/>
          <w:szCs w:val="24"/>
        </w:rPr>
        <w:t>.</w:t>
      </w:r>
    </w:p>
    <w:p w:rsidR="00ED7785" w:rsidRDefault="00ED7785" w:rsidP="001C6EA0">
      <w:pPr>
        <w:ind w:left="851"/>
        <w:rPr>
          <w:sz w:val="24"/>
          <w:szCs w:val="24"/>
        </w:rPr>
      </w:pPr>
      <w:r w:rsidRPr="001C6EA0">
        <w:rPr>
          <w:sz w:val="24"/>
          <w:szCs w:val="24"/>
        </w:rPr>
        <w:t xml:space="preserve">Opløs og drik 1 brev med </w:t>
      </w:r>
      <w:r w:rsidR="00E60C92">
        <w:rPr>
          <w:sz w:val="24"/>
          <w:szCs w:val="24"/>
        </w:rPr>
        <w:t xml:space="preserve">Magnesium </w:t>
      </w:r>
      <w:proofErr w:type="spellStart"/>
      <w:r w:rsidR="00E60C92">
        <w:rPr>
          <w:sz w:val="24"/>
          <w:szCs w:val="24"/>
        </w:rPr>
        <w:t>Diasporal</w:t>
      </w:r>
      <w:proofErr w:type="spellEnd"/>
      <w:r w:rsidRPr="001C6EA0">
        <w:rPr>
          <w:sz w:val="24"/>
          <w:szCs w:val="24"/>
        </w:rPr>
        <w:t xml:space="preserve"> granulat i ½ glas vand.</w:t>
      </w:r>
    </w:p>
    <w:p w:rsidR="00EB52B0" w:rsidRDefault="00EB52B0" w:rsidP="001C6EA0">
      <w:pPr>
        <w:ind w:left="851"/>
        <w:rPr>
          <w:sz w:val="24"/>
          <w:szCs w:val="24"/>
        </w:rPr>
      </w:pPr>
    </w:p>
    <w:p w:rsidR="00EB52B0" w:rsidRPr="00EB52B0" w:rsidRDefault="00EB52B0" w:rsidP="00EB52B0">
      <w:pPr>
        <w:ind w:left="851"/>
        <w:rPr>
          <w:sz w:val="24"/>
          <w:szCs w:val="24"/>
          <w:u w:val="single"/>
        </w:rPr>
      </w:pPr>
      <w:r w:rsidRPr="00EB52B0">
        <w:rPr>
          <w:sz w:val="24"/>
          <w:szCs w:val="24"/>
          <w:u w:val="single"/>
        </w:rPr>
        <w:t>Behandlingens varighed</w:t>
      </w:r>
    </w:p>
    <w:p w:rsidR="00EB52B0" w:rsidRPr="001C6EA0" w:rsidRDefault="00EB52B0" w:rsidP="00EB52B0">
      <w:pPr>
        <w:ind w:left="851"/>
        <w:rPr>
          <w:sz w:val="24"/>
          <w:szCs w:val="24"/>
        </w:rPr>
      </w:pPr>
      <w:r w:rsidRPr="00EB52B0">
        <w:rPr>
          <w:sz w:val="24"/>
          <w:szCs w:val="24"/>
        </w:rPr>
        <w:t>Behandlingens varighed afhænger af omfanget af magnesiummanglen og bør bestemmes af en læge.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4.3</w:t>
      </w:r>
      <w:r w:rsidRPr="001C6EA0">
        <w:rPr>
          <w:b/>
          <w:sz w:val="24"/>
          <w:szCs w:val="24"/>
        </w:rPr>
        <w:tab/>
        <w:t>Kontraindikationer</w:t>
      </w:r>
    </w:p>
    <w:p w:rsidR="00ED7785" w:rsidRPr="001C6EA0" w:rsidRDefault="00ED7785" w:rsidP="001C6EA0">
      <w:pPr>
        <w:numPr>
          <w:ilvl w:val="0"/>
          <w:numId w:val="6"/>
        </w:numPr>
        <w:tabs>
          <w:tab w:val="clear" w:pos="1080"/>
        </w:tabs>
        <w:ind w:left="1276" w:hanging="425"/>
        <w:rPr>
          <w:sz w:val="24"/>
          <w:szCs w:val="24"/>
        </w:rPr>
      </w:pPr>
      <w:r w:rsidRPr="001C6EA0">
        <w:rPr>
          <w:sz w:val="24"/>
          <w:szCs w:val="24"/>
        </w:rPr>
        <w:t>overfølsomhed over for det aktive stof eller over for et eller flere af hjælpestofferne anført i punkt 6.1.</w:t>
      </w:r>
    </w:p>
    <w:p w:rsidR="00ED7785" w:rsidRPr="001C6EA0" w:rsidRDefault="00ED7785" w:rsidP="001C6EA0">
      <w:pPr>
        <w:numPr>
          <w:ilvl w:val="0"/>
          <w:numId w:val="6"/>
        </w:numPr>
        <w:tabs>
          <w:tab w:val="clear" w:pos="1080"/>
        </w:tabs>
        <w:ind w:left="1276" w:hanging="425"/>
        <w:rPr>
          <w:sz w:val="24"/>
          <w:szCs w:val="24"/>
        </w:rPr>
      </w:pPr>
      <w:r w:rsidRPr="001C6EA0">
        <w:rPr>
          <w:sz w:val="24"/>
          <w:szCs w:val="24"/>
        </w:rPr>
        <w:t>svært nedsat nyrefunktion (</w:t>
      </w:r>
      <w:proofErr w:type="spellStart"/>
      <w:r w:rsidRPr="001C6EA0">
        <w:rPr>
          <w:sz w:val="24"/>
          <w:szCs w:val="24"/>
        </w:rPr>
        <w:t>glomerulær</w:t>
      </w:r>
      <w:proofErr w:type="spellEnd"/>
      <w:r w:rsidRPr="001C6EA0">
        <w:rPr>
          <w:sz w:val="24"/>
          <w:szCs w:val="24"/>
        </w:rPr>
        <w:t xml:space="preserve"> filtrationshastighed &lt; 30 ml/min),</w:t>
      </w:r>
    </w:p>
    <w:p w:rsidR="00ED7785" w:rsidRPr="001C6EA0" w:rsidRDefault="00ED7785" w:rsidP="001C6EA0">
      <w:pPr>
        <w:numPr>
          <w:ilvl w:val="0"/>
          <w:numId w:val="6"/>
        </w:numPr>
        <w:tabs>
          <w:tab w:val="clear" w:pos="1080"/>
        </w:tabs>
        <w:ind w:left="1276" w:hanging="425"/>
        <w:rPr>
          <w:sz w:val="24"/>
          <w:szCs w:val="24"/>
        </w:rPr>
      </w:pPr>
      <w:proofErr w:type="spellStart"/>
      <w:r w:rsidRPr="001C6EA0">
        <w:rPr>
          <w:sz w:val="24"/>
          <w:szCs w:val="24"/>
        </w:rPr>
        <w:t>konduktionsforstyrrelser</w:t>
      </w:r>
      <w:proofErr w:type="spellEnd"/>
      <w:r w:rsidRPr="001C6EA0">
        <w:rPr>
          <w:sz w:val="24"/>
          <w:szCs w:val="24"/>
        </w:rPr>
        <w:t xml:space="preserve"> i hjertet, der forårsager en langsom puls (</w:t>
      </w:r>
      <w:proofErr w:type="spellStart"/>
      <w:r w:rsidRPr="001C6EA0">
        <w:rPr>
          <w:sz w:val="24"/>
          <w:szCs w:val="24"/>
        </w:rPr>
        <w:t>bradykardi</w:t>
      </w:r>
      <w:proofErr w:type="spellEnd"/>
      <w:r w:rsidRPr="001C6EA0">
        <w:rPr>
          <w:sz w:val="24"/>
          <w:szCs w:val="24"/>
        </w:rPr>
        <w:t>)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4.4</w:t>
      </w:r>
      <w:r w:rsidRPr="001C6EA0">
        <w:rPr>
          <w:b/>
          <w:sz w:val="24"/>
          <w:szCs w:val="24"/>
        </w:rPr>
        <w:tab/>
        <w:t>Særlige advarsler og forsigtighedsregler vedrørende brugen</w:t>
      </w:r>
    </w:p>
    <w:p w:rsidR="00ED7785" w:rsidRPr="001C6EA0" w:rsidRDefault="00B003BF" w:rsidP="001C6EA0">
      <w:pPr>
        <w:ind w:left="851" w:hanging="851"/>
        <w:rPr>
          <w:sz w:val="24"/>
          <w:szCs w:val="24"/>
        </w:rPr>
      </w:pPr>
      <w:r w:rsidRPr="001C6EA0"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 xml:space="preserve">Indeholder </w:t>
      </w:r>
      <w:proofErr w:type="spellStart"/>
      <w:r w:rsidR="00ED7785" w:rsidRPr="001C6EA0">
        <w:rPr>
          <w:sz w:val="24"/>
          <w:szCs w:val="24"/>
        </w:rPr>
        <w:t>saccharose</w:t>
      </w:r>
      <w:proofErr w:type="spellEnd"/>
      <w:r w:rsidR="00ED7785" w:rsidRPr="001C6EA0">
        <w:rPr>
          <w:sz w:val="24"/>
          <w:szCs w:val="24"/>
        </w:rPr>
        <w:t xml:space="preserve"> (sukker). Bør ikke anvendes til patienter med arvelig </w:t>
      </w:r>
      <w:proofErr w:type="spellStart"/>
      <w:r w:rsidR="00ED7785" w:rsidRPr="001C6EA0">
        <w:rPr>
          <w:sz w:val="24"/>
          <w:szCs w:val="24"/>
        </w:rPr>
        <w:t>fructoseintolerans</w:t>
      </w:r>
      <w:proofErr w:type="spellEnd"/>
      <w:r w:rsidR="00ED7785" w:rsidRPr="001C6EA0">
        <w:rPr>
          <w:sz w:val="24"/>
          <w:szCs w:val="24"/>
        </w:rPr>
        <w:t xml:space="preserve">, </w:t>
      </w:r>
      <w:proofErr w:type="spellStart"/>
      <w:r w:rsidR="00ED7785" w:rsidRPr="001C6EA0">
        <w:rPr>
          <w:sz w:val="24"/>
          <w:szCs w:val="24"/>
        </w:rPr>
        <w:t>glucose</w:t>
      </w:r>
      <w:proofErr w:type="spellEnd"/>
      <w:r w:rsidR="00ED7785" w:rsidRPr="001C6EA0">
        <w:rPr>
          <w:sz w:val="24"/>
          <w:szCs w:val="24"/>
        </w:rPr>
        <w:t>/</w:t>
      </w:r>
      <w:proofErr w:type="spellStart"/>
      <w:r w:rsidR="00ED7785" w:rsidRPr="001C6EA0">
        <w:rPr>
          <w:sz w:val="24"/>
          <w:szCs w:val="24"/>
        </w:rPr>
        <w:t>galactosemalabsorption</w:t>
      </w:r>
      <w:proofErr w:type="spellEnd"/>
      <w:r w:rsidR="00ED7785" w:rsidRPr="001C6EA0">
        <w:rPr>
          <w:sz w:val="24"/>
          <w:szCs w:val="24"/>
        </w:rPr>
        <w:t xml:space="preserve"> og </w:t>
      </w:r>
      <w:proofErr w:type="spellStart"/>
      <w:r w:rsidR="00ED7785" w:rsidRPr="001C6EA0">
        <w:rPr>
          <w:sz w:val="24"/>
          <w:szCs w:val="24"/>
        </w:rPr>
        <w:t>sucrase</w:t>
      </w:r>
      <w:proofErr w:type="spellEnd"/>
      <w:r w:rsidR="00ED7785" w:rsidRPr="001C6EA0">
        <w:rPr>
          <w:sz w:val="24"/>
          <w:szCs w:val="24"/>
        </w:rPr>
        <w:t>-</w:t>
      </w:r>
      <w:proofErr w:type="spellStart"/>
      <w:r w:rsidR="00ED7785" w:rsidRPr="001C6EA0">
        <w:rPr>
          <w:sz w:val="24"/>
          <w:szCs w:val="24"/>
        </w:rPr>
        <w:t>isomaltase</w:t>
      </w:r>
      <w:proofErr w:type="spellEnd"/>
      <w:r w:rsidR="00ED7785" w:rsidRPr="001C6EA0">
        <w:rPr>
          <w:sz w:val="24"/>
          <w:szCs w:val="24"/>
        </w:rPr>
        <w:t>-mangel.</w:t>
      </w:r>
    </w:p>
    <w:p w:rsidR="00ED7785" w:rsidRPr="001C6EA0" w:rsidRDefault="00ED7785" w:rsidP="001C6EA0">
      <w:pPr>
        <w:ind w:left="851" w:hanging="851"/>
        <w:rPr>
          <w:sz w:val="24"/>
          <w:szCs w:val="24"/>
        </w:rPr>
      </w:pPr>
    </w:p>
    <w:p w:rsidR="00ED7785" w:rsidRPr="001C6EA0" w:rsidRDefault="001C6EA0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 xml:space="preserve">Hyppig og permanent anvendelse af </w:t>
      </w:r>
      <w:r w:rsidR="00E60C92">
        <w:rPr>
          <w:sz w:val="24"/>
          <w:szCs w:val="24"/>
        </w:rPr>
        <w:t xml:space="preserve">Magnesium </w:t>
      </w:r>
      <w:proofErr w:type="spellStart"/>
      <w:r w:rsidR="00E60C92">
        <w:rPr>
          <w:sz w:val="24"/>
          <w:szCs w:val="24"/>
        </w:rPr>
        <w:t>Diasporal</w:t>
      </w:r>
      <w:proofErr w:type="spellEnd"/>
      <w:r w:rsidR="00ED7785" w:rsidRPr="001C6EA0">
        <w:rPr>
          <w:sz w:val="24"/>
          <w:szCs w:val="24"/>
        </w:rPr>
        <w:t xml:space="preserve"> kan være skadeligt for tænderne (karies).</w:t>
      </w:r>
    </w:p>
    <w:p w:rsidR="00ED7785" w:rsidRPr="001C6EA0" w:rsidRDefault="00ED7785" w:rsidP="001C6EA0">
      <w:pPr>
        <w:ind w:left="851" w:hanging="851"/>
        <w:rPr>
          <w:sz w:val="24"/>
          <w:szCs w:val="24"/>
        </w:rPr>
      </w:pPr>
    </w:p>
    <w:p w:rsidR="00ED7785" w:rsidRPr="00C320AB" w:rsidRDefault="001C6EA0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C320AB" w:rsidRPr="00C320AB">
        <w:rPr>
          <w:sz w:val="24"/>
          <w:szCs w:val="24"/>
        </w:rPr>
        <w:t>Denne medicin indeholder 40 mg natrium pr. brev svarende til 2 % af det af WHO anbefalede daglige indtag af 2 g natrium for en voksen.</w:t>
      </w:r>
    </w:p>
    <w:p w:rsidR="00ED7785" w:rsidRPr="001C6EA0" w:rsidRDefault="00ED7785" w:rsidP="001C6EA0">
      <w:pPr>
        <w:ind w:left="851" w:hanging="851"/>
        <w:rPr>
          <w:sz w:val="24"/>
          <w:szCs w:val="24"/>
        </w:rPr>
      </w:pPr>
    </w:p>
    <w:p w:rsidR="00ED7785" w:rsidRPr="001C6EA0" w:rsidRDefault="001C6EA0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Hvis der opstår en bivirkning, skal behandlingen afbrydes midlertidigt, og den kan genstartes efter forbedring og/eller eliminering af symptomerne med en reduceret dosering.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4.5</w:t>
      </w:r>
      <w:r w:rsidRPr="001C6EA0">
        <w:rPr>
          <w:b/>
          <w:sz w:val="24"/>
          <w:szCs w:val="24"/>
        </w:rPr>
        <w:tab/>
        <w:t>Interaktion med andre lægemidler og andre former for interaktion</w:t>
      </w:r>
    </w:p>
    <w:p w:rsidR="00ED7785" w:rsidRPr="001C6EA0" w:rsidRDefault="00B003BF" w:rsidP="001C6EA0">
      <w:pPr>
        <w:ind w:left="851" w:hanging="851"/>
        <w:rPr>
          <w:sz w:val="24"/>
          <w:szCs w:val="24"/>
        </w:rPr>
      </w:pPr>
      <w:r w:rsidRPr="001C6EA0"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Da magnesium og andre lægemidler gensidigt kan påvirke hinandens absorption, bør et tidsinterval på 2 eller 3 timer generelt respekteres, hvis det er muligt.</w:t>
      </w:r>
    </w:p>
    <w:p w:rsidR="00ED7785" w:rsidRPr="001C6EA0" w:rsidRDefault="00ED7785" w:rsidP="001C6EA0">
      <w:pPr>
        <w:ind w:left="851" w:hanging="851"/>
        <w:rPr>
          <w:sz w:val="24"/>
          <w:szCs w:val="24"/>
        </w:rPr>
      </w:pPr>
    </w:p>
    <w:p w:rsidR="00ED7785" w:rsidRPr="001C6EA0" w:rsidRDefault="001C6EA0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 xml:space="preserve">Dette gælder specifikt for fluorider og </w:t>
      </w:r>
      <w:proofErr w:type="spellStart"/>
      <w:r w:rsidR="00ED7785" w:rsidRPr="001C6EA0">
        <w:rPr>
          <w:sz w:val="24"/>
          <w:szCs w:val="24"/>
        </w:rPr>
        <w:t>tetracyklin</w:t>
      </w:r>
      <w:proofErr w:type="spellEnd"/>
      <w:r w:rsidR="00ED7785" w:rsidRPr="001C6EA0">
        <w:rPr>
          <w:sz w:val="24"/>
          <w:szCs w:val="24"/>
        </w:rPr>
        <w:t>, hvor et tidsinterval på 2 til 3 timer skal overholdes strengt.</w:t>
      </w:r>
    </w:p>
    <w:p w:rsidR="00ED7785" w:rsidRPr="001C6EA0" w:rsidRDefault="00ED7785" w:rsidP="001C6EA0">
      <w:pPr>
        <w:ind w:left="851" w:hanging="851"/>
        <w:rPr>
          <w:sz w:val="24"/>
          <w:szCs w:val="24"/>
        </w:rPr>
      </w:pPr>
    </w:p>
    <w:p w:rsidR="00ED7785" w:rsidRPr="001C6EA0" w:rsidRDefault="001C6EA0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 xml:space="preserve">Aminoglykosid-antibiotika, </w:t>
      </w:r>
      <w:proofErr w:type="spellStart"/>
      <w:r w:rsidR="00ED7785" w:rsidRPr="001C6EA0">
        <w:rPr>
          <w:sz w:val="24"/>
          <w:szCs w:val="24"/>
        </w:rPr>
        <w:t>cisplatin</w:t>
      </w:r>
      <w:proofErr w:type="spellEnd"/>
      <w:r w:rsidR="00ED7785" w:rsidRPr="001C6EA0">
        <w:rPr>
          <w:sz w:val="24"/>
          <w:szCs w:val="24"/>
        </w:rPr>
        <w:t xml:space="preserve"> og </w:t>
      </w:r>
      <w:proofErr w:type="spellStart"/>
      <w:r w:rsidR="00ED7785" w:rsidRPr="001C6EA0">
        <w:rPr>
          <w:sz w:val="24"/>
          <w:szCs w:val="24"/>
        </w:rPr>
        <w:t>ciclosporin</w:t>
      </w:r>
      <w:proofErr w:type="spellEnd"/>
      <w:r w:rsidR="00ED7785" w:rsidRPr="001C6EA0">
        <w:rPr>
          <w:sz w:val="24"/>
          <w:szCs w:val="24"/>
        </w:rPr>
        <w:t xml:space="preserve"> A accelererer secerneringen af magnesium. </w:t>
      </w:r>
      <w:proofErr w:type="spellStart"/>
      <w:r w:rsidR="00ED7785" w:rsidRPr="001C6EA0">
        <w:rPr>
          <w:sz w:val="24"/>
          <w:szCs w:val="24"/>
        </w:rPr>
        <w:t>Diuretika</w:t>
      </w:r>
      <w:proofErr w:type="spellEnd"/>
      <w:r w:rsidR="00ED7785" w:rsidRPr="001C6EA0">
        <w:rPr>
          <w:sz w:val="24"/>
          <w:szCs w:val="24"/>
        </w:rPr>
        <w:t xml:space="preserve"> (såsom </w:t>
      </w:r>
      <w:proofErr w:type="spellStart"/>
      <w:r w:rsidR="00ED7785" w:rsidRPr="001C6EA0">
        <w:rPr>
          <w:sz w:val="24"/>
          <w:szCs w:val="24"/>
        </w:rPr>
        <w:t>thiazid</w:t>
      </w:r>
      <w:proofErr w:type="spellEnd"/>
      <w:r w:rsidR="00ED7785" w:rsidRPr="001C6EA0">
        <w:rPr>
          <w:sz w:val="24"/>
          <w:szCs w:val="24"/>
        </w:rPr>
        <w:t xml:space="preserve"> og </w:t>
      </w:r>
      <w:proofErr w:type="spellStart"/>
      <w:r w:rsidR="00ED7785" w:rsidRPr="001C6EA0">
        <w:rPr>
          <w:sz w:val="24"/>
          <w:szCs w:val="24"/>
        </w:rPr>
        <w:t>furosemid</w:t>
      </w:r>
      <w:proofErr w:type="spellEnd"/>
      <w:r w:rsidR="00ED7785" w:rsidRPr="001C6EA0">
        <w:rPr>
          <w:sz w:val="24"/>
          <w:szCs w:val="24"/>
        </w:rPr>
        <w:t xml:space="preserve">), EGF-receptorantagonister (såsom </w:t>
      </w:r>
      <w:proofErr w:type="spellStart"/>
      <w:r w:rsidR="00ED7785" w:rsidRPr="001C6EA0">
        <w:rPr>
          <w:sz w:val="24"/>
          <w:szCs w:val="24"/>
        </w:rPr>
        <w:t>cetuximab</w:t>
      </w:r>
      <w:proofErr w:type="spellEnd"/>
      <w:r w:rsidR="00ED7785" w:rsidRPr="001C6EA0">
        <w:rPr>
          <w:sz w:val="24"/>
          <w:szCs w:val="24"/>
        </w:rPr>
        <w:t xml:space="preserve"> og </w:t>
      </w:r>
      <w:proofErr w:type="spellStart"/>
      <w:r w:rsidR="00ED7785" w:rsidRPr="001C6EA0">
        <w:rPr>
          <w:sz w:val="24"/>
          <w:szCs w:val="24"/>
        </w:rPr>
        <w:t>erlotinib</w:t>
      </w:r>
      <w:proofErr w:type="spellEnd"/>
      <w:r w:rsidR="00ED7785" w:rsidRPr="001C6EA0">
        <w:rPr>
          <w:sz w:val="24"/>
          <w:szCs w:val="24"/>
        </w:rPr>
        <w:t xml:space="preserve">), </w:t>
      </w:r>
      <w:proofErr w:type="spellStart"/>
      <w:r w:rsidR="00ED7785" w:rsidRPr="001C6EA0">
        <w:rPr>
          <w:sz w:val="24"/>
          <w:szCs w:val="24"/>
        </w:rPr>
        <w:t>protonpumpehæmmere</w:t>
      </w:r>
      <w:proofErr w:type="spellEnd"/>
      <w:r w:rsidR="00ED7785" w:rsidRPr="001C6EA0">
        <w:rPr>
          <w:sz w:val="24"/>
          <w:szCs w:val="24"/>
        </w:rPr>
        <w:t xml:space="preserve"> (såsom </w:t>
      </w:r>
      <w:proofErr w:type="spellStart"/>
      <w:r w:rsidR="00ED7785" w:rsidRPr="001C6EA0">
        <w:rPr>
          <w:sz w:val="24"/>
          <w:szCs w:val="24"/>
        </w:rPr>
        <w:t>omeprazol</w:t>
      </w:r>
      <w:proofErr w:type="spellEnd"/>
      <w:r w:rsidR="00ED7785" w:rsidRPr="001C6EA0">
        <w:rPr>
          <w:sz w:val="24"/>
          <w:szCs w:val="24"/>
        </w:rPr>
        <w:t xml:space="preserve"> og </w:t>
      </w:r>
      <w:proofErr w:type="spellStart"/>
      <w:r w:rsidR="00ED7785" w:rsidRPr="001C6EA0">
        <w:rPr>
          <w:sz w:val="24"/>
          <w:szCs w:val="24"/>
        </w:rPr>
        <w:t>pantoprazol</w:t>
      </w:r>
      <w:proofErr w:type="spellEnd"/>
      <w:r w:rsidR="00ED7785" w:rsidRPr="001C6EA0">
        <w:rPr>
          <w:sz w:val="24"/>
          <w:szCs w:val="24"/>
        </w:rPr>
        <w:t xml:space="preserve">) og </w:t>
      </w:r>
      <w:proofErr w:type="spellStart"/>
      <w:r w:rsidR="00ED7785" w:rsidRPr="001C6EA0">
        <w:rPr>
          <w:sz w:val="24"/>
          <w:szCs w:val="24"/>
        </w:rPr>
        <w:t>viralt</w:t>
      </w:r>
      <w:proofErr w:type="spellEnd"/>
      <w:r w:rsidR="00ED7785" w:rsidRPr="001C6EA0">
        <w:rPr>
          <w:sz w:val="24"/>
          <w:szCs w:val="24"/>
        </w:rPr>
        <w:t xml:space="preserve"> DNA polymerase-hæmmende </w:t>
      </w:r>
      <w:proofErr w:type="spellStart"/>
      <w:r w:rsidR="00ED7785" w:rsidRPr="001C6EA0">
        <w:rPr>
          <w:sz w:val="24"/>
          <w:szCs w:val="24"/>
        </w:rPr>
        <w:t>foscarnet</w:t>
      </w:r>
      <w:proofErr w:type="spellEnd"/>
      <w:r w:rsidR="00ED7785" w:rsidRPr="001C6EA0">
        <w:rPr>
          <w:sz w:val="24"/>
          <w:szCs w:val="24"/>
        </w:rPr>
        <w:t xml:space="preserve">, </w:t>
      </w:r>
      <w:proofErr w:type="spellStart"/>
      <w:r w:rsidR="00ED7785" w:rsidRPr="001C6EA0">
        <w:rPr>
          <w:sz w:val="24"/>
          <w:szCs w:val="24"/>
        </w:rPr>
        <w:t>pentamidin</w:t>
      </w:r>
      <w:proofErr w:type="spellEnd"/>
      <w:r w:rsidR="00ED7785" w:rsidRPr="001C6EA0">
        <w:rPr>
          <w:sz w:val="24"/>
          <w:szCs w:val="24"/>
        </w:rPr>
        <w:t xml:space="preserve">, </w:t>
      </w:r>
      <w:proofErr w:type="spellStart"/>
      <w:r w:rsidR="00ED7785" w:rsidRPr="001C6EA0">
        <w:rPr>
          <w:sz w:val="24"/>
          <w:szCs w:val="24"/>
        </w:rPr>
        <w:t>rapamycin</w:t>
      </w:r>
      <w:proofErr w:type="spellEnd"/>
      <w:r w:rsidR="00ED7785" w:rsidRPr="001C6EA0">
        <w:rPr>
          <w:sz w:val="24"/>
          <w:szCs w:val="24"/>
        </w:rPr>
        <w:t xml:space="preserve"> og </w:t>
      </w:r>
      <w:proofErr w:type="spellStart"/>
      <w:r w:rsidR="00ED7785" w:rsidRPr="001C6EA0">
        <w:rPr>
          <w:sz w:val="24"/>
          <w:szCs w:val="24"/>
        </w:rPr>
        <w:t>amphotericin</w:t>
      </w:r>
      <w:proofErr w:type="spellEnd"/>
      <w:r w:rsidR="00ED7785" w:rsidRPr="001C6EA0">
        <w:rPr>
          <w:sz w:val="24"/>
          <w:szCs w:val="24"/>
        </w:rPr>
        <w:t xml:space="preserve"> B kan forårsage magnesiummangel. Da magnesiumtabet er øget, kan en dosisjustering af magnesium være nødvendig, når de ovennævnte stoffer indtages.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4.6</w:t>
      </w:r>
      <w:r w:rsidRPr="001C6EA0">
        <w:rPr>
          <w:b/>
          <w:sz w:val="24"/>
          <w:szCs w:val="24"/>
        </w:rPr>
        <w:tab/>
        <w:t>Graviditet og amning</w:t>
      </w:r>
    </w:p>
    <w:p w:rsidR="001C6EA0" w:rsidRDefault="001C6EA0" w:rsidP="001C6EA0">
      <w:pPr>
        <w:ind w:left="851" w:hanging="851"/>
        <w:rPr>
          <w:sz w:val="24"/>
          <w:szCs w:val="24"/>
        </w:rPr>
      </w:pPr>
    </w:p>
    <w:p w:rsidR="00ED7785" w:rsidRPr="001C6EA0" w:rsidRDefault="00B003BF" w:rsidP="001C6EA0">
      <w:pPr>
        <w:ind w:left="851" w:hanging="851"/>
        <w:rPr>
          <w:sz w:val="24"/>
          <w:szCs w:val="24"/>
          <w:u w:val="single"/>
        </w:rPr>
      </w:pPr>
      <w:r w:rsidRPr="001C6EA0">
        <w:rPr>
          <w:sz w:val="24"/>
          <w:szCs w:val="24"/>
        </w:rPr>
        <w:tab/>
      </w:r>
      <w:r w:rsidR="00ED7785" w:rsidRPr="001C6EA0">
        <w:rPr>
          <w:sz w:val="24"/>
          <w:szCs w:val="24"/>
          <w:u w:val="single"/>
        </w:rPr>
        <w:t>Graviditet</w:t>
      </w:r>
    </w:p>
    <w:p w:rsidR="00ED7785" w:rsidRPr="001C6EA0" w:rsidRDefault="001C6EA0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60C92">
        <w:rPr>
          <w:sz w:val="24"/>
          <w:szCs w:val="24"/>
        </w:rPr>
        <w:t xml:space="preserve">Magnesium </w:t>
      </w:r>
      <w:proofErr w:type="spellStart"/>
      <w:r w:rsidR="00E60C92">
        <w:rPr>
          <w:sz w:val="24"/>
          <w:szCs w:val="24"/>
        </w:rPr>
        <w:t>Diasporal</w:t>
      </w:r>
      <w:proofErr w:type="spellEnd"/>
      <w:r w:rsidR="00ED7785" w:rsidRPr="001C6EA0">
        <w:rPr>
          <w:sz w:val="24"/>
          <w:szCs w:val="24"/>
        </w:rPr>
        <w:t xml:space="preserve"> kan anvendes under graviditeten.</w:t>
      </w:r>
    </w:p>
    <w:p w:rsidR="00ED7785" w:rsidRPr="001C6EA0" w:rsidRDefault="00ED7785" w:rsidP="001C6EA0">
      <w:pPr>
        <w:ind w:left="851" w:hanging="851"/>
        <w:rPr>
          <w:sz w:val="24"/>
          <w:szCs w:val="24"/>
          <w:u w:val="single"/>
        </w:rPr>
      </w:pPr>
    </w:p>
    <w:p w:rsidR="00ED7785" w:rsidRPr="001C6EA0" w:rsidRDefault="001C6EA0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ED7785" w:rsidRPr="001C6EA0">
        <w:rPr>
          <w:sz w:val="24"/>
          <w:szCs w:val="24"/>
        </w:rPr>
        <w:t>Der er ingen indikationer af risiko for misdannelser. Der er imidlertid begrænset dokumenteret erfaring hos mennesker med hensyn til anvendelse tidligt i graviditeten.</w:t>
      </w:r>
    </w:p>
    <w:p w:rsidR="00C320AB" w:rsidRDefault="001C6EA0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ED7785" w:rsidRPr="001C6EA0" w:rsidRDefault="001C6EA0" w:rsidP="001C6EA0">
      <w:pPr>
        <w:ind w:left="851" w:hanging="851"/>
        <w:rPr>
          <w:sz w:val="24"/>
          <w:szCs w:val="24"/>
          <w:u w:val="single"/>
        </w:rPr>
      </w:pPr>
      <w:r w:rsidRPr="001C6EA0">
        <w:rPr>
          <w:sz w:val="24"/>
          <w:szCs w:val="24"/>
        </w:rPr>
        <w:tab/>
      </w:r>
      <w:r w:rsidR="00ED7785" w:rsidRPr="001C6EA0">
        <w:rPr>
          <w:sz w:val="24"/>
          <w:szCs w:val="24"/>
          <w:u w:val="single"/>
        </w:rPr>
        <w:t>Amning</w:t>
      </w:r>
    </w:p>
    <w:p w:rsidR="00ED7785" w:rsidRPr="001C6EA0" w:rsidRDefault="001C6EA0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60C92">
        <w:rPr>
          <w:sz w:val="24"/>
          <w:szCs w:val="24"/>
        </w:rPr>
        <w:t xml:space="preserve">Magnesium </w:t>
      </w:r>
      <w:proofErr w:type="spellStart"/>
      <w:r w:rsidR="00E60C92">
        <w:rPr>
          <w:sz w:val="24"/>
          <w:szCs w:val="24"/>
        </w:rPr>
        <w:t>Diasporal</w:t>
      </w:r>
      <w:proofErr w:type="spellEnd"/>
      <w:r w:rsidR="00ED7785" w:rsidRPr="001C6EA0">
        <w:rPr>
          <w:sz w:val="24"/>
          <w:szCs w:val="24"/>
        </w:rPr>
        <w:t xml:space="preserve"> kan anvendes under amning. Magnesiumcitrat/</w:t>
      </w:r>
      <w:proofErr w:type="spellStart"/>
      <w:r w:rsidR="00ED7785" w:rsidRPr="001C6EA0">
        <w:rPr>
          <w:sz w:val="24"/>
          <w:szCs w:val="24"/>
        </w:rPr>
        <w:t>metabolitter</w:t>
      </w:r>
      <w:proofErr w:type="spellEnd"/>
      <w:r w:rsidR="00ED7785" w:rsidRPr="001C6EA0">
        <w:rPr>
          <w:sz w:val="24"/>
          <w:szCs w:val="24"/>
        </w:rPr>
        <w:t xml:space="preserve"> udskilles i human mælk, men ved terapeutiske doser af </w:t>
      </w:r>
      <w:r w:rsidR="00E60C92">
        <w:rPr>
          <w:sz w:val="24"/>
          <w:szCs w:val="24"/>
        </w:rPr>
        <w:t xml:space="preserve">Magnesium </w:t>
      </w:r>
      <w:proofErr w:type="spellStart"/>
      <w:r w:rsidR="00E60C92">
        <w:rPr>
          <w:sz w:val="24"/>
          <w:szCs w:val="24"/>
        </w:rPr>
        <w:t>Diasporal</w:t>
      </w:r>
      <w:proofErr w:type="spellEnd"/>
      <w:r w:rsidR="00ED7785" w:rsidRPr="001C6EA0">
        <w:rPr>
          <w:sz w:val="24"/>
          <w:szCs w:val="24"/>
        </w:rPr>
        <w:t xml:space="preserve"> forventes ingen virkning på ammende nyfødte/spædbørn.</w:t>
      </w:r>
    </w:p>
    <w:p w:rsidR="00ED7785" w:rsidRPr="001C6EA0" w:rsidRDefault="00ED7785" w:rsidP="001C6EA0">
      <w:pPr>
        <w:ind w:left="851" w:hanging="851"/>
        <w:rPr>
          <w:sz w:val="24"/>
          <w:szCs w:val="24"/>
        </w:rPr>
      </w:pPr>
    </w:p>
    <w:p w:rsidR="00ED7785" w:rsidRPr="001C6EA0" w:rsidRDefault="001C6EA0" w:rsidP="001C6EA0">
      <w:pPr>
        <w:ind w:left="851" w:hanging="851"/>
        <w:rPr>
          <w:sz w:val="24"/>
          <w:szCs w:val="24"/>
          <w:u w:val="single"/>
        </w:rPr>
      </w:pPr>
      <w:r w:rsidRPr="001C6EA0">
        <w:rPr>
          <w:sz w:val="24"/>
          <w:szCs w:val="24"/>
        </w:rPr>
        <w:tab/>
      </w:r>
      <w:r w:rsidR="00ED7785" w:rsidRPr="001C6EA0">
        <w:rPr>
          <w:sz w:val="24"/>
          <w:szCs w:val="24"/>
          <w:u w:val="single"/>
        </w:rPr>
        <w:t>Fertilitet</w:t>
      </w:r>
    </w:p>
    <w:p w:rsidR="00ED7785" w:rsidRPr="001C6EA0" w:rsidRDefault="001C6EA0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Baseret på langvarig erfaring forventes ingen virkning af magnesiumcitrat på mandlig eller kvindelig fertilitet.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4.7</w:t>
      </w:r>
      <w:r w:rsidRPr="001C6EA0">
        <w:rPr>
          <w:b/>
          <w:sz w:val="24"/>
          <w:szCs w:val="24"/>
        </w:rPr>
        <w:tab/>
        <w:t>Virkninger på evnen til at føre motorkøretøj eller betjene maskiner</w:t>
      </w:r>
    </w:p>
    <w:p w:rsidR="00ED7785" w:rsidRPr="001C6EA0" w:rsidRDefault="00ED7785" w:rsidP="001C6EA0">
      <w:pPr>
        <w:ind w:left="851" w:hanging="851"/>
        <w:rPr>
          <w:sz w:val="24"/>
          <w:szCs w:val="24"/>
        </w:rPr>
      </w:pPr>
      <w:r w:rsidRPr="001C6EA0">
        <w:rPr>
          <w:sz w:val="24"/>
          <w:szCs w:val="24"/>
        </w:rPr>
        <w:tab/>
        <w:t>I</w:t>
      </w:r>
      <w:r w:rsidR="00AA17C7">
        <w:rPr>
          <w:sz w:val="24"/>
          <w:szCs w:val="24"/>
        </w:rPr>
        <w:t>kke</w:t>
      </w:r>
      <w:r w:rsidRPr="001C6EA0">
        <w:rPr>
          <w:sz w:val="24"/>
          <w:szCs w:val="24"/>
        </w:rPr>
        <w:t xml:space="preserve"> mærkning</w:t>
      </w:r>
    </w:p>
    <w:p w:rsidR="00ED7785" w:rsidRPr="001C6EA0" w:rsidRDefault="001C6EA0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60C92">
        <w:rPr>
          <w:sz w:val="24"/>
          <w:szCs w:val="24"/>
        </w:rPr>
        <w:t xml:space="preserve">Magnesium </w:t>
      </w:r>
      <w:proofErr w:type="spellStart"/>
      <w:r w:rsidR="00E60C92">
        <w:rPr>
          <w:sz w:val="24"/>
          <w:szCs w:val="24"/>
        </w:rPr>
        <w:t>Diasporal</w:t>
      </w:r>
      <w:proofErr w:type="spellEnd"/>
      <w:r w:rsidR="00ED7785" w:rsidRPr="001C6EA0">
        <w:rPr>
          <w:sz w:val="24"/>
          <w:szCs w:val="24"/>
        </w:rPr>
        <w:t xml:space="preserve"> påvirker ikke eller kun i ubetydelig grad evnen til at føre motorkøretøj eller betjene maskiner.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4.8</w:t>
      </w:r>
      <w:r w:rsidRPr="001C6EA0">
        <w:rPr>
          <w:b/>
          <w:sz w:val="24"/>
          <w:szCs w:val="24"/>
        </w:rPr>
        <w:tab/>
        <w:t>Bivirkninger</w:t>
      </w:r>
    </w:p>
    <w:p w:rsidR="00ED7785" w:rsidRPr="001C6EA0" w:rsidRDefault="00B003BF" w:rsidP="001C6EA0">
      <w:pPr>
        <w:ind w:left="851" w:hanging="851"/>
        <w:rPr>
          <w:sz w:val="24"/>
          <w:szCs w:val="24"/>
        </w:rPr>
      </w:pPr>
      <w:r w:rsidRPr="001C6EA0"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Evalueringen af bivirkninger er baseret på de følgende hyppigheder:</w:t>
      </w:r>
    </w:p>
    <w:p w:rsidR="00ED7785" w:rsidRPr="001C6EA0" w:rsidRDefault="00ED7785" w:rsidP="001C6EA0">
      <w:pPr>
        <w:ind w:left="851" w:hanging="851"/>
        <w:rPr>
          <w:sz w:val="24"/>
          <w:szCs w:val="24"/>
        </w:rPr>
      </w:pPr>
    </w:p>
    <w:p w:rsidR="00ED7785" w:rsidRPr="001C6EA0" w:rsidRDefault="001C6EA0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Meget almindelig (≥1/10), almindelig (≥1/100 til &lt; 1/10), ikke almindelig (≥1/1.000 til &lt; 1/100), sjælden (≥1/10.000 til &lt; 1/1.000), meget sjælden (&lt;1/10.000), ikke kendt (kan ikke estimeres ud fra forhåndenværende data).</w:t>
      </w:r>
    </w:p>
    <w:p w:rsidR="00ED7785" w:rsidRPr="001C6EA0" w:rsidRDefault="00ED7785" w:rsidP="001C6EA0">
      <w:pPr>
        <w:ind w:left="851" w:hanging="851"/>
        <w:rPr>
          <w:b/>
          <w:sz w:val="24"/>
          <w:szCs w:val="24"/>
        </w:rPr>
      </w:pPr>
    </w:p>
    <w:p w:rsidR="00ED7785" w:rsidRPr="001C6EA0" w:rsidRDefault="00ED7785" w:rsidP="001C6EA0">
      <w:pPr>
        <w:ind w:left="851"/>
        <w:rPr>
          <w:sz w:val="24"/>
          <w:szCs w:val="24"/>
        </w:rPr>
      </w:pPr>
      <w:r w:rsidRPr="001C6EA0">
        <w:rPr>
          <w:b/>
          <w:sz w:val="24"/>
          <w:szCs w:val="24"/>
        </w:rPr>
        <w:t>Mave-tarm-kanalen</w:t>
      </w:r>
    </w:p>
    <w:p w:rsidR="00ED7785" w:rsidRPr="001C6EA0" w:rsidRDefault="00ED7785" w:rsidP="001C6EA0">
      <w:pPr>
        <w:ind w:left="851"/>
        <w:rPr>
          <w:sz w:val="24"/>
          <w:szCs w:val="24"/>
        </w:rPr>
      </w:pPr>
      <w:r w:rsidRPr="001C6EA0">
        <w:rPr>
          <w:i/>
          <w:sz w:val="24"/>
          <w:szCs w:val="24"/>
        </w:rPr>
        <w:t>Ikke almindelig:</w:t>
      </w:r>
      <w:r w:rsidRPr="001C6EA0">
        <w:rPr>
          <w:sz w:val="24"/>
          <w:szCs w:val="24"/>
        </w:rPr>
        <w:t xml:space="preserve"> blødere fæces eller diarré i begyndelsen af behandlingen (harmløst og forbigående).</w:t>
      </w:r>
    </w:p>
    <w:p w:rsidR="00ED7785" w:rsidRPr="001C6EA0" w:rsidRDefault="00ED7785" w:rsidP="001C6EA0">
      <w:pPr>
        <w:ind w:left="851"/>
        <w:rPr>
          <w:i/>
          <w:sz w:val="24"/>
          <w:szCs w:val="24"/>
        </w:rPr>
      </w:pPr>
    </w:p>
    <w:p w:rsidR="00ED7785" w:rsidRPr="001C6EA0" w:rsidRDefault="00ED7785" w:rsidP="001C6EA0">
      <w:pPr>
        <w:ind w:left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Almene symptomer og reaktioner på administrationsstedet</w:t>
      </w:r>
    </w:p>
    <w:p w:rsidR="00ED7785" w:rsidRPr="001C6EA0" w:rsidRDefault="00ED7785" w:rsidP="001C6EA0">
      <w:pPr>
        <w:ind w:left="851"/>
        <w:rPr>
          <w:sz w:val="24"/>
          <w:szCs w:val="24"/>
        </w:rPr>
      </w:pPr>
      <w:r w:rsidRPr="001C6EA0">
        <w:rPr>
          <w:i/>
          <w:sz w:val="24"/>
          <w:szCs w:val="24"/>
        </w:rPr>
        <w:t>Meget sjælden</w:t>
      </w:r>
      <w:r w:rsidRPr="001C6EA0">
        <w:rPr>
          <w:sz w:val="24"/>
          <w:szCs w:val="24"/>
        </w:rPr>
        <w:t>: træthed hvis anvendt i længere tid.</w:t>
      </w:r>
    </w:p>
    <w:p w:rsidR="00ED7785" w:rsidRPr="001C6EA0" w:rsidRDefault="00ED7785" w:rsidP="001C6EA0">
      <w:pPr>
        <w:ind w:left="851"/>
        <w:rPr>
          <w:sz w:val="24"/>
          <w:szCs w:val="24"/>
        </w:rPr>
      </w:pPr>
    </w:p>
    <w:p w:rsidR="00ED7785" w:rsidRPr="001C6EA0" w:rsidRDefault="00ED7785" w:rsidP="001C6EA0">
      <w:pPr>
        <w:ind w:left="851"/>
        <w:rPr>
          <w:sz w:val="24"/>
          <w:szCs w:val="24"/>
        </w:rPr>
      </w:pPr>
      <w:r w:rsidRPr="001C6EA0">
        <w:rPr>
          <w:sz w:val="24"/>
          <w:szCs w:val="24"/>
        </w:rPr>
        <w:t>Se pkt. 4.4 for handlingsplan i tilfælde af, at der fremkommer en bivirkning.</w:t>
      </w:r>
    </w:p>
    <w:p w:rsidR="00ED7785" w:rsidRPr="001C6EA0" w:rsidRDefault="00ED7785" w:rsidP="001C6EA0">
      <w:pPr>
        <w:ind w:left="851"/>
        <w:rPr>
          <w:sz w:val="24"/>
          <w:szCs w:val="24"/>
        </w:rPr>
      </w:pPr>
    </w:p>
    <w:p w:rsidR="00C320AB" w:rsidRPr="00C320AB" w:rsidRDefault="00C320AB" w:rsidP="00C320AB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C320AB">
        <w:rPr>
          <w:sz w:val="24"/>
          <w:szCs w:val="24"/>
          <w:u w:val="single"/>
        </w:rPr>
        <w:t>Indberetning af formodede bivirkninger</w:t>
      </w:r>
    </w:p>
    <w:p w:rsidR="00C320AB" w:rsidRPr="00C320AB" w:rsidRDefault="00C320AB" w:rsidP="00C320AB">
      <w:pPr>
        <w:ind w:left="851"/>
        <w:rPr>
          <w:sz w:val="24"/>
          <w:szCs w:val="24"/>
        </w:rPr>
      </w:pPr>
      <w:r w:rsidRPr="00C320AB">
        <w:rPr>
          <w:sz w:val="24"/>
          <w:szCs w:val="24"/>
        </w:rPr>
        <w:t xml:space="preserve">Når lægemidlet er godkendt, er indberetning af formodede bivirkninger vigtig. Det muliggør løbende overvågning af </w:t>
      </w:r>
      <w:proofErr w:type="spellStart"/>
      <w:r w:rsidRPr="00C320AB">
        <w:rPr>
          <w:sz w:val="24"/>
          <w:szCs w:val="24"/>
        </w:rPr>
        <w:t>benefit</w:t>
      </w:r>
      <w:proofErr w:type="spellEnd"/>
      <w:r w:rsidRPr="00C320AB">
        <w:rPr>
          <w:sz w:val="24"/>
          <w:szCs w:val="24"/>
        </w:rPr>
        <w:t>/</w:t>
      </w:r>
      <w:proofErr w:type="spellStart"/>
      <w:r w:rsidRPr="00C320AB">
        <w:rPr>
          <w:sz w:val="24"/>
          <w:szCs w:val="24"/>
        </w:rPr>
        <w:t>risk</w:t>
      </w:r>
      <w:proofErr w:type="spellEnd"/>
      <w:r w:rsidRPr="00C320AB">
        <w:rPr>
          <w:sz w:val="24"/>
          <w:szCs w:val="24"/>
        </w:rPr>
        <w:t>-forholdet for lægemidlet. Læger og sundhedspersonale anmodes om at indberette alle formodede bivirkninger via:</w:t>
      </w:r>
    </w:p>
    <w:p w:rsidR="00C320AB" w:rsidRPr="00C320AB" w:rsidRDefault="00C320AB" w:rsidP="00C320AB">
      <w:pPr>
        <w:ind w:left="851"/>
        <w:rPr>
          <w:sz w:val="24"/>
          <w:szCs w:val="24"/>
        </w:rPr>
      </w:pPr>
    </w:p>
    <w:p w:rsidR="00C320AB" w:rsidRPr="00C320AB" w:rsidRDefault="00C320AB" w:rsidP="00C320AB">
      <w:pPr>
        <w:ind w:left="851"/>
        <w:rPr>
          <w:sz w:val="24"/>
          <w:szCs w:val="24"/>
        </w:rPr>
      </w:pPr>
      <w:r w:rsidRPr="00C320AB">
        <w:rPr>
          <w:sz w:val="24"/>
          <w:szCs w:val="24"/>
        </w:rPr>
        <w:t>Lægemiddelstyrelsen</w:t>
      </w:r>
    </w:p>
    <w:p w:rsidR="00C320AB" w:rsidRPr="00C320AB" w:rsidRDefault="00C320AB" w:rsidP="00C320AB">
      <w:pPr>
        <w:ind w:left="851"/>
        <w:rPr>
          <w:sz w:val="24"/>
          <w:szCs w:val="24"/>
        </w:rPr>
      </w:pPr>
      <w:r w:rsidRPr="00C320AB">
        <w:rPr>
          <w:sz w:val="24"/>
          <w:szCs w:val="24"/>
        </w:rPr>
        <w:t>Axel Heides Gade 1</w:t>
      </w:r>
    </w:p>
    <w:p w:rsidR="00C320AB" w:rsidRPr="00C320AB" w:rsidRDefault="00C320AB" w:rsidP="00C320AB">
      <w:pPr>
        <w:ind w:left="851"/>
        <w:rPr>
          <w:sz w:val="24"/>
          <w:szCs w:val="24"/>
        </w:rPr>
      </w:pPr>
      <w:r w:rsidRPr="00C320AB">
        <w:rPr>
          <w:sz w:val="24"/>
          <w:szCs w:val="24"/>
        </w:rPr>
        <w:t>DK-2300 København S</w:t>
      </w:r>
    </w:p>
    <w:p w:rsidR="00C320AB" w:rsidRPr="00C320AB" w:rsidRDefault="00C320AB" w:rsidP="00C320AB">
      <w:pPr>
        <w:ind w:left="851"/>
        <w:rPr>
          <w:sz w:val="24"/>
          <w:szCs w:val="24"/>
          <w:lang w:val="en-US"/>
        </w:rPr>
      </w:pPr>
      <w:proofErr w:type="spellStart"/>
      <w:r w:rsidRPr="00C320AB">
        <w:rPr>
          <w:sz w:val="24"/>
          <w:szCs w:val="24"/>
          <w:lang w:val="en-US"/>
        </w:rPr>
        <w:t>Websted</w:t>
      </w:r>
      <w:proofErr w:type="spellEnd"/>
      <w:r w:rsidRPr="00C320AB">
        <w:rPr>
          <w:sz w:val="24"/>
          <w:szCs w:val="24"/>
          <w:lang w:val="en-US"/>
        </w:rPr>
        <w:t xml:space="preserve">: </w:t>
      </w:r>
      <w:hyperlink r:id="rId8" w:history="1">
        <w:r w:rsidRPr="00C320AB">
          <w:rPr>
            <w:color w:val="0000FF"/>
            <w:sz w:val="24"/>
            <w:szCs w:val="24"/>
            <w:u w:val="single"/>
            <w:lang w:val="en-US"/>
          </w:rPr>
          <w:t>www.meldenbivirkning.dk</w:t>
        </w:r>
      </w:hyperlink>
    </w:p>
    <w:p w:rsidR="00ED7785" w:rsidRPr="006E78E7" w:rsidRDefault="00C320AB" w:rsidP="00C320AB">
      <w:pPr>
        <w:ind w:left="851"/>
        <w:rPr>
          <w:sz w:val="24"/>
          <w:szCs w:val="24"/>
          <w:lang w:val="en-US"/>
        </w:rPr>
      </w:pPr>
      <w:r w:rsidRPr="00C320AB">
        <w:rPr>
          <w:sz w:val="24"/>
          <w:szCs w:val="24"/>
          <w:lang w:val="en-US"/>
        </w:rPr>
        <w:t xml:space="preserve">E-mail: </w:t>
      </w:r>
      <w:r w:rsidRPr="00C320AB">
        <w:rPr>
          <w:color w:val="0000FF"/>
          <w:sz w:val="24"/>
          <w:szCs w:val="24"/>
          <w:u w:val="single"/>
          <w:lang w:val="en-US"/>
        </w:rPr>
        <w:t>dkma@dkma.dk</w:t>
      </w:r>
    </w:p>
    <w:p w:rsidR="00B003BF" w:rsidRPr="006E78E7" w:rsidRDefault="00B003BF" w:rsidP="001C6EA0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  <w:lang w:val="en-US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4.9</w:t>
      </w:r>
      <w:r w:rsidRPr="001C6EA0">
        <w:rPr>
          <w:b/>
          <w:sz w:val="24"/>
          <w:szCs w:val="24"/>
        </w:rPr>
        <w:tab/>
        <w:t>Overdosering</w:t>
      </w:r>
    </w:p>
    <w:p w:rsidR="00ED7785" w:rsidRPr="001C6EA0" w:rsidRDefault="00B003BF" w:rsidP="001C6EA0">
      <w:pPr>
        <w:ind w:left="851" w:hanging="851"/>
        <w:rPr>
          <w:sz w:val="24"/>
          <w:szCs w:val="24"/>
        </w:rPr>
      </w:pPr>
      <w:r w:rsidRPr="001C6EA0"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I tilfælde af intakt nyrefunktion forventes ingen magnesiumforgiftning på grund af en oral overdosis af magnesium. Kun i tilfælde af svært nedsat nyrefunktion kan en ophobning af magnesium opstå i kombination med en manifesteret forgiftning.</w:t>
      </w:r>
    </w:p>
    <w:p w:rsidR="00B86141" w:rsidRDefault="00B8614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D7785" w:rsidRPr="001C6EA0" w:rsidRDefault="00ED7785" w:rsidP="001C6EA0">
      <w:pPr>
        <w:ind w:left="851" w:hanging="851"/>
        <w:rPr>
          <w:sz w:val="24"/>
          <w:szCs w:val="24"/>
        </w:rPr>
      </w:pPr>
    </w:p>
    <w:p w:rsidR="00ED7785" w:rsidRPr="001C6EA0" w:rsidRDefault="001C6EA0" w:rsidP="001C6EA0">
      <w:pPr>
        <w:ind w:left="851" w:hanging="851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ab/>
      </w:r>
      <w:r w:rsidR="00ED7785" w:rsidRPr="001C6EA0">
        <w:rPr>
          <w:i/>
          <w:sz w:val="24"/>
          <w:szCs w:val="24"/>
        </w:rPr>
        <w:t>Forgiftningssymptomer:</w:t>
      </w:r>
    </w:p>
    <w:p w:rsidR="00C320AB" w:rsidRDefault="001C6EA0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402"/>
      </w:tblGrid>
      <w:tr w:rsidR="00C320AB" w:rsidRPr="00921F85" w:rsidTr="00921F85">
        <w:tc>
          <w:tcPr>
            <w:tcW w:w="1559" w:type="dxa"/>
            <w:shd w:val="clear" w:color="auto" w:fill="auto"/>
          </w:tcPr>
          <w:p w:rsidR="00C320AB" w:rsidRPr="00921F85" w:rsidRDefault="00C320AB" w:rsidP="00921F85">
            <w:pPr>
              <w:ind w:left="34"/>
              <w:rPr>
                <w:szCs w:val="22"/>
                <w:lang w:val="fr-FR"/>
              </w:rPr>
            </w:pPr>
            <w:r w:rsidRPr="00347DED">
              <w:rPr>
                <w:szCs w:val="22"/>
                <w:lang w:val="fr-FR"/>
              </w:rPr>
              <w:lastRenderedPageBreak/>
              <w:t>Mg plasmakon-</w:t>
            </w:r>
            <w:r w:rsidRPr="00921F85">
              <w:rPr>
                <w:szCs w:val="22"/>
                <w:lang w:val="fr-FR"/>
              </w:rPr>
              <w:t>centration (mmol/l)</w:t>
            </w:r>
          </w:p>
        </w:tc>
        <w:tc>
          <w:tcPr>
            <w:tcW w:w="3402" w:type="dxa"/>
            <w:shd w:val="clear" w:color="auto" w:fill="auto"/>
          </w:tcPr>
          <w:p w:rsidR="00C320AB" w:rsidRPr="00921F85" w:rsidRDefault="00C320AB" w:rsidP="00921F85">
            <w:pPr>
              <w:ind w:left="34"/>
              <w:rPr>
                <w:szCs w:val="22"/>
                <w:lang w:val="en-US"/>
              </w:rPr>
            </w:pPr>
            <w:proofErr w:type="spellStart"/>
            <w:r w:rsidRPr="00921F85">
              <w:rPr>
                <w:szCs w:val="22"/>
                <w:lang w:val="en-US"/>
              </w:rPr>
              <w:t>Symptomer</w:t>
            </w:r>
            <w:proofErr w:type="spellEnd"/>
            <w:r w:rsidRPr="00921F85">
              <w:rPr>
                <w:szCs w:val="22"/>
                <w:lang w:val="en-US"/>
              </w:rPr>
              <w:t xml:space="preserve"> </w:t>
            </w:r>
            <w:proofErr w:type="spellStart"/>
            <w:r w:rsidRPr="00921F85">
              <w:rPr>
                <w:szCs w:val="22"/>
                <w:lang w:val="en-US"/>
              </w:rPr>
              <w:t>og</w:t>
            </w:r>
            <w:proofErr w:type="spellEnd"/>
            <w:r w:rsidRPr="00921F85">
              <w:rPr>
                <w:szCs w:val="22"/>
                <w:lang w:val="en-US"/>
              </w:rPr>
              <w:t xml:space="preserve"> </w:t>
            </w:r>
            <w:proofErr w:type="spellStart"/>
            <w:r w:rsidRPr="00921F85">
              <w:rPr>
                <w:szCs w:val="22"/>
                <w:lang w:val="en-US"/>
              </w:rPr>
              <w:t>uønskede</w:t>
            </w:r>
            <w:proofErr w:type="spellEnd"/>
            <w:r w:rsidRPr="00921F85">
              <w:rPr>
                <w:szCs w:val="22"/>
                <w:lang w:val="en-US"/>
              </w:rPr>
              <w:t xml:space="preserve"> </w:t>
            </w:r>
            <w:proofErr w:type="spellStart"/>
            <w:r w:rsidRPr="00921F85">
              <w:rPr>
                <w:szCs w:val="22"/>
                <w:lang w:val="en-US"/>
              </w:rPr>
              <w:t>virkninger</w:t>
            </w:r>
            <w:proofErr w:type="spellEnd"/>
          </w:p>
        </w:tc>
      </w:tr>
      <w:tr w:rsidR="00C320AB" w:rsidRPr="00921F85" w:rsidTr="00921F85">
        <w:tc>
          <w:tcPr>
            <w:tcW w:w="1559" w:type="dxa"/>
            <w:shd w:val="clear" w:color="auto" w:fill="auto"/>
          </w:tcPr>
          <w:p w:rsidR="00C320AB" w:rsidRPr="00921F85" w:rsidRDefault="00C320AB" w:rsidP="00921F85">
            <w:pPr>
              <w:ind w:left="34"/>
              <w:rPr>
                <w:szCs w:val="22"/>
                <w:lang w:val="en-US"/>
              </w:rPr>
            </w:pPr>
            <w:r w:rsidRPr="00921F85">
              <w:rPr>
                <w:szCs w:val="22"/>
                <w:lang w:val="en-US"/>
              </w:rPr>
              <w:t>&gt; 1.5</w:t>
            </w:r>
          </w:p>
        </w:tc>
        <w:tc>
          <w:tcPr>
            <w:tcW w:w="3402" w:type="dxa"/>
            <w:shd w:val="clear" w:color="auto" w:fill="auto"/>
          </w:tcPr>
          <w:p w:rsidR="00C320AB" w:rsidRPr="00347DED" w:rsidRDefault="00C320AB" w:rsidP="00921F85">
            <w:pPr>
              <w:ind w:left="34"/>
              <w:rPr>
                <w:szCs w:val="22"/>
                <w:lang w:val="en-US"/>
              </w:rPr>
            </w:pPr>
            <w:proofErr w:type="spellStart"/>
            <w:r w:rsidRPr="00347DED">
              <w:rPr>
                <w:szCs w:val="22"/>
                <w:lang w:val="en-US"/>
              </w:rPr>
              <w:t>blodtryksfald</w:t>
            </w:r>
            <w:proofErr w:type="spellEnd"/>
            <w:r w:rsidRPr="00347DED">
              <w:rPr>
                <w:szCs w:val="22"/>
                <w:lang w:val="en-US"/>
              </w:rPr>
              <w:t xml:space="preserve">, </w:t>
            </w:r>
            <w:proofErr w:type="spellStart"/>
            <w:r w:rsidRPr="00347DED">
              <w:rPr>
                <w:szCs w:val="22"/>
                <w:lang w:val="en-US"/>
              </w:rPr>
              <w:t>kvalme</w:t>
            </w:r>
            <w:proofErr w:type="spellEnd"/>
            <w:r w:rsidRPr="00347DED">
              <w:rPr>
                <w:szCs w:val="22"/>
                <w:lang w:val="en-US"/>
              </w:rPr>
              <w:t xml:space="preserve">, </w:t>
            </w:r>
            <w:proofErr w:type="spellStart"/>
            <w:r w:rsidRPr="00347DED">
              <w:rPr>
                <w:szCs w:val="22"/>
                <w:lang w:val="en-US"/>
              </w:rPr>
              <w:t>opkast</w:t>
            </w:r>
            <w:proofErr w:type="spellEnd"/>
          </w:p>
        </w:tc>
      </w:tr>
      <w:tr w:rsidR="00C320AB" w:rsidRPr="00921F85" w:rsidTr="00921F85">
        <w:tc>
          <w:tcPr>
            <w:tcW w:w="1559" w:type="dxa"/>
            <w:shd w:val="clear" w:color="auto" w:fill="auto"/>
          </w:tcPr>
          <w:p w:rsidR="00C320AB" w:rsidRPr="00921F85" w:rsidRDefault="00C320AB" w:rsidP="00921F85">
            <w:pPr>
              <w:ind w:left="34"/>
              <w:rPr>
                <w:szCs w:val="22"/>
                <w:lang w:val="en-US"/>
              </w:rPr>
            </w:pPr>
            <w:r w:rsidRPr="00921F85">
              <w:rPr>
                <w:szCs w:val="22"/>
                <w:lang w:val="en-US"/>
              </w:rPr>
              <w:t>&gt; 2.5</w:t>
            </w:r>
          </w:p>
        </w:tc>
        <w:tc>
          <w:tcPr>
            <w:tcW w:w="3402" w:type="dxa"/>
            <w:shd w:val="clear" w:color="auto" w:fill="auto"/>
          </w:tcPr>
          <w:p w:rsidR="00C320AB" w:rsidRPr="00347DED" w:rsidRDefault="00C320AB" w:rsidP="00921F85">
            <w:pPr>
              <w:ind w:left="34"/>
              <w:rPr>
                <w:szCs w:val="22"/>
                <w:lang w:val="en-US"/>
              </w:rPr>
            </w:pPr>
            <w:r w:rsidRPr="00347DED">
              <w:rPr>
                <w:szCs w:val="22"/>
                <w:lang w:val="en-US"/>
              </w:rPr>
              <w:t>CNS depression</w:t>
            </w:r>
          </w:p>
        </w:tc>
      </w:tr>
      <w:tr w:rsidR="00C320AB" w:rsidRPr="00921F85" w:rsidTr="00921F85">
        <w:tc>
          <w:tcPr>
            <w:tcW w:w="1559" w:type="dxa"/>
            <w:shd w:val="clear" w:color="auto" w:fill="auto"/>
          </w:tcPr>
          <w:p w:rsidR="00C320AB" w:rsidRPr="00921F85" w:rsidRDefault="00C320AB" w:rsidP="00921F85">
            <w:pPr>
              <w:ind w:left="34"/>
              <w:rPr>
                <w:szCs w:val="22"/>
                <w:lang w:val="en-US"/>
              </w:rPr>
            </w:pPr>
            <w:r w:rsidRPr="00921F85">
              <w:rPr>
                <w:szCs w:val="22"/>
                <w:lang w:val="en-US"/>
              </w:rPr>
              <w:t>&gt; 3.5</w:t>
            </w:r>
          </w:p>
        </w:tc>
        <w:tc>
          <w:tcPr>
            <w:tcW w:w="3402" w:type="dxa"/>
            <w:shd w:val="clear" w:color="auto" w:fill="auto"/>
          </w:tcPr>
          <w:p w:rsidR="00C320AB" w:rsidRPr="00347DED" w:rsidRDefault="00C320AB" w:rsidP="00921F85">
            <w:pPr>
              <w:ind w:left="34"/>
              <w:rPr>
                <w:szCs w:val="22"/>
                <w:lang w:val="en-US"/>
              </w:rPr>
            </w:pPr>
            <w:proofErr w:type="spellStart"/>
            <w:r w:rsidRPr="00347DED">
              <w:rPr>
                <w:szCs w:val="22"/>
                <w:lang w:val="en-US"/>
              </w:rPr>
              <w:t>hyporefleksia</w:t>
            </w:r>
            <w:proofErr w:type="spellEnd"/>
            <w:r w:rsidRPr="00347DED">
              <w:rPr>
                <w:szCs w:val="22"/>
                <w:lang w:val="en-US"/>
              </w:rPr>
              <w:t xml:space="preserve">, </w:t>
            </w:r>
            <w:proofErr w:type="spellStart"/>
            <w:r w:rsidRPr="00347DED">
              <w:rPr>
                <w:szCs w:val="22"/>
                <w:lang w:val="en-US"/>
              </w:rPr>
              <w:t>ændringer</w:t>
            </w:r>
            <w:proofErr w:type="spellEnd"/>
            <w:r w:rsidRPr="00347DED">
              <w:rPr>
                <w:szCs w:val="22"/>
                <w:lang w:val="en-US"/>
              </w:rPr>
              <w:t xml:space="preserve"> i EKG,</w:t>
            </w:r>
          </w:p>
        </w:tc>
      </w:tr>
      <w:tr w:rsidR="00C320AB" w:rsidRPr="00921F85" w:rsidTr="00921F85">
        <w:tc>
          <w:tcPr>
            <w:tcW w:w="1559" w:type="dxa"/>
            <w:shd w:val="clear" w:color="auto" w:fill="auto"/>
          </w:tcPr>
          <w:p w:rsidR="00C320AB" w:rsidRPr="00921F85" w:rsidRDefault="00C320AB" w:rsidP="00921F85">
            <w:pPr>
              <w:ind w:left="34"/>
              <w:rPr>
                <w:szCs w:val="22"/>
                <w:lang w:val="en-US"/>
              </w:rPr>
            </w:pPr>
            <w:r w:rsidRPr="00921F85">
              <w:rPr>
                <w:szCs w:val="22"/>
                <w:lang w:val="en-US"/>
              </w:rPr>
              <w:t>&gt; 5.0</w:t>
            </w:r>
          </w:p>
        </w:tc>
        <w:tc>
          <w:tcPr>
            <w:tcW w:w="3402" w:type="dxa"/>
            <w:shd w:val="clear" w:color="auto" w:fill="auto"/>
          </w:tcPr>
          <w:p w:rsidR="00C320AB" w:rsidRPr="00347DED" w:rsidRDefault="00C320AB" w:rsidP="00921F85">
            <w:pPr>
              <w:ind w:left="34"/>
              <w:rPr>
                <w:szCs w:val="22"/>
                <w:lang w:val="en-US"/>
              </w:rPr>
            </w:pPr>
            <w:proofErr w:type="spellStart"/>
            <w:r w:rsidRPr="00347DED">
              <w:rPr>
                <w:szCs w:val="22"/>
                <w:lang w:val="en-US"/>
              </w:rPr>
              <w:t>begyndende</w:t>
            </w:r>
            <w:proofErr w:type="spellEnd"/>
            <w:r w:rsidRPr="00347DED">
              <w:rPr>
                <w:szCs w:val="22"/>
                <w:lang w:val="en-US"/>
              </w:rPr>
              <w:t xml:space="preserve"> </w:t>
            </w:r>
            <w:proofErr w:type="spellStart"/>
            <w:r w:rsidRPr="00347DED">
              <w:rPr>
                <w:szCs w:val="22"/>
                <w:lang w:val="en-US"/>
              </w:rPr>
              <w:t>respirationsdepression</w:t>
            </w:r>
            <w:proofErr w:type="spellEnd"/>
          </w:p>
        </w:tc>
      </w:tr>
      <w:tr w:rsidR="00C320AB" w:rsidRPr="00921F85" w:rsidTr="00921F85">
        <w:tc>
          <w:tcPr>
            <w:tcW w:w="1559" w:type="dxa"/>
            <w:shd w:val="clear" w:color="auto" w:fill="auto"/>
          </w:tcPr>
          <w:p w:rsidR="00C320AB" w:rsidRPr="00921F85" w:rsidRDefault="00C320AB" w:rsidP="00921F85">
            <w:pPr>
              <w:ind w:left="34"/>
              <w:rPr>
                <w:szCs w:val="22"/>
                <w:lang w:val="en-US"/>
              </w:rPr>
            </w:pPr>
            <w:r w:rsidRPr="00921F85">
              <w:rPr>
                <w:szCs w:val="22"/>
                <w:lang w:val="en-US"/>
              </w:rPr>
              <w:t>&gt; 5.5</w:t>
            </w:r>
          </w:p>
        </w:tc>
        <w:tc>
          <w:tcPr>
            <w:tcW w:w="3402" w:type="dxa"/>
            <w:shd w:val="clear" w:color="auto" w:fill="auto"/>
          </w:tcPr>
          <w:p w:rsidR="00C320AB" w:rsidRPr="00347DED" w:rsidRDefault="00C320AB" w:rsidP="00921F85">
            <w:pPr>
              <w:ind w:left="34"/>
              <w:rPr>
                <w:szCs w:val="22"/>
                <w:lang w:val="en-US"/>
              </w:rPr>
            </w:pPr>
            <w:proofErr w:type="spellStart"/>
            <w:r w:rsidRPr="00347DED">
              <w:rPr>
                <w:szCs w:val="22"/>
                <w:lang w:val="en-US"/>
              </w:rPr>
              <w:t>Koma</w:t>
            </w:r>
            <w:proofErr w:type="spellEnd"/>
          </w:p>
        </w:tc>
      </w:tr>
      <w:tr w:rsidR="00C320AB" w:rsidRPr="00921F85" w:rsidTr="00921F85">
        <w:tc>
          <w:tcPr>
            <w:tcW w:w="1559" w:type="dxa"/>
            <w:shd w:val="clear" w:color="auto" w:fill="auto"/>
          </w:tcPr>
          <w:p w:rsidR="00C320AB" w:rsidRPr="00921F85" w:rsidRDefault="00C320AB" w:rsidP="00921F85">
            <w:pPr>
              <w:ind w:left="34"/>
              <w:rPr>
                <w:szCs w:val="22"/>
                <w:lang w:val="en-US"/>
              </w:rPr>
            </w:pPr>
            <w:r w:rsidRPr="00921F85">
              <w:rPr>
                <w:szCs w:val="22"/>
                <w:lang w:val="en-US"/>
              </w:rPr>
              <w:t>&gt; 7.0</w:t>
            </w:r>
          </w:p>
        </w:tc>
        <w:tc>
          <w:tcPr>
            <w:tcW w:w="3402" w:type="dxa"/>
            <w:shd w:val="clear" w:color="auto" w:fill="auto"/>
          </w:tcPr>
          <w:p w:rsidR="00C320AB" w:rsidRPr="00347DED" w:rsidRDefault="00C320AB" w:rsidP="00921F85">
            <w:pPr>
              <w:ind w:left="34"/>
              <w:rPr>
                <w:szCs w:val="22"/>
                <w:lang w:val="en-US"/>
              </w:rPr>
            </w:pPr>
            <w:proofErr w:type="spellStart"/>
            <w:r w:rsidRPr="00347DED">
              <w:rPr>
                <w:szCs w:val="22"/>
                <w:lang w:val="en-US"/>
              </w:rPr>
              <w:t>hjertestop</w:t>
            </w:r>
            <w:proofErr w:type="spellEnd"/>
            <w:r w:rsidRPr="00347DED">
              <w:rPr>
                <w:szCs w:val="22"/>
                <w:lang w:val="en-US"/>
              </w:rPr>
              <w:t xml:space="preserve"> </w:t>
            </w:r>
            <w:proofErr w:type="spellStart"/>
            <w:r w:rsidRPr="00347DED">
              <w:rPr>
                <w:szCs w:val="22"/>
                <w:lang w:val="en-US"/>
              </w:rPr>
              <w:t>og</w:t>
            </w:r>
            <w:proofErr w:type="spellEnd"/>
            <w:r w:rsidRPr="00347DED">
              <w:rPr>
                <w:szCs w:val="22"/>
                <w:lang w:val="en-US"/>
              </w:rPr>
              <w:t xml:space="preserve"> </w:t>
            </w:r>
            <w:proofErr w:type="spellStart"/>
            <w:r w:rsidRPr="00347DED">
              <w:rPr>
                <w:szCs w:val="22"/>
                <w:lang w:val="en-US"/>
              </w:rPr>
              <w:t>respirationslammelse</w:t>
            </w:r>
            <w:proofErr w:type="spellEnd"/>
          </w:p>
        </w:tc>
      </w:tr>
    </w:tbl>
    <w:p w:rsidR="00C320AB" w:rsidRDefault="00C320AB" w:rsidP="001C6EA0">
      <w:pPr>
        <w:ind w:left="851" w:hanging="851"/>
        <w:rPr>
          <w:sz w:val="24"/>
          <w:szCs w:val="24"/>
        </w:rPr>
      </w:pPr>
    </w:p>
    <w:p w:rsidR="00ED7785" w:rsidRPr="001C6EA0" w:rsidRDefault="001C6EA0" w:rsidP="001C6EA0">
      <w:pPr>
        <w:ind w:left="851" w:hanging="851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ED7785" w:rsidRPr="001C6EA0">
        <w:rPr>
          <w:i/>
          <w:sz w:val="24"/>
          <w:szCs w:val="24"/>
        </w:rPr>
        <w:t>Behandling mod forgiftning:</w:t>
      </w:r>
    </w:p>
    <w:p w:rsidR="00ED7785" w:rsidRPr="001C6EA0" w:rsidRDefault="001C6EA0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 xml:space="preserve">Intravenøs administration af calcium og langsom intravenøs administration af 0,5-2 mg </w:t>
      </w:r>
      <w:proofErr w:type="spellStart"/>
      <w:r w:rsidR="00ED7785" w:rsidRPr="001C6EA0">
        <w:rPr>
          <w:sz w:val="24"/>
          <w:szCs w:val="24"/>
        </w:rPr>
        <w:t>neostigminmetilsulfat</w:t>
      </w:r>
      <w:proofErr w:type="spellEnd"/>
      <w:r w:rsidR="00ED7785" w:rsidRPr="001C6EA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D7785" w:rsidRPr="001C6EA0">
        <w:rPr>
          <w:sz w:val="24"/>
          <w:szCs w:val="24"/>
        </w:rPr>
        <w:t xml:space="preserve">intravenøs og oral administration af </w:t>
      </w:r>
      <w:proofErr w:type="spellStart"/>
      <w:r w:rsidR="00ED7785" w:rsidRPr="001C6EA0">
        <w:rPr>
          <w:sz w:val="24"/>
          <w:szCs w:val="24"/>
        </w:rPr>
        <w:t>isotonisk</w:t>
      </w:r>
      <w:proofErr w:type="spellEnd"/>
      <w:r w:rsidR="00ED7785" w:rsidRPr="001C6EA0">
        <w:rPr>
          <w:sz w:val="24"/>
          <w:szCs w:val="24"/>
        </w:rPr>
        <w:t xml:space="preserve"> </w:t>
      </w:r>
      <w:proofErr w:type="spellStart"/>
      <w:r w:rsidR="00ED7785" w:rsidRPr="001C6EA0">
        <w:rPr>
          <w:sz w:val="24"/>
          <w:szCs w:val="24"/>
        </w:rPr>
        <w:t>natriumchlorid</w:t>
      </w:r>
      <w:r w:rsidR="00AA17C7">
        <w:rPr>
          <w:sz w:val="24"/>
          <w:szCs w:val="24"/>
        </w:rPr>
        <w:softHyphen/>
      </w:r>
      <w:r w:rsidR="00ED7785" w:rsidRPr="001C6EA0">
        <w:rPr>
          <w:sz w:val="24"/>
          <w:szCs w:val="24"/>
        </w:rPr>
        <w:t>opløsning</w:t>
      </w:r>
      <w:proofErr w:type="spellEnd"/>
      <w:r w:rsidR="00ED7785" w:rsidRPr="001C6EA0">
        <w:rPr>
          <w:sz w:val="24"/>
          <w:szCs w:val="24"/>
        </w:rPr>
        <w:t>, ventilations- og kredsløbshjælp,</w:t>
      </w:r>
      <w:r>
        <w:rPr>
          <w:sz w:val="24"/>
          <w:szCs w:val="24"/>
        </w:rPr>
        <w:t xml:space="preserve"> </w:t>
      </w:r>
      <w:r w:rsidR="00ED7785" w:rsidRPr="001C6EA0">
        <w:rPr>
          <w:sz w:val="24"/>
          <w:szCs w:val="24"/>
        </w:rPr>
        <w:t xml:space="preserve">i tilfælde af nedsat nyrefunktion: </w:t>
      </w:r>
      <w:proofErr w:type="spellStart"/>
      <w:r w:rsidR="00ED7785" w:rsidRPr="001C6EA0">
        <w:rPr>
          <w:sz w:val="24"/>
          <w:szCs w:val="24"/>
        </w:rPr>
        <w:t>hæmodialyse</w:t>
      </w:r>
      <w:proofErr w:type="spellEnd"/>
      <w:r w:rsidR="00ED7785" w:rsidRPr="001C6EA0">
        <w:rPr>
          <w:sz w:val="24"/>
          <w:szCs w:val="24"/>
        </w:rPr>
        <w:t>.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4.10</w:t>
      </w:r>
      <w:r w:rsidRPr="001C6EA0">
        <w:rPr>
          <w:b/>
          <w:sz w:val="24"/>
          <w:szCs w:val="24"/>
        </w:rPr>
        <w:tab/>
        <w:t>Udlevering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  <w:r w:rsidRPr="001C6EA0">
        <w:rPr>
          <w:sz w:val="24"/>
          <w:szCs w:val="24"/>
        </w:rPr>
        <w:tab/>
      </w:r>
      <w:r w:rsidR="00AA17C7">
        <w:rPr>
          <w:sz w:val="24"/>
          <w:szCs w:val="24"/>
        </w:rPr>
        <w:t>H</w:t>
      </w:r>
      <w:r w:rsidR="00260E6B">
        <w:rPr>
          <w:sz w:val="24"/>
          <w:szCs w:val="24"/>
        </w:rPr>
        <w:t>F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5.</w:t>
      </w:r>
      <w:r w:rsidRPr="001C6EA0">
        <w:rPr>
          <w:b/>
          <w:sz w:val="24"/>
          <w:szCs w:val="24"/>
        </w:rPr>
        <w:tab/>
        <w:t>FARMAKOLOGISKE EGENSKABER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5.0</w:t>
      </w:r>
      <w:r w:rsidRPr="001C6EA0">
        <w:rPr>
          <w:b/>
          <w:sz w:val="24"/>
          <w:szCs w:val="24"/>
        </w:rPr>
        <w:tab/>
        <w:t>Terapeutisk klassifikation</w:t>
      </w:r>
    </w:p>
    <w:p w:rsidR="00B003BF" w:rsidRPr="001C6EA0" w:rsidRDefault="001C6EA0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ATC-kode: A12CC04</w:t>
      </w:r>
      <w:r>
        <w:rPr>
          <w:sz w:val="24"/>
          <w:szCs w:val="24"/>
        </w:rPr>
        <w:t xml:space="preserve">. </w:t>
      </w:r>
      <w:r w:rsidR="00ED7785" w:rsidRPr="001C6EA0">
        <w:rPr>
          <w:sz w:val="24"/>
          <w:szCs w:val="24"/>
        </w:rPr>
        <w:t>Mineralpræparater</w:t>
      </w:r>
      <w:r>
        <w:rPr>
          <w:sz w:val="24"/>
          <w:szCs w:val="24"/>
        </w:rPr>
        <w:t>.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5.1</w:t>
      </w:r>
      <w:r w:rsidRPr="001C6EA0">
        <w:rPr>
          <w:b/>
          <w:sz w:val="24"/>
          <w:szCs w:val="24"/>
        </w:rPr>
        <w:tab/>
      </w:r>
      <w:proofErr w:type="spellStart"/>
      <w:r w:rsidRPr="001C6EA0">
        <w:rPr>
          <w:b/>
          <w:sz w:val="24"/>
          <w:szCs w:val="24"/>
        </w:rPr>
        <w:t>Farmakodynamiske</w:t>
      </w:r>
      <w:proofErr w:type="spellEnd"/>
      <w:r w:rsidRPr="001C6EA0">
        <w:rPr>
          <w:b/>
          <w:sz w:val="24"/>
          <w:szCs w:val="24"/>
        </w:rPr>
        <w:t xml:space="preserve"> egenskaber</w:t>
      </w:r>
    </w:p>
    <w:p w:rsidR="00ED7785" w:rsidRPr="001C6EA0" w:rsidRDefault="00B003BF" w:rsidP="001C6EA0">
      <w:pPr>
        <w:ind w:left="851" w:hanging="851"/>
        <w:rPr>
          <w:sz w:val="24"/>
          <w:szCs w:val="24"/>
        </w:rPr>
      </w:pPr>
      <w:r w:rsidRPr="001C6EA0"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Magnesium</w:t>
      </w:r>
    </w:p>
    <w:p w:rsidR="00ED7785" w:rsidRPr="001C6EA0" w:rsidRDefault="00ED7785" w:rsidP="0055419E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1C6EA0">
        <w:rPr>
          <w:sz w:val="24"/>
          <w:szCs w:val="24"/>
        </w:rPr>
        <w:t>virker som en fysiologisk calciumantagonist</w:t>
      </w:r>
    </w:p>
    <w:p w:rsidR="00ED7785" w:rsidRPr="001C6EA0" w:rsidRDefault="00ED7785" w:rsidP="0055419E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1C6EA0">
        <w:rPr>
          <w:sz w:val="24"/>
          <w:szCs w:val="24"/>
        </w:rPr>
        <w:t xml:space="preserve">stabiliserer </w:t>
      </w:r>
      <w:proofErr w:type="spellStart"/>
      <w:r w:rsidRPr="001C6EA0">
        <w:rPr>
          <w:sz w:val="24"/>
          <w:szCs w:val="24"/>
        </w:rPr>
        <w:t>fosfolipiderne</w:t>
      </w:r>
      <w:proofErr w:type="spellEnd"/>
      <w:r w:rsidRPr="001C6EA0">
        <w:rPr>
          <w:sz w:val="24"/>
          <w:szCs w:val="24"/>
        </w:rPr>
        <w:t xml:space="preserve"> i cellemembranen</w:t>
      </w:r>
    </w:p>
    <w:p w:rsidR="00ED7785" w:rsidRPr="001C6EA0" w:rsidRDefault="00ED7785" w:rsidP="0055419E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1C6EA0">
        <w:rPr>
          <w:sz w:val="24"/>
          <w:szCs w:val="24"/>
        </w:rPr>
        <w:t xml:space="preserve">hæmmer </w:t>
      </w:r>
      <w:proofErr w:type="spellStart"/>
      <w:r w:rsidRPr="001C6EA0">
        <w:rPr>
          <w:sz w:val="24"/>
          <w:szCs w:val="24"/>
        </w:rPr>
        <w:t>neuromuskulær</w:t>
      </w:r>
      <w:proofErr w:type="spellEnd"/>
      <w:r w:rsidRPr="001C6EA0">
        <w:rPr>
          <w:sz w:val="24"/>
          <w:szCs w:val="24"/>
        </w:rPr>
        <w:t xml:space="preserve"> transmission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5.2</w:t>
      </w:r>
      <w:r w:rsidRPr="001C6EA0">
        <w:rPr>
          <w:b/>
          <w:sz w:val="24"/>
          <w:szCs w:val="24"/>
        </w:rPr>
        <w:tab/>
      </w:r>
      <w:proofErr w:type="spellStart"/>
      <w:r w:rsidRPr="001C6EA0">
        <w:rPr>
          <w:b/>
          <w:sz w:val="24"/>
          <w:szCs w:val="24"/>
        </w:rPr>
        <w:t>Farmakokinetiske</w:t>
      </w:r>
      <w:proofErr w:type="spellEnd"/>
      <w:r w:rsidRPr="001C6EA0">
        <w:rPr>
          <w:b/>
          <w:sz w:val="24"/>
          <w:szCs w:val="24"/>
        </w:rPr>
        <w:t xml:space="preserve"> egenskaber</w:t>
      </w:r>
    </w:p>
    <w:p w:rsidR="0055419E" w:rsidRDefault="0055419E" w:rsidP="001C6EA0">
      <w:pPr>
        <w:ind w:left="851" w:hanging="851"/>
        <w:rPr>
          <w:sz w:val="24"/>
          <w:szCs w:val="24"/>
        </w:rPr>
      </w:pPr>
    </w:p>
    <w:p w:rsidR="00ED7785" w:rsidRPr="001C6EA0" w:rsidRDefault="00B003BF" w:rsidP="001C6EA0">
      <w:pPr>
        <w:ind w:left="851" w:hanging="851"/>
        <w:rPr>
          <w:i/>
          <w:sz w:val="24"/>
          <w:szCs w:val="24"/>
        </w:rPr>
      </w:pPr>
      <w:r w:rsidRPr="001C6EA0">
        <w:rPr>
          <w:sz w:val="24"/>
          <w:szCs w:val="24"/>
        </w:rPr>
        <w:tab/>
      </w:r>
      <w:r w:rsidR="00ED7785" w:rsidRPr="001C6EA0">
        <w:rPr>
          <w:i/>
          <w:sz w:val="24"/>
          <w:szCs w:val="24"/>
        </w:rPr>
        <w:t>Absorption</w:t>
      </w:r>
    </w:p>
    <w:p w:rsidR="00ED7785" w:rsidRPr="001C6EA0" w:rsidRDefault="0055419E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Magnesium absorberes langsomt og ufuldstændigt – primært i tyndtarmen. Den ikke-absorberbare del kan fremkalde en afførende virkning.</w:t>
      </w:r>
    </w:p>
    <w:p w:rsidR="00ED7785" w:rsidRPr="001C6EA0" w:rsidRDefault="00ED7785" w:rsidP="001C6EA0">
      <w:pPr>
        <w:ind w:left="851" w:hanging="851"/>
        <w:rPr>
          <w:sz w:val="24"/>
          <w:szCs w:val="24"/>
        </w:rPr>
      </w:pPr>
      <w:r w:rsidRPr="001C6EA0">
        <w:rPr>
          <w:sz w:val="24"/>
          <w:szCs w:val="24"/>
        </w:rPr>
        <w:tab/>
      </w:r>
    </w:p>
    <w:p w:rsidR="00ED7785" w:rsidRPr="001C6EA0" w:rsidRDefault="0055419E" w:rsidP="001C6EA0">
      <w:pPr>
        <w:ind w:left="851" w:hanging="851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ED7785" w:rsidRPr="001C6EA0">
        <w:rPr>
          <w:i/>
          <w:sz w:val="24"/>
          <w:szCs w:val="24"/>
        </w:rPr>
        <w:t>Distribution til organer og væv</w:t>
      </w:r>
    </w:p>
    <w:p w:rsidR="00ED7785" w:rsidRPr="001C6EA0" w:rsidRDefault="0055419E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Distributionen af magnesium i kroppen afhænger af magnesiumniveauets fyldningsgrad i hvert individuelt tilfælde. Den klassiske metode til at bestemme biotilgængeligheden ved hjælp af koncentrationskurver i plasma kan ikke anvendes til magnesium.</w:t>
      </w:r>
    </w:p>
    <w:p w:rsidR="00ED7785" w:rsidRPr="001C6EA0" w:rsidRDefault="0055419E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 xml:space="preserve">Før den terapeutiske anvendelighed af magnesium bestemmes, skal magnesiumniveauerne være så helt fyldte som muligt, da udskillelsen i nyrerne korrelerer med absorptionen ved </w:t>
      </w:r>
      <w:proofErr w:type="spellStart"/>
      <w:r w:rsidR="00ED7785" w:rsidRPr="001C6EA0">
        <w:rPr>
          <w:sz w:val="24"/>
          <w:szCs w:val="24"/>
        </w:rPr>
        <w:t>steady-state</w:t>
      </w:r>
      <w:proofErr w:type="spellEnd"/>
      <w:r w:rsidR="00ED7785" w:rsidRPr="001C6EA0">
        <w:rPr>
          <w:sz w:val="24"/>
          <w:szCs w:val="24"/>
        </w:rPr>
        <w:t>.</w:t>
      </w:r>
    </w:p>
    <w:p w:rsidR="00ED7785" w:rsidRPr="001C6EA0" w:rsidRDefault="0055419E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 xml:space="preserve">Blodserum indeholder kun ca. 1 % af det samlede magnesiumdepot, dvs. 0,8 til 1,0 mmol/l (svarende til 1,6 til 2,0 </w:t>
      </w:r>
      <w:proofErr w:type="spellStart"/>
      <w:r w:rsidR="00ED7785" w:rsidRPr="001C6EA0">
        <w:rPr>
          <w:sz w:val="24"/>
          <w:szCs w:val="24"/>
        </w:rPr>
        <w:t>meq</w:t>
      </w:r>
      <w:proofErr w:type="spellEnd"/>
      <w:r w:rsidR="00ED7785" w:rsidRPr="001C6EA0">
        <w:rPr>
          <w:sz w:val="24"/>
          <w:szCs w:val="24"/>
        </w:rPr>
        <w:t xml:space="preserve">/l). Ca. 45 % af dette depot er albuminbundet eller bundet til andre </w:t>
      </w:r>
      <w:proofErr w:type="spellStart"/>
      <w:r w:rsidR="00ED7785" w:rsidRPr="001C6EA0">
        <w:rPr>
          <w:sz w:val="24"/>
          <w:szCs w:val="24"/>
        </w:rPr>
        <w:t>ligander</w:t>
      </w:r>
      <w:proofErr w:type="spellEnd"/>
      <w:r w:rsidR="00ED7785" w:rsidRPr="001C6EA0">
        <w:rPr>
          <w:sz w:val="24"/>
          <w:szCs w:val="24"/>
        </w:rPr>
        <w:t>. Det resterende ioniserede magnesium udgør den fysiologisk aktive del.</w:t>
      </w:r>
    </w:p>
    <w:p w:rsidR="00ED7785" w:rsidRPr="001C6EA0" w:rsidRDefault="0055419E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ED7785" w:rsidRPr="001C6EA0">
        <w:rPr>
          <w:sz w:val="24"/>
          <w:szCs w:val="24"/>
        </w:rPr>
        <w:t>Ca. halvdelen af det samlede magnesiumdepot findes inden i cellerne. Den resterende magnesiumkoncentration er indeholdt i knoglerne. Den adsorberede del ved overfladen er i ligevægt med det magnesium, der findes i blodserum.</w:t>
      </w:r>
    </w:p>
    <w:p w:rsidR="00ED7785" w:rsidRPr="001C6EA0" w:rsidRDefault="0055419E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 xml:space="preserve">Koncentrationen af magnesium i blodserum varierer i løbet af dagen. Da der er en ligevægt mellem magnesiumkoncentrationen i blodserum og depotet i knoglerne, kan der ikke drages konklusioner angående depotet i kroppen fra koncentrationen af magnesium i blodserum. </w:t>
      </w:r>
      <w:proofErr w:type="spellStart"/>
      <w:r w:rsidR="00ED7785" w:rsidRPr="001C6EA0">
        <w:rPr>
          <w:sz w:val="24"/>
          <w:szCs w:val="24"/>
        </w:rPr>
        <w:t>Neuromuskulær</w:t>
      </w:r>
      <w:proofErr w:type="spellEnd"/>
      <w:r w:rsidR="00ED7785" w:rsidRPr="001C6EA0">
        <w:rPr>
          <w:sz w:val="24"/>
          <w:szCs w:val="24"/>
        </w:rPr>
        <w:t xml:space="preserve"> </w:t>
      </w:r>
      <w:proofErr w:type="spellStart"/>
      <w:r w:rsidR="00ED7785" w:rsidRPr="001C6EA0">
        <w:rPr>
          <w:sz w:val="24"/>
          <w:szCs w:val="24"/>
        </w:rPr>
        <w:t>hyperexcitabilitet</w:t>
      </w:r>
      <w:proofErr w:type="spellEnd"/>
      <w:r w:rsidR="00ED7785" w:rsidRPr="001C6EA0">
        <w:rPr>
          <w:sz w:val="24"/>
          <w:szCs w:val="24"/>
        </w:rPr>
        <w:t xml:space="preserve"> kan være en indikator på magnesiummangel.</w:t>
      </w:r>
    </w:p>
    <w:p w:rsidR="00ED7785" w:rsidRPr="001C6EA0" w:rsidRDefault="00ED7785" w:rsidP="001C6EA0">
      <w:pPr>
        <w:ind w:left="851" w:hanging="851"/>
        <w:rPr>
          <w:sz w:val="24"/>
          <w:szCs w:val="24"/>
        </w:rPr>
      </w:pPr>
    </w:p>
    <w:p w:rsidR="00ED7785" w:rsidRPr="001C6EA0" w:rsidRDefault="0055419E" w:rsidP="001C6EA0">
      <w:pPr>
        <w:ind w:left="851" w:hanging="851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ED7785" w:rsidRPr="001C6EA0">
        <w:rPr>
          <w:i/>
          <w:sz w:val="24"/>
          <w:szCs w:val="24"/>
        </w:rPr>
        <w:t>Elimination</w:t>
      </w:r>
    </w:p>
    <w:p w:rsidR="00ED7785" w:rsidRDefault="0055419E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Absorberet magnesium udskilles hovedsageligt via nyrerne.</w:t>
      </w:r>
    </w:p>
    <w:p w:rsidR="00C320AB" w:rsidRDefault="00C320AB" w:rsidP="001C6EA0">
      <w:pPr>
        <w:ind w:left="851" w:hanging="851"/>
        <w:rPr>
          <w:sz w:val="24"/>
          <w:szCs w:val="24"/>
        </w:rPr>
      </w:pPr>
    </w:p>
    <w:p w:rsidR="00ED7785" w:rsidRPr="001C6EA0" w:rsidRDefault="0055419E" w:rsidP="001C6EA0">
      <w:pPr>
        <w:ind w:left="851" w:hanging="851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proofErr w:type="spellStart"/>
      <w:r w:rsidR="00ED7785" w:rsidRPr="001C6EA0">
        <w:rPr>
          <w:i/>
          <w:sz w:val="24"/>
          <w:szCs w:val="24"/>
        </w:rPr>
        <w:t>Magnesiumhomeostase</w:t>
      </w:r>
      <w:proofErr w:type="spellEnd"/>
      <w:r w:rsidR="00ED7785" w:rsidRPr="001C6EA0">
        <w:rPr>
          <w:i/>
          <w:sz w:val="24"/>
          <w:szCs w:val="24"/>
        </w:rPr>
        <w:t xml:space="preserve"> påvirket af medicin</w:t>
      </w:r>
    </w:p>
    <w:p w:rsidR="00ED7785" w:rsidRPr="001C6EA0" w:rsidRDefault="0055419E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ED7785" w:rsidRPr="001C6EA0">
        <w:rPr>
          <w:sz w:val="24"/>
          <w:szCs w:val="24"/>
        </w:rPr>
        <w:t>Diuretika</w:t>
      </w:r>
      <w:proofErr w:type="spellEnd"/>
      <w:r w:rsidR="00ED7785" w:rsidRPr="001C6EA0">
        <w:rPr>
          <w:sz w:val="24"/>
          <w:szCs w:val="24"/>
        </w:rPr>
        <w:t xml:space="preserve"> (f.eks. </w:t>
      </w:r>
      <w:proofErr w:type="spellStart"/>
      <w:r w:rsidR="00ED7785" w:rsidRPr="001C6EA0">
        <w:rPr>
          <w:sz w:val="24"/>
          <w:szCs w:val="24"/>
        </w:rPr>
        <w:t>thiazid</w:t>
      </w:r>
      <w:proofErr w:type="spellEnd"/>
      <w:r w:rsidR="00ED7785" w:rsidRPr="001C6EA0">
        <w:rPr>
          <w:sz w:val="24"/>
          <w:szCs w:val="24"/>
        </w:rPr>
        <w:t xml:space="preserve">, </w:t>
      </w:r>
      <w:proofErr w:type="spellStart"/>
      <w:r w:rsidR="00ED7785" w:rsidRPr="001C6EA0">
        <w:rPr>
          <w:sz w:val="24"/>
          <w:szCs w:val="24"/>
        </w:rPr>
        <w:t>furosemid</w:t>
      </w:r>
      <w:proofErr w:type="spellEnd"/>
      <w:r w:rsidR="00ED7785" w:rsidRPr="001C6EA0">
        <w:rPr>
          <w:sz w:val="24"/>
          <w:szCs w:val="24"/>
        </w:rPr>
        <w:t xml:space="preserve">) anvendes udbredt i behandling af </w:t>
      </w:r>
      <w:proofErr w:type="spellStart"/>
      <w:r w:rsidR="00ED7785" w:rsidRPr="001C6EA0">
        <w:rPr>
          <w:sz w:val="24"/>
          <w:szCs w:val="24"/>
        </w:rPr>
        <w:t>hypertension</w:t>
      </w:r>
      <w:proofErr w:type="spellEnd"/>
      <w:r w:rsidR="00ED7785" w:rsidRPr="001C6EA0">
        <w:rPr>
          <w:sz w:val="24"/>
          <w:szCs w:val="24"/>
        </w:rPr>
        <w:t xml:space="preserve">, hjerteinsufficiens og nyresygdomme. De øger urinoutput med </w:t>
      </w:r>
      <w:proofErr w:type="spellStart"/>
      <w:r w:rsidR="00ED7785" w:rsidRPr="001C6EA0">
        <w:rPr>
          <w:sz w:val="24"/>
          <w:szCs w:val="24"/>
        </w:rPr>
        <w:t>hypermagnesuri</w:t>
      </w:r>
      <w:proofErr w:type="spellEnd"/>
      <w:r w:rsidR="00ED7785" w:rsidRPr="001C6EA0">
        <w:rPr>
          <w:sz w:val="24"/>
          <w:szCs w:val="24"/>
        </w:rPr>
        <w:t xml:space="preserve">, hvilket sandsynligvis fører til </w:t>
      </w:r>
      <w:proofErr w:type="spellStart"/>
      <w:r w:rsidR="00ED7785" w:rsidRPr="001C6EA0">
        <w:rPr>
          <w:sz w:val="24"/>
          <w:szCs w:val="24"/>
        </w:rPr>
        <w:t>hypomagnesæmi</w:t>
      </w:r>
      <w:proofErr w:type="spellEnd"/>
      <w:r w:rsidR="00ED7785" w:rsidRPr="001C6EA0">
        <w:rPr>
          <w:sz w:val="24"/>
          <w:szCs w:val="24"/>
        </w:rPr>
        <w:t xml:space="preserve"> og magnesiumudtømning.</w:t>
      </w:r>
    </w:p>
    <w:p w:rsidR="00ED7785" w:rsidRPr="001C6EA0" w:rsidRDefault="0055419E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 xml:space="preserve">EGF-receptorantagonister (f.eks. </w:t>
      </w:r>
      <w:proofErr w:type="spellStart"/>
      <w:r w:rsidR="00ED7785" w:rsidRPr="001C6EA0">
        <w:rPr>
          <w:sz w:val="24"/>
          <w:szCs w:val="24"/>
        </w:rPr>
        <w:t>cetuximab</w:t>
      </w:r>
      <w:proofErr w:type="spellEnd"/>
      <w:r w:rsidR="00ED7785" w:rsidRPr="001C6EA0">
        <w:rPr>
          <w:sz w:val="24"/>
          <w:szCs w:val="24"/>
        </w:rPr>
        <w:t xml:space="preserve">, </w:t>
      </w:r>
      <w:proofErr w:type="spellStart"/>
      <w:r w:rsidR="00ED7785" w:rsidRPr="001C6EA0">
        <w:rPr>
          <w:sz w:val="24"/>
          <w:szCs w:val="24"/>
        </w:rPr>
        <w:t>erlotinib</w:t>
      </w:r>
      <w:proofErr w:type="spellEnd"/>
      <w:r w:rsidR="00ED7785" w:rsidRPr="001C6EA0">
        <w:rPr>
          <w:sz w:val="24"/>
          <w:szCs w:val="24"/>
        </w:rPr>
        <w:t xml:space="preserve">) anvendes til behandling af metastatisk </w:t>
      </w:r>
      <w:proofErr w:type="spellStart"/>
      <w:r w:rsidR="00ED7785" w:rsidRPr="001C6EA0">
        <w:rPr>
          <w:sz w:val="24"/>
          <w:szCs w:val="24"/>
        </w:rPr>
        <w:t>kolorektal</w:t>
      </w:r>
      <w:proofErr w:type="spellEnd"/>
      <w:r w:rsidR="00ED7785" w:rsidRPr="001C6EA0">
        <w:rPr>
          <w:sz w:val="24"/>
          <w:szCs w:val="24"/>
        </w:rPr>
        <w:t xml:space="preserve"> cancer. Da EGF er et </w:t>
      </w:r>
      <w:proofErr w:type="spellStart"/>
      <w:r w:rsidR="00ED7785" w:rsidRPr="001C6EA0">
        <w:rPr>
          <w:sz w:val="24"/>
          <w:szCs w:val="24"/>
        </w:rPr>
        <w:t>magnesiotropisk</w:t>
      </w:r>
      <w:proofErr w:type="spellEnd"/>
      <w:r w:rsidR="00ED7785" w:rsidRPr="001C6EA0">
        <w:rPr>
          <w:sz w:val="24"/>
          <w:szCs w:val="24"/>
        </w:rPr>
        <w:t xml:space="preserve"> hormon, var behandling med EGF-receptorantagonister relateret til svær </w:t>
      </w:r>
      <w:proofErr w:type="spellStart"/>
      <w:r w:rsidR="00ED7785" w:rsidRPr="001C6EA0">
        <w:rPr>
          <w:sz w:val="24"/>
          <w:szCs w:val="24"/>
        </w:rPr>
        <w:t>hypomagnesæmi</w:t>
      </w:r>
      <w:proofErr w:type="spellEnd"/>
      <w:r w:rsidR="00ED7785" w:rsidRPr="001C6EA0">
        <w:rPr>
          <w:sz w:val="24"/>
          <w:szCs w:val="24"/>
        </w:rPr>
        <w:t>.</w:t>
      </w:r>
    </w:p>
    <w:p w:rsidR="00ED7785" w:rsidRPr="001C6EA0" w:rsidRDefault="0055419E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 xml:space="preserve">Langvarig behandling med </w:t>
      </w:r>
      <w:proofErr w:type="spellStart"/>
      <w:r w:rsidR="00ED7785" w:rsidRPr="001C6EA0">
        <w:rPr>
          <w:sz w:val="24"/>
          <w:szCs w:val="24"/>
        </w:rPr>
        <w:t>protonpumpehæmmere</w:t>
      </w:r>
      <w:proofErr w:type="spellEnd"/>
      <w:r w:rsidR="00ED7785" w:rsidRPr="001C6EA0">
        <w:rPr>
          <w:sz w:val="24"/>
          <w:szCs w:val="24"/>
        </w:rPr>
        <w:t xml:space="preserve"> (f.eks. </w:t>
      </w:r>
      <w:proofErr w:type="spellStart"/>
      <w:r w:rsidR="00ED7785" w:rsidRPr="001C6EA0">
        <w:rPr>
          <w:sz w:val="24"/>
          <w:szCs w:val="24"/>
        </w:rPr>
        <w:t>omeprazol</w:t>
      </w:r>
      <w:proofErr w:type="spellEnd"/>
      <w:r w:rsidR="00ED7785" w:rsidRPr="001C6EA0">
        <w:rPr>
          <w:sz w:val="24"/>
          <w:szCs w:val="24"/>
        </w:rPr>
        <w:t xml:space="preserve">, </w:t>
      </w:r>
      <w:proofErr w:type="spellStart"/>
      <w:r w:rsidR="00ED7785" w:rsidRPr="001C6EA0">
        <w:rPr>
          <w:sz w:val="24"/>
          <w:szCs w:val="24"/>
        </w:rPr>
        <w:t>pantoprazol</w:t>
      </w:r>
      <w:proofErr w:type="spellEnd"/>
      <w:r w:rsidR="00ED7785" w:rsidRPr="001C6EA0">
        <w:rPr>
          <w:sz w:val="24"/>
          <w:szCs w:val="24"/>
        </w:rPr>
        <w:t xml:space="preserve">) er blevet relateret til svær </w:t>
      </w:r>
      <w:proofErr w:type="spellStart"/>
      <w:r w:rsidR="00ED7785" w:rsidRPr="001C6EA0">
        <w:rPr>
          <w:sz w:val="24"/>
          <w:szCs w:val="24"/>
        </w:rPr>
        <w:t>hypomagnesæmi</w:t>
      </w:r>
      <w:proofErr w:type="spellEnd"/>
      <w:r w:rsidR="00ED7785" w:rsidRPr="001C6EA0">
        <w:rPr>
          <w:sz w:val="24"/>
          <w:szCs w:val="24"/>
        </w:rPr>
        <w:t>, sandsynligvis på grund af forstyrrelser i absorption.</w:t>
      </w:r>
    </w:p>
    <w:p w:rsidR="00ED7785" w:rsidRPr="001C6EA0" w:rsidRDefault="0055419E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 xml:space="preserve">Aminoglykosid-antibiotika (f.eks. </w:t>
      </w:r>
      <w:proofErr w:type="spellStart"/>
      <w:r w:rsidR="00ED7785" w:rsidRPr="001C6EA0">
        <w:rPr>
          <w:sz w:val="24"/>
          <w:szCs w:val="24"/>
        </w:rPr>
        <w:t>gentamycin</w:t>
      </w:r>
      <w:proofErr w:type="spellEnd"/>
      <w:r w:rsidR="00ED7785" w:rsidRPr="001C6EA0">
        <w:rPr>
          <w:sz w:val="24"/>
          <w:szCs w:val="24"/>
        </w:rPr>
        <w:t xml:space="preserve">, </w:t>
      </w:r>
      <w:proofErr w:type="spellStart"/>
      <w:r w:rsidR="00ED7785" w:rsidRPr="001C6EA0">
        <w:rPr>
          <w:sz w:val="24"/>
          <w:szCs w:val="24"/>
        </w:rPr>
        <w:t>tobramycin</w:t>
      </w:r>
      <w:proofErr w:type="spellEnd"/>
      <w:r w:rsidR="00ED7785" w:rsidRPr="001C6EA0">
        <w:rPr>
          <w:sz w:val="24"/>
          <w:szCs w:val="24"/>
        </w:rPr>
        <w:t xml:space="preserve">) anvendes udbredt til behandling af svære bakterielle infektioner. Studier viste, at </w:t>
      </w:r>
      <w:proofErr w:type="spellStart"/>
      <w:r w:rsidR="00ED7785" w:rsidRPr="001C6EA0">
        <w:rPr>
          <w:sz w:val="24"/>
          <w:szCs w:val="24"/>
        </w:rPr>
        <w:t>hypomagnesæmi</w:t>
      </w:r>
      <w:proofErr w:type="spellEnd"/>
      <w:r w:rsidR="00ED7785" w:rsidRPr="001C6EA0">
        <w:rPr>
          <w:sz w:val="24"/>
          <w:szCs w:val="24"/>
        </w:rPr>
        <w:t xml:space="preserve"> forekommer hos 25 % af patienterne på grund af magnesiumtab i nyrerne.</w:t>
      </w:r>
    </w:p>
    <w:p w:rsidR="00ED7785" w:rsidRPr="001C6EA0" w:rsidRDefault="0055419E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ED7785" w:rsidRPr="001C6EA0">
        <w:rPr>
          <w:sz w:val="24"/>
          <w:szCs w:val="24"/>
        </w:rPr>
        <w:t>Foscarnet</w:t>
      </w:r>
      <w:proofErr w:type="spellEnd"/>
      <w:r w:rsidR="00ED7785" w:rsidRPr="001C6EA0">
        <w:rPr>
          <w:sz w:val="24"/>
          <w:szCs w:val="24"/>
        </w:rPr>
        <w:t xml:space="preserve"> er en </w:t>
      </w:r>
      <w:proofErr w:type="spellStart"/>
      <w:r w:rsidR="00ED7785" w:rsidRPr="001C6EA0">
        <w:rPr>
          <w:sz w:val="24"/>
          <w:szCs w:val="24"/>
        </w:rPr>
        <w:t>pyrophosphatanalog</w:t>
      </w:r>
      <w:proofErr w:type="spellEnd"/>
      <w:r w:rsidR="00ED7785" w:rsidRPr="001C6EA0">
        <w:rPr>
          <w:sz w:val="24"/>
          <w:szCs w:val="24"/>
        </w:rPr>
        <w:t xml:space="preserve">, der hæmmer mange </w:t>
      </w:r>
      <w:proofErr w:type="spellStart"/>
      <w:r w:rsidR="00ED7785" w:rsidRPr="001C6EA0">
        <w:rPr>
          <w:sz w:val="24"/>
          <w:szCs w:val="24"/>
        </w:rPr>
        <w:t>virale</w:t>
      </w:r>
      <w:proofErr w:type="spellEnd"/>
      <w:r w:rsidR="00ED7785" w:rsidRPr="001C6EA0">
        <w:rPr>
          <w:sz w:val="24"/>
          <w:szCs w:val="24"/>
        </w:rPr>
        <w:t xml:space="preserve"> DNA-polymeraser. </w:t>
      </w:r>
      <w:proofErr w:type="spellStart"/>
      <w:r w:rsidR="00ED7785" w:rsidRPr="001C6EA0">
        <w:rPr>
          <w:sz w:val="24"/>
          <w:szCs w:val="24"/>
        </w:rPr>
        <w:t>Hypomagnesæmi</w:t>
      </w:r>
      <w:proofErr w:type="spellEnd"/>
      <w:r w:rsidR="00ED7785" w:rsidRPr="001C6EA0">
        <w:rPr>
          <w:sz w:val="24"/>
          <w:szCs w:val="24"/>
        </w:rPr>
        <w:t xml:space="preserve"> er blandt andet en bivirkning ved behandling med </w:t>
      </w:r>
      <w:proofErr w:type="spellStart"/>
      <w:r w:rsidR="00ED7785" w:rsidRPr="001C6EA0">
        <w:rPr>
          <w:sz w:val="24"/>
          <w:szCs w:val="24"/>
        </w:rPr>
        <w:t>foscarnet</w:t>
      </w:r>
      <w:proofErr w:type="spellEnd"/>
      <w:r w:rsidR="00ED7785" w:rsidRPr="001C6EA0">
        <w:rPr>
          <w:sz w:val="24"/>
          <w:szCs w:val="24"/>
        </w:rPr>
        <w:t xml:space="preserve">, da </w:t>
      </w:r>
      <w:proofErr w:type="spellStart"/>
      <w:r w:rsidR="00ED7785" w:rsidRPr="001C6EA0">
        <w:rPr>
          <w:sz w:val="24"/>
          <w:szCs w:val="24"/>
        </w:rPr>
        <w:t>foscarnet</w:t>
      </w:r>
      <w:proofErr w:type="spellEnd"/>
      <w:r w:rsidR="00ED7785" w:rsidRPr="001C6EA0">
        <w:rPr>
          <w:sz w:val="24"/>
          <w:szCs w:val="24"/>
        </w:rPr>
        <w:t xml:space="preserve"> er en kraftig </w:t>
      </w:r>
      <w:proofErr w:type="spellStart"/>
      <w:r w:rsidR="00ED7785" w:rsidRPr="001C6EA0">
        <w:rPr>
          <w:sz w:val="24"/>
          <w:szCs w:val="24"/>
        </w:rPr>
        <w:t>kelator</w:t>
      </w:r>
      <w:proofErr w:type="spellEnd"/>
      <w:r w:rsidR="00ED7785" w:rsidRPr="001C6EA0">
        <w:rPr>
          <w:sz w:val="24"/>
          <w:szCs w:val="24"/>
        </w:rPr>
        <w:t xml:space="preserve"> for divalente kationer.</w:t>
      </w:r>
    </w:p>
    <w:p w:rsidR="00ED7785" w:rsidRPr="001C6EA0" w:rsidRDefault="00ED7785" w:rsidP="001C6EA0">
      <w:pPr>
        <w:ind w:left="851" w:hanging="851"/>
        <w:rPr>
          <w:sz w:val="24"/>
          <w:szCs w:val="24"/>
        </w:rPr>
      </w:pPr>
    </w:p>
    <w:p w:rsidR="00ED7785" w:rsidRPr="001C6EA0" w:rsidRDefault="0055419E" w:rsidP="001C6EA0">
      <w:pPr>
        <w:ind w:left="851" w:hanging="851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proofErr w:type="spellStart"/>
      <w:r w:rsidR="00ED7785" w:rsidRPr="001C6EA0">
        <w:rPr>
          <w:i/>
          <w:sz w:val="24"/>
          <w:szCs w:val="24"/>
        </w:rPr>
        <w:t>Magnesiumhomeostase</w:t>
      </w:r>
      <w:proofErr w:type="spellEnd"/>
      <w:r w:rsidR="00ED7785" w:rsidRPr="001C6EA0">
        <w:rPr>
          <w:i/>
          <w:sz w:val="24"/>
          <w:szCs w:val="24"/>
        </w:rPr>
        <w:t xml:space="preserve"> påvirket af medicinske tilstande</w:t>
      </w:r>
    </w:p>
    <w:p w:rsidR="00ED7785" w:rsidRPr="001C6EA0" w:rsidRDefault="0055419E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Overdreven udskillelse af magnesium</w:t>
      </w:r>
      <w:r w:rsidR="00ED7785" w:rsidRPr="001C6EA0">
        <w:rPr>
          <w:sz w:val="24"/>
          <w:szCs w:val="24"/>
          <w:vertAlign w:val="superscript"/>
        </w:rPr>
        <w:t xml:space="preserve"> </w:t>
      </w:r>
      <w:r w:rsidR="00ED7785" w:rsidRPr="001C6EA0">
        <w:rPr>
          <w:sz w:val="24"/>
          <w:szCs w:val="24"/>
        </w:rPr>
        <w:t xml:space="preserve">i urinen er en årsag til magnesiumudtømning. Osmotisk diurese på grund af </w:t>
      </w:r>
      <w:proofErr w:type="spellStart"/>
      <w:r w:rsidR="00ED7785" w:rsidRPr="001C6EA0">
        <w:rPr>
          <w:sz w:val="24"/>
          <w:szCs w:val="24"/>
        </w:rPr>
        <w:t>glucosuri</w:t>
      </w:r>
      <w:proofErr w:type="spellEnd"/>
      <w:r w:rsidR="00ED7785" w:rsidRPr="001C6EA0">
        <w:rPr>
          <w:sz w:val="24"/>
          <w:szCs w:val="24"/>
        </w:rPr>
        <w:t xml:space="preserve"> kan føre til magnesiumudtømning, og diabetes mellitus er sandsynligvis den mest almindelig kliniske sygdom forbundet med magnesiumudtømning. Derfor har diabetikere et øget behov for magnesium.</w:t>
      </w:r>
    </w:p>
    <w:p w:rsidR="00ED7785" w:rsidRPr="001C6EA0" w:rsidRDefault="0055419E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 xml:space="preserve">Magnesiummangel har vist sig at føre til </w:t>
      </w:r>
      <w:proofErr w:type="spellStart"/>
      <w:r w:rsidR="00ED7785" w:rsidRPr="001C6EA0">
        <w:rPr>
          <w:sz w:val="24"/>
          <w:szCs w:val="24"/>
        </w:rPr>
        <w:t>kardiovaskulære</w:t>
      </w:r>
      <w:proofErr w:type="spellEnd"/>
      <w:r w:rsidR="00ED7785" w:rsidRPr="001C6EA0">
        <w:rPr>
          <w:sz w:val="24"/>
          <w:szCs w:val="24"/>
        </w:rPr>
        <w:t xml:space="preserve"> sygdomme såsom </w:t>
      </w:r>
      <w:proofErr w:type="spellStart"/>
      <w:r w:rsidR="00ED7785" w:rsidRPr="001C6EA0">
        <w:rPr>
          <w:sz w:val="24"/>
          <w:szCs w:val="24"/>
        </w:rPr>
        <w:t>hjertedysrytmier</w:t>
      </w:r>
      <w:proofErr w:type="spellEnd"/>
      <w:r w:rsidR="00ED7785" w:rsidRPr="001C6EA0">
        <w:rPr>
          <w:sz w:val="24"/>
          <w:szCs w:val="24"/>
        </w:rPr>
        <w:t>, hvilket kan vise sig som en hurtig puls (</w:t>
      </w:r>
      <w:proofErr w:type="spellStart"/>
      <w:r w:rsidR="00ED7785" w:rsidRPr="001C6EA0">
        <w:rPr>
          <w:sz w:val="24"/>
          <w:szCs w:val="24"/>
        </w:rPr>
        <w:t>takykardi</w:t>
      </w:r>
      <w:proofErr w:type="spellEnd"/>
      <w:r w:rsidR="00ED7785" w:rsidRPr="001C6EA0">
        <w:rPr>
          <w:sz w:val="24"/>
          <w:szCs w:val="24"/>
        </w:rPr>
        <w:t>), oversprungne hjerteslag (præmature hjerteslag) eller en helt uregelmæssig hjerterytme (fibrillation).</w:t>
      </w:r>
    </w:p>
    <w:p w:rsidR="00ED7785" w:rsidRPr="001C6EA0" w:rsidRDefault="0055419E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 xml:space="preserve">En lav magnesiumstatus fører til arteriel </w:t>
      </w:r>
      <w:proofErr w:type="spellStart"/>
      <w:r w:rsidR="00ED7785" w:rsidRPr="001C6EA0">
        <w:rPr>
          <w:sz w:val="24"/>
          <w:szCs w:val="24"/>
        </w:rPr>
        <w:t>vasokonstriktion</w:t>
      </w:r>
      <w:proofErr w:type="spellEnd"/>
      <w:r w:rsidR="00ED7785" w:rsidRPr="001C6EA0">
        <w:rPr>
          <w:sz w:val="24"/>
          <w:szCs w:val="24"/>
        </w:rPr>
        <w:t xml:space="preserve"> og </w:t>
      </w:r>
      <w:proofErr w:type="spellStart"/>
      <w:r w:rsidR="00ED7785" w:rsidRPr="001C6EA0">
        <w:rPr>
          <w:sz w:val="24"/>
          <w:szCs w:val="24"/>
        </w:rPr>
        <w:t>trombocytaggregation</w:t>
      </w:r>
      <w:proofErr w:type="spellEnd"/>
      <w:r w:rsidR="00ED7785" w:rsidRPr="001C6EA0">
        <w:rPr>
          <w:sz w:val="24"/>
          <w:szCs w:val="24"/>
        </w:rPr>
        <w:t>. Migrænepatienter viser ofte lave magnesiumniveauer, derfor ser det ud som om, at magnesiummangel kan spille en rolle i patogenesen af migrænen. Magnesiumtilskud var effektiv i migræneprofylakse.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5.3</w:t>
      </w:r>
      <w:r w:rsidRPr="001C6EA0">
        <w:rPr>
          <w:b/>
          <w:sz w:val="24"/>
          <w:szCs w:val="24"/>
        </w:rPr>
        <w:tab/>
        <w:t>Prækliniske sikkerhedsdata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  <w:r w:rsidRPr="001C6EA0">
        <w:rPr>
          <w:sz w:val="24"/>
          <w:szCs w:val="24"/>
        </w:rPr>
        <w:tab/>
      </w:r>
      <w:r w:rsidR="00C320AB" w:rsidRPr="00921F85">
        <w:t xml:space="preserve">Prækliniske data med forskellige magnesiumsalte viser ingen speciel risiko for mennesker vurderet ud fra konventionelle studier af sikkerhedsfarmakologi og toksicitet efter gentagne doser. Der blev ikke udført nogen forskning i genotoksicitet, </w:t>
      </w:r>
      <w:proofErr w:type="spellStart"/>
      <w:r w:rsidR="00C320AB" w:rsidRPr="00921F85">
        <w:t>karcinogenicitet</w:t>
      </w:r>
      <w:proofErr w:type="spellEnd"/>
      <w:r w:rsidR="00C320AB" w:rsidRPr="00921F85">
        <w:t xml:space="preserve"> samt toksicitet over for reproduktion og udvikling.</w:t>
      </w:r>
    </w:p>
    <w:p w:rsidR="00C320AB" w:rsidRDefault="00C320AB">
      <w:pPr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6.</w:t>
      </w:r>
      <w:r w:rsidRPr="001C6EA0">
        <w:rPr>
          <w:b/>
          <w:sz w:val="24"/>
          <w:szCs w:val="24"/>
        </w:rPr>
        <w:tab/>
        <w:t>FARMACEUTISKE OPLYSNINGER</w:t>
      </w: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6.1</w:t>
      </w:r>
      <w:r w:rsidRPr="001C6EA0">
        <w:rPr>
          <w:b/>
          <w:sz w:val="24"/>
          <w:szCs w:val="24"/>
        </w:rPr>
        <w:tab/>
        <w:t>Hjælpestoffer</w:t>
      </w:r>
    </w:p>
    <w:p w:rsidR="00ED7785" w:rsidRPr="001C6EA0" w:rsidRDefault="00B003BF" w:rsidP="001C6EA0">
      <w:pPr>
        <w:ind w:left="851" w:hanging="851"/>
        <w:rPr>
          <w:sz w:val="24"/>
          <w:szCs w:val="24"/>
        </w:rPr>
      </w:pPr>
      <w:r w:rsidRPr="001C6EA0">
        <w:rPr>
          <w:sz w:val="24"/>
          <w:szCs w:val="24"/>
        </w:rPr>
        <w:lastRenderedPageBreak/>
        <w:tab/>
      </w:r>
      <w:proofErr w:type="spellStart"/>
      <w:r w:rsidR="00ED7785" w:rsidRPr="001C6EA0">
        <w:rPr>
          <w:sz w:val="24"/>
          <w:szCs w:val="24"/>
        </w:rPr>
        <w:t>Saccharose</w:t>
      </w:r>
      <w:proofErr w:type="spellEnd"/>
    </w:p>
    <w:p w:rsidR="00ED7785" w:rsidRPr="001C6EA0" w:rsidRDefault="0055419E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Vandfri citronsyre</w:t>
      </w:r>
    </w:p>
    <w:p w:rsidR="00ED7785" w:rsidRPr="001C6EA0" w:rsidRDefault="0055419E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ED7785" w:rsidRPr="001C6EA0">
        <w:rPr>
          <w:sz w:val="24"/>
          <w:szCs w:val="24"/>
        </w:rPr>
        <w:t>Natriumhydrogencarbonat</w:t>
      </w:r>
      <w:proofErr w:type="spellEnd"/>
    </w:p>
    <w:p w:rsidR="00ED7785" w:rsidRPr="001C6EA0" w:rsidRDefault="0055419E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ED7785" w:rsidRPr="001C6EA0">
        <w:rPr>
          <w:sz w:val="24"/>
          <w:szCs w:val="24"/>
        </w:rPr>
        <w:t>Riboflavin</w:t>
      </w:r>
      <w:proofErr w:type="spellEnd"/>
      <w:r w:rsidR="00ED7785" w:rsidRPr="001C6EA0">
        <w:rPr>
          <w:sz w:val="24"/>
          <w:szCs w:val="24"/>
        </w:rPr>
        <w:t xml:space="preserve"> (E 101)</w:t>
      </w:r>
    </w:p>
    <w:p w:rsidR="00ED7785" w:rsidRPr="001C6EA0" w:rsidRDefault="0055419E" w:rsidP="001C6EA0">
      <w:pPr>
        <w:ind w:left="851" w:hanging="851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Appelsinsmag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6.2</w:t>
      </w:r>
      <w:r w:rsidRPr="001C6EA0">
        <w:rPr>
          <w:b/>
          <w:sz w:val="24"/>
          <w:szCs w:val="24"/>
        </w:rPr>
        <w:tab/>
        <w:t>Uforligeligheder</w:t>
      </w:r>
    </w:p>
    <w:p w:rsidR="00ED7785" w:rsidRDefault="00B003BF" w:rsidP="001C6EA0">
      <w:pPr>
        <w:ind w:left="851" w:hanging="851"/>
        <w:rPr>
          <w:sz w:val="24"/>
          <w:szCs w:val="24"/>
        </w:rPr>
      </w:pPr>
      <w:r w:rsidRPr="001C6EA0"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Ikke relevant.</w:t>
      </w:r>
    </w:p>
    <w:p w:rsidR="00C320AB" w:rsidRDefault="00C320AB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6.3</w:t>
      </w:r>
      <w:r w:rsidRPr="001C6EA0">
        <w:rPr>
          <w:b/>
          <w:sz w:val="24"/>
          <w:szCs w:val="24"/>
        </w:rPr>
        <w:tab/>
        <w:t>Opbevaringstid</w:t>
      </w:r>
    </w:p>
    <w:p w:rsidR="00ED7785" w:rsidRPr="001C6EA0" w:rsidRDefault="00B003BF" w:rsidP="001C6EA0">
      <w:pPr>
        <w:ind w:left="851" w:hanging="851"/>
        <w:rPr>
          <w:sz w:val="24"/>
          <w:szCs w:val="24"/>
        </w:rPr>
      </w:pPr>
      <w:r w:rsidRPr="001C6EA0"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3 år.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6.4</w:t>
      </w:r>
      <w:r w:rsidRPr="001C6EA0">
        <w:rPr>
          <w:b/>
          <w:sz w:val="24"/>
          <w:szCs w:val="24"/>
        </w:rPr>
        <w:tab/>
        <w:t>Særlige opbevaringsforhold</w:t>
      </w:r>
    </w:p>
    <w:p w:rsidR="00ED7785" w:rsidRPr="001C6EA0" w:rsidRDefault="00B003BF" w:rsidP="001C6EA0">
      <w:pPr>
        <w:ind w:left="851" w:hanging="851"/>
        <w:rPr>
          <w:sz w:val="24"/>
          <w:szCs w:val="24"/>
        </w:rPr>
      </w:pPr>
      <w:r w:rsidRPr="001C6EA0"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Dette lægemiddel kræver ingen særlige forholdsregler vedrørende opbevaringen.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6.5</w:t>
      </w:r>
      <w:r w:rsidRPr="001C6EA0">
        <w:rPr>
          <w:b/>
          <w:sz w:val="24"/>
          <w:szCs w:val="24"/>
        </w:rPr>
        <w:tab/>
        <w:t>Emballagetyper og pakningsstørrelser</w:t>
      </w:r>
    </w:p>
    <w:p w:rsidR="00ED7785" w:rsidRPr="001C6EA0" w:rsidRDefault="00B003BF" w:rsidP="001C6EA0">
      <w:pPr>
        <w:ind w:left="851" w:hanging="851"/>
        <w:rPr>
          <w:sz w:val="24"/>
          <w:szCs w:val="24"/>
        </w:rPr>
      </w:pPr>
      <w:r w:rsidRPr="001C6EA0"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Breve</w:t>
      </w:r>
    </w:p>
    <w:p w:rsidR="00ED7785" w:rsidRPr="001C6EA0" w:rsidRDefault="0055419E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Lamineret folie (papir/aluminium/</w:t>
      </w:r>
      <w:proofErr w:type="spellStart"/>
      <w:r w:rsidR="00ED7785" w:rsidRPr="001C6EA0">
        <w:rPr>
          <w:sz w:val="24"/>
          <w:szCs w:val="24"/>
        </w:rPr>
        <w:t>polyethylen</w:t>
      </w:r>
      <w:proofErr w:type="spellEnd"/>
      <w:r w:rsidR="00ED7785" w:rsidRPr="001C6EA0">
        <w:rPr>
          <w:sz w:val="24"/>
          <w:szCs w:val="24"/>
        </w:rPr>
        <w:t xml:space="preserve"> eller </w:t>
      </w:r>
      <w:proofErr w:type="spellStart"/>
      <w:r w:rsidR="00ED7785" w:rsidRPr="001C6EA0">
        <w:rPr>
          <w:sz w:val="24"/>
          <w:szCs w:val="24"/>
        </w:rPr>
        <w:t>polyethylen-copolymer</w:t>
      </w:r>
      <w:proofErr w:type="spellEnd"/>
      <w:r w:rsidR="00ED7785" w:rsidRPr="001C6EA0">
        <w:rPr>
          <w:sz w:val="24"/>
          <w:szCs w:val="24"/>
        </w:rPr>
        <w:t>).</w:t>
      </w:r>
    </w:p>
    <w:p w:rsidR="00ED7785" w:rsidRPr="001C6EA0" w:rsidRDefault="0055419E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20, 50 eller 100 breve á 5 g granulat.</w:t>
      </w:r>
    </w:p>
    <w:p w:rsidR="00ED7785" w:rsidRPr="001C6EA0" w:rsidRDefault="0055419E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Ikke alle pakningsstørrelser er nødvendigvis markedsført.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6.6</w:t>
      </w:r>
      <w:r w:rsidRPr="001C6EA0">
        <w:rPr>
          <w:b/>
          <w:sz w:val="24"/>
          <w:szCs w:val="24"/>
        </w:rPr>
        <w:tab/>
        <w:t>Regler for destruktion og anden håndtering</w:t>
      </w:r>
    </w:p>
    <w:p w:rsidR="00ED7785" w:rsidRPr="001C6EA0" w:rsidRDefault="00B003BF" w:rsidP="001C6EA0">
      <w:pPr>
        <w:ind w:left="851" w:hanging="851"/>
        <w:rPr>
          <w:sz w:val="24"/>
          <w:szCs w:val="24"/>
        </w:rPr>
      </w:pPr>
      <w:r w:rsidRPr="001C6EA0"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Ingen særlige forholdsregler.</w:t>
      </w:r>
    </w:p>
    <w:p w:rsidR="00B003BF" w:rsidRPr="001C6EA0" w:rsidRDefault="00B003BF" w:rsidP="001C6EA0">
      <w:pPr>
        <w:ind w:left="851" w:hanging="851"/>
        <w:jc w:val="both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7.</w:t>
      </w:r>
      <w:r w:rsidRPr="001C6EA0">
        <w:rPr>
          <w:b/>
          <w:sz w:val="24"/>
          <w:szCs w:val="24"/>
        </w:rPr>
        <w:tab/>
        <w:t>INDEHAVER AF MARKEDSFØRINGSTILLADELSEN</w:t>
      </w:r>
    </w:p>
    <w:p w:rsidR="00ED7785" w:rsidRPr="001C6EA0" w:rsidRDefault="00B003BF" w:rsidP="001C6EA0">
      <w:pPr>
        <w:ind w:left="851" w:hanging="851"/>
        <w:rPr>
          <w:sz w:val="24"/>
          <w:szCs w:val="24"/>
          <w:lang w:val="en-US"/>
        </w:rPr>
      </w:pPr>
      <w:r w:rsidRPr="001C6EA0">
        <w:rPr>
          <w:sz w:val="24"/>
          <w:szCs w:val="24"/>
        </w:rPr>
        <w:tab/>
      </w:r>
      <w:proofErr w:type="spellStart"/>
      <w:r w:rsidR="00E60C92">
        <w:rPr>
          <w:sz w:val="24"/>
          <w:szCs w:val="24"/>
          <w:lang w:val="en-US"/>
        </w:rPr>
        <w:t>Protina</w:t>
      </w:r>
      <w:proofErr w:type="spellEnd"/>
      <w:r w:rsidR="00E60C92">
        <w:rPr>
          <w:sz w:val="24"/>
          <w:szCs w:val="24"/>
          <w:lang w:val="en-US"/>
        </w:rPr>
        <w:t xml:space="preserve"> </w:t>
      </w:r>
      <w:proofErr w:type="spellStart"/>
      <w:r w:rsidR="00E60C92">
        <w:rPr>
          <w:sz w:val="24"/>
          <w:szCs w:val="24"/>
          <w:lang w:val="en-US"/>
        </w:rPr>
        <w:t>Pharmazeutische</w:t>
      </w:r>
      <w:proofErr w:type="spellEnd"/>
      <w:r w:rsidR="00E60C92">
        <w:rPr>
          <w:sz w:val="24"/>
          <w:szCs w:val="24"/>
          <w:lang w:val="en-US"/>
        </w:rPr>
        <w:t xml:space="preserve"> </w:t>
      </w:r>
      <w:proofErr w:type="spellStart"/>
      <w:r w:rsidR="00E60C92">
        <w:rPr>
          <w:sz w:val="24"/>
          <w:szCs w:val="24"/>
          <w:lang w:val="en-US"/>
        </w:rPr>
        <w:t>Gesellschaft</w:t>
      </w:r>
      <w:proofErr w:type="spellEnd"/>
      <w:r w:rsidR="00E60C92">
        <w:rPr>
          <w:sz w:val="24"/>
          <w:szCs w:val="24"/>
          <w:lang w:val="en-US"/>
        </w:rPr>
        <w:t xml:space="preserve"> </w:t>
      </w:r>
      <w:proofErr w:type="spellStart"/>
      <w:r w:rsidR="00E60C92">
        <w:rPr>
          <w:sz w:val="24"/>
          <w:szCs w:val="24"/>
          <w:lang w:val="en-US"/>
        </w:rPr>
        <w:t>mbH</w:t>
      </w:r>
      <w:proofErr w:type="spellEnd"/>
    </w:p>
    <w:p w:rsidR="00ED7785" w:rsidRPr="00E60C92" w:rsidRDefault="0055419E" w:rsidP="001C6EA0">
      <w:pPr>
        <w:ind w:left="851" w:hanging="85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="00E60C92">
        <w:rPr>
          <w:sz w:val="24"/>
          <w:szCs w:val="24"/>
          <w:lang w:val="en-US"/>
        </w:rPr>
        <w:t>Adalperostrasse</w:t>
      </w:r>
      <w:proofErr w:type="spellEnd"/>
      <w:r w:rsidR="00E60C92">
        <w:rPr>
          <w:sz w:val="24"/>
          <w:szCs w:val="24"/>
          <w:lang w:val="en-US"/>
        </w:rPr>
        <w:t xml:space="preserve"> 37</w:t>
      </w:r>
    </w:p>
    <w:p w:rsidR="00ED7785" w:rsidRPr="001C6EA0" w:rsidRDefault="0055419E" w:rsidP="001C6EA0">
      <w:pPr>
        <w:ind w:left="851" w:hanging="851"/>
        <w:rPr>
          <w:sz w:val="24"/>
          <w:szCs w:val="24"/>
        </w:rPr>
      </w:pPr>
      <w:r w:rsidRPr="00E60C92">
        <w:rPr>
          <w:sz w:val="24"/>
          <w:szCs w:val="24"/>
          <w:lang w:val="en-US"/>
        </w:rPr>
        <w:tab/>
      </w:r>
      <w:r w:rsidR="00E60C92">
        <w:rPr>
          <w:sz w:val="24"/>
          <w:szCs w:val="24"/>
        </w:rPr>
        <w:t xml:space="preserve">85737 </w:t>
      </w:r>
      <w:proofErr w:type="spellStart"/>
      <w:r w:rsidR="00E60C92">
        <w:rPr>
          <w:sz w:val="24"/>
          <w:szCs w:val="24"/>
        </w:rPr>
        <w:t>Ismaning</w:t>
      </w:r>
      <w:proofErr w:type="spellEnd"/>
    </w:p>
    <w:p w:rsidR="00ED7785" w:rsidRPr="001C6EA0" w:rsidRDefault="0055419E" w:rsidP="001C6EA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D7785" w:rsidRPr="001C6EA0">
        <w:rPr>
          <w:sz w:val="24"/>
          <w:szCs w:val="24"/>
        </w:rPr>
        <w:t>Tyskland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8.</w:t>
      </w:r>
      <w:r w:rsidRPr="001C6EA0">
        <w:rPr>
          <w:b/>
          <w:sz w:val="24"/>
          <w:szCs w:val="24"/>
        </w:rPr>
        <w:tab/>
        <w:t>MARKEDSFØRINGSTILLADELSESNUMMER (NUMRE)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  <w:r w:rsidRPr="001C6EA0">
        <w:rPr>
          <w:sz w:val="24"/>
          <w:szCs w:val="24"/>
        </w:rPr>
        <w:tab/>
      </w:r>
      <w:r w:rsidR="000E7042" w:rsidRPr="001C6EA0">
        <w:rPr>
          <w:sz w:val="24"/>
          <w:szCs w:val="24"/>
        </w:rPr>
        <w:t>51408</w:t>
      </w:r>
    </w:p>
    <w:p w:rsidR="00B003BF" w:rsidRPr="001C6EA0" w:rsidRDefault="00B003BF" w:rsidP="001C6EA0">
      <w:pPr>
        <w:ind w:left="851" w:hanging="851"/>
        <w:jc w:val="both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9.</w:t>
      </w:r>
      <w:r w:rsidRPr="001C6EA0">
        <w:rPr>
          <w:b/>
          <w:sz w:val="24"/>
          <w:szCs w:val="24"/>
        </w:rPr>
        <w:tab/>
        <w:t>DATO FOR FØRSTE MARKEDSFØRINGSTILLADELSE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  <w:r w:rsidRPr="001C6EA0">
        <w:rPr>
          <w:sz w:val="24"/>
          <w:szCs w:val="24"/>
        </w:rPr>
        <w:tab/>
      </w:r>
      <w:r w:rsidR="000E7042" w:rsidRPr="001C6EA0">
        <w:rPr>
          <w:sz w:val="24"/>
          <w:szCs w:val="24"/>
        </w:rPr>
        <w:t>16. juli 2013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</w:p>
    <w:p w:rsidR="00B003BF" w:rsidRPr="001C6EA0" w:rsidRDefault="00B003BF" w:rsidP="001C6EA0">
      <w:pPr>
        <w:ind w:left="851" w:hanging="851"/>
        <w:rPr>
          <w:b/>
          <w:sz w:val="24"/>
          <w:szCs w:val="24"/>
        </w:rPr>
      </w:pPr>
      <w:r w:rsidRPr="001C6EA0">
        <w:rPr>
          <w:b/>
          <w:sz w:val="24"/>
          <w:szCs w:val="24"/>
        </w:rPr>
        <w:t>10.</w:t>
      </w:r>
      <w:r w:rsidRPr="001C6EA0">
        <w:rPr>
          <w:b/>
          <w:sz w:val="24"/>
          <w:szCs w:val="24"/>
        </w:rPr>
        <w:tab/>
        <w:t>DATO FOR ÆNDRING AF TEKSTEN</w:t>
      </w:r>
    </w:p>
    <w:p w:rsidR="00B003BF" w:rsidRPr="001C6EA0" w:rsidRDefault="00B003BF" w:rsidP="001C6EA0">
      <w:pPr>
        <w:ind w:left="851" w:hanging="851"/>
        <w:rPr>
          <w:sz w:val="24"/>
          <w:szCs w:val="24"/>
        </w:rPr>
      </w:pPr>
      <w:r w:rsidRPr="001C6EA0">
        <w:rPr>
          <w:sz w:val="24"/>
          <w:szCs w:val="24"/>
        </w:rPr>
        <w:tab/>
      </w:r>
      <w:r w:rsidR="00260E6B">
        <w:rPr>
          <w:sz w:val="24"/>
          <w:szCs w:val="24"/>
        </w:rPr>
        <w:t>5. november 2018</w:t>
      </w:r>
    </w:p>
    <w:sectPr w:rsidR="00B003BF" w:rsidRPr="001C6EA0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1B2" w:rsidRDefault="007141B2">
      <w:r>
        <w:separator/>
      </w:r>
    </w:p>
  </w:endnote>
  <w:endnote w:type="continuationSeparator" w:id="0">
    <w:p w:rsidR="007141B2" w:rsidRDefault="0071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1B2" w:rsidRDefault="007141B2">
    <w:pPr>
      <w:pStyle w:val="Sidefod"/>
      <w:pBdr>
        <w:bottom w:val="single" w:sz="6" w:space="1" w:color="auto"/>
      </w:pBdr>
    </w:pPr>
  </w:p>
  <w:p w:rsidR="007141B2" w:rsidRDefault="007141B2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7141B2" w:rsidRPr="00B373D7" w:rsidRDefault="005B020D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7141B2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F260A9">
      <w:rPr>
        <w:i/>
        <w:noProof/>
        <w:sz w:val="18"/>
        <w:szCs w:val="18"/>
      </w:rPr>
      <w:t>Magnesium Diasporal, granulat til oral opløsning 300 mg</w:t>
    </w:r>
    <w:r w:rsidRPr="00B373D7">
      <w:rPr>
        <w:i/>
        <w:sz w:val="18"/>
        <w:szCs w:val="18"/>
      </w:rPr>
      <w:fldChar w:fldCharType="end"/>
    </w:r>
    <w:r w:rsidR="007141B2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7141B2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417289">
      <w:rPr>
        <w:rStyle w:val="Sidetal"/>
        <w:i/>
        <w:noProof/>
        <w:sz w:val="18"/>
        <w:szCs w:val="18"/>
      </w:rPr>
      <w:t>1</w:t>
    </w:r>
    <w:r w:rsidRPr="00B373D7">
      <w:rPr>
        <w:rStyle w:val="Sidetal"/>
        <w:i/>
        <w:sz w:val="18"/>
        <w:szCs w:val="18"/>
      </w:rPr>
      <w:fldChar w:fldCharType="end"/>
    </w:r>
    <w:r w:rsidR="007141B2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7141B2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417289">
      <w:rPr>
        <w:rStyle w:val="Sidetal"/>
        <w:i/>
        <w:noProof/>
        <w:sz w:val="18"/>
        <w:szCs w:val="18"/>
      </w:rPr>
      <w:t>6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1B2" w:rsidRDefault="007141B2">
      <w:r>
        <w:separator/>
      </w:r>
    </w:p>
  </w:footnote>
  <w:footnote w:type="continuationSeparator" w:id="0">
    <w:p w:rsidR="007141B2" w:rsidRDefault="00714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3DC3A30"/>
    <w:multiLevelType w:val="hybridMultilevel"/>
    <w:tmpl w:val="E56C166C"/>
    <w:lvl w:ilvl="0" w:tplc="B91A8A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3E40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2AD5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FA05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030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2A9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54CC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4B4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1497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28"/>
    <w:rsid w:val="000259B9"/>
    <w:rsid w:val="00041491"/>
    <w:rsid w:val="00050D16"/>
    <w:rsid w:val="00074F2A"/>
    <w:rsid w:val="000A1CA8"/>
    <w:rsid w:val="000A466B"/>
    <w:rsid w:val="000E4EE6"/>
    <w:rsid w:val="000E639A"/>
    <w:rsid w:val="000E7042"/>
    <w:rsid w:val="001C6EA0"/>
    <w:rsid w:val="001E7580"/>
    <w:rsid w:val="00260E6B"/>
    <w:rsid w:val="00283A2B"/>
    <w:rsid w:val="002B30AD"/>
    <w:rsid w:val="002C2C01"/>
    <w:rsid w:val="003A29AE"/>
    <w:rsid w:val="003A32D7"/>
    <w:rsid w:val="003B4074"/>
    <w:rsid w:val="003C769A"/>
    <w:rsid w:val="00417289"/>
    <w:rsid w:val="0045746C"/>
    <w:rsid w:val="0049104B"/>
    <w:rsid w:val="004E3B12"/>
    <w:rsid w:val="0055419E"/>
    <w:rsid w:val="00565F0F"/>
    <w:rsid w:val="00594A86"/>
    <w:rsid w:val="00596D86"/>
    <w:rsid w:val="005B020D"/>
    <w:rsid w:val="005B5951"/>
    <w:rsid w:val="006560B1"/>
    <w:rsid w:val="006756DD"/>
    <w:rsid w:val="006E78E7"/>
    <w:rsid w:val="007141B2"/>
    <w:rsid w:val="00716F25"/>
    <w:rsid w:val="0074062C"/>
    <w:rsid w:val="00740EEC"/>
    <w:rsid w:val="0078011A"/>
    <w:rsid w:val="00782AF4"/>
    <w:rsid w:val="00790EE7"/>
    <w:rsid w:val="007B6649"/>
    <w:rsid w:val="007E0300"/>
    <w:rsid w:val="0082576E"/>
    <w:rsid w:val="00850782"/>
    <w:rsid w:val="00907F75"/>
    <w:rsid w:val="0093258A"/>
    <w:rsid w:val="009B00EA"/>
    <w:rsid w:val="009C7BA3"/>
    <w:rsid w:val="009D1F5A"/>
    <w:rsid w:val="00A75322"/>
    <w:rsid w:val="00AA17C7"/>
    <w:rsid w:val="00B003BF"/>
    <w:rsid w:val="00B373D7"/>
    <w:rsid w:val="00B86141"/>
    <w:rsid w:val="00C320AB"/>
    <w:rsid w:val="00C36276"/>
    <w:rsid w:val="00C42586"/>
    <w:rsid w:val="00C50265"/>
    <w:rsid w:val="00C95551"/>
    <w:rsid w:val="00CB20D7"/>
    <w:rsid w:val="00CE7745"/>
    <w:rsid w:val="00D020B0"/>
    <w:rsid w:val="00D11748"/>
    <w:rsid w:val="00D366CF"/>
    <w:rsid w:val="00E108AA"/>
    <w:rsid w:val="00E3749A"/>
    <w:rsid w:val="00E60C92"/>
    <w:rsid w:val="00E7437F"/>
    <w:rsid w:val="00E76C61"/>
    <w:rsid w:val="00E865B8"/>
    <w:rsid w:val="00EB52B0"/>
    <w:rsid w:val="00EC0B9B"/>
    <w:rsid w:val="00EC2028"/>
    <w:rsid w:val="00ED5E9F"/>
    <w:rsid w:val="00ED7785"/>
    <w:rsid w:val="00F260A9"/>
    <w:rsid w:val="00FB6D01"/>
    <w:rsid w:val="00FD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9B12A6C-8B1B-4745-8478-BD647EB9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basedOn w:val="Standardskrifttypeiafsnit"/>
    <w:link w:val="Sidehoved"/>
    <w:rsid w:val="00B003BF"/>
    <w:rPr>
      <w:sz w:val="24"/>
    </w:rPr>
  </w:style>
  <w:style w:type="character" w:customStyle="1" w:styleId="TitelTegn">
    <w:name w:val="Titel Tegn"/>
    <w:basedOn w:val="Standardskrifttypeiafsnit"/>
    <w:link w:val="Titel"/>
    <w:rsid w:val="00B003B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1359</Words>
  <Characters>9494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2018042085, pkt. 4.10 fra HA til HF</dc:description>
  <cp:lastModifiedBy>Gitte Jørgensen</cp:lastModifiedBy>
  <cp:revision>6</cp:revision>
  <cp:lastPrinted>2018-10-25T11:39:00Z</cp:lastPrinted>
  <dcterms:created xsi:type="dcterms:W3CDTF">2018-10-25T10:49:00Z</dcterms:created>
  <dcterms:modified xsi:type="dcterms:W3CDTF">2018-10-25T11:40:00Z</dcterms:modified>
</cp:coreProperties>
</file>