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7A4C7A"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27D109C7" wp14:editId="1970D61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D539F49" w14:textId="6A562127"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418CD">
        <w:rPr>
          <w:szCs w:val="24"/>
        </w:rPr>
        <w:t>15. juni 2023</w:t>
      </w:r>
    </w:p>
    <w:p w14:paraId="2C12705D" w14:textId="77777777" w:rsidR="009260DE" w:rsidRPr="00C84483" w:rsidRDefault="009260DE" w:rsidP="009260DE">
      <w:pPr>
        <w:pStyle w:val="Titel"/>
        <w:tabs>
          <w:tab w:val="left" w:pos="8222"/>
        </w:tabs>
        <w:jc w:val="left"/>
        <w:rPr>
          <w:b w:val="0"/>
          <w:szCs w:val="24"/>
        </w:rPr>
      </w:pPr>
    </w:p>
    <w:p w14:paraId="6EC6040F" w14:textId="265B769C" w:rsidR="00F36F58" w:rsidRDefault="00F36F58" w:rsidP="009260DE">
      <w:pPr>
        <w:pStyle w:val="Titel"/>
        <w:jc w:val="left"/>
        <w:rPr>
          <w:b w:val="0"/>
          <w:szCs w:val="24"/>
        </w:rPr>
      </w:pPr>
    </w:p>
    <w:p w14:paraId="1DE1F393" w14:textId="77777777" w:rsidR="00E418CD" w:rsidRPr="00C84483" w:rsidRDefault="00E418CD" w:rsidP="009260DE">
      <w:pPr>
        <w:pStyle w:val="Titel"/>
        <w:jc w:val="left"/>
        <w:rPr>
          <w:b w:val="0"/>
          <w:szCs w:val="24"/>
        </w:rPr>
      </w:pPr>
    </w:p>
    <w:p w14:paraId="07709FEE" w14:textId="77777777" w:rsidR="009260DE" w:rsidRPr="00C84483" w:rsidRDefault="009260DE" w:rsidP="009260DE">
      <w:pPr>
        <w:jc w:val="center"/>
        <w:rPr>
          <w:b/>
          <w:sz w:val="24"/>
          <w:szCs w:val="24"/>
        </w:rPr>
      </w:pPr>
      <w:r w:rsidRPr="00C84483">
        <w:rPr>
          <w:b/>
          <w:sz w:val="24"/>
          <w:szCs w:val="24"/>
        </w:rPr>
        <w:t>PRODUKTRESUMÉ</w:t>
      </w:r>
    </w:p>
    <w:p w14:paraId="06B42702" w14:textId="77777777" w:rsidR="009260DE" w:rsidRPr="00C84483" w:rsidRDefault="009260DE" w:rsidP="009260DE">
      <w:pPr>
        <w:jc w:val="center"/>
        <w:rPr>
          <w:b/>
          <w:sz w:val="24"/>
          <w:szCs w:val="24"/>
        </w:rPr>
      </w:pPr>
    </w:p>
    <w:p w14:paraId="48493E62" w14:textId="77777777" w:rsidR="009260DE" w:rsidRDefault="009260DE" w:rsidP="009260DE">
      <w:pPr>
        <w:jc w:val="center"/>
        <w:rPr>
          <w:b/>
          <w:sz w:val="24"/>
          <w:szCs w:val="24"/>
        </w:rPr>
      </w:pPr>
      <w:r w:rsidRPr="00C84483">
        <w:rPr>
          <w:b/>
          <w:sz w:val="24"/>
          <w:szCs w:val="24"/>
        </w:rPr>
        <w:t>for</w:t>
      </w:r>
    </w:p>
    <w:p w14:paraId="3CEB1A75" w14:textId="77777777" w:rsidR="000B058C" w:rsidRPr="00C84483" w:rsidRDefault="000B058C" w:rsidP="009260DE">
      <w:pPr>
        <w:jc w:val="center"/>
        <w:rPr>
          <w:b/>
          <w:sz w:val="24"/>
          <w:szCs w:val="24"/>
        </w:rPr>
      </w:pPr>
    </w:p>
    <w:p w14:paraId="2262C0B7" w14:textId="681F29FB" w:rsidR="009260DE" w:rsidRPr="00C84483" w:rsidRDefault="00F36F58" w:rsidP="009260DE">
      <w:pPr>
        <w:jc w:val="center"/>
        <w:rPr>
          <w:b/>
          <w:sz w:val="24"/>
          <w:szCs w:val="24"/>
        </w:rPr>
      </w:pPr>
      <w:proofErr w:type="spellStart"/>
      <w:r>
        <w:rPr>
          <w:b/>
          <w:sz w:val="24"/>
          <w:szCs w:val="24"/>
        </w:rPr>
        <w:t>Maltofer</w:t>
      </w:r>
      <w:proofErr w:type="spellEnd"/>
      <w:r w:rsidR="00AD7D61">
        <w:rPr>
          <w:b/>
          <w:sz w:val="24"/>
          <w:szCs w:val="24"/>
        </w:rPr>
        <w:t>, orale dråber, opløsning</w:t>
      </w:r>
    </w:p>
    <w:p w14:paraId="4187E786" w14:textId="77777777" w:rsidR="009260DE" w:rsidRPr="00C84483" w:rsidRDefault="009260DE" w:rsidP="009260DE">
      <w:pPr>
        <w:jc w:val="both"/>
        <w:rPr>
          <w:sz w:val="24"/>
          <w:szCs w:val="24"/>
        </w:rPr>
      </w:pPr>
    </w:p>
    <w:p w14:paraId="15C9DE9E" w14:textId="77777777" w:rsidR="009260DE" w:rsidRPr="000122CD" w:rsidRDefault="009260DE" w:rsidP="009260DE">
      <w:pPr>
        <w:jc w:val="both"/>
        <w:rPr>
          <w:sz w:val="24"/>
          <w:szCs w:val="24"/>
        </w:rPr>
      </w:pPr>
    </w:p>
    <w:p w14:paraId="7C6E0C31" w14:textId="77777777" w:rsidR="009260DE" w:rsidRPr="000122CD" w:rsidRDefault="009260DE" w:rsidP="009260DE">
      <w:pPr>
        <w:tabs>
          <w:tab w:val="left" w:pos="851"/>
        </w:tabs>
        <w:ind w:left="851" w:hanging="851"/>
        <w:rPr>
          <w:b/>
          <w:sz w:val="24"/>
          <w:szCs w:val="24"/>
        </w:rPr>
      </w:pPr>
      <w:r w:rsidRPr="000122CD">
        <w:rPr>
          <w:b/>
          <w:sz w:val="24"/>
          <w:szCs w:val="24"/>
        </w:rPr>
        <w:t>0.</w:t>
      </w:r>
      <w:r w:rsidRPr="000122CD">
        <w:rPr>
          <w:b/>
          <w:sz w:val="24"/>
          <w:szCs w:val="24"/>
        </w:rPr>
        <w:tab/>
        <w:t>D.SP.NR.</w:t>
      </w:r>
    </w:p>
    <w:p w14:paraId="24D6A7DE" w14:textId="1092DAB3" w:rsidR="009260DE" w:rsidRPr="000122CD" w:rsidRDefault="00AD7D61" w:rsidP="009260DE">
      <w:pPr>
        <w:tabs>
          <w:tab w:val="left" w:pos="851"/>
        </w:tabs>
        <w:ind w:left="851"/>
        <w:rPr>
          <w:sz w:val="24"/>
          <w:szCs w:val="24"/>
        </w:rPr>
      </w:pPr>
      <w:r w:rsidRPr="000122CD">
        <w:rPr>
          <w:sz w:val="24"/>
          <w:szCs w:val="24"/>
        </w:rPr>
        <w:t>31078</w:t>
      </w:r>
    </w:p>
    <w:p w14:paraId="59F2B10F" w14:textId="77777777" w:rsidR="009260DE" w:rsidRPr="000122CD" w:rsidRDefault="009260DE" w:rsidP="009260DE">
      <w:pPr>
        <w:tabs>
          <w:tab w:val="left" w:pos="851"/>
        </w:tabs>
        <w:ind w:left="851"/>
        <w:rPr>
          <w:sz w:val="24"/>
          <w:szCs w:val="24"/>
        </w:rPr>
      </w:pPr>
    </w:p>
    <w:p w14:paraId="4E7F7C3E" w14:textId="77777777" w:rsidR="009260DE" w:rsidRPr="000122CD" w:rsidRDefault="009260DE" w:rsidP="009260DE">
      <w:pPr>
        <w:tabs>
          <w:tab w:val="left" w:pos="851"/>
        </w:tabs>
        <w:ind w:left="851" w:hanging="851"/>
        <w:rPr>
          <w:b/>
          <w:sz w:val="24"/>
          <w:szCs w:val="24"/>
        </w:rPr>
      </w:pPr>
      <w:r w:rsidRPr="000122CD">
        <w:rPr>
          <w:b/>
          <w:sz w:val="24"/>
          <w:szCs w:val="24"/>
        </w:rPr>
        <w:t>1.</w:t>
      </w:r>
      <w:r w:rsidRPr="000122CD">
        <w:rPr>
          <w:b/>
          <w:sz w:val="24"/>
          <w:szCs w:val="24"/>
        </w:rPr>
        <w:tab/>
        <w:t>LÆGEMIDLETS NAVN</w:t>
      </w:r>
    </w:p>
    <w:p w14:paraId="0BCE30AA" w14:textId="5372BC38" w:rsidR="009260DE" w:rsidRPr="000122CD" w:rsidRDefault="00F36F58" w:rsidP="009260DE">
      <w:pPr>
        <w:tabs>
          <w:tab w:val="left" w:pos="851"/>
        </w:tabs>
        <w:ind w:left="851"/>
        <w:rPr>
          <w:sz w:val="24"/>
          <w:szCs w:val="24"/>
        </w:rPr>
      </w:pPr>
      <w:proofErr w:type="spellStart"/>
      <w:r>
        <w:rPr>
          <w:sz w:val="24"/>
          <w:szCs w:val="24"/>
        </w:rPr>
        <w:t>Maltofer</w:t>
      </w:r>
      <w:proofErr w:type="spellEnd"/>
    </w:p>
    <w:p w14:paraId="002DB0F2" w14:textId="77777777" w:rsidR="009260DE" w:rsidRPr="000122CD" w:rsidRDefault="009260DE" w:rsidP="009260DE">
      <w:pPr>
        <w:tabs>
          <w:tab w:val="left" w:pos="851"/>
        </w:tabs>
        <w:ind w:left="851"/>
        <w:rPr>
          <w:sz w:val="24"/>
          <w:szCs w:val="24"/>
        </w:rPr>
      </w:pPr>
    </w:p>
    <w:p w14:paraId="73E9D674" w14:textId="77777777" w:rsidR="009260DE" w:rsidRPr="000122CD" w:rsidRDefault="009260DE" w:rsidP="009260DE">
      <w:pPr>
        <w:tabs>
          <w:tab w:val="left" w:pos="851"/>
        </w:tabs>
        <w:ind w:left="851" w:hanging="851"/>
        <w:rPr>
          <w:b/>
          <w:sz w:val="24"/>
          <w:szCs w:val="24"/>
        </w:rPr>
      </w:pPr>
      <w:r w:rsidRPr="000122CD">
        <w:rPr>
          <w:b/>
          <w:sz w:val="24"/>
          <w:szCs w:val="24"/>
        </w:rPr>
        <w:t>2.</w:t>
      </w:r>
      <w:r w:rsidRPr="000122CD">
        <w:rPr>
          <w:b/>
          <w:sz w:val="24"/>
          <w:szCs w:val="24"/>
        </w:rPr>
        <w:tab/>
        <w:t>KVALITATIV OG KVANTITATIV SAMMENSÆTNING</w:t>
      </w:r>
    </w:p>
    <w:p w14:paraId="0C2C7DC4" w14:textId="77777777" w:rsidR="00570AAF" w:rsidRPr="000122CD" w:rsidRDefault="00570AAF" w:rsidP="00326B35">
      <w:pPr>
        <w:ind w:left="851"/>
        <w:rPr>
          <w:sz w:val="24"/>
          <w:szCs w:val="24"/>
        </w:rPr>
      </w:pPr>
      <w:r w:rsidRPr="000122CD">
        <w:rPr>
          <w:sz w:val="24"/>
          <w:szCs w:val="24"/>
        </w:rPr>
        <w:t xml:space="preserve">1 dråbe af opløsningen indeholder </w:t>
      </w:r>
      <w:proofErr w:type="gramStart"/>
      <w:r w:rsidRPr="000122CD">
        <w:rPr>
          <w:sz w:val="24"/>
          <w:szCs w:val="24"/>
        </w:rPr>
        <w:t>jern(</w:t>
      </w:r>
      <w:proofErr w:type="gramEnd"/>
      <w:r w:rsidRPr="000122CD">
        <w:rPr>
          <w:sz w:val="24"/>
          <w:szCs w:val="24"/>
        </w:rPr>
        <w:t>III)-hydroxidpolymaltosekompleks (IPC) svarende til 2,5 mg jern (III).</w:t>
      </w:r>
    </w:p>
    <w:p w14:paraId="21E17EE7" w14:textId="77777777" w:rsidR="00570AAF" w:rsidRPr="000122CD" w:rsidRDefault="00570AAF" w:rsidP="00326B35">
      <w:pPr>
        <w:ind w:left="851"/>
        <w:rPr>
          <w:sz w:val="24"/>
          <w:szCs w:val="24"/>
        </w:rPr>
      </w:pPr>
      <w:r w:rsidRPr="000122CD">
        <w:rPr>
          <w:sz w:val="24"/>
          <w:szCs w:val="24"/>
        </w:rPr>
        <w:t xml:space="preserve">1 ml dråber indeholder </w:t>
      </w:r>
      <w:proofErr w:type="gramStart"/>
      <w:r w:rsidRPr="000122CD">
        <w:rPr>
          <w:sz w:val="24"/>
          <w:szCs w:val="24"/>
        </w:rPr>
        <w:t>jern(</w:t>
      </w:r>
      <w:proofErr w:type="gramEnd"/>
      <w:r w:rsidRPr="000122CD">
        <w:rPr>
          <w:sz w:val="24"/>
          <w:szCs w:val="24"/>
        </w:rPr>
        <w:t>III)-hydroxidpolymaltosekompleks (IPC) svarende til 50 mg jern (III).</w:t>
      </w:r>
    </w:p>
    <w:p w14:paraId="62CE2E52" w14:textId="77777777" w:rsidR="00570AAF" w:rsidRPr="000122CD" w:rsidRDefault="00570AAF" w:rsidP="00326B35">
      <w:pPr>
        <w:ind w:left="851"/>
        <w:rPr>
          <w:sz w:val="24"/>
          <w:szCs w:val="24"/>
        </w:rPr>
      </w:pPr>
      <w:r w:rsidRPr="000122CD">
        <w:rPr>
          <w:sz w:val="24"/>
          <w:szCs w:val="24"/>
        </w:rPr>
        <w:t>1 ml af opløsningen svarer til 20 dråber.</w:t>
      </w:r>
    </w:p>
    <w:p w14:paraId="1AD3E7CB" w14:textId="77777777" w:rsidR="00570AAF" w:rsidRPr="000122CD" w:rsidRDefault="00570AAF" w:rsidP="00326B35">
      <w:pPr>
        <w:ind w:left="851"/>
        <w:rPr>
          <w:sz w:val="24"/>
          <w:szCs w:val="24"/>
        </w:rPr>
      </w:pPr>
    </w:p>
    <w:p w14:paraId="3A29172C" w14:textId="77777777" w:rsidR="009F7319" w:rsidRPr="009F7319" w:rsidRDefault="00570AAF" w:rsidP="00326B35">
      <w:pPr>
        <w:ind w:left="851"/>
        <w:rPr>
          <w:sz w:val="24"/>
          <w:szCs w:val="24"/>
          <w:u w:val="single"/>
        </w:rPr>
      </w:pPr>
      <w:r w:rsidRPr="009F7319">
        <w:rPr>
          <w:sz w:val="24"/>
          <w:szCs w:val="24"/>
          <w:u w:val="single"/>
        </w:rPr>
        <w:t>Hjælpestoffer, som behandleren skal være opmærksom på</w:t>
      </w:r>
    </w:p>
    <w:p w14:paraId="4E700EB8" w14:textId="7F17F71C" w:rsidR="00570AAF" w:rsidRPr="000122CD" w:rsidRDefault="009F7319" w:rsidP="00326B35">
      <w:pPr>
        <w:ind w:left="851"/>
        <w:rPr>
          <w:sz w:val="24"/>
          <w:szCs w:val="24"/>
        </w:rPr>
      </w:pPr>
      <w:proofErr w:type="spellStart"/>
      <w:r>
        <w:rPr>
          <w:sz w:val="24"/>
          <w:szCs w:val="24"/>
        </w:rPr>
        <w:t>S</w:t>
      </w:r>
      <w:r w:rsidR="00570AAF" w:rsidRPr="000122CD">
        <w:rPr>
          <w:sz w:val="24"/>
          <w:szCs w:val="24"/>
        </w:rPr>
        <w:t>accharose</w:t>
      </w:r>
      <w:proofErr w:type="spellEnd"/>
      <w:r w:rsidR="00570AAF" w:rsidRPr="000122CD">
        <w:rPr>
          <w:sz w:val="24"/>
          <w:szCs w:val="24"/>
        </w:rPr>
        <w:t xml:space="preserve"> 2,5 mg/dråbe (50 mg/ml), </w:t>
      </w:r>
      <w:proofErr w:type="spellStart"/>
      <w:r w:rsidR="00570AAF" w:rsidRPr="000122CD">
        <w:rPr>
          <w:sz w:val="24"/>
          <w:szCs w:val="24"/>
        </w:rPr>
        <w:t>natriummethylparahydroxybenzoat</w:t>
      </w:r>
      <w:proofErr w:type="spellEnd"/>
      <w:r w:rsidR="00570AAF" w:rsidRPr="000122CD">
        <w:rPr>
          <w:sz w:val="24"/>
          <w:szCs w:val="24"/>
        </w:rPr>
        <w:t xml:space="preserve"> (E219) 0,1 mg/dråbe (2,0 mg/ml), </w:t>
      </w:r>
      <w:proofErr w:type="spellStart"/>
      <w:r w:rsidR="00570AAF" w:rsidRPr="000122CD">
        <w:rPr>
          <w:sz w:val="24"/>
          <w:szCs w:val="24"/>
        </w:rPr>
        <w:t>natriumpropylparahydroxybenzoat</w:t>
      </w:r>
      <w:proofErr w:type="spellEnd"/>
      <w:r w:rsidR="00570AAF" w:rsidRPr="000122CD">
        <w:rPr>
          <w:sz w:val="24"/>
          <w:szCs w:val="24"/>
        </w:rPr>
        <w:t xml:space="preserve"> (E217) 0,01 mg/dråbe (0,22 mg/ml).</w:t>
      </w:r>
    </w:p>
    <w:p w14:paraId="3BF1769F" w14:textId="77777777" w:rsidR="00570AAF" w:rsidRPr="000122CD" w:rsidRDefault="00570AAF" w:rsidP="00326B35">
      <w:pPr>
        <w:ind w:left="851"/>
        <w:rPr>
          <w:sz w:val="24"/>
          <w:szCs w:val="24"/>
        </w:rPr>
      </w:pPr>
    </w:p>
    <w:p w14:paraId="39607A11" w14:textId="77777777" w:rsidR="00570AAF" w:rsidRPr="000122CD" w:rsidRDefault="00570AAF" w:rsidP="00326B35">
      <w:pPr>
        <w:ind w:left="851"/>
        <w:rPr>
          <w:sz w:val="24"/>
          <w:szCs w:val="24"/>
        </w:rPr>
      </w:pPr>
      <w:r w:rsidRPr="000122CD">
        <w:rPr>
          <w:sz w:val="24"/>
          <w:szCs w:val="24"/>
        </w:rPr>
        <w:t>Alle hjælpestoffer er anført under pkt. 6.1.</w:t>
      </w:r>
    </w:p>
    <w:p w14:paraId="45C2A17C" w14:textId="77777777" w:rsidR="009260DE" w:rsidRPr="000122CD" w:rsidRDefault="009260DE" w:rsidP="009260DE">
      <w:pPr>
        <w:tabs>
          <w:tab w:val="left" w:pos="851"/>
        </w:tabs>
        <w:ind w:left="851"/>
        <w:rPr>
          <w:sz w:val="24"/>
          <w:szCs w:val="24"/>
        </w:rPr>
      </w:pPr>
    </w:p>
    <w:p w14:paraId="56B9F9F9" w14:textId="77777777" w:rsidR="009260DE" w:rsidRPr="000122CD" w:rsidRDefault="009260DE" w:rsidP="009260DE">
      <w:pPr>
        <w:tabs>
          <w:tab w:val="left" w:pos="851"/>
        </w:tabs>
        <w:ind w:left="851" w:hanging="851"/>
        <w:rPr>
          <w:b/>
          <w:sz w:val="24"/>
          <w:szCs w:val="24"/>
        </w:rPr>
      </w:pPr>
      <w:r w:rsidRPr="000122CD">
        <w:rPr>
          <w:b/>
          <w:sz w:val="24"/>
          <w:szCs w:val="24"/>
        </w:rPr>
        <w:t>3.</w:t>
      </w:r>
      <w:r w:rsidRPr="000122CD">
        <w:rPr>
          <w:b/>
          <w:sz w:val="24"/>
          <w:szCs w:val="24"/>
        </w:rPr>
        <w:tab/>
        <w:t>LÆGEMIDDELFORM</w:t>
      </w:r>
    </w:p>
    <w:p w14:paraId="31752278" w14:textId="004698C3" w:rsidR="00570AAF" w:rsidRDefault="00570AAF" w:rsidP="00326B35">
      <w:pPr>
        <w:ind w:left="851"/>
        <w:rPr>
          <w:sz w:val="24"/>
          <w:szCs w:val="24"/>
        </w:rPr>
      </w:pPr>
      <w:r w:rsidRPr="000122CD">
        <w:rPr>
          <w:sz w:val="24"/>
          <w:szCs w:val="24"/>
        </w:rPr>
        <w:t>Orale dråber, opløsning</w:t>
      </w:r>
    </w:p>
    <w:p w14:paraId="2F5F16E8" w14:textId="77777777" w:rsidR="007A1A27" w:rsidRPr="000122CD" w:rsidRDefault="007A1A27" w:rsidP="00326B35">
      <w:pPr>
        <w:ind w:left="851"/>
        <w:rPr>
          <w:sz w:val="24"/>
          <w:szCs w:val="24"/>
        </w:rPr>
      </w:pPr>
    </w:p>
    <w:p w14:paraId="75B82624" w14:textId="77777777" w:rsidR="00570AAF" w:rsidRPr="000122CD" w:rsidRDefault="00570AAF" w:rsidP="00326B35">
      <w:pPr>
        <w:ind w:left="851"/>
        <w:rPr>
          <w:sz w:val="24"/>
          <w:szCs w:val="24"/>
        </w:rPr>
      </w:pPr>
      <w:r w:rsidRPr="000122CD">
        <w:rPr>
          <w:sz w:val="24"/>
          <w:szCs w:val="24"/>
        </w:rPr>
        <w:t>Mørkebrun opløsning.</w:t>
      </w:r>
    </w:p>
    <w:p w14:paraId="37B79CD3" w14:textId="718C6114" w:rsidR="009260DE" w:rsidRPr="000122CD" w:rsidRDefault="009260DE" w:rsidP="009260DE">
      <w:pPr>
        <w:tabs>
          <w:tab w:val="left" w:pos="851"/>
        </w:tabs>
        <w:ind w:left="851"/>
        <w:rPr>
          <w:sz w:val="24"/>
          <w:szCs w:val="24"/>
        </w:rPr>
      </w:pPr>
    </w:p>
    <w:p w14:paraId="443C1527" w14:textId="77777777" w:rsidR="009260DE" w:rsidRPr="000122CD" w:rsidRDefault="009260DE" w:rsidP="009260DE">
      <w:pPr>
        <w:tabs>
          <w:tab w:val="left" w:pos="851"/>
        </w:tabs>
        <w:ind w:left="851"/>
        <w:rPr>
          <w:sz w:val="24"/>
          <w:szCs w:val="24"/>
        </w:rPr>
      </w:pPr>
    </w:p>
    <w:p w14:paraId="50046164" w14:textId="77777777" w:rsidR="009260DE" w:rsidRPr="000122CD" w:rsidRDefault="009260DE" w:rsidP="009260DE">
      <w:pPr>
        <w:tabs>
          <w:tab w:val="left" w:pos="851"/>
        </w:tabs>
        <w:ind w:left="851" w:hanging="851"/>
        <w:rPr>
          <w:b/>
          <w:sz w:val="24"/>
          <w:szCs w:val="24"/>
        </w:rPr>
      </w:pPr>
      <w:r w:rsidRPr="000122CD">
        <w:rPr>
          <w:b/>
          <w:sz w:val="24"/>
          <w:szCs w:val="24"/>
        </w:rPr>
        <w:t>4.</w:t>
      </w:r>
      <w:r w:rsidRPr="000122CD">
        <w:rPr>
          <w:b/>
          <w:sz w:val="24"/>
          <w:szCs w:val="24"/>
        </w:rPr>
        <w:tab/>
        <w:t>KLINISKE OPLYSNINGER</w:t>
      </w:r>
    </w:p>
    <w:p w14:paraId="53192C91" w14:textId="77777777" w:rsidR="009260DE" w:rsidRPr="000122CD" w:rsidRDefault="009260DE" w:rsidP="009260DE">
      <w:pPr>
        <w:tabs>
          <w:tab w:val="left" w:pos="851"/>
        </w:tabs>
        <w:ind w:left="851"/>
        <w:rPr>
          <w:b/>
          <w:sz w:val="24"/>
          <w:szCs w:val="24"/>
        </w:rPr>
      </w:pPr>
    </w:p>
    <w:p w14:paraId="07CF9E75" w14:textId="77777777" w:rsidR="009260DE" w:rsidRPr="000122CD" w:rsidRDefault="009260DE" w:rsidP="009260DE">
      <w:pPr>
        <w:tabs>
          <w:tab w:val="left" w:pos="851"/>
        </w:tabs>
        <w:ind w:left="851" w:hanging="851"/>
        <w:rPr>
          <w:b/>
          <w:sz w:val="24"/>
          <w:szCs w:val="24"/>
          <w:u w:val="single"/>
        </w:rPr>
      </w:pPr>
      <w:r w:rsidRPr="000122CD">
        <w:rPr>
          <w:b/>
          <w:sz w:val="24"/>
          <w:szCs w:val="24"/>
        </w:rPr>
        <w:t>4.1</w:t>
      </w:r>
      <w:r w:rsidRPr="000122CD">
        <w:rPr>
          <w:b/>
          <w:sz w:val="24"/>
          <w:szCs w:val="24"/>
        </w:rPr>
        <w:tab/>
        <w:t>Terapeutiske indikationer</w:t>
      </w:r>
    </w:p>
    <w:p w14:paraId="3B60C75E" w14:textId="77777777" w:rsidR="00570AAF" w:rsidRPr="000122CD" w:rsidRDefault="00570AAF" w:rsidP="00326B35">
      <w:pPr>
        <w:ind w:left="851"/>
        <w:rPr>
          <w:sz w:val="24"/>
          <w:szCs w:val="24"/>
        </w:rPr>
      </w:pPr>
      <w:r w:rsidRPr="000122CD">
        <w:rPr>
          <w:sz w:val="24"/>
          <w:szCs w:val="24"/>
        </w:rPr>
        <w:t>Behandling og forebyggelse af jernmangel.</w:t>
      </w:r>
    </w:p>
    <w:p w14:paraId="3B23682E" w14:textId="77777777" w:rsidR="009260DE" w:rsidRPr="000122CD" w:rsidRDefault="009260DE" w:rsidP="009260DE">
      <w:pPr>
        <w:tabs>
          <w:tab w:val="left" w:pos="851"/>
        </w:tabs>
        <w:ind w:left="851"/>
        <w:rPr>
          <w:sz w:val="24"/>
          <w:szCs w:val="24"/>
        </w:rPr>
      </w:pPr>
    </w:p>
    <w:p w14:paraId="586073E4" w14:textId="33A4310C" w:rsidR="009260DE" w:rsidRPr="000122CD" w:rsidRDefault="009260DE" w:rsidP="009260DE">
      <w:pPr>
        <w:tabs>
          <w:tab w:val="left" w:pos="851"/>
        </w:tabs>
        <w:ind w:left="851" w:hanging="851"/>
        <w:rPr>
          <w:b/>
          <w:sz w:val="24"/>
          <w:szCs w:val="24"/>
        </w:rPr>
      </w:pPr>
      <w:r w:rsidRPr="000122CD">
        <w:rPr>
          <w:b/>
          <w:sz w:val="24"/>
          <w:szCs w:val="24"/>
        </w:rPr>
        <w:t>4.2</w:t>
      </w:r>
      <w:r w:rsidRPr="000122CD">
        <w:rPr>
          <w:b/>
          <w:sz w:val="24"/>
          <w:szCs w:val="24"/>
        </w:rPr>
        <w:tab/>
        <w:t xml:space="preserve">Dosering og </w:t>
      </w:r>
      <w:r w:rsidR="00761CE9">
        <w:rPr>
          <w:b/>
          <w:sz w:val="24"/>
          <w:szCs w:val="24"/>
        </w:rPr>
        <w:t>administration</w:t>
      </w:r>
    </w:p>
    <w:p w14:paraId="0EA0248E" w14:textId="77777777" w:rsidR="00570AAF" w:rsidRPr="000122CD" w:rsidRDefault="00570AAF" w:rsidP="00570AAF">
      <w:pPr>
        <w:rPr>
          <w:sz w:val="24"/>
          <w:szCs w:val="24"/>
        </w:rPr>
      </w:pPr>
    </w:p>
    <w:p w14:paraId="03FBD229" w14:textId="77777777" w:rsidR="00761CE9" w:rsidRDefault="00761CE9" w:rsidP="00761CE9">
      <w:pPr>
        <w:ind w:left="851"/>
        <w:rPr>
          <w:sz w:val="24"/>
          <w:szCs w:val="24"/>
          <w:u w:val="single"/>
        </w:rPr>
      </w:pPr>
      <w:r>
        <w:rPr>
          <w:sz w:val="24"/>
          <w:szCs w:val="24"/>
          <w:u w:val="single"/>
        </w:rPr>
        <w:t>Dosering</w:t>
      </w:r>
    </w:p>
    <w:p w14:paraId="72F3E8A4" w14:textId="6B66911F" w:rsidR="00761CE9" w:rsidRDefault="00761CE9" w:rsidP="00761CE9">
      <w:pPr>
        <w:ind w:left="851"/>
        <w:rPr>
          <w:sz w:val="24"/>
          <w:szCs w:val="24"/>
        </w:rPr>
      </w:pPr>
      <w:r>
        <w:rPr>
          <w:sz w:val="24"/>
          <w:szCs w:val="24"/>
        </w:rPr>
        <w:t>Dosis og varigheden af behandlingen afhænger af omfanget af jernmangel.</w:t>
      </w:r>
    </w:p>
    <w:p w14:paraId="1230D9FC" w14:textId="77777777" w:rsidR="00761CE9" w:rsidRDefault="00761CE9" w:rsidP="00761CE9">
      <w:pPr>
        <w:rPr>
          <w:sz w:val="24"/>
          <w:szCs w:val="24"/>
        </w:rPr>
      </w:pPr>
    </w:p>
    <w:p w14:paraId="77275C81" w14:textId="77777777" w:rsidR="00761CE9" w:rsidRDefault="00761CE9" w:rsidP="00761CE9">
      <w:pPr>
        <w:pStyle w:val="EmphasisStrong"/>
        <w:ind w:left="851"/>
        <w:rPr>
          <w:rStyle w:val="Fremhv"/>
          <w:i/>
          <w:iCs w:val="0"/>
        </w:rPr>
      </w:pPr>
      <w:r>
        <w:rPr>
          <w:rStyle w:val="Fremhv"/>
          <w:sz w:val="24"/>
          <w:szCs w:val="24"/>
        </w:rPr>
        <w:t>Behandling og forebyggelse af jernmangel herunder anæmi som skyldes jernmangel:</w:t>
      </w:r>
    </w:p>
    <w:tbl>
      <w:tblPr>
        <w:tblStyle w:val="Tabel-Gitter"/>
        <w:tblW w:w="4343" w:type="pct"/>
        <w:tblInd w:w="846" w:type="dxa"/>
        <w:tblLook w:val="04A0" w:firstRow="1" w:lastRow="0" w:firstColumn="1" w:lastColumn="0" w:noHBand="0" w:noVBand="1"/>
      </w:tblPr>
      <w:tblGrid>
        <w:gridCol w:w="3260"/>
        <w:gridCol w:w="2551"/>
        <w:gridCol w:w="2552"/>
      </w:tblGrid>
      <w:tr w:rsidR="00761CE9" w14:paraId="5985B28F" w14:textId="77777777" w:rsidTr="00761CE9">
        <w:tc>
          <w:tcPr>
            <w:tcW w:w="1949" w:type="pct"/>
            <w:tcBorders>
              <w:top w:val="single" w:sz="4" w:space="0" w:color="auto"/>
              <w:left w:val="single" w:sz="4" w:space="0" w:color="auto"/>
              <w:bottom w:val="single" w:sz="4" w:space="0" w:color="auto"/>
              <w:right w:val="single" w:sz="4" w:space="0" w:color="auto"/>
            </w:tcBorders>
          </w:tcPr>
          <w:p w14:paraId="3C14B767" w14:textId="77777777" w:rsidR="00761CE9" w:rsidRDefault="00761CE9"/>
        </w:tc>
        <w:tc>
          <w:tcPr>
            <w:tcW w:w="1525" w:type="pct"/>
            <w:tcBorders>
              <w:top w:val="single" w:sz="4" w:space="0" w:color="auto"/>
              <w:left w:val="single" w:sz="4" w:space="0" w:color="auto"/>
              <w:bottom w:val="single" w:sz="4" w:space="0" w:color="auto"/>
              <w:right w:val="single" w:sz="4" w:space="0" w:color="auto"/>
            </w:tcBorders>
            <w:hideMark/>
          </w:tcPr>
          <w:p w14:paraId="01CCABAF" w14:textId="77777777" w:rsidR="00761CE9" w:rsidRDefault="00761CE9">
            <w:pPr>
              <w:rPr>
                <w:rFonts w:ascii="Times New Roman" w:hAnsi="Times New Roman"/>
                <w:sz w:val="24"/>
                <w:szCs w:val="24"/>
              </w:rPr>
            </w:pPr>
            <w:r>
              <w:rPr>
                <w:rFonts w:ascii="Times New Roman" w:hAnsi="Times New Roman"/>
                <w:sz w:val="24"/>
                <w:szCs w:val="24"/>
              </w:rPr>
              <w:t>Dagligt jernbehov</w:t>
            </w:r>
          </w:p>
        </w:tc>
        <w:tc>
          <w:tcPr>
            <w:tcW w:w="1526" w:type="pct"/>
            <w:tcBorders>
              <w:top w:val="single" w:sz="4" w:space="0" w:color="auto"/>
              <w:left w:val="single" w:sz="4" w:space="0" w:color="auto"/>
              <w:bottom w:val="single" w:sz="4" w:space="0" w:color="auto"/>
              <w:right w:val="single" w:sz="4" w:space="0" w:color="auto"/>
            </w:tcBorders>
            <w:hideMark/>
          </w:tcPr>
          <w:p w14:paraId="23E31412" w14:textId="77777777" w:rsidR="00761CE9" w:rsidRDefault="00761CE9">
            <w:pPr>
              <w:rPr>
                <w:rFonts w:ascii="Times New Roman" w:hAnsi="Times New Roman"/>
                <w:sz w:val="24"/>
                <w:szCs w:val="24"/>
              </w:rPr>
            </w:pPr>
            <w:r>
              <w:rPr>
                <w:rFonts w:ascii="Times New Roman" w:hAnsi="Times New Roman"/>
                <w:sz w:val="24"/>
                <w:szCs w:val="24"/>
              </w:rPr>
              <w:t>Dosering</w:t>
            </w:r>
          </w:p>
        </w:tc>
      </w:tr>
      <w:tr w:rsidR="00761CE9" w14:paraId="08858E06" w14:textId="77777777" w:rsidTr="00761CE9">
        <w:tc>
          <w:tcPr>
            <w:tcW w:w="1949" w:type="pct"/>
            <w:tcBorders>
              <w:top w:val="single" w:sz="4" w:space="0" w:color="auto"/>
              <w:left w:val="single" w:sz="4" w:space="0" w:color="auto"/>
              <w:bottom w:val="single" w:sz="4" w:space="0" w:color="auto"/>
              <w:right w:val="single" w:sz="4" w:space="0" w:color="auto"/>
            </w:tcBorders>
            <w:hideMark/>
          </w:tcPr>
          <w:p w14:paraId="791FF562" w14:textId="77777777" w:rsidR="00761CE9" w:rsidRDefault="00761CE9">
            <w:pPr>
              <w:rPr>
                <w:rStyle w:val="Fremhv"/>
              </w:rPr>
            </w:pPr>
            <w:r>
              <w:rPr>
                <w:rStyle w:val="EmphasisStrongChar"/>
                <w:rFonts w:ascii="Times New Roman" w:hAnsi="Times New Roman"/>
                <w:sz w:val="24"/>
                <w:szCs w:val="24"/>
              </w:rPr>
              <w:t>Spædbørn</w:t>
            </w:r>
            <w:r>
              <w:rPr>
                <w:rStyle w:val="Fremhv"/>
                <w:rFonts w:ascii="Times New Roman" w:hAnsi="Times New Roman"/>
                <w:sz w:val="24"/>
                <w:szCs w:val="24"/>
              </w:rPr>
              <w:t xml:space="preserve"> (2 kg – mindre end 15 kg)</w:t>
            </w:r>
          </w:p>
        </w:tc>
        <w:tc>
          <w:tcPr>
            <w:tcW w:w="1525" w:type="pct"/>
            <w:tcBorders>
              <w:top w:val="single" w:sz="4" w:space="0" w:color="auto"/>
              <w:left w:val="single" w:sz="4" w:space="0" w:color="auto"/>
              <w:bottom w:val="single" w:sz="4" w:space="0" w:color="auto"/>
              <w:right w:val="single" w:sz="4" w:space="0" w:color="auto"/>
            </w:tcBorders>
            <w:hideMark/>
          </w:tcPr>
          <w:p w14:paraId="5A159DD9" w14:textId="77777777" w:rsidR="00761CE9" w:rsidRDefault="00761CE9">
            <w:pPr>
              <w:rPr>
                <w:rStyle w:val="Fremhv"/>
                <w:rFonts w:ascii="Times New Roman" w:hAnsi="Times New Roman"/>
                <w:sz w:val="24"/>
                <w:szCs w:val="24"/>
              </w:rPr>
            </w:pPr>
            <w:r>
              <w:rPr>
                <w:rStyle w:val="Fremhv"/>
                <w:rFonts w:ascii="Times New Roman" w:hAnsi="Times New Roman"/>
                <w:sz w:val="24"/>
                <w:szCs w:val="24"/>
              </w:rPr>
              <w:t>2.5-5 mg jern pr kg. kropsvægt</w:t>
            </w:r>
          </w:p>
        </w:tc>
        <w:tc>
          <w:tcPr>
            <w:tcW w:w="1526" w:type="pct"/>
            <w:tcBorders>
              <w:top w:val="single" w:sz="4" w:space="0" w:color="auto"/>
              <w:left w:val="single" w:sz="4" w:space="0" w:color="auto"/>
              <w:bottom w:val="single" w:sz="4" w:space="0" w:color="auto"/>
              <w:right w:val="single" w:sz="4" w:space="0" w:color="auto"/>
            </w:tcBorders>
            <w:hideMark/>
          </w:tcPr>
          <w:p w14:paraId="0A556161" w14:textId="77777777" w:rsidR="00761CE9" w:rsidRDefault="00761CE9">
            <w:pPr>
              <w:rPr>
                <w:rStyle w:val="Fremhv"/>
                <w:rFonts w:ascii="Times New Roman" w:hAnsi="Times New Roman"/>
                <w:sz w:val="24"/>
                <w:szCs w:val="24"/>
              </w:rPr>
            </w:pPr>
            <w:r>
              <w:rPr>
                <w:rStyle w:val="Fremhv"/>
                <w:rFonts w:ascii="Times New Roman" w:hAnsi="Times New Roman"/>
                <w:sz w:val="24"/>
                <w:szCs w:val="24"/>
              </w:rPr>
              <w:t>1–2 dråber pr. kg kropsvægt dagligt</w:t>
            </w:r>
            <w:r>
              <w:rPr>
                <w:rFonts w:ascii="Times New Roman" w:hAnsi="Times New Roman"/>
                <w:i/>
                <w:iCs/>
                <w:sz w:val="24"/>
                <w:szCs w:val="24"/>
              </w:rPr>
              <w:br/>
            </w:r>
          </w:p>
        </w:tc>
      </w:tr>
      <w:tr w:rsidR="00761CE9" w14:paraId="07E94B1A" w14:textId="77777777" w:rsidTr="00761CE9">
        <w:tc>
          <w:tcPr>
            <w:tcW w:w="1949" w:type="pct"/>
            <w:tcBorders>
              <w:top w:val="single" w:sz="4" w:space="0" w:color="auto"/>
              <w:left w:val="single" w:sz="4" w:space="0" w:color="auto"/>
              <w:bottom w:val="single" w:sz="4" w:space="0" w:color="auto"/>
              <w:right w:val="single" w:sz="4" w:space="0" w:color="auto"/>
            </w:tcBorders>
            <w:hideMark/>
          </w:tcPr>
          <w:p w14:paraId="06A6301C" w14:textId="77777777" w:rsidR="00761CE9" w:rsidRDefault="00761CE9">
            <w:pPr>
              <w:rPr>
                <w:rStyle w:val="Fremhv"/>
                <w:rFonts w:ascii="Times New Roman" w:hAnsi="Times New Roman"/>
                <w:sz w:val="24"/>
                <w:szCs w:val="24"/>
              </w:rPr>
            </w:pPr>
            <w:r>
              <w:rPr>
                <w:rStyle w:val="EmphasisStrongChar"/>
                <w:rFonts w:ascii="Times New Roman" w:hAnsi="Times New Roman"/>
                <w:sz w:val="24"/>
                <w:szCs w:val="24"/>
              </w:rPr>
              <w:t xml:space="preserve">Børn </w:t>
            </w:r>
            <w:r>
              <w:rPr>
                <w:rStyle w:val="Fremhv"/>
                <w:rFonts w:ascii="Times New Roman" w:hAnsi="Times New Roman"/>
                <w:sz w:val="24"/>
                <w:szCs w:val="24"/>
              </w:rPr>
              <w:t>(15 kg – 30 kg)</w:t>
            </w:r>
          </w:p>
        </w:tc>
        <w:tc>
          <w:tcPr>
            <w:tcW w:w="1525" w:type="pct"/>
            <w:tcBorders>
              <w:top w:val="single" w:sz="4" w:space="0" w:color="auto"/>
              <w:left w:val="single" w:sz="4" w:space="0" w:color="auto"/>
              <w:bottom w:val="single" w:sz="4" w:space="0" w:color="auto"/>
              <w:right w:val="single" w:sz="4" w:space="0" w:color="auto"/>
            </w:tcBorders>
            <w:hideMark/>
          </w:tcPr>
          <w:p w14:paraId="309050EE" w14:textId="77777777" w:rsidR="00761CE9" w:rsidRDefault="00761CE9">
            <w:pPr>
              <w:rPr>
                <w:rStyle w:val="Fremhv"/>
                <w:rFonts w:ascii="Times New Roman" w:hAnsi="Times New Roman"/>
                <w:sz w:val="24"/>
                <w:szCs w:val="24"/>
              </w:rPr>
            </w:pPr>
            <w:r>
              <w:rPr>
                <w:rStyle w:val="Fremhv"/>
                <w:rFonts w:ascii="Times New Roman" w:hAnsi="Times New Roman"/>
                <w:sz w:val="24"/>
                <w:szCs w:val="24"/>
              </w:rPr>
              <w:t>25-100 mg jern</w:t>
            </w:r>
          </w:p>
        </w:tc>
        <w:tc>
          <w:tcPr>
            <w:tcW w:w="1526" w:type="pct"/>
            <w:tcBorders>
              <w:top w:val="single" w:sz="4" w:space="0" w:color="auto"/>
              <w:left w:val="single" w:sz="4" w:space="0" w:color="auto"/>
              <w:bottom w:val="single" w:sz="4" w:space="0" w:color="auto"/>
              <w:right w:val="single" w:sz="4" w:space="0" w:color="auto"/>
            </w:tcBorders>
            <w:hideMark/>
          </w:tcPr>
          <w:p w14:paraId="2B7D7B20" w14:textId="77777777" w:rsidR="00761CE9" w:rsidRDefault="00761CE9">
            <w:pPr>
              <w:rPr>
                <w:rStyle w:val="Fremhv"/>
                <w:rFonts w:ascii="Times New Roman" w:hAnsi="Times New Roman"/>
                <w:sz w:val="24"/>
                <w:szCs w:val="24"/>
              </w:rPr>
            </w:pPr>
            <w:r>
              <w:rPr>
                <w:rStyle w:val="Fremhv"/>
                <w:rFonts w:ascii="Times New Roman" w:hAnsi="Times New Roman"/>
                <w:sz w:val="24"/>
                <w:szCs w:val="24"/>
              </w:rPr>
              <w:t xml:space="preserve">10 – 40 dråber dagligt </w:t>
            </w:r>
            <w:r>
              <w:rPr>
                <w:rStyle w:val="EmphasisUnderline"/>
                <w:rFonts w:ascii="Times New Roman" w:hAnsi="Times New Roman"/>
                <w:sz w:val="24"/>
                <w:szCs w:val="24"/>
              </w:rPr>
              <w:t>(0,5 – 2 ml dagligt)</w:t>
            </w:r>
            <w:r>
              <w:rPr>
                <w:rStyle w:val="EmphasisUnderline"/>
                <w:rFonts w:ascii="Times New Roman" w:hAnsi="Times New Roman"/>
                <w:sz w:val="24"/>
                <w:szCs w:val="24"/>
              </w:rPr>
              <w:br/>
            </w:r>
          </w:p>
        </w:tc>
      </w:tr>
      <w:tr w:rsidR="00761CE9" w14:paraId="2CA4FBBA" w14:textId="77777777" w:rsidTr="00761CE9">
        <w:tc>
          <w:tcPr>
            <w:tcW w:w="1949" w:type="pct"/>
            <w:tcBorders>
              <w:top w:val="single" w:sz="4" w:space="0" w:color="auto"/>
              <w:left w:val="single" w:sz="4" w:space="0" w:color="auto"/>
              <w:bottom w:val="single" w:sz="4" w:space="0" w:color="auto"/>
              <w:right w:val="single" w:sz="4" w:space="0" w:color="auto"/>
            </w:tcBorders>
            <w:hideMark/>
          </w:tcPr>
          <w:p w14:paraId="1BF2DB12" w14:textId="77777777" w:rsidR="00761CE9" w:rsidRDefault="00761CE9">
            <w:r>
              <w:rPr>
                <w:rStyle w:val="EmphasisStrongChar"/>
                <w:rFonts w:ascii="Times New Roman" w:hAnsi="Times New Roman"/>
                <w:sz w:val="24"/>
                <w:szCs w:val="24"/>
              </w:rPr>
              <w:t>Børn</w:t>
            </w:r>
            <w:r>
              <w:rPr>
                <w:rFonts w:ascii="Times New Roman" w:hAnsi="Times New Roman"/>
                <w:sz w:val="24"/>
                <w:szCs w:val="24"/>
              </w:rPr>
              <w:t xml:space="preserve"> </w:t>
            </w:r>
            <w:r>
              <w:rPr>
                <w:rStyle w:val="Fremhv"/>
                <w:rFonts w:ascii="Times New Roman" w:hAnsi="Times New Roman"/>
                <w:sz w:val="24"/>
                <w:szCs w:val="24"/>
              </w:rPr>
              <w:t>(&gt; 30 kg),</w:t>
            </w:r>
            <w:r>
              <w:rPr>
                <w:rFonts w:ascii="Times New Roman" w:hAnsi="Times New Roman"/>
                <w:sz w:val="24"/>
                <w:szCs w:val="24"/>
              </w:rPr>
              <w:t xml:space="preserve"> </w:t>
            </w:r>
            <w:r>
              <w:rPr>
                <w:rStyle w:val="EmphasisStrongChar"/>
                <w:rFonts w:ascii="Times New Roman" w:hAnsi="Times New Roman"/>
                <w:sz w:val="24"/>
                <w:szCs w:val="24"/>
              </w:rPr>
              <w:t>voksne og gravide kvinder</w:t>
            </w:r>
          </w:p>
        </w:tc>
        <w:tc>
          <w:tcPr>
            <w:tcW w:w="1525" w:type="pct"/>
            <w:tcBorders>
              <w:top w:val="single" w:sz="4" w:space="0" w:color="auto"/>
              <w:left w:val="single" w:sz="4" w:space="0" w:color="auto"/>
              <w:bottom w:val="single" w:sz="4" w:space="0" w:color="auto"/>
              <w:right w:val="single" w:sz="4" w:space="0" w:color="auto"/>
            </w:tcBorders>
            <w:hideMark/>
          </w:tcPr>
          <w:p w14:paraId="4ECB04F9" w14:textId="77777777" w:rsidR="00761CE9" w:rsidRDefault="00761CE9">
            <w:pPr>
              <w:rPr>
                <w:rStyle w:val="Fremhv"/>
              </w:rPr>
            </w:pPr>
            <w:r>
              <w:rPr>
                <w:rStyle w:val="Fremhv"/>
                <w:rFonts w:ascii="Times New Roman" w:hAnsi="Times New Roman"/>
                <w:sz w:val="24"/>
                <w:szCs w:val="24"/>
              </w:rPr>
              <w:t>50-300* mg jern</w:t>
            </w:r>
          </w:p>
        </w:tc>
        <w:tc>
          <w:tcPr>
            <w:tcW w:w="1526" w:type="pct"/>
            <w:tcBorders>
              <w:top w:val="single" w:sz="4" w:space="0" w:color="auto"/>
              <w:left w:val="single" w:sz="4" w:space="0" w:color="auto"/>
              <w:bottom w:val="single" w:sz="4" w:space="0" w:color="auto"/>
              <w:right w:val="single" w:sz="4" w:space="0" w:color="auto"/>
            </w:tcBorders>
            <w:hideMark/>
          </w:tcPr>
          <w:p w14:paraId="5D8AB094" w14:textId="77777777" w:rsidR="00761CE9" w:rsidRDefault="00761CE9">
            <w:pPr>
              <w:rPr>
                <w:rStyle w:val="Fremhv"/>
                <w:rFonts w:ascii="Times New Roman" w:hAnsi="Times New Roman"/>
                <w:sz w:val="24"/>
                <w:szCs w:val="24"/>
              </w:rPr>
            </w:pPr>
            <w:r>
              <w:rPr>
                <w:rStyle w:val="Fremhv"/>
                <w:rFonts w:ascii="Times New Roman" w:hAnsi="Times New Roman"/>
                <w:sz w:val="24"/>
                <w:szCs w:val="24"/>
              </w:rPr>
              <w:t>20 – 60</w:t>
            </w:r>
            <w:r>
              <w:rPr>
                <w:rStyle w:val="Fremhv"/>
                <w:sz w:val="24"/>
                <w:szCs w:val="24"/>
              </w:rPr>
              <w:t xml:space="preserve"> dråber dagligt </w:t>
            </w:r>
            <w:r>
              <w:rPr>
                <w:rStyle w:val="EmphasisUnderline"/>
                <w:sz w:val="24"/>
                <w:szCs w:val="24"/>
              </w:rPr>
              <w:t>(1 – 3 ml dagligt</w:t>
            </w:r>
            <w:r>
              <w:rPr>
                <w:rStyle w:val="EmphasisUnderline"/>
                <w:sz w:val="24"/>
                <w:szCs w:val="24"/>
              </w:rPr>
              <w:br/>
            </w:r>
          </w:p>
        </w:tc>
      </w:tr>
    </w:tbl>
    <w:p w14:paraId="5059DFDE" w14:textId="77777777" w:rsidR="00761CE9" w:rsidRDefault="00761CE9" w:rsidP="00761CE9">
      <w:pPr>
        <w:rPr>
          <w:sz w:val="24"/>
          <w:szCs w:val="24"/>
        </w:rPr>
      </w:pPr>
    </w:p>
    <w:p w14:paraId="22EE2490" w14:textId="77777777" w:rsidR="00761CE9" w:rsidRDefault="00761CE9" w:rsidP="00761CE9">
      <w:pPr>
        <w:ind w:left="851"/>
        <w:rPr>
          <w:sz w:val="24"/>
          <w:szCs w:val="24"/>
        </w:rPr>
      </w:pPr>
      <w:r>
        <w:rPr>
          <w:sz w:val="24"/>
          <w:szCs w:val="24"/>
        </w:rPr>
        <w:t>*</w:t>
      </w:r>
      <w:proofErr w:type="spellStart"/>
      <w:r>
        <w:rPr>
          <w:sz w:val="24"/>
          <w:szCs w:val="24"/>
        </w:rPr>
        <w:t>Maltofer</w:t>
      </w:r>
      <w:proofErr w:type="spellEnd"/>
      <w:r>
        <w:rPr>
          <w:sz w:val="24"/>
          <w:szCs w:val="24"/>
        </w:rPr>
        <w:t xml:space="preserve"> tyggetabletter bør anvendes ved et dagligt behov for jern, der overstiger 150 mg jern (</w:t>
      </w:r>
      <w:r>
        <w:rPr>
          <w:rStyle w:val="Fremhv"/>
          <w:sz w:val="24"/>
          <w:szCs w:val="24"/>
        </w:rPr>
        <w:t>60 dråber)</w:t>
      </w:r>
      <w:r>
        <w:rPr>
          <w:sz w:val="24"/>
          <w:szCs w:val="24"/>
        </w:rPr>
        <w:t xml:space="preserve"> (2 tyggetabletter svarer </w:t>
      </w:r>
      <w:proofErr w:type="spellStart"/>
      <w:r>
        <w:rPr>
          <w:sz w:val="24"/>
          <w:szCs w:val="24"/>
        </w:rPr>
        <w:t>f.eks.til</w:t>
      </w:r>
      <w:proofErr w:type="spellEnd"/>
      <w:r>
        <w:rPr>
          <w:sz w:val="24"/>
          <w:szCs w:val="24"/>
        </w:rPr>
        <w:t xml:space="preserve"> 200 mg jern).</w:t>
      </w:r>
    </w:p>
    <w:p w14:paraId="24FD64C8" w14:textId="77777777" w:rsidR="00761CE9" w:rsidRDefault="00761CE9" w:rsidP="00761CE9">
      <w:pPr>
        <w:ind w:left="851"/>
        <w:rPr>
          <w:sz w:val="24"/>
          <w:szCs w:val="24"/>
        </w:rPr>
      </w:pPr>
    </w:p>
    <w:p w14:paraId="2810168A" w14:textId="77777777" w:rsidR="00761CE9" w:rsidRDefault="00761CE9" w:rsidP="00761CE9">
      <w:pPr>
        <w:ind w:left="851"/>
        <w:rPr>
          <w:sz w:val="24"/>
          <w:szCs w:val="24"/>
        </w:rPr>
      </w:pPr>
      <w:r>
        <w:rPr>
          <w:sz w:val="24"/>
          <w:szCs w:val="24"/>
        </w:rPr>
        <w:t xml:space="preserve">For at undgå fejl i optællingen anbefales det at opdele den daglige dosis i separate doser af maksimalt 20 dråber.  </w:t>
      </w:r>
    </w:p>
    <w:p w14:paraId="0C3D635C" w14:textId="77777777" w:rsidR="00761CE9" w:rsidRDefault="00761CE9" w:rsidP="00761CE9">
      <w:pPr>
        <w:ind w:left="851"/>
        <w:rPr>
          <w:sz w:val="24"/>
          <w:szCs w:val="24"/>
        </w:rPr>
      </w:pPr>
      <w:r>
        <w:rPr>
          <w:sz w:val="24"/>
          <w:szCs w:val="24"/>
        </w:rPr>
        <w:tab/>
      </w:r>
    </w:p>
    <w:tbl>
      <w:tblPr>
        <w:tblStyle w:val="Tabel-Gitter"/>
        <w:tblW w:w="0" w:type="auto"/>
        <w:tblInd w:w="846" w:type="dxa"/>
        <w:tblLook w:val="04A0" w:firstRow="1" w:lastRow="0" w:firstColumn="1" w:lastColumn="0" w:noHBand="0" w:noVBand="1"/>
      </w:tblPr>
      <w:tblGrid>
        <w:gridCol w:w="2830"/>
        <w:gridCol w:w="4824"/>
      </w:tblGrid>
      <w:tr w:rsidR="00761CE9" w14:paraId="488DA3C9" w14:textId="77777777" w:rsidTr="00761CE9">
        <w:tc>
          <w:tcPr>
            <w:tcW w:w="2830" w:type="dxa"/>
            <w:tcBorders>
              <w:top w:val="single" w:sz="4" w:space="0" w:color="auto"/>
              <w:left w:val="single" w:sz="4" w:space="0" w:color="auto"/>
              <w:bottom w:val="single" w:sz="4" w:space="0" w:color="auto"/>
              <w:right w:val="single" w:sz="4" w:space="0" w:color="auto"/>
            </w:tcBorders>
            <w:hideMark/>
          </w:tcPr>
          <w:p w14:paraId="2A196EE1" w14:textId="77777777" w:rsidR="00761CE9" w:rsidRDefault="00761CE9">
            <w:pPr>
              <w:rPr>
                <w:rStyle w:val="Strk"/>
                <w:rFonts w:ascii="Times New Roman" w:hAnsi="Times New Roman"/>
              </w:rPr>
            </w:pPr>
            <w:r>
              <w:rPr>
                <w:rStyle w:val="Strk"/>
                <w:sz w:val="24"/>
                <w:szCs w:val="24"/>
              </w:rPr>
              <w:t>Samlet antal dråber, der skal tages</w:t>
            </w:r>
          </w:p>
        </w:tc>
        <w:tc>
          <w:tcPr>
            <w:tcW w:w="4824" w:type="dxa"/>
            <w:tcBorders>
              <w:top w:val="single" w:sz="4" w:space="0" w:color="auto"/>
              <w:left w:val="single" w:sz="4" w:space="0" w:color="auto"/>
              <w:bottom w:val="single" w:sz="4" w:space="0" w:color="auto"/>
              <w:right w:val="single" w:sz="4" w:space="0" w:color="auto"/>
            </w:tcBorders>
            <w:hideMark/>
          </w:tcPr>
          <w:p w14:paraId="2CBF78E5" w14:textId="77777777" w:rsidR="00761CE9" w:rsidRDefault="00761CE9">
            <w:pPr>
              <w:rPr>
                <w:rStyle w:val="Strk"/>
                <w:rFonts w:ascii="Times New Roman" w:hAnsi="Times New Roman"/>
                <w:sz w:val="24"/>
                <w:szCs w:val="24"/>
              </w:rPr>
            </w:pPr>
            <w:r>
              <w:rPr>
                <w:rStyle w:val="Strk"/>
                <w:sz w:val="24"/>
                <w:szCs w:val="24"/>
              </w:rPr>
              <w:t>Eksempel på doseringsregime</w:t>
            </w:r>
          </w:p>
        </w:tc>
      </w:tr>
      <w:tr w:rsidR="00761CE9" w14:paraId="4199A634" w14:textId="77777777" w:rsidTr="00761CE9">
        <w:tc>
          <w:tcPr>
            <w:tcW w:w="2830" w:type="dxa"/>
            <w:tcBorders>
              <w:top w:val="single" w:sz="4" w:space="0" w:color="auto"/>
              <w:left w:val="single" w:sz="4" w:space="0" w:color="auto"/>
              <w:bottom w:val="single" w:sz="4" w:space="0" w:color="auto"/>
              <w:right w:val="single" w:sz="4" w:space="0" w:color="auto"/>
            </w:tcBorders>
            <w:hideMark/>
          </w:tcPr>
          <w:p w14:paraId="7CD13181" w14:textId="77777777" w:rsidR="00761CE9" w:rsidRDefault="00761CE9">
            <w:r>
              <w:rPr>
                <w:rFonts w:ascii="Times New Roman" w:hAnsi="Times New Roman"/>
                <w:sz w:val="24"/>
                <w:szCs w:val="24"/>
              </w:rPr>
              <w:t>30 dråber</w:t>
            </w:r>
          </w:p>
        </w:tc>
        <w:tc>
          <w:tcPr>
            <w:tcW w:w="4824" w:type="dxa"/>
            <w:tcBorders>
              <w:top w:val="single" w:sz="4" w:space="0" w:color="auto"/>
              <w:left w:val="single" w:sz="4" w:space="0" w:color="auto"/>
              <w:bottom w:val="single" w:sz="4" w:space="0" w:color="auto"/>
              <w:right w:val="single" w:sz="4" w:space="0" w:color="auto"/>
            </w:tcBorders>
            <w:hideMark/>
          </w:tcPr>
          <w:p w14:paraId="006519C1" w14:textId="77777777" w:rsidR="00761CE9" w:rsidRDefault="00761CE9">
            <w:pPr>
              <w:rPr>
                <w:rFonts w:ascii="Times New Roman" w:hAnsi="Times New Roman"/>
                <w:sz w:val="24"/>
                <w:szCs w:val="24"/>
              </w:rPr>
            </w:pPr>
            <w:r>
              <w:rPr>
                <w:rFonts w:ascii="Times New Roman" w:hAnsi="Times New Roman"/>
                <w:sz w:val="24"/>
                <w:szCs w:val="24"/>
              </w:rPr>
              <w:t>15 dråber 2 gange dagligt</w:t>
            </w:r>
          </w:p>
        </w:tc>
      </w:tr>
      <w:tr w:rsidR="00761CE9" w14:paraId="28A47ACA" w14:textId="77777777" w:rsidTr="00761CE9">
        <w:tc>
          <w:tcPr>
            <w:tcW w:w="2830" w:type="dxa"/>
            <w:tcBorders>
              <w:top w:val="single" w:sz="4" w:space="0" w:color="auto"/>
              <w:left w:val="single" w:sz="4" w:space="0" w:color="auto"/>
              <w:bottom w:val="single" w:sz="4" w:space="0" w:color="auto"/>
              <w:right w:val="single" w:sz="4" w:space="0" w:color="auto"/>
            </w:tcBorders>
            <w:hideMark/>
          </w:tcPr>
          <w:p w14:paraId="3E89EF5C" w14:textId="77777777" w:rsidR="00761CE9" w:rsidRDefault="00761CE9">
            <w:pPr>
              <w:rPr>
                <w:rFonts w:ascii="Times New Roman" w:hAnsi="Times New Roman"/>
                <w:sz w:val="24"/>
                <w:szCs w:val="24"/>
              </w:rPr>
            </w:pPr>
            <w:r>
              <w:rPr>
                <w:rFonts w:ascii="Times New Roman" w:hAnsi="Times New Roman"/>
                <w:sz w:val="24"/>
                <w:szCs w:val="24"/>
              </w:rPr>
              <w:t>40 dråber</w:t>
            </w:r>
          </w:p>
        </w:tc>
        <w:tc>
          <w:tcPr>
            <w:tcW w:w="4824" w:type="dxa"/>
            <w:tcBorders>
              <w:top w:val="single" w:sz="4" w:space="0" w:color="auto"/>
              <w:left w:val="single" w:sz="4" w:space="0" w:color="auto"/>
              <w:bottom w:val="single" w:sz="4" w:space="0" w:color="auto"/>
              <w:right w:val="single" w:sz="4" w:space="0" w:color="auto"/>
            </w:tcBorders>
            <w:hideMark/>
          </w:tcPr>
          <w:p w14:paraId="4CB075D0" w14:textId="77777777" w:rsidR="00761CE9" w:rsidRDefault="00761CE9">
            <w:pPr>
              <w:rPr>
                <w:rFonts w:ascii="Times New Roman" w:hAnsi="Times New Roman"/>
                <w:sz w:val="24"/>
                <w:szCs w:val="24"/>
              </w:rPr>
            </w:pPr>
            <w:r>
              <w:rPr>
                <w:sz w:val="24"/>
                <w:szCs w:val="24"/>
              </w:rPr>
              <w:t>20 dråber 2 gange dagligt</w:t>
            </w:r>
          </w:p>
        </w:tc>
      </w:tr>
      <w:tr w:rsidR="00761CE9" w14:paraId="25B71398" w14:textId="77777777" w:rsidTr="00761CE9">
        <w:tc>
          <w:tcPr>
            <w:tcW w:w="2830" w:type="dxa"/>
            <w:tcBorders>
              <w:top w:val="single" w:sz="4" w:space="0" w:color="auto"/>
              <w:left w:val="single" w:sz="4" w:space="0" w:color="auto"/>
              <w:bottom w:val="single" w:sz="4" w:space="0" w:color="auto"/>
              <w:right w:val="single" w:sz="4" w:space="0" w:color="auto"/>
            </w:tcBorders>
            <w:hideMark/>
          </w:tcPr>
          <w:p w14:paraId="49076323" w14:textId="77777777" w:rsidR="00761CE9" w:rsidRDefault="00761CE9">
            <w:pPr>
              <w:rPr>
                <w:rFonts w:ascii="Times New Roman" w:hAnsi="Times New Roman"/>
                <w:sz w:val="24"/>
                <w:szCs w:val="24"/>
              </w:rPr>
            </w:pPr>
            <w:r>
              <w:rPr>
                <w:rFonts w:ascii="Times New Roman" w:hAnsi="Times New Roman"/>
                <w:sz w:val="24"/>
                <w:szCs w:val="24"/>
              </w:rPr>
              <w:t>50 dråber</w:t>
            </w:r>
          </w:p>
        </w:tc>
        <w:tc>
          <w:tcPr>
            <w:tcW w:w="4824" w:type="dxa"/>
            <w:tcBorders>
              <w:top w:val="single" w:sz="4" w:space="0" w:color="auto"/>
              <w:left w:val="single" w:sz="4" w:space="0" w:color="auto"/>
              <w:bottom w:val="single" w:sz="4" w:space="0" w:color="auto"/>
              <w:right w:val="single" w:sz="4" w:space="0" w:color="auto"/>
            </w:tcBorders>
            <w:hideMark/>
          </w:tcPr>
          <w:p w14:paraId="3B7301B1" w14:textId="77777777" w:rsidR="00761CE9" w:rsidRDefault="00761CE9">
            <w:pPr>
              <w:rPr>
                <w:rFonts w:ascii="Times New Roman" w:hAnsi="Times New Roman"/>
                <w:sz w:val="24"/>
                <w:szCs w:val="24"/>
              </w:rPr>
            </w:pPr>
            <w:r>
              <w:rPr>
                <w:rFonts w:ascii="Times New Roman" w:hAnsi="Times New Roman"/>
                <w:sz w:val="24"/>
                <w:szCs w:val="24"/>
              </w:rPr>
              <w:t>15 dråber 2 gange dagligt</w:t>
            </w:r>
          </w:p>
          <w:p w14:paraId="4614C42F" w14:textId="77777777" w:rsidR="00761CE9" w:rsidRDefault="00761CE9">
            <w:pPr>
              <w:rPr>
                <w:rFonts w:ascii="Times New Roman" w:hAnsi="Times New Roman"/>
                <w:sz w:val="24"/>
                <w:szCs w:val="24"/>
              </w:rPr>
            </w:pPr>
            <w:r>
              <w:rPr>
                <w:rFonts w:ascii="Times New Roman" w:hAnsi="Times New Roman"/>
                <w:sz w:val="24"/>
                <w:szCs w:val="24"/>
              </w:rPr>
              <w:t>20 dråber 1 gang dagligt</w:t>
            </w:r>
          </w:p>
        </w:tc>
      </w:tr>
      <w:tr w:rsidR="00761CE9" w14:paraId="34EB49ED" w14:textId="77777777" w:rsidTr="00761CE9">
        <w:tc>
          <w:tcPr>
            <w:tcW w:w="2830" w:type="dxa"/>
            <w:tcBorders>
              <w:top w:val="single" w:sz="4" w:space="0" w:color="auto"/>
              <w:left w:val="single" w:sz="4" w:space="0" w:color="auto"/>
              <w:bottom w:val="single" w:sz="4" w:space="0" w:color="auto"/>
              <w:right w:val="single" w:sz="4" w:space="0" w:color="auto"/>
            </w:tcBorders>
            <w:hideMark/>
          </w:tcPr>
          <w:p w14:paraId="7B7783DC" w14:textId="77777777" w:rsidR="00761CE9" w:rsidRDefault="00761CE9">
            <w:pPr>
              <w:rPr>
                <w:rFonts w:ascii="Times New Roman" w:hAnsi="Times New Roman"/>
                <w:sz w:val="24"/>
                <w:szCs w:val="24"/>
              </w:rPr>
            </w:pPr>
            <w:r>
              <w:rPr>
                <w:rFonts w:ascii="Times New Roman" w:hAnsi="Times New Roman"/>
                <w:sz w:val="24"/>
                <w:szCs w:val="24"/>
              </w:rPr>
              <w:t>60 dråber</w:t>
            </w:r>
          </w:p>
        </w:tc>
        <w:tc>
          <w:tcPr>
            <w:tcW w:w="4824" w:type="dxa"/>
            <w:tcBorders>
              <w:top w:val="single" w:sz="4" w:space="0" w:color="auto"/>
              <w:left w:val="single" w:sz="4" w:space="0" w:color="auto"/>
              <w:bottom w:val="single" w:sz="4" w:space="0" w:color="auto"/>
              <w:right w:val="single" w:sz="4" w:space="0" w:color="auto"/>
            </w:tcBorders>
            <w:hideMark/>
          </w:tcPr>
          <w:p w14:paraId="330A805D" w14:textId="77777777" w:rsidR="00761CE9" w:rsidRDefault="00761CE9">
            <w:pPr>
              <w:rPr>
                <w:rFonts w:ascii="Times New Roman" w:hAnsi="Times New Roman"/>
                <w:sz w:val="24"/>
                <w:szCs w:val="24"/>
              </w:rPr>
            </w:pPr>
            <w:r>
              <w:rPr>
                <w:rFonts w:ascii="Times New Roman" w:hAnsi="Times New Roman"/>
                <w:sz w:val="24"/>
                <w:szCs w:val="24"/>
              </w:rPr>
              <w:t>20</w:t>
            </w:r>
            <w:r>
              <w:rPr>
                <w:sz w:val="24"/>
                <w:szCs w:val="24"/>
              </w:rPr>
              <w:t xml:space="preserve"> dråber 3 gange dagligt</w:t>
            </w:r>
          </w:p>
        </w:tc>
      </w:tr>
      <w:tr w:rsidR="00761CE9" w14:paraId="6C5BEC89" w14:textId="77777777" w:rsidTr="00761CE9">
        <w:tc>
          <w:tcPr>
            <w:tcW w:w="2830" w:type="dxa"/>
            <w:tcBorders>
              <w:top w:val="single" w:sz="4" w:space="0" w:color="auto"/>
              <w:left w:val="single" w:sz="4" w:space="0" w:color="auto"/>
              <w:bottom w:val="single" w:sz="4" w:space="0" w:color="auto"/>
              <w:right w:val="single" w:sz="4" w:space="0" w:color="auto"/>
            </w:tcBorders>
            <w:hideMark/>
          </w:tcPr>
          <w:p w14:paraId="417FD048" w14:textId="77777777" w:rsidR="00761CE9" w:rsidRDefault="00761CE9">
            <w:pPr>
              <w:rPr>
                <w:rFonts w:ascii="Times New Roman" w:hAnsi="Times New Roman"/>
                <w:sz w:val="24"/>
                <w:szCs w:val="24"/>
              </w:rPr>
            </w:pPr>
            <w:r>
              <w:rPr>
                <w:rFonts w:ascii="Times New Roman" w:hAnsi="Times New Roman"/>
                <w:sz w:val="24"/>
                <w:szCs w:val="24"/>
              </w:rPr>
              <w:t>&gt;60 dråber</w:t>
            </w:r>
          </w:p>
        </w:tc>
        <w:tc>
          <w:tcPr>
            <w:tcW w:w="4824" w:type="dxa"/>
            <w:tcBorders>
              <w:top w:val="single" w:sz="4" w:space="0" w:color="auto"/>
              <w:left w:val="single" w:sz="4" w:space="0" w:color="auto"/>
              <w:bottom w:val="single" w:sz="4" w:space="0" w:color="auto"/>
              <w:right w:val="single" w:sz="4" w:space="0" w:color="auto"/>
            </w:tcBorders>
            <w:hideMark/>
          </w:tcPr>
          <w:p w14:paraId="5F66230F" w14:textId="77777777" w:rsidR="00761CE9" w:rsidRDefault="00761CE9">
            <w:pPr>
              <w:rPr>
                <w:rFonts w:ascii="Times New Roman" w:hAnsi="Times New Roman"/>
                <w:sz w:val="24"/>
                <w:szCs w:val="24"/>
              </w:rPr>
            </w:pPr>
            <w:r>
              <w:rPr>
                <w:rFonts w:ascii="Times New Roman" w:hAnsi="Times New Roman"/>
                <w:sz w:val="24"/>
                <w:szCs w:val="24"/>
              </w:rPr>
              <w:t>Tyggetabletter bør anvendes</w:t>
            </w:r>
          </w:p>
        </w:tc>
      </w:tr>
      <w:tr w:rsidR="00761CE9" w14:paraId="2F15195C" w14:textId="77777777" w:rsidTr="00761CE9">
        <w:tc>
          <w:tcPr>
            <w:tcW w:w="2830" w:type="dxa"/>
            <w:tcBorders>
              <w:top w:val="single" w:sz="4" w:space="0" w:color="auto"/>
              <w:left w:val="single" w:sz="4" w:space="0" w:color="auto"/>
              <w:bottom w:val="single" w:sz="4" w:space="0" w:color="auto"/>
              <w:right w:val="single" w:sz="4" w:space="0" w:color="auto"/>
            </w:tcBorders>
          </w:tcPr>
          <w:p w14:paraId="1D8E27CD" w14:textId="77777777" w:rsidR="00761CE9" w:rsidRDefault="00761CE9">
            <w:pPr>
              <w:rPr>
                <w:rFonts w:ascii="Times New Roman" w:hAnsi="Times New Roman"/>
                <w:sz w:val="24"/>
                <w:szCs w:val="24"/>
              </w:rPr>
            </w:pPr>
          </w:p>
        </w:tc>
        <w:tc>
          <w:tcPr>
            <w:tcW w:w="4824" w:type="dxa"/>
            <w:tcBorders>
              <w:top w:val="single" w:sz="4" w:space="0" w:color="auto"/>
              <w:left w:val="single" w:sz="4" w:space="0" w:color="auto"/>
              <w:bottom w:val="single" w:sz="4" w:space="0" w:color="auto"/>
              <w:right w:val="single" w:sz="4" w:space="0" w:color="auto"/>
            </w:tcBorders>
          </w:tcPr>
          <w:p w14:paraId="7199A9D4" w14:textId="77777777" w:rsidR="00761CE9" w:rsidRDefault="00761CE9">
            <w:pPr>
              <w:rPr>
                <w:rFonts w:ascii="Times New Roman" w:hAnsi="Times New Roman"/>
                <w:sz w:val="24"/>
                <w:szCs w:val="24"/>
              </w:rPr>
            </w:pPr>
          </w:p>
        </w:tc>
      </w:tr>
      <w:tr w:rsidR="00761CE9" w14:paraId="2D3524DB" w14:textId="77777777" w:rsidTr="00761CE9">
        <w:tc>
          <w:tcPr>
            <w:tcW w:w="2830" w:type="dxa"/>
            <w:tcBorders>
              <w:top w:val="single" w:sz="4" w:space="0" w:color="auto"/>
              <w:left w:val="single" w:sz="4" w:space="0" w:color="auto"/>
              <w:bottom w:val="single" w:sz="4" w:space="0" w:color="auto"/>
              <w:right w:val="single" w:sz="4" w:space="0" w:color="auto"/>
            </w:tcBorders>
          </w:tcPr>
          <w:p w14:paraId="577AB543" w14:textId="77777777" w:rsidR="00761CE9" w:rsidRDefault="00761CE9">
            <w:pPr>
              <w:rPr>
                <w:rFonts w:ascii="Times New Roman" w:hAnsi="Times New Roman"/>
                <w:sz w:val="24"/>
                <w:szCs w:val="24"/>
              </w:rPr>
            </w:pPr>
          </w:p>
        </w:tc>
        <w:tc>
          <w:tcPr>
            <w:tcW w:w="4824" w:type="dxa"/>
            <w:tcBorders>
              <w:top w:val="single" w:sz="4" w:space="0" w:color="auto"/>
              <w:left w:val="single" w:sz="4" w:space="0" w:color="auto"/>
              <w:bottom w:val="single" w:sz="4" w:space="0" w:color="auto"/>
              <w:right w:val="single" w:sz="4" w:space="0" w:color="auto"/>
            </w:tcBorders>
          </w:tcPr>
          <w:p w14:paraId="1988B930" w14:textId="77777777" w:rsidR="00761CE9" w:rsidRDefault="00761CE9">
            <w:pPr>
              <w:rPr>
                <w:rFonts w:ascii="Times New Roman" w:hAnsi="Times New Roman"/>
                <w:sz w:val="24"/>
                <w:szCs w:val="24"/>
              </w:rPr>
            </w:pPr>
          </w:p>
        </w:tc>
      </w:tr>
      <w:tr w:rsidR="00761CE9" w14:paraId="69D94AD9" w14:textId="77777777" w:rsidTr="00761CE9">
        <w:tc>
          <w:tcPr>
            <w:tcW w:w="2830" w:type="dxa"/>
            <w:tcBorders>
              <w:top w:val="single" w:sz="4" w:space="0" w:color="auto"/>
              <w:left w:val="single" w:sz="4" w:space="0" w:color="auto"/>
              <w:bottom w:val="single" w:sz="4" w:space="0" w:color="auto"/>
              <w:right w:val="single" w:sz="4" w:space="0" w:color="auto"/>
            </w:tcBorders>
          </w:tcPr>
          <w:p w14:paraId="6AD3A4CC" w14:textId="77777777" w:rsidR="00761CE9" w:rsidRDefault="00761CE9">
            <w:pPr>
              <w:rPr>
                <w:rFonts w:ascii="Times New Roman" w:hAnsi="Times New Roman"/>
                <w:sz w:val="24"/>
                <w:szCs w:val="24"/>
              </w:rPr>
            </w:pPr>
          </w:p>
        </w:tc>
        <w:tc>
          <w:tcPr>
            <w:tcW w:w="4824" w:type="dxa"/>
            <w:tcBorders>
              <w:top w:val="single" w:sz="4" w:space="0" w:color="auto"/>
              <w:left w:val="single" w:sz="4" w:space="0" w:color="auto"/>
              <w:bottom w:val="single" w:sz="4" w:space="0" w:color="auto"/>
              <w:right w:val="single" w:sz="4" w:space="0" w:color="auto"/>
            </w:tcBorders>
          </w:tcPr>
          <w:p w14:paraId="54660BA3" w14:textId="77777777" w:rsidR="00761CE9" w:rsidRDefault="00761CE9">
            <w:pPr>
              <w:rPr>
                <w:rFonts w:ascii="Times New Roman" w:hAnsi="Times New Roman"/>
                <w:sz w:val="24"/>
                <w:szCs w:val="24"/>
              </w:rPr>
            </w:pPr>
          </w:p>
        </w:tc>
      </w:tr>
    </w:tbl>
    <w:p w14:paraId="5019507B" w14:textId="77777777" w:rsidR="00761CE9" w:rsidRDefault="00761CE9" w:rsidP="00761CE9">
      <w:pPr>
        <w:rPr>
          <w:sz w:val="24"/>
          <w:szCs w:val="24"/>
        </w:rPr>
      </w:pPr>
    </w:p>
    <w:p w14:paraId="76315CDE" w14:textId="77777777" w:rsidR="00761CE9" w:rsidRDefault="00761CE9" w:rsidP="00761CE9">
      <w:pPr>
        <w:ind w:left="851"/>
        <w:rPr>
          <w:sz w:val="24"/>
          <w:szCs w:val="24"/>
          <w:u w:val="single"/>
        </w:rPr>
      </w:pPr>
      <w:r>
        <w:rPr>
          <w:sz w:val="24"/>
          <w:szCs w:val="24"/>
          <w:u w:val="single"/>
        </w:rPr>
        <w:t>Administration</w:t>
      </w:r>
    </w:p>
    <w:p w14:paraId="5EC496D9" w14:textId="77777777" w:rsidR="00761CE9" w:rsidRDefault="00761CE9" w:rsidP="00761CE9">
      <w:pPr>
        <w:ind w:left="851"/>
        <w:rPr>
          <w:sz w:val="24"/>
          <w:szCs w:val="24"/>
        </w:rPr>
      </w:pPr>
      <w:r>
        <w:rPr>
          <w:sz w:val="24"/>
          <w:szCs w:val="24"/>
        </w:rPr>
        <w:t xml:space="preserve">Den daglige dosis kan opdeles i særskilte doser eller kan tages på én gang. Mad og drikkevarer påvirker ikke absorptionen af jern fra </w:t>
      </w:r>
      <w:proofErr w:type="spellStart"/>
      <w:r>
        <w:rPr>
          <w:sz w:val="24"/>
          <w:szCs w:val="24"/>
        </w:rPr>
        <w:t>Maltofer</w:t>
      </w:r>
      <w:proofErr w:type="spellEnd"/>
      <w:r>
        <w:rPr>
          <w:sz w:val="24"/>
          <w:szCs w:val="24"/>
        </w:rPr>
        <w:t xml:space="preserve">. </w:t>
      </w:r>
      <w:proofErr w:type="spellStart"/>
      <w:r>
        <w:rPr>
          <w:sz w:val="24"/>
          <w:szCs w:val="24"/>
        </w:rPr>
        <w:t>Maltofer</w:t>
      </w:r>
      <w:proofErr w:type="spellEnd"/>
      <w:r>
        <w:rPr>
          <w:sz w:val="24"/>
          <w:szCs w:val="24"/>
        </w:rPr>
        <w:t xml:space="preserve"> kan både tages sammen med eller uden for måltiderne. Det anbefales dog, at </w:t>
      </w:r>
      <w:proofErr w:type="spellStart"/>
      <w:r>
        <w:rPr>
          <w:sz w:val="24"/>
          <w:szCs w:val="24"/>
        </w:rPr>
        <w:t>Maltofer</w:t>
      </w:r>
      <w:proofErr w:type="spellEnd"/>
      <w:r>
        <w:rPr>
          <w:sz w:val="24"/>
          <w:szCs w:val="24"/>
        </w:rPr>
        <w:t xml:space="preserve">-dråber tages under eller umiddelbart efter et måltid. Dette kan mindske bivirkninger i mave-tarm-systemet. Hvis man blander </w:t>
      </w:r>
      <w:proofErr w:type="spellStart"/>
      <w:r>
        <w:rPr>
          <w:sz w:val="24"/>
          <w:szCs w:val="24"/>
        </w:rPr>
        <w:t>Maltofer</w:t>
      </w:r>
      <w:proofErr w:type="spellEnd"/>
      <w:r>
        <w:rPr>
          <w:sz w:val="24"/>
          <w:szCs w:val="24"/>
        </w:rPr>
        <w:t xml:space="preserve"> med flydende mad, modvirker man misfarvning af tænderne.</w:t>
      </w:r>
    </w:p>
    <w:p w14:paraId="36DBF9BE" w14:textId="77777777" w:rsidR="00761CE9" w:rsidRDefault="00761CE9" w:rsidP="00761CE9">
      <w:pPr>
        <w:ind w:left="851"/>
        <w:rPr>
          <w:sz w:val="24"/>
          <w:szCs w:val="24"/>
        </w:rPr>
      </w:pPr>
      <w:proofErr w:type="spellStart"/>
      <w:r>
        <w:rPr>
          <w:sz w:val="24"/>
          <w:szCs w:val="24"/>
        </w:rPr>
        <w:t>Maltofer</w:t>
      </w:r>
      <w:proofErr w:type="spellEnd"/>
      <w:r>
        <w:rPr>
          <w:sz w:val="24"/>
          <w:szCs w:val="24"/>
        </w:rPr>
        <w:t xml:space="preserve">-dråber kan blandes med frugt- og grøntsagsjuice eller med babymad eller flaskemad. Den lette misfarvning fra miksturen påvirker hverken smagen på juicen eller babymaden eller virkningen af </w:t>
      </w:r>
      <w:proofErr w:type="spellStart"/>
      <w:r>
        <w:rPr>
          <w:sz w:val="24"/>
          <w:szCs w:val="24"/>
        </w:rPr>
        <w:t>Maltofer</w:t>
      </w:r>
      <w:proofErr w:type="spellEnd"/>
      <w:r>
        <w:rPr>
          <w:sz w:val="24"/>
          <w:szCs w:val="24"/>
        </w:rPr>
        <w:t>.</w:t>
      </w:r>
    </w:p>
    <w:p w14:paraId="3008D1FB" w14:textId="77777777" w:rsidR="00761CE9" w:rsidRDefault="00761CE9" w:rsidP="00761CE9">
      <w:pPr>
        <w:ind w:left="851"/>
        <w:rPr>
          <w:sz w:val="24"/>
          <w:szCs w:val="24"/>
        </w:rPr>
      </w:pPr>
      <w:r>
        <w:rPr>
          <w:sz w:val="24"/>
          <w:szCs w:val="24"/>
        </w:rPr>
        <w:t xml:space="preserve">For at sikre en nøjagtig dosering af </w:t>
      </w:r>
      <w:proofErr w:type="spellStart"/>
      <w:r>
        <w:rPr>
          <w:sz w:val="24"/>
          <w:szCs w:val="24"/>
        </w:rPr>
        <w:t>Maltofer</w:t>
      </w:r>
      <w:proofErr w:type="spellEnd"/>
      <w:r>
        <w:rPr>
          <w:sz w:val="24"/>
          <w:szCs w:val="24"/>
        </w:rPr>
        <w:t>-dråber skal flasken holdes lodret. Dråberne bør øjeblikkeligt flyde ud. Sker dette ikke, skal man banke let på flasken, indtil der dannes en dråbe. Undlad at ryste flasken.</w:t>
      </w:r>
    </w:p>
    <w:p w14:paraId="5D6C497F" w14:textId="77777777" w:rsidR="00761CE9" w:rsidRDefault="00761CE9" w:rsidP="00761CE9">
      <w:pPr>
        <w:ind w:left="851"/>
        <w:rPr>
          <w:sz w:val="24"/>
          <w:szCs w:val="24"/>
        </w:rPr>
      </w:pPr>
    </w:p>
    <w:p w14:paraId="1E4C79A3" w14:textId="77777777" w:rsidR="00761CE9" w:rsidRDefault="00761CE9" w:rsidP="00761CE9">
      <w:pPr>
        <w:ind w:left="851"/>
        <w:rPr>
          <w:sz w:val="24"/>
          <w:szCs w:val="24"/>
          <w:u w:val="single"/>
        </w:rPr>
      </w:pPr>
      <w:r>
        <w:rPr>
          <w:sz w:val="24"/>
          <w:szCs w:val="24"/>
          <w:u w:val="single"/>
        </w:rPr>
        <w:t>Særlige populationer</w:t>
      </w:r>
    </w:p>
    <w:p w14:paraId="76E31649" w14:textId="77777777" w:rsidR="00761CE9" w:rsidRDefault="00761CE9" w:rsidP="00761CE9">
      <w:pPr>
        <w:ind w:left="851"/>
        <w:rPr>
          <w:sz w:val="24"/>
          <w:szCs w:val="24"/>
        </w:rPr>
      </w:pPr>
      <w:r>
        <w:rPr>
          <w:sz w:val="24"/>
          <w:szCs w:val="24"/>
        </w:rPr>
        <w:t xml:space="preserve">Der findes ingen eller kun meget begrænsede data fra kliniske forsøg vedrørende brugen af </w:t>
      </w:r>
      <w:proofErr w:type="spellStart"/>
      <w:r>
        <w:rPr>
          <w:sz w:val="24"/>
          <w:szCs w:val="24"/>
        </w:rPr>
        <w:t>Maltofer</w:t>
      </w:r>
      <w:proofErr w:type="spellEnd"/>
      <w:r>
        <w:rPr>
          <w:sz w:val="24"/>
          <w:szCs w:val="24"/>
        </w:rPr>
        <w:t xml:space="preserve"> blandt ældre patienter samt hos patientpopulationer med tidligere tilfælde af eller tegn på alvorlige mave-tarm-lidelser, nedsat leverfunktion eller nedsat nyrefunktion. Under hensyntagen til viden om </w:t>
      </w:r>
      <w:proofErr w:type="spellStart"/>
      <w:r>
        <w:rPr>
          <w:sz w:val="24"/>
          <w:szCs w:val="24"/>
        </w:rPr>
        <w:t>Maltofers</w:t>
      </w:r>
      <w:proofErr w:type="spellEnd"/>
      <w:r>
        <w:rPr>
          <w:sz w:val="24"/>
          <w:szCs w:val="24"/>
        </w:rPr>
        <w:t xml:space="preserve"> virkning og sikkerhed fra erfaringen efter markedsføring er der ikke noget, der tyder på, at sikkerheden og virkningen af </w:t>
      </w:r>
      <w:proofErr w:type="spellStart"/>
      <w:r>
        <w:rPr>
          <w:sz w:val="24"/>
          <w:szCs w:val="24"/>
        </w:rPr>
        <w:t>Maltofer</w:t>
      </w:r>
      <w:proofErr w:type="spellEnd"/>
      <w:r>
        <w:rPr>
          <w:sz w:val="24"/>
          <w:szCs w:val="24"/>
        </w:rPr>
        <w:t xml:space="preserve"> er </w:t>
      </w:r>
      <w:r>
        <w:rPr>
          <w:sz w:val="24"/>
          <w:szCs w:val="24"/>
        </w:rPr>
        <w:lastRenderedPageBreak/>
        <w:t>anderledes hos disse patienter, og derfor er der ikke behov for nogen specielle doseringsanbefalinger til disse patientpopulationer.</w:t>
      </w:r>
    </w:p>
    <w:p w14:paraId="5EAA4BCE" w14:textId="77777777" w:rsidR="009260DE" w:rsidRPr="000122CD" w:rsidRDefault="009260DE" w:rsidP="009260DE">
      <w:pPr>
        <w:tabs>
          <w:tab w:val="left" w:pos="851"/>
        </w:tabs>
        <w:ind w:left="851"/>
        <w:rPr>
          <w:sz w:val="24"/>
          <w:szCs w:val="24"/>
        </w:rPr>
      </w:pPr>
    </w:p>
    <w:p w14:paraId="462B01DD" w14:textId="77777777" w:rsidR="009260DE" w:rsidRPr="000122CD" w:rsidRDefault="009260DE" w:rsidP="009260DE">
      <w:pPr>
        <w:tabs>
          <w:tab w:val="left" w:pos="851"/>
        </w:tabs>
        <w:ind w:left="851" w:hanging="851"/>
        <w:rPr>
          <w:b/>
          <w:sz w:val="24"/>
          <w:szCs w:val="24"/>
        </w:rPr>
      </w:pPr>
      <w:r w:rsidRPr="000122CD">
        <w:rPr>
          <w:b/>
          <w:sz w:val="24"/>
          <w:szCs w:val="24"/>
        </w:rPr>
        <w:t>4.3</w:t>
      </w:r>
      <w:r w:rsidRPr="000122CD">
        <w:rPr>
          <w:b/>
          <w:sz w:val="24"/>
          <w:szCs w:val="24"/>
        </w:rPr>
        <w:tab/>
        <w:t>Kontraindikationer</w:t>
      </w:r>
    </w:p>
    <w:p w14:paraId="0E247618" w14:textId="77777777" w:rsidR="00570AAF" w:rsidRPr="000122CD" w:rsidRDefault="00570AAF" w:rsidP="00FC0285">
      <w:pPr>
        <w:ind w:left="851"/>
        <w:rPr>
          <w:sz w:val="24"/>
          <w:szCs w:val="24"/>
        </w:rPr>
      </w:pPr>
      <w:r w:rsidRPr="000122CD">
        <w:rPr>
          <w:sz w:val="24"/>
          <w:szCs w:val="24"/>
        </w:rPr>
        <w:t>Overfølsomhed over for det aktive stof eller over for et eller flere af hjælpestofferne anført i pkt. 6.1.</w:t>
      </w:r>
    </w:p>
    <w:p w14:paraId="27D3263A" w14:textId="77777777" w:rsidR="00570AAF" w:rsidRPr="000122CD" w:rsidRDefault="00570AAF" w:rsidP="00FC0285">
      <w:pPr>
        <w:ind w:left="851"/>
        <w:rPr>
          <w:sz w:val="24"/>
          <w:szCs w:val="24"/>
        </w:rPr>
      </w:pPr>
    </w:p>
    <w:p w14:paraId="6A6E38B0" w14:textId="77777777" w:rsidR="00570AAF" w:rsidRPr="000122CD" w:rsidRDefault="00570AAF" w:rsidP="00FC0285">
      <w:pPr>
        <w:ind w:left="851"/>
        <w:rPr>
          <w:sz w:val="24"/>
          <w:szCs w:val="24"/>
        </w:rPr>
      </w:pPr>
      <w:r w:rsidRPr="000122CD">
        <w:rPr>
          <w:sz w:val="24"/>
          <w:szCs w:val="24"/>
        </w:rPr>
        <w:t xml:space="preserve">Jernoverbelastning, såsom </w:t>
      </w:r>
      <w:proofErr w:type="spellStart"/>
      <w:r w:rsidRPr="000122CD">
        <w:rPr>
          <w:sz w:val="24"/>
          <w:szCs w:val="24"/>
        </w:rPr>
        <w:t>hæmokromatose</w:t>
      </w:r>
      <w:proofErr w:type="spellEnd"/>
      <w:r w:rsidRPr="000122CD">
        <w:rPr>
          <w:sz w:val="24"/>
          <w:szCs w:val="24"/>
        </w:rPr>
        <w:t xml:space="preserve">, </w:t>
      </w:r>
      <w:proofErr w:type="spellStart"/>
      <w:r w:rsidRPr="000122CD">
        <w:rPr>
          <w:sz w:val="24"/>
          <w:szCs w:val="24"/>
        </w:rPr>
        <w:t>hæmosiderose</w:t>
      </w:r>
      <w:proofErr w:type="spellEnd"/>
      <w:r w:rsidRPr="000122CD">
        <w:rPr>
          <w:sz w:val="24"/>
          <w:szCs w:val="24"/>
        </w:rPr>
        <w:t>.</w:t>
      </w:r>
    </w:p>
    <w:p w14:paraId="2181ABEE" w14:textId="77777777" w:rsidR="00570AAF" w:rsidRPr="000122CD" w:rsidRDefault="00570AAF" w:rsidP="00FC0285">
      <w:pPr>
        <w:ind w:left="851"/>
        <w:rPr>
          <w:sz w:val="24"/>
          <w:szCs w:val="24"/>
        </w:rPr>
      </w:pPr>
    </w:p>
    <w:p w14:paraId="06AD83D5" w14:textId="77777777" w:rsidR="00570AAF" w:rsidRPr="000122CD" w:rsidRDefault="00570AAF" w:rsidP="00FC0285">
      <w:pPr>
        <w:ind w:left="851"/>
        <w:rPr>
          <w:sz w:val="24"/>
          <w:szCs w:val="24"/>
        </w:rPr>
      </w:pPr>
      <w:r w:rsidRPr="000122CD">
        <w:rPr>
          <w:sz w:val="24"/>
          <w:szCs w:val="24"/>
        </w:rPr>
        <w:t xml:space="preserve">Forstyrrelser i anvendelsen af jern, såsom anæmi fra blyforgiftning, </w:t>
      </w:r>
      <w:proofErr w:type="spellStart"/>
      <w:r w:rsidRPr="000122CD">
        <w:rPr>
          <w:sz w:val="24"/>
          <w:szCs w:val="24"/>
        </w:rPr>
        <w:t>sideroblastær</w:t>
      </w:r>
      <w:proofErr w:type="spellEnd"/>
      <w:r w:rsidRPr="000122CD">
        <w:rPr>
          <w:sz w:val="24"/>
          <w:szCs w:val="24"/>
        </w:rPr>
        <w:t xml:space="preserve"> anæmi,</w:t>
      </w:r>
    </w:p>
    <w:p w14:paraId="49A748F6" w14:textId="77777777" w:rsidR="00570AAF" w:rsidRPr="000122CD" w:rsidRDefault="00570AAF" w:rsidP="00FC0285">
      <w:pPr>
        <w:ind w:left="851"/>
        <w:rPr>
          <w:sz w:val="24"/>
          <w:szCs w:val="24"/>
        </w:rPr>
      </w:pPr>
      <w:proofErr w:type="spellStart"/>
      <w:r w:rsidRPr="000122CD">
        <w:rPr>
          <w:sz w:val="24"/>
          <w:szCs w:val="24"/>
        </w:rPr>
        <w:t>talassæmi</w:t>
      </w:r>
      <w:proofErr w:type="spellEnd"/>
      <w:r w:rsidRPr="000122CD">
        <w:rPr>
          <w:sz w:val="24"/>
          <w:szCs w:val="24"/>
        </w:rPr>
        <w:t>.</w:t>
      </w:r>
    </w:p>
    <w:p w14:paraId="31A6E341" w14:textId="77777777" w:rsidR="00570AAF" w:rsidRPr="000122CD" w:rsidRDefault="00570AAF" w:rsidP="00FC0285">
      <w:pPr>
        <w:ind w:left="851"/>
        <w:rPr>
          <w:sz w:val="24"/>
          <w:szCs w:val="24"/>
        </w:rPr>
      </w:pPr>
    </w:p>
    <w:p w14:paraId="6A68FEF1" w14:textId="77777777" w:rsidR="00570AAF" w:rsidRPr="000122CD" w:rsidRDefault="00570AAF" w:rsidP="00FC0285">
      <w:pPr>
        <w:ind w:left="851"/>
        <w:rPr>
          <w:sz w:val="24"/>
          <w:szCs w:val="24"/>
        </w:rPr>
      </w:pPr>
      <w:r w:rsidRPr="000122CD">
        <w:rPr>
          <w:sz w:val="24"/>
          <w:szCs w:val="24"/>
        </w:rPr>
        <w:t xml:space="preserve">Anæmi, der ikke er forårsaget af jernmangel, såsom </w:t>
      </w:r>
      <w:proofErr w:type="spellStart"/>
      <w:r w:rsidRPr="000122CD">
        <w:rPr>
          <w:sz w:val="24"/>
          <w:szCs w:val="24"/>
        </w:rPr>
        <w:t>hæmolytisk</w:t>
      </w:r>
      <w:proofErr w:type="spellEnd"/>
      <w:r w:rsidRPr="000122CD">
        <w:rPr>
          <w:sz w:val="24"/>
          <w:szCs w:val="24"/>
        </w:rPr>
        <w:t xml:space="preserve"> anæmi eller </w:t>
      </w:r>
      <w:proofErr w:type="spellStart"/>
      <w:r w:rsidRPr="000122CD">
        <w:rPr>
          <w:sz w:val="24"/>
          <w:szCs w:val="24"/>
        </w:rPr>
        <w:t>megaloblastisk</w:t>
      </w:r>
      <w:proofErr w:type="spellEnd"/>
      <w:r w:rsidRPr="000122CD">
        <w:rPr>
          <w:sz w:val="24"/>
          <w:szCs w:val="24"/>
        </w:rPr>
        <w:t xml:space="preserve"> anæmi på grund af mangel på B</w:t>
      </w:r>
      <w:r w:rsidRPr="000122CD">
        <w:rPr>
          <w:rStyle w:val="Subscript"/>
          <w:sz w:val="24"/>
          <w:szCs w:val="24"/>
        </w:rPr>
        <w:t>12</w:t>
      </w:r>
      <w:r w:rsidRPr="000122CD">
        <w:rPr>
          <w:sz w:val="24"/>
          <w:szCs w:val="24"/>
        </w:rPr>
        <w:t>-vitamin.</w:t>
      </w:r>
    </w:p>
    <w:p w14:paraId="66E6FDD6" w14:textId="77777777" w:rsidR="009260DE" w:rsidRPr="000122CD" w:rsidRDefault="009260DE" w:rsidP="009260DE">
      <w:pPr>
        <w:tabs>
          <w:tab w:val="left" w:pos="851"/>
        </w:tabs>
        <w:ind w:left="851"/>
        <w:rPr>
          <w:sz w:val="24"/>
          <w:szCs w:val="24"/>
        </w:rPr>
      </w:pPr>
    </w:p>
    <w:p w14:paraId="46A4D5A1" w14:textId="77777777" w:rsidR="009260DE" w:rsidRPr="000122CD" w:rsidRDefault="009260DE" w:rsidP="009260DE">
      <w:pPr>
        <w:tabs>
          <w:tab w:val="left" w:pos="851"/>
        </w:tabs>
        <w:ind w:left="851" w:hanging="851"/>
        <w:rPr>
          <w:b/>
          <w:sz w:val="24"/>
          <w:szCs w:val="24"/>
        </w:rPr>
      </w:pPr>
      <w:r w:rsidRPr="000122CD">
        <w:rPr>
          <w:b/>
          <w:sz w:val="24"/>
          <w:szCs w:val="24"/>
        </w:rPr>
        <w:t>4.4</w:t>
      </w:r>
      <w:r w:rsidRPr="000122CD">
        <w:rPr>
          <w:b/>
          <w:sz w:val="24"/>
          <w:szCs w:val="24"/>
        </w:rPr>
        <w:tab/>
        <w:t>Særlige advarsler og forsigtighedsregler vedrørende brugen</w:t>
      </w:r>
    </w:p>
    <w:p w14:paraId="54275D43" w14:textId="3C25B395" w:rsidR="00570AAF" w:rsidRPr="000122CD" w:rsidRDefault="00570AAF" w:rsidP="00FC0285">
      <w:pPr>
        <w:ind w:left="851"/>
        <w:rPr>
          <w:sz w:val="24"/>
          <w:szCs w:val="24"/>
        </w:rPr>
      </w:pPr>
      <w:r w:rsidRPr="000122CD">
        <w:rPr>
          <w:sz w:val="24"/>
          <w:szCs w:val="24"/>
        </w:rPr>
        <w:t xml:space="preserve">Under behandlingen med </w:t>
      </w:r>
      <w:proofErr w:type="spellStart"/>
      <w:r w:rsidR="00F36F58">
        <w:rPr>
          <w:sz w:val="24"/>
          <w:szCs w:val="24"/>
        </w:rPr>
        <w:t>Maltofer</w:t>
      </w:r>
      <w:proofErr w:type="spellEnd"/>
      <w:r w:rsidRPr="000122CD">
        <w:rPr>
          <w:sz w:val="24"/>
          <w:szCs w:val="24"/>
        </w:rPr>
        <w:t xml:space="preserve"> kan man opleve </w:t>
      </w:r>
      <w:proofErr w:type="gramStart"/>
      <w:r w:rsidRPr="000122CD">
        <w:rPr>
          <w:sz w:val="24"/>
          <w:szCs w:val="24"/>
        </w:rPr>
        <w:t>mørk</w:t>
      </w:r>
      <w:proofErr w:type="gramEnd"/>
      <w:r w:rsidRPr="000122CD">
        <w:rPr>
          <w:sz w:val="24"/>
          <w:szCs w:val="24"/>
        </w:rPr>
        <w:t xml:space="preserve"> fæces, men dette er uden klinisk relevans.</w:t>
      </w:r>
    </w:p>
    <w:p w14:paraId="0531ABAF" w14:textId="77777777" w:rsidR="00570AAF" w:rsidRPr="000122CD" w:rsidRDefault="00570AAF" w:rsidP="00FC0285">
      <w:pPr>
        <w:ind w:left="851"/>
        <w:rPr>
          <w:sz w:val="24"/>
          <w:szCs w:val="24"/>
        </w:rPr>
      </w:pPr>
    </w:p>
    <w:p w14:paraId="5D9411F8" w14:textId="77777777" w:rsidR="00570AAF" w:rsidRPr="000122CD" w:rsidRDefault="00570AAF" w:rsidP="00FC0285">
      <w:pPr>
        <w:ind w:left="851"/>
        <w:rPr>
          <w:sz w:val="24"/>
          <w:szCs w:val="24"/>
        </w:rPr>
      </w:pPr>
      <w:r w:rsidRPr="000122CD">
        <w:rPr>
          <w:sz w:val="24"/>
          <w:szCs w:val="24"/>
        </w:rPr>
        <w:t>Infektioner eller tumorer kan forårsage anæmi. Da jern kun kan bruges, efter at den primære sygdom er korrigeret, anbefales en evaluering af fordele/risici.</w:t>
      </w:r>
    </w:p>
    <w:p w14:paraId="1482362E" w14:textId="77777777" w:rsidR="00570AAF" w:rsidRPr="000122CD" w:rsidRDefault="00570AAF" w:rsidP="00FC0285">
      <w:pPr>
        <w:ind w:left="851"/>
        <w:rPr>
          <w:sz w:val="24"/>
          <w:szCs w:val="24"/>
        </w:rPr>
      </w:pPr>
    </w:p>
    <w:p w14:paraId="62654971" w14:textId="45B2FE4D" w:rsidR="00570AAF" w:rsidRPr="000122CD" w:rsidRDefault="00570AAF" w:rsidP="00FC0285">
      <w:pPr>
        <w:ind w:left="851"/>
        <w:rPr>
          <w:sz w:val="24"/>
          <w:szCs w:val="24"/>
        </w:rPr>
      </w:pPr>
      <w:r w:rsidRPr="000122CD">
        <w:rPr>
          <w:sz w:val="24"/>
          <w:szCs w:val="24"/>
        </w:rPr>
        <w:t xml:space="preserve">Hjælpestofferne </w:t>
      </w:r>
      <w:proofErr w:type="spellStart"/>
      <w:r w:rsidRPr="000122CD">
        <w:rPr>
          <w:sz w:val="24"/>
          <w:szCs w:val="24"/>
        </w:rPr>
        <w:t>natriummethylparahydroxybenzoat</w:t>
      </w:r>
      <w:proofErr w:type="spellEnd"/>
      <w:r w:rsidRPr="000122CD">
        <w:rPr>
          <w:sz w:val="24"/>
          <w:szCs w:val="24"/>
        </w:rPr>
        <w:t xml:space="preserve"> (E219) og </w:t>
      </w:r>
      <w:proofErr w:type="spellStart"/>
      <w:r w:rsidRPr="000122CD">
        <w:rPr>
          <w:sz w:val="24"/>
          <w:szCs w:val="24"/>
        </w:rPr>
        <w:t>natriumpropylparahydroxy</w:t>
      </w:r>
      <w:r w:rsidR="007D2979">
        <w:rPr>
          <w:sz w:val="24"/>
          <w:szCs w:val="24"/>
        </w:rPr>
        <w:softHyphen/>
      </w:r>
      <w:r w:rsidRPr="000122CD">
        <w:rPr>
          <w:sz w:val="24"/>
          <w:szCs w:val="24"/>
        </w:rPr>
        <w:t>benzoat</w:t>
      </w:r>
      <w:proofErr w:type="spellEnd"/>
      <w:r w:rsidRPr="000122CD">
        <w:rPr>
          <w:sz w:val="24"/>
          <w:szCs w:val="24"/>
        </w:rPr>
        <w:t xml:space="preserve"> (E217) kan give allergiske reaktioner (kan optræde efter behandlingen).</w:t>
      </w:r>
    </w:p>
    <w:p w14:paraId="62BF5FDF" w14:textId="77777777" w:rsidR="00570AAF" w:rsidRPr="000122CD" w:rsidRDefault="00570AAF" w:rsidP="00FC0285">
      <w:pPr>
        <w:ind w:left="851"/>
        <w:rPr>
          <w:sz w:val="24"/>
          <w:szCs w:val="24"/>
        </w:rPr>
      </w:pPr>
    </w:p>
    <w:p w14:paraId="62CDD676" w14:textId="4B00646C" w:rsidR="00570AAF" w:rsidRPr="000122CD" w:rsidRDefault="00F36F58" w:rsidP="00FC0285">
      <w:pPr>
        <w:ind w:left="851"/>
        <w:rPr>
          <w:sz w:val="24"/>
          <w:szCs w:val="24"/>
        </w:rPr>
      </w:pPr>
      <w:proofErr w:type="spellStart"/>
      <w:r>
        <w:rPr>
          <w:sz w:val="24"/>
          <w:szCs w:val="24"/>
        </w:rPr>
        <w:t>Maltofer</w:t>
      </w:r>
      <w:proofErr w:type="spellEnd"/>
      <w:r w:rsidR="00570AAF" w:rsidRPr="000122CD">
        <w:rPr>
          <w:sz w:val="24"/>
          <w:szCs w:val="24"/>
        </w:rPr>
        <w:t xml:space="preserve">-dråber indeholder </w:t>
      </w:r>
      <w:proofErr w:type="spellStart"/>
      <w:r w:rsidR="00570AAF" w:rsidRPr="000122CD">
        <w:rPr>
          <w:sz w:val="24"/>
          <w:szCs w:val="24"/>
        </w:rPr>
        <w:t>saccharose</w:t>
      </w:r>
      <w:proofErr w:type="spellEnd"/>
      <w:r w:rsidR="00570AAF" w:rsidRPr="000122CD">
        <w:rPr>
          <w:sz w:val="24"/>
          <w:szCs w:val="24"/>
        </w:rPr>
        <w:t xml:space="preserve">. Bør ikke anvendes til patienter med hereditær </w:t>
      </w:r>
      <w:proofErr w:type="spellStart"/>
      <w:r w:rsidR="00570AAF" w:rsidRPr="000122CD">
        <w:rPr>
          <w:sz w:val="24"/>
          <w:szCs w:val="24"/>
        </w:rPr>
        <w:t>fructoseintolerans</w:t>
      </w:r>
      <w:proofErr w:type="spellEnd"/>
      <w:r w:rsidR="00570AAF" w:rsidRPr="000122CD">
        <w:rPr>
          <w:sz w:val="24"/>
          <w:szCs w:val="24"/>
        </w:rPr>
        <w:t xml:space="preserve">, </w:t>
      </w:r>
      <w:proofErr w:type="spellStart"/>
      <w:r w:rsidR="00570AAF" w:rsidRPr="000122CD">
        <w:rPr>
          <w:sz w:val="24"/>
          <w:szCs w:val="24"/>
        </w:rPr>
        <w:t>glucose</w:t>
      </w:r>
      <w:proofErr w:type="spellEnd"/>
      <w:r w:rsidR="00570AAF" w:rsidRPr="000122CD">
        <w:rPr>
          <w:sz w:val="24"/>
          <w:szCs w:val="24"/>
        </w:rPr>
        <w:t>/</w:t>
      </w:r>
      <w:proofErr w:type="spellStart"/>
      <w:r w:rsidR="00570AAF" w:rsidRPr="000122CD">
        <w:rPr>
          <w:sz w:val="24"/>
          <w:szCs w:val="24"/>
        </w:rPr>
        <w:t>galactosemalabsorption</w:t>
      </w:r>
      <w:proofErr w:type="spellEnd"/>
      <w:r w:rsidR="00570AAF" w:rsidRPr="000122CD">
        <w:rPr>
          <w:sz w:val="24"/>
          <w:szCs w:val="24"/>
        </w:rPr>
        <w:t xml:space="preserve"> og </w:t>
      </w:r>
      <w:proofErr w:type="spellStart"/>
      <w:r w:rsidR="00570AAF" w:rsidRPr="000122CD">
        <w:rPr>
          <w:sz w:val="24"/>
          <w:szCs w:val="24"/>
        </w:rPr>
        <w:t>sucraseisomaltasemangel</w:t>
      </w:r>
      <w:proofErr w:type="spellEnd"/>
      <w:r w:rsidR="00570AAF" w:rsidRPr="000122CD">
        <w:rPr>
          <w:sz w:val="24"/>
          <w:szCs w:val="24"/>
        </w:rPr>
        <w:t xml:space="preserve">. </w:t>
      </w:r>
      <w:proofErr w:type="spellStart"/>
      <w:r w:rsidR="00570AAF" w:rsidRPr="000122CD">
        <w:rPr>
          <w:sz w:val="24"/>
          <w:szCs w:val="24"/>
        </w:rPr>
        <w:t>Saccharose</w:t>
      </w:r>
      <w:proofErr w:type="spellEnd"/>
      <w:r w:rsidR="00570AAF" w:rsidRPr="000122CD">
        <w:rPr>
          <w:sz w:val="24"/>
          <w:szCs w:val="24"/>
        </w:rPr>
        <w:t xml:space="preserve"> kan være skadelig for tænderne.</w:t>
      </w:r>
    </w:p>
    <w:p w14:paraId="333B11B8" w14:textId="77777777" w:rsidR="00570AAF" w:rsidRPr="000122CD" w:rsidRDefault="00570AAF" w:rsidP="00FC0285">
      <w:pPr>
        <w:ind w:left="851"/>
        <w:rPr>
          <w:sz w:val="24"/>
          <w:szCs w:val="24"/>
        </w:rPr>
      </w:pPr>
    </w:p>
    <w:p w14:paraId="7C238A65" w14:textId="77777777" w:rsidR="00570AAF" w:rsidRPr="000122CD" w:rsidRDefault="00570AAF" w:rsidP="00FC0285">
      <w:pPr>
        <w:ind w:left="851"/>
        <w:rPr>
          <w:sz w:val="24"/>
          <w:szCs w:val="24"/>
        </w:rPr>
      </w:pPr>
      <w:r w:rsidRPr="000122CD">
        <w:rPr>
          <w:sz w:val="24"/>
          <w:szCs w:val="24"/>
        </w:rPr>
        <w:t>Dette lægemiddel indeholder 5 mg natrium pr. ml (0,25 mg pr. dråbe), svarende til 0,25 % af den WHO-anbefalede maksimale daglige indtagelse af 2 g natrium for en voksen.</w:t>
      </w:r>
    </w:p>
    <w:p w14:paraId="0A364156" w14:textId="77777777" w:rsidR="009260DE" w:rsidRPr="000122CD" w:rsidRDefault="009260DE" w:rsidP="009260DE">
      <w:pPr>
        <w:tabs>
          <w:tab w:val="left" w:pos="851"/>
        </w:tabs>
        <w:ind w:left="851"/>
        <w:rPr>
          <w:sz w:val="24"/>
          <w:szCs w:val="24"/>
        </w:rPr>
      </w:pPr>
    </w:p>
    <w:p w14:paraId="5E752D59" w14:textId="77777777" w:rsidR="009260DE" w:rsidRPr="000122CD" w:rsidRDefault="009260DE" w:rsidP="009260DE">
      <w:pPr>
        <w:tabs>
          <w:tab w:val="left" w:pos="851"/>
        </w:tabs>
        <w:ind w:left="851" w:hanging="851"/>
        <w:rPr>
          <w:b/>
          <w:sz w:val="24"/>
          <w:szCs w:val="24"/>
        </w:rPr>
      </w:pPr>
      <w:r w:rsidRPr="000122CD">
        <w:rPr>
          <w:b/>
          <w:sz w:val="24"/>
          <w:szCs w:val="24"/>
        </w:rPr>
        <w:t>4.5</w:t>
      </w:r>
      <w:r w:rsidRPr="000122CD">
        <w:rPr>
          <w:b/>
          <w:sz w:val="24"/>
          <w:szCs w:val="24"/>
        </w:rPr>
        <w:tab/>
        <w:t>Interaktion med andre lægemidler og andre former for interaktion</w:t>
      </w:r>
    </w:p>
    <w:p w14:paraId="287E8852" w14:textId="77777777" w:rsidR="00570AAF" w:rsidRPr="000122CD" w:rsidRDefault="00570AAF" w:rsidP="00FC0285">
      <w:pPr>
        <w:ind w:left="851"/>
        <w:rPr>
          <w:sz w:val="24"/>
          <w:szCs w:val="24"/>
        </w:rPr>
      </w:pPr>
      <w:r w:rsidRPr="000122CD">
        <w:rPr>
          <w:sz w:val="24"/>
          <w:szCs w:val="24"/>
        </w:rPr>
        <w:t xml:space="preserve">Interaktioner mellem IPC og </w:t>
      </w:r>
      <w:proofErr w:type="spellStart"/>
      <w:r w:rsidRPr="000122CD">
        <w:rPr>
          <w:sz w:val="24"/>
          <w:szCs w:val="24"/>
        </w:rPr>
        <w:t>tetracyclin</w:t>
      </w:r>
      <w:proofErr w:type="spellEnd"/>
      <w:r w:rsidRPr="000122CD">
        <w:rPr>
          <w:sz w:val="24"/>
          <w:szCs w:val="24"/>
        </w:rPr>
        <w:t xml:space="preserve"> eller aluminiumhydroxid blev undersøgt i 3 forsøg med mennesker (krydsdesign, 22 patienter pr. forsøg). Der blev ikke observeret noget betydelig fald i absorptionen af </w:t>
      </w:r>
      <w:proofErr w:type="spellStart"/>
      <w:r w:rsidRPr="000122CD">
        <w:rPr>
          <w:sz w:val="24"/>
          <w:szCs w:val="24"/>
        </w:rPr>
        <w:t>tetracyclin</w:t>
      </w:r>
      <w:proofErr w:type="spellEnd"/>
      <w:r w:rsidRPr="000122CD">
        <w:rPr>
          <w:sz w:val="24"/>
          <w:szCs w:val="24"/>
        </w:rPr>
        <w:t xml:space="preserve">. </w:t>
      </w:r>
      <w:proofErr w:type="spellStart"/>
      <w:r w:rsidRPr="000122CD">
        <w:rPr>
          <w:sz w:val="24"/>
          <w:szCs w:val="24"/>
        </w:rPr>
        <w:t>Plasmatetracyclinkoncentrationen</w:t>
      </w:r>
      <w:proofErr w:type="spellEnd"/>
      <w:r w:rsidRPr="000122CD">
        <w:rPr>
          <w:sz w:val="24"/>
          <w:szCs w:val="24"/>
        </w:rPr>
        <w:t xml:space="preserve"> faldt ikke til under det minimale, hæmmende koncentrationsniveau, der var nødvendigt for </w:t>
      </w:r>
      <w:proofErr w:type="spellStart"/>
      <w:r w:rsidRPr="000122CD">
        <w:rPr>
          <w:sz w:val="24"/>
          <w:szCs w:val="24"/>
        </w:rPr>
        <w:t>bakteriostase</w:t>
      </w:r>
      <w:proofErr w:type="spellEnd"/>
      <w:r w:rsidRPr="000122CD">
        <w:rPr>
          <w:sz w:val="24"/>
          <w:szCs w:val="24"/>
        </w:rPr>
        <w:t xml:space="preserve">. Absorptionen af jern fra IPC blev ikke mindsket med aluminiumhydroxid eller </w:t>
      </w:r>
      <w:proofErr w:type="spellStart"/>
      <w:r w:rsidRPr="000122CD">
        <w:rPr>
          <w:sz w:val="24"/>
          <w:szCs w:val="24"/>
        </w:rPr>
        <w:t>tetracyclin</w:t>
      </w:r>
      <w:proofErr w:type="spellEnd"/>
      <w:r w:rsidRPr="000122CD">
        <w:rPr>
          <w:sz w:val="24"/>
          <w:szCs w:val="24"/>
        </w:rPr>
        <w:t xml:space="preserve">. IPC kan derfor administreres på samme tid som </w:t>
      </w:r>
      <w:proofErr w:type="spellStart"/>
      <w:r w:rsidRPr="000122CD">
        <w:rPr>
          <w:sz w:val="24"/>
          <w:szCs w:val="24"/>
        </w:rPr>
        <w:t>tetracyclin</w:t>
      </w:r>
      <w:proofErr w:type="spellEnd"/>
      <w:r w:rsidRPr="000122CD">
        <w:rPr>
          <w:sz w:val="24"/>
          <w:szCs w:val="24"/>
        </w:rPr>
        <w:t xml:space="preserve"> eller andre </w:t>
      </w:r>
      <w:proofErr w:type="spellStart"/>
      <w:r w:rsidRPr="000122CD">
        <w:rPr>
          <w:sz w:val="24"/>
          <w:szCs w:val="24"/>
        </w:rPr>
        <w:t>phenolforbindelser</w:t>
      </w:r>
      <w:proofErr w:type="spellEnd"/>
      <w:r w:rsidRPr="000122CD">
        <w:rPr>
          <w:sz w:val="24"/>
          <w:szCs w:val="24"/>
        </w:rPr>
        <w:t xml:space="preserve"> samt aluminiumhydroxid.</w:t>
      </w:r>
    </w:p>
    <w:p w14:paraId="194079CC" w14:textId="77777777" w:rsidR="00570AAF" w:rsidRPr="000122CD" w:rsidRDefault="00570AAF" w:rsidP="00FC0285">
      <w:pPr>
        <w:ind w:left="851"/>
        <w:rPr>
          <w:sz w:val="24"/>
          <w:szCs w:val="24"/>
        </w:rPr>
      </w:pPr>
    </w:p>
    <w:p w14:paraId="598D4FF0" w14:textId="77777777" w:rsidR="00570AAF" w:rsidRPr="000122CD" w:rsidRDefault="00570AAF" w:rsidP="00FC0285">
      <w:pPr>
        <w:ind w:left="851"/>
        <w:rPr>
          <w:sz w:val="24"/>
          <w:szCs w:val="24"/>
        </w:rPr>
      </w:pPr>
      <w:r w:rsidRPr="000122CD">
        <w:rPr>
          <w:sz w:val="24"/>
          <w:szCs w:val="24"/>
        </w:rPr>
        <w:t xml:space="preserve">Forsøg med rotter og tetracyklin, aluminiumhydroxid, </w:t>
      </w:r>
      <w:proofErr w:type="spellStart"/>
      <w:r w:rsidRPr="000122CD">
        <w:rPr>
          <w:sz w:val="24"/>
          <w:szCs w:val="24"/>
        </w:rPr>
        <w:t>acetylsalicylat</w:t>
      </w:r>
      <w:proofErr w:type="spellEnd"/>
      <w:r w:rsidRPr="000122CD">
        <w:rPr>
          <w:sz w:val="24"/>
          <w:szCs w:val="24"/>
        </w:rPr>
        <w:t xml:space="preserve">, </w:t>
      </w:r>
      <w:proofErr w:type="spellStart"/>
      <w:r w:rsidRPr="000122CD">
        <w:rPr>
          <w:sz w:val="24"/>
          <w:szCs w:val="24"/>
        </w:rPr>
        <w:t>sulfasalazin</w:t>
      </w:r>
      <w:proofErr w:type="spellEnd"/>
      <w:r w:rsidRPr="000122CD">
        <w:rPr>
          <w:sz w:val="24"/>
          <w:szCs w:val="24"/>
        </w:rPr>
        <w:t xml:space="preserve">, </w:t>
      </w:r>
      <w:proofErr w:type="spellStart"/>
      <w:r w:rsidRPr="000122CD">
        <w:rPr>
          <w:sz w:val="24"/>
          <w:szCs w:val="24"/>
        </w:rPr>
        <w:t>calciumcarbonat</w:t>
      </w:r>
      <w:proofErr w:type="spellEnd"/>
      <w:r w:rsidRPr="000122CD">
        <w:rPr>
          <w:sz w:val="24"/>
          <w:szCs w:val="24"/>
        </w:rPr>
        <w:t xml:space="preserve">, calciumacetat og </w:t>
      </w:r>
      <w:proofErr w:type="spellStart"/>
      <w:r w:rsidRPr="000122CD">
        <w:rPr>
          <w:sz w:val="24"/>
          <w:szCs w:val="24"/>
        </w:rPr>
        <w:t>tricalciumphosphat</w:t>
      </w:r>
      <w:proofErr w:type="spellEnd"/>
      <w:r w:rsidRPr="000122CD">
        <w:rPr>
          <w:sz w:val="24"/>
          <w:szCs w:val="24"/>
        </w:rPr>
        <w:t xml:space="preserve"> i kombination med vitamin D3, </w:t>
      </w:r>
      <w:proofErr w:type="spellStart"/>
      <w:r w:rsidRPr="000122CD">
        <w:rPr>
          <w:sz w:val="24"/>
          <w:szCs w:val="24"/>
        </w:rPr>
        <w:t>bromazepam</w:t>
      </w:r>
      <w:proofErr w:type="spellEnd"/>
      <w:r w:rsidRPr="000122CD">
        <w:rPr>
          <w:sz w:val="24"/>
          <w:szCs w:val="24"/>
        </w:rPr>
        <w:t xml:space="preserve">, </w:t>
      </w:r>
      <w:proofErr w:type="spellStart"/>
      <w:r w:rsidRPr="000122CD">
        <w:rPr>
          <w:sz w:val="24"/>
          <w:szCs w:val="24"/>
        </w:rPr>
        <w:t>magnesiumaspartat</w:t>
      </w:r>
      <w:proofErr w:type="spellEnd"/>
      <w:r w:rsidRPr="000122CD">
        <w:rPr>
          <w:sz w:val="24"/>
          <w:szCs w:val="24"/>
        </w:rPr>
        <w:t>, d</w:t>
      </w:r>
      <w:r w:rsidRPr="000122CD">
        <w:rPr>
          <w:sz w:val="24"/>
          <w:szCs w:val="24"/>
        </w:rPr>
        <w:noBreakHyphen/>
      </w:r>
      <w:proofErr w:type="spellStart"/>
      <w:r w:rsidRPr="000122CD">
        <w:rPr>
          <w:sz w:val="24"/>
          <w:szCs w:val="24"/>
        </w:rPr>
        <w:t>penicillamin</w:t>
      </w:r>
      <w:proofErr w:type="spellEnd"/>
      <w:r w:rsidRPr="000122CD">
        <w:rPr>
          <w:sz w:val="24"/>
          <w:szCs w:val="24"/>
        </w:rPr>
        <w:t xml:space="preserve">, </w:t>
      </w:r>
      <w:proofErr w:type="spellStart"/>
      <w:r w:rsidRPr="000122CD">
        <w:rPr>
          <w:sz w:val="24"/>
          <w:szCs w:val="24"/>
        </w:rPr>
        <w:t>methyldopa</w:t>
      </w:r>
      <w:proofErr w:type="spellEnd"/>
      <w:r w:rsidRPr="000122CD">
        <w:rPr>
          <w:sz w:val="24"/>
          <w:szCs w:val="24"/>
        </w:rPr>
        <w:t xml:space="preserve">, paracetamol og </w:t>
      </w:r>
      <w:proofErr w:type="spellStart"/>
      <w:r w:rsidRPr="000122CD">
        <w:rPr>
          <w:sz w:val="24"/>
          <w:szCs w:val="24"/>
        </w:rPr>
        <w:t>auranofin</w:t>
      </w:r>
      <w:proofErr w:type="spellEnd"/>
      <w:r w:rsidRPr="000122CD">
        <w:rPr>
          <w:sz w:val="24"/>
          <w:szCs w:val="24"/>
        </w:rPr>
        <w:t xml:space="preserve"> har ikke vist nogen interaktioner med IPC.</w:t>
      </w:r>
    </w:p>
    <w:p w14:paraId="1D40994F" w14:textId="77777777" w:rsidR="00570AAF" w:rsidRPr="000122CD" w:rsidRDefault="00570AAF" w:rsidP="00FC0285">
      <w:pPr>
        <w:ind w:left="851"/>
        <w:rPr>
          <w:sz w:val="24"/>
          <w:szCs w:val="24"/>
        </w:rPr>
      </w:pPr>
    </w:p>
    <w:p w14:paraId="52462D7C" w14:textId="77777777" w:rsidR="00570AAF" w:rsidRPr="000122CD" w:rsidRDefault="00570AAF" w:rsidP="00FC0285">
      <w:pPr>
        <w:ind w:left="851"/>
        <w:rPr>
          <w:sz w:val="24"/>
          <w:szCs w:val="24"/>
        </w:rPr>
      </w:pPr>
      <w:r w:rsidRPr="000122CD">
        <w:rPr>
          <w:sz w:val="24"/>
          <w:szCs w:val="24"/>
        </w:rPr>
        <w:t xml:space="preserve">Tilsvarende blev der ikke observeret nogen interaktioner med fødevarekomponenter, såsom fytinsyre, oxalsyre, tannin, </w:t>
      </w:r>
      <w:proofErr w:type="spellStart"/>
      <w:r w:rsidRPr="000122CD">
        <w:rPr>
          <w:sz w:val="24"/>
          <w:szCs w:val="24"/>
        </w:rPr>
        <w:t>natriumalginat</w:t>
      </w:r>
      <w:proofErr w:type="spellEnd"/>
      <w:r w:rsidRPr="000122CD">
        <w:rPr>
          <w:sz w:val="24"/>
          <w:szCs w:val="24"/>
        </w:rPr>
        <w:t xml:space="preserve">, </w:t>
      </w:r>
      <w:proofErr w:type="spellStart"/>
      <w:r w:rsidRPr="000122CD">
        <w:rPr>
          <w:sz w:val="24"/>
          <w:szCs w:val="24"/>
        </w:rPr>
        <w:t>cholin</w:t>
      </w:r>
      <w:proofErr w:type="spellEnd"/>
      <w:r w:rsidRPr="000122CD">
        <w:rPr>
          <w:sz w:val="24"/>
          <w:szCs w:val="24"/>
        </w:rPr>
        <w:t xml:space="preserve"> og </w:t>
      </w:r>
      <w:proofErr w:type="spellStart"/>
      <w:r w:rsidRPr="000122CD">
        <w:rPr>
          <w:sz w:val="24"/>
          <w:szCs w:val="24"/>
        </w:rPr>
        <w:t>cholinsalte</w:t>
      </w:r>
      <w:proofErr w:type="spellEnd"/>
      <w:r w:rsidRPr="000122CD">
        <w:rPr>
          <w:sz w:val="24"/>
          <w:szCs w:val="24"/>
        </w:rPr>
        <w:t xml:space="preserve">, vitamin A, vitamin D3 og vitamin E, sojaolie og sojamel i </w:t>
      </w:r>
      <w:r w:rsidRPr="000122CD">
        <w:rPr>
          <w:i/>
          <w:iCs/>
          <w:sz w:val="24"/>
          <w:szCs w:val="24"/>
        </w:rPr>
        <w:t>in </w:t>
      </w:r>
      <w:proofErr w:type="spellStart"/>
      <w:r w:rsidRPr="000122CD">
        <w:rPr>
          <w:i/>
          <w:iCs/>
          <w:sz w:val="24"/>
          <w:szCs w:val="24"/>
        </w:rPr>
        <w:t>vitro</w:t>
      </w:r>
      <w:proofErr w:type="spellEnd"/>
      <w:r w:rsidRPr="000122CD">
        <w:rPr>
          <w:sz w:val="24"/>
          <w:szCs w:val="24"/>
        </w:rPr>
        <w:t>-forsøg med IPC. Disse resultater antyder, at IPC kan tages under eller umiddelbart efter et måltid.</w:t>
      </w:r>
    </w:p>
    <w:p w14:paraId="694BDA51" w14:textId="77777777" w:rsidR="00570AAF" w:rsidRPr="000122CD" w:rsidRDefault="00570AAF" w:rsidP="00FC0285">
      <w:pPr>
        <w:ind w:left="851"/>
        <w:rPr>
          <w:sz w:val="24"/>
          <w:szCs w:val="24"/>
        </w:rPr>
      </w:pPr>
    </w:p>
    <w:p w14:paraId="1E034153" w14:textId="5AFCB5F7" w:rsidR="00570AAF" w:rsidRPr="000122CD" w:rsidRDefault="00570AAF" w:rsidP="00FC0285">
      <w:pPr>
        <w:ind w:left="851"/>
        <w:rPr>
          <w:sz w:val="24"/>
          <w:szCs w:val="24"/>
        </w:rPr>
      </w:pPr>
      <w:r w:rsidRPr="000122CD">
        <w:rPr>
          <w:sz w:val="24"/>
          <w:szCs w:val="24"/>
        </w:rPr>
        <w:lastRenderedPageBreak/>
        <w:t xml:space="preserve">Mælk påvirker ikke optagelsen af jern fra </w:t>
      </w:r>
      <w:proofErr w:type="spellStart"/>
      <w:r w:rsidR="00F36F58">
        <w:rPr>
          <w:sz w:val="24"/>
          <w:szCs w:val="24"/>
        </w:rPr>
        <w:t>Maltofer</w:t>
      </w:r>
      <w:proofErr w:type="spellEnd"/>
      <w:r w:rsidRPr="000122CD">
        <w:rPr>
          <w:sz w:val="24"/>
          <w:szCs w:val="24"/>
        </w:rPr>
        <w:t xml:space="preserve">. </w:t>
      </w:r>
      <w:proofErr w:type="spellStart"/>
      <w:r w:rsidR="00F36F58">
        <w:rPr>
          <w:sz w:val="24"/>
          <w:szCs w:val="24"/>
        </w:rPr>
        <w:t>Maltofer</w:t>
      </w:r>
      <w:proofErr w:type="spellEnd"/>
      <w:r w:rsidRPr="000122CD">
        <w:rPr>
          <w:sz w:val="24"/>
          <w:szCs w:val="24"/>
        </w:rPr>
        <w:t xml:space="preserve"> kan derfor blandes med både bryst- og komælk.</w:t>
      </w:r>
    </w:p>
    <w:p w14:paraId="7DEDD634" w14:textId="77777777" w:rsidR="00570AAF" w:rsidRPr="000122CD" w:rsidRDefault="00570AAF" w:rsidP="00FC0285">
      <w:pPr>
        <w:ind w:left="851"/>
        <w:rPr>
          <w:sz w:val="24"/>
          <w:szCs w:val="24"/>
        </w:rPr>
      </w:pPr>
    </w:p>
    <w:p w14:paraId="283F8CEB" w14:textId="77777777" w:rsidR="00570AAF" w:rsidRPr="000122CD" w:rsidRDefault="00570AAF" w:rsidP="00FC0285">
      <w:pPr>
        <w:ind w:left="851"/>
        <w:rPr>
          <w:sz w:val="24"/>
          <w:szCs w:val="24"/>
        </w:rPr>
      </w:pPr>
      <w:proofErr w:type="spellStart"/>
      <w:r w:rsidRPr="000122CD">
        <w:rPr>
          <w:sz w:val="24"/>
          <w:szCs w:val="24"/>
        </w:rPr>
        <w:t>Hemoccult</w:t>
      </w:r>
      <w:proofErr w:type="spellEnd"/>
      <w:r w:rsidRPr="000122CD">
        <w:rPr>
          <w:sz w:val="24"/>
          <w:szCs w:val="24"/>
        </w:rPr>
        <w:t xml:space="preserve">-testen (selektiv for </w:t>
      </w:r>
      <w:proofErr w:type="spellStart"/>
      <w:r w:rsidRPr="000122CD">
        <w:rPr>
          <w:sz w:val="24"/>
          <w:szCs w:val="24"/>
        </w:rPr>
        <w:t>Hb</w:t>
      </w:r>
      <w:proofErr w:type="spellEnd"/>
      <w:r w:rsidRPr="000122CD">
        <w:rPr>
          <w:sz w:val="24"/>
          <w:szCs w:val="24"/>
        </w:rPr>
        <w:t>) til påvisning af okkult blod er ikke påvirket, og der er derfor ikke behov for at afbryde behandlingen.</w:t>
      </w:r>
    </w:p>
    <w:p w14:paraId="290DC8F2" w14:textId="77777777" w:rsidR="00570AAF" w:rsidRPr="000122CD" w:rsidRDefault="00570AAF" w:rsidP="00FC0285">
      <w:pPr>
        <w:ind w:left="851"/>
        <w:rPr>
          <w:sz w:val="24"/>
          <w:szCs w:val="24"/>
        </w:rPr>
      </w:pPr>
    </w:p>
    <w:p w14:paraId="17EFD7A4" w14:textId="45A6D579" w:rsidR="007D2979" w:rsidRDefault="00570AAF" w:rsidP="00761CE9">
      <w:pPr>
        <w:ind w:left="851"/>
        <w:rPr>
          <w:sz w:val="24"/>
          <w:szCs w:val="24"/>
        </w:rPr>
      </w:pPr>
      <w:r w:rsidRPr="000122CD">
        <w:rPr>
          <w:sz w:val="24"/>
          <w:szCs w:val="24"/>
        </w:rPr>
        <w:t>Samtidig administration af parenteralt og oralt jern anbefales ikke, da absorptionen af ​​oralt jern ville blive forringet.</w:t>
      </w:r>
    </w:p>
    <w:p w14:paraId="74646FBD" w14:textId="77777777" w:rsidR="009260DE" w:rsidRPr="000122CD" w:rsidRDefault="009260DE" w:rsidP="009260DE">
      <w:pPr>
        <w:tabs>
          <w:tab w:val="left" w:pos="851"/>
        </w:tabs>
        <w:ind w:left="851"/>
        <w:rPr>
          <w:sz w:val="24"/>
          <w:szCs w:val="24"/>
        </w:rPr>
      </w:pPr>
    </w:p>
    <w:p w14:paraId="67305CF5" w14:textId="7F59668E" w:rsidR="009260DE" w:rsidRPr="000122CD" w:rsidRDefault="009260DE" w:rsidP="009260DE">
      <w:pPr>
        <w:tabs>
          <w:tab w:val="left" w:pos="851"/>
        </w:tabs>
        <w:ind w:left="851" w:hanging="851"/>
        <w:rPr>
          <w:b/>
          <w:sz w:val="24"/>
          <w:szCs w:val="24"/>
        </w:rPr>
      </w:pPr>
      <w:r w:rsidRPr="000122CD">
        <w:rPr>
          <w:b/>
          <w:sz w:val="24"/>
          <w:szCs w:val="24"/>
        </w:rPr>
        <w:t>4.6</w:t>
      </w:r>
      <w:r w:rsidRPr="000122CD">
        <w:rPr>
          <w:b/>
          <w:sz w:val="24"/>
          <w:szCs w:val="24"/>
        </w:rPr>
        <w:tab/>
      </w:r>
      <w:r w:rsidR="00761CE9">
        <w:rPr>
          <w:b/>
          <w:sz w:val="24"/>
          <w:szCs w:val="24"/>
        </w:rPr>
        <w:t>fertilitet, g</w:t>
      </w:r>
      <w:r w:rsidRPr="000122CD">
        <w:rPr>
          <w:b/>
          <w:sz w:val="24"/>
          <w:szCs w:val="24"/>
        </w:rPr>
        <w:t>raviditet og amning</w:t>
      </w:r>
    </w:p>
    <w:p w14:paraId="0C291BBD" w14:textId="77777777" w:rsidR="00461E5E" w:rsidRDefault="00461E5E" w:rsidP="00FC0285">
      <w:pPr>
        <w:ind w:left="851"/>
        <w:rPr>
          <w:sz w:val="24"/>
          <w:szCs w:val="24"/>
        </w:rPr>
      </w:pPr>
    </w:p>
    <w:p w14:paraId="470F9967" w14:textId="72A056A6" w:rsidR="00570AAF" w:rsidRPr="00461E5E" w:rsidRDefault="00570AAF" w:rsidP="00FC0285">
      <w:pPr>
        <w:ind w:left="851"/>
        <w:rPr>
          <w:sz w:val="24"/>
          <w:szCs w:val="24"/>
          <w:u w:val="single"/>
        </w:rPr>
      </w:pPr>
      <w:r w:rsidRPr="00461E5E">
        <w:rPr>
          <w:sz w:val="24"/>
          <w:szCs w:val="24"/>
          <w:u w:val="single"/>
        </w:rPr>
        <w:t>Graviditet</w:t>
      </w:r>
    </w:p>
    <w:p w14:paraId="3C7CEF7E" w14:textId="28953D89" w:rsidR="00570AAF" w:rsidRPr="000122CD" w:rsidRDefault="00570AAF" w:rsidP="00FC0285">
      <w:pPr>
        <w:ind w:left="851"/>
        <w:rPr>
          <w:sz w:val="24"/>
          <w:szCs w:val="24"/>
        </w:rPr>
      </w:pPr>
      <w:r w:rsidRPr="000122CD">
        <w:rPr>
          <w:sz w:val="24"/>
          <w:szCs w:val="24"/>
        </w:rPr>
        <w:t xml:space="preserve">Der er ingen eller utilstrækkelige data (mindre end 300 gravide forsøgspersoner) fra anvendelse af </w:t>
      </w:r>
      <w:proofErr w:type="spellStart"/>
      <w:r w:rsidR="00F36F58">
        <w:rPr>
          <w:sz w:val="24"/>
          <w:szCs w:val="24"/>
        </w:rPr>
        <w:t>Maltofer</w:t>
      </w:r>
      <w:proofErr w:type="spellEnd"/>
      <w:r w:rsidRPr="000122CD">
        <w:rPr>
          <w:sz w:val="24"/>
          <w:szCs w:val="24"/>
        </w:rPr>
        <w:t xml:space="preserve"> til gravide kvinder i første trimester. Data fra et begrænset antal gravide efter første trimester viste ingen bivirkninger af </w:t>
      </w:r>
      <w:proofErr w:type="spellStart"/>
      <w:r w:rsidR="00F36F58">
        <w:rPr>
          <w:sz w:val="24"/>
          <w:szCs w:val="24"/>
        </w:rPr>
        <w:t>Maltofer</w:t>
      </w:r>
      <w:proofErr w:type="spellEnd"/>
      <w:r w:rsidRPr="000122CD">
        <w:rPr>
          <w:sz w:val="24"/>
          <w:szCs w:val="24"/>
        </w:rPr>
        <w:t xml:space="preserve"> på graviditet eller på fosterets/det nyfødte barns helbred. Dyreforsøg indikerer hverken direkte eller indirekte skadelige virkninger hvad angår reproduktionstoksicitet (se pkt. 5.3). </w:t>
      </w:r>
      <w:proofErr w:type="spellStart"/>
      <w:r w:rsidR="00F36F58">
        <w:rPr>
          <w:sz w:val="24"/>
          <w:szCs w:val="24"/>
        </w:rPr>
        <w:t>Maltofer</w:t>
      </w:r>
      <w:proofErr w:type="spellEnd"/>
      <w:r w:rsidRPr="000122CD">
        <w:rPr>
          <w:sz w:val="24"/>
          <w:szCs w:val="24"/>
        </w:rPr>
        <w:t xml:space="preserve"> kan bruges under graviditet, når der er en berettiget risiko for jernmangel.</w:t>
      </w:r>
    </w:p>
    <w:p w14:paraId="1FFC7DE8" w14:textId="77777777" w:rsidR="00570AAF" w:rsidRPr="000122CD" w:rsidRDefault="00570AAF" w:rsidP="00FC0285">
      <w:pPr>
        <w:ind w:left="851"/>
        <w:rPr>
          <w:sz w:val="24"/>
          <w:szCs w:val="24"/>
        </w:rPr>
      </w:pPr>
    </w:p>
    <w:p w14:paraId="3476EB8C" w14:textId="77777777" w:rsidR="00570AAF" w:rsidRPr="00461E5E" w:rsidRDefault="00570AAF" w:rsidP="00FC0285">
      <w:pPr>
        <w:ind w:left="851"/>
        <w:rPr>
          <w:sz w:val="24"/>
          <w:szCs w:val="24"/>
          <w:u w:val="single"/>
        </w:rPr>
      </w:pPr>
      <w:r w:rsidRPr="00461E5E">
        <w:rPr>
          <w:sz w:val="24"/>
          <w:szCs w:val="24"/>
          <w:u w:val="single"/>
        </w:rPr>
        <w:t>Amning</w:t>
      </w:r>
    </w:p>
    <w:p w14:paraId="51373186" w14:textId="7753A630" w:rsidR="00570AAF" w:rsidRPr="000122CD" w:rsidRDefault="00570AAF" w:rsidP="00FC0285">
      <w:pPr>
        <w:ind w:left="851"/>
        <w:rPr>
          <w:sz w:val="24"/>
          <w:szCs w:val="24"/>
        </w:rPr>
      </w:pPr>
      <w:r w:rsidRPr="000122CD">
        <w:rPr>
          <w:sz w:val="24"/>
          <w:szCs w:val="24"/>
        </w:rPr>
        <w:t xml:space="preserve">Modermælk indeholder naturligt jern bundet til </w:t>
      </w:r>
      <w:proofErr w:type="spellStart"/>
      <w:r w:rsidRPr="000122CD">
        <w:rPr>
          <w:sz w:val="24"/>
          <w:szCs w:val="24"/>
        </w:rPr>
        <w:t>lactoferrin</w:t>
      </w:r>
      <w:proofErr w:type="spellEnd"/>
      <w:r w:rsidRPr="000122CD">
        <w:rPr>
          <w:sz w:val="24"/>
          <w:szCs w:val="24"/>
        </w:rPr>
        <w:t xml:space="preserve">. Det vides ikke, hvor meget jern fra forbindelsen, der føres til modermælken. </w:t>
      </w:r>
      <w:proofErr w:type="spellStart"/>
      <w:r w:rsidR="00F36F58">
        <w:rPr>
          <w:sz w:val="24"/>
          <w:szCs w:val="24"/>
        </w:rPr>
        <w:t>Maltofer</w:t>
      </w:r>
      <w:proofErr w:type="spellEnd"/>
      <w:r w:rsidRPr="000122CD">
        <w:rPr>
          <w:sz w:val="24"/>
          <w:szCs w:val="24"/>
        </w:rPr>
        <w:t xml:space="preserve"> kan bruges under amning, når der er en risiko for jernmangel.</w:t>
      </w:r>
    </w:p>
    <w:p w14:paraId="4D73CF73" w14:textId="77777777" w:rsidR="00570AAF" w:rsidRPr="000122CD" w:rsidRDefault="00570AAF" w:rsidP="00FC0285">
      <w:pPr>
        <w:ind w:left="851"/>
        <w:rPr>
          <w:sz w:val="24"/>
          <w:szCs w:val="24"/>
        </w:rPr>
      </w:pPr>
    </w:p>
    <w:p w14:paraId="6EEA4C96" w14:textId="77777777" w:rsidR="00570AAF" w:rsidRPr="00461E5E" w:rsidRDefault="00570AAF" w:rsidP="00FC0285">
      <w:pPr>
        <w:ind w:left="851"/>
        <w:rPr>
          <w:sz w:val="24"/>
          <w:szCs w:val="24"/>
          <w:u w:val="single"/>
        </w:rPr>
      </w:pPr>
      <w:r w:rsidRPr="00461E5E">
        <w:rPr>
          <w:sz w:val="24"/>
          <w:szCs w:val="24"/>
          <w:u w:val="single"/>
        </w:rPr>
        <w:t>Fertilitet</w:t>
      </w:r>
    </w:p>
    <w:p w14:paraId="2D890038" w14:textId="77777777" w:rsidR="00570AAF" w:rsidRPr="000122CD" w:rsidRDefault="00570AAF" w:rsidP="00FC0285">
      <w:pPr>
        <w:ind w:left="851"/>
        <w:rPr>
          <w:sz w:val="24"/>
          <w:szCs w:val="24"/>
        </w:rPr>
      </w:pPr>
      <w:r w:rsidRPr="000122CD">
        <w:rPr>
          <w:sz w:val="24"/>
          <w:szCs w:val="24"/>
        </w:rPr>
        <w:t>Forsøg med IPC på dyr viste ingen påvirkninger af fertilitet.</w:t>
      </w:r>
    </w:p>
    <w:p w14:paraId="36F3BF4D" w14:textId="77777777" w:rsidR="009260DE" w:rsidRPr="000122CD" w:rsidRDefault="009260DE" w:rsidP="009260DE">
      <w:pPr>
        <w:tabs>
          <w:tab w:val="left" w:pos="851"/>
        </w:tabs>
        <w:ind w:left="851"/>
        <w:rPr>
          <w:sz w:val="24"/>
          <w:szCs w:val="24"/>
        </w:rPr>
      </w:pPr>
    </w:p>
    <w:p w14:paraId="3FFEC816" w14:textId="4A86A76D" w:rsidR="009260DE" w:rsidRPr="000122CD" w:rsidRDefault="009260DE" w:rsidP="009260DE">
      <w:pPr>
        <w:tabs>
          <w:tab w:val="left" w:pos="851"/>
        </w:tabs>
        <w:ind w:left="851" w:hanging="851"/>
        <w:rPr>
          <w:b/>
          <w:sz w:val="24"/>
          <w:szCs w:val="24"/>
        </w:rPr>
      </w:pPr>
      <w:r w:rsidRPr="000122CD">
        <w:rPr>
          <w:b/>
          <w:sz w:val="24"/>
          <w:szCs w:val="24"/>
        </w:rPr>
        <w:t>4.7</w:t>
      </w:r>
      <w:r w:rsidRPr="000122CD">
        <w:rPr>
          <w:b/>
          <w:sz w:val="24"/>
          <w:szCs w:val="24"/>
        </w:rPr>
        <w:tab/>
        <w:t xml:space="preserve">Virkninger på evnen til at føre motorkøretøj </w:t>
      </w:r>
      <w:r w:rsidR="00761CE9">
        <w:rPr>
          <w:b/>
          <w:sz w:val="24"/>
          <w:szCs w:val="24"/>
        </w:rPr>
        <w:t>og</w:t>
      </w:r>
      <w:r w:rsidRPr="000122CD">
        <w:rPr>
          <w:b/>
          <w:sz w:val="24"/>
          <w:szCs w:val="24"/>
        </w:rPr>
        <w:t xml:space="preserve"> betjene maskiner</w:t>
      </w:r>
    </w:p>
    <w:p w14:paraId="54F4AA8D" w14:textId="77777777" w:rsidR="001A1267" w:rsidRDefault="001A1267" w:rsidP="00FC0285">
      <w:pPr>
        <w:ind w:left="851"/>
        <w:rPr>
          <w:sz w:val="24"/>
          <w:szCs w:val="24"/>
        </w:rPr>
      </w:pPr>
      <w:r>
        <w:rPr>
          <w:sz w:val="24"/>
          <w:szCs w:val="24"/>
        </w:rPr>
        <w:t>Ikke mærkning.</w:t>
      </w:r>
    </w:p>
    <w:p w14:paraId="5C46D2F5" w14:textId="3BE8A321" w:rsidR="00570AAF" w:rsidRPr="000122CD" w:rsidRDefault="00570AAF" w:rsidP="00FC0285">
      <w:pPr>
        <w:ind w:left="851"/>
        <w:rPr>
          <w:sz w:val="24"/>
          <w:szCs w:val="24"/>
        </w:rPr>
      </w:pPr>
      <w:r w:rsidRPr="000122CD">
        <w:rPr>
          <w:sz w:val="24"/>
          <w:szCs w:val="24"/>
        </w:rPr>
        <w:t xml:space="preserve">Der er ikke blevet foretaget nogen relevante forsøg. Det er dog usandsynligt, at </w:t>
      </w:r>
      <w:proofErr w:type="spellStart"/>
      <w:r w:rsidR="00F36F58">
        <w:rPr>
          <w:sz w:val="24"/>
          <w:szCs w:val="24"/>
        </w:rPr>
        <w:t>Maltofer</w:t>
      </w:r>
      <w:proofErr w:type="spellEnd"/>
      <w:r w:rsidRPr="000122CD">
        <w:rPr>
          <w:sz w:val="24"/>
          <w:szCs w:val="24"/>
        </w:rPr>
        <w:t xml:space="preserve"> har nogen indflydelse på evnen til at føre motorkøretøj og betjene maskiner.</w:t>
      </w:r>
    </w:p>
    <w:p w14:paraId="65833E53" w14:textId="77777777" w:rsidR="009260DE" w:rsidRPr="000122CD" w:rsidRDefault="009260DE" w:rsidP="009260DE">
      <w:pPr>
        <w:tabs>
          <w:tab w:val="left" w:pos="851"/>
        </w:tabs>
        <w:ind w:left="851"/>
        <w:rPr>
          <w:sz w:val="24"/>
          <w:szCs w:val="24"/>
        </w:rPr>
      </w:pPr>
    </w:p>
    <w:p w14:paraId="76FAF11B" w14:textId="77777777" w:rsidR="009260DE" w:rsidRPr="000122CD" w:rsidRDefault="009260DE" w:rsidP="009260DE">
      <w:pPr>
        <w:tabs>
          <w:tab w:val="left" w:pos="851"/>
        </w:tabs>
        <w:ind w:left="851" w:hanging="851"/>
        <w:rPr>
          <w:b/>
          <w:sz w:val="24"/>
          <w:szCs w:val="24"/>
        </w:rPr>
      </w:pPr>
      <w:r w:rsidRPr="000122CD">
        <w:rPr>
          <w:b/>
          <w:sz w:val="24"/>
          <w:szCs w:val="24"/>
        </w:rPr>
        <w:t>4.8</w:t>
      </w:r>
      <w:r w:rsidRPr="000122CD">
        <w:rPr>
          <w:b/>
          <w:sz w:val="24"/>
          <w:szCs w:val="24"/>
        </w:rPr>
        <w:tab/>
        <w:t>Bivirkninger</w:t>
      </w:r>
    </w:p>
    <w:p w14:paraId="1D701EE6" w14:textId="78129B3C" w:rsidR="00570AAF" w:rsidRPr="000122CD" w:rsidRDefault="00570AAF" w:rsidP="00FC0285">
      <w:pPr>
        <w:ind w:left="851"/>
        <w:rPr>
          <w:sz w:val="24"/>
          <w:szCs w:val="24"/>
        </w:rPr>
      </w:pPr>
      <w:r w:rsidRPr="000122CD">
        <w:rPr>
          <w:sz w:val="24"/>
          <w:szCs w:val="24"/>
        </w:rPr>
        <w:t xml:space="preserve">Sikkerheden og tolerancen ved </w:t>
      </w:r>
      <w:proofErr w:type="spellStart"/>
      <w:r w:rsidR="00F36F58">
        <w:rPr>
          <w:sz w:val="24"/>
          <w:szCs w:val="24"/>
        </w:rPr>
        <w:t>Maltofer</w:t>
      </w:r>
      <w:proofErr w:type="spellEnd"/>
      <w:r w:rsidRPr="000122CD">
        <w:rPr>
          <w:sz w:val="24"/>
          <w:szCs w:val="24"/>
        </w:rPr>
        <w:t xml:space="preserve"> er blevet vurderet i en metaanalyse af 24 publikationer eller kliniske forsøgsrapporter, der omfatter et samlet antal på 1.473 eksponerede patienter.</w:t>
      </w:r>
    </w:p>
    <w:p w14:paraId="715E0EEE" w14:textId="77777777" w:rsidR="00570AAF" w:rsidRPr="000122CD" w:rsidRDefault="00570AAF" w:rsidP="00FC0285">
      <w:pPr>
        <w:ind w:left="851"/>
        <w:rPr>
          <w:sz w:val="24"/>
          <w:szCs w:val="24"/>
        </w:rPr>
      </w:pPr>
    </w:p>
    <w:p w14:paraId="406FB533" w14:textId="77777777" w:rsidR="00570AAF" w:rsidRPr="000122CD" w:rsidRDefault="00570AAF" w:rsidP="00FC0285">
      <w:pPr>
        <w:ind w:left="851"/>
        <w:rPr>
          <w:sz w:val="24"/>
          <w:szCs w:val="24"/>
        </w:rPr>
      </w:pPr>
      <w:r w:rsidRPr="000122CD">
        <w:rPr>
          <w:sz w:val="24"/>
          <w:szCs w:val="24"/>
        </w:rPr>
        <w:t>De vigtigste bivirkninger rapporteret i disse forsøg forekom i 4 systemorganklasser (se Tabel 1).</w:t>
      </w:r>
    </w:p>
    <w:p w14:paraId="18873F5E" w14:textId="77777777" w:rsidR="00570AAF" w:rsidRPr="000122CD" w:rsidRDefault="00570AAF" w:rsidP="00FC0285">
      <w:pPr>
        <w:ind w:left="851"/>
        <w:rPr>
          <w:sz w:val="24"/>
          <w:szCs w:val="24"/>
        </w:rPr>
      </w:pPr>
    </w:p>
    <w:p w14:paraId="1796CAD3" w14:textId="77777777" w:rsidR="00570AAF" w:rsidRPr="000122CD" w:rsidRDefault="00570AAF" w:rsidP="00FC0285">
      <w:pPr>
        <w:ind w:left="851"/>
        <w:rPr>
          <w:sz w:val="24"/>
          <w:szCs w:val="24"/>
        </w:rPr>
      </w:pPr>
      <w:r w:rsidRPr="000122CD">
        <w:rPr>
          <w:sz w:val="24"/>
          <w:szCs w:val="24"/>
        </w:rPr>
        <w:t>Misfarvet fæces er en velkendt bivirkning ved oral jernmedicin, men dette anses ikke for at være klinisk relevant og er ikke rapporteret. Andre hyppigt observerede bivirkninger er mave-tarm-lidelser (kvalme, forstoppelse, diarré og mavesmerter).</w:t>
      </w:r>
    </w:p>
    <w:p w14:paraId="0EEFB3AF" w14:textId="77777777" w:rsidR="00570AAF" w:rsidRPr="000122CD" w:rsidRDefault="00570AAF" w:rsidP="00570AAF">
      <w:pPr>
        <w:rPr>
          <w:sz w:val="24"/>
          <w:szCs w:val="24"/>
        </w:rPr>
      </w:pPr>
    </w:p>
    <w:p w14:paraId="1CCCE870" w14:textId="21848F35" w:rsidR="00570AAF" w:rsidRDefault="00570AAF" w:rsidP="00570AAF">
      <w:pPr>
        <w:rPr>
          <w:b/>
          <w:sz w:val="24"/>
          <w:szCs w:val="24"/>
        </w:rPr>
      </w:pPr>
      <w:r w:rsidRPr="00BB3D3D">
        <w:rPr>
          <w:b/>
          <w:sz w:val="24"/>
          <w:szCs w:val="24"/>
        </w:rPr>
        <w:t>Tabel 1</w:t>
      </w:r>
      <w:r w:rsidR="00BB3D3D">
        <w:rPr>
          <w:b/>
          <w:sz w:val="24"/>
          <w:szCs w:val="24"/>
        </w:rPr>
        <w:t xml:space="preserve">. </w:t>
      </w:r>
      <w:r w:rsidRPr="00BB3D3D">
        <w:rPr>
          <w:b/>
          <w:sz w:val="24"/>
          <w:szCs w:val="24"/>
        </w:rPr>
        <w:t>Bivirkninger registreret i kliniske forsøg og efter markedsføringen</w:t>
      </w:r>
    </w:p>
    <w:p w14:paraId="320B55EB" w14:textId="77777777" w:rsidR="00BB3D3D" w:rsidRPr="00BB3D3D" w:rsidRDefault="00BB3D3D" w:rsidP="00570AAF">
      <w:pPr>
        <w:rPr>
          <w:b/>
          <w:sz w:val="24"/>
          <w:szCs w:val="24"/>
        </w:rPr>
      </w:pPr>
    </w:p>
    <w:tbl>
      <w:tblPr>
        <w:tblStyle w:val="Tabel-Gitter"/>
        <w:tblW w:w="5000" w:type="pct"/>
        <w:tblLook w:val="04A0" w:firstRow="1" w:lastRow="0" w:firstColumn="1" w:lastColumn="0" w:noHBand="0" w:noVBand="1"/>
      </w:tblPr>
      <w:tblGrid>
        <w:gridCol w:w="2054"/>
        <w:gridCol w:w="1862"/>
        <w:gridCol w:w="1799"/>
        <w:gridCol w:w="2037"/>
        <w:gridCol w:w="1876"/>
      </w:tblGrid>
      <w:tr w:rsidR="00570AAF" w:rsidRPr="001A1267" w14:paraId="1A7CE9A5" w14:textId="77777777" w:rsidTr="00FC0285">
        <w:tc>
          <w:tcPr>
            <w:tcW w:w="1067" w:type="pct"/>
          </w:tcPr>
          <w:p w14:paraId="7BFDDC70" w14:textId="77777777" w:rsidR="00570AAF" w:rsidRPr="001A1267" w:rsidRDefault="00570AAF" w:rsidP="0078640F">
            <w:pPr>
              <w:jc w:val="center"/>
              <w:rPr>
                <w:rStyle w:val="Strk"/>
                <w:rFonts w:ascii="Times New Roman" w:hAnsi="Times New Roman"/>
                <w:sz w:val="22"/>
                <w:szCs w:val="22"/>
              </w:rPr>
            </w:pPr>
            <w:r w:rsidRPr="001A1267">
              <w:rPr>
                <w:rStyle w:val="Strk"/>
                <w:rFonts w:ascii="Times New Roman" w:hAnsi="Times New Roman"/>
                <w:sz w:val="22"/>
                <w:szCs w:val="22"/>
              </w:rPr>
              <w:t>Systemorganklasse</w:t>
            </w:r>
          </w:p>
        </w:tc>
        <w:tc>
          <w:tcPr>
            <w:tcW w:w="967" w:type="pct"/>
          </w:tcPr>
          <w:p w14:paraId="54FEA707" w14:textId="77777777" w:rsidR="00570AAF" w:rsidRPr="001A1267" w:rsidRDefault="00570AAF" w:rsidP="0078640F">
            <w:pPr>
              <w:jc w:val="center"/>
              <w:rPr>
                <w:rStyle w:val="Strk"/>
                <w:rFonts w:ascii="Times New Roman" w:hAnsi="Times New Roman"/>
                <w:sz w:val="22"/>
                <w:szCs w:val="22"/>
              </w:rPr>
            </w:pPr>
            <w:r w:rsidRPr="001A1267">
              <w:rPr>
                <w:rStyle w:val="Strk"/>
                <w:rFonts w:ascii="Times New Roman" w:hAnsi="Times New Roman"/>
                <w:sz w:val="22"/>
                <w:szCs w:val="22"/>
              </w:rPr>
              <w:t>Meget almindelig</w:t>
            </w:r>
          </w:p>
          <w:p w14:paraId="485A9893" w14:textId="77777777" w:rsidR="00570AAF" w:rsidRPr="001A1267" w:rsidRDefault="00570AAF" w:rsidP="0078640F">
            <w:pPr>
              <w:jc w:val="center"/>
              <w:rPr>
                <w:rStyle w:val="Strk"/>
                <w:rFonts w:ascii="Times New Roman" w:hAnsi="Times New Roman"/>
                <w:sz w:val="22"/>
                <w:szCs w:val="22"/>
              </w:rPr>
            </w:pPr>
            <w:r w:rsidRPr="001A1267">
              <w:rPr>
                <w:rStyle w:val="Strk"/>
                <w:rFonts w:ascii="Times New Roman" w:hAnsi="Times New Roman"/>
                <w:sz w:val="22"/>
                <w:szCs w:val="22"/>
              </w:rPr>
              <w:t>(≥1/10)</w:t>
            </w:r>
          </w:p>
        </w:tc>
        <w:tc>
          <w:tcPr>
            <w:tcW w:w="934" w:type="pct"/>
          </w:tcPr>
          <w:p w14:paraId="569C21DB" w14:textId="77777777" w:rsidR="00570AAF" w:rsidRPr="001A1267" w:rsidRDefault="00570AAF" w:rsidP="0078640F">
            <w:pPr>
              <w:jc w:val="center"/>
              <w:rPr>
                <w:rStyle w:val="Strk"/>
                <w:rFonts w:ascii="Times New Roman" w:hAnsi="Times New Roman"/>
                <w:sz w:val="22"/>
                <w:szCs w:val="22"/>
              </w:rPr>
            </w:pPr>
            <w:r w:rsidRPr="001A1267">
              <w:rPr>
                <w:rStyle w:val="Strk"/>
                <w:rFonts w:ascii="Times New Roman" w:hAnsi="Times New Roman"/>
                <w:sz w:val="22"/>
                <w:szCs w:val="22"/>
              </w:rPr>
              <w:t>Almindelig</w:t>
            </w:r>
          </w:p>
          <w:p w14:paraId="3ECBC253" w14:textId="77777777" w:rsidR="00570AAF" w:rsidRPr="001A1267" w:rsidRDefault="00570AAF" w:rsidP="0078640F">
            <w:pPr>
              <w:jc w:val="center"/>
              <w:rPr>
                <w:rStyle w:val="Strk"/>
                <w:rFonts w:ascii="Times New Roman" w:hAnsi="Times New Roman"/>
                <w:sz w:val="22"/>
                <w:szCs w:val="22"/>
              </w:rPr>
            </w:pPr>
            <w:r w:rsidRPr="001A1267">
              <w:rPr>
                <w:rStyle w:val="Strk"/>
                <w:rFonts w:ascii="Times New Roman" w:hAnsi="Times New Roman"/>
                <w:sz w:val="22"/>
                <w:szCs w:val="22"/>
              </w:rPr>
              <w:t>(≥1/100 til &lt;1/10)</w:t>
            </w:r>
          </w:p>
        </w:tc>
        <w:tc>
          <w:tcPr>
            <w:tcW w:w="1058" w:type="pct"/>
          </w:tcPr>
          <w:p w14:paraId="29EAB5FB" w14:textId="77777777" w:rsidR="00570AAF" w:rsidRPr="001A1267" w:rsidRDefault="00570AAF" w:rsidP="0078640F">
            <w:pPr>
              <w:jc w:val="center"/>
              <w:rPr>
                <w:rStyle w:val="Strk"/>
                <w:rFonts w:ascii="Times New Roman" w:hAnsi="Times New Roman"/>
                <w:sz w:val="22"/>
                <w:szCs w:val="22"/>
              </w:rPr>
            </w:pPr>
            <w:r w:rsidRPr="001A1267">
              <w:rPr>
                <w:rStyle w:val="Strk"/>
                <w:rFonts w:ascii="Times New Roman" w:hAnsi="Times New Roman"/>
                <w:sz w:val="22"/>
                <w:szCs w:val="22"/>
              </w:rPr>
              <w:t>Ikke almindelig</w:t>
            </w:r>
          </w:p>
          <w:p w14:paraId="2C543121" w14:textId="77777777" w:rsidR="00570AAF" w:rsidRPr="001A1267" w:rsidRDefault="00570AAF" w:rsidP="0078640F">
            <w:pPr>
              <w:jc w:val="center"/>
              <w:rPr>
                <w:rStyle w:val="Strk"/>
                <w:rFonts w:ascii="Times New Roman" w:hAnsi="Times New Roman"/>
                <w:sz w:val="22"/>
                <w:szCs w:val="22"/>
              </w:rPr>
            </w:pPr>
            <w:r w:rsidRPr="001A1267">
              <w:rPr>
                <w:rStyle w:val="Strk"/>
                <w:rFonts w:ascii="Times New Roman" w:hAnsi="Times New Roman"/>
                <w:sz w:val="22"/>
                <w:szCs w:val="22"/>
              </w:rPr>
              <w:t>(≥1/1.000 til &lt;1/100)</w:t>
            </w:r>
          </w:p>
        </w:tc>
        <w:tc>
          <w:tcPr>
            <w:tcW w:w="974" w:type="pct"/>
          </w:tcPr>
          <w:p w14:paraId="34ED9BC0" w14:textId="77777777" w:rsidR="00570AAF" w:rsidRPr="001A1267" w:rsidRDefault="00570AAF" w:rsidP="0078640F">
            <w:pPr>
              <w:jc w:val="center"/>
              <w:rPr>
                <w:rStyle w:val="Strk"/>
                <w:rFonts w:ascii="Times New Roman" w:hAnsi="Times New Roman"/>
                <w:sz w:val="22"/>
                <w:szCs w:val="22"/>
              </w:rPr>
            </w:pPr>
            <w:r w:rsidRPr="001A1267">
              <w:rPr>
                <w:rStyle w:val="Strk"/>
                <w:rFonts w:ascii="Times New Roman" w:hAnsi="Times New Roman"/>
                <w:sz w:val="22"/>
                <w:szCs w:val="22"/>
              </w:rPr>
              <w:t>Sjælden</w:t>
            </w:r>
            <w:r w:rsidRPr="001A1267">
              <w:rPr>
                <w:rStyle w:val="Strk"/>
                <w:rFonts w:ascii="Times New Roman" w:hAnsi="Times New Roman"/>
                <w:sz w:val="22"/>
                <w:szCs w:val="22"/>
              </w:rPr>
              <w:br/>
              <w:t>(&lt;1/1.000)</w:t>
            </w:r>
          </w:p>
        </w:tc>
      </w:tr>
      <w:tr w:rsidR="00570AAF" w:rsidRPr="001A1267" w14:paraId="50FA7ACC" w14:textId="77777777" w:rsidTr="00FC0285">
        <w:tc>
          <w:tcPr>
            <w:tcW w:w="1067" w:type="pct"/>
          </w:tcPr>
          <w:p w14:paraId="451C3110" w14:textId="77777777" w:rsidR="00570AAF" w:rsidRPr="001A1267" w:rsidRDefault="00570AAF" w:rsidP="0078640F">
            <w:pPr>
              <w:rPr>
                <w:rFonts w:ascii="Times New Roman" w:hAnsi="Times New Roman"/>
                <w:sz w:val="22"/>
                <w:szCs w:val="22"/>
              </w:rPr>
            </w:pPr>
            <w:r w:rsidRPr="001A1267">
              <w:rPr>
                <w:rFonts w:ascii="Times New Roman" w:hAnsi="Times New Roman"/>
                <w:sz w:val="22"/>
                <w:szCs w:val="22"/>
              </w:rPr>
              <w:t>Mave-tarm-kanalen</w:t>
            </w:r>
          </w:p>
        </w:tc>
        <w:tc>
          <w:tcPr>
            <w:tcW w:w="967" w:type="pct"/>
          </w:tcPr>
          <w:p w14:paraId="65930FA6" w14:textId="77777777" w:rsidR="00570AAF" w:rsidRPr="001A1267" w:rsidRDefault="00570AAF" w:rsidP="0078640F">
            <w:pPr>
              <w:rPr>
                <w:rFonts w:ascii="Times New Roman" w:hAnsi="Times New Roman"/>
                <w:sz w:val="22"/>
                <w:szCs w:val="22"/>
              </w:rPr>
            </w:pPr>
            <w:r w:rsidRPr="001A1267">
              <w:rPr>
                <w:rFonts w:ascii="Times New Roman" w:hAnsi="Times New Roman"/>
                <w:sz w:val="22"/>
                <w:szCs w:val="22"/>
              </w:rPr>
              <w:t xml:space="preserve">Misfarvet </w:t>
            </w:r>
            <w:proofErr w:type="gramStart"/>
            <w:r w:rsidRPr="001A1267">
              <w:rPr>
                <w:rFonts w:ascii="Times New Roman" w:hAnsi="Times New Roman"/>
                <w:sz w:val="22"/>
                <w:szCs w:val="22"/>
              </w:rPr>
              <w:t>fæces</w:t>
            </w:r>
            <w:r w:rsidRPr="001A1267">
              <w:rPr>
                <w:rStyle w:val="Superscript"/>
                <w:rFonts w:ascii="Times New Roman" w:hAnsi="Times New Roman"/>
                <w:sz w:val="22"/>
                <w:szCs w:val="22"/>
              </w:rPr>
              <w:t>(</w:t>
            </w:r>
            <w:proofErr w:type="gramEnd"/>
            <w:r w:rsidRPr="001A1267">
              <w:rPr>
                <w:rStyle w:val="Superscript"/>
                <w:rFonts w:ascii="Times New Roman" w:hAnsi="Times New Roman"/>
                <w:sz w:val="22"/>
                <w:szCs w:val="22"/>
              </w:rPr>
              <w:t>1)</w:t>
            </w:r>
          </w:p>
        </w:tc>
        <w:tc>
          <w:tcPr>
            <w:tcW w:w="934" w:type="pct"/>
          </w:tcPr>
          <w:p w14:paraId="55CC2F2A" w14:textId="77777777" w:rsidR="00570AAF" w:rsidRPr="001A1267" w:rsidRDefault="00570AAF" w:rsidP="0078640F">
            <w:pPr>
              <w:rPr>
                <w:rFonts w:ascii="Times New Roman" w:hAnsi="Times New Roman"/>
                <w:sz w:val="22"/>
                <w:szCs w:val="22"/>
              </w:rPr>
            </w:pPr>
            <w:r w:rsidRPr="001A1267">
              <w:rPr>
                <w:rFonts w:ascii="Times New Roman" w:hAnsi="Times New Roman"/>
                <w:sz w:val="22"/>
                <w:szCs w:val="22"/>
              </w:rPr>
              <w:t xml:space="preserve">Diarré, kvalme, </w:t>
            </w:r>
            <w:proofErr w:type="gramStart"/>
            <w:r w:rsidRPr="001A1267">
              <w:rPr>
                <w:rFonts w:ascii="Times New Roman" w:hAnsi="Times New Roman"/>
                <w:sz w:val="22"/>
                <w:szCs w:val="22"/>
              </w:rPr>
              <w:t>mavesmerter</w:t>
            </w:r>
            <w:r w:rsidRPr="001A1267">
              <w:rPr>
                <w:rStyle w:val="Superscript"/>
                <w:rFonts w:ascii="Times New Roman" w:hAnsi="Times New Roman"/>
                <w:sz w:val="22"/>
                <w:szCs w:val="22"/>
              </w:rPr>
              <w:t>(</w:t>
            </w:r>
            <w:proofErr w:type="gramEnd"/>
            <w:r w:rsidRPr="001A1267">
              <w:rPr>
                <w:rStyle w:val="Superscript"/>
                <w:rFonts w:ascii="Times New Roman" w:hAnsi="Times New Roman"/>
                <w:sz w:val="22"/>
                <w:szCs w:val="22"/>
              </w:rPr>
              <w:t>2)</w:t>
            </w:r>
            <w:r w:rsidRPr="001A1267">
              <w:rPr>
                <w:rFonts w:ascii="Times New Roman" w:hAnsi="Times New Roman"/>
                <w:sz w:val="22"/>
                <w:szCs w:val="22"/>
              </w:rPr>
              <w:t>, forstoppelse</w:t>
            </w:r>
          </w:p>
        </w:tc>
        <w:tc>
          <w:tcPr>
            <w:tcW w:w="1058" w:type="pct"/>
          </w:tcPr>
          <w:p w14:paraId="153A52A0" w14:textId="77777777" w:rsidR="00570AAF" w:rsidRPr="001A1267" w:rsidRDefault="00570AAF" w:rsidP="0078640F">
            <w:pPr>
              <w:rPr>
                <w:rFonts w:ascii="Times New Roman" w:hAnsi="Times New Roman"/>
                <w:sz w:val="22"/>
                <w:szCs w:val="22"/>
              </w:rPr>
            </w:pPr>
            <w:proofErr w:type="gramStart"/>
            <w:r w:rsidRPr="001A1267">
              <w:rPr>
                <w:rFonts w:ascii="Times New Roman" w:hAnsi="Times New Roman"/>
                <w:sz w:val="22"/>
                <w:szCs w:val="22"/>
              </w:rPr>
              <w:t>Opkastning</w:t>
            </w:r>
            <w:r w:rsidRPr="001A1267">
              <w:rPr>
                <w:rStyle w:val="Superscript"/>
                <w:rFonts w:ascii="Times New Roman" w:hAnsi="Times New Roman"/>
                <w:sz w:val="22"/>
                <w:szCs w:val="22"/>
              </w:rPr>
              <w:t>(</w:t>
            </w:r>
            <w:proofErr w:type="gramEnd"/>
            <w:r w:rsidRPr="001A1267">
              <w:rPr>
                <w:rStyle w:val="Superscript"/>
                <w:rFonts w:ascii="Times New Roman" w:hAnsi="Times New Roman"/>
                <w:sz w:val="22"/>
                <w:szCs w:val="22"/>
              </w:rPr>
              <w:t>3)</w:t>
            </w:r>
            <w:r w:rsidRPr="001A1267">
              <w:rPr>
                <w:rFonts w:ascii="Times New Roman" w:hAnsi="Times New Roman"/>
                <w:sz w:val="22"/>
                <w:szCs w:val="22"/>
              </w:rPr>
              <w:t>, misfarvning af tænder</w:t>
            </w:r>
            <w:r w:rsidRPr="001A1267">
              <w:rPr>
                <w:rStyle w:val="Superscript"/>
                <w:rFonts w:ascii="Times New Roman" w:hAnsi="Times New Roman"/>
                <w:sz w:val="22"/>
                <w:szCs w:val="22"/>
              </w:rPr>
              <w:t>(4)</w:t>
            </w:r>
            <w:r w:rsidRPr="001A1267">
              <w:rPr>
                <w:rFonts w:ascii="Times New Roman" w:hAnsi="Times New Roman"/>
                <w:sz w:val="22"/>
                <w:szCs w:val="22"/>
              </w:rPr>
              <w:t>, gastritis</w:t>
            </w:r>
          </w:p>
        </w:tc>
        <w:tc>
          <w:tcPr>
            <w:tcW w:w="974" w:type="pct"/>
          </w:tcPr>
          <w:p w14:paraId="79807AF8" w14:textId="77777777" w:rsidR="00570AAF" w:rsidRPr="001A1267" w:rsidRDefault="00570AAF" w:rsidP="0078640F">
            <w:pPr>
              <w:rPr>
                <w:rFonts w:ascii="Times New Roman" w:hAnsi="Times New Roman"/>
                <w:sz w:val="22"/>
                <w:szCs w:val="22"/>
              </w:rPr>
            </w:pPr>
          </w:p>
        </w:tc>
      </w:tr>
      <w:tr w:rsidR="00570AAF" w:rsidRPr="001A1267" w14:paraId="55D09560" w14:textId="77777777" w:rsidTr="00FC0285">
        <w:tc>
          <w:tcPr>
            <w:tcW w:w="1067" w:type="pct"/>
          </w:tcPr>
          <w:p w14:paraId="3445C3F2" w14:textId="77777777" w:rsidR="00570AAF" w:rsidRPr="001A1267" w:rsidRDefault="00570AAF" w:rsidP="0078640F">
            <w:pPr>
              <w:rPr>
                <w:rFonts w:ascii="Times New Roman" w:hAnsi="Times New Roman"/>
                <w:sz w:val="22"/>
                <w:szCs w:val="22"/>
              </w:rPr>
            </w:pPr>
            <w:r w:rsidRPr="001A1267">
              <w:rPr>
                <w:rFonts w:ascii="Times New Roman" w:hAnsi="Times New Roman"/>
                <w:sz w:val="22"/>
                <w:szCs w:val="22"/>
              </w:rPr>
              <w:lastRenderedPageBreak/>
              <w:t>Hud og subkutane væv</w:t>
            </w:r>
          </w:p>
        </w:tc>
        <w:tc>
          <w:tcPr>
            <w:tcW w:w="967" w:type="pct"/>
          </w:tcPr>
          <w:p w14:paraId="737ADA9A" w14:textId="77777777" w:rsidR="00570AAF" w:rsidRPr="001A1267" w:rsidRDefault="00570AAF" w:rsidP="0078640F">
            <w:pPr>
              <w:rPr>
                <w:rFonts w:ascii="Times New Roman" w:hAnsi="Times New Roman"/>
                <w:sz w:val="22"/>
                <w:szCs w:val="22"/>
              </w:rPr>
            </w:pPr>
          </w:p>
        </w:tc>
        <w:tc>
          <w:tcPr>
            <w:tcW w:w="934" w:type="pct"/>
          </w:tcPr>
          <w:p w14:paraId="4B212EEB" w14:textId="77777777" w:rsidR="00570AAF" w:rsidRPr="001A1267" w:rsidRDefault="00570AAF" w:rsidP="0078640F">
            <w:pPr>
              <w:rPr>
                <w:rFonts w:ascii="Times New Roman" w:hAnsi="Times New Roman"/>
                <w:sz w:val="22"/>
                <w:szCs w:val="22"/>
              </w:rPr>
            </w:pPr>
          </w:p>
        </w:tc>
        <w:tc>
          <w:tcPr>
            <w:tcW w:w="1058" w:type="pct"/>
          </w:tcPr>
          <w:p w14:paraId="5311D9A4" w14:textId="77777777" w:rsidR="00570AAF" w:rsidRPr="001A1267" w:rsidRDefault="00570AAF" w:rsidP="0078640F">
            <w:pPr>
              <w:rPr>
                <w:rFonts w:ascii="Times New Roman" w:hAnsi="Times New Roman"/>
                <w:sz w:val="22"/>
                <w:szCs w:val="22"/>
              </w:rPr>
            </w:pPr>
            <w:r w:rsidRPr="001A1267">
              <w:rPr>
                <w:rFonts w:ascii="Times New Roman" w:hAnsi="Times New Roman"/>
                <w:sz w:val="22"/>
                <w:szCs w:val="22"/>
              </w:rPr>
              <w:t xml:space="preserve">Kløe, </w:t>
            </w:r>
            <w:proofErr w:type="gramStart"/>
            <w:r w:rsidRPr="001A1267">
              <w:rPr>
                <w:rFonts w:ascii="Times New Roman" w:hAnsi="Times New Roman"/>
                <w:sz w:val="22"/>
                <w:szCs w:val="22"/>
              </w:rPr>
              <w:t>udslæt</w:t>
            </w:r>
            <w:r w:rsidRPr="001A1267">
              <w:rPr>
                <w:rStyle w:val="Superscript"/>
                <w:rFonts w:ascii="Times New Roman" w:hAnsi="Times New Roman"/>
                <w:sz w:val="22"/>
                <w:szCs w:val="22"/>
              </w:rPr>
              <w:t>(</w:t>
            </w:r>
            <w:proofErr w:type="gramEnd"/>
            <w:r w:rsidRPr="001A1267">
              <w:rPr>
                <w:rStyle w:val="Superscript"/>
                <w:rFonts w:ascii="Times New Roman" w:hAnsi="Times New Roman"/>
                <w:sz w:val="22"/>
                <w:szCs w:val="22"/>
              </w:rPr>
              <w:t>5,6)</w:t>
            </w:r>
            <w:r w:rsidRPr="001A1267">
              <w:rPr>
                <w:rFonts w:ascii="Times New Roman" w:hAnsi="Times New Roman"/>
                <w:sz w:val="22"/>
                <w:szCs w:val="22"/>
              </w:rPr>
              <w:t>, nældefeber</w:t>
            </w:r>
            <w:r w:rsidRPr="001A1267">
              <w:rPr>
                <w:rStyle w:val="Superscript"/>
                <w:rFonts w:ascii="Times New Roman" w:hAnsi="Times New Roman"/>
                <w:sz w:val="22"/>
                <w:szCs w:val="22"/>
              </w:rPr>
              <w:t>(6)</w:t>
            </w:r>
            <w:r w:rsidRPr="001A1267">
              <w:rPr>
                <w:rFonts w:ascii="Times New Roman" w:hAnsi="Times New Roman"/>
                <w:sz w:val="22"/>
                <w:szCs w:val="22"/>
              </w:rPr>
              <w:t xml:space="preserve">, </w:t>
            </w:r>
            <w:proofErr w:type="spellStart"/>
            <w:r w:rsidRPr="001A1267">
              <w:rPr>
                <w:rFonts w:ascii="Times New Roman" w:hAnsi="Times New Roman"/>
                <w:sz w:val="22"/>
                <w:szCs w:val="22"/>
              </w:rPr>
              <w:t>erytem</w:t>
            </w:r>
            <w:proofErr w:type="spellEnd"/>
            <w:r w:rsidRPr="001A1267">
              <w:rPr>
                <w:rStyle w:val="Superscript"/>
                <w:rFonts w:ascii="Times New Roman" w:hAnsi="Times New Roman"/>
                <w:sz w:val="22"/>
                <w:szCs w:val="22"/>
              </w:rPr>
              <w:t>(6)</w:t>
            </w:r>
          </w:p>
        </w:tc>
        <w:tc>
          <w:tcPr>
            <w:tcW w:w="974" w:type="pct"/>
          </w:tcPr>
          <w:p w14:paraId="6ED75479" w14:textId="77777777" w:rsidR="00570AAF" w:rsidRPr="001A1267" w:rsidRDefault="00570AAF" w:rsidP="0078640F">
            <w:pPr>
              <w:rPr>
                <w:rFonts w:ascii="Times New Roman" w:hAnsi="Times New Roman"/>
                <w:sz w:val="22"/>
                <w:szCs w:val="22"/>
              </w:rPr>
            </w:pPr>
          </w:p>
        </w:tc>
      </w:tr>
      <w:tr w:rsidR="00570AAF" w:rsidRPr="001A1267" w14:paraId="29BFB28F" w14:textId="77777777" w:rsidTr="00FC0285">
        <w:tc>
          <w:tcPr>
            <w:tcW w:w="1067" w:type="pct"/>
          </w:tcPr>
          <w:p w14:paraId="3DFF619C" w14:textId="77777777" w:rsidR="00570AAF" w:rsidRPr="001A1267" w:rsidRDefault="00570AAF" w:rsidP="0078640F">
            <w:pPr>
              <w:rPr>
                <w:rFonts w:ascii="Times New Roman" w:hAnsi="Times New Roman"/>
                <w:sz w:val="22"/>
                <w:szCs w:val="22"/>
              </w:rPr>
            </w:pPr>
            <w:r w:rsidRPr="001A1267">
              <w:rPr>
                <w:rFonts w:ascii="Times New Roman" w:hAnsi="Times New Roman"/>
                <w:sz w:val="22"/>
                <w:szCs w:val="22"/>
              </w:rPr>
              <w:t>Nervesystemet</w:t>
            </w:r>
          </w:p>
        </w:tc>
        <w:tc>
          <w:tcPr>
            <w:tcW w:w="967" w:type="pct"/>
          </w:tcPr>
          <w:p w14:paraId="0950806E" w14:textId="77777777" w:rsidR="00570AAF" w:rsidRPr="001A1267" w:rsidRDefault="00570AAF" w:rsidP="0078640F">
            <w:pPr>
              <w:rPr>
                <w:rFonts w:ascii="Times New Roman" w:hAnsi="Times New Roman"/>
                <w:sz w:val="22"/>
                <w:szCs w:val="22"/>
              </w:rPr>
            </w:pPr>
          </w:p>
        </w:tc>
        <w:tc>
          <w:tcPr>
            <w:tcW w:w="934" w:type="pct"/>
          </w:tcPr>
          <w:p w14:paraId="705BBEDF" w14:textId="77777777" w:rsidR="00570AAF" w:rsidRPr="001A1267" w:rsidRDefault="00570AAF" w:rsidP="0078640F">
            <w:pPr>
              <w:rPr>
                <w:rFonts w:ascii="Times New Roman" w:hAnsi="Times New Roman"/>
                <w:sz w:val="22"/>
                <w:szCs w:val="22"/>
              </w:rPr>
            </w:pPr>
          </w:p>
        </w:tc>
        <w:tc>
          <w:tcPr>
            <w:tcW w:w="1058" w:type="pct"/>
          </w:tcPr>
          <w:p w14:paraId="0AB652B9" w14:textId="77777777" w:rsidR="00570AAF" w:rsidRPr="001A1267" w:rsidRDefault="00570AAF" w:rsidP="0078640F">
            <w:pPr>
              <w:rPr>
                <w:rFonts w:ascii="Times New Roman" w:hAnsi="Times New Roman"/>
                <w:sz w:val="22"/>
                <w:szCs w:val="22"/>
              </w:rPr>
            </w:pPr>
            <w:r w:rsidRPr="001A1267">
              <w:rPr>
                <w:rFonts w:ascii="Times New Roman" w:hAnsi="Times New Roman"/>
                <w:sz w:val="22"/>
                <w:szCs w:val="22"/>
              </w:rPr>
              <w:t>Hovedpine</w:t>
            </w:r>
          </w:p>
        </w:tc>
        <w:tc>
          <w:tcPr>
            <w:tcW w:w="974" w:type="pct"/>
          </w:tcPr>
          <w:p w14:paraId="0F90314B" w14:textId="77777777" w:rsidR="00570AAF" w:rsidRPr="001A1267" w:rsidRDefault="00570AAF" w:rsidP="0078640F">
            <w:pPr>
              <w:rPr>
                <w:rFonts w:ascii="Times New Roman" w:hAnsi="Times New Roman"/>
                <w:sz w:val="22"/>
                <w:szCs w:val="22"/>
              </w:rPr>
            </w:pPr>
          </w:p>
        </w:tc>
      </w:tr>
      <w:tr w:rsidR="00570AAF" w:rsidRPr="001A1267" w14:paraId="63BC085F" w14:textId="77777777" w:rsidTr="00FC0285">
        <w:tc>
          <w:tcPr>
            <w:tcW w:w="1067" w:type="pct"/>
          </w:tcPr>
          <w:p w14:paraId="3A31E726" w14:textId="77777777" w:rsidR="00570AAF" w:rsidRPr="001A1267" w:rsidRDefault="00570AAF" w:rsidP="0078640F">
            <w:pPr>
              <w:rPr>
                <w:rFonts w:ascii="Times New Roman" w:hAnsi="Times New Roman"/>
                <w:sz w:val="22"/>
                <w:szCs w:val="22"/>
              </w:rPr>
            </w:pPr>
            <w:r w:rsidRPr="001A1267">
              <w:rPr>
                <w:rFonts w:ascii="Times New Roman" w:hAnsi="Times New Roman"/>
                <w:sz w:val="22"/>
                <w:szCs w:val="22"/>
              </w:rPr>
              <w:t>Knogler, led, muskler og bindevæv</w:t>
            </w:r>
          </w:p>
        </w:tc>
        <w:tc>
          <w:tcPr>
            <w:tcW w:w="967" w:type="pct"/>
          </w:tcPr>
          <w:p w14:paraId="277D766C" w14:textId="77777777" w:rsidR="00570AAF" w:rsidRPr="001A1267" w:rsidRDefault="00570AAF" w:rsidP="0078640F">
            <w:pPr>
              <w:rPr>
                <w:rFonts w:ascii="Times New Roman" w:hAnsi="Times New Roman"/>
                <w:sz w:val="22"/>
                <w:szCs w:val="22"/>
              </w:rPr>
            </w:pPr>
          </w:p>
        </w:tc>
        <w:tc>
          <w:tcPr>
            <w:tcW w:w="934" w:type="pct"/>
          </w:tcPr>
          <w:p w14:paraId="1334CA01" w14:textId="77777777" w:rsidR="00570AAF" w:rsidRPr="001A1267" w:rsidRDefault="00570AAF" w:rsidP="0078640F">
            <w:pPr>
              <w:rPr>
                <w:rFonts w:ascii="Times New Roman" w:hAnsi="Times New Roman"/>
                <w:sz w:val="22"/>
                <w:szCs w:val="22"/>
              </w:rPr>
            </w:pPr>
          </w:p>
        </w:tc>
        <w:tc>
          <w:tcPr>
            <w:tcW w:w="1058" w:type="pct"/>
          </w:tcPr>
          <w:p w14:paraId="6B3647C0" w14:textId="77777777" w:rsidR="00570AAF" w:rsidRPr="001A1267" w:rsidRDefault="00570AAF" w:rsidP="0078640F">
            <w:pPr>
              <w:rPr>
                <w:rFonts w:ascii="Times New Roman" w:hAnsi="Times New Roman"/>
                <w:sz w:val="22"/>
                <w:szCs w:val="22"/>
              </w:rPr>
            </w:pPr>
          </w:p>
        </w:tc>
        <w:tc>
          <w:tcPr>
            <w:tcW w:w="974" w:type="pct"/>
          </w:tcPr>
          <w:p w14:paraId="1C6B8438" w14:textId="77777777" w:rsidR="00570AAF" w:rsidRPr="001A1267" w:rsidRDefault="00570AAF" w:rsidP="0078640F">
            <w:pPr>
              <w:rPr>
                <w:rFonts w:ascii="Times New Roman" w:hAnsi="Times New Roman"/>
                <w:sz w:val="22"/>
                <w:szCs w:val="22"/>
              </w:rPr>
            </w:pPr>
            <w:proofErr w:type="gramStart"/>
            <w:r w:rsidRPr="001A1267">
              <w:rPr>
                <w:rFonts w:ascii="Times New Roman" w:hAnsi="Times New Roman"/>
                <w:sz w:val="22"/>
                <w:szCs w:val="22"/>
              </w:rPr>
              <w:t>Muskelkramper</w:t>
            </w:r>
            <w:r w:rsidRPr="001A1267">
              <w:rPr>
                <w:rStyle w:val="Superscript"/>
                <w:rFonts w:ascii="Times New Roman" w:hAnsi="Times New Roman"/>
                <w:sz w:val="22"/>
                <w:szCs w:val="22"/>
              </w:rPr>
              <w:t>(</w:t>
            </w:r>
            <w:proofErr w:type="gramEnd"/>
            <w:r w:rsidRPr="001A1267">
              <w:rPr>
                <w:rStyle w:val="Superscript"/>
                <w:rFonts w:ascii="Times New Roman" w:hAnsi="Times New Roman"/>
                <w:sz w:val="22"/>
                <w:szCs w:val="22"/>
              </w:rPr>
              <w:t>7)</w:t>
            </w:r>
            <w:r w:rsidRPr="001A1267">
              <w:rPr>
                <w:rFonts w:ascii="Times New Roman" w:hAnsi="Times New Roman"/>
                <w:sz w:val="22"/>
                <w:szCs w:val="22"/>
              </w:rPr>
              <w:t>, muskelsmerter</w:t>
            </w:r>
          </w:p>
        </w:tc>
      </w:tr>
    </w:tbl>
    <w:p w14:paraId="3F9A0EE9" w14:textId="77777777" w:rsidR="00570AAF" w:rsidRPr="001A1267" w:rsidRDefault="00570AAF" w:rsidP="001A1267">
      <w:pPr>
        <w:ind w:left="284" w:hanging="284"/>
        <w:rPr>
          <w:sz w:val="18"/>
          <w:szCs w:val="18"/>
        </w:rPr>
      </w:pPr>
      <w:r w:rsidRPr="001A1267">
        <w:rPr>
          <w:sz w:val="18"/>
          <w:szCs w:val="18"/>
        </w:rPr>
        <w:t>1</w:t>
      </w:r>
      <w:r w:rsidRPr="001A1267">
        <w:rPr>
          <w:sz w:val="18"/>
          <w:szCs w:val="18"/>
        </w:rPr>
        <w:tab/>
        <w:t>Misfarvet fæces blev rapporteret mindre hyppigt i metaanalysen, men det er generelt en velkendt bivirkning ved behandling med oralt jerntilskud. Derfor er dette anført som en meget almindelig bivirkning.</w:t>
      </w:r>
    </w:p>
    <w:p w14:paraId="143AD7CA" w14:textId="77777777" w:rsidR="00570AAF" w:rsidRPr="001A1267" w:rsidRDefault="00570AAF" w:rsidP="001A1267">
      <w:pPr>
        <w:ind w:left="284" w:hanging="284"/>
        <w:rPr>
          <w:sz w:val="18"/>
          <w:szCs w:val="18"/>
        </w:rPr>
      </w:pPr>
      <w:r w:rsidRPr="001A1267">
        <w:rPr>
          <w:sz w:val="18"/>
          <w:szCs w:val="18"/>
        </w:rPr>
        <w:t>2</w:t>
      </w:r>
      <w:r w:rsidRPr="001A1267">
        <w:rPr>
          <w:sz w:val="18"/>
          <w:szCs w:val="18"/>
        </w:rPr>
        <w:tab/>
        <w:t xml:space="preserve">Inkluderer: mavesmerter, dyspepsi, </w:t>
      </w:r>
      <w:proofErr w:type="spellStart"/>
      <w:r w:rsidRPr="001A1267">
        <w:rPr>
          <w:sz w:val="18"/>
          <w:szCs w:val="18"/>
        </w:rPr>
        <w:t>epigastrisk</w:t>
      </w:r>
      <w:proofErr w:type="spellEnd"/>
      <w:r w:rsidRPr="001A1267">
        <w:rPr>
          <w:sz w:val="18"/>
          <w:szCs w:val="18"/>
        </w:rPr>
        <w:t xml:space="preserve"> ubehag, oppustethed</w:t>
      </w:r>
    </w:p>
    <w:p w14:paraId="30751D60" w14:textId="77777777" w:rsidR="00570AAF" w:rsidRPr="001A1267" w:rsidRDefault="00570AAF" w:rsidP="001A1267">
      <w:pPr>
        <w:ind w:left="284" w:hanging="284"/>
        <w:rPr>
          <w:sz w:val="18"/>
          <w:szCs w:val="18"/>
        </w:rPr>
      </w:pPr>
      <w:r w:rsidRPr="001A1267">
        <w:rPr>
          <w:sz w:val="18"/>
          <w:szCs w:val="18"/>
        </w:rPr>
        <w:t>3</w:t>
      </w:r>
      <w:r w:rsidRPr="001A1267">
        <w:rPr>
          <w:sz w:val="18"/>
          <w:szCs w:val="18"/>
        </w:rPr>
        <w:tab/>
        <w:t xml:space="preserve">Inkluderer: opkastning, </w:t>
      </w:r>
      <w:proofErr w:type="spellStart"/>
      <w:r w:rsidRPr="001A1267">
        <w:rPr>
          <w:sz w:val="18"/>
          <w:szCs w:val="18"/>
        </w:rPr>
        <w:t>regurgitation</w:t>
      </w:r>
      <w:proofErr w:type="spellEnd"/>
    </w:p>
    <w:p w14:paraId="17F4C02C" w14:textId="77777777" w:rsidR="00570AAF" w:rsidRPr="001A1267" w:rsidRDefault="00570AAF" w:rsidP="001A1267">
      <w:pPr>
        <w:ind w:left="284" w:hanging="284"/>
        <w:rPr>
          <w:sz w:val="18"/>
          <w:szCs w:val="18"/>
        </w:rPr>
      </w:pPr>
      <w:r w:rsidRPr="001A1267">
        <w:rPr>
          <w:sz w:val="18"/>
          <w:szCs w:val="18"/>
        </w:rPr>
        <w:t>4</w:t>
      </w:r>
      <w:r w:rsidRPr="001A1267">
        <w:rPr>
          <w:sz w:val="18"/>
          <w:szCs w:val="18"/>
        </w:rPr>
        <w:tab/>
        <w:t>Misfarvning af tænder blev nævnt som en bivirkning blandt 0,1 % af patienterne, og dette er en kendt bivirkning ved oral jerntilskudsmedicin. Misfarvningen af tænderne kan modvirkes ved intensiv tandbørstning eller ved at blande den orale opløsning med flydende madvarer eller ved at bruge sugerør.</w:t>
      </w:r>
    </w:p>
    <w:p w14:paraId="237D18B9" w14:textId="77777777" w:rsidR="00570AAF" w:rsidRPr="001A1267" w:rsidRDefault="00570AAF" w:rsidP="001A1267">
      <w:pPr>
        <w:ind w:left="284" w:hanging="284"/>
        <w:rPr>
          <w:sz w:val="18"/>
          <w:szCs w:val="18"/>
        </w:rPr>
      </w:pPr>
      <w:r w:rsidRPr="001A1267">
        <w:rPr>
          <w:sz w:val="18"/>
          <w:szCs w:val="18"/>
        </w:rPr>
        <w:t>5</w:t>
      </w:r>
      <w:r w:rsidRPr="001A1267">
        <w:rPr>
          <w:sz w:val="18"/>
          <w:szCs w:val="18"/>
        </w:rPr>
        <w:tab/>
        <w:t xml:space="preserve">Inkluderer: udslæt, </w:t>
      </w:r>
      <w:proofErr w:type="spellStart"/>
      <w:r w:rsidRPr="001A1267">
        <w:rPr>
          <w:sz w:val="18"/>
          <w:szCs w:val="18"/>
        </w:rPr>
        <w:t>makuløst</w:t>
      </w:r>
      <w:proofErr w:type="spellEnd"/>
      <w:r w:rsidRPr="001A1267">
        <w:rPr>
          <w:sz w:val="18"/>
          <w:szCs w:val="18"/>
        </w:rPr>
        <w:t xml:space="preserve"> udslæt, </w:t>
      </w:r>
      <w:proofErr w:type="spellStart"/>
      <w:r w:rsidRPr="001A1267">
        <w:rPr>
          <w:sz w:val="18"/>
          <w:szCs w:val="18"/>
        </w:rPr>
        <w:t>vesikuløst</w:t>
      </w:r>
      <w:proofErr w:type="spellEnd"/>
      <w:r w:rsidRPr="001A1267">
        <w:rPr>
          <w:sz w:val="18"/>
          <w:szCs w:val="18"/>
        </w:rPr>
        <w:t xml:space="preserve"> udslæt</w:t>
      </w:r>
    </w:p>
    <w:p w14:paraId="112A48A7" w14:textId="77777777" w:rsidR="00570AAF" w:rsidRPr="001A1267" w:rsidRDefault="00570AAF" w:rsidP="001A1267">
      <w:pPr>
        <w:ind w:left="284" w:hanging="284"/>
        <w:rPr>
          <w:sz w:val="18"/>
          <w:szCs w:val="18"/>
        </w:rPr>
      </w:pPr>
      <w:r w:rsidRPr="001A1267">
        <w:rPr>
          <w:sz w:val="18"/>
          <w:szCs w:val="18"/>
        </w:rPr>
        <w:t>6</w:t>
      </w:r>
      <w:r w:rsidRPr="001A1267">
        <w:rPr>
          <w:sz w:val="18"/>
          <w:szCs w:val="18"/>
        </w:rPr>
        <w:tab/>
        <w:t>hændelser, der stammer fra spontane indberetninger efter markedsføringen, estimeret forekomst på &lt; 1/491 patienter (øvre grænse for 95 % konfidensinterval)</w:t>
      </w:r>
    </w:p>
    <w:p w14:paraId="1E31E12C" w14:textId="77777777" w:rsidR="00570AAF" w:rsidRPr="001A1267" w:rsidRDefault="00570AAF" w:rsidP="001A1267">
      <w:pPr>
        <w:ind w:left="284" w:hanging="284"/>
        <w:rPr>
          <w:sz w:val="18"/>
          <w:szCs w:val="18"/>
        </w:rPr>
      </w:pPr>
      <w:r w:rsidRPr="001A1267">
        <w:rPr>
          <w:sz w:val="18"/>
          <w:szCs w:val="18"/>
        </w:rPr>
        <w:t>7</w:t>
      </w:r>
      <w:r w:rsidRPr="001A1267">
        <w:rPr>
          <w:sz w:val="18"/>
          <w:szCs w:val="18"/>
        </w:rPr>
        <w:tab/>
        <w:t xml:space="preserve">Inkluderer: ufrivillig muskelsammentrækning, </w:t>
      </w:r>
      <w:proofErr w:type="spellStart"/>
      <w:r w:rsidRPr="001A1267">
        <w:rPr>
          <w:sz w:val="18"/>
          <w:szCs w:val="18"/>
        </w:rPr>
        <w:t>tremor</w:t>
      </w:r>
      <w:proofErr w:type="spellEnd"/>
    </w:p>
    <w:p w14:paraId="7A9818CB" w14:textId="77777777" w:rsidR="00570AAF" w:rsidRPr="000122CD" w:rsidRDefault="00570AAF" w:rsidP="00570AAF">
      <w:pPr>
        <w:rPr>
          <w:sz w:val="24"/>
          <w:szCs w:val="24"/>
        </w:rPr>
      </w:pPr>
    </w:p>
    <w:p w14:paraId="37FC0C59" w14:textId="77777777" w:rsidR="00570AAF" w:rsidRPr="001A1267" w:rsidRDefault="00570AAF" w:rsidP="001A1267">
      <w:pPr>
        <w:ind w:left="851"/>
        <w:rPr>
          <w:sz w:val="24"/>
          <w:szCs w:val="24"/>
          <w:u w:val="single"/>
        </w:rPr>
      </w:pPr>
      <w:r w:rsidRPr="001A1267">
        <w:rPr>
          <w:sz w:val="24"/>
          <w:szCs w:val="24"/>
          <w:u w:val="single"/>
        </w:rPr>
        <w:t>Indberetning af formodede bivirkninger</w:t>
      </w:r>
    </w:p>
    <w:p w14:paraId="5B727BAF" w14:textId="7160CCD2" w:rsidR="00570AAF" w:rsidRPr="000122CD" w:rsidRDefault="00570AAF" w:rsidP="00FC0285">
      <w:pPr>
        <w:ind w:left="851"/>
        <w:rPr>
          <w:sz w:val="24"/>
          <w:szCs w:val="24"/>
        </w:rPr>
      </w:pPr>
      <w:r w:rsidRPr="000122CD">
        <w:rPr>
          <w:sz w:val="24"/>
          <w:szCs w:val="24"/>
        </w:rPr>
        <w:t>Når lægemidlet er godkendt, er indberetning af formodede bivirkninger vigtig. Det muliggør løbende overvågning af benefit/</w:t>
      </w:r>
      <w:proofErr w:type="spellStart"/>
      <w:r w:rsidRPr="000122CD">
        <w:rPr>
          <w:sz w:val="24"/>
          <w:szCs w:val="24"/>
        </w:rPr>
        <w:t>risk</w:t>
      </w:r>
      <w:proofErr w:type="spellEnd"/>
      <w:r w:rsidRPr="000122CD">
        <w:rPr>
          <w:sz w:val="24"/>
          <w:szCs w:val="24"/>
        </w:rPr>
        <w:t xml:space="preserve">-forholdet for lægemidlet. </w:t>
      </w:r>
      <w:r w:rsidR="007A1A27">
        <w:rPr>
          <w:sz w:val="24"/>
          <w:szCs w:val="24"/>
        </w:rPr>
        <w:t xml:space="preserve">Sundhedspersoner </w:t>
      </w:r>
      <w:r w:rsidRPr="000122CD">
        <w:rPr>
          <w:sz w:val="24"/>
          <w:szCs w:val="24"/>
        </w:rPr>
        <w:t>anmodes om at indberette alle formodede bivirkninger via:</w:t>
      </w:r>
    </w:p>
    <w:p w14:paraId="51FFE21B" w14:textId="77777777" w:rsidR="00570AAF" w:rsidRPr="000122CD" w:rsidRDefault="00570AAF" w:rsidP="00FC0285">
      <w:pPr>
        <w:ind w:left="851"/>
        <w:rPr>
          <w:sz w:val="24"/>
          <w:szCs w:val="24"/>
        </w:rPr>
      </w:pPr>
    </w:p>
    <w:p w14:paraId="60921779" w14:textId="77777777" w:rsidR="00570AAF" w:rsidRPr="000122CD" w:rsidRDefault="00570AAF" w:rsidP="00FC0285">
      <w:pPr>
        <w:ind w:left="851"/>
        <w:rPr>
          <w:sz w:val="24"/>
          <w:szCs w:val="24"/>
        </w:rPr>
      </w:pPr>
      <w:r w:rsidRPr="000122CD">
        <w:rPr>
          <w:sz w:val="24"/>
          <w:szCs w:val="24"/>
        </w:rPr>
        <w:t>Lægemiddelstyrelsen</w:t>
      </w:r>
    </w:p>
    <w:p w14:paraId="5F9B6BD9" w14:textId="77777777" w:rsidR="00570AAF" w:rsidRPr="000122CD" w:rsidRDefault="00570AAF" w:rsidP="00FC0285">
      <w:pPr>
        <w:ind w:left="851"/>
        <w:rPr>
          <w:sz w:val="24"/>
          <w:szCs w:val="24"/>
        </w:rPr>
      </w:pPr>
      <w:r w:rsidRPr="000122CD">
        <w:rPr>
          <w:sz w:val="24"/>
          <w:szCs w:val="24"/>
        </w:rPr>
        <w:t>Axel Heides Gade 1</w:t>
      </w:r>
    </w:p>
    <w:p w14:paraId="68855D70" w14:textId="77777777" w:rsidR="00570AAF" w:rsidRPr="000122CD" w:rsidRDefault="00570AAF" w:rsidP="00FC0285">
      <w:pPr>
        <w:ind w:left="851"/>
        <w:rPr>
          <w:sz w:val="24"/>
          <w:szCs w:val="24"/>
        </w:rPr>
      </w:pPr>
      <w:r w:rsidRPr="000122CD">
        <w:rPr>
          <w:sz w:val="24"/>
          <w:szCs w:val="24"/>
        </w:rPr>
        <w:t>DK-2300 København S</w:t>
      </w:r>
    </w:p>
    <w:p w14:paraId="5F5E8A52" w14:textId="57B934B5" w:rsidR="00570AAF" w:rsidRDefault="00570AAF" w:rsidP="00FC0285">
      <w:pPr>
        <w:ind w:left="851"/>
        <w:rPr>
          <w:sz w:val="24"/>
          <w:szCs w:val="24"/>
        </w:rPr>
      </w:pPr>
      <w:r w:rsidRPr="000122CD">
        <w:rPr>
          <w:sz w:val="24"/>
          <w:szCs w:val="24"/>
        </w:rPr>
        <w:t xml:space="preserve">Websted: </w:t>
      </w:r>
      <w:hyperlink r:id="rId8" w:history="1">
        <w:r w:rsidR="00761CE9" w:rsidRPr="00E16E6A">
          <w:rPr>
            <w:rStyle w:val="Hyperlink"/>
            <w:sz w:val="24"/>
            <w:szCs w:val="24"/>
          </w:rPr>
          <w:t>www.meldenbivirkning.dk</w:t>
        </w:r>
      </w:hyperlink>
    </w:p>
    <w:p w14:paraId="766534F9" w14:textId="77777777" w:rsidR="009260DE" w:rsidRPr="000122CD" w:rsidRDefault="009260DE" w:rsidP="009260DE">
      <w:pPr>
        <w:pStyle w:val="Sidehoved"/>
        <w:tabs>
          <w:tab w:val="left" w:pos="851"/>
        </w:tabs>
        <w:ind w:left="851"/>
        <w:rPr>
          <w:szCs w:val="24"/>
        </w:rPr>
      </w:pPr>
    </w:p>
    <w:p w14:paraId="23AE3530" w14:textId="77777777" w:rsidR="009260DE" w:rsidRPr="000122CD" w:rsidRDefault="009260DE" w:rsidP="009260DE">
      <w:pPr>
        <w:tabs>
          <w:tab w:val="left" w:pos="851"/>
        </w:tabs>
        <w:ind w:left="851" w:hanging="851"/>
        <w:rPr>
          <w:b/>
          <w:sz w:val="24"/>
          <w:szCs w:val="24"/>
        </w:rPr>
      </w:pPr>
      <w:r w:rsidRPr="000122CD">
        <w:rPr>
          <w:b/>
          <w:sz w:val="24"/>
          <w:szCs w:val="24"/>
        </w:rPr>
        <w:t>4.9</w:t>
      </w:r>
      <w:r w:rsidRPr="000122CD">
        <w:rPr>
          <w:b/>
          <w:sz w:val="24"/>
          <w:szCs w:val="24"/>
        </w:rPr>
        <w:tab/>
        <w:t>Overdosering</w:t>
      </w:r>
    </w:p>
    <w:p w14:paraId="7A472D91" w14:textId="77777777" w:rsidR="00570AAF" w:rsidRPr="000122CD" w:rsidRDefault="00570AAF" w:rsidP="00A33AF5">
      <w:pPr>
        <w:ind w:left="851"/>
        <w:rPr>
          <w:sz w:val="24"/>
          <w:szCs w:val="24"/>
        </w:rPr>
      </w:pPr>
      <w:r w:rsidRPr="000122CD">
        <w:rPr>
          <w:sz w:val="24"/>
          <w:szCs w:val="24"/>
        </w:rPr>
        <w:t>I tilfælde af overdosering er forgiftning eller akkumulation af jern usandsynligt med IPC på grund af dets lave toksicitet (dvs. hos mus eller rotter: dødelig dosis, 50 % (LD</w:t>
      </w:r>
      <w:r w:rsidRPr="000122CD">
        <w:rPr>
          <w:rStyle w:val="Subscript"/>
          <w:sz w:val="24"/>
          <w:szCs w:val="24"/>
        </w:rPr>
        <w:t>50</w:t>
      </w:r>
      <w:r w:rsidRPr="000122CD">
        <w:rPr>
          <w:sz w:val="24"/>
          <w:szCs w:val="24"/>
        </w:rPr>
        <w:t>) &gt; 2.000 mg Fe/kg kropsvægt) og kontrolleret optagelse af jern (se under punkt 5.3). Der er ikke rapporteret tilfælde af utilsigtet forgiftning med dødelig udgang.</w:t>
      </w:r>
    </w:p>
    <w:p w14:paraId="11864F8B" w14:textId="77777777" w:rsidR="009260DE" w:rsidRPr="000122CD" w:rsidRDefault="009260DE" w:rsidP="009260DE">
      <w:pPr>
        <w:tabs>
          <w:tab w:val="left" w:pos="851"/>
        </w:tabs>
        <w:ind w:left="851"/>
        <w:rPr>
          <w:sz w:val="24"/>
          <w:szCs w:val="24"/>
        </w:rPr>
      </w:pPr>
    </w:p>
    <w:p w14:paraId="68A65040" w14:textId="77777777" w:rsidR="009260DE" w:rsidRPr="000122CD" w:rsidRDefault="009260DE" w:rsidP="009260DE">
      <w:pPr>
        <w:tabs>
          <w:tab w:val="left" w:pos="851"/>
        </w:tabs>
        <w:ind w:left="851" w:hanging="851"/>
        <w:rPr>
          <w:b/>
          <w:sz w:val="24"/>
          <w:szCs w:val="24"/>
        </w:rPr>
      </w:pPr>
      <w:r w:rsidRPr="000122CD">
        <w:rPr>
          <w:b/>
          <w:sz w:val="24"/>
          <w:szCs w:val="24"/>
        </w:rPr>
        <w:t>4.10</w:t>
      </w:r>
      <w:r w:rsidRPr="000122CD">
        <w:rPr>
          <w:b/>
          <w:sz w:val="24"/>
          <w:szCs w:val="24"/>
        </w:rPr>
        <w:tab/>
        <w:t>Udlevering</w:t>
      </w:r>
    </w:p>
    <w:p w14:paraId="4F618F66" w14:textId="4C5E8246" w:rsidR="009260DE" w:rsidRPr="000122CD" w:rsidRDefault="00CE2FBA" w:rsidP="009260DE">
      <w:pPr>
        <w:tabs>
          <w:tab w:val="left" w:pos="851"/>
        </w:tabs>
        <w:ind w:left="851"/>
        <w:rPr>
          <w:sz w:val="24"/>
          <w:szCs w:val="24"/>
        </w:rPr>
      </w:pPr>
      <w:r w:rsidRPr="000122CD">
        <w:rPr>
          <w:sz w:val="24"/>
          <w:szCs w:val="24"/>
        </w:rPr>
        <w:t>HA</w:t>
      </w:r>
    </w:p>
    <w:p w14:paraId="6CC72853" w14:textId="77777777" w:rsidR="009260DE" w:rsidRPr="000122CD" w:rsidRDefault="009260DE" w:rsidP="009260DE">
      <w:pPr>
        <w:tabs>
          <w:tab w:val="left" w:pos="851"/>
        </w:tabs>
        <w:ind w:left="851"/>
        <w:rPr>
          <w:sz w:val="24"/>
          <w:szCs w:val="24"/>
        </w:rPr>
      </w:pPr>
    </w:p>
    <w:p w14:paraId="2F62E40D" w14:textId="77777777" w:rsidR="009260DE" w:rsidRPr="000122CD" w:rsidRDefault="009260DE" w:rsidP="009260DE">
      <w:pPr>
        <w:tabs>
          <w:tab w:val="left" w:pos="851"/>
        </w:tabs>
        <w:ind w:left="851"/>
        <w:rPr>
          <w:sz w:val="24"/>
          <w:szCs w:val="24"/>
        </w:rPr>
      </w:pPr>
    </w:p>
    <w:p w14:paraId="5980A520" w14:textId="31A29963" w:rsidR="00570AAF" w:rsidRPr="00761CE9" w:rsidRDefault="009260DE" w:rsidP="00761CE9">
      <w:pPr>
        <w:tabs>
          <w:tab w:val="left" w:pos="851"/>
        </w:tabs>
        <w:ind w:left="851" w:hanging="851"/>
        <w:rPr>
          <w:b/>
          <w:sz w:val="24"/>
          <w:szCs w:val="24"/>
        </w:rPr>
      </w:pPr>
      <w:r w:rsidRPr="000122CD">
        <w:rPr>
          <w:b/>
          <w:sz w:val="24"/>
          <w:szCs w:val="24"/>
        </w:rPr>
        <w:t>5.</w:t>
      </w:r>
      <w:r w:rsidRPr="000122CD">
        <w:rPr>
          <w:b/>
          <w:sz w:val="24"/>
          <w:szCs w:val="24"/>
        </w:rPr>
        <w:tab/>
        <w:t>FARMAKOLOGISKE EGENSKABER</w:t>
      </w:r>
    </w:p>
    <w:p w14:paraId="0B879543" w14:textId="77777777" w:rsidR="009260DE" w:rsidRPr="000122CD" w:rsidRDefault="009260DE" w:rsidP="009260DE">
      <w:pPr>
        <w:tabs>
          <w:tab w:val="left" w:pos="851"/>
        </w:tabs>
        <w:ind w:left="851"/>
        <w:rPr>
          <w:sz w:val="24"/>
          <w:szCs w:val="24"/>
        </w:rPr>
      </w:pPr>
    </w:p>
    <w:p w14:paraId="6B75D991" w14:textId="77777777" w:rsidR="009260DE" w:rsidRPr="000122CD" w:rsidRDefault="009260DE" w:rsidP="009260DE">
      <w:pPr>
        <w:tabs>
          <w:tab w:val="num" w:pos="851"/>
        </w:tabs>
        <w:ind w:left="851" w:hanging="851"/>
        <w:rPr>
          <w:b/>
          <w:sz w:val="24"/>
          <w:szCs w:val="24"/>
        </w:rPr>
      </w:pPr>
      <w:r w:rsidRPr="000122CD">
        <w:rPr>
          <w:b/>
          <w:sz w:val="24"/>
          <w:szCs w:val="24"/>
        </w:rPr>
        <w:t>5.1</w:t>
      </w:r>
      <w:r w:rsidRPr="000122CD">
        <w:rPr>
          <w:b/>
          <w:sz w:val="24"/>
          <w:szCs w:val="24"/>
        </w:rPr>
        <w:tab/>
      </w:r>
      <w:proofErr w:type="spellStart"/>
      <w:r w:rsidRPr="000122CD">
        <w:rPr>
          <w:b/>
          <w:sz w:val="24"/>
          <w:szCs w:val="24"/>
        </w:rPr>
        <w:t>Farmakodynamiske</w:t>
      </w:r>
      <w:proofErr w:type="spellEnd"/>
      <w:r w:rsidRPr="000122CD">
        <w:rPr>
          <w:b/>
          <w:sz w:val="24"/>
          <w:szCs w:val="24"/>
        </w:rPr>
        <w:t xml:space="preserve"> egenskaber</w:t>
      </w:r>
    </w:p>
    <w:p w14:paraId="46302F1E" w14:textId="29421031" w:rsidR="00761CE9" w:rsidRPr="000122CD" w:rsidRDefault="00761CE9" w:rsidP="00761CE9">
      <w:pPr>
        <w:ind w:left="851"/>
        <w:rPr>
          <w:sz w:val="24"/>
          <w:szCs w:val="24"/>
        </w:rPr>
      </w:pPr>
      <w:proofErr w:type="spellStart"/>
      <w:r>
        <w:rPr>
          <w:sz w:val="24"/>
          <w:szCs w:val="24"/>
        </w:rPr>
        <w:t>Farmakoterapeutisk</w:t>
      </w:r>
      <w:proofErr w:type="spellEnd"/>
      <w:r>
        <w:rPr>
          <w:sz w:val="24"/>
          <w:szCs w:val="24"/>
        </w:rPr>
        <w:t xml:space="preserve"> klassifikation: </w:t>
      </w:r>
      <w:r w:rsidRPr="000122CD">
        <w:rPr>
          <w:sz w:val="24"/>
          <w:szCs w:val="24"/>
        </w:rPr>
        <w:t>Jerntrivalente, orale præparater; Ferrioxid-polymaltose</w:t>
      </w:r>
      <w:r>
        <w:rPr>
          <w:sz w:val="24"/>
          <w:szCs w:val="24"/>
        </w:rPr>
        <w:softHyphen/>
      </w:r>
      <w:r w:rsidRPr="000122CD">
        <w:rPr>
          <w:sz w:val="24"/>
          <w:szCs w:val="24"/>
        </w:rPr>
        <w:t>komplekser.</w:t>
      </w:r>
      <w:r w:rsidRPr="00761CE9">
        <w:rPr>
          <w:sz w:val="24"/>
          <w:szCs w:val="24"/>
        </w:rPr>
        <w:t xml:space="preserve"> </w:t>
      </w:r>
      <w:r w:rsidRPr="000122CD">
        <w:rPr>
          <w:sz w:val="24"/>
          <w:szCs w:val="24"/>
        </w:rPr>
        <w:t>ATC-kode: B 03 AB 05.</w:t>
      </w:r>
    </w:p>
    <w:p w14:paraId="0362D7C9" w14:textId="759FBE3D" w:rsidR="00E31012" w:rsidRDefault="00E31012" w:rsidP="001C230E">
      <w:pPr>
        <w:ind w:left="851"/>
        <w:rPr>
          <w:sz w:val="24"/>
          <w:szCs w:val="24"/>
        </w:rPr>
      </w:pPr>
    </w:p>
    <w:p w14:paraId="3806F4F5" w14:textId="57B6302B" w:rsidR="00570AAF" w:rsidRPr="00E31012" w:rsidRDefault="00570AAF" w:rsidP="001C230E">
      <w:pPr>
        <w:ind w:left="851"/>
        <w:rPr>
          <w:sz w:val="24"/>
          <w:szCs w:val="24"/>
          <w:u w:val="single"/>
        </w:rPr>
      </w:pPr>
      <w:r w:rsidRPr="00E31012">
        <w:rPr>
          <w:sz w:val="24"/>
          <w:szCs w:val="24"/>
          <w:u w:val="single"/>
        </w:rPr>
        <w:t>Virkningsmekanisme</w:t>
      </w:r>
    </w:p>
    <w:p w14:paraId="7DF01B10" w14:textId="77777777" w:rsidR="00570AAF" w:rsidRPr="000122CD" w:rsidRDefault="00570AAF" w:rsidP="001C230E">
      <w:pPr>
        <w:ind w:left="851"/>
        <w:rPr>
          <w:sz w:val="24"/>
          <w:szCs w:val="24"/>
        </w:rPr>
      </w:pPr>
      <w:r w:rsidRPr="000122CD">
        <w:rPr>
          <w:sz w:val="24"/>
          <w:szCs w:val="24"/>
        </w:rPr>
        <w:t xml:space="preserve">I IPC er den </w:t>
      </w:r>
      <w:proofErr w:type="spellStart"/>
      <w:r w:rsidRPr="000122CD">
        <w:rPr>
          <w:sz w:val="24"/>
          <w:szCs w:val="24"/>
        </w:rPr>
        <w:t>polynukleære</w:t>
      </w:r>
      <w:proofErr w:type="spellEnd"/>
      <w:r w:rsidRPr="000122CD">
        <w:rPr>
          <w:sz w:val="24"/>
          <w:szCs w:val="24"/>
        </w:rPr>
        <w:t xml:space="preserve"> </w:t>
      </w:r>
      <w:proofErr w:type="gramStart"/>
      <w:r w:rsidRPr="000122CD">
        <w:rPr>
          <w:sz w:val="24"/>
          <w:szCs w:val="24"/>
        </w:rPr>
        <w:t>jern(</w:t>
      </w:r>
      <w:proofErr w:type="gramEnd"/>
      <w:r w:rsidRPr="000122CD">
        <w:rPr>
          <w:sz w:val="24"/>
          <w:szCs w:val="24"/>
        </w:rPr>
        <w:t xml:space="preserve">III)-hydroxidbestanddel overfladisk omgivet af et antal ikke-kovalente, bundne </w:t>
      </w:r>
      <w:proofErr w:type="spellStart"/>
      <w:r w:rsidRPr="000122CD">
        <w:rPr>
          <w:sz w:val="24"/>
          <w:szCs w:val="24"/>
        </w:rPr>
        <w:t>poly</w:t>
      </w:r>
      <w:proofErr w:type="spellEnd"/>
      <w:r w:rsidRPr="000122CD">
        <w:rPr>
          <w:sz w:val="24"/>
          <w:szCs w:val="24"/>
        </w:rPr>
        <w:t>-maltosemolekyler, hvilket resulterer i en samlet gennemsnitlig molekylvægt på ca. 50 </w:t>
      </w:r>
      <w:proofErr w:type="spellStart"/>
      <w:r w:rsidRPr="000122CD">
        <w:rPr>
          <w:sz w:val="24"/>
          <w:szCs w:val="24"/>
        </w:rPr>
        <w:t>kDa</w:t>
      </w:r>
      <w:proofErr w:type="spellEnd"/>
      <w:r w:rsidRPr="000122CD">
        <w:rPr>
          <w:sz w:val="24"/>
          <w:szCs w:val="24"/>
        </w:rPr>
        <w:t xml:space="preserve">. Den </w:t>
      </w:r>
      <w:proofErr w:type="spellStart"/>
      <w:r w:rsidRPr="000122CD">
        <w:rPr>
          <w:sz w:val="24"/>
          <w:szCs w:val="24"/>
        </w:rPr>
        <w:t>polynukleære</w:t>
      </w:r>
      <w:proofErr w:type="spellEnd"/>
      <w:r w:rsidRPr="000122CD">
        <w:rPr>
          <w:sz w:val="24"/>
          <w:szCs w:val="24"/>
        </w:rPr>
        <w:t xml:space="preserve"> jernbestanddel i IPC har en struktur tilsvarende det fysiologiske og jernbindende protein, ferritin. IPC er en stabil forbindelse og frigiver ikke store mængder jern under fysiologiske forhold. På grund af dets størrelse er spredningsgraden af IPC gennem slimhindens membran ca. 40 gange mindre end for de fleste vandopløselige </w:t>
      </w:r>
      <w:proofErr w:type="gramStart"/>
      <w:r w:rsidRPr="000122CD">
        <w:rPr>
          <w:sz w:val="24"/>
          <w:szCs w:val="24"/>
        </w:rPr>
        <w:t>jern(</w:t>
      </w:r>
      <w:proofErr w:type="gramEnd"/>
      <w:r w:rsidRPr="000122CD">
        <w:rPr>
          <w:sz w:val="24"/>
          <w:szCs w:val="24"/>
        </w:rPr>
        <w:t xml:space="preserve">II)-salte, der findes i vandige opløsninger som </w:t>
      </w:r>
      <w:proofErr w:type="spellStart"/>
      <w:r w:rsidRPr="000122CD">
        <w:rPr>
          <w:sz w:val="24"/>
          <w:szCs w:val="24"/>
        </w:rPr>
        <w:t>hexaaquajern</w:t>
      </w:r>
      <w:proofErr w:type="spellEnd"/>
      <w:r w:rsidRPr="000122CD">
        <w:rPr>
          <w:sz w:val="24"/>
          <w:szCs w:val="24"/>
        </w:rPr>
        <w:t>(II)-ionforbindelsen. Jern fra IPC optages i tarmen via en aktiv mekanisme.</w:t>
      </w:r>
    </w:p>
    <w:p w14:paraId="7F4B40A0" w14:textId="77777777" w:rsidR="00570AAF" w:rsidRPr="000122CD" w:rsidRDefault="00570AAF" w:rsidP="001C230E">
      <w:pPr>
        <w:ind w:left="851"/>
        <w:rPr>
          <w:sz w:val="24"/>
          <w:szCs w:val="24"/>
        </w:rPr>
      </w:pPr>
    </w:p>
    <w:p w14:paraId="04FB383C" w14:textId="77777777" w:rsidR="00570AAF" w:rsidRPr="00E31012" w:rsidRDefault="00570AAF" w:rsidP="001C230E">
      <w:pPr>
        <w:ind w:left="851"/>
        <w:rPr>
          <w:sz w:val="24"/>
          <w:szCs w:val="24"/>
          <w:u w:val="single"/>
        </w:rPr>
      </w:pPr>
      <w:proofErr w:type="spellStart"/>
      <w:r w:rsidRPr="00E31012">
        <w:rPr>
          <w:sz w:val="24"/>
          <w:szCs w:val="24"/>
          <w:u w:val="single"/>
        </w:rPr>
        <w:t>Farmakodynamisk</w:t>
      </w:r>
      <w:proofErr w:type="spellEnd"/>
      <w:r w:rsidRPr="00E31012">
        <w:rPr>
          <w:sz w:val="24"/>
          <w:szCs w:val="24"/>
          <w:u w:val="single"/>
        </w:rPr>
        <w:t xml:space="preserve"> virkning</w:t>
      </w:r>
    </w:p>
    <w:p w14:paraId="5220A7C2" w14:textId="38B14895" w:rsidR="007D2979" w:rsidRDefault="00570AAF" w:rsidP="00761CE9">
      <w:pPr>
        <w:ind w:left="851"/>
        <w:rPr>
          <w:sz w:val="24"/>
          <w:szCs w:val="24"/>
        </w:rPr>
      </w:pPr>
      <w:r w:rsidRPr="000122CD">
        <w:rPr>
          <w:sz w:val="24"/>
          <w:szCs w:val="24"/>
        </w:rPr>
        <w:t xml:space="preserve">Det optagede jern er bundet til </w:t>
      </w:r>
      <w:proofErr w:type="spellStart"/>
      <w:r w:rsidRPr="000122CD">
        <w:rPr>
          <w:sz w:val="24"/>
          <w:szCs w:val="24"/>
        </w:rPr>
        <w:t>transferrin</w:t>
      </w:r>
      <w:proofErr w:type="spellEnd"/>
      <w:r w:rsidRPr="000122CD">
        <w:rPr>
          <w:sz w:val="24"/>
          <w:szCs w:val="24"/>
        </w:rPr>
        <w:t xml:space="preserve"> og bruges til </w:t>
      </w:r>
      <w:proofErr w:type="spellStart"/>
      <w:r w:rsidRPr="000122CD">
        <w:rPr>
          <w:sz w:val="24"/>
          <w:szCs w:val="24"/>
        </w:rPr>
        <w:t>Hb</w:t>
      </w:r>
      <w:proofErr w:type="spellEnd"/>
      <w:r w:rsidRPr="000122CD">
        <w:rPr>
          <w:sz w:val="24"/>
          <w:szCs w:val="24"/>
        </w:rPr>
        <w:t xml:space="preserve">-syntese i knoglemarven eller opbevares hovedsageligt i leveren, hvor det er bundet til ferritin. For </w:t>
      </w:r>
      <w:proofErr w:type="spellStart"/>
      <w:r w:rsidRPr="000122CD">
        <w:rPr>
          <w:sz w:val="24"/>
          <w:szCs w:val="24"/>
        </w:rPr>
        <w:t>farmakodynamiske</w:t>
      </w:r>
      <w:proofErr w:type="spellEnd"/>
      <w:r w:rsidRPr="000122CD">
        <w:rPr>
          <w:sz w:val="24"/>
          <w:szCs w:val="24"/>
        </w:rPr>
        <w:t xml:space="preserve"> lægemiddelinteraktionsegenskaber henvises til pkt. 4.5.</w:t>
      </w:r>
    </w:p>
    <w:p w14:paraId="7308B99A" w14:textId="77777777" w:rsidR="00570AAF" w:rsidRPr="000122CD" w:rsidRDefault="00570AAF" w:rsidP="001C230E">
      <w:pPr>
        <w:ind w:left="851"/>
        <w:rPr>
          <w:sz w:val="24"/>
          <w:szCs w:val="24"/>
        </w:rPr>
      </w:pPr>
    </w:p>
    <w:p w14:paraId="49D0A374" w14:textId="77777777" w:rsidR="00570AAF" w:rsidRPr="00E31012" w:rsidRDefault="00570AAF" w:rsidP="001C230E">
      <w:pPr>
        <w:ind w:left="851"/>
        <w:rPr>
          <w:sz w:val="24"/>
          <w:szCs w:val="24"/>
          <w:u w:val="single"/>
        </w:rPr>
      </w:pPr>
      <w:r w:rsidRPr="00E31012">
        <w:rPr>
          <w:sz w:val="24"/>
          <w:szCs w:val="24"/>
          <w:u w:val="single"/>
        </w:rPr>
        <w:t>Klinisk virkning og sikkerhed</w:t>
      </w:r>
    </w:p>
    <w:p w14:paraId="641B7B25" w14:textId="59EED708" w:rsidR="00570AAF" w:rsidRPr="000122CD" w:rsidRDefault="00570AAF" w:rsidP="001C230E">
      <w:pPr>
        <w:ind w:left="851"/>
        <w:rPr>
          <w:sz w:val="24"/>
          <w:szCs w:val="24"/>
        </w:rPr>
      </w:pPr>
      <w:r w:rsidRPr="000122CD">
        <w:rPr>
          <w:sz w:val="24"/>
          <w:szCs w:val="24"/>
        </w:rPr>
        <w:t xml:space="preserve">Virkningen af IPC ved normalisering af </w:t>
      </w:r>
      <w:proofErr w:type="spellStart"/>
      <w:r w:rsidRPr="000122CD">
        <w:rPr>
          <w:sz w:val="24"/>
          <w:szCs w:val="24"/>
        </w:rPr>
        <w:t>Hb</w:t>
      </w:r>
      <w:proofErr w:type="spellEnd"/>
      <w:r w:rsidRPr="000122CD">
        <w:rPr>
          <w:sz w:val="24"/>
          <w:szCs w:val="24"/>
        </w:rPr>
        <w:t xml:space="preserve"> og genopfyldning af jernlagerniveauer er dokumenteret i adskillige randomiserede, placebo- eller referencebehandlingskontrollerede kliniske forsøg, der er udført hos voksne og børn med forskellige grader af jernmangel. Disse forsøg omfattede over 3.800 forsøgspersoner, hvoraf ca. 2.300 forsøgspersoner modtog </w:t>
      </w:r>
      <w:proofErr w:type="spellStart"/>
      <w:r w:rsidR="00F36F58">
        <w:rPr>
          <w:sz w:val="24"/>
          <w:szCs w:val="24"/>
        </w:rPr>
        <w:t>Maltofer</w:t>
      </w:r>
      <w:proofErr w:type="spellEnd"/>
      <w:r w:rsidRPr="000122CD">
        <w:rPr>
          <w:sz w:val="24"/>
          <w:szCs w:val="24"/>
        </w:rPr>
        <w:t>.</w:t>
      </w:r>
    </w:p>
    <w:p w14:paraId="0D502AC3" w14:textId="77777777" w:rsidR="00570AAF" w:rsidRPr="000122CD" w:rsidRDefault="00570AAF" w:rsidP="001C230E">
      <w:pPr>
        <w:ind w:left="851"/>
        <w:rPr>
          <w:sz w:val="24"/>
          <w:szCs w:val="24"/>
        </w:rPr>
      </w:pPr>
    </w:p>
    <w:p w14:paraId="57853907" w14:textId="77777777" w:rsidR="00570AAF" w:rsidRPr="00E31012" w:rsidRDefault="00570AAF" w:rsidP="001C230E">
      <w:pPr>
        <w:ind w:left="851"/>
        <w:rPr>
          <w:sz w:val="24"/>
          <w:szCs w:val="24"/>
          <w:u w:val="single"/>
        </w:rPr>
      </w:pPr>
      <w:r w:rsidRPr="00E31012">
        <w:rPr>
          <w:sz w:val="24"/>
          <w:szCs w:val="24"/>
          <w:u w:val="single"/>
        </w:rPr>
        <w:t>Voksne og ældre patienter</w:t>
      </w:r>
    </w:p>
    <w:p w14:paraId="2CE9B89B" w14:textId="77777777" w:rsidR="00570AAF" w:rsidRPr="000122CD" w:rsidRDefault="00570AAF" w:rsidP="001C230E">
      <w:pPr>
        <w:ind w:left="851"/>
        <w:rPr>
          <w:sz w:val="24"/>
          <w:szCs w:val="24"/>
        </w:rPr>
      </w:pPr>
      <w:r w:rsidRPr="000122CD">
        <w:rPr>
          <w:sz w:val="24"/>
          <w:szCs w:val="24"/>
        </w:rPr>
        <w:t>Cirka 900 voksne forsøgspersoner blev inkluderet i kliniske forsøg med ca. 500 forsøgspersoner, der modtog IPC.</w:t>
      </w:r>
    </w:p>
    <w:p w14:paraId="1D5BDDD7" w14:textId="77777777" w:rsidR="00570AAF" w:rsidRPr="000122CD" w:rsidRDefault="00570AAF" w:rsidP="001C230E">
      <w:pPr>
        <w:ind w:left="851"/>
        <w:rPr>
          <w:sz w:val="24"/>
          <w:szCs w:val="24"/>
        </w:rPr>
      </w:pPr>
    </w:p>
    <w:p w14:paraId="685A382D" w14:textId="5E5C26EC" w:rsidR="00570AAF" w:rsidRPr="000122CD" w:rsidRDefault="00570AAF" w:rsidP="001C230E">
      <w:pPr>
        <w:ind w:left="851"/>
        <w:rPr>
          <w:sz w:val="24"/>
          <w:szCs w:val="24"/>
        </w:rPr>
      </w:pPr>
      <w:r w:rsidRPr="000122CD">
        <w:rPr>
          <w:sz w:val="24"/>
          <w:szCs w:val="24"/>
        </w:rPr>
        <w:t xml:space="preserve">I to placebokontrollerede forsøg med i alt 91 voksne, ikke-anæmiske forsøgspersoner med jernmangel øgede </w:t>
      </w:r>
      <w:proofErr w:type="spellStart"/>
      <w:r w:rsidR="00F36F58">
        <w:rPr>
          <w:sz w:val="24"/>
          <w:szCs w:val="24"/>
        </w:rPr>
        <w:t>Maltofer</w:t>
      </w:r>
      <w:proofErr w:type="spellEnd"/>
      <w:r w:rsidRPr="000122CD">
        <w:rPr>
          <w:sz w:val="24"/>
          <w:szCs w:val="24"/>
        </w:rPr>
        <w:t xml:space="preserve"> (200 mg jern/dag) i betydelig grad </w:t>
      </w:r>
      <w:proofErr w:type="spellStart"/>
      <w:r w:rsidRPr="000122CD">
        <w:rPr>
          <w:sz w:val="24"/>
          <w:szCs w:val="24"/>
        </w:rPr>
        <w:t>Hb</w:t>
      </w:r>
      <w:proofErr w:type="spellEnd"/>
      <w:r w:rsidRPr="000122CD">
        <w:rPr>
          <w:sz w:val="24"/>
          <w:szCs w:val="24"/>
        </w:rPr>
        <w:t xml:space="preserve">- og </w:t>
      </w:r>
      <w:proofErr w:type="spellStart"/>
      <w:r w:rsidRPr="000122CD">
        <w:rPr>
          <w:sz w:val="24"/>
          <w:szCs w:val="24"/>
        </w:rPr>
        <w:t>serumferritin</w:t>
      </w:r>
      <w:r w:rsidR="005A7B51">
        <w:rPr>
          <w:sz w:val="24"/>
          <w:szCs w:val="24"/>
        </w:rPr>
        <w:softHyphen/>
      </w:r>
      <w:r w:rsidRPr="000122CD">
        <w:rPr>
          <w:sz w:val="24"/>
          <w:szCs w:val="24"/>
        </w:rPr>
        <w:t>niveauerne</w:t>
      </w:r>
      <w:proofErr w:type="spellEnd"/>
      <w:r w:rsidRPr="000122CD">
        <w:rPr>
          <w:sz w:val="24"/>
          <w:szCs w:val="24"/>
        </w:rPr>
        <w:t xml:space="preserve"> hos 37 voksne personer efter henholdsvis 8 ugers og 6 måneders behandling.</w:t>
      </w:r>
    </w:p>
    <w:p w14:paraId="682A0397" w14:textId="77777777" w:rsidR="00570AAF" w:rsidRPr="000122CD" w:rsidRDefault="00570AAF" w:rsidP="001C230E">
      <w:pPr>
        <w:ind w:left="851"/>
        <w:rPr>
          <w:sz w:val="24"/>
          <w:szCs w:val="24"/>
        </w:rPr>
      </w:pPr>
    </w:p>
    <w:p w14:paraId="2ED8B19E" w14:textId="2C0110B0" w:rsidR="00570AAF" w:rsidRPr="000122CD" w:rsidRDefault="00570AAF" w:rsidP="001C230E">
      <w:pPr>
        <w:ind w:left="851"/>
        <w:rPr>
          <w:sz w:val="24"/>
          <w:szCs w:val="24"/>
        </w:rPr>
      </w:pPr>
      <w:r w:rsidRPr="000122CD">
        <w:rPr>
          <w:sz w:val="24"/>
          <w:szCs w:val="24"/>
        </w:rPr>
        <w:t xml:space="preserve">I referencemedicinkontrollerede forsøg, der involverede &gt; 300 </w:t>
      </w:r>
      <w:proofErr w:type="spellStart"/>
      <w:r w:rsidR="00F36F58">
        <w:rPr>
          <w:sz w:val="24"/>
          <w:szCs w:val="24"/>
        </w:rPr>
        <w:t>Maltofer</w:t>
      </w:r>
      <w:proofErr w:type="spellEnd"/>
      <w:r w:rsidRPr="000122CD">
        <w:rPr>
          <w:sz w:val="24"/>
          <w:szCs w:val="24"/>
        </w:rPr>
        <w:t xml:space="preserve">-behandlede voksne patienter, viste </w:t>
      </w:r>
      <w:proofErr w:type="spellStart"/>
      <w:r w:rsidR="00F36F58">
        <w:rPr>
          <w:sz w:val="24"/>
          <w:szCs w:val="24"/>
        </w:rPr>
        <w:t>Maltofer</w:t>
      </w:r>
      <w:proofErr w:type="spellEnd"/>
      <w:r w:rsidRPr="000122CD">
        <w:rPr>
          <w:sz w:val="24"/>
          <w:szCs w:val="24"/>
        </w:rPr>
        <w:t xml:space="preserve"> (100 til 200 mg jern/dag) dosisafhængig </w:t>
      </w:r>
      <w:proofErr w:type="spellStart"/>
      <w:r w:rsidRPr="000122CD">
        <w:rPr>
          <w:sz w:val="24"/>
          <w:szCs w:val="24"/>
        </w:rPr>
        <w:t>Hb</w:t>
      </w:r>
      <w:proofErr w:type="spellEnd"/>
      <w:r w:rsidRPr="000122CD">
        <w:rPr>
          <w:sz w:val="24"/>
          <w:szCs w:val="24"/>
        </w:rPr>
        <w:t xml:space="preserve">-stigning, svarende til det, der blev set efter 3 ugers til 6 måneders behandling med </w:t>
      </w:r>
      <w:proofErr w:type="gramStart"/>
      <w:r w:rsidRPr="000122CD">
        <w:rPr>
          <w:sz w:val="24"/>
          <w:szCs w:val="24"/>
        </w:rPr>
        <w:t>Fe(</w:t>
      </w:r>
      <w:proofErr w:type="gramEnd"/>
      <w:r w:rsidRPr="000122CD">
        <w:rPr>
          <w:sz w:val="24"/>
          <w:szCs w:val="24"/>
        </w:rPr>
        <w:t>II)-sulfat eller Fe(II)-</w:t>
      </w:r>
      <w:proofErr w:type="spellStart"/>
      <w:r w:rsidRPr="000122CD">
        <w:rPr>
          <w:sz w:val="24"/>
          <w:szCs w:val="24"/>
        </w:rPr>
        <w:t>fumarat</w:t>
      </w:r>
      <w:proofErr w:type="spellEnd"/>
      <w:r w:rsidRPr="000122CD">
        <w:rPr>
          <w:sz w:val="24"/>
          <w:szCs w:val="24"/>
        </w:rPr>
        <w:t>.</w:t>
      </w:r>
    </w:p>
    <w:p w14:paraId="4A22B43E" w14:textId="77777777" w:rsidR="00570AAF" w:rsidRPr="000122CD" w:rsidRDefault="00570AAF" w:rsidP="001C230E">
      <w:pPr>
        <w:ind w:left="851"/>
        <w:rPr>
          <w:sz w:val="24"/>
          <w:szCs w:val="24"/>
        </w:rPr>
      </w:pPr>
    </w:p>
    <w:p w14:paraId="3069910E" w14:textId="77777777" w:rsidR="00570AAF" w:rsidRPr="005A7B51" w:rsidRDefault="00570AAF" w:rsidP="001C230E">
      <w:pPr>
        <w:ind w:left="851"/>
        <w:rPr>
          <w:sz w:val="24"/>
          <w:szCs w:val="24"/>
          <w:u w:val="single"/>
        </w:rPr>
      </w:pPr>
      <w:r w:rsidRPr="005A7B51">
        <w:rPr>
          <w:sz w:val="24"/>
          <w:szCs w:val="24"/>
          <w:u w:val="single"/>
        </w:rPr>
        <w:t>Gravide og ammende kvinder</w:t>
      </w:r>
    </w:p>
    <w:p w14:paraId="5CEE9A74" w14:textId="10FEA389" w:rsidR="00570AAF" w:rsidRPr="000122CD" w:rsidRDefault="00570AAF" w:rsidP="001C230E">
      <w:pPr>
        <w:ind w:left="851"/>
        <w:rPr>
          <w:sz w:val="24"/>
          <w:szCs w:val="24"/>
        </w:rPr>
      </w:pPr>
      <w:r w:rsidRPr="000122CD">
        <w:rPr>
          <w:sz w:val="24"/>
          <w:szCs w:val="24"/>
        </w:rPr>
        <w:t xml:space="preserve">Virkningen af og tolerancen ved </w:t>
      </w:r>
      <w:proofErr w:type="spellStart"/>
      <w:r w:rsidR="00F36F58">
        <w:rPr>
          <w:sz w:val="24"/>
          <w:szCs w:val="24"/>
        </w:rPr>
        <w:t>Maltofer</w:t>
      </w:r>
      <w:proofErr w:type="spellEnd"/>
      <w:r w:rsidRPr="000122CD">
        <w:rPr>
          <w:sz w:val="24"/>
          <w:szCs w:val="24"/>
        </w:rPr>
        <w:t xml:space="preserve"> er blevet undersøgt i et klinisk forsøg, der vurderede IPC-behandling hos ammende mødre, 7 forsøg, der vurderede IPC med eller uden </w:t>
      </w:r>
      <w:proofErr w:type="spellStart"/>
      <w:r w:rsidRPr="000122CD">
        <w:rPr>
          <w:sz w:val="24"/>
          <w:szCs w:val="24"/>
        </w:rPr>
        <w:t>folsyre</w:t>
      </w:r>
      <w:proofErr w:type="spellEnd"/>
      <w:r w:rsidRPr="000122CD">
        <w:rPr>
          <w:sz w:val="24"/>
          <w:szCs w:val="24"/>
        </w:rPr>
        <w:t xml:space="preserve"> hos gravide kvinder, og 1 forsøg, der omfattede både gravide og ikke-gravide kvinder, omfattende i alt 400 gravide kvinder, der fik IPC.</w:t>
      </w:r>
    </w:p>
    <w:p w14:paraId="48A84236" w14:textId="77777777" w:rsidR="00570AAF" w:rsidRPr="000122CD" w:rsidRDefault="00570AAF" w:rsidP="001C230E">
      <w:pPr>
        <w:ind w:left="851"/>
        <w:rPr>
          <w:sz w:val="24"/>
          <w:szCs w:val="24"/>
        </w:rPr>
      </w:pPr>
    </w:p>
    <w:p w14:paraId="7A00E4EF" w14:textId="5AED0D00" w:rsidR="00570AAF" w:rsidRPr="000122CD" w:rsidRDefault="00570AAF" w:rsidP="001C230E">
      <w:pPr>
        <w:ind w:left="851"/>
        <w:rPr>
          <w:sz w:val="24"/>
          <w:szCs w:val="24"/>
        </w:rPr>
      </w:pPr>
      <w:r w:rsidRPr="000122CD">
        <w:rPr>
          <w:sz w:val="24"/>
          <w:szCs w:val="24"/>
        </w:rPr>
        <w:t xml:space="preserve">Virkningen af og tolerancen ved </w:t>
      </w:r>
      <w:proofErr w:type="spellStart"/>
      <w:r w:rsidR="00F36F58">
        <w:rPr>
          <w:sz w:val="24"/>
          <w:szCs w:val="24"/>
        </w:rPr>
        <w:t>Maltofer</w:t>
      </w:r>
      <w:proofErr w:type="spellEnd"/>
      <w:r w:rsidRPr="000122CD">
        <w:rPr>
          <w:sz w:val="24"/>
          <w:szCs w:val="24"/>
        </w:rPr>
        <w:t xml:space="preserve"> hos gravide kvinder er blevet dokumenteret i et randomiseret, </w:t>
      </w:r>
      <w:proofErr w:type="spellStart"/>
      <w:r w:rsidRPr="000122CD">
        <w:rPr>
          <w:sz w:val="24"/>
          <w:szCs w:val="24"/>
        </w:rPr>
        <w:t>ublindet</w:t>
      </w:r>
      <w:proofErr w:type="spellEnd"/>
      <w:r w:rsidRPr="000122CD">
        <w:rPr>
          <w:sz w:val="24"/>
          <w:szCs w:val="24"/>
        </w:rPr>
        <w:t xml:space="preserve"> multicenterforsøg med 80 forsøgspersoner (41, der modtog IPC) med jernmangelanæmi, der vurderede virkningen af og sikkerheden ved IPC i forhold til </w:t>
      </w:r>
      <w:proofErr w:type="gramStart"/>
      <w:r w:rsidRPr="000122CD">
        <w:rPr>
          <w:sz w:val="24"/>
          <w:szCs w:val="24"/>
        </w:rPr>
        <w:t>Fe(</w:t>
      </w:r>
      <w:proofErr w:type="gramEnd"/>
      <w:r w:rsidRPr="000122CD">
        <w:rPr>
          <w:sz w:val="24"/>
          <w:szCs w:val="24"/>
        </w:rPr>
        <w:t xml:space="preserve">II)-sulfat. Ændring i </w:t>
      </w:r>
      <w:proofErr w:type="spellStart"/>
      <w:r w:rsidRPr="000122CD">
        <w:rPr>
          <w:sz w:val="24"/>
          <w:szCs w:val="24"/>
        </w:rPr>
        <w:t>Hb</w:t>
      </w:r>
      <w:proofErr w:type="spellEnd"/>
      <w:r w:rsidRPr="000122CD">
        <w:rPr>
          <w:sz w:val="24"/>
          <w:szCs w:val="24"/>
        </w:rPr>
        <w:t xml:space="preserve"> fra starttidspunktet til dag 60 og 90 var ens mellem behandlingsgrupperne, og det gennemsnitlige </w:t>
      </w:r>
      <w:proofErr w:type="spellStart"/>
      <w:r w:rsidRPr="000122CD">
        <w:rPr>
          <w:sz w:val="24"/>
          <w:szCs w:val="24"/>
        </w:rPr>
        <w:t>Hb</w:t>
      </w:r>
      <w:proofErr w:type="spellEnd"/>
      <w:r w:rsidRPr="000122CD">
        <w:rPr>
          <w:sz w:val="24"/>
          <w:szCs w:val="24"/>
        </w:rPr>
        <w:t xml:space="preserve">-niveau på dag 90 var 11,89 g/dl og 11,70 g/dl i henholdsvis IPC- og </w:t>
      </w:r>
      <w:proofErr w:type="gramStart"/>
      <w:r w:rsidRPr="000122CD">
        <w:rPr>
          <w:sz w:val="24"/>
          <w:szCs w:val="24"/>
        </w:rPr>
        <w:t>Fe(</w:t>
      </w:r>
      <w:proofErr w:type="gramEnd"/>
      <w:r w:rsidRPr="000122CD">
        <w:rPr>
          <w:sz w:val="24"/>
          <w:szCs w:val="24"/>
        </w:rPr>
        <w:t xml:space="preserve">II)-sulfatgrupperne. Generelt var bivirkninger mere almindelige med </w:t>
      </w:r>
      <w:proofErr w:type="gramStart"/>
      <w:r w:rsidRPr="000122CD">
        <w:rPr>
          <w:sz w:val="24"/>
          <w:szCs w:val="24"/>
        </w:rPr>
        <w:t>Fe(</w:t>
      </w:r>
      <w:proofErr w:type="gramEnd"/>
      <w:r w:rsidRPr="000122CD">
        <w:rPr>
          <w:sz w:val="24"/>
          <w:szCs w:val="24"/>
        </w:rPr>
        <w:t>II)-sulfat end med IPC.</w:t>
      </w:r>
    </w:p>
    <w:p w14:paraId="0F5BA46E" w14:textId="753E204D" w:rsidR="00570AAF" w:rsidRPr="000122CD" w:rsidRDefault="00570AAF" w:rsidP="001C230E">
      <w:pPr>
        <w:ind w:left="851"/>
        <w:rPr>
          <w:sz w:val="24"/>
          <w:szCs w:val="24"/>
        </w:rPr>
      </w:pPr>
      <w:r w:rsidRPr="000122CD">
        <w:rPr>
          <w:sz w:val="24"/>
          <w:szCs w:val="24"/>
        </w:rPr>
        <w:t xml:space="preserve">Virkningen af </w:t>
      </w:r>
      <w:proofErr w:type="spellStart"/>
      <w:r w:rsidR="00F36F58">
        <w:rPr>
          <w:sz w:val="24"/>
          <w:szCs w:val="24"/>
        </w:rPr>
        <w:t>Maltofer</w:t>
      </w:r>
      <w:proofErr w:type="spellEnd"/>
      <w:r w:rsidRPr="000122CD">
        <w:rPr>
          <w:sz w:val="24"/>
          <w:szCs w:val="24"/>
        </w:rPr>
        <w:t xml:space="preserve"> til forebyggelse og behandling af anæmi er blevet bekræftet hos ammende mødre i et kontrolleret forsøg med IPC i forhold til en ubehandlet kontrolgruppe. Af disse blev 25 kvinder behandlet profylaktisk med IPC (100 mg jern/dag) i 3 måneder, mens de resterende 25 kvinder ikke modtog nogen jernbehandling. Mødre behandlet med IPC viste en betydelig forbedring (p &lt; 0,001) i alle testede laboratorieparametre (f.eks. </w:t>
      </w:r>
      <w:proofErr w:type="spellStart"/>
      <w:r w:rsidRPr="000122CD">
        <w:rPr>
          <w:sz w:val="24"/>
          <w:szCs w:val="24"/>
        </w:rPr>
        <w:t>Hb</w:t>
      </w:r>
      <w:proofErr w:type="spellEnd"/>
      <w:r w:rsidRPr="000122CD">
        <w:rPr>
          <w:sz w:val="24"/>
          <w:szCs w:val="24"/>
        </w:rPr>
        <w:t xml:space="preserve">, samlet jernbindingskapacitet i serum, </w:t>
      </w:r>
      <w:proofErr w:type="spellStart"/>
      <w:r w:rsidRPr="000122CD">
        <w:rPr>
          <w:sz w:val="24"/>
          <w:szCs w:val="24"/>
        </w:rPr>
        <w:t>serumferritin</w:t>
      </w:r>
      <w:proofErr w:type="spellEnd"/>
      <w:r w:rsidRPr="000122CD">
        <w:rPr>
          <w:sz w:val="24"/>
          <w:szCs w:val="24"/>
        </w:rPr>
        <w:t xml:space="preserve">, TSAT, modermælksjern og </w:t>
      </w:r>
      <w:proofErr w:type="spellStart"/>
      <w:r w:rsidRPr="000122CD">
        <w:rPr>
          <w:sz w:val="24"/>
          <w:szCs w:val="24"/>
        </w:rPr>
        <w:t>lactoferrin</w:t>
      </w:r>
      <w:proofErr w:type="spellEnd"/>
      <w:r w:rsidRPr="000122CD">
        <w:rPr>
          <w:sz w:val="24"/>
          <w:szCs w:val="24"/>
        </w:rPr>
        <w:t>), mens de i den ubehandlede kontrolgruppe ikke viste forbedring. Hos de IPC-behandlede mødre steg gennemsnits-</w:t>
      </w:r>
      <w:proofErr w:type="spellStart"/>
      <w:r w:rsidRPr="000122CD">
        <w:rPr>
          <w:sz w:val="24"/>
          <w:szCs w:val="24"/>
        </w:rPr>
        <w:t>Hb</w:t>
      </w:r>
      <w:proofErr w:type="spellEnd"/>
      <w:r w:rsidRPr="000122CD">
        <w:rPr>
          <w:sz w:val="24"/>
          <w:szCs w:val="24"/>
        </w:rPr>
        <w:t xml:space="preserve"> fra 11,1 til 12,4 g/dl (p &lt; 0,001), og </w:t>
      </w:r>
      <w:proofErr w:type="spellStart"/>
      <w:r w:rsidRPr="000122CD">
        <w:rPr>
          <w:sz w:val="24"/>
          <w:szCs w:val="24"/>
        </w:rPr>
        <w:t>serumferritin</w:t>
      </w:r>
      <w:proofErr w:type="spellEnd"/>
      <w:r w:rsidRPr="000122CD">
        <w:rPr>
          <w:sz w:val="24"/>
          <w:szCs w:val="24"/>
        </w:rPr>
        <w:t xml:space="preserve"> steg fra 44,53 til 67,55 </w:t>
      </w:r>
      <w:proofErr w:type="spellStart"/>
      <w:r w:rsidRPr="000122CD">
        <w:rPr>
          <w:sz w:val="24"/>
          <w:szCs w:val="24"/>
        </w:rPr>
        <w:t>mikrog</w:t>
      </w:r>
      <w:proofErr w:type="spellEnd"/>
      <w:r w:rsidRPr="000122CD">
        <w:rPr>
          <w:sz w:val="24"/>
          <w:szCs w:val="24"/>
        </w:rPr>
        <w:t>/l (p &lt; 0,001); hos de ubehandlede mødre faldt gennemsnits-</w:t>
      </w:r>
      <w:proofErr w:type="spellStart"/>
      <w:r w:rsidRPr="000122CD">
        <w:rPr>
          <w:sz w:val="24"/>
          <w:szCs w:val="24"/>
        </w:rPr>
        <w:t>Hb</w:t>
      </w:r>
      <w:proofErr w:type="spellEnd"/>
      <w:r w:rsidRPr="000122CD">
        <w:rPr>
          <w:sz w:val="24"/>
          <w:szCs w:val="24"/>
        </w:rPr>
        <w:t xml:space="preserve"> fra 11,2 til 9,1 g/dl (p &lt; 0,001), og </w:t>
      </w:r>
      <w:proofErr w:type="spellStart"/>
      <w:r w:rsidRPr="000122CD">
        <w:rPr>
          <w:sz w:val="24"/>
          <w:szCs w:val="24"/>
        </w:rPr>
        <w:t>serumferritin</w:t>
      </w:r>
      <w:proofErr w:type="spellEnd"/>
      <w:r w:rsidRPr="000122CD">
        <w:rPr>
          <w:sz w:val="24"/>
          <w:szCs w:val="24"/>
        </w:rPr>
        <w:t xml:space="preserve"> faldt fra 44,95 til 19,03 </w:t>
      </w:r>
      <w:proofErr w:type="spellStart"/>
      <w:r w:rsidRPr="000122CD">
        <w:rPr>
          <w:sz w:val="24"/>
          <w:szCs w:val="24"/>
        </w:rPr>
        <w:t>mikrog</w:t>
      </w:r>
      <w:proofErr w:type="spellEnd"/>
      <w:r w:rsidRPr="000122CD">
        <w:rPr>
          <w:sz w:val="24"/>
          <w:szCs w:val="24"/>
        </w:rPr>
        <w:t>/l (p &lt; 0,001). En lignende tendens blev observeret hos børn, der blev ammet, uden signifikante bivirkninger.</w:t>
      </w:r>
    </w:p>
    <w:p w14:paraId="49BFD053" w14:textId="77777777" w:rsidR="00570AAF" w:rsidRPr="000122CD" w:rsidRDefault="00570AAF" w:rsidP="001C230E">
      <w:pPr>
        <w:ind w:left="851"/>
        <w:rPr>
          <w:sz w:val="24"/>
          <w:szCs w:val="24"/>
        </w:rPr>
      </w:pPr>
    </w:p>
    <w:p w14:paraId="5EA7DB1D" w14:textId="77777777" w:rsidR="00570AAF" w:rsidRPr="00E31012" w:rsidRDefault="00570AAF" w:rsidP="001C230E">
      <w:pPr>
        <w:ind w:left="851"/>
        <w:rPr>
          <w:sz w:val="24"/>
          <w:szCs w:val="24"/>
          <w:u w:val="single"/>
        </w:rPr>
      </w:pPr>
      <w:r w:rsidRPr="00E31012">
        <w:rPr>
          <w:sz w:val="24"/>
          <w:szCs w:val="24"/>
          <w:u w:val="single"/>
        </w:rPr>
        <w:t>Spædbørn, børn og unge</w:t>
      </w:r>
    </w:p>
    <w:p w14:paraId="688DD501" w14:textId="39591893" w:rsidR="00570AAF" w:rsidRPr="000122CD" w:rsidRDefault="00F36F58" w:rsidP="001C230E">
      <w:pPr>
        <w:ind w:left="851"/>
        <w:rPr>
          <w:sz w:val="24"/>
          <w:szCs w:val="24"/>
        </w:rPr>
      </w:pPr>
      <w:proofErr w:type="spellStart"/>
      <w:r>
        <w:rPr>
          <w:sz w:val="24"/>
          <w:szCs w:val="24"/>
        </w:rPr>
        <w:t>Maltofer</w:t>
      </w:r>
      <w:proofErr w:type="spellEnd"/>
      <w:r w:rsidR="00570AAF" w:rsidRPr="000122CD">
        <w:rPr>
          <w:sz w:val="24"/>
          <w:szCs w:val="24"/>
        </w:rPr>
        <w:t xml:space="preserve"> har vist sig at være effektivt til at øge </w:t>
      </w:r>
      <w:proofErr w:type="spellStart"/>
      <w:r w:rsidR="00570AAF" w:rsidRPr="000122CD">
        <w:rPr>
          <w:sz w:val="24"/>
          <w:szCs w:val="24"/>
        </w:rPr>
        <w:t>Hb</w:t>
      </w:r>
      <w:proofErr w:type="spellEnd"/>
      <w:r w:rsidR="00570AAF" w:rsidRPr="000122CD">
        <w:rPr>
          <w:sz w:val="24"/>
          <w:szCs w:val="24"/>
        </w:rPr>
        <w:t xml:space="preserve">-niveauer hos spædbørn, børn og unge. Der blev udført atten kliniske forsøg med børn eller unge, hvor IPC-behandling blev kontrolleret i forhold til placebo (2 forsøg) eller i forhold til et andet jernpræparat (16 forsøg). Elleve yderligere kliniske forsøg vedrørende virkningen af IPC alene eller IPC Fol (1 forsøg) blev udført uden kontrolbehandling. Cirka 2.500 pædiatriske forsøgspersoner blev inkluderet, hvoraf ca. 1.400 deltagere fik </w:t>
      </w:r>
      <w:proofErr w:type="spellStart"/>
      <w:r>
        <w:rPr>
          <w:sz w:val="24"/>
          <w:szCs w:val="24"/>
        </w:rPr>
        <w:t>Maltofer</w:t>
      </w:r>
      <w:proofErr w:type="spellEnd"/>
      <w:r w:rsidR="00570AAF" w:rsidRPr="000122CD">
        <w:rPr>
          <w:sz w:val="24"/>
          <w:szCs w:val="24"/>
        </w:rPr>
        <w:t>.</w:t>
      </w:r>
    </w:p>
    <w:p w14:paraId="24316FAA" w14:textId="77777777" w:rsidR="00570AAF" w:rsidRPr="000122CD" w:rsidRDefault="00570AAF" w:rsidP="001C230E">
      <w:pPr>
        <w:ind w:left="851"/>
        <w:rPr>
          <w:sz w:val="24"/>
          <w:szCs w:val="24"/>
        </w:rPr>
      </w:pPr>
    </w:p>
    <w:p w14:paraId="1795A09B" w14:textId="5323106B" w:rsidR="00570AAF" w:rsidRPr="000122CD" w:rsidRDefault="00570AAF" w:rsidP="001C230E">
      <w:pPr>
        <w:ind w:left="851"/>
        <w:rPr>
          <w:sz w:val="24"/>
          <w:szCs w:val="24"/>
        </w:rPr>
      </w:pPr>
      <w:r w:rsidRPr="000122CD">
        <w:rPr>
          <w:sz w:val="24"/>
          <w:szCs w:val="24"/>
        </w:rPr>
        <w:t xml:space="preserve">I forsøg frembragte </w:t>
      </w:r>
      <w:proofErr w:type="spellStart"/>
      <w:r w:rsidR="00F36F58">
        <w:rPr>
          <w:sz w:val="24"/>
          <w:szCs w:val="24"/>
        </w:rPr>
        <w:t>Maltofer</w:t>
      </w:r>
      <w:proofErr w:type="spellEnd"/>
      <w:r w:rsidRPr="000122CD">
        <w:rPr>
          <w:sz w:val="24"/>
          <w:szCs w:val="24"/>
        </w:rPr>
        <w:t xml:space="preserve"> lignende stigninger i </w:t>
      </w:r>
      <w:proofErr w:type="spellStart"/>
      <w:r w:rsidRPr="000122CD">
        <w:rPr>
          <w:sz w:val="24"/>
          <w:szCs w:val="24"/>
        </w:rPr>
        <w:t>Hb</w:t>
      </w:r>
      <w:proofErr w:type="spellEnd"/>
      <w:r w:rsidRPr="000122CD">
        <w:rPr>
          <w:sz w:val="24"/>
          <w:szCs w:val="24"/>
        </w:rPr>
        <w:t xml:space="preserve">-niveauer som dem, der blev set efter 2 til 6 måneders behandlinger med </w:t>
      </w:r>
      <w:proofErr w:type="gramStart"/>
      <w:r w:rsidRPr="000122CD">
        <w:rPr>
          <w:sz w:val="24"/>
          <w:szCs w:val="24"/>
        </w:rPr>
        <w:t>Fe(</w:t>
      </w:r>
      <w:proofErr w:type="gramEnd"/>
      <w:r w:rsidRPr="000122CD">
        <w:rPr>
          <w:sz w:val="24"/>
          <w:szCs w:val="24"/>
        </w:rPr>
        <w:t>II)-sulfat eller Fe(II) protein-</w:t>
      </w:r>
      <w:proofErr w:type="spellStart"/>
      <w:r w:rsidRPr="000122CD">
        <w:rPr>
          <w:sz w:val="24"/>
          <w:szCs w:val="24"/>
        </w:rPr>
        <w:t>succinylat</w:t>
      </w:r>
      <w:proofErr w:type="spellEnd"/>
      <w:r w:rsidRPr="000122CD">
        <w:rPr>
          <w:sz w:val="24"/>
          <w:szCs w:val="24"/>
        </w:rPr>
        <w:t xml:space="preserve"> med en enkelt undtagelse. Stigningen i </w:t>
      </w:r>
      <w:proofErr w:type="spellStart"/>
      <w:r w:rsidRPr="000122CD">
        <w:rPr>
          <w:sz w:val="24"/>
          <w:szCs w:val="24"/>
        </w:rPr>
        <w:t>serumferritin</w:t>
      </w:r>
      <w:proofErr w:type="spellEnd"/>
      <w:r w:rsidRPr="000122CD">
        <w:rPr>
          <w:sz w:val="24"/>
          <w:szCs w:val="24"/>
        </w:rPr>
        <w:t xml:space="preserve"> var tilsvarende eller endnu større med </w:t>
      </w:r>
      <w:proofErr w:type="spellStart"/>
      <w:r w:rsidR="00F36F58">
        <w:rPr>
          <w:sz w:val="24"/>
          <w:szCs w:val="24"/>
        </w:rPr>
        <w:t>Maltofer</w:t>
      </w:r>
      <w:proofErr w:type="spellEnd"/>
      <w:r w:rsidRPr="000122CD">
        <w:rPr>
          <w:sz w:val="24"/>
          <w:szCs w:val="24"/>
        </w:rPr>
        <w:t xml:space="preserve"> i visse forsøg, men et forsøg viste imidlertid en større stigning med </w:t>
      </w:r>
      <w:proofErr w:type="gramStart"/>
      <w:r w:rsidRPr="000122CD">
        <w:rPr>
          <w:sz w:val="24"/>
          <w:szCs w:val="24"/>
        </w:rPr>
        <w:t>Fe(</w:t>
      </w:r>
      <w:proofErr w:type="gramEnd"/>
      <w:r w:rsidRPr="000122CD">
        <w:rPr>
          <w:sz w:val="24"/>
          <w:szCs w:val="24"/>
        </w:rPr>
        <w:t xml:space="preserve">II). Indtag af fødevarer har ikke vist en forringelse i </w:t>
      </w:r>
      <w:proofErr w:type="spellStart"/>
      <w:r w:rsidR="00F36F58">
        <w:rPr>
          <w:sz w:val="24"/>
          <w:szCs w:val="24"/>
        </w:rPr>
        <w:t>Maltofer</w:t>
      </w:r>
      <w:proofErr w:type="spellEnd"/>
      <w:r w:rsidRPr="000122CD">
        <w:rPr>
          <w:sz w:val="24"/>
          <w:szCs w:val="24"/>
        </w:rPr>
        <w:t>-virkningen.</w:t>
      </w:r>
    </w:p>
    <w:p w14:paraId="668ED79F" w14:textId="77777777" w:rsidR="009260DE" w:rsidRPr="000122CD" w:rsidRDefault="009260DE" w:rsidP="009260DE">
      <w:pPr>
        <w:tabs>
          <w:tab w:val="left" w:pos="851"/>
        </w:tabs>
        <w:ind w:left="851"/>
        <w:rPr>
          <w:sz w:val="24"/>
          <w:szCs w:val="24"/>
        </w:rPr>
      </w:pPr>
    </w:p>
    <w:p w14:paraId="10F2EF7E" w14:textId="77777777" w:rsidR="009260DE" w:rsidRPr="000122CD" w:rsidRDefault="009260DE" w:rsidP="009260DE">
      <w:pPr>
        <w:tabs>
          <w:tab w:val="left" w:pos="851"/>
        </w:tabs>
        <w:ind w:left="851" w:hanging="851"/>
        <w:rPr>
          <w:b/>
          <w:sz w:val="24"/>
          <w:szCs w:val="24"/>
        </w:rPr>
      </w:pPr>
      <w:r w:rsidRPr="000122CD">
        <w:rPr>
          <w:b/>
          <w:sz w:val="24"/>
          <w:szCs w:val="24"/>
        </w:rPr>
        <w:t>5.2</w:t>
      </w:r>
      <w:r w:rsidRPr="000122CD">
        <w:rPr>
          <w:b/>
          <w:sz w:val="24"/>
          <w:szCs w:val="24"/>
        </w:rPr>
        <w:tab/>
      </w:r>
      <w:proofErr w:type="spellStart"/>
      <w:r w:rsidRPr="000122CD">
        <w:rPr>
          <w:b/>
          <w:sz w:val="24"/>
          <w:szCs w:val="24"/>
        </w:rPr>
        <w:t>Farmakokinetiske</w:t>
      </w:r>
      <w:proofErr w:type="spellEnd"/>
      <w:r w:rsidRPr="000122CD">
        <w:rPr>
          <w:b/>
          <w:sz w:val="24"/>
          <w:szCs w:val="24"/>
        </w:rPr>
        <w:t xml:space="preserve"> egenskaber</w:t>
      </w:r>
    </w:p>
    <w:p w14:paraId="61C23531" w14:textId="77777777" w:rsidR="00E31012" w:rsidRDefault="00E31012" w:rsidP="001C230E">
      <w:pPr>
        <w:ind w:left="851"/>
        <w:rPr>
          <w:sz w:val="24"/>
          <w:szCs w:val="24"/>
        </w:rPr>
      </w:pPr>
    </w:p>
    <w:p w14:paraId="72826708" w14:textId="01FCFEA8" w:rsidR="00570AAF" w:rsidRPr="00E31012" w:rsidRDefault="00570AAF" w:rsidP="001C230E">
      <w:pPr>
        <w:ind w:left="851"/>
        <w:rPr>
          <w:sz w:val="24"/>
          <w:szCs w:val="24"/>
          <w:u w:val="single"/>
        </w:rPr>
      </w:pPr>
      <w:r w:rsidRPr="00E31012">
        <w:rPr>
          <w:sz w:val="24"/>
          <w:szCs w:val="24"/>
          <w:u w:val="single"/>
        </w:rPr>
        <w:t>Absorption</w:t>
      </w:r>
    </w:p>
    <w:p w14:paraId="0FB7A049" w14:textId="77777777" w:rsidR="00570AAF" w:rsidRPr="000122CD" w:rsidRDefault="00570AAF" w:rsidP="001C230E">
      <w:pPr>
        <w:ind w:left="851"/>
        <w:rPr>
          <w:sz w:val="24"/>
          <w:szCs w:val="24"/>
        </w:rPr>
      </w:pPr>
      <w:r w:rsidRPr="000122CD">
        <w:rPr>
          <w:sz w:val="24"/>
          <w:szCs w:val="24"/>
        </w:rPr>
        <w:t xml:space="preserve">Jern fra IPC absorberes via en kontrolleret mekanisme. Stigning i serumjern efter anvendelse hænger ikke sammen med den samlede jernabsorption målt som inkorporation i </w:t>
      </w:r>
      <w:proofErr w:type="spellStart"/>
      <w:r w:rsidRPr="000122CD">
        <w:rPr>
          <w:sz w:val="24"/>
          <w:szCs w:val="24"/>
        </w:rPr>
        <w:t>Hb</w:t>
      </w:r>
      <w:proofErr w:type="spellEnd"/>
      <w:r w:rsidRPr="000122CD">
        <w:rPr>
          <w:sz w:val="24"/>
          <w:szCs w:val="24"/>
        </w:rPr>
        <w:t xml:space="preserve">. Forsøg med radiomærket IPC har vist, at der er en god sammenhæng mellem procentdelen af erytrocytoptagelse (inkorporation i </w:t>
      </w:r>
      <w:proofErr w:type="spellStart"/>
      <w:r w:rsidRPr="000122CD">
        <w:rPr>
          <w:sz w:val="24"/>
          <w:szCs w:val="24"/>
        </w:rPr>
        <w:t>Hb</w:t>
      </w:r>
      <w:proofErr w:type="spellEnd"/>
      <w:r w:rsidRPr="000122CD">
        <w:rPr>
          <w:sz w:val="24"/>
          <w:szCs w:val="24"/>
        </w:rPr>
        <w:t xml:space="preserve">) og absorption kvantificeret ved helkropstælling. Den højeste absorption af jern fra IPC er i tolvfingertarmen og jejunum. Som med andre orale jernpræparater faldt den relative absorption af jern fra IPC, målt som inkorporation i </w:t>
      </w:r>
      <w:proofErr w:type="spellStart"/>
      <w:r w:rsidRPr="000122CD">
        <w:rPr>
          <w:sz w:val="24"/>
          <w:szCs w:val="24"/>
        </w:rPr>
        <w:t>Hb</w:t>
      </w:r>
      <w:proofErr w:type="spellEnd"/>
      <w:r w:rsidRPr="000122CD">
        <w:rPr>
          <w:sz w:val="24"/>
          <w:szCs w:val="24"/>
        </w:rPr>
        <w:t xml:space="preserve">, med stigende doser af jern. En sammenhæng mellem omfanget af jernmangel (dvs. </w:t>
      </w:r>
      <w:proofErr w:type="spellStart"/>
      <w:r w:rsidRPr="000122CD">
        <w:rPr>
          <w:sz w:val="24"/>
          <w:szCs w:val="24"/>
        </w:rPr>
        <w:t>serumferritinniveauer</w:t>
      </w:r>
      <w:proofErr w:type="spellEnd"/>
      <w:r w:rsidRPr="000122CD">
        <w:rPr>
          <w:sz w:val="24"/>
          <w:szCs w:val="24"/>
        </w:rPr>
        <w:t>) og den relative mængde jern, der blev absorberet, blev også observeret (dvs. jo højere jernmangel, jo bedre er den relative absorption). I modsætning til jernholdige salte blev der ikke fundet nogen negativ indflydelse fra fødevarer på biotilgængeligheden af jern fra IPC i ikke-kliniske og kliniske forsøg. Ét klinisk forsøg viste en betydelig forøget biotilgængelighed af jern fra IPC, mens andre forsøg viste en positiv tendens, men ingen klinisk relevante virkninger ved samtidig indtag af fødevarer.</w:t>
      </w:r>
    </w:p>
    <w:p w14:paraId="128CC619" w14:textId="77777777" w:rsidR="00570AAF" w:rsidRPr="000122CD" w:rsidRDefault="00570AAF" w:rsidP="001C230E">
      <w:pPr>
        <w:ind w:left="851"/>
        <w:rPr>
          <w:sz w:val="24"/>
          <w:szCs w:val="24"/>
        </w:rPr>
      </w:pPr>
    </w:p>
    <w:p w14:paraId="3D985BB0" w14:textId="77777777" w:rsidR="00570AAF" w:rsidRPr="00E31012" w:rsidRDefault="00570AAF" w:rsidP="001C230E">
      <w:pPr>
        <w:ind w:left="851"/>
        <w:rPr>
          <w:sz w:val="24"/>
          <w:szCs w:val="24"/>
          <w:u w:val="single"/>
        </w:rPr>
      </w:pPr>
      <w:r w:rsidRPr="00E31012">
        <w:rPr>
          <w:sz w:val="24"/>
          <w:szCs w:val="24"/>
          <w:u w:val="single"/>
        </w:rPr>
        <w:t>Fordeling</w:t>
      </w:r>
    </w:p>
    <w:p w14:paraId="19024808" w14:textId="77777777" w:rsidR="00570AAF" w:rsidRPr="000122CD" w:rsidRDefault="00570AAF" w:rsidP="001C230E">
      <w:pPr>
        <w:ind w:left="851"/>
        <w:rPr>
          <w:sz w:val="24"/>
          <w:szCs w:val="24"/>
        </w:rPr>
      </w:pPr>
      <w:r w:rsidRPr="000122CD">
        <w:rPr>
          <w:sz w:val="24"/>
          <w:szCs w:val="24"/>
        </w:rPr>
        <w:t xml:space="preserve">Jern, der absorberes i mave-tarm-kanalen, overføres til blodet, hvor det straks bindes til </w:t>
      </w:r>
      <w:proofErr w:type="spellStart"/>
      <w:r w:rsidRPr="000122CD">
        <w:rPr>
          <w:sz w:val="24"/>
          <w:szCs w:val="24"/>
        </w:rPr>
        <w:t>transferrin</w:t>
      </w:r>
      <w:proofErr w:type="spellEnd"/>
      <w:r w:rsidRPr="000122CD">
        <w:rPr>
          <w:sz w:val="24"/>
          <w:szCs w:val="24"/>
        </w:rPr>
        <w:t xml:space="preserve">. </w:t>
      </w:r>
      <w:proofErr w:type="spellStart"/>
      <w:r w:rsidRPr="000122CD">
        <w:rPr>
          <w:sz w:val="24"/>
          <w:szCs w:val="24"/>
        </w:rPr>
        <w:t>Transferrinbundet</w:t>
      </w:r>
      <w:proofErr w:type="spellEnd"/>
      <w:r w:rsidRPr="000122CD">
        <w:rPr>
          <w:sz w:val="24"/>
          <w:szCs w:val="24"/>
        </w:rPr>
        <w:t xml:space="preserve"> jern fordeles til de steder, hvor der er behov for det, eller til opbevaringsorganer som lever og milt. Fordelingen af IPC efter absorption er blevet vist i et forsøg ved hjælp af tvilling-isotopteknik (</w:t>
      </w:r>
      <w:r w:rsidRPr="000122CD">
        <w:rPr>
          <w:rStyle w:val="Superscript"/>
          <w:sz w:val="24"/>
          <w:szCs w:val="24"/>
        </w:rPr>
        <w:t>55</w:t>
      </w:r>
      <w:r w:rsidRPr="000122CD">
        <w:rPr>
          <w:sz w:val="24"/>
          <w:szCs w:val="24"/>
        </w:rPr>
        <w:t xml:space="preserve">Fe og </w:t>
      </w:r>
      <w:r w:rsidRPr="000122CD">
        <w:rPr>
          <w:rStyle w:val="Superscript"/>
          <w:sz w:val="24"/>
          <w:szCs w:val="24"/>
        </w:rPr>
        <w:t>59</w:t>
      </w:r>
      <w:r w:rsidRPr="000122CD">
        <w:rPr>
          <w:sz w:val="24"/>
          <w:szCs w:val="24"/>
        </w:rPr>
        <w:t>Fe).</w:t>
      </w:r>
    </w:p>
    <w:p w14:paraId="07920D43" w14:textId="77777777" w:rsidR="00570AAF" w:rsidRPr="000122CD" w:rsidRDefault="00570AAF" w:rsidP="001C230E">
      <w:pPr>
        <w:ind w:left="851"/>
        <w:rPr>
          <w:sz w:val="24"/>
          <w:szCs w:val="24"/>
        </w:rPr>
      </w:pPr>
    </w:p>
    <w:p w14:paraId="09137938" w14:textId="77777777" w:rsidR="00570AAF" w:rsidRPr="00E31012" w:rsidRDefault="00570AAF" w:rsidP="001C230E">
      <w:pPr>
        <w:ind w:left="851"/>
        <w:rPr>
          <w:sz w:val="24"/>
          <w:szCs w:val="24"/>
          <w:u w:val="single"/>
        </w:rPr>
      </w:pPr>
      <w:r w:rsidRPr="00E31012">
        <w:rPr>
          <w:sz w:val="24"/>
          <w:szCs w:val="24"/>
          <w:u w:val="single"/>
        </w:rPr>
        <w:t>Biotransformation</w:t>
      </w:r>
    </w:p>
    <w:p w14:paraId="4B1DFD75" w14:textId="77777777" w:rsidR="00570AAF" w:rsidRPr="000122CD" w:rsidRDefault="00570AAF" w:rsidP="001C230E">
      <w:pPr>
        <w:ind w:left="851"/>
        <w:rPr>
          <w:sz w:val="24"/>
          <w:szCs w:val="24"/>
        </w:rPr>
      </w:pPr>
      <w:r w:rsidRPr="000122CD">
        <w:rPr>
          <w:sz w:val="24"/>
          <w:szCs w:val="24"/>
        </w:rPr>
        <w:t xml:space="preserve">Det meste af jernet inkorporeres i det ilttransporterende protein hæmoglobin under </w:t>
      </w:r>
      <w:proofErr w:type="spellStart"/>
      <w:r w:rsidRPr="000122CD">
        <w:rPr>
          <w:sz w:val="24"/>
          <w:szCs w:val="24"/>
        </w:rPr>
        <w:t>erythropoiesis</w:t>
      </w:r>
      <w:proofErr w:type="spellEnd"/>
      <w:r w:rsidRPr="000122CD">
        <w:rPr>
          <w:sz w:val="24"/>
          <w:szCs w:val="24"/>
        </w:rPr>
        <w:t xml:space="preserve"> i knoglemarven eller opbevares som ferritin. Jern fra erytrocytter genanvendes i slutningen af deres levetid.</w:t>
      </w:r>
    </w:p>
    <w:p w14:paraId="58916079" w14:textId="77777777" w:rsidR="00570AAF" w:rsidRPr="000122CD" w:rsidRDefault="00570AAF" w:rsidP="001C230E">
      <w:pPr>
        <w:ind w:left="851"/>
        <w:rPr>
          <w:sz w:val="24"/>
          <w:szCs w:val="24"/>
        </w:rPr>
      </w:pPr>
    </w:p>
    <w:p w14:paraId="5C2EDC2B" w14:textId="77777777" w:rsidR="00570AAF" w:rsidRPr="000122CD" w:rsidRDefault="00570AAF" w:rsidP="001C230E">
      <w:pPr>
        <w:ind w:left="851"/>
        <w:rPr>
          <w:sz w:val="24"/>
          <w:szCs w:val="24"/>
        </w:rPr>
      </w:pPr>
      <w:r w:rsidRPr="000122CD">
        <w:rPr>
          <w:sz w:val="24"/>
          <w:szCs w:val="24"/>
        </w:rPr>
        <w:t xml:space="preserve">Nedbrydningsprodukterne fra polymaltose (maltose og </w:t>
      </w:r>
      <w:proofErr w:type="spellStart"/>
      <w:r w:rsidRPr="000122CD">
        <w:rPr>
          <w:sz w:val="24"/>
          <w:szCs w:val="24"/>
        </w:rPr>
        <w:t>gluconat</w:t>
      </w:r>
      <w:proofErr w:type="spellEnd"/>
      <w:r w:rsidRPr="000122CD">
        <w:rPr>
          <w:sz w:val="24"/>
          <w:szCs w:val="24"/>
        </w:rPr>
        <w:t xml:space="preserve">) omdannes til </w:t>
      </w:r>
      <w:proofErr w:type="spellStart"/>
      <w:r w:rsidRPr="000122CD">
        <w:rPr>
          <w:sz w:val="24"/>
          <w:szCs w:val="24"/>
        </w:rPr>
        <w:t>glucose</w:t>
      </w:r>
      <w:proofErr w:type="spellEnd"/>
      <w:r w:rsidRPr="000122CD">
        <w:rPr>
          <w:sz w:val="24"/>
          <w:szCs w:val="24"/>
        </w:rPr>
        <w:t xml:space="preserve">, der anvendes i den </w:t>
      </w:r>
      <w:proofErr w:type="spellStart"/>
      <w:r w:rsidRPr="000122CD">
        <w:rPr>
          <w:sz w:val="24"/>
          <w:szCs w:val="24"/>
        </w:rPr>
        <w:t>intermediære</w:t>
      </w:r>
      <w:proofErr w:type="spellEnd"/>
      <w:r w:rsidRPr="000122CD">
        <w:rPr>
          <w:sz w:val="24"/>
          <w:szCs w:val="24"/>
        </w:rPr>
        <w:t xml:space="preserve"> metabolisme.</w:t>
      </w:r>
    </w:p>
    <w:p w14:paraId="0CC15223" w14:textId="77777777" w:rsidR="00570AAF" w:rsidRPr="000122CD" w:rsidRDefault="00570AAF" w:rsidP="001C230E">
      <w:pPr>
        <w:ind w:left="851"/>
        <w:rPr>
          <w:sz w:val="24"/>
          <w:szCs w:val="24"/>
        </w:rPr>
      </w:pPr>
    </w:p>
    <w:p w14:paraId="6F78CD7F" w14:textId="77777777" w:rsidR="00570AAF" w:rsidRPr="00E31012" w:rsidRDefault="00570AAF" w:rsidP="001C230E">
      <w:pPr>
        <w:ind w:left="851"/>
        <w:rPr>
          <w:sz w:val="24"/>
          <w:szCs w:val="24"/>
          <w:u w:val="single"/>
        </w:rPr>
      </w:pPr>
      <w:r w:rsidRPr="00E31012">
        <w:rPr>
          <w:sz w:val="24"/>
          <w:szCs w:val="24"/>
          <w:u w:val="single"/>
        </w:rPr>
        <w:t>Elimination</w:t>
      </w:r>
    </w:p>
    <w:p w14:paraId="0870779A" w14:textId="77777777" w:rsidR="00570AAF" w:rsidRPr="000122CD" w:rsidRDefault="00570AAF" w:rsidP="001C230E">
      <w:pPr>
        <w:ind w:left="851"/>
        <w:rPr>
          <w:sz w:val="24"/>
          <w:szCs w:val="24"/>
        </w:rPr>
      </w:pPr>
      <w:r w:rsidRPr="000122CD">
        <w:rPr>
          <w:sz w:val="24"/>
          <w:szCs w:val="24"/>
        </w:rPr>
        <w:t>Det jern, der ikke absorberes, udskilles via fæces.</w:t>
      </w:r>
    </w:p>
    <w:p w14:paraId="20346D0B" w14:textId="77777777" w:rsidR="009260DE" w:rsidRPr="000122CD" w:rsidRDefault="009260DE" w:rsidP="009260DE">
      <w:pPr>
        <w:tabs>
          <w:tab w:val="left" w:pos="851"/>
        </w:tabs>
        <w:ind w:left="851"/>
        <w:rPr>
          <w:sz w:val="24"/>
          <w:szCs w:val="24"/>
        </w:rPr>
      </w:pPr>
    </w:p>
    <w:p w14:paraId="16480FD9" w14:textId="710E1C02" w:rsidR="009260DE" w:rsidRPr="000122CD" w:rsidRDefault="009260DE" w:rsidP="009260DE">
      <w:pPr>
        <w:tabs>
          <w:tab w:val="left" w:pos="851"/>
        </w:tabs>
        <w:ind w:left="851" w:hanging="851"/>
        <w:rPr>
          <w:b/>
          <w:sz w:val="24"/>
          <w:szCs w:val="24"/>
        </w:rPr>
      </w:pPr>
      <w:r w:rsidRPr="000122CD">
        <w:rPr>
          <w:b/>
          <w:sz w:val="24"/>
          <w:szCs w:val="24"/>
        </w:rPr>
        <w:t>5.3</w:t>
      </w:r>
      <w:r w:rsidRPr="000122CD">
        <w:rPr>
          <w:b/>
          <w:sz w:val="24"/>
          <w:szCs w:val="24"/>
        </w:rPr>
        <w:tab/>
      </w:r>
      <w:r w:rsidR="00761CE9">
        <w:rPr>
          <w:b/>
          <w:sz w:val="24"/>
          <w:szCs w:val="24"/>
        </w:rPr>
        <w:t>Non-</w:t>
      </w:r>
      <w:r w:rsidRPr="000122CD">
        <w:rPr>
          <w:b/>
          <w:sz w:val="24"/>
          <w:szCs w:val="24"/>
        </w:rPr>
        <w:t>kliniske sikkerhedsdata</w:t>
      </w:r>
    </w:p>
    <w:p w14:paraId="55A669D4" w14:textId="77777777" w:rsidR="00570AAF" w:rsidRPr="000122CD" w:rsidRDefault="00570AAF" w:rsidP="001C230E">
      <w:pPr>
        <w:ind w:left="851"/>
        <w:rPr>
          <w:sz w:val="24"/>
          <w:szCs w:val="24"/>
        </w:rPr>
      </w:pPr>
      <w:r w:rsidRPr="000122CD">
        <w:rPr>
          <w:sz w:val="24"/>
          <w:szCs w:val="24"/>
        </w:rPr>
        <w:lastRenderedPageBreak/>
        <w:t>Prækliniske data viser ingen speciel risiko for mennesker vurderet ud fra konventionelle studier af toksicitet efter gentagne doser, genotoksicitet samt reproduktions- og udviklingstoksicitet.</w:t>
      </w:r>
    </w:p>
    <w:p w14:paraId="136E6805" w14:textId="77777777" w:rsidR="009260DE" w:rsidRPr="000122CD" w:rsidRDefault="009260DE" w:rsidP="009260DE">
      <w:pPr>
        <w:tabs>
          <w:tab w:val="left" w:pos="851"/>
        </w:tabs>
        <w:ind w:left="851"/>
        <w:rPr>
          <w:sz w:val="24"/>
          <w:szCs w:val="24"/>
        </w:rPr>
      </w:pPr>
    </w:p>
    <w:p w14:paraId="0D994F74" w14:textId="77777777" w:rsidR="009260DE" w:rsidRPr="000122CD" w:rsidRDefault="009260DE" w:rsidP="009260DE">
      <w:pPr>
        <w:tabs>
          <w:tab w:val="left" w:pos="851"/>
        </w:tabs>
        <w:ind w:left="851"/>
        <w:rPr>
          <w:sz w:val="24"/>
          <w:szCs w:val="24"/>
        </w:rPr>
      </w:pPr>
    </w:p>
    <w:p w14:paraId="4D89BB21" w14:textId="77777777" w:rsidR="009260DE" w:rsidRPr="000122CD" w:rsidRDefault="009260DE" w:rsidP="009260DE">
      <w:pPr>
        <w:tabs>
          <w:tab w:val="left" w:pos="851"/>
        </w:tabs>
        <w:ind w:left="851" w:hanging="851"/>
        <w:rPr>
          <w:b/>
          <w:sz w:val="24"/>
          <w:szCs w:val="24"/>
        </w:rPr>
      </w:pPr>
      <w:r w:rsidRPr="000122CD">
        <w:rPr>
          <w:b/>
          <w:sz w:val="24"/>
          <w:szCs w:val="24"/>
        </w:rPr>
        <w:t>6.</w:t>
      </w:r>
      <w:r w:rsidRPr="000122CD">
        <w:rPr>
          <w:b/>
          <w:sz w:val="24"/>
          <w:szCs w:val="24"/>
        </w:rPr>
        <w:tab/>
        <w:t>FARMACEUTISKE OPLYSNINGER</w:t>
      </w:r>
    </w:p>
    <w:p w14:paraId="37DCBE5A" w14:textId="77777777" w:rsidR="009260DE" w:rsidRPr="000122CD" w:rsidRDefault="009260DE" w:rsidP="009260DE">
      <w:pPr>
        <w:tabs>
          <w:tab w:val="left" w:pos="851"/>
        </w:tabs>
        <w:ind w:left="851"/>
        <w:rPr>
          <w:sz w:val="24"/>
          <w:szCs w:val="24"/>
        </w:rPr>
      </w:pPr>
    </w:p>
    <w:p w14:paraId="2A7F429C" w14:textId="77777777" w:rsidR="009260DE" w:rsidRPr="000122CD" w:rsidRDefault="009260DE" w:rsidP="009260DE">
      <w:pPr>
        <w:tabs>
          <w:tab w:val="left" w:pos="851"/>
        </w:tabs>
        <w:ind w:left="851" w:hanging="851"/>
        <w:rPr>
          <w:b/>
          <w:sz w:val="24"/>
          <w:szCs w:val="24"/>
        </w:rPr>
      </w:pPr>
      <w:r w:rsidRPr="000122CD">
        <w:rPr>
          <w:b/>
          <w:sz w:val="24"/>
          <w:szCs w:val="24"/>
        </w:rPr>
        <w:t>6.1</w:t>
      </w:r>
      <w:r w:rsidRPr="000122CD">
        <w:rPr>
          <w:b/>
          <w:sz w:val="24"/>
          <w:szCs w:val="24"/>
        </w:rPr>
        <w:tab/>
        <w:t>Hjælpestoffer</w:t>
      </w:r>
    </w:p>
    <w:p w14:paraId="5C04278A" w14:textId="77777777" w:rsidR="00570AAF" w:rsidRPr="000122CD" w:rsidRDefault="00570AAF" w:rsidP="001C230E">
      <w:pPr>
        <w:ind w:left="851"/>
        <w:rPr>
          <w:sz w:val="24"/>
          <w:szCs w:val="24"/>
        </w:rPr>
      </w:pPr>
      <w:r w:rsidRPr="000122CD">
        <w:rPr>
          <w:sz w:val="24"/>
          <w:szCs w:val="24"/>
        </w:rPr>
        <w:t>Renset vand</w:t>
      </w:r>
    </w:p>
    <w:p w14:paraId="266DB5AC" w14:textId="77777777" w:rsidR="00570AAF" w:rsidRPr="000122CD" w:rsidRDefault="00570AAF" w:rsidP="001C230E">
      <w:pPr>
        <w:ind w:left="851"/>
        <w:rPr>
          <w:sz w:val="24"/>
          <w:szCs w:val="24"/>
        </w:rPr>
      </w:pPr>
      <w:proofErr w:type="spellStart"/>
      <w:r w:rsidRPr="000122CD">
        <w:rPr>
          <w:sz w:val="24"/>
          <w:szCs w:val="24"/>
        </w:rPr>
        <w:t>Saccharose</w:t>
      </w:r>
      <w:proofErr w:type="spellEnd"/>
    </w:p>
    <w:p w14:paraId="59DF4779" w14:textId="77777777" w:rsidR="00570AAF" w:rsidRPr="000122CD" w:rsidRDefault="00570AAF" w:rsidP="001C230E">
      <w:pPr>
        <w:ind w:left="851"/>
        <w:rPr>
          <w:sz w:val="24"/>
          <w:szCs w:val="24"/>
        </w:rPr>
      </w:pPr>
      <w:r w:rsidRPr="000122CD">
        <w:rPr>
          <w:sz w:val="24"/>
          <w:szCs w:val="24"/>
        </w:rPr>
        <w:t>Flødearoma (indeholder propylenglycol og vanillin)</w:t>
      </w:r>
    </w:p>
    <w:p w14:paraId="65C5CB71" w14:textId="77777777" w:rsidR="00570AAF" w:rsidRPr="000122CD" w:rsidRDefault="00570AAF" w:rsidP="001C230E">
      <w:pPr>
        <w:ind w:left="851"/>
        <w:rPr>
          <w:sz w:val="24"/>
          <w:szCs w:val="24"/>
        </w:rPr>
      </w:pPr>
      <w:proofErr w:type="spellStart"/>
      <w:r w:rsidRPr="000122CD">
        <w:rPr>
          <w:sz w:val="24"/>
          <w:szCs w:val="24"/>
        </w:rPr>
        <w:t>Natriummethylparahydroxybenzoat</w:t>
      </w:r>
      <w:proofErr w:type="spellEnd"/>
      <w:r w:rsidRPr="000122CD">
        <w:rPr>
          <w:sz w:val="24"/>
          <w:szCs w:val="24"/>
        </w:rPr>
        <w:t xml:space="preserve"> (E219)</w:t>
      </w:r>
    </w:p>
    <w:p w14:paraId="701A89C3" w14:textId="77777777" w:rsidR="00570AAF" w:rsidRPr="000122CD" w:rsidRDefault="00570AAF" w:rsidP="001C230E">
      <w:pPr>
        <w:ind w:left="851"/>
        <w:rPr>
          <w:sz w:val="24"/>
          <w:szCs w:val="24"/>
        </w:rPr>
      </w:pPr>
      <w:proofErr w:type="spellStart"/>
      <w:r w:rsidRPr="000122CD">
        <w:rPr>
          <w:sz w:val="24"/>
          <w:szCs w:val="24"/>
        </w:rPr>
        <w:t>Natriumpropylparahydroxybenzoat</w:t>
      </w:r>
      <w:proofErr w:type="spellEnd"/>
      <w:r w:rsidRPr="000122CD">
        <w:rPr>
          <w:sz w:val="24"/>
          <w:szCs w:val="24"/>
        </w:rPr>
        <w:t xml:space="preserve"> (E217)</w:t>
      </w:r>
    </w:p>
    <w:p w14:paraId="4523E444" w14:textId="67849591" w:rsidR="00570AAF" w:rsidRPr="000122CD" w:rsidRDefault="00570AAF" w:rsidP="001C230E">
      <w:pPr>
        <w:ind w:left="851"/>
        <w:rPr>
          <w:sz w:val="24"/>
          <w:szCs w:val="24"/>
        </w:rPr>
      </w:pPr>
      <w:r w:rsidRPr="000122CD">
        <w:rPr>
          <w:sz w:val="24"/>
          <w:szCs w:val="24"/>
        </w:rPr>
        <w:t>Natriumhydroxid (for pH-justering)</w:t>
      </w:r>
    </w:p>
    <w:p w14:paraId="67313B45" w14:textId="77777777" w:rsidR="009260DE" w:rsidRPr="000122CD" w:rsidRDefault="009260DE" w:rsidP="009260DE">
      <w:pPr>
        <w:tabs>
          <w:tab w:val="left" w:pos="851"/>
        </w:tabs>
        <w:ind w:left="851"/>
        <w:rPr>
          <w:sz w:val="24"/>
          <w:szCs w:val="24"/>
        </w:rPr>
      </w:pPr>
    </w:p>
    <w:p w14:paraId="66BBAC31" w14:textId="77777777" w:rsidR="009260DE" w:rsidRPr="000122CD" w:rsidRDefault="009260DE" w:rsidP="009260DE">
      <w:pPr>
        <w:tabs>
          <w:tab w:val="left" w:pos="851"/>
        </w:tabs>
        <w:ind w:left="851" w:hanging="851"/>
        <w:rPr>
          <w:b/>
          <w:sz w:val="24"/>
          <w:szCs w:val="24"/>
        </w:rPr>
      </w:pPr>
      <w:r w:rsidRPr="000122CD">
        <w:rPr>
          <w:b/>
          <w:sz w:val="24"/>
          <w:szCs w:val="24"/>
        </w:rPr>
        <w:t>6.2</w:t>
      </w:r>
      <w:r w:rsidRPr="000122CD">
        <w:rPr>
          <w:b/>
          <w:sz w:val="24"/>
          <w:szCs w:val="24"/>
        </w:rPr>
        <w:tab/>
        <w:t>Uforligeligheder</w:t>
      </w:r>
    </w:p>
    <w:p w14:paraId="77F80BF2" w14:textId="77777777" w:rsidR="00570AAF" w:rsidRPr="000122CD" w:rsidRDefault="00570AAF" w:rsidP="001C230E">
      <w:pPr>
        <w:ind w:left="851"/>
        <w:rPr>
          <w:sz w:val="24"/>
          <w:szCs w:val="24"/>
        </w:rPr>
      </w:pPr>
      <w:r w:rsidRPr="000122CD">
        <w:rPr>
          <w:sz w:val="24"/>
          <w:szCs w:val="24"/>
        </w:rPr>
        <w:t>Ikke relevant.</w:t>
      </w:r>
    </w:p>
    <w:p w14:paraId="7F673818" w14:textId="77777777" w:rsidR="009260DE" w:rsidRPr="000122CD" w:rsidRDefault="009260DE" w:rsidP="009260DE">
      <w:pPr>
        <w:tabs>
          <w:tab w:val="left" w:pos="851"/>
        </w:tabs>
        <w:ind w:left="851"/>
        <w:rPr>
          <w:sz w:val="24"/>
          <w:szCs w:val="24"/>
        </w:rPr>
      </w:pPr>
    </w:p>
    <w:p w14:paraId="35DFFC63" w14:textId="77777777" w:rsidR="009260DE" w:rsidRPr="000122CD" w:rsidRDefault="009260DE" w:rsidP="009260DE">
      <w:pPr>
        <w:tabs>
          <w:tab w:val="left" w:pos="851"/>
        </w:tabs>
        <w:ind w:left="851" w:hanging="851"/>
        <w:rPr>
          <w:b/>
          <w:sz w:val="24"/>
          <w:szCs w:val="24"/>
        </w:rPr>
      </w:pPr>
      <w:r w:rsidRPr="000122CD">
        <w:rPr>
          <w:b/>
          <w:sz w:val="24"/>
          <w:szCs w:val="24"/>
        </w:rPr>
        <w:t>6.3</w:t>
      </w:r>
      <w:r w:rsidRPr="000122CD">
        <w:rPr>
          <w:b/>
          <w:sz w:val="24"/>
          <w:szCs w:val="24"/>
        </w:rPr>
        <w:tab/>
        <w:t>Opbevaringstid</w:t>
      </w:r>
    </w:p>
    <w:p w14:paraId="07D0ABCB" w14:textId="646ACF4A" w:rsidR="00570AAF" w:rsidRPr="000122CD" w:rsidRDefault="00570AAF" w:rsidP="001C230E">
      <w:pPr>
        <w:ind w:left="851"/>
        <w:rPr>
          <w:sz w:val="24"/>
          <w:szCs w:val="24"/>
        </w:rPr>
      </w:pPr>
      <w:r w:rsidRPr="000122CD">
        <w:rPr>
          <w:sz w:val="24"/>
          <w:szCs w:val="24"/>
        </w:rPr>
        <w:t>3 år</w:t>
      </w:r>
      <w:r w:rsidR="003D1157">
        <w:rPr>
          <w:sz w:val="24"/>
          <w:szCs w:val="24"/>
        </w:rPr>
        <w:t>.</w:t>
      </w:r>
    </w:p>
    <w:p w14:paraId="3BB03B71" w14:textId="77777777" w:rsidR="009260DE" w:rsidRPr="000122CD" w:rsidRDefault="009260DE" w:rsidP="009260DE">
      <w:pPr>
        <w:tabs>
          <w:tab w:val="left" w:pos="851"/>
        </w:tabs>
        <w:ind w:left="851"/>
        <w:rPr>
          <w:sz w:val="24"/>
          <w:szCs w:val="24"/>
        </w:rPr>
      </w:pPr>
    </w:p>
    <w:p w14:paraId="72E53F61" w14:textId="77777777" w:rsidR="009260DE" w:rsidRPr="000122CD" w:rsidRDefault="009260DE" w:rsidP="009260DE">
      <w:pPr>
        <w:tabs>
          <w:tab w:val="left" w:pos="851"/>
        </w:tabs>
        <w:ind w:left="851" w:hanging="851"/>
        <w:rPr>
          <w:b/>
          <w:sz w:val="24"/>
          <w:szCs w:val="24"/>
        </w:rPr>
      </w:pPr>
      <w:r w:rsidRPr="000122CD">
        <w:rPr>
          <w:b/>
          <w:sz w:val="24"/>
          <w:szCs w:val="24"/>
        </w:rPr>
        <w:t>6.4</w:t>
      </w:r>
      <w:r w:rsidRPr="000122CD">
        <w:rPr>
          <w:b/>
          <w:sz w:val="24"/>
          <w:szCs w:val="24"/>
        </w:rPr>
        <w:tab/>
        <w:t>Særlige opbevaringsforhold</w:t>
      </w:r>
    </w:p>
    <w:p w14:paraId="5200F496" w14:textId="77777777" w:rsidR="00570AAF" w:rsidRPr="000122CD" w:rsidRDefault="00570AAF" w:rsidP="001C230E">
      <w:pPr>
        <w:ind w:left="851"/>
        <w:rPr>
          <w:sz w:val="24"/>
          <w:szCs w:val="24"/>
        </w:rPr>
      </w:pPr>
      <w:r w:rsidRPr="000122CD">
        <w:rPr>
          <w:sz w:val="24"/>
          <w:szCs w:val="24"/>
        </w:rPr>
        <w:t>Må ikke nedfryses.</w:t>
      </w:r>
    </w:p>
    <w:p w14:paraId="00AE201C" w14:textId="77777777" w:rsidR="009260DE" w:rsidRPr="000122CD" w:rsidRDefault="009260DE" w:rsidP="009260DE">
      <w:pPr>
        <w:tabs>
          <w:tab w:val="left" w:pos="851"/>
        </w:tabs>
        <w:ind w:left="851"/>
        <w:rPr>
          <w:sz w:val="24"/>
          <w:szCs w:val="24"/>
        </w:rPr>
      </w:pPr>
    </w:p>
    <w:p w14:paraId="33128713" w14:textId="45556E70" w:rsidR="009260DE" w:rsidRPr="000122CD" w:rsidRDefault="009260DE" w:rsidP="009260DE">
      <w:pPr>
        <w:tabs>
          <w:tab w:val="left" w:pos="851"/>
        </w:tabs>
        <w:ind w:left="851" w:hanging="851"/>
        <w:rPr>
          <w:b/>
          <w:sz w:val="24"/>
          <w:szCs w:val="24"/>
        </w:rPr>
      </w:pPr>
      <w:r w:rsidRPr="000122CD">
        <w:rPr>
          <w:b/>
          <w:sz w:val="24"/>
          <w:szCs w:val="24"/>
        </w:rPr>
        <w:t>6.5</w:t>
      </w:r>
      <w:r w:rsidRPr="000122CD">
        <w:rPr>
          <w:b/>
          <w:sz w:val="24"/>
          <w:szCs w:val="24"/>
        </w:rPr>
        <w:tab/>
        <w:t>Emballagetype og pakningsstørrelser</w:t>
      </w:r>
    </w:p>
    <w:p w14:paraId="1ED58ADC" w14:textId="16C6EA34" w:rsidR="00570AAF" w:rsidRDefault="00570AAF" w:rsidP="001C230E">
      <w:pPr>
        <w:ind w:left="851"/>
        <w:rPr>
          <w:sz w:val="24"/>
          <w:szCs w:val="24"/>
        </w:rPr>
      </w:pPr>
      <w:r w:rsidRPr="000122CD">
        <w:rPr>
          <w:sz w:val="24"/>
          <w:szCs w:val="24"/>
        </w:rPr>
        <w:t>Type III brun glasflaske med dråbeindsats og lukket med et manipulationssikret skruelåg.</w:t>
      </w:r>
    </w:p>
    <w:p w14:paraId="25B9CFE8" w14:textId="6469AD01" w:rsidR="003D1157" w:rsidRDefault="003D1157" w:rsidP="001C230E">
      <w:pPr>
        <w:ind w:left="851"/>
        <w:rPr>
          <w:sz w:val="24"/>
          <w:szCs w:val="24"/>
        </w:rPr>
      </w:pPr>
    </w:p>
    <w:p w14:paraId="451EE245" w14:textId="14FEA316" w:rsidR="003D1157" w:rsidRDefault="003D1157" w:rsidP="001C230E">
      <w:pPr>
        <w:ind w:left="851"/>
        <w:rPr>
          <w:sz w:val="24"/>
          <w:szCs w:val="24"/>
        </w:rPr>
      </w:pPr>
      <w:r>
        <w:rPr>
          <w:sz w:val="24"/>
          <w:szCs w:val="24"/>
        </w:rPr>
        <w:t xml:space="preserve">Pakningsstørrelser: </w:t>
      </w:r>
      <w:r w:rsidRPr="000122CD">
        <w:rPr>
          <w:sz w:val="24"/>
          <w:szCs w:val="24"/>
        </w:rPr>
        <w:t>30 ml (600 dråber)</w:t>
      </w:r>
      <w:r>
        <w:rPr>
          <w:sz w:val="24"/>
          <w:szCs w:val="24"/>
        </w:rPr>
        <w:t>.</w:t>
      </w:r>
    </w:p>
    <w:p w14:paraId="07C348FB" w14:textId="5FD2C087" w:rsidR="003D1157" w:rsidRPr="000122CD" w:rsidRDefault="003D1157" w:rsidP="001C230E">
      <w:pPr>
        <w:ind w:left="851"/>
        <w:rPr>
          <w:sz w:val="24"/>
          <w:szCs w:val="24"/>
        </w:rPr>
      </w:pPr>
      <w:r>
        <w:rPr>
          <w:sz w:val="24"/>
          <w:szCs w:val="24"/>
        </w:rPr>
        <w:t>Ikke alle pakningsstørrelser er nødvendigvis markedsført.</w:t>
      </w:r>
    </w:p>
    <w:p w14:paraId="401EF1A2" w14:textId="77777777" w:rsidR="009260DE" w:rsidRPr="000122CD" w:rsidRDefault="009260DE" w:rsidP="009260DE">
      <w:pPr>
        <w:tabs>
          <w:tab w:val="left" w:pos="851"/>
        </w:tabs>
        <w:ind w:left="851"/>
        <w:rPr>
          <w:sz w:val="24"/>
          <w:szCs w:val="24"/>
        </w:rPr>
      </w:pPr>
    </w:p>
    <w:p w14:paraId="7E28B7CD" w14:textId="398766BD" w:rsidR="009260DE" w:rsidRPr="000122CD" w:rsidRDefault="009260DE" w:rsidP="009260DE">
      <w:pPr>
        <w:tabs>
          <w:tab w:val="left" w:pos="851"/>
        </w:tabs>
        <w:ind w:left="851" w:hanging="851"/>
        <w:rPr>
          <w:b/>
          <w:sz w:val="24"/>
          <w:szCs w:val="24"/>
        </w:rPr>
      </w:pPr>
      <w:r w:rsidRPr="000122CD">
        <w:rPr>
          <w:b/>
          <w:sz w:val="24"/>
          <w:szCs w:val="24"/>
        </w:rPr>
        <w:t>6.6</w:t>
      </w:r>
      <w:r w:rsidRPr="000122CD">
        <w:rPr>
          <w:b/>
          <w:sz w:val="24"/>
          <w:szCs w:val="24"/>
        </w:rPr>
        <w:tab/>
        <w:t xml:space="preserve">Regler for </w:t>
      </w:r>
      <w:r w:rsidR="00761CE9">
        <w:rPr>
          <w:b/>
          <w:sz w:val="24"/>
          <w:szCs w:val="24"/>
        </w:rPr>
        <w:t>bortskaffelse</w:t>
      </w:r>
      <w:r w:rsidRPr="000122CD">
        <w:rPr>
          <w:b/>
          <w:sz w:val="24"/>
          <w:szCs w:val="24"/>
        </w:rPr>
        <w:t xml:space="preserve"> og anden håndtering</w:t>
      </w:r>
    </w:p>
    <w:p w14:paraId="5CBCBE1A" w14:textId="77777777" w:rsidR="00570AAF" w:rsidRPr="000122CD" w:rsidRDefault="00570AAF" w:rsidP="001C230E">
      <w:pPr>
        <w:ind w:left="851"/>
        <w:rPr>
          <w:sz w:val="24"/>
          <w:szCs w:val="24"/>
        </w:rPr>
      </w:pPr>
      <w:r w:rsidRPr="000122CD">
        <w:rPr>
          <w:sz w:val="24"/>
          <w:szCs w:val="24"/>
        </w:rPr>
        <w:t>Ikke anvendt lægemiddel samt affald heraf skal bortskaffes i henhold til lokale retningslinjer.</w:t>
      </w:r>
    </w:p>
    <w:p w14:paraId="1F31712A" w14:textId="77777777" w:rsidR="009260DE" w:rsidRPr="000122CD" w:rsidRDefault="009260DE" w:rsidP="009260DE">
      <w:pPr>
        <w:tabs>
          <w:tab w:val="left" w:pos="851"/>
        </w:tabs>
        <w:ind w:left="851"/>
        <w:jc w:val="both"/>
        <w:rPr>
          <w:sz w:val="24"/>
          <w:szCs w:val="24"/>
        </w:rPr>
      </w:pPr>
    </w:p>
    <w:p w14:paraId="46CF1360" w14:textId="77777777" w:rsidR="009260DE" w:rsidRPr="000122CD" w:rsidRDefault="009260DE" w:rsidP="009260DE">
      <w:pPr>
        <w:tabs>
          <w:tab w:val="left" w:pos="851"/>
        </w:tabs>
        <w:ind w:left="851" w:hanging="851"/>
        <w:rPr>
          <w:b/>
          <w:sz w:val="24"/>
          <w:szCs w:val="24"/>
        </w:rPr>
      </w:pPr>
      <w:r w:rsidRPr="000122CD">
        <w:rPr>
          <w:b/>
          <w:sz w:val="24"/>
          <w:szCs w:val="24"/>
        </w:rPr>
        <w:t>7.</w:t>
      </w:r>
      <w:r w:rsidRPr="000122CD">
        <w:rPr>
          <w:b/>
          <w:sz w:val="24"/>
          <w:szCs w:val="24"/>
        </w:rPr>
        <w:tab/>
        <w:t>INDEHAVER AF MARKEDSFØRINGSTILLADELSEN</w:t>
      </w:r>
    </w:p>
    <w:p w14:paraId="7CBBD179" w14:textId="77777777" w:rsidR="00570AAF" w:rsidRPr="000122CD" w:rsidRDefault="00570AAF" w:rsidP="001C230E">
      <w:pPr>
        <w:ind w:left="851"/>
        <w:rPr>
          <w:sz w:val="24"/>
          <w:szCs w:val="24"/>
        </w:rPr>
      </w:pPr>
      <w:proofErr w:type="spellStart"/>
      <w:r w:rsidRPr="000122CD">
        <w:rPr>
          <w:sz w:val="24"/>
          <w:szCs w:val="24"/>
        </w:rPr>
        <w:t>Vifor</w:t>
      </w:r>
      <w:proofErr w:type="spellEnd"/>
      <w:r w:rsidRPr="000122CD">
        <w:rPr>
          <w:sz w:val="24"/>
          <w:szCs w:val="24"/>
        </w:rPr>
        <w:t xml:space="preserve"> France</w:t>
      </w:r>
    </w:p>
    <w:p w14:paraId="4C600CD6" w14:textId="77777777" w:rsidR="00570AAF" w:rsidRPr="000122CD" w:rsidRDefault="00570AAF" w:rsidP="001C230E">
      <w:pPr>
        <w:ind w:left="851"/>
        <w:rPr>
          <w:sz w:val="24"/>
          <w:szCs w:val="24"/>
        </w:rPr>
      </w:pPr>
      <w:r w:rsidRPr="000122CD">
        <w:rPr>
          <w:sz w:val="24"/>
          <w:szCs w:val="24"/>
        </w:rPr>
        <w:t xml:space="preserve">100–101 Terrasse </w:t>
      </w:r>
      <w:proofErr w:type="spellStart"/>
      <w:r w:rsidRPr="000122CD">
        <w:rPr>
          <w:sz w:val="24"/>
          <w:szCs w:val="24"/>
        </w:rPr>
        <w:t>Boieldieu</w:t>
      </w:r>
      <w:proofErr w:type="spellEnd"/>
    </w:p>
    <w:p w14:paraId="1BD94D94" w14:textId="77777777" w:rsidR="00570AAF" w:rsidRPr="00BB3D3D" w:rsidRDefault="00570AAF" w:rsidP="001C230E">
      <w:pPr>
        <w:ind w:left="851"/>
        <w:rPr>
          <w:sz w:val="24"/>
          <w:szCs w:val="24"/>
          <w:lang w:val="en-US"/>
        </w:rPr>
      </w:pPr>
      <w:r w:rsidRPr="00BB3D3D">
        <w:rPr>
          <w:sz w:val="24"/>
          <w:szCs w:val="24"/>
          <w:lang w:val="en-US"/>
        </w:rPr>
        <w:t>Tour Franklin La Défense 8</w:t>
      </w:r>
    </w:p>
    <w:p w14:paraId="7A81E674" w14:textId="77777777" w:rsidR="00570AAF" w:rsidRPr="00BB3D3D" w:rsidRDefault="00570AAF" w:rsidP="001C230E">
      <w:pPr>
        <w:ind w:left="851"/>
        <w:rPr>
          <w:sz w:val="24"/>
          <w:szCs w:val="24"/>
          <w:lang w:val="en-US"/>
        </w:rPr>
      </w:pPr>
      <w:r w:rsidRPr="00BB3D3D">
        <w:rPr>
          <w:sz w:val="24"/>
          <w:szCs w:val="24"/>
          <w:lang w:val="en-US"/>
        </w:rPr>
        <w:t>92042 Paris La Défense Cedex</w:t>
      </w:r>
    </w:p>
    <w:p w14:paraId="6472D91D" w14:textId="77777777" w:rsidR="00570AAF" w:rsidRPr="000122CD" w:rsidRDefault="00570AAF" w:rsidP="001C230E">
      <w:pPr>
        <w:ind w:left="851"/>
        <w:rPr>
          <w:sz w:val="24"/>
          <w:szCs w:val="24"/>
        </w:rPr>
      </w:pPr>
      <w:r w:rsidRPr="000122CD">
        <w:rPr>
          <w:sz w:val="24"/>
          <w:szCs w:val="24"/>
        </w:rPr>
        <w:t>Frankrig</w:t>
      </w:r>
    </w:p>
    <w:p w14:paraId="2760C055" w14:textId="77777777" w:rsidR="009260DE" w:rsidRPr="000122CD" w:rsidRDefault="009260DE" w:rsidP="009260DE">
      <w:pPr>
        <w:tabs>
          <w:tab w:val="left" w:pos="851"/>
        </w:tabs>
        <w:ind w:left="851"/>
        <w:rPr>
          <w:sz w:val="24"/>
          <w:szCs w:val="24"/>
        </w:rPr>
      </w:pPr>
    </w:p>
    <w:p w14:paraId="45BF4AF4" w14:textId="1A7D267F" w:rsidR="009260DE" w:rsidRPr="000122CD" w:rsidRDefault="009260DE" w:rsidP="009260DE">
      <w:pPr>
        <w:tabs>
          <w:tab w:val="left" w:pos="851"/>
        </w:tabs>
        <w:ind w:left="851" w:hanging="851"/>
        <w:rPr>
          <w:b/>
          <w:sz w:val="24"/>
          <w:szCs w:val="24"/>
        </w:rPr>
      </w:pPr>
      <w:r w:rsidRPr="000122CD">
        <w:rPr>
          <w:b/>
          <w:sz w:val="24"/>
          <w:szCs w:val="24"/>
        </w:rPr>
        <w:t>8.</w:t>
      </w:r>
      <w:r w:rsidRPr="000122CD">
        <w:rPr>
          <w:b/>
          <w:sz w:val="24"/>
          <w:szCs w:val="24"/>
        </w:rPr>
        <w:tab/>
        <w:t>MARKEDSFØRINGSTILLADELSESNUMMER (</w:t>
      </w:r>
      <w:r w:rsidR="00761CE9">
        <w:rPr>
          <w:b/>
          <w:sz w:val="24"/>
          <w:szCs w:val="24"/>
        </w:rPr>
        <w:t>-</w:t>
      </w:r>
      <w:r w:rsidRPr="000122CD">
        <w:rPr>
          <w:b/>
          <w:sz w:val="24"/>
          <w:szCs w:val="24"/>
        </w:rPr>
        <w:t>NUMRE)</w:t>
      </w:r>
    </w:p>
    <w:p w14:paraId="56AB56D2" w14:textId="71D96B80" w:rsidR="009260DE" w:rsidRPr="000122CD" w:rsidRDefault="00955464" w:rsidP="009260DE">
      <w:pPr>
        <w:tabs>
          <w:tab w:val="left" w:pos="851"/>
        </w:tabs>
        <w:ind w:left="851"/>
        <w:rPr>
          <w:sz w:val="24"/>
          <w:szCs w:val="24"/>
        </w:rPr>
      </w:pPr>
      <w:r w:rsidRPr="000122CD">
        <w:rPr>
          <w:sz w:val="24"/>
          <w:szCs w:val="24"/>
        </w:rPr>
        <w:t>60790</w:t>
      </w:r>
    </w:p>
    <w:p w14:paraId="062E8A83" w14:textId="77777777" w:rsidR="009260DE" w:rsidRPr="000122CD" w:rsidRDefault="009260DE" w:rsidP="009260DE">
      <w:pPr>
        <w:tabs>
          <w:tab w:val="left" w:pos="851"/>
        </w:tabs>
        <w:ind w:left="851"/>
        <w:jc w:val="both"/>
        <w:rPr>
          <w:sz w:val="24"/>
          <w:szCs w:val="24"/>
        </w:rPr>
      </w:pPr>
    </w:p>
    <w:p w14:paraId="42847D5C" w14:textId="77777777" w:rsidR="009260DE" w:rsidRPr="000122CD" w:rsidRDefault="009260DE" w:rsidP="009260DE">
      <w:pPr>
        <w:tabs>
          <w:tab w:val="left" w:pos="851"/>
        </w:tabs>
        <w:ind w:left="851" w:hanging="851"/>
        <w:rPr>
          <w:b/>
          <w:sz w:val="24"/>
          <w:szCs w:val="24"/>
        </w:rPr>
      </w:pPr>
      <w:r w:rsidRPr="000122CD">
        <w:rPr>
          <w:b/>
          <w:sz w:val="24"/>
          <w:szCs w:val="24"/>
        </w:rPr>
        <w:t>9.</w:t>
      </w:r>
      <w:r w:rsidRPr="000122CD">
        <w:rPr>
          <w:b/>
          <w:sz w:val="24"/>
          <w:szCs w:val="24"/>
        </w:rPr>
        <w:tab/>
        <w:t>DATO FOR FØRSTE MARKEDSFØRINGSTILLADELSE</w:t>
      </w:r>
    </w:p>
    <w:p w14:paraId="6FCA0DFB" w14:textId="7D78BA77" w:rsidR="009260DE" w:rsidRPr="000122CD" w:rsidRDefault="00D7167D" w:rsidP="009260DE">
      <w:pPr>
        <w:tabs>
          <w:tab w:val="left" w:pos="851"/>
        </w:tabs>
        <w:ind w:left="851"/>
        <w:rPr>
          <w:sz w:val="24"/>
          <w:szCs w:val="24"/>
        </w:rPr>
      </w:pPr>
      <w:r>
        <w:rPr>
          <w:sz w:val="24"/>
          <w:szCs w:val="24"/>
        </w:rPr>
        <w:t>28. april 2020</w:t>
      </w:r>
    </w:p>
    <w:p w14:paraId="3587550A" w14:textId="77777777" w:rsidR="009260DE" w:rsidRPr="000122CD" w:rsidRDefault="009260DE" w:rsidP="009260DE">
      <w:pPr>
        <w:tabs>
          <w:tab w:val="left" w:pos="851"/>
        </w:tabs>
        <w:ind w:left="851"/>
        <w:rPr>
          <w:sz w:val="24"/>
          <w:szCs w:val="24"/>
        </w:rPr>
      </w:pPr>
    </w:p>
    <w:p w14:paraId="23D6280B" w14:textId="77777777" w:rsidR="009260DE" w:rsidRPr="000122CD" w:rsidRDefault="009260DE" w:rsidP="009260DE">
      <w:pPr>
        <w:tabs>
          <w:tab w:val="left" w:pos="851"/>
        </w:tabs>
        <w:ind w:left="851" w:hanging="851"/>
        <w:rPr>
          <w:b/>
          <w:sz w:val="24"/>
          <w:szCs w:val="24"/>
        </w:rPr>
      </w:pPr>
      <w:r w:rsidRPr="000122CD">
        <w:rPr>
          <w:b/>
          <w:sz w:val="24"/>
          <w:szCs w:val="24"/>
        </w:rPr>
        <w:t>10.</w:t>
      </w:r>
      <w:r w:rsidRPr="000122CD">
        <w:rPr>
          <w:b/>
          <w:sz w:val="24"/>
          <w:szCs w:val="24"/>
        </w:rPr>
        <w:tab/>
        <w:t>DATO FOR ÆNDRING AF TEKSTEN</w:t>
      </w:r>
    </w:p>
    <w:p w14:paraId="69CAE571" w14:textId="001C2B35" w:rsidR="009260DE" w:rsidRPr="000122CD" w:rsidRDefault="00E418CD" w:rsidP="00E418CD">
      <w:pPr>
        <w:tabs>
          <w:tab w:val="left" w:pos="851"/>
        </w:tabs>
        <w:ind w:left="851"/>
        <w:rPr>
          <w:sz w:val="24"/>
          <w:szCs w:val="24"/>
        </w:rPr>
      </w:pPr>
      <w:r w:rsidRPr="00E418CD">
        <w:rPr>
          <w:sz w:val="24"/>
          <w:szCs w:val="24"/>
        </w:rPr>
        <w:t>15. juni 2023</w:t>
      </w:r>
      <w:bookmarkStart w:id="0" w:name="_GoBack"/>
      <w:bookmarkEnd w:id="0"/>
    </w:p>
    <w:sectPr w:rsidR="009260DE" w:rsidRPr="000122C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6B44F" w14:textId="77777777" w:rsidR="00B92D62" w:rsidRDefault="00B92D62">
      <w:r>
        <w:separator/>
      </w:r>
    </w:p>
  </w:endnote>
  <w:endnote w:type="continuationSeparator" w:id="0">
    <w:p w14:paraId="0640AF01" w14:textId="77777777" w:rsidR="00B92D62" w:rsidRDefault="00B9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6CE93" w14:textId="77777777" w:rsidR="000259B9" w:rsidRDefault="000259B9">
    <w:pPr>
      <w:pStyle w:val="Sidefod"/>
      <w:pBdr>
        <w:bottom w:val="single" w:sz="6" w:space="1" w:color="auto"/>
      </w:pBdr>
    </w:pPr>
  </w:p>
  <w:p w14:paraId="646F9C44" w14:textId="77777777" w:rsidR="000259B9" w:rsidRDefault="000259B9" w:rsidP="00C42586">
    <w:pPr>
      <w:pStyle w:val="Sidefod"/>
      <w:tabs>
        <w:tab w:val="clear" w:pos="4819"/>
        <w:tab w:val="left" w:pos="8505"/>
      </w:tabs>
      <w:rPr>
        <w:i/>
        <w:sz w:val="18"/>
        <w:szCs w:val="18"/>
      </w:rPr>
    </w:pPr>
  </w:p>
  <w:p w14:paraId="28CAC5C1" w14:textId="09A48BA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36F58">
      <w:rPr>
        <w:i/>
        <w:noProof/>
        <w:sz w:val="18"/>
        <w:szCs w:val="18"/>
      </w:rPr>
      <w:t>Maltofer, orale dråber, opløsning 50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D3CCF" w14:textId="77777777" w:rsidR="00B92D62" w:rsidRDefault="00B92D62">
      <w:r>
        <w:separator/>
      </w:r>
    </w:p>
  </w:footnote>
  <w:footnote w:type="continuationSeparator" w:id="0">
    <w:p w14:paraId="51590DCA" w14:textId="77777777" w:rsidR="00B92D62" w:rsidRDefault="00B92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D62"/>
    <w:rsid w:val="000122CD"/>
    <w:rsid w:val="000259B9"/>
    <w:rsid w:val="00041491"/>
    <w:rsid w:val="00050D16"/>
    <w:rsid w:val="00074F2A"/>
    <w:rsid w:val="000A1CA8"/>
    <w:rsid w:val="000A466B"/>
    <w:rsid w:val="000B058C"/>
    <w:rsid w:val="000B113D"/>
    <w:rsid w:val="000E4EE6"/>
    <w:rsid w:val="001454E2"/>
    <w:rsid w:val="0017641C"/>
    <w:rsid w:val="001A1267"/>
    <w:rsid w:val="001C230E"/>
    <w:rsid w:val="00206CE8"/>
    <w:rsid w:val="0021526C"/>
    <w:rsid w:val="00283A2B"/>
    <w:rsid w:val="0029038C"/>
    <w:rsid w:val="002B30AD"/>
    <w:rsid w:val="002C2C01"/>
    <w:rsid w:val="00326B35"/>
    <w:rsid w:val="003A29AE"/>
    <w:rsid w:val="003A32D7"/>
    <w:rsid w:val="003B4074"/>
    <w:rsid w:val="003C769A"/>
    <w:rsid w:val="003D1157"/>
    <w:rsid w:val="003F1838"/>
    <w:rsid w:val="0045746C"/>
    <w:rsid w:val="00461E5E"/>
    <w:rsid w:val="0049104B"/>
    <w:rsid w:val="004E3B12"/>
    <w:rsid w:val="00532310"/>
    <w:rsid w:val="00565F0F"/>
    <w:rsid w:val="00570AAF"/>
    <w:rsid w:val="00576DE7"/>
    <w:rsid w:val="00594A86"/>
    <w:rsid w:val="00596D86"/>
    <w:rsid w:val="005A7B51"/>
    <w:rsid w:val="00637F5A"/>
    <w:rsid w:val="006560B1"/>
    <w:rsid w:val="006756DD"/>
    <w:rsid w:val="00737275"/>
    <w:rsid w:val="00740EEC"/>
    <w:rsid w:val="00761CE9"/>
    <w:rsid w:val="0078011A"/>
    <w:rsid w:val="00782AF4"/>
    <w:rsid w:val="00790EE7"/>
    <w:rsid w:val="007A1A27"/>
    <w:rsid w:val="007B6649"/>
    <w:rsid w:val="007D2979"/>
    <w:rsid w:val="0082576E"/>
    <w:rsid w:val="00907F75"/>
    <w:rsid w:val="009260DE"/>
    <w:rsid w:val="0093258A"/>
    <w:rsid w:val="00955464"/>
    <w:rsid w:val="00990771"/>
    <w:rsid w:val="009C7BA3"/>
    <w:rsid w:val="009D1F5A"/>
    <w:rsid w:val="009F7319"/>
    <w:rsid w:val="00A33AF5"/>
    <w:rsid w:val="00AD7D61"/>
    <w:rsid w:val="00B003BF"/>
    <w:rsid w:val="00B373D7"/>
    <w:rsid w:val="00B92D62"/>
    <w:rsid w:val="00B97B8A"/>
    <w:rsid w:val="00BB3D3D"/>
    <w:rsid w:val="00C36276"/>
    <w:rsid w:val="00C42586"/>
    <w:rsid w:val="00C60CCD"/>
    <w:rsid w:val="00C84483"/>
    <w:rsid w:val="00C95551"/>
    <w:rsid w:val="00C97481"/>
    <w:rsid w:val="00CB20D7"/>
    <w:rsid w:val="00CD35A4"/>
    <w:rsid w:val="00CE2FBA"/>
    <w:rsid w:val="00D020B0"/>
    <w:rsid w:val="00D11748"/>
    <w:rsid w:val="00D366CF"/>
    <w:rsid w:val="00D7167D"/>
    <w:rsid w:val="00E108AA"/>
    <w:rsid w:val="00E31012"/>
    <w:rsid w:val="00E3749A"/>
    <w:rsid w:val="00E418CD"/>
    <w:rsid w:val="00E7437F"/>
    <w:rsid w:val="00E865B8"/>
    <w:rsid w:val="00EC0B9B"/>
    <w:rsid w:val="00ED5E9F"/>
    <w:rsid w:val="00F36F58"/>
    <w:rsid w:val="00F66D4F"/>
    <w:rsid w:val="00FB6D01"/>
    <w:rsid w:val="00FC02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00B15"/>
  <w15:chartTrackingRefBased/>
  <w15:docId w15:val="{CA02AB87-24BB-49CE-AD38-C2FC7A34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1CE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Fremhv">
    <w:name w:val="Emphasis"/>
    <w:uiPriority w:val="20"/>
    <w:qFormat/>
    <w:rsid w:val="00570AAF"/>
    <w:rPr>
      <w:i/>
      <w:iCs/>
    </w:rPr>
  </w:style>
  <w:style w:type="character" w:styleId="Strk">
    <w:name w:val="Strong"/>
    <w:uiPriority w:val="22"/>
    <w:qFormat/>
    <w:rsid w:val="00570AAF"/>
    <w:rPr>
      <w:b/>
      <w:bCs/>
    </w:rPr>
  </w:style>
  <w:style w:type="paragraph" w:customStyle="1" w:styleId="HeadingUnderlined">
    <w:name w:val="Heading Underlined"/>
    <w:basedOn w:val="Normal"/>
    <w:next w:val="Normal"/>
    <w:link w:val="HeadingUnderlinedChar"/>
    <w:qFormat/>
    <w:rsid w:val="00570AAF"/>
    <w:pPr>
      <w:keepNext/>
      <w:keepLines/>
      <w:suppressAutoHyphens/>
    </w:pPr>
    <w:rPr>
      <w:rFonts w:eastAsia="SimSun"/>
      <w:sz w:val="22"/>
      <w:szCs w:val="22"/>
      <w:u w:val="single"/>
      <w:lang w:eastAsia="da-DK" w:bidi="da-DK"/>
    </w:rPr>
  </w:style>
  <w:style w:type="character" w:customStyle="1" w:styleId="HeadingUnderlinedChar">
    <w:name w:val="Heading Underlined Char"/>
    <w:link w:val="HeadingUnderlined"/>
    <w:locked/>
    <w:rsid w:val="00570AAF"/>
    <w:rPr>
      <w:rFonts w:eastAsia="SimSun"/>
      <w:sz w:val="22"/>
      <w:szCs w:val="22"/>
      <w:u w:val="single"/>
      <w:lang w:bidi="da-DK"/>
    </w:rPr>
  </w:style>
  <w:style w:type="table" w:styleId="Tabel-Gitter">
    <w:name w:val="Table Grid"/>
    <w:basedOn w:val="Tabel-Normal"/>
    <w:uiPriority w:val="59"/>
    <w:rsid w:val="00570AAF"/>
    <w:rPr>
      <w:rFonts w:ascii="Calibri" w:eastAsia="SimSun" w:hAnsi="Calibri"/>
      <w:lang w:bidi="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phasisUnderline">
    <w:name w:val="Emphasis Underline"/>
    <w:uiPriority w:val="1"/>
    <w:qFormat/>
    <w:rsid w:val="00570AAF"/>
    <w:rPr>
      <w:i/>
      <w:iCs/>
      <w:u w:val="single"/>
    </w:rPr>
  </w:style>
  <w:style w:type="paragraph" w:customStyle="1" w:styleId="EmphasisStrong">
    <w:name w:val="Emphasis Strong"/>
    <w:basedOn w:val="Normal"/>
    <w:link w:val="EmphasisStrongChar"/>
    <w:qFormat/>
    <w:rsid w:val="00570AAF"/>
    <w:pPr>
      <w:suppressAutoHyphens/>
    </w:pPr>
    <w:rPr>
      <w:rFonts w:eastAsia="SimSun"/>
      <w:b/>
      <w:i/>
      <w:sz w:val="22"/>
      <w:szCs w:val="22"/>
      <w:lang w:eastAsia="da-DK" w:bidi="da-DK"/>
    </w:rPr>
  </w:style>
  <w:style w:type="character" w:customStyle="1" w:styleId="EmphasisStrongChar">
    <w:name w:val="Emphasis Strong Char"/>
    <w:basedOn w:val="Standardskrifttypeiafsnit"/>
    <w:link w:val="EmphasisStrong"/>
    <w:rsid w:val="00570AAF"/>
    <w:rPr>
      <w:rFonts w:eastAsia="SimSun"/>
      <w:b/>
      <w:i/>
      <w:sz w:val="22"/>
      <w:szCs w:val="22"/>
      <w:lang w:bidi="da-DK"/>
    </w:rPr>
  </w:style>
  <w:style w:type="character" w:customStyle="1" w:styleId="Subscript">
    <w:name w:val="Subscript"/>
    <w:uiPriority w:val="1"/>
    <w:qFormat/>
    <w:rsid w:val="00570AAF"/>
    <w:rPr>
      <w:vertAlign w:val="subscript"/>
    </w:rPr>
  </w:style>
  <w:style w:type="character" w:customStyle="1" w:styleId="Superscript">
    <w:name w:val="Superscript"/>
    <w:uiPriority w:val="1"/>
    <w:qFormat/>
    <w:rsid w:val="00570AAF"/>
    <w:rPr>
      <w:vertAlign w:val="superscript"/>
    </w:rPr>
  </w:style>
  <w:style w:type="paragraph" w:customStyle="1" w:styleId="TableFootnote">
    <w:name w:val="Table Footnote"/>
    <w:basedOn w:val="Normal"/>
    <w:qFormat/>
    <w:rsid w:val="00570AAF"/>
    <w:pPr>
      <w:suppressAutoHyphens/>
      <w:ind w:left="288" w:hanging="288"/>
    </w:pPr>
    <w:rPr>
      <w:rFonts w:eastAsia="SimSun"/>
      <w:sz w:val="16"/>
      <w:szCs w:val="22"/>
      <w:lang w:eastAsia="da-DK" w:bidi="da-DK"/>
    </w:rPr>
  </w:style>
  <w:style w:type="character" w:styleId="Hyperlink">
    <w:name w:val="Hyperlink"/>
    <w:uiPriority w:val="99"/>
    <w:unhideWhenUsed/>
    <w:rsid w:val="00570AAF"/>
    <w:rPr>
      <w:color w:val="0000FF"/>
      <w:u w:val="single"/>
    </w:rPr>
  </w:style>
  <w:style w:type="paragraph" w:customStyle="1" w:styleId="HeadingStrong">
    <w:name w:val="Heading Strong"/>
    <w:basedOn w:val="Normal"/>
    <w:next w:val="Normal"/>
    <w:link w:val="HeadingStrongChar"/>
    <w:qFormat/>
    <w:rsid w:val="00570AAF"/>
    <w:pPr>
      <w:keepNext/>
      <w:keepLines/>
      <w:suppressAutoHyphens/>
    </w:pPr>
    <w:rPr>
      <w:rFonts w:eastAsia="SimSun"/>
      <w:b/>
      <w:bCs/>
      <w:sz w:val="22"/>
      <w:szCs w:val="22"/>
      <w:lang w:eastAsia="da-DK" w:bidi="da-DK"/>
    </w:rPr>
  </w:style>
  <w:style w:type="character" w:customStyle="1" w:styleId="HeadingStrongChar">
    <w:name w:val="Heading Strong Char"/>
    <w:link w:val="HeadingStrong"/>
    <w:locked/>
    <w:rsid w:val="00570AAF"/>
    <w:rPr>
      <w:rFonts w:eastAsia="SimSun"/>
      <w:b/>
      <w:bCs/>
      <w:sz w:val="22"/>
      <w:szCs w:val="22"/>
      <w:lang w:bidi="da-DK"/>
    </w:rPr>
  </w:style>
  <w:style w:type="character" w:styleId="Ulstomtale">
    <w:name w:val="Unresolved Mention"/>
    <w:basedOn w:val="Standardskrifttypeiafsnit"/>
    <w:uiPriority w:val="99"/>
    <w:semiHidden/>
    <w:unhideWhenUsed/>
    <w:rsid w:val="00761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129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2500</Words>
  <Characters>15923</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2021120684_x000d_
SPC pkt. 4.2, overskrifter iht. QRD.</dc:description>
  <cp:lastModifiedBy>Victoria Becker</cp:lastModifiedBy>
  <cp:revision>5</cp:revision>
  <cp:lastPrinted>2012-08-22T08:53:00Z</cp:lastPrinted>
  <dcterms:created xsi:type="dcterms:W3CDTF">2023-06-13T12:35:00Z</dcterms:created>
  <dcterms:modified xsi:type="dcterms:W3CDTF">2023-06-13T12:43:00Z</dcterms:modified>
</cp:coreProperties>
</file>