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AB13F" w14:textId="58AB9717" w:rsidR="009260DE" w:rsidRPr="00FF6291" w:rsidRDefault="0021526C" w:rsidP="00791D0E">
      <w:pPr>
        <w:rPr>
          <w:b/>
          <w:sz w:val="24"/>
          <w:szCs w:val="24"/>
        </w:rPr>
      </w:pPr>
      <w:bookmarkStart w:id="0" w:name="_GoBack"/>
      <w:bookmarkEnd w:id="0"/>
      <w:r w:rsidRPr="00FF6291">
        <w:rPr>
          <w:noProof/>
          <w:sz w:val="24"/>
          <w:szCs w:val="24"/>
          <w:lang w:eastAsia="da-DK"/>
        </w:rPr>
        <w:drawing>
          <wp:anchor distT="0" distB="0" distL="114300" distR="114300" simplePos="0" relativeHeight="251658240" behindDoc="0" locked="0" layoutInCell="1" allowOverlap="1" wp14:anchorId="4856965A" wp14:editId="3CD2E10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F6291">
        <w:rPr>
          <w:sz w:val="24"/>
          <w:szCs w:val="24"/>
        </w:rPr>
        <w:br w:type="textWrapping" w:clear="all"/>
      </w:r>
    </w:p>
    <w:p w14:paraId="01387E49" w14:textId="46A124DD" w:rsidR="00050111" w:rsidRPr="00050111" w:rsidRDefault="009260DE" w:rsidP="009260DE">
      <w:pPr>
        <w:pStyle w:val="Titel"/>
        <w:tabs>
          <w:tab w:val="right" w:pos="9356"/>
        </w:tabs>
        <w:jc w:val="left"/>
        <w:rPr>
          <w:szCs w:val="24"/>
        </w:rPr>
      </w:pPr>
      <w:r w:rsidRPr="00FF6291">
        <w:rPr>
          <w:b w:val="0"/>
          <w:szCs w:val="24"/>
          <w:lang w:eastAsia="en-US"/>
        </w:rPr>
        <w:tab/>
      </w:r>
      <w:r w:rsidR="00050111">
        <w:rPr>
          <w:szCs w:val="24"/>
        </w:rPr>
        <w:t>4. september 2025</w:t>
      </w:r>
    </w:p>
    <w:p w14:paraId="2A3B96C2" w14:textId="77777777" w:rsidR="009260DE" w:rsidRPr="00FF6291" w:rsidRDefault="009260DE" w:rsidP="009260DE">
      <w:pPr>
        <w:pStyle w:val="Titel"/>
        <w:tabs>
          <w:tab w:val="left" w:pos="8222"/>
        </w:tabs>
        <w:jc w:val="left"/>
        <w:rPr>
          <w:b w:val="0"/>
          <w:szCs w:val="24"/>
        </w:rPr>
      </w:pPr>
    </w:p>
    <w:p w14:paraId="4B1369A4" w14:textId="77777777" w:rsidR="009260DE" w:rsidRPr="00FF6291" w:rsidRDefault="009260DE" w:rsidP="009260DE">
      <w:pPr>
        <w:pStyle w:val="Titel"/>
        <w:jc w:val="left"/>
        <w:rPr>
          <w:b w:val="0"/>
          <w:szCs w:val="24"/>
        </w:rPr>
      </w:pPr>
    </w:p>
    <w:p w14:paraId="42C89843" w14:textId="77777777" w:rsidR="009260DE" w:rsidRPr="00FF6291" w:rsidRDefault="009260DE" w:rsidP="009260DE">
      <w:pPr>
        <w:pStyle w:val="Titel"/>
        <w:jc w:val="left"/>
        <w:rPr>
          <w:b w:val="0"/>
          <w:szCs w:val="24"/>
        </w:rPr>
      </w:pPr>
    </w:p>
    <w:p w14:paraId="24861A75" w14:textId="77777777" w:rsidR="009260DE" w:rsidRPr="00FF6291" w:rsidRDefault="009260DE" w:rsidP="009260DE">
      <w:pPr>
        <w:jc w:val="center"/>
        <w:rPr>
          <w:b/>
          <w:sz w:val="24"/>
          <w:szCs w:val="24"/>
        </w:rPr>
      </w:pPr>
      <w:r w:rsidRPr="00FF6291">
        <w:rPr>
          <w:b/>
          <w:sz w:val="24"/>
          <w:szCs w:val="24"/>
        </w:rPr>
        <w:t>PRODUKTRESUMÉ</w:t>
      </w:r>
    </w:p>
    <w:p w14:paraId="47B1C55B" w14:textId="77777777" w:rsidR="009260DE" w:rsidRPr="00FF6291" w:rsidRDefault="009260DE" w:rsidP="009260DE">
      <w:pPr>
        <w:jc w:val="center"/>
        <w:rPr>
          <w:b/>
          <w:sz w:val="24"/>
          <w:szCs w:val="24"/>
        </w:rPr>
      </w:pPr>
    </w:p>
    <w:p w14:paraId="09ED1F82" w14:textId="77777777" w:rsidR="009260DE" w:rsidRPr="00FF6291" w:rsidRDefault="009260DE" w:rsidP="009260DE">
      <w:pPr>
        <w:jc w:val="center"/>
        <w:rPr>
          <w:b/>
          <w:sz w:val="24"/>
          <w:szCs w:val="24"/>
        </w:rPr>
      </w:pPr>
      <w:r w:rsidRPr="00FF6291">
        <w:rPr>
          <w:b/>
          <w:sz w:val="24"/>
          <w:szCs w:val="24"/>
        </w:rPr>
        <w:t>for</w:t>
      </w:r>
    </w:p>
    <w:p w14:paraId="68DE83D5" w14:textId="77777777" w:rsidR="000B058C" w:rsidRPr="00FF6291" w:rsidRDefault="000B058C" w:rsidP="009260DE">
      <w:pPr>
        <w:jc w:val="center"/>
        <w:rPr>
          <w:b/>
          <w:sz w:val="24"/>
          <w:szCs w:val="24"/>
        </w:rPr>
      </w:pPr>
    </w:p>
    <w:p w14:paraId="3B7478C4" w14:textId="1438BE83" w:rsidR="009260DE" w:rsidRPr="00FF6291" w:rsidRDefault="00AC2961" w:rsidP="009260DE">
      <w:pPr>
        <w:jc w:val="center"/>
        <w:rPr>
          <w:b/>
          <w:sz w:val="24"/>
          <w:szCs w:val="24"/>
        </w:rPr>
      </w:pPr>
      <w:r w:rsidRPr="00FF6291">
        <w:rPr>
          <w:b/>
          <w:sz w:val="24"/>
          <w:szCs w:val="24"/>
        </w:rPr>
        <w:t>Maxivalen, infusionsvæske, emulsion</w:t>
      </w:r>
    </w:p>
    <w:p w14:paraId="7E49D0BD" w14:textId="77777777" w:rsidR="009260DE" w:rsidRPr="00FF6291" w:rsidRDefault="009260DE" w:rsidP="009260DE">
      <w:pPr>
        <w:jc w:val="both"/>
        <w:rPr>
          <w:sz w:val="24"/>
          <w:szCs w:val="24"/>
        </w:rPr>
      </w:pPr>
    </w:p>
    <w:p w14:paraId="70D9E52F" w14:textId="77777777" w:rsidR="009260DE" w:rsidRPr="00FF6291" w:rsidRDefault="009260DE" w:rsidP="009260DE">
      <w:pPr>
        <w:jc w:val="both"/>
        <w:rPr>
          <w:sz w:val="24"/>
          <w:szCs w:val="24"/>
        </w:rPr>
      </w:pPr>
    </w:p>
    <w:p w14:paraId="723A2618" w14:textId="77777777" w:rsidR="009260DE" w:rsidRPr="00FF6291" w:rsidRDefault="009260DE" w:rsidP="009260DE">
      <w:pPr>
        <w:tabs>
          <w:tab w:val="left" w:pos="851"/>
        </w:tabs>
        <w:ind w:left="851" w:hanging="851"/>
        <w:rPr>
          <w:b/>
          <w:sz w:val="24"/>
          <w:szCs w:val="24"/>
        </w:rPr>
      </w:pPr>
      <w:r w:rsidRPr="00FF6291">
        <w:rPr>
          <w:b/>
          <w:sz w:val="24"/>
          <w:szCs w:val="24"/>
        </w:rPr>
        <w:t>0.</w:t>
      </w:r>
      <w:r w:rsidRPr="00FF6291">
        <w:rPr>
          <w:b/>
          <w:sz w:val="24"/>
          <w:szCs w:val="24"/>
        </w:rPr>
        <w:tab/>
        <w:t>D.SP.NR.</w:t>
      </w:r>
    </w:p>
    <w:p w14:paraId="3BD467D2" w14:textId="059C7004" w:rsidR="009260DE" w:rsidRPr="00FF6291" w:rsidRDefault="00AC2961" w:rsidP="009260DE">
      <w:pPr>
        <w:tabs>
          <w:tab w:val="left" w:pos="851"/>
        </w:tabs>
        <w:ind w:left="851"/>
        <w:rPr>
          <w:sz w:val="24"/>
          <w:szCs w:val="24"/>
        </w:rPr>
      </w:pPr>
      <w:r w:rsidRPr="00FF6291">
        <w:rPr>
          <w:sz w:val="24"/>
          <w:szCs w:val="24"/>
        </w:rPr>
        <w:t>33856</w:t>
      </w:r>
    </w:p>
    <w:p w14:paraId="5E9FBBED" w14:textId="77777777" w:rsidR="009260DE" w:rsidRPr="00FF6291" w:rsidRDefault="009260DE" w:rsidP="009260DE">
      <w:pPr>
        <w:tabs>
          <w:tab w:val="left" w:pos="851"/>
        </w:tabs>
        <w:ind w:left="851"/>
        <w:rPr>
          <w:sz w:val="24"/>
          <w:szCs w:val="24"/>
        </w:rPr>
      </w:pPr>
    </w:p>
    <w:p w14:paraId="30F96EBB" w14:textId="77777777" w:rsidR="009260DE" w:rsidRPr="00FF6291" w:rsidRDefault="009260DE" w:rsidP="009260DE">
      <w:pPr>
        <w:tabs>
          <w:tab w:val="left" w:pos="851"/>
        </w:tabs>
        <w:ind w:left="851" w:hanging="851"/>
        <w:rPr>
          <w:b/>
          <w:sz w:val="24"/>
          <w:szCs w:val="24"/>
        </w:rPr>
      </w:pPr>
      <w:r w:rsidRPr="00FF6291">
        <w:rPr>
          <w:b/>
          <w:sz w:val="24"/>
          <w:szCs w:val="24"/>
        </w:rPr>
        <w:t>1.</w:t>
      </w:r>
      <w:r w:rsidRPr="00FF6291">
        <w:rPr>
          <w:b/>
          <w:sz w:val="24"/>
          <w:szCs w:val="24"/>
        </w:rPr>
        <w:tab/>
        <w:t>LÆGEMIDLETS NAVN</w:t>
      </w:r>
    </w:p>
    <w:p w14:paraId="6C19CA88" w14:textId="0543D067" w:rsidR="009260DE" w:rsidRPr="00FF6291" w:rsidRDefault="00AC2961" w:rsidP="009260DE">
      <w:pPr>
        <w:tabs>
          <w:tab w:val="left" w:pos="851"/>
        </w:tabs>
        <w:ind w:left="851"/>
        <w:rPr>
          <w:sz w:val="24"/>
          <w:szCs w:val="24"/>
        </w:rPr>
      </w:pPr>
      <w:r w:rsidRPr="00FF6291">
        <w:rPr>
          <w:sz w:val="24"/>
          <w:szCs w:val="24"/>
        </w:rPr>
        <w:t>Maxivalen</w:t>
      </w:r>
    </w:p>
    <w:p w14:paraId="347BB200" w14:textId="77777777" w:rsidR="009260DE" w:rsidRPr="00FF6291" w:rsidRDefault="009260DE" w:rsidP="009260DE">
      <w:pPr>
        <w:tabs>
          <w:tab w:val="left" w:pos="851"/>
        </w:tabs>
        <w:ind w:left="851"/>
        <w:rPr>
          <w:sz w:val="24"/>
          <w:szCs w:val="24"/>
        </w:rPr>
      </w:pPr>
    </w:p>
    <w:p w14:paraId="086887BD" w14:textId="77777777" w:rsidR="009260DE" w:rsidRPr="00FF6291" w:rsidRDefault="009260DE" w:rsidP="009260DE">
      <w:pPr>
        <w:tabs>
          <w:tab w:val="left" w:pos="851"/>
        </w:tabs>
        <w:ind w:left="851" w:hanging="851"/>
        <w:rPr>
          <w:b/>
          <w:sz w:val="24"/>
          <w:szCs w:val="24"/>
        </w:rPr>
      </w:pPr>
      <w:r w:rsidRPr="00FF6291">
        <w:rPr>
          <w:b/>
          <w:sz w:val="24"/>
          <w:szCs w:val="24"/>
        </w:rPr>
        <w:t>2.</w:t>
      </w:r>
      <w:r w:rsidRPr="00FF6291">
        <w:rPr>
          <w:b/>
          <w:sz w:val="24"/>
          <w:szCs w:val="24"/>
        </w:rPr>
        <w:tab/>
        <w:t>KVALITATIV OG KVANTITATIV SAMMENSÆTNING</w:t>
      </w:r>
    </w:p>
    <w:p w14:paraId="03477EAB" w14:textId="77777777" w:rsidR="0096570A" w:rsidRPr="00FF6291" w:rsidRDefault="0096570A" w:rsidP="00791D0E">
      <w:pPr>
        <w:ind w:left="851"/>
        <w:rPr>
          <w:iCs/>
          <w:sz w:val="24"/>
          <w:szCs w:val="24"/>
        </w:rPr>
      </w:pPr>
      <w:r w:rsidRPr="00FF6291">
        <w:rPr>
          <w:sz w:val="24"/>
          <w:szCs w:val="24"/>
          <w:lang w:bidi="da-DK"/>
        </w:rPr>
        <w:t>Maxivalen indeholder:</w:t>
      </w:r>
    </w:p>
    <w:tbl>
      <w:tblPr>
        <w:tblStyle w:val="Tabel-Gitter"/>
        <w:tblW w:w="3709" w:type="pct"/>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2491"/>
      </w:tblGrid>
      <w:tr w:rsidR="0096570A" w:rsidRPr="00FF6291" w14:paraId="2AEFD734" w14:textId="77777777" w:rsidTr="00791D0E">
        <w:trPr>
          <w:trHeight w:val="287"/>
        </w:trPr>
        <w:tc>
          <w:tcPr>
            <w:tcW w:w="3258" w:type="pct"/>
          </w:tcPr>
          <w:p w14:paraId="68D3267B" w14:textId="77777777" w:rsidR="0096570A" w:rsidRPr="00FF6291" w:rsidRDefault="0096570A">
            <w:pPr>
              <w:rPr>
                <w:noProof/>
                <w:sz w:val="24"/>
                <w:szCs w:val="24"/>
                <w:lang w:eastAsia="en-GB"/>
              </w:rPr>
            </w:pPr>
            <w:bookmarkStart w:id="1" w:name="_Hlk190871671"/>
          </w:p>
        </w:tc>
        <w:tc>
          <w:tcPr>
            <w:tcW w:w="1742" w:type="pct"/>
            <w:hideMark/>
          </w:tcPr>
          <w:p w14:paraId="07783E04" w14:textId="51D8028D" w:rsidR="0096570A" w:rsidRPr="00FF6291" w:rsidRDefault="0096570A">
            <w:pPr>
              <w:jc w:val="center"/>
              <w:rPr>
                <w:noProof/>
                <w:sz w:val="24"/>
                <w:szCs w:val="24"/>
              </w:rPr>
            </w:pPr>
            <w:r w:rsidRPr="00FF6291">
              <w:rPr>
                <w:noProof/>
                <w:sz w:val="24"/>
                <w:szCs w:val="24"/>
                <w:lang w:bidi="da-DK"/>
              </w:rPr>
              <w:t>Indhold pr.</w:t>
            </w:r>
            <w:r w:rsidR="005840B0">
              <w:rPr>
                <w:noProof/>
                <w:sz w:val="24"/>
                <w:szCs w:val="24"/>
                <w:lang w:bidi="da-DK"/>
              </w:rPr>
              <w:t xml:space="preserve"> </w:t>
            </w:r>
            <w:r w:rsidRPr="00FF6291">
              <w:rPr>
                <w:noProof/>
                <w:sz w:val="24"/>
                <w:szCs w:val="24"/>
                <w:lang w:bidi="da-DK"/>
              </w:rPr>
              <w:t>1000 ml</w:t>
            </w:r>
          </w:p>
        </w:tc>
      </w:tr>
      <w:tr w:rsidR="0096570A" w:rsidRPr="00FF6291" w14:paraId="47CE25CE" w14:textId="77777777" w:rsidTr="00791D0E">
        <w:trPr>
          <w:trHeight w:val="287"/>
        </w:trPr>
        <w:tc>
          <w:tcPr>
            <w:tcW w:w="3258" w:type="pct"/>
            <w:hideMark/>
          </w:tcPr>
          <w:p w14:paraId="4E1F9EC3" w14:textId="77777777" w:rsidR="0096570A" w:rsidRPr="00FF6291" w:rsidRDefault="0096570A">
            <w:pPr>
              <w:rPr>
                <w:noProof/>
                <w:sz w:val="24"/>
                <w:szCs w:val="24"/>
                <w:lang w:eastAsia="en-GB"/>
              </w:rPr>
            </w:pPr>
            <w:r w:rsidRPr="00FF6291">
              <w:rPr>
                <w:noProof/>
                <w:sz w:val="24"/>
                <w:szCs w:val="24"/>
                <w:lang w:bidi="da-DK"/>
              </w:rPr>
              <w:t>Sojaolie, renset</w:t>
            </w:r>
          </w:p>
        </w:tc>
        <w:tc>
          <w:tcPr>
            <w:tcW w:w="1742" w:type="pct"/>
            <w:hideMark/>
          </w:tcPr>
          <w:p w14:paraId="2E1A7383" w14:textId="77777777" w:rsidR="0096570A" w:rsidRPr="00FF6291" w:rsidRDefault="0096570A">
            <w:pPr>
              <w:jc w:val="center"/>
              <w:rPr>
                <w:noProof/>
                <w:sz w:val="24"/>
                <w:szCs w:val="24"/>
              </w:rPr>
            </w:pPr>
            <w:r w:rsidRPr="00FF6291">
              <w:rPr>
                <w:noProof/>
                <w:sz w:val="24"/>
                <w:szCs w:val="24"/>
                <w:lang w:bidi="da-DK"/>
              </w:rPr>
              <w:t>60 g</w:t>
            </w:r>
          </w:p>
        </w:tc>
      </w:tr>
      <w:tr w:rsidR="0096570A" w:rsidRPr="00FF6291" w14:paraId="5DE4CA4A" w14:textId="77777777" w:rsidTr="00791D0E">
        <w:trPr>
          <w:trHeight w:val="287"/>
        </w:trPr>
        <w:tc>
          <w:tcPr>
            <w:tcW w:w="3258" w:type="pct"/>
            <w:hideMark/>
          </w:tcPr>
          <w:p w14:paraId="4A8D3909" w14:textId="77777777" w:rsidR="0096570A" w:rsidRPr="00FF6291" w:rsidRDefault="0096570A">
            <w:pPr>
              <w:rPr>
                <w:noProof/>
                <w:sz w:val="24"/>
                <w:szCs w:val="24"/>
                <w:lang w:eastAsia="en-GB"/>
              </w:rPr>
            </w:pPr>
            <w:r w:rsidRPr="00FF6291">
              <w:rPr>
                <w:noProof/>
                <w:sz w:val="24"/>
                <w:szCs w:val="24"/>
                <w:lang w:bidi="da-DK"/>
              </w:rPr>
              <w:t>Mellemkædelængde triglycerider</w:t>
            </w:r>
          </w:p>
        </w:tc>
        <w:tc>
          <w:tcPr>
            <w:tcW w:w="1742" w:type="pct"/>
            <w:hideMark/>
          </w:tcPr>
          <w:p w14:paraId="26D1E902" w14:textId="77777777" w:rsidR="0096570A" w:rsidRPr="00FF6291" w:rsidRDefault="0096570A">
            <w:pPr>
              <w:jc w:val="center"/>
              <w:rPr>
                <w:noProof/>
                <w:sz w:val="24"/>
                <w:szCs w:val="24"/>
              </w:rPr>
            </w:pPr>
            <w:r w:rsidRPr="00FF6291">
              <w:rPr>
                <w:noProof/>
                <w:sz w:val="24"/>
                <w:szCs w:val="24"/>
                <w:lang w:bidi="da-DK"/>
              </w:rPr>
              <w:t>60 g</w:t>
            </w:r>
          </w:p>
        </w:tc>
      </w:tr>
      <w:tr w:rsidR="0096570A" w:rsidRPr="00FF6291" w14:paraId="472029FC" w14:textId="77777777" w:rsidTr="00791D0E">
        <w:trPr>
          <w:trHeight w:val="287"/>
        </w:trPr>
        <w:tc>
          <w:tcPr>
            <w:tcW w:w="3258" w:type="pct"/>
            <w:hideMark/>
          </w:tcPr>
          <w:p w14:paraId="2D316D8C" w14:textId="77777777" w:rsidR="0096570A" w:rsidRPr="00FF6291" w:rsidRDefault="0096570A">
            <w:pPr>
              <w:rPr>
                <w:noProof/>
                <w:sz w:val="24"/>
                <w:szCs w:val="24"/>
                <w:lang w:eastAsia="en-GB"/>
              </w:rPr>
            </w:pPr>
            <w:r w:rsidRPr="00FF6291">
              <w:rPr>
                <w:noProof/>
                <w:sz w:val="24"/>
                <w:szCs w:val="24"/>
                <w:lang w:bidi="da-DK"/>
              </w:rPr>
              <w:t>Olivenolie, renset</w:t>
            </w:r>
          </w:p>
        </w:tc>
        <w:tc>
          <w:tcPr>
            <w:tcW w:w="1742" w:type="pct"/>
            <w:hideMark/>
          </w:tcPr>
          <w:p w14:paraId="5C446694" w14:textId="77777777" w:rsidR="0096570A" w:rsidRPr="00FF6291" w:rsidRDefault="0096570A">
            <w:pPr>
              <w:jc w:val="center"/>
              <w:rPr>
                <w:noProof/>
                <w:sz w:val="24"/>
                <w:szCs w:val="24"/>
              </w:rPr>
            </w:pPr>
            <w:r w:rsidRPr="00FF6291">
              <w:rPr>
                <w:noProof/>
                <w:sz w:val="24"/>
                <w:szCs w:val="24"/>
                <w:lang w:bidi="da-DK"/>
              </w:rPr>
              <w:t>50 g</w:t>
            </w:r>
          </w:p>
        </w:tc>
      </w:tr>
      <w:tr w:rsidR="0096570A" w:rsidRPr="00FF6291" w14:paraId="5E84F6C7" w14:textId="77777777" w:rsidTr="00791D0E">
        <w:trPr>
          <w:trHeight w:val="287"/>
        </w:trPr>
        <w:tc>
          <w:tcPr>
            <w:tcW w:w="3258" w:type="pct"/>
            <w:hideMark/>
          </w:tcPr>
          <w:p w14:paraId="37F789CE" w14:textId="77777777" w:rsidR="0096570A" w:rsidRPr="00FF6291" w:rsidRDefault="0096570A">
            <w:pPr>
              <w:rPr>
                <w:noProof/>
                <w:sz w:val="24"/>
                <w:szCs w:val="24"/>
                <w:lang w:val="da-DK" w:eastAsia="en-GB"/>
              </w:rPr>
            </w:pPr>
            <w:r w:rsidRPr="00FF6291">
              <w:rPr>
                <w:noProof/>
                <w:sz w:val="24"/>
                <w:szCs w:val="24"/>
                <w:lang w:val="da-DK" w:bidi="da-DK"/>
              </w:rPr>
              <w:t>Fiskeolie, rig på omega-3-syrer</w:t>
            </w:r>
          </w:p>
        </w:tc>
        <w:tc>
          <w:tcPr>
            <w:tcW w:w="1742" w:type="pct"/>
            <w:hideMark/>
          </w:tcPr>
          <w:p w14:paraId="2E6E74D6" w14:textId="77777777" w:rsidR="0096570A" w:rsidRPr="00FF6291" w:rsidRDefault="0096570A">
            <w:pPr>
              <w:jc w:val="center"/>
              <w:rPr>
                <w:noProof/>
                <w:sz w:val="24"/>
                <w:szCs w:val="24"/>
              </w:rPr>
            </w:pPr>
            <w:r w:rsidRPr="00FF6291">
              <w:rPr>
                <w:noProof/>
                <w:sz w:val="24"/>
                <w:szCs w:val="24"/>
                <w:lang w:bidi="da-DK"/>
              </w:rPr>
              <w:t>30 g</w:t>
            </w:r>
          </w:p>
        </w:tc>
      </w:tr>
      <w:tr w:rsidR="0096570A" w:rsidRPr="00FF6291" w14:paraId="33163E65" w14:textId="77777777" w:rsidTr="00791D0E">
        <w:trPr>
          <w:trHeight w:val="287"/>
        </w:trPr>
        <w:tc>
          <w:tcPr>
            <w:tcW w:w="3258" w:type="pct"/>
            <w:hideMark/>
          </w:tcPr>
          <w:p w14:paraId="2DFC239C" w14:textId="77777777" w:rsidR="0096570A" w:rsidRPr="00FF6291" w:rsidRDefault="0096570A">
            <w:pPr>
              <w:rPr>
                <w:noProof/>
                <w:sz w:val="24"/>
                <w:szCs w:val="24"/>
                <w:lang w:eastAsia="en-GB"/>
              </w:rPr>
            </w:pPr>
            <w:r w:rsidRPr="00FF6291">
              <w:rPr>
                <w:noProof/>
                <w:sz w:val="24"/>
                <w:szCs w:val="24"/>
                <w:lang w:bidi="da-DK"/>
              </w:rPr>
              <w:t xml:space="preserve">Energi: </w:t>
            </w:r>
          </w:p>
        </w:tc>
        <w:tc>
          <w:tcPr>
            <w:tcW w:w="1742" w:type="pct"/>
            <w:hideMark/>
          </w:tcPr>
          <w:p w14:paraId="3CEEE00E" w14:textId="77777777" w:rsidR="0096570A" w:rsidRPr="00FF6291" w:rsidRDefault="0096570A">
            <w:pPr>
              <w:jc w:val="center"/>
              <w:rPr>
                <w:noProof/>
                <w:sz w:val="24"/>
                <w:szCs w:val="24"/>
                <w:lang w:val="en-US"/>
              </w:rPr>
            </w:pPr>
            <w:r w:rsidRPr="00FF6291">
              <w:rPr>
                <w:noProof/>
                <w:sz w:val="24"/>
                <w:szCs w:val="24"/>
                <w:lang w:bidi="da-DK"/>
              </w:rPr>
              <w:t>2000 kcal</w:t>
            </w:r>
          </w:p>
        </w:tc>
      </w:tr>
      <w:bookmarkEnd w:id="1"/>
    </w:tbl>
    <w:p w14:paraId="660A4BEA" w14:textId="77777777" w:rsidR="0096570A" w:rsidRPr="00FF6291" w:rsidRDefault="0096570A" w:rsidP="00791D0E">
      <w:pPr>
        <w:ind w:left="851"/>
        <w:rPr>
          <w:sz w:val="24"/>
          <w:szCs w:val="24"/>
        </w:rPr>
      </w:pPr>
    </w:p>
    <w:p w14:paraId="340F2ABF" w14:textId="77777777" w:rsidR="0096570A" w:rsidRPr="00FF6291" w:rsidRDefault="0096570A" w:rsidP="00791D0E">
      <w:pPr>
        <w:ind w:left="851"/>
        <w:rPr>
          <w:sz w:val="24"/>
          <w:szCs w:val="24"/>
          <w:u w:val="single"/>
        </w:rPr>
      </w:pPr>
      <w:r w:rsidRPr="00FF6291">
        <w:rPr>
          <w:sz w:val="24"/>
          <w:szCs w:val="24"/>
          <w:u w:val="single"/>
          <w:lang w:bidi="da-DK"/>
        </w:rPr>
        <w:t>Hjælpestoffer med kendt effekt:</w:t>
      </w:r>
    </w:p>
    <w:p w14:paraId="44E7B9F4" w14:textId="77777777" w:rsidR="0096570A" w:rsidRPr="00FF6291" w:rsidRDefault="0096570A" w:rsidP="00791D0E">
      <w:pPr>
        <w:ind w:left="851"/>
        <w:rPr>
          <w:sz w:val="24"/>
          <w:szCs w:val="24"/>
        </w:rPr>
      </w:pPr>
      <w:r w:rsidRPr="00FF6291">
        <w:rPr>
          <w:sz w:val="24"/>
          <w:szCs w:val="24"/>
          <w:lang w:bidi="da-DK"/>
        </w:rPr>
        <w:t>1000 ml Maxivalen indeholder 2,2 mmol (eller 50,2 mg) natrium.</w:t>
      </w:r>
    </w:p>
    <w:p w14:paraId="08D593F2" w14:textId="77777777" w:rsidR="0096570A" w:rsidRPr="00FF6291" w:rsidRDefault="0096570A" w:rsidP="00791D0E">
      <w:pPr>
        <w:ind w:left="851"/>
        <w:rPr>
          <w:sz w:val="24"/>
          <w:szCs w:val="24"/>
        </w:rPr>
      </w:pPr>
    </w:p>
    <w:p w14:paraId="04995747" w14:textId="66E6CC10" w:rsidR="0096570A" w:rsidRPr="00FF6291" w:rsidRDefault="0096570A" w:rsidP="00791D0E">
      <w:pPr>
        <w:ind w:left="851"/>
        <w:rPr>
          <w:sz w:val="24"/>
          <w:szCs w:val="24"/>
          <w:lang w:val="nb-NO"/>
        </w:rPr>
      </w:pPr>
      <w:r w:rsidRPr="00FF6291">
        <w:rPr>
          <w:sz w:val="24"/>
          <w:szCs w:val="24"/>
          <w:lang w:bidi="da-DK"/>
        </w:rPr>
        <w:t>Alle hjælpestoffer er anført under pkt.</w:t>
      </w:r>
      <w:r w:rsidR="005840B0">
        <w:rPr>
          <w:sz w:val="24"/>
          <w:szCs w:val="24"/>
          <w:lang w:bidi="da-DK"/>
        </w:rPr>
        <w:t xml:space="preserve"> </w:t>
      </w:r>
      <w:r w:rsidRPr="00FF6291">
        <w:rPr>
          <w:sz w:val="24"/>
          <w:szCs w:val="24"/>
          <w:lang w:bidi="da-DK"/>
        </w:rPr>
        <w:t>6.1.</w:t>
      </w:r>
    </w:p>
    <w:p w14:paraId="0FF04E00" w14:textId="77777777" w:rsidR="009260DE" w:rsidRPr="00FF6291" w:rsidRDefault="009260DE" w:rsidP="009260DE">
      <w:pPr>
        <w:tabs>
          <w:tab w:val="left" w:pos="851"/>
        </w:tabs>
        <w:ind w:left="851"/>
        <w:rPr>
          <w:sz w:val="24"/>
          <w:szCs w:val="24"/>
        </w:rPr>
      </w:pPr>
    </w:p>
    <w:p w14:paraId="10ED1159" w14:textId="77777777" w:rsidR="009260DE" w:rsidRPr="00FF6291" w:rsidRDefault="009260DE" w:rsidP="009260DE">
      <w:pPr>
        <w:tabs>
          <w:tab w:val="left" w:pos="851"/>
        </w:tabs>
        <w:ind w:left="851" w:hanging="851"/>
        <w:rPr>
          <w:b/>
          <w:sz w:val="24"/>
          <w:szCs w:val="24"/>
        </w:rPr>
      </w:pPr>
      <w:r w:rsidRPr="00FF6291">
        <w:rPr>
          <w:b/>
          <w:sz w:val="24"/>
          <w:szCs w:val="24"/>
        </w:rPr>
        <w:t>3.</w:t>
      </w:r>
      <w:r w:rsidRPr="00FF6291">
        <w:rPr>
          <w:b/>
          <w:sz w:val="24"/>
          <w:szCs w:val="24"/>
        </w:rPr>
        <w:tab/>
        <w:t>LÆGEMIDDELFORM</w:t>
      </w:r>
    </w:p>
    <w:p w14:paraId="5252CA4F" w14:textId="251758AD" w:rsidR="0096570A" w:rsidRPr="00FF6291" w:rsidRDefault="0096570A" w:rsidP="00791D0E">
      <w:pPr>
        <w:ind w:left="851"/>
        <w:rPr>
          <w:sz w:val="24"/>
          <w:szCs w:val="24"/>
        </w:rPr>
      </w:pPr>
      <w:r w:rsidRPr="00FF6291">
        <w:rPr>
          <w:sz w:val="24"/>
          <w:szCs w:val="24"/>
        </w:rPr>
        <w:t>Infusionsvæske, emulsion</w:t>
      </w:r>
    </w:p>
    <w:p w14:paraId="4D281C81" w14:textId="4ACF4D3B" w:rsidR="0096570A" w:rsidRPr="00FF6291" w:rsidRDefault="0096570A" w:rsidP="00791D0E">
      <w:pPr>
        <w:ind w:left="851"/>
        <w:rPr>
          <w:sz w:val="24"/>
          <w:szCs w:val="24"/>
        </w:rPr>
      </w:pPr>
      <w:r w:rsidRPr="00FF6291">
        <w:rPr>
          <w:sz w:val="24"/>
          <w:szCs w:val="24"/>
        </w:rPr>
        <w:t>Hvid, homogen emulsion.</w:t>
      </w:r>
    </w:p>
    <w:p w14:paraId="16DA589B" w14:textId="77777777" w:rsidR="0096570A" w:rsidRPr="00FF6291" w:rsidRDefault="0096570A" w:rsidP="00791D0E">
      <w:pPr>
        <w:ind w:left="851"/>
        <w:rPr>
          <w:sz w:val="24"/>
          <w:szCs w:val="24"/>
        </w:rPr>
      </w:pPr>
    </w:p>
    <w:p w14:paraId="518600AF" w14:textId="77777777" w:rsidR="0096570A" w:rsidRPr="00FF6291" w:rsidRDefault="0096570A" w:rsidP="00791D0E">
      <w:pPr>
        <w:ind w:left="851"/>
        <w:rPr>
          <w:sz w:val="24"/>
          <w:szCs w:val="24"/>
        </w:rPr>
      </w:pPr>
      <w:r w:rsidRPr="00FF6291">
        <w:rPr>
          <w:sz w:val="24"/>
          <w:szCs w:val="24"/>
        </w:rPr>
        <w:t>pH-værdi: 6,5-9,0</w:t>
      </w:r>
    </w:p>
    <w:p w14:paraId="1CD51344" w14:textId="77777777" w:rsidR="0096570A" w:rsidRPr="00FF6291" w:rsidRDefault="0096570A" w:rsidP="00791D0E">
      <w:pPr>
        <w:ind w:left="851"/>
        <w:rPr>
          <w:sz w:val="24"/>
          <w:szCs w:val="24"/>
        </w:rPr>
      </w:pPr>
      <w:proofErr w:type="spellStart"/>
      <w:r w:rsidRPr="00FF6291">
        <w:rPr>
          <w:sz w:val="24"/>
          <w:szCs w:val="24"/>
        </w:rPr>
        <w:t>Osmolalitet</w:t>
      </w:r>
      <w:proofErr w:type="spellEnd"/>
      <w:r w:rsidRPr="00FF6291">
        <w:rPr>
          <w:sz w:val="24"/>
          <w:szCs w:val="24"/>
        </w:rPr>
        <w:t xml:space="preserve">: 360-480 </w:t>
      </w:r>
      <w:proofErr w:type="spellStart"/>
      <w:r w:rsidRPr="00FF6291">
        <w:rPr>
          <w:sz w:val="24"/>
          <w:szCs w:val="24"/>
        </w:rPr>
        <w:t>mosm</w:t>
      </w:r>
      <w:proofErr w:type="spellEnd"/>
      <w:r w:rsidRPr="00FF6291">
        <w:rPr>
          <w:sz w:val="24"/>
          <w:szCs w:val="24"/>
        </w:rPr>
        <w:t>/kg</w:t>
      </w:r>
    </w:p>
    <w:p w14:paraId="4ED77E2F" w14:textId="77777777" w:rsidR="009260DE" w:rsidRPr="00FF6291" w:rsidRDefault="009260DE" w:rsidP="009260DE">
      <w:pPr>
        <w:tabs>
          <w:tab w:val="left" w:pos="851"/>
        </w:tabs>
        <w:ind w:left="851"/>
        <w:rPr>
          <w:sz w:val="24"/>
          <w:szCs w:val="24"/>
        </w:rPr>
      </w:pPr>
    </w:p>
    <w:p w14:paraId="3C10A06D" w14:textId="77777777" w:rsidR="009260DE" w:rsidRPr="00FF6291" w:rsidRDefault="009260DE" w:rsidP="009260DE">
      <w:pPr>
        <w:tabs>
          <w:tab w:val="left" w:pos="851"/>
        </w:tabs>
        <w:ind w:left="851"/>
        <w:rPr>
          <w:sz w:val="24"/>
          <w:szCs w:val="24"/>
        </w:rPr>
      </w:pPr>
    </w:p>
    <w:p w14:paraId="64E736C9" w14:textId="77777777" w:rsidR="009260DE" w:rsidRPr="00FF6291" w:rsidRDefault="009260DE" w:rsidP="009260DE">
      <w:pPr>
        <w:tabs>
          <w:tab w:val="left" w:pos="851"/>
        </w:tabs>
        <w:ind w:left="851" w:hanging="851"/>
        <w:rPr>
          <w:b/>
          <w:sz w:val="24"/>
          <w:szCs w:val="24"/>
        </w:rPr>
      </w:pPr>
      <w:r w:rsidRPr="00FF6291">
        <w:rPr>
          <w:b/>
          <w:sz w:val="24"/>
          <w:szCs w:val="24"/>
        </w:rPr>
        <w:t>4.</w:t>
      </w:r>
      <w:r w:rsidRPr="00FF6291">
        <w:rPr>
          <w:b/>
          <w:sz w:val="24"/>
          <w:szCs w:val="24"/>
        </w:rPr>
        <w:tab/>
        <w:t>KLINISKE OPLYSNINGER</w:t>
      </w:r>
    </w:p>
    <w:p w14:paraId="152D97E9" w14:textId="77777777" w:rsidR="009260DE" w:rsidRPr="00FF6291" w:rsidRDefault="009260DE" w:rsidP="009260DE">
      <w:pPr>
        <w:tabs>
          <w:tab w:val="left" w:pos="851"/>
        </w:tabs>
        <w:ind w:left="851"/>
        <w:rPr>
          <w:b/>
          <w:sz w:val="24"/>
          <w:szCs w:val="24"/>
        </w:rPr>
      </w:pPr>
    </w:p>
    <w:p w14:paraId="112985C9" w14:textId="77777777" w:rsidR="009260DE" w:rsidRPr="00FF6291" w:rsidRDefault="009260DE" w:rsidP="009260DE">
      <w:pPr>
        <w:tabs>
          <w:tab w:val="left" w:pos="851"/>
        </w:tabs>
        <w:ind w:left="851" w:hanging="851"/>
        <w:rPr>
          <w:b/>
          <w:sz w:val="24"/>
          <w:szCs w:val="24"/>
          <w:u w:val="single"/>
        </w:rPr>
      </w:pPr>
      <w:r w:rsidRPr="00FF6291">
        <w:rPr>
          <w:b/>
          <w:sz w:val="24"/>
          <w:szCs w:val="24"/>
        </w:rPr>
        <w:t>4.1</w:t>
      </w:r>
      <w:r w:rsidRPr="00FF6291">
        <w:rPr>
          <w:b/>
          <w:sz w:val="24"/>
          <w:szCs w:val="24"/>
        </w:rPr>
        <w:tab/>
        <w:t>Terapeutiske indikationer</w:t>
      </w:r>
    </w:p>
    <w:p w14:paraId="17E1C1AA" w14:textId="77777777" w:rsidR="0096570A" w:rsidRPr="00FF6291" w:rsidRDefault="0096570A" w:rsidP="00791D0E">
      <w:pPr>
        <w:ind w:left="851"/>
        <w:rPr>
          <w:iCs/>
          <w:sz w:val="24"/>
          <w:szCs w:val="24"/>
          <w:lang w:val="nb-NO"/>
        </w:rPr>
      </w:pPr>
      <w:r w:rsidRPr="00FF6291">
        <w:rPr>
          <w:sz w:val="24"/>
          <w:szCs w:val="24"/>
          <w:lang w:bidi="da-DK"/>
        </w:rPr>
        <w:t xml:space="preserve">Tilførsel af energi og essentielle fedtsyrer, herunder omega-3-fedtsyrer, til patienter som led i et parenteralt ernæringsregime, hvor oral eller </w:t>
      </w:r>
      <w:proofErr w:type="spellStart"/>
      <w:r w:rsidRPr="00FF6291">
        <w:rPr>
          <w:sz w:val="24"/>
          <w:szCs w:val="24"/>
          <w:lang w:bidi="da-DK"/>
        </w:rPr>
        <w:t>enteral</w:t>
      </w:r>
      <w:proofErr w:type="spellEnd"/>
      <w:r w:rsidRPr="00FF6291">
        <w:rPr>
          <w:sz w:val="24"/>
          <w:szCs w:val="24"/>
          <w:lang w:bidi="da-DK"/>
        </w:rPr>
        <w:t xml:space="preserve"> ernæring ikke er mulig, er utilstrækkelig eller er kontraindiceret.</w:t>
      </w:r>
    </w:p>
    <w:p w14:paraId="336D70BD" w14:textId="77777777" w:rsidR="009260DE" w:rsidRPr="00FF6291" w:rsidRDefault="009260DE" w:rsidP="009260DE">
      <w:pPr>
        <w:tabs>
          <w:tab w:val="left" w:pos="851"/>
        </w:tabs>
        <w:ind w:left="851"/>
        <w:rPr>
          <w:sz w:val="24"/>
          <w:szCs w:val="24"/>
        </w:rPr>
      </w:pPr>
    </w:p>
    <w:p w14:paraId="088AC37A" w14:textId="77777777" w:rsidR="009260DE" w:rsidRPr="00FF6291" w:rsidRDefault="009260DE" w:rsidP="009260DE">
      <w:pPr>
        <w:tabs>
          <w:tab w:val="left" w:pos="851"/>
        </w:tabs>
        <w:ind w:left="851" w:hanging="851"/>
        <w:rPr>
          <w:b/>
          <w:sz w:val="24"/>
          <w:szCs w:val="24"/>
        </w:rPr>
      </w:pPr>
      <w:r w:rsidRPr="00FF6291">
        <w:rPr>
          <w:b/>
          <w:sz w:val="24"/>
          <w:szCs w:val="24"/>
        </w:rPr>
        <w:lastRenderedPageBreak/>
        <w:t>4.2</w:t>
      </w:r>
      <w:r w:rsidRPr="00FF6291">
        <w:rPr>
          <w:b/>
          <w:sz w:val="24"/>
          <w:szCs w:val="24"/>
        </w:rPr>
        <w:tab/>
        <w:t xml:space="preserve">Dosering og </w:t>
      </w:r>
      <w:r w:rsidR="002C1EC0" w:rsidRPr="00FF6291">
        <w:rPr>
          <w:b/>
          <w:sz w:val="24"/>
          <w:szCs w:val="24"/>
        </w:rPr>
        <w:t>administration</w:t>
      </w:r>
    </w:p>
    <w:p w14:paraId="3C439F3D" w14:textId="77777777" w:rsidR="00FF6291" w:rsidRDefault="00FF6291" w:rsidP="00791D0E">
      <w:pPr>
        <w:ind w:left="851"/>
        <w:rPr>
          <w:sz w:val="24"/>
          <w:szCs w:val="24"/>
          <w:lang w:bidi="da-DK"/>
        </w:rPr>
      </w:pPr>
    </w:p>
    <w:p w14:paraId="08945E3D" w14:textId="0BB1BA45" w:rsidR="0096570A" w:rsidRPr="00FF6291" w:rsidRDefault="0096570A" w:rsidP="00791D0E">
      <w:pPr>
        <w:ind w:left="851"/>
        <w:rPr>
          <w:iCs/>
          <w:sz w:val="24"/>
          <w:szCs w:val="24"/>
          <w:u w:val="single"/>
        </w:rPr>
      </w:pPr>
      <w:r w:rsidRPr="00FF6291">
        <w:rPr>
          <w:sz w:val="24"/>
          <w:szCs w:val="24"/>
          <w:u w:val="single"/>
          <w:lang w:bidi="da-DK"/>
        </w:rPr>
        <w:t>Dosering</w:t>
      </w:r>
    </w:p>
    <w:p w14:paraId="3EF0117E" w14:textId="77777777" w:rsidR="0096570A" w:rsidRPr="00FF6291" w:rsidRDefault="0096570A" w:rsidP="00791D0E">
      <w:pPr>
        <w:ind w:left="851"/>
        <w:rPr>
          <w:iCs/>
          <w:sz w:val="24"/>
          <w:szCs w:val="24"/>
        </w:rPr>
      </w:pPr>
    </w:p>
    <w:p w14:paraId="1ADBE59E" w14:textId="0940CD84" w:rsidR="0096570A" w:rsidRPr="00FF6291" w:rsidRDefault="0096570A" w:rsidP="00791D0E">
      <w:pPr>
        <w:ind w:left="851"/>
        <w:rPr>
          <w:iCs/>
          <w:sz w:val="24"/>
          <w:szCs w:val="24"/>
          <w:lang w:val="nb-NO"/>
        </w:rPr>
      </w:pPr>
      <w:r w:rsidRPr="00FF6291">
        <w:rPr>
          <w:sz w:val="24"/>
          <w:szCs w:val="24"/>
          <w:lang w:bidi="da-DK"/>
        </w:rPr>
        <w:t>Dosis og infusionshastighed skal tilpasses patientens evne til at eliminere det tilførte fedt. Se pkt</w:t>
      </w:r>
      <w:r w:rsidR="00FF6291">
        <w:rPr>
          <w:sz w:val="24"/>
          <w:szCs w:val="24"/>
          <w:lang w:bidi="da-DK"/>
        </w:rPr>
        <w:t>.</w:t>
      </w:r>
      <w:r w:rsidRPr="00FF6291">
        <w:rPr>
          <w:sz w:val="24"/>
          <w:szCs w:val="24"/>
          <w:lang w:bidi="da-DK"/>
        </w:rPr>
        <w:t xml:space="preserve"> 4.4.</w:t>
      </w:r>
    </w:p>
    <w:p w14:paraId="0104A5E2" w14:textId="77777777" w:rsidR="0096570A" w:rsidRPr="00FF6291" w:rsidRDefault="0096570A" w:rsidP="00791D0E">
      <w:pPr>
        <w:ind w:left="851"/>
        <w:rPr>
          <w:sz w:val="24"/>
          <w:szCs w:val="24"/>
          <w:lang w:val="nb-NO"/>
        </w:rPr>
      </w:pPr>
    </w:p>
    <w:p w14:paraId="2A5C8D85" w14:textId="77777777" w:rsidR="0096570A" w:rsidRPr="00FF6291" w:rsidRDefault="0096570A" w:rsidP="00791D0E">
      <w:pPr>
        <w:ind w:left="851"/>
        <w:rPr>
          <w:i/>
          <w:sz w:val="24"/>
          <w:szCs w:val="24"/>
          <w:u w:val="single"/>
          <w:lang w:val="nb-NO"/>
        </w:rPr>
      </w:pPr>
      <w:r w:rsidRPr="00FF6291">
        <w:rPr>
          <w:i/>
          <w:sz w:val="24"/>
          <w:szCs w:val="24"/>
          <w:u w:val="single"/>
          <w:lang w:bidi="da-DK"/>
        </w:rPr>
        <w:t>Voksne</w:t>
      </w:r>
    </w:p>
    <w:p w14:paraId="3BADE68F" w14:textId="5718299D" w:rsidR="0096570A" w:rsidRPr="00FF6291" w:rsidRDefault="0096570A" w:rsidP="005840B0">
      <w:pPr>
        <w:ind w:left="851"/>
        <w:rPr>
          <w:iCs/>
          <w:sz w:val="24"/>
          <w:szCs w:val="24"/>
          <w:lang w:val="nb-NO"/>
        </w:rPr>
      </w:pPr>
      <w:r w:rsidRPr="00FF6291">
        <w:rPr>
          <w:sz w:val="24"/>
          <w:szCs w:val="24"/>
          <w:lang w:bidi="da-DK"/>
        </w:rPr>
        <w:t>Standarddosis er 1,0</w:t>
      </w:r>
      <w:r w:rsidRPr="00FF6291">
        <w:rPr>
          <w:sz w:val="24"/>
          <w:szCs w:val="24"/>
          <w:lang w:bidi="da-DK"/>
        </w:rPr>
        <w:noBreakHyphen/>
        <w:t>2,0 g fedt/kg kropsvægt/dag svarende til 5</w:t>
      </w:r>
      <w:r w:rsidRPr="00FF6291">
        <w:rPr>
          <w:sz w:val="24"/>
          <w:szCs w:val="24"/>
          <w:lang w:bidi="da-DK"/>
        </w:rPr>
        <w:noBreakHyphen/>
        <w:t xml:space="preserve">10 </w:t>
      </w:r>
      <w:r w:rsidRPr="00FF6291">
        <w:rPr>
          <w:spacing w:val="-4"/>
          <w:sz w:val="24"/>
          <w:szCs w:val="24"/>
          <w:lang w:bidi="da-DK"/>
        </w:rPr>
        <w:t>ml/kg kropsvægt</w:t>
      </w:r>
      <w:r w:rsidRPr="00FF6291">
        <w:rPr>
          <w:sz w:val="24"/>
          <w:szCs w:val="24"/>
          <w:lang w:bidi="da-DK"/>
        </w:rPr>
        <w:t>/dag.</w:t>
      </w:r>
    </w:p>
    <w:p w14:paraId="1972C69E" w14:textId="77777777" w:rsidR="0096570A" w:rsidRPr="00FF6291" w:rsidRDefault="0096570A" w:rsidP="005840B0">
      <w:pPr>
        <w:ind w:left="851"/>
        <w:rPr>
          <w:iCs/>
          <w:sz w:val="24"/>
          <w:szCs w:val="24"/>
          <w:lang w:val="nb-NO"/>
        </w:rPr>
      </w:pPr>
      <w:r w:rsidRPr="00FF6291">
        <w:rPr>
          <w:sz w:val="24"/>
          <w:szCs w:val="24"/>
          <w:lang w:bidi="da-DK"/>
        </w:rPr>
        <w:t xml:space="preserve">Den anbefalede infusionshastighed er 0,125 g fedt/kg kropsvægt/time svarende til 0,63 ml </w:t>
      </w:r>
      <w:r w:rsidRPr="00FF6291">
        <w:rPr>
          <w:spacing w:val="-3"/>
          <w:sz w:val="24"/>
          <w:szCs w:val="24"/>
          <w:lang w:bidi="da-DK"/>
        </w:rPr>
        <w:t>Maxivalen/kg kropsvægt/time</w:t>
      </w:r>
      <w:r w:rsidRPr="00FF6291">
        <w:rPr>
          <w:sz w:val="24"/>
          <w:szCs w:val="24"/>
          <w:lang w:bidi="da-DK"/>
        </w:rPr>
        <w:t>, og den må ikke overstige 0,15 g fedt/kg kropsvægt/time svarende til 0,75 ml Maxivalen/kg kropsvægt/time.</w:t>
      </w:r>
    </w:p>
    <w:p w14:paraId="633A6247" w14:textId="77777777" w:rsidR="0096570A" w:rsidRPr="00FF6291" w:rsidRDefault="0096570A" w:rsidP="00791D0E">
      <w:pPr>
        <w:ind w:left="851"/>
        <w:rPr>
          <w:color w:val="008000"/>
          <w:sz w:val="24"/>
          <w:szCs w:val="24"/>
          <w:lang w:val="nb-NO"/>
        </w:rPr>
      </w:pPr>
    </w:p>
    <w:p w14:paraId="51D9378D" w14:textId="77777777" w:rsidR="0096570A" w:rsidRPr="00FF6291" w:rsidRDefault="0096570A" w:rsidP="00791D0E">
      <w:pPr>
        <w:ind w:left="851"/>
        <w:rPr>
          <w:i/>
          <w:sz w:val="24"/>
          <w:szCs w:val="24"/>
        </w:rPr>
      </w:pPr>
      <w:r w:rsidRPr="00FF6291">
        <w:rPr>
          <w:i/>
          <w:sz w:val="24"/>
          <w:szCs w:val="24"/>
          <w:lang w:bidi="da-DK"/>
        </w:rPr>
        <w:t>Pædiatrisk population</w:t>
      </w:r>
    </w:p>
    <w:p w14:paraId="1534FC6F" w14:textId="77777777" w:rsidR="0096570A" w:rsidRPr="00FF6291" w:rsidRDefault="0096570A" w:rsidP="00791D0E">
      <w:pPr>
        <w:ind w:left="851"/>
        <w:rPr>
          <w:iCs/>
          <w:sz w:val="24"/>
          <w:szCs w:val="24"/>
        </w:rPr>
      </w:pPr>
    </w:p>
    <w:p w14:paraId="2CC4EA7E" w14:textId="77777777" w:rsidR="0096570A" w:rsidRPr="00FF6291" w:rsidRDefault="0096570A" w:rsidP="00791D0E">
      <w:pPr>
        <w:ind w:left="851"/>
        <w:rPr>
          <w:i/>
          <w:sz w:val="24"/>
          <w:szCs w:val="24"/>
          <w:u w:val="single"/>
        </w:rPr>
      </w:pPr>
      <w:r w:rsidRPr="00FF6291">
        <w:rPr>
          <w:i/>
          <w:sz w:val="24"/>
          <w:szCs w:val="24"/>
          <w:u w:val="single"/>
          <w:lang w:bidi="da-DK"/>
        </w:rPr>
        <w:t>Nyfødte og spædbørn</w:t>
      </w:r>
    </w:p>
    <w:p w14:paraId="1964B825" w14:textId="77777777" w:rsidR="0096570A" w:rsidRPr="00FF6291" w:rsidRDefault="0096570A" w:rsidP="00791D0E">
      <w:pPr>
        <w:ind w:left="851"/>
        <w:rPr>
          <w:color w:val="008000"/>
          <w:sz w:val="24"/>
          <w:szCs w:val="24"/>
        </w:rPr>
      </w:pPr>
      <w:r w:rsidRPr="00FF6291">
        <w:rPr>
          <w:sz w:val="24"/>
          <w:szCs w:val="24"/>
          <w:lang w:bidi="da-DK"/>
        </w:rPr>
        <w:t>Startdosis er 0,5</w:t>
      </w:r>
      <w:r w:rsidRPr="00FF6291">
        <w:rPr>
          <w:sz w:val="24"/>
          <w:szCs w:val="24"/>
          <w:lang w:bidi="da-DK"/>
        </w:rPr>
        <w:noBreakHyphen/>
        <w:t>1,0 g fedt/kg kropsvægt/dag, herefter gradvis forøgelse med 0,5</w:t>
      </w:r>
      <w:r w:rsidRPr="00FF6291">
        <w:rPr>
          <w:sz w:val="24"/>
          <w:szCs w:val="24"/>
          <w:lang w:bidi="da-DK"/>
        </w:rPr>
        <w:noBreakHyphen/>
        <w:t>1,0 g fedt/kg kropsvægt/dag op til 3,0 g fedt/kg kropsvægt/dag.</w:t>
      </w:r>
    </w:p>
    <w:p w14:paraId="47F92B26" w14:textId="77777777" w:rsidR="0096570A" w:rsidRPr="00FF6291" w:rsidRDefault="0096570A" w:rsidP="00791D0E">
      <w:pPr>
        <w:ind w:left="851"/>
        <w:rPr>
          <w:iCs/>
          <w:sz w:val="24"/>
          <w:szCs w:val="24"/>
        </w:rPr>
      </w:pPr>
      <w:r w:rsidRPr="00FF6291">
        <w:rPr>
          <w:sz w:val="24"/>
          <w:szCs w:val="24"/>
          <w:lang w:bidi="da-DK"/>
        </w:rPr>
        <w:t>Den daglige dosis må ikke overstige 3 g fedt/kg kropsvægt/dag svarende til 15 ml Maxivalen/kg kropsvægt/dag.</w:t>
      </w:r>
    </w:p>
    <w:p w14:paraId="3CF92420" w14:textId="77777777" w:rsidR="0096570A" w:rsidRPr="00FF6291" w:rsidRDefault="0096570A" w:rsidP="00791D0E">
      <w:pPr>
        <w:ind w:left="851"/>
        <w:rPr>
          <w:iCs/>
          <w:sz w:val="24"/>
          <w:szCs w:val="24"/>
        </w:rPr>
      </w:pPr>
    </w:p>
    <w:p w14:paraId="3CEBB8DD" w14:textId="77777777" w:rsidR="0096570A" w:rsidRPr="00FF6291" w:rsidRDefault="0096570A" w:rsidP="00791D0E">
      <w:pPr>
        <w:ind w:left="851"/>
        <w:rPr>
          <w:iCs/>
          <w:sz w:val="24"/>
          <w:szCs w:val="24"/>
        </w:rPr>
      </w:pPr>
      <w:r w:rsidRPr="00FF6291">
        <w:rPr>
          <w:sz w:val="24"/>
          <w:szCs w:val="24"/>
          <w:lang w:bidi="da-DK"/>
        </w:rPr>
        <w:t>Infusionshastigheden må ikke overstige 0,125 g fedt/kg kropsvægt/time.</w:t>
      </w:r>
    </w:p>
    <w:p w14:paraId="3A1FDCF0" w14:textId="77777777" w:rsidR="0096570A" w:rsidRPr="00FF6291" w:rsidRDefault="0096570A" w:rsidP="00791D0E">
      <w:pPr>
        <w:ind w:left="851"/>
        <w:rPr>
          <w:iCs/>
          <w:sz w:val="24"/>
          <w:szCs w:val="24"/>
        </w:rPr>
      </w:pPr>
      <w:r w:rsidRPr="00FF6291">
        <w:rPr>
          <w:sz w:val="24"/>
          <w:szCs w:val="24"/>
          <w:lang w:bidi="da-DK"/>
        </w:rPr>
        <w:t>Hos præmature og nyfødte med lav fødselsvægt skal infusionen af Maxivalen gives kontinuerligt over ca. 24 timer.</w:t>
      </w:r>
    </w:p>
    <w:p w14:paraId="736BB72E" w14:textId="77777777" w:rsidR="0096570A" w:rsidRPr="00FF6291" w:rsidRDefault="0096570A" w:rsidP="00791D0E">
      <w:pPr>
        <w:ind w:left="851"/>
        <w:rPr>
          <w:iCs/>
          <w:sz w:val="24"/>
          <w:szCs w:val="24"/>
        </w:rPr>
      </w:pPr>
    </w:p>
    <w:p w14:paraId="065F514E" w14:textId="77777777" w:rsidR="0096570A" w:rsidRPr="00FF6291" w:rsidRDefault="0096570A" w:rsidP="00791D0E">
      <w:pPr>
        <w:ind w:left="851"/>
        <w:rPr>
          <w:iCs/>
          <w:sz w:val="24"/>
          <w:szCs w:val="24"/>
          <w:u w:val="single"/>
        </w:rPr>
      </w:pPr>
      <w:r w:rsidRPr="00FF6291">
        <w:rPr>
          <w:sz w:val="24"/>
          <w:szCs w:val="24"/>
          <w:u w:val="single"/>
          <w:lang w:bidi="da-DK"/>
        </w:rPr>
        <w:t>Børn</w:t>
      </w:r>
    </w:p>
    <w:p w14:paraId="11BEDEE7" w14:textId="77777777" w:rsidR="0096570A" w:rsidRPr="00FF6291" w:rsidRDefault="0096570A" w:rsidP="00791D0E">
      <w:pPr>
        <w:ind w:left="851"/>
        <w:rPr>
          <w:iCs/>
          <w:sz w:val="24"/>
          <w:szCs w:val="24"/>
        </w:rPr>
      </w:pPr>
      <w:r w:rsidRPr="00FF6291">
        <w:rPr>
          <w:sz w:val="24"/>
          <w:szCs w:val="24"/>
          <w:lang w:bidi="da-DK"/>
        </w:rPr>
        <w:t>Den daglige dosis må ikke overstige 3 g fedt/kg kropsvægt/dag svarende til 15 ml Maxivalen/kg kropsvægt/dag.</w:t>
      </w:r>
    </w:p>
    <w:p w14:paraId="6279F4EB" w14:textId="77777777" w:rsidR="0096570A" w:rsidRPr="00FF6291" w:rsidRDefault="0096570A" w:rsidP="00791D0E">
      <w:pPr>
        <w:ind w:left="851"/>
        <w:rPr>
          <w:iCs/>
          <w:sz w:val="24"/>
          <w:szCs w:val="24"/>
        </w:rPr>
      </w:pPr>
    </w:p>
    <w:p w14:paraId="7BB5D3A1" w14:textId="77777777" w:rsidR="0096570A" w:rsidRPr="00FF6291" w:rsidRDefault="0096570A" w:rsidP="00791D0E">
      <w:pPr>
        <w:ind w:left="851"/>
        <w:rPr>
          <w:iCs/>
          <w:sz w:val="24"/>
          <w:szCs w:val="24"/>
        </w:rPr>
      </w:pPr>
      <w:r w:rsidRPr="00FF6291">
        <w:rPr>
          <w:sz w:val="24"/>
          <w:szCs w:val="24"/>
          <w:lang w:bidi="da-DK"/>
        </w:rPr>
        <w:t>Den daglige dosis bør øges gradvist i løbet af den første uge. Infusionshastigheden bør ikke overstige 0,15 g fedt/kg kropsvægt/time.</w:t>
      </w:r>
    </w:p>
    <w:p w14:paraId="0984B5C9" w14:textId="77777777" w:rsidR="0096570A" w:rsidRPr="00FF6291" w:rsidRDefault="0096570A" w:rsidP="00791D0E">
      <w:pPr>
        <w:ind w:left="851"/>
        <w:rPr>
          <w:iCs/>
          <w:sz w:val="24"/>
          <w:szCs w:val="24"/>
        </w:rPr>
      </w:pPr>
    </w:p>
    <w:p w14:paraId="433EA1E2" w14:textId="77777777" w:rsidR="0096570A" w:rsidRPr="00FF6291" w:rsidRDefault="0096570A" w:rsidP="00791D0E">
      <w:pPr>
        <w:ind w:left="851"/>
        <w:rPr>
          <w:iCs/>
          <w:sz w:val="24"/>
          <w:szCs w:val="24"/>
          <w:u w:val="single"/>
        </w:rPr>
      </w:pPr>
      <w:r w:rsidRPr="00FF6291">
        <w:rPr>
          <w:sz w:val="24"/>
          <w:szCs w:val="24"/>
          <w:u w:val="single"/>
          <w:lang w:bidi="da-DK"/>
        </w:rPr>
        <w:t>Administrationsmetode</w:t>
      </w:r>
    </w:p>
    <w:p w14:paraId="54D527FA" w14:textId="77777777" w:rsidR="0096570A" w:rsidRPr="00FF6291" w:rsidRDefault="0096570A" w:rsidP="00791D0E">
      <w:pPr>
        <w:ind w:left="851"/>
        <w:rPr>
          <w:iCs/>
          <w:sz w:val="24"/>
          <w:szCs w:val="24"/>
        </w:rPr>
      </w:pPr>
      <w:r w:rsidRPr="00FF6291">
        <w:rPr>
          <w:sz w:val="24"/>
          <w:szCs w:val="24"/>
          <w:lang w:bidi="da-DK"/>
        </w:rPr>
        <w:t>Intravenøs infusion i perifer eller central vene.</w:t>
      </w:r>
    </w:p>
    <w:p w14:paraId="106B8999" w14:textId="16AA263B" w:rsidR="0096570A" w:rsidRPr="00FF6291" w:rsidRDefault="0096570A" w:rsidP="00791D0E">
      <w:pPr>
        <w:ind w:left="851"/>
        <w:rPr>
          <w:iCs/>
          <w:sz w:val="24"/>
          <w:szCs w:val="24"/>
        </w:rPr>
      </w:pPr>
      <w:r w:rsidRPr="00FF6291">
        <w:rPr>
          <w:sz w:val="24"/>
          <w:szCs w:val="24"/>
          <w:lang w:bidi="da-DK"/>
        </w:rPr>
        <w:t>Ved anvendelse til nyfødte og børn under 2 år skal opløsningen (i poser og administrationsudstyr) beskyttes mod lys indtil infusionen er afsluttet (se pkt.</w:t>
      </w:r>
      <w:r w:rsidR="005840B0">
        <w:rPr>
          <w:sz w:val="24"/>
          <w:szCs w:val="24"/>
          <w:lang w:bidi="da-DK"/>
        </w:rPr>
        <w:t xml:space="preserve"> </w:t>
      </w:r>
      <w:r w:rsidRPr="00FF6291">
        <w:rPr>
          <w:sz w:val="24"/>
          <w:szCs w:val="24"/>
          <w:lang w:bidi="da-DK"/>
        </w:rPr>
        <w:t>4.4, 6.3 og 6.6).</w:t>
      </w:r>
    </w:p>
    <w:p w14:paraId="3501420B" w14:textId="77777777" w:rsidR="009260DE" w:rsidRPr="00FF6291" w:rsidRDefault="009260DE" w:rsidP="009260DE">
      <w:pPr>
        <w:tabs>
          <w:tab w:val="left" w:pos="851"/>
        </w:tabs>
        <w:ind w:left="851"/>
        <w:rPr>
          <w:sz w:val="24"/>
          <w:szCs w:val="24"/>
        </w:rPr>
      </w:pPr>
    </w:p>
    <w:p w14:paraId="0C4F64A2" w14:textId="77777777" w:rsidR="009260DE" w:rsidRPr="00FF6291" w:rsidRDefault="009260DE" w:rsidP="009260DE">
      <w:pPr>
        <w:tabs>
          <w:tab w:val="left" w:pos="851"/>
        </w:tabs>
        <w:ind w:left="851" w:hanging="851"/>
        <w:rPr>
          <w:b/>
          <w:sz w:val="24"/>
          <w:szCs w:val="24"/>
        </w:rPr>
      </w:pPr>
      <w:r w:rsidRPr="00FF6291">
        <w:rPr>
          <w:b/>
          <w:sz w:val="24"/>
          <w:szCs w:val="24"/>
        </w:rPr>
        <w:t>4.3</w:t>
      </w:r>
      <w:r w:rsidRPr="00FF6291">
        <w:rPr>
          <w:b/>
          <w:sz w:val="24"/>
          <w:szCs w:val="24"/>
        </w:rPr>
        <w:tab/>
        <w:t>Kontraindikationer</w:t>
      </w:r>
    </w:p>
    <w:p w14:paraId="1629B707" w14:textId="016B9119" w:rsidR="0096570A" w:rsidRPr="00FF6291" w:rsidRDefault="0096570A" w:rsidP="00791D0E">
      <w:pPr>
        <w:pStyle w:val="Listeafsnit"/>
        <w:numPr>
          <w:ilvl w:val="0"/>
          <w:numId w:val="10"/>
        </w:numPr>
        <w:ind w:left="1276" w:hanging="425"/>
        <w:rPr>
          <w:sz w:val="24"/>
          <w:szCs w:val="24"/>
        </w:rPr>
      </w:pPr>
      <w:r w:rsidRPr="00FF6291">
        <w:rPr>
          <w:sz w:val="24"/>
          <w:szCs w:val="24"/>
          <w:lang w:bidi="da-DK"/>
        </w:rPr>
        <w:t>Overfølsomhed over for fisk-, æg-, soja- eller jordnøddeprotein, over for et eller flere af de aktive stoffer eller for nogen af hjælpestofferne anført i pkt.</w:t>
      </w:r>
      <w:r w:rsidR="005840B0">
        <w:rPr>
          <w:sz w:val="24"/>
          <w:szCs w:val="24"/>
          <w:lang w:bidi="da-DK"/>
        </w:rPr>
        <w:t xml:space="preserve"> </w:t>
      </w:r>
      <w:r w:rsidRPr="00FF6291">
        <w:rPr>
          <w:sz w:val="24"/>
          <w:szCs w:val="24"/>
          <w:lang w:bidi="da-DK"/>
        </w:rPr>
        <w:t>6.1.</w:t>
      </w:r>
    </w:p>
    <w:p w14:paraId="595F56F7" w14:textId="5FC4F826" w:rsidR="0096570A" w:rsidRPr="00FF6291" w:rsidRDefault="0096570A" w:rsidP="00791D0E">
      <w:pPr>
        <w:pStyle w:val="Listeafsnit"/>
        <w:numPr>
          <w:ilvl w:val="0"/>
          <w:numId w:val="10"/>
        </w:numPr>
        <w:ind w:left="1276" w:hanging="425"/>
        <w:rPr>
          <w:sz w:val="24"/>
          <w:szCs w:val="24"/>
        </w:rPr>
      </w:pPr>
      <w:r w:rsidRPr="00FF6291">
        <w:rPr>
          <w:sz w:val="24"/>
          <w:szCs w:val="24"/>
          <w:lang w:bidi="da-DK"/>
        </w:rPr>
        <w:t xml:space="preserve">Svær </w:t>
      </w:r>
      <w:proofErr w:type="spellStart"/>
      <w:r w:rsidRPr="00FF6291">
        <w:rPr>
          <w:sz w:val="24"/>
          <w:szCs w:val="24"/>
          <w:lang w:bidi="da-DK"/>
        </w:rPr>
        <w:t>hyperlipidæmi</w:t>
      </w:r>
      <w:proofErr w:type="spellEnd"/>
      <w:r w:rsidRPr="00FF6291">
        <w:rPr>
          <w:sz w:val="24"/>
          <w:szCs w:val="24"/>
          <w:lang w:bidi="da-DK"/>
        </w:rPr>
        <w:t>.</w:t>
      </w:r>
    </w:p>
    <w:p w14:paraId="39983040" w14:textId="00557118" w:rsidR="0096570A" w:rsidRPr="00FF6291" w:rsidRDefault="0096570A" w:rsidP="00791D0E">
      <w:pPr>
        <w:pStyle w:val="Listeafsnit"/>
        <w:numPr>
          <w:ilvl w:val="0"/>
          <w:numId w:val="10"/>
        </w:numPr>
        <w:ind w:left="1276" w:hanging="425"/>
        <w:rPr>
          <w:sz w:val="24"/>
          <w:szCs w:val="24"/>
        </w:rPr>
      </w:pPr>
      <w:r w:rsidRPr="00FF6291">
        <w:rPr>
          <w:sz w:val="24"/>
          <w:szCs w:val="24"/>
          <w:lang w:bidi="da-DK"/>
        </w:rPr>
        <w:t>Svær leverinsufficiens.</w:t>
      </w:r>
    </w:p>
    <w:p w14:paraId="1E7FDE05" w14:textId="1C540ADE" w:rsidR="0096570A" w:rsidRPr="00FF6291" w:rsidRDefault="0096570A" w:rsidP="00791D0E">
      <w:pPr>
        <w:pStyle w:val="Listeafsnit"/>
        <w:numPr>
          <w:ilvl w:val="0"/>
          <w:numId w:val="10"/>
        </w:numPr>
        <w:ind w:left="1276" w:hanging="425"/>
        <w:rPr>
          <w:sz w:val="24"/>
          <w:szCs w:val="24"/>
        </w:rPr>
      </w:pPr>
      <w:r w:rsidRPr="00FF6291">
        <w:rPr>
          <w:sz w:val="24"/>
          <w:szCs w:val="24"/>
          <w:lang w:bidi="da-DK"/>
        </w:rPr>
        <w:t>Svær koagulationsforstyrrelse.</w:t>
      </w:r>
    </w:p>
    <w:p w14:paraId="2A752655" w14:textId="70BEF58F" w:rsidR="0096570A" w:rsidRPr="00FF6291" w:rsidRDefault="0096570A" w:rsidP="00791D0E">
      <w:pPr>
        <w:pStyle w:val="Listeafsnit"/>
        <w:numPr>
          <w:ilvl w:val="0"/>
          <w:numId w:val="10"/>
        </w:numPr>
        <w:ind w:left="1276" w:hanging="425"/>
        <w:rPr>
          <w:sz w:val="24"/>
          <w:szCs w:val="24"/>
        </w:rPr>
      </w:pPr>
      <w:r w:rsidRPr="00FF6291">
        <w:rPr>
          <w:sz w:val="24"/>
          <w:szCs w:val="24"/>
          <w:lang w:bidi="da-DK"/>
        </w:rPr>
        <w:t>Svær nyreinsufficiens uden adgang til hæmofiltration eller dialyse.</w:t>
      </w:r>
    </w:p>
    <w:p w14:paraId="6B4C4D6A" w14:textId="1F5A928B" w:rsidR="0096570A" w:rsidRPr="00FF6291" w:rsidRDefault="0096570A" w:rsidP="00791D0E">
      <w:pPr>
        <w:pStyle w:val="Listeafsnit"/>
        <w:numPr>
          <w:ilvl w:val="0"/>
          <w:numId w:val="10"/>
        </w:numPr>
        <w:ind w:left="1276" w:hanging="425"/>
        <w:rPr>
          <w:sz w:val="24"/>
          <w:szCs w:val="24"/>
        </w:rPr>
      </w:pPr>
      <w:r w:rsidRPr="00FF6291">
        <w:rPr>
          <w:sz w:val="24"/>
          <w:szCs w:val="24"/>
          <w:lang w:bidi="da-DK"/>
        </w:rPr>
        <w:t>Akut chok.</w:t>
      </w:r>
    </w:p>
    <w:p w14:paraId="6942C0BC" w14:textId="54588CF0" w:rsidR="0096570A" w:rsidRPr="00FF6291" w:rsidRDefault="0096570A" w:rsidP="00791D0E">
      <w:pPr>
        <w:pStyle w:val="Listeafsnit"/>
        <w:numPr>
          <w:ilvl w:val="0"/>
          <w:numId w:val="10"/>
        </w:numPr>
        <w:ind w:left="1276" w:hanging="425"/>
        <w:rPr>
          <w:sz w:val="24"/>
          <w:szCs w:val="24"/>
        </w:rPr>
      </w:pPr>
      <w:r w:rsidRPr="00FF6291">
        <w:rPr>
          <w:sz w:val="24"/>
          <w:szCs w:val="24"/>
          <w:lang w:bidi="da-DK"/>
        </w:rPr>
        <w:t>Generelle kontraindikationer for infusionsterapi: akut lungeødem, hyperhydrering, dekompenseret hjertesvigt.</w:t>
      </w:r>
    </w:p>
    <w:p w14:paraId="40E8D56C" w14:textId="205DF9B9" w:rsidR="0096570A" w:rsidRPr="00FF6291" w:rsidRDefault="0096570A" w:rsidP="00791D0E">
      <w:pPr>
        <w:pStyle w:val="Listeafsnit"/>
        <w:numPr>
          <w:ilvl w:val="0"/>
          <w:numId w:val="10"/>
        </w:numPr>
        <w:ind w:left="1276" w:hanging="425"/>
        <w:rPr>
          <w:sz w:val="24"/>
          <w:szCs w:val="24"/>
        </w:rPr>
      </w:pPr>
      <w:r w:rsidRPr="00FF6291">
        <w:rPr>
          <w:sz w:val="24"/>
          <w:szCs w:val="24"/>
          <w:lang w:bidi="da-DK"/>
        </w:rPr>
        <w:t>Ustabile tilstande (f.eks. svære posttraumatiske tilstande, ukompenseret diabetes mellitus, akut myokardieinfarkt, apopleksi, emboli, metabolisk acidose samt svær sepsis og hypotonisk dehydrering).</w:t>
      </w:r>
    </w:p>
    <w:p w14:paraId="5A0124D7" w14:textId="77777777" w:rsidR="009260DE" w:rsidRPr="00FF6291" w:rsidRDefault="009260DE" w:rsidP="009260DE">
      <w:pPr>
        <w:tabs>
          <w:tab w:val="left" w:pos="851"/>
        </w:tabs>
        <w:ind w:left="851"/>
        <w:rPr>
          <w:sz w:val="24"/>
          <w:szCs w:val="24"/>
        </w:rPr>
      </w:pPr>
    </w:p>
    <w:p w14:paraId="78EF2365" w14:textId="77777777" w:rsidR="009260DE" w:rsidRPr="00FF6291" w:rsidRDefault="009260DE" w:rsidP="009260DE">
      <w:pPr>
        <w:tabs>
          <w:tab w:val="left" w:pos="851"/>
        </w:tabs>
        <w:ind w:left="851" w:hanging="851"/>
        <w:rPr>
          <w:b/>
          <w:sz w:val="24"/>
          <w:szCs w:val="24"/>
        </w:rPr>
      </w:pPr>
      <w:r w:rsidRPr="00FF6291">
        <w:rPr>
          <w:b/>
          <w:sz w:val="24"/>
          <w:szCs w:val="24"/>
        </w:rPr>
        <w:t>4.4</w:t>
      </w:r>
      <w:r w:rsidRPr="00FF6291">
        <w:rPr>
          <w:b/>
          <w:sz w:val="24"/>
          <w:szCs w:val="24"/>
        </w:rPr>
        <w:tab/>
        <w:t>Særlige advarsler og forsigtighedsregler vedrørende brugen</w:t>
      </w:r>
    </w:p>
    <w:p w14:paraId="07626D93" w14:textId="55015276" w:rsidR="0096570A" w:rsidRPr="00FF6291" w:rsidRDefault="0096570A" w:rsidP="00791D0E">
      <w:pPr>
        <w:ind w:left="851"/>
        <w:rPr>
          <w:sz w:val="24"/>
          <w:szCs w:val="24"/>
          <w:lang w:bidi="da-DK"/>
        </w:rPr>
      </w:pPr>
      <w:r w:rsidRPr="00FF6291">
        <w:rPr>
          <w:sz w:val="24"/>
          <w:szCs w:val="24"/>
          <w:lang w:bidi="da-DK"/>
        </w:rPr>
        <w:t xml:space="preserve">Evnen til at eliminere fedt er individuel, og den bør overvåges i henhold til klinikerens rutiner. Dette gøres generelt ved at kontrollere triglyceridniveauerne. Der skal udvises særlig forsigtighed hos patienter med markant risiko for </w:t>
      </w:r>
      <w:proofErr w:type="spellStart"/>
      <w:r w:rsidRPr="00FF6291">
        <w:rPr>
          <w:sz w:val="24"/>
          <w:szCs w:val="24"/>
          <w:lang w:bidi="da-DK"/>
        </w:rPr>
        <w:t>hyperlipidæmi</w:t>
      </w:r>
      <w:proofErr w:type="spellEnd"/>
      <w:r w:rsidRPr="00FF6291">
        <w:rPr>
          <w:sz w:val="24"/>
          <w:szCs w:val="24"/>
          <w:lang w:bidi="da-DK"/>
        </w:rPr>
        <w:t xml:space="preserve"> (f.eks.</w:t>
      </w:r>
      <w:r w:rsidR="00FF6291">
        <w:rPr>
          <w:sz w:val="24"/>
          <w:szCs w:val="24"/>
          <w:lang w:bidi="da-DK"/>
        </w:rPr>
        <w:t xml:space="preserve"> </w:t>
      </w:r>
      <w:r w:rsidRPr="00FF6291">
        <w:rPr>
          <w:sz w:val="24"/>
          <w:szCs w:val="24"/>
          <w:lang w:bidi="da-DK"/>
        </w:rPr>
        <w:t xml:space="preserve">patienter med højt fedtindhold, svær sepsis og ekstremt lav fødselsvægt). Koncentrationen af triglycerider i serum bør generelt ikke overstige 3 mmol/l under infusion. Reduceret dosis eller </w:t>
      </w:r>
      <w:proofErr w:type="spellStart"/>
      <w:r w:rsidRPr="00FF6291">
        <w:rPr>
          <w:sz w:val="24"/>
          <w:szCs w:val="24"/>
          <w:lang w:bidi="da-DK"/>
        </w:rPr>
        <w:t>seponering</w:t>
      </w:r>
      <w:proofErr w:type="spellEnd"/>
      <w:r w:rsidRPr="00FF6291">
        <w:rPr>
          <w:sz w:val="24"/>
          <w:szCs w:val="24"/>
          <w:lang w:bidi="da-DK"/>
        </w:rPr>
        <w:t xml:space="preserve"> af lipidemulsion bør overvejes, hvis serum- eller plasmaniveauet af triglycerider under eller efter infusionen overstiger 3 mmol/l. </w:t>
      </w:r>
    </w:p>
    <w:p w14:paraId="661247AA" w14:textId="77777777" w:rsidR="0096570A" w:rsidRPr="00FF6291" w:rsidRDefault="0096570A" w:rsidP="00791D0E">
      <w:pPr>
        <w:ind w:left="851"/>
        <w:rPr>
          <w:sz w:val="24"/>
          <w:szCs w:val="24"/>
          <w:lang w:bidi="da-DK"/>
        </w:rPr>
      </w:pPr>
    </w:p>
    <w:p w14:paraId="6654257D" w14:textId="77777777" w:rsidR="0096570A" w:rsidRPr="00FF6291" w:rsidRDefault="0096570A" w:rsidP="00791D0E">
      <w:pPr>
        <w:ind w:left="851"/>
        <w:rPr>
          <w:iCs/>
          <w:sz w:val="24"/>
          <w:szCs w:val="24"/>
        </w:rPr>
      </w:pPr>
      <w:r w:rsidRPr="00FF6291">
        <w:rPr>
          <w:sz w:val="24"/>
          <w:szCs w:val="24"/>
          <w:lang w:bidi="da-DK"/>
        </w:rPr>
        <w:t>Overdosering kan føre til fedtoverbelastningssyndrom, se pkt. 4.8.</w:t>
      </w:r>
    </w:p>
    <w:p w14:paraId="452F195B" w14:textId="77777777" w:rsidR="0096570A" w:rsidRPr="00FF6291" w:rsidRDefault="0096570A" w:rsidP="00791D0E">
      <w:pPr>
        <w:ind w:left="851"/>
        <w:rPr>
          <w:iCs/>
          <w:sz w:val="24"/>
          <w:szCs w:val="24"/>
        </w:rPr>
      </w:pPr>
    </w:p>
    <w:p w14:paraId="3AEC95F2" w14:textId="77777777" w:rsidR="0096570A" w:rsidRPr="00FF6291" w:rsidRDefault="0096570A" w:rsidP="00791D0E">
      <w:pPr>
        <w:ind w:left="851"/>
        <w:rPr>
          <w:iCs/>
          <w:sz w:val="24"/>
          <w:szCs w:val="24"/>
        </w:rPr>
      </w:pPr>
      <w:r w:rsidRPr="00FF6291">
        <w:rPr>
          <w:sz w:val="24"/>
          <w:szCs w:val="24"/>
          <w:lang w:bidi="da-DK"/>
        </w:rPr>
        <w:t>Dette lægemiddel indeholder sojabønneolie, fiskeolie og æggefosfolipider, som i sjældne tilfælde kan forårsage allergiske reaktioner. Der er blevet observeret krydsallergiske reaktioner mellem soja og jordnød.</w:t>
      </w:r>
    </w:p>
    <w:p w14:paraId="21412F3F" w14:textId="77777777" w:rsidR="0096570A" w:rsidRPr="00FF6291" w:rsidRDefault="0096570A" w:rsidP="00791D0E">
      <w:pPr>
        <w:ind w:left="851"/>
        <w:rPr>
          <w:iCs/>
          <w:sz w:val="24"/>
          <w:szCs w:val="24"/>
        </w:rPr>
      </w:pPr>
    </w:p>
    <w:p w14:paraId="5CBE3E8E" w14:textId="77777777" w:rsidR="0096570A" w:rsidRPr="00FF6291" w:rsidRDefault="0096570A" w:rsidP="00791D0E">
      <w:pPr>
        <w:ind w:left="851"/>
        <w:rPr>
          <w:iCs/>
          <w:sz w:val="24"/>
          <w:szCs w:val="24"/>
        </w:rPr>
      </w:pPr>
      <w:r w:rsidRPr="00FF6291">
        <w:rPr>
          <w:sz w:val="24"/>
          <w:szCs w:val="24"/>
          <w:lang w:bidi="da-DK"/>
        </w:rPr>
        <w:t xml:space="preserve">Lipidemulsioner bør anvendes med forsigtighed ved nedsat fedtmetabolisme, som kan forekomme hos patienter med nyresvigt, diabetes mellitus, </w:t>
      </w:r>
      <w:proofErr w:type="spellStart"/>
      <w:r w:rsidRPr="00FF6291">
        <w:rPr>
          <w:sz w:val="24"/>
          <w:szCs w:val="24"/>
          <w:lang w:bidi="da-DK"/>
        </w:rPr>
        <w:t>pancreatitis</w:t>
      </w:r>
      <w:proofErr w:type="spellEnd"/>
      <w:r w:rsidRPr="00FF6291">
        <w:rPr>
          <w:sz w:val="24"/>
          <w:szCs w:val="24"/>
          <w:lang w:bidi="da-DK"/>
        </w:rPr>
        <w:t xml:space="preserve">, nedsat leverfunktion, </w:t>
      </w:r>
      <w:proofErr w:type="spellStart"/>
      <w:r w:rsidRPr="00FF6291">
        <w:rPr>
          <w:sz w:val="24"/>
          <w:szCs w:val="24"/>
          <w:lang w:bidi="da-DK"/>
        </w:rPr>
        <w:t>hypothyreose</w:t>
      </w:r>
      <w:proofErr w:type="spellEnd"/>
      <w:r w:rsidRPr="00FF6291">
        <w:rPr>
          <w:sz w:val="24"/>
          <w:szCs w:val="24"/>
          <w:lang w:bidi="da-DK"/>
        </w:rPr>
        <w:t xml:space="preserve"> og sepsis.</w:t>
      </w:r>
    </w:p>
    <w:p w14:paraId="0972B00C" w14:textId="77777777" w:rsidR="0096570A" w:rsidRPr="00FF6291" w:rsidRDefault="0096570A" w:rsidP="00791D0E">
      <w:pPr>
        <w:ind w:left="851"/>
        <w:rPr>
          <w:iCs/>
          <w:sz w:val="24"/>
          <w:szCs w:val="24"/>
        </w:rPr>
      </w:pPr>
    </w:p>
    <w:p w14:paraId="0FD86366" w14:textId="77777777" w:rsidR="0096570A" w:rsidRPr="00FF6291" w:rsidRDefault="0096570A" w:rsidP="00791D0E">
      <w:pPr>
        <w:ind w:left="851"/>
        <w:rPr>
          <w:sz w:val="24"/>
          <w:szCs w:val="24"/>
          <w:lang w:bidi="da-DK"/>
        </w:rPr>
      </w:pPr>
      <w:r w:rsidRPr="00FF6291">
        <w:rPr>
          <w:sz w:val="24"/>
          <w:szCs w:val="24"/>
          <w:lang w:bidi="da-DK"/>
        </w:rPr>
        <w:t>Kliniske data for patienter med diabetes mellitus eller nyresvigt er begrænsede.</w:t>
      </w:r>
    </w:p>
    <w:p w14:paraId="2E56B00C" w14:textId="77777777" w:rsidR="0096570A" w:rsidRPr="00FF6291" w:rsidRDefault="0096570A" w:rsidP="00791D0E">
      <w:pPr>
        <w:ind w:left="851"/>
        <w:rPr>
          <w:iCs/>
          <w:sz w:val="24"/>
          <w:szCs w:val="24"/>
        </w:rPr>
      </w:pPr>
    </w:p>
    <w:p w14:paraId="4EAC9932" w14:textId="77777777" w:rsidR="0096570A" w:rsidRPr="00FF6291" w:rsidRDefault="0096570A" w:rsidP="00791D0E">
      <w:pPr>
        <w:ind w:left="851"/>
        <w:rPr>
          <w:iCs/>
          <w:sz w:val="24"/>
          <w:szCs w:val="24"/>
        </w:rPr>
      </w:pPr>
      <w:r w:rsidRPr="00FF6291">
        <w:rPr>
          <w:sz w:val="24"/>
          <w:szCs w:val="24"/>
          <w:lang w:bidi="da-DK"/>
        </w:rPr>
        <w:t xml:space="preserve">Administration af udelukkende mellemkædede fedtsyrer kan resultere i metabolisk </w:t>
      </w:r>
      <w:proofErr w:type="spellStart"/>
      <w:r w:rsidRPr="00FF6291">
        <w:rPr>
          <w:sz w:val="24"/>
          <w:szCs w:val="24"/>
          <w:lang w:bidi="da-DK"/>
        </w:rPr>
        <w:t>acidose</w:t>
      </w:r>
      <w:proofErr w:type="spellEnd"/>
      <w:r w:rsidRPr="00FF6291">
        <w:rPr>
          <w:sz w:val="24"/>
          <w:szCs w:val="24"/>
          <w:lang w:bidi="da-DK"/>
        </w:rPr>
        <w:t xml:space="preserve">. Denne risiko minimeres i høj grad ved samtidig infusion af langkædede fedtsyrer, som findes i Maxivalen. Samtidig administration af kulhydrater yder yderligere beskyttelse mod denne risiko. </w:t>
      </w:r>
    </w:p>
    <w:p w14:paraId="4E7DEF07" w14:textId="77777777" w:rsidR="0096570A" w:rsidRPr="00FF6291" w:rsidRDefault="0096570A" w:rsidP="00791D0E">
      <w:pPr>
        <w:ind w:left="851"/>
        <w:rPr>
          <w:iCs/>
          <w:sz w:val="24"/>
          <w:szCs w:val="24"/>
        </w:rPr>
      </w:pPr>
      <w:r w:rsidRPr="00FF6291">
        <w:rPr>
          <w:sz w:val="24"/>
          <w:szCs w:val="24"/>
          <w:lang w:bidi="da-DK"/>
        </w:rPr>
        <w:t>Der anbefales samtidig infusion af kulhydrater eller kulhydratholdig aminosyreopløsning. Regelmæssig laboratorieovervågning af intravenøs ernæring anbefales. Disse omfatter blodsukker, leverfunktionsprøver, syre-base-status, væskebalance, fuldt blodtal og elektrolytter.</w:t>
      </w:r>
    </w:p>
    <w:p w14:paraId="5047AD8B" w14:textId="77777777" w:rsidR="0096570A" w:rsidRPr="00FF6291" w:rsidRDefault="0096570A" w:rsidP="00791D0E">
      <w:pPr>
        <w:ind w:left="851"/>
        <w:rPr>
          <w:iCs/>
          <w:sz w:val="24"/>
          <w:szCs w:val="24"/>
        </w:rPr>
      </w:pPr>
    </w:p>
    <w:p w14:paraId="68D98AB4" w14:textId="77777777" w:rsidR="0096570A" w:rsidRPr="00FF6291" w:rsidRDefault="0096570A" w:rsidP="00791D0E">
      <w:pPr>
        <w:ind w:left="851"/>
        <w:rPr>
          <w:iCs/>
          <w:sz w:val="24"/>
          <w:szCs w:val="24"/>
        </w:rPr>
      </w:pPr>
      <w:r w:rsidRPr="00FF6291">
        <w:rPr>
          <w:sz w:val="24"/>
          <w:szCs w:val="24"/>
          <w:lang w:bidi="da-DK"/>
        </w:rPr>
        <w:t xml:space="preserve">Ved enhver form for </w:t>
      </w:r>
      <w:proofErr w:type="spellStart"/>
      <w:r w:rsidRPr="00FF6291">
        <w:rPr>
          <w:sz w:val="24"/>
          <w:szCs w:val="24"/>
          <w:lang w:bidi="da-DK"/>
        </w:rPr>
        <w:t>anafylaktisk</w:t>
      </w:r>
      <w:proofErr w:type="spellEnd"/>
      <w:r w:rsidRPr="00FF6291">
        <w:rPr>
          <w:sz w:val="24"/>
          <w:szCs w:val="24"/>
          <w:lang w:bidi="da-DK"/>
        </w:rPr>
        <w:t xml:space="preserve"> reaktion (herunder feber, kulderystelser, udslæt eller dyspnø) skal infusionen øjeblikkeligt seponeres.</w:t>
      </w:r>
    </w:p>
    <w:p w14:paraId="7CAB1A17" w14:textId="77777777" w:rsidR="0096570A" w:rsidRPr="00FF6291" w:rsidRDefault="0096570A" w:rsidP="00791D0E">
      <w:pPr>
        <w:ind w:left="851"/>
        <w:rPr>
          <w:iCs/>
          <w:sz w:val="24"/>
          <w:szCs w:val="24"/>
        </w:rPr>
      </w:pPr>
    </w:p>
    <w:p w14:paraId="4B14EA7A" w14:textId="77777777" w:rsidR="0096570A" w:rsidRPr="00FF6291" w:rsidRDefault="0096570A" w:rsidP="00791D0E">
      <w:pPr>
        <w:ind w:left="851"/>
        <w:rPr>
          <w:iCs/>
          <w:sz w:val="24"/>
          <w:szCs w:val="24"/>
        </w:rPr>
      </w:pPr>
      <w:r w:rsidRPr="00FF6291">
        <w:rPr>
          <w:sz w:val="24"/>
          <w:szCs w:val="24"/>
          <w:lang w:bidi="da-DK"/>
        </w:rPr>
        <w:t xml:space="preserve">Lipidemulsioner bør gives med forsigtighed til nyfødte og præmature nyfødte med </w:t>
      </w:r>
      <w:proofErr w:type="spellStart"/>
      <w:r w:rsidRPr="00FF6291">
        <w:rPr>
          <w:sz w:val="24"/>
          <w:szCs w:val="24"/>
          <w:lang w:bidi="da-DK"/>
        </w:rPr>
        <w:t>hyperbilirubinæmi</w:t>
      </w:r>
      <w:proofErr w:type="spellEnd"/>
      <w:r w:rsidRPr="00FF6291">
        <w:rPr>
          <w:sz w:val="24"/>
          <w:szCs w:val="24"/>
          <w:lang w:bidi="da-DK"/>
        </w:rPr>
        <w:t xml:space="preserve"> og </w:t>
      </w:r>
      <w:proofErr w:type="spellStart"/>
      <w:r w:rsidRPr="00FF6291">
        <w:rPr>
          <w:sz w:val="24"/>
          <w:szCs w:val="24"/>
          <w:lang w:bidi="da-DK"/>
        </w:rPr>
        <w:t>pulmonal</w:t>
      </w:r>
      <w:proofErr w:type="spellEnd"/>
      <w:r w:rsidRPr="00FF6291">
        <w:rPr>
          <w:sz w:val="24"/>
          <w:szCs w:val="24"/>
          <w:lang w:bidi="da-DK"/>
        </w:rPr>
        <w:t xml:space="preserve"> hypertension. Hos nyfødte, især præmature på </w:t>
      </w:r>
      <w:proofErr w:type="spellStart"/>
      <w:r w:rsidRPr="00FF6291">
        <w:rPr>
          <w:sz w:val="24"/>
          <w:szCs w:val="24"/>
          <w:lang w:bidi="da-DK"/>
        </w:rPr>
        <w:t>langtids</w:t>
      </w:r>
      <w:proofErr w:type="spellEnd"/>
      <w:r w:rsidRPr="00FF6291">
        <w:rPr>
          <w:sz w:val="24"/>
          <w:szCs w:val="24"/>
          <w:lang w:bidi="da-DK"/>
        </w:rPr>
        <w:t xml:space="preserve"> parenteral ernæring, bør blodpladetal, leverfunktionsprøver og serumtriglycerider overvåges.</w:t>
      </w:r>
    </w:p>
    <w:p w14:paraId="7C74298D" w14:textId="1889571D" w:rsidR="0096570A" w:rsidRPr="00FF6291" w:rsidRDefault="0096570A" w:rsidP="00791D0E">
      <w:pPr>
        <w:ind w:left="851"/>
        <w:rPr>
          <w:iCs/>
          <w:sz w:val="24"/>
          <w:szCs w:val="24"/>
        </w:rPr>
      </w:pPr>
      <w:r w:rsidRPr="00FF6291">
        <w:rPr>
          <w:sz w:val="24"/>
          <w:szCs w:val="24"/>
          <w:lang w:bidi="da-DK"/>
        </w:rPr>
        <w:t>Hvis opløsninger til intravenøs parenteral ernæring udsættes for lys, især efter tilsætning af vitaminer, kan det påvirke det kliniske resultat hos nyfødte negativt pga. dannelsen af peroxider og andre nedbrydningsprodukter. Ved anvendelse til nyfødte og børn under 2 år skal opløsningen beskyttes mod lys, indtil infusionen er afsluttet (se pkt.</w:t>
      </w:r>
      <w:r w:rsidR="005840B0">
        <w:rPr>
          <w:sz w:val="24"/>
          <w:szCs w:val="24"/>
          <w:lang w:bidi="da-DK"/>
        </w:rPr>
        <w:t xml:space="preserve"> </w:t>
      </w:r>
      <w:r w:rsidRPr="00FF6291">
        <w:rPr>
          <w:sz w:val="24"/>
          <w:szCs w:val="24"/>
          <w:lang w:bidi="da-DK"/>
        </w:rPr>
        <w:t>4.2, 6.3 og 6.6).</w:t>
      </w:r>
    </w:p>
    <w:p w14:paraId="0F6B0142" w14:textId="77777777" w:rsidR="0096570A" w:rsidRPr="00FF6291" w:rsidRDefault="0096570A" w:rsidP="00791D0E">
      <w:pPr>
        <w:ind w:left="851"/>
        <w:rPr>
          <w:iCs/>
          <w:sz w:val="24"/>
          <w:szCs w:val="24"/>
        </w:rPr>
      </w:pPr>
    </w:p>
    <w:p w14:paraId="171BFE58" w14:textId="2EC55E52" w:rsidR="0096570A" w:rsidRPr="00FF6291" w:rsidRDefault="0096570A" w:rsidP="00791D0E">
      <w:pPr>
        <w:ind w:left="851"/>
        <w:rPr>
          <w:iCs/>
          <w:sz w:val="24"/>
          <w:szCs w:val="24"/>
        </w:rPr>
      </w:pPr>
      <w:r w:rsidRPr="00FF6291">
        <w:rPr>
          <w:sz w:val="24"/>
          <w:szCs w:val="24"/>
          <w:lang w:bidi="da-DK"/>
        </w:rPr>
        <w:t>Høje lipidniveauer i plasma kan interferere med visse laboratorieanalyser, f.eks.</w:t>
      </w:r>
      <w:r w:rsidR="00FF6291">
        <w:rPr>
          <w:sz w:val="24"/>
          <w:szCs w:val="24"/>
          <w:lang w:bidi="da-DK"/>
        </w:rPr>
        <w:t xml:space="preserve"> </w:t>
      </w:r>
      <w:r w:rsidRPr="00FF6291">
        <w:rPr>
          <w:sz w:val="24"/>
          <w:szCs w:val="24"/>
          <w:lang w:bidi="da-DK"/>
        </w:rPr>
        <w:t>hæmoglobinmåling.</w:t>
      </w:r>
    </w:p>
    <w:p w14:paraId="27F946BE" w14:textId="77777777" w:rsidR="0096570A" w:rsidRPr="00FF6291" w:rsidRDefault="0096570A" w:rsidP="00791D0E">
      <w:pPr>
        <w:ind w:left="851"/>
        <w:rPr>
          <w:iCs/>
          <w:sz w:val="24"/>
          <w:szCs w:val="24"/>
        </w:rPr>
      </w:pPr>
    </w:p>
    <w:p w14:paraId="211BB986" w14:textId="77777777" w:rsidR="0096570A" w:rsidRPr="00FF6291" w:rsidRDefault="0096570A" w:rsidP="00791D0E">
      <w:pPr>
        <w:ind w:left="851"/>
        <w:rPr>
          <w:rFonts w:eastAsia="Courier New"/>
          <w:color w:val="000000"/>
          <w:sz w:val="24"/>
          <w:szCs w:val="24"/>
          <w:lang w:bidi="en-US"/>
        </w:rPr>
      </w:pPr>
      <w:r w:rsidRPr="00FF6291">
        <w:rPr>
          <w:rFonts w:eastAsia="Courier New"/>
          <w:b/>
          <w:color w:val="000000"/>
          <w:sz w:val="24"/>
          <w:szCs w:val="24"/>
          <w:lang w:bidi="da-DK"/>
        </w:rPr>
        <w:t>100 ml, 250 ml poser:</w:t>
      </w:r>
      <w:r w:rsidRPr="00FF6291">
        <w:rPr>
          <w:rFonts w:eastAsia="Courier New"/>
          <w:color w:val="000000"/>
          <w:sz w:val="24"/>
          <w:szCs w:val="24"/>
          <w:lang w:bidi="da-DK"/>
        </w:rPr>
        <w:t xml:space="preserve"> </w:t>
      </w:r>
    </w:p>
    <w:p w14:paraId="3FA8FCA2" w14:textId="77777777" w:rsidR="0096570A" w:rsidRPr="00FF6291" w:rsidRDefault="0096570A" w:rsidP="00791D0E">
      <w:pPr>
        <w:ind w:left="851"/>
        <w:rPr>
          <w:rFonts w:eastAsia="Courier New"/>
          <w:color w:val="000000"/>
          <w:sz w:val="24"/>
          <w:szCs w:val="24"/>
          <w:lang w:bidi="en-US"/>
        </w:rPr>
      </w:pPr>
      <w:r w:rsidRPr="00FF6291">
        <w:rPr>
          <w:rFonts w:eastAsia="Courier New"/>
          <w:color w:val="000000"/>
          <w:sz w:val="24"/>
          <w:szCs w:val="24"/>
          <w:lang w:bidi="da-DK"/>
        </w:rPr>
        <w:t>Dette lægemiddel indeholder mindre end 23 mg natrium pr. pose, dvs. det er i det væsentlige natriumfrit.</w:t>
      </w:r>
    </w:p>
    <w:p w14:paraId="50F09A1C" w14:textId="67DFC2EB" w:rsidR="005840B0" w:rsidRDefault="005840B0">
      <w:pPr>
        <w:rPr>
          <w:rFonts w:eastAsia="Courier New"/>
          <w:color w:val="000000"/>
          <w:sz w:val="24"/>
          <w:szCs w:val="24"/>
          <w:lang w:bidi="en-US"/>
        </w:rPr>
      </w:pPr>
      <w:r>
        <w:rPr>
          <w:rFonts w:eastAsia="Courier New"/>
          <w:color w:val="000000"/>
          <w:sz w:val="24"/>
          <w:szCs w:val="24"/>
          <w:lang w:bidi="en-US"/>
        </w:rPr>
        <w:br w:type="page"/>
      </w:r>
    </w:p>
    <w:p w14:paraId="0E45AF97" w14:textId="77777777" w:rsidR="0096570A" w:rsidRPr="00FF6291" w:rsidRDefault="0096570A" w:rsidP="00791D0E">
      <w:pPr>
        <w:ind w:left="851"/>
        <w:rPr>
          <w:rFonts w:eastAsia="Courier New"/>
          <w:color w:val="000000"/>
          <w:sz w:val="24"/>
          <w:szCs w:val="24"/>
          <w:lang w:bidi="en-US"/>
        </w:rPr>
      </w:pPr>
    </w:p>
    <w:p w14:paraId="3954F40C" w14:textId="77777777" w:rsidR="0096570A" w:rsidRPr="00FF6291" w:rsidRDefault="0096570A" w:rsidP="00791D0E">
      <w:pPr>
        <w:ind w:left="851"/>
        <w:rPr>
          <w:rFonts w:eastAsia="Verdana"/>
          <w:i/>
          <w:color w:val="000000"/>
          <w:sz w:val="24"/>
          <w:szCs w:val="24"/>
          <w:lang w:bidi="en-US"/>
        </w:rPr>
      </w:pPr>
      <w:r w:rsidRPr="00FF6291">
        <w:rPr>
          <w:rFonts w:eastAsia="Verdana"/>
          <w:b/>
          <w:color w:val="000000"/>
          <w:sz w:val="24"/>
          <w:szCs w:val="24"/>
          <w:lang w:bidi="da-DK"/>
        </w:rPr>
        <w:t>500 ml pose</w:t>
      </w:r>
      <w:r w:rsidRPr="00FF6291">
        <w:rPr>
          <w:rFonts w:eastAsia="Verdana"/>
          <w:color w:val="000000"/>
          <w:sz w:val="24"/>
          <w:szCs w:val="24"/>
          <w:lang w:bidi="da-DK"/>
        </w:rPr>
        <w:t xml:space="preserve">: </w:t>
      </w:r>
    </w:p>
    <w:p w14:paraId="0B233BF7" w14:textId="64C04761" w:rsidR="0096570A" w:rsidRPr="00FF6291" w:rsidRDefault="0096570A" w:rsidP="00791D0E">
      <w:pPr>
        <w:ind w:left="851"/>
        <w:rPr>
          <w:iCs/>
          <w:sz w:val="24"/>
          <w:szCs w:val="24"/>
        </w:rPr>
      </w:pPr>
      <w:r w:rsidRPr="00FF6291">
        <w:rPr>
          <w:sz w:val="24"/>
          <w:szCs w:val="24"/>
          <w:lang w:bidi="da-DK"/>
        </w:rPr>
        <w:t>Dette lægemiddel indeholder 25,1 mg natrium pr.</w:t>
      </w:r>
      <w:r w:rsidR="00FF6291">
        <w:rPr>
          <w:sz w:val="24"/>
          <w:szCs w:val="24"/>
          <w:lang w:bidi="da-DK"/>
        </w:rPr>
        <w:t xml:space="preserve"> </w:t>
      </w:r>
      <w:r w:rsidRPr="00FF6291">
        <w:rPr>
          <w:sz w:val="24"/>
          <w:szCs w:val="24"/>
          <w:lang w:bidi="da-DK"/>
        </w:rPr>
        <w:t xml:space="preserve">pose, svarende til 1,3 % af den WHO anbefalede maksimale daglige indtagelse af 2 g natrium for en voksen. </w:t>
      </w:r>
    </w:p>
    <w:p w14:paraId="61C030C5" w14:textId="77777777" w:rsidR="0096570A" w:rsidRPr="00FF6291" w:rsidRDefault="0096570A" w:rsidP="00791D0E">
      <w:pPr>
        <w:ind w:left="851"/>
        <w:rPr>
          <w:iCs/>
          <w:sz w:val="24"/>
          <w:szCs w:val="24"/>
        </w:rPr>
      </w:pPr>
    </w:p>
    <w:p w14:paraId="251BDEB1" w14:textId="226DF98A" w:rsidR="0096570A" w:rsidRPr="00FF6291" w:rsidRDefault="0096570A" w:rsidP="00791D0E">
      <w:pPr>
        <w:ind w:left="851"/>
        <w:rPr>
          <w:iCs/>
          <w:sz w:val="24"/>
          <w:szCs w:val="24"/>
        </w:rPr>
      </w:pPr>
      <w:r w:rsidRPr="00FF6291">
        <w:rPr>
          <w:sz w:val="24"/>
          <w:szCs w:val="24"/>
          <w:lang w:bidi="da-DK"/>
        </w:rPr>
        <w:t>Tilsætning af andre lægemidler eller stoffer til lipidemulsioner bør generelt undgås, medmindre kompatibilitet er dokumenteret (se pkt.</w:t>
      </w:r>
      <w:r w:rsidR="005840B0">
        <w:rPr>
          <w:sz w:val="24"/>
          <w:szCs w:val="24"/>
          <w:lang w:bidi="da-DK"/>
        </w:rPr>
        <w:t xml:space="preserve"> </w:t>
      </w:r>
      <w:r w:rsidRPr="00FF6291">
        <w:rPr>
          <w:sz w:val="24"/>
          <w:szCs w:val="24"/>
          <w:lang w:bidi="da-DK"/>
        </w:rPr>
        <w:t>6.2 og 6.6).</w:t>
      </w:r>
    </w:p>
    <w:p w14:paraId="3CD0F19A" w14:textId="77777777" w:rsidR="009260DE" w:rsidRPr="00FF6291" w:rsidRDefault="009260DE" w:rsidP="009260DE">
      <w:pPr>
        <w:tabs>
          <w:tab w:val="left" w:pos="851"/>
        </w:tabs>
        <w:ind w:left="851"/>
        <w:rPr>
          <w:sz w:val="24"/>
          <w:szCs w:val="24"/>
        </w:rPr>
      </w:pPr>
    </w:p>
    <w:p w14:paraId="36D1626F" w14:textId="77777777" w:rsidR="009260DE" w:rsidRPr="00FF6291" w:rsidRDefault="009260DE" w:rsidP="009260DE">
      <w:pPr>
        <w:tabs>
          <w:tab w:val="left" w:pos="851"/>
        </w:tabs>
        <w:ind w:left="851" w:hanging="851"/>
        <w:rPr>
          <w:b/>
          <w:sz w:val="24"/>
          <w:szCs w:val="24"/>
        </w:rPr>
      </w:pPr>
      <w:r w:rsidRPr="00FF6291">
        <w:rPr>
          <w:b/>
          <w:sz w:val="24"/>
          <w:szCs w:val="24"/>
        </w:rPr>
        <w:t>4.5</w:t>
      </w:r>
      <w:r w:rsidRPr="00FF6291">
        <w:rPr>
          <w:b/>
          <w:sz w:val="24"/>
          <w:szCs w:val="24"/>
        </w:rPr>
        <w:tab/>
        <w:t>Interaktion med andre lægemidler og andre former for interaktion</w:t>
      </w:r>
    </w:p>
    <w:p w14:paraId="359601BF" w14:textId="1F737162" w:rsidR="0096570A" w:rsidRPr="00FF6291" w:rsidRDefault="0096570A" w:rsidP="00791D0E">
      <w:pPr>
        <w:ind w:left="851"/>
        <w:rPr>
          <w:iCs/>
          <w:sz w:val="24"/>
          <w:szCs w:val="24"/>
        </w:rPr>
      </w:pPr>
      <w:proofErr w:type="spellStart"/>
      <w:r w:rsidRPr="00FF6291">
        <w:rPr>
          <w:sz w:val="24"/>
          <w:szCs w:val="24"/>
          <w:lang w:bidi="da-DK"/>
        </w:rPr>
        <w:t>Heparin</w:t>
      </w:r>
      <w:proofErr w:type="spellEnd"/>
      <w:r w:rsidRPr="00FF6291">
        <w:rPr>
          <w:sz w:val="24"/>
          <w:szCs w:val="24"/>
          <w:lang w:bidi="da-DK"/>
        </w:rPr>
        <w:t xml:space="preserve"> givet i kliniske doser medfører en forbigående stigning i </w:t>
      </w:r>
      <w:proofErr w:type="spellStart"/>
      <w:r w:rsidRPr="00FF6291">
        <w:rPr>
          <w:sz w:val="24"/>
          <w:szCs w:val="24"/>
          <w:lang w:bidi="da-DK"/>
        </w:rPr>
        <w:t>lipoproteinlipase</w:t>
      </w:r>
      <w:r w:rsidR="004C1097">
        <w:rPr>
          <w:sz w:val="24"/>
          <w:szCs w:val="24"/>
          <w:lang w:bidi="da-DK"/>
        </w:rPr>
        <w:softHyphen/>
      </w:r>
      <w:r w:rsidRPr="00FF6291">
        <w:rPr>
          <w:sz w:val="24"/>
          <w:szCs w:val="24"/>
          <w:lang w:bidi="da-DK"/>
        </w:rPr>
        <w:t>frigivelsen</w:t>
      </w:r>
      <w:proofErr w:type="spellEnd"/>
      <w:r w:rsidRPr="00FF6291">
        <w:rPr>
          <w:sz w:val="24"/>
          <w:szCs w:val="24"/>
          <w:lang w:bidi="da-DK"/>
        </w:rPr>
        <w:t xml:space="preserve"> til kredsløbet. Dette kan indledningsvis føre til øget </w:t>
      </w:r>
      <w:proofErr w:type="spellStart"/>
      <w:r w:rsidRPr="00FF6291">
        <w:rPr>
          <w:sz w:val="24"/>
          <w:szCs w:val="24"/>
          <w:lang w:bidi="da-DK"/>
        </w:rPr>
        <w:t>lipolyse</w:t>
      </w:r>
      <w:proofErr w:type="spellEnd"/>
      <w:r w:rsidRPr="00FF6291">
        <w:rPr>
          <w:sz w:val="24"/>
          <w:szCs w:val="24"/>
          <w:lang w:bidi="da-DK"/>
        </w:rPr>
        <w:t xml:space="preserve"> i plasma efterfulgt af et forbigående fald i </w:t>
      </w:r>
      <w:proofErr w:type="spellStart"/>
      <w:r w:rsidRPr="00FF6291">
        <w:rPr>
          <w:sz w:val="24"/>
          <w:szCs w:val="24"/>
          <w:lang w:bidi="da-DK"/>
        </w:rPr>
        <w:t>triglyceridclearance</w:t>
      </w:r>
      <w:proofErr w:type="spellEnd"/>
      <w:r w:rsidRPr="00FF6291">
        <w:rPr>
          <w:sz w:val="24"/>
          <w:szCs w:val="24"/>
          <w:lang w:bidi="da-DK"/>
        </w:rPr>
        <w:t>.</w:t>
      </w:r>
    </w:p>
    <w:p w14:paraId="56CDD21B" w14:textId="77777777" w:rsidR="0096570A" w:rsidRPr="00FF6291" w:rsidRDefault="0096570A" w:rsidP="00791D0E">
      <w:pPr>
        <w:ind w:left="851"/>
        <w:rPr>
          <w:iCs/>
          <w:sz w:val="24"/>
          <w:szCs w:val="24"/>
        </w:rPr>
      </w:pPr>
    </w:p>
    <w:p w14:paraId="31023EDC" w14:textId="3F7F3B0A" w:rsidR="0096570A" w:rsidRPr="00FF6291" w:rsidRDefault="0096570A" w:rsidP="00791D0E">
      <w:pPr>
        <w:ind w:left="851"/>
        <w:rPr>
          <w:iCs/>
          <w:sz w:val="24"/>
          <w:szCs w:val="24"/>
        </w:rPr>
      </w:pPr>
      <w:r w:rsidRPr="00FF6291">
        <w:rPr>
          <w:sz w:val="24"/>
          <w:szCs w:val="24"/>
          <w:lang w:bidi="da-DK"/>
        </w:rPr>
        <w:t>Sojabønneolie indeholder naturligt vitamin K</w:t>
      </w:r>
      <w:r w:rsidRPr="00FF6291">
        <w:rPr>
          <w:sz w:val="24"/>
          <w:szCs w:val="24"/>
          <w:vertAlign w:val="subscript"/>
          <w:lang w:bidi="da-DK"/>
        </w:rPr>
        <w:t>1</w:t>
      </w:r>
      <w:r w:rsidRPr="00FF6291">
        <w:rPr>
          <w:sz w:val="24"/>
          <w:szCs w:val="24"/>
          <w:lang w:bidi="da-DK"/>
        </w:rPr>
        <w:t xml:space="preserve">. Indholdet er dog så lavt, at det ikke forventes at påvirke koagulationsprocessen signifikant hos patienter, der behandles med </w:t>
      </w:r>
      <w:proofErr w:type="spellStart"/>
      <w:r w:rsidRPr="00FF6291">
        <w:rPr>
          <w:sz w:val="24"/>
          <w:szCs w:val="24"/>
          <w:lang w:bidi="da-DK"/>
        </w:rPr>
        <w:t>kumarinderivater</w:t>
      </w:r>
      <w:proofErr w:type="spellEnd"/>
      <w:r w:rsidRPr="00FF6291">
        <w:rPr>
          <w:sz w:val="24"/>
          <w:szCs w:val="24"/>
          <w:lang w:bidi="da-DK"/>
        </w:rPr>
        <w:t>.</w:t>
      </w:r>
    </w:p>
    <w:p w14:paraId="1186EB3A" w14:textId="77777777" w:rsidR="009260DE" w:rsidRPr="00FF6291" w:rsidRDefault="009260DE" w:rsidP="009260DE">
      <w:pPr>
        <w:tabs>
          <w:tab w:val="left" w:pos="851"/>
        </w:tabs>
        <w:ind w:left="851"/>
        <w:rPr>
          <w:sz w:val="24"/>
          <w:szCs w:val="24"/>
        </w:rPr>
      </w:pPr>
    </w:p>
    <w:p w14:paraId="7FFAD7A0" w14:textId="77777777" w:rsidR="009260DE" w:rsidRPr="00FF6291" w:rsidRDefault="009260DE" w:rsidP="009260DE">
      <w:pPr>
        <w:tabs>
          <w:tab w:val="left" w:pos="851"/>
        </w:tabs>
        <w:ind w:left="851" w:hanging="851"/>
        <w:rPr>
          <w:b/>
          <w:sz w:val="24"/>
          <w:szCs w:val="24"/>
        </w:rPr>
      </w:pPr>
      <w:r w:rsidRPr="00FF6291">
        <w:rPr>
          <w:b/>
          <w:sz w:val="24"/>
          <w:szCs w:val="24"/>
        </w:rPr>
        <w:t>4.6</w:t>
      </w:r>
      <w:r w:rsidRPr="00FF6291">
        <w:rPr>
          <w:b/>
          <w:sz w:val="24"/>
          <w:szCs w:val="24"/>
        </w:rPr>
        <w:tab/>
      </w:r>
      <w:r w:rsidR="0071241E" w:rsidRPr="00FF6291">
        <w:rPr>
          <w:b/>
          <w:sz w:val="24"/>
          <w:szCs w:val="24"/>
        </w:rPr>
        <w:t>Fertilitet, g</w:t>
      </w:r>
      <w:r w:rsidRPr="00FF6291">
        <w:rPr>
          <w:b/>
          <w:sz w:val="24"/>
          <w:szCs w:val="24"/>
        </w:rPr>
        <w:t>raviditet og amning</w:t>
      </w:r>
    </w:p>
    <w:p w14:paraId="14FF04C9" w14:textId="77777777" w:rsidR="0096570A" w:rsidRPr="00FF6291" w:rsidRDefault="0096570A" w:rsidP="00791D0E">
      <w:pPr>
        <w:ind w:left="851"/>
        <w:rPr>
          <w:iCs/>
          <w:sz w:val="24"/>
          <w:szCs w:val="24"/>
        </w:rPr>
      </w:pPr>
      <w:r w:rsidRPr="00FF6291">
        <w:rPr>
          <w:sz w:val="24"/>
          <w:szCs w:val="24"/>
          <w:lang w:bidi="da-DK"/>
        </w:rPr>
        <w:t>Der findes ingen tilgængelig data om anvendelsen af lipidemulsioner til gravide eller ammende kvinder. Der er ikke udført dyreforsøg vedrørende reproduktionstoksicitet. Parenteral ernæring kan være nødvendig under graviditet og amning. Lipidemulsioner bør kun gives til gravide og ammende kvinder efter nøje overvejelser.</w:t>
      </w:r>
    </w:p>
    <w:p w14:paraId="07414CA6" w14:textId="77777777" w:rsidR="009260DE" w:rsidRPr="00FF6291" w:rsidRDefault="009260DE" w:rsidP="009260DE">
      <w:pPr>
        <w:tabs>
          <w:tab w:val="left" w:pos="851"/>
        </w:tabs>
        <w:ind w:left="851"/>
        <w:rPr>
          <w:sz w:val="24"/>
          <w:szCs w:val="24"/>
        </w:rPr>
      </w:pPr>
    </w:p>
    <w:p w14:paraId="6F26236A" w14:textId="77777777" w:rsidR="009260DE" w:rsidRPr="00FF6291" w:rsidRDefault="009260DE" w:rsidP="009260DE">
      <w:pPr>
        <w:tabs>
          <w:tab w:val="left" w:pos="851"/>
        </w:tabs>
        <w:ind w:left="851" w:hanging="851"/>
        <w:rPr>
          <w:b/>
          <w:sz w:val="24"/>
          <w:szCs w:val="24"/>
        </w:rPr>
      </w:pPr>
      <w:r w:rsidRPr="00FF6291">
        <w:rPr>
          <w:b/>
          <w:sz w:val="24"/>
          <w:szCs w:val="24"/>
        </w:rPr>
        <w:t>4.7</w:t>
      </w:r>
      <w:r w:rsidRPr="00FF6291">
        <w:rPr>
          <w:b/>
          <w:sz w:val="24"/>
          <w:szCs w:val="24"/>
        </w:rPr>
        <w:tab/>
        <w:t xml:space="preserve">Virkning på evnen til at føre motorkøretøj </w:t>
      </w:r>
      <w:r w:rsidR="0071241E" w:rsidRPr="00FF6291">
        <w:rPr>
          <w:b/>
          <w:sz w:val="24"/>
          <w:szCs w:val="24"/>
        </w:rPr>
        <w:t>og</w:t>
      </w:r>
      <w:r w:rsidRPr="00FF6291">
        <w:rPr>
          <w:b/>
          <w:sz w:val="24"/>
          <w:szCs w:val="24"/>
        </w:rPr>
        <w:t xml:space="preserve"> betjene maskiner</w:t>
      </w:r>
    </w:p>
    <w:p w14:paraId="54A028DB" w14:textId="77777777" w:rsidR="0096570A" w:rsidRPr="00FF6291" w:rsidRDefault="0096570A" w:rsidP="00791D0E">
      <w:pPr>
        <w:ind w:left="851"/>
        <w:rPr>
          <w:iCs/>
          <w:sz w:val="24"/>
          <w:szCs w:val="24"/>
        </w:rPr>
      </w:pPr>
      <w:r w:rsidRPr="00FF6291">
        <w:rPr>
          <w:sz w:val="24"/>
          <w:szCs w:val="24"/>
          <w:lang w:bidi="da-DK"/>
        </w:rPr>
        <w:t>Ikke relevant</w:t>
      </w:r>
    </w:p>
    <w:p w14:paraId="46EC7905" w14:textId="77777777" w:rsidR="009260DE" w:rsidRPr="00FF6291" w:rsidRDefault="009260DE" w:rsidP="009260DE">
      <w:pPr>
        <w:tabs>
          <w:tab w:val="left" w:pos="851"/>
        </w:tabs>
        <w:ind w:left="851"/>
        <w:rPr>
          <w:sz w:val="24"/>
          <w:szCs w:val="24"/>
        </w:rPr>
      </w:pPr>
    </w:p>
    <w:p w14:paraId="78EB98EB" w14:textId="77777777" w:rsidR="009260DE" w:rsidRPr="00FF6291" w:rsidRDefault="009260DE" w:rsidP="009260DE">
      <w:pPr>
        <w:tabs>
          <w:tab w:val="left" w:pos="851"/>
        </w:tabs>
        <w:ind w:left="851" w:hanging="851"/>
        <w:rPr>
          <w:b/>
          <w:sz w:val="24"/>
          <w:szCs w:val="24"/>
        </w:rPr>
      </w:pPr>
      <w:r w:rsidRPr="00FF6291">
        <w:rPr>
          <w:b/>
          <w:sz w:val="24"/>
          <w:szCs w:val="24"/>
        </w:rPr>
        <w:t>4.8</w:t>
      </w:r>
      <w:r w:rsidRPr="00FF6291">
        <w:rPr>
          <w:b/>
          <w:sz w:val="24"/>
          <w:szCs w:val="24"/>
        </w:rPr>
        <w:tab/>
        <w:t>Bivirkninger</w:t>
      </w:r>
    </w:p>
    <w:p w14:paraId="157B174F" w14:textId="77777777" w:rsidR="0096570A" w:rsidRPr="00FF6291" w:rsidRDefault="0096570A" w:rsidP="00791D0E">
      <w:pPr>
        <w:ind w:left="851"/>
        <w:rPr>
          <w:iCs/>
          <w:sz w:val="24"/>
          <w:szCs w:val="24"/>
        </w:rPr>
      </w:pPr>
      <w:r w:rsidRPr="00FF6291">
        <w:rPr>
          <w:sz w:val="24"/>
          <w:szCs w:val="24"/>
          <w:lang w:bidi="da-DK"/>
        </w:rPr>
        <w:t>Bivirkninger observeret under administration af lipidemulsioner:</w:t>
      </w:r>
    </w:p>
    <w:p w14:paraId="2E39FCB4" w14:textId="77777777" w:rsidR="0096570A" w:rsidRPr="00FF6291" w:rsidRDefault="0096570A" w:rsidP="00791D0E">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47"/>
        <w:gridCol w:w="1870"/>
        <w:gridCol w:w="1870"/>
        <w:gridCol w:w="1870"/>
        <w:gridCol w:w="1871"/>
      </w:tblGrid>
      <w:tr w:rsidR="00FF6291" w:rsidRPr="00FF6291" w14:paraId="7AEBDCDE" w14:textId="77777777" w:rsidTr="00791D0E">
        <w:trPr>
          <w:trHeight w:val="505"/>
          <w:tblHeader/>
        </w:trPr>
        <w:tc>
          <w:tcPr>
            <w:tcW w:w="1092" w:type="pct"/>
            <w:tcBorders>
              <w:top w:val="single" w:sz="4" w:space="0" w:color="000000"/>
              <w:left w:val="single" w:sz="4" w:space="0" w:color="000000"/>
              <w:bottom w:val="single" w:sz="4" w:space="0" w:color="000000"/>
              <w:right w:val="single" w:sz="4" w:space="0" w:color="000000"/>
            </w:tcBorders>
          </w:tcPr>
          <w:p w14:paraId="01A0586A" w14:textId="77777777" w:rsidR="0096570A" w:rsidRPr="00FF6291" w:rsidRDefault="0096570A" w:rsidP="00791D0E">
            <w:pPr>
              <w:pStyle w:val="TableParagraph"/>
              <w:keepNext/>
              <w:keepLines/>
              <w:spacing w:line="240" w:lineRule="auto"/>
              <w:ind w:left="70"/>
              <w:rPr>
                <w:i/>
                <w:iCs/>
                <w:kern w:val="2"/>
                <w:sz w:val="24"/>
                <w:szCs w:val="24"/>
                <w:lang w:val="da-DK"/>
                <w14:ligatures w14:val="standardContextual"/>
              </w:rPr>
            </w:pPr>
          </w:p>
        </w:tc>
        <w:tc>
          <w:tcPr>
            <w:tcW w:w="977" w:type="pct"/>
            <w:tcBorders>
              <w:top w:val="single" w:sz="4" w:space="0" w:color="000000"/>
              <w:left w:val="single" w:sz="4" w:space="0" w:color="000000"/>
              <w:bottom w:val="single" w:sz="4" w:space="0" w:color="000000"/>
              <w:right w:val="single" w:sz="4" w:space="0" w:color="000000"/>
            </w:tcBorders>
            <w:hideMark/>
          </w:tcPr>
          <w:p w14:paraId="7F6C97DF" w14:textId="77777777" w:rsidR="0096570A" w:rsidRPr="00FF6291" w:rsidRDefault="0096570A" w:rsidP="00791D0E">
            <w:pPr>
              <w:pStyle w:val="TableParagraph"/>
              <w:keepNext/>
              <w:keepLines/>
              <w:spacing w:line="240" w:lineRule="auto"/>
              <w:ind w:left="103"/>
              <w:rPr>
                <w:i/>
                <w:iCs/>
                <w:kern w:val="2"/>
                <w:sz w:val="24"/>
                <w:szCs w:val="24"/>
                <w14:ligatures w14:val="standardContextual"/>
              </w:rPr>
            </w:pPr>
            <w:r w:rsidRPr="00FF6291">
              <w:rPr>
                <w:i/>
                <w:kern w:val="2"/>
                <w:sz w:val="24"/>
                <w:szCs w:val="24"/>
                <w:lang w:val="da-DK" w:bidi="da-DK"/>
                <w14:ligatures w14:val="standardContextual"/>
              </w:rPr>
              <w:t xml:space="preserve">Almindelig </w:t>
            </w:r>
          </w:p>
          <w:p w14:paraId="040B3D27" w14:textId="77777777" w:rsidR="0096570A" w:rsidRPr="00FF6291" w:rsidRDefault="0096570A" w:rsidP="00791D0E">
            <w:pPr>
              <w:pStyle w:val="TableParagraph"/>
              <w:keepNext/>
              <w:keepLines/>
              <w:spacing w:line="240" w:lineRule="auto"/>
              <w:ind w:left="103"/>
              <w:rPr>
                <w:i/>
                <w:iCs/>
                <w:kern w:val="2"/>
                <w:sz w:val="24"/>
                <w:szCs w:val="24"/>
                <w14:ligatures w14:val="standardContextual"/>
              </w:rPr>
            </w:pPr>
            <w:r w:rsidRPr="00FF6291">
              <w:rPr>
                <w:i/>
                <w:kern w:val="2"/>
                <w:sz w:val="24"/>
                <w:szCs w:val="24"/>
                <w:lang w:val="da-DK" w:bidi="da-DK"/>
                <w14:ligatures w14:val="standardContextual"/>
              </w:rPr>
              <w:t>(≥1/100 til &lt;1/10)</w:t>
            </w:r>
          </w:p>
        </w:tc>
        <w:tc>
          <w:tcPr>
            <w:tcW w:w="977" w:type="pct"/>
            <w:tcBorders>
              <w:top w:val="single" w:sz="4" w:space="0" w:color="000000"/>
              <w:left w:val="single" w:sz="4" w:space="0" w:color="000000"/>
              <w:bottom w:val="single" w:sz="4" w:space="0" w:color="000000"/>
              <w:right w:val="single" w:sz="4" w:space="0" w:color="000000"/>
            </w:tcBorders>
            <w:hideMark/>
          </w:tcPr>
          <w:p w14:paraId="3E35B8D7" w14:textId="77777777" w:rsidR="0096570A" w:rsidRPr="00FF6291" w:rsidRDefault="0096570A" w:rsidP="00791D0E">
            <w:pPr>
              <w:pStyle w:val="TableParagraph"/>
              <w:keepNext/>
              <w:keepLines/>
              <w:spacing w:line="240" w:lineRule="auto"/>
              <w:ind w:left="57"/>
              <w:rPr>
                <w:i/>
                <w:iCs/>
                <w:kern w:val="2"/>
                <w:sz w:val="24"/>
                <w:szCs w:val="24"/>
                <w14:ligatures w14:val="standardContextual"/>
              </w:rPr>
            </w:pPr>
            <w:r w:rsidRPr="00FF6291">
              <w:rPr>
                <w:i/>
                <w:kern w:val="2"/>
                <w:sz w:val="24"/>
                <w:szCs w:val="24"/>
                <w:lang w:val="da-DK" w:bidi="da-DK"/>
                <w14:ligatures w14:val="standardContextual"/>
              </w:rPr>
              <w:t>Ikke almindelig</w:t>
            </w:r>
          </w:p>
          <w:p w14:paraId="2E00E85F" w14:textId="77777777" w:rsidR="0096570A" w:rsidRPr="00FF6291" w:rsidRDefault="0096570A" w:rsidP="00791D0E">
            <w:pPr>
              <w:pStyle w:val="TableParagraph"/>
              <w:keepNext/>
              <w:keepLines/>
              <w:spacing w:line="240" w:lineRule="auto"/>
              <w:ind w:left="57"/>
              <w:rPr>
                <w:i/>
                <w:iCs/>
                <w:kern w:val="2"/>
                <w:sz w:val="24"/>
                <w:szCs w:val="24"/>
                <w14:ligatures w14:val="standardContextual"/>
              </w:rPr>
            </w:pPr>
            <w:r w:rsidRPr="00FF6291">
              <w:rPr>
                <w:i/>
                <w:kern w:val="2"/>
                <w:sz w:val="24"/>
                <w:szCs w:val="24"/>
                <w:lang w:val="da-DK" w:bidi="da-DK"/>
                <w14:ligatures w14:val="standardContextual"/>
              </w:rPr>
              <w:t>(≥1/1000 til</w:t>
            </w:r>
          </w:p>
          <w:p w14:paraId="73DF5D4D" w14:textId="77777777" w:rsidR="0096570A" w:rsidRPr="00FF6291" w:rsidRDefault="0096570A" w:rsidP="00791D0E">
            <w:pPr>
              <w:pStyle w:val="TableParagraph"/>
              <w:keepNext/>
              <w:keepLines/>
              <w:spacing w:line="240" w:lineRule="auto"/>
              <w:ind w:left="57"/>
              <w:rPr>
                <w:i/>
                <w:iCs/>
                <w:kern w:val="2"/>
                <w:sz w:val="24"/>
                <w:szCs w:val="24"/>
                <w14:ligatures w14:val="standardContextual"/>
              </w:rPr>
            </w:pPr>
            <w:r w:rsidRPr="00FF6291">
              <w:rPr>
                <w:i/>
                <w:kern w:val="2"/>
                <w:sz w:val="24"/>
                <w:szCs w:val="24"/>
                <w:lang w:val="da-DK" w:bidi="da-DK"/>
                <w14:ligatures w14:val="standardContextual"/>
              </w:rPr>
              <w:t>&lt;1/100)</w:t>
            </w:r>
          </w:p>
        </w:tc>
        <w:tc>
          <w:tcPr>
            <w:tcW w:w="977" w:type="pct"/>
            <w:tcBorders>
              <w:top w:val="single" w:sz="4" w:space="0" w:color="000000"/>
              <w:left w:val="single" w:sz="4" w:space="0" w:color="000000"/>
              <w:bottom w:val="single" w:sz="4" w:space="0" w:color="000000"/>
              <w:right w:val="single" w:sz="4" w:space="0" w:color="000000"/>
            </w:tcBorders>
            <w:hideMark/>
          </w:tcPr>
          <w:p w14:paraId="5B0B362D" w14:textId="77777777" w:rsidR="0096570A" w:rsidRPr="00FF6291" w:rsidRDefault="0096570A" w:rsidP="00791D0E">
            <w:pPr>
              <w:pStyle w:val="TableParagraph"/>
              <w:keepNext/>
              <w:keepLines/>
              <w:spacing w:line="240" w:lineRule="auto"/>
              <w:ind w:left="150"/>
              <w:rPr>
                <w:i/>
                <w:iCs/>
                <w:kern w:val="2"/>
                <w:sz w:val="24"/>
                <w:szCs w:val="24"/>
                <w14:ligatures w14:val="standardContextual"/>
              </w:rPr>
            </w:pPr>
            <w:r w:rsidRPr="00FF6291">
              <w:rPr>
                <w:i/>
                <w:kern w:val="2"/>
                <w:sz w:val="24"/>
                <w:szCs w:val="24"/>
                <w:lang w:val="da-DK" w:bidi="da-DK"/>
                <w14:ligatures w14:val="standardContextual"/>
              </w:rPr>
              <w:t>Sjælden</w:t>
            </w:r>
          </w:p>
          <w:p w14:paraId="582A4911" w14:textId="77777777" w:rsidR="0096570A" w:rsidRPr="00FF6291" w:rsidRDefault="0096570A" w:rsidP="00791D0E">
            <w:pPr>
              <w:pStyle w:val="TableParagraph"/>
              <w:keepNext/>
              <w:keepLines/>
              <w:spacing w:line="240" w:lineRule="auto"/>
              <w:ind w:left="150"/>
              <w:rPr>
                <w:i/>
                <w:iCs/>
                <w:kern w:val="2"/>
                <w:sz w:val="24"/>
                <w:szCs w:val="24"/>
                <w14:ligatures w14:val="standardContextual"/>
              </w:rPr>
            </w:pPr>
            <w:r w:rsidRPr="00FF6291">
              <w:rPr>
                <w:i/>
                <w:kern w:val="2"/>
                <w:sz w:val="24"/>
                <w:szCs w:val="24"/>
                <w:lang w:val="da-DK" w:bidi="da-DK"/>
                <w14:ligatures w14:val="standardContextual"/>
              </w:rPr>
              <w:t>(≥1/10 000 til</w:t>
            </w:r>
          </w:p>
          <w:p w14:paraId="69420084" w14:textId="77777777" w:rsidR="0096570A" w:rsidRPr="00FF6291" w:rsidRDefault="0096570A" w:rsidP="00791D0E">
            <w:pPr>
              <w:pStyle w:val="TableParagraph"/>
              <w:keepNext/>
              <w:keepLines/>
              <w:spacing w:line="240" w:lineRule="auto"/>
              <w:ind w:left="150"/>
              <w:rPr>
                <w:i/>
                <w:iCs/>
                <w:kern w:val="2"/>
                <w:sz w:val="24"/>
                <w:szCs w:val="24"/>
                <w14:ligatures w14:val="standardContextual"/>
              </w:rPr>
            </w:pPr>
            <w:r w:rsidRPr="00FF6291">
              <w:rPr>
                <w:i/>
                <w:kern w:val="2"/>
                <w:sz w:val="24"/>
                <w:szCs w:val="24"/>
                <w:lang w:val="da-DK" w:bidi="da-DK"/>
                <w14:ligatures w14:val="standardContextual"/>
              </w:rPr>
              <w:t>&lt;1/1000)</w:t>
            </w:r>
          </w:p>
        </w:tc>
        <w:tc>
          <w:tcPr>
            <w:tcW w:w="978" w:type="pct"/>
            <w:tcBorders>
              <w:top w:val="single" w:sz="4" w:space="0" w:color="000000"/>
              <w:left w:val="single" w:sz="4" w:space="0" w:color="000000"/>
              <w:bottom w:val="single" w:sz="4" w:space="0" w:color="000000"/>
              <w:right w:val="single" w:sz="4" w:space="0" w:color="000000"/>
            </w:tcBorders>
            <w:hideMark/>
          </w:tcPr>
          <w:p w14:paraId="241AC503" w14:textId="77777777" w:rsidR="0096570A" w:rsidRPr="00FF6291" w:rsidRDefault="0096570A" w:rsidP="00791D0E">
            <w:pPr>
              <w:pStyle w:val="TableParagraph"/>
              <w:keepNext/>
              <w:keepLines/>
              <w:spacing w:line="240" w:lineRule="auto"/>
              <w:ind w:left="110"/>
              <w:rPr>
                <w:i/>
                <w:iCs/>
                <w:kern w:val="2"/>
                <w:sz w:val="24"/>
                <w:szCs w:val="24"/>
                <w14:ligatures w14:val="standardContextual"/>
              </w:rPr>
            </w:pPr>
            <w:r w:rsidRPr="00FF6291">
              <w:rPr>
                <w:i/>
                <w:kern w:val="2"/>
                <w:sz w:val="24"/>
                <w:szCs w:val="24"/>
                <w:lang w:val="da-DK" w:bidi="da-DK"/>
                <w14:ligatures w14:val="standardContextual"/>
              </w:rPr>
              <w:t>Meget sjælden</w:t>
            </w:r>
          </w:p>
          <w:p w14:paraId="3204BDA3" w14:textId="77777777" w:rsidR="0096570A" w:rsidRPr="00FF6291" w:rsidRDefault="0096570A" w:rsidP="00791D0E">
            <w:pPr>
              <w:pStyle w:val="TableParagraph"/>
              <w:keepNext/>
              <w:keepLines/>
              <w:spacing w:line="240" w:lineRule="auto"/>
              <w:ind w:left="110"/>
              <w:rPr>
                <w:i/>
                <w:iCs/>
                <w:kern w:val="2"/>
                <w:sz w:val="24"/>
                <w:szCs w:val="24"/>
                <w14:ligatures w14:val="standardContextual"/>
              </w:rPr>
            </w:pPr>
            <w:r w:rsidRPr="00FF6291">
              <w:rPr>
                <w:i/>
                <w:kern w:val="2"/>
                <w:sz w:val="24"/>
                <w:szCs w:val="24"/>
                <w:lang w:val="da-DK" w:bidi="da-DK"/>
                <w14:ligatures w14:val="standardContextual"/>
              </w:rPr>
              <w:t>1/10 000</w:t>
            </w:r>
          </w:p>
        </w:tc>
      </w:tr>
      <w:tr w:rsidR="00FF6291" w:rsidRPr="00FF6291" w14:paraId="37B060D0" w14:textId="77777777" w:rsidTr="00791D0E">
        <w:trPr>
          <w:trHeight w:val="505"/>
        </w:trPr>
        <w:tc>
          <w:tcPr>
            <w:tcW w:w="1092" w:type="pct"/>
            <w:tcBorders>
              <w:top w:val="single" w:sz="4" w:space="0" w:color="000000"/>
              <w:left w:val="single" w:sz="4" w:space="0" w:color="000000"/>
              <w:bottom w:val="single" w:sz="4" w:space="0" w:color="000000"/>
              <w:right w:val="single" w:sz="4" w:space="0" w:color="000000"/>
            </w:tcBorders>
            <w:hideMark/>
          </w:tcPr>
          <w:p w14:paraId="45853BDD" w14:textId="77777777" w:rsidR="0096570A" w:rsidRPr="00FF6291" w:rsidRDefault="0096570A" w:rsidP="00791D0E">
            <w:pPr>
              <w:pStyle w:val="TableParagraph"/>
              <w:keepNext/>
              <w:keepLines/>
              <w:spacing w:line="240" w:lineRule="auto"/>
              <w:ind w:left="70"/>
              <w:rPr>
                <w:i/>
                <w:kern w:val="2"/>
                <w:sz w:val="24"/>
                <w:szCs w:val="24"/>
                <w14:ligatures w14:val="standardContextual"/>
              </w:rPr>
            </w:pPr>
            <w:proofErr w:type="spellStart"/>
            <w:r w:rsidRPr="00FF6291">
              <w:rPr>
                <w:i/>
                <w:kern w:val="2"/>
                <w:sz w:val="24"/>
                <w:szCs w:val="24"/>
                <w:lang w:val="da-DK" w:bidi="da-DK"/>
                <w14:ligatures w14:val="standardContextual"/>
              </w:rPr>
              <w:t>Vaskulære</w:t>
            </w:r>
            <w:proofErr w:type="spellEnd"/>
            <w:r w:rsidRPr="00FF6291">
              <w:rPr>
                <w:i/>
                <w:kern w:val="2"/>
                <w:sz w:val="24"/>
                <w:szCs w:val="24"/>
                <w:lang w:val="da-DK" w:bidi="da-DK"/>
                <w14:ligatures w14:val="standardContextual"/>
              </w:rPr>
              <w:t xml:space="preserve"> sygdomme</w:t>
            </w:r>
          </w:p>
        </w:tc>
        <w:tc>
          <w:tcPr>
            <w:tcW w:w="977" w:type="pct"/>
            <w:tcBorders>
              <w:top w:val="single" w:sz="4" w:space="0" w:color="000000"/>
              <w:left w:val="single" w:sz="4" w:space="0" w:color="000000"/>
              <w:bottom w:val="single" w:sz="4" w:space="0" w:color="000000"/>
              <w:right w:val="single" w:sz="4" w:space="0" w:color="000000"/>
            </w:tcBorders>
          </w:tcPr>
          <w:p w14:paraId="23567A02" w14:textId="77777777" w:rsidR="0096570A" w:rsidRPr="00FF6291" w:rsidRDefault="0096570A" w:rsidP="00791D0E">
            <w:pPr>
              <w:pStyle w:val="TableParagraph"/>
              <w:keepNext/>
              <w:keepLines/>
              <w:spacing w:line="240" w:lineRule="auto"/>
              <w:ind w:left="103"/>
              <w:rPr>
                <w:kern w:val="2"/>
                <w:sz w:val="24"/>
                <w:szCs w:val="24"/>
                <w14:ligatures w14:val="standardContextual"/>
              </w:rPr>
            </w:pPr>
          </w:p>
        </w:tc>
        <w:tc>
          <w:tcPr>
            <w:tcW w:w="977" w:type="pct"/>
            <w:tcBorders>
              <w:top w:val="single" w:sz="4" w:space="0" w:color="000000"/>
              <w:left w:val="single" w:sz="4" w:space="0" w:color="000000"/>
              <w:bottom w:val="single" w:sz="4" w:space="0" w:color="000000"/>
              <w:right w:val="single" w:sz="4" w:space="0" w:color="000000"/>
            </w:tcBorders>
          </w:tcPr>
          <w:p w14:paraId="479367B5" w14:textId="77777777" w:rsidR="0096570A" w:rsidRPr="00FF6291" w:rsidRDefault="0096570A" w:rsidP="00791D0E">
            <w:pPr>
              <w:pStyle w:val="TableParagraph"/>
              <w:keepNext/>
              <w:keepLines/>
              <w:spacing w:line="240" w:lineRule="auto"/>
              <w:ind w:left="57"/>
              <w:rPr>
                <w:kern w:val="2"/>
                <w:sz w:val="24"/>
                <w:szCs w:val="24"/>
                <w14:ligatures w14:val="standardContextual"/>
              </w:rPr>
            </w:pPr>
          </w:p>
        </w:tc>
        <w:tc>
          <w:tcPr>
            <w:tcW w:w="977" w:type="pct"/>
            <w:tcBorders>
              <w:top w:val="single" w:sz="4" w:space="0" w:color="000000"/>
              <w:left w:val="single" w:sz="4" w:space="0" w:color="000000"/>
              <w:bottom w:val="single" w:sz="4" w:space="0" w:color="000000"/>
              <w:right w:val="single" w:sz="4" w:space="0" w:color="000000"/>
            </w:tcBorders>
            <w:hideMark/>
          </w:tcPr>
          <w:p w14:paraId="7CFE6171" w14:textId="77777777" w:rsidR="0096570A" w:rsidRPr="00FF6291" w:rsidRDefault="0096570A" w:rsidP="00791D0E">
            <w:pPr>
              <w:pStyle w:val="TableParagraph"/>
              <w:keepNext/>
              <w:keepLines/>
              <w:spacing w:line="240" w:lineRule="auto"/>
              <w:ind w:left="150"/>
              <w:rPr>
                <w:kern w:val="2"/>
                <w:sz w:val="24"/>
                <w:szCs w:val="24"/>
                <w14:ligatures w14:val="standardContextual"/>
              </w:rPr>
            </w:pPr>
            <w:r w:rsidRPr="00FF6291">
              <w:rPr>
                <w:kern w:val="2"/>
                <w:sz w:val="24"/>
                <w:szCs w:val="24"/>
                <w:lang w:val="da-DK" w:bidi="da-DK"/>
                <w14:ligatures w14:val="standardContextual"/>
              </w:rPr>
              <w:t>Hypotension, hypertension</w:t>
            </w:r>
          </w:p>
        </w:tc>
        <w:tc>
          <w:tcPr>
            <w:tcW w:w="978" w:type="pct"/>
            <w:tcBorders>
              <w:top w:val="single" w:sz="4" w:space="0" w:color="000000"/>
              <w:left w:val="single" w:sz="4" w:space="0" w:color="000000"/>
              <w:bottom w:val="single" w:sz="4" w:space="0" w:color="000000"/>
              <w:right w:val="single" w:sz="4" w:space="0" w:color="000000"/>
            </w:tcBorders>
          </w:tcPr>
          <w:p w14:paraId="45ED3252" w14:textId="77777777" w:rsidR="0096570A" w:rsidRPr="00FF6291" w:rsidRDefault="0096570A" w:rsidP="00791D0E">
            <w:pPr>
              <w:pStyle w:val="TableParagraph"/>
              <w:keepNext/>
              <w:keepLines/>
              <w:spacing w:line="240" w:lineRule="auto"/>
              <w:ind w:left="110"/>
              <w:rPr>
                <w:kern w:val="2"/>
                <w:sz w:val="24"/>
                <w:szCs w:val="24"/>
                <w14:ligatures w14:val="standardContextual"/>
              </w:rPr>
            </w:pPr>
          </w:p>
        </w:tc>
      </w:tr>
      <w:tr w:rsidR="00FF6291" w:rsidRPr="00FF6291" w14:paraId="10857462" w14:textId="77777777" w:rsidTr="00791D0E">
        <w:trPr>
          <w:trHeight w:val="505"/>
        </w:trPr>
        <w:tc>
          <w:tcPr>
            <w:tcW w:w="1092" w:type="pct"/>
            <w:tcBorders>
              <w:top w:val="single" w:sz="4" w:space="0" w:color="000000"/>
              <w:left w:val="single" w:sz="4" w:space="0" w:color="000000"/>
              <w:bottom w:val="single" w:sz="4" w:space="0" w:color="000000"/>
              <w:right w:val="single" w:sz="4" w:space="0" w:color="000000"/>
            </w:tcBorders>
            <w:hideMark/>
          </w:tcPr>
          <w:p w14:paraId="047ECA0F" w14:textId="77777777" w:rsidR="0096570A" w:rsidRPr="00FF6291" w:rsidRDefault="0096570A" w:rsidP="00791D0E">
            <w:pPr>
              <w:pStyle w:val="TableParagraph"/>
              <w:spacing w:line="240" w:lineRule="auto"/>
              <w:ind w:left="70"/>
              <w:rPr>
                <w:i/>
                <w:kern w:val="2"/>
                <w:sz w:val="24"/>
                <w:szCs w:val="24"/>
                <w:lang w:val="da-DK"/>
                <w14:ligatures w14:val="standardContextual"/>
              </w:rPr>
            </w:pPr>
            <w:r w:rsidRPr="00FF6291">
              <w:rPr>
                <w:i/>
                <w:kern w:val="2"/>
                <w:sz w:val="24"/>
                <w:szCs w:val="24"/>
                <w:lang w:val="da-DK" w:bidi="da-DK"/>
                <w14:ligatures w14:val="standardContextual"/>
              </w:rPr>
              <w:t xml:space="preserve">Luftveje, thorax og </w:t>
            </w:r>
            <w:proofErr w:type="spellStart"/>
            <w:r w:rsidRPr="00FF6291">
              <w:rPr>
                <w:i/>
                <w:kern w:val="2"/>
                <w:sz w:val="24"/>
                <w:szCs w:val="24"/>
                <w:lang w:val="da-DK" w:bidi="da-DK"/>
                <w14:ligatures w14:val="standardContextual"/>
              </w:rPr>
              <w:t>mediastinum</w:t>
            </w:r>
            <w:proofErr w:type="spellEnd"/>
            <w:r w:rsidRPr="00FF6291">
              <w:rPr>
                <w:i/>
                <w:kern w:val="2"/>
                <w:sz w:val="24"/>
                <w:szCs w:val="24"/>
                <w:lang w:val="da-DK" w:bidi="da-DK"/>
                <w14:ligatures w14:val="standardContextual"/>
              </w:rPr>
              <w:t xml:space="preserve">  </w:t>
            </w:r>
          </w:p>
        </w:tc>
        <w:tc>
          <w:tcPr>
            <w:tcW w:w="977" w:type="pct"/>
            <w:tcBorders>
              <w:top w:val="single" w:sz="4" w:space="0" w:color="000000"/>
              <w:left w:val="single" w:sz="4" w:space="0" w:color="000000"/>
              <w:bottom w:val="single" w:sz="4" w:space="0" w:color="000000"/>
              <w:right w:val="single" w:sz="4" w:space="0" w:color="000000"/>
            </w:tcBorders>
          </w:tcPr>
          <w:p w14:paraId="0F1A414C" w14:textId="77777777" w:rsidR="0096570A" w:rsidRPr="00FF6291" w:rsidRDefault="0096570A" w:rsidP="00791D0E">
            <w:pPr>
              <w:pStyle w:val="TableParagraph"/>
              <w:spacing w:line="240" w:lineRule="auto"/>
              <w:ind w:left="103"/>
              <w:rPr>
                <w:kern w:val="2"/>
                <w:sz w:val="24"/>
                <w:szCs w:val="24"/>
                <w:lang w:val="da-DK"/>
                <w14:ligatures w14:val="standardContextual"/>
              </w:rPr>
            </w:pPr>
          </w:p>
        </w:tc>
        <w:tc>
          <w:tcPr>
            <w:tcW w:w="977" w:type="pct"/>
            <w:tcBorders>
              <w:top w:val="single" w:sz="4" w:space="0" w:color="000000"/>
              <w:left w:val="single" w:sz="4" w:space="0" w:color="000000"/>
              <w:bottom w:val="single" w:sz="4" w:space="0" w:color="000000"/>
              <w:right w:val="single" w:sz="4" w:space="0" w:color="000000"/>
            </w:tcBorders>
          </w:tcPr>
          <w:p w14:paraId="7D47BBA6" w14:textId="77777777" w:rsidR="0096570A" w:rsidRPr="00FF6291" w:rsidRDefault="0096570A" w:rsidP="00791D0E">
            <w:pPr>
              <w:pStyle w:val="TableParagraph"/>
              <w:spacing w:line="240" w:lineRule="auto"/>
              <w:ind w:left="57"/>
              <w:rPr>
                <w:kern w:val="2"/>
                <w:sz w:val="24"/>
                <w:szCs w:val="24"/>
                <w:lang w:val="da-DK"/>
                <w14:ligatures w14:val="standardContextual"/>
              </w:rPr>
            </w:pPr>
          </w:p>
        </w:tc>
        <w:tc>
          <w:tcPr>
            <w:tcW w:w="977" w:type="pct"/>
            <w:tcBorders>
              <w:top w:val="single" w:sz="4" w:space="0" w:color="000000"/>
              <w:left w:val="single" w:sz="4" w:space="0" w:color="000000"/>
              <w:bottom w:val="single" w:sz="4" w:space="0" w:color="000000"/>
              <w:right w:val="single" w:sz="4" w:space="0" w:color="000000"/>
            </w:tcBorders>
            <w:hideMark/>
          </w:tcPr>
          <w:p w14:paraId="43F6D49A" w14:textId="77777777" w:rsidR="0096570A" w:rsidRPr="00FF6291" w:rsidRDefault="0096570A" w:rsidP="00791D0E">
            <w:pPr>
              <w:pStyle w:val="TableParagraph"/>
              <w:spacing w:line="240" w:lineRule="auto"/>
              <w:ind w:left="150"/>
              <w:rPr>
                <w:kern w:val="2"/>
                <w:sz w:val="24"/>
                <w:szCs w:val="24"/>
                <w14:ligatures w14:val="standardContextual"/>
              </w:rPr>
            </w:pPr>
            <w:r w:rsidRPr="00FF6291">
              <w:rPr>
                <w:kern w:val="2"/>
                <w:sz w:val="24"/>
                <w:szCs w:val="24"/>
                <w:lang w:val="da-DK" w:bidi="da-DK"/>
                <w14:ligatures w14:val="standardContextual"/>
              </w:rPr>
              <w:t>Dyspnø</w:t>
            </w:r>
          </w:p>
        </w:tc>
        <w:tc>
          <w:tcPr>
            <w:tcW w:w="978" w:type="pct"/>
            <w:tcBorders>
              <w:top w:val="single" w:sz="4" w:space="0" w:color="000000"/>
              <w:left w:val="single" w:sz="4" w:space="0" w:color="000000"/>
              <w:bottom w:val="single" w:sz="4" w:space="0" w:color="000000"/>
              <w:right w:val="single" w:sz="4" w:space="0" w:color="000000"/>
            </w:tcBorders>
          </w:tcPr>
          <w:p w14:paraId="6F46F72D" w14:textId="77777777" w:rsidR="0096570A" w:rsidRPr="00FF6291" w:rsidRDefault="0096570A" w:rsidP="00791D0E">
            <w:pPr>
              <w:pStyle w:val="TableParagraph"/>
              <w:spacing w:line="240" w:lineRule="auto"/>
              <w:ind w:left="110"/>
              <w:rPr>
                <w:kern w:val="2"/>
                <w:sz w:val="24"/>
                <w:szCs w:val="24"/>
                <w14:ligatures w14:val="standardContextual"/>
              </w:rPr>
            </w:pPr>
          </w:p>
        </w:tc>
      </w:tr>
      <w:tr w:rsidR="00FF6291" w:rsidRPr="00FF6291" w14:paraId="28ACD294" w14:textId="77777777" w:rsidTr="00791D0E">
        <w:trPr>
          <w:trHeight w:val="505"/>
        </w:trPr>
        <w:tc>
          <w:tcPr>
            <w:tcW w:w="1092" w:type="pct"/>
            <w:tcBorders>
              <w:top w:val="single" w:sz="4" w:space="0" w:color="000000"/>
              <w:left w:val="single" w:sz="4" w:space="0" w:color="000000"/>
              <w:bottom w:val="single" w:sz="4" w:space="0" w:color="000000"/>
              <w:right w:val="single" w:sz="4" w:space="0" w:color="000000"/>
            </w:tcBorders>
            <w:hideMark/>
          </w:tcPr>
          <w:p w14:paraId="6ACE90F7" w14:textId="77777777" w:rsidR="0096570A" w:rsidRPr="00FF6291" w:rsidRDefault="0096570A" w:rsidP="00791D0E">
            <w:pPr>
              <w:pStyle w:val="TableParagraph"/>
              <w:spacing w:line="240" w:lineRule="auto"/>
              <w:ind w:left="70"/>
              <w:rPr>
                <w:i/>
                <w:kern w:val="2"/>
                <w:sz w:val="24"/>
                <w:szCs w:val="24"/>
                <w14:ligatures w14:val="standardContextual"/>
              </w:rPr>
            </w:pPr>
            <w:r w:rsidRPr="00FF6291">
              <w:rPr>
                <w:i/>
                <w:kern w:val="2"/>
                <w:sz w:val="24"/>
                <w:szCs w:val="24"/>
                <w:lang w:val="da-DK" w:bidi="da-DK"/>
                <w14:ligatures w14:val="standardContextual"/>
              </w:rPr>
              <w:t xml:space="preserve">Mave-tarm-kanalen   </w:t>
            </w:r>
          </w:p>
        </w:tc>
        <w:tc>
          <w:tcPr>
            <w:tcW w:w="977" w:type="pct"/>
            <w:tcBorders>
              <w:top w:val="single" w:sz="4" w:space="0" w:color="000000"/>
              <w:left w:val="single" w:sz="4" w:space="0" w:color="000000"/>
              <w:bottom w:val="single" w:sz="4" w:space="0" w:color="000000"/>
              <w:right w:val="single" w:sz="4" w:space="0" w:color="000000"/>
            </w:tcBorders>
          </w:tcPr>
          <w:p w14:paraId="119C4ADF" w14:textId="77777777" w:rsidR="0096570A" w:rsidRPr="00FF6291" w:rsidRDefault="0096570A" w:rsidP="00791D0E">
            <w:pPr>
              <w:pStyle w:val="TableParagraph"/>
              <w:spacing w:line="240" w:lineRule="auto"/>
              <w:ind w:left="103"/>
              <w:rPr>
                <w:kern w:val="2"/>
                <w:sz w:val="24"/>
                <w:szCs w:val="24"/>
                <w14:ligatures w14:val="standardContextual"/>
              </w:rPr>
            </w:pPr>
          </w:p>
        </w:tc>
        <w:tc>
          <w:tcPr>
            <w:tcW w:w="977" w:type="pct"/>
            <w:tcBorders>
              <w:top w:val="single" w:sz="4" w:space="0" w:color="000000"/>
              <w:left w:val="single" w:sz="4" w:space="0" w:color="000000"/>
              <w:bottom w:val="single" w:sz="4" w:space="0" w:color="000000"/>
              <w:right w:val="single" w:sz="4" w:space="0" w:color="000000"/>
            </w:tcBorders>
            <w:hideMark/>
          </w:tcPr>
          <w:p w14:paraId="33F0F94C" w14:textId="77777777" w:rsidR="0096570A" w:rsidRPr="00FF6291" w:rsidRDefault="0096570A" w:rsidP="00791D0E">
            <w:pPr>
              <w:pStyle w:val="TableParagraph"/>
              <w:spacing w:line="240" w:lineRule="auto"/>
              <w:ind w:left="57" w:right="239"/>
              <w:rPr>
                <w:kern w:val="2"/>
                <w:sz w:val="24"/>
                <w:szCs w:val="24"/>
                <w14:ligatures w14:val="standardContextual"/>
              </w:rPr>
            </w:pPr>
            <w:r w:rsidRPr="00FF6291">
              <w:rPr>
                <w:kern w:val="2"/>
                <w:sz w:val="24"/>
                <w:szCs w:val="24"/>
                <w:lang w:val="da-DK" w:bidi="da-DK"/>
                <w14:ligatures w14:val="standardContextual"/>
              </w:rPr>
              <w:t>Appetitløshed, kvalme, opkastning</w:t>
            </w:r>
          </w:p>
        </w:tc>
        <w:tc>
          <w:tcPr>
            <w:tcW w:w="977" w:type="pct"/>
            <w:tcBorders>
              <w:top w:val="single" w:sz="4" w:space="0" w:color="000000"/>
              <w:left w:val="single" w:sz="4" w:space="0" w:color="000000"/>
              <w:bottom w:val="single" w:sz="4" w:space="0" w:color="000000"/>
              <w:right w:val="single" w:sz="4" w:space="0" w:color="000000"/>
            </w:tcBorders>
          </w:tcPr>
          <w:p w14:paraId="3E98997F" w14:textId="77777777" w:rsidR="0096570A" w:rsidRPr="00FF6291" w:rsidRDefault="0096570A" w:rsidP="00791D0E">
            <w:pPr>
              <w:pStyle w:val="TableParagraph"/>
              <w:spacing w:line="240" w:lineRule="auto"/>
              <w:ind w:left="150"/>
              <w:rPr>
                <w:kern w:val="2"/>
                <w:sz w:val="24"/>
                <w:szCs w:val="24"/>
                <w14:ligatures w14:val="standardContextual"/>
              </w:rPr>
            </w:pPr>
          </w:p>
        </w:tc>
        <w:tc>
          <w:tcPr>
            <w:tcW w:w="978" w:type="pct"/>
            <w:tcBorders>
              <w:top w:val="single" w:sz="4" w:space="0" w:color="000000"/>
              <w:left w:val="single" w:sz="4" w:space="0" w:color="000000"/>
              <w:bottom w:val="single" w:sz="4" w:space="0" w:color="000000"/>
              <w:right w:val="single" w:sz="4" w:space="0" w:color="000000"/>
            </w:tcBorders>
          </w:tcPr>
          <w:p w14:paraId="7F458283" w14:textId="77777777" w:rsidR="0096570A" w:rsidRPr="00FF6291" w:rsidRDefault="0096570A" w:rsidP="00791D0E">
            <w:pPr>
              <w:pStyle w:val="TableParagraph"/>
              <w:spacing w:line="240" w:lineRule="auto"/>
              <w:ind w:left="110"/>
              <w:rPr>
                <w:kern w:val="2"/>
                <w:sz w:val="24"/>
                <w:szCs w:val="24"/>
                <w14:ligatures w14:val="standardContextual"/>
              </w:rPr>
            </w:pPr>
          </w:p>
        </w:tc>
      </w:tr>
      <w:tr w:rsidR="00FF6291" w:rsidRPr="00FF6291" w14:paraId="68C81C12" w14:textId="77777777" w:rsidTr="00791D0E">
        <w:trPr>
          <w:trHeight w:val="758"/>
        </w:trPr>
        <w:tc>
          <w:tcPr>
            <w:tcW w:w="1092" w:type="pct"/>
            <w:tcBorders>
              <w:top w:val="single" w:sz="4" w:space="0" w:color="000000"/>
              <w:left w:val="single" w:sz="4" w:space="0" w:color="000000"/>
              <w:bottom w:val="single" w:sz="4" w:space="0" w:color="000000"/>
              <w:right w:val="single" w:sz="4" w:space="0" w:color="000000"/>
            </w:tcBorders>
            <w:hideMark/>
          </w:tcPr>
          <w:p w14:paraId="09173C54" w14:textId="77777777" w:rsidR="0096570A" w:rsidRPr="00FF6291" w:rsidRDefault="0096570A" w:rsidP="00791D0E">
            <w:pPr>
              <w:pStyle w:val="TableParagraph"/>
              <w:spacing w:line="240" w:lineRule="auto"/>
              <w:ind w:left="70"/>
              <w:rPr>
                <w:i/>
                <w:kern w:val="2"/>
                <w:sz w:val="24"/>
                <w:szCs w:val="24"/>
                <w:lang w:val="da-DK"/>
                <w14:ligatures w14:val="standardContextual"/>
              </w:rPr>
            </w:pPr>
            <w:r w:rsidRPr="00FF6291">
              <w:rPr>
                <w:i/>
                <w:kern w:val="2"/>
                <w:sz w:val="24"/>
                <w:szCs w:val="24"/>
                <w:lang w:val="da-DK" w:bidi="da-DK"/>
                <w14:ligatures w14:val="standardContextual"/>
              </w:rPr>
              <w:t xml:space="preserve">Det reproduktive system og mammae </w:t>
            </w:r>
          </w:p>
        </w:tc>
        <w:tc>
          <w:tcPr>
            <w:tcW w:w="977" w:type="pct"/>
            <w:tcBorders>
              <w:top w:val="single" w:sz="4" w:space="0" w:color="000000"/>
              <w:left w:val="single" w:sz="4" w:space="0" w:color="000000"/>
              <w:bottom w:val="single" w:sz="4" w:space="0" w:color="000000"/>
              <w:right w:val="single" w:sz="4" w:space="0" w:color="000000"/>
            </w:tcBorders>
          </w:tcPr>
          <w:p w14:paraId="5B721DB5" w14:textId="77777777" w:rsidR="0096570A" w:rsidRPr="00FF6291" w:rsidRDefault="0096570A" w:rsidP="00791D0E">
            <w:pPr>
              <w:pStyle w:val="TableParagraph"/>
              <w:spacing w:line="240" w:lineRule="auto"/>
              <w:ind w:left="103"/>
              <w:rPr>
                <w:kern w:val="2"/>
                <w:sz w:val="24"/>
                <w:szCs w:val="24"/>
                <w:lang w:val="da-DK"/>
                <w14:ligatures w14:val="standardContextual"/>
              </w:rPr>
            </w:pPr>
          </w:p>
        </w:tc>
        <w:tc>
          <w:tcPr>
            <w:tcW w:w="977" w:type="pct"/>
            <w:tcBorders>
              <w:top w:val="single" w:sz="4" w:space="0" w:color="000000"/>
              <w:left w:val="single" w:sz="4" w:space="0" w:color="000000"/>
              <w:bottom w:val="single" w:sz="4" w:space="0" w:color="000000"/>
              <w:right w:val="single" w:sz="4" w:space="0" w:color="000000"/>
            </w:tcBorders>
          </w:tcPr>
          <w:p w14:paraId="43EA95A0" w14:textId="77777777" w:rsidR="0096570A" w:rsidRPr="00FF6291" w:rsidRDefault="0096570A" w:rsidP="00791D0E">
            <w:pPr>
              <w:pStyle w:val="TableParagraph"/>
              <w:spacing w:line="240" w:lineRule="auto"/>
              <w:ind w:left="57"/>
              <w:rPr>
                <w:kern w:val="2"/>
                <w:sz w:val="24"/>
                <w:szCs w:val="24"/>
                <w:lang w:val="da-DK"/>
                <w14:ligatures w14:val="standardContextual"/>
              </w:rPr>
            </w:pPr>
          </w:p>
        </w:tc>
        <w:tc>
          <w:tcPr>
            <w:tcW w:w="977" w:type="pct"/>
            <w:tcBorders>
              <w:top w:val="single" w:sz="4" w:space="0" w:color="000000"/>
              <w:left w:val="single" w:sz="4" w:space="0" w:color="000000"/>
              <w:bottom w:val="single" w:sz="4" w:space="0" w:color="000000"/>
              <w:right w:val="single" w:sz="4" w:space="0" w:color="000000"/>
            </w:tcBorders>
          </w:tcPr>
          <w:p w14:paraId="197AF20B" w14:textId="77777777" w:rsidR="0096570A" w:rsidRPr="00FF6291" w:rsidRDefault="0096570A" w:rsidP="00791D0E">
            <w:pPr>
              <w:pStyle w:val="TableParagraph"/>
              <w:spacing w:line="240" w:lineRule="auto"/>
              <w:ind w:left="150"/>
              <w:rPr>
                <w:kern w:val="2"/>
                <w:sz w:val="24"/>
                <w:szCs w:val="24"/>
                <w:lang w:val="da-DK"/>
                <w14:ligatures w14:val="standardContextual"/>
              </w:rPr>
            </w:pPr>
          </w:p>
        </w:tc>
        <w:tc>
          <w:tcPr>
            <w:tcW w:w="978" w:type="pct"/>
            <w:tcBorders>
              <w:top w:val="single" w:sz="4" w:space="0" w:color="000000"/>
              <w:left w:val="single" w:sz="4" w:space="0" w:color="000000"/>
              <w:bottom w:val="single" w:sz="4" w:space="0" w:color="000000"/>
              <w:right w:val="single" w:sz="4" w:space="0" w:color="000000"/>
            </w:tcBorders>
            <w:hideMark/>
          </w:tcPr>
          <w:p w14:paraId="1CA45E73" w14:textId="77777777" w:rsidR="0096570A" w:rsidRPr="00FF6291" w:rsidRDefault="0096570A" w:rsidP="00791D0E">
            <w:pPr>
              <w:pStyle w:val="TableParagraph"/>
              <w:spacing w:line="240" w:lineRule="auto"/>
              <w:ind w:left="110"/>
              <w:rPr>
                <w:kern w:val="2"/>
                <w:sz w:val="24"/>
                <w:szCs w:val="24"/>
                <w14:ligatures w14:val="standardContextual"/>
              </w:rPr>
            </w:pPr>
            <w:proofErr w:type="spellStart"/>
            <w:r w:rsidRPr="00FF6291">
              <w:rPr>
                <w:kern w:val="2"/>
                <w:sz w:val="24"/>
                <w:szCs w:val="24"/>
                <w:lang w:val="da-DK" w:bidi="da-DK"/>
                <w14:ligatures w14:val="standardContextual"/>
              </w:rPr>
              <w:t>Priapisme</w:t>
            </w:r>
            <w:proofErr w:type="spellEnd"/>
          </w:p>
        </w:tc>
      </w:tr>
      <w:tr w:rsidR="00FF6291" w:rsidRPr="00FF6291" w14:paraId="6B07A560" w14:textId="77777777" w:rsidTr="00791D0E">
        <w:trPr>
          <w:trHeight w:val="4024"/>
        </w:trPr>
        <w:tc>
          <w:tcPr>
            <w:tcW w:w="1092" w:type="pct"/>
            <w:tcBorders>
              <w:top w:val="single" w:sz="4" w:space="0" w:color="000000"/>
              <w:left w:val="single" w:sz="4" w:space="0" w:color="000000"/>
              <w:bottom w:val="single" w:sz="4" w:space="0" w:color="000000"/>
              <w:right w:val="single" w:sz="4" w:space="0" w:color="000000"/>
            </w:tcBorders>
            <w:hideMark/>
          </w:tcPr>
          <w:p w14:paraId="6F63F052" w14:textId="49E483DD" w:rsidR="0096570A" w:rsidRPr="00FF6291" w:rsidRDefault="0096570A" w:rsidP="00FF6291">
            <w:pPr>
              <w:pStyle w:val="TableParagraph"/>
              <w:keepNext/>
              <w:keepLines/>
              <w:spacing w:line="240" w:lineRule="auto"/>
              <w:ind w:left="70"/>
              <w:rPr>
                <w:i/>
                <w:kern w:val="2"/>
                <w:sz w:val="24"/>
                <w:szCs w:val="24"/>
                <w:lang w:val="da-DK"/>
                <w14:ligatures w14:val="standardContextual"/>
              </w:rPr>
            </w:pPr>
            <w:r w:rsidRPr="00FF6291">
              <w:rPr>
                <w:i/>
                <w:kern w:val="2"/>
                <w:sz w:val="24"/>
                <w:szCs w:val="24"/>
                <w:lang w:val="da-DK" w:bidi="da-DK"/>
                <w14:ligatures w14:val="standardContextual"/>
              </w:rPr>
              <w:lastRenderedPageBreak/>
              <w:t>Almene symptomer</w:t>
            </w:r>
            <w:r w:rsidR="00FF6291">
              <w:rPr>
                <w:i/>
                <w:kern w:val="2"/>
                <w:sz w:val="24"/>
                <w:szCs w:val="24"/>
                <w:lang w:val="da-DK" w:bidi="da-DK"/>
                <w14:ligatures w14:val="standardContextual"/>
              </w:rPr>
              <w:t xml:space="preserve"> </w:t>
            </w:r>
            <w:r w:rsidRPr="00FF6291">
              <w:rPr>
                <w:i/>
                <w:kern w:val="2"/>
                <w:sz w:val="24"/>
                <w:szCs w:val="24"/>
                <w:lang w:val="da-DK" w:bidi="da-DK"/>
                <w14:ligatures w14:val="standardContextual"/>
              </w:rPr>
              <w:t>og reaktioner på</w:t>
            </w:r>
            <w:r w:rsidR="00FF6291">
              <w:rPr>
                <w:i/>
                <w:kern w:val="2"/>
                <w:sz w:val="24"/>
                <w:szCs w:val="24"/>
                <w:lang w:val="da-DK" w:bidi="da-DK"/>
                <w14:ligatures w14:val="standardContextual"/>
              </w:rPr>
              <w:t xml:space="preserve"> </w:t>
            </w:r>
            <w:r w:rsidRPr="00FF6291">
              <w:rPr>
                <w:i/>
                <w:kern w:val="2"/>
                <w:sz w:val="24"/>
                <w:szCs w:val="24"/>
                <w:lang w:val="da-DK" w:bidi="da-DK"/>
                <w14:ligatures w14:val="standardContextual"/>
              </w:rPr>
              <w:t>administrationsstedet</w:t>
            </w:r>
          </w:p>
        </w:tc>
        <w:tc>
          <w:tcPr>
            <w:tcW w:w="977" w:type="pct"/>
            <w:tcBorders>
              <w:top w:val="single" w:sz="4" w:space="0" w:color="000000"/>
              <w:left w:val="single" w:sz="4" w:space="0" w:color="000000"/>
              <w:bottom w:val="single" w:sz="4" w:space="0" w:color="000000"/>
              <w:right w:val="single" w:sz="4" w:space="0" w:color="000000"/>
            </w:tcBorders>
            <w:hideMark/>
          </w:tcPr>
          <w:p w14:paraId="7DBB26D0" w14:textId="4218A2EC" w:rsidR="0096570A" w:rsidRPr="00FF6291" w:rsidRDefault="0096570A" w:rsidP="00FF6291">
            <w:pPr>
              <w:pStyle w:val="TableParagraph"/>
              <w:keepNext/>
              <w:keepLines/>
              <w:spacing w:line="240" w:lineRule="auto"/>
              <w:ind w:left="103"/>
              <w:rPr>
                <w:kern w:val="2"/>
                <w:sz w:val="24"/>
                <w:szCs w:val="24"/>
                <w:lang w:val="da-DK"/>
                <w14:ligatures w14:val="standardContextual"/>
              </w:rPr>
            </w:pPr>
            <w:r w:rsidRPr="00FF6291">
              <w:rPr>
                <w:kern w:val="2"/>
                <w:sz w:val="24"/>
                <w:szCs w:val="24"/>
                <w:lang w:val="da-DK" w:bidi="da-DK"/>
                <w14:ligatures w14:val="standardContextual"/>
              </w:rPr>
              <w:t>Let stigning i</w:t>
            </w:r>
            <w:r w:rsidR="00FF6291">
              <w:rPr>
                <w:kern w:val="2"/>
                <w:sz w:val="24"/>
                <w:szCs w:val="24"/>
                <w:lang w:val="da-DK" w:bidi="da-DK"/>
                <w14:ligatures w14:val="standardContextual"/>
              </w:rPr>
              <w:t xml:space="preserve"> </w:t>
            </w:r>
            <w:r w:rsidRPr="00FF6291">
              <w:rPr>
                <w:kern w:val="2"/>
                <w:sz w:val="24"/>
                <w:szCs w:val="24"/>
                <w:lang w:val="da-DK" w:bidi="da-DK"/>
                <w14:ligatures w14:val="standardContextual"/>
              </w:rPr>
              <w:t>kropstemperatur</w:t>
            </w:r>
          </w:p>
        </w:tc>
        <w:tc>
          <w:tcPr>
            <w:tcW w:w="977" w:type="pct"/>
            <w:tcBorders>
              <w:top w:val="single" w:sz="4" w:space="0" w:color="000000"/>
              <w:left w:val="single" w:sz="4" w:space="0" w:color="000000"/>
              <w:bottom w:val="single" w:sz="4" w:space="0" w:color="000000"/>
              <w:right w:val="single" w:sz="4" w:space="0" w:color="000000"/>
            </w:tcBorders>
            <w:hideMark/>
          </w:tcPr>
          <w:p w14:paraId="0FCCF965" w14:textId="77777777" w:rsidR="0096570A" w:rsidRPr="00FF6291" w:rsidRDefault="0096570A" w:rsidP="00791D0E">
            <w:pPr>
              <w:pStyle w:val="TableParagraph"/>
              <w:keepNext/>
              <w:keepLines/>
              <w:spacing w:line="240" w:lineRule="auto"/>
              <w:ind w:left="57"/>
              <w:rPr>
                <w:kern w:val="2"/>
                <w:sz w:val="24"/>
                <w:szCs w:val="24"/>
                <w14:ligatures w14:val="standardContextual"/>
              </w:rPr>
            </w:pPr>
            <w:r w:rsidRPr="00FF6291">
              <w:rPr>
                <w:kern w:val="2"/>
                <w:sz w:val="24"/>
                <w:szCs w:val="24"/>
                <w:lang w:val="da-DK" w:bidi="da-DK"/>
                <w14:ligatures w14:val="standardContextual"/>
              </w:rPr>
              <w:t>Kulderystelser</w:t>
            </w:r>
          </w:p>
        </w:tc>
        <w:tc>
          <w:tcPr>
            <w:tcW w:w="977" w:type="pct"/>
            <w:tcBorders>
              <w:top w:val="single" w:sz="4" w:space="0" w:color="000000"/>
              <w:left w:val="single" w:sz="4" w:space="0" w:color="000000"/>
              <w:bottom w:val="single" w:sz="4" w:space="0" w:color="000000"/>
              <w:right w:val="single" w:sz="4" w:space="0" w:color="000000"/>
            </w:tcBorders>
            <w:hideMark/>
          </w:tcPr>
          <w:p w14:paraId="2BAF462E" w14:textId="49937057" w:rsidR="0096570A" w:rsidRPr="00FF6291" w:rsidRDefault="0096570A" w:rsidP="00791D0E">
            <w:pPr>
              <w:pStyle w:val="TableParagraph"/>
              <w:keepNext/>
              <w:keepLines/>
              <w:spacing w:line="240" w:lineRule="auto"/>
              <w:ind w:left="150"/>
              <w:rPr>
                <w:kern w:val="2"/>
                <w:sz w:val="24"/>
                <w:szCs w:val="24"/>
                <w:lang w:val="da-DK"/>
                <w14:ligatures w14:val="standardContextual"/>
              </w:rPr>
            </w:pPr>
            <w:r w:rsidRPr="00FF6291">
              <w:rPr>
                <w:kern w:val="2"/>
                <w:sz w:val="24"/>
                <w:szCs w:val="24"/>
                <w:lang w:val="da-DK" w:bidi="da-DK"/>
                <w14:ligatures w14:val="standardContextual"/>
              </w:rPr>
              <w:t>Overfølsomheds</w:t>
            </w:r>
            <w:r w:rsidR="00FF6291">
              <w:rPr>
                <w:kern w:val="2"/>
                <w:sz w:val="24"/>
                <w:szCs w:val="24"/>
                <w:lang w:val="da-DK" w:bidi="da-DK"/>
                <w14:ligatures w14:val="standardContextual"/>
              </w:rPr>
              <w:softHyphen/>
            </w:r>
            <w:r w:rsidRPr="00FF6291">
              <w:rPr>
                <w:kern w:val="2"/>
                <w:sz w:val="24"/>
                <w:szCs w:val="24"/>
                <w:lang w:val="da-DK" w:bidi="da-DK"/>
                <w14:ligatures w14:val="standardContextual"/>
              </w:rPr>
              <w:t>reaktioner (f.eks.)</w:t>
            </w:r>
            <w:r w:rsidR="00FF6291">
              <w:rPr>
                <w:kern w:val="2"/>
                <w:sz w:val="24"/>
                <w:szCs w:val="24"/>
                <w:lang w:val="da-DK" w:bidi="da-DK"/>
                <w14:ligatures w14:val="standardContextual"/>
              </w:rPr>
              <w:t xml:space="preserve"> </w:t>
            </w:r>
            <w:proofErr w:type="spellStart"/>
            <w:r w:rsidRPr="00FF6291">
              <w:rPr>
                <w:kern w:val="2"/>
                <w:sz w:val="24"/>
                <w:szCs w:val="24"/>
                <w:lang w:val="da-DK" w:bidi="da-DK"/>
                <w14:ligatures w14:val="standardContextual"/>
              </w:rPr>
              <w:t>anafylaktiske</w:t>
            </w:r>
            <w:proofErr w:type="spellEnd"/>
            <w:r w:rsidRPr="00FF6291">
              <w:rPr>
                <w:kern w:val="2"/>
                <w:sz w:val="24"/>
                <w:szCs w:val="24"/>
                <w:lang w:val="da-DK" w:bidi="da-DK"/>
                <w14:ligatures w14:val="standardContextual"/>
              </w:rPr>
              <w:t xml:space="preserve"> eller</w:t>
            </w:r>
            <w:r w:rsidR="00FF6291">
              <w:rPr>
                <w:kern w:val="2"/>
                <w:sz w:val="24"/>
                <w:szCs w:val="24"/>
                <w:lang w:val="da-DK" w:bidi="da-DK"/>
                <w14:ligatures w14:val="standardContextual"/>
              </w:rPr>
              <w:t xml:space="preserve"> </w:t>
            </w:r>
            <w:proofErr w:type="spellStart"/>
            <w:r w:rsidRPr="00FF6291">
              <w:rPr>
                <w:kern w:val="2"/>
                <w:sz w:val="24"/>
                <w:szCs w:val="24"/>
                <w:lang w:val="da-DK" w:bidi="da-DK"/>
                <w14:ligatures w14:val="standardContextual"/>
              </w:rPr>
              <w:t>anafylaktoide</w:t>
            </w:r>
            <w:proofErr w:type="spellEnd"/>
            <w:r w:rsidR="00FF6291">
              <w:rPr>
                <w:kern w:val="2"/>
                <w:sz w:val="24"/>
                <w:szCs w:val="24"/>
                <w:lang w:val="da-DK" w:bidi="da-DK"/>
                <w14:ligatures w14:val="standardContextual"/>
              </w:rPr>
              <w:t xml:space="preserve"> </w:t>
            </w:r>
            <w:r w:rsidRPr="00FF6291">
              <w:rPr>
                <w:kern w:val="2"/>
                <w:sz w:val="24"/>
                <w:szCs w:val="24"/>
                <w:lang w:val="da-DK" w:bidi="da-DK"/>
                <w14:ligatures w14:val="standardContextual"/>
              </w:rPr>
              <w:t>reaktioner, hududslæt, nældefeber,</w:t>
            </w:r>
            <w:r w:rsidR="00FF6291">
              <w:rPr>
                <w:kern w:val="2"/>
                <w:sz w:val="24"/>
                <w:szCs w:val="24"/>
                <w:lang w:val="da-DK" w:bidi="da-DK"/>
                <w14:ligatures w14:val="standardContextual"/>
              </w:rPr>
              <w:t xml:space="preserve"> </w:t>
            </w:r>
            <w:r w:rsidRPr="00FF6291">
              <w:rPr>
                <w:kern w:val="2"/>
                <w:sz w:val="24"/>
                <w:szCs w:val="24"/>
                <w:lang w:val="da-DK" w:bidi="da-DK"/>
                <w14:ligatures w14:val="standardContextual"/>
              </w:rPr>
              <w:t>rødmen, hovedpine),</w:t>
            </w:r>
          </w:p>
          <w:p w14:paraId="7B10D389" w14:textId="08CC02FB" w:rsidR="0096570A" w:rsidRPr="00FF6291" w:rsidRDefault="0096570A" w:rsidP="00FF6291">
            <w:pPr>
              <w:pStyle w:val="TableParagraph"/>
              <w:keepNext/>
              <w:keepLines/>
              <w:spacing w:line="240" w:lineRule="auto"/>
              <w:ind w:left="150"/>
              <w:rPr>
                <w:kern w:val="2"/>
                <w:sz w:val="24"/>
                <w:szCs w:val="24"/>
                <w:lang w:val="da-DK"/>
                <w14:ligatures w14:val="standardContextual"/>
              </w:rPr>
            </w:pPr>
            <w:r w:rsidRPr="00FF6291">
              <w:rPr>
                <w:kern w:val="2"/>
                <w:sz w:val="24"/>
                <w:szCs w:val="24"/>
                <w:lang w:val="da-DK" w:bidi="da-DK"/>
                <w14:ligatures w14:val="standardContextual"/>
              </w:rPr>
              <w:t>varme- eller kulde</w:t>
            </w:r>
            <w:r w:rsidR="00FF6291">
              <w:rPr>
                <w:kern w:val="2"/>
                <w:sz w:val="24"/>
                <w:szCs w:val="24"/>
                <w:lang w:val="da-DK" w:bidi="da-DK"/>
                <w14:ligatures w14:val="standardContextual"/>
              </w:rPr>
              <w:softHyphen/>
            </w:r>
            <w:r w:rsidRPr="00FF6291">
              <w:rPr>
                <w:kern w:val="2"/>
                <w:sz w:val="24"/>
                <w:szCs w:val="24"/>
                <w:lang w:val="da-DK" w:bidi="da-DK"/>
                <w14:ligatures w14:val="standardContextual"/>
              </w:rPr>
              <w:t>fornemmelse,</w:t>
            </w:r>
            <w:r w:rsidR="00FF6291">
              <w:rPr>
                <w:kern w:val="2"/>
                <w:sz w:val="24"/>
                <w:szCs w:val="24"/>
                <w:lang w:val="da-DK" w:bidi="da-DK"/>
                <w14:ligatures w14:val="standardContextual"/>
              </w:rPr>
              <w:t xml:space="preserve"> </w:t>
            </w:r>
            <w:r w:rsidRPr="00FF6291">
              <w:rPr>
                <w:kern w:val="2"/>
                <w:sz w:val="24"/>
                <w:szCs w:val="24"/>
                <w:lang w:val="da-DK" w:bidi="da-DK"/>
                <w14:ligatures w14:val="standardContextual"/>
              </w:rPr>
              <w:t>bleghed, cyanose,</w:t>
            </w:r>
            <w:r w:rsidR="00FF6291">
              <w:rPr>
                <w:kern w:val="2"/>
                <w:sz w:val="24"/>
                <w:szCs w:val="24"/>
                <w:lang w:val="da-DK" w:bidi="da-DK"/>
                <w14:ligatures w14:val="standardContextual"/>
              </w:rPr>
              <w:t xml:space="preserve"> </w:t>
            </w:r>
            <w:r w:rsidRPr="00FF6291">
              <w:rPr>
                <w:kern w:val="2"/>
                <w:sz w:val="24"/>
                <w:szCs w:val="24"/>
                <w:lang w:val="da-DK" w:bidi="da-DK"/>
                <w14:ligatures w14:val="standardContextual"/>
              </w:rPr>
              <w:t>smerter i nakken,</w:t>
            </w:r>
            <w:r w:rsidR="00FF6291">
              <w:rPr>
                <w:kern w:val="2"/>
                <w:sz w:val="24"/>
                <w:szCs w:val="24"/>
                <w:lang w:val="da-DK" w:bidi="da-DK"/>
                <w14:ligatures w14:val="standardContextual"/>
              </w:rPr>
              <w:t xml:space="preserve"> </w:t>
            </w:r>
            <w:r w:rsidRPr="00FF6291">
              <w:rPr>
                <w:kern w:val="2"/>
                <w:sz w:val="24"/>
                <w:szCs w:val="24"/>
                <w:lang w:val="da-DK" w:bidi="da-DK"/>
                <w14:ligatures w14:val="standardContextual"/>
              </w:rPr>
              <w:t>ryg, knogler, bryst</w:t>
            </w:r>
            <w:r w:rsidR="00FF6291">
              <w:rPr>
                <w:kern w:val="2"/>
                <w:sz w:val="24"/>
                <w:szCs w:val="24"/>
                <w:lang w:val="da-DK" w:bidi="da-DK"/>
                <w14:ligatures w14:val="standardContextual"/>
              </w:rPr>
              <w:t xml:space="preserve"> </w:t>
            </w:r>
            <w:r w:rsidRPr="00FF6291">
              <w:rPr>
                <w:kern w:val="2"/>
                <w:sz w:val="24"/>
                <w:szCs w:val="24"/>
                <w:lang w:val="da-DK" w:bidi="da-DK"/>
                <w14:ligatures w14:val="standardContextual"/>
              </w:rPr>
              <w:t>og lænd</w:t>
            </w:r>
          </w:p>
        </w:tc>
        <w:tc>
          <w:tcPr>
            <w:tcW w:w="978" w:type="pct"/>
            <w:tcBorders>
              <w:top w:val="single" w:sz="4" w:space="0" w:color="000000"/>
              <w:left w:val="single" w:sz="4" w:space="0" w:color="000000"/>
              <w:bottom w:val="single" w:sz="4" w:space="0" w:color="000000"/>
              <w:right w:val="single" w:sz="4" w:space="0" w:color="000000"/>
            </w:tcBorders>
          </w:tcPr>
          <w:p w14:paraId="4F9039D6" w14:textId="77777777" w:rsidR="0096570A" w:rsidRPr="00FF6291" w:rsidRDefault="0096570A" w:rsidP="00791D0E">
            <w:pPr>
              <w:pStyle w:val="TableParagraph"/>
              <w:spacing w:line="240" w:lineRule="auto"/>
              <w:ind w:left="110"/>
              <w:rPr>
                <w:kern w:val="2"/>
                <w:sz w:val="24"/>
                <w:szCs w:val="24"/>
                <w:lang w:val="da-DK"/>
                <w14:ligatures w14:val="standardContextual"/>
              </w:rPr>
            </w:pPr>
          </w:p>
        </w:tc>
      </w:tr>
    </w:tbl>
    <w:p w14:paraId="1F603D87" w14:textId="77777777" w:rsidR="0096570A" w:rsidRPr="00FF6291" w:rsidRDefault="0096570A" w:rsidP="00791D0E">
      <w:pPr>
        <w:ind w:left="851"/>
        <w:rPr>
          <w:sz w:val="24"/>
          <w:szCs w:val="24"/>
        </w:rPr>
      </w:pPr>
    </w:p>
    <w:p w14:paraId="4A251C04" w14:textId="77777777" w:rsidR="0096570A" w:rsidRPr="00FF6291" w:rsidRDefault="0096570A" w:rsidP="00791D0E">
      <w:pPr>
        <w:ind w:left="851"/>
        <w:rPr>
          <w:iCs/>
          <w:sz w:val="24"/>
          <w:szCs w:val="24"/>
        </w:rPr>
      </w:pPr>
      <w:r w:rsidRPr="00FF6291">
        <w:rPr>
          <w:sz w:val="24"/>
          <w:szCs w:val="24"/>
          <w:lang w:bidi="da-DK"/>
        </w:rPr>
        <w:t>Hvis disse bivirkninger opstår, eller hvis triglyceridniveauet under infusionen stiger til over 3 mmol/l, skal infusionen med Maxivalen stoppes eller om nødvendigt fortsættes ved en lavere dosis.</w:t>
      </w:r>
    </w:p>
    <w:p w14:paraId="0CB0933B" w14:textId="77777777" w:rsidR="0096570A" w:rsidRPr="00FF6291" w:rsidRDefault="0096570A" w:rsidP="00791D0E">
      <w:pPr>
        <w:ind w:left="851"/>
        <w:rPr>
          <w:iCs/>
          <w:sz w:val="24"/>
          <w:szCs w:val="24"/>
        </w:rPr>
      </w:pPr>
    </w:p>
    <w:p w14:paraId="6D0D06BD" w14:textId="77777777" w:rsidR="0096570A" w:rsidRPr="00FF6291" w:rsidRDefault="0096570A" w:rsidP="00791D0E">
      <w:pPr>
        <w:ind w:left="851"/>
        <w:rPr>
          <w:iCs/>
          <w:sz w:val="24"/>
          <w:szCs w:val="24"/>
        </w:rPr>
      </w:pPr>
      <w:r w:rsidRPr="00FF6291">
        <w:rPr>
          <w:sz w:val="24"/>
          <w:szCs w:val="24"/>
          <w:lang w:bidi="da-DK"/>
        </w:rPr>
        <w:t xml:space="preserve">Maxivalen bør altid indgå som en del af en fuldstændig parenteral ernæringsbehandling, herunder aminosyrer og glukose. Kvalme, opkastning og </w:t>
      </w:r>
      <w:proofErr w:type="spellStart"/>
      <w:r w:rsidRPr="00FF6291">
        <w:rPr>
          <w:sz w:val="24"/>
          <w:szCs w:val="24"/>
          <w:lang w:bidi="da-DK"/>
        </w:rPr>
        <w:t>hyperglykæmi</w:t>
      </w:r>
      <w:proofErr w:type="spellEnd"/>
      <w:r w:rsidRPr="00FF6291">
        <w:rPr>
          <w:sz w:val="24"/>
          <w:szCs w:val="24"/>
          <w:lang w:bidi="da-DK"/>
        </w:rPr>
        <w:t xml:space="preserve"> er symptomer, der er relateret til tilstande, som indikerer parenteral ernæring, og kan nogle gange være forbundet med parenteral ernæring.</w:t>
      </w:r>
    </w:p>
    <w:p w14:paraId="27C8655E" w14:textId="77777777" w:rsidR="0096570A" w:rsidRPr="00FF6291" w:rsidRDefault="0096570A" w:rsidP="00791D0E">
      <w:pPr>
        <w:ind w:left="851"/>
        <w:rPr>
          <w:iCs/>
          <w:sz w:val="24"/>
          <w:szCs w:val="24"/>
        </w:rPr>
      </w:pPr>
    </w:p>
    <w:p w14:paraId="4DE57F6B" w14:textId="77777777" w:rsidR="0096570A" w:rsidRPr="00FF6291" w:rsidRDefault="0096570A" w:rsidP="00791D0E">
      <w:pPr>
        <w:ind w:left="851"/>
        <w:rPr>
          <w:iCs/>
          <w:sz w:val="24"/>
          <w:szCs w:val="24"/>
        </w:rPr>
      </w:pPr>
      <w:r w:rsidRPr="00FF6291">
        <w:rPr>
          <w:sz w:val="24"/>
          <w:szCs w:val="24"/>
          <w:lang w:bidi="da-DK"/>
        </w:rPr>
        <w:t>Overvågning af triglycerider og blodsukkerniveau anbefales for at undgå forhøjede niveauer, som kan være skadelige.</w:t>
      </w:r>
    </w:p>
    <w:p w14:paraId="78561584" w14:textId="77777777" w:rsidR="0096570A" w:rsidRPr="00FF6291" w:rsidRDefault="0096570A" w:rsidP="00791D0E">
      <w:pPr>
        <w:ind w:left="851"/>
        <w:rPr>
          <w:iCs/>
          <w:sz w:val="24"/>
          <w:szCs w:val="24"/>
        </w:rPr>
      </w:pPr>
    </w:p>
    <w:p w14:paraId="19846D81" w14:textId="77777777" w:rsidR="0096570A" w:rsidRPr="00FF6291" w:rsidRDefault="0096570A" w:rsidP="00791D0E">
      <w:pPr>
        <w:ind w:left="851"/>
        <w:rPr>
          <w:iCs/>
          <w:sz w:val="24"/>
          <w:szCs w:val="24"/>
        </w:rPr>
      </w:pPr>
      <w:r w:rsidRPr="00FF6291">
        <w:rPr>
          <w:sz w:val="24"/>
          <w:szCs w:val="24"/>
          <w:u w:val="single"/>
          <w:lang w:bidi="da-DK"/>
        </w:rPr>
        <w:t>Fedt-overbelastningssyndrom</w:t>
      </w:r>
    </w:p>
    <w:p w14:paraId="0869ADC8" w14:textId="159B1766" w:rsidR="0096570A" w:rsidRPr="00FF6291" w:rsidRDefault="0096570A" w:rsidP="00791D0E">
      <w:pPr>
        <w:ind w:left="851"/>
        <w:rPr>
          <w:iCs/>
          <w:sz w:val="24"/>
          <w:szCs w:val="24"/>
        </w:rPr>
      </w:pPr>
      <w:r w:rsidRPr="00FF6291">
        <w:rPr>
          <w:sz w:val="24"/>
          <w:szCs w:val="24"/>
          <w:lang w:bidi="da-DK"/>
        </w:rPr>
        <w:t xml:space="preserve">Nedsat evne til at eliminere triglycerider kan føre til "fedtoverbelastningssyndrom", som kan være forårsaget af overdosering. Mulige tegn på metabolisk overbelastning skal observeres. Årsagen kan være genetisk (individuelt forskellig metabolisme), eller fedtstofskiftet kan være påvirket af aktuelle eller tidligere sygdomme. Dette syndrom kan også opstå under svær </w:t>
      </w:r>
      <w:proofErr w:type="spellStart"/>
      <w:r w:rsidRPr="00FF6291">
        <w:rPr>
          <w:sz w:val="24"/>
          <w:szCs w:val="24"/>
          <w:lang w:bidi="da-DK"/>
        </w:rPr>
        <w:t>hypertriglyceridæmi</w:t>
      </w:r>
      <w:proofErr w:type="spellEnd"/>
      <w:r w:rsidRPr="00FF6291">
        <w:rPr>
          <w:sz w:val="24"/>
          <w:szCs w:val="24"/>
          <w:lang w:bidi="da-DK"/>
        </w:rPr>
        <w:t xml:space="preserve">, selv ved den anbefalede infusionshastighed, og i forbindelse med en pludselig ændring i patientens kliniske tilstand, såsom nedsat nyrefunktion eller infektion. Fedtoverbelastningssyndromet er karakteriseret ved </w:t>
      </w:r>
      <w:proofErr w:type="spellStart"/>
      <w:r w:rsidRPr="00FF6291">
        <w:rPr>
          <w:sz w:val="24"/>
          <w:szCs w:val="24"/>
          <w:lang w:bidi="da-DK"/>
        </w:rPr>
        <w:t>hyperlipæmi</w:t>
      </w:r>
      <w:proofErr w:type="spellEnd"/>
      <w:r w:rsidRPr="00FF6291">
        <w:rPr>
          <w:sz w:val="24"/>
          <w:szCs w:val="24"/>
          <w:lang w:bidi="da-DK"/>
        </w:rPr>
        <w:t xml:space="preserve">, feber, fedtinfiltration, </w:t>
      </w:r>
      <w:proofErr w:type="spellStart"/>
      <w:r w:rsidRPr="00FF6291">
        <w:rPr>
          <w:sz w:val="24"/>
          <w:szCs w:val="24"/>
          <w:lang w:bidi="da-DK"/>
        </w:rPr>
        <w:t>hepatomegali</w:t>
      </w:r>
      <w:proofErr w:type="spellEnd"/>
      <w:r w:rsidRPr="00FF6291">
        <w:rPr>
          <w:sz w:val="24"/>
          <w:szCs w:val="24"/>
          <w:lang w:bidi="da-DK"/>
        </w:rPr>
        <w:t xml:space="preserve"> med eller uden </w:t>
      </w:r>
      <w:proofErr w:type="spellStart"/>
      <w:r w:rsidRPr="00FF6291">
        <w:rPr>
          <w:sz w:val="24"/>
          <w:szCs w:val="24"/>
          <w:lang w:bidi="da-DK"/>
        </w:rPr>
        <w:t>ikterus</w:t>
      </w:r>
      <w:proofErr w:type="spellEnd"/>
      <w:r w:rsidRPr="00FF6291">
        <w:rPr>
          <w:sz w:val="24"/>
          <w:szCs w:val="24"/>
          <w:lang w:bidi="da-DK"/>
        </w:rPr>
        <w:t xml:space="preserve">, </w:t>
      </w:r>
      <w:proofErr w:type="spellStart"/>
      <w:r w:rsidRPr="00FF6291">
        <w:rPr>
          <w:sz w:val="24"/>
          <w:szCs w:val="24"/>
          <w:lang w:bidi="da-DK"/>
        </w:rPr>
        <w:t>splenomegali</w:t>
      </w:r>
      <w:proofErr w:type="spellEnd"/>
      <w:r w:rsidRPr="00FF6291">
        <w:rPr>
          <w:sz w:val="24"/>
          <w:szCs w:val="24"/>
          <w:lang w:bidi="da-DK"/>
        </w:rPr>
        <w:t xml:space="preserve">, anæmi, </w:t>
      </w:r>
      <w:proofErr w:type="spellStart"/>
      <w:r w:rsidRPr="00FF6291">
        <w:rPr>
          <w:sz w:val="24"/>
          <w:szCs w:val="24"/>
          <w:lang w:bidi="da-DK"/>
        </w:rPr>
        <w:t>leukopeni</w:t>
      </w:r>
      <w:proofErr w:type="spellEnd"/>
      <w:r w:rsidRPr="00FF6291">
        <w:rPr>
          <w:sz w:val="24"/>
          <w:szCs w:val="24"/>
          <w:lang w:bidi="da-DK"/>
        </w:rPr>
        <w:t xml:space="preserve">, </w:t>
      </w:r>
      <w:proofErr w:type="spellStart"/>
      <w:r w:rsidRPr="00FF6291">
        <w:rPr>
          <w:sz w:val="24"/>
          <w:szCs w:val="24"/>
          <w:lang w:bidi="da-DK"/>
        </w:rPr>
        <w:t>trombocytopeni</w:t>
      </w:r>
      <w:proofErr w:type="spellEnd"/>
      <w:r w:rsidRPr="00FF6291">
        <w:rPr>
          <w:sz w:val="24"/>
          <w:szCs w:val="24"/>
          <w:lang w:bidi="da-DK"/>
        </w:rPr>
        <w:t xml:space="preserve">, koagulationsforstyrrelser, </w:t>
      </w:r>
      <w:proofErr w:type="spellStart"/>
      <w:r w:rsidRPr="00FF6291">
        <w:rPr>
          <w:sz w:val="24"/>
          <w:szCs w:val="24"/>
          <w:lang w:bidi="da-DK"/>
        </w:rPr>
        <w:t>hæmolyse</w:t>
      </w:r>
      <w:proofErr w:type="spellEnd"/>
      <w:r w:rsidRPr="00FF6291">
        <w:rPr>
          <w:sz w:val="24"/>
          <w:szCs w:val="24"/>
          <w:lang w:bidi="da-DK"/>
        </w:rPr>
        <w:t xml:space="preserve"> og </w:t>
      </w:r>
      <w:proofErr w:type="spellStart"/>
      <w:r w:rsidRPr="00FF6291">
        <w:rPr>
          <w:sz w:val="24"/>
          <w:szCs w:val="24"/>
          <w:lang w:bidi="da-DK"/>
        </w:rPr>
        <w:t>retikulocytose</w:t>
      </w:r>
      <w:proofErr w:type="spellEnd"/>
      <w:r w:rsidRPr="00FF6291">
        <w:rPr>
          <w:sz w:val="24"/>
          <w:szCs w:val="24"/>
          <w:lang w:bidi="da-DK"/>
        </w:rPr>
        <w:t>, unormale leverfunktionstest og koma. Symptomerne er som regel reversible, hvis infusionen med lipidemulsionen sep</w:t>
      </w:r>
      <w:r w:rsidR="00FF6291">
        <w:rPr>
          <w:sz w:val="24"/>
          <w:szCs w:val="24"/>
          <w:lang w:bidi="da-DK"/>
        </w:rPr>
        <w:t>o</w:t>
      </w:r>
      <w:r w:rsidRPr="00FF6291">
        <w:rPr>
          <w:sz w:val="24"/>
          <w:szCs w:val="24"/>
          <w:lang w:bidi="da-DK"/>
        </w:rPr>
        <w:t>neres.</w:t>
      </w:r>
    </w:p>
    <w:p w14:paraId="593C82CF" w14:textId="77777777" w:rsidR="0096570A" w:rsidRPr="00FF6291" w:rsidRDefault="0096570A" w:rsidP="00791D0E">
      <w:pPr>
        <w:ind w:left="851"/>
        <w:rPr>
          <w:iCs/>
          <w:sz w:val="24"/>
          <w:szCs w:val="24"/>
        </w:rPr>
      </w:pPr>
      <w:r w:rsidRPr="00FF6291">
        <w:rPr>
          <w:sz w:val="24"/>
          <w:szCs w:val="24"/>
          <w:lang w:bidi="da-DK"/>
        </w:rPr>
        <w:t>Ved tegn på fedtoverbelastningssyndrom skal infusionen af Maxivalen straks seponeres.</w:t>
      </w:r>
    </w:p>
    <w:p w14:paraId="01731F09" w14:textId="700AFA1F" w:rsidR="005840B0" w:rsidRDefault="005840B0">
      <w:pPr>
        <w:rPr>
          <w:iCs/>
          <w:sz w:val="24"/>
          <w:szCs w:val="24"/>
        </w:rPr>
      </w:pPr>
      <w:r>
        <w:rPr>
          <w:iCs/>
          <w:sz w:val="24"/>
          <w:szCs w:val="24"/>
        </w:rPr>
        <w:br w:type="page"/>
      </w:r>
    </w:p>
    <w:p w14:paraId="702A730A" w14:textId="77777777" w:rsidR="0096570A" w:rsidRPr="00FF6291" w:rsidRDefault="0096570A" w:rsidP="00791D0E">
      <w:pPr>
        <w:ind w:left="851"/>
        <w:rPr>
          <w:iCs/>
          <w:sz w:val="24"/>
          <w:szCs w:val="24"/>
        </w:rPr>
      </w:pPr>
    </w:p>
    <w:p w14:paraId="387A5BF6" w14:textId="77777777" w:rsidR="0096570A" w:rsidRPr="00FF6291" w:rsidRDefault="0096570A" w:rsidP="00791D0E">
      <w:pPr>
        <w:ind w:left="851"/>
        <w:rPr>
          <w:iCs/>
          <w:sz w:val="24"/>
          <w:szCs w:val="24"/>
        </w:rPr>
      </w:pPr>
      <w:r w:rsidRPr="00FF6291">
        <w:rPr>
          <w:sz w:val="24"/>
          <w:szCs w:val="24"/>
          <w:u w:val="single"/>
          <w:lang w:bidi="da-DK"/>
        </w:rPr>
        <w:t>Indberetning af formodede bivirkninger</w:t>
      </w:r>
    </w:p>
    <w:p w14:paraId="4926AEFB" w14:textId="77777777" w:rsidR="0096570A" w:rsidRPr="00FF6291" w:rsidRDefault="0096570A" w:rsidP="00791D0E">
      <w:pPr>
        <w:ind w:left="851"/>
        <w:rPr>
          <w:sz w:val="24"/>
          <w:szCs w:val="24"/>
          <w:lang w:bidi="da-DK"/>
        </w:rPr>
      </w:pPr>
      <w:r w:rsidRPr="00FF6291">
        <w:rPr>
          <w:sz w:val="24"/>
          <w:szCs w:val="24"/>
          <w:lang w:bidi="da-DK"/>
        </w:rPr>
        <w:t>Når lægemidlet er godkendt, er indberetning af formodede bivirkninger vigtig. Det muliggør løbende overvågning af benefit/</w:t>
      </w:r>
      <w:proofErr w:type="spellStart"/>
      <w:r w:rsidRPr="00FF6291">
        <w:rPr>
          <w:sz w:val="24"/>
          <w:szCs w:val="24"/>
          <w:lang w:bidi="da-DK"/>
        </w:rPr>
        <w:t>risk</w:t>
      </w:r>
      <w:proofErr w:type="spellEnd"/>
      <w:r w:rsidRPr="00FF6291">
        <w:rPr>
          <w:sz w:val="24"/>
          <w:szCs w:val="24"/>
          <w:lang w:bidi="da-DK"/>
        </w:rPr>
        <w:t xml:space="preserve">-forholdet for lægemidlet. Sundhedspersoner anmodes om at indberette alle formodede bivirkninger via </w:t>
      </w:r>
    </w:p>
    <w:p w14:paraId="6C13A47A" w14:textId="77777777" w:rsidR="0096570A" w:rsidRPr="00FF6291" w:rsidRDefault="0096570A" w:rsidP="00791D0E">
      <w:pPr>
        <w:ind w:left="851"/>
        <w:rPr>
          <w:sz w:val="24"/>
          <w:szCs w:val="24"/>
          <w:lang w:bidi="da-DK"/>
        </w:rPr>
      </w:pPr>
    </w:p>
    <w:p w14:paraId="4899DF98" w14:textId="77777777" w:rsidR="0096570A" w:rsidRPr="00FF6291" w:rsidRDefault="0096570A" w:rsidP="00791D0E">
      <w:pPr>
        <w:ind w:left="851"/>
        <w:rPr>
          <w:sz w:val="24"/>
          <w:szCs w:val="24"/>
          <w:lang w:bidi="da-DK"/>
        </w:rPr>
      </w:pPr>
      <w:r w:rsidRPr="00FF6291">
        <w:rPr>
          <w:sz w:val="24"/>
          <w:szCs w:val="24"/>
          <w:lang w:bidi="da-DK"/>
        </w:rPr>
        <w:t xml:space="preserve">Lægemiddelstyrelsen </w:t>
      </w:r>
    </w:p>
    <w:p w14:paraId="5223AD0C" w14:textId="77777777" w:rsidR="0096570A" w:rsidRPr="00FF6291" w:rsidRDefault="0096570A" w:rsidP="00791D0E">
      <w:pPr>
        <w:ind w:left="851"/>
        <w:rPr>
          <w:sz w:val="24"/>
          <w:szCs w:val="24"/>
          <w:lang w:bidi="da-DK"/>
        </w:rPr>
      </w:pPr>
      <w:r w:rsidRPr="00FF6291">
        <w:rPr>
          <w:sz w:val="24"/>
          <w:szCs w:val="24"/>
          <w:lang w:bidi="da-DK"/>
        </w:rPr>
        <w:t xml:space="preserve">Axel Heides Gade 1 </w:t>
      </w:r>
    </w:p>
    <w:p w14:paraId="3DB2959A" w14:textId="77777777" w:rsidR="0096570A" w:rsidRPr="00FF6291" w:rsidRDefault="0096570A" w:rsidP="00791D0E">
      <w:pPr>
        <w:ind w:left="851"/>
        <w:rPr>
          <w:sz w:val="24"/>
          <w:szCs w:val="24"/>
          <w:lang w:bidi="da-DK"/>
        </w:rPr>
      </w:pPr>
      <w:r w:rsidRPr="00FF6291">
        <w:rPr>
          <w:sz w:val="24"/>
          <w:szCs w:val="24"/>
          <w:lang w:bidi="da-DK"/>
        </w:rPr>
        <w:t xml:space="preserve">DK-2300 København S </w:t>
      </w:r>
    </w:p>
    <w:p w14:paraId="07221289" w14:textId="77777777" w:rsidR="0096570A" w:rsidRPr="00FF6291" w:rsidRDefault="0096570A" w:rsidP="00791D0E">
      <w:pPr>
        <w:ind w:left="851"/>
        <w:rPr>
          <w:sz w:val="24"/>
          <w:szCs w:val="24"/>
          <w:lang w:bidi="da-DK"/>
        </w:rPr>
      </w:pPr>
      <w:r w:rsidRPr="00FF6291">
        <w:rPr>
          <w:sz w:val="24"/>
          <w:szCs w:val="24"/>
          <w:lang w:bidi="da-DK"/>
        </w:rPr>
        <w:t xml:space="preserve">Websted: </w:t>
      </w:r>
      <w:hyperlink r:id="rId8" w:history="1">
        <w:r w:rsidRPr="00FF6291">
          <w:rPr>
            <w:rStyle w:val="Hyperlink"/>
            <w:sz w:val="24"/>
            <w:szCs w:val="24"/>
            <w:lang w:bidi="da-DK"/>
          </w:rPr>
          <w:t>www.meldenbivirkning.dk</w:t>
        </w:r>
      </w:hyperlink>
    </w:p>
    <w:p w14:paraId="6A2041E0" w14:textId="77777777" w:rsidR="009260DE" w:rsidRPr="00FF6291" w:rsidRDefault="009260DE" w:rsidP="00A10294">
      <w:pPr>
        <w:tabs>
          <w:tab w:val="left" w:pos="851"/>
        </w:tabs>
        <w:ind w:left="851"/>
        <w:rPr>
          <w:sz w:val="24"/>
          <w:szCs w:val="24"/>
        </w:rPr>
      </w:pPr>
    </w:p>
    <w:p w14:paraId="728C1088" w14:textId="77777777" w:rsidR="009260DE" w:rsidRPr="00FF6291" w:rsidRDefault="009260DE" w:rsidP="009260DE">
      <w:pPr>
        <w:tabs>
          <w:tab w:val="left" w:pos="851"/>
        </w:tabs>
        <w:ind w:left="851" w:hanging="851"/>
        <w:rPr>
          <w:b/>
          <w:sz w:val="24"/>
          <w:szCs w:val="24"/>
        </w:rPr>
      </w:pPr>
      <w:r w:rsidRPr="00FF6291">
        <w:rPr>
          <w:b/>
          <w:sz w:val="24"/>
          <w:szCs w:val="24"/>
        </w:rPr>
        <w:t>4.9</w:t>
      </w:r>
      <w:r w:rsidRPr="00FF6291">
        <w:rPr>
          <w:b/>
          <w:sz w:val="24"/>
          <w:szCs w:val="24"/>
        </w:rPr>
        <w:tab/>
        <w:t>Overdosering</w:t>
      </w:r>
    </w:p>
    <w:p w14:paraId="5DDD9455" w14:textId="77777777" w:rsidR="0096570A" w:rsidRPr="00FF6291" w:rsidRDefault="0096570A" w:rsidP="00791D0E">
      <w:pPr>
        <w:ind w:left="851"/>
        <w:rPr>
          <w:iCs/>
          <w:sz w:val="24"/>
          <w:szCs w:val="24"/>
        </w:rPr>
      </w:pPr>
      <w:r w:rsidRPr="00FF6291">
        <w:rPr>
          <w:sz w:val="24"/>
          <w:szCs w:val="24"/>
          <w:lang w:bidi="da-DK"/>
        </w:rPr>
        <w:t>Overdosering, som fører til fedtoverbelastningssyndrom, kan opstå som følge af for hurtig infusionshastighed eller kronisk ved anbefalede hastigheder i kombination med ændringer i patientens kliniske tilstand, f.eks. nedsat nyrefunktion eller infektion. Overdosering kan medføre bivirkninger (se pkt. 4.8). I sådanne tilfælde bør infusionen med lipidemulsion standses eller om nødvendigt fortsættes ved nedsat dosis.</w:t>
      </w:r>
    </w:p>
    <w:p w14:paraId="2E205149" w14:textId="77777777" w:rsidR="009260DE" w:rsidRPr="00FF6291" w:rsidRDefault="009260DE" w:rsidP="009260DE">
      <w:pPr>
        <w:tabs>
          <w:tab w:val="left" w:pos="851"/>
        </w:tabs>
        <w:ind w:left="851"/>
        <w:rPr>
          <w:sz w:val="24"/>
          <w:szCs w:val="24"/>
        </w:rPr>
      </w:pPr>
    </w:p>
    <w:p w14:paraId="28DB2C33" w14:textId="77777777" w:rsidR="009260DE" w:rsidRPr="00FF6291" w:rsidRDefault="009260DE" w:rsidP="009260DE">
      <w:pPr>
        <w:tabs>
          <w:tab w:val="left" w:pos="851"/>
        </w:tabs>
        <w:ind w:left="851" w:hanging="851"/>
        <w:rPr>
          <w:b/>
          <w:sz w:val="24"/>
          <w:szCs w:val="24"/>
        </w:rPr>
      </w:pPr>
      <w:r w:rsidRPr="00FF6291">
        <w:rPr>
          <w:b/>
          <w:sz w:val="24"/>
          <w:szCs w:val="24"/>
        </w:rPr>
        <w:t>4.10</w:t>
      </w:r>
      <w:r w:rsidRPr="00FF6291">
        <w:rPr>
          <w:b/>
          <w:sz w:val="24"/>
          <w:szCs w:val="24"/>
        </w:rPr>
        <w:tab/>
        <w:t>Udlevering</w:t>
      </w:r>
    </w:p>
    <w:p w14:paraId="7B3B605D" w14:textId="36F70C86" w:rsidR="009260DE" w:rsidRPr="00FF6291" w:rsidRDefault="006257B7" w:rsidP="009260DE">
      <w:pPr>
        <w:tabs>
          <w:tab w:val="left" w:pos="851"/>
        </w:tabs>
        <w:ind w:left="851"/>
        <w:rPr>
          <w:sz w:val="24"/>
          <w:szCs w:val="24"/>
        </w:rPr>
      </w:pPr>
      <w:r w:rsidRPr="00FF6291">
        <w:rPr>
          <w:sz w:val="24"/>
          <w:szCs w:val="24"/>
        </w:rPr>
        <w:t>B</w:t>
      </w:r>
    </w:p>
    <w:p w14:paraId="2FECC6B3" w14:textId="77777777" w:rsidR="009260DE" w:rsidRPr="00FF6291" w:rsidRDefault="009260DE" w:rsidP="009260DE">
      <w:pPr>
        <w:tabs>
          <w:tab w:val="left" w:pos="851"/>
        </w:tabs>
        <w:ind w:left="851"/>
        <w:rPr>
          <w:sz w:val="24"/>
          <w:szCs w:val="24"/>
        </w:rPr>
      </w:pPr>
    </w:p>
    <w:p w14:paraId="298F7EB2" w14:textId="77777777" w:rsidR="009260DE" w:rsidRPr="00FF6291" w:rsidRDefault="009260DE" w:rsidP="009260DE">
      <w:pPr>
        <w:tabs>
          <w:tab w:val="left" w:pos="851"/>
        </w:tabs>
        <w:ind w:left="851"/>
        <w:rPr>
          <w:sz w:val="24"/>
          <w:szCs w:val="24"/>
        </w:rPr>
      </w:pPr>
    </w:p>
    <w:p w14:paraId="00FC38F3" w14:textId="77777777" w:rsidR="009260DE" w:rsidRPr="00FF6291" w:rsidRDefault="009260DE" w:rsidP="009260DE">
      <w:pPr>
        <w:tabs>
          <w:tab w:val="left" w:pos="851"/>
        </w:tabs>
        <w:ind w:left="851" w:hanging="851"/>
        <w:rPr>
          <w:b/>
          <w:sz w:val="24"/>
          <w:szCs w:val="24"/>
        </w:rPr>
      </w:pPr>
      <w:r w:rsidRPr="00FF6291">
        <w:rPr>
          <w:b/>
          <w:sz w:val="24"/>
          <w:szCs w:val="24"/>
        </w:rPr>
        <w:t>5.</w:t>
      </w:r>
      <w:r w:rsidRPr="00FF6291">
        <w:rPr>
          <w:b/>
          <w:sz w:val="24"/>
          <w:szCs w:val="24"/>
        </w:rPr>
        <w:tab/>
        <w:t>FARMAKOLOGISKE EGENSKABER</w:t>
      </w:r>
    </w:p>
    <w:p w14:paraId="67218449" w14:textId="77777777" w:rsidR="009260DE" w:rsidRPr="00FF6291" w:rsidRDefault="009260DE" w:rsidP="009260DE">
      <w:pPr>
        <w:tabs>
          <w:tab w:val="left" w:pos="851"/>
        </w:tabs>
        <w:ind w:left="851"/>
        <w:rPr>
          <w:sz w:val="24"/>
          <w:szCs w:val="24"/>
        </w:rPr>
      </w:pPr>
    </w:p>
    <w:p w14:paraId="0BDCE5B3" w14:textId="77777777" w:rsidR="009260DE" w:rsidRPr="00FF6291" w:rsidRDefault="009260DE" w:rsidP="009260DE">
      <w:pPr>
        <w:tabs>
          <w:tab w:val="num" w:pos="851"/>
        </w:tabs>
        <w:ind w:left="851" w:hanging="851"/>
        <w:rPr>
          <w:b/>
          <w:sz w:val="24"/>
          <w:szCs w:val="24"/>
        </w:rPr>
      </w:pPr>
      <w:r w:rsidRPr="00FF6291">
        <w:rPr>
          <w:b/>
          <w:sz w:val="24"/>
          <w:szCs w:val="24"/>
        </w:rPr>
        <w:t>5.1</w:t>
      </w:r>
      <w:r w:rsidRPr="00FF6291">
        <w:rPr>
          <w:b/>
          <w:sz w:val="24"/>
          <w:szCs w:val="24"/>
        </w:rPr>
        <w:tab/>
      </w:r>
      <w:proofErr w:type="spellStart"/>
      <w:r w:rsidRPr="00FF6291">
        <w:rPr>
          <w:b/>
          <w:sz w:val="24"/>
          <w:szCs w:val="24"/>
        </w:rPr>
        <w:t>Farmakodynamiske</w:t>
      </w:r>
      <w:proofErr w:type="spellEnd"/>
      <w:r w:rsidRPr="00FF6291">
        <w:rPr>
          <w:b/>
          <w:sz w:val="24"/>
          <w:szCs w:val="24"/>
        </w:rPr>
        <w:t xml:space="preserve"> egenskaber</w:t>
      </w:r>
    </w:p>
    <w:p w14:paraId="631525D9" w14:textId="77777777" w:rsidR="0096570A" w:rsidRPr="00FF6291" w:rsidRDefault="0096570A" w:rsidP="00791D0E">
      <w:pPr>
        <w:ind w:left="851"/>
        <w:rPr>
          <w:iCs/>
          <w:sz w:val="24"/>
          <w:szCs w:val="24"/>
        </w:rPr>
      </w:pPr>
      <w:proofErr w:type="spellStart"/>
      <w:r w:rsidRPr="00FF6291">
        <w:rPr>
          <w:sz w:val="24"/>
          <w:szCs w:val="24"/>
          <w:lang w:bidi="da-DK"/>
        </w:rPr>
        <w:t>Farmakoterapeutisk</w:t>
      </w:r>
      <w:proofErr w:type="spellEnd"/>
      <w:r w:rsidRPr="00FF6291">
        <w:rPr>
          <w:sz w:val="24"/>
          <w:szCs w:val="24"/>
          <w:lang w:bidi="da-DK"/>
        </w:rPr>
        <w:t xml:space="preserve"> klassifikation: Bloderstatninger og </w:t>
      </w:r>
      <w:proofErr w:type="spellStart"/>
      <w:r w:rsidRPr="00FF6291">
        <w:rPr>
          <w:sz w:val="24"/>
          <w:szCs w:val="24"/>
          <w:lang w:bidi="da-DK"/>
        </w:rPr>
        <w:t>perfusionsvæsker</w:t>
      </w:r>
      <w:proofErr w:type="spellEnd"/>
      <w:r w:rsidRPr="00FF6291">
        <w:rPr>
          <w:sz w:val="24"/>
          <w:szCs w:val="24"/>
          <w:lang w:bidi="da-DK"/>
        </w:rPr>
        <w:t>, opløsninger til parenteral ernæring, ATC-kode: B05BA02</w:t>
      </w:r>
    </w:p>
    <w:p w14:paraId="3D59DE5C" w14:textId="77777777" w:rsidR="0096570A" w:rsidRPr="00FF6291" w:rsidRDefault="0096570A" w:rsidP="00791D0E">
      <w:pPr>
        <w:ind w:left="851"/>
        <w:rPr>
          <w:iCs/>
          <w:sz w:val="24"/>
          <w:szCs w:val="24"/>
        </w:rPr>
      </w:pPr>
    </w:p>
    <w:p w14:paraId="3BB431CF" w14:textId="77777777" w:rsidR="0096570A" w:rsidRPr="00FF6291" w:rsidRDefault="0096570A" w:rsidP="00791D0E">
      <w:pPr>
        <w:ind w:left="851"/>
        <w:rPr>
          <w:iCs/>
          <w:sz w:val="24"/>
          <w:szCs w:val="24"/>
        </w:rPr>
      </w:pPr>
      <w:r w:rsidRPr="00FF6291">
        <w:rPr>
          <w:sz w:val="24"/>
          <w:szCs w:val="24"/>
          <w:lang w:bidi="da-DK"/>
        </w:rPr>
        <w:t xml:space="preserve">Lipidemulsionen har partikelstørrelse og biologiske egenskaber, som ligner endogene </w:t>
      </w:r>
      <w:proofErr w:type="spellStart"/>
      <w:r w:rsidRPr="00FF6291">
        <w:rPr>
          <w:sz w:val="24"/>
          <w:szCs w:val="24"/>
          <w:lang w:bidi="da-DK"/>
        </w:rPr>
        <w:t>kylomikroner</w:t>
      </w:r>
      <w:proofErr w:type="spellEnd"/>
      <w:r w:rsidRPr="00FF6291">
        <w:rPr>
          <w:sz w:val="24"/>
          <w:szCs w:val="24"/>
          <w:lang w:bidi="da-DK"/>
        </w:rPr>
        <w:t xml:space="preserve">. Indholdsstofferne i Maxivalen, dvs. sojabønneolie, mellemkædede triglycerider, olivenolie og fiskeolie, har ud over de energimæssige egenskaber, også deres egne </w:t>
      </w:r>
      <w:proofErr w:type="spellStart"/>
      <w:r w:rsidRPr="00FF6291">
        <w:rPr>
          <w:sz w:val="24"/>
          <w:szCs w:val="24"/>
          <w:lang w:bidi="da-DK"/>
        </w:rPr>
        <w:t>farmakodynamiske</w:t>
      </w:r>
      <w:proofErr w:type="spellEnd"/>
      <w:r w:rsidRPr="00FF6291">
        <w:rPr>
          <w:sz w:val="24"/>
          <w:szCs w:val="24"/>
          <w:lang w:bidi="da-DK"/>
        </w:rPr>
        <w:t xml:space="preserve"> karakteristika.</w:t>
      </w:r>
    </w:p>
    <w:p w14:paraId="0AE7A97F" w14:textId="77777777" w:rsidR="0096570A" w:rsidRPr="00FF6291" w:rsidRDefault="0096570A" w:rsidP="00791D0E">
      <w:pPr>
        <w:ind w:left="851"/>
        <w:rPr>
          <w:iCs/>
          <w:sz w:val="24"/>
          <w:szCs w:val="24"/>
        </w:rPr>
      </w:pPr>
    </w:p>
    <w:p w14:paraId="745E11B3" w14:textId="77777777" w:rsidR="0096570A" w:rsidRPr="00FF6291" w:rsidRDefault="0096570A" w:rsidP="00791D0E">
      <w:pPr>
        <w:ind w:left="851"/>
        <w:rPr>
          <w:iCs/>
          <w:sz w:val="24"/>
          <w:szCs w:val="24"/>
        </w:rPr>
      </w:pPr>
      <w:r w:rsidRPr="00FF6291">
        <w:rPr>
          <w:sz w:val="24"/>
          <w:szCs w:val="24"/>
          <w:lang w:bidi="da-DK"/>
        </w:rPr>
        <w:t>Sojabønneolie har et højt indhold af essentielle fedtsyrer. Omega-6-fedtsyren linolsyre er den hyppigst forekommende (ca. 55-60 %). Alfa-</w:t>
      </w:r>
      <w:proofErr w:type="spellStart"/>
      <w:r w:rsidRPr="00FF6291">
        <w:rPr>
          <w:sz w:val="24"/>
          <w:szCs w:val="24"/>
          <w:lang w:bidi="da-DK"/>
        </w:rPr>
        <w:t>linolensyre</w:t>
      </w:r>
      <w:proofErr w:type="spellEnd"/>
      <w:r w:rsidRPr="00FF6291">
        <w:rPr>
          <w:sz w:val="24"/>
          <w:szCs w:val="24"/>
          <w:lang w:bidi="da-DK"/>
        </w:rPr>
        <w:t>, en omega-3-fedtsyre, udgør ca. 8 %. Denne del af Maxivalen leverer den nødvendige mængde essentielle fedtsyrer.</w:t>
      </w:r>
    </w:p>
    <w:p w14:paraId="57D9F271" w14:textId="77777777" w:rsidR="0096570A" w:rsidRPr="00FF6291" w:rsidRDefault="0096570A" w:rsidP="00791D0E">
      <w:pPr>
        <w:ind w:left="851"/>
        <w:rPr>
          <w:iCs/>
          <w:sz w:val="24"/>
          <w:szCs w:val="24"/>
        </w:rPr>
      </w:pPr>
    </w:p>
    <w:p w14:paraId="5F36C0FA" w14:textId="77777777" w:rsidR="0096570A" w:rsidRPr="00FF6291" w:rsidRDefault="0096570A" w:rsidP="00791D0E">
      <w:pPr>
        <w:ind w:left="851"/>
        <w:rPr>
          <w:iCs/>
          <w:sz w:val="24"/>
          <w:szCs w:val="24"/>
        </w:rPr>
      </w:pPr>
      <w:r w:rsidRPr="00FF6291">
        <w:rPr>
          <w:sz w:val="24"/>
          <w:szCs w:val="24"/>
          <w:lang w:bidi="da-DK"/>
        </w:rPr>
        <w:t>Mellemkædede fedtsyrer oxideres hurtigt og giver kroppen en form for hurtig tilgængelig energi.</w:t>
      </w:r>
    </w:p>
    <w:p w14:paraId="52960E30" w14:textId="77777777" w:rsidR="0096570A" w:rsidRPr="00FF6291" w:rsidRDefault="0096570A" w:rsidP="00791D0E">
      <w:pPr>
        <w:ind w:left="851"/>
        <w:rPr>
          <w:iCs/>
          <w:sz w:val="24"/>
          <w:szCs w:val="24"/>
        </w:rPr>
      </w:pPr>
    </w:p>
    <w:p w14:paraId="61AB1955" w14:textId="77777777" w:rsidR="0096570A" w:rsidRPr="00FF6291" w:rsidRDefault="0096570A" w:rsidP="00791D0E">
      <w:pPr>
        <w:ind w:left="851"/>
        <w:rPr>
          <w:iCs/>
          <w:sz w:val="24"/>
          <w:szCs w:val="24"/>
        </w:rPr>
      </w:pPr>
      <w:r w:rsidRPr="00FF6291">
        <w:rPr>
          <w:sz w:val="24"/>
          <w:szCs w:val="24"/>
          <w:lang w:bidi="da-DK"/>
        </w:rPr>
        <w:t>Olivenolie bidrager primært med energi i form af monoumættede fedtsyrer, som er langt mindre tilbøjelig til at gennemgå peroxidation end en tilsvarende mængde flerumættede fedtsyrer.</w:t>
      </w:r>
    </w:p>
    <w:p w14:paraId="7BF7C02C" w14:textId="77777777" w:rsidR="0096570A" w:rsidRPr="00FF6291" w:rsidRDefault="0096570A" w:rsidP="00791D0E">
      <w:pPr>
        <w:ind w:left="851"/>
        <w:rPr>
          <w:iCs/>
          <w:sz w:val="24"/>
          <w:szCs w:val="24"/>
        </w:rPr>
      </w:pPr>
    </w:p>
    <w:p w14:paraId="6A944035" w14:textId="77777777" w:rsidR="0096570A" w:rsidRPr="00FF6291" w:rsidRDefault="0096570A" w:rsidP="00791D0E">
      <w:pPr>
        <w:ind w:left="851"/>
        <w:rPr>
          <w:iCs/>
          <w:sz w:val="24"/>
          <w:szCs w:val="24"/>
        </w:rPr>
      </w:pPr>
      <w:r w:rsidRPr="00FF6291">
        <w:rPr>
          <w:sz w:val="24"/>
          <w:szCs w:val="24"/>
          <w:lang w:bidi="da-DK"/>
        </w:rPr>
        <w:t xml:space="preserve">Fiskeolie er karakteriseret ved et højt indhold af </w:t>
      </w:r>
      <w:proofErr w:type="spellStart"/>
      <w:r w:rsidRPr="00FF6291">
        <w:rPr>
          <w:sz w:val="24"/>
          <w:szCs w:val="24"/>
          <w:lang w:bidi="da-DK"/>
        </w:rPr>
        <w:t>eikosapentaensyre</w:t>
      </w:r>
      <w:proofErr w:type="spellEnd"/>
      <w:r w:rsidRPr="00FF6291">
        <w:rPr>
          <w:sz w:val="24"/>
          <w:szCs w:val="24"/>
          <w:lang w:bidi="da-DK"/>
        </w:rPr>
        <w:t xml:space="preserve"> (EPA) og </w:t>
      </w:r>
      <w:proofErr w:type="spellStart"/>
      <w:r w:rsidRPr="00FF6291">
        <w:rPr>
          <w:sz w:val="24"/>
          <w:szCs w:val="24"/>
          <w:lang w:bidi="da-DK"/>
        </w:rPr>
        <w:t>dokosaheksaensyre</w:t>
      </w:r>
      <w:proofErr w:type="spellEnd"/>
      <w:r w:rsidRPr="00FF6291">
        <w:rPr>
          <w:sz w:val="24"/>
          <w:szCs w:val="24"/>
          <w:lang w:bidi="da-DK"/>
        </w:rPr>
        <w:t xml:space="preserve"> (DHA). DHA er en vigtig strukturel komponent i cellemembraner, mens EPA er forløber for </w:t>
      </w:r>
      <w:proofErr w:type="spellStart"/>
      <w:r w:rsidRPr="00FF6291">
        <w:rPr>
          <w:sz w:val="24"/>
          <w:szCs w:val="24"/>
          <w:lang w:bidi="da-DK"/>
        </w:rPr>
        <w:t>eikosanoider</w:t>
      </w:r>
      <w:proofErr w:type="spellEnd"/>
      <w:r w:rsidRPr="00FF6291">
        <w:rPr>
          <w:sz w:val="24"/>
          <w:szCs w:val="24"/>
          <w:lang w:bidi="da-DK"/>
        </w:rPr>
        <w:t xml:space="preserve">, herunder </w:t>
      </w:r>
      <w:proofErr w:type="spellStart"/>
      <w:r w:rsidRPr="00FF6291">
        <w:rPr>
          <w:sz w:val="24"/>
          <w:szCs w:val="24"/>
          <w:lang w:bidi="da-DK"/>
        </w:rPr>
        <w:t>prostaglandiner</w:t>
      </w:r>
      <w:proofErr w:type="spellEnd"/>
      <w:r w:rsidRPr="00FF6291">
        <w:rPr>
          <w:sz w:val="24"/>
          <w:szCs w:val="24"/>
          <w:lang w:bidi="da-DK"/>
        </w:rPr>
        <w:t xml:space="preserve">, </w:t>
      </w:r>
      <w:proofErr w:type="spellStart"/>
      <w:r w:rsidRPr="00FF6291">
        <w:rPr>
          <w:sz w:val="24"/>
          <w:szCs w:val="24"/>
          <w:lang w:bidi="da-DK"/>
        </w:rPr>
        <w:t>tromboxaner</w:t>
      </w:r>
      <w:proofErr w:type="spellEnd"/>
      <w:r w:rsidRPr="00FF6291">
        <w:rPr>
          <w:sz w:val="24"/>
          <w:szCs w:val="24"/>
          <w:lang w:bidi="da-DK"/>
        </w:rPr>
        <w:t xml:space="preserve"> og </w:t>
      </w:r>
      <w:proofErr w:type="spellStart"/>
      <w:r w:rsidRPr="00FF6291">
        <w:rPr>
          <w:sz w:val="24"/>
          <w:szCs w:val="24"/>
          <w:lang w:bidi="da-DK"/>
        </w:rPr>
        <w:t>leukotriener</w:t>
      </w:r>
      <w:proofErr w:type="spellEnd"/>
      <w:r w:rsidRPr="00FF6291">
        <w:rPr>
          <w:sz w:val="24"/>
          <w:szCs w:val="24"/>
          <w:lang w:bidi="da-DK"/>
        </w:rPr>
        <w:t>.</w:t>
      </w:r>
    </w:p>
    <w:p w14:paraId="54702491" w14:textId="77777777" w:rsidR="0096570A" w:rsidRPr="00FF6291" w:rsidRDefault="0096570A" w:rsidP="00791D0E">
      <w:pPr>
        <w:ind w:left="851"/>
        <w:rPr>
          <w:iCs/>
          <w:sz w:val="24"/>
          <w:szCs w:val="24"/>
        </w:rPr>
      </w:pPr>
    </w:p>
    <w:p w14:paraId="6D37BD6B" w14:textId="77777777" w:rsidR="0096570A" w:rsidRPr="00FF6291" w:rsidRDefault="0096570A" w:rsidP="00791D0E">
      <w:pPr>
        <w:ind w:left="851"/>
        <w:rPr>
          <w:iCs/>
          <w:sz w:val="24"/>
          <w:szCs w:val="24"/>
        </w:rPr>
      </w:pPr>
      <w:r w:rsidRPr="00FF6291">
        <w:rPr>
          <w:sz w:val="24"/>
          <w:szCs w:val="24"/>
          <w:lang w:bidi="da-DK"/>
        </w:rPr>
        <w:t xml:space="preserve">E-vitamin beskytter umættede fedtsyrer mod </w:t>
      </w:r>
      <w:proofErr w:type="spellStart"/>
      <w:r w:rsidRPr="00FF6291">
        <w:rPr>
          <w:sz w:val="24"/>
          <w:szCs w:val="24"/>
          <w:lang w:bidi="da-DK"/>
        </w:rPr>
        <w:t>lipidperoxidation</w:t>
      </w:r>
      <w:proofErr w:type="spellEnd"/>
      <w:r w:rsidRPr="00FF6291">
        <w:rPr>
          <w:sz w:val="24"/>
          <w:szCs w:val="24"/>
          <w:lang w:bidi="da-DK"/>
        </w:rPr>
        <w:t>.</w:t>
      </w:r>
    </w:p>
    <w:p w14:paraId="0E6A9D8C" w14:textId="77777777" w:rsidR="0096570A" w:rsidRPr="00FF6291" w:rsidRDefault="0096570A" w:rsidP="00791D0E">
      <w:pPr>
        <w:ind w:left="851"/>
        <w:rPr>
          <w:iCs/>
          <w:sz w:val="24"/>
          <w:szCs w:val="24"/>
        </w:rPr>
      </w:pPr>
    </w:p>
    <w:p w14:paraId="2B2AB816" w14:textId="77777777" w:rsidR="0096570A" w:rsidRPr="00FF6291" w:rsidRDefault="0096570A" w:rsidP="00791D0E">
      <w:pPr>
        <w:ind w:left="851"/>
        <w:rPr>
          <w:iCs/>
          <w:sz w:val="24"/>
          <w:szCs w:val="24"/>
        </w:rPr>
      </w:pPr>
      <w:r w:rsidRPr="00FF6291">
        <w:rPr>
          <w:sz w:val="24"/>
          <w:szCs w:val="24"/>
          <w:lang w:bidi="da-DK"/>
        </w:rPr>
        <w:lastRenderedPageBreak/>
        <w:t xml:space="preserve">Der er blevet udført to studier med parenteral ernæring i hjemmeregi til patienter med behov for langvarig ernæringsstøtte. Hovedformålet med begge studier var at dokumentere sikkerhed. Effekten blev undersøgt som sekundært mål i ét af studierne, som blev udført med pædiatriske patienter. Dette studie blev stratificeret i aldersgrupperne (1 måned </w:t>
      </w:r>
      <w:r w:rsidRPr="00FF6291">
        <w:rPr>
          <w:sz w:val="24"/>
          <w:szCs w:val="24"/>
          <w:lang w:bidi="da-DK"/>
        </w:rPr>
        <w:noBreakHyphen/>
        <w:t xml:space="preserve"> &lt;2 år og 2</w:t>
      </w:r>
      <w:r w:rsidRPr="00FF6291">
        <w:rPr>
          <w:sz w:val="24"/>
          <w:szCs w:val="24"/>
          <w:lang w:bidi="da-DK"/>
        </w:rPr>
        <w:noBreakHyphen/>
        <w:t xml:space="preserve">11 år). Begge studier viste samme sikkerhedsprofil som sammenligningspræparatet (Intralipid 20 %). Effekten i det pædiatriske studie blev målt ved vægtstigning, højde, kropsmasseindeks, præ-albumin, </w:t>
      </w:r>
      <w:proofErr w:type="spellStart"/>
      <w:r w:rsidRPr="00FF6291">
        <w:rPr>
          <w:sz w:val="24"/>
          <w:szCs w:val="24"/>
          <w:lang w:bidi="da-DK"/>
        </w:rPr>
        <w:t>retinolbindende</w:t>
      </w:r>
      <w:proofErr w:type="spellEnd"/>
      <w:r w:rsidRPr="00FF6291">
        <w:rPr>
          <w:sz w:val="24"/>
          <w:szCs w:val="24"/>
          <w:lang w:bidi="da-DK"/>
        </w:rPr>
        <w:t xml:space="preserve"> protein og fedtsyreprofil. Der blev ikke observeret forskel mellem grupperne i nogen af parametrene, bortset fra </w:t>
      </w:r>
      <w:r w:rsidRPr="00FF6291">
        <w:rPr>
          <w:spacing w:val="-4"/>
          <w:sz w:val="24"/>
          <w:szCs w:val="24"/>
          <w:lang w:bidi="da-DK"/>
        </w:rPr>
        <w:t>fedtsyreprofilen</w:t>
      </w:r>
      <w:r w:rsidRPr="00FF6291">
        <w:rPr>
          <w:sz w:val="24"/>
          <w:szCs w:val="24"/>
          <w:lang w:bidi="da-DK"/>
        </w:rPr>
        <w:t xml:space="preserve"> efter 4 ugers behandling. Fedtsyreprofilen hos patienter behandlet med lipidemulsion viste en stigning i omega-3-fedtsyrer i plasma-</w:t>
      </w:r>
      <w:proofErr w:type="spellStart"/>
      <w:r w:rsidRPr="00FF6291">
        <w:rPr>
          <w:sz w:val="24"/>
          <w:szCs w:val="24"/>
          <w:lang w:bidi="da-DK"/>
        </w:rPr>
        <w:t>lipoproteiner</w:t>
      </w:r>
      <w:proofErr w:type="spellEnd"/>
      <w:r w:rsidRPr="00FF6291">
        <w:rPr>
          <w:sz w:val="24"/>
          <w:szCs w:val="24"/>
          <w:lang w:bidi="da-DK"/>
        </w:rPr>
        <w:t xml:space="preserve"> og fosfolipider i røde blodlegemer, hvilket afspejler sammensætningen af den tilførte lipidemulsion.</w:t>
      </w:r>
    </w:p>
    <w:p w14:paraId="1972E3EC" w14:textId="77777777" w:rsidR="009260DE" w:rsidRPr="00FF6291" w:rsidRDefault="009260DE" w:rsidP="009260DE">
      <w:pPr>
        <w:tabs>
          <w:tab w:val="left" w:pos="851"/>
        </w:tabs>
        <w:ind w:left="851"/>
        <w:rPr>
          <w:sz w:val="24"/>
          <w:szCs w:val="24"/>
        </w:rPr>
      </w:pPr>
    </w:p>
    <w:p w14:paraId="679E971E" w14:textId="77777777" w:rsidR="009260DE" w:rsidRPr="00FF6291" w:rsidRDefault="009260DE" w:rsidP="009260DE">
      <w:pPr>
        <w:tabs>
          <w:tab w:val="left" w:pos="851"/>
        </w:tabs>
        <w:ind w:left="851" w:hanging="851"/>
        <w:rPr>
          <w:b/>
          <w:sz w:val="24"/>
          <w:szCs w:val="24"/>
        </w:rPr>
      </w:pPr>
      <w:r w:rsidRPr="00FF6291">
        <w:rPr>
          <w:b/>
          <w:sz w:val="24"/>
          <w:szCs w:val="24"/>
        </w:rPr>
        <w:t>5.2</w:t>
      </w:r>
      <w:r w:rsidRPr="00FF6291">
        <w:rPr>
          <w:b/>
          <w:sz w:val="24"/>
          <w:szCs w:val="24"/>
        </w:rPr>
        <w:tab/>
      </w:r>
      <w:proofErr w:type="spellStart"/>
      <w:r w:rsidRPr="00FF6291">
        <w:rPr>
          <w:b/>
          <w:sz w:val="24"/>
          <w:szCs w:val="24"/>
        </w:rPr>
        <w:t>Farmakokinetiske</w:t>
      </w:r>
      <w:proofErr w:type="spellEnd"/>
      <w:r w:rsidRPr="00FF6291">
        <w:rPr>
          <w:b/>
          <w:sz w:val="24"/>
          <w:szCs w:val="24"/>
        </w:rPr>
        <w:t xml:space="preserve"> egenskaber</w:t>
      </w:r>
    </w:p>
    <w:p w14:paraId="39227B5C" w14:textId="77777777" w:rsidR="0096570A" w:rsidRPr="00FF6291" w:rsidRDefault="0096570A" w:rsidP="00791D0E">
      <w:pPr>
        <w:ind w:left="851"/>
        <w:rPr>
          <w:iCs/>
          <w:sz w:val="24"/>
          <w:szCs w:val="24"/>
        </w:rPr>
      </w:pPr>
      <w:r w:rsidRPr="00FF6291">
        <w:rPr>
          <w:sz w:val="24"/>
          <w:szCs w:val="24"/>
          <w:lang w:bidi="da-DK"/>
        </w:rPr>
        <w:t xml:space="preserve">De enkelte triglycerider har forskellig </w:t>
      </w:r>
      <w:proofErr w:type="spellStart"/>
      <w:r w:rsidRPr="00FF6291">
        <w:rPr>
          <w:sz w:val="24"/>
          <w:szCs w:val="24"/>
          <w:lang w:bidi="da-DK"/>
        </w:rPr>
        <w:t>clearance</w:t>
      </w:r>
      <w:proofErr w:type="spellEnd"/>
      <w:r w:rsidRPr="00FF6291">
        <w:rPr>
          <w:sz w:val="24"/>
          <w:szCs w:val="24"/>
          <w:lang w:bidi="da-DK"/>
        </w:rPr>
        <w:t xml:space="preserve">-hastighed, men lipidemulsionen givet som blandingsprodukt elimineres hurtigere end langkædede triglycerider (LCT), med lavere triglyceridniveauer under infusion. Olivenolie har den langsomste </w:t>
      </w:r>
      <w:proofErr w:type="spellStart"/>
      <w:r w:rsidRPr="00FF6291">
        <w:rPr>
          <w:sz w:val="24"/>
          <w:szCs w:val="24"/>
          <w:lang w:bidi="da-DK"/>
        </w:rPr>
        <w:t>clearance</w:t>
      </w:r>
      <w:proofErr w:type="spellEnd"/>
      <w:r w:rsidRPr="00FF6291">
        <w:rPr>
          <w:sz w:val="24"/>
          <w:szCs w:val="24"/>
          <w:lang w:bidi="da-DK"/>
        </w:rPr>
        <w:t xml:space="preserve">-hastighed af komponenterne (en del langsommere end LCT), og de mellemkædede triglycerider (MCT) har den hurtigste. Fiskeolie givet i kombination med LCT har samme </w:t>
      </w:r>
      <w:proofErr w:type="spellStart"/>
      <w:r w:rsidRPr="00FF6291">
        <w:rPr>
          <w:sz w:val="24"/>
          <w:szCs w:val="24"/>
          <w:lang w:bidi="da-DK"/>
        </w:rPr>
        <w:t>clearance</w:t>
      </w:r>
      <w:proofErr w:type="spellEnd"/>
      <w:r w:rsidRPr="00FF6291">
        <w:rPr>
          <w:sz w:val="24"/>
          <w:szCs w:val="24"/>
          <w:lang w:bidi="da-DK"/>
        </w:rPr>
        <w:t>-hastighed som LCT givet alene.</w:t>
      </w:r>
    </w:p>
    <w:p w14:paraId="22E3AD84" w14:textId="77777777" w:rsidR="009260DE" w:rsidRPr="00FF6291" w:rsidRDefault="009260DE" w:rsidP="009260DE">
      <w:pPr>
        <w:tabs>
          <w:tab w:val="left" w:pos="851"/>
        </w:tabs>
        <w:ind w:left="851"/>
        <w:rPr>
          <w:sz w:val="24"/>
          <w:szCs w:val="24"/>
        </w:rPr>
      </w:pPr>
    </w:p>
    <w:p w14:paraId="13846D02" w14:textId="77777777" w:rsidR="009260DE" w:rsidRPr="00FF6291" w:rsidRDefault="009260DE" w:rsidP="009260DE">
      <w:pPr>
        <w:tabs>
          <w:tab w:val="left" w:pos="851"/>
        </w:tabs>
        <w:ind w:left="851" w:hanging="851"/>
        <w:rPr>
          <w:b/>
          <w:sz w:val="24"/>
          <w:szCs w:val="24"/>
        </w:rPr>
      </w:pPr>
      <w:r w:rsidRPr="00FF6291">
        <w:rPr>
          <w:b/>
          <w:sz w:val="24"/>
          <w:szCs w:val="24"/>
        </w:rPr>
        <w:t>5.3</w:t>
      </w:r>
      <w:r w:rsidRPr="00FF6291">
        <w:rPr>
          <w:b/>
          <w:sz w:val="24"/>
          <w:szCs w:val="24"/>
        </w:rPr>
        <w:tab/>
      </w:r>
      <w:r w:rsidR="00BD7931" w:rsidRPr="00FF6291">
        <w:rPr>
          <w:b/>
          <w:sz w:val="24"/>
          <w:szCs w:val="24"/>
        </w:rPr>
        <w:t>Non-</w:t>
      </w:r>
      <w:r w:rsidRPr="00FF6291">
        <w:rPr>
          <w:b/>
          <w:sz w:val="24"/>
          <w:szCs w:val="24"/>
        </w:rPr>
        <w:t>kliniske sikkerhedsdata</w:t>
      </w:r>
    </w:p>
    <w:p w14:paraId="3A7C6847" w14:textId="77777777" w:rsidR="0096570A" w:rsidRPr="00FF6291" w:rsidRDefault="0096570A" w:rsidP="00791D0E">
      <w:pPr>
        <w:ind w:left="851"/>
        <w:rPr>
          <w:iCs/>
          <w:sz w:val="24"/>
          <w:szCs w:val="24"/>
        </w:rPr>
      </w:pPr>
      <w:r w:rsidRPr="00FF6291">
        <w:rPr>
          <w:sz w:val="24"/>
          <w:szCs w:val="24"/>
          <w:lang w:bidi="da-DK"/>
        </w:rPr>
        <w:t xml:space="preserve">I non-kliniske studier blev der ikke iagttaget andre virkninger end dem, der forventes efter høje doser af lipider, baseret på studier af enkelt- og gentagne dosistoksicitets- samt </w:t>
      </w:r>
      <w:proofErr w:type="spellStart"/>
      <w:r w:rsidRPr="00FF6291">
        <w:rPr>
          <w:sz w:val="24"/>
          <w:szCs w:val="24"/>
          <w:lang w:bidi="da-DK"/>
        </w:rPr>
        <w:t>genotoksicitetsundersøgelser</w:t>
      </w:r>
      <w:proofErr w:type="spellEnd"/>
      <w:r w:rsidRPr="00FF6291">
        <w:rPr>
          <w:sz w:val="24"/>
          <w:szCs w:val="24"/>
          <w:lang w:bidi="da-DK"/>
        </w:rPr>
        <w:t xml:space="preserve"> udført med lipidemulsioner. I et lokalt toleranceforsøg med kaniner blev der en observeret let, forbigående inflammation efter </w:t>
      </w:r>
      <w:proofErr w:type="spellStart"/>
      <w:r w:rsidRPr="00FF6291">
        <w:rPr>
          <w:sz w:val="24"/>
          <w:szCs w:val="24"/>
          <w:lang w:bidi="da-DK"/>
        </w:rPr>
        <w:t>intra</w:t>
      </w:r>
      <w:proofErr w:type="spellEnd"/>
      <w:r w:rsidRPr="00FF6291">
        <w:rPr>
          <w:sz w:val="24"/>
          <w:szCs w:val="24"/>
          <w:lang w:bidi="da-DK"/>
        </w:rPr>
        <w:t xml:space="preserve">-arteriel, </w:t>
      </w:r>
      <w:proofErr w:type="spellStart"/>
      <w:r w:rsidRPr="00FF6291">
        <w:rPr>
          <w:sz w:val="24"/>
          <w:szCs w:val="24"/>
          <w:lang w:bidi="da-DK"/>
        </w:rPr>
        <w:t>paravenøs</w:t>
      </w:r>
      <w:proofErr w:type="spellEnd"/>
      <w:r w:rsidRPr="00FF6291">
        <w:rPr>
          <w:sz w:val="24"/>
          <w:szCs w:val="24"/>
          <w:lang w:bidi="da-DK"/>
        </w:rPr>
        <w:t xml:space="preserve"> eller subkutan administration. Efter intramuskulær administration blev der i nogle dyr observeret moderat, forbigående inflammation og vævsnekrose.</w:t>
      </w:r>
    </w:p>
    <w:p w14:paraId="51B93034" w14:textId="77777777" w:rsidR="0096570A" w:rsidRPr="00FF6291" w:rsidRDefault="0096570A" w:rsidP="00791D0E">
      <w:pPr>
        <w:ind w:left="851"/>
        <w:rPr>
          <w:iCs/>
          <w:sz w:val="24"/>
          <w:szCs w:val="24"/>
        </w:rPr>
      </w:pPr>
      <w:r w:rsidRPr="00FF6291">
        <w:rPr>
          <w:sz w:val="24"/>
          <w:szCs w:val="24"/>
          <w:lang w:bidi="da-DK"/>
        </w:rPr>
        <w:t>I en sensibiliseringstest med marsvin (</w:t>
      </w:r>
      <w:proofErr w:type="spellStart"/>
      <w:r w:rsidRPr="00FF6291">
        <w:rPr>
          <w:sz w:val="24"/>
          <w:szCs w:val="24"/>
          <w:lang w:bidi="da-DK"/>
        </w:rPr>
        <w:t>Maximisation</w:t>
      </w:r>
      <w:proofErr w:type="spellEnd"/>
      <w:r w:rsidRPr="00FF6291">
        <w:rPr>
          <w:sz w:val="24"/>
          <w:szCs w:val="24"/>
          <w:lang w:bidi="da-DK"/>
        </w:rPr>
        <w:t xml:space="preserve">-testen) var fiskeolie forbundet med moderal hudsensibilisering. En systemisk </w:t>
      </w:r>
      <w:proofErr w:type="spellStart"/>
      <w:r w:rsidRPr="00FF6291">
        <w:rPr>
          <w:sz w:val="24"/>
          <w:szCs w:val="24"/>
          <w:lang w:bidi="da-DK"/>
        </w:rPr>
        <w:t>antigenicitetstest</w:t>
      </w:r>
      <w:proofErr w:type="spellEnd"/>
      <w:r w:rsidRPr="00FF6291">
        <w:rPr>
          <w:sz w:val="24"/>
          <w:szCs w:val="24"/>
          <w:lang w:bidi="da-DK"/>
        </w:rPr>
        <w:t xml:space="preserve"> viste ingen indikation for </w:t>
      </w:r>
      <w:proofErr w:type="spellStart"/>
      <w:r w:rsidRPr="00FF6291">
        <w:rPr>
          <w:sz w:val="24"/>
          <w:szCs w:val="24"/>
          <w:lang w:bidi="da-DK"/>
        </w:rPr>
        <w:t>anafylaktisk</w:t>
      </w:r>
      <w:proofErr w:type="spellEnd"/>
      <w:r w:rsidRPr="00FF6291">
        <w:rPr>
          <w:sz w:val="24"/>
          <w:szCs w:val="24"/>
          <w:lang w:bidi="da-DK"/>
        </w:rPr>
        <w:t xml:space="preserve"> potentiale ved fiskeolie.</w:t>
      </w:r>
    </w:p>
    <w:p w14:paraId="4959B961" w14:textId="77777777" w:rsidR="009260DE" w:rsidRPr="00FF6291" w:rsidRDefault="009260DE" w:rsidP="009260DE">
      <w:pPr>
        <w:tabs>
          <w:tab w:val="left" w:pos="851"/>
        </w:tabs>
        <w:ind w:left="851"/>
        <w:rPr>
          <w:sz w:val="24"/>
          <w:szCs w:val="24"/>
        </w:rPr>
      </w:pPr>
    </w:p>
    <w:p w14:paraId="12299442" w14:textId="77777777" w:rsidR="009260DE" w:rsidRPr="00FF6291" w:rsidRDefault="009260DE" w:rsidP="009260DE">
      <w:pPr>
        <w:tabs>
          <w:tab w:val="left" w:pos="851"/>
        </w:tabs>
        <w:ind w:left="851"/>
        <w:rPr>
          <w:sz w:val="24"/>
          <w:szCs w:val="24"/>
        </w:rPr>
      </w:pPr>
    </w:p>
    <w:p w14:paraId="60296F88" w14:textId="77777777" w:rsidR="009260DE" w:rsidRPr="00FF6291" w:rsidRDefault="009260DE" w:rsidP="009260DE">
      <w:pPr>
        <w:tabs>
          <w:tab w:val="left" w:pos="851"/>
        </w:tabs>
        <w:ind w:left="851" w:hanging="851"/>
        <w:rPr>
          <w:b/>
          <w:sz w:val="24"/>
          <w:szCs w:val="24"/>
        </w:rPr>
      </w:pPr>
      <w:r w:rsidRPr="00FF6291">
        <w:rPr>
          <w:b/>
          <w:sz w:val="24"/>
          <w:szCs w:val="24"/>
        </w:rPr>
        <w:t>6.</w:t>
      </w:r>
      <w:r w:rsidRPr="00FF6291">
        <w:rPr>
          <w:b/>
          <w:sz w:val="24"/>
          <w:szCs w:val="24"/>
        </w:rPr>
        <w:tab/>
        <w:t>FARMACEUTISKE OPLYSNINGER</w:t>
      </w:r>
    </w:p>
    <w:p w14:paraId="30A8A028" w14:textId="77777777" w:rsidR="009260DE" w:rsidRPr="00FF6291" w:rsidRDefault="009260DE" w:rsidP="009260DE">
      <w:pPr>
        <w:tabs>
          <w:tab w:val="left" w:pos="851"/>
        </w:tabs>
        <w:ind w:left="851"/>
        <w:rPr>
          <w:sz w:val="24"/>
          <w:szCs w:val="24"/>
        </w:rPr>
      </w:pPr>
    </w:p>
    <w:p w14:paraId="5014D9A6" w14:textId="77777777" w:rsidR="009260DE" w:rsidRPr="00FF6291" w:rsidRDefault="009260DE" w:rsidP="009260DE">
      <w:pPr>
        <w:tabs>
          <w:tab w:val="left" w:pos="851"/>
        </w:tabs>
        <w:ind w:left="851" w:hanging="851"/>
        <w:rPr>
          <w:b/>
          <w:sz w:val="24"/>
          <w:szCs w:val="24"/>
        </w:rPr>
      </w:pPr>
      <w:r w:rsidRPr="00FF6291">
        <w:rPr>
          <w:b/>
          <w:sz w:val="24"/>
          <w:szCs w:val="24"/>
        </w:rPr>
        <w:t>6.1</w:t>
      </w:r>
      <w:r w:rsidRPr="00FF6291">
        <w:rPr>
          <w:b/>
          <w:sz w:val="24"/>
          <w:szCs w:val="24"/>
        </w:rPr>
        <w:tab/>
        <w:t>Hjælpestoffer</w:t>
      </w:r>
    </w:p>
    <w:p w14:paraId="7C1DEAE8" w14:textId="77777777" w:rsidR="0096570A" w:rsidRPr="00FF6291" w:rsidRDefault="0096570A" w:rsidP="00791D0E">
      <w:pPr>
        <w:ind w:left="851"/>
        <w:rPr>
          <w:iCs/>
          <w:sz w:val="24"/>
          <w:szCs w:val="24"/>
        </w:rPr>
      </w:pPr>
      <w:r w:rsidRPr="00FF6291">
        <w:rPr>
          <w:sz w:val="24"/>
          <w:szCs w:val="24"/>
          <w:lang w:bidi="da-DK"/>
        </w:rPr>
        <w:t xml:space="preserve">Glycerol </w:t>
      </w:r>
    </w:p>
    <w:p w14:paraId="22C9CE5A" w14:textId="77777777" w:rsidR="0096570A" w:rsidRPr="00FF6291" w:rsidRDefault="0096570A" w:rsidP="00791D0E">
      <w:pPr>
        <w:ind w:left="851"/>
        <w:rPr>
          <w:iCs/>
          <w:sz w:val="24"/>
          <w:szCs w:val="24"/>
        </w:rPr>
      </w:pPr>
      <w:proofErr w:type="spellStart"/>
      <w:r w:rsidRPr="00FF6291">
        <w:rPr>
          <w:sz w:val="24"/>
          <w:szCs w:val="24"/>
          <w:lang w:bidi="da-DK"/>
        </w:rPr>
        <w:t>Æggephospholipider</w:t>
      </w:r>
      <w:proofErr w:type="spellEnd"/>
    </w:p>
    <w:p w14:paraId="32FE2724" w14:textId="77777777" w:rsidR="0096570A" w:rsidRPr="00FF6291" w:rsidRDefault="0096570A" w:rsidP="00791D0E">
      <w:pPr>
        <w:ind w:left="851"/>
        <w:rPr>
          <w:iCs/>
          <w:sz w:val="24"/>
          <w:szCs w:val="24"/>
        </w:rPr>
      </w:pPr>
      <w:r w:rsidRPr="00FF6291">
        <w:rPr>
          <w:sz w:val="24"/>
          <w:szCs w:val="24"/>
          <w:lang w:bidi="da-DK"/>
        </w:rPr>
        <w:t>all-rac-α-</w:t>
      </w:r>
      <w:proofErr w:type="spellStart"/>
      <w:r w:rsidRPr="00FF6291">
        <w:rPr>
          <w:sz w:val="24"/>
          <w:szCs w:val="24"/>
          <w:lang w:bidi="da-DK"/>
        </w:rPr>
        <w:t>Tocopherol</w:t>
      </w:r>
      <w:proofErr w:type="spellEnd"/>
      <w:r w:rsidRPr="00FF6291">
        <w:rPr>
          <w:sz w:val="24"/>
          <w:szCs w:val="24"/>
          <w:lang w:bidi="da-DK"/>
        </w:rPr>
        <w:t xml:space="preserve"> </w:t>
      </w:r>
    </w:p>
    <w:p w14:paraId="5B305EC0" w14:textId="77777777" w:rsidR="0096570A" w:rsidRPr="00FF6291" w:rsidRDefault="0096570A" w:rsidP="00791D0E">
      <w:pPr>
        <w:ind w:left="851"/>
        <w:rPr>
          <w:iCs/>
          <w:sz w:val="24"/>
          <w:szCs w:val="24"/>
        </w:rPr>
      </w:pPr>
      <w:r w:rsidRPr="00FF6291">
        <w:rPr>
          <w:sz w:val="24"/>
          <w:szCs w:val="24"/>
          <w:lang w:bidi="da-DK"/>
        </w:rPr>
        <w:t>Vand til injektioner</w:t>
      </w:r>
    </w:p>
    <w:p w14:paraId="69AFE14F" w14:textId="77777777" w:rsidR="0096570A" w:rsidRPr="00FF6291" w:rsidRDefault="0096570A" w:rsidP="00791D0E">
      <w:pPr>
        <w:ind w:left="851"/>
        <w:rPr>
          <w:iCs/>
          <w:sz w:val="24"/>
          <w:szCs w:val="24"/>
        </w:rPr>
      </w:pPr>
      <w:r w:rsidRPr="00FF6291">
        <w:rPr>
          <w:sz w:val="24"/>
          <w:szCs w:val="24"/>
          <w:lang w:bidi="da-DK"/>
        </w:rPr>
        <w:t xml:space="preserve">Natriumhydroxid (til pH-justering) </w:t>
      </w:r>
    </w:p>
    <w:p w14:paraId="1B6393AE" w14:textId="77777777" w:rsidR="0096570A" w:rsidRPr="00FF6291" w:rsidRDefault="0096570A" w:rsidP="00791D0E">
      <w:pPr>
        <w:ind w:left="851"/>
        <w:rPr>
          <w:iCs/>
          <w:sz w:val="24"/>
          <w:szCs w:val="24"/>
        </w:rPr>
      </w:pPr>
      <w:proofErr w:type="spellStart"/>
      <w:r w:rsidRPr="00FF6291">
        <w:rPr>
          <w:sz w:val="24"/>
          <w:szCs w:val="24"/>
          <w:lang w:bidi="da-DK"/>
        </w:rPr>
        <w:t>Natriumoleat</w:t>
      </w:r>
      <w:proofErr w:type="spellEnd"/>
    </w:p>
    <w:p w14:paraId="3EC51B4B" w14:textId="77777777" w:rsidR="009260DE" w:rsidRPr="00FF6291" w:rsidRDefault="009260DE" w:rsidP="009260DE">
      <w:pPr>
        <w:tabs>
          <w:tab w:val="left" w:pos="851"/>
        </w:tabs>
        <w:ind w:left="851"/>
        <w:rPr>
          <w:sz w:val="24"/>
          <w:szCs w:val="24"/>
        </w:rPr>
      </w:pPr>
    </w:p>
    <w:p w14:paraId="2AB4DA53" w14:textId="77777777" w:rsidR="009260DE" w:rsidRPr="00FF6291" w:rsidRDefault="009260DE" w:rsidP="009260DE">
      <w:pPr>
        <w:tabs>
          <w:tab w:val="left" w:pos="851"/>
        </w:tabs>
        <w:ind w:left="851" w:hanging="851"/>
        <w:rPr>
          <w:b/>
          <w:sz w:val="24"/>
          <w:szCs w:val="24"/>
        </w:rPr>
      </w:pPr>
      <w:r w:rsidRPr="00FF6291">
        <w:rPr>
          <w:b/>
          <w:sz w:val="24"/>
          <w:szCs w:val="24"/>
        </w:rPr>
        <w:t>6.2</w:t>
      </w:r>
      <w:r w:rsidRPr="00FF6291">
        <w:rPr>
          <w:b/>
          <w:sz w:val="24"/>
          <w:szCs w:val="24"/>
        </w:rPr>
        <w:tab/>
        <w:t>Uforligeligheder</w:t>
      </w:r>
    </w:p>
    <w:p w14:paraId="4E4ED6AD" w14:textId="278C4989" w:rsidR="0096570A" w:rsidRPr="00FF6291" w:rsidRDefault="0096570A" w:rsidP="00791D0E">
      <w:pPr>
        <w:ind w:left="851"/>
        <w:rPr>
          <w:iCs/>
          <w:sz w:val="24"/>
          <w:szCs w:val="24"/>
        </w:rPr>
      </w:pPr>
      <w:r w:rsidRPr="00FF6291">
        <w:rPr>
          <w:sz w:val="24"/>
          <w:szCs w:val="24"/>
          <w:lang w:bidi="da-DK"/>
        </w:rPr>
        <w:t>Dette lægemiddel må ikke blandes med andre lægemidler undtagen dem, der er nævnt i pkt.</w:t>
      </w:r>
      <w:r w:rsidR="005840B0">
        <w:rPr>
          <w:sz w:val="24"/>
          <w:szCs w:val="24"/>
          <w:lang w:bidi="da-DK"/>
        </w:rPr>
        <w:t xml:space="preserve"> </w:t>
      </w:r>
      <w:r w:rsidRPr="00FF6291">
        <w:rPr>
          <w:sz w:val="24"/>
          <w:szCs w:val="24"/>
          <w:lang w:bidi="da-DK"/>
        </w:rPr>
        <w:t>6.6.</w:t>
      </w:r>
    </w:p>
    <w:p w14:paraId="62F68150" w14:textId="77777777" w:rsidR="009260DE" w:rsidRPr="00FF6291" w:rsidRDefault="009260DE" w:rsidP="009260DE">
      <w:pPr>
        <w:tabs>
          <w:tab w:val="left" w:pos="851"/>
        </w:tabs>
        <w:ind w:left="851"/>
        <w:rPr>
          <w:sz w:val="24"/>
          <w:szCs w:val="24"/>
        </w:rPr>
      </w:pPr>
    </w:p>
    <w:p w14:paraId="25CBBA33" w14:textId="77777777" w:rsidR="009260DE" w:rsidRPr="00FF6291" w:rsidRDefault="009260DE" w:rsidP="009260DE">
      <w:pPr>
        <w:tabs>
          <w:tab w:val="left" w:pos="851"/>
        </w:tabs>
        <w:ind w:left="851" w:hanging="851"/>
        <w:rPr>
          <w:b/>
          <w:sz w:val="24"/>
          <w:szCs w:val="24"/>
        </w:rPr>
      </w:pPr>
      <w:r w:rsidRPr="00FF6291">
        <w:rPr>
          <w:b/>
          <w:sz w:val="24"/>
          <w:szCs w:val="24"/>
        </w:rPr>
        <w:t>6.3</w:t>
      </w:r>
      <w:r w:rsidRPr="00FF6291">
        <w:rPr>
          <w:b/>
          <w:sz w:val="24"/>
          <w:szCs w:val="24"/>
        </w:rPr>
        <w:tab/>
        <w:t>Opbevaringstid</w:t>
      </w:r>
    </w:p>
    <w:p w14:paraId="1C8C602D" w14:textId="77777777" w:rsidR="0096570A" w:rsidRPr="00FF6291" w:rsidRDefault="0096570A" w:rsidP="00791D0E">
      <w:pPr>
        <w:ind w:left="851"/>
        <w:rPr>
          <w:iCs/>
          <w:sz w:val="24"/>
          <w:szCs w:val="24"/>
        </w:rPr>
      </w:pPr>
      <w:r w:rsidRPr="00FF6291">
        <w:rPr>
          <w:sz w:val="24"/>
          <w:szCs w:val="24"/>
          <w:lang w:bidi="da-DK"/>
        </w:rPr>
        <w:t>2 år</w:t>
      </w:r>
    </w:p>
    <w:p w14:paraId="50526FCB" w14:textId="77777777" w:rsidR="0096570A" w:rsidRPr="00FF6291" w:rsidRDefault="0096570A" w:rsidP="00791D0E">
      <w:pPr>
        <w:ind w:left="851"/>
        <w:rPr>
          <w:iCs/>
          <w:sz w:val="24"/>
          <w:szCs w:val="24"/>
        </w:rPr>
      </w:pPr>
    </w:p>
    <w:p w14:paraId="0597A999" w14:textId="77777777" w:rsidR="0096570A" w:rsidRPr="00FF6291" w:rsidRDefault="0096570A" w:rsidP="00791D0E">
      <w:pPr>
        <w:ind w:left="851"/>
        <w:rPr>
          <w:iCs/>
          <w:sz w:val="24"/>
          <w:szCs w:val="24"/>
          <w:u w:val="single"/>
        </w:rPr>
      </w:pPr>
      <w:r w:rsidRPr="00FF6291">
        <w:rPr>
          <w:sz w:val="24"/>
          <w:szCs w:val="24"/>
          <w:u w:val="single"/>
          <w:lang w:bidi="da-DK"/>
        </w:rPr>
        <w:t>Opbevaringstid efter første åbning af beholderen</w:t>
      </w:r>
    </w:p>
    <w:p w14:paraId="265206CF" w14:textId="77777777" w:rsidR="0096570A" w:rsidRPr="00FF6291" w:rsidRDefault="0096570A" w:rsidP="00791D0E">
      <w:pPr>
        <w:ind w:left="851"/>
        <w:rPr>
          <w:iCs/>
          <w:sz w:val="24"/>
          <w:szCs w:val="24"/>
        </w:rPr>
      </w:pPr>
      <w:r w:rsidRPr="00FF6291">
        <w:rPr>
          <w:sz w:val="24"/>
          <w:szCs w:val="24"/>
          <w:lang w:bidi="da-DK"/>
        </w:rPr>
        <w:t xml:space="preserve">Anvendes straks. </w:t>
      </w:r>
    </w:p>
    <w:p w14:paraId="33DBFDD4" w14:textId="77777777" w:rsidR="0096570A" w:rsidRPr="00FF6291" w:rsidRDefault="0096570A" w:rsidP="00791D0E">
      <w:pPr>
        <w:ind w:left="851"/>
        <w:rPr>
          <w:iCs/>
          <w:sz w:val="24"/>
          <w:szCs w:val="24"/>
        </w:rPr>
      </w:pPr>
    </w:p>
    <w:p w14:paraId="19A5848F" w14:textId="77777777" w:rsidR="0096570A" w:rsidRPr="00FF6291" w:rsidRDefault="0096570A" w:rsidP="00791D0E">
      <w:pPr>
        <w:ind w:left="851"/>
        <w:rPr>
          <w:iCs/>
          <w:sz w:val="24"/>
          <w:szCs w:val="24"/>
        </w:rPr>
      </w:pPr>
      <w:r w:rsidRPr="00FF6291">
        <w:rPr>
          <w:sz w:val="24"/>
          <w:szCs w:val="24"/>
          <w:lang w:bidi="da-DK"/>
        </w:rPr>
        <w:t>Ved anvendelse til nyfødte og børn under 2 år skal opløsningen (i poser og administrationsudstyr) beskyttes mod lys, indtil administrationen er fuldført (se pkt. 4.2, 4.4 og 6.6).</w:t>
      </w:r>
    </w:p>
    <w:p w14:paraId="520A170F" w14:textId="77777777" w:rsidR="009260DE" w:rsidRPr="00FF6291" w:rsidRDefault="009260DE" w:rsidP="009260DE">
      <w:pPr>
        <w:tabs>
          <w:tab w:val="left" w:pos="851"/>
        </w:tabs>
        <w:ind w:left="851"/>
        <w:rPr>
          <w:sz w:val="24"/>
          <w:szCs w:val="24"/>
        </w:rPr>
      </w:pPr>
    </w:p>
    <w:p w14:paraId="68238824" w14:textId="77777777" w:rsidR="009260DE" w:rsidRPr="00FF6291" w:rsidRDefault="009260DE" w:rsidP="009260DE">
      <w:pPr>
        <w:tabs>
          <w:tab w:val="left" w:pos="851"/>
        </w:tabs>
        <w:ind w:left="851" w:hanging="851"/>
        <w:rPr>
          <w:b/>
          <w:sz w:val="24"/>
          <w:szCs w:val="24"/>
        </w:rPr>
      </w:pPr>
      <w:r w:rsidRPr="00FF6291">
        <w:rPr>
          <w:b/>
          <w:sz w:val="24"/>
          <w:szCs w:val="24"/>
        </w:rPr>
        <w:t>6.4</w:t>
      </w:r>
      <w:r w:rsidRPr="00FF6291">
        <w:rPr>
          <w:b/>
          <w:sz w:val="24"/>
          <w:szCs w:val="24"/>
        </w:rPr>
        <w:tab/>
        <w:t>Særlige opbevaringsforhold</w:t>
      </w:r>
    </w:p>
    <w:p w14:paraId="4001DE39" w14:textId="77777777" w:rsidR="004C1097" w:rsidRDefault="0096570A" w:rsidP="00791D0E">
      <w:pPr>
        <w:ind w:left="851"/>
        <w:rPr>
          <w:sz w:val="24"/>
          <w:szCs w:val="24"/>
          <w:lang w:bidi="da-DK"/>
        </w:rPr>
      </w:pPr>
      <w:r w:rsidRPr="00FF6291">
        <w:rPr>
          <w:sz w:val="24"/>
          <w:szCs w:val="24"/>
        </w:rPr>
        <w:t>Der er ingen særlige krav vedrørende opbevaringstemperaturer for dette lægemiddel</w:t>
      </w:r>
      <w:r w:rsidRPr="00FF6291">
        <w:rPr>
          <w:sz w:val="24"/>
          <w:szCs w:val="24"/>
          <w:lang w:bidi="da-DK"/>
        </w:rPr>
        <w:t xml:space="preserve">. </w:t>
      </w:r>
    </w:p>
    <w:p w14:paraId="52FDCD89" w14:textId="2AD171A7" w:rsidR="0096570A" w:rsidRPr="00FF6291" w:rsidRDefault="0096570A" w:rsidP="00791D0E">
      <w:pPr>
        <w:ind w:left="851"/>
        <w:rPr>
          <w:sz w:val="24"/>
          <w:szCs w:val="24"/>
        </w:rPr>
      </w:pPr>
      <w:r w:rsidRPr="00FF6291">
        <w:rPr>
          <w:sz w:val="24"/>
          <w:szCs w:val="24"/>
          <w:lang w:bidi="da-DK"/>
        </w:rPr>
        <w:t>Må ikke fryses.</w:t>
      </w:r>
    </w:p>
    <w:p w14:paraId="6DC2EB17" w14:textId="77777777" w:rsidR="0096570A" w:rsidRPr="00FF6291" w:rsidRDefault="0096570A" w:rsidP="00791D0E">
      <w:pPr>
        <w:ind w:left="851"/>
        <w:rPr>
          <w:bCs/>
          <w:noProof/>
          <w:sz w:val="24"/>
          <w:szCs w:val="24"/>
        </w:rPr>
      </w:pPr>
      <w:r w:rsidRPr="00FF6291">
        <w:rPr>
          <w:noProof/>
          <w:sz w:val="24"/>
          <w:szCs w:val="24"/>
          <w:lang w:bidi="da-DK"/>
        </w:rPr>
        <w:t xml:space="preserve">Opbevares i den ydre pose. </w:t>
      </w:r>
    </w:p>
    <w:p w14:paraId="69C1C7E4" w14:textId="77777777" w:rsidR="0096570A" w:rsidRPr="00FF6291" w:rsidRDefault="0096570A" w:rsidP="00791D0E">
      <w:pPr>
        <w:ind w:left="851"/>
        <w:rPr>
          <w:iCs/>
          <w:sz w:val="24"/>
          <w:szCs w:val="24"/>
        </w:rPr>
      </w:pPr>
    </w:p>
    <w:p w14:paraId="4A1E5D74" w14:textId="77777777" w:rsidR="0096570A" w:rsidRPr="00FF6291" w:rsidRDefault="0096570A" w:rsidP="00791D0E">
      <w:pPr>
        <w:ind w:left="851"/>
        <w:rPr>
          <w:iCs/>
          <w:sz w:val="24"/>
          <w:szCs w:val="24"/>
        </w:rPr>
      </w:pPr>
      <w:r w:rsidRPr="00FF6291">
        <w:rPr>
          <w:sz w:val="24"/>
          <w:szCs w:val="24"/>
          <w:u w:val="single"/>
          <w:lang w:bidi="da-DK"/>
        </w:rPr>
        <w:t>Opbevaring efter blanding</w:t>
      </w:r>
    </w:p>
    <w:p w14:paraId="09F40D00" w14:textId="4BEDCCD5" w:rsidR="0096570A" w:rsidRPr="00FF6291" w:rsidRDefault="0096570A" w:rsidP="00791D0E">
      <w:pPr>
        <w:ind w:left="851"/>
        <w:rPr>
          <w:sz w:val="24"/>
          <w:szCs w:val="24"/>
        </w:rPr>
      </w:pPr>
      <w:r w:rsidRPr="00FF6291">
        <w:rPr>
          <w:sz w:val="24"/>
          <w:szCs w:val="24"/>
        </w:rPr>
        <w:t>Såfremt der sker tilsætning til Maxivalen bør blandingen ud fra et mikrobiologisk synspunkt anvendes umiddelbart. Hvis tilsætningsstoffer ikke anvendes med det samme, er opbevaringstid og -betingelser før brug brugerens ansvar og bør normalt ikke overstige 24 timer ved 2-8</w:t>
      </w:r>
      <w:r w:rsidR="005840B0">
        <w:rPr>
          <w:sz w:val="24"/>
          <w:szCs w:val="24"/>
        </w:rPr>
        <w:t xml:space="preserve"> </w:t>
      </w:r>
      <w:r w:rsidRPr="00FF6291">
        <w:rPr>
          <w:iCs/>
          <w:sz w:val="24"/>
          <w:szCs w:val="24"/>
        </w:rPr>
        <w:t>°</w:t>
      </w:r>
      <w:r w:rsidRPr="00FF6291">
        <w:rPr>
          <w:sz w:val="24"/>
          <w:szCs w:val="24"/>
        </w:rPr>
        <w:t>C, med mindre tilsætningen er foretaget under kontrollerede og validerede aseptiske forhold.</w:t>
      </w:r>
    </w:p>
    <w:p w14:paraId="229F1A01" w14:textId="77777777" w:rsidR="009260DE" w:rsidRPr="00FF6291" w:rsidRDefault="009260DE" w:rsidP="009260DE">
      <w:pPr>
        <w:tabs>
          <w:tab w:val="left" w:pos="851"/>
        </w:tabs>
        <w:ind w:left="851"/>
        <w:rPr>
          <w:sz w:val="24"/>
          <w:szCs w:val="24"/>
        </w:rPr>
      </w:pPr>
    </w:p>
    <w:p w14:paraId="4CB556C7" w14:textId="77777777" w:rsidR="009260DE" w:rsidRPr="00FF6291" w:rsidRDefault="009260DE" w:rsidP="009260DE">
      <w:pPr>
        <w:tabs>
          <w:tab w:val="left" w:pos="851"/>
        </w:tabs>
        <w:ind w:left="851" w:hanging="851"/>
        <w:rPr>
          <w:b/>
          <w:sz w:val="24"/>
          <w:szCs w:val="24"/>
        </w:rPr>
      </w:pPr>
      <w:r w:rsidRPr="00FF6291">
        <w:rPr>
          <w:b/>
          <w:sz w:val="24"/>
          <w:szCs w:val="24"/>
        </w:rPr>
        <w:t>6.5</w:t>
      </w:r>
      <w:r w:rsidRPr="00FF6291">
        <w:rPr>
          <w:b/>
          <w:sz w:val="24"/>
          <w:szCs w:val="24"/>
        </w:rPr>
        <w:tab/>
        <w:t>Emballagetype og pakningsstørrelser</w:t>
      </w:r>
    </w:p>
    <w:p w14:paraId="514C9680" w14:textId="77777777" w:rsidR="0096570A" w:rsidRPr="00FF6291" w:rsidRDefault="0096570A" w:rsidP="00791D0E">
      <w:pPr>
        <w:ind w:left="851"/>
        <w:rPr>
          <w:rFonts w:eastAsiaTheme="minorHAnsi"/>
          <w:sz w:val="24"/>
          <w:szCs w:val="24"/>
          <w:lang w:val="en-US" w:bidi="he-IL"/>
        </w:rPr>
      </w:pPr>
      <w:r w:rsidRPr="00FF6291">
        <w:rPr>
          <w:rFonts w:eastAsiaTheme="minorHAnsi"/>
          <w:sz w:val="24"/>
          <w:szCs w:val="24"/>
          <w:lang w:bidi="da-DK"/>
        </w:rPr>
        <w:t xml:space="preserve">Beholderen består af en </w:t>
      </w:r>
      <w:proofErr w:type="spellStart"/>
      <w:r w:rsidRPr="00FF6291">
        <w:rPr>
          <w:rFonts w:eastAsiaTheme="minorHAnsi"/>
          <w:sz w:val="24"/>
          <w:szCs w:val="24"/>
          <w:lang w:bidi="da-DK"/>
        </w:rPr>
        <w:t>inderpose</w:t>
      </w:r>
      <w:proofErr w:type="spellEnd"/>
      <w:r w:rsidRPr="00FF6291">
        <w:rPr>
          <w:rFonts w:eastAsiaTheme="minorHAnsi"/>
          <w:sz w:val="24"/>
          <w:szCs w:val="24"/>
          <w:lang w:bidi="da-DK"/>
        </w:rPr>
        <w:t xml:space="preserve"> (primær emballage) med yderpose. Der er en iltabsorber mellem </w:t>
      </w:r>
      <w:proofErr w:type="spellStart"/>
      <w:r w:rsidRPr="00FF6291">
        <w:rPr>
          <w:rFonts w:eastAsiaTheme="minorHAnsi"/>
          <w:sz w:val="24"/>
          <w:szCs w:val="24"/>
          <w:lang w:bidi="da-DK"/>
        </w:rPr>
        <w:t>inderposen</w:t>
      </w:r>
      <w:proofErr w:type="spellEnd"/>
      <w:r w:rsidRPr="00FF6291">
        <w:rPr>
          <w:rFonts w:eastAsiaTheme="minorHAnsi"/>
          <w:sz w:val="24"/>
          <w:szCs w:val="24"/>
          <w:lang w:bidi="da-DK"/>
        </w:rPr>
        <w:t xml:space="preserve"> og yderposen.</w:t>
      </w:r>
    </w:p>
    <w:p w14:paraId="02369494" w14:textId="77777777" w:rsidR="0096570A" w:rsidRPr="00FF6291" w:rsidRDefault="0096570A" w:rsidP="00FF6291">
      <w:pPr>
        <w:pStyle w:val="Listeafsnit"/>
        <w:numPr>
          <w:ilvl w:val="0"/>
          <w:numId w:val="11"/>
        </w:numPr>
        <w:ind w:left="1276" w:hanging="425"/>
        <w:rPr>
          <w:rFonts w:eastAsiaTheme="minorHAnsi"/>
          <w:sz w:val="24"/>
          <w:szCs w:val="24"/>
          <w:lang w:bidi="he-IL"/>
        </w:rPr>
      </w:pPr>
      <w:r w:rsidRPr="00FF6291">
        <w:rPr>
          <w:rFonts w:eastAsiaTheme="minorHAnsi"/>
          <w:sz w:val="24"/>
          <w:szCs w:val="24"/>
          <w:lang w:bidi="da-DK"/>
        </w:rPr>
        <w:t>Inderposen er fremstillet af en flerlaget polymerfilm.</w:t>
      </w:r>
    </w:p>
    <w:p w14:paraId="02EEB0B6" w14:textId="77777777" w:rsidR="0096570A" w:rsidRPr="00FF6291" w:rsidRDefault="0096570A" w:rsidP="00FF6291">
      <w:pPr>
        <w:pStyle w:val="Listeafsnit"/>
        <w:numPr>
          <w:ilvl w:val="0"/>
          <w:numId w:val="11"/>
        </w:numPr>
        <w:ind w:left="1276" w:hanging="425"/>
        <w:rPr>
          <w:rFonts w:eastAsiaTheme="minorHAnsi"/>
          <w:sz w:val="24"/>
          <w:szCs w:val="24"/>
          <w:lang w:bidi="he-IL"/>
        </w:rPr>
      </w:pPr>
      <w:r w:rsidRPr="00FF6291">
        <w:rPr>
          <w:rFonts w:eastAsiaTheme="minorHAnsi"/>
          <w:sz w:val="24"/>
          <w:szCs w:val="24"/>
          <w:lang w:bidi="da-DK"/>
        </w:rPr>
        <w:t>Filmen i inderposen er fremstillet af polypropylenpolymer. Infusions- og tilsætningsportene er fremstillet af polypropylen.</w:t>
      </w:r>
    </w:p>
    <w:p w14:paraId="19FDD96A" w14:textId="77777777" w:rsidR="0096570A" w:rsidRPr="00FF6291" w:rsidRDefault="0096570A" w:rsidP="00FF6291">
      <w:pPr>
        <w:pStyle w:val="Listeafsnit"/>
        <w:numPr>
          <w:ilvl w:val="0"/>
          <w:numId w:val="11"/>
        </w:numPr>
        <w:ind w:left="1276" w:hanging="425"/>
        <w:rPr>
          <w:rFonts w:eastAsiaTheme="minorHAnsi"/>
          <w:sz w:val="24"/>
          <w:szCs w:val="24"/>
          <w:lang w:bidi="he-IL"/>
        </w:rPr>
      </w:pPr>
      <w:r w:rsidRPr="00FF6291">
        <w:rPr>
          <w:rFonts w:eastAsiaTheme="minorHAnsi"/>
          <w:sz w:val="24"/>
          <w:szCs w:val="24"/>
          <w:lang w:bidi="da-DK"/>
        </w:rPr>
        <w:t xml:space="preserve">Iltbarriererens yderpose er fremstillet af polypropylen. </w:t>
      </w:r>
    </w:p>
    <w:p w14:paraId="3A8A70D3" w14:textId="77777777" w:rsidR="0096570A" w:rsidRPr="00FF6291" w:rsidRDefault="0096570A" w:rsidP="00FF6291">
      <w:pPr>
        <w:pStyle w:val="Listeafsnit"/>
        <w:numPr>
          <w:ilvl w:val="0"/>
          <w:numId w:val="11"/>
        </w:numPr>
        <w:ind w:left="1276" w:hanging="425"/>
        <w:rPr>
          <w:rFonts w:eastAsiaTheme="minorHAnsi"/>
          <w:sz w:val="24"/>
          <w:szCs w:val="24"/>
          <w:lang w:bidi="he-IL"/>
        </w:rPr>
      </w:pPr>
      <w:r w:rsidRPr="00FF6291">
        <w:rPr>
          <w:rFonts w:eastAsiaTheme="minorHAnsi"/>
          <w:sz w:val="24"/>
          <w:szCs w:val="24"/>
          <w:lang w:bidi="da-DK"/>
        </w:rPr>
        <w:t>Iltabsorberen består af jernpulver i en polymerpose.</w:t>
      </w:r>
    </w:p>
    <w:p w14:paraId="6C171F24" w14:textId="77777777" w:rsidR="0096570A" w:rsidRPr="00FF6291" w:rsidRDefault="0096570A" w:rsidP="00791D0E">
      <w:pPr>
        <w:ind w:left="851"/>
        <w:rPr>
          <w:sz w:val="24"/>
          <w:szCs w:val="24"/>
        </w:rPr>
      </w:pPr>
      <w:r w:rsidRPr="00FF6291">
        <w:rPr>
          <w:rFonts w:eastAsiaTheme="minorHAnsi"/>
          <w:sz w:val="24"/>
          <w:szCs w:val="24"/>
          <w:lang w:bidi="da-DK"/>
        </w:rPr>
        <w:t xml:space="preserve">Yderposen og iltabsorberen skal bortskaffes efter åbning af yderposen. </w:t>
      </w:r>
    </w:p>
    <w:p w14:paraId="4E12A38F" w14:textId="77777777" w:rsidR="0096570A" w:rsidRPr="00FF6291" w:rsidRDefault="0096570A" w:rsidP="00791D0E">
      <w:pPr>
        <w:ind w:left="851"/>
        <w:rPr>
          <w:iCs/>
          <w:sz w:val="24"/>
          <w:szCs w:val="24"/>
        </w:rPr>
      </w:pPr>
    </w:p>
    <w:p w14:paraId="3C198BFA" w14:textId="77777777" w:rsidR="0096570A" w:rsidRPr="00FF6291" w:rsidRDefault="0096570A" w:rsidP="00791D0E">
      <w:pPr>
        <w:ind w:left="851"/>
        <w:rPr>
          <w:iCs/>
          <w:sz w:val="24"/>
          <w:szCs w:val="24"/>
        </w:rPr>
      </w:pPr>
      <w:r w:rsidRPr="00FF6291">
        <w:rPr>
          <w:sz w:val="24"/>
          <w:szCs w:val="24"/>
          <w:lang w:bidi="da-DK"/>
        </w:rPr>
        <w:t>Pakningsstørrelser:</w:t>
      </w:r>
    </w:p>
    <w:p w14:paraId="3B1BC64B" w14:textId="77777777" w:rsidR="0096570A" w:rsidRPr="00FF6291" w:rsidRDefault="0096570A" w:rsidP="00791D0E">
      <w:pPr>
        <w:ind w:left="851"/>
        <w:rPr>
          <w:iCs/>
          <w:sz w:val="24"/>
          <w:szCs w:val="24"/>
        </w:rPr>
      </w:pPr>
      <w:r w:rsidRPr="00FF6291">
        <w:rPr>
          <w:sz w:val="24"/>
          <w:szCs w:val="24"/>
          <w:lang w:bidi="da-DK"/>
        </w:rPr>
        <w:t>1 pose à 100 ml, 10 poser à 100 ml</w:t>
      </w:r>
    </w:p>
    <w:p w14:paraId="3393083C" w14:textId="77777777" w:rsidR="0096570A" w:rsidRPr="00FF6291" w:rsidRDefault="0096570A" w:rsidP="00791D0E">
      <w:pPr>
        <w:ind w:left="851"/>
        <w:rPr>
          <w:iCs/>
          <w:sz w:val="24"/>
          <w:szCs w:val="24"/>
          <w:lang w:val="en-GB"/>
        </w:rPr>
      </w:pPr>
      <w:r w:rsidRPr="00FF6291">
        <w:rPr>
          <w:sz w:val="24"/>
          <w:szCs w:val="24"/>
          <w:lang w:val="en-US" w:bidi="da-DK"/>
        </w:rPr>
        <w:t>1 pose à 250 ml, 10 poser à 250 ml</w:t>
      </w:r>
    </w:p>
    <w:p w14:paraId="2AAFA93C" w14:textId="77777777" w:rsidR="0096570A" w:rsidRPr="00050111" w:rsidRDefault="0096570A" w:rsidP="00791D0E">
      <w:pPr>
        <w:ind w:left="851"/>
        <w:rPr>
          <w:iCs/>
          <w:sz w:val="24"/>
          <w:szCs w:val="24"/>
          <w:lang w:val="en-US"/>
        </w:rPr>
      </w:pPr>
      <w:r w:rsidRPr="00FF6291">
        <w:rPr>
          <w:sz w:val="24"/>
          <w:szCs w:val="24"/>
          <w:lang w:val="en-US" w:bidi="da-DK"/>
        </w:rPr>
        <w:t>1 pose à 500 ml, 12 poser à 500 ml</w:t>
      </w:r>
    </w:p>
    <w:p w14:paraId="2FFC288E" w14:textId="77777777" w:rsidR="0096570A" w:rsidRPr="00050111" w:rsidRDefault="0096570A" w:rsidP="00791D0E">
      <w:pPr>
        <w:ind w:left="851"/>
        <w:rPr>
          <w:color w:val="008000"/>
          <w:spacing w:val="-9"/>
          <w:sz w:val="24"/>
          <w:szCs w:val="24"/>
          <w:lang w:val="en-US"/>
        </w:rPr>
      </w:pPr>
    </w:p>
    <w:p w14:paraId="77ACAD8B" w14:textId="77777777" w:rsidR="0096570A" w:rsidRPr="00FF6291" w:rsidRDefault="0096570A" w:rsidP="00791D0E">
      <w:pPr>
        <w:ind w:left="851"/>
        <w:rPr>
          <w:iCs/>
          <w:sz w:val="24"/>
          <w:szCs w:val="24"/>
        </w:rPr>
      </w:pPr>
      <w:r w:rsidRPr="00FF6291">
        <w:rPr>
          <w:sz w:val="24"/>
          <w:szCs w:val="24"/>
          <w:lang w:bidi="da-DK"/>
        </w:rPr>
        <w:t>Ikke alle pakningsstørrelser er nødvendigvis markedsført.</w:t>
      </w:r>
    </w:p>
    <w:p w14:paraId="15BC37B9" w14:textId="77777777" w:rsidR="009260DE" w:rsidRPr="00FF6291" w:rsidRDefault="009260DE" w:rsidP="009260DE">
      <w:pPr>
        <w:tabs>
          <w:tab w:val="left" w:pos="851"/>
        </w:tabs>
        <w:ind w:left="851"/>
        <w:rPr>
          <w:sz w:val="24"/>
          <w:szCs w:val="24"/>
        </w:rPr>
      </w:pPr>
    </w:p>
    <w:p w14:paraId="70B26C67" w14:textId="77777777" w:rsidR="009260DE" w:rsidRPr="00FF6291" w:rsidRDefault="009260DE" w:rsidP="009260DE">
      <w:pPr>
        <w:tabs>
          <w:tab w:val="left" w:pos="851"/>
        </w:tabs>
        <w:ind w:left="851" w:hanging="851"/>
        <w:rPr>
          <w:b/>
          <w:sz w:val="24"/>
          <w:szCs w:val="24"/>
        </w:rPr>
      </w:pPr>
      <w:r w:rsidRPr="00FF6291">
        <w:rPr>
          <w:b/>
          <w:sz w:val="24"/>
          <w:szCs w:val="24"/>
        </w:rPr>
        <w:t>6.6</w:t>
      </w:r>
      <w:r w:rsidRPr="00FF6291">
        <w:rPr>
          <w:b/>
          <w:sz w:val="24"/>
          <w:szCs w:val="24"/>
        </w:rPr>
        <w:tab/>
        <w:t xml:space="preserve">Regler for </w:t>
      </w:r>
      <w:r w:rsidR="00BD7931" w:rsidRPr="00FF6291">
        <w:rPr>
          <w:b/>
          <w:sz w:val="24"/>
          <w:szCs w:val="24"/>
        </w:rPr>
        <w:t>bortskaffelse</w:t>
      </w:r>
      <w:r w:rsidRPr="00FF6291">
        <w:rPr>
          <w:b/>
          <w:sz w:val="24"/>
          <w:szCs w:val="24"/>
        </w:rPr>
        <w:t xml:space="preserve"> og anden håndtering</w:t>
      </w:r>
    </w:p>
    <w:p w14:paraId="2A3C18D8" w14:textId="77777777" w:rsidR="0096570A" w:rsidRPr="00FF6291" w:rsidRDefault="0096570A" w:rsidP="00791D0E">
      <w:pPr>
        <w:ind w:left="851"/>
        <w:rPr>
          <w:iCs/>
          <w:sz w:val="24"/>
          <w:szCs w:val="24"/>
        </w:rPr>
      </w:pPr>
      <w:r w:rsidRPr="00FF6291">
        <w:rPr>
          <w:sz w:val="24"/>
          <w:szCs w:val="24"/>
          <w:lang w:bidi="da-DK"/>
        </w:rPr>
        <w:t>Må kun anvendes, hvis emulsionen er homogen.</w:t>
      </w:r>
    </w:p>
    <w:p w14:paraId="5E91EBCF" w14:textId="77777777" w:rsidR="0096570A" w:rsidRPr="00FF6291" w:rsidRDefault="0096570A" w:rsidP="00791D0E">
      <w:pPr>
        <w:ind w:left="851"/>
        <w:rPr>
          <w:iCs/>
          <w:sz w:val="24"/>
          <w:szCs w:val="24"/>
        </w:rPr>
      </w:pPr>
      <w:r w:rsidRPr="00FF6291">
        <w:rPr>
          <w:sz w:val="24"/>
          <w:szCs w:val="24"/>
          <w:lang w:bidi="da-DK"/>
        </w:rPr>
        <w:t>Kontroller visuelt for faseseparation før administration. Den endelige emulsion til infusion må ikke vise tegn på faseseparation.</w:t>
      </w:r>
    </w:p>
    <w:p w14:paraId="1F106022" w14:textId="77777777" w:rsidR="0096570A" w:rsidRPr="00FF6291" w:rsidRDefault="0096570A" w:rsidP="00791D0E">
      <w:pPr>
        <w:ind w:left="851"/>
        <w:rPr>
          <w:iCs/>
          <w:sz w:val="24"/>
          <w:szCs w:val="24"/>
        </w:rPr>
      </w:pPr>
    </w:p>
    <w:p w14:paraId="5244BC76" w14:textId="77777777" w:rsidR="0096570A" w:rsidRPr="00FF6291" w:rsidRDefault="0096570A" w:rsidP="00791D0E">
      <w:pPr>
        <w:ind w:left="851"/>
        <w:rPr>
          <w:iCs/>
          <w:sz w:val="24"/>
          <w:szCs w:val="24"/>
        </w:rPr>
      </w:pPr>
      <w:r w:rsidRPr="00FF6291">
        <w:rPr>
          <w:sz w:val="24"/>
          <w:szCs w:val="24"/>
          <w:lang w:bidi="da-DK"/>
        </w:rPr>
        <w:t xml:space="preserve">Ved anvendelse til nyfødte og børn under 2 år skal opløsningen beskyttes mod lys, indtil administrationen er afsluttet. Hvis Maxivalen udsættes for omgivende lys, især efter tilsætning af vitaminer, kan det medføre, at der dannes peroxider og andre nedbrydningsprodukter. Denne effekt kan reduceres ved at </w:t>
      </w:r>
      <w:r w:rsidRPr="00FF6291">
        <w:rPr>
          <w:spacing w:val="-3"/>
          <w:sz w:val="24"/>
          <w:szCs w:val="24"/>
          <w:lang w:bidi="da-DK"/>
        </w:rPr>
        <w:t xml:space="preserve">beskytte </w:t>
      </w:r>
      <w:r w:rsidRPr="00FF6291">
        <w:rPr>
          <w:sz w:val="24"/>
          <w:szCs w:val="24"/>
          <w:lang w:bidi="da-DK"/>
        </w:rPr>
        <w:t>mod lys (se pkt. 4.2, 4.4 og 6.3).</w:t>
      </w:r>
    </w:p>
    <w:p w14:paraId="31FED8FA" w14:textId="77777777" w:rsidR="0096570A" w:rsidRPr="00FF6291" w:rsidRDefault="0096570A" w:rsidP="00791D0E">
      <w:pPr>
        <w:ind w:left="851"/>
        <w:rPr>
          <w:iCs/>
          <w:sz w:val="24"/>
          <w:szCs w:val="24"/>
        </w:rPr>
      </w:pPr>
    </w:p>
    <w:p w14:paraId="18D6CE0F" w14:textId="77777777" w:rsidR="0096570A" w:rsidRPr="00FF6291" w:rsidRDefault="0096570A" w:rsidP="00791D0E">
      <w:pPr>
        <w:ind w:left="851"/>
        <w:rPr>
          <w:iCs/>
          <w:sz w:val="24"/>
          <w:szCs w:val="24"/>
        </w:rPr>
      </w:pPr>
      <w:r w:rsidRPr="00FF6291">
        <w:rPr>
          <w:sz w:val="24"/>
          <w:szCs w:val="24"/>
          <w:lang w:bidi="da-DK"/>
        </w:rPr>
        <w:t>Kun til engangsbrug. Ikke anvendt emulsion skal bortskaffes.</w:t>
      </w:r>
    </w:p>
    <w:p w14:paraId="03ABC3C2" w14:textId="77777777" w:rsidR="0096570A" w:rsidRPr="00FF6291" w:rsidRDefault="0096570A" w:rsidP="00791D0E">
      <w:pPr>
        <w:ind w:left="851"/>
        <w:rPr>
          <w:iCs/>
          <w:sz w:val="24"/>
          <w:szCs w:val="24"/>
        </w:rPr>
      </w:pPr>
    </w:p>
    <w:p w14:paraId="6F81A6B1" w14:textId="77777777" w:rsidR="0096570A" w:rsidRPr="00FF6291" w:rsidRDefault="0096570A" w:rsidP="00791D0E">
      <w:pPr>
        <w:ind w:left="851"/>
        <w:rPr>
          <w:iCs/>
          <w:sz w:val="24"/>
          <w:szCs w:val="24"/>
        </w:rPr>
      </w:pPr>
      <w:r w:rsidRPr="00FF6291">
        <w:rPr>
          <w:sz w:val="24"/>
          <w:szCs w:val="24"/>
          <w:u w:val="single"/>
          <w:lang w:bidi="da-DK"/>
        </w:rPr>
        <w:t>Tilsætningsstoffer</w:t>
      </w:r>
    </w:p>
    <w:p w14:paraId="5BE4BD80" w14:textId="77777777" w:rsidR="0096570A" w:rsidRPr="00FF6291" w:rsidRDefault="0096570A" w:rsidP="00791D0E">
      <w:pPr>
        <w:ind w:left="851"/>
        <w:rPr>
          <w:iCs/>
          <w:sz w:val="24"/>
          <w:szCs w:val="24"/>
        </w:rPr>
      </w:pPr>
      <w:r w:rsidRPr="00FF6291">
        <w:rPr>
          <w:sz w:val="24"/>
          <w:szCs w:val="24"/>
          <w:lang w:bidi="da-DK"/>
        </w:rPr>
        <w:t xml:space="preserve">Maxivalen kan blandes aseptisk med aminosyre-, </w:t>
      </w:r>
      <w:proofErr w:type="spellStart"/>
      <w:r w:rsidRPr="00FF6291">
        <w:rPr>
          <w:sz w:val="24"/>
          <w:szCs w:val="24"/>
          <w:lang w:bidi="da-DK"/>
        </w:rPr>
        <w:t>glucose</w:t>
      </w:r>
      <w:proofErr w:type="spellEnd"/>
      <w:r w:rsidRPr="00FF6291">
        <w:rPr>
          <w:sz w:val="24"/>
          <w:szCs w:val="24"/>
          <w:lang w:bidi="da-DK"/>
        </w:rPr>
        <w:t>- og elektrolytopløsninger.</w:t>
      </w:r>
    </w:p>
    <w:p w14:paraId="7146B23C" w14:textId="77777777" w:rsidR="0096570A" w:rsidRPr="00FF6291" w:rsidRDefault="0096570A" w:rsidP="00791D0E">
      <w:pPr>
        <w:ind w:left="851"/>
        <w:rPr>
          <w:iCs/>
          <w:sz w:val="24"/>
          <w:szCs w:val="24"/>
        </w:rPr>
      </w:pPr>
    </w:p>
    <w:p w14:paraId="4030A6BA" w14:textId="0A286EAD" w:rsidR="0096570A" w:rsidRPr="00FF6291" w:rsidRDefault="0096570A" w:rsidP="00791D0E">
      <w:pPr>
        <w:ind w:left="851"/>
        <w:rPr>
          <w:sz w:val="24"/>
          <w:szCs w:val="24"/>
        </w:rPr>
      </w:pPr>
      <w:r w:rsidRPr="00FF6291">
        <w:rPr>
          <w:sz w:val="24"/>
          <w:szCs w:val="24"/>
        </w:rPr>
        <w:lastRenderedPageBreak/>
        <w:t>Kompatibilitet for forskellige tilsætningsstoffer og opbevaringstiden for de forskellige blandinger vil være tilgængelig efter anmodning fra indehaveren af markedsførings</w:t>
      </w:r>
      <w:r w:rsidR="00FF6291">
        <w:rPr>
          <w:sz w:val="24"/>
          <w:szCs w:val="24"/>
        </w:rPr>
        <w:softHyphen/>
      </w:r>
      <w:r w:rsidRPr="00FF6291">
        <w:rPr>
          <w:sz w:val="24"/>
          <w:szCs w:val="24"/>
        </w:rPr>
        <w:t>tilladelsen.</w:t>
      </w:r>
    </w:p>
    <w:p w14:paraId="2578FC06" w14:textId="77777777" w:rsidR="0096570A" w:rsidRPr="00FF6291" w:rsidRDefault="0096570A" w:rsidP="00791D0E">
      <w:pPr>
        <w:ind w:left="851"/>
        <w:rPr>
          <w:sz w:val="24"/>
          <w:szCs w:val="24"/>
          <w:lang w:bidi="da-DK"/>
        </w:rPr>
      </w:pPr>
    </w:p>
    <w:p w14:paraId="2D692C7A" w14:textId="77777777" w:rsidR="0096570A" w:rsidRPr="00FF6291" w:rsidRDefault="0096570A" w:rsidP="00791D0E">
      <w:pPr>
        <w:ind w:left="851"/>
        <w:rPr>
          <w:sz w:val="24"/>
          <w:szCs w:val="24"/>
          <w:lang w:bidi="da-DK"/>
        </w:rPr>
      </w:pPr>
      <w:r w:rsidRPr="00FF6291">
        <w:rPr>
          <w:sz w:val="24"/>
          <w:szCs w:val="24"/>
          <w:lang w:bidi="da-DK"/>
        </w:rPr>
        <w:t>Tilsætninger skal foretages aseptisk.</w:t>
      </w:r>
    </w:p>
    <w:p w14:paraId="36DC03EF" w14:textId="77777777" w:rsidR="0096570A" w:rsidRPr="00FF6291" w:rsidRDefault="0096570A" w:rsidP="00791D0E">
      <w:pPr>
        <w:ind w:left="851"/>
        <w:rPr>
          <w:iCs/>
          <w:sz w:val="24"/>
          <w:szCs w:val="24"/>
        </w:rPr>
      </w:pPr>
    </w:p>
    <w:p w14:paraId="318FC9D5" w14:textId="77777777" w:rsidR="0096570A" w:rsidRPr="00FF6291" w:rsidRDefault="0096570A" w:rsidP="00791D0E">
      <w:pPr>
        <w:ind w:left="851"/>
        <w:rPr>
          <w:iCs/>
          <w:sz w:val="24"/>
          <w:szCs w:val="24"/>
        </w:rPr>
      </w:pPr>
      <w:r w:rsidRPr="00FF6291">
        <w:rPr>
          <w:sz w:val="24"/>
          <w:szCs w:val="24"/>
          <w:lang w:bidi="da-DK"/>
        </w:rPr>
        <w:t>Ikke anvendt lægemiddel samt affald heraf skal bortskaffes i henhold til lokale retningslinjer.</w:t>
      </w:r>
    </w:p>
    <w:p w14:paraId="72593776" w14:textId="77777777" w:rsidR="009260DE" w:rsidRPr="00FF6291" w:rsidRDefault="009260DE" w:rsidP="000730CA">
      <w:pPr>
        <w:tabs>
          <w:tab w:val="left" w:pos="851"/>
        </w:tabs>
        <w:ind w:left="851"/>
        <w:rPr>
          <w:sz w:val="24"/>
          <w:szCs w:val="24"/>
        </w:rPr>
      </w:pPr>
    </w:p>
    <w:p w14:paraId="63B196A9" w14:textId="77777777" w:rsidR="009260DE" w:rsidRPr="00FF6291" w:rsidRDefault="009260DE" w:rsidP="009260DE">
      <w:pPr>
        <w:tabs>
          <w:tab w:val="left" w:pos="851"/>
        </w:tabs>
        <w:ind w:left="851" w:hanging="851"/>
        <w:rPr>
          <w:b/>
          <w:sz w:val="24"/>
          <w:szCs w:val="24"/>
        </w:rPr>
      </w:pPr>
      <w:r w:rsidRPr="00FF6291">
        <w:rPr>
          <w:b/>
          <w:sz w:val="24"/>
          <w:szCs w:val="24"/>
        </w:rPr>
        <w:t>7.</w:t>
      </w:r>
      <w:r w:rsidRPr="00FF6291">
        <w:rPr>
          <w:b/>
          <w:sz w:val="24"/>
          <w:szCs w:val="24"/>
        </w:rPr>
        <w:tab/>
        <w:t>INDEHAVER AF MARKEDSFØRINGSTILLADELSEN</w:t>
      </w:r>
    </w:p>
    <w:p w14:paraId="1D365617" w14:textId="77777777" w:rsidR="0096570A" w:rsidRPr="00FF6291" w:rsidRDefault="0096570A" w:rsidP="00791D0E">
      <w:pPr>
        <w:ind w:left="851"/>
        <w:rPr>
          <w:bCs/>
          <w:sz w:val="24"/>
          <w:szCs w:val="24"/>
        </w:rPr>
      </w:pPr>
      <w:r w:rsidRPr="00FF6291">
        <w:rPr>
          <w:bCs/>
          <w:sz w:val="24"/>
          <w:szCs w:val="24"/>
        </w:rPr>
        <w:t>Noridem Enterprises Limited</w:t>
      </w:r>
    </w:p>
    <w:p w14:paraId="48917584" w14:textId="77777777" w:rsidR="0096570A" w:rsidRPr="00FF6291" w:rsidRDefault="0096570A" w:rsidP="00791D0E">
      <w:pPr>
        <w:ind w:left="851"/>
        <w:rPr>
          <w:bCs/>
          <w:sz w:val="24"/>
          <w:szCs w:val="24"/>
          <w:lang w:val="en-US"/>
        </w:rPr>
      </w:pPr>
      <w:proofErr w:type="spellStart"/>
      <w:r w:rsidRPr="00FF6291">
        <w:rPr>
          <w:bCs/>
          <w:sz w:val="24"/>
          <w:szCs w:val="24"/>
          <w:lang w:val="en-US"/>
        </w:rPr>
        <w:t>Evagorou</w:t>
      </w:r>
      <w:proofErr w:type="spellEnd"/>
      <w:r w:rsidRPr="00FF6291">
        <w:rPr>
          <w:bCs/>
          <w:sz w:val="24"/>
          <w:szCs w:val="24"/>
          <w:lang w:val="en-US"/>
        </w:rPr>
        <w:t xml:space="preserve"> &amp; </w:t>
      </w:r>
      <w:proofErr w:type="spellStart"/>
      <w:r w:rsidRPr="00FF6291">
        <w:rPr>
          <w:bCs/>
          <w:sz w:val="24"/>
          <w:szCs w:val="24"/>
          <w:lang w:val="en-US"/>
        </w:rPr>
        <w:t>Makariou</w:t>
      </w:r>
      <w:proofErr w:type="spellEnd"/>
    </w:p>
    <w:p w14:paraId="0F561588" w14:textId="77777777" w:rsidR="0096570A" w:rsidRPr="00FF6291" w:rsidRDefault="0096570A" w:rsidP="00791D0E">
      <w:pPr>
        <w:ind w:left="851"/>
        <w:rPr>
          <w:bCs/>
          <w:sz w:val="24"/>
          <w:szCs w:val="24"/>
          <w:lang w:val="en-US"/>
        </w:rPr>
      </w:pPr>
      <w:r w:rsidRPr="00FF6291">
        <w:rPr>
          <w:bCs/>
          <w:sz w:val="24"/>
          <w:szCs w:val="24"/>
          <w:lang w:val="en-US"/>
        </w:rPr>
        <w:t>Mitsi Building 3, Office 115</w:t>
      </w:r>
    </w:p>
    <w:p w14:paraId="079874B3" w14:textId="334E3115" w:rsidR="00FF6291" w:rsidRDefault="0096570A" w:rsidP="00791D0E">
      <w:pPr>
        <w:ind w:left="851"/>
        <w:rPr>
          <w:sz w:val="24"/>
          <w:szCs w:val="24"/>
          <w:lang w:val="sv-SE"/>
        </w:rPr>
      </w:pPr>
      <w:r w:rsidRPr="00FF6291">
        <w:rPr>
          <w:sz w:val="24"/>
          <w:szCs w:val="24"/>
          <w:lang w:val="sv-SE"/>
        </w:rPr>
        <w:t>1065 Nicosia</w:t>
      </w:r>
    </w:p>
    <w:p w14:paraId="7484CE4E" w14:textId="0B13879D" w:rsidR="0096570A" w:rsidRPr="00FF6291" w:rsidRDefault="0096570A" w:rsidP="00791D0E">
      <w:pPr>
        <w:ind w:left="851"/>
        <w:rPr>
          <w:sz w:val="24"/>
          <w:szCs w:val="24"/>
          <w:lang w:val="sv-SE"/>
        </w:rPr>
      </w:pPr>
      <w:r w:rsidRPr="00FF6291">
        <w:rPr>
          <w:sz w:val="24"/>
          <w:szCs w:val="24"/>
          <w:lang w:val="sv-SE"/>
        </w:rPr>
        <w:t>Cyp</w:t>
      </w:r>
      <w:r w:rsidR="00FF6291">
        <w:rPr>
          <w:sz w:val="24"/>
          <w:szCs w:val="24"/>
          <w:lang w:val="sv-SE"/>
        </w:rPr>
        <w:t>ern</w:t>
      </w:r>
    </w:p>
    <w:p w14:paraId="25EB869D" w14:textId="77777777" w:rsidR="0096570A" w:rsidRPr="00FF6291" w:rsidRDefault="0096570A" w:rsidP="00791D0E">
      <w:pPr>
        <w:ind w:left="851"/>
        <w:rPr>
          <w:sz w:val="24"/>
          <w:szCs w:val="24"/>
          <w:lang w:val="sv-SE"/>
        </w:rPr>
      </w:pPr>
    </w:p>
    <w:p w14:paraId="57980DAD" w14:textId="77777777" w:rsidR="0096570A" w:rsidRPr="00FF6291" w:rsidRDefault="0096570A" w:rsidP="00791D0E">
      <w:pPr>
        <w:ind w:left="851"/>
        <w:rPr>
          <w:sz w:val="24"/>
          <w:szCs w:val="24"/>
          <w:lang w:val="sv-SE"/>
        </w:rPr>
      </w:pPr>
      <w:proofErr w:type="spellStart"/>
      <w:r w:rsidRPr="00FF6291">
        <w:rPr>
          <w:b/>
          <w:sz w:val="24"/>
          <w:szCs w:val="24"/>
          <w:lang w:val="sv-SE"/>
        </w:rPr>
        <w:t>Repræsentant</w:t>
      </w:r>
      <w:proofErr w:type="spellEnd"/>
    </w:p>
    <w:p w14:paraId="7F517B1D" w14:textId="77777777" w:rsidR="0096570A" w:rsidRPr="00FF6291" w:rsidRDefault="0096570A" w:rsidP="00791D0E">
      <w:pPr>
        <w:ind w:left="851"/>
        <w:rPr>
          <w:sz w:val="24"/>
          <w:szCs w:val="24"/>
          <w:lang w:val="sv-SE"/>
        </w:rPr>
      </w:pPr>
      <w:r w:rsidRPr="00FF6291">
        <w:rPr>
          <w:sz w:val="24"/>
          <w:szCs w:val="24"/>
          <w:lang w:val="sv-SE"/>
        </w:rPr>
        <w:t>FrostPharma AB</w:t>
      </w:r>
    </w:p>
    <w:p w14:paraId="73ECFC7F" w14:textId="77777777" w:rsidR="0096570A" w:rsidRPr="00FF6291" w:rsidRDefault="0096570A" w:rsidP="00791D0E">
      <w:pPr>
        <w:ind w:left="851"/>
        <w:rPr>
          <w:sz w:val="24"/>
          <w:szCs w:val="24"/>
          <w:lang w:val="sv-SE"/>
        </w:rPr>
      </w:pPr>
      <w:r w:rsidRPr="00FF6291">
        <w:rPr>
          <w:sz w:val="24"/>
          <w:szCs w:val="24"/>
          <w:lang w:val="sv-SE"/>
        </w:rPr>
        <w:t>Berga Backe 2</w:t>
      </w:r>
    </w:p>
    <w:p w14:paraId="659F82CE" w14:textId="77777777" w:rsidR="0096570A" w:rsidRPr="00FF6291" w:rsidRDefault="0096570A" w:rsidP="00791D0E">
      <w:pPr>
        <w:ind w:left="851"/>
        <w:rPr>
          <w:sz w:val="24"/>
          <w:szCs w:val="24"/>
          <w:lang w:val="sv-SE"/>
        </w:rPr>
      </w:pPr>
      <w:r w:rsidRPr="00FF6291">
        <w:rPr>
          <w:sz w:val="24"/>
          <w:szCs w:val="24"/>
          <w:lang w:val="sv-SE"/>
        </w:rPr>
        <w:t>182 53 Danderyd</w:t>
      </w:r>
    </w:p>
    <w:p w14:paraId="3369FD9E" w14:textId="77777777" w:rsidR="0096570A" w:rsidRPr="00FF6291" w:rsidRDefault="0096570A" w:rsidP="00791D0E">
      <w:pPr>
        <w:ind w:left="851"/>
        <w:rPr>
          <w:sz w:val="24"/>
          <w:szCs w:val="24"/>
        </w:rPr>
      </w:pPr>
      <w:r w:rsidRPr="00FF6291">
        <w:rPr>
          <w:sz w:val="24"/>
          <w:szCs w:val="24"/>
        </w:rPr>
        <w:t>Sverige</w:t>
      </w:r>
    </w:p>
    <w:p w14:paraId="0C84CEC6" w14:textId="77777777" w:rsidR="00641C65" w:rsidRPr="00FF6291" w:rsidRDefault="00641C65" w:rsidP="009260DE">
      <w:pPr>
        <w:tabs>
          <w:tab w:val="left" w:pos="851"/>
        </w:tabs>
        <w:ind w:left="851"/>
        <w:rPr>
          <w:sz w:val="24"/>
          <w:szCs w:val="24"/>
        </w:rPr>
      </w:pPr>
    </w:p>
    <w:p w14:paraId="5DFD45E3" w14:textId="77777777" w:rsidR="009260DE" w:rsidRPr="00FF6291" w:rsidRDefault="009260DE" w:rsidP="009260DE">
      <w:pPr>
        <w:tabs>
          <w:tab w:val="left" w:pos="851"/>
        </w:tabs>
        <w:ind w:left="851" w:hanging="851"/>
        <w:rPr>
          <w:b/>
          <w:sz w:val="24"/>
          <w:szCs w:val="24"/>
        </w:rPr>
      </w:pPr>
      <w:r w:rsidRPr="00FF6291">
        <w:rPr>
          <w:b/>
          <w:sz w:val="24"/>
          <w:szCs w:val="24"/>
        </w:rPr>
        <w:t>8.</w:t>
      </w:r>
      <w:r w:rsidRPr="00FF6291">
        <w:rPr>
          <w:b/>
          <w:sz w:val="24"/>
          <w:szCs w:val="24"/>
        </w:rPr>
        <w:tab/>
        <w:t>MARKEDSFØRINGSTILLADELSESNUMMER (</w:t>
      </w:r>
      <w:r w:rsidR="00BF6243" w:rsidRPr="00FF6291">
        <w:rPr>
          <w:b/>
          <w:sz w:val="24"/>
          <w:szCs w:val="24"/>
        </w:rPr>
        <w:t>-</w:t>
      </w:r>
      <w:r w:rsidRPr="00FF6291">
        <w:rPr>
          <w:b/>
          <w:sz w:val="24"/>
          <w:szCs w:val="24"/>
        </w:rPr>
        <w:t>NUMRE)</w:t>
      </w:r>
    </w:p>
    <w:p w14:paraId="586F0C00" w14:textId="680EE1B0" w:rsidR="009260DE" w:rsidRPr="00FF6291" w:rsidRDefault="0096570A" w:rsidP="009260DE">
      <w:pPr>
        <w:tabs>
          <w:tab w:val="left" w:pos="851"/>
        </w:tabs>
        <w:ind w:left="851"/>
        <w:rPr>
          <w:sz w:val="24"/>
          <w:szCs w:val="24"/>
        </w:rPr>
      </w:pPr>
      <w:r w:rsidRPr="00FF6291">
        <w:rPr>
          <w:sz w:val="24"/>
          <w:szCs w:val="24"/>
        </w:rPr>
        <w:t>71240</w:t>
      </w:r>
    </w:p>
    <w:p w14:paraId="372C437A" w14:textId="77777777" w:rsidR="009260DE" w:rsidRPr="00FF6291" w:rsidRDefault="009260DE" w:rsidP="009260DE">
      <w:pPr>
        <w:tabs>
          <w:tab w:val="left" w:pos="851"/>
        </w:tabs>
        <w:ind w:left="851"/>
        <w:jc w:val="both"/>
        <w:rPr>
          <w:sz w:val="24"/>
          <w:szCs w:val="24"/>
        </w:rPr>
      </w:pPr>
    </w:p>
    <w:p w14:paraId="3825733E" w14:textId="77777777" w:rsidR="009260DE" w:rsidRPr="00FF6291" w:rsidRDefault="009260DE" w:rsidP="009260DE">
      <w:pPr>
        <w:tabs>
          <w:tab w:val="left" w:pos="851"/>
        </w:tabs>
        <w:ind w:left="851" w:hanging="851"/>
        <w:rPr>
          <w:b/>
          <w:sz w:val="24"/>
          <w:szCs w:val="24"/>
        </w:rPr>
      </w:pPr>
      <w:r w:rsidRPr="00FF6291">
        <w:rPr>
          <w:b/>
          <w:sz w:val="24"/>
          <w:szCs w:val="24"/>
        </w:rPr>
        <w:t>9.</w:t>
      </w:r>
      <w:r w:rsidRPr="00FF6291">
        <w:rPr>
          <w:b/>
          <w:sz w:val="24"/>
          <w:szCs w:val="24"/>
        </w:rPr>
        <w:tab/>
        <w:t>DATO FOR FØRSTE MARKEDSFØRINGSTILLADELSE</w:t>
      </w:r>
    </w:p>
    <w:p w14:paraId="0FC2D5C9" w14:textId="26E3A3A3" w:rsidR="009260DE" w:rsidRPr="00FF6291" w:rsidRDefault="00050111" w:rsidP="009260DE">
      <w:pPr>
        <w:tabs>
          <w:tab w:val="left" w:pos="851"/>
        </w:tabs>
        <w:ind w:left="851"/>
        <w:rPr>
          <w:sz w:val="24"/>
          <w:szCs w:val="24"/>
        </w:rPr>
      </w:pPr>
      <w:r>
        <w:rPr>
          <w:sz w:val="24"/>
          <w:szCs w:val="24"/>
        </w:rPr>
        <w:t>4. september 2025</w:t>
      </w:r>
    </w:p>
    <w:p w14:paraId="409045B4" w14:textId="77777777" w:rsidR="009260DE" w:rsidRPr="00FF6291" w:rsidRDefault="009260DE" w:rsidP="009260DE">
      <w:pPr>
        <w:tabs>
          <w:tab w:val="left" w:pos="851"/>
        </w:tabs>
        <w:ind w:left="851"/>
        <w:rPr>
          <w:sz w:val="24"/>
          <w:szCs w:val="24"/>
        </w:rPr>
      </w:pPr>
    </w:p>
    <w:p w14:paraId="79CEE161" w14:textId="77777777" w:rsidR="009260DE" w:rsidRPr="00FF6291" w:rsidRDefault="009260DE" w:rsidP="009260DE">
      <w:pPr>
        <w:tabs>
          <w:tab w:val="left" w:pos="851"/>
        </w:tabs>
        <w:ind w:left="851" w:hanging="851"/>
        <w:rPr>
          <w:b/>
          <w:sz w:val="24"/>
          <w:szCs w:val="24"/>
        </w:rPr>
      </w:pPr>
      <w:r w:rsidRPr="00FF6291">
        <w:rPr>
          <w:b/>
          <w:sz w:val="24"/>
          <w:szCs w:val="24"/>
        </w:rPr>
        <w:t>10.</w:t>
      </w:r>
      <w:r w:rsidRPr="00FF6291">
        <w:rPr>
          <w:b/>
          <w:sz w:val="24"/>
          <w:szCs w:val="24"/>
        </w:rPr>
        <w:tab/>
        <w:t>DATO FOR ÆNDRING AF TEKSTEN</w:t>
      </w:r>
    </w:p>
    <w:p w14:paraId="10A94206" w14:textId="52EAA50B" w:rsidR="009260DE" w:rsidRPr="00FF6291" w:rsidRDefault="0096570A" w:rsidP="009260DE">
      <w:pPr>
        <w:tabs>
          <w:tab w:val="left" w:pos="851"/>
        </w:tabs>
        <w:ind w:left="851"/>
        <w:rPr>
          <w:sz w:val="24"/>
          <w:szCs w:val="24"/>
        </w:rPr>
      </w:pPr>
      <w:r w:rsidRPr="00FF6291">
        <w:rPr>
          <w:sz w:val="24"/>
          <w:szCs w:val="24"/>
        </w:rPr>
        <w:t>-</w:t>
      </w:r>
    </w:p>
    <w:sectPr w:rsidR="009260DE" w:rsidRPr="00FF6291"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2E12E" w14:textId="77777777" w:rsidR="00891297" w:rsidRDefault="00891297">
      <w:r>
        <w:separator/>
      </w:r>
    </w:p>
  </w:endnote>
  <w:endnote w:type="continuationSeparator" w:id="0">
    <w:p w14:paraId="79432195" w14:textId="77777777" w:rsidR="00891297" w:rsidRDefault="0089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823FA" w14:textId="77777777" w:rsidR="000259B9" w:rsidRDefault="000259B9">
    <w:pPr>
      <w:pStyle w:val="Sidefod"/>
      <w:pBdr>
        <w:bottom w:val="single" w:sz="6" w:space="1" w:color="auto"/>
      </w:pBdr>
    </w:pPr>
  </w:p>
  <w:p w14:paraId="6B88FB98" w14:textId="77777777" w:rsidR="000259B9" w:rsidRDefault="000259B9" w:rsidP="00C42586">
    <w:pPr>
      <w:pStyle w:val="Sidefod"/>
      <w:tabs>
        <w:tab w:val="clear" w:pos="4819"/>
        <w:tab w:val="left" w:pos="8505"/>
      </w:tabs>
      <w:rPr>
        <w:i/>
        <w:sz w:val="18"/>
        <w:szCs w:val="18"/>
      </w:rPr>
    </w:pPr>
  </w:p>
  <w:p w14:paraId="0128E4E4" w14:textId="1332B5E2"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050111">
      <w:rPr>
        <w:i/>
        <w:noProof/>
        <w:sz w:val="18"/>
        <w:szCs w:val="18"/>
      </w:rPr>
      <w:t>Maxivalen, infusionsvæske, emulsion 200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FA537" w14:textId="77777777" w:rsidR="00891297" w:rsidRDefault="00891297">
      <w:r>
        <w:separator/>
      </w:r>
    </w:p>
  </w:footnote>
  <w:footnote w:type="continuationSeparator" w:id="0">
    <w:p w14:paraId="6FA83883" w14:textId="77777777" w:rsidR="00891297" w:rsidRDefault="00891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DCD541C"/>
    <w:multiLevelType w:val="hybridMultilevel"/>
    <w:tmpl w:val="E2D81BC0"/>
    <w:lvl w:ilvl="0" w:tplc="447E2416">
      <w:numFmt w:val="bullet"/>
      <w:lvlText w:val="-"/>
      <w:lvlJc w:val="left"/>
      <w:pPr>
        <w:ind w:left="720" w:hanging="360"/>
      </w:pPr>
      <w:rPr>
        <w:rFonts w:ascii="Times New Roman" w:eastAsia="Times New Roman" w:hAnsi="Times New Roman" w:cs="Times New Roman" w:hint="default"/>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CCD335F"/>
    <w:multiLevelType w:val="hybridMultilevel"/>
    <w:tmpl w:val="278A3834"/>
    <w:lvl w:ilvl="0" w:tplc="B21A2496">
      <w:start w:val="1"/>
      <w:numFmt w:val="bullet"/>
      <w:pStyle w:val="ListHyphen"/>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37E5F8B"/>
    <w:multiLevelType w:val="hybridMultilevel"/>
    <w:tmpl w:val="6890D69C"/>
    <w:lvl w:ilvl="0" w:tplc="447E2416">
      <w:numFmt w:val="bullet"/>
      <w:lvlText w:val="-"/>
      <w:lvlJc w:val="left"/>
      <w:pPr>
        <w:ind w:left="720" w:hanging="360"/>
      </w:pPr>
      <w:rPr>
        <w:rFonts w:ascii="Times New Roman" w:eastAsia="Times New Roman" w:hAnsi="Times New Roman" w:cs="Times New Roman" w:hint="default"/>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6BD764BD"/>
    <w:multiLevelType w:val="hybridMultilevel"/>
    <w:tmpl w:val="C6BCA1BA"/>
    <w:lvl w:ilvl="0" w:tplc="67048D3E">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1B8658B"/>
    <w:multiLevelType w:val="hybridMultilevel"/>
    <w:tmpl w:val="A89E1E54"/>
    <w:lvl w:ilvl="0" w:tplc="447E2416">
      <w:numFmt w:val="bullet"/>
      <w:lvlText w:val="-"/>
      <w:lvlJc w:val="left"/>
      <w:pPr>
        <w:ind w:left="1571" w:hanging="360"/>
      </w:pPr>
      <w:rPr>
        <w:rFonts w:ascii="Times New Roman" w:eastAsia="Times New Roman" w:hAnsi="Times New Roman" w:cs="Times New Roman" w:hint="default"/>
        <w:sz w:val="23"/>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7D6E46CE"/>
    <w:multiLevelType w:val="hybridMultilevel"/>
    <w:tmpl w:val="38185AE0"/>
    <w:lvl w:ilvl="0" w:tplc="67048D3E">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0"/>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97"/>
    <w:rsid w:val="000259B9"/>
    <w:rsid w:val="00041491"/>
    <w:rsid w:val="00042EB7"/>
    <w:rsid w:val="00050111"/>
    <w:rsid w:val="00050D16"/>
    <w:rsid w:val="000730CA"/>
    <w:rsid w:val="00074F2A"/>
    <w:rsid w:val="000A1CA8"/>
    <w:rsid w:val="000A466B"/>
    <w:rsid w:val="000B058C"/>
    <w:rsid w:val="000D68B0"/>
    <w:rsid w:val="000E4EE6"/>
    <w:rsid w:val="0013787C"/>
    <w:rsid w:val="001454E2"/>
    <w:rsid w:val="00206CE8"/>
    <w:rsid w:val="0021526C"/>
    <w:rsid w:val="00283A2B"/>
    <w:rsid w:val="002B30AD"/>
    <w:rsid w:val="002C1EC0"/>
    <w:rsid w:val="002C2C01"/>
    <w:rsid w:val="003A29AE"/>
    <w:rsid w:val="003A32D7"/>
    <w:rsid w:val="003B4074"/>
    <w:rsid w:val="003C769A"/>
    <w:rsid w:val="003D3A90"/>
    <w:rsid w:val="003F1838"/>
    <w:rsid w:val="0041625C"/>
    <w:rsid w:val="004251C1"/>
    <w:rsid w:val="0045746C"/>
    <w:rsid w:val="0049104B"/>
    <w:rsid w:val="004C1097"/>
    <w:rsid w:val="004E3B12"/>
    <w:rsid w:val="00532310"/>
    <w:rsid w:val="00565F0F"/>
    <w:rsid w:val="005840B0"/>
    <w:rsid w:val="00594A86"/>
    <w:rsid w:val="00596D86"/>
    <w:rsid w:val="006257B7"/>
    <w:rsid w:val="00637F5A"/>
    <w:rsid w:val="00641C65"/>
    <w:rsid w:val="006560B1"/>
    <w:rsid w:val="006756DD"/>
    <w:rsid w:val="0071241E"/>
    <w:rsid w:val="00737275"/>
    <w:rsid w:val="00740EEC"/>
    <w:rsid w:val="0078011A"/>
    <w:rsid w:val="00782AF4"/>
    <w:rsid w:val="00790EE7"/>
    <w:rsid w:val="00791D0E"/>
    <w:rsid w:val="007B6649"/>
    <w:rsid w:val="0082576E"/>
    <w:rsid w:val="00891297"/>
    <w:rsid w:val="0089346F"/>
    <w:rsid w:val="00907F75"/>
    <w:rsid w:val="009260DE"/>
    <w:rsid w:val="0093258A"/>
    <w:rsid w:val="0096570A"/>
    <w:rsid w:val="009C7BA3"/>
    <w:rsid w:val="009D1F5A"/>
    <w:rsid w:val="009D7E15"/>
    <w:rsid w:val="00A10294"/>
    <w:rsid w:val="00AC2961"/>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B6D01"/>
    <w:rsid w:val="00FF62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BA0E1"/>
  <w15:chartTrackingRefBased/>
  <w15:docId w15:val="{41B47247-7B88-418B-BA15-7A43AADC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semiHidden/>
    <w:unhideWhenUsed/>
    <w:rsid w:val="0096570A"/>
    <w:rPr>
      <w:i/>
      <w:color w:val="008000"/>
      <w:sz w:val="22"/>
      <w:lang w:val="en-GB"/>
    </w:rPr>
  </w:style>
  <w:style w:type="character" w:customStyle="1" w:styleId="BrdtekstTegn">
    <w:name w:val="Brødtekst Tegn"/>
    <w:basedOn w:val="Standardskrifttypeiafsnit"/>
    <w:link w:val="Brdtekst"/>
    <w:semiHidden/>
    <w:rsid w:val="0096570A"/>
    <w:rPr>
      <w:i/>
      <w:color w:val="008000"/>
      <w:sz w:val="22"/>
      <w:lang w:val="en-GB" w:eastAsia="en-US"/>
    </w:rPr>
  </w:style>
  <w:style w:type="table" w:styleId="Tabel-Gitter">
    <w:name w:val="Table Grid"/>
    <w:basedOn w:val="Tabel-Normal"/>
    <w:rsid w:val="0096570A"/>
    <w:rPr>
      <w:kern w:val="2"/>
      <w:lang w:val="en-GB" w:eastAsia="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HyphenChar">
    <w:name w:val="List Hyphen Char"/>
    <w:basedOn w:val="Standardskrifttypeiafsnit"/>
    <w:link w:val="ListHyphen"/>
    <w:locked/>
    <w:rsid w:val="0096570A"/>
    <w:rPr>
      <w:noProof/>
      <w:sz w:val="22"/>
      <w:lang w:val="en-GB"/>
    </w:rPr>
  </w:style>
  <w:style w:type="paragraph" w:customStyle="1" w:styleId="ListHyphen">
    <w:name w:val="List Hyphen"/>
    <w:basedOn w:val="Normal"/>
    <w:next w:val="Normal"/>
    <w:link w:val="ListHyphenChar"/>
    <w:qFormat/>
    <w:rsid w:val="0096570A"/>
    <w:pPr>
      <w:numPr>
        <w:numId w:val="6"/>
      </w:numPr>
      <w:tabs>
        <w:tab w:val="left" w:pos="567"/>
      </w:tabs>
      <w:ind w:left="567" w:hanging="567"/>
    </w:pPr>
    <w:rPr>
      <w:noProof/>
      <w:sz w:val="22"/>
      <w:lang w:val="en-GB" w:eastAsia="da-DK"/>
    </w:rPr>
  </w:style>
  <w:style w:type="character" w:styleId="Hyperlink">
    <w:name w:val="Hyperlink"/>
    <w:uiPriority w:val="99"/>
    <w:semiHidden/>
    <w:unhideWhenUsed/>
    <w:rsid w:val="0096570A"/>
    <w:rPr>
      <w:color w:val="0000FF"/>
      <w:u w:val="single"/>
    </w:rPr>
  </w:style>
  <w:style w:type="paragraph" w:customStyle="1" w:styleId="TableParagraph">
    <w:name w:val="Table Paragraph"/>
    <w:basedOn w:val="Normal"/>
    <w:uiPriority w:val="1"/>
    <w:qFormat/>
    <w:rsid w:val="0096570A"/>
    <w:pPr>
      <w:tabs>
        <w:tab w:val="left" w:pos="567"/>
      </w:tabs>
      <w:spacing w:line="260" w:lineRule="exact"/>
    </w:pPr>
    <w:rPr>
      <w:sz w:val="22"/>
      <w:lang w:val="en-GB"/>
    </w:rPr>
  </w:style>
  <w:style w:type="paragraph" w:styleId="Listeafsnit">
    <w:name w:val="List Paragraph"/>
    <w:basedOn w:val="Normal"/>
    <w:uiPriority w:val="34"/>
    <w:qFormat/>
    <w:rsid w:val="00791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9172">
      <w:bodyDiv w:val="1"/>
      <w:marLeft w:val="0"/>
      <w:marRight w:val="0"/>
      <w:marTop w:val="0"/>
      <w:marBottom w:val="0"/>
      <w:divBdr>
        <w:top w:val="none" w:sz="0" w:space="0" w:color="auto"/>
        <w:left w:val="none" w:sz="0" w:space="0" w:color="auto"/>
        <w:bottom w:val="none" w:sz="0" w:space="0" w:color="auto"/>
        <w:right w:val="none" w:sz="0" w:space="0" w:color="auto"/>
      </w:divBdr>
    </w:div>
    <w:div w:id="120079210">
      <w:bodyDiv w:val="1"/>
      <w:marLeft w:val="0"/>
      <w:marRight w:val="0"/>
      <w:marTop w:val="0"/>
      <w:marBottom w:val="0"/>
      <w:divBdr>
        <w:top w:val="none" w:sz="0" w:space="0" w:color="auto"/>
        <w:left w:val="none" w:sz="0" w:space="0" w:color="auto"/>
        <w:bottom w:val="none" w:sz="0" w:space="0" w:color="auto"/>
        <w:right w:val="none" w:sz="0" w:space="0" w:color="auto"/>
      </w:divBdr>
    </w:div>
    <w:div w:id="123087077">
      <w:bodyDiv w:val="1"/>
      <w:marLeft w:val="0"/>
      <w:marRight w:val="0"/>
      <w:marTop w:val="0"/>
      <w:marBottom w:val="0"/>
      <w:divBdr>
        <w:top w:val="none" w:sz="0" w:space="0" w:color="auto"/>
        <w:left w:val="none" w:sz="0" w:space="0" w:color="auto"/>
        <w:bottom w:val="none" w:sz="0" w:space="0" w:color="auto"/>
        <w:right w:val="none" w:sz="0" w:space="0" w:color="auto"/>
      </w:divBdr>
    </w:div>
    <w:div w:id="136262742">
      <w:bodyDiv w:val="1"/>
      <w:marLeft w:val="0"/>
      <w:marRight w:val="0"/>
      <w:marTop w:val="0"/>
      <w:marBottom w:val="0"/>
      <w:divBdr>
        <w:top w:val="none" w:sz="0" w:space="0" w:color="auto"/>
        <w:left w:val="none" w:sz="0" w:space="0" w:color="auto"/>
        <w:bottom w:val="none" w:sz="0" w:space="0" w:color="auto"/>
        <w:right w:val="none" w:sz="0" w:space="0" w:color="auto"/>
      </w:divBdr>
    </w:div>
    <w:div w:id="15395536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95644668">
      <w:bodyDiv w:val="1"/>
      <w:marLeft w:val="0"/>
      <w:marRight w:val="0"/>
      <w:marTop w:val="0"/>
      <w:marBottom w:val="0"/>
      <w:divBdr>
        <w:top w:val="none" w:sz="0" w:space="0" w:color="auto"/>
        <w:left w:val="none" w:sz="0" w:space="0" w:color="auto"/>
        <w:bottom w:val="none" w:sz="0" w:space="0" w:color="auto"/>
        <w:right w:val="none" w:sz="0" w:space="0" w:color="auto"/>
      </w:divBdr>
    </w:div>
    <w:div w:id="313992329">
      <w:bodyDiv w:val="1"/>
      <w:marLeft w:val="0"/>
      <w:marRight w:val="0"/>
      <w:marTop w:val="0"/>
      <w:marBottom w:val="0"/>
      <w:divBdr>
        <w:top w:val="none" w:sz="0" w:space="0" w:color="auto"/>
        <w:left w:val="none" w:sz="0" w:space="0" w:color="auto"/>
        <w:bottom w:val="none" w:sz="0" w:space="0" w:color="auto"/>
        <w:right w:val="none" w:sz="0" w:space="0" w:color="auto"/>
      </w:divBdr>
    </w:div>
    <w:div w:id="496191819">
      <w:bodyDiv w:val="1"/>
      <w:marLeft w:val="0"/>
      <w:marRight w:val="0"/>
      <w:marTop w:val="0"/>
      <w:marBottom w:val="0"/>
      <w:divBdr>
        <w:top w:val="none" w:sz="0" w:space="0" w:color="auto"/>
        <w:left w:val="none" w:sz="0" w:space="0" w:color="auto"/>
        <w:bottom w:val="none" w:sz="0" w:space="0" w:color="auto"/>
        <w:right w:val="none" w:sz="0" w:space="0" w:color="auto"/>
      </w:divBdr>
    </w:div>
    <w:div w:id="541870450">
      <w:bodyDiv w:val="1"/>
      <w:marLeft w:val="0"/>
      <w:marRight w:val="0"/>
      <w:marTop w:val="0"/>
      <w:marBottom w:val="0"/>
      <w:divBdr>
        <w:top w:val="none" w:sz="0" w:space="0" w:color="auto"/>
        <w:left w:val="none" w:sz="0" w:space="0" w:color="auto"/>
        <w:bottom w:val="none" w:sz="0" w:space="0" w:color="auto"/>
        <w:right w:val="none" w:sz="0" w:space="0" w:color="auto"/>
      </w:divBdr>
    </w:div>
    <w:div w:id="824781026">
      <w:bodyDiv w:val="1"/>
      <w:marLeft w:val="0"/>
      <w:marRight w:val="0"/>
      <w:marTop w:val="0"/>
      <w:marBottom w:val="0"/>
      <w:divBdr>
        <w:top w:val="none" w:sz="0" w:space="0" w:color="auto"/>
        <w:left w:val="none" w:sz="0" w:space="0" w:color="auto"/>
        <w:bottom w:val="none" w:sz="0" w:space="0" w:color="auto"/>
        <w:right w:val="none" w:sz="0" w:space="0" w:color="auto"/>
      </w:divBdr>
    </w:div>
    <w:div w:id="883907187">
      <w:bodyDiv w:val="1"/>
      <w:marLeft w:val="0"/>
      <w:marRight w:val="0"/>
      <w:marTop w:val="0"/>
      <w:marBottom w:val="0"/>
      <w:divBdr>
        <w:top w:val="none" w:sz="0" w:space="0" w:color="auto"/>
        <w:left w:val="none" w:sz="0" w:space="0" w:color="auto"/>
        <w:bottom w:val="none" w:sz="0" w:space="0" w:color="auto"/>
        <w:right w:val="none" w:sz="0" w:space="0" w:color="auto"/>
      </w:divBdr>
    </w:div>
    <w:div w:id="979193166">
      <w:bodyDiv w:val="1"/>
      <w:marLeft w:val="0"/>
      <w:marRight w:val="0"/>
      <w:marTop w:val="0"/>
      <w:marBottom w:val="0"/>
      <w:divBdr>
        <w:top w:val="none" w:sz="0" w:space="0" w:color="auto"/>
        <w:left w:val="none" w:sz="0" w:space="0" w:color="auto"/>
        <w:bottom w:val="none" w:sz="0" w:space="0" w:color="auto"/>
        <w:right w:val="none" w:sz="0" w:space="0" w:color="auto"/>
      </w:divBdr>
    </w:div>
    <w:div w:id="1028146599">
      <w:bodyDiv w:val="1"/>
      <w:marLeft w:val="0"/>
      <w:marRight w:val="0"/>
      <w:marTop w:val="0"/>
      <w:marBottom w:val="0"/>
      <w:divBdr>
        <w:top w:val="none" w:sz="0" w:space="0" w:color="auto"/>
        <w:left w:val="none" w:sz="0" w:space="0" w:color="auto"/>
        <w:bottom w:val="none" w:sz="0" w:space="0" w:color="auto"/>
        <w:right w:val="none" w:sz="0" w:space="0" w:color="auto"/>
      </w:divBdr>
    </w:div>
    <w:div w:id="1100491024">
      <w:bodyDiv w:val="1"/>
      <w:marLeft w:val="0"/>
      <w:marRight w:val="0"/>
      <w:marTop w:val="0"/>
      <w:marBottom w:val="0"/>
      <w:divBdr>
        <w:top w:val="none" w:sz="0" w:space="0" w:color="auto"/>
        <w:left w:val="none" w:sz="0" w:space="0" w:color="auto"/>
        <w:bottom w:val="none" w:sz="0" w:space="0" w:color="auto"/>
        <w:right w:val="none" w:sz="0" w:space="0" w:color="auto"/>
      </w:divBdr>
    </w:div>
    <w:div w:id="1175799684">
      <w:bodyDiv w:val="1"/>
      <w:marLeft w:val="0"/>
      <w:marRight w:val="0"/>
      <w:marTop w:val="0"/>
      <w:marBottom w:val="0"/>
      <w:divBdr>
        <w:top w:val="none" w:sz="0" w:space="0" w:color="auto"/>
        <w:left w:val="none" w:sz="0" w:space="0" w:color="auto"/>
        <w:bottom w:val="none" w:sz="0" w:space="0" w:color="auto"/>
        <w:right w:val="none" w:sz="0" w:space="0" w:color="auto"/>
      </w:divBdr>
    </w:div>
    <w:div w:id="1281229507">
      <w:bodyDiv w:val="1"/>
      <w:marLeft w:val="0"/>
      <w:marRight w:val="0"/>
      <w:marTop w:val="0"/>
      <w:marBottom w:val="0"/>
      <w:divBdr>
        <w:top w:val="none" w:sz="0" w:space="0" w:color="auto"/>
        <w:left w:val="none" w:sz="0" w:space="0" w:color="auto"/>
        <w:bottom w:val="none" w:sz="0" w:space="0" w:color="auto"/>
        <w:right w:val="none" w:sz="0" w:space="0" w:color="auto"/>
      </w:divBdr>
    </w:div>
    <w:div w:id="1330014743">
      <w:bodyDiv w:val="1"/>
      <w:marLeft w:val="0"/>
      <w:marRight w:val="0"/>
      <w:marTop w:val="0"/>
      <w:marBottom w:val="0"/>
      <w:divBdr>
        <w:top w:val="none" w:sz="0" w:space="0" w:color="auto"/>
        <w:left w:val="none" w:sz="0" w:space="0" w:color="auto"/>
        <w:bottom w:val="none" w:sz="0" w:space="0" w:color="auto"/>
        <w:right w:val="none" w:sz="0" w:space="0" w:color="auto"/>
      </w:divBdr>
    </w:div>
    <w:div w:id="1424914271">
      <w:bodyDiv w:val="1"/>
      <w:marLeft w:val="0"/>
      <w:marRight w:val="0"/>
      <w:marTop w:val="0"/>
      <w:marBottom w:val="0"/>
      <w:divBdr>
        <w:top w:val="none" w:sz="0" w:space="0" w:color="auto"/>
        <w:left w:val="none" w:sz="0" w:space="0" w:color="auto"/>
        <w:bottom w:val="none" w:sz="0" w:space="0" w:color="auto"/>
        <w:right w:val="none" w:sz="0" w:space="0" w:color="auto"/>
      </w:divBdr>
    </w:div>
    <w:div w:id="1627665247">
      <w:bodyDiv w:val="1"/>
      <w:marLeft w:val="0"/>
      <w:marRight w:val="0"/>
      <w:marTop w:val="0"/>
      <w:marBottom w:val="0"/>
      <w:divBdr>
        <w:top w:val="none" w:sz="0" w:space="0" w:color="auto"/>
        <w:left w:val="none" w:sz="0" w:space="0" w:color="auto"/>
        <w:bottom w:val="none" w:sz="0" w:space="0" w:color="auto"/>
        <w:right w:val="none" w:sz="0" w:space="0" w:color="auto"/>
      </w:divBdr>
    </w:div>
    <w:div w:id="1979676925">
      <w:bodyDiv w:val="1"/>
      <w:marLeft w:val="0"/>
      <w:marRight w:val="0"/>
      <w:marTop w:val="0"/>
      <w:marBottom w:val="0"/>
      <w:divBdr>
        <w:top w:val="none" w:sz="0" w:space="0" w:color="auto"/>
        <w:left w:val="none" w:sz="0" w:space="0" w:color="auto"/>
        <w:bottom w:val="none" w:sz="0" w:space="0" w:color="auto"/>
        <w:right w:val="none" w:sz="0" w:space="0" w:color="auto"/>
      </w:divBdr>
    </w:div>
    <w:div w:id="212110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60</TotalTime>
  <Pages>9</Pages>
  <Words>2161</Words>
  <Characters>14867</Characters>
  <Application>Microsoft Office Word</Application>
  <DocSecurity>0</DocSecurity>
  <Lines>123</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2024021254, MT</dc:description>
  <cp:lastModifiedBy>Gitte Jørgensen</cp:lastModifiedBy>
  <cp:revision>10</cp:revision>
  <cp:lastPrinted>2012-08-22T08:53:00Z</cp:lastPrinted>
  <dcterms:created xsi:type="dcterms:W3CDTF">2025-09-04T06:57:00Z</dcterms:created>
  <dcterms:modified xsi:type="dcterms:W3CDTF">2025-09-04T12:07:00Z</dcterms:modified>
</cp:coreProperties>
</file>