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E1A73" w14:textId="77777777" w:rsidR="009260DE" w:rsidRPr="009D0155" w:rsidRDefault="0021526C" w:rsidP="009260DE">
      <w:pPr>
        <w:rPr>
          <w:sz w:val="24"/>
          <w:szCs w:val="24"/>
        </w:rPr>
      </w:pPr>
      <w:bookmarkStart w:id="0" w:name="_GoBack"/>
      <w:bookmarkEnd w:id="0"/>
      <w:r w:rsidRPr="009D0155">
        <w:rPr>
          <w:noProof/>
          <w:sz w:val="24"/>
          <w:szCs w:val="24"/>
          <w:lang w:eastAsia="da-DK"/>
        </w:rPr>
        <w:drawing>
          <wp:anchor distT="0" distB="0" distL="114300" distR="114300" simplePos="0" relativeHeight="251658240" behindDoc="0" locked="0" layoutInCell="1" allowOverlap="1" wp14:anchorId="6425A10F" wp14:editId="12A09E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D0155">
        <w:rPr>
          <w:sz w:val="24"/>
          <w:szCs w:val="24"/>
        </w:rPr>
        <w:br w:type="textWrapping" w:clear="all"/>
      </w:r>
    </w:p>
    <w:p w14:paraId="53585C9F" w14:textId="263CD047" w:rsidR="009260DE" w:rsidRPr="009D0155" w:rsidRDefault="009260DE" w:rsidP="009260DE">
      <w:pPr>
        <w:pStyle w:val="Titel"/>
        <w:tabs>
          <w:tab w:val="right" w:pos="9356"/>
        </w:tabs>
        <w:jc w:val="left"/>
        <w:rPr>
          <w:b w:val="0"/>
          <w:szCs w:val="24"/>
          <w:lang w:eastAsia="en-US"/>
        </w:rPr>
      </w:pPr>
      <w:r w:rsidRPr="009D0155">
        <w:rPr>
          <w:b w:val="0"/>
          <w:szCs w:val="24"/>
          <w:lang w:eastAsia="en-US"/>
        </w:rPr>
        <w:tab/>
      </w:r>
      <w:r w:rsidR="00044474">
        <w:rPr>
          <w:szCs w:val="24"/>
        </w:rPr>
        <w:t>2. oktober 2024</w:t>
      </w:r>
    </w:p>
    <w:p w14:paraId="7FE62762" w14:textId="77777777" w:rsidR="009260DE" w:rsidRPr="009D0155" w:rsidRDefault="009260DE" w:rsidP="009260DE">
      <w:pPr>
        <w:pStyle w:val="Titel"/>
        <w:tabs>
          <w:tab w:val="left" w:pos="8222"/>
        </w:tabs>
        <w:jc w:val="left"/>
        <w:rPr>
          <w:b w:val="0"/>
          <w:szCs w:val="24"/>
        </w:rPr>
      </w:pPr>
    </w:p>
    <w:p w14:paraId="3B81E2D2" w14:textId="77777777" w:rsidR="009260DE" w:rsidRPr="009D0155" w:rsidRDefault="009260DE" w:rsidP="009260DE">
      <w:pPr>
        <w:pStyle w:val="Titel"/>
        <w:jc w:val="left"/>
        <w:rPr>
          <w:b w:val="0"/>
          <w:szCs w:val="24"/>
        </w:rPr>
      </w:pPr>
    </w:p>
    <w:p w14:paraId="00E774D3" w14:textId="77777777" w:rsidR="009260DE" w:rsidRPr="009D0155" w:rsidRDefault="009260DE" w:rsidP="009260DE">
      <w:pPr>
        <w:pStyle w:val="Titel"/>
        <w:jc w:val="left"/>
        <w:rPr>
          <w:b w:val="0"/>
          <w:szCs w:val="24"/>
        </w:rPr>
      </w:pPr>
    </w:p>
    <w:p w14:paraId="4A7970A8" w14:textId="77777777" w:rsidR="009260DE" w:rsidRPr="009D0155" w:rsidRDefault="009260DE" w:rsidP="009260DE">
      <w:pPr>
        <w:jc w:val="center"/>
        <w:rPr>
          <w:b/>
          <w:sz w:val="24"/>
          <w:szCs w:val="24"/>
        </w:rPr>
      </w:pPr>
      <w:r w:rsidRPr="009D0155">
        <w:rPr>
          <w:b/>
          <w:sz w:val="24"/>
          <w:szCs w:val="24"/>
        </w:rPr>
        <w:t>PRODUKTRESUMÉ</w:t>
      </w:r>
    </w:p>
    <w:p w14:paraId="2FE3CB1A" w14:textId="77777777" w:rsidR="009260DE" w:rsidRPr="009D0155" w:rsidRDefault="009260DE" w:rsidP="009260DE">
      <w:pPr>
        <w:jc w:val="center"/>
        <w:rPr>
          <w:b/>
          <w:sz w:val="24"/>
          <w:szCs w:val="24"/>
        </w:rPr>
      </w:pPr>
    </w:p>
    <w:p w14:paraId="50F3833B" w14:textId="77777777" w:rsidR="009260DE" w:rsidRPr="009D0155" w:rsidRDefault="009260DE" w:rsidP="009260DE">
      <w:pPr>
        <w:jc w:val="center"/>
        <w:rPr>
          <w:b/>
          <w:sz w:val="24"/>
          <w:szCs w:val="24"/>
        </w:rPr>
      </w:pPr>
      <w:r w:rsidRPr="009D0155">
        <w:rPr>
          <w:b/>
          <w:sz w:val="24"/>
          <w:szCs w:val="24"/>
        </w:rPr>
        <w:t>for</w:t>
      </w:r>
    </w:p>
    <w:p w14:paraId="28FE3FA8" w14:textId="77777777" w:rsidR="000B058C" w:rsidRPr="009D0155" w:rsidRDefault="000B058C" w:rsidP="009260DE">
      <w:pPr>
        <w:jc w:val="center"/>
        <w:rPr>
          <w:b/>
          <w:sz w:val="24"/>
          <w:szCs w:val="24"/>
        </w:rPr>
      </w:pPr>
    </w:p>
    <w:p w14:paraId="3CDCE5F9" w14:textId="2ECF8032" w:rsidR="009260DE" w:rsidRPr="005D0E5A" w:rsidRDefault="00E55C96" w:rsidP="009260DE">
      <w:pPr>
        <w:jc w:val="center"/>
        <w:rPr>
          <w:b/>
          <w:sz w:val="24"/>
          <w:szCs w:val="24"/>
        </w:rPr>
      </w:pPr>
      <w:proofErr w:type="spellStart"/>
      <w:r w:rsidRPr="005D0E5A">
        <w:rPr>
          <w:b/>
          <w:sz w:val="24"/>
          <w:szCs w:val="24"/>
        </w:rPr>
        <w:t>Medirom</w:t>
      </w:r>
      <w:proofErr w:type="spellEnd"/>
      <w:r w:rsidRPr="005D0E5A">
        <w:rPr>
          <w:b/>
          <w:sz w:val="24"/>
          <w:szCs w:val="24"/>
        </w:rPr>
        <w:t xml:space="preserve">, </w:t>
      </w:r>
      <w:r w:rsidR="005D0E5A" w:rsidRPr="005D0E5A">
        <w:rPr>
          <w:b/>
          <w:color w:val="000000" w:themeColor="text1"/>
        </w:rPr>
        <w:t>næsespray, opløsning i enkeltdosisbeholder</w:t>
      </w:r>
    </w:p>
    <w:p w14:paraId="016F686A" w14:textId="77777777" w:rsidR="009260DE" w:rsidRPr="009D0155" w:rsidRDefault="009260DE" w:rsidP="009260DE">
      <w:pPr>
        <w:jc w:val="both"/>
        <w:rPr>
          <w:sz w:val="24"/>
          <w:szCs w:val="24"/>
        </w:rPr>
      </w:pPr>
    </w:p>
    <w:p w14:paraId="2A054DA7" w14:textId="77777777" w:rsidR="009260DE" w:rsidRPr="009D0155" w:rsidRDefault="009260DE" w:rsidP="009260DE">
      <w:pPr>
        <w:jc w:val="both"/>
        <w:rPr>
          <w:sz w:val="24"/>
          <w:szCs w:val="24"/>
        </w:rPr>
      </w:pPr>
    </w:p>
    <w:p w14:paraId="2880BA6A" w14:textId="77777777" w:rsidR="009260DE" w:rsidRPr="009D0155" w:rsidRDefault="009260DE" w:rsidP="009260DE">
      <w:pPr>
        <w:tabs>
          <w:tab w:val="left" w:pos="851"/>
        </w:tabs>
        <w:ind w:left="851" w:hanging="851"/>
        <w:rPr>
          <w:b/>
          <w:sz w:val="24"/>
          <w:szCs w:val="24"/>
        </w:rPr>
      </w:pPr>
      <w:r w:rsidRPr="009D0155">
        <w:rPr>
          <w:b/>
          <w:sz w:val="24"/>
          <w:szCs w:val="24"/>
        </w:rPr>
        <w:t>0.</w:t>
      </w:r>
      <w:r w:rsidRPr="009D0155">
        <w:rPr>
          <w:b/>
          <w:sz w:val="24"/>
          <w:szCs w:val="24"/>
        </w:rPr>
        <w:tab/>
        <w:t>D.SP.NR.</w:t>
      </w:r>
    </w:p>
    <w:p w14:paraId="6D7C4311" w14:textId="70AF8D9F" w:rsidR="009260DE" w:rsidRPr="009D0155" w:rsidRDefault="00E55C96" w:rsidP="009260DE">
      <w:pPr>
        <w:tabs>
          <w:tab w:val="left" w:pos="851"/>
        </w:tabs>
        <w:ind w:left="851"/>
        <w:rPr>
          <w:sz w:val="24"/>
          <w:szCs w:val="24"/>
        </w:rPr>
      </w:pPr>
      <w:r w:rsidRPr="009D0155">
        <w:rPr>
          <w:sz w:val="24"/>
          <w:szCs w:val="24"/>
        </w:rPr>
        <w:t>31952</w:t>
      </w:r>
    </w:p>
    <w:p w14:paraId="5325E177" w14:textId="77777777" w:rsidR="009260DE" w:rsidRPr="009D0155" w:rsidRDefault="009260DE" w:rsidP="009260DE">
      <w:pPr>
        <w:tabs>
          <w:tab w:val="left" w:pos="851"/>
        </w:tabs>
        <w:ind w:left="851"/>
        <w:rPr>
          <w:sz w:val="24"/>
          <w:szCs w:val="24"/>
        </w:rPr>
      </w:pPr>
    </w:p>
    <w:p w14:paraId="6F47853E" w14:textId="77777777" w:rsidR="009260DE" w:rsidRPr="009D0155" w:rsidRDefault="009260DE" w:rsidP="009260DE">
      <w:pPr>
        <w:tabs>
          <w:tab w:val="left" w:pos="851"/>
        </w:tabs>
        <w:ind w:left="851" w:hanging="851"/>
        <w:rPr>
          <w:b/>
          <w:sz w:val="24"/>
          <w:szCs w:val="24"/>
        </w:rPr>
      </w:pPr>
      <w:r w:rsidRPr="009D0155">
        <w:rPr>
          <w:b/>
          <w:sz w:val="24"/>
          <w:szCs w:val="24"/>
        </w:rPr>
        <w:t>1.</w:t>
      </w:r>
      <w:r w:rsidRPr="009D0155">
        <w:rPr>
          <w:b/>
          <w:sz w:val="24"/>
          <w:szCs w:val="24"/>
        </w:rPr>
        <w:tab/>
        <w:t>LÆGEMIDLETS NAVN</w:t>
      </w:r>
    </w:p>
    <w:p w14:paraId="25CF94C2" w14:textId="23F41978" w:rsidR="009260DE" w:rsidRPr="009D0155" w:rsidRDefault="00E55C96" w:rsidP="009260DE">
      <w:pPr>
        <w:tabs>
          <w:tab w:val="left" w:pos="851"/>
        </w:tabs>
        <w:ind w:left="851"/>
        <w:rPr>
          <w:sz w:val="24"/>
          <w:szCs w:val="24"/>
        </w:rPr>
      </w:pPr>
      <w:proofErr w:type="spellStart"/>
      <w:r w:rsidRPr="009D0155">
        <w:rPr>
          <w:sz w:val="24"/>
          <w:szCs w:val="24"/>
        </w:rPr>
        <w:t>Medirom</w:t>
      </w:r>
      <w:proofErr w:type="spellEnd"/>
    </w:p>
    <w:p w14:paraId="278AAC6C" w14:textId="77777777" w:rsidR="009260DE" w:rsidRPr="009D0155" w:rsidRDefault="009260DE" w:rsidP="009260DE">
      <w:pPr>
        <w:tabs>
          <w:tab w:val="left" w:pos="851"/>
        </w:tabs>
        <w:ind w:left="851"/>
        <w:rPr>
          <w:sz w:val="24"/>
          <w:szCs w:val="24"/>
        </w:rPr>
      </w:pPr>
    </w:p>
    <w:p w14:paraId="0E056BD3" w14:textId="77777777" w:rsidR="009260DE" w:rsidRPr="009D0155" w:rsidRDefault="009260DE" w:rsidP="009260DE">
      <w:pPr>
        <w:tabs>
          <w:tab w:val="left" w:pos="851"/>
        </w:tabs>
        <w:ind w:left="851" w:hanging="851"/>
        <w:rPr>
          <w:b/>
          <w:sz w:val="24"/>
          <w:szCs w:val="24"/>
        </w:rPr>
      </w:pPr>
      <w:r w:rsidRPr="009D0155">
        <w:rPr>
          <w:b/>
          <w:sz w:val="24"/>
          <w:szCs w:val="24"/>
        </w:rPr>
        <w:t>2.</w:t>
      </w:r>
      <w:r w:rsidRPr="009D0155">
        <w:rPr>
          <w:b/>
          <w:sz w:val="24"/>
          <w:szCs w:val="24"/>
        </w:rPr>
        <w:tab/>
        <w:t>KVALITATIV OG KVANTITATIV SAMMENSÆTNING</w:t>
      </w:r>
    </w:p>
    <w:p w14:paraId="5F04B9A5" w14:textId="77777777" w:rsidR="009D0155" w:rsidRDefault="009D0155" w:rsidP="00D83412">
      <w:pPr>
        <w:ind w:left="851"/>
        <w:rPr>
          <w:color w:val="000000" w:themeColor="text1"/>
          <w:sz w:val="24"/>
          <w:szCs w:val="24"/>
          <w:u w:val="single"/>
        </w:rPr>
      </w:pPr>
    </w:p>
    <w:p w14:paraId="23774045" w14:textId="239E4586" w:rsidR="00AA25EB" w:rsidRPr="009D0155" w:rsidRDefault="00BE7117" w:rsidP="00D83412">
      <w:pPr>
        <w:ind w:left="851"/>
        <w:rPr>
          <w:color w:val="000000" w:themeColor="text1"/>
          <w:sz w:val="24"/>
          <w:szCs w:val="24"/>
          <w:u w:val="single"/>
          <w:lang w:eastAsia="nl-NL"/>
        </w:rPr>
      </w:pPr>
      <w:proofErr w:type="spellStart"/>
      <w:r>
        <w:rPr>
          <w:color w:val="000000" w:themeColor="text1"/>
          <w:sz w:val="24"/>
          <w:szCs w:val="24"/>
          <w:u w:val="single"/>
        </w:rPr>
        <w:t>Medirom</w:t>
      </w:r>
      <w:proofErr w:type="spellEnd"/>
      <w:r w:rsidR="00AA25EB" w:rsidRPr="009D0155">
        <w:rPr>
          <w:color w:val="000000" w:themeColor="text1"/>
          <w:sz w:val="24"/>
          <w:szCs w:val="24"/>
          <w:u w:val="single"/>
        </w:rPr>
        <w:t xml:space="preserve"> 2,5 mg</w:t>
      </w:r>
    </w:p>
    <w:p w14:paraId="30E950FD" w14:textId="77777777" w:rsidR="00AA25EB" w:rsidRPr="009D0155" w:rsidRDefault="00AA25EB" w:rsidP="00D83412">
      <w:pPr>
        <w:ind w:left="851"/>
        <w:rPr>
          <w:color w:val="000000" w:themeColor="text1"/>
          <w:sz w:val="24"/>
          <w:szCs w:val="24"/>
        </w:rPr>
      </w:pPr>
      <w:bookmarkStart w:id="1" w:name="_Hlk13749471"/>
      <w:r w:rsidRPr="009D0155">
        <w:rPr>
          <w:color w:val="000000" w:themeColor="text1"/>
          <w:sz w:val="24"/>
          <w:szCs w:val="24"/>
        </w:rPr>
        <w:t xml:space="preserve">Hver ml opløsning indeholder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 xml:space="preserve"> svarende til 50 mg </w:t>
      </w:r>
      <w:proofErr w:type="spellStart"/>
      <w:r w:rsidRPr="009D0155">
        <w:rPr>
          <w:color w:val="000000" w:themeColor="text1"/>
          <w:sz w:val="24"/>
          <w:szCs w:val="24"/>
        </w:rPr>
        <w:t>midazolam</w:t>
      </w:r>
      <w:proofErr w:type="spellEnd"/>
      <w:r w:rsidRPr="009D0155">
        <w:rPr>
          <w:color w:val="000000" w:themeColor="text1"/>
          <w:sz w:val="24"/>
          <w:szCs w:val="24"/>
        </w:rPr>
        <w:t>.</w:t>
      </w:r>
    </w:p>
    <w:p w14:paraId="01D4BD0D" w14:textId="77777777" w:rsidR="00AA25EB" w:rsidRPr="009D0155" w:rsidRDefault="00AA25EB" w:rsidP="00D83412">
      <w:pPr>
        <w:ind w:left="851"/>
        <w:rPr>
          <w:color w:val="000000" w:themeColor="text1"/>
          <w:sz w:val="24"/>
          <w:szCs w:val="24"/>
        </w:rPr>
      </w:pPr>
      <w:r w:rsidRPr="009D0155">
        <w:rPr>
          <w:color w:val="000000" w:themeColor="text1"/>
          <w:sz w:val="24"/>
          <w:szCs w:val="24"/>
        </w:rPr>
        <w:t xml:space="preserve">Hver enkeltdosisbeholder indeholder en dosis (50 mikroliter) på 2,5 mg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w:t>
      </w:r>
    </w:p>
    <w:bookmarkEnd w:id="1"/>
    <w:p w14:paraId="5965459B" w14:textId="77777777" w:rsidR="00AA25EB" w:rsidRPr="009D0155" w:rsidRDefault="00AA25EB" w:rsidP="00D83412">
      <w:pPr>
        <w:ind w:left="851"/>
        <w:rPr>
          <w:color w:val="000000" w:themeColor="text1"/>
          <w:sz w:val="24"/>
          <w:szCs w:val="24"/>
        </w:rPr>
      </w:pPr>
    </w:p>
    <w:p w14:paraId="1D2C39C2" w14:textId="1FFD3867" w:rsidR="00AA25EB" w:rsidRPr="009D0155" w:rsidRDefault="00BE7117" w:rsidP="00D83412">
      <w:pPr>
        <w:ind w:left="851"/>
        <w:rPr>
          <w:color w:val="000000" w:themeColor="text1"/>
          <w:sz w:val="24"/>
          <w:szCs w:val="24"/>
          <w:u w:val="single"/>
        </w:rPr>
      </w:pPr>
      <w:proofErr w:type="spellStart"/>
      <w:r>
        <w:rPr>
          <w:color w:val="000000" w:themeColor="text1"/>
          <w:sz w:val="24"/>
          <w:szCs w:val="24"/>
          <w:u w:val="single"/>
        </w:rPr>
        <w:t>Medirom</w:t>
      </w:r>
      <w:proofErr w:type="spellEnd"/>
      <w:r w:rsidR="00AA25EB" w:rsidRPr="009D0155">
        <w:rPr>
          <w:color w:val="000000" w:themeColor="text1"/>
          <w:sz w:val="24"/>
          <w:szCs w:val="24"/>
          <w:u w:val="single"/>
        </w:rPr>
        <w:t xml:space="preserve"> 3,75 mg</w:t>
      </w:r>
    </w:p>
    <w:p w14:paraId="44B087EA" w14:textId="77777777" w:rsidR="00AA25EB" w:rsidRPr="009D0155" w:rsidRDefault="00AA25EB" w:rsidP="00D83412">
      <w:pPr>
        <w:ind w:left="851"/>
        <w:rPr>
          <w:color w:val="000000" w:themeColor="text1"/>
          <w:sz w:val="24"/>
          <w:szCs w:val="24"/>
        </w:rPr>
      </w:pPr>
      <w:r w:rsidRPr="009D0155">
        <w:rPr>
          <w:color w:val="000000" w:themeColor="text1"/>
          <w:sz w:val="24"/>
          <w:szCs w:val="24"/>
        </w:rPr>
        <w:t xml:space="preserve">Hver ml opløsning indeholder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 xml:space="preserve"> svarende til 50 mg </w:t>
      </w:r>
      <w:proofErr w:type="spellStart"/>
      <w:r w:rsidRPr="009D0155">
        <w:rPr>
          <w:color w:val="000000" w:themeColor="text1"/>
          <w:sz w:val="24"/>
          <w:szCs w:val="24"/>
        </w:rPr>
        <w:t>midazolam</w:t>
      </w:r>
      <w:proofErr w:type="spellEnd"/>
      <w:r w:rsidRPr="009D0155">
        <w:rPr>
          <w:color w:val="000000" w:themeColor="text1"/>
          <w:sz w:val="24"/>
          <w:szCs w:val="24"/>
        </w:rPr>
        <w:t>.</w:t>
      </w:r>
    </w:p>
    <w:p w14:paraId="435AFDF0" w14:textId="77777777" w:rsidR="00AA25EB" w:rsidRPr="009D0155" w:rsidRDefault="00AA25EB" w:rsidP="00D83412">
      <w:pPr>
        <w:ind w:left="851"/>
        <w:rPr>
          <w:color w:val="000000" w:themeColor="text1"/>
          <w:sz w:val="24"/>
          <w:szCs w:val="24"/>
        </w:rPr>
      </w:pPr>
      <w:r w:rsidRPr="009D0155">
        <w:rPr>
          <w:color w:val="000000" w:themeColor="text1"/>
          <w:sz w:val="24"/>
          <w:szCs w:val="24"/>
        </w:rPr>
        <w:t xml:space="preserve">Hver enkeltdosisbeholder indeholder en dosis (75 mikroliter) på 3,75 mg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w:t>
      </w:r>
    </w:p>
    <w:p w14:paraId="14CCC98A" w14:textId="77777777" w:rsidR="00AA25EB" w:rsidRPr="009D0155" w:rsidRDefault="00AA25EB" w:rsidP="00D83412">
      <w:pPr>
        <w:ind w:left="851"/>
        <w:rPr>
          <w:color w:val="000000" w:themeColor="text1"/>
          <w:sz w:val="24"/>
          <w:szCs w:val="24"/>
          <w:u w:val="single"/>
        </w:rPr>
      </w:pPr>
    </w:p>
    <w:p w14:paraId="0F5C7573" w14:textId="7BA4BD74" w:rsidR="00AA25EB" w:rsidRPr="009D0155" w:rsidRDefault="00BE7117" w:rsidP="00D83412">
      <w:pPr>
        <w:ind w:left="851"/>
        <w:rPr>
          <w:color w:val="000000" w:themeColor="text1"/>
          <w:sz w:val="24"/>
          <w:szCs w:val="24"/>
          <w:u w:val="single"/>
        </w:rPr>
      </w:pPr>
      <w:proofErr w:type="spellStart"/>
      <w:r>
        <w:rPr>
          <w:color w:val="000000" w:themeColor="text1"/>
          <w:sz w:val="24"/>
          <w:szCs w:val="24"/>
          <w:u w:val="single"/>
        </w:rPr>
        <w:t>Medirom</w:t>
      </w:r>
      <w:proofErr w:type="spellEnd"/>
      <w:r w:rsidR="00AA25EB" w:rsidRPr="009D0155">
        <w:rPr>
          <w:color w:val="000000" w:themeColor="text1"/>
          <w:sz w:val="24"/>
          <w:szCs w:val="24"/>
          <w:u w:val="single"/>
        </w:rPr>
        <w:t xml:space="preserve"> 5 mg</w:t>
      </w:r>
    </w:p>
    <w:p w14:paraId="691266BC" w14:textId="77777777" w:rsidR="00AA25EB" w:rsidRPr="009D0155" w:rsidRDefault="00AA25EB" w:rsidP="00D83412">
      <w:pPr>
        <w:ind w:left="851"/>
        <w:rPr>
          <w:color w:val="000000" w:themeColor="text1"/>
          <w:sz w:val="24"/>
          <w:szCs w:val="24"/>
        </w:rPr>
      </w:pPr>
      <w:r w:rsidRPr="009D0155">
        <w:rPr>
          <w:color w:val="000000" w:themeColor="text1"/>
          <w:sz w:val="24"/>
          <w:szCs w:val="24"/>
        </w:rPr>
        <w:t xml:space="preserve">Hver ml opløsning indeholder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 xml:space="preserve"> svarende til 50 mg </w:t>
      </w:r>
      <w:proofErr w:type="spellStart"/>
      <w:r w:rsidRPr="009D0155">
        <w:rPr>
          <w:color w:val="000000" w:themeColor="text1"/>
          <w:sz w:val="24"/>
          <w:szCs w:val="24"/>
        </w:rPr>
        <w:t>midazolam</w:t>
      </w:r>
      <w:proofErr w:type="spellEnd"/>
      <w:r w:rsidRPr="009D0155">
        <w:rPr>
          <w:color w:val="000000" w:themeColor="text1"/>
          <w:sz w:val="24"/>
          <w:szCs w:val="24"/>
        </w:rPr>
        <w:t>.</w:t>
      </w:r>
    </w:p>
    <w:p w14:paraId="01FC2FB7" w14:textId="77777777" w:rsidR="00AA25EB" w:rsidRPr="009D0155" w:rsidRDefault="00AA25EB" w:rsidP="00D83412">
      <w:pPr>
        <w:ind w:left="851"/>
        <w:rPr>
          <w:color w:val="000000" w:themeColor="text1"/>
          <w:sz w:val="24"/>
          <w:szCs w:val="24"/>
        </w:rPr>
      </w:pPr>
      <w:r w:rsidRPr="009D0155">
        <w:rPr>
          <w:color w:val="000000" w:themeColor="text1"/>
          <w:sz w:val="24"/>
          <w:szCs w:val="24"/>
        </w:rPr>
        <w:t xml:space="preserve">Hver enkeltdosisbeholder indeholder en dosis (100 mikroliter) på 5 mg </w:t>
      </w:r>
      <w:proofErr w:type="spellStart"/>
      <w:r w:rsidRPr="009D0155">
        <w:rPr>
          <w:color w:val="000000" w:themeColor="text1"/>
          <w:sz w:val="24"/>
          <w:szCs w:val="24"/>
        </w:rPr>
        <w:t>midazolam</w:t>
      </w:r>
      <w:proofErr w:type="spellEnd"/>
      <w:r w:rsidRPr="009D0155">
        <w:rPr>
          <w:color w:val="000000" w:themeColor="text1"/>
          <w:sz w:val="24"/>
          <w:szCs w:val="24"/>
        </w:rPr>
        <w:t xml:space="preserve"> (som </w:t>
      </w:r>
      <w:proofErr w:type="spellStart"/>
      <w:r w:rsidRPr="009D0155">
        <w:rPr>
          <w:color w:val="000000" w:themeColor="text1"/>
          <w:sz w:val="24"/>
          <w:szCs w:val="24"/>
        </w:rPr>
        <w:t>hydrochlorid</w:t>
      </w:r>
      <w:proofErr w:type="spellEnd"/>
      <w:r w:rsidRPr="009D0155">
        <w:rPr>
          <w:color w:val="000000" w:themeColor="text1"/>
          <w:sz w:val="24"/>
          <w:szCs w:val="24"/>
        </w:rPr>
        <w:t>).</w:t>
      </w:r>
    </w:p>
    <w:p w14:paraId="42BF24CC" w14:textId="77777777" w:rsidR="00AA25EB" w:rsidRPr="009D0155" w:rsidRDefault="00AA25EB" w:rsidP="00D83412">
      <w:pPr>
        <w:widowControl w:val="0"/>
        <w:autoSpaceDE w:val="0"/>
        <w:autoSpaceDN w:val="0"/>
        <w:adjustRightInd w:val="0"/>
        <w:ind w:left="851"/>
        <w:rPr>
          <w:color w:val="000000" w:themeColor="text1"/>
          <w:sz w:val="24"/>
          <w:szCs w:val="24"/>
        </w:rPr>
      </w:pPr>
    </w:p>
    <w:p w14:paraId="39F36B1F" w14:textId="77777777" w:rsidR="00AA25EB" w:rsidRPr="009D0155" w:rsidRDefault="00AA25EB" w:rsidP="00D83412">
      <w:pPr>
        <w:widowControl w:val="0"/>
        <w:autoSpaceDE w:val="0"/>
        <w:autoSpaceDN w:val="0"/>
        <w:adjustRightInd w:val="0"/>
        <w:ind w:left="851"/>
        <w:rPr>
          <w:color w:val="000000" w:themeColor="text1"/>
          <w:sz w:val="24"/>
          <w:szCs w:val="24"/>
        </w:rPr>
      </w:pPr>
      <w:r w:rsidRPr="009D0155">
        <w:rPr>
          <w:color w:val="000000" w:themeColor="text1"/>
          <w:sz w:val="24"/>
          <w:szCs w:val="24"/>
        </w:rPr>
        <w:t>Alle hjælpestoffer er anført under pkt. 6.1.</w:t>
      </w:r>
    </w:p>
    <w:p w14:paraId="68E4AAA3" w14:textId="77777777" w:rsidR="009260DE" w:rsidRPr="009D0155" w:rsidRDefault="009260DE" w:rsidP="009260DE">
      <w:pPr>
        <w:tabs>
          <w:tab w:val="left" w:pos="851"/>
        </w:tabs>
        <w:ind w:left="851"/>
        <w:rPr>
          <w:sz w:val="24"/>
          <w:szCs w:val="24"/>
        </w:rPr>
      </w:pPr>
    </w:p>
    <w:p w14:paraId="277318A4" w14:textId="77777777" w:rsidR="009260DE" w:rsidRPr="009D0155" w:rsidRDefault="009260DE" w:rsidP="009260DE">
      <w:pPr>
        <w:tabs>
          <w:tab w:val="left" w:pos="851"/>
        </w:tabs>
        <w:ind w:left="851" w:hanging="851"/>
        <w:rPr>
          <w:b/>
          <w:sz w:val="24"/>
          <w:szCs w:val="24"/>
        </w:rPr>
      </w:pPr>
      <w:r w:rsidRPr="009D0155">
        <w:rPr>
          <w:b/>
          <w:sz w:val="24"/>
          <w:szCs w:val="24"/>
        </w:rPr>
        <w:t>3.</w:t>
      </w:r>
      <w:r w:rsidRPr="009D0155">
        <w:rPr>
          <w:b/>
          <w:sz w:val="24"/>
          <w:szCs w:val="24"/>
        </w:rPr>
        <w:tab/>
        <w:t>LÆGEMIDDELFORM</w:t>
      </w:r>
    </w:p>
    <w:p w14:paraId="4E5866A3" w14:textId="77777777" w:rsidR="00AA25EB" w:rsidRPr="009D0155" w:rsidRDefault="00AA25EB" w:rsidP="00D83412">
      <w:pPr>
        <w:ind w:left="851"/>
        <w:rPr>
          <w:sz w:val="24"/>
          <w:szCs w:val="24"/>
          <w:lang w:eastAsia="nl-NL"/>
        </w:rPr>
      </w:pPr>
      <w:r w:rsidRPr="009D0155">
        <w:rPr>
          <w:sz w:val="24"/>
          <w:szCs w:val="24"/>
        </w:rPr>
        <w:t>Næsespray, opløsning i enkeltdosisbeholder</w:t>
      </w:r>
    </w:p>
    <w:p w14:paraId="3066695C" w14:textId="77777777" w:rsidR="00AA25EB" w:rsidRPr="009D0155" w:rsidRDefault="00AA25EB" w:rsidP="00D83412">
      <w:pPr>
        <w:ind w:left="851"/>
        <w:rPr>
          <w:sz w:val="24"/>
          <w:szCs w:val="24"/>
        </w:rPr>
      </w:pPr>
      <w:r w:rsidRPr="009D0155">
        <w:rPr>
          <w:sz w:val="24"/>
          <w:szCs w:val="24"/>
        </w:rPr>
        <w:t>Klar til let gul opløsning.</w:t>
      </w:r>
    </w:p>
    <w:p w14:paraId="63E4C8B5" w14:textId="77777777" w:rsidR="00AA25EB" w:rsidRPr="009D0155" w:rsidRDefault="00AA25EB" w:rsidP="00D83412">
      <w:pPr>
        <w:ind w:left="851"/>
        <w:rPr>
          <w:sz w:val="24"/>
          <w:szCs w:val="24"/>
        </w:rPr>
      </w:pPr>
      <w:r w:rsidRPr="009D0155">
        <w:rPr>
          <w:sz w:val="24"/>
          <w:szCs w:val="24"/>
        </w:rPr>
        <w:t>pH 3,3-3,8</w:t>
      </w:r>
    </w:p>
    <w:p w14:paraId="5AF4C33C" w14:textId="77777777" w:rsidR="00AA25EB" w:rsidRPr="009D0155" w:rsidRDefault="00AA25EB" w:rsidP="00D83412">
      <w:pPr>
        <w:ind w:left="851"/>
        <w:rPr>
          <w:sz w:val="24"/>
          <w:szCs w:val="24"/>
        </w:rPr>
      </w:pPr>
      <w:proofErr w:type="spellStart"/>
      <w:r w:rsidRPr="009D0155">
        <w:rPr>
          <w:sz w:val="24"/>
          <w:szCs w:val="24"/>
        </w:rPr>
        <w:t>Osmolaritet</w:t>
      </w:r>
      <w:proofErr w:type="spellEnd"/>
      <w:r w:rsidRPr="009D0155">
        <w:rPr>
          <w:sz w:val="24"/>
          <w:szCs w:val="24"/>
        </w:rPr>
        <w:t xml:space="preserve"> 2400-2800 mmol/kg</w:t>
      </w:r>
    </w:p>
    <w:p w14:paraId="2F1FCC52" w14:textId="563A7689" w:rsidR="009260DE" w:rsidRDefault="009260DE" w:rsidP="009260DE">
      <w:pPr>
        <w:tabs>
          <w:tab w:val="left" w:pos="851"/>
        </w:tabs>
        <w:ind w:left="851"/>
        <w:rPr>
          <w:sz w:val="24"/>
          <w:szCs w:val="24"/>
        </w:rPr>
      </w:pPr>
    </w:p>
    <w:p w14:paraId="1BE23DF6" w14:textId="77777777" w:rsidR="005D0E5A" w:rsidRPr="009D0155" w:rsidRDefault="005D0E5A" w:rsidP="009260DE">
      <w:pPr>
        <w:tabs>
          <w:tab w:val="left" w:pos="851"/>
        </w:tabs>
        <w:ind w:left="851"/>
        <w:rPr>
          <w:sz w:val="24"/>
          <w:szCs w:val="24"/>
        </w:rPr>
      </w:pPr>
    </w:p>
    <w:p w14:paraId="71EE40E6" w14:textId="77777777" w:rsidR="009260DE" w:rsidRPr="009D0155" w:rsidRDefault="009260DE" w:rsidP="009260DE">
      <w:pPr>
        <w:tabs>
          <w:tab w:val="left" w:pos="851"/>
        </w:tabs>
        <w:ind w:left="851" w:hanging="851"/>
        <w:rPr>
          <w:b/>
          <w:sz w:val="24"/>
          <w:szCs w:val="24"/>
        </w:rPr>
      </w:pPr>
      <w:r w:rsidRPr="009D0155">
        <w:rPr>
          <w:b/>
          <w:sz w:val="24"/>
          <w:szCs w:val="24"/>
        </w:rPr>
        <w:lastRenderedPageBreak/>
        <w:t>4.</w:t>
      </w:r>
      <w:r w:rsidRPr="009D0155">
        <w:rPr>
          <w:b/>
          <w:sz w:val="24"/>
          <w:szCs w:val="24"/>
        </w:rPr>
        <w:tab/>
        <w:t>KLINISKE OPLYSNINGER</w:t>
      </w:r>
    </w:p>
    <w:p w14:paraId="5C3CB2F6" w14:textId="77777777" w:rsidR="009260DE" w:rsidRPr="009D0155" w:rsidRDefault="009260DE" w:rsidP="009260DE">
      <w:pPr>
        <w:tabs>
          <w:tab w:val="left" w:pos="851"/>
        </w:tabs>
        <w:ind w:left="851"/>
        <w:rPr>
          <w:b/>
          <w:sz w:val="24"/>
          <w:szCs w:val="24"/>
        </w:rPr>
      </w:pPr>
    </w:p>
    <w:p w14:paraId="1FAA6781" w14:textId="77777777" w:rsidR="009260DE" w:rsidRPr="009D0155" w:rsidRDefault="009260DE" w:rsidP="009260DE">
      <w:pPr>
        <w:tabs>
          <w:tab w:val="left" w:pos="851"/>
        </w:tabs>
        <w:ind w:left="851" w:hanging="851"/>
        <w:rPr>
          <w:b/>
          <w:sz w:val="24"/>
          <w:szCs w:val="24"/>
          <w:u w:val="single"/>
        </w:rPr>
      </w:pPr>
      <w:r w:rsidRPr="009D0155">
        <w:rPr>
          <w:b/>
          <w:sz w:val="24"/>
          <w:szCs w:val="24"/>
        </w:rPr>
        <w:t>4.1</w:t>
      </w:r>
      <w:r w:rsidRPr="009D0155">
        <w:rPr>
          <w:b/>
          <w:sz w:val="24"/>
          <w:szCs w:val="24"/>
        </w:rPr>
        <w:tab/>
        <w:t>Terapeutiske indikationer</w:t>
      </w:r>
    </w:p>
    <w:p w14:paraId="00114E97" w14:textId="2BF33EED" w:rsidR="00FC32EC" w:rsidRPr="009D0155" w:rsidRDefault="00BE7117" w:rsidP="00D83412">
      <w:pPr>
        <w:ind w:left="851"/>
        <w:rPr>
          <w:sz w:val="24"/>
          <w:szCs w:val="24"/>
          <w:lang w:eastAsia="nl-NL"/>
        </w:rPr>
      </w:pPr>
      <w:proofErr w:type="spellStart"/>
      <w:r>
        <w:rPr>
          <w:sz w:val="24"/>
          <w:szCs w:val="24"/>
        </w:rPr>
        <w:t>Medirom</w:t>
      </w:r>
      <w:proofErr w:type="spellEnd"/>
      <w:r w:rsidR="00FC32EC" w:rsidRPr="009D0155">
        <w:rPr>
          <w:sz w:val="24"/>
          <w:szCs w:val="24"/>
        </w:rPr>
        <w:t xml:space="preserve"> er et korttidsvirkende, søvnfremkaldende krampehæmmende lægemiddel, som er indiceret til:</w:t>
      </w:r>
    </w:p>
    <w:p w14:paraId="3300A90F"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Vågen sedering før og under diagnosticering eller behandlingsprocedurer med eller uden lokalbedøvelse. </w:t>
      </w:r>
    </w:p>
    <w:p w14:paraId="3B6272C0"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Præmedicinering før induktion af anæstesi</w:t>
      </w:r>
    </w:p>
    <w:p w14:paraId="4AD9101C" w14:textId="7EC5E8B9" w:rsidR="00FC32EC" w:rsidRPr="005D0E5A" w:rsidRDefault="00BE7117" w:rsidP="005D0E5A">
      <w:pPr>
        <w:pStyle w:val="Listeafsnit"/>
        <w:ind w:left="1276"/>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må kun bruges af sundhedspersonale til vågen sedering eller præmedicinering</w:t>
      </w:r>
      <w:r w:rsidR="005D0E5A">
        <w:rPr>
          <w:rFonts w:ascii="Times New Roman" w:hAnsi="Times New Roman" w:cs="Times New Roman"/>
        </w:rPr>
        <w:t>.</w:t>
      </w:r>
    </w:p>
    <w:p w14:paraId="6AE88BEB"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Behandling af længerevarende, akutte, krampeanfald.</w:t>
      </w:r>
    </w:p>
    <w:p w14:paraId="764CA530" w14:textId="41A72F4A" w:rsidR="00FC32EC" w:rsidRPr="005D0E5A" w:rsidRDefault="00BE7117" w:rsidP="005D0E5A">
      <w:pPr>
        <w:pStyle w:val="Listeafsnit"/>
        <w:ind w:left="1276"/>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må kun bruges af forældre/omsorgspersoner, hvis patienten er diagnosticeret med epilepsi. </w:t>
      </w:r>
    </w:p>
    <w:p w14:paraId="756A1526" w14:textId="77777777" w:rsidR="00FC32EC" w:rsidRPr="009D0155" w:rsidRDefault="00FC32EC" w:rsidP="00D83412">
      <w:pPr>
        <w:ind w:left="851"/>
        <w:rPr>
          <w:bCs/>
          <w:sz w:val="24"/>
          <w:szCs w:val="24"/>
        </w:rPr>
      </w:pPr>
    </w:p>
    <w:p w14:paraId="01BA569C" w14:textId="0A6C0DA7" w:rsidR="00FC32EC" w:rsidRPr="009D0155" w:rsidRDefault="00BE7117" w:rsidP="00D83412">
      <w:pPr>
        <w:ind w:left="851"/>
        <w:rPr>
          <w:bCs/>
          <w:sz w:val="24"/>
          <w:szCs w:val="24"/>
        </w:rPr>
      </w:pPr>
      <w:proofErr w:type="spellStart"/>
      <w:r>
        <w:rPr>
          <w:sz w:val="24"/>
          <w:szCs w:val="24"/>
        </w:rPr>
        <w:t>Medirom</w:t>
      </w:r>
      <w:proofErr w:type="spellEnd"/>
      <w:r w:rsidR="00FC32EC" w:rsidRPr="009D0155">
        <w:rPr>
          <w:sz w:val="24"/>
          <w:szCs w:val="24"/>
        </w:rPr>
        <w:t xml:space="preserve"> er indiceret til voksne og børn </w:t>
      </w:r>
      <w:r w:rsidR="00FC32EC" w:rsidRPr="009D0155">
        <w:rPr>
          <w:sz w:val="24"/>
          <w:szCs w:val="24"/>
          <w:u w:val="single"/>
        </w:rPr>
        <w:t>&gt;</w:t>
      </w:r>
      <w:r w:rsidR="00FC32EC" w:rsidRPr="009D0155">
        <w:rPr>
          <w:sz w:val="24"/>
          <w:szCs w:val="24"/>
        </w:rPr>
        <w:t> 12 kg og 2 år og ældre.</w:t>
      </w:r>
    </w:p>
    <w:p w14:paraId="3B04BF4E" w14:textId="77777777" w:rsidR="009260DE" w:rsidRPr="009D0155" w:rsidRDefault="009260DE" w:rsidP="009260DE">
      <w:pPr>
        <w:tabs>
          <w:tab w:val="left" w:pos="851"/>
        </w:tabs>
        <w:ind w:left="851"/>
        <w:rPr>
          <w:sz w:val="24"/>
          <w:szCs w:val="24"/>
        </w:rPr>
      </w:pPr>
    </w:p>
    <w:p w14:paraId="402BDAAB" w14:textId="77777777" w:rsidR="009260DE" w:rsidRPr="009D0155" w:rsidRDefault="009260DE" w:rsidP="009260DE">
      <w:pPr>
        <w:tabs>
          <w:tab w:val="left" w:pos="851"/>
        </w:tabs>
        <w:ind w:left="851" w:hanging="851"/>
        <w:rPr>
          <w:b/>
          <w:sz w:val="24"/>
          <w:szCs w:val="24"/>
        </w:rPr>
      </w:pPr>
      <w:r w:rsidRPr="009D0155">
        <w:rPr>
          <w:b/>
          <w:sz w:val="24"/>
          <w:szCs w:val="24"/>
        </w:rPr>
        <w:t>4.2</w:t>
      </w:r>
      <w:r w:rsidRPr="009D0155">
        <w:rPr>
          <w:b/>
          <w:sz w:val="24"/>
          <w:szCs w:val="24"/>
        </w:rPr>
        <w:tab/>
        <w:t xml:space="preserve">Dosering og </w:t>
      </w:r>
      <w:r w:rsidR="002C1EC0" w:rsidRPr="009D0155">
        <w:rPr>
          <w:b/>
          <w:sz w:val="24"/>
          <w:szCs w:val="24"/>
        </w:rPr>
        <w:t>administration</w:t>
      </w:r>
    </w:p>
    <w:p w14:paraId="24B1FBC8" w14:textId="77777777" w:rsidR="005D0E5A" w:rsidRDefault="005D0E5A" w:rsidP="00D83412">
      <w:pPr>
        <w:ind w:left="851"/>
        <w:rPr>
          <w:sz w:val="24"/>
          <w:szCs w:val="24"/>
        </w:rPr>
      </w:pPr>
    </w:p>
    <w:p w14:paraId="315E7512" w14:textId="7DFE6D3F" w:rsidR="00FC32EC" w:rsidRPr="005D0E5A" w:rsidRDefault="00FC32EC" w:rsidP="00D83412">
      <w:pPr>
        <w:ind w:left="851"/>
        <w:rPr>
          <w:sz w:val="24"/>
          <w:szCs w:val="24"/>
          <w:u w:val="single"/>
          <w:lang w:eastAsia="nl-NL"/>
        </w:rPr>
      </w:pPr>
      <w:r w:rsidRPr="005D0E5A">
        <w:rPr>
          <w:sz w:val="24"/>
          <w:szCs w:val="24"/>
          <w:u w:val="single"/>
        </w:rPr>
        <w:t>Dosering</w:t>
      </w:r>
    </w:p>
    <w:p w14:paraId="0FBDF807" w14:textId="77777777" w:rsidR="00FC32EC" w:rsidRPr="009D0155" w:rsidRDefault="00FC32EC" w:rsidP="00D83412">
      <w:pPr>
        <w:ind w:left="851"/>
        <w:rPr>
          <w:sz w:val="24"/>
          <w:szCs w:val="24"/>
        </w:rPr>
      </w:pPr>
      <w:r w:rsidRPr="009D0155">
        <w:rPr>
          <w:sz w:val="24"/>
          <w:szCs w:val="24"/>
        </w:rPr>
        <w:t xml:space="preserve">Standarddoseringer er angivet i tabel 1 nedenfor. Yderligere oplysninger er angivet i teksten efter tabellen. </w:t>
      </w:r>
    </w:p>
    <w:p w14:paraId="05E0D8C6" w14:textId="77777777" w:rsidR="00FC32EC" w:rsidRPr="009D0155" w:rsidRDefault="00FC32EC" w:rsidP="00D83412">
      <w:pPr>
        <w:ind w:left="851"/>
        <w:rPr>
          <w:sz w:val="24"/>
          <w:szCs w:val="24"/>
        </w:rPr>
      </w:pPr>
    </w:p>
    <w:p w14:paraId="1DE8C833" w14:textId="77777777" w:rsidR="00FC32EC" w:rsidRPr="009D0155" w:rsidRDefault="00FC32EC" w:rsidP="00FC32EC">
      <w:pPr>
        <w:widowControl w:val="0"/>
        <w:autoSpaceDE w:val="0"/>
        <w:autoSpaceDN w:val="0"/>
        <w:adjustRightInd w:val="0"/>
        <w:rPr>
          <w:color w:val="000000" w:themeColor="text1"/>
          <w:sz w:val="24"/>
          <w:szCs w:val="24"/>
        </w:rPr>
      </w:pPr>
      <w:r w:rsidRPr="009D0155">
        <w:rPr>
          <w:color w:val="000000" w:themeColor="text1"/>
          <w:sz w:val="24"/>
          <w:szCs w:val="24"/>
        </w:rPr>
        <w:t>Tabel 1</w:t>
      </w:r>
    </w:p>
    <w:tbl>
      <w:tblPr>
        <w:tblStyle w:val="Tabel-Gitter"/>
        <w:tblW w:w="5000" w:type="pct"/>
        <w:tblInd w:w="0" w:type="dxa"/>
        <w:tblLook w:val="04A0" w:firstRow="1" w:lastRow="0" w:firstColumn="1" w:lastColumn="0" w:noHBand="0" w:noVBand="1"/>
      </w:tblPr>
      <w:tblGrid>
        <w:gridCol w:w="5550"/>
        <w:gridCol w:w="2043"/>
        <w:gridCol w:w="2035"/>
      </w:tblGrid>
      <w:tr w:rsidR="00FC32EC" w:rsidRPr="009D0155" w14:paraId="7628320B" w14:textId="77777777" w:rsidTr="00D83412">
        <w:tc>
          <w:tcPr>
            <w:tcW w:w="2882" w:type="pct"/>
            <w:tcBorders>
              <w:top w:val="single" w:sz="4" w:space="0" w:color="auto"/>
              <w:left w:val="single" w:sz="4" w:space="0" w:color="auto"/>
              <w:bottom w:val="single" w:sz="4" w:space="0" w:color="auto"/>
              <w:right w:val="single" w:sz="4" w:space="0" w:color="auto"/>
            </w:tcBorders>
            <w:hideMark/>
          </w:tcPr>
          <w:p w14:paraId="0654FCB6" w14:textId="77777777" w:rsidR="00FC32EC" w:rsidRPr="009D0155" w:rsidRDefault="00FC32EC">
            <w:pPr>
              <w:jc w:val="center"/>
              <w:rPr>
                <w:rFonts w:ascii="Times New Roman" w:hAnsi="Times New Roman" w:cs="Times New Roman"/>
                <w:b/>
                <w:color w:val="000000" w:themeColor="text1"/>
                <w:sz w:val="24"/>
              </w:rPr>
            </w:pPr>
            <w:r w:rsidRPr="009D0155">
              <w:rPr>
                <w:rFonts w:ascii="Times New Roman" w:hAnsi="Times New Roman" w:cs="Times New Roman"/>
                <w:b/>
                <w:bCs/>
                <w:color w:val="000000" w:themeColor="text1"/>
                <w:sz w:val="24"/>
                <w:lang w:val="da-DK"/>
              </w:rPr>
              <w:t>Alder/legemsvægtinterval</w:t>
            </w:r>
          </w:p>
        </w:tc>
        <w:tc>
          <w:tcPr>
            <w:tcW w:w="1061" w:type="pct"/>
            <w:tcBorders>
              <w:top w:val="single" w:sz="4" w:space="0" w:color="auto"/>
              <w:left w:val="single" w:sz="4" w:space="0" w:color="auto"/>
              <w:bottom w:val="single" w:sz="4" w:space="0" w:color="auto"/>
              <w:right w:val="single" w:sz="4" w:space="0" w:color="auto"/>
            </w:tcBorders>
            <w:hideMark/>
          </w:tcPr>
          <w:p w14:paraId="056F7DBB" w14:textId="77777777" w:rsidR="00FC32EC" w:rsidRPr="009D0155" w:rsidRDefault="00FC32EC">
            <w:pPr>
              <w:jc w:val="center"/>
              <w:rPr>
                <w:rFonts w:ascii="Times New Roman" w:hAnsi="Times New Roman" w:cs="Times New Roman"/>
                <w:b/>
                <w:color w:val="000000" w:themeColor="text1"/>
                <w:sz w:val="24"/>
              </w:rPr>
            </w:pPr>
            <w:r w:rsidRPr="009D0155">
              <w:rPr>
                <w:rFonts w:ascii="Times New Roman" w:hAnsi="Times New Roman" w:cs="Times New Roman"/>
                <w:b/>
                <w:bCs/>
                <w:color w:val="000000" w:themeColor="text1"/>
                <w:sz w:val="24"/>
                <w:lang w:val="da-DK"/>
              </w:rPr>
              <w:t>Første dosis</w:t>
            </w:r>
          </w:p>
        </w:tc>
        <w:tc>
          <w:tcPr>
            <w:tcW w:w="1057" w:type="pct"/>
            <w:tcBorders>
              <w:top w:val="single" w:sz="4" w:space="0" w:color="auto"/>
              <w:left w:val="single" w:sz="4" w:space="0" w:color="auto"/>
              <w:bottom w:val="single" w:sz="4" w:space="0" w:color="auto"/>
              <w:right w:val="single" w:sz="4" w:space="0" w:color="auto"/>
            </w:tcBorders>
            <w:hideMark/>
          </w:tcPr>
          <w:p w14:paraId="21371779" w14:textId="77777777" w:rsidR="00FC32EC" w:rsidRPr="009D0155" w:rsidRDefault="00FC32EC">
            <w:pPr>
              <w:jc w:val="center"/>
              <w:rPr>
                <w:rFonts w:ascii="Times New Roman" w:hAnsi="Times New Roman" w:cs="Times New Roman"/>
                <w:b/>
                <w:color w:val="000000" w:themeColor="text1"/>
                <w:sz w:val="24"/>
              </w:rPr>
            </w:pPr>
            <w:r w:rsidRPr="009D0155">
              <w:rPr>
                <w:rFonts w:ascii="Times New Roman" w:hAnsi="Times New Roman" w:cs="Times New Roman"/>
                <w:b/>
                <w:bCs/>
                <w:color w:val="000000" w:themeColor="text1"/>
                <w:sz w:val="24"/>
                <w:lang w:val="da-DK"/>
              </w:rPr>
              <w:t>Anden dosis</w:t>
            </w:r>
          </w:p>
          <w:p w14:paraId="598C3AB2"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 xml:space="preserve">Mindst 10 minutter efter </w:t>
            </w:r>
          </w:p>
          <w:p w14:paraId="73B4B247" w14:textId="77777777" w:rsidR="00FC32EC" w:rsidRPr="009D0155" w:rsidRDefault="00FC32EC">
            <w:pPr>
              <w:jc w:val="center"/>
              <w:rPr>
                <w:rFonts w:ascii="Times New Roman" w:hAnsi="Times New Roman" w:cs="Times New Roman"/>
                <w:b/>
                <w:color w:val="000000" w:themeColor="text1"/>
                <w:sz w:val="24"/>
              </w:rPr>
            </w:pPr>
            <w:r w:rsidRPr="009D0155">
              <w:rPr>
                <w:rFonts w:ascii="Times New Roman" w:hAnsi="Times New Roman" w:cs="Times New Roman"/>
                <w:color w:val="000000" w:themeColor="text1"/>
                <w:sz w:val="24"/>
                <w:lang w:val="da-DK"/>
              </w:rPr>
              <w:t>første dosis</w:t>
            </w:r>
          </w:p>
        </w:tc>
      </w:tr>
      <w:tr w:rsidR="00FC32EC" w:rsidRPr="009D0155" w14:paraId="6D71D1AC" w14:textId="77777777" w:rsidTr="00D83412">
        <w:tc>
          <w:tcPr>
            <w:tcW w:w="5000" w:type="pct"/>
            <w:gridSpan w:val="3"/>
            <w:tcBorders>
              <w:top w:val="single" w:sz="4" w:space="0" w:color="auto"/>
              <w:left w:val="single" w:sz="4" w:space="0" w:color="auto"/>
              <w:bottom w:val="single" w:sz="4" w:space="0" w:color="auto"/>
              <w:right w:val="single" w:sz="4" w:space="0" w:color="auto"/>
            </w:tcBorders>
          </w:tcPr>
          <w:p w14:paraId="7F14D1B2" w14:textId="77777777" w:rsidR="00FC32EC" w:rsidRPr="009D0155" w:rsidRDefault="00FC32EC">
            <w:pPr>
              <w:rPr>
                <w:rFonts w:ascii="Times New Roman" w:hAnsi="Times New Roman" w:cs="Times New Roman"/>
                <w:color w:val="000000" w:themeColor="text1"/>
                <w:sz w:val="24"/>
              </w:rPr>
            </w:pPr>
          </w:p>
          <w:p w14:paraId="5CBD83B0" w14:textId="77777777" w:rsidR="00FC32EC" w:rsidRPr="009D0155" w:rsidRDefault="00FC32EC">
            <w:pPr>
              <w:rPr>
                <w:rFonts w:ascii="Times New Roman" w:hAnsi="Times New Roman" w:cs="Times New Roman"/>
                <w:b/>
                <w:color w:val="000000" w:themeColor="text1"/>
                <w:sz w:val="24"/>
              </w:rPr>
            </w:pPr>
            <w:r w:rsidRPr="009D0155">
              <w:rPr>
                <w:rFonts w:ascii="Times New Roman" w:hAnsi="Times New Roman" w:cs="Times New Roman"/>
                <w:b/>
                <w:bCs/>
                <w:color w:val="000000" w:themeColor="text1"/>
                <w:sz w:val="24"/>
                <w:lang w:val="da-DK"/>
              </w:rPr>
              <w:t xml:space="preserve">Vågen </w:t>
            </w:r>
            <w:proofErr w:type="spellStart"/>
            <w:r w:rsidRPr="009D0155">
              <w:rPr>
                <w:rFonts w:ascii="Times New Roman" w:hAnsi="Times New Roman" w:cs="Times New Roman"/>
                <w:b/>
                <w:bCs/>
                <w:color w:val="000000" w:themeColor="text1"/>
                <w:sz w:val="24"/>
                <w:lang w:val="da-DK"/>
              </w:rPr>
              <w:t>sedering</w:t>
            </w:r>
            <w:proofErr w:type="spellEnd"/>
            <w:r w:rsidRPr="009D0155">
              <w:rPr>
                <w:rFonts w:ascii="Times New Roman" w:hAnsi="Times New Roman" w:cs="Times New Roman"/>
                <w:b/>
                <w:bCs/>
                <w:color w:val="000000" w:themeColor="text1"/>
                <w:sz w:val="24"/>
                <w:lang w:val="da-DK"/>
              </w:rPr>
              <w:t xml:space="preserve"> og præmedicinering</w:t>
            </w:r>
          </w:p>
        </w:tc>
      </w:tr>
      <w:tr w:rsidR="00FC32EC" w:rsidRPr="009D0155" w14:paraId="15B6BE60" w14:textId="77777777" w:rsidTr="00D83412">
        <w:trPr>
          <w:trHeight w:val="695"/>
        </w:trPr>
        <w:tc>
          <w:tcPr>
            <w:tcW w:w="2882" w:type="pct"/>
            <w:tcBorders>
              <w:top w:val="single" w:sz="4" w:space="0" w:color="auto"/>
              <w:left w:val="single" w:sz="4" w:space="0" w:color="auto"/>
              <w:bottom w:val="single" w:sz="4" w:space="0" w:color="auto"/>
              <w:right w:val="single" w:sz="4" w:space="0" w:color="auto"/>
            </w:tcBorders>
            <w:vAlign w:val="center"/>
            <w:hideMark/>
          </w:tcPr>
          <w:p w14:paraId="4285B26A"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 xml:space="preserve">12 kg til 43 kg </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E1A5AF6"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742049A9"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r>
      <w:tr w:rsidR="00FC32EC" w:rsidRPr="009D0155" w14:paraId="16C68FAA" w14:textId="77777777" w:rsidTr="00D83412">
        <w:trPr>
          <w:trHeight w:val="691"/>
        </w:trPr>
        <w:tc>
          <w:tcPr>
            <w:tcW w:w="2882" w:type="pct"/>
            <w:tcBorders>
              <w:top w:val="single" w:sz="4" w:space="0" w:color="auto"/>
              <w:left w:val="single" w:sz="4" w:space="0" w:color="auto"/>
              <w:bottom w:val="single" w:sz="4" w:space="0" w:color="auto"/>
              <w:right w:val="single" w:sz="4" w:space="0" w:color="auto"/>
            </w:tcBorders>
            <w:vAlign w:val="center"/>
            <w:hideMark/>
          </w:tcPr>
          <w:p w14:paraId="1EB22498" w14:textId="77777777" w:rsidR="00FC32EC" w:rsidRPr="009D0155" w:rsidRDefault="00FC32EC">
            <w:pPr>
              <w:jc w:val="center"/>
              <w:rPr>
                <w:rFonts w:ascii="Times New Roman" w:eastAsiaTheme="majorEastAsia" w:hAnsi="Times New Roman" w:cs="Times New Roman"/>
                <w:b/>
                <w:bCs/>
                <w:color w:val="000000" w:themeColor="text1"/>
                <w:sz w:val="24"/>
              </w:rPr>
            </w:pPr>
            <w:r w:rsidRPr="009D0155">
              <w:rPr>
                <w:rFonts w:ascii="Times New Roman" w:hAnsi="Times New Roman" w:cs="Times New Roman"/>
                <w:color w:val="000000" w:themeColor="text1"/>
                <w:sz w:val="24"/>
                <w:u w:val="single"/>
                <w:lang w:val="da-DK"/>
              </w:rPr>
              <w:t>&gt;</w:t>
            </w:r>
            <w:r w:rsidRPr="009D0155">
              <w:rPr>
                <w:rFonts w:ascii="Times New Roman" w:hAnsi="Times New Roman" w:cs="Times New Roman"/>
                <w:color w:val="000000" w:themeColor="text1"/>
                <w:sz w:val="24"/>
                <w:lang w:val="da-DK"/>
              </w:rPr>
              <w:t> 44 kg og &lt; </w:t>
            </w:r>
            <w:r w:rsidRPr="009D0155">
              <w:rPr>
                <w:rFonts w:ascii="Times New Roman" w:hAnsi="Times New Roman" w:cs="Times New Roman"/>
                <w:sz w:val="24"/>
                <w:lang w:val="da-DK"/>
              </w:rPr>
              <w:t xml:space="preserve">60 </w:t>
            </w:r>
            <w:r w:rsidRPr="009D0155">
              <w:rPr>
                <w:rFonts w:ascii="Times New Roman" w:hAnsi="Times New Roman" w:cs="Times New Roman"/>
                <w:color w:val="000000" w:themeColor="text1"/>
                <w:sz w:val="24"/>
                <w:lang w:val="da-DK"/>
              </w:rPr>
              <w:t>år</w:t>
            </w:r>
          </w:p>
        </w:tc>
        <w:tc>
          <w:tcPr>
            <w:tcW w:w="1061" w:type="pct"/>
            <w:tcBorders>
              <w:top w:val="single" w:sz="4" w:space="0" w:color="auto"/>
              <w:left w:val="single" w:sz="4" w:space="0" w:color="auto"/>
              <w:bottom w:val="single" w:sz="4" w:space="0" w:color="auto"/>
              <w:right w:val="single" w:sz="4" w:space="0" w:color="auto"/>
            </w:tcBorders>
            <w:vAlign w:val="center"/>
            <w:hideMark/>
          </w:tcPr>
          <w:p w14:paraId="3332AC24"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A02C183"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 eller 5 mg*</w:t>
            </w:r>
          </w:p>
        </w:tc>
      </w:tr>
      <w:tr w:rsidR="00FC32EC" w:rsidRPr="009D0155" w14:paraId="2D089455" w14:textId="77777777" w:rsidTr="00D83412">
        <w:trPr>
          <w:trHeight w:val="671"/>
        </w:trPr>
        <w:tc>
          <w:tcPr>
            <w:tcW w:w="2882" w:type="pct"/>
            <w:tcBorders>
              <w:top w:val="single" w:sz="4" w:space="0" w:color="auto"/>
              <w:left w:val="single" w:sz="4" w:space="0" w:color="auto"/>
              <w:bottom w:val="single" w:sz="4" w:space="0" w:color="auto"/>
              <w:right w:val="single" w:sz="4" w:space="0" w:color="auto"/>
            </w:tcBorders>
            <w:vAlign w:val="center"/>
            <w:hideMark/>
          </w:tcPr>
          <w:p w14:paraId="5A8234C3"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sz w:val="24"/>
                <w:u w:val="single"/>
                <w:lang w:val="da-DK"/>
              </w:rPr>
              <w:t>&gt;</w:t>
            </w:r>
            <w:r w:rsidRPr="009D0155">
              <w:rPr>
                <w:rFonts w:ascii="Times New Roman" w:hAnsi="Times New Roman" w:cs="Times New Roman"/>
                <w:sz w:val="24"/>
                <w:lang w:val="da-DK"/>
              </w:rPr>
              <w:t> </w:t>
            </w:r>
            <w:r w:rsidRPr="009D0155">
              <w:rPr>
                <w:rFonts w:ascii="Times New Roman" w:hAnsi="Times New Roman" w:cs="Times New Roman"/>
                <w:color w:val="000000" w:themeColor="text1"/>
                <w:sz w:val="24"/>
                <w:lang w:val="da-DK"/>
              </w:rPr>
              <w:t xml:space="preserve">60 år </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02F0C08"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37ED7E07"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r>
      <w:tr w:rsidR="00FC32EC" w:rsidRPr="009D0155" w14:paraId="081A986E" w14:textId="77777777" w:rsidTr="00D83412">
        <w:tc>
          <w:tcPr>
            <w:tcW w:w="5000" w:type="pct"/>
            <w:gridSpan w:val="3"/>
            <w:tcBorders>
              <w:top w:val="single" w:sz="4" w:space="0" w:color="auto"/>
              <w:left w:val="single" w:sz="4" w:space="0" w:color="auto"/>
              <w:bottom w:val="single" w:sz="4" w:space="0" w:color="auto"/>
              <w:right w:val="single" w:sz="4" w:space="0" w:color="auto"/>
            </w:tcBorders>
          </w:tcPr>
          <w:p w14:paraId="3D2F46CA" w14:textId="77777777" w:rsidR="00FC32EC" w:rsidRPr="009D0155" w:rsidRDefault="00FC32EC">
            <w:pPr>
              <w:rPr>
                <w:rFonts w:ascii="Times New Roman" w:hAnsi="Times New Roman" w:cs="Times New Roman"/>
                <w:color w:val="000000" w:themeColor="text1"/>
                <w:sz w:val="24"/>
              </w:rPr>
            </w:pPr>
          </w:p>
          <w:p w14:paraId="59BB78EA" w14:textId="77777777" w:rsidR="00FC32EC" w:rsidRPr="009D0155" w:rsidRDefault="00FC32EC">
            <w:pPr>
              <w:rPr>
                <w:rFonts w:ascii="Times New Roman" w:hAnsi="Times New Roman" w:cs="Times New Roman"/>
                <w:b/>
                <w:color w:val="000000" w:themeColor="text1"/>
                <w:sz w:val="24"/>
              </w:rPr>
            </w:pPr>
            <w:r w:rsidRPr="009D0155">
              <w:rPr>
                <w:rFonts w:ascii="Times New Roman" w:hAnsi="Times New Roman" w:cs="Times New Roman"/>
                <w:b/>
                <w:bCs/>
                <w:color w:val="000000" w:themeColor="text1"/>
                <w:sz w:val="24"/>
                <w:lang w:val="da-DK"/>
              </w:rPr>
              <w:t>Behandling af længerevarende, akutte, epileptiske krampeanfald</w:t>
            </w:r>
          </w:p>
        </w:tc>
      </w:tr>
      <w:tr w:rsidR="00FC32EC" w:rsidRPr="009D0155" w14:paraId="3FCE22D8" w14:textId="77777777" w:rsidTr="00D83412">
        <w:trPr>
          <w:trHeight w:val="686"/>
        </w:trPr>
        <w:tc>
          <w:tcPr>
            <w:tcW w:w="2882" w:type="pct"/>
            <w:tcBorders>
              <w:top w:val="single" w:sz="4" w:space="0" w:color="auto"/>
              <w:left w:val="single" w:sz="4" w:space="0" w:color="auto"/>
              <w:bottom w:val="single" w:sz="4" w:space="0" w:color="auto"/>
              <w:right w:val="single" w:sz="4" w:space="0" w:color="auto"/>
            </w:tcBorders>
            <w:vAlign w:val="center"/>
          </w:tcPr>
          <w:p w14:paraId="7F566B41" w14:textId="77777777" w:rsidR="00FC32EC" w:rsidRPr="009D0155" w:rsidRDefault="00FC32EC">
            <w:pPr>
              <w:jc w:val="center"/>
              <w:rPr>
                <w:rFonts w:ascii="Times New Roman" w:hAnsi="Times New Roman" w:cs="Times New Roman"/>
                <w:color w:val="000000" w:themeColor="text1"/>
                <w:sz w:val="24"/>
              </w:rPr>
            </w:pPr>
          </w:p>
          <w:p w14:paraId="315D9EC4"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12 kg til 18 kg</w:t>
            </w:r>
          </w:p>
        </w:tc>
        <w:tc>
          <w:tcPr>
            <w:tcW w:w="1061" w:type="pct"/>
            <w:tcBorders>
              <w:top w:val="single" w:sz="4" w:space="0" w:color="auto"/>
              <w:left w:val="single" w:sz="4" w:space="0" w:color="auto"/>
              <w:bottom w:val="single" w:sz="4" w:space="0" w:color="auto"/>
              <w:right w:val="single" w:sz="4" w:space="0" w:color="auto"/>
            </w:tcBorders>
            <w:vAlign w:val="center"/>
            <w:hideMark/>
          </w:tcPr>
          <w:p w14:paraId="6FA08C4F"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7D339AFF"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2,5 mg</w:t>
            </w:r>
          </w:p>
        </w:tc>
      </w:tr>
      <w:tr w:rsidR="00FC32EC" w:rsidRPr="009D0155" w14:paraId="497B29E8" w14:textId="77777777" w:rsidTr="00D83412">
        <w:trPr>
          <w:trHeight w:val="696"/>
        </w:trPr>
        <w:tc>
          <w:tcPr>
            <w:tcW w:w="2882" w:type="pct"/>
            <w:tcBorders>
              <w:top w:val="single" w:sz="4" w:space="0" w:color="auto"/>
              <w:left w:val="single" w:sz="4" w:space="0" w:color="auto"/>
              <w:bottom w:val="single" w:sz="4" w:space="0" w:color="auto"/>
              <w:right w:val="single" w:sz="4" w:space="0" w:color="auto"/>
            </w:tcBorders>
            <w:vAlign w:val="center"/>
            <w:hideMark/>
          </w:tcPr>
          <w:p w14:paraId="621B9C32"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19 kg til 39 kg</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844214D"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3,75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48BE5978"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3,75 mg</w:t>
            </w:r>
          </w:p>
        </w:tc>
      </w:tr>
      <w:tr w:rsidR="00FC32EC" w:rsidRPr="009D0155" w14:paraId="6331ED6B" w14:textId="77777777" w:rsidTr="00D83412">
        <w:trPr>
          <w:trHeight w:val="696"/>
        </w:trPr>
        <w:tc>
          <w:tcPr>
            <w:tcW w:w="2882" w:type="pct"/>
            <w:tcBorders>
              <w:top w:val="single" w:sz="4" w:space="0" w:color="auto"/>
              <w:left w:val="single" w:sz="4" w:space="0" w:color="auto"/>
              <w:bottom w:val="single" w:sz="4" w:space="0" w:color="auto"/>
              <w:right w:val="single" w:sz="4" w:space="0" w:color="auto"/>
            </w:tcBorders>
            <w:vAlign w:val="center"/>
            <w:hideMark/>
          </w:tcPr>
          <w:p w14:paraId="150396E7"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u w:val="single"/>
                <w:lang w:val="da-DK"/>
              </w:rPr>
              <w:t>&gt;</w:t>
            </w:r>
            <w:r w:rsidRPr="009D0155">
              <w:rPr>
                <w:rFonts w:ascii="Times New Roman" w:hAnsi="Times New Roman" w:cs="Times New Roman"/>
                <w:color w:val="000000" w:themeColor="text1"/>
                <w:sz w:val="24"/>
                <w:lang w:val="da-DK"/>
              </w:rPr>
              <w:t> 40 kg eller</w:t>
            </w:r>
            <w:r w:rsidRPr="009D0155">
              <w:rPr>
                <w:rFonts w:ascii="Times New Roman" w:hAnsi="Times New Roman" w:cs="Times New Roman"/>
                <w:color w:val="000000" w:themeColor="text1"/>
                <w:sz w:val="24"/>
                <w:u w:val="single"/>
                <w:lang w:val="da-DK"/>
              </w:rPr>
              <w:t xml:space="preserve"> </w:t>
            </w:r>
          </w:p>
          <w:p w14:paraId="45C0EBCB"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u w:val="single"/>
                <w:lang w:val="da-DK"/>
              </w:rPr>
              <w:t>&gt;</w:t>
            </w:r>
            <w:r w:rsidRPr="009D0155">
              <w:rPr>
                <w:rFonts w:ascii="Times New Roman" w:hAnsi="Times New Roman" w:cs="Times New Roman"/>
                <w:color w:val="000000" w:themeColor="text1"/>
                <w:sz w:val="24"/>
                <w:lang w:val="da-DK"/>
              </w:rPr>
              <w:t> 12 år til &lt; 60 år</w:t>
            </w:r>
          </w:p>
        </w:tc>
        <w:tc>
          <w:tcPr>
            <w:tcW w:w="1061" w:type="pct"/>
            <w:tcBorders>
              <w:top w:val="single" w:sz="4" w:space="0" w:color="auto"/>
              <w:left w:val="single" w:sz="4" w:space="0" w:color="auto"/>
              <w:bottom w:val="single" w:sz="4" w:space="0" w:color="auto"/>
              <w:right w:val="single" w:sz="4" w:space="0" w:color="auto"/>
            </w:tcBorders>
            <w:vAlign w:val="center"/>
            <w:hideMark/>
          </w:tcPr>
          <w:p w14:paraId="1522965A"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6AEEB8BC"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5 mg</w:t>
            </w:r>
          </w:p>
        </w:tc>
      </w:tr>
      <w:tr w:rsidR="00FC32EC" w:rsidRPr="009D0155" w14:paraId="15C2ADC1" w14:textId="77777777" w:rsidTr="00D83412">
        <w:trPr>
          <w:trHeight w:val="696"/>
        </w:trPr>
        <w:tc>
          <w:tcPr>
            <w:tcW w:w="2882" w:type="pct"/>
            <w:tcBorders>
              <w:top w:val="single" w:sz="4" w:space="0" w:color="auto"/>
              <w:left w:val="single" w:sz="4" w:space="0" w:color="auto"/>
              <w:bottom w:val="single" w:sz="4" w:space="0" w:color="auto"/>
              <w:right w:val="single" w:sz="4" w:space="0" w:color="auto"/>
            </w:tcBorders>
            <w:vAlign w:val="center"/>
            <w:hideMark/>
          </w:tcPr>
          <w:p w14:paraId="0D6E1C15" w14:textId="77777777" w:rsidR="00FC32EC" w:rsidRPr="009D0155" w:rsidRDefault="00FC32EC">
            <w:pPr>
              <w:keepNext/>
              <w:keepLines/>
              <w:spacing w:before="200"/>
              <w:jc w:val="center"/>
              <w:outlineLvl w:val="5"/>
              <w:rPr>
                <w:rFonts w:ascii="Times New Roman" w:hAnsi="Times New Roman" w:cs="Times New Roman"/>
                <w:color w:val="000000" w:themeColor="text1"/>
                <w:sz w:val="24"/>
              </w:rPr>
            </w:pPr>
            <w:r w:rsidRPr="009D0155">
              <w:rPr>
                <w:rFonts w:ascii="Times New Roman" w:hAnsi="Times New Roman" w:cs="Times New Roman"/>
                <w:color w:val="000000" w:themeColor="text1"/>
                <w:sz w:val="24"/>
                <w:u w:val="single"/>
                <w:lang w:val="da-DK"/>
              </w:rPr>
              <w:t>&gt;</w:t>
            </w:r>
            <w:r w:rsidRPr="009D0155">
              <w:rPr>
                <w:rFonts w:ascii="Times New Roman" w:hAnsi="Times New Roman" w:cs="Times New Roman"/>
                <w:color w:val="000000" w:themeColor="text1"/>
                <w:sz w:val="24"/>
                <w:lang w:val="da-DK"/>
              </w:rPr>
              <w:t> 60 år</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4380EEB"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3,75 mg</w:t>
            </w:r>
          </w:p>
        </w:tc>
        <w:tc>
          <w:tcPr>
            <w:tcW w:w="1057" w:type="pct"/>
            <w:tcBorders>
              <w:top w:val="single" w:sz="4" w:space="0" w:color="auto"/>
              <w:left w:val="single" w:sz="4" w:space="0" w:color="auto"/>
              <w:bottom w:val="single" w:sz="4" w:space="0" w:color="auto"/>
              <w:right w:val="single" w:sz="4" w:space="0" w:color="auto"/>
            </w:tcBorders>
            <w:vAlign w:val="center"/>
            <w:hideMark/>
          </w:tcPr>
          <w:p w14:paraId="05A13D8B" w14:textId="77777777" w:rsidR="00FC32EC" w:rsidRPr="009D0155" w:rsidRDefault="00FC32EC">
            <w:pPr>
              <w:jc w:val="center"/>
              <w:rPr>
                <w:rFonts w:ascii="Times New Roman" w:hAnsi="Times New Roman" w:cs="Times New Roman"/>
                <w:color w:val="000000" w:themeColor="text1"/>
                <w:sz w:val="24"/>
              </w:rPr>
            </w:pPr>
            <w:r w:rsidRPr="009D0155">
              <w:rPr>
                <w:rFonts w:ascii="Times New Roman" w:hAnsi="Times New Roman" w:cs="Times New Roman"/>
                <w:color w:val="000000" w:themeColor="text1"/>
                <w:sz w:val="24"/>
                <w:lang w:val="da-DK"/>
              </w:rPr>
              <w:t>3,75 mg</w:t>
            </w:r>
          </w:p>
        </w:tc>
      </w:tr>
    </w:tbl>
    <w:p w14:paraId="689077B0" w14:textId="77777777" w:rsidR="00FC32EC" w:rsidRPr="009D0155" w:rsidRDefault="00FC32EC" w:rsidP="00FC32EC">
      <w:pPr>
        <w:rPr>
          <w:color w:val="000000" w:themeColor="text1"/>
          <w:sz w:val="24"/>
          <w:szCs w:val="24"/>
          <w:lang w:val="nl-NL" w:eastAsia="nl-NL"/>
        </w:rPr>
      </w:pPr>
      <w:r w:rsidRPr="009D0155">
        <w:rPr>
          <w:color w:val="000000" w:themeColor="text1"/>
          <w:sz w:val="24"/>
          <w:szCs w:val="24"/>
        </w:rPr>
        <w:t>* afhængigt af det ønskede niveau og varigheden af bedøvelsen</w:t>
      </w:r>
    </w:p>
    <w:p w14:paraId="094C8C15" w14:textId="77777777" w:rsidR="00FC32EC" w:rsidRPr="009D0155" w:rsidRDefault="00FC32EC" w:rsidP="00FC32EC">
      <w:pPr>
        <w:widowControl w:val="0"/>
        <w:autoSpaceDE w:val="0"/>
        <w:autoSpaceDN w:val="0"/>
        <w:adjustRightInd w:val="0"/>
        <w:rPr>
          <w:color w:val="000000" w:themeColor="text1"/>
          <w:sz w:val="24"/>
          <w:szCs w:val="24"/>
        </w:rPr>
      </w:pPr>
    </w:p>
    <w:p w14:paraId="58A6BFBE" w14:textId="77777777" w:rsidR="00FC32EC" w:rsidRPr="005D0E5A" w:rsidRDefault="00FC32EC" w:rsidP="00D83412">
      <w:pPr>
        <w:ind w:left="851"/>
        <w:rPr>
          <w:sz w:val="24"/>
          <w:szCs w:val="24"/>
          <w:u w:val="single"/>
        </w:rPr>
      </w:pPr>
      <w:r w:rsidRPr="005D0E5A">
        <w:rPr>
          <w:sz w:val="24"/>
          <w:szCs w:val="24"/>
          <w:u w:val="single"/>
        </w:rPr>
        <w:lastRenderedPageBreak/>
        <w:t xml:space="preserve">Vågen </w:t>
      </w:r>
      <w:proofErr w:type="spellStart"/>
      <w:r w:rsidRPr="005D0E5A">
        <w:rPr>
          <w:sz w:val="24"/>
          <w:szCs w:val="24"/>
          <w:u w:val="single"/>
        </w:rPr>
        <w:t>sedering</w:t>
      </w:r>
      <w:proofErr w:type="spellEnd"/>
      <w:r w:rsidRPr="005D0E5A">
        <w:rPr>
          <w:sz w:val="24"/>
          <w:szCs w:val="24"/>
          <w:u w:val="single"/>
        </w:rPr>
        <w:t xml:space="preserve"> og præmedicineringsdosis</w:t>
      </w:r>
    </w:p>
    <w:p w14:paraId="1016CC1F" w14:textId="377653C3" w:rsidR="00FC32EC" w:rsidRPr="005D0E5A" w:rsidRDefault="00BE7117" w:rsidP="005D0E5A">
      <w:pPr>
        <w:pStyle w:val="Listeafsnit"/>
        <w:numPr>
          <w:ilvl w:val="0"/>
          <w:numId w:val="17"/>
        </w:numPr>
        <w:ind w:left="1276" w:hanging="425"/>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må kun bruges af sundhedspersonale til vågen sedering eller præmedicinering. Observation af patienten efter administration er obligatorisk.</w:t>
      </w:r>
    </w:p>
    <w:p w14:paraId="55A16A8C" w14:textId="0C385AAA" w:rsidR="00FC32EC" w:rsidRPr="005D0E5A" w:rsidRDefault="00BE7117" w:rsidP="005D0E5A">
      <w:pPr>
        <w:pStyle w:val="Listeafsnit"/>
        <w:numPr>
          <w:ilvl w:val="0"/>
          <w:numId w:val="17"/>
        </w:numPr>
        <w:ind w:left="1276" w:hanging="425"/>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kan gives i enhver stilling, inklusive til liggende og siddende patienter</w:t>
      </w:r>
    </w:p>
    <w:p w14:paraId="2C8159EC"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Dosis angivet i tabel 1 skal administreres intranasalt i et næsebor 5-10 minutter, før proceduren indledes. </w:t>
      </w:r>
    </w:p>
    <w:p w14:paraId="79637D23"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Effekten begynder ca. 4-8 minutter efter nasal administration af første dosis. Starten er sederingenkan variere individuelt, afhængigt af patientens fysiske status. </w:t>
      </w:r>
    </w:p>
    <w:p w14:paraId="78C48FB6"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Hvis det er påkrævet, kan en efterfølgende dosis gives intranasalt i modsatte næsebor end den første dosis, mindst 10 minutter efter den indledende dosis i overensstemmelse med det individuelle behov. </w:t>
      </w:r>
    </w:p>
    <w:p w14:paraId="27CA3DD1"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Den maksimale dosis til vågen sedering eller præmedicinering er 10 mg.</w:t>
      </w:r>
    </w:p>
    <w:p w14:paraId="14B248C7"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Hvis dosisniveauet efter administration af den anbefalede dosis af midazolam ikke er tilstrækkeligt (se tabel 1), bør der ikke administreres yderligere intranasale midazolam-doser. Andre midazolam-muligheder skal overvejes.</w:t>
      </w:r>
    </w:p>
    <w:p w14:paraId="169EC992" w14:textId="77777777" w:rsidR="00FC32EC" w:rsidRPr="005D0E5A" w:rsidRDefault="00FC32EC" w:rsidP="005D0E5A">
      <w:pPr>
        <w:ind w:left="1276" w:hanging="425"/>
        <w:rPr>
          <w:sz w:val="24"/>
          <w:szCs w:val="24"/>
        </w:rPr>
      </w:pPr>
    </w:p>
    <w:p w14:paraId="64A7A042" w14:textId="43E391BA"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Pædiatriske patienter &lt; 12 kg: Sikkerheden og virkningen af </w:t>
      </w:r>
      <w:r w:rsidR="00BE7117">
        <w:rPr>
          <w:rFonts w:ascii="Times New Roman" w:hAnsi="Times New Roman" w:cs="Times New Roman"/>
        </w:rPr>
        <w:t>Medirom</w:t>
      </w:r>
      <w:r w:rsidRPr="005D0E5A">
        <w:rPr>
          <w:rFonts w:ascii="Times New Roman" w:hAnsi="Times New Roman" w:cs="Times New Roman"/>
        </w:rPr>
        <w:t xml:space="preserve"> hos denne gruppe af pædiatriske patienter er ikke blevet fastslået. Der foreligger ingen data. </w:t>
      </w:r>
      <w:r w:rsidR="00BE7117">
        <w:rPr>
          <w:rFonts w:ascii="Times New Roman" w:hAnsi="Times New Roman" w:cs="Times New Roman"/>
        </w:rPr>
        <w:t>Medirom</w:t>
      </w:r>
      <w:r w:rsidRPr="005D0E5A">
        <w:rPr>
          <w:rFonts w:ascii="Times New Roman" w:hAnsi="Times New Roman" w:cs="Times New Roman"/>
        </w:rPr>
        <w:t xml:space="preserve"> bør ikke anvendes til denne patientgruppe.</w:t>
      </w:r>
    </w:p>
    <w:p w14:paraId="0DBBE2FD" w14:textId="0381F709"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Administration af en anden </w:t>
      </w:r>
      <w:r w:rsidR="00BE7117">
        <w:rPr>
          <w:rFonts w:ascii="Times New Roman" w:hAnsi="Times New Roman" w:cs="Times New Roman"/>
        </w:rPr>
        <w:t>Medirom</w:t>
      </w:r>
      <w:r w:rsidRPr="005D0E5A">
        <w:rPr>
          <w:rFonts w:ascii="Times New Roman" w:hAnsi="Times New Roman" w:cs="Times New Roman"/>
        </w:rPr>
        <w:t xml:space="preserve"> dosis kan resultere i længerevarende sedering.</w:t>
      </w:r>
    </w:p>
    <w:p w14:paraId="7BFFC3AC" w14:textId="0285DB28"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Pædiatriske patienter på 12 kg til 43 kg, som er svækkede eller kronisk syge, og som kræver vågen sedering eller præmedicinering, bør kun bruge </w:t>
      </w:r>
      <w:r w:rsidR="00BE7117">
        <w:rPr>
          <w:rFonts w:ascii="Times New Roman" w:hAnsi="Times New Roman" w:cs="Times New Roman"/>
        </w:rPr>
        <w:t>Medirom</w:t>
      </w:r>
      <w:r w:rsidRPr="005D0E5A">
        <w:rPr>
          <w:rFonts w:ascii="Times New Roman" w:hAnsi="Times New Roman" w:cs="Times New Roman"/>
        </w:rPr>
        <w:t xml:space="preserve"> i miljøer med særlige overvågnings- og supportfaciliteter (se også 4.4). </w:t>
      </w:r>
    </w:p>
    <w:p w14:paraId="1E028D6E" w14:textId="0FE80934"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Patienter </w:t>
      </w:r>
      <w:r w:rsidR="00044474">
        <w:rPr>
          <w:rFonts w:ascii="Times New Roman" w:hAnsi="Times New Roman" w:cs="Times New Roman"/>
        </w:rPr>
        <w:t>≥</w:t>
      </w:r>
      <w:r w:rsidRPr="00044474">
        <w:rPr>
          <w:rFonts w:ascii="Times New Roman" w:hAnsi="Times New Roman" w:cs="Times New Roman"/>
        </w:rPr>
        <w:t> </w:t>
      </w:r>
      <w:r w:rsidRPr="005D0E5A">
        <w:rPr>
          <w:rFonts w:ascii="Times New Roman" w:hAnsi="Times New Roman" w:cs="Times New Roman"/>
        </w:rPr>
        <w:t>44 kg og &lt; 60 år, som er svækkede eller kronisk syge: Den første dosis er 2,5 mg administreret intranasalt 5-10 minutter, før proceduren indledes. En yderligere dosis på 2,5 mg kan gives efter behov, men mindst 10 minutter efter første dosis og i modsatte næsebor end første dosis (se også 4.4).</w:t>
      </w:r>
    </w:p>
    <w:p w14:paraId="62F876D2" w14:textId="0267988B"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 xml:space="preserve">Patienter </w:t>
      </w:r>
      <w:r w:rsidR="00044474">
        <w:rPr>
          <w:rFonts w:ascii="Times New Roman" w:hAnsi="Times New Roman" w:cs="Times New Roman"/>
        </w:rPr>
        <w:t>≥</w:t>
      </w:r>
      <w:r w:rsidRPr="005D0E5A">
        <w:rPr>
          <w:rFonts w:ascii="Times New Roman" w:hAnsi="Times New Roman" w:cs="Times New Roman"/>
        </w:rPr>
        <w:t xml:space="preserve"> 60 år, som er svækkede eller kronisk syge, og som kræver vågen sedering eller præmedicinering, bør kun bruge </w:t>
      </w:r>
      <w:r w:rsidR="00BE7117">
        <w:rPr>
          <w:rFonts w:ascii="Times New Roman" w:hAnsi="Times New Roman" w:cs="Times New Roman"/>
        </w:rPr>
        <w:t>Medirom</w:t>
      </w:r>
      <w:r w:rsidRPr="005D0E5A">
        <w:rPr>
          <w:rFonts w:ascii="Times New Roman" w:hAnsi="Times New Roman" w:cs="Times New Roman"/>
        </w:rPr>
        <w:t xml:space="preserve"> i miljøer med særlige overvågnings- og supportfaciliteter (se også 4.4).</w:t>
      </w:r>
    </w:p>
    <w:p w14:paraId="70F34987" w14:textId="77777777" w:rsidR="00FC32EC" w:rsidRPr="005D0E5A" w:rsidRDefault="00FC32EC" w:rsidP="005D0E5A">
      <w:pPr>
        <w:ind w:left="1276" w:hanging="425"/>
        <w:rPr>
          <w:sz w:val="24"/>
          <w:szCs w:val="24"/>
        </w:rPr>
      </w:pPr>
    </w:p>
    <w:p w14:paraId="4058A7D2" w14:textId="77777777" w:rsidR="00FC32EC" w:rsidRPr="005D0E5A" w:rsidRDefault="00FC32EC" w:rsidP="005D0E5A">
      <w:pPr>
        <w:pStyle w:val="Listeafsnit"/>
        <w:numPr>
          <w:ilvl w:val="0"/>
          <w:numId w:val="17"/>
        </w:numPr>
        <w:ind w:left="1276" w:hanging="425"/>
        <w:rPr>
          <w:rFonts w:ascii="Times New Roman" w:hAnsi="Times New Roman" w:cs="Times New Roman"/>
        </w:rPr>
      </w:pPr>
      <w:r w:rsidRPr="005D0E5A">
        <w:rPr>
          <w:rFonts w:ascii="Times New Roman" w:hAnsi="Times New Roman" w:cs="Times New Roman"/>
        </w:rPr>
        <w:t>Præmedicinering med midazolam, der gives kort tid før en procedure, producerer sedering (induktion af søvnighed eller døsighed og lindring af ængstelse) og præoperativt hukommelsessvigt. Tæt og fortsat overvågning af patienterne efter administration af præmedicinering er obligatorisk, da interindividuel følsomhed varierer, og symptomer på overdosis kan forekomme.</w:t>
      </w:r>
    </w:p>
    <w:p w14:paraId="242AECCC" w14:textId="77777777" w:rsidR="00FC32EC" w:rsidRPr="009D0155" w:rsidRDefault="00FC32EC" w:rsidP="00D83412">
      <w:pPr>
        <w:ind w:left="851"/>
        <w:rPr>
          <w:sz w:val="24"/>
          <w:szCs w:val="24"/>
        </w:rPr>
      </w:pPr>
    </w:p>
    <w:p w14:paraId="1DCB08DB" w14:textId="77777777" w:rsidR="00FC32EC" w:rsidRPr="005D0E5A" w:rsidRDefault="00FC32EC" w:rsidP="00D83412">
      <w:pPr>
        <w:ind w:left="851"/>
        <w:rPr>
          <w:b/>
          <w:sz w:val="24"/>
          <w:szCs w:val="24"/>
          <w:lang w:val="nl-NL"/>
        </w:rPr>
      </w:pPr>
      <w:r w:rsidRPr="005D0E5A">
        <w:rPr>
          <w:b/>
          <w:sz w:val="24"/>
          <w:szCs w:val="24"/>
        </w:rPr>
        <w:t>Doser ved behandling af længerevarende, akutte krampeanfald</w:t>
      </w:r>
    </w:p>
    <w:p w14:paraId="111F7C9F" w14:textId="252B718C" w:rsidR="00FC32EC" w:rsidRPr="005D0E5A" w:rsidRDefault="00BE7117" w:rsidP="005D0E5A">
      <w:pPr>
        <w:pStyle w:val="Listeafsnit"/>
        <w:numPr>
          <w:ilvl w:val="0"/>
          <w:numId w:val="18"/>
        </w:numPr>
        <w:ind w:left="1276" w:hanging="425"/>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må kun bruges af forældre/omsorgspersoner, når patienten er diagnosticeret med epilepsi </w:t>
      </w:r>
    </w:p>
    <w:p w14:paraId="7FFCA90A" w14:textId="77777777" w:rsidR="00FC32EC" w:rsidRPr="005D0E5A" w:rsidRDefault="00FC32EC" w:rsidP="005D0E5A">
      <w:pPr>
        <w:ind w:left="1276" w:hanging="425"/>
        <w:rPr>
          <w:color w:val="000000"/>
          <w:sz w:val="24"/>
          <w:szCs w:val="24"/>
        </w:rPr>
      </w:pPr>
    </w:p>
    <w:p w14:paraId="1AEDD733" w14:textId="0AE5B38D" w:rsidR="00FC32EC" w:rsidRPr="005D0E5A" w:rsidRDefault="00FC32EC" w:rsidP="005D0E5A">
      <w:pPr>
        <w:pStyle w:val="Listeafsnit"/>
        <w:numPr>
          <w:ilvl w:val="0"/>
          <w:numId w:val="18"/>
        </w:numPr>
        <w:ind w:left="1276" w:hanging="425"/>
        <w:rPr>
          <w:rFonts w:ascii="Times New Roman" w:hAnsi="Times New Roman" w:cs="Times New Roman"/>
        </w:rPr>
      </w:pPr>
      <w:r w:rsidRPr="005D0E5A">
        <w:rPr>
          <w:rFonts w:ascii="Times New Roman" w:hAnsi="Times New Roman" w:cs="Times New Roman"/>
        </w:rPr>
        <w:t xml:space="preserve">Før indledende behandling med </w:t>
      </w:r>
      <w:r w:rsidR="00BE7117">
        <w:rPr>
          <w:rFonts w:ascii="Times New Roman" w:hAnsi="Times New Roman" w:cs="Times New Roman"/>
        </w:rPr>
        <w:t>Medirom</w:t>
      </w:r>
      <w:r w:rsidRPr="005D0E5A">
        <w:rPr>
          <w:rFonts w:ascii="Times New Roman" w:hAnsi="Times New Roman" w:cs="Times New Roman"/>
        </w:rPr>
        <w:t xml:space="preserve"> skal den ordinerende læge overveje følgende: </w:t>
      </w:r>
    </w:p>
    <w:p w14:paraId="31658F07" w14:textId="77777777" w:rsidR="00FC32EC" w:rsidRPr="009D0155" w:rsidRDefault="00FC32EC" w:rsidP="00D83412">
      <w:pPr>
        <w:ind w:left="851"/>
        <w:rPr>
          <w:color w:val="000000"/>
          <w:sz w:val="24"/>
          <w:szCs w:val="24"/>
        </w:rPr>
      </w:pPr>
    </w:p>
    <w:p w14:paraId="202CCEAB" w14:textId="675AE6B9" w:rsidR="00FC32EC" w:rsidRPr="005D0E5A" w:rsidRDefault="005D0E5A" w:rsidP="005D0E5A">
      <w:pPr>
        <w:pStyle w:val="Listeafsnit"/>
        <w:numPr>
          <w:ilvl w:val="0"/>
          <w:numId w:val="19"/>
        </w:numPr>
        <w:ind w:left="1560" w:hanging="284"/>
        <w:rPr>
          <w:rFonts w:ascii="Times New Roman" w:hAnsi="Times New Roman" w:cs="Times New Roman"/>
        </w:rPr>
      </w:pPr>
      <w:r>
        <w:rPr>
          <w:rFonts w:ascii="Times New Roman" w:hAnsi="Times New Roman" w:cs="Times New Roman"/>
        </w:rPr>
        <w:t>F</w:t>
      </w:r>
      <w:r w:rsidR="00FC32EC" w:rsidRPr="005D0E5A">
        <w:rPr>
          <w:rFonts w:ascii="Times New Roman" w:hAnsi="Times New Roman" w:cs="Times New Roman"/>
        </w:rPr>
        <w:t xml:space="preserve">or patienter med øget risiko for respirationsdepression fra benzodiazepiner, skal det overvejes, om administration af </w:t>
      </w:r>
      <w:r w:rsidR="00553FEB">
        <w:rPr>
          <w:rFonts w:ascii="Times New Roman" w:hAnsi="Times New Roman" w:cs="Times New Roman"/>
        </w:rPr>
        <w:t>Medirom</w:t>
      </w:r>
      <w:r w:rsidR="00FC32EC" w:rsidRPr="005D0E5A">
        <w:rPr>
          <w:rFonts w:ascii="Times New Roman" w:hAnsi="Times New Roman" w:cs="Times New Roman"/>
        </w:rPr>
        <w:t xml:space="preserve"> skal ske under opsyn af sundhedsfagligt personale. Administration skal udføres, når der ikke er et anfald. </w:t>
      </w:r>
    </w:p>
    <w:p w14:paraId="36516E75" w14:textId="6CB3CD5D" w:rsidR="00FC32EC" w:rsidRPr="005D0E5A" w:rsidRDefault="00FC32EC" w:rsidP="005D0E5A">
      <w:pPr>
        <w:pStyle w:val="Listeafsnit"/>
        <w:numPr>
          <w:ilvl w:val="0"/>
          <w:numId w:val="19"/>
        </w:numPr>
        <w:ind w:left="1560" w:hanging="284"/>
        <w:rPr>
          <w:rFonts w:ascii="Times New Roman" w:hAnsi="Times New Roman" w:cs="Times New Roman"/>
        </w:rPr>
      </w:pPr>
      <w:r w:rsidRPr="005D0E5A">
        <w:rPr>
          <w:rFonts w:ascii="Times New Roman" w:hAnsi="Times New Roman" w:cs="Times New Roman"/>
        </w:rPr>
        <w:t xml:space="preserve">Før indledning af behandling skal den sundhedsfaglige person vejlede patienten </w:t>
      </w:r>
      <w:r w:rsidR="005D0E5A" w:rsidRPr="005D0E5A">
        <w:rPr>
          <w:rFonts w:ascii="Times New Roman" w:hAnsi="Times New Roman" w:cs="Times New Roman"/>
        </w:rPr>
        <w:t>og</w:t>
      </w:r>
      <w:r w:rsidR="005D0E5A">
        <w:rPr>
          <w:rFonts w:ascii="Times New Roman" w:hAnsi="Times New Roman" w:cs="Times New Roman"/>
        </w:rPr>
        <w:t xml:space="preserve"> </w:t>
      </w:r>
      <w:r w:rsidRPr="005D0E5A">
        <w:rPr>
          <w:rFonts w:ascii="Times New Roman" w:hAnsi="Times New Roman" w:cs="Times New Roman"/>
        </w:rPr>
        <w:t xml:space="preserve">patientens forældre og omsorgspersoner om: </w:t>
      </w:r>
    </w:p>
    <w:p w14:paraId="6D073DAB" w14:textId="77777777" w:rsidR="00FC32EC" w:rsidRPr="009D0155" w:rsidRDefault="00FC32EC" w:rsidP="00D83412">
      <w:pPr>
        <w:ind w:left="851"/>
        <w:rPr>
          <w:sz w:val="24"/>
          <w:szCs w:val="24"/>
          <w:lang w:val="nl-NL"/>
        </w:rPr>
      </w:pPr>
    </w:p>
    <w:p w14:paraId="49D5A7AE" w14:textId="77777777" w:rsidR="00FC32EC" w:rsidRPr="009D0155" w:rsidRDefault="00FC32EC" w:rsidP="00D83412">
      <w:pPr>
        <w:ind w:left="851"/>
        <w:rPr>
          <w:sz w:val="24"/>
          <w:szCs w:val="24"/>
        </w:rPr>
      </w:pPr>
      <w:r w:rsidRPr="009D0155">
        <w:rPr>
          <w:sz w:val="24"/>
          <w:szCs w:val="24"/>
        </w:rPr>
        <w:t xml:space="preserve">Hvordan de identificerer kramper anfald </w:t>
      </w:r>
    </w:p>
    <w:p w14:paraId="248EA10B" w14:textId="2B56401E" w:rsidR="00FC32EC" w:rsidRPr="009D0155" w:rsidRDefault="005D0E5A" w:rsidP="005D0E5A">
      <w:pPr>
        <w:ind w:left="1276" w:hanging="425"/>
        <w:rPr>
          <w:sz w:val="24"/>
          <w:szCs w:val="24"/>
        </w:rPr>
      </w:pPr>
      <w:r>
        <w:rPr>
          <w:sz w:val="24"/>
          <w:szCs w:val="24"/>
        </w:rPr>
        <w:t xml:space="preserve">- </w:t>
      </w:r>
      <w:r>
        <w:rPr>
          <w:sz w:val="24"/>
          <w:szCs w:val="24"/>
        </w:rPr>
        <w:tab/>
      </w:r>
      <w:r w:rsidR="00FC32EC" w:rsidRPr="009D0155">
        <w:rPr>
          <w:sz w:val="24"/>
          <w:szCs w:val="24"/>
        </w:rPr>
        <w:t xml:space="preserve">Hvordan de bruger </w:t>
      </w:r>
      <w:proofErr w:type="spellStart"/>
      <w:r w:rsidR="00BE7117">
        <w:rPr>
          <w:sz w:val="24"/>
          <w:szCs w:val="24"/>
        </w:rPr>
        <w:t>Medirom</w:t>
      </w:r>
      <w:proofErr w:type="spellEnd"/>
      <w:r w:rsidR="00FC32EC" w:rsidRPr="009D0155">
        <w:rPr>
          <w:sz w:val="24"/>
          <w:szCs w:val="24"/>
        </w:rPr>
        <w:t xml:space="preserve"> korrekt </w:t>
      </w:r>
    </w:p>
    <w:p w14:paraId="0EC4ECE1" w14:textId="0E0B3C1C" w:rsidR="00FC32EC" w:rsidRPr="009D0155" w:rsidRDefault="005D0E5A" w:rsidP="005D0E5A">
      <w:pPr>
        <w:ind w:left="1276" w:hanging="425"/>
        <w:rPr>
          <w:sz w:val="24"/>
          <w:szCs w:val="24"/>
        </w:rPr>
      </w:pPr>
      <w:r>
        <w:rPr>
          <w:sz w:val="24"/>
          <w:szCs w:val="24"/>
        </w:rPr>
        <w:t xml:space="preserve">- </w:t>
      </w:r>
      <w:r>
        <w:rPr>
          <w:sz w:val="24"/>
          <w:szCs w:val="24"/>
        </w:rPr>
        <w:tab/>
      </w:r>
      <w:r w:rsidR="00FC32EC" w:rsidRPr="009D0155">
        <w:rPr>
          <w:sz w:val="24"/>
          <w:szCs w:val="24"/>
        </w:rPr>
        <w:t>Hvornår anden dosis skal gives, og hvornår den ikke skal</w:t>
      </w:r>
    </w:p>
    <w:p w14:paraId="33C02AF6" w14:textId="600DC979" w:rsidR="00FC32EC" w:rsidRPr="009D0155" w:rsidRDefault="005D0E5A" w:rsidP="005D0E5A">
      <w:pPr>
        <w:ind w:left="1276" w:hanging="425"/>
        <w:rPr>
          <w:sz w:val="24"/>
          <w:szCs w:val="24"/>
        </w:rPr>
      </w:pPr>
      <w:r>
        <w:rPr>
          <w:sz w:val="24"/>
          <w:szCs w:val="24"/>
        </w:rPr>
        <w:t xml:space="preserve">- </w:t>
      </w:r>
      <w:r>
        <w:rPr>
          <w:sz w:val="24"/>
          <w:szCs w:val="24"/>
        </w:rPr>
        <w:tab/>
      </w:r>
      <w:r w:rsidR="00FC32EC" w:rsidRPr="009D0155">
        <w:rPr>
          <w:sz w:val="24"/>
          <w:szCs w:val="24"/>
        </w:rPr>
        <w:t xml:space="preserve">Risikoen ved samtidig brug af opioider/alkohol/CNS-depressionsmidler/andre benzodiazepiner </w:t>
      </w:r>
    </w:p>
    <w:p w14:paraId="6E3CF42F" w14:textId="0BF715DB" w:rsidR="00FC32EC" w:rsidRPr="009D0155" w:rsidRDefault="005D0E5A" w:rsidP="005D0E5A">
      <w:pPr>
        <w:ind w:left="1276" w:hanging="425"/>
        <w:rPr>
          <w:sz w:val="24"/>
          <w:szCs w:val="24"/>
        </w:rPr>
      </w:pPr>
      <w:r>
        <w:rPr>
          <w:sz w:val="24"/>
          <w:szCs w:val="24"/>
        </w:rPr>
        <w:t xml:space="preserve">- </w:t>
      </w:r>
      <w:r>
        <w:rPr>
          <w:sz w:val="24"/>
          <w:szCs w:val="24"/>
        </w:rPr>
        <w:tab/>
      </w:r>
      <w:r w:rsidR="00FC32EC" w:rsidRPr="009D0155">
        <w:rPr>
          <w:sz w:val="24"/>
          <w:szCs w:val="24"/>
        </w:rPr>
        <w:t>Risikoen for respiratorisk depression, symptomerne, og hvad der skal gøres, hvis de opstår</w:t>
      </w:r>
    </w:p>
    <w:p w14:paraId="3370A097" w14:textId="73794AA1" w:rsidR="00FC32EC" w:rsidRPr="005D0E5A" w:rsidRDefault="00BE7117" w:rsidP="005D0E5A">
      <w:pPr>
        <w:pStyle w:val="Listeafsnit"/>
        <w:numPr>
          <w:ilvl w:val="0"/>
          <w:numId w:val="20"/>
        </w:numPr>
        <w:ind w:left="1276" w:hanging="425"/>
        <w:rPr>
          <w:rFonts w:ascii="Times New Roman" w:hAnsi="Times New Roman" w:cs="Times New Roman"/>
        </w:rPr>
      </w:pPr>
      <w:r>
        <w:rPr>
          <w:rFonts w:ascii="Times New Roman" w:hAnsi="Times New Roman" w:cs="Times New Roman"/>
        </w:rPr>
        <w:t>Medirom</w:t>
      </w:r>
      <w:r w:rsidR="00FC32EC" w:rsidRPr="005D0E5A">
        <w:rPr>
          <w:rFonts w:ascii="Times New Roman" w:hAnsi="Times New Roman" w:cs="Times New Roman"/>
        </w:rPr>
        <w:t xml:space="preserve"> kan gives i enhver stilling, herunder liggende og siddende patienter</w:t>
      </w:r>
    </w:p>
    <w:p w14:paraId="02CDA1E4" w14:textId="77777777" w:rsidR="00FC32EC" w:rsidRPr="005D0E5A" w:rsidRDefault="00FC32EC" w:rsidP="005D0E5A">
      <w:pPr>
        <w:pStyle w:val="Listeafsnit"/>
        <w:numPr>
          <w:ilvl w:val="0"/>
          <w:numId w:val="20"/>
        </w:numPr>
        <w:ind w:left="1276" w:hanging="425"/>
        <w:rPr>
          <w:rFonts w:ascii="Times New Roman" w:hAnsi="Times New Roman" w:cs="Times New Roman"/>
        </w:rPr>
      </w:pPr>
      <w:r w:rsidRPr="005D0E5A">
        <w:rPr>
          <w:rFonts w:ascii="Times New Roman" w:hAnsi="Times New Roman" w:cs="Times New Roman"/>
        </w:rPr>
        <w:t>Første dosis angivet i tabel 1 skal administreres intranasalt i det ene  næsebor.</w:t>
      </w:r>
    </w:p>
    <w:p w14:paraId="25C863EC" w14:textId="77777777" w:rsidR="00FC32EC" w:rsidRPr="005D0E5A" w:rsidRDefault="00FC32EC" w:rsidP="005D0E5A">
      <w:pPr>
        <w:pStyle w:val="Listeafsnit"/>
        <w:numPr>
          <w:ilvl w:val="0"/>
          <w:numId w:val="20"/>
        </w:numPr>
        <w:ind w:left="1276" w:hanging="425"/>
        <w:rPr>
          <w:rFonts w:ascii="Times New Roman" w:hAnsi="Times New Roman" w:cs="Times New Roman"/>
        </w:rPr>
      </w:pPr>
      <w:r w:rsidRPr="005D0E5A">
        <w:rPr>
          <w:rFonts w:ascii="Times New Roman" w:hAnsi="Times New Roman" w:cs="Times New Roman"/>
        </w:rPr>
        <w:t>Plejepersonale bør kun administrere en enkelt dosis af midazolam. Hvis anfaldet ikke er stoppet inden for 10 minutter efter indgift af midazolam, skal der tilkaldes akut lægehjælp, og den tomme enkeltdosisbeholder skal gives til sundhedspersonalet for at give oplysninger om den dosis, patienten har fået.</w:t>
      </w:r>
    </w:p>
    <w:p w14:paraId="13AE2224" w14:textId="77777777" w:rsidR="00FC32EC" w:rsidRPr="005D0E5A" w:rsidRDefault="00FC32EC" w:rsidP="005D0E5A">
      <w:pPr>
        <w:ind w:left="1276" w:hanging="425"/>
        <w:rPr>
          <w:color w:val="000000"/>
          <w:sz w:val="24"/>
          <w:szCs w:val="24"/>
        </w:rPr>
      </w:pPr>
    </w:p>
    <w:p w14:paraId="1A607B8C" w14:textId="77777777" w:rsidR="00FC32EC" w:rsidRPr="005D0E5A" w:rsidRDefault="00FC32EC" w:rsidP="005D0E5A">
      <w:pPr>
        <w:pStyle w:val="Listeafsnit"/>
        <w:numPr>
          <w:ilvl w:val="0"/>
          <w:numId w:val="20"/>
        </w:numPr>
        <w:ind w:left="1276" w:hanging="425"/>
        <w:rPr>
          <w:rFonts w:ascii="Times New Roman" w:hAnsi="Times New Roman" w:cs="Times New Roman"/>
        </w:rPr>
      </w:pPr>
      <w:r w:rsidRPr="005D0E5A">
        <w:rPr>
          <w:rFonts w:ascii="Times New Roman" w:hAnsi="Times New Roman" w:cs="Times New Roman"/>
        </w:rPr>
        <w:t xml:space="preserve">Såfremt et anfald fortsætter, eller der optræder et nyt anfald efter respons, må der ikke gives en yderligere dosis uden forudgående medicinsk vurdering. Særligt små børn, patienter med respiratorisk svækkelse og ældre patienter må kun få anden dosis ved tilstedeværelsen af en sundhedsfaglig person. Den anden eller gentagne dosis skal gives i det modsatte næsebor af den første dosis. </w:t>
      </w:r>
    </w:p>
    <w:p w14:paraId="027073BE" w14:textId="6B8A1B07" w:rsidR="00FC32EC" w:rsidRPr="009D0155" w:rsidRDefault="00FC32EC" w:rsidP="00D83412">
      <w:pPr>
        <w:ind w:left="851"/>
        <w:rPr>
          <w:sz w:val="24"/>
          <w:szCs w:val="24"/>
          <w:lang w:val="nl-NL"/>
        </w:rPr>
      </w:pPr>
    </w:p>
    <w:p w14:paraId="2F14F73F" w14:textId="2C3BCB56" w:rsidR="00FC32EC" w:rsidRPr="009D0155" w:rsidRDefault="00FC32EC" w:rsidP="00D83412">
      <w:pPr>
        <w:ind w:left="851"/>
        <w:rPr>
          <w:sz w:val="24"/>
          <w:szCs w:val="24"/>
          <w:u w:val="single"/>
        </w:rPr>
      </w:pPr>
      <w:r w:rsidRPr="009D0155">
        <w:rPr>
          <w:sz w:val="24"/>
          <w:szCs w:val="24"/>
          <w:u w:val="single"/>
        </w:rPr>
        <w:t>Brug i</w:t>
      </w:r>
      <w:r w:rsidR="005D0E5A">
        <w:rPr>
          <w:sz w:val="24"/>
          <w:szCs w:val="24"/>
          <w:u w:val="single"/>
        </w:rPr>
        <w:t xml:space="preserve"> </w:t>
      </w:r>
      <w:r w:rsidRPr="009D0155">
        <w:rPr>
          <w:sz w:val="24"/>
          <w:szCs w:val="24"/>
          <w:u w:val="single"/>
        </w:rPr>
        <w:t xml:space="preserve">særlige patientgrupper </w:t>
      </w:r>
    </w:p>
    <w:p w14:paraId="1A5482C9" w14:textId="77777777" w:rsidR="005D0E5A" w:rsidRDefault="005D0E5A" w:rsidP="00D83412">
      <w:pPr>
        <w:ind w:left="851"/>
        <w:rPr>
          <w:sz w:val="24"/>
          <w:szCs w:val="24"/>
        </w:rPr>
      </w:pPr>
    </w:p>
    <w:p w14:paraId="525E00B5" w14:textId="0CF47C62" w:rsidR="00FC32EC" w:rsidRPr="005D0E5A" w:rsidRDefault="00FC32EC" w:rsidP="00D83412">
      <w:pPr>
        <w:ind w:left="851"/>
        <w:rPr>
          <w:i/>
          <w:sz w:val="24"/>
          <w:szCs w:val="24"/>
        </w:rPr>
      </w:pPr>
      <w:r w:rsidRPr="005D0E5A">
        <w:rPr>
          <w:i/>
          <w:sz w:val="24"/>
          <w:szCs w:val="24"/>
        </w:rPr>
        <w:t>Nedsat nyrefunktion</w:t>
      </w:r>
    </w:p>
    <w:p w14:paraId="7B4E01E8" w14:textId="77777777" w:rsidR="00FC32EC" w:rsidRPr="009D0155" w:rsidRDefault="00FC32EC" w:rsidP="00D83412">
      <w:pPr>
        <w:ind w:left="851"/>
        <w:rPr>
          <w:sz w:val="24"/>
          <w:szCs w:val="24"/>
        </w:rPr>
      </w:pPr>
      <w:r w:rsidRPr="009D0155">
        <w:rPr>
          <w:sz w:val="24"/>
          <w:szCs w:val="24"/>
        </w:rPr>
        <w:t xml:space="preserve">Hos patenter med alvorligt nedsat nyrefunktion kan de farmakologiske virkninger af </w:t>
      </w:r>
      <w:proofErr w:type="spellStart"/>
      <w:r w:rsidRPr="009D0155">
        <w:rPr>
          <w:sz w:val="24"/>
          <w:szCs w:val="24"/>
        </w:rPr>
        <w:t>midazolam</w:t>
      </w:r>
      <w:proofErr w:type="spellEnd"/>
      <w:r w:rsidRPr="009D0155">
        <w:rPr>
          <w:sz w:val="24"/>
          <w:szCs w:val="24"/>
        </w:rPr>
        <w:t xml:space="preserve"> forstærkes, og varigheden kan forlænges, potentielt med klinisk relevant suppression af det </w:t>
      </w:r>
      <w:proofErr w:type="spellStart"/>
      <w:r w:rsidRPr="009D0155">
        <w:rPr>
          <w:sz w:val="24"/>
          <w:szCs w:val="24"/>
        </w:rPr>
        <w:t>kardiorespiratoriske</w:t>
      </w:r>
      <w:proofErr w:type="spellEnd"/>
      <w:r w:rsidRPr="009D0155">
        <w:rPr>
          <w:sz w:val="24"/>
          <w:szCs w:val="24"/>
        </w:rPr>
        <w:t xml:space="preserve"> system. </w:t>
      </w:r>
    </w:p>
    <w:p w14:paraId="7AAC1F88" w14:textId="6310B6C6" w:rsidR="00FC32EC" w:rsidRPr="009D0155" w:rsidRDefault="00FC32EC" w:rsidP="00D83412">
      <w:pPr>
        <w:ind w:left="851"/>
        <w:rPr>
          <w:sz w:val="24"/>
          <w:szCs w:val="24"/>
        </w:rPr>
      </w:pPr>
      <w:r w:rsidRPr="009D0155">
        <w:rPr>
          <w:sz w:val="24"/>
          <w:szCs w:val="24"/>
        </w:rPr>
        <w:t xml:space="preserve">Ingen dosisjustering er påkrævet, men </w:t>
      </w:r>
      <w:proofErr w:type="spellStart"/>
      <w:r w:rsidR="00BE7117">
        <w:rPr>
          <w:sz w:val="24"/>
          <w:szCs w:val="24"/>
        </w:rPr>
        <w:t>Medirom</w:t>
      </w:r>
      <w:proofErr w:type="spellEnd"/>
      <w:r w:rsidRPr="009D0155">
        <w:rPr>
          <w:sz w:val="24"/>
          <w:szCs w:val="24"/>
        </w:rPr>
        <w:t xml:space="preserve"> skal anvendes med forsigtighed hos patienter med kronisk nyresvigt, da eliminering af </w:t>
      </w:r>
      <w:proofErr w:type="spellStart"/>
      <w:r w:rsidRPr="009D0155">
        <w:rPr>
          <w:sz w:val="24"/>
          <w:szCs w:val="24"/>
        </w:rPr>
        <w:t>midazolam</w:t>
      </w:r>
      <w:proofErr w:type="spellEnd"/>
      <w:r w:rsidRPr="009D0155">
        <w:rPr>
          <w:sz w:val="24"/>
          <w:szCs w:val="24"/>
        </w:rPr>
        <w:t xml:space="preserve"> kan være forsinket, og de kliniske virkninger af </w:t>
      </w:r>
      <w:proofErr w:type="spellStart"/>
      <w:r w:rsidRPr="009D0155">
        <w:rPr>
          <w:sz w:val="24"/>
          <w:szCs w:val="24"/>
        </w:rPr>
        <w:t>midazolam</w:t>
      </w:r>
      <w:proofErr w:type="spellEnd"/>
      <w:r w:rsidRPr="009D0155">
        <w:rPr>
          <w:sz w:val="24"/>
          <w:szCs w:val="24"/>
        </w:rPr>
        <w:t xml:space="preserve"> forlænget (se pkt. 4.4).</w:t>
      </w:r>
    </w:p>
    <w:p w14:paraId="3842A728" w14:textId="77777777" w:rsidR="00FC32EC" w:rsidRPr="009D0155" w:rsidRDefault="00FC32EC" w:rsidP="00D83412">
      <w:pPr>
        <w:ind w:left="851"/>
        <w:rPr>
          <w:strike/>
          <w:sz w:val="24"/>
          <w:szCs w:val="24"/>
        </w:rPr>
      </w:pPr>
    </w:p>
    <w:p w14:paraId="70138205" w14:textId="77777777" w:rsidR="00FC32EC" w:rsidRPr="005D0E5A" w:rsidRDefault="00FC32EC" w:rsidP="00D83412">
      <w:pPr>
        <w:ind w:left="851"/>
        <w:rPr>
          <w:i/>
          <w:sz w:val="24"/>
          <w:szCs w:val="24"/>
        </w:rPr>
      </w:pPr>
      <w:r w:rsidRPr="005D0E5A">
        <w:rPr>
          <w:i/>
          <w:sz w:val="24"/>
          <w:szCs w:val="24"/>
        </w:rPr>
        <w:t>Nedsat leverfunktion</w:t>
      </w:r>
    </w:p>
    <w:p w14:paraId="376FE783" w14:textId="24B140CC" w:rsidR="00FC32EC" w:rsidRPr="009D0155" w:rsidRDefault="00FC32EC" w:rsidP="00D83412">
      <w:pPr>
        <w:ind w:left="851"/>
        <w:rPr>
          <w:sz w:val="24"/>
          <w:szCs w:val="24"/>
        </w:rPr>
      </w:pPr>
      <w:r w:rsidRPr="009D0155">
        <w:rPr>
          <w:sz w:val="24"/>
          <w:szCs w:val="24"/>
        </w:rPr>
        <w:t xml:space="preserve">Nedsat leverfunktion reducerer </w:t>
      </w:r>
      <w:proofErr w:type="spellStart"/>
      <w:r w:rsidRPr="009D0155">
        <w:rPr>
          <w:sz w:val="24"/>
          <w:szCs w:val="24"/>
        </w:rPr>
        <w:t>clearance</w:t>
      </w:r>
      <w:proofErr w:type="spellEnd"/>
      <w:r w:rsidRPr="009D0155">
        <w:rPr>
          <w:sz w:val="24"/>
          <w:szCs w:val="24"/>
        </w:rPr>
        <w:t xml:space="preserve"> af </w:t>
      </w:r>
      <w:proofErr w:type="spellStart"/>
      <w:r w:rsidRPr="009D0155">
        <w:rPr>
          <w:sz w:val="24"/>
          <w:szCs w:val="24"/>
        </w:rPr>
        <w:t>midazolam</w:t>
      </w:r>
      <w:proofErr w:type="spellEnd"/>
      <w:r w:rsidRPr="009D0155">
        <w:rPr>
          <w:sz w:val="24"/>
          <w:szCs w:val="24"/>
        </w:rPr>
        <w:t xml:space="preserve"> med en efterfølgende stigning i terminal halveringstid.</w:t>
      </w:r>
      <w:r w:rsidR="001877CC">
        <w:rPr>
          <w:sz w:val="24"/>
          <w:szCs w:val="24"/>
        </w:rPr>
        <w:t xml:space="preserve"> </w:t>
      </w:r>
      <w:r w:rsidRPr="009D0155">
        <w:rPr>
          <w:sz w:val="24"/>
          <w:szCs w:val="24"/>
        </w:rPr>
        <w:t>Den kliniske virkning kan være længerevarende, og omhyggelig overvågning af kliniske indvirkninger og vitalparametre bør etableres (se pkt. 4.4.)</w:t>
      </w:r>
    </w:p>
    <w:p w14:paraId="5B11636E" w14:textId="35BD015D" w:rsidR="00FC32EC" w:rsidRPr="009D0155" w:rsidRDefault="00BE7117" w:rsidP="00D83412">
      <w:pPr>
        <w:ind w:left="851"/>
        <w:rPr>
          <w:sz w:val="24"/>
          <w:szCs w:val="24"/>
        </w:rPr>
      </w:pPr>
      <w:proofErr w:type="spellStart"/>
      <w:r>
        <w:rPr>
          <w:sz w:val="24"/>
          <w:szCs w:val="24"/>
        </w:rPr>
        <w:t>Medirom</w:t>
      </w:r>
      <w:proofErr w:type="spellEnd"/>
      <w:r w:rsidR="00FC32EC" w:rsidRPr="009D0155">
        <w:rPr>
          <w:sz w:val="24"/>
          <w:szCs w:val="24"/>
        </w:rPr>
        <w:t xml:space="preserve"> er kontraindiceret hos patienter med alvorligt nedsat leverfunktion.</w:t>
      </w:r>
    </w:p>
    <w:p w14:paraId="452060CE" w14:textId="77777777" w:rsidR="00FC32EC" w:rsidRPr="009D0155" w:rsidRDefault="00FC32EC" w:rsidP="00D83412">
      <w:pPr>
        <w:ind w:left="851"/>
        <w:rPr>
          <w:sz w:val="24"/>
          <w:szCs w:val="24"/>
        </w:rPr>
      </w:pPr>
    </w:p>
    <w:p w14:paraId="062EA39E" w14:textId="77777777" w:rsidR="00FC32EC" w:rsidRPr="005D0E5A" w:rsidRDefault="00FC32EC" w:rsidP="00D83412">
      <w:pPr>
        <w:ind w:left="851"/>
        <w:rPr>
          <w:i/>
          <w:sz w:val="24"/>
          <w:szCs w:val="24"/>
        </w:rPr>
      </w:pPr>
      <w:r w:rsidRPr="005D0E5A">
        <w:rPr>
          <w:i/>
          <w:sz w:val="24"/>
          <w:szCs w:val="24"/>
        </w:rPr>
        <w:t xml:space="preserve">Ældre </w:t>
      </w:r>
    </w:p>
    <w:p w14:paraId="4647A3A3" w14:textId="3F0F8716" w:rsidR="00FC32EC" w:rsidRPr="009D0155" w:rsidRDefault="00FC32EC" w:rsidP="00D83412">
      <w:pPr>
        <w:ind w:left="851"/>
        <w:rPr>
          <w:sz w:val="24"/>
          <w:szCs w:val="24"/>
        </w:rPr>
      </w:pPr>
      <w:r w:rsidRPr="009D0155">
        <w:rPr>
          <w:sz w:val="24"/>
          <w:szCs w:val="24"/>
        </w:rPr>
        <w:t xml:space="preserve">Hos patienter fra 60 år og hos ældre patienter skal </w:t>
      </w:r>
      <w:proofErr w:type="spellStart"/>
      <w:r w:rsidR="00BE7117">
        <w:rPr>
          <w:sz w:val="24"/>
          <w:szCs w:val="24"/>
        </w:rPr>
        <w:t>Medirom</w:t>
      </w:r>
      <w:proofErr w:type="spellEnd"/>
      <w:r w:rsidRPr="009D0155">
        <w:rPr>
          <w:sz w:val="24"/>
          <w:szCs w:val="24"/>
        </w:rPr>
        <w:t xml:space="preserve"> bruges med forsigtighed, og reduktion af dosis anbefales (se tabel 1). Ældre patienter må kun få anden dosis i overværelse af sundhedspersonale. Læs også teksten efter tabel 1 og afsnit 4.4.</w:t>
      </w:r>
    </w:p>
    <w:p w14:paraId="455D89BE" w14:textId="77777777" w:rsidR="00FC32EC" w:rsidRPr="009D0155" w:rsidRDefault="00FC32EC" w:rsidP="00D83412">
      <w:pPr>
        <w:ind w:left="851"/>
        <w:rPr>
          <w:sz w:val="24"/>
          <w:szCs w:val="24"/>
        </w:rPr>
      </w:pPr>
    </w:p>
    <w:p w14:paraId="307A1C96" w14:textId="77777777" w:rsidR="00FC32EC" w:rsidRPr="005D0E5A" w:rsidRDefault="00FC32EC" w:rsidP="00D83412">
      <w:pPr>
        <w:ind w:left="851"/>
        <w:rPr>
          <w:i/>
          <w:sz w:val="24"/>
          <w:szCs w:val="24"/>
        </w:rPr>
      </w:pPr>
      <w:r w:rsidRPr="005D0E5A">
        <w:rPr>
          <w:i/>
          <w:sz w:val="24"/>
          <w:szCs w:val="24"/>
        </w:rPr>
        <w:t>Pædiatriske patienter</w:t>
      </w:r>
    </w:p>
    <w:p w14:paraId="57A762CF" w14:textId="1FFAEEEC" w:rsidR="00FC32EC" w:rsidRPr="009D0155" w:rsidRDefault="00BE7117" w:rsidP="00D83412">
      <w:pPr>
        <w:ind w:left="851"/>
        <w:rPr>
          <w:sz w:val="24"/>
          <w:szCs w:val="24"/>
        </w:rPr>
      </w:pPr>
      <w:proofErr w:type="spellStart"/>
      <w:r>
        <w:rPr>
          <w:sz w:val="24"/>
          <w:szCs w:val="24"/>
        </w:rPr>
        <w:t>Medirom</w:t>
      </w:r>
      <w:proofErr w:type="spellEnd"/>
      <w:r w:rsidR="00FC32EC" w:rsidRPr="009D0155">
        <w:rPr>
          <w:sz w:val="24"/>
          <w:szCs w:val="24"/>
        </w:rPr>
        <w:t xml:space="preserve"> må ikke bruges til børn &lt; 12 kg: Sikkerheden og virkningen af </w:t>
      </w:r>
      <w:proofErr w:type="spellStart"/>
      <w:r w:rsidR="00FC32EC" w:rsidRPr="009D0155">
        <w:rPr>
          <w:sz w:val="24"/>
          <w:szCs w:val="24"/>
        </w:rPr>
        <w:t>midazolam</w:t>
      </w:r>
      <w:proofErr w:type="spellEnd"/>
      <w:r w:rsidR="00FC32EC" w:rsidRPr="009D0155">
        <w:rPr>
          <w:sz w:val="24"/>
          <w:szCs w:val="24"/>
        </w:rPr>
        <w:t xml:space="preserve"> blandt disse børn er ikke undersøgt. Der er ingen tilgængelige data. </w:t>
      </w:r>
    </w:p>
    <w:p w14:paraId="4B868181" w14:textId="0E86CBE3" w:rsidR="00FC32EC" w:rsidRPr="009D0155" w:rsidRDefault="00BE7117" w:rsidP="00D83412">
      <w:pPr>
        <w:ind w:left="851"/>
        <w:rPr>
          <w:sz w:val="24"/>
          <w:szCs w:val="24"/>
        </w:rPr>
      </w:pPr>
      <w:proofErr w:type="spellStart"/>
      <w:r>
        <w:rPr>
          <w:sz w:val="24"/>
          <w:szCs w:val="24"/>
        </w:rPr>
        <w:t>Medirom</w:t>
      </w:r>
      <w:proofErr w:type="spellEnd"/>
      <w:r w:rsidR="00FC32EC" w:rsidRPr="009D0155">
        <w:rPr>
          <w:sz w:val="24"/>
          <w:szCs w:val="24"/>
        </w:rPr>
        <w:t xml:space="preserve"> skal bruges i overensstemmelse med tabel 1 for børn &gt; 12 kg: Særligt mindre børn må kun modtage anden dosis ved tilstedeværelsen af en sundhedsperson.</w:t>
      </w:r>
    </w:p>
    <w:p w14:paraId="022317B2" w14:textId="77777777" w:rsidR="00FC32EC" w:rsidRPr="009D0155" w:rsidRDefault="00FC32EC" w:rsidP="00D83412">
      <w:pPr>
        <w:ind w:left="851"/>
        <w:rPr>
          <w:sz w:val="24"/>
          <w:szCs w:val="24"/>
          <w:lang w:val="nl-NL"/>
        </w:rPr>
      </w:pPr>
      <w:r w:rsidRPr="009D0155">
        <w:rPr>
          <w:sz w:val="24"/>
          <w:szCs w:val="24"/>
        </w:rPr>
        <w:t xml:space="preserve">Læs også teksten efter tabel 1 og pkt. 4.4.  </w:t>
      </w:r>
    </w:p>
    <w:p w14:paraId="1750B560" w14:textId="77777777" w:rsidR="00FC32EC" w:rsidRPr="009D0155" w:rsidRDefault="00FC32EC" w:rsidP="00D83412">
      <w:pPr>
        <w:ind w:left="851"/>
        <w:rPr>
          <w:sz w:val="24"/>
          <w:szCs w:val="24"/>
        </w:rPr>
      </w:pPr>
    </w:p>
    <w:p w14:paraId="0E4ACFB7" w14:textId="77777777" w:rsidR="00FC32EC" w:rsidRPr="009D0155" w:rsidRDefault="00FC32EC" w:rsidP="00D83412">
      <w:pPr>
        <w:ind w:left="851"/>
        <w:rPr>
          <w:sz w:val="24"/>
          <w:szCs w:val="24"/>
          <w:u w:val="single" w:color="33443E"/>
        </w:rPr>
      </w:pPr>
      <w:r w:rsidRPr="009D0155">
        <w:rPr>
          <w:sz w:val="24"/>
          <w:szCs w:val="24"/>
          <w:u w:val="single"/>
        </w:rPr>
        <w:t>Administration</w:t>
      </w:r>
    </w:p>
    <w:p w14:paraId="670F4D8F" w14:textId="2E5501DF" w:rsidR="00FC32EC" w:rsidRPr="009D0155" w:rsidRDefault="00BE7117" w:rsidP="00D83412">
      <w:pPr>
        <w:ind w:left="851"/>
        <w:rPr>
          <w:sz w:val="24"/>
          <w:szCs w:val="24"/>
        </w:rPr>
      </w:pPr>
      <w:proofErr w:type="spellStart"/>
      <w:r>
        <w:rPr>
          <w:sz w:val="24"/>
          <w:szCs w:val="24"/>
        </w:rPr>
        <w:t>Medirom</w:t>
      </w:r>
      <w:proofErr w:type="spellEnd"/>
      <w:r w:rsidR="00FC32EC" w:rsidRPr="009D0155">
        <w:rPr>
          <w:sz w:val="24"/>
          <w:szCs w:val="24"/>
        </w:rPr>
        <w:t xml:space="preserve"> er kun til intranasal brug. Alle </w:t>
      </w:r>
      <w:proofErr w:type="spellStart"/>
      <w:r>
        <w:rPr>
          <w:sz w:val="24"/>
          <w:szCs w:val="24"/>
        </w:rPr>
        <w:t>Medirom</w:t>
      </w:r>
      <w:proofErr w:type="spellEnd"/>
      <w:r w:rsidR="00FC32EC" w:rsidRPr="009D0155">
        <w:rPr>
          <w:sz w:val="24"/>
          <w:szCs w:val="24"/>
        </w:rPr>
        <w:t xml:space="preserve"> enkeltdosisbeholdere indeholder kun én dosis og er kun beregnet til brug i et enkelt næsebor. Hos små børn passer dysen muligvis ikke i næseboret. I dette tilfælde skal du sørge for, at dysen lukker næseboret før administration. Produktet må ikke afprøves eller klargøres før administration, da </w:t>
      </w:r>
      <w:proofErr w:type="spellStart"/>
      <w:r>
        <w:rPr>
          <w:sz w:val="24"/>
          <w:szCs w:val="24"/>
        </w:rPr>
        <w:t>Medirom</w:t>
      </w:r>
      <w:proofErr w:type="spellEnd"/>
      <w:r w:rsidR="00FC32EC" w:rsidRPr="009D0155">
        <w:rPr>
          <w:sz w:val="24"/>
          <w:szCs w:val="24"/>
        </w:rPr>
        <w:t xml:space="preserve"> kun giver en enkelt dosis. Hvis endnu et sprøjt er nødvendigt, skal en ny enkeltdosisbeholder anvendes i det andet næsebor end det, som blev anvendt til at give den første dosis </w:t>
      </w:r>
      <w:proofErr w:type="spellStart"/>
      <w:r>
        <w:rPr>
          <w:sz w:val="24"/>
          <w:szCs w:val="24"/>
        </w:rPr>
        <w:t>Medirom</w:t>
      </w:r>
      <w:proofErr w:type="spellEnd"/>
      <w:r w:rsidR="00FC32EC" w:rsidRPr="009D0155">
        <w:rPr>
          <w:sz w:val="24"/>
          <w:szCs w:val="24"/>
        </w:rPr>
        <w:t xml:space="preserve"> Se også pkt. 6.6.</w:t>
      </w:r>
    </w:p>
    <w:p w14:paraId="160ED337" w14:textId="77777777" w:rsidR="009260DE" w:rsidRPr="009D0155" w:rsidRDefault="009260DE" w:rsidP="00D83412">
      <w:pPr>
        <w:ind w:left="851"/>
        <w:rPr>
          <w:sz w:val="24"/>
          <w:szCs w:val="24"/>
        </w:rPr>
      </w:pPr>
    </w:p>
    <w:p w14:paraId="51C9A38B" w14:textId="77777777" w:rsidR="009260DE" w:rsidRPr="009D0155" w:rsidRDefault="009260DE" w:rsidP="009260DE">
      <w:pPr>
        <w:tabs>
          <w:tab w:val="left" w:pos="851"/>
        </w:tabs>
        <w:ind w:left="851" w:hanging="851"/>
        <w:rPr>
          <w:b/>
          <w:sz w:val="24"/>
          <w:szCs w:val="24"/>
        </w:rPr>
      </w:pPr>
      <w:r w:rsidRPr="009D0155">
        <w:rPr>
          <w:b/>
          <w:sz w:val="24"/>
          <w:szCs w:val="24"/>
        </w:rPr>
        <w:t>4.3</w:t>
      </w:r>
      <w:r w:rsidRPr="009D0155">
        <w:rPr>
          <w:b/>
          <w:sz w:val="24"/>
          <w:szCs w:val="24"/>
        </w:rPr>
        <w:tab/>
        <w:t>Kontraindikationer</w:t>
      </w:r>
    </w:p>
    <w:p w14:paraId="4C1A8973" w14:textId="77777777" w:rsidR="00FC32EC" w:rsidRPr="009D0155" w:rsidRDefault="00FC32EC" w:rsidP="00D83412">
      <w:pPr>
        <w:ind w:left="851"/>
        <w:rPr>
          <w:sz w:val="24"/>
          <w:szCs w:val="24"/>
          <w:lang w:eastAsia="nl-NL"/>
        </w:rPr>
      </w:pPr>
      <w:r w:rsidRPr="009D0155">
        <w:rPr>
          <w:sz w:val="24"/>
          <w:szCs w:val="24"/>
        </w:rPr>
        <w:t>Brug af dette lægemiddel til patienter med:</w:t>
      </w:r>
    </w:p>
    <w:p w14:paraId="3117DB84" w14:textId="33C036EA"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kendt overfølsomhed over for det aktive stof (midazolam), benzodiazepiner eller et eller flere af hjælpestofferne anført i pkt. 6.1.</w:t>
      </w:r>
    </w:p>
    <w:p w14:paraId="7B4D2F84" w14:textId="10AE5A94"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alvorligt åndedrætssvigt eller akut respirationsdepression,</w:t>
      </w:r>
    </w:p>
    <w:p w14:paraId="5B24CF9D" w14:textId="66A1DE42" w:rsidR="00FC32EC" w:rsidRPr="005D0E5A" w:rsidRDefault="00FC32EC" w:rsidP="005D0E5A">
      <w:pPr>
        <w:pStyle w:val="Listeafsnit"/>
        <w:numPr>
          <w:ilvl w:val="1"/>
          <w:numId w:val="24"/>
        </w:numPr>
        <w:ind w:left="1276" w:hanging="425"/>
        <w:rPr>
          <w:rFonts w:ascii="Times New Roman" w:hAnsi="Times New Roman" w:cs="Times New Roman"/>
          <w:color w:val="0000FF"/>
        </w:rPr>
      </w:pPr>
      <w:r w:rsidRPr="005D0E5A">
        <w:rPr>
          <w:rFonts w:ascii="Times New Roman" w:hAnsi="Times New Roman" w:cs="Times New Roman"/>
        </w:rPr>
        <w:t>alvorligt nedsat leverfunktion</w:t>
      </w:r>
    </w:p>
    <w:p w14:paraId="2E3DB332" w14:textId="4D61BF7F"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myastenia gravis eller søvnapnø-syndrom</w:t>
      </w:r>
    </w:p>
    <w:p w14:paraId="101053FE" w14:textId="0AFAA033"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akut lukketvinklet glaukom; benzodiazepiner kan kun anvendes med åbent glaukom, hvis de administreres i overensstemmelse med den passende dosis.</w:t>
      </w:r>
    </w:p>
    <w:p w14:paraId="5D72EE0B" w14:textId="78A9FD8F"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cyanotisk medfødt hjertesygdom,</w:t>
      </w:r>
    </w:p>
    <w:p w14:paraId="1D2313BC" w14:textId="192E8DCF" w:rsidR="00FC32EC" w:rsidRPr="005D0E5A" w:rsidRDefault="00FC32EC" w:rsidP="005D0E5A">
      <w:pPr>
        <w:pStyle w:val="Listeafsnit"/>
        <w:numPr>
          <w:ilvl w:val="1"/>
          <w:numId w:val="24"/>
        </w:numPr>
        <w:ind w:left="1276" w:hanging="425"/>
        <w:rPr>
          <w:rFonts w:ascii="Times New Roman" w:hAnsi="Times New Roman" w:cs="Times New Roman"/>
        </w:rPr>
      </w:pPr>
      <w:r w:rsidRPr="005D0E5A">
        <w:rPr>
          <w:rFonts w:ascii="Times New Roman" w:hAnsi="Times New Roman" w:cs="Times New Roman"/>
        </w:rPr>
        <w:t>alvorlig sepsis.</w:t>
      </w:r>
    </w:p>
    <w:p w14:paraId="2BABD98F" w14:textId="77777777" w:rsidR="009260DE" w:rsidRPr="009D0155" w:rsidRDefault="009260DE" w:rsidP="009260DE">
      <w:pPr>
        <w:tabs>
          <w:tab w:val="left" w:pos="851"/>
        </w:tabs>
        <w:ind w:left="851"/>
        <w:rPr>
          <w:sz w:val="24"/>
          <w:szCs w:val="24"/>
        </w:rPr>
      </w:pPr>
    </w:p>
    <w:p w14:paraId="7AC5FBE4" w14:textId="77777777" w:rsidR="009260DE" w:rsidRPr="009D0155" w:rsidRDefault="009260DE" w:rsidP="009260DE">
      <w:pPr>
        <w:tabs>
          <w:tab w:val="left" w:pos="851"/>
        </w:tabs>
        <w:ind w:left="851" w:hanging="851"/>
        <w:rPr>
          <w:b/>
          <w:sz w:val="24"/>
          <w:szCs w:val="24"/>
        </w:rPr>
      </w:pPr>
      <w:r w:rsidRPr="009D0155">
        <w:rPr>
          <w:b/>
          <w:sz w:val="24"/>
          <w:szCs w:val="24"/>
        </w:rPr>
        <w:t>4.4</w:t>
      </w:r>
      <w:r w:rsidRPr="009D0155">
        <w:rPr>
          <w:b/>
          <w:sz w:val="24"/>
          <w:szCs w:val="24"/>
        </w:rPr>
        <w:tab/>
        <w:t>Særlige advarsler og forsigtighedsregler vedrørende brugen</w:t>
      </w:r>
    </w:p>
    <w:p w14:paraId="056B51B7" w14:textId="77777777" w:rsidR="005D0E5A" w:rsidRDefault="005D0E5A" w:rsidP="00D83412">
      <w:pPr>
        <w:ind w:left="851"/>
        <w:rPr>
          <w:sz w:val="24"/>
          <w:szCs w:val="24"/>
        </w:rPr>
      </w:pPr>
    </w:p>
    <w:p w14:paraId="63D6C585" w14:textId="291E2B2E" w:rsidR="00FC32EC" w:rsidRPr="005D0E5A" w:rsidRDefault="00FC32EC" w:rsidP="00D83412">
      <w:pPr>
        <w:ind w:left="851"/>
        <w:rPr>
          <w:sz w:val="24"/>
          <w:szCs w:val="24"/>
          <w:u w:val="single"/>
        </w:rPr>
      </w:pPr>
      <w:r w:rsidRPr="005D0E5A">
        <w:rPr>
          <w:sz w:val="24"/>
          <w:szCs w:val="24"/>
          <w:u w:val="single"/>
        </w:rPr>
        <w:t>Respirationsinsufficiens</w:t>
      </w:r>
    </w:p>
    <w:p w14:paraId="41647AB9" w14:textId="77777777" w:rsidR="00FC32EC" w:rsidRPr="009D0155" w:rsidRDefault="00FC32EC" w:rsidP="00D83412">
      <w:pPr>
        <w:ind w:left="851"/>
        <w:rPr>
          <w:sz w:val="24"/>
          <w:szCs w:val="24"/>
        </w:rPr>
      </w:pPr>
      <w:r w:rsidRPr="009D0155">
        <w:rPr>
          <w:sz w:val="24"/>
          <w:szCs w:val="24"/>
        </w:rPr>
        <w:t xml:space="preserve">Der skal udvises særlig forsigtighed over for patienter med nedsat åndedrætsfunktion, da </w:t>
      </w:r>
      <w:proofErr w:type="spellStart"/>
      <w:r w:rsidRPr="009D0155">
        <w:rPr>
          <w:sz w:val="24"/>
          <w:szCs w:val="24"/>
        </w:rPr>
        <w:t>midazolam</w:t>
      </w:r>
      <w:proofErr w:type="spellEnd"/>
      <w:r w:rsidRPr="009D0155">
        <w:rPr>
          <w:sz w:val="24"/>
          <w:szCs w:val="24"/>
        </w:rPr>
        <w:t xml:space="preserve"> kan nedsætte respirationen yderligere. </w:t>
      </w:r>
    </w:p>
    <w:p w14:paraId="46C4EB44" w14:textId="77777777" w:rsidR="00FC32EC" w:rsidRPr="009D0155" w:rsidRDefault="00FC32EC" w:rsidP="00D83412">
      <w:pPr>
        <w:ind w:left="851"/>
        <w:rPr>
          <w:sz w:val="24"/>
          <w:szCs w:val="24"/>
        </w:rPr>
      </w:pPr>
    </w:p>
    <w:p w14:paraId="0B82644D" w14:textId="77777777" w:rsidR="00FC32EC" w:rsidRPr="005D0E5A" w:rsidRDefault="00FC32EC" w:rsidP="00D83412">
      <w:pPr>
        <w:ind w:left="851"/>
        <w:rPr>
          <w:sz w:val="24"/>
          <w:szCs w:val="24"/>
          <w:u w:val="single"/>
        </w:rPr>
      </w:pPr>
      <w:r w:rsidRPr="005D0E5A">
        <w:rPr>
          <w:sz w:val="24"/>
          <w:szCs w:val="24"/>
          <w:u w:val="single"/>
        </w:rPr>
        <w:t>Længerevarende, akutte krampeanfald</w:t>
      </w:r>
    </w:p>
    <w:p w14:paraId="244E9439" w14:textId="04611C75" w:rsidR="00FC32EC" w:rsidRPr="009D0155" w:rsidRDefault="00FC32EC" w:rsidP="00D83412">
      <w:pPr>
        <w:ind w:left="851"/>
        <w:rPr>
          <w:color w:val="000000"/>
          <w:sz w:val="24"/>
          <w:szCs w:val="24"/>
        </w:rPr>
      </w:pPr>
      <w:r w:rsidRPr="009D0155">
        <w:rPr>
          <w:color w:val="000000"/>
          <w:sz w:val="24"/>
          <w:szCs w:val="24"/>
        </w:rPr>
        <w:t xml:space="preserve">Alle patienter, som ordineres </w:t>
      </w:r>
      <w:proofErr w:type="spellStart"/>
      <w:r w:rsidR="00BE7117">
        <w:rPr>
          <w:sz w:val="24"/>
          <w:szCs w:val="24"/>
        </w:rPr>
        <w:t>Medirom</w:t>
      </w:r>
      <w:proofErr w:type="spellEnd"/>
      <w:r w:rsidRPr="009D0155">
        <w:rPr>
          <w:color w:val="000000"/>
          <w:sz w:val="24"/>
          <w:szCs w:val="24"/>
        </w:rPr>
        <w:t xml:space="preserve"> skal grundigt instrueres for at forstå indikationen for brug og den korrekte administrationsmetode (se pkt. 4.2). Det anbefales på det kraftigste at uddanne patientens nærmeste pårørende (fx forældre, omsorgspersoner) i korrekt brug af </w:t>
      </w:r>
      <w:proofErr w:type="spellStart"/>
      <w:r w:rsidR="00BE7117">
        <w:rPr>
          <w:sz w:val="24"/>
          <w:szCs w:val="24"/>
        </w:rPr>
        <w:t>Medirom</w:t>
      </w:r>
      <w:proofErr w:type="spellEnd"/>
      <w:r w:rsidRPr="009D0155">
        <w:rPr>
          <w:color w:val="000000"/>
          <w:sz w:val="24"/>
          <w:szCs w:val="24"/>
        </w:rPr>
        <w:t xml:space="preserve"> i tilfælde af, at der er brug for støtte i en nødsituation.</w:t>
      </w:r>
    </w:p>
    <w:p w14:paraId="759915A9" w14:textId="77777777" w:rsidR="00FC32EC" w:rsidRPr="009D0155" w:rsidRDefault="00FC32EC" w:rsidP="00D83412">
      <w:pPr>
        <w:ind w:left="851"/>
        <w:rPr>
          <w:sz w:val="24"/>
          <w:szCs w:val="24"/>
        </w:rPr>
      </w:pPr>
    </w:p>
    <w:p w14:paraId="0CE0F520" w14:textId="77777777" w:rsidR="00FC32EC" w:rsidRPr="005D0E5A" w:rsidRDefault="00FC32EC" w:rsidP="00D83412">
      <w:pPr>
        <w:ind w:left="851"/>
        <w:rPr>
          <w:sz w:val="24"/>
          <w:szCs w:val="24"/>
          <w:u w:val="single"/>
          <w:lang w:val="nl-NL"/>
        </w:rPr>
      </w:pPr>
      <w:r w:rsidRPr="005D0E5A">
        <w:rPr>
          <w:sz w:val="24"/>
          <w:szCs w:val="24"/>
          <w:u w:val="single"/>
        </w:rPr>
        <w:t xml:space="preserve">Vågen </w:t>
      </w:r>
      <w:proofErr w:type="spellStart"/>
      <w:r w:rsidRPr="005D0E5A">
        <w:rPr>
          <w:sz w:val="24"/>
          <w:szCs w:val="24"/>
          <w:u w:val="single"/>
        </w:rPr>
        <w:t>sedering</w:t>
      </w:r>
      <w:proofErr w:type="spellEnd"/>
      <w:r w:rsidRPr="005D0E5A">
        <w:rPr>
          <w:sz w:val="24"/>
          <w:szCs w:val="24"/>
          <w:u w:val="single"/>
        </w:rPr>
        <w:t xml:space="preserve"> eller præmedicinering hos </w:t>
      </w:r>
      <w:proofErr w:type="spellStart"/>
      <w:r w:rsidRPr="005D0E5A">
        <w:rPr>
          <w:sz w:val="24"/>
          <w:szCs w:val="24"/>
          <w:u w:val="single"/>
        </w:rPr>
        <w:t>højrisicipatienter</w:t>
      </w:r>
      <w:proofErr w:type="spellEnd"/>
    </w:p>
    <w:p w14:paraId="2D288280" w14:textId="77777777" w:rsidR="00FC32EC" w:rsidRPr="009D0155" w:rsidRDefault="00FC32EC" w:rsidP="00D83412">
      <w:pPr>
        <w:ind w:left="851"/>
        <w:rPr>
          <w:sz w:val="24"/>
          <w:szCs w:val="24"/>
        </w:rPr>
      </w:pPr>
      <w:r w:rsidRPr="009D0155">
        <w:rPr>
          <w:sz w:val="24"/>
          <w:szCs w:val="24"/>
        </w:rPr>
        <w:t xml:space="preserve">Der skal udvises særlig forsigtighed ved administration af </w:t>
      </w:r>
      <w:proofErr w:type="spellStart"/>
      <w:r w:rsidRPr="009D0155">
        <w:rPr>
          <w:sz w:val="24"/>
          <w:szCs w:val="24"/>
        </w:rPr>
        <w:t>midazolam</w:t>
      </w:r>
      <w:proofErr w:type="spellEnd"/>
      <w:r w:rsidRPr="009D0155">
        <w:rPr>
          <w:sz w:val="24"/>
          <w:szCs w:val="24"/>
        </w:rPr>
        <w:t xml:space="preserve"> til højrisikopatienter:</w:t>
      </w:r>
    </w:p>
    <w:p w14:paraId="062332FC" w14:textId="77777777" w:rsidR="00FC32EC" w:rsidRPr="005D0E5A" w:rsidRDefault="00FC32EC" w:rsidP="005D0E5A">
      <w:pPr>
        <w:pStyle w:val="Listeafsnit"/>
        <w:numPr>
          <w:ilvl w:val="0"/>
          <w:numId w:val="26"/>
        </w:numPr>
        <w:ind w:left="1276" w:hanging="425"/>
        <w:rPr>
          <w:rFonts w:ascii="Times New Roman" w:hAnsi="Times New Roman" w:cs="Times New Roman"/>
        </w:rPr>
      </w:pPr>
      <w:r w:rsidRPr="005D0E5A">
        <w:rPr>
          <w:rFonts w:ascii="Times New Roman" w:hAnsi="Times New Roman" w:cs="Times New Roman"/>
        </w:rPr>
        <w:t>voksne &gt; 60 år</w:t>
      </w:r>
    </w:p>
    <w:p w14:paraId="0F678FCB" w14:textId="77777777" w:rsidR="00FC32EC" w:rsidRPr="005D0E5A" w:rsidRDefault="00FC32EC" w:rsidP="005D0E5A">
      <w:pPr>
        <w:pStyle w:val="Listeafsnit"/>
        <w:numPr>
          <w:ilvl w:val="0"/>
          <w:numId w:val="26"/>
        </w:numPr>
        <w:ind w:left="1276" w:hanging="425"/>
        <w:rPr>
          <w:rFonts w:ascii="Times New Roman" w:hAnsi="Times New Roman" w:cs="Times New Roman"/>
        </w:rPr>
      </w:pPr>
      <w:r w:rsidRPr="005D0E5A">
        <w:rPr>
          <w:rFonts w:ascii="Times New Roman" w:hAnsi="Times New Roman" w:cs="Times New Roman"/>
        </w:rPr>
        <w:t>kronisk syge eller svækkede patienter &gt; 44 kg eller mellem 12 år og op til 60 år, fx:</w:t>
      </w:r>
    </w:p>
    <w:p w14:paraId="13041299" w14:textId="1EEC31AF" w:rsidR="00FC32EC" w:rsidRPr="005D0E5A" w:rsidRDefault="00FC32EC" w:rsidP="005D0E5A">
      <w:pPr>
        <w:pStyle w:val="Listeafsnit"/>
        <w:numPr>
          <w:ilvl w:val="0"/>
          <w:numId w:val="27"/>
        </w:numPr>
        <w:ind w:hanging="295"/>
        <w:rPr>
          <w:rFonts w:ascii="Times New Roman" w:hAnsi="Times New Roman" w:cs="Times New Roman"/>
        </w:rPr>
      </w:pPr>
      <w:r w:rsidRPr="005D0E5A">
        <w:rPr>
          <w:rFonts w:ascii="Times New Roman" w:hAnsi="Times New Roman" w:cs="Times New Roman"/>
        </w:rPr>
        <w:t>patienter med kronisk respirationsinsufficiens, fordi midazolam kan svække respirationen yderligere</w:t>
      </w:r>
    </w:p>
    <w:p w14:paraId="1E4A45BC" w14:textId="72B003FF" w:rsidR="00FC32EC" w:rsidRPr="005D0E5A" w:rsidRDefault="00FC32EC" w:rsidP="005D0E5A">
      <w:pPr>
        <w:pStyle w:val="Listeafsnit"/>
        <w:numPr>
          <w:ilvl w:val="0"/>
          <w:numId w:val="27"/>
        </w:numPr>
        <w:ind w:hanging="295"/>
        <w:rPr>
          <w:rFonts w:ascii="Times New Roman" w:hAnsi="Times New Roman" w:cs="Times New Roman"/>
        </w:rPr>
      </w:pPr>
      <w:r w:rsidRPr="005D0E5A">
        <w:rPr>
          <w:rFonts w:ascii="Times New Roman" w:hAnsi="Times New Roman" w:cs="Times New Roman"/>
        </w:rPr>
        <w:t>patienter med kronisk nyresvigt</w:t>
      </w:r>
    </w:p>
    <w:p w14:paraId="22620215" w14:textId="17D15E6B" w:rsidR="00FC32EC" w:rsidRPr="005D0E5A" w:rsidRDefault="00FC32EC" w:rsidP="005D0E5A">
      <w:pPr>
        <w:pStyle w:val="Listeafsnit"/>
        <w:numPr>
          <w:ilvl w:val="0"/>
          <w:numId w:val="27"/>
        </w:numPr>
        <w:ind w:hanging="295"/>
        <w:rPr>
          <w:rFonts w:ascii="Times New Roman" w:hAnsi="Times New Roman" w:cs="Times New Roman"/>
        </w:rPr>
      </w:pPr>
      <w:r w:rsidRPr="005D0E5A">
        <w:rPr>
          <w:rFonts w:ascii="Times New Roman" w:hAnsi="Times New Roman" w:cs="Times New Roman"/>
        </w:rPr>
        <w:t>patienter med nedsat leverfunktion</w:t>
      </w:r>
    </w:p>
    <w:p w14:paraId="24F6AFBB" w14:textId="476E0A7D" w:rsidR="00FC32EC" w:rsidRPr="005D0E5A" w:rsidRDefault="00FC32EC" w:rsidP="005D0E5A">
      <w:pPr>
        <w:pStyle w:val="Listeafsnit"/>
        <w:numPr>
          <w:ilvl w:val="0"/>
          <w:numId w:val="27"/>
        </w:numPr>
        <w:ind w:hanging="295"/>
        <w:rPr>
          <w:rFonts w:ascii="Times New Roman" w:hAnsi="Times New Roman" w:cs="Times New Roman"/>
        </w:rPr>
      </w:pPr>
      <w:r w:rsidRPr="005D0E5A">
        <w:rPr>
          <w:rFonts w:ascii="Times New Roman" w:hAnsi="Times New Roman" w:cs="Times New Roman"/>
        </w:rPr>
        <w:t>patienter med nedsat hjertefunktion</w:t>
      </w:r>
    </w:p>
    <w:p w14:paraId="26C05314" w14:textId="77777777" w:rsidR="00FC32EC" w:rsidRPr="009D0155" w:rsidRDefault="00FC32EC" w:rsidP="00D83412">
      <w:pPr>
        <w:ind w:left="851"/>
        <w:rPr>
          <w:sz w:val="24"/>
          <w:szCs w:val="24"/>
        </w:rPr>
      </w:pPr>
    </w:p>
    <w:p w14:paraId="3B3FFE4F" w14:textId="77777777" w:rsidR="00FC32EC" w:rsidRPr="009D0155" w:rsidRDefault="00FC32EC" w:rsidP="00D83412">
      <w:pPr>
        <w:ind w:left="851"/>
        <w:rPr>
          <w:sz w:val="24"/>
          <w:szCs w:val="24"/>
        </w:rPr>
      </w:pPr>
      <w:r w:rsidRPr="009D0155">
        <w:rPr>
          <w:sz w:val="24"/>
          <w:szCs w:val="24"/>
        </w:rPr>
        <w:t xml:space="preserve">Disse </w:t>
      </w:r>
      <w:proofErr w:type="spellStart"/>
      <w:r w:rsidRPr="009D0155">
        <w:rPr>
          <w:sz w:val="24"/>
          <w:szCs w:val="24"/>
        </w:rPr>
        <w:t>højrisicipatienter</w:t>
      </w:r>
      <w:proofErr w:type="spellEnd"/>
      <w:r w:rsidRPr="009D0155">
        <w:rPr>
          <w:sz w:val="24"/>
          <w:szCs w:val="24"/>
        </w:rPr>
        <w:t xml:space="preserve"> kræver lavere doser (se pkt. 4.2) og bør overvåges kontinuerligt for tidlige tegn på ændringer i de vitale funktioner.</w:t>
      </w:r>
    </w:p>
    <w:p w14:paraId="210BE096" w14:textId="77777777" w:rsidR="00FC32EC" w:rsidRPr="009D0155" w:rsidRDefault="00FC32EC" w:rsidP="00D83412">
      <w:pPr>
        <w:ind w:left="851"/>
        <w:rPr>
          <w:sz w:val="24"/>
          <w:szCs w:val="24"/>
        </w:rPr>
      </w:pPr>
    </w:p>
    <w:p w14:paraId="5FB3A3B2" w14:textId="75E0F09D" w:rsidR="00FC32EC" w:rsidRPr="009D0155" w:rsidRDefault="00FC32EC" w:rsidP="00D83412">
      <w:pPr>
        <w:ind w:left="851"/>
        <w:rPr>
          <w:sz w:val="24"/>
          <w:szCs w:val="24"/>
        </w:rPr>
      </w:pPr>
      <w:r w:rsidRPr="009D0155">
        <w:rPr>
          <w:sz w:val="24"/>
          <w:szCs w:val="24"/>
        </w:rPr>
        <w:t xml:space="preserve">Der skal udvises særlig forsigtighed ved administration af </w:t>
      </w:r>
      <w:proofErr w:type="spellStart"/>
      <w:r w:rsidRPr="009D0155">
        <w:rPr>
          <w:sz w:val="24"/>
          <w:szCs w:val="24"/>
        </w:rPr>
        <w:t>midazolam</w:t>
      </w:r>
      <w:proofErr w:type="spellEnd"/>
      <w:r w:rsidRPr="009D0155">
        <w:rPr>
          <w:sz w:val="24"/>
          <w:szCs w:val="24"/>
        </w:rPr>
        <w:t xml:space="preserve"> til </w:t>
      </w:r>
      <w:r w:rsidRPr="005D0E5A">
        <w:rPr>
          <w:sz w:val="24"/>
          <w:szCs w:val="24"/>
          <w:u w:val="single"/>
        </w:rPr>
        <w:t>pædiatriske patienter på 12 kg til 43 kg</w:t>
      </w:r>
      <w:r w:rsidRPr="009D0155">
        <w:rPr>
          <w:sz w:val="24"/>
          <w:szCs w:val="24"/>
        </w:rPr>
        <w:t xml:space="preserve">, som er kronisk syge eller svækkede, og </w:t>
      </w:r>
      <w:r w:rsidRPr="005D0E5A">
        <w:rPr>
          <w:sz w:val="24"/>
          <w:szCs w:val="24"/>
          <w:u w:val="single"/>
        </w:rPr>
        <w:t>patienter &gt; 60 år</w:t>
      </w:r>
      <w:r w:rsidRPr="009D0155">
        <w:rPr>
          <w:sz w:val="24"/>
          <w:szCs w:val="24"/>
        </w:rPr>
        <w:t xml:space="preserve">, som er kronisk syge eller svækkede, fx patienter med kronisk åndedrætsbesvær, patienter med kronisk nyresvigt eller med nedsat lever- eller hjertefunktion, som kræver vågen </w:t>
      </w:r>
      <w:proofErr w:type="spellStart"/>
      <w:r w:rsidRPr="009D0155">
        <w:rPr>
          <w:sz w:val="24"/>
          <w:szCs w:val="24"/>
        </w:rPr>
        <w:t>sedering</w:t>
      </w:r>
      <w:proofErr w:type="spellEnd"/>
      <w:r w:rsidRPr="009D0155">
        <w:rPr>
          <w:sz w:val="24"/>
          <w:szCs w:val="24"/>
        </w:rPr>
        <w:t xml:space="preserve"> eller præmedicinering. Disse højrisikopatienter bør kun anvende </w:t>
      </w:r>
      <w:proofErr w:type="spellStart"/>
      <w:r w:rsidR="00BE7117">
        <w:rPr>
          <w:sz w:val="24"/>
          <w:szCs w:val="24"/>
        </w:rPr>
        <w:t>Medirom</w:t>
      </w:r>
      <w:proofErr w:type="spellEnd"/>
      <w:r w:rsidRPr="009D0155">
        <w:rPr>
          <w:sz w:val="24"/>
          <w:szCs w:val="24"/>
        </w:rPr>
        <w:t xml:space="preserve"> i omgivelser, som er fuldt udstyret til overvågning og support af respiratoriske og </w:t>
      </w:r>
      <w:proofErr w:type="spellStart"/>
      <w:r w:rsidRPr="009D0155">
        <w:rPr>
          <w:sz w:val="24"/>
          <w:szCs w:val="24"/>
        </w:rPr>
        <w:t>kardiovaskulære</w:t>
      </w:r>
      <w:proofErr w:type="spellEnd"/>
      <w:r w:rsidRPr="009D0155">
        <w:rPr>
          <w:sz w:val="24"/>
          <w:szCs w:val="24"/>
        </w:rPr>
        <w:t xml:space="preserve"> funktioner og af personer, som er særligt uddannede i genkendelse og behandling af forventede bivirkninger, herunder respiratorisk og hjerterelateret genoplivning.</w:t>
      </w:r>
    </w:p>
    <w:p w14:paraId="099BCF44" w14:textId="77777777" w:rsidR="00FC32EC" w:rsidRPr="009D0155" w:rsidRDefault="00FC32EC" w:rsidP="00D83412">
      <w:pPr>
        <w:ind w:left="851"/>
        <w:rPr>
          <w:sz w:val="24"/>
          <w:szCs w:val="24"/>
        </w:rPr>
      </w:pPr>
    </w:p>
    <w:p w14:paraId="396B10E3" w14:textId="77777777" w:rsidR="00FC32EC" w:rsidRPr="005D0E5A" w:rsidRDefault="00FC32EC" w:rsidP="00D83412">
      <w:pPr>
        <w:ind w:left="851"/>
        <w:rPr>
          <w:sz w:val="24"/>
          <w:szCs w:val="24"/>
          <w:u w:val="single"/>
        </w:rPr>
      </w:pPr>
      <w:r w:rsidRPr="005D0E5A">
        <w:rPr>
          <w:sz w:val="24"/>
          <w:szCs w:val="24"/>
          <w:u w:val="single"/>
        </w:rPr>
        <w:t>Ældre patienter</w:t>
      </w:r>
    </w:p>
    <w:p w14:paraId="5B739C3F" w14:textId="119637E5" w:rsidR="00FC32EC" w:rsidRPr="009D0155" w:rsidRDefault="00FC32EC" w:rsidP="00D83412">
      <w:pPr>
        <w:ind w:left="851"/>
        <w:rPr>
          <w:sz w:val="24"/>
          <w:szCs w:val="24"/>
        </w:rPr>
      </w:pPr>
      <w:r w:rsidRPr="009D0155">
        <w:rPr>
          <w:sz w:val="24"/>
          <w:szCs w:val="24"/>
        </w:rPr>
        <w:t xml:space="preserve">Patienter &gt; 60 år skal være opmærksomme på, at brug af </w:t>
      </w:r>
      <w:proofErr w:type="spellStart"/>
      <w:r w:rsidR="00BE7117">
        <w:rPr>
          <w:sz w:val="24"/>
          <w:szCs w:val="24"/>
        </w:rPr>
        <w:t>Medirom</w:t>
      </w:r>
      <w:proofErr w:type="spellEnd"/>
      <w:r w:rsidRPr="009D0155">
        <w:rPr>
          <w:sz w:val="24"/>
          <w:szCs w:val="24"/>
        </w:rPr>
        <w:t xml:space="preserve"> kan resultere i længerevarende </w:t>
      </w:r>
      <w:proofErr w:type="spellStart"/>
      <w:r w:rsidRPr="009D0155">
        <w:rPr>
          <w:sz w:val="24"/>
          <w:szCs w:val="24"/>
        </w:rPr>
        <w:t>sedering</w:t>
      </w:r>
      <w:proofErr w:type="spellEnd"/>
      <w:r w:rsidRPr="009D0155">
        <w:rPr>
          <w:sz w:val="24"/>
          <w:szCs w:val="24"/>
        </w:rPr>
        <w:t>.</w:t>
      </w:r>
    </w:p>
    <w:p w14:paraId="7D3DF72C" w14:textId="77777777" w:rsidR="00FC32EC" w:rsidRPr="009D0155" w:rsidRDefault="00FC32EC" w:rsidP="00D83412">
      <w:pPr>
        <w:ind w:left="851"/>
        <w:rPr>
          <w:sz w:val="24"/>
          <w:szCs w:val="24"/>
        </w:rPr>
      </w:pPr>
    </w:p>
    <w:p w14:paraId="4D404E77" w14:textId="77777777" w:rsidR="00FC32EC" w:rsidRPr="005D0E5A" w:rsidRDefault="00FC32EC" w:rsidP="00D83412">
      <w:pPr>
        <w:ind w:left="851"/>
        <w:rPr>
          <w:sz w:val="24"/>
          <w:szCs w:val="24"/>
          <w:u w:val="single"/>
        </w:rPr>
      </w:pPr>
      <w:r w:rsidRPr="005D0E5A">
        <w:rPr>
          <w:sz w:val="24"/>
          <w:szCs w:val="24"/>
          <w:u w:val="single"/>
        </w:rPr>
        <w:t>Hukommelsestab</w:t>
      </w:r>
    </w:p>
    <w:p w14:paraId="370F1242" w14:textId="77777777" w:rsidR="00FC32EC" w:rsidRPr="009D0155" w:rsidRDefault="00FC32EC" w:rsidP="00D83412">
      <w:pPr>
        <w:ind w:left="851"/>
        <w:rPr>
          <w:sz w:val="24"/>
          <w:szCs w:val="24"/>
        </w:rPr>
      </w:pPr>
      <w:proofErr w:type="spellStart"/>
      <w:r w:rsidRPr="009D0155">
        <w:rPr>
          <w:sz w:val="24"/>
          <w:szCs w:val="24"/>
        </w:rPr>
        <w:t>Anterograd</w:t>
      </w:r>
      <w:proofErr w:type="spellEnd"/>
      <w:r w:rsidRPr="009D0155">
        <w:rPr>
          <w:sz w:val="24"/>
          <w:szCs w:val="24"/>
        </w:rPr>
        <w:t xml:space="preserve"> amnesi kan opstå ved behandlingsdosis, med øget risiko ved højere doser (ofte er denne virkning meget ønskelig i situationer såsom før og under kirurgiske og diagnostiske procedurer). Varigheden af dette er direkte relateret til den administrerede dosis. Længerevarende amnesi kan udgøre problemer hos ambulante patienter, som er planlagt til udskrivelse efter intervention. </w:t>
      </w:r>
    </w:p>
    <w:p w14:paraId="583C3E73" w14:textId="77777777" w:rsidR="00FC32EC" w:rsidRPr="009D0155" w:rsidRDefault="00FC32EC" w:rsidP="00D83412">
      <w:pPr>
        <w:ind w:left="851"/>
        <w:rPr>
          <w:sz w:val="24"/>
          <w:szCs w:val="24"/>
        </w:rPr>
      </w:pPr>
    </w:p>
    <w:p w14:paraId="1A349EC4" w14:textId="77777777" w:rsidR="00FC32EC" w:rsidRPr="005D0E5A" w:rsidRDefault="00FC32EC" w:rsidP="00D83412">
      <w:pPr>
        <w:ind w:left="851"/>
        <w:rPr>
          <w:sz w:val="24"/>
          <w:szCs w:val="24"/>
          <w:u w:val="single"/>
        </w:rPr>
      </w:pPr>
      <w:r w:rsidRPr="005D0E5A">
        <w:rPr>
          <w:sz w:val="24"/>
          <w:szCs w:val="24"/>
          <w:u w:val="single"/>
        </w:rPr>
        <w:t xml:space="preserve">Udskrivelseskriterier efter vågen </w:t>
      </w:r>
      <w:proofErr w:type="spellStart"/>
      <w:r w:rsidRPr="005D0E5A">
        <w:rPr>
          <w:sz w:val="24"/>
          <w:szCs w:val="24"/>
          <w:u w:val="single"/>
        </w:rPr>
        <w:t>sedering</w:t>
      </w:r>
      <w:proofErr w:type="spellEnd"/>
    </w:p>
    <w:p w14:paraId="6FBB88A3" w14:textId="77777777" w:rsidR="00FC32EC" w:rsidRPr="009D0155" w:rsidRDefault="00FC32EC" w:rsidP="00D83412">
      <w:pPr>
        <w:ind w:left="851"/>
        <w:rPr>
          <w:sz w:val="24"/>
          <w:szCs w:val="24"/>
        </w:rPr>
      </w:pPr>
      <w:r w:rsidRPr="009D0155">
        <w:rPr>
          <w:sz w:val="24"/>
          <w:szCs w:val="24"/>
        </w:rPr>
        <w:t xml:space="preserve">Efter at have modtaget </w:t>
      </w:r>
      <w:proofErr w:type="spellStart"/>
      <w:r w:rsidRPr="009D0155">
        <w:rPr>
          <w:sz w:val="24"/>
          <w:szCs w:val="24"/>
        </w:rPr>
        <w:t>midazolam</w:t>
      </w:r>
      <w:proofErr w:type="spellEnd"/>
      <w:r w:rsidRPr="009D0155">
        <w:rPr>
          <w:sz w:val="24"/>
          <w:szCs w:val="24"/>
        </w:rPr>
        <w:t xml:space="preserve"> må patienter kun udskrives fra hospital eller konsultationsrum, når det anbefales af den behandlende læge. Det anbefales, at patienten ledsages, når vedkommende vender hjem efter udskrivning</w:t>
      </w:r>
    </w:p>
    <w:p w14:paraId="0875C157" w14:textId="77777777" w:rsidR="00FC32EC" w:rsidRPr="009D0155" w:rsidRDefault="00FC32EC" w:rsidP="00D83412">
      <w:pPr>
        <w:ind w:left="851"/>
        <w:rPr>
          <w:sz w:val="24"/>
          <w:szCs w:val="24"/>
        </w:rPr>
      </w:pPr>
    </w:p>
    <w:p w14:paraId="2886DE47" w14:textId="77777777" w:rsidR="00FC32EC" w:rsidRPr="005D0E5A" w:rsidRDefault="00FC32EC" w:rsidP="00D83412">
      <w:pPr>
        <w:ind w:left="851"/>
        <w:rPr>
          <w:sz w:val="24"/>
          <w:szCs w:val="24"/>
          <w:u w:val="single"/>
        </w:rPr>
      </w:pPr>
      <w:r w:rsidRPr="005D0E5A">
        <w:rPr>
          <w:sz w:val="24"/>
          <w:szCs w:val="24"/>
          <w:u w:val="single"/>
        </w:rPr>
        <w:t xml:space="preserve">Ændret eliminering af </w:t>
      </w:r>
      <w:proofErr w:type="spellStart"/>
      <w:r w:rsidRPr="005D0E5A">
        <w:rPr>
          <w:sz w:val="24"/>
          <w:szCs w:val="24"/>
          <w:u w:val="single"/>
        </w:rPr>
        <w:t>midazolam</w:t>
      </w:r>
      <w:proofErr w:type="spellEnd"/>
    </w:p>
    <w:p w14:paraId="590A220F"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skal anvendes med forsigtighed hos patienter med kronisk nyresvigt, nedsat lever- eller hjertefunktion. </w:t>
      </w:r>
    </w:p>
    <w:p w14:paraId="74C9723D" w14:textId="77777777" w:rsidR="00FC32EC" w:rsidRPr="009D0155" w:rsidRDefault="00FC32EC" w:rsidP="00D83412">
      <w:pPr>
        <w:ind w:left="851"/>
        <w:rPr>
          <w:sz w:val="24"/>
          <w:szCs w:val="24"/>
        </w:rPr>
      </w:pPr>
      <w:proofErr w:type="spellStart"/>
      <w:r w:rsidRPr="009D0155">
        <w:rPr>
          <w:sz w:val="24"/>
          <w:szCs w:val="24"/>
        </w:rPr>
        <w:t>Midazolameliminering</w:t>
      </w:r>
      <w:proofErr w:type="spellEnd"/>
      <w:r w:rsidRPr="009D0155">
        <w:rPr>
          <w:sz w:val="24"/>
          <w:szCs w:val="24"/>
        </w:rPr>
        <w:t xml:space="preserve"> kan ændres hos patienter, som modtager blandinger, der virker hæmmende på eller fremkalder CYP3A4, og dosen af </w:t>
      </w:r>
      <w:proofErr w:type="spellStart"/>
      <w:r w:rsidRPr="009D0155">
        <w:rPr>
          <w:sz w:val="24"/>
          <w:szCs w:val="24"/>
        </w:rPr>
        <w:t>midazolam</w:t>
      </w:r>
      <w:proofErr w:type="spellEnd"/>
      <w:r w:rsidRPr="009D0155">
        <w:rPr>
          <w:sz w:val="24"/>
          <w:szCs w:val="24"/>
        </w:rPr>
        <w:t xml:space="preserve"> skal muligvis justeres i overensstemmelse hermed (se pkt. 4.5).</w:t>
      </w:r>
    </w:p>
    <w:p w14:paraId="6F30715D" w14:textId="77777777" w:rsidR="00FC32EC" w:rsidRPr="009D0155" w:rsidRDefault="00FC32EC" w:rsidP="00D83412">
      <w:pPr>
        <w:ind w:left="851"/>
        <w:rPr>
          <w:sz w:val="24"/>
          <w:szCs w:val="24"/>
        </w:rPr>
      </w:pPr>
      <w:r w:rsidRPr="009D0155">
        <w:rPr>
          <w:sz w:val="24"/>
          <w:szCs w:val="24"/>
        </w:rPr>
        <w:t xml:space="preserve">Eliminering af </w:t>
      </w:r>
      <w:proofErr w:type="spellStart"/>
      <w:r w:rsidRPr="009D0155">
        <w:rPr>
          <w:sz w:val="24"/>
          <w:szCs w:val="24"/>
        </w:rPr>
        <w:t>midazolam</w:t>
      </w:r>
      <w:proofErr w:type="spellEnd"/>
      <w:r w:rsidRPr="009D0155">
        <w:rPr>
          <w:sz w:val="24"/>
          <w:szCs w:val="24"/>
        </w:rPr>
        <w:t xml:space="preserve"> kan også blive forsinket hos patienter med leverdysfunktion, lav hjerteydelse og med kronisk nyresvigt (se pkt. 5.2). </w:t>
      </w:r>
      <w:proofErr w:type="spellStart"/>
      <w:r w:rsidRPr="009D0155">
        <w:rPr>
          <w:sz w:val="24"/>
          <w:szCs w:val="24"/>
        </w:rPr>
        <w:t>Midazolam</w:t>
      </w:r>
      <w:proofErr w:type="spellEnd"/>
      <w:r w:rsidRPr="009D0155">
        <w:rPr>
          <w:sz w:val="24"/>
          <w:szCs w:val="24"/>
        </w:rPr>
        <w:t xml:space="preserve"> kan akkumuleres hos patienter med nedsat leverfunktion, mens det hos patienter med nedsat hjertefunktion kan forårsage øget </w:t>
      </w:r>
      <w:proofErr w:type="spellStart"/>
      <w:r w:rsidRPr="009D0155">
        <w:rPr>
          <w:sz w:val="24"/>
          <w:szCs w:val="24"/>
        </w:rPr>
        <w:t>clearance</w:t>
      </w:r>
      <w:proofErr w:type="spellEnd"/>
      <w:r w:rsidRPr="009D0155">
        <w:rPr>
          <w:sz w:val="24"/>
          <w:szCs w:val="24"/>
        </w:rPr>
        <w:t xml:space="preserve"> af </w:t>
      </w:r>
      <w:proofErr w:type="spellStart"/>
      <w:r w:rsidRPr="009D0155">
        <w:rPr>
          <w:sz w:val="24"/>
          <w:szCs w:val="24"/>
        </w:rPr>
        <w:t>midazolam</w:t>
      </w:r>
      <w:proofErr w:type="spellEnd"/>
      <w:r w:rsidRPr="009D0155">
        <w:rPr>
          <w:sz w:val="24"/>
          <w:szCs w:val="24"/>
        </w:rPr>
        <w:t>.</w:t>
      </w:r>
    </w:p>
    <w:p w14:paraId="3079E982" w14:textId="77777777" w:rsidR="00FC32EC" w:rsidRPr="009D0155" w:rsidRDefault="00FC32EC" w:rsidP="00D83412">
      <w:pPr>
        <w:ind w:left="851"/>
        <w:rPr>
          <w:iCs/>
          <w:sz w:val="24"/>
          <w:szCs w:val="24"/>
        </w:rPr>
      </w:pPr>
    </w:p>
    <w:p w14:paraId="4FFFE948" w14:textId="77777777" w:rsidR="00FC32EC" w:rsidRPr="00A82804" w:rsidRDefault="00FC32EC" w:rsidP="00D83412">
      <w:pPr>
        <w:ind w:left="851"/>
        <w:rPr>
          <w:iCs/>
          <w:sz w:val="24"/>
          <w:szCs w:val="24"/>
          <w:u w:val="single"/>
          <w:lang w:val="nl-NL"/>
        </w:rPr>
      </w:pPr>
      <w:r w:rsidRPr="00A82804">
        <w:rPr>
          <w:sz w:val="24"/>
          <w:szCs w:val="24"/>
          <w:u w:val="single"/>
        </w:rPr>
        <w:t>Risiko ved samtidig brug af opioider</w:t>
      </w:r>
    </w:p>
    <w:p w14:paraId="27A54CD2" w14:textId="3FE84EB8" w:rsidR="00FC32EC" w:rsidRPr="009D0155" w:rsidRDefault="00FC32EC" w:rsidP="00D83412">
      <w:pPr>
        <w:ind w:left="851"/>
        <w:rPr>
          <w:color w:val="000000"/>
          <w:sz w:val="24"/>
          <w:szCs w:val="24"/>
        </w:rPr>
      </w:pPr>
      <w:r w:rsidRPr="009D0155">
        <w:rPr>
          <w:color w:val="000000"/>
          <w:sz w:val="24"/>
          <w:szCs w:val="24"/>
        </w:rPr>
        <w:t xml:space="preserve">Samtidig brug af </w:t>
      </w:r>
      <w:proofErr w:type="spellStart"/>
      <w:r w:rsidR="00BE7117">
        <w:rPr>
          <w:sz w:val="24"/>
          <w:szCs w:val="24"/>
        </w:rPr>
        <w:t>Medirom</w:t>
      </w:r>
      <w:proofErr w:type="spellEnd"/>
      <w:r w:rsidRPr="009D0155">
        <w:rPr>
          <w:color w:val="000000"/>
          <w:sz w:val="24"/>
          <w:szCs w:val="24"/>
        </w:rPr>
        <w:t xml:space="preserve"> og opioider kan resultere i </w:t>
      </w:r>
      <w:proofErr w:type="spellStart"/>
      <w:r w:rsidRPr="009D0155">
        <w:rPr>
          <w:color w:val="000000"/>
          <w:sz w:val="24"/>
          <w:szCs w:val="24"/>
        </w:rPr>
        <w:t>sedering</w:t>
      </w:r>
      <w:proofErr w:type="spellEnd"/>
      <w:r w:rsidRPr="009D0155">
        <w:rPr>
          <w:color w:val="000000"/>
          <w:sz w:val="24"/>
          <w:szCs w:val="24"/>
        </w:rPr>
        <w:t xml:space="preserve">, respirationsdepression, koma og død. På grund af disse risici bør samtidig ordination af beroligende medicin såsom benzodiazepiner eller beslægtede lægemidler såsom </w:t>
      </w:r>
      <w:proofErr w:type="spellStart"/>
      <w:r w:rsidR="00BE7117">
        <w:rPr>
          <w:sz w:val="24"/>
          <w:szCs w:val="24"/>
        </w:rPr>
        <w:t>Medirom</w:t>
      </w:r>
      <w:proofErr w:type="spellEnd"/>
      <w:r w:rsidRPr="009D0155">
        <w:rPr>
          <w:color w:val="000000"/>
          <w:sz w:val="24"/>
          <w:szCs w:val="24"/>
        </w:rPr>
        <w:t xml:space="preserve"> med opioider forbeholdes patienter, for hvem alternative behandlingsmuligheder ikke er mulige. Hvis der træffes beslutning om at ordinere </w:t>
      </w:r>
      <w:proofErr w:type="spellStart"/>
      <w:r w:rsidR="00BE7117">
        <w:rPr>
          <w:sz w:val="24"/>
          <w:szCs w:val="24"/>
        </w:rPr>
        <w:t>Medirom</w:t>
      </w:r>
      <w:proofErr w:type="spellEnd"/>
      <w:r w:rsidRPr="009D0155">
        <w:rPr>
          <w:color w:val="000000"/>
          <w:sz w:val="24"/>
          <w:szCs w:val="24"/>
        </w:rPr>
        <w:t xml:space="preserve"> samtidig med opioider, skal den laveste effektive dosis og den kortest mulige varighed af opioider anvendes.</w:t>
      </w:r>
    </w:p>
    <w:p w14:paraId="0B80C9B7" w14:textId="77777777" w:rsidR="00FC32EC" w:rsidRPr="009D0155" w:rsidRDefault="00FC32EC" w:rsidP="00D83412">
      <w:pPr>
        <w:ind w:left="851"/>
        <w:rPr>
          <w:iCs/>
          <w:sz w:val="24"/>
          <w:szCs w:val="24"/>
        </w:rPr>
      </w:pPr>
      <w:r w:rsidRPr="009D0155">
        <w:rPr>
          <w:color w:val="000000"/>
          <w:sz w:val="24"/>
          <w:szCs w:val="24"/>
        </w:rPr>
        <w:t xml:space="preserve">Patienterne skal følges tæt for tegn og symptomer på respirationsdepression og </w:t>
      </w:r>
      <w:proofErr w:type="spellStart"/>
      <w:r w:rsidRPr="009D0155">
        <w:rPr>
          <w:color w:val="000000"/>
          <w:sz w:val="24"/>
          <w:szCs w:val="24"/>
        </w:rPr>
        <w:t>sedering</w:t>
      </w:r>
      <w:proofErr w:type="spellEnd"/>
      <w:r w:rsidRPr="009D0155">
        <w:rPr>
          <w:color w:val="000000"/>
          <w:sz w:val="24"/>
          <w:szCs w:val="24"/>
        </w:rPr>
        <w:t>. I den henseende anbefales det kraftigt at informere patienter og deres omsorgspersoner (hvor det er relevant) om at være opmærksom på disse symptomer (se pkt. 4.5).</w:t>
      </w:r>
    </w:p>
    <w:p w14:paraId="66C73883" w14:textId="77777777" w:rsidR="00FC32EC" w:rsidRPr="009D0155" w:rsidRDefault="00FC32EC" w:rsidP="00D83412">
      <w:pPr>
        <w:ind w:left="851"/>
        <w:rPr>
          <w:iCs/>
          <w:sz w:val="24"/>
          <w:szCs w:val="24"/>
        </w:rPr>
      </w:pPr>
    </w:p>
    <w:p w14:paraId="03CFDAED" w14:textId="77777777" w:rsidR="00FC32EC" w:rsidRPr="00A82804" w:rsidRDefault="00FC32EC" w:rsidP="00D83412">
      <w:pPr>
        <w:ind w:left="851"/>
        <w:rPr>
          <w:sz w:val="24"/>
          <w:szCs w:val="24"/>
          <w:u w:val="single"/>
        </w:rPr>
      </w:pPr>
      <w:r w:rsidRPr="00A82804">
        <w:rPr>
          <w:sz w:val="24"/>
          <w:szCs w:val="24"/>
          <w:u w:val="single"/>
        </w:rPr>
        <w:t>Samtidig brug af alkohol/CNS-</w:t>
      </w:r>
      <w:proofErr w:type="spellStart"/>
      <w:r w:rsidRPr="00A82804">
        <w:rPr>
          <w:sz w:val="24"/>
          <w:szCs w:val="24"/>
          <w:u w:val="single"/>
        </w:rPr>
        <w:t>depressiva</w:t>
      </w:r>
      <w:proofErr w:type="spellEnd"/>
    </w:p>
    <w:p w14:paraId="580E67B3" w14:textId="5B53C750" w:rsidR="00FC32EC" w:rsidRPr="009D0155" w:rsidRDefault="00FC32EC" w:rsidP="00D83412">
      <w:pPr>
        <w:ind w:left="851"/>
        <w:rPr>
          <w:sz w:val="24"/>
          <w:szCs w:val="24"/>
        </w:rPr>
      </w:pPr>
      <w:r w:rsidRPr="009D0155">
        <w:rPr>
          <w:sz w:val="24"/>
          <w:szCs w:val="24"/>
        </w:rPr>
        <w:t xml:space="preserve">Samtidig brug af </w:t>
      </w:r>
      <w:proofErr w:type="spellStart"/>
      <w:r w:rsidRPr="009D0155">
        <w:rPr>
          <w:sz w:val="24"/>
          <w:szCs w:val="24"/>
        </w:rPr>
        <w:t>midazolam</w:t>
      </w:r>
      <w:proofErr w:type="spellEnd"/>
      <w:r w:rsidRPr="009D0155">
        <w:rPr>
          <w:sz w:val="24"/>
          <w:szCs w:val="24"/>
        </w:rPr>
        <w:t xml:space="preserve"> med alkohol eller/og CNS-</w:t>
      </w:r>
      <w:proofErr w:type="spellStart"/>
      <w:r w:rsidRPr="009D0155">
        <w:rPr>
          <w:sz w:val="24"/>
          <w:szCs w:val="24"/>
        </w:rPr>
        <w:t>depressiva</w:t>
      </w:r>
      <w:proofErr w:type="spellEnd"/>
      <w:r w:rsidRPr="009D0155">
        <w:rPr>
          <w:sz w:val="24"/>
          <w:szCs w:val="24"/>
        </w:rPr>
        <w:t xml:space="preserve"> skal undgås. En sådan samtidig brug kan potentielt øge de kliniske virkninger af </w:t>
      </w:r>
      <w:proofErr w:type="spellStart"/>
      <w:r w:rsidRPr="009D0155">
        <w:rPr>
          <w:sz w:val="24"/>
          <w:szCs w:val="24"/>
        </w:rPr>
        <w:t>midazolam</w:t>
      </w:r>
      <w:proofErr w:type="spellEnd"/>
      <w:r w:rsidRPr="009D0155">
        <w:rPr>
          <w:sz w:val="24"/>
          <w:szCs w:val="24"/>
        </w:rPr>
        <w:t xml:space="preserve">, muligvis herunder alvorlig </w:t>
      </w:r>
      <w:proofErr w:type="spellStart"/>
      <w:r w:rsidRPr="009D0155">
        <w:rPr>
          <w:sz w:val="24"/>
          <w:szCs w:val="24"/>
        </w:rPr>
        <w:t>sedering</w:t>
      </w:r>
      <w:proofErr w:type="spellEnd"/>
      <w:r w:rsidRPr="009D0155">
        <w:rPr>
          <w:sz w:val="24"/>
          <w:szCs w:val="24"/>
        </w:rPr>
        <w:t>, der kan resultere i koma eller død eller klinisk relevant respirations</w:t>
      </w:r>
      <w:r w:rsidR="00044474">
        <w:rPr>
          <w:sz w:val="24"/>
          <w:szCs w:val="24"/>
        </w:rPr>
        <w:softHyphen/>
      </w:r>
      <w:r w:rsidRPr="009D0155">
        <w:rPr>
          <w:sz w:val="24"/>
          <w:szCs w:val="24"/>
        </w:rPr>
        <w:t xml:space="preserve">depression (se pkt. 4.5). </w:t>
      </w:r>
    </w:p>
    <w:p w14:paraId="3BAD214F" w14:textId="77777777" w:rsidR="00FC32EC" w:rsidRPr="009D0155" w:rsidRDefault="00FC32EC" w:rsidP="00D83412">
      <w:pPr>
        <w:ind w:left="851"/>
        <w:rPr>
          <w:sz w:val="24"/>
          <w:szCs w:val="24"/>
        </w:rPr>
      </w:pPr>
    </w:p>
    <w:p w14:paraId="7BE3A106" w14:textId="77777777" w:rsidR="00FC32EC" w:rsidRPr="00A82804" w:rsidRDefault="00FC32EC" w:rsidP="00D83412">
      <w:pPr>
        <w:ind w:left="851"/>
        <w:rPr>
          <w:sz w:val="24"/>
          <w:szCs w:val="24"/>
          <w:u w:val="single"/>
        </w:rPr>
      </w:pPr>
      <w:r w:rsidRPr="00A82804">
        <w:rPr>
          <w:sz w:val="24"/>
          <w:szCs w:val="24"/>
          <w:u w:val="single"/>
        </w:rPr>
        <w:t>Samtidig brug af andre benzodiazepiner</w:t>
      </w:r>
    </w:p>
    <w:p w14:paraId="66A54E66" w14:textId="77777777" w:rsidR="00FC32EC" w:rsidRPr="009D0155" w:rsidRDefault="00FC32EC" w:rsidP="00D83412">
      <w:pPr>
        <w:ind w:left="851"/>
        <w:rPr>
          <w:sz w:val="24"/>
          <w:szCs w:val="24"/>
        </w:rPr>
      </w:pPr>
      <w:r w:rsidRPr="009D0155">
        <w:rPr>
          <w:sz w:val="24"/>
          <w:szCs w:val="24"/>
        </w:rPr>
        <w:t>Svækkede patienter har større tendens til at få virkninger på centralnervesystemet af benzodiazepiner, og derfor kan lavere doser være påkrævet.</w:t>
      </w:r>
    </w:p>
    <w:p w14:paraId="6EBD9C8F" w14:textId="51BE1A94" w:rsidR="001877CC" w:rsidRDefault="001877CC">
      <w:pPr>
        <w:rPr>
          <w:sz w:val="24"/>
          <w:szCs w:val="24"/>
        </w:rPr>
      </w:pPr>
      <w:r>
        <w:rPr>
          <w:sz w:val="24"/>
          <w:szCs w:val="24"/>
        </w:rPr>
        <w:br w:type="page"/>
      </w:r>
    </w:p>
    <w:p w14:paraId="050E7377" w14:textId="77777777" w:rsidR="00FC32EC" w:rsidRPr="009D0155" w:rsidRDefault="00FC32EC" w:rsidP="00D83412">
      <w:pPr>
        <w:ind w:left="851"/>
        <w:rPr>
          <w:sz w:val="24"/>
          <w:szCs w:val="24"/>
        </w:rPr>
      </w:pPr>
    </w:p>
    <w:p w14:paraId="7B2BFD4D" w14:textId="77777777" w:rsidR="00FC32EC" w:rsidRPr="00A82804" w:rsidRDefault="00FC32EC" w:rsidP="00D83412">
      <w:pPr>
        <w:ind w:left="851"/>
        <w:rPr>
          <w:sz w:val="24"/>
          <w:szCs w:val="24"/>
          <w:u w:val="single"/>
        </w:rPr>
      </w:pPr>
      <w:r w:rsidRPr="00A82804">
        <w:rPr>
          <w:sz w:val="24"/>
          <w:szCs w:val="24"/>
          <w:u w:val="single"/>
        </w:rPr>
        <w:t>Anamnese med alkohol- eller stofmisbrug</w:t>
      </w:r>
    </w:p>
    <w:p w14:paraId="61A16DC7"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såvel som andre benzodiazepiner skal undgås hos patienter med alkohol- eller stofmisbrug i anamnesen.</w:t>
      </w:r>
    </w:p>
    <w:p w14:paraId="08FD6069" w14:textId="77777777" w:rsidR="00FC32EC" w:rsidRPr="009D0155" w:rsidRDefault="00FC32EC" w:rsidP="00D83412">
      <w:pPr>
        <w:ind w:left="851"/>
        <w:rPr>
          <w:sz w:val="24"/>
          <w:szCs w:val="24"/>
        </w:rPr>
      </w:pPr>
    </w:p>
    <w:p w14:paraId="7B684BF2" w14:textId="77777777" w:rsidR="00FC32EC" w:rsidRPr="00A82804" w:rsidRDefault="00FC32EC" w:rsidP="00D83412">
      <w:pPr>
        <w:ind w:left="851"/>
        <w:rPr>
          <w:sz w:val="24"/>
          <w:szCs w:val="24"/>
          <w:u w:val="single"/>
        </w:rPr>
      </w:pPr>
      <w:r w:rsidRPr="00A82804">
        <w:rPr>
          <w:sz w:val="24"/>
          <w:szCs w:val="24"/>
          <w:u w:val="single"/>
        </w:rPr>
        <w:t>Hjælpestoffer</w:t>
      </w:r>
    </w:p>
    <w:p w14:paraId="6B367EC5" w14:textId="0A5E242F" w:rsidR="00FC32EC" w:rsidRPr="009D0155" w:rsidRDefault="00FC32EC" w:rsidP="00D83412">
      <w:pPr>
        <w:ind w:left="851"/>
        <w:rPr>
          <w:sz w:val="24"/>
          <w:szCs w:val="24"/>
        </w:rPr>
      </w:pPr>
      <w:r w:rsidRPr="009D0155">
        <w:rPr>
          <w:sz w:val="24"/>
          <w:szCs w:val="24"/>
        </w:rPr>
        <w:t xml:space="preserve">Dette produkt indeholder 7,8 mg (for </w:t>
      </w:r>
      <w:proofErr w:type="spellStart"/>
      <w:r w:rsidR="00BE7117">
        <w:rPr>
          <w:sz w:val="24"/>
          <w:szCs w:val="24"/>
        </w:rPr>
        <w:t>Medirom</w:t>
      </w:r>
      <w:proofErr w:type="spellEnd"/>
      <w:r w:rsidRPr="009D0155">
        <w:rPr>
          <w:sz w:val="24"/>
          <w:szCs w:val="24"/>
        </w:rPr>
        <w:t xml:space="preserve"> 2,5 mg), 11,7 mg (for </w:t>
      </w:r>
      <w:proofErr w:type="spellStart"/>
      <w:r w:rsidR="00BE7117">
        <w:rPr>
          <w:sz w:val="24"/>
          <w:szCs w:val="24"/>
        </w:rPr>
        <w:t>Medirom</w:t>
      </w:r>
      <w:proofErr w:type="spellEnd"/>
      <w:r w:rsidRPr="009D0155">
        <w:rPr>
          <w:sz w:val="24"/>
          <w:szCs w:val="24"/>
        </w:rPr>
        <w:t xml:space="preserve"> 3,75 mg) eller 15,6 mg (for </w:t>
      </w:r>
      <w:proofErr w:type="spellStart"/>
      <w:r w:rsidR="00BE7117">
        <w:rPr>
          <w:sz w:val="24"/>
          <w:szCs w:val="24"/>
        </w:rPr>
        <w:t>Medirom</w:t>
      </w:r>
      <w:proofErr w:type="spellEnd"/>
      <w:r w:rsidRPr="009D0155">
        <w:rPr>
          <w:sz w:val="24"/>
          <w:szCs w:val="24"/>
        </w:rPr>
        <w:t xml:space="preserve"> 5 mg) propylenglycol pr. dosisenhed.</w:t>
      </w:r>
    </w:p>
    <w:p w14:paraId="5098B38C" w14:textId="77777777" w:rsidR="009260DE" w:rsidRPr="009D0155" w:rsidRDefault="009260DE" w:rsidP="009260DE">
      <w:pPr>
        <w:tabs>
          <w:tab w:val="left" w:pos="851"/>
        </w:tabs>
        <w:ind w:left="851"/>
        <w:rPr>
          <w:sz w:val="24"/>
          <w:szCs w:val="24"/>
        </w:rPr>
      </w:pPr>
    </w:p>
    <w:p w14:paraId="0D2CF268" w14:textId="77777777" w:rsidR="009260DE" w:rsidRPr="009D0155" w:rsidRDefault="009260DE" w:rsidP="009260DE">
      <w:pPr>
        <w:tabs>
          <w:tab w:val="left" w:pos="851"/>
        </w:tabs>
        <w:ind w:left="851" w:hanging="851"/>
        <w:rPr>
          <w:b/>
          <w:sz w:val="24"/>
          <w:szCs w:val="24"/>
        </w:rPr>
      </w:pPr>
      <w:r w:rsidRPr="009D0155">
        <w:rPr>
          <w:b/>
          <w:sz w:val="24"/>
          <w:szCs w:val="24"/>
        </w:rPr>
        <w:t>4.5</w:t>
      </w:r>
      <w:r w:rsidRPr="009D0155">
        <w:rPr>
          <w:b/>
          <w:sz w:val="24"/>
          <w:szCs w:val="24"/>
        </w:rPr>
        <w:tab/>
        <w:t>Interaktion med andre lægemidler og andre former for interaktion</w:t>
      </w:r>
    </w:p>
    <w:p w14:paraId="3C009CB1" w14:textId="77777777" w:rsidR="00A82804" w:rsidRDefault="00A82804" w:rsidP="00D83412">
      <w:pPr>
        <w:ind w:left="851"/>
        <w:rPr>
          <w:sz w:val="24"/>
          <w:szCs w:val="24"/>
        </w:rPr>
      </w:pPr>
    </w:p>
    <w:p w14:paraId="746CE0E8" w14:textId="651D9C43" w:rsidR="00FC32EC" w:rsidRPr="00A82804" w:rsidRDefault="00FC32EC" w:rsidP="00D83412">
      <w:pPr>
        <w:ind w:left="851"/>
        <w:rPr>
          <w:sz w:val="24"/>
          <w:szCs w:val="24"/>
          <w:u w:val="single"/>
        </w:rPr>
      </w:pPr>
      <w:proofErr w:type="spellStart"/>
      <w:r w:rsidRPr="00A82804">
        <w:rPr>
          <w:sz w:val="24"/>
          <w:szCs w:val="24"/>
          <w:u w:val="single"/>
        </w:rPr>
        <w:t>Farmakokinetiske</w:t>
      </w:r>
      <w:proofErr w:type="spellEnd"/>
      <w:r w:rsidRPr="00A82804">
        <w:rPr>
          <w:sz w:val="24"/>
          <w:szCs w:val="24"/>
          <w:u w:val="single"/>
        </w:rPr>
        <w:t xml:space="preserve"> interaktioner</w:t>
      </w:r>
    </w:p>
    <w:p w14:paraId="0FFD0FCE"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w:t>
      </w:r>
      <w:proofErr w:type="spellStart"/>
      <w:r w:rsidRPr="009D0155">
        <w:rPr>
          <w:sz w:val="24"/>
          <w:szCs w:val="24"/>
        </w:rPr>
        <w:t>metaboliseres</w:t>
      </w:r>
      <w:proofErr w:type="spellEnd"/>
      <w:r w:rsidRPr="009D0155">
        <w:rPr>
          <w:sz w:val="24"/>
          <w:szCs w:val="24"/>
        </w:rPr>
        <w:t xml:space="preserve"> af </w:t>
      </w:r>
      <w:proofErr w:type="spellStart"/>
      <w:r w:rsidRPr="009D0155">
        <w:rPr>
          <w:sz w:val="24"/>
          <w:szCs w:val="24"/>
        </w:rPr>
        <w:t>cytochrom</w:t>
      </w:r>
      <w:proofErr w:type="spellEnd"/>
      <w:r w:rsidRPr="009D0155">
        <w:rPr>
          <w:sz w:val="24"/>
          <w:szCs w:val="24"/>
        </w:rPr>
        <w:t xml:space="preserve"> P450 (CYP3A4, CYP3A5). </w:t>
      </w:r>
      <w:proofErr w:type="spellStart"/>
      <w:r w:rsidRPr="009D0155">
        <w:rPr>
          <w:sz w:val="24"/>
          <w:szCs w:val="24"/>
        </w:rPr>
        <w:t>Hæmmere</w:t>
      </w:r>
      <w:proofErr w:type="spellEnd"/>
      <w:r w:rsidRPr="009D0155">
        <w:rPr>
          <w:sz w:val="24"/>
          <w:szCs w:val="24"/>
        </w:rPr>
        <w:t xml:space="preserve"> og inducere af CYP3A har potentialet til henholdsvis at øge og reducere plasmakoncentrationerne og efterfølgende virkningerne af </w:t>
      </w:r>
      <w:proofErr w:type="spellStart"/>
      <w:r w:rsidRPr="009D0155">
        <w:rPr>
          <w:sz w:val="24"/>
          <w:szCs w:val="24"/>
        </w:rPr>
        <w:t>midazolam</w:t>
      </w:r>
      <w:proofErr w:type="spellEnd"/>
      <w:r w:rsidRPr="009D0155">
        <w:rPr>
          <w:sz w:val="24"/>
          <w:szCs w:val="24"/>
        </w:rPr>
        <w:t xml:space="preserve">, hvilket kræver dosisjustering i overensstemmelse hermed. </w:t>
      </w:r>
    </w:p>
    <w:p w14:paraId="7A541E7C" w14:textId="77777777" w:rsidR="00FC32EC" w:rsidRPr="009D0155" w:rsidRDefault="00FC32EC" w:rsidP="00D83412">
      <w:pPr>
        <w:ind w:left="851"/>
        <w:rPr>
          <w:sz w:val="24"/>
          <w:szCs w:val="24"/>
        </w:rPr>
      </w:pPr>
    </w:p>
    <w:p w14:paraId="08227449" w14:textId="16704B97" w:rsidR="00FC32EC" w:rsidRPr="009D0155" w:rsidRDefault="00FC32EC" w:rsidP="00D83412">
      <w:pPr>
        <w:ind w:left="851"/>
        <w:rPr>
          <w:sz w:val="24"/>
          <w:szCs w:val="24"/>
        </w:rPr>
      </w:pPr>
      <w:proofErr w:type="spellStart"/>
      <w:r w:rsidRPr="009D0155">
        <w:rPr>
          <w:sz w:val="24"/>
          <w:szCs w:val="24"/>
        </w:rPr>
        <w:t>Farmakokinetiske</w:t>
      </w:r>
      <w:proofErr w:type="spellEnd"/>
      <w:r w:rsidRPr="009D0155">
        <w:rPr>
          <w:sz w:val="24"/>
          <w:szCs w:val="24"/>
        </w:rPr>
        <w:t xml:space="preserve"> interaktioner med CYP3A4-hæmmere- eller inducere er mere udtalte ved oral sammenlignet med intravenøs eller intranasal administration af </w:t>
      </w:r>
      <w:proofErr w:type="spellStart"/>
      <w:r w:rsidRPr="009D0155">
        <w:rPr>
          <w:sz w:val="24"/>
          <w:szCs w:val="24"/>
        </w:rPr>
        <w:t>midazolam</w:t>
      </w:r>
      <w:proofErr w:type="spellEnd"/>
      <w:r w:rsidRPr="009D0155">
        <w:rPr>
          <w:sz w:val="24"/>
          <w:szCs w:val="24"/>
        </w:rPr>
        <w:t>, særligt da CYP3A4 også findes i den øvre mave-tarm</w:t>
      </w:r>
      <w:r w:rsidR="001877CC">
        <w:rPr>
          <w:sz w:val="24"/>
          <w:szCs w:val="24"/>
        </w:rPr>
        <w:t>-</w:t>
      </w:r>
      <w:r w:rsidRPr="009D0155">
        <w:rPr>
          <w:sz w:val="24"/>
          <w:szCs w:val="24"/>
        </w:rPr>
        <w:t xml:space="preserve">kanal. Dette skyldes, at for den orale vej vil både systemisk </w:t>
      </w:r>
      <w:proofErr w:type="spellStart"/>
      <w:r w:rsidRPr="009D0155">
        <w:rPr>
          <w:sz w:val="24"/>
          <w:szCs w:val="24"/>
        </w:rPr>
        <w:t>clearance</w:t>
      </w:r>
      <w:proofErr w:type="spellEnd"/>
      <w:r w:rsidRPr="009D0155">
        <w:rPr>
          <w:sz w:val="24"/>
          <w:szCs w:val="24"/>
        </w:rPr>
        <w:t xml:space="preserve"> og tilgængelighed blive ændret, mens for den parenterale og intranasale vej vil kun ændringen i den systemiske </w:t>
      </w:r>
      <w:proofErr w:type="spellStart"/>
      <w:r w:rsidRPr="009D0155">
        <w:rPr>
          <w:sz w:val="24"/>
          <w:szCs w:val="24"/>
        </w:rPr>
        <w:t>clearance</w:t>
      </w:r>
      <w:proofErr w:type="spellEnd"/>
      <w:r w:rsidRPr="009D0155">
        <w:rPr>
          <w:sz w:val="24"/>
          <w:szCs w:val="24"/>
        </w:rPr>
        <w:t xml:space="preserve"> være effektiv. Efter en enkelt dosis af intravenøs eller intranasal </w:t>
      </w:r>
      <w:proofErr w:type="spellStart"/>
      <w:r w:rsidRPr="009D0155">
        <w:rPr>
          <w:sz w:val="24"/>
          <w:szCs w:val="24"/>
        </w:rPr>
        <w:t>midazolam</w:t>
      </w:r>
      <w:proofErr w:type="spellEnd"/>
      <w:r w:rsidRPr="009D0155">
        <w:rPr>
          <w:sz w:val="24"/>
          <w:szCs w:val="24"/>
        </w:rPr>
        <w:t xml:space="preserve"> vil konsekvensen for den maksimale kliniske effekt på grund af CYP3A4-hæmning være mindre, mens effektvarigheden kan være længerevarende. Efter længerevarende dosering af </w:t>
      </w:r>
      <w:proofErr w:type="spellStart"/>
      <w:r w:rsidRPr="009D0155">
        <w:rPr>
          <w:sz w:val="24"/>
          <w:szCs w:val="24"/>
        </w:rPr>
        <w:t>midazolam</w:t>
      </w:r>
      <w:proofErr w:type="spellEnd"/>
      <w:r w:rsidRPr="009D0155">
        <w:rPr>
          <w:sz w:val="24"/>
          <w:szCs w:val="24"/>
        </w:rPr>
        <w:t xml:space="preserve"> vil både omfanget og effektvarigheden øges under tilstedeværelsen af CYP3A4-hæmning.</w:t>
      </w:r>
    </w:p>
    <w:p w14:paraId="2CD3C41A" w14:textId="77777777" w:rsidR="00FC32EC" w:rsidRPr="009D0155" w:rsidRDefault="00FC32EC" w:rsidP="00D83412">
      <w:pPr>
        <w:ind w:left="851"/>
        <w:rPr>
          <w:sz w:val="24"/>
          <w:szCs w:val="24"/>
        </w:rPr>
      </w:pPr>
    </w:p>
    <w:p w14:paraId="5316DA08" w14:textId="77777777" w:rsidR="00FC32EC" w:rsidRPr="009D0155" w:rsidRDefault="00FC32EC" w:rsidP="00D83412">
      <w:pPr>
        <w:ind w:left="851"/>
        <w:rPr>
          <w:sz w:val="24"/>
          <w:szCs w:val="24"/>
        </w:rPr>
      </w:pPr>
      <w:r w:rsidRPr="009D0155">
        <w:rPr>
          <w:sz w:val="24"/>
          <w:szCs w:val="24"/>
        </w:rPr>
        <w:t xml:space="preserve">Der er ingen tilgængelige undersøgelser af CYP3A4 vedrørende </w:t>
      </w:r>
      <w:proofErr w:type="spellStart"/>
      <w:r w:rsidRPr="009D0155">
        <w:rPr>
          <w:sz w:val="24"/>
          <w:szCs w:val="24"/>
        </w:rPr>
        <w:t>midazolams</w:t>
      </w:r>
      <w:proofErr w:type="spellEnd"/>
      <w:r w:rsidRPr="009D0155">
        <w:rPr>
          <w:sz w:val="24"/>
          <w:szCs w:val="24"/>
        </w:rPr>
        <w:t xml:space="preserve"> farmakokinetik efter </w:t>
      </w:r>
      <w:proofErr w:type="spellStart"/>
      <w:r w:rsidRPr="009D0155">
        <w:rPr>
          <w:sz w:val="24"/>
          <w:szCs w:val="24"/>
        </w:rPr>
        <w:t>rektal</w:t>
      </w:r>
      <w:proofErr w:type="spellEnd"/>
      <w:r w:rsidRPr="009D0155">
        <w:rPr>
          <w:sz w:val="24"/>
          <w:szCs w:val="24"/>
        </w:rPr>
        <w:t xml:space="preserve">, intramuskulær eller intranasal administration. Det forventes, at virkningen af CYP3A4-modulation ikke vil adskille sig væsentligt for dem, der ses ved intravenøs </w:t>
      </w:r>
      <w:proofErr w:type="spellStart"/>
      <w:r w:rsidRPr="009D0155">
        <w:rPr>
          <w:sz w:val="24"/>
          <w:szCs w:val="24"/>
        </w:rPr>
        <w:t>midazolam</w:t>
      </w:r>
      <w:proofErr w:type="spellEnd"/>
      <w:r w:rsidRPr="009D0155">
        <w:rPr>
          <w:sz w:val="24"/>
          <w:szCs w:val="24"/>
        </w:rPr>
        <w:t>.</w:t>
      </w:r>
    </w:p>
    <w:p w14:paraId="2EB754C7" w14:textId="77777777" w:rsidR="00FC32EC" w:rsidRPr="009D0155" w:rsidRDefault="00FC32EC" w:rsidP="00D83412">
      <w:pPr>
        <w:ind w:left="851"/>
        <w:rPr>
          <w:sz w:val="24"/>
          <w:szCs w:val="24"/>
        </w:rPr>
      </w:pPr>
    </w:p>
    <w:p w14:paraId="4A3C1109" w14:textId="77777777" w:rsidR="00FC32EC" w:rsidRPr="009D0155" w:rsidRDefault="00FC32EC" w:rsidP="00D83412">
      <w:pPr>
        <w:ind w:left="851"/>
        <w:rPr>
          <w:sz w:val="24"/>
          <w:szCs w:val="24"/>
          <w:lang w:val="nl-NL"/>
        </w:rPr>
      </w:pPr>
      <w:r w:rsidRPr="009D0155">
        <w:rPr>
          <w:sz w:val="24"/>
          <w:szCs w:val="24"/>
        </w:rPr>
        <w:t xml:space="preserve">Det anbefales derfor omhyggeligt at overvåge de kliniske virkninger og vitalparametre under brugen af </w:t>
      </w:r>
      <w:proofErr w:type="spellStart"/>
      <w:r w:rsidRPr="009D0155">
        <w:rPr>
          <w:sz w:val="24"/>
          <w:szCs w:val="24"/>
        </w:rPr>
        <w:t>midazolam</w:t>
      </w:r>
      <w:proofErr w:type="spellEnd"/>
      <w:r w:rsidRPr="009D0155">
        <w:rPr>
          <w:sz w:val="24"/>
          <w:szCs w:val="24"/>
        </w:rPr>
        <w:t xml:space="preserve">, idet der tages hensyn til, at de kan være stærkere og vare længere efter samtidig administration af en CYP3A4-hæmmer, selv om det kun gives én gang. </w:t>
      </w:r>
    </w:p>
    <w:p w14:paraId="7D666FB1" w14:textId="77777777" w:rsidR="00FC32EC" w:rsidRPr="009D0155" w:rsidRDefault="00FC32EC" w:rsidP="00D83412">
      <w:pPr>
        <w:ind w:left="851"/>
        <w:rPr>
          <w:strike/>
          <w:sz w:val="24"/>
          <w:szCs w:val="24"/>
        </w:rPr>
      </w:pPr>
    </w:p>
    <w:p w14:paraId="5DD7C8F1" w14:textId="77777777" w:rsidR="00FC32EC" w:rsidRPr="009D0155" w:rsidRDefault="00FC32EC" w:rsidP="00D83412">
      <w:pPr>
        <w:ind w:left="851"/>
        <w:rPr>
          <w:sz w:val="24"/>
          <w:szCs w:val="24"/>
        </w:rPr>
      </w:pPr>
      <w:r w:rsidRPr="009D0155">
        <w:rPr>
          <w:sz w:val="24"/>
          <w:szCs w:val="24"/>
        </w:rPr>
        <w:t xml:space="preserve">Med hensyn til induktion af CYP3A4 skal det tages i betragtning, at det tager adskillige dage, før induktionsprocessen når sin maksimale effekt og også adskillige dage for virkningen at aftage. I modsætning til en behandling over mange dage med en inducer forventes en kortvarig behandling at resultere i mindre tydelige lægemiddelinteraktioner med </w:t>
      </w:r>
      <w:proofErr w:type="spellStart"/>
      <w:r w:rsidRPr="009D0155">
        <w:rPr>
          <w:sz w:val="24"/>
          <w:szCs w:val="24"/>
        </w:rPr>
        <w:t>midazolam</w:t>
      </w:r>
      <w:proofErr w:type="spellEnd"/>
      <w:r w:rsidRPr="009D0155">
        <w:rPr>
          <w:sz w:val="24"/>
          <w:szCs w:val="24"/>
        </w:rPr>
        <w:t xml:space="preserve">. For stærke inducere kan en relevant induktion dog ikke udelukkes selv efter </w:t>
      </w:r>
      <w:proofErr w:type="spellStart"/>
      <w:r w:rsidRPr="009D0155">
        <w:rPr>
          <w:sz w:val="24"/>
          <w:szCs w:val="24"/>
        </w:rPr>
        <w:t>kortvarlig</w:t>
      </w:r>
      <w:proofErr w:type="spellEnd"/>
      <w:r w:rsidRPr="009D0155">
        <w:rPr>
          <w:sz w:val="24"/>
          <w:szCs w:val="24"/>
        </w:rPr>
        <w:t xml:space="preserve"> behandling.</w:t>
      </w:r>
    </w:p>
    <w:p w14:paraId="3A44B844" w14:textId="77777777" w:rsidR="00FC32EC" w:rsidRPr="009D0155" w:rsidRDefault="00FC32EC" w:rsidP="00D83412">
      <w:pPr>
        <w:ind w:left="851"/>
        <w:rPr>
          <w:sz w:val="24"/>
          <w:szCs w:val="24"/>
        </w:rPr>
      </w:pPr>
    </w:p>
    <w:p w14:paraId="795DE610" w14:textId="77777777" w:rsidR="00FC32EC" w:rsidRPr="009D0155" w:rsidRDefault="00FC32EC" w:rsidP="00D83412">
      <w:pPr>
        <w:ind w:left="851"/>
        <w:rPr>
          <w:b/>
          <w:iCs/>
          <w:sz w:val="24"/>
          <w:szCs w:val="24"/>
        </w:rPr>
      </w:pPr>
      <w:r w:rsidRPr="009D0155">
        <w:rPr>
          <w:b/>
          <w:bCs/>
          <w:sz w:val="24"/>
          <w:szCs w:val="24"/>
        </w:rPr>
        <w:t>Lægemidler, som hæmmer CYP3A</w:t>
      </w:r>
    </w:p>
    <w:p w14:paraId="224FDA17" w14:textId="77777777" w:rsidR="00FC32EC" w:rsidRPr="009D0155" w:rsidRDefault="00FC32EC" w:rsidP="00D83412">
      <w:pPr>
        <w:ind w:left="851"/>
        <w:rPr>
          <w:iCs/>
          <w:sz w:val="24"/>
          <w:szCs w:val="24"/>
        </w:rPr>
      </w:pPr>
      <w:r w:rsidRPr="009D0155">
        <w:rPr>
          <w:sz w:val="24"/>
          <w:szCs w:val="24"/>
        </w:rPr>
        <w:t xml:space="preserve">Samtidig brug af lægemidler, der hæmmer CYP3A, kan føre til lignende stigninger i </w:t>
      </w:r>
      <w:proofErr w:type="spellStart"/>
      <w:r w:rsidRPr="009D0155">
        <w:rPr>
          <w:sz w:val="24"/>
          <w:szCs w:val="24"/>
        </w:rPr>
        <w:t>midazolam</w:t>
      </w:r>
      <w:proofErr w:type="spellEnd"/>
      <w:r w:rsidRPr="009D0155">
        <w:rPr>
          <w:sz w:val="24"/>
          <w:szCs w:val="24"/>
        </w:rPr>
        <w:t xml:space="preserve">-koncentrationer som observeret efter administration af intravenøs </w:t>
      </w:r>
      <w:proofErr w:type="spellStart"/>
      <w:r w:rsidRPr="009D0155">
        <w:rPr>
          <w:sz w:val="24"/>
          <w:szCs w:val="24"/>
        </w:rPr>
        <w:t>midazolam</w:t>
      </w:r>
      <w:proofErr w:type="spellEnd"/>
      <w:r w:rsidRPr="009D0155">
        <w:rPr>
          <w:sz w:val="24"/>
          <w:szCs w:val="24"/>
        </w:rPr>
        <w:t xml:space="preserve"> og kan derfor forlænge den farmakologiske aktivitet af intranasal </w:t>
      </w:r>
      <w:proofErr w:type="spellStart"/>
      <w:r w:rsidRPr="009D0155">
        <w:rPr>
          <w:sz w:val="24"/>
          <w:szCs w:val="24"/>
        </w:rPr>
        <w:t>midazolam</w:t>
      </w:r>
      <w:proofErr w:type="spellEnd"/>
      <w:r w:rsidRPr="009D0155">
        <w:rPr>
          <w:sz w:val="24"/>
          <w:szCs w:val="24"/>
        </w:rPr>
        <w:t>.</w:t>
      </w:r>
    </w:p>
    <w:p w14:paraId="6C6E7BF2" w14:textId="6D108B89" w:rsidR="001877CC" w:rsidRDefault="001877CC">
      <w:pPr>
        <w:rPr>
          <w:iCs/>
          <w:sz w:val="24"/>
          <w:szCs w:val="24"/>
        </w:rPr>
      </w:pPr>
      <w:r>
        <w:rPr>
          <w:iCs/>
          <w:sz w:val="24"/>
          <w:szCs w:val="24"/>
        </w:rPr>
        <w:br w:type="page"/>
      </w:r>
    </w:p>
    <w:p w14:paraId="2EC60301" w14:textId="77777777" w:rsidR="00FC32EC" w:rsidRPr="009D0155" w:rsidRDefault="00FC32EC" w:rsidP="00D83412">
      <w:pPr>
        <w:ind w:left="851"/>
        <w:rPr>
          <w:iCs/>
          <w:sz w:val="24"/>
          <w:szCs w:val="24"/>
        </w:rPr>
      </w:pPr>
    </w:p>
    <w:p w14:paraId="6595D9B7" w14:textId="77777777" w:rsidR="00FC32EC" w:rsidRPr="009D0155" w:rsidRDefault="00FC32EC" w:rsidP="00D83412">
      <w:pPr>
        <w:ind w:left="851"/>
        <w:rPr>
          <w:sz w:val="24"/>
          <w:szCs w:val="24"/>
        </w:rPr>
      </w:pPr>
      <w:proofErr w:type="spellStart"/>
      <w:r w:rsidRPr="009D0155">
        <w:rPr>
          <w:sz w:val="24"/>
          <w:szCs w:val="24"/>
        </w:rPr>
        <w:t>Azol-antimykotika</w:t>
      </w:r>
      <w:proofErr w:type="spellEnd"/>
    </w:p>
    <w:p w14:paraId="40CE2369" w14:textId="7B5530C4" w:rsidR="00FC32EC" w:rsidRPr="00A82804" w:rsidRDefault="00FC32EC" w:rsidP="00A82804">
      <w:pPr>
        <w:pStyle w:val="Listeafsnit"/>
        <w:numPr>
          <w:ilvl w:val="0"/>
          <w:numId w:val="29"/>
        </w:numPr>
        <w:ind w:left="1276" w:hanging="425"/>
        <w:rPr>
          <w:rFonts w:ascii="Times New Roman" w:hAnsi="Times New Roman" w:cs="Times New Roman"/>
        </w:rPr>
      </w:pPr>
      <w:r w:rsidRPr="00A82804">
        <w:rPr>
          <w:rFonts w:ascii="Times New Roman" w:hAnsi="Times New Roman" w:cs="Times New Roman"/>
        </w:rPr>
        <w:t>Ketoconazole øgede plasmakoncentrationerne af intravenøs midazolam fem gange, mens den terminale halveringstid øgedes ca. 3 gange. Hvis parenteral midazolam administreres sammen med den stærke CYP3A-hæmmer, ketoconazol, skal det gøres på en intensivafdeling eller lignende, hvilket sikrer tæt klinisk overvågning og passende medicinsk behandling i tilfælde af respirationsdepression og/eller længerevarende bedøvelse. Forskudt dosering og dosisjustering skal overvejes, særligt hvis mere end en enkelt i.v.-dosis af midazolam administreres. Den samme anbefaling kan også gælde for andre azol-antimykotika (se videre), eftersom øget bedøvende effekt af fx midazolam, omend mindre, er indberettet.</w:t>
      </w:r>
    </w:p>
    <w:p w14:paraId="3F315C7E" w14:textId="69FF61C0" w:rsidR="00FC32EC" w:rsidRPr="00A82804" w:rsidRDefault="00FC32EC" w:rsidP="00A82804">
      <w:pPr>
        <w:pStyle w:val="Listeafsnit"/>
        <w:numPr>
          <w:ilvl w:val="0"/>
          <w:numId w:val="29"/>
        </w:numPr>
        <w:ind w:left="1276" w:hanging="425"/>
        <w:rPr>
          <w:rFonts w:ascii="Times New Roman" w:hAnsi="Times New Roman" w:cs="Times New Roman"/>
        </w:rPr>
      </w:pPr>
      <w:r w:rsidRPr="00A82804">
        <w:rPr>
          <w:rFonts w:ascii="Times New Roman" w:hAnsi="Times New Roman" w:cs="Times New Roman"/>
        </w:rPr>
        <w:t>Voriconazol øgede eksponeringen af intravenøs midazolam tre gange, mens dens elimineringshalveringstid øgedes ca. 3 gange.</w:t>
      </w:r>
    </w:p>
    <w:p w14:paraId="63B63672" w14:textId="393A49C3" w:rsidR="00FC32EC" w:rsidRPr="00A82804" w:rsidRDefault="00FC32EC" w:rsidP="00A82804">
      <w:pPr>
        <w:pStyle w:val="Listeafsnit"/>
        <w:numPr>
          <w:ilvl w:val="0"/>
          <w:numId w:val="29"/>
        </w:numPr>
        <w:ind w:left="1276" w:hanging="425"/>
        <w:rPr>
          <w:rFonts w:ascii="Times New Roman" w:hAnsi="Times New Roman" w:cs="Times New Roman"/>
        </w:rPr>
      </w:pPr>
      <w:r w:rsidRPr="00A82804">
        <w:rPr>
          <w:rFonts w:ascii="Times New Roman" w:hAnsi="Times New Roman" w:cs="Times New Roman"/>
        </w:rPr>
        <w:t>Fluconazol og itraconazol øgede begge plasmakoncentrationerne af intravenøs midazolam 2-3 gange forbundet med en stigning i terminal halveringstid på henholdsvis 2,4 gange for itraconazol og 1,5 gange for fluconazol.</w:t>
      </w:r>
    </w:p>
    <w:p w14:paraId="6053AA19" w14:textId="40651DEE" w:rsidR="00FC32EC" w:rsidRPr="00A82804" w:rsidRDefault="00FC32EC" w:rsidP="00A82804">
      <w:pPr>
        <w:pStyle w:val="Listeafsnit"/>
        <w:numPr>
          <w:ilvl w:val="0"/>
          <w:numId w:val="29"/>
        </w:numPr>
        <w:ind w:left="1276" w:hanging="425"/>
        <w:rPr>
          <w:rFonts w:ascii="Times New Roman" w:hAnsi="Times New Roman" w:cs="Times New Roman"/>
        </w:rPr>
      </w:pPr>
      <w:r w:rsidRPr="00A82804">
        <w:rPr>
          <w:rFonts w:ascii="Times New Roman" w:hAnsi="Times New Roman" w:cs="Times New Roman"/>
        </w:rPr>
        <w:t>Posaconazol øgede plasmakoncentrationerne for intravenøs midazolam ca. 2 gange.</w:t>
      </w:r>
    </w:p>
    <w:p w14:paraId="04B17680" w14:textId="77777777" w:rsidR="00FC32EC" w:rsidRPr="00A82804" w:rsidRDefault="00FC32EC" w:rsidP="00A82804">
      <w:pPr>
        <w:pStyle w:val="Listeafsnit"/>
        <w:numPr>
          <w:ilvl w:val="0"/>
          <w:numId w:val="29"/>
        </w:numPr>
        <w:ind w:left="1276" w:hanging="425"/>
        <w:rPr>
          <w:rFonts w:ascii="Times New Roman" w:hAnsi="Times New Roman" w:cs="Times New Roman"/>
        </w:rPr>
      </w:pPr>
      <w:r w:rsidRPr="00A82804">
        <w:rPr>
          <w:rFonts w:ascii="Times New Roman" w:hAnsi="Times New Roman" w:cs="Times New Roman"/>
        </w:rPr>
        <w:t>Husk, at hvis midazolam gives oralt, vil dets eksponering være drastisk højere end de ovennævnte, særligt med ketoconazol, itraconazol og voriconazol.</w:t>
      </w:r>
    </w:p>
    <w:p w14:paraId="271BB1D1" w14:textId="77777777" w:rsidR="00FC32EC" w:rsidRPr="009D0155" w:rsidRDefault="00FC32EC" w:rsidP="00D83412">
      <w:pPr>
        <w:ind w:left="851"/>
        <w:rPr>
          <w:sz w:val="24"/>
          <w:szCs w:val="24"/>
        </w:rPr>
      </w:pPr>
    </w:p>
    <w:p w14:paraId="6C8163EF" w14:textId="77777777" w:rsidR="00FC32EC" w:rsidRPr="009D0155" w:rsidRDefault="00FC32EC" w:rsidP="00D83412">
      <w:pPr>
        <w:ind w:left="851"/>
        <w:rPr>
          <w:sz w:val="24"/>
          <w:szCs w:val="24"/>
        </w:rPr>
      </w:pPr>
      <w:proofErr w:type="spellStart"/>
      <w:r w:rsidRPr="009D0155">
        <w:rPr>
          <w:sz w:val="24"/>
          <w:szCs w:val="24"/>
        </w:rPr>
        <w:t>Makrolidantibiotika</w:t>
      </w:r>
      <w:proofErr w:type="spellEnd"/>
    </w:p>
    <w:p w14:paraId="3AE3ACD4" w14:textId="32C77433" w:rsidR="00FC32EC" w:rsidRPr="00A82804" w:rsidRDefault="00FC32EC" w:rsidP="00A82804">
      <w:pPr>
        <w:pStyle w:val="Listeafsnit"/>
        <w:numPr>
          <w:ilvl w:val="1"/>
          <w:numId w:val="31"/>
        </w:numPr>
        <w:ind w:left="1276" w:hanging="425"/>
        <w:rPr>
          <w:rFonts w:ascii="Times New Roman" w:hAnsi="Times New Roman" w:cs="Times New Roman"/>
        </w:rPr>
      </w:pPr>
      <w:r w:rsidRPr="00A82804">
        <w:rPr>
          <w:rFonts w:ascii="Times New Roman" w:hAnsi="Times New Roman" w:cs="Times New Roman"/>
        </w:rPr>
        <w:t>Erytromycin resulterede i en stigning i plasmakoncentrationerne af intravenøs midazolam ca. 1,6-2 gange forbundet med en stigning i den terminale halveringstid for midazolam 1,5-1,8 gange.</w:t>
      </w:r>
    </w:p>
    <w:p w14:paraId="4B6A1529" w14:textId="1CA94006" w:rsidR="00FC32EC" w:rsidRPr="00A82804" w:rsidRDefault="00FC32EC" w:rsidP="00A82804">
      <w:pPr>
        <w:pStyle w:val="Listeafsnit"/>
        <w:numPr>
          <w:ilvl w:val="1"/>
          <w:numId w:val="31"/>
        </w:numPr>
        <w:ind w:left="1276" w:hanging="425"/>
        <w:rPr>
          <w:rFonts w:ascii="Times New Roman" w:hAnsi="Times New Roman" w:cs="Times New Roman"/>
        </w:rPr>
      </w:pPr>
      <w:r w:rsidRPr="00A82804">
        <w:rPr>
          <w:rFonts w:ascii="Times New Roman" w:hAnsi="Times New Roman" w:cs="Times New Roman"/>
        </w:rPr>
        <w:t>Claritromycin resulterede i en stigning i plasmakoncentrationerne af midazolam op til 2,5 gange forbundet med en stigning i terminoal halveringstid på 1,5-2 gange.</w:t>
      </w:r>
    </w:p>
    <w:p w14:paraId="3FBA9F0F" w14:textId="77777777" w:rsidR="00FC32EC" w:rsidRPr="009D0155" w:rsidRDefault="00FC32EC" w:rsidP="00D83412">
      <w:pPr>
        <w:ind w:left="851"/>
        <w:rPr>
          <w:sz w:val="24"/>
          <w:szCs w:val="24"/>
        </w:rPr>
      </w:pPr>
    </w:p>
    <w:p w14:paraId="7574E221" w14:textId="77777777" w:rsidR="00FC32EC" w:rsidRPr="009D0155" w:rsidRDefault="00FC32EC" w:rsidP="00D83412">
      <w:pPr>
        <w:ind w:left="851"/>
        <w:rPr>
          <w:sz w:val="24"/>
          <w:szCs w:val="24"/>
        </w:rPr>
      </w:pPr>
      <w:r w:rsidRPr="009D0155">
        <w:rPr>
          <w:sz w:val="24"/>
          <w:szCs w:val="24"/>
        </w:rPr>
        <w:t xml:space="preserve">Intravenøse </w:t>
      </w:r>
      <w:proofErr w:type="spellStart"/>
      <w:r w:rsidRPr="009D0155">
        <w:rPr>
          <w:sz w:val="24"/>
          <w:szCs w:val="24"/>
        </w:rPr>
        <w:t>anæstetika</w:t>
      </w:r>
      <w:proofErr w:type="spellEnd"/>
    </w:p>
    <w:p w14:paraId="20140A78" w14:textId="77777777" w:rsidR="00FC32EC" w:rsidRPr="00A82804" w:rsidRDefault="00FC32EC" w:rsidP="00A82804">
      <w:pPr>
        <w:pStyle w:val="Listeafsnit"/>
        <w:numPr>
          <w:ilvl w:val="0"/>
          <w:numId w:val="32"/>
        </w:numPr>
        <w:ind w:left="1276" w:hanging="425"/>
        <w:rPr>
          <w:rFonts w:ascii="Times New Roman" w:hAnsi="Times New Roman" w:cs="Times New Roman"/>
          <w:iCs/>
        </w:rPr>
      </w:pPr>
      <w:r w:rsidRPr="00A82804">
        <w:rPr>
          <w:rFonts w:ascii="Times New Roman" w:hAnsi="Times New Roman" w:cs="Times New Roman"/>
        </w:rPr>
        <w:t>Intravenøs propofol forøgede AUC og halveringstid for intravenøs midazolam med 1,6 gange.</w:t>
      </w:r>
    </w:p>
    <w:p w14:paraId="122EB58C" w14:textId="77777777" w:rsidR="00A82804" w:rsidRDefault="00A82804" w:rsidP="00D83412">
      <w:pPr>
        <w:ind w:left="851"/>
        <w:rPr>
          <w:sz w:val="24"/>
          <w:szCs w:val="24"/>
        </w:rPr>
      </w:pPr>
    </w:p>
    <w:p w14:paraId="3BE26873" w14:textId="4415C4E1" w:rsidR="00FC32EC" w:rsidRPr="009D0155" w:rsidRDefault="00FC32EC" w:rsidP="00D83412">
      <w:pPr>
        <w:ind w:left="851"/>
        <w:rPr>
          <w:sz w:val="24"/>
          <w:szCs w:val="24"/>
        </w:rPr>
      </w:pPr>
      <w:proofErr w:type="spellStart"/>
      <w:r w:rsidRPr="009D0155">
        <w:rPr>
          <w:sz w:val="24"/>
          <w:szCs w:val="24"/>
        </w:rPr>
        <w:t>Proteasehæmmere</w:t>
      </w:r>
      <w:proofErr w:type="spellEnd"/>
    </w:p>
    <w:p w14:paraId="77CDC8DC" w14:textId="007FCEEA" w:rsidR="00FC32EC" w:rsidRPr="00A82804" w:rsidRDefault="00FC32EC" w:rsidP="00A82804">
      <w:pPr>
        <w:pStyle w:val="Listeafsnit"/>
        <w:numPr>
          <w:ilvl w:val="0"/>
          <w:numId w:val="32"/>
        </w:numPr>
        <w:ind w:left="1276" w:hanging="425"/>
        <w:rPr>
          <w:rFonts w:ascii="Times New Roman" w:hAnsi="Times New Roman" w:cs="Times New Roman"/>
        </w:rPr>
      </w:pPr>
      <w:r w:rsidRPr="00A82804">
        <w:rPr>
          <w:rFonts w:ascii="Times New Roman" w:hAnsi="Times New Roman" w:cs="Times New Roman"/>
        </w:rPr>
        <w:t>Saquinavir og andre HIV-proteasehæmmere: samtidig administration med proteasehæmmere kan forårsage en stor stigning i midazolamkoncentrationen. Ved samtidig administration med ritonavir-boostet lopinavir steg plasmakoncentrationerne af intravenøs midazolam 5,4 gange forbundet med en tilsvarende stigning i terminal halveringstid. Hvis parenteral midazolam gives samtidig med HIV-proteasehæmmere, skal behandlingen følge beskrivelsen i afsnittet ovenfor for azol-antimykotika, ketoconazol.</w:t>
      </w:r>
    </w:p>
    <w:p w14:paraId="2C9F8BE5" w14:textId="77777777" w:rsidR="00FC32EC" w:rsidRPr="00A82804" w:rsidRDefault="00FC32EC" w:rsidP="00A82804">
      <w:pPr>
        <w:pStyle w:val="Listeafsnit"/>
        <w:numPr>
          <w:ilvl w:val="0"/>
          <w:numId w:val="32"/>
        </w:numPr>
        <w:ind w:left="1276" w:hanging="425"/>
        <w:rPr>
          <w:rFonts w:ascii="Times New Roman" w:hAnsi="Times New Roman" w:cs="Times New Roman"/>
        </w:rPr>
      </w:pPr>
      <w:r w:rsidRPr="00A82804">
        <w:rPr>
          <w:rFonts w:ascii="Times New Roman" w:hAnsi="Times New Roman" w:cs="Times New Roman"/>
        </w:rPr>
        <w:t>HCV-proteasehæmmere: boceprevir og telaprevir reducerer midazolam-clearance. Denne effekt resulterede i en stigning på 3,4 gange af midazolam AUC efter i.v.-administration og forlængede dets elimineringshalveringstid 4 gange.</w:t>
      </w:r>
    </w:p>
    <w:p w14:paraId="7FC6A049" w14:textId="77777777" w:rsidR="00FC32EC" w:rsidRPr="009D0155" w:rsidRDefault="00FC32EC" w:rsidP="00D83412">
      <w:pPr>
        <w:ind w:left="851"/>
        <w:rPr>
          <w:sz w:val="24"/>
          <w:szCs w:val="24"/>
        </w:rPr>
      </w:pPr>
    </w:p>
    <w:p w14:paraId="02001765" w14:textId="77777777" w:rsidR="00FC32EC" w:rsidRPr="009D0155" w:rsidRDefault="00FC32EC" w:rsidP="00D83412">
      <w:pPr>
        <w:ind w:left="851"/>
        <w:rPr>
          <w:sz w:val="24"/>
          <w:szCs w:val="24"/>
        </w:rPr>
      </w:pPr>
      <w:r w:rsidRPr="009D0155">
        <w:rPr>
          <w:sz w:val="24"/>
          <w:szCs w:val="24"/>
        </w:rPr>
        <w:t>Calciumkanal-</w:t>
      </w:r>
      <w:proofErr w:type="spellStart"/>
      <w:r w:rsidRPr="009D0155">
        <w:rPr>
          <w:sz w:val="24"/>
          <w:szCs w:val="24"/>
        </w:rPr>
        <w:t>blokkere</w:t>
      </w:r>
      <w:proofErr w:type="spellEnd"/>
    </w:p>
    <w:p w14:paraId="588E2F5E" w14:textId="3A1416F7" w:rsidR="00FC32EC" w:rsidRPr="00F62229" w:rsidRDefault="00FC32EC" w:rsidP="00F62229">
      <w:pPr>
        <w:pStyle w:val="Listeafsnit"/>
        <w:numPr>
          <w:ilvl w:val="0"/>
          <w:numId w:val="34"/>
        </w:numPr>
        <w:ind w:left="1276" w:hanging="425"/>
        <w:rPr>
          <w:rFonts w:ascii="Times New Roman" w:hAnsi="Times New Roman" w:cs="Times New Roman"/>
        </w:rPr>
      </w:pPr>
      <w:r w:rsidRPr="00F62229">
        <w:rPr>
          <w:rFonts w:ascii="Times New Roman" w:hAnsi="Times New Roman" w:cs="Times New Roman"/>
        </w:rPr>
        <w:t>Diltiazem: En enkelt dosis af diltiazem til patienter, som gennemgår koronararterie bypass-kirurgi, øgede plasmakoncentrationerne af intravenøs midazolam med ca. 25 %, og den terminale halveringstid blevet forlænget med 43 %.</w:t>
      </w:r>
    </w:p>
    <w:p w14:paraId="61BC1366" w14:textId="77777777" w:rsidR="00FC32EC" w:rsidRPr="009D0155" w:rsidRDefault="00FC32EC" w:rsidP="00D83412">
      <w:pPr>
        <w:ind w:left="851"/>
        <w:rPr>
          <w:sz w:val="24"/>
          <w:szCs w:val="24"/>
        </w:rPr>
      </w:pPr>
    </w:p>
    <w:p w14:paraId="07411044" w14:textId="77777777" w:rsidR="00FC32EC" w:rsidRPr="009D0155" w:rsidRDefault="00FC32EC" w:rsidP="00D83412">
      <w:pPr>
        <w:ind w:left="851"/>
        <w:rPr>
          <w:sz w:val="24"/>
          <w:szCs w:val="24"/>
        </w:rPr>
      </w:pPr>
      <w:r w:rsidRPr="009D0155">
        <w:rPr>
          <w:sz w:val="24"/>
          <w:szCs w:val="24"/>
        </w:rPr>
        <w:t>Forskellige lægemidler</w:t>
      </w:r>
    </w:p>
    <w:p w14:paraId="6619BCDE" w14:textId="6BA8F2B8" w:rsidR="00FC32EC" w:rsidRPr="00F62229" w:rsidRDefault="00FC32EC" w:rsidP="00F62229">
      <w:pPr>
        <w:pStyle w:val="Listeafsnit"/>
        <w:numPr>
          <w:ilvl w:val="0"/>
          <w:numId w:val="34"/>
        </w:numPr>
        <w:ind w:left="1276" w:hanging="425"/>
        <w:rPr>
          <w:rFonts w:ascii="Times New Roman" w:hAnsi="Times New Roman" w:cs="Times New Roman"/>
        </w:rPr>
      </w:pPr>
      <w:r w:rsidRPr="00F62229">
        <w:rPr>
          <w:rFonts w:ascii="Times New Roman" w:hAnsi="Times New Roman" w:cs="Times New Roman"/>
        </w:rPr>
        <w:t>Atorvastatin viste en stigning på 1,4 gange i plasmakoncentrationerne i i.v.-midazolam sammenlignet med kontrolgruppen.</w:t>
      </w:r>
    </w:p>
    <w:p w14:paraId="046F8B63" w14:textId="7B4BBBFB" w:rsidR="00FC32EC" w:rsidRPr="00F62229" w:rsidRDefault="00FC32EC" w:rsidP="00F62229">
      <w:pPr>
        <w:pStyle w:val="Listeafsnit"/>
        <w:numPr>
          <w:ilvl w:val="0"/>
          <w:numId w:val="34"/>
        </w:numPr>
        <w:ind w:left="1276" w:hanging="425"/>
        <w:rPr>
          <w:rFonts w:ascii="Times New Roman" w:hAnsi="Times New Roman" w:cs="Times New Roman"/>
        </w:rPr>
      </w:pPr>
      <w:r w:rsidRPr="00F62229">
        <w:rPr>
          <w:rFonts w:ascii="Times New Roman" w:hAnsi="Times New Roman" w:cs="Times New Roman"/>
        </w:rPr>
        <w:t>Intravenøs fentanyl er en svag hæmmer afmidazolam-eliminering: AUC og halveringstiden for intravenøs midazolam blev øget 1,5 gange ved tilstedeværelsen af fentanyl.</w:t>
      </w:r>
    </w:p>
    <w:p w14:paraId="4642F64F" w14:textId="77777777" w:rsidR="00FC32EC" w:rsidRPr="009D0155" w:rsidRDefault="00FC32EC" w:rsidP="00D83412">
      <w:pPr>
        <w:ind w:left="851"/>
        <w:rPr>
          <w:sz w:val="24"/>
          <w:szCs w:val="24"/>
        </w:rPr>
      </w:pPr>
    </w:p>
    <w:p w14:paraId="11F00806" w14:textId="77777777" w:rsidR="00FC32EC" w:rsidRPr="009D0155" w:rsidRDefault="00FC32EC" w:rsidP="00D83412">
      <w:pPr>
        <w:ind w:left="851"/>
        <w:rPr>
          <w:b/>
          <w:sz w:val="24"/>
          <w:szCs w:val="24"/>
        </w:rPr>
      </w:pPr>
      <w:r w:rsidRPr="009D0155">
        <w:rPr>
          <w:b/>
          <w:bCs/>
          <w:sz w:val="24"/>
          <w:szCs w:val="24"/>
        </w:rPr>
        <w:t>Lægemidler, som inducerer CYP3A</w:t>
      </w:r>
    </w:p>
    <w:p w14:paraId="4070810E" w14:textId="03925B0D" w:rsidR="00FC32EC" w:rsidRPr="00F62229" w:rsidRDefault="00FC32EC" w:rsidP="00F62229">
      <w:pPr>
        <w:pStyle w:val="Listeafsnit"/>
        <w:numPr>
          <w:ilvl w:val="0"/>
          <w:numId w:val="36"/>
        </w:numPr>
        <w:ind w:left="1276" w:hanging="425"/>
        <w:rPr>
          <w:rFonts w:ascii="Times New Roman" w:hAnsi="Times New Roman" w:cs="Times New Roman"/>
        </w:rPr>
      </w:pPr>
      <w:r w:rsidRPr="00F62229">
        <w:rPr>
          <w:rFonts w:ascii="Times New Roman" w:hAnsi="Times New Roman" w:cs="Times New Roman"/>
        </w:rPr>
        <w:t>Rifampicin sænkede plasmakoncentrationerne for intravenøs midazolam med ca. 60 % efter 7 dages rifampicin 600 mg 1 gang dagligt. Den terminale halveringstid faldt med ca. 50-60 %.</w:t>
      </w:r>
    </w:p>
    <w:p w14:paraId="3713DCBD" w14:textId="3A30858F" w:rsidR="00FC32EC" w:rsidRPr="00F62229" w:rsidRDefault="00FC32EC" w:rsidP="00F62229">
      <w:pPr>
        <w:pStyle w:val="Listeafsnit"/>
        <w:numPr>
          <w:ilvl w:val="0"/>
          <w:numId w:val="36"/>
        </w:numPr>
        <w:ind w:left="1276" w:hanging="425"/>
        <w:rPr>
          <w:rFonts w:ascii="Times New Roman" w:hAnsi="Times New Roman" w:cs="Times New Roman"/>
        </w:rPr>
      </w:pPr>
      <w:r w:rsidRPr="00F62229">
        <w:rPr>
          <w:rFonts w:ascii="Times New Roman" w:hAnsi="Times New Roman" w:cs="Times New Roman"/>
        </w:rPr>
        <w:t>Ticagrelor er en svag CYP3A-inducer og har kun en lille effekt på intravenøst administreret midazolam (-12 %) og 4-hydroxymidazolam (-23 %)</w:t>
      </w:r>
    </w:p>
    <w:p w14:paraId="100812A8" w14:textId="77777777" w:rsidR="00FC32EC" w:rsidRPr="009D0155" w:rsidRDefault="00FC32EC" w:rsidP="00D83412">
      <w:pPr>
        <w:ind w:left="851"/>
        <w:rPr>
          <w:sz w:val="24"/>
          <w:szCs w:val="24"/>
        </w:rPr>
      </w:pPr>
    </w:p>
    <w:p w14:paraId="20C08243" w14:textId="77777777" w:rsidR="00FC32EC" w:rsidRPr="009D0155" w:rsidRDefault="00FC32EC" w:rsidP="00D83412">
      <w:pPr>
        <w:ind w:left="851"/>
        <w:rPr>
          <w:sz w:val="24"/>
          <w:szCs w:val="24"/>
        </w:rPr>
      </w:pPr>
      <w:r w:rsidRPr="009D0155">
        <w:rPr>
          <w:sz w:val="24"/>
          <w:szCs w:val="24"/>
        </w:rPr>
        <w:t>Naturlægemidler og fødevarer</w:t>
      </w:r>
    </w:p>
    <w:p w14:paraId="145205E8" w14:textId="78BBCC43" w:rsidR="00FC32EC" w:rsidRPr="00F62229" w:rsidRDefault="00FC32EC" w:rsidP="00F62229">
      <w:pPr>
        <w:pStyle w:val="Listeafsnit"/>
        <w:numPr>
          <w:ilvl w:val="0"/>
          <w:numId w:val="38"/>
        </w:numPr>
        <w:ind w:left="1276" w:hanging="425"/>
        <w:rPr>
          <w:rFonts w:ascii="Times New Roman" w:hAnsi="Times New Roman" w:cs="Times New Roman"/>
        </w:rPr>
      </w:pPr>
      <w:r w:rsidRPr="00F62229">
        <w:rPr>
          <w:rFonts w:ascii="Times New Roman" w:hAnsi="Times New Roman" w:cs="Times New Roman"/>
        </w:rPr>
        <w:t>Perikon sænkede plasmakoncentrationer for midazolam med ca. 20-40 % med et fald i terminal halveringstid på ca. 15-17 %. Den CYP3A4-inducerende virkning kan variere afhængigt af det specifikke perikonekstrakt.</w:t>
      </w:r>
    </w:p>
    <w:p w14:paraId="74F00C04" w14:textId="77777777" w:rsidR="00F62229" w:rsidRDefault="00F62229" w:rsidP="00D83412">
      <w:pPr>
        <w:ind w:left="851"/>
        <w:rPr>
          <w:sz w:val="24"/>
          <w:szCs w:val="24"/>
        </w:rPr>
      </w:pPr>
    </w:p>
    <w:p w14:paraId="29B94649" w14:textId="35AE25E1" w:rsidR="00FC32EC" w:rsidRPr="009D0155" w:rsidRDefault="00FC32EC" w:rsidP="00D83412">
      <w:pPr>
        <w:ind w:left="851"/>
        <w:rPr>
          <w:sz w:val="24"/>
          <w:szCs w:val="24"/>
        </w:rPr>
      </w:pPr>
      <w:r w:rsidRPr="009D0155">
        <w:rPr>
          <w:sz w:val="24"/>
          <w:szCs w:val="24"/>
        </w:rPr>
        <w:t>Proteinbindende fortrængning</w:t>
      </w:r>
    </w:p>
    <w:p w14:paraId="43CA306B" w14:textId="2D0EB5AB" w:rsidR="00FC32EC" w:rsidRPr="00F62229" w:rsidRDefault="00FC32EC" w:rsidP="00F62229">
      <w:pPr>
        <w:pStyle w:val="Listeafsnit"/>
        <w:numPr>
          <w:ilvl w:val="0"/>
          <w:numId w:val="38"/>
        </w:numPr>
        <w:ind w:left="1276" w:hanging="425"/>
        <w:rPr>
          <w:rFonts w:ascii="Times New Roman" w:hAnsi="Times New Roman" w:cs="Times New Roman"/>
        </w:rPr>
      </w:pPr>
      <w:r w:rsidRPr="00F62229">
        <w:rPr>
          <w:rFonts w:ascii="Times New Roman" w:hAnsi="Times New Roman" w:cs="Times New Roman"/>
        </w:rPr>
        <w:t>En øget koncentration af fri midazolam, som følge af displacering af plasmaproteinbindende steder fra valproinsyre, kan ikke udelukkes. Den kliniske relevans for en sådan interaktion er ukendt.</w:t>
      </w:r>
    </w:p>
    <w:p w14:paraId="6F41F54C" w14:textId="77777777" w:rsidR="00F62229" w:rsidRDefault="00F62229" w:rsidP="00D83412">
      <w:pPr>
        <w:ind w:left="851"/>
        <w:rPr>
          <w:sz w:val="24"/>
          <w:szCs w:val="24"/>
        </w:rPr>
      </w:pPr>
    </w:p>
    <w:p w14:paraId="3EB040CD" w14:textId="3809E925" w:rsidR="00FC32EC" w:rsidRPr="00F62229" w:rsidRDefault="00FC32EC" w:rsidP="00D83412">
      <w:pPr>
        <w:ind w:left="851"/>
        <w:rPr>
          <w:sz w:val="24"/>
          <w:szCs w:val="24"/>
          <w:u w:val="single"/>
        </w:rPr>
      </w:pPr>
      <w:proofErr w:type="spellStart"/>
      <w:r w:rsidRPr="00F62229">
        <w:rPr>
          <w:sz w:val="24"/>
          <w:szCs w:val="24"/>
          <w:u w:val="single"/>
        </w:rPr>
        <w:t>Farmakodynamiske</w:t>
      </w:r>
      <w:proofErr w:type="spellEnd"/>
      <w:r w:rsidRPr="00F62229">
        <w:rPr>
          <w:sz w:val="24"/>
          <w:szCs w:val="24"/>
          <w:u w:val="single"/>
        </w:rPr>
        <w:t xml:space="preserve"> lægemiddelinteraktioner (DDI)</w:t>
      </w:r>
    </w:p>
    <w:p w14:paraId="0AB2E0B4" w14:textId="77777777" w:rsidR="00FC32EC" w:rsidRPr="009D0155" w:rsidRDefault="00FC32EC" w:rsidP="00D83412">
      <w:pPr>
        <w:ind w:left="851"/>
        <w:rPr>
          <w:sz w:val="24"/>
          <w:szCs w:val="24"/>
        </w:rPr>
      </w:pPr>
      <w:r w:rsidRPr="009D0155">
        <w:rPr>
          <w:sz w:val="24"/>
          <w:szCs w:val="24"/>
        </w:rPr>
        <w:t xml:space="preserve">Samtidig administration af </w:t>
      </w:r>
      <w:proofErr w:type="spellStart"/>
      <w:r w:rsidRPr="009D0155">
        <w:rPr>
          <w:sz w:val="24"/>
          <w:szCs w:val="24"/>
        </w:rPr>
        <w:t>midazolam</w:t>
      </w:r>
      <w:proofErr w:type="spellEnd"/>
      <w:r w:rsidRPr="009D0155">
        <w:rPr>
          <w:sz w:val="24"/>
          <w:szCs w:val="24"/>
        </w:rPr>
        <w:t xml:space="preserve"> med andre bedøvende/hypnotiske midler og CNS-</w:t>
      </w:r>
      <w:proofErr w:type="spellStart"/>
      <w:r w:rsidRPr="009D0155">
        <w:rPr>
          <w:sz w:val="24"/>
          <w:szCs w:val="24"/>
        </w:rPr>
        <w:t>depressiva</w:t>
      </w:r>
      <w:proofErr w:type="spellEnd"/>
      <w:r w:rsidRPr="009D0155">
        <w:rPr>
          <w:sz w:val="24"/>
          <w:szCs w:val="24"/>
        </w:rPr>
        <w:t>, inklusive alkohol, vil sandsynligvis resultere i øget bedøvelse og respirationsdepression.</w:t>
      </w:r>
    </w:p>
    <w:p w14:paraId="0B62FFE8" w14:textId="77777777" w:rsidR="00FC32EC" w:rsidRPr="009D0155" w:rsidRDefault="00FC32EC" w:rsidP="00D83412">
      <w:pPr>
        <w:ind w:left="851"/>
        <w:rPr>
          <w:sz w:val="24"/>
          <w:szCs w:val="24"/>
          <w:lang w:val="nl-NL"/>
        </w:rPr>
      </w:pPr>
      <w:r w:rsidRPr="009D0155">
        <w:rPr>
          <w:sz w:val="24"/>
          <w:szCs w:val="24"/>
        </w:rPr>
        <w:t xml:space="preserve">Eksempler omfatter opiatderivater (hvad enten de anvendes som </w:t>
      </w:r>
      <w:proofErr w:type="spellStart"/>
      <w:r w:rsidRPr="009D0155">
        <w:rPr>
          <w:sz w:val="24"/>
          <w:szCs w:val="24"/>
        </w:rPr>
        <w:t>analgetika</w:t>
      </w:r>
      <w:proofErr w:type="spellEnd"/>
      <w:r w:rsidRPr="009D0155">
        <w:rPr>
          <w:sz w:val="24"/>
          <w:szCs w:val="24"/>
        </w:rPr>
        <w:t xml:space="preserve">, hostestillende eller til substitutionsbehandlinger), antipsykotika, andre benzodiazepiner, der anvendes som </w:t>
      </w:r>
      <w:proofErr w:type="spellStart"/>
      <w:r w:rsidRPr="009D0155">
        <w:rPr>
          <w:sz w:val="24"/>
          <w:szCs w:val="24"/>
        </w:rPr>
        <w:t>anxiolytika</w:t>
      </w:r>
      <w:proofErr w:type="spellEnd"/>
      <w:r w:rsidRPr="009D0155">
        <w:rPr>
          <w:sz w:val="24"/>
          <w:szCs w:val="24"/>
        </w:rPr>
        <w:t xml:space="preserve"> eller </w:t>
      </w:r>
      <w:proofErr w:type="spellStart"/>
      <w:r w:rsidRPr="009D0155">
        <w:rPr>
          <w:sz w:val="24"/>
          <w:szCs w:val="24"/>
        </w:rPr>
        <w:t>hypnotika</w:t>
      </w:r>
      <w:proofErr w:type="spellEnd"/>
      <w:r w:rsidRPr="009D0155">
        <w:rPr>
          <w:sz w:val="24"/>
          <w:szCs w:val="24"/>
        </w:rPr>
        <w:t xml:space="preserve">, barbiturater, </w:t>
      </w:r>
      <w:proofErr w:type="spellStart"/>
      <w:r w:rsidRPr="009D0155">
        <w:rPr>
          <w:sz w:val="24"/>
          <w:szCs w:val="24"/>
        </w:rPr>
        <w:t>propofol</w:t>
      </w:r>
      <w:proofErr w:type="spellEnd"/>
      <w:r w:rsidRPr="009D0155">
        <w:rPr>
          <w:sz w:val="24"/>
          <w:szCs w:val="24"/>
        </w:rPr>
        <w:t xml:space="preserve">, </w:t>
      </w:r>
      <w:proofErr w:type="spellStart"/>
      <w:r w:rsidRPr="009D0155">
        <w:rPr>
          <w:sz w:val="24"/>
          <w:szCs w:val="24"/>
        </w:rPr>
        <w:t>ketamin</w:t>
      </w:r>
      <w:proofErr w:type="spellEnd"/>
      <w:r w:rsidRPr="009D0155">
        <w:rPr>
          <w:sz w:val="24"/>
          <w:szCs w:val="24"/>
        </w:rPr>
        <w:t xml:space="preserve">, </w:t>
      </w:r>
      <w:proofErr w:type="spellStart"/>
      <w:r w:rsidRPr="009D0155">
        <w:rPr>
          <w:sz w:val="24"/>
          <w:szCs w:val="24"/>
        </w:rPr>
        <w:t>etomidat</w:t>
      </w:r>
      <w:proofErr w:type="spellEnd"/>
      <w:r w:rsidRPr="009D0155">
        <w:rPr>
          <w:sz w:val="24"/>
          <w:szCs w:val="24"/>
        </w:rPr>
        <w:t xml:space="preserve">, beroligende </w:t>
      </w:r>
      <w:proofErr w:type="spellStart"/>
      <w:r w:rsidRPr="009D0155">
        <w:rPr>
          <w:sz w:val="24"/>
          <w:szCs w:val="24"/>
        </w:rPr>
        <w:t>antidepressiva</w:t>
      </w:r>
      <w:proofErr w:type="spellEnd"/>
      <w:r w:rsidRPr="009D0155">
        <w:rPr>
          <w:sz w:val="24"/>
          <w:szCs w:val="24"/>
        </w:rPr>
        <w:t xml:space="preserve">, ikke-nylige H1-antihistaminer og centralt virkende </w:t>
      </w:r>
      <w:proofErr w:type="spellStart"/>
      <w:r w:rsidRPr="009D0155">
        <w:rPr>
          <w:sz w:val="24"/>
          <w:szCs w:val="24"/>
        </w:rPr>
        <w:t>antihypertensive</w:t>
      </w:r>
      <w:proofErr w:type="spellEnd"/>
      <w:r w:rsidRPr="009D0155">
        <w:rPr>
          <w:sz w:val="24"/>
          <w:szCs w:val="24"/>
        </w:rPr>
        <w:t xml:space="preserve"> præparater.</w:t>
      </w:r>
    </w:p>
    <w:p w14:paraId="700028B1" w14:textId="77777777" w:rsidR="00FC32EC" w:rsidRPr="009D0155" w:rsidRDefault="00FC32EC" w:rsidP="00D83412">
      <w:pPr>
        <w:ind w:left="851"/>
        <w:rPr>
          <w:sz w:val="24"/>
          <w:szCs w:val="24"/>
        </w:rPr>
      </w:pPr>
    </w:p>
    <w:p w14:paraId="5125FE18" w14:textId="7D6DF721" w:rsidR="00FC32EC" w:rsidRPr="009D0155" w:rsidRDefault="00FC32EC" w:rsidP="00D83412">
      <w:pPr>
        <w:ind w:left="851"/>
        <w:rPr>
          <w:sz w:val="24"/>
          <w:szCs w:val="24"/>
        </w:rPr>
      </w:pPr>
      <w:r w:rsidRPr="009D0155">
        <w:rPr>
          <w:sz w:val="24"/>
          <w:szCs w:val="24"/>
        </w:rPr>
        <w:t xml:space="preserve">Alkohol kan forstærke </w:t>
      </w:r>
      <w:proofErr w:type="spellStart"/>
      <w:r w:rsidRPr="009D0155">
        <w:rPr>
          <w:sz w:val="24"/>
          <w:szCs w:val="24"/>
        </w:rPr>
        <w:t>midazolams</w:t>
      </w:r>
      <w:proofErr w:type="spellEnd"/>
      <w:r w:rsidRPr="009D0155">
        <w:rPr>
          <w:sz w:val="24"/>
          <w:szCs w:val="24"/>
        </w:rPr>
        <w:t xml:space="preserve"> bedøvende effekt markant. Alkoholindtag bør kraftigt undgås i tilfælde af </w:t>
      </w:r>
      <w:proofErr w:type="spellStart"/>
      <w:r w:rsidRPr="009D0155">
        <w:rPr>
          <w:sz w:val="24"/>
          <w:szCs w:val="24"/>
        </w:rPr>
        <w:t>midazolam</w:t>
      </w:r>
      <w:proofErr w:type="spellEnd"/>
      <w:r w:rsidRPr="009D0155">
        <w:rPr>
          <w:sz w:val="24"/>
          <w:szCs w:val="24"/>
        </w:rPr>
        <w:t>-administration (se pkt. 4.4).</w:t>
      </w:r>
    </w:p>
    <w:p w14:paraId="3991B8DC" w14:textId="77777777" w:rsidR="00FC32EC" w:rsidRPr="009D0155" w:rsidRDefault="00FC32EC" w:rsidP="00D83412">
      <w:pPr>
        <w:ind w:left="851"/>
        <w:rPr>
          <w:sz w:val="24"/>
          <w:szCs w:val="24"/>
        </w:rPr>
      </w:pPr>
    </w:p>
    <w:p w14:paraId="266D971B"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reducerer den minimale alveolære koncentrationen (MAC) af </w:t>
      </w:r>
      <w:proofErr w:type="spellStart"/>
      <w:r w:rsidRPr="009D0155">
        <w:rPr>
          <w:sz w:val="24"/>
          <w:szCs w:val="24"/>
        </w:rPr>
        <w:t>inhalationsanæstetika</w:t>
      </w:r>
      <w:proofErr w:type="spellEnd"/>
      <w:r w:rsidRPr="009D0155">
        <w:rPr>
          <w:sz w:val="24"/>
          <w:szCs w:val="24"/>
        </w:rPr>
        <w:t>.</w:t>
      </w:r>
    </w:p>
    <w:p w14:paraId="3B24884A" w14:textId="77777777" w:rsidR="009260DE" w:rsidRPr="009D0155" w:rsidRDefault="009260DE" w:rsidP="009260DE">
      <w:pPr>
        <w:tabs>
          <w:tab w:val="left" w:pos="851"/>
        </w:tabs>
        <w:ind w:left="851"/>
        <w:rPr>
          <w:sz w:val="24"/>
          <w:szCs w:val="24"/>
        </w:rPr>
      </w:pPr>
    </w:p>
    <w:p w14:paraId="038D4B8A" w14:textId="77777777" w:rsidR="009260DE" w:rsidRPr="009D0155" w:rsidRDefault="009260DE" w:rsidP="009260DE">
      <w:pPr>
        <w:tabs>
          <w:tab w:val="left" w:pos="851"/>
        </w:tabs>
        <w:ind w:left="851" w:hanging="851"/>
        <w:rPr>
          <w:b/>
          <w:sz w:val="24"/>
          <w:szCs w:val="24"/>
        </w:rPr>
      </w:pPr>
      <w:r w:rsidRPr="009D0155">
        <w:rPr>
          <w:b/>
          <w:sz w:val="24"/>
          <w:szCs w:val="24"/>
        </w:rPr>
        <w:t>4.6</w:t>
      </w:r>
      <w:r w:rsidRPr="009D0155">
        <w:rPr>
          <w:b/>
          <w:sz w:val="24"/>
          <w:szCs w:val="24"/>
        </w:rPr>
        <w:tab/>
      </w:r>
      <w:r w:rsidR="0071241E" w:rsidRPr="009D0155">
        <w:rPr>
          <w:b/>
          <w:sz w:val="24"/>
          <w:szCs w:val="24"/>
        </w:rPr>
        <w:t>Fertilitet, g</w:t>
      </w:r>
      <w:r w:rsidRPr="009D0155">
        <w:rPr>
          <w:b/>
          <w:sz w:val="24"/>
          <w:szCs w:val="24"/>
        </w:rPr>
        <w:t>raviditet og amning</w:t>
      </w:r>
    </w:p>
    <w:p w14:paraId="0A1795F2" w14:textId="77777777" w:rsidR="00612F36" w:rsidRDefault="00612F36" w:rsidP="00D83412">
      <w:pPr>
        <w:ind w:left="851"/>
        <w:rPr>
          <w:sz w:val="24"/>
          <w:szCs w:val="24"/>
        </w:rPr>
      </w:pPr>
    </w:p>
    <w:p w14:paraId="0835A10E" w14:textId="5E3749D0" w:rsidR="00FC32EC" w:rsidRPr="00612F36" w:rsidRDefault="00FC32EC" w:rsidP="00D83412">
      <w:pPr>
        <w:ind w:left="851"/>
        <w:rPr>
          <w:sz w:val="24"/>
          <w:szCs w:val="24"/>
          <w:u w:val="single"/>
          <w:lang w:eastAsia="nl-NL"/>
        </w:rPr>
      </w:pPr>
      <w:r w:rsidRPr="00612F36">
        <w:rPr>
          <w:sz w:val="24"/>
          <w:szCs w:val="24"/>
          <w:u w:val="single"/>
        </w:rPr>
        <w:t>Graviditet</w:t>
      </w:r>
    </w:p>
    <w:p w14:paraId="0C7044D8" w14:textId="77777777" w:rsidR="00FC32EC" w:rsidRPr="009D0155" w:rsidRDefault="00FC32EC" w:rsidP="00D83412">
      <w:pPr>
        <w:ind w:left="851"/>
        <w:rPr>
          <w:sz w:val="24"/>
          <w:szCs w:val="24"/>
        </w:rPr>
      </w:pPr>
      <w:r w:rsidRPr="009D0155">
        <w:rPr>
          <w:sz w:val="24"/>
          <w:szCs w:val="24"/>
        </w:rPr>
        <w:t xml:space="preserve">De tilgængelige data for </w:t>
      </w:r>
      <w:proofErr w:type="spellStart"/>
      <w:r w:rsidRPr="009D0155">
        <w:rPr>
          <w:sz w:val="24"/>
          <w:szCs w:val="24"/>
        </w:rPr>
        <w:t>midazolam</w:t>
      </w:r>
      <w:proofErr w:type="spellEnd"/>
      <w:r w:rsidRPr="009D0155">
        <w:rPr>
          <w:sz w:val="24"/>
          <w:szCs w:val="24"/>
        </w:rPr>
        <w:t xml:space="preserve"> er utilstrækkelige til at vurdere sikkerheden under graviditet. </w:t>
      </w:r>
    </w:p>
    <w:p w14:paraId="4A0DD322" w14:textId="77777777" w:rsidR="00FC32EC" w:rsidRPr="009D0155" w:rsidRDefault="00FC32EC" w:rsidP="00D83412">
      <w:pPr>
        <w:ind w:left="851"/>
        <w:rPr>
          <w:sz w:val="24"/>
          <w:szCs w:val="24"/>
        </w:rPr>
      </w:pPr>
    </w:p>
    <w:p w14:paraId="0F698FD4" w14:textId="77777777" w:rsidR="00FC32EC" w:rsidRPr="009D0155" w:rsidRDefault="00FC32EC" w:rsidP="00D83412">
      <w:pPr>
        <w:ind w:left="851"/>
        <w:rPr>
          <w:sz w:val="24"/>
          <w:szCs w:val="24"/>
        </w:rPr>
      </w:pPr>
      <w:r w:rsidRPr="009D0155">
        <w:rPr>
          <w:sz w:val="24"/>
          <w:szCs w:val="24"/>
        </w:rPr>
        <w:t xml:space="preserve">Dyreforsøg indikerer ikke en </w:t>
      </w:r>
      <w:proofErr w:type="spellStart"/>
      <w:r w:rsidRPr="009D0155">
        <w:rPr>
          <w:sz w:val="24"/>
          <w:szCs w:val="24"/>
        </w:rPr>
        <w:t>teratogen</w:t>
      </w:r>
      <w:proofErr w:type="spellEnd"/>
      <w:r w:rsidRPr="009D0155">
        <w:rPr>
          <w:sz w:val="24"/>
          <w:szCs w:val="24"/>
        </w:rPr>
        <w:t xml:space="preserve"> virkning. Som med andre benzodiazepiner blev der observeret </w:t>
      </w:r>
      <w:proofErr w:type="spellStart"/>
      <w:r w:rsidRPr="009D0155">
        <w:rPr>
          <w:sz w:val="24"/>
          <w:szCs w:val="24"/>
        </w:rPr>
        <w:t>føtotoksicitet</w:t>
      </w:r>
      <w:proofErr w:type="spellEnd"/>
      <w:r w:rsidRPr="009D0155">
        <w:rPr>
          <w:sz w:val="24"/>
          <w:szCs w:val="24"/>
        </w:rPr>
        <w:t>. Der foreligger ikke data fra gravide, som har været eksponeret i de første to trimestre af graviditeten. Det tyder på, at brug af benzodiazepiner i løbet af det første trimester af graviditeten er forbundet med en øget risiko for medfødte misdannelser.</w:t>
      </w:r>
    </w:p>
    <w:p w14:paraId="5FBF6EA3" w14:textId="77777777" w:rsidR="00FC32EC" w:rsidRPr="009D0155" w:rsidRDefault="00FC32EC" w:rsidP="00D83412">
      <w:pPr>
        <w:ind w:left="851"/>
        <w:rPr>
          <w:sz w:val="24"/>
          <w:szCs w:val="24"/>
        </w:rPr>
      </w:pPr>
    </w:p>
    <w:p w14:paraId="4E044D03" w14:textId="0E791FA7" w:rsidR="00FC32EC" w:rsidRPr="009D0155" w:rsidRDefault="00FC32EC" w:rsidP="00D83412">
      <w:pPr>
        <w:ind w:left="851"/>
        <w:rPr>
          <w:sz w:val="24"/>
          <w:szCs w:val="24"/>
        </w:rPr>
      </w:pPr>
      <w:r w:rsidRPr="009D0155">
        <w:rPr>
          <w:sz w:val="24"/>
          <w:szCs w:val="24"/>
        </w:rPr>
        <w:t xml:space="preserve">Det er rapporteret, at administration af høje doser af </w:t>
      </w:r>
      <w:proofErr w:type="spellStart"/>
      <w:r w:rsidRPr="009D0155">
        <w:rPr>
          <w:sz w:val="24"/>
          <w:szCs w:val="24"/>
        </w:rPr>
        <w:t>midazolam</w:t>
      </w:r>
      <w:proofErr w:type="spellEnd"/>
      <w:r w:rsidRPr="009D0155">
        <w:rPr>
          <w:sz w:val="24"/>
          <w:szCs w:val="24"/>
        </w:rPr>
        <w:t xml:space="preserve"> i sidste trimester af </w:t>
      </w:r>
      <w:r w:rsidR="001877CC" w:rsidRPr="009D0155">
        <w:rPr>
          <w:sz w:val="24"/>
          <w:szCs w:val="24"/>
        </w:rPr>
        <w:t>graviditeten</w:t>
      </w:r>
      <w:r w:rsidRPr="009D0155">
        <w:rPr>
          <w:sz w:val="24"/>
          <w:szCs w:val="24"/>
        </w:rPr>
        <w:t xml:space="preserve">, under fødslen eller til induktion af anæstesi ved kejsersnit, medførte bivirkninger hos moderen eller fostret (hos moderen: Risiko for aspiration; hos fostret: Uregelmæssig hjertefrekvens; hos den nyfødte: </w:t>
      </w:r>
      <w:proofErr w:type="spellStart"/>
      <w:r w:rsidRPr="009D0155">
        <w:rPr>
          <w:sz w:val="24"/>
          <w:szCs w:val="24"/>
        </w:rPr>
        <w:t>Hypotoni</w:t>
      </w:r>
      <w:proofErr w:type="spellEnd"/>
      <w:r w:rsidRPr="009D0155">
        <w:rPr>
          <w:sz w:val="24"/>
          <w:szCs w:val="24"/>
        </w:rPr>
        <w:t xml:space="preserve">, ringe sutterefleks, </w:t>
      </w:r>
      <w:proofErr w:type="spellStart"/>
      <w:r w:rsidRPr="009D0155">
        <w:rPr>
          <w:sz w:val="24"/>
          <w:szCs w:val="24"/>
        </w:rPr>
        <w:t>hypotermi</w:t>
      </w:r>
      <w:proofErr w:type="spellEnd"/>
      <w:r w:rsidRPr="009D0155">
        <w:rPr>
          <w:sz w:val="24"/>
          <w:szCs w:val="24"/>
        </w:rPr>
        <w:t xml:space="preserve"> og respirationsdepression).</w:t>
      </w:r>
    </w:p>
    <w:p w14:paraId="3FB2F5E8" w14:textId="77777777" w:rsidR="00612F36" w:rsidRDefault="00612F36" w:rsidP="00D83412">
      <w:pPr>
        <w:ind w:left="851"/>
        <w:rPr>
          <w:sz w:val="24"/>
          <w:szCs w:val="24"/>
        </w:rPr>
      </w:pPr>
    </w:p>
    <w:p w14:paraId="160B5837" w14:textId="45E00F2C" w:rsidR="00FC32EC" w:rsidRPr="009D0155" w:rsidRDefault="00FC32EC" w:rsidP="00D83412">
      <w:pPr>
        <w:ind w:left="851"/>
        <w:rPr>
          <w:sz w:val="24"/>
          <w:szCs w:val="24"/>
        </w:rPr>
      </w:pPr>
      <w:r w:rsidRPr="009D0155">
        <w:rPr>
          <w:sz w:val="24"/>
          <w:szCs w:val="24"/>
        </w:rPr>
        <w:t xml:space="preserve">Desuden kan børn født af mødre, som vedvarende fik benzodiazepiner i den sidste fase af graviditeten, have udviklet fysisk afhængighed og derfor være i en vis risiko for at udvikle abstinenssymptomer i den </w:t>
      </w:r>
      <w:proofErr w:type="spellStart"/>
      <w:r w:rsidRPr="009D0155">
        <w:rPr>
          <w:sz w:val="24"/>
          <w:szCs w:val="24"/>
        </w:rPr>
        <w:t>postnatale</w:t>
      </w:r>
      <w:proofErr w:type="spellEnd"/>
      <w:r w:rsidRPr="009D0155">
        <w:rPr>
          <w:sz w:val="24"/>
          <w:szCs w:val="24"/>
        </w:rPr>
        <w:t xml:space="preserve"> periode.</w:t>
      </w:r>
    </w:p>
    <w:p w14:paraId="4C43ED94" w14:textId="77777777" w:rsidR="00FC32EC" w:rsidRPr="009D0155" w:rsidRDefault="00FC32EC" w:rsidP="00D83412">
      <w:pPr>
        <w:ind w:left="851"/>
        <w:rPr>
          <w:sz w:val="24"/>
          <w:szCs w:val="24"/>
        </w:rPr>
      </w:pPr>
      <w:r w:rsidRPr="009D0155">
        <w:rPr>
          <w:sz w:val="24"/>
          <w:szCs w:val="24"/>
        </w:rPr>
        <w:t xml:space="preserve">Som konsekvens heraf kan </w:t>
      </w:r>
      <w:proofErr w:type="spellStart"/>
      <w:r w:rsidRPr="009D0155">
        <w:rPr>
          <w:sz w:val="24"/>
          <w:szCs w:val="24"/>
        </w:rPr>
        <w:t>midazolam</w:t>
      </w:r>
      <w:proofErr w:type="spellEnd"/>
      <w:r w:rsidRPr="009D0155">
        <w:rPr>
          <w:sz w:val="24"/>
          <w:szCs w:val="24"/>
        </w:rPr>
        <w:t xml:space="preserve"> anvendes i løbet af graviditeten, hvis det er absolut nødvendigt, men det bør ikke anvendes ved kejsersnit. </w:t>
      </w:r>
    </w:p>
    <w:p w14:paraId="64FE1810" w14:textId="77777777" w:rsidR="00FC32EC" w:rsidRPr="009D0155" w:rsidRDefault="00FC32EC" w:rsidP="00D83412">
      <w:pPr>
        <w:ind w:left="851"/>
        <w:rPr>
          <w:sz w:val="24"/>
          <w:szCs w:val="24"/>
        </w:rPr>
      </w:pPr>
    </w:p>
    <w:p w14:paraId="02EDFABA" w14:textId="77777777" w:rsidR="00FC32EC" w:rsidRPr="009D0155" w:rsidRDefault="00FC32EC" w:rsidP="00D83412">
      <w:pPr>
        <w:ind w:left="851"/>
        <w:rPr>
          <w:sz w:val="24"/>
          <w:szCs w:val="24"/>
        </w:rPr>
      </w:pPr>
      <w:r w:rsidRPr="009D0155">
        <w:rPr>
          <w:sz w:val="24"/>
          <w:szCs w:val="24"/>
        </w:rPr>
        <w:t xml:space="preserve">Risikoen for den nyfødte skal tages i betragtning, hvis </w:t>
      </w:r>
      <w:proofErr w:type="spellStart"/>
      <w:r w:rsidRPr="009D0155">
        <w:rPr>
          <w:sz w:val="24"/>
          <w:szCs w:val="24"/>
        </w:rPr>
        <w:t>midazolam</w:t>
      </w:r>
      <w:proofErr w:type="spellEnd"/>
      <w:r w:rsidRPr="009D0155">
        <w:rPr>
          <w:sz w:val="24"/>
          <w:szCs w:val="24"/>
        </w:rPr>
        <w:t xml:space="preserve"> skal administreres under en operation nær termin.</w:t>
      </w:r>
    </w:p>
    <w:p w14:paraId="7EB86E09" w14:textId="77777777" w:rsidR="00FC32EC" w:rsidRPr="009D0155" w:rsidRDefault="00FC32EC" w:rsidP="00D83412">
      <w:pPr>
        <w:ind w:left="851"/>
        <w:rPr>
          <w:sz w:val="24"/>
          <w:szCs w:val="24"/>
        </w:rPr>
      </w:pPr>
    </w:p>
    <w:p w14:paraId="04623F85" w14:textId="77777777" w:rsidR="00FC32EC" w:rsidRPr="00612F36" w:rsidRDefault="00FC32EC" w:rsidP="00D83412">
      <w:pPr>
        <w:ind w:left="851"/>
        <w:rPr>
          <w:sz w:val="24"/>
          <w:szCs w:val="24"/>
          <w:u w:val="single"/>
        </w:rPr>
      </w:pPr>
      <w:r w:rsidRPr="00612F36">
        <w:rPr>
          <w:sz w:val="24"/>
          <w:szCs w:val="24"/>
          <w:u w:val="single"/>
        </w:rPr>
        <w:t>Amning</w:t>
      </w:r>
    </w:p>
    <w:p w14:paraId="482B7941" w14:textId="77777777" w:rsidR="00FC32EC" w:rsidRPr="009D0155" w:rsidRDefault="00FC32EC" w:rsidP="00D83412">
      <w:pPr>
        <w:ind w:left="851"/>
        <w:rPr>
          <w:strike/>
          <w:sz w:val="24"/>
          <w:szCs w:val="24"/>
          <w:lang w:val="nl-NL"/>
        </w:rPr>
      </w:pPr>
      <w:proofErr w:type="spellStart"/>
      <w:r w:rsidRPr="009D0155">
        <w:rPr>
          <w:sz w:val="24"/>
          <w:szCs w:val="24"/>
        </w:rPr>
        <w:t>Midazolam</w:t>
      </w:r>
      <w:proofErr w:type="spellEnd"/>
      <w:r w:rsidRPr="009D0155">
        <w:rPr>
          <w:sz w:val="24"/>
          <w:szCs w:val="24"/>
        </w:rPr>
        <w:t xml:space="preserve"> udskilles i human mælk i små mængder (0,6 %). Derfor er det muligvis ikke nødvendigt at stoppe med at amme efter en enkelt dosis eller to doser af </w:t>
      </w:r>
      <w:proofErr w:type="spellStart"/>
      <w:r w:rsidRPr="009D0155">
        <w:rPr>
          <w:sz w:val="24"/>
          <w:szCs w:val="24"/>
        </w:rPr>
        <w:t>midazolam</w:t>
      </w:r>
      <w:proofErr w:type="spellEnd"/>
      <w:r w:rsidRPr="009D0155">
        <w:rPr>
          <w:sz w:val="24"/>
          <w:szCs w:val="24"/>
        </w:rPr>
        <w:t xml:space="preserve">. </w:t>
      </w:r>
    </w:p>
    <w:p w14:paraId="46D78556" w14:textId="77777777" w:rsidR="00FC32EC" w:rsidRPr="009D0155" w:rsidRDefault="00FC32EC" w:rsidP="00D83412">
      <w:pPr>
        <w:ind w:left="851"/>
        <w:rPr>
          <w:sz w:val="24"/>
          <w:szCs w:val="24"/>
        </w:rPr>
      </w:pPr>
    </w:p>
    <w:p w14:paraId="5522FC19" w14:textId="77777777" w:rsidR="00FC32EC" w:rsidRPr="00612F36" w:rsidRDefault="00FC32EC" w:rsidP="00D83412">
      <w:pPr>
        <w:ind w:left="851"/>
        <w:rPr>
          <w:sz w:val="24"/>
          <w:szCs w:val="24"/>
          <w:u w:val="single"/>
        </w:rPr>
      </w:pPr>
      <w:r w:rsidRPr="00612F36">
        <w:rPr>
          <w:sz w:val="24"/>
          <w:szCs w:val="24"/>
          <w:u w:val="single"/>
        </w:rPr>
        <w:t>Fertilitet</w:t>
      </w:r>
    </w:p>
    <w:p w14:paraId="3A2E2C57" w14:textId="77777777" w:rsidR="00FC32EC" w:rsidRPr="009D0155" w:rsidRDefault="00FC32EC" w:rsidP="00D83412">
      <w:pPr>
        <w:ind w:left="851"/>
        <w:rPr>
          <w:sz w:val="24"/>
          <w:szCs w:val="24"/>
        </w:rPr>
      </w:pPr>
      <w:r w:rsidRPr="009D0155">
        <w:rPr>
          <w:sz w:val="24"/>
          <w:szCs w:val="24"/>
        </w:rPr>
        <w:t>Dyreforsøg har ikke vist nedsat fertilitet (se pkt. 5.3).</w:t>
      </w:r>
    </w:p>
    <w:p w14:paraId="78EDFE5E" w14:textId="77777777" w:rsidR="009260DE" w:rsidRPr="009D0155" w:rsidRDefault="009260DE" w:rsidP="009260DE">
      <w:pPr>
        <w:tabs>
          <w:tab w:val="left" w:pos="851"/>
        </w:tabs>
        <w:ind w:left="851"/>
        <w:rPr>
          <w:sz w:val="24"/>
          <w:szCs w:val="24"/>
        </w:rPr>
      </w:pPr>
    </w:p>
    <w:p w14:paraId="5D445B86" w14:textId="77777777" w:rsidR="009260DE" w:rsidRPr="009D0155" w:rsidRDefault="009260DE" w:rsidP="009260DE">
      <w:pPr>
        <w:tabs>
          <w:tab w:val="left" w:pos="851"/>
        </w:tabs>
        <w:ind w:left="851" w:hanging="851"/>
        <w:rPr>
          <w:b/>
          <w:sz w:val="24"/>
          <w:szCs w:val="24"/>
        </w:rPr>
      </w:pPr>
      <w:r w:rsidRPr="009D0155">
        <w:rPr>
          <w:b/>
          <w:sz w:val="24"/>
          <w:szCs w:val="24"/>
        </w:rPr>
        <w:t>4.7</w:t>
      </w:r>
      <w:r w:rsidRPr="009D0155">
        <w:rPr>
          <w:b/>
          <w:sz w:val="24"/>
          <w:szCs w:val="24"/>
        </w:rPr>
        <w:tab/>
        <w:t xml:space="preserve">Virkning på evnen til at føre motorkøretøj </w:t>
      </w:r>
      <w:r w:rsidR="0071241E" w:rsidRPr="009D0155">
        <w:rPr>
          <w:b/>
          <w:sz w:val="24"/>
          <w:szCs w:val="24"/>
        </w:rPr>
        <w:t>og</w:t>
      </w:r>
      <w:r w:rsidRPr="009D0155">
        <w:rPr>
          <w:b/>
          <w:sz w:val="24"/>
          <w:szCs w:val="24"/>
        </w:rPr>
        <w:t xml:space="preserve"> betjene maskiner</w:t>
      </w:r>
    </w:p>
    <w:p w14:paraId="6D0BE876" w14:textId="77777777" w:rsidR="00FC32EC" w:rsidRPr="009D0155" w:rsidRDefault="00FC32EC" w:rsidP="00D83412">
      <w:pPr>
        <w:ind w:left="851"/>
        <w:rPr>
          <w:sz w:val="24"/>
          <w:szCs w:val="24"/>
          <w:lang w:eastAsia="nl-NL"/>
        </w:rPr>
      </w:pPr>
      <w:r w:rsidRPr="009D0155">
        <w:rPr>
          <w:sz w:val="24"/>
          <w:szCs w:val="24"/>
        </w:rPr>
        <w:t>Mærkning</w:t>
      </w:r>
    </w:p>
    <w:p w14:paraId="7CE1F245"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påvirker i væsentlig grad evnen til at føre motorkøretøj og betjene maskiner.</w:t>
      </w:r>
    </w:p>
    <w:p w14:paraId="03184791" w14:textId="77777777" w:rsidR="00FC32EC" w:rsidRPr="009D0155" w:rsidRDefault="00FC32EC" w:rsidP="00D83412">
      <w:pPr>
        <w:ind w:left="851"/>
        <w:rPr>
          <w:sz w:val="24"/>
          <w:szCs w:val="24"/>
        </w:rPr>
      </w:pPr>
    </w:p>
    <w:p w14:paraId="557E3AF3" w14:textId="77777777" w:rsidR="00FC32EC" w:rsidRPr="009D0155" w:rsidRDefault="00FC32EC" w:rsidP="00D83412">
      <w:pPr>
        <w:ind w:left="851"/>
        <w:rPr>
          <w:sz w:val="24"/>
          <w:szCs w:val="24"/>
          <w:lang w:val="nl-NL"/>
        </w:rPr>
      </w:pPr>
      <w:r w:rsidRPr="009D0155">
        <w:rPr>
          <w:sz w:val="24"/>
          <w:szCs w:val="24"/>
        </w:rPr>
        <w:t xml:space="preserve">Bedøvelse, amnesi, svækket opmærksomhed og svækket muskelfunktion kan påvirke evnen til at køre bil, cykle eller bruge maskiner negativt. Inden indgivelse af </w:t>
      </w:r>
      <w:proofErr w:type="spellStart"/>
      <w:r w:rsidRPr="009D0155">
        <w:rPr>
          <w:sz w:val="24"/>
          <w:szCs w:val="24"/>
        </w:rPr>
        <w:t>midazolam</w:t>
      </w:r>
      <w:proofErr w:type="spellEnd"/>
      <w:r w:rsidRPr="009D0155">
        <w:rPr>
          <w:sz w:val="24"/>
          <w:szCs w:val="24"/>
        </w:rPr>
        <w:t xml:space="preserve"> skal patienten advares mod at føre et motorkøretøj eller betjene en maskine, indtil virkningen er helt forsvundet. </w:t>
      </w:r>
    </w:p>
    <w:p w14:paraId="66A85BBC" w14:textId="77777777" w:rsidR="00FC32EC" w:rsidRPr="009D0155" w:rsidRDefault="00FC32EC" w:rsidP="00D83412">
      <w:pPr>
        <w:ind w:left="851"/>
        <w:rPr>
          <w:sz w:val="24"/>
          <w:szCs w:val="24"/>
          <w:u w:val="single"/>
        </w:rPr>
      </w:pPr>
    </w:p>
    <w:p w14:paraId="63D43BDF" w14:textId="77777777" w:rsidR="00FC32EC" w:rsidRPr="009D0155" w:rsidRDefault="00FC32EC" w:rsidP="00D83412">
      <w:pPr>
        <w:ind w:left="851"/>
        <w:rPr>
          <w:sz w:val="24"/>
          <w:szCs w:val="24"/>
        </w:rPr>
      </w:pPr>
      <w:r w:rsidRPr="009D0155">
        <w:rPr>
          <w:sz w:val="24"/>
          <w:szCs w:val="24"/>
          <w:u w:val="single"/>
        </w:rPr>
        <w:t xml:space="preserve">I tilfælde af vågen </w:t>
      </w:r>
      <w:proofErr w:type="spellStart"/>
      <w:r w:rsidRPr="009D0155">
        <w:rPr>
          <w:sz w:val="24"/>
          <w:szCs w:val="24"/>
          <w:u w:val="single"/>
        </w:rPr>
        <w:t>sedering</w:t>
      </w:r>
      <w:proofErr w:type="spellEnd"/>
      <w:r w:rsidRPr="009D0155">
        <w:rPr>
          <w:sz w:val="24"/>
          <w:szCs w:val="24"/>
        </w:rPr>
        <w:t xml:space="preserve">: Lægen bør tage stilling til, hvornår disse aktiviteter kan genoptages. Det anbefales, at patienten ledsages, når vedkommende vender hjem efter udskrivning. </w:t>
      </w:r>
    </w:p>
    <w:p w14:paraId="6009CE86" w14:textId="77777777" w:rsidR="00FC32EC" w:rsidRPr="009D0155" w:rsidRDefault="00FC32EC" w:rsidP="00D83412">
      <w:pPr>
        <w:ind w:left="851"/>
        <w:rPr>
          <w:sz w:val="24"/>
          <w:szCs w:val="24"/>
        </w:rPr>
      </w:pPr>
    </w:p>
    <w:p w14:paraId="7344D5D3" w14:textId="77777777" w:rsidR="00FC32EC" w:rsidRPr="009D0155" w:rsidRDefault="00FC32EC" w:rsidP="00D83412">
      <w:pPr>
        <w:ind w:left="851"/>
        <w:rPr>
          <w:sz w:val="24"/>
          <w:szCs w:val="24"/>
        </w:rPr>
      </w:pPr>
      <w:r w:rsidRPr="009D0155">
        <w:rPr>
          <w:sz w:val="24"/>
          <w:szCs w:val="24"/>
          <w:u w:val="single"/>
        </w:rPr>
        <w:t>I tilfælde af behandling af længerevarende akut epileptisk anfald</w:t>
      </w:r>
      <w:r w:rsidRPr="009D0155">
        <w:rPr>
          <w:sz w:val="24"/>
          <w:szCs w:val="24"/>
        </w:rPr>
        <w:t xml:space="preserve">: Patienten skal, efter at have modtaget </w:t>
      </w:r>
      <w:proofErr w:type="spellStart"/>
      <w:r w:rsidRPr="009D0155">
        <w:rPr>
          <w:sz w:val="24"/>
          <w:szCs w:val="24"/>
        </w:rPr>
        <w:t>midazolam</w:t>
      </w:r>
      <w:proofErr w:type="spellEnd"/>
      <w:r w:rsidRPr="009D0155">
        <w:rPr>
          <w:sz w:val="24"/>
          <w:szCs w:val="24"/>
        </w:rPr>
        <w:t>, advares mod ikke at køre et køretøj eller betjene en maskine, indtil virkningen er helt forsvundet.</w:t>
      </w:r>
    </w:p>
    <w:p w14:paraId="74CEF4BD" w14:textId="77777777" w:rsidR="009260DE" w:rsidRPr="009D0155" w:rsidRDefault="009260DE" w:rsidP="009260DE">
      <w:pPr>
        <w:tabs>
          <w:tab w:val="left" w:pos="851"/>
        </w:tabs>
        <w:ind w:left="851"/>
        <w:rPr>
          <w:sz w:val="24"/>
          <w:szCs w:val="24"/>
        </w:rPr>
      </w:pPr>
    </w:p>
    <w:p w14:paraId="428FE721" w14:textId="77777777" w:rsidR="009260DE" w:rsidRPr="009D0155" w:rsidRDefault="009260DE" w:rsidP="009260DE">
      <w:pPr>
        <w:tabs>
          <w:tab w:val="left" w:pos="851"/>
        </w:tabs>
        <w:ind w:left="851" w:hanging="851"/>
        <w:rPr>
          <w:b/>
          <w:sz w:val="24"/>
          <w:szCs w:val="24"/>
        </w:rPr>
      </w:pPr>
      <w:r w:rsidRPr="009D0155">
        <w:rPr>
          <w:b/>
          <w:sz w:val="24"/>
          <w:szCs w:val="24"/>
        </w:rPr>
        <w:t>4.8</w:t>
      </w:r>
      <w:r w:rsidRPr="009D0155">
        <w:rPr>
          <w:b/>
          <w:sz w:val="24"/>
          <w:szCs w:val="24"/>
        </w:rPr>
        <w:tab/>
        <w:t>Bivirkninger</w:t>
      </w:r>
    </w:p>
    <w:p w14:paraId="7B5D4C9C" w14:textId="77777777" w:rsidR="00612F36" w:rsidRDefault="00612F36" w:rsidP="00D83412">
      <w:pPr>
        <w:ind w:left="851"/>
        <w:rPr>
          <w:sz w:val="24"/>
          <w:szCs w:val="24"/>
        </w:rPr>
      </w:pPr>
    </w:p>
    <w:p w14:paraId="239128D9" w14:textId="4F90A6D6" w:rsidR="00FC32EC" w:rsidRPr="00612F36" w:rsidRDefault="00FC32EC" w:rsidP="00D83412">
      <w:pPr>
        <w:ind w:left="851"/>
        <w:rPr>
          <w:sz w:val="24"/>
          <w:szCs w:val="24"/>
          <w:u w:val="single"/>
          <w:lang w:eastAsia="nl-NL"/>
        </w:rPr>
      </w:pPr>
      <w:r w:rsidRPr="00612F36">
        <w:rPr>
          <w:sz w:val="24"/>
          <w:szCs w:val="24"/>
          <w:u w:val="single"/>
        </w:rPr>
        <w:t>Sammendrag af sikkerhedsprofil</w:t>
      </w:r>
    </w:p>
    <w:p w14:paraId="12D8C8C7" w14:textId="77777777" w:rsidR="00FC32EC" w:rsidRPr="009D0155" w:rsidRDefault="00FC32EC" w:rsidP="00D83412">
      <w:pPr>
        <w:ind w:left="851"/>
        <w:rPr>
          <w:sz w:val="24"/>
          <w:szCs w:val="24"/>
        </w:rPr>
      </w:pPr>
      <w:r w:rsidRPr="009D0155">
        <w:rPr>
          <w:sz w:val="24"/>
          <w:szCs w:val="24"/>
        </w:rPr>
        <w:t xml:space="preserve">Følgende bivirkninger er blevet indberettet (hyppighed ikke kendt, kan ikke estimeres ud fra forhåndenværende data) ved injektion af </w:t>
      </w:r>
      <w:proofErr w:type="spellStart"/>
      <w:r w:rsidRPr="009D0155">
        <w:rPr>
          <w:sz w:val="24"/>
          <w:szCs w:val="24"/>
        </w:rPr>
        <w:t>midazolam</w:t>
      </w:r>
      <w:proofErr w:type="spellEnd"/>
      <w:r w:rsidRPr="009D0155">
        <w:rPr>
          <w:sz w:val="24"/>
          <w:szCs w:val="24"/>
        </w:rPr>
        <w:t>:</w:t>
      </w:r>
    </w:p>
    <w:p w14:paraId="219B39C2" w14:textId="77777777" w:rsidR="00FC32EC" w:rsidRPr="009D0155" w:rsidRDefault="00FC32EC" w:rsidP="00D83412">
      <w:pPr>
        <w:ind w:left="851"/>
        <w:rPr>
          <w:sz w:val="24"/>
          <w:szCs w:val="24"/>
        </w:rPr>
      </w:pPr>
      <w:r w:rsidRPr="009D0155">
        <w:rPr>
          <w:sz w:val="24"/>
          <w:szCs w:val="24"/>
        </w:rPr>
        <w:t>Hyppighedskategorier er følgende:</w:t>
      </w:r>
    </w:p>
    <w:p w14:paraId="5B039B8B" w14:textId="77777777" w:rsidR="00FC32EC" w:rsidRPr="009D0155" w:rsidRDefault="00FC32EC" w:rsidP="00D83412">
      <w:pPr>
        <w:ind w:left="851"/>
        <w:rPr>
          <w:sz w:val="24"/>
          <w:szCs w:val="24"/>
        </w:rPr>
      </w:pPr>
      <w:r w:rsidRPr="009D0155">
        <w:rPr>
          <w:sz w:val="24"/>
          <w:szCs w:val="24"/>
        </w:rPr>
        <w:t>Meget almindelige: ≥1/10;</w:t>
      </w:r>
    </w:p>
    <w:p w14:paraId="34731C0F" w14:textId="77777777" w:rsidR="00FC32EC" w:rsidRPr="009D0155" w:rsidRDefault="00FC32EC" w:rsidP="00D83412">
      <w:pPr>
        <w:ind w:left="851"/>
        <w:rPr>
          <w:sz w:val="24"/>
          <w:szCs w:val="24"/>
        </w:rPr>
      </w:pPr>
      <w:r w:rsidRPr="009D0155">
        <w:rPr>
          <w:sz w:val="24"/>
          <w:szCs w:val="24"/>
        </w:rPr>
        <w:t>Almindelige ≥1/100 til &lt;1/10;</w:t>
      </w:r>
    </w:p>
    <w:p w14:paraId="3F0828E4" w14:textId="77777777" w:rsidR="00FC32EC" w:rsidRPr="009D0155" w:rsidRDefault="00FC32EC" w:rsidP="00D83412">
      <w:pPr>
        <w:ind w:left="851"/>
        <w:rPr>
          <w:sz w:val="24"/>
          <w:szCs w:val="24"/>
        </w:rPr>
      </w:pPr>
      <w:r w:rsidRPr="009D0155">
        <w:rPr>
          <w:sz w:val="24"/>
          <w:szCs w:val="24"/>
        </w:rPr>
        <w:t>Ikke almindelige ≥1/1 000 til &lt;1/100</w:t>
      </w:r>
    </w:p>
    <w:p w14:paraId="37158A92" w14:textId="77777777" w:rsidR="00FC32EC" w:rsidRPr="009D0155" w:rsidRDefault="00FC32EC" w:rsidP="00D83412">
      <w:pPr>
        <w:ind w:left="851"/>
        <w:rPr>
          <w:sz w:val="24"/>
          <w:szCs w:val="24"/>
        </w:rPr>
      </w:pPr>
      <w:r w:rsidRPr="009D0155">
        <w:rPr>
          <w:sz w:val="24"/>
          <w:szCs w:val="24"/>
        </w:rPr>
        <w:t>Sjældne (≥1/10 000 til &lt;1/1 000)</w:t>
      </w:r>
    </w:p>
    <w:p w14:paraId="5071D16A" w14:textId="77777777" w:rsidR="00FC32EC" w:rsidRPr="009D0155" w:rsidRDefault="00FC32EC" w:rsidP="00D83412">
      <w:pPr>
        <w:ind w:left="851"/>
        <w:rPr>
          <w:sz w:val="24"/>
          <w:szCs w:val="24"/>
        </w:rPr>
      </w:pPr>
      <w:r w:rsidRPr="009D0155">
        <w:rPr>
          <w:sz w:val="24"/>
          <w:szCs w:val="24"/>
        </w:rPr>
        <w:t>Meget sjældne (&lt;1/10 000)</w:t>
      </w:r>
    </w:p>
    <w:p w14:paraId="397BA933" w14:textId="77777777" w:rsidR="00FC32EC" w:rsidRPr="009D0155" w:rsidRDefault="00FC32EC" w:rsidP="00D83412">
      <w:pPr>
        <w:ind w:left="851"/>
        <w:rPr>
          <w:sz w:val="24"/>
          <w:szCs w:val="24"/>
        </w:rPr>
      </w:pPr>
      <w:r w:rsidRPr="009D0155">
        <w:rPr>
          <w:sz w:val="24"/>
          <w:szCs w:val="24"/>
        </w:rPr>
        <w:t>Ikke kendt (kan ikke estimeres ud fra forhåndenværende data)</w:t>
      </w:r>
    </w:p>
    <w:p w14:paraId="5816CD43" w14:textId="57BFF8A6" w:rsidR="001877CC" w:rsidRDefault="001877CC">
      <w:pPr>
        <w:rPr>
          <w:color w:val="000000" w:themeColor="text1"/>
          <w:sz w:val="24"/>
          <w:szCs w:val="24"/>
        </w:rPr>
      </w:pPr>
      <w:r>
        <w:rPr>
          <w:color w:val="000000" w:themeColor="text1"/>
          <w:sz w:val="24"/>
          <w:szCs w:val="24"/>
        </w:rPr>
        <w:br w:type="page"/>
      </w:r>
    </w:p>
    <w:p w14:paraId="7AB2CDDF" w14:textId="77777777" w:rsidR="00FC32EC" w:rsidRPr="009D0155" w:rsidRDefault="00FC32EC" w:rsidP="00FC32EC">
      <w:pPr>
        <w:widowControl w:val="0"/>
        <w:autoSpaceDE w:val="0"/>
        <w:autoSpaceDN w:val="0"/>
        <w:adjustRightInd w:val="0"/>
        <w:rPr>
          <w:color w:val="000000" w:themeColor="text1"/>
          <w:sz w:val="24"/>
          <w:szCs w:val="24"/>
        </w:rPr>
      </w:pPr>
    </w:p>
    <w:tbl>
      <w:tblPr>
        <w:tblW w:w="5000" w:type="pct"/>
        <w:tblBorders>
          <w:left w:val="single" w:sz="8" w:space="0" w:color="686868"/>
          <w:right w:val="single" w:sz="8" w:space="0" w:color="686868"/>
        </w:tblBorders>
        <w:tblLook w:val="04A0" w:firstRow="1" w:lastRow="0" w:firstColumn="1" w:lastColumn="0" w:noHBand="0" w:noVBand="1"/>
      </w:tblPr>
      <w:tblGrid>
        <w:gridCol w:w="4143"/>
        <w:gridCol w:w="5475"/>
      </w:tblGrid>
      <w:tr w:rsidR="00FC32EC" w:rsidRPr="009D0155" w14:paraId="71CAB0C4"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7DCD64F8" w14:textId="77777777" w:rsidR="00FC32EC" w:rsidRPr="009D0155" w:rsidRDefault="00FC32EC">
            <w:pPr>
              <w:widowControl w:val="0"/>
              <w:autoSpaceDE w:val="0"/>
              <w:autoSpaceDN w:val="0"/>
              <w:adjustRightInd w:val="0"/>
              <w:rPr>
                <w:b/>
                <w:iCs/>
                <w:color w:val="000000" w:themeColor="text1"/>
                <w:sz w:val="24"/>
                <w:szCs w:val="24"/>
              </w:rPr>
            </w:pPr>
            <w:r w:rsidRPr="009D0155">
              <w:rPr>
                <w:b/>
                <w:bCs/>
                <w:color w:val="000000" w:themeColor="text1"/>
                <w:sz w:val="24"/>
                <w:szCs w:val="24"/>
              </w:rPr>
              <w:t>Immunsystemet</w:t>
            </w:r>
          </w:p>
        </w:tc>
        <w:tc>
          <w:tcPr>
            <w:tcW w:w="2846" w:type="pct"/>
            <w:tcBorders>
              <w:top w:val="single" w:sz="8" w:space="0" w:color="686868"/>
              <w:left w:val="single" w:sz="8" w:space="0" w:color="686868"/>
              <w:bottom w:val="single" w:sz="8" w:space="0" w:color="686868"/>
              <w:right w:val="single" w:sz="8" w:space="0" w:color="686868"/>
            </w:tcBorders>
          </w:tcPr>
          <w:p w14:paraId="4BA771EF" w14:textId="77777777" w:rsidR="00FC32EC" w:rsidRPr="009D0155" w:rsidRDefault="00FC32EC">
            <w:pPr>
              <w:widowControl w:val="0"/>
              <w:autoSpaceDE w:val="0"/>
              <w:autoSpaceDN w:val="0"/>
              <w:adjustRightInd w:val="0"/>
              <w:ind w:left="-392" w:firstLine="392"/>
              <w:rPr>
                <w:color w:val="000000" w:themeColor="text1"/>
                <w:sz w:val="24"/>
                <w:szCs w:val="24"/>
              </w:rPr>
            </w:pPr>
          </w:p>
        </w:tc>
      </w:tr>
      <w:tr w:rsidR="00FC32EC" w:rsidRPr="009D0155" w14:paraId="4BB91452"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07EC5255"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Ikke kendt</w:t>
            </w:r>
          </w:p>
        </w:tc>
        <w:tc>
          <w:tcPr>
            <w:tcW w:w="2846" w:type="pct"/>
            <w:tcBorders>
              <w:top w:val="single" w:sz="8" w:space="0" w:color="686868"/>
              <w:left w:val="single" w:sz="8" w:space="0" w:color="686868"/>
              <w:bottom w:val="single" w:sz="8" w:space="0" w:color="686868"/>
              <w:right w:val="single" w:sz="8" w:space="0" w:color="686868"/>
            </w:tcBorders>
          </w:tcPr>
          <w:p w14:paraId="101F3590" w14:textId="77777777" w:rsidR="00FC32EC" w:rsidRPr="009D0155" w:rsidRDefault="00FC32EC">
            <w:pPr>
              <w:widowControl w:val="0"/>
              <w:autoSpaceDE w:val="0"/>
              <w:autoSpaceDN w:val="0"/>
              <w:adjustRightInd w:val="0"/>
              <w:ind w:left="-392" w:firstLine="392"/>
              <w:rPr>
                <w:color w:val="000000" w:themeColor="text1"/>
                <w:sz w:val="24"/>
                <w:szCs w:val="24"/>
              </w:rPr>
            </w:pPr>
            <w:r w:rsidRPr="009D0155">
              <w:rPr>
                <w:color w:val="000000" w:themeColor="text1"/>
                <w:sz w:val="24"/>
                <w:szCs w:val="24"/>
              </w:rPr>
              <w:t xml:space="preserve">Overfølsomhed, </w:t>
            </w:r>
            <w:proofErr w:type="spellStart"/>
            <w:r w:rsidRPr="009D0155">
              <w:rPr>
                <w:color w:val="000000" w:themeColor="text1"/>
                <w:sz w:val="24"/>
                <w:szCs w:val="24"/>
              </w:rPr>
              <w:t>angioødem</w:t>
            </w:r>
            <w:proofErr w:type="spellEnd"/>
            <w:r w:rsidRPr="009D0155">
              <w:rPr>
                <w:color w:val="000000" w:themeColor="text1"/>
                <w:sz w:val="24"/>
                <w:szCs w:val="24"/>
              </w:rPr>
              <w:t xml:space="preserve">, </w:t>
            </w:r>
            <w:proofErr w:type="spellStart"/>
            <w:r w:rsidRPr="009D0155">
              <w:rPr>
                <w:color w:val="000000" w:themeColor="text1"/>
                <w:sz w:val="24"/>
                <w:szCs w:val="24"/>
              </w:rPr>
              <w:t>anafylaktisk</w:t>
            </w:r>
            <w:proofErr w:type="spellEnd"/>
            <w:r w:rsidRPr="009D0155">
              <w:rPr>
                <w:color w:val="000000" w:themeColor="text1"/>
                <w:sz w:val="24"/>
                <w:szCs w:val="24"/>
              </w:rPr>
              <w:t xml:space="preserve"> </w:t>
            </w:r>
            <w:proofErr w:type="spellStart"/>
            <w:r w:rsidRPr="009D0155">
              <w:rPr>
                <w:color w:val="000000" w:themeColor="text1"/>
                <w:sz w:val="24"/>
                <w:szCs w:val="24"/>
              </w:rPr>
              <w:t>shock</w:t>
            </w:r>
            <w:proofErr w:type="spellEnd"/>
          </w:p>
          <w:p w14:paraId="18568F03" w14:textId="77777777" w:rsidR="00FC32EC" w:rsidRPr="009D0155" w:rsidRDefault="00FC32EC">
            <w:pPr>
              <w:widowControl w:val="0"/>
              <w:autoSpaceDE w:val="0"/>
              <w:autoSpaceDN w:val="0"/>
              <w:adjustRightInd w:val="0"/>
              <w:ind w:left="-392" w:firstLine="392"/>
              <w:rPr>
                <w:color w:val="000000" w:themeColor="text1"/>
                <w:sz w:val="24"/>
                <w:szCs w:val="24"/>
              </w:rPr>
            </w:pPr>
          </w:p>
        </w:tc>
      </w:tr>
      <w:tr w:rsidR="00FC32EC" w:rsidRPr="009D0155" w14:paraId="6469153D"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164D6A67"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Psykiske forstyrrelser</w:t>
            </w:r>
          </w:p>
        </w:tc>
        <w:tc>
          <w:tcPr>
            <w:tcW w:w="2846" w:type="pct"/>
            <w:tcBorders>
              <w:top w:val="single" w:sz="8" w:space="0" w:color="686868"/>
              <w:left w:val="single" w:sz="8" w:space="0" w:color="686868"/>
              <w:bottom w:val="single" w:sz="8" w:space="0" w:color="686868"/>
              <w:right w:val="single" w:sz="8" w:space="0" w:color="686868"/>
            </w:tcBorders>
          </w:tcPr>
          <w:p w14:paraId="32F7B860" w14:textId="77777777" w:rsidR="00FC32EC" w:rsidRPr="009D0155" w:rsidRDefault="00FC32EC">
            <w:pPr>
              <w:widowControl w:val="0"/>
              <w:autoSpaceDE w:val="0"/>
              <w:autoSpaceDN w:val="0"/>
              <w:adjustRightInd w:val="0"/>
              <w:ind w:left="-392" w:firstLine="392"/>
              <w:rPr>
                <w:color w:val="000000" w:themeColor="text1"/>
                <w:sz w:val="24"/>
                <w:szCs w:val="24"/>
              </w:rPr>
            </w:pPr>
          </w:p>
        </w:tc>
      </w:tr>
      <w:tr w:rsidR="00FC32EC" w:rsidRPr="009D0155" w14:paraId="40D9B15C"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2E60A140"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Ikke kendt</w:t>
            </w:r>
          </w:p>
          <w:p w14:paraId="4C16D0CB" w14:textId="77777777" w:rsidR="00FC32EC" w:rsidRPr="009D0155" w:rsidRDefault="00FC32EC">
            <w:pPr>
              <w:widowControl w:val="0"/>
              <w:autoSpaceDE w:val="0"/>
              <w:autoSpaceDN w:val="0"/>
              <w:adjustRightInd w:val="0"/>
              <w:rPr>
                <w:iCs/>
                <w:color w:val="000000" w:themeColor="text1"/>
                <w:sz w:val="24"/>
                <w:szCs w:val="24"/>
              </w:rPr>
            </w:pPr>
          </w:p>
          <w:p w14:paraId="2254CC99" w14:textId="77777777" w:rsidR="00FC32EC" w:rsidRPr="009D0155" w:rsidRDefault="00FC32EC">
            <w:pPr>
              <w:widowControl w:val="0"/>
              <w:autoSpaceDE w:val="0"/>
              <w:autoSpaceDN w:val="0"/>
              <w:adjustRightInd w:val="0"/>
              <w:rPr>
                <w:iCs/>
                <w:color w:val="000000" w:themeColor="text1"/>
                <w:sz w:val="24"/>
                <w:szCs w:val="24"/>
              </w:rPr>
            </w:pPr>
          </w:p>
          <w:p w14:paraId="2A39BCAF" w14:textId="77777777" w:rsidR="00FC32EC" w:rsidRPr="009D0155" w:rsidRDefault="00FC32EC">
            <w:pPr>
              <w:widowControl w:val="0"/>
              <w:autoSpaceDE w:val="0"/>
              <w:autoSpaceDN w:val="0"/>
              <w:adjustRightInd w:val="0"/>
              <w:rPr>
                <w:iCs/>
                <w:color w:val="000000" w:themeColor="text1"/>
                <w:sz w:val="24"/>
                <w:szCs w:val="24"/>
              </w:rPr>
            </w:pPr>
          </w:p>
          <w:p w14:paraId="04085AC6"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tc>
        <w:tc>
          <w:tcPr>
            <w:tcW w:w="2846" w:type="pct"/>
            <w:tcBorders>
              <w:top w:val="single" w:sz="8" w:space="0" w:color="686868"/>
              <w:left w:val="single" w:sz="8" w:space="0" w:color="686868"/>
              <w:bottom w:val="single" w:sz="8" w:space="0" w:color="686868"/>
              <w:right w:val="single" w:sz="8" w:space="0" w:color="686868"/>
            </w:tcBorders>
          </w:tcPr>
          <w:p w14:paraId="4F8EFF32"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Desorientering, følelsesmæssige og humørmæssige forstyrrelser, ændringer i libido, ophidselse*, fysisk stofafhængighed og abstinenssyndrom, misbrug.</w:t>
            </w:r>
          </w:p>
          <w:p w14:paraId="3BE113E1" w14:textId="77777777" w:rsidR="00FC32EC" w:rsidRPr="009D0155" w:rsidRDefault="00FC32EC">
            <w:pPr>
              <w:widowControl w:val="0"/>
              <w:autoSpaceDE w:val="0"/>
              <w:autoSpaceDN w:val="0"/>
              <w:adjustRightInd w:val="0"/>
              <w:rPr>
                <w:color w:val="000000" w:themeColor="text1"/>
                <w:sz w:val="24"/>
                <w:szCs w:val="24"/>
              </w:rPr>
            </w:pPr>
          </w:p>
          <w:p w14:paraId="44C47C19"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Oprevethed*, fjendtlighed*, aggression*, vrede*, forvirringstilstand, euforisk stemning, hallucinationer.</w:t>
            </w:r>
          </w:p>
        </w:tc>
      </w:tr>
      <w:tr w:rsidR="00FC32EC" w:rsidRPr="009D0155" w14:paraId="4545D5F2"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7A75EDEF" w14:textId="77777777" w:rsidR="00FC32EC" w:rsidRPr="009D0155" w:rsidRDefault="00FC32EC">
            <w:pPr>
              <w:widowControl w:val="0"/>
              <w:autoSpaceDE w:val="0"/>
              <w:autoSpaceDN w:val="0"/>
              <w:adjustRightInd w:val="0"/>
              <w:rPr>
                <w:b/>
                <w:color w:val="000000" w:themeColor="text1"/>
                <w:sz w:val="24"/>
                <w:szCs w:val="24"/>
                <w:lang w:val="nl-NL"/>
              </w:rPr>
            </w:pPr>
            <w:r w:rsidRPr="009D0155">
              <w:rPr>
                <w:b/>
                <w:bCs/>
                <w:color w:val="000000" w:themeColor="text1"/>
                <w:sz w:val="24"/>
                <w:szCs w:val="24"/>
              </w:rPr>
              <w:t>Nervesystemet</w:t>
            </w:r>
          </w:p>
        </w:tc>
        <w:tc>
          <w:tcPr>
            <w:tcW w:w="2846" w:type="pct"/>
            <w:tcBorders>
              <w:top w:val="single" w:sz="8" w:space="0" w:color="686868"/>
              <w:left w:val="single" w:sz="8" w:space="0" w:color="686868"/>
              <w:bottom w:val="single" w:sz="8" w:space="0" w:color="686868"/>
              <w:right w:val="single" w:sz="8" w:space="0" w:color="686868"/>
            </w:tcBorders>
          </w:tcPr>
          <w:p w14:paraId="1935F006"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05E11125"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232D6E7F"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Almindelig</w:t>
            </w:r>
          </w:p>
          <w:p w14:paraId="20F4BFDA" w14:textId="77777777" w:rsidR="00FC32EC" w:rsidRPr="009D0155" w:rsidRDefault="00FC32EC">
            <w:pPr>
              <w:widowControl w:val="0"/>
              <w:autoSpaceDE w:val="0"/>
              <w:autoSpaceDN w:val="0"/>
              <w:adjustRightInd w:val="0"/>
              <w:rPr>
                <w:iCs/>
                <w:color w:val="000000" w:themeColor="text1"/>
                <w:sz w:val="24"/>
                <w:szCs w:val="24"/>
              </w:rPr>
            </w:pPr>
          </w:p>
          <w:p w14:paraId="6870CD22" w14:textId="77777777" w:rsidR="00FC32EC" w:rsidRPr="009D0155" w:rsidRDefault="00FC32EC">
            <w:pPr>
              <w:widowControl w:val="0"/>
              <w:autoSpaceDE w:val="0"/>
              <w:autoSpaceDN w:val="0"/>
              <w:adjustRightInd w:val="0"/>
              <w:rPr>
                <w:iCs/>
                <w:color w:val="000000" w:themeColor="text1"/>
                <w:sz w:val="24"/>
                <w:szCs w:val="24"/>
              </w:rPr>
            </w:pPr>
          </w:p>
          <w:p w14:paraId="58C1E231"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p w14:paraId="210F52FC" w14:textId="77777777" w:rsidR="00FC32EC" w:rsidRPr="009D0155" w:rsidRDefault="00FC32EC">
            <w:pPr>
              <w:widowControl w:val="0"/>
              <w:autoSpaceDE w:val="0"/>
              <w:autoSpaceDN w:val="0"/>
              <w:adjustRightInd w:val="0"/>
              <w:rPr>
                <w:iCs/>
                <w:color w:val="000000" w:themeColor="text1"/>
                <w:sz w:val="24"/>
                <w:szCs w:val="24"/>
              </w:rPr>
            </w:pPr>
          </w:p>
          <w:p w14:paraId="63EF5793" w14:textId="77777777" w:rsidR="00FC32EC" w:rsidRPr="009D0155" w:rsidRDefault="00FC32EC">
            <w:pPr>
              <w:widowControl w:val="0"/>
              <w:autoSpaceDE w:val="0"/>
              <w:autoSpaceDN w:val="0"/>
              <w:adjustRightInd w:val="0"/>
              <w:rPr>
                <w:iCs/>
                <w:color w:val="000000" w:themeColor="text1"/>
                <w:sz w:val="24"/>
                <w:szCs w:val="24"/>
              </w:rPr>
            </w:pPr>
          </w:p>
          <w:p w14:paraId="6FFF8DEC" w14:textId="77777777" w:rsidR="00FC32EC" w:rsidRPr="009D0155" w:rsidRDefault="00FC32EC">
            <w:pPr>
              <w:widowControl w:val="0"/>
              <w:autoSpaceDE w:val="0"/>
              <w:autoSpaceDN w:val="0"/>
              <w:adjustRightInd w:val="0"/>
              <w:rPr>
                <w:iCs/>
                <w:color w:val="000000" w:themeColor="text1"/>
                <w:sz w:val="24"/>
                <w:szCs w:val="24"/>
              </w:rPr>
            </w:pPr>
          </w:p>
          <w:p w14:paraId="39F489AD" w14:textId="77777777" w:rsidR="00FC32EC" w:rsidRPr="009D0155" w:rsidRDefault="00FC32EC">
            <w:pPr>
              <w:widowControl w:val="0"/>
              <w:autoSpaceDE w:val="0"/>
              <w:autoSpaceDN w:val="0"/>
              <w:adjustRightInd w:val="0"/>
              <w:rPr>
                <w:iCs/>
                <w:color w:val="000000" w:themeColor="text1"/>
                <w:sz w:val="24"/>
                <w:szCs w:val="24"/>
              </w:rPr>
            </w:pPr>
          </w:p>
        </w:tc>
        <w:tc>
          <w:tcPr>
            <w:tcW w:w="2846" w:type="pct"/>
            <w:tcBorders>
              <w:top w:val="single" w:sz="8" w:space="0" w:color="686868"/>
              <w:left w:val="single" w:sz="8" w:space="0" w:color="686868"/>
              <w:bottom w:val="single" w:sz="8" w:space="0" w:color="686868"/>
              <w:right w:val="single" w:sz="8" w:space="0" w:color="686868"/>
            </w:tcBorders>
          </w:tcPr>
          <w:p w14:paraId="75527DE6" w14:textId="38123875"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Nedsat årvågenhed, nedsat bevidsthedsniveau, sedation (længerevarende og postoperativ), døsighed.</w:t>
            </w:r>
          </w:p>
          <w:p w14:paraId="78B4C867" w14:textId="77777777" w:rsidR="00FC32EC" w:rsidRPr="009D0155" w:rsidRDefault="00FC32EC">
            <w:pPr>
              <w:widowControl w:val="0"/>
              <w:autoSpaceDE w:val="0"/>
              <w:autoSpaceDN w:val="0"/>
              <w:adjustRightInd w:val="0"/>
              <w:rPr>
                <w:color w:val="000000" w:themeColor="text1"/>
                <w:sz w:val="24"/>
                <w:szCs w:val="24"/>
              </w:rPr>
            </w:pPr>
          </w:p>
          <w:p w14:paraId="4A790E54"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 xml:space="preserve">Ufrivillige bevægelser (inklusive toniske/kloniske bevægelser og </w:t>
            </w:r>
            <w:proofErr w:type="spellStart"/>
            <w:proofErr w:type="gramStart"/>
            <w:r w:rsidRPr="009D0155">
              <w:rPr>
                <w:color w:val="000000" w:themeColor="text1"/>
                <w:sz w:val="24"/>
                <w:szCs w:val="24"/>
              </w:rPr>
              <w:t>muskeltremor</w:t>
            </w:r>
            <w:proofErr w:type="spellEnd"/>
            <w:r w:rsidRPr="009D0155">
              <w:rPr>
                <w:color w:val="000000" w:themeColor="text1"/>
                <w:sz w:val="24"/>
                <w:szCs w:val="24"/>
              </w:rPr>
              <w:t>)*</w:t>
            </w:r>
            <w:proofErr w:type="gramEnd"/>
            <w:r w:rsidRPr="009D0155">
              <w:rPr>
                <w:color w:val="000000" w:themeColor="text1"/>
                <w:sz w:val="24"/>
                <w:szCs w:val="24"/>
              </w:rPr>
              <w:t>, hyperaktivitet*,</w:t>
            </w:r>
          </w:p>
          <w:p w14:paraId="2127908C"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 xml:space="preserve">hovedpine, svimmelhed, </w:t>
            </w:r>
            <w:proofErr w:type="spellStart"/>
            <w:r w:rsidRPr="009D0155">
              <w:rPr>
                <w:color w:val="000000" w:themeColor="text1"/>
                <w:sz w:val="24"/>
                <w:szCs w:val="24"/>
              </w:rPr>
              <w:t>ataksi</w:t>
            </w:r>
            <w:proofErr w:type="spellEnd"/>
            <w:r w:rsidRPr="009D0155">
              <w:rPr>
                <w:color w:val="000000" w:themeColor="text1"/>
                <w:sz w:val="24"/>
                <w:szCs w:val="24"/>
              </w:rPr>
              <w:t xml:space="preserve">, paradoksale reaktioner, </w:t>
            </w:r>
            <w:proofErr w:type="spellStart"/>
            <w:r w:rsidRPr="009D0155">
              <w:rPr>
                <w:color w:val="000000" w:themeColor="text1"/>
                <w:sz w:val="24"/>
                <w:szCs w:val="24"/>
              </w:rPr>
              <w:t>anterograd</w:t>
            </w:r>
            <w:proofErr w:type="spellEnd"/>
            <w:r w:rsidRPr="009D0155">
              <w:rPr>
                <w:color w:val="000000" w:themeColor="text1"/>
                <w:sz w:val="24"/>
                <w:szCs w:val="24"/>
              </w:rPr>
              <w:t xml:space="preserve"> amnesi**, hvis varighed er direkte relateret til den administrerede dosis. Krampeanfald ved lægemiddelnedtrapning.</w:t>
            </w:r>
          </w:p>
        </w:tc>
      </w:tr>
      <w:tr w:rsidR="00FC32EC" w:rsidRPr="009D0155" w14:paraId="1EFA062D"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265B7A75"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Hjerte</w:t>
            </w:r>
          </w:p>
        </w:tc>
        <w:tc>
          <w:tcPr>
            <w:tcW w:w="2846" w:type="pct"/>
            <w:tcBorders>
              <w:top w:val="single" w:sz="8" w:space="0" w:color="686868"/>
              <w:left w:val="single" w:sz="8" w:space="0" w:color="686868"/>
              <w:bottom w:val="single" w:sz="8" w:space="0" w:color="686868"/>
              <w:right w:val="single" w:sz="8" w:space="0" w:color="686868"/>
            </w:tcBorders>
          </w:tcPr>
          <w:p w14:paraId="1E758EF5"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4D430008"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78CBB686"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tc>
        <w:tc>
          <w:tcPr>
            <w:tcW w:w="2846" w:type="pct"/>
            <w:tcBorders>
              <w:top w:val="single" w:sz="8" w:space="0" w:color="686868"/>
              <w:left w:val="single" w:sz="8" w:space="0" w:color="686868"/>
              <w:bottom w:val="single" w:sz="8" w:space="0" w:color="686868"/>
              <w:right w:val="single" w:sz="8" w:space="0" w:color="686868"/>
            </w:tcBorders>
          </w:tcPr>
          <w:p w14:paraId="3A262C24"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Hjertestop, bradykardi</w:t>
            </w:r>
          </w:p>
          <w:p w14:paraId="6578257C"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4A605A05"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1E6501A9" w14:textId="77777777" w:rsidR="00FC32EC" w:rsidRPr="009D0155" w:rsidRDefault="00FC32EC">
            <w:pPr>
              <w:widowControl w:val="0"/>
              <w:autoSpaceDE w:val="0"/>
              <w:autoSpaceDN w:val="0"/>
              <w:adjustRightInd w:val="0"/>
              <w:rPr>
                <w:b/>
                <w:iCs/>
                <w:color w:val="000000" w:themeColor="text1"/>
                <w:sz w:val="24"/>
                <w:szCs w:val="24"/>
              </w:rPr>
            </w:pPr>
            <w:proofErr w:type="spellStart"/>
            <w:r w:rsidRPr="009D0155">
              <w:rPr>
                <w:b/>
                <w:bCs/>
                <w:color w:val="000000" w:themeColor="text1"/>
                <w:sz w:val="24"/>
                <w:szCs w:val="24"/>
              </w:rPr>
              <w:t>Vaskulære</w:t>
            </w:r>
            <w:proofErr w:type="spellEnd"/>
            <w:r w:rsidRPr="009D0155">
              <w:rPr>
                <w:b/>
                <w:bCs/>
                <w:color w:val="000000" w:themeColor="text1"/>
                <w:sz w:val="24"/>
                <w:szCs w:val="24"/>
              </w:rPr>
              <w:t xml:space="preserve"> sygdomme</w:t>
            </w:r>
          </w:p>
        </w:tc>
        <w:tc>
          <w:tcPr>
            <w:tcW w:w="2846" w:type="pct"/>
            <w:tcBorders>
              <w:top w:val="single" w:sz="8" w:space="0" w:color="686868"/>
              <w:left w:val="single" w:sz="8" w:space="0" w:color="686868"/>
              <w:bottom w:val="single" w:sz="8" w:space="0" w:color="686868"/>
              <w:right w:val="single" w:sz="8" w:space="0" w:color="686868"/>
            </w:tcBorders>
          </w:tcPr>
          <w:p w14:paraId="23FD6033"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694B3FE8"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6D6A5552"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p w14:paraId="23580D06" w14:textId="77777777" w:rsidR="00FC32EC" w:rsidRPr="009D0155" w:rsidRDefault="00FC32EC">
            <w:pPr>
              <w:widowControl w:val="0"/>
              <w:autoSpaceDE w:val="0"/>
              <w:autoSpaceDN w:val="0"/>
              <w:adjustRightInd w:val="0"/>
              <w:rPr>
                <w:iCs/>
                <w:color w:val="000000" w:themeColor="text1"/>
                <w:sz w:val="24"/>
                <w:szCs w:val="24"/>
              </w:rPr>
            </w:pPr>
          </w:p>
        </w:tc>
        <w:tc>
          <w:tcPr>
            <w:tcW w:w="2846" w:type="pct"/>
            <w:tcBorders>
              <w:top w:val="single" w:sz="8" w:space="0" w:color="686868"/>
              <w:left w:val="single" w:sz="8" w:space="0" w:color="686868"/>
              <w:bottom w:val="single" w:sz="8" w:space="0" w:color="686868"/>
              <w:right w:val="single" w:sz="8" w:space="0" w:color="686868"/>
            </w:tcBorders>
            <w:hideMark/>
          </w:tcPr>
          <w:p w14:paraId="03F857C1"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Hypotension, vasodilatation</w:t>
            </w:r>
          </w:p>
        </w:tc>
      </w:tr>
      <w:tr w:rsidR="00FC32EC" w:rsidRPr="009D0155" w14:paraId="730A96F1"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06DF9B59" w14:textId="77777777" w:rsidR="00FC32EC" w:rsidRPr="009D0155" w:rsidRDefault="00FC32EC">
            <w:pPr>
              <w:widowControl w:val="0"/>
              <w:autoSpaceDE w:val="0"/>
              <w:autoSpaceDN w:val="0"/>
              <w:adjustRightInd w:val="0"/>
              <w:rPr>
                <w:b/>
                <w:iCs/>
                <w:color w:val="000000" w:themeColor="text1"/>
                <w:sz w:val="24"/>
                <w:szCs w:val="24"/>
              </w:rPr>
            </w:pPr>
            <w:r w:rsidRPr="009D0155">
              <w:rPr>
                <w:b/>
                <w:bCs/>
                <w:color w:val="000000" w:themeColor="text1"/>
                <w:sz w:val="24"/>
                <w:szCs w:val="24"/>
              </w:rPr>
              <w:t xml:space="preserve">Luftveje, thorax og </w:t>
            </w:r>
            <w:proofErr w:type="spellStart"/>
            <w:r w:rsidRPr="009D0155">
              <w:rPr>
                <w:b/>
                <w:bCs/>
                <w:color w:val="000000" w:themeColor="text1"/>
                <w:sz w:val="24"/>
                <w:szCs w:val="24"/>
              </w:rPr>
              <w:t>mediastinum</w:t>
            </w:r>
            <w:proofErr w:type="spellEnd"/>
          </w:p>
        </w:tc>
        <w:tc>
          <w:tcPr>
            <w:tcW w:w="2846" w:type="pct"/>
            <w:tcBorders>
              <w:top w:val="single" w:sz="8" w:space="0" w:color="686868"/>
              <w:left w:val="single" w:sz="8" w:space="0" w:color="686868"/>
              <w:bottom w:val="single" w:sz="8" w:space="0" w:color="686868"/>
              <w:right w:val="single" w:sz="8" w:space="0" w:color="686868"/>
            </w:tcBorders>
          </w:tcPr>
          <w:p w14:paraId="4B5766AB"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2FC92366"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784DA02C"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 xml:space="preserve">Almindelig </w:t>
            </w:r>
          </w:p>
          <w:p w14:paraId="5506A54E" w14:textId="77777777" w:rsidR="00FC32EC" w:rsidRPr="009D0155" w:rsidRDefault="00FC32EC">
            <w:pPr>
              <w:widowControl w:val="0"/>
              <w:autoSpaceDE w:val="0"/>
              <w:autoSpaceDN w:val="0"/>
              <w:adjustRightInd w:val="0"/>
              <w:rPr>
                <w:iCs/>
                <w:color w:val="000000" w:themeColor="text1"/>
                <w:sz w:val="24"/>
                <w:szCs w:val="24"/>
              </w:rPr>
            </w:pPr>
          </w:p>
          <w:p w14:paraId="7B007BC5" w14:textId="77777777" w:rsidR="00FC32EC" w:rsidRPr="009D0155" w:rsidRDefault="00FC32EC">
            <w:pPr>
              <w:widowControl w:val="0"/>
              <w:autoSpaceDE w:val="0"/>
              <w:autoSpaceDN w:val="0"/>
              <w:adjustRightInd w:val="0"/>
              <w:rPr>
                <w:iCs/>
                <w:color w:val="000000" w:themeColor="text1"/>
                <w:sz w:val="24"/>
                <w:szCs w:val="24"/>
              </w:rPr>
            </w:pPr>
          </w:p>
          <w:p w14:paraId="5C993DFC" w14:textId="77777777" w:rsidR="00FC32EC" w:rsidRPr="009D0155" w:rsidRDefault="00FC32EC">
            <w:pPr>
              <w:widowControl w:val="0"/>
              <w:autoSpaceDE w:val="0"/>
              <w:autoSpaceDN w:val="0"/>
              <w:adjustRightInd w:val="0"/>
              <w:rPr>
                <w:iCs/>
                <w:color w:val="000000" w:themeColor="text1"/>
                <w:sz w:val="24"/>
                <w:szCs w:val="24"/>
              </w:rPr>
            </w:pPr>
          </w:p>
          <w:p w14:paraId="7DEBCB7A"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tc>
        <w:tc>
          <w:tcPr>
            <w:tcW w:w="2846" w:type="pct"/>
            <w:tcBorders>
              <w:top w:val="single" w:sz="8" w:space="0" w:color="686868"/>
              <w:left w:val="single" w:sz="8" w:space="0" w:color="686868"/>
              <w:bottom w:val="single" w:sz="8" w:space="0" w:color="686868"/>
              <w:right w:val="single" w:sz="8" w:space="0" w:color="686868"/>
            </w:tcBorders>
          </w:tcPr>
          <w:p w14:paraId="59EA0CD7" w14:textId="77777777" w:rsidR="00FC32EC" w:rsidRPr="009D0155" w:rsidRDefault="00FC32EC">
            <w:pPr>
              <w:widowControl w:val="0"/>
              <w:autoSpaceDE w:val="0"/>
              <w:autoSpaceDN w:val="0"/>
              <w:adjustRightInd w:val="0"/>
              <w:rPr>
                <w:color w:val="000000" w:themeColor="text1"/>
                <w:sz w:val="24"/>
                <w:szCs w:val="24"/>
              </w:rPr>
            </w:pPr>
            <w:proofErr w:type="spellStart"/>
            <w:r w:rsidRPr="009D0155">
              <w:rPr>
                <w:color w:val="000000" w:themeColor="text1"/>
                <w:sz w:val="24"/>
                <w:szCs w:val="24"/>
              </w:rPr>
              <w:t>Nysen</w:t>
            </w:r>
            <w:proofErr w:type="spellEnd"/>
            <w:r w:rsidRPr="009D0155">
              <w:rPr>
                <w:color w:val="000000" w:themeColor="text1"/>
                <w:sz w:val="24"/>
                <w:szCs w:val="24"/>
              </w:rPr>
              <w:t xml:space="preserve">, hoste, kløende næse, tilstoppet næse, næsetørhed, løbende næse, </w:t>
            </w:r>
            <w:proofErr w:type="spellStart"/>
            <w:r w:rsidRPr="009D0155">
              <w:rPr>
                <w:color w:val="000000" w:themeColor="text1"/>
                <w:sz w:val="24"/>
                <w:szCs w:val="24"/>
              </w:rPr>
              <w:t>gaben</w:t>
            </w:r>
            <w:proofErr w:type="spellEnd"/>
            <w:r w:rsidRPr="009D0155">
              <w:rPr>
                <w:color w:val="000000" w:themeColor="text1"/>
                <w:sz w:val="24"/>
                <w:szCs w:val="24"/>
              </w:rPr>
              <w:t xml:space="preserve">, respirationsdepression </w:t>
            </w:r>
          </w:p>
          <w:p w14:paraId="02FB8853" w14:textId="77777777" w:rsidR="00FC32EC" w:rsidRPr="009D0155" w:rsidRDefault="00FC32EC">
            <w:pPr>
              <w:widowControl w:val="0"/>
              <w:autoSpaceDE w:val="0"/>
              <w:autoSpaceDN w:val="0"/>
              <w:adjustRightInd w:val="0"/>
              <w:rPr>
                <w:color w:val="000000" w:themeColor="text1"/>
                <w:sz w:val="24"/>
                <w:szCs w:val="24"/>
              </w:rPr>
            </w:pPr>
          </w:p>
          <w:p w14:paraId="06A98111"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 xml:space="preserve">Apnø, respirationsstop, dyspnø, </w:t>
            </w:r>
            <w:proofErr w:type="spellStart"/>
            <w:r w:rsidRPr="009D0155">
              <w:rPr>
                <w:color w:val="000000" w:themeColor="text1"/>
                <w:sz w:val="24"/>
                <w:szCs w:val="24"/>
              </w:rPr>
              <w:t>laryngospasme</w:t>
            </w:r>
            <w:proofErr w:type="spellEnd"/>
            <w:r w:rsidRPr="009D0155">
              <w:rPr>
                <w:color w:val="000000" w:themeColor="text1"/>
                <w:sz w:val="24"/>
                <w:szCs w:val="24"/>
              </w:rPr>
              <w:t>, hikke</w:t>
            </w:r>
          </w:p>
        </w:tc>
      </w:tr>
      <w:tr w:rsidR="00FC32EC" w:rsidRPr="009D0155" w14:paraId="2E9F0055"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525FCFB1"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Mave-tarm-kanalen</w:t>
            </w:r>
          </w:p>
        </w:tc>
        <w:tc>
          <w:tcPr>
            <w:tcW w:w="2846" w:type="pct"/>
            <w:tcBorders>
              <w:top w:val="single" w:sz="8" w:space="0" w:color="686868"/>
              <w:left w:val="single" w:sz="8" w:space="0" w:color="686868"/>
              <w:bottom w:val="single" w:sz="8" w:space="0" w:color="686868"/>
              <w:right w:val="single" w:sz="8" w:space="0" w:color="686868"/>
            </w:tcBorders>
          </w:tcPr>
          <w:p w14:paraId="40AFAD7A"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1D360A77"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24DC7CA5"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Almindelig</w:t>
            </w:r>
          </w:p>
          <w:p w14:paraId="39A68F86" w14:textId="77777777" w:rsidR="00FC32EC" w:rsidRPr="009D0155" w:rsidRDefault="00FC32EC">
            <w:pPr>
              <w:widowControl w:val="0"/>
              <w:autoSpaceDE w:val="0"/>
              <w:autoSpaceDN w:val="0"/>
              <w:adjustRightInd w:val="0"/>
              <w:rPr>
                <w:iCs/>
                <w:color w:val="000000" w:themeColor="text1"/>
                <w:sz w:val="24"/>
                <w:szCs w:val="24"/>
              </w:rPr>
            </w:pPr>
          </w:p>
          <w:p w14:paraId="45DCC964"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tc>
        <w:tc>
          <w:tcPr>
            <w:tcW w:w="2846" w:type="pct"/>
            <w:tcBorders>
              <w:top w:val="single" w:sz="8" w:space="0" w:color="686868"/>
              <w:left w:val="single" w:sz="8" w:space="0" w:color="686868"/>
              <w:bottom w:val="single" w:sz="8" w:space="0" w:color="686868"/>
              <w:right w:val="single" w:sz="8" w:space="0" w:color="686868"/>
            </w:tcBorders>
          </w:tcPr>
          <w:p w14:paraId="4226E6A2"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Kvalme, opkast</w:t>
            </w:r>
          </w:p>
          <w:p w14:paraId="696A9E81" w14:textId="77777777" w:rsidR="00FC32EC" w:rsidRPr="009D0155" w:rsidRDefault="00FC32EC">
            <w:pPr>
              <w:widowControl w:val="0"/>
              <w:autoSpaceDE w:val="0"/>
              <w:autoSpaceDN w:val="0"/>
              <w:adjustRightInd w:val="0"/>
              <w:rPr>
                <w:color w:val="000000" w:themeColor="text1"/>
                <w:sz w:val="24"/>
                <w:szCs w:val="24"/>
              </w:rPr>
            </w:pPr>
          </w:p>
          <w:p w14:paraId="3A4FA9E8"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Forstoppelse, tør mund</w:t>
            </w:r>
          </w:p>
        </w:tc>
      </w:tr>
      <w:tr w:rsidR="00FC32EC" w:rsidRPr="009D0155" w14:paraId="646F3713"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3D3C4143"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Hud og subkutane væv</w:t>
            </w:r>
          </w:p>
        </w:tc>
        <w:tc>
          <w:tcPr>
            <w:tcW w:w="2846" w:type="pct"/>
            <w:tcBorders>
              <w:top w:val="single" w:sz="8" w:space="0" w:color="686868"/>
              <w:left w:val="single" w:sz="8" w:space="0" w:color="686868"/>
              <w:bottom w:val="single" w:sz="8" w:space="0" w:color="686868"/>
              <w:right w:val="single" w:sz="8" w:space="0" w:color="686868"/>
            </w:tcBorders>
          </w:tcPr>
          <w:p w14:paraId="4BA06C80"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2CD5326A"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19A0C62C"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Ikke almindelig</w:t>
            </w:r>
          </w:p>
        </w:tc>
        <w:tc>
          <w:tcPr>
            <w:tcW w:w="2846" w:type="pct"/>
            <w:tcBorders>
              <w:top w:val="single" w:sz="8" w:space="0" w:color="686868"/>
              <w:left w:val="single" w:sz="8" w:space="0" w:color="686868"/>
              <w:bottom w:val="single" w:sz="8" w:space="0" w:color="686868"/>
              <w:right w:val="single" w:sz="8" w:space="0" w:color="686868"/>
            </w:tcBorders>
          </w:tcPr>
          <w:p w14:paraId="47DF3989"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Udslæt, nældefeber, hudkløe</w:t>
            </w:r>
          </w:p>
          <w:p w14:paraId="59AF1569"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21D11228"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09FBDB1C"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Almene symptomer og reaktioner på administrationsstedet</w:t>
            </w:r>
          </w:p>
        </w:tc>
        <w:tc>
          <w:tcPr>
            <w:tcW w:w="2846" w:type="pct"/>
            <w:tcBorders>
              <w:top w:val="single" w:sz="8" w:space="0" w:color="686868"/>
              <w:left w:val="single" w:sz="8" w:space="0" w:color="686868"/>
              <w:bottom w:val="single" w:sz="8" w:space="0" w:color="686868"/>
              <w:right w:val="single" w:sz="8" w:space="0" w:color="686868"/>
            </w:tcBorders>
          </w:tcPr>
          <w:p w14:paraId="1E118968"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4AAC1FA4"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6CB244EC" w14:textId="77777777" w:rsidR="00FC32EC" w:rsidRPr="009D0155" w:rsidRDefault="00FC32EC">
            <w:pPr>
              <w:widowControl w:val="0"/>
              <w:autoSpaceDE w:val="0"/>
              <w:autoSpaceDN w:val="0"/>
              <w:adjustRightInd w:val="0"/>
              <w:rPr>
                <w:iCs/>
                <w:color w:val="000000" w:themeColor="text1"/>
                <w:sz w:val="24"/>
                <w:szCs w:val="24"/>
              </w:rPr>
            </w:pPr>
            <w:r w:rsidRPr="009D0155">
              <w:rPr>
                <w:color w:val="000000" w:themeColor="text1"/>
                <w:sz w:val="24"/>
                <w:szCs w:val="24"/>
              </w:rPr>
              <w:t>Meget sjælden</w:t>
            </w:r>
          </w:p>
          <w:p w14:paraId="0E0AFB03" w14:textId="77777777" w:rsidR="00FC32EC" w:rsidRPr="009D0155" w:rsidRDefault="00FC32EC">
            <w:pPr>
              <w:widowControl w:val="0"/>
              <w:autoSpaceDE w:val="0"/>
              <w:autoSpaceDN w:val="0"/>
              <w:adjustRightInd w:val="0"/>
              <w:rPr>
                <w:iCs/>
                <w:color w:val="000000" w:themeColor="text1"/>
                <w:sz w:val="24"/>
                <w:szCs w:val="24"/>
              </w:rPr>
            </w:pPr>
          </w:p>
        </w:tc>
        <w:tc>
          <w:tcPr>
            <w:tcW w:w="2846" w:type="pct"/>
            <w:tcBorders>
              <w:top w:val="single" w:sz="8" w:space="0" w:color="686868"/>
              <w:left w:val="single" w:sz="8" w:space="0" w:color="686868"/>
              <w:bottom w:val="single" w:sz="8" w:space="0" w:color="686868"/>
              <w:right w:val="single" w:sz="8" w:space="0" w:color="686868"/>
            </w:tcBorders>
            <w:hideMark/>
          </w:tcPr>
          <w:p w14:paraId="564C5D82"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Træthed</w:t>
            </w:r>
          </w:p>
        </w:tc>
      </w:tr>
      <w:tr w:rsidR="00FC32EC" w:rsidRPr="009D0155" w14:paraId="1C4CAE31"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4846A122"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Traumer, forgiftninger og behandlingskomplikationer</w:t>
            </w:r>
          </w:p>
        </w:tc>
        <w:tc>
          <w:tcPr>
            <w:tcW w:w="2846" w:type="pct"/>
            <w:tcBorders>
              <w:top w:val="single" w:sz="8" w:space="0" w:color="686868"/>
              <w:left w:val="single" w:sz="8" w:space="0" w:color="686868"/>
              <w:bottom w:val="single" w:sz="8" w:space="0" w:color="686868"/>
              <w:right w:val="single" w:sz="8" w:space="0" w:color="686868"/>
            </w:tcBorders>
          </w:tcPr>
          <w:p w14:paraId="58A064ED"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011F1331"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44C35C53"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Ikke kendt</w:t>
            </w:r>
          </w:p>
          <w:p w14:paraId="15B9C3C8" w14:textId="77777777" w:rsidR="00FC32EC" w:rsidRPr="009D0155" w:rsidRDefault="00FC32EC">
            <w:pPr>
              <w:widowControl w:val="0"/>
              <w:autoSpaceDE w:val="0"/>
              <w:autoSpaceDN w:val="0"/>
              <w:adjustRightInd w:val="0"/>
              <w:rPr>
                <w:color w:val="000000" w:themeColor="text1"/>
                <w:sz w:val="24"/>
                <w:szCs w:val="24"/>
              </w:rPr>
            </w:pPr>
          </w:p>
        </w:tc>
        <w:tc>
          <w:tcPr>
            <w:tcW w:w="2846" w:type="pct"/>
            <w:tcBorders>
              <w:top w:val="single" w:sz="8" w:space="0" w:color="686868"/>
              <w:left w:val="single" w:sz="8" w:space="0" w:color="686868"/>
              <w:bottom w:val="single" w:sz="8" w:space="0" w:color="686868"/>
              <w:right w:val="single" w:sz="8" w:space="0" w:color="686868"/>
            </w:tcBorders>
            <w:hideMark/>
          </w:tcPr>
          <w:p w14:paraId="12988B27"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Fald, brud***</w:t>
            </w:r>
          </w:p>
        </w:tc>
      </w:tr>
      <w:tr w:rsidR="00FC32EC" w:rsidRPr="009D0155" w14:paraId="16141B71"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202FDEDF"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Sociale forhold</w:t>
            </w:r>
          </w:p>
        </w:tc>
        <w:tc>
          <w:tcPr>
            <w:tcW w:w="2846" w:type="pct"/>
            <w:tcBorders>
              <w:top w:val="single" w:sz="8" w:space="0" w:color="686868"/>
              <w:left w:val="single" w:sz="8" w:space="0" w:color="686868"/>
              <w:bottom w:val="single" w:sz="8" w:space="0" w:color="686868"/>
              <w:right w:val="single" w:sz="8" w:space="0" w:color="686868"/>
            </w:tcBorders>
          </w:tcPr>
          <w:p w14:paraId="6785E0F6"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6A0AF436" w14:textId="77777777" w:rsidTr="00D83412">
        <w:tc>
          <w:tcPr>
            <w:tcW w:w="2154" w:type="pct"/>
            <w:tcBorders>
              <w:top w:val="single" w:sz="8" w:space="0" w:color="686868"/>
              <w:left w:val="single" w:sz="8" w:space="0" w:color="686868"/>
              <w:bottom w:val="single" w:sz="8" w:space="0" w:color="686868"/>
              <w:right w:val="single" w:sz="8" w:space="0" w:color="686868"/>
            </w:tcBorders>
          </w:tcPr>
          <w:p w14:paraId="1C6D8695"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Meget sjælden</w:t>
            </w:r>
          </w:p>
          <w:p w14:paraId="30D0D560" w14:textId="77777777" w:rsidR="00FC32EC" w:rsidRPr="009D0155" w:rsidRDefault="00FC32EC">
            <w:pPr>
              <w:widowControl w:val="0"/>
              <w:autoSpaceDE w:val="0"/>
              <w:autoSpaceDN w:val="0"/>
              <w:adjustRightInd w:val="0"/>
              <w:rPr>
                <w:color w:val="000000" w:themeColor="text1"/>
                <w:sz w:val="24"/>
                <w:szCs w:val="24"/>
              </w:rPr>
            </w:pPr>
          </w:p>
        </w:tc>
        <w:tc>
          <w:tcPr>
            <w:tcW w:w="2846" w:type="pct"/>
            <w:tcBorders>
              <w:top w:val="single" w:sz="8" w:space="0" w:color="686868"/>
              <w:left w:val="single" w:sz="8" w:space="0" w:color="686868"/>
              <w:bottom w:val="single" w:sz="8" w:space="0" w:color="686868"/>
              <w:right w:val="single" w:sz="8" w:space="0" w:color="686868"/>
            </w:tcBorders>
            <w:hideMark/>
          </w:tcPr>
          <w:p w14:paraId="56969625"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Overfald*</w:t>
            </w:r>
          </w:p>
        </w:tc>
      </w:tr>
      <w:tr w:rsidR="00FC32EC" w:rsidRPr="009D0155" w14:paraId="07AAB9D6"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4147B59A" w14:textId="77777777" w:rsidR="00FC32EC" w:rsidRPr="009D0155" w:rsidRDefault="00FC32EC">
            <w:pPr>
              <w:widowControl w:val="0"/>
              <w:autoSpaceDE w:val="0"/>
              <w:autoSpaceDN w:val="0"/>
              <w:adjustRightInd w:val="0"/>
              <w:rPr>
                <w:b/>
                <w:color w:val="000000" w:themeColor="text1"/>
                <w:sz w:val="24"/>
                <w:szCs w:val="24"/>
              </w:rPr>
            </w:pPr>
            <w:r w:rsidRPr="009D0155">
              <w:rPr>
                <w:b/>
                <w:bCs/>
                <w:color w:val="000000" w:themeColor="text1"/>
                <w:sz w:val="24"/>
                <w:szCs w:val="24"/>
              </w:rPr>
              <w:t>Øjne</w:t>
            </w:r>
          </w:p>
        </w:tc>
        <w:tc>
          <w:tcPr>
            <w:tcW w:w="2846" w:type="pct"/>
            <w:tcBorders>
              <w:top w:val="single" w:sz="8" w:space="0" w:color="686868"/>
              <w:left w:val="single" w:sz="8" w:space="0" w:color="686868"/>
              <w:bottom w:val="single" w:sz="8" w:space="0" w:color="686868"/>
              <w:right w:val="single" w:sz="8" w:space="0" w:color="686868"/>
            </w:tcBorders>
          </w:tcPr>
          <w:p w14:paraId="770EA3B1" w14:textId="77777777" w:rsidR="00FC32EC" w:rsidRPr="009D0155" w:rsidRDefault="00FC32EC">
            <w:pPr>
              <w:widowControl w:val="0"/>
              <w:autoSpaceDE w:val="0"/>
              <w:autoSpaceDN w:val="0"/>
              <w:adjustRightInd w:val="0"/>
              <w:rPr>
                <w:color w:val="000000" w:themeColor="text1"/>
                <w:sz w:val="24"/>
                <w:szCs w:val="24"/>
              </w:rPr>
            </w:pPr>
          </w:p>
        </w:tc>
      </w:tr>
      <w:tr w:rsidR="00FC32EC" w:rsidRPr="009D0155" w14:paraId="5F675356" w14:textId="77777777" w:rsidTr="00D83412">
        <w:tc>
          <w:tcPr>
            <w:tcW w:w="2154" w:type="pct"/>
            <w:tcBorders>
              <w:top w:val="single" w:sz="8" w:space="0" w:color="686868"/>
              <w:left w:val="single" w:sz="8" w:space="0" w:color="686868"/>
              <w:bottom w:val="single" w:sz="8" w:space="0" w:color="686868"/>
              <w:right w:val="single" w:sz="8" w:space="0" w:color="686868"/>
            </w:tcBorders>
            <w:hideMark/>
          </w:tcPr>
          <w:p w14:paraId="3BA7F606" w14:textId="77777777"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Ikke kendt</w:t>
            </w:r>
          </w:p>
        </w:tc>
        <w:tc>
          <w:tcPr>
            <w:tcW w:w="2846" w:type="pct"/>
            <w:tcBorders>
              <w:top w:val="single" w:sz="8" w:space="0" w:color="686868"/>
              <w:left w:val="single" w:sz="8" w:space="0" w:color="686868"/>
              <w:bottom w:val="single" w:sz="8" w:space="0" w:color="686868"/>
              <w:right w:val="single" w:sz="8" w:space="0" w:color="686868"/>
            </w:tcBorders>
          </w:tcPr>
          <w:p w14:paraId="35960F42" w14:textId="1C321272" w:rsidR="00FC32EC" w:rsidRPr="009D0155" w:rsidRDefault="00FC32EC">
            <w:pPr>
              <w:widowControl w:val="0"/>
              <w:autoSpaceDE w:val="0"/>
              <w:autoSpaceDN w:val="0"/>
              <w:adjustRightInd w:val="0"/>
              <w:rPr>
                <w:color w:val="000000" w:themeColor="text1"/>
                <w:sz w:val="24"/>
                <w:szCs w:val="24"/>
              </w:rPr>
            </w:pPr>
            <w:r w:rsidRPr="009D0155">
              <w:rPr>
                <w:color w:val="000000" w:themeColor="text1"/>
                <w:sz w:val="24"/>
                <w:szCs w:val="24"/>
              </w:rPr>
              <w:t>Dobbeltsyn, sløret syn, overdreven blink</w:t>
            </w:r>
            <w:r w:rsidR="00044474">
              <w:rPr>
                <w:color w:val="000000" w:themeColor="text1"/>
                <w:sz w:val="24"/>
                <w:szCs w:val="24"/>
              </w:rPr>
              <w:t>en</w:t>
            </w:r>
          </w:p>
          <w:p w14:paraId="58D430F7" w14:textId="77777777" w:rsidR="00FC32EC" w:rsidRPr="009D0155" w:rsidRDefault="00FC32EC">
            <w:pPr>
              <w:widowControl w:val="0"/>
              <w:autoSpaceDE w:val="0"/>
              <w:autoSpaceDN w:val="0"/>
              <w:adjustRightInd w:val="0"/>
              <w:rPr>
                <w:color w:val="000000" w:themeColor="text1"/>
                <w:sz w:val="24"/>
                <w:szCs w:val="24"/>
              </w:rPr>
            </w:pPr>
          </w:p>
        </w:tc>
      </w:tr>
    </w:tbl>
    <w:p w14:paraId="19F501C1" w14:textId="253703D4" w:rsidR="00FC32EC" w:rsidRPr="009D0155" w:rsidRDefault="00FC32EC" w:rsidP="001877CC">
      <w:pPr>
        <w:ind w:left="567" w:hanging="567"/>
        <w:rPr>
          <w:sz w:val="24"/>
          <w:szCs w:val="24"/>
          <w:lang w:val="nl-NL" w:eastAsia="nl-NL"/>
        </w:rPr>
      </w:pPr>
      <w:r w:rsidRPr="009D0155">
        <w:rPr>
          <w:sz w:val="24"/>
          <w:szCs w:val="24"/>
        </w:rPr>
        <w:t xml:space="preserve">* </w:t>
      </w:r>
      <w:r w:rsidR="001877CC">
        <w:rPr>
          <w:sz w:val="24"/>
          <w:szCs w:val="24"/>
        </w:rPr>
        <w:tab/>
      </w:r>
      <w:r w:rsidRPr="009D0155">
        <w:rPr>
          <w:sz w:val="24"/>
          <w:szCs w:val="24"/>
        </w:rPr>
        <w:t xml:space="preserve">Sådanne paradoksale lægemiddelreaktioner er blevet indberettet, især blandt børn og ældre efter intravenøs </w:t>
      </w:r>
      <w:proofErr w:type="spellStart"/>
      <w:r w:rsidRPr="009D0155">
        <w:rPr>
          <w:sz w:val="24"/>
          <w:szCs w:val="24"/>
        </w:rPr>
        <w:t>midazolam</w:t>
      </w:r>
      <w:proofErr w:type="spellEnd"/>
      <w:r w:rsidRPr="009D0155">
        <w:rPr>
          <w:sz w:val="24"/>
          <w:szCs w:val="24"/>
        </w:rPr>
        <w:t>, som kan være af relevans for intranasal administration.</w:t>
      </w:r>
    </w:p>
    <w:p w14:paraId="67511816" w14:textId="522648FA" w:rsidR="00FC32EC" w:rsidRPr="009D0155" w:rsidRDefault="00FC32EC" w:rsidP="00612F36">
      <w:pPr>
        <w:ind w:left="567" w:hanging="567"/>
        <w:rPr>
          <w:sz w:val="24"/>
          <w:szCs w:val="24"/>
        </w:rPr>
      </w:pPr>
      <w:r w:rsidRPr="009D0155">
        <w:rPr>
          <w:sz w:val="24"/>
          <w:szCs w:val="24"/>
        </w:rPr>
        <w:t xml:space="preserve">** </w:t>
      </w:r>
      <w:r w:rsidR="00612F36">
        <w:rPr>
          <w:sz w:val="24"/>
          <w:szCs w:val="24"/>
        </w:rPr>
        <w:tab/>
      </w:r>
      <w:proofErr w:type="spellStart"/>
      <w:r w:rsidRPr="009D0155">
        <w:rPr>
          <w:sz w:val="24"/>
          <w:szCs w:val="24"/>
        </w:rPr>
        <w:t>Anterograd</w:t>
      </w:r>
      <w:proofErr w:type="spellEnd"/>
      <w:r w:rsidRPr="009D0155">
        <w:rPr>
          <w:sz w:val="24"/>
          <w:szCs w:val="24"/>
        </w:rPr>
        <w:t xml:space="preserve"> amnesi kan stadig være til stede ved afslutningen af indgrebet, og i få tilfælde er længerevarende amnesi indberettet efter brug af </w:t>
      </w:r>
      <w:proofErr w:type="spellStart"/>
      <w:r w:rsidRPr="009D0155">
        <w:rPr>
          <w:sz w:val="24"/>
          <w:szCs w:val="24"/>
        </w:rPr>
        <w:t>midazolam</w:t>
      </w:r>
      <w:proofErr w:type="spellEnd"/>
      <w:r w:rsidRPr="009D0155">
        <w:rPr>
          <w:sz w:val="24"/>
          <w:szCs w:val="24"/>
        </w:rPr>
        <w:t>.</w:t>
      </w:r>
    </w:p>
    <w:p w14:paraId="2D15EF11" w14:textId="21CA8852" w:rsidR="00FC32EC" w:rsidRPr="009D0155" w:rsidRDefault="00FC32EC" w:rsidP="00612F36">
      <w:pPr>
        <w:ind w:left="567" w:hanging="567"/>
        <w:rPr>
          <w:strike/>
          <w:sz w:val="24"/>
          <w:szCs w:val="24"/>
        </w:rPr>
      </w:pPr>
      <w:r w:rsidRPr="009D0155">
        <w:rPr>
          <w:sz w:val="24"/>
          <w:szCs w:val="24"/>
        </w:rPr>
        <w:t xml:space="preserve">*** </w:t>
      </w:r>
      <w:r w:rsidR="00612F36">
        <w:rPr>
          <w:sz w:val="24"/>
          <w:szCs w:val="24"/>
        </w:rPr>
        <w:tab/>
      </w:r>
      <w:r w:rsidRPr="009D0155">
        <w:rPr>
          <w:sz w:val="24"/>
          <w:szCs w:val="24"/>
        </w:rPr>
        <w:t>Risikoen for fald og brud er øget hos dem, der samtidig tager beroligende medicin (inklusive alkoholholdige drikkevarer) og hos ældre.</w:t>
      </w:r>
    </w:p>
    <w:p w14:paraId="3D81284E" w14:textId="77777777" w:rsidR="00FC32EC" w:rsidRPr="009D0155" w:rsidRDefault="00FC32EC" w:rsidP="00D83412">
      <w:pPr>
        <w:rPr>
          <w:bCs/>
          <w:sz w:val="24"/>
          <w:szCs w:val="24"/>
        </w:rPr>
      </w:pPr>
    </w:p>
    <w:p w14:paraId="1EF41CF8" w14:textId="77777777" w:rsidR="00FC32EC" w:rsidRPr="009D0155" w:rsidRDefault="00FC32EC" w:rsidP="00D83412">
      <w:pPr>
        <w:ind w:left="851"/>
        <w:rPr>
          <w:sz w:val="24"/>
          <w:szCs w:val="24"/>
        </w:rPr>
      </w:pPr>
      <w:r w:rsidRPr="009D0155">
        <w:rPr>
          <w:sz w:val="24"/>
          <w:szCs w:val="24"/>
        </w:rPr>
        <w:t xml:space="preserve">Alvorlige </w:t>
      </w:r>
      <w:proofErr w:type="spellStart"/>
      <w:r w:rsidRPr="009D0155">
        <w:rPr>
          <w:sz w:val="24"/>
          <w:szCs w:val="24"/>
        </w:rPr>
        <w:t>kardiorespiratoriske</w:t>
      </w:r>
      <w:proofErr w:type="spellEnd"/>
      <w:r w:rsidRPr="009D0155">
        <w:rPr>
          <w:sz w:val="24"/>
          <w:szCs w:val="24"/>
        </w:rPr>
        <w:t xml:space="preserve"> bivirkninger er opstået efter administration af </w:t>
      </w:r>
      <w:proofErr w:type="spellStart"/>
      <w:r w:rsidRPr="009D0155">
        <w:rPr>
          <w:sz w:val="24"/>
          <w:szCs w:val="24"/>
        </w:rPr>
        <w:t>midazolam</w:t>
      </w:r>
      <w:proofErr w:type="spellEnd"/>
      <w:r w:rsidRPr="009D0155">
        <w:rPr>
          <w:sz w:val="24"/>
          <w:szCs w:val="24"/>
        </w:rPr>
        <w:t>. Livstruende hændelser er mere tilbøjelige til at forekomme hos voksne over 60 år og personer med allerede eksisterende respiratorisk insufficiens eller nedsat hjertefunktion, især når en høj dosis administreres (se pkt. 4.4).</w:t>
      </w:r>
    </w:p>
    <w:p w14:paraId="16080766" w14:textId="77777777" w:rsidR="00FC32EC" w:rsidRPr="009D0155" w:rsidRDefault="00FC32EC" w:rsidP="00D83412">
      <w:pPr>
        <w:ind w:left="851"/>
        <w:rPr>
          <w:sz w:val="24"/>
          <w:szCs w:val="24"/>
        </w:rPr>
      </w:pPr>
    </w:p>
    <w:p w14:paraId="4D109B76" w14:textId="77777777" w:rsidR="00FC32EC" w:rsidRPr="009D0155" w:rsidRDefault="00FC32EC" w:rsidP="00D83412">
      <w:pPr>
        <w:ind w:left="851"/>
        <w:rPr>
          <w:sz w:val="24"/>
          <w:szCs w:val="24"/>
          <w:lang w:val="nl-NL"/>
        </w:rPr>
      </w:pPr>
      <w:r w:rsidRPr="009D0155">
        <w:rPr>
          <w:sz w:val="24"/>
          <w:szCs w:val="24"/>
          <w:u w:val="single"/>
        </w:rPr>
        <w:t>Indberetning af formodede bivirkninger</w:t>
      </w:r>
    </w:p>
    <w:p w14:paraId="1128DBAE" w14:textId="77777777" w:rsidR="00FC32EC" w:rsidRPr="009D0155" w:rsidRDefault="00FC32EC" w:rsidP="00D83412">
      <w:pPr>
        <w:ind w:left="851"/>
        <w:rPr>
          <w:sz w:val="24"/>
          <w:szCs w:val="24"/>
        </w:rPr>
      </w:pPr>
      <w:r w:rsidRPr="009D0155">
        <w:rPr>
          <w:sz w:val="24"/>
          <w:szCs w:val="24"/>
        </w:rPr>
        <w:t>Når lægemidlet er godkendt, er indberetning af formodede bivirkninger vigtig. Det muliggør løbende overvågning af benefit/</w:t>
      </w:r>
      <w:proofErr w:type="spellStart"/>
      <w:r w:rsidRPr="009D0155">
        <w:rPr>
          <w:sz w:val="24"/>
          <w:szCs w:val="24"/>
        </w:rPr>
        <w:t>risk</w:t>
      </w:r>
      <w:proofErr w:type="spellEnd"/>
      <w:r w:rsidRPr="009D0155">
        <w:rPr>
          <w:sz w:val="24"/>
          <w:szCs w:val="24"/>
        </w:rPr>
        <w:t>-forholdet for lægemidlet. Sundhedspersoner anmodes om at indberette alle formodede bivirkninger via:</w:t>
      </w:r>
    </w:p>
    <w:p w14:paraId="67806592" w14:textId="77777777" w:rsidR="00FC32EC" w:rsidRPr="009D0155" w:rsidRDefault="00FC32EC" w:rsidP="00D83412">
      <w:pPr>
        <w:ind w:left="851"/>
        <w:rPr>
          <w:sz w:val="24"/>
          <w:szCs w:val="24"/>
        </w:rPr>
      </w:pPr>
    </w:p>
    <w:p w14:paraId="43C57731" w14:textId="77777777" w:rsidR="00FC32EC" w:rsidRPr="009D0155" w:rsidRDefault="00FC32EC" w:rsidP="00D83412">
      <w:pPr>
        <w:ind w:left="851"/>
        <w:rPr>
          <w:sz w:val="24"/>
          <w:szCs w:val="24"/>
        </w:rPr>
      </w:pPr>
      <w:r w:rsidRPr="009D0155">
        <w:rPr>
          <w:sz w:val="24"/>
          <w:szCs w:val="24"/>
        </w:rPr>
        <w:t>Lægemiddelstyrelsen</w:t>
      </w:r>
    </w:p>
    <w:p w14:paraId="097A74E3" w14:textId="77777777" w:rsidR="00FC32EC" w:rsidRPr="009D0155" w:rsidRDefault="00FC32EC" w:rsidP="00D83412">
      <w:pPr>
        <w:ind w:left="851"/>
        <w:rPr>
          <w:sz w:val="24"/>
          <w:szCs w:val="24"/>
        </w:rPr>
      </w:pPr>
      <w:r w:rsidRPr="009D0155">
        <w:rPr>
          <w:sz w:val="24"/>
          <w:szCs w:val="24"/>
        </w:rPr>
        <w:t>Axel Heides Gade 1</w:t>
      </w:r>
    </w:p>
    <w:p w14:paraId="39E2D306" w14:textId="77777777" w:rsidR="00FC32EC" w:rsidRPr="009D0155" w:rsidRDefault="00FC32EC" w:rsidP="00D83412">
      <w:pPr>
        <w:ind w:left="851"/>
        <w:rPr>
          <w:sz w:val="24"/>
          <w:szCs w:val="24"/>
        </w:rPr>
      </w:pPr>
      <w:r w:rsidRPr="009D0155">
        <w:rPr>
          <w:sz w:val="24"/>
          <w:szCs w:val="24"/>
        </w:rPr>
        <w:t>DK-2300 København S</w:t>
      </w:r>
    </w:p>
    <w:p w14:paraId="4DC66D9D" w14:textId="77777777" w:rsidR="00FC32EC" w:rsidRPr="009D0155" w:rsidRDefault="00FC32EC" w:rsidP="00D83412">
      <w:pPr>
        <w:ind w:left="851"/>
        <w:rPr>
          <w:sz w:val="24"/>
          <w:szCs w:val="24"/>
          <w:u w:val="single" w:color="33443E"/>
          <w:lang w:val="nl-NL"/>
        </w:rPr>
      </w:pPr>
      <w:r w:rsidRPr="009D0155">
        <w:rPr>
          <w:sz w:val="24"/>
          <w:szCs w:val="24"/>
        </w:rPr>
        <w:t>Websted: www.meldenbivirkning.dk</w:t>
      </w:r>
    </w:p>
    <w:p w14:paraId="6C418C39" w14:textId="77777777" w:rsidR="009260DE" w:rsidRPr="009D0155" w:rsidRDefault="009260DE" w:rsidP="00A10294">
      <w:pPr>
        <w:tabs>
          <w:tab w:val="left" w:pos="851"/>
        </w:tabs>
        <w:ind w:left="851"/>
        <w:rPr>
          <w:sz w:val="24"/>
          <w:szCs w:val="24"/>
        </w:rPr>
      </w:pPr>
    </w:p>
    <w:p w14:paraId="29AD553A" w14:textId="77777777" w:rsidR="009260DE" w:rsidRPr="009D0155" w:rsidRDefault="009260DE" w:rsidP="009260DE">
      <w:pPr>
        <w:tabs>
          <w:tab w:val="left" w:pos="851"/>
        </w:tabs>
        <w:ind w:left="851" w:hanging="851"/>
        <w:rPr>
          <w:b/>
          <w:sz w:val="24"/>
          <w:szCs w:val="24"/>
        </w:rPr>
      </w:pPr>
      <w:r w:rsidRPr="009D0155">
        <w:rPr>
          <w:b/>
          <w:sz w:val="24"/>
          <w:szCs w:val="24"/>
        </w:rPr>
        <w:t>4.9</w:t>
      </w:r>
      <w:r w:rsidRPr="009D0155">
        <w:rPr>
          <w:b/>
          <w:sz w:val="24"/>
          <w:szCs w:val="24"/>
        </w:rPr>
        <w:tab/>
        <w:t>Overdosering</w:t>
      </w:r>
    </w:p>
    <w:p w14:paraId="337581B7" w14:textId="77777777" w:rsidR="00612F36" w:rsidRDefault="00612F36" w:rsidP="00D83412">
      <w:pPr>
        <w:ind w:left="851"/>
        <w:rPr>
          <w:sz w:val="24"/>
          <w:szCs w:val="24"/>
        </w:rPr>
      </w:pPr>
    </w:p>
    <w:p w14:paraId="24928146" w14:textId="71DC8209" w:rsidR="00FC32EC" w:rsidRPr="00612F36" w:rsidRDefault="00FC32EC" w:rsidP="00D83412">
      <w:pPr>
        <w:ind w:left="851"/>
        <w:rPr>
          <w:sz w:val="24"/>
          <w:szCs w:val="24"/>
          <w:u w:val="single"/>
          <w:lang w:eastAsia="nl-NL"/>
        </w:rPr>
      </w:pPr>
      <w:r w:rsidRPr="00612F36">
        <w:rPr>
          <w:sz w:val="24"/>
          <w:szCs w:val="24"/>
          <w:u w:val="single"/>
        </w:rPr>
        <w:t>Symptomer</w:t>
      </w:r>
    </w:p>
    <w:p w14:paraId="23763180" w14:textId="77777777" w:rsidR="00FC32EC" w:rsidRPr="009D0155" w:rsidRDefault="00FC32EC" w:rsidP="00D83412">
      <w:pPr>
        <w:ind w:left="851"/>
        <w:rPr>
          <w:sz w:val="24"/>
          <w:szCs w:val="24"/>
        </w:rPr>
      </w:pPr>
      <w:r w:rsidRPr="009D0155">
        <w:rPr>
          <w:sz w:val="24"/>
          <w:szCs w:val="24"/>
        </w:rPr>
        <w:t xml:space="preserve">En overdosis af </w:t>
      </w:r>
      <w:proofErr w:type="spellStart"/>
      <w:r w:rsidRPr="009D0155">
        <w:rPr>
          <w:sz w:val="24"/>
          <w:szCs w:val="24"/>
        </w:rPr>
        <w:t>midazolam</w:t>
      </w:r>
      <w:proofErr w:type="spellEnd"/>
      <w:r w:rsidRPr="009D0155">
        <w:rPr>
          <w:sz w:val="24"/>
          <w:szCs w:val="24"/>
        </w:rPr>
        <w:t xml:space="preserve"> kan være livstruende, hvis patienten har eksisterende respirations- eller hjerteinsufficiens, eller i kombination med andre CNS-</w:t>
      </w:r>
      <w:proofErr w:type="spellStart"/>
      <w:r w:rsidRPr="009D0155">
        <w:rPr>
          <w:sz w:val="24"/>
          <w:szCs w:val="24"/>
        </w:rPr>
        <w:t>depressiva</w:t>
      </w:r>
      <w:proofErr w:type="spellEnd"/>
      <w:r w:rsidRPr="009D0155">
        <w:rPr>
          <w:sz w:val="24"/>
          <w:szCs w:val="24"/>
        </w:rPr>
        <w:t xml:space="preserve"> (herunder alkohol). </w:t>
      </w:r>
    </w:p>
    <w:p w14:paraId="0855B187" w14:textId="77777777" w:rsidR="00FC32EC" w:rsidRPr="009D0155" w:rsidRDefault="00FC32EC" w:rsidP="00D83412">
      <w:pPr>
        <w:ind w:left="851"/>
        <w:rPr>
          <w:sz w:val="24"/>
          <w:szCs w:val="24"/>
        </w:rPr>
      </w:pPr>
    </w:p>
    <w:p w14:paraId="5A883A18" w14:textId="77777777" w:rsidR="00FC32EC" w:rsidRPr="009D0155" w:rsidRDefault="00FC32EC" w:rsidP="00D83412">
      <w:pPr>
        <w:ind w:left="851"/>
        <w:rPr>
          <w:sz w:val="24"/>
          <w:szCs w:val="24"/>
        </w:rPr>
      </w:pPr>
      <w:r w:rsidRPr="009D0155">
        <w:rPr>
          <w:sz w:val="24"/>
          <w:szCs w:val="24"/>
        </w:rPr>
        <w:t xml:space="preserve">Som andre benzodiazepiner forårsager </w:t>
      </w:r>
      <w:proofErr w:type="spellStart"/>
      <w:r w:rsidRPr="009D0155">
        <w:rPr>
          <w:sz w:val="24"/>
          <w:szCs w:val="24"/>
        </w:rPr>
        <w:t>midazolam</w:t>
      </w:r>
      <w:proofErr w:type="spellEnd"/>
      <w:r w:rsidRPr="009D0155">
        <w:rPr>
          <w:sz w:val="24"/>
          <w:szCs w:val="24"/>
        </w:rPr>
        <w:t xml:space="preserve"> ofte sløvhed, </w:t>
      </w:r>
      <w:proofErr w:type="spellStart"/>
      <w:r w:rsidRPr="009D0155">
        <w:rPr>
          <w:sz w:val="24"/>
          <w:szCs w:val="24"/>
        </w:rPr>
        <w:t>ataksi</w:t>
      </w:r>
      <w:proofErr w:type="spellEnd"/>
      <w:r w:rsidRPr="009D0155">
        <w:rPr>
          <w:sz w:val="24"/>
          <w:szCs w:val="24"/>
        </w:rPr>
        <w:t xml:space="preserve">, </w:t>
      </w:r>
      <w:proofErr w:type="spellStart"/>
      <w:r w:rsidRPr="009D0155">
        <w:rPr>
          <w:sz w:val="24"/>
          <w:szCs w:val="24"/>
        </w:rPr>
        <w:t>dysartri</w:t>
      </w:r>
      <w:proofErr w:type="spellEnd"/>
      <w:r w:rsidRPr="009D0155">
        <w:rPr>
          <w:sz w:val="24"/>
          <w:szCs w:val="24"/>
        </w:rPr>
        <w:t xml:space="preserve"> og nystagmus. Overdosering af </w:t>
      </w:r>
      <w:proofErr w:type="spellStart"/>
      <w:r w:rsidRPr="009D0155">
        <w:rPr>
          <w:sz w:val="24"/>
          <w:szCs w:val="24"/>
        </w:rPr>
        <w:t>midazolam</w:t>
      </w:r>
      <w:proofErr w:type="spellEnd"/>
      <w:r w:rsidRPr="009D0155">
        <w:rPr>
          <w:sz w:val="24"/>
          <w:szCs w:val="24"/>
        </w:rPr>
        <w:t xml:space="preserve"> er sjældent livstruende, hvis lægemidlet tages alene, men kan føre til </w:t>
      </w:r>
      <w:proofErr w:type="spellStart"/>
      <w:r w:rsidRPr="009D0155">
        <w:rPr>
          <w:sz w:val="24"/>
          <w:szCs w:val="24"/>
        </w:rPr>
        <w:t>arefleksi</w:t>
      </w:r>
      <w:proofErr w:type="spellEnd"/>
      <w:r w:rsidRPr="009D0155">
        <w:rPr>
          <w:sz w:val="24"/>
          <w:szCs w:val="24"/>
        </w:rPr>
        <w:t xml:space="preserve">, apnø, hypotension, </w:t>
      </w:r>
      <w:proofErr w:type="spellStart"/>
      <w:r w:rsidRPr="009D0155">
        <w:rPr>
          <w:sz w:val="24"/>
          <w:szCs w:val="24"/>
        </w:rPr>
        <w:t>kardiorespiratorisk</w:t>
      </w:r>
      <w:proofErr w:type="spellEnd"/>
      <w:r w:rsidRPr="009D0155">
        <w:rPr>
          <w:sz w:val="24"/>
          <w:szCs w:val="24"/>
        </w:rPr>
        <w:t xml:space="preserve"> depression og i sjældne tilfælde til koma. Hvis koma opstår, varer det som regel nogle få timer, men det kan være mere langvarigt og cyklisk, særligt hos ældre patienter. Benzodiazepiners respirationsdæmpende virkninger er mere alvorlige hos patienter med luftvejssygdomme. Benzodiazepiner øger virkningen af andre beroligende midler på centralnervesystemet, herunder alkohol.</w:t>
      </w:r>
    </w:p>
    <w:p w14:paraId="37299172" w14:textId="77777777" w:rsidR="00FC32EC" w:rsidRPr="009D0155" w:rsidRDefault="00FC32EC" w:rsidP="00D83412">
      <w:pPr>
        <w:ind w:left="851"/>
        <w:rPr>
          <w:sz w:val="24"/>
          <w:szCs w:val="24"/>
        </w:rPr>
      </w:pPr>
    </w:p>
    <w:p w14:paraId="50BD9D60" w14:textId="77777777" w:rsidR="00FC32EC" w:rsidRPr="00612F36" w:rsidRDefault="00FC32EC" w:rsidP="00D83412">
      <w:pPr>
        <w:ind w:left="851"/>
        <w:rPr>
          <w:sz w:val="24"/>
          <w:szCs w:val="24"/>
          <w:u w:val="single"/>
        </w:rPr>
      </w:pPr>
      <w:r w:rsidRPr="00612F36">
        <w:rPr>
          <w:sz w:val="24"/>
          <w:szCs w:val="24"/>
          <w:u w:val="single"/>
        </w:rPr>
        <w:t>Behandling</w:t>
      </w:r>
    </w:p>
    <w:p w14:paraId="154B5959" w14:textId="77777777" w:rsidR="00FC32EC" w:rsidRPr="009D0155" w:rsidRDefault="00FC32EC" w:rsidP="00D83412">
      <w:pPr>
        <w:ind w:left="851"/>
        <w:rPr>
          <w:sz w:val="24"/>
          <w:szCs w:val="24"/>
        </w:rPr>
      </w:pPr>
      <w:r w:rsidRPr="009D0155">
        <w:rPr>
          <w:sz w:val="24"/>
          <w:szCs w:val="24"/>
        </w:rPr>
        <w:t xml:space="preserve">Overvåg patientens vitalparametre, og iværksæt støttende tiltag som indiceret af patientens kliniske tilstand. Patienter kan især have behov for symptomatisk behandling for </w:t>
      </w:r>
      <w:proofErr w:type="spellStart"/>
      <w:r w:rsidRPr="009D0155">
        <w:rPr>
          <w:sz w:val="24"/>
          <w:szCs w:val="24"/>
        </w:rPr>
        <w:t>kardiorespiratoriske</w:t>
      </w:r>
      <w:proofErr w:type="spellEnd"/>
      <w:r w:rsidRPr="009D0155">
        <w:rPr>
          <w:sz w:val="24"/>
          <w:szCs w:val="24"/>
        </w:rPr>
        <w:t xml:space="preserve"> påvirkninger eller påvirkninger af centralnervesystemet.</w:t>
      </w:r>
    </w:p>
    <w:p w14:paraId="06AF6D46" w14:textId="77777777" w:rsidR="00FC32EC" w:rsidRPr="009D0155" w:rsidRDefault="00FC32EC" w:rsidP="00D83412">
      <w:pPr>
        <w:ind w:left="851"/>
        <w:rPr>
          <w:sz w:val="24"/>
          <w:szCs w:val="24"/>
          <w:lang w:val="nl-NL"/>
        </w:rPr>
      </w:pPr>
      <w:r w:rsidRPr="009D0155">
        <w:rPr>
          <w:sz w:val="24"/>
          <w:szCs w:val="24"/>
        </w:rPr>
        <w:t>Hvis det er taget oralt, skal yderligere optagelse forebygges ved hjælp af en passende metode såsom behandling med aktiveret kulstof inden for 1-2 timer. Hvis der anvendes aktiveret kulstof, er luftvejsbeskyttelse essentielt for døsige patienter. I tilfælde af blandet indtagelse kan udpumpning overvejes, men bør ikke være et rutinemæssigt tiltag.</w:t>
      </w:r>
    </w:p>
    <w:p w14:paraId="12FFC3EA" w14:textId="77777777" w:rsidR="00FC32EC" w:rsidRPr="009D0155" w:rsidRDefault="00FC32EC" w:rsidP="00D83412">
      <w:pPr>
        <w:ind w:left="851"/>
        <w:rPr>
          <w:sz w:val="24"/>
          <w:szCs w:val="24"/>
        </w:rPr>
      </w:pPr>
    </w:p>
    <w:p w14:paraId="790BA54C" w14:textId="77777777" w:rsidR="00FC32EC" w:rsidRPr="009D0155" w:rsidRDefault="00FC32EC" w:rsidP="00D83412">
      <w:pPr>
        <w:ind w:left="851"/>
        <w:rPr>
          <w:sz w:val="24"/>
          <w:szCs w:val="24"/>
        </w:rPr>
      </w:pPr>
      <w:r w:rsidRPr="009D0155">
        <w:rPr>
          <w:sz w:val="24"/>
          <w:szCs w:val="24"/>
        </w:rPr>
        <w:t xml:space="preserve">Hvis CNS-depressionen er alvorlig, bør det overvejes at anvende </w:t>
      </w:r>
      <w:proofErr w:type="spellStart"/>
      <w:r w:rsidRPr="009D0155">
        <w:rPr>
          <w:sz w:val="24"/>
          <w:szCs w:val="24"/>
        </w:rPr>
        <w:t>flumazenil</w:t>
      </w:r>
      <w:proofErr w:type="spellEnd"/>
      <w:r w:rsidRPr="009D0155">
        <w:rPr>
          <w:sz w:val="24"/>
          <w:szCs w:val="24"/>
        </w:rPr>
        <w:t xml:space="preserve">, en benzodiazepin-antagonist. Det bør kun administreres under omhyggeligt overvågede forhold. Det har en kort halveringstid (ca. en time), så derfor vil patienter, der får </w:t>
      </w:r>
      <w:proofErr w:type="spellStart"/>
      <w:r w:rsidRPr="009D0155">
        <w:rPr>
          <w:sz w:val="24"/>
          <w:szCs w:val="24"/>
        </w:rPr>
        <w:t>flumazenil</w:t>
      </w:r>
      <w:proofErr w:type="spellEnd"/>
      <w:r w:rsidRPr="009D0155">
        <w:rPr>
          <w:sz w:val="24"/>
          <w:szCs w:val="24"/>
        </w:rPr>
        <w:t xml:space="preserve">, have brug for overvågning, efter at dets virkninger er aftaget. </w:t>
      </w:r>
      <w:proofErr w:type="spellStart"/>
      <w:r w:rsidRPr="009D0155">
        <w:rPr>
          <w:sz w:val="24"/>
          <w:szCs w:val="24"/>
        </w:rPr>
        <w:t>Flumazenil</w:t>
      </w:r>
      <w:proofErr w:type="spellEnd"/>
      <w:r w:rsidRPr="009D0155">
        <w:rPr>
          <w:sz w:val="24"/>
          <w:szCs w:val="24"/>
        </w:rPr>
        <w:t xml:space="preserve"> skal anvendes med ekstrem forsigtighed ved tilstedeværelse af lægemidler, der reducerer krampetærsklen (f.eks. tricykliske </w:t>
      </w:r>
      <w:proofErr w:type="spellStart"/>
      <w:r w:rsidRPr="009D0155">
        <w:rPr>
          <w:sz w:val="24"/>
          <w:szCs w:val="24"/>
        </w:rPr>
        <w:t>antidepressiva</w:t>
      </w:r>
      <w:proofErr w:type="spellEnd"/>
      <w:r w:rsidRPr="009D0155">
        <w:rPr>
          <w:sz w:val="24"/>
          <w:szCs w:val="24"/>
        </w:rPr>
        <w:t xml:space="preserve">). Se produktresuméet for </w:t>
      </w:r>
      <w:proofErr w:type="spellStart"/>
      <w:r w:rsidRPr="009D0155">
        <w:rPr>
          <w:sz w:val="24"/>
          <w:szCs w:val="24"/>
        </w:rPr>
        <w:t>flumazenil</w:t>
      </w:r>
      <w:proofErr w:type="spellEnd"/>
      <w:r w:rsidRPr="009D0155">
        <w:rPr>
          <w:sz w:val="24"/>
          <w:szCs w:val="24"/>
        </w:rPr>
        <w:t xml:space="preserve"> for yderligere information om korrekt brug af dette lægemiddel.</w:t>
      </w:r>
    </w:p>
    <w:p w14:paraId="3FE4A07D" w14:textId="77777777" w:rsidR="009260DE" w:rsidRPr="009D0155" w:rsidRDefault="009260DE" w:rsidP="009260DE">
      <w:pPr>
        <w:tabs>
          <w:tab w:val="left" w:pos="851"/>
        </w:tabs>
        <w:ind w:left="851"/>
        <w:rPr>
          <w:sz w:val="24"/>
          <w:szCs w:val="24"/>
        </w:rPr>
      </w:pPr>
    </w:p>
    <w:p w14:paraId="40EDC057" w14:textId="77777777" w:rsidR="009260DE" w:rsidRPr="009D0155" w:rsidRDefault="009260DE" w:rsidP="009260DE">
      <w:pPr>
        <w:tabs>
          <w:tab w:val="left" w:pos="851"/>
        </w:tabs>
        <w:ind w:left="851" w:hanging="851"/>
        <w:rPr>
          <w:b/>
          <w:sz w:val="24"/>
          <w:szCs w:val="24"/>
        </w:rPr>
      </w:pPr>
      <w:r w:rsidRPr="009D0155">
        <w:rPr>
          <w:b/>
          <w:sz w:val="24"/>
          <w:szCs w:val="24"/>
        </w:rPr>
        <w:t>4.10</w:t>
      </w:r>
      <w:r w:rsidRPr="009D0155">
        <w:rPr>
          <w:b/>
          <w:sz w:val="24"/>
          <w:szCs w:val="24"/>
        </w:rPr>
        <w:tab/>
        <w:t>Udlevering</w:t>
      </w:r>
    </w:p>
    <w:p w14:paraId="7BF896C7" w14:textId="017F4865" w:rsidR="009260DE" w:rsidRPr="009D0155" w:rsidRDefault="00205B5A" w:rsidP="009260DE">
      <w:pPr>
        <w:tabs>
          <w:tab w:val="left" w:pos="851"/>
        </w:tabs>
        <w:ind w:left="851"/>
        <w:rPr>
          <w:sz w:val="24"/>
          <w:szCs w:val="24"/>
        </w:rPr>
      </w:pPr>
      <w:r w:rsidRPr="009D0155">
        <w:rPr>
          <w:sz w:val="24"/>
          <w:szCs w:val="24"/>
        </w:rPr>
        <w:t>A</w:t>
      </w:r>
    </w:p>
    <w:p w14:paraId="0ABD53F2" w14:textId="77777777" w:rsidR="009260DE" w:rsidRPr="009D0155" w:rsidRDefault="009260DE" w:rsidP="009260DE">
      <w:pPr>
        <w:tabs>
          <w:tab w:val="left" w:pos="851"/>
        </w:tabs>
        <w:ind w:left="851"/>
        <w:rPr>
          <w:sz w:val="24"/>
          <w:szCs w:val="24"/>
        </w:rPr>
      </w:pPr>
    </w:p>
    <w:p w14:paraId="1C4A23F0" w14:textId="77777777" w:rsidR="009260DE" w:rsidRPr="009D0155" w:rsidRDefault="009260DE" w:rsidP="009260DE">
      <w:pPr>
        <w:tabs>
          <w:tab w:val="left" w:pos="851"/>
        </w:tabs>
        <w:ind w:left="851"/>
        <w:rPr>
          <w:sz w:val="24"/>
          <w:szCs w:val="24"/>
        </w:rPr>
      </w:pPr>
    </w:p>
    <w:p w14:paraId="63516A6E" w14:textId="77777777" w:rsidR="009260DE" w:rsidRPr="009D0155" w:rsidRDefault="009260DE" w:rsidP="009260DE">
      <w:pPr>
        <w:tabs>
          <w:tab w:val="left" w:pos="851"/>
        </w:tabs>
        <w:ind w:left="851" w:hanging="851"/>
        <w:rPr>
          <w:b/>
          <w:sz w:val="24"/>
          <w:szCs w:val="24"/>
        </w:rPr>
      </w:pPr>
      <w:r w:rsidRPr="009D0155">
        <w:rPr>
          <w:b/>
          <w:sz w:val="24"/>
          <w:szCs w:val="24"/>
        </w:rPr>
        <w:t>5.</w:t>
      </w:r>
      <w:r w:rsidRPr="009D0155">
        <w:rPr>
          <w:b/>
          <w:sz w:val="24"/>
          <w:szCs w:val="24"/>
        </w:rPr>
        <w:tab/>
        <w:t>FARMAKOLOGISKE EGENSKABER</w:t>
      </w:r>
    </w:p>
    <w:p w14:paraId="456CD94C" w14:textId="77777777" w:rsidR="009260DE" w:rsidRPr="009D0155" w:rsidRDefault="009260DE" w:rsidP="009260DE">
      <w:pPr>
        <w:tabs>
          <w:tab w:val="left" w:pos="851"/>
        </w:tabs>
        <w:ind w:left="851"/>
        <w:rPr>
          <w:sz w:val="24"/>
          <w:szCs w:val="24"/>
        </w:rPr>
      </w:pPr>
    </w:p>
    <w:p w14:paraId="7BD9228E" w14:textId="77777777" w:rsidR="009260DE" w:rsidRPr="009D0155" w:rsidRDefault="009260DE" w:rsidP="009260DE">
      <w:pPr>
        <w:tabs>
          <w:tab w:val="num" w:pos="851"/>
        </w:tabs>
        <w:ind w:left="851" w:hanging="851"/>
        <w:rPr>
          <w:b/>
          <w:sz w:val="24"/>
          <w:szCs w:val="24"/>
        </w:rPr>
      </w:pPr>
      <w:r w:rsidRPr="009D0155">
        <w:rPr>
          <w:b/>
          <w:sz w:val="24"/>
          <w:szCs w:val="24"/>
        </w:rPr>
        <w:t>5.1</w:t>
      </w:r>
      <w:r w:rsidRPr="009D0155">
        <w:rPr>
          <w:b/>
          <w:sz w:val="24"/>
          <w:szCs w:val="24"/>
        </w:rPr>
        <w:tab/>
      </w:r>
      <w:proofErr w:type="spellStart"/>
      <w:r w:rsidRPr="009D0155">
        <w:rPr>
          <w:b/>
          <w:sz w:val="24"/>
          <w:szCs w:val="24"/>
        </w:rPr>
        <w:t>Farmakodynamiske</w:t>
      </w:r>
      <w:proofErr w:type="spellEnd"/>
      <w:r w:rsidRPr="009D0155">
        <w:rPr>
          <w:b/>
          <w:sz w:val="24"/>
          <w:szCs w:val="24"/>
        </w:rPr>
        <w:t xml:space="preserve"> egenskaber</w:t>
      </w:r>
    </w:p>
    <w:p w14:paraId="79C2C3D6" w14:textId="77777777" w:rsidR="00FC32EC" w:rsidRPr="009D0155" w:rsidRDefault="00FC32EC" w:rsidP="00D83412">
      <w:pPr>
        <w:ind w:left="851"/>
        <w:rPr>
          <w:sz w:val="24"/>
          <w:szCs w:val="24"/>
          <w:lang w:eastAsia="nl-NL"/>
        </w:rPr>
      </w:pPr>
      <w:proofErr w:type="spellStart"/>
      <w:r w:rsidRPr="009D0155">
        <w:rPr>
          <w:sz w:val="24"/>
          <w:szCs w:val="24"/>
        </w:rPr>
        <w:t>Farmakoterapeutisk</w:t>
      </w:r>
      <w:proofErr w:type="spellEnd"/>
      <w:r w:rsidRPr="009D0155">
        <w:rPr>
          <w:sz w:val="24"/>
          <w:szCs w:val="24"/>
        </w:rPr>
        <w:t xml:space="preserve"> klassifikation: </w:t>
      </w:r>
      <w:proofErr w:type="spellStart"/>
      <w:r w:rsidRPr="009D0155">
        <w:rPr>
          <w:sz w:val="24"/>
          <w:szCs w:val="24"/>
        </w:rPr>
        <w:t>Hypnotika</w:t>
      </w:r>
      <w:proofErr w:type="spellEnd"/>
      <w:r w:rsidRPr="009D0155">
        <w:rPr>
          <w:sz w:val="24"/>
          <w:szCs w:val="24"/>
        </w:rPr>
        <w:t xml:space="preserve"> og sedativer (benzodiazepin-derivativer), ATC-kode: N05CD08.</w:t>
      </w:r>
    </w:p>
    <w:p w14:paraId="3FDFE366" w14:textId="77777777" w:rsidR="00FC32EC" w:rsidRPr="009D0155" w:rsidRDefault="00FC32EC" w:rsidP="00D83412">
      <w:pPr>
        <w:ind w:left="851"/>
        <w:rPr>
          <w:sz w:val="24"/>
          <w:szCs w:val="24"/>
        </w:rPr>
      </w:pPr>
    </w:p>
    <w:p w14:paraId="0B23A73C" w14:textId="77777777" w:rsidR="00FC32EC" w:rsidRPr="009D0155" w:rsidRDefault="00FC32EC" w:rsidP="00D83412">
      <w:pPr>
        <w:ind w:left="851"/>
        <w:rPr>
          <w:sz w:val="24"/>
          <w:szCs w:val="24"/>
          <w:u w:val="single"/>
        </w:rPr>
      </w:pPr>
      <w:r w:rsidRPr="009D0155">
        <w:rPr>
          <w:sz w:val="24"/>
          <w:szCs w:val="24"/>
          <w:u w:val="single"/>
        </w:rPr>
        <w:t>Virkningsmekanisme</w:t>
      </w:r>
    </w:p>
    <w:p w14:paraId="71D360D7"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er et derivat af </w:t>
      </w:r>
      <w:proofErr w:type="spellStart"/>
      <w:r w:rsidRPr="009D0155">
        <w:rPr>
          <w:sz w:val="24"/>
          <w:szCs w:val="24"/>
        </w:rPr>
        <w:t>imidazobenzodiazepin</w:t>
      </w:r>
      <w:proofErr w:type="spellEnd"/>
      <w:r w:rsidRPr="009D0155">
        <w:rPr>
          <w:sz w:val="24"/>
          <w:szCs w:val="24"/>
        </w:rPr>
        <w:t xml:space="preserve">-gruppen. Den frie base er et </w:t>
      </w:r>
      <w:proofErr w:type="spellStart"/>
      <w:r w:rsidRPr="009D0155">
        <w:rPr>
          <w:sz w:val="24"/>
          <w:szCs w:val="24"/>
        </w:rPr>
        <w:t>lipofilt</w:t>
      </w:r>
      <w:proofErr w:type="spellEnd"/>
      <w:r w:rsidRPr="009D0155">
        <w:rPr>
          <w:sz w:val="24"/>
          <w:szCs w:val="24"/>
        </w:rPr>
        <w:t xml:space="preserve"> stof med en lav vandopløselighed. Det basiske nitrogen i position 2 i </w:t>
      </w:r>
      <w:proofErr w:type="spellStart"/>
      <w:r w:rsidRPr="009D0155">
        <w:rPr>
          <w:sz w:val="24"/>
          <w:szCs w:val="24"/>
        </w:rPr>
        <w:t>imidazobenzodiazepin</w:t>
      </w:r>
      <w:proofErr w:type="spellEnd"/>
      <w:r w:rsidRPr="009D0155">
        <w:rPr>
          <w:sz w:val="24"/>
          <w:szCs w:val="24"/>
        </w:rPr>
        <w:t xml:space="preserve">-ringsystemet gør det muligt for den aktive ingrediens i </w:t>
      </w:r>
      <w:proofErr w:type="spellStart"/>
      <w:r w:rsidRPr="009D0155">
        <w:rPr>
          <w:sz w:val="24"/>
          <w:szCs w:val="24"/>
        </w:rPr>
        <w:t>midazolam</w:t>
      </w:r>
      <w:proofErr w:type="spellEnd"/>
      <w:r w:rsidRPr="009D0155">
        <w:rPr>
          <w:sz w:val="24"/>
          <w:szCs w:val="24"/>
        </w:rPr>
        <w:t xml:space="preserve"> at danne vandopløselige salte med syrer. Dette giver en stabil opløsning til nasal administration.</w:t>
      </w:r>
    </w:p>
    <w:p w14:paraId="55371336" w14:textId="77777777" w:rsidR="00FC32EC" w:rsidRPr="009D0155" w:rsidRDefault="00FC32EC" w:rsidP="00D83412">
      <w:pPr>
        <w:ind w:left="851"/>
        <w:rPr>
          <w:sz w:val="24"/>
          <w:szCs w:val="24"/>
        </w:rPr>
      </w:pPr>
    </w:p>
    <w:p w14:paraId="3CE8E93E" w14:textId="77777777" w:rsidR="00FC32EC" w:rsidRPr="009D0155" w:rsidRDefault="00FC32EC" w:rsidP="00D83412">
      <w:pPr>
        <w:ind w:left="851"/>
        <w:rPr>
          <w:sz w:val="24"/>
          <w:szCs w:val="24"/>
          <w:u w:val="single"/>
        </w:rPr>
      </w:pPr>
      <w:proofErr w:type="spellStart"/>
      <w:r w:rsidRPr="009D0155">
        <w:rPr>
          <w:sz w:val="24"/>
          <w:szCs w:val="24"/>
          <w:u w:val="single"/>
        </w:rPr>
        <w:t>Farmakodynamisk</w:t>
      </w:r>
      <w:proofErr w:type="spellEnd"/>
      <w:r w:rsidRPr="009D0155">
        <w:rPr>
          <w:sz w:val="24"/>
          <w:szCs w:val="24"/>
          <w:u w:val="single"/>
        </w:rPr>
        <w:t xml:space="preserve"> virkning</w:t>
      </w:r>
    </w:p>
    <w:p w14:paraId="4E48B535" w14:textId="77777777" w:rsidR="00FC32EC" w:rsidRPr="009D0155" w:rsidRDefault="00FC32EC" w:rsidP="00D83412">
      <w:pPr>
        <w:ind w:left="851"/>
        <w:rPr>
          <w:sz w:val="24"/>
          <w:szCs w:val="24"/>
          <w:lang w:val="nl-NL"/>
        </w:rPr>
      </w:pPr>
      <w:proofErr w:type="spellStart"/>
      <w:r w:rsidRPr="009D0155">
        <w:rPr>
          <w:sz w:val="24"/>
          <w:szCs w:val="24"/>
        </w:rPr>
        <w:t>Midazolams</w:t>
      </w:r>
      <w:proofErr w:type="spellEnd"/>
      <w:r w:rsidRPr="009D0155">
        <w:rPr>
          <w:sz w:val="24"/>
          <w:szCs w:val="24"/>
        </w:rPr>
        <w:t xml:space="preserve"> farmakologiske virkning er karakteriseret ved kort varighed på grund af hurtig metabolisk transformation. </w:t>
      </w:r>
      <w:proofErr w:type="spellStart"/>
      <w:r w:rsidRPr="009D0155">
        <w:rPr>
          <w:sz w:val="24"/>
          <w:szCs w:val="24"/>
        </w:rPr>
        <w:t>Midazolam</w:t>
      </w:r>
      <w:proofErr w:type="spellEnd"/>
      <w:r w:rsidRPr="009D0155">
        <w:rPr>
          <w:sz w:val="24"/>
          <w:szCs w:val="24"/>
        </w:rPr>
        <w:t xml:space="preserve"> har en beroligende og søvnfremkaldende effekt af udtalt intensitet. Det har også en angstdæmpende, en </w:t>
      </w:r>
      <w:proofErr w:type="spellStart"/>
      <w:r w:rsidRPr="009D0155">
        <w:rPr>
          <w:sz w:val="24"/>
          <w:szCs w:val="24"/>
        </w:rPr>
        <w:t>antikonvulsiv</w:t>
      </w:r>
      <w:proofErr w:type="spellEnd"/>
      <w:r w:rsidRPr="009D0155">
        <w:rPr>
          <w:sz w:val="24"/>
          <w:szCs w:val="24"/>
        </w:rPr>
        <w:t xml:space="preserve"> og en muskelafslappende virkning.</w:t>
      </w:r>
    </w:p>
    <w:p w14:paraId="565C893F" w14:textId="77777777" w:rsidR="00FC32EC" w:rsidRPr="009D0155" w:rsidRDefault="00FC32EC" w:rsidP="00D83412">
      <w:pPr>
        <w:ind w:left="851"/>
        <w:rPr>
          <w:sz w:val="24"/>
          <w:szCs w:val="24"/>
        </w:rPr>
      </w:pPr>
      <w:r w:rsidRPr="009D0155">
        <w:rPr>
          <w:sz w:val="24"/>
          <w:szCs w:val="24"/>
        </w:rPr>
        <w:t xml:space="preserve">Efter </w:t>
      </w:r>
      <w:proofErr w:type="spellStart"/>
      <w:r w:rsidRPr="009D0155">
        <w:rPr>
          <w:sz w:val="24"/>
          <w:szCs w:val="24"/>
        </w:rPr>
        <w:t>midazolam</w:t>
      </w:r>
      <w:proofErr w:type="spellEnd"/>
      <w:r w:rsidRPr="009D0155">
        <w:rPr>
          <w:sz w:val="24"/>
          <w:szCs w:val="24"/>
        </w:rPr>
        <w:t xml:space="preserve">-administration opstår der </w:t>
      </w:r>
      <w:proofErr w:type="spellStart"/>
      <w:r w:rsidRPr="009D0155">
        <w:rPr>
          <w:sz w:val="24"/>
          <w:szCs w:val="24"/>
        </w:rPr>
        <w:t>anterograd</w:t>
      </w:r>
      <w:proofErr w:type="spellEnd"/>
      <w:r w:rsidRPr="009D0155">
        <w:rPr>
          <w:sz w:val="24"/>
          <w:szCs w:val="24"/>
        </w:rPr>
        <w:t xml:space="preserve"> amnesi af kort varighed (patienten husker ikke hændelser, indtruffet under stoffets maksimale virkning).</w:t>
      </w:r>
    </w:p>
    <w:p w14:paraId="370A0B4E" w14:textId="77777777" w:rsidR="00FC32EC" w:rsidRPr="009D0155" w:rsidRDefault="00FC32EC" w:rsidP="00D83412">
      <w:pPr>
        <w:ind w:left="851"/>
        <w:rPr>
          <w:sz w:val="24"/>
          <w:szCs w:val="24"/>
          <w:u w:val="single" w:color="33443E"/>
        </w:rPr>
      </w:pPr>
    </w:p>
    <w:p w14:paraId="17608BE0" w14:textId="77777777" w:rsidR="00FC32EC" w:rsidRPr="009D0155" w:rsidRDefault="00FC32EC" w:rsidP="00D83412">
      <w:pPr>
        <w:ind w:left="851"/>
        <w:rPr>
          <w:sz w:val="24"/>
          <w:szCs w:val="24"/>
        </w:rPr>
      </w:pPr>
      <w:r w:rsidRPr="009D0155">
        <w:rPr>
          <w:sz w:val="24"/>
          <w:szCs w:val="24"/>
          <w:u w:val="single"/>
        </w:rPr>
        <w:t>Klinisk virkning og sikkerhed</w:t>
      </w:r>
    </w:p>
    <w:p w14:paraId="6DE2D05C" w14:textId="77777777" w:rsidR="00FC32EC" w:rsidRPr="009D0155" w:rsidRDefault="00FC32EC" w:rsidP="00D83412">
      <w:pPr>
        <w:ind w:left="851"/>
        <w:rPr>
          <w:sz w:val="24"/>
          <w:szCs w:val="24"/>
        </w:rPr>
      </w:pPr>
      <w:r w:rsidRPr="009D0155">
        <w:rPr>
          <w:sz w:val="24"/>
          <w:szCs w:val="24"/>
        </w:rPr>
        <w:t xml:space="preserve">Data fra offentliggjorte rapporter om undersøgelser af pædiatriske patienter og voksne patienter viser, at intranasal </w:t>
      </w:r>
      <w:proofErr w:type="spellStart"/>
      <w:r w:rsidRPr="009D0155">
        <w:rPr>
          <w:sz w:val="24"/>
          <w:szCs w:val="24"/>
        </w:rPr>
        <w:t>midazolam</w:t>
      </w:r>
      <w:proofErr w:type="spellEnd"/>
      <w:r w:rsidRPr="009D0155">
        <w:rPr>
          <w:sz w:val="24"/>
          <w:szCs w:val="24"/>
        </w:rPr>
        <w:t xml:space="preserve"> virker som et beroligende middel og et angstdæmpende middel forud for et kirurgisk indgreb, der kræver narkose, såvel som i andre medicinske procedurer, der kræver </w:t>
      </w:r>
      <w:proofErr w:type="spellStart"/>
      <w:r w:rsidRPr="009D0155">
        <w:rPr>
          <w:sz w:val="24"/>
          <w:szCs w:val="24"/>
        </w:rPr>
        <w:t>sedering</w:t>
      </w:r>
      <w:proofErr w:type="spellEnd"/>
      <w:r w:rsidRPr="009D0155">
        <w:rPr>
          <w:sz w:val="24"/>
          <w:szCs w:val="24"/>
        </w:rPr>
        <w:t xml:space="preserve"> uden narkose. En undersøgelse af sunde voksne viste en hurtig virkning af intranasal </w:t>
      </w:r>
      <w:proofErr w:type="spellStart"/>
      <w:r w:rsidRPr="009D0155">
        <w:rPr>
          <w:sz w:val="24"/>
          <w:szCs w:val="24"/>
        </w:rPr>
        <w:t>midazolam</w:t>
      </w:r>
      <w:proofErr w:type="spellEnd"/>
      <w:r w:rsidRPr="009D0155">
        <w:rPr>
          <w:sz w:val="24"/>
          <w:szCs w:val="24"/>
        </w:rPr>
        <w:t xml:space="preserve">. Begyndelsen af </w:t>
      </w:r>
      <w:proofErr w:type="spellStart"/>
      <w:r w:rsidRPr="009D0155">
        <w:rPr>
          <w:sz w:val="24"/>
          <w:szCs w:val="24"/>
        </w:rPr>
        <w:t>sederingen</w:t>
      </w:r>
      <w:proofErr w:type="spellEnd"/>
      <w:r w:rsidRPr="009D0155">
        <w:rPr>
          <w:sz w:val="24"/>
          <w:szCs w:val="24"/>
        </w:rPr>
        <w:t xml:space="preserve"> var i gennemsnit 7 minutter efter administration af en 2,5 mg dosis, og 4 minutter efter administration af en 5 mg dosis. Maksimal </w:t>
      </w:r>
      <w:proofErr w:type="spellStart"/>
      <w:r w:rsidRPr="009D0155">
        <w:rPr>
          <w:sz w:val="24"/>
          <w:szCs w:val="24"/>
        </w:rPr>
        <w:t>sedering</w:t>
      </w:r>
      <w:proofErr w:type="spellEnd"/>
      <w:r w:rsidRPr="009D0155">
        <w:rPr>
          <w:sz w:val="24"/>
          <w:szCs w:val="24"/>
        </w:rPr>
        <w:t xml:space="preserve"> blev generelt nået omkring 15-40 minutter efter administration af intranasal </w:t>
      </w:r>
      <w:proofErr w:type="spellStart"/>
      <w:r w:rsidRPr="009D0155">
        <w:rPr>
          <w:sz w:val="24"/>
          <w:szCs w:val="24"/>
        </w:rPr>
        <w:t>midazolam</w:t>
      </w:r>
      <w:proofErr w:type="spellEnd"/>
      <w:r w:rsidRPr="009D0155">
        <w:rPr>
          <w:sz w:val="24"/>
          <w:szCs w:val="24"/>
        </w:rPr>
        <w:t xml:space="preserve">. </w:t>
      </w:r>
      <w:proofErr w:type="spellStart"/>
      <w:r w:rsidRPr="009D0155">
        <w:rPr>
          <w:sz w:val="24"/>
          <w:szCs w:val="24"/>
        </w:rPr>
        <w:t>Sederingsvirkningerne</w:t>
      </w:r>
      <w:proofErr w:type="spellEnd"/>
      <w:r w:rsidRPr="009D0155">
        <w:rPr>
          <w:sz w:val="24"/>
          <w:szCs w:val="24"/>
        </w:rPr>
        <w:t xml:space="preserve"> var ved plasmakoncentrationer af </w:t>
      </w:r>
      <w:proofErr w:type="spellStart"/>
      <w:r w:rsidRPr="009D0155">
        <w:rPr>
          <w:sz w:val="24"/>
          <w:szCs w:val="24"/>
        </w:rPr>
        <w:t>midazolam</w:t>
      </w:r>
      <w:proofErr w:type="spellEnd"/>
      <w:r w:rsidRPr="009D0155">
        <w:rPr>
          <w:sz w:val="24"/>
          <w:szCs w:val="24"/>
        </w:rPr>
        <w:t xml:space="preserve"> fra 20 til 80 </w:t>
      </w:r>
      <w:proofErr w:type="spellStart"/>
      <w:r w:rsidRPr="009D0155">
        <w:rPr>
          <w:sz w:val="24"/>
          <w:szCs w:val="24"/>
        </w:rPr>
        <w:t>ng</w:t>
      </w:r>
      <w:proofErr w:type="spellEnd"/>
      <w:r w:rsidRPr="009D0155">
        <w:rPr>
          <w:sz w:val="24"/>
          <w:szCs w:val="24"/>
        </w:rPr>
        <w:t>/ml i gennemsnit.</w:t>
      </w:r>
    </w:p>
    <w:p w14:paraId="31605E45" w14:textId="77777777" w:rsidR="00FC32EC" w:rsidRPr="009D0155" w:rsidRDefault="00FC32EC" w:rsidP="00D83412">
      <w:pPr>
        <w:ind w:left="851"/>
        <w:rPr>
          <w:sz w:val="24"/>
          <w:szCs w:val="24"/>
        </w:rPr>
      </w:pPr>
    </w:p>
    <w:p w14:paraId="590D58DA" w14:textId="04D94460" w:rsidR="00FC32EC" w:rsidRPr="009D0155" w:rsidRDefault="00FC32EC" w:rsidP="00D83412">
      <w:pPr>
        <w:ind w:left="851"/>
        <w:rPr>
          <w:sz w:val="24"/>
          <w:szCs w:val="24"/>
        </w:rPr>
      </w:pPr>
      <w:r w:rsidRPr="009D0155">
        <w:rPr>
          <w:sz w:val="24"/>
          <w:szCs w:val="24"/>
        </w:rPr>
        <w:t xml:space="preserve">Data fra offentliggjorte rapporter om undersøgelser af </w:t>
      </w:r>
      <w:proofErr w:type="spellStart"/>
      <w:r w:rsidRPr="009D0155">
        <w:rPr>
          <w:sz w:val="24"/>
          <w:szCs w:val="24"/>
        </w:rPr>
        <w:t>pædistriske</w:t>
      </w:r>
      <w:proofErr w:type="spellEnd"/>
      <w:r w:rsidRPr="009D0155">
        <w:rPr>
          <w:sz w:val="24"/>
          <w:szCs w:val="24"/>
        </w:rPr>
        <w:t xml:space="preserve"> og voksne patienter viser, at intranasal </w:t>
      </w:r>
      <w:proofErr w:type="spellStart"/>
      <w:r w:rsidRPr="009D0155">
        <w:rPr>
          <w:sz w:val="24"/>
          <w:szCs w:val="24"/>
        </w:rPr>
        <w:t>midazolam</w:t>
      </w:r>
      <w:proofErr w:type="spellEnd"/>
      <w:r w:rsidRPr="009D0155">
        <w:rPr>
          <w:sz w:val="24"/>
          <w:szCs w:val="24"/>
        </w:rPr>
        <w:t xml:space="preserve"> er effektivt til behandling af længerevarende, akutte, epileptiske krampeanfald hos børn (&gt;2 år), unge og voksne. En undersøgelse med raske voksne viste en hurtig stigning i </w:t>
      </w:r>
      <w:proofErr w:type="spellStart"/>
      <w:r w:rsidRPr="009D0155">
        <w:rPr>
          <w:sz w:val="24"/>
          <w:szCs w:val="24"/>
        </w:rPr>
        <w:t>midazolamkoncentrationer</w:t>
      </w:r>
      <w:proofErr w:type="spellEnd"/>
      <w:r w:rsidRPr="009D0155">
        <w:rPr>
          <w:sz w:val="24"/>
          <w:szCs w:val="24"/>
        </w:rPr>
        <w:t xml:space="preserve"> efter administration af </w:t>
      </w:r>
      <w:proofErr w:type="spellStart"/>
      <w:r w:rsidR="00BE7117">
        <w:rPr>
          <w:sz w:val="24"/>
          <w:szCs w:val="24"/>
        </w:rPr>
        <w:t>Medirom</w:t>
      </w:r>
      <w:proofErr w:type="spellEnd"/>
      <w:r w:rsidRPr="009D0155">
        <w:rPr>
          <w:sz w:val="24"/>
          <w:szCs w:val="24"/>
        </w:rPr>
        <w:t xml:space="preserve">. Efter administration af </w:t>
      </w:r>
      <w:proofErr w:type="spellStart"/>
      <w:r w:rsidR="00BE7117">
        <w:rPr>
          <w:sz w:val="24"/>
          <w:szCs w:val="24"/>
        </w:rPr>
        <w:t>Medirom</w:t>
      </w:r>
      <w:proofErr w:type="spellEnd"/>
      <w:r w:rsidRPr="009D0155">
        <w:rPr>
          <w:sz w:val="24"/>
          <w:szCs w:val="24"/>
        </w:rPr>
        <w:t xml:space="preserve"> øgedes </w:t>
      </w:r>
      <w:proofErr w:type="spellStart"/>
      <w:r w:rsidRPr="009D0155">
        <w:rPr>
          <w:sz w:val="24"/>
          <w:szCs w:val="24"/>
        </w:rPr>
        <w:t>midazolam</w:t>
      </w:r>
      <w:proofErr w:type="spellEnd"/>
      <w:r w:rsidRPr="009D0155">
        <w:rPr>
          <w:sz w:val="24"/>
          <w:szCs w:val="24"/>
        </w:rPr>
        <w:t>-koncentrationer til klinisk relevante koncentrationer inden for 5 minutter og nåede en maksimal koncentration på 31 </w:t>
      </w:r>
      <w:proofErr w:type="spellStart"/>
      <w:r w:rsidRPr="009D0155">
        <w:rPr>
          <w:sz w:val="24"/>
          <w:szCs w:val="24"/>
        </w:rPr>
        <w:t>ng</w:t>
      </w:r>
      <w:proofErr w:type="spellEnd"/>
      <w:r w:rsidRPr="009D0155">
        <w:rPr>
          <w:sz w:val="24"/>
          <w:szCs w:val="24"/>
        </w:rPr>
        <w:t>/ml ved 11 minutter for 2,5 mg dosis og 66 </w:t>
      </w:r>
      <w:proofErr w:type="spellStart"/>
      <w:r w:rsidRPr="009D0155">
        <w:rPr>
          <w:sz w:val="24"/>
          <w:szCs w:val="24"/>
        </w:rPr>
        <w:t>ng</w:t>
      </w:r>
      <w:proofErr w:type="spellEnd"/>
      <w:r w:rsidRPr="009D0155">
        <w:rPr>
          <w:sz w:val="24"/>
          <w:szCs w:val="24"/>
        </w:rPr>
        <w:t>/ml ved 14 minutter for 5 mg dosen.</w:t>
      </w:r>
    </w:p>
    <w:p w14:paraId="70169097" w14:textId="77777777" w:rsidR="00FC32EC" w:rsidRPr="009D0155" w:rsidRDefault="00FC32EC" w:rsidP="00D83412">
      <w:pPr>
        <w:ind w:left="851"/>
        <w:rPr>
          <w:sz w:val="24"/>
          <w:szCs w:val="24"/>
        </w:rPr>
      </w:pPr>
    </w:p>
    <w:p w14:paraId="2CB5D230" w14:textId="6CBA5C73" w:rsidR="00FC32EC" w:rsidRPr="009D0155" w:rsidRDefault="00FC32EC" w:rsidP="00D83412">
      <w:pPr>
        <w:ind w:left="851"/>
        <w:rPr>
          <w:sz w:val="24"/>
          <w:szCs w:val="24"/>
          <w:u w:val="single" w:color="33443E"/>
        </w:rPr>
      </w:pPr>
      <w:r w:rsidRPr="009D0155">
        <w:rPr>
          <w:sz w:val="24"/>
          <w:szCs w:val="24"/>
        </w:rPr>
        <w:t xml:space="preserve">Sikkerheden og virkningen af </w:t>
      </w:r>
      <w:proofErr w:type="spellStart"/>
      <w:r w:rsidR="00BE7117">
        <w:rPr>
          <w:sz w:val="24"/>
          <w:szCs w:val="24"/>
        </w:rPr>
        <w:t>Medirom</w:t>
      </w:r>
      <w:proofErr w:type="spellEnd"/>
      <w:r w:rsidRPr="009D0155">
        <w:rPr>
          <w:sz w:val="24"/>
          <w:szCs w:val="24"/>
        </w:rPr>
        <w:t xml:space="preserve"> er blevet evalueret hos voksne og på basis af </w:t>
      </w:r>
      <w:r w:rsidRPr="009D0155">
        <w:rPr>
          <w:i/>
          <w:iCs/>
          <w:sz w:val="24"/>
          <w:szCs w:val="24"/>
        </w:rPr>
        <w:t xml:space="preserve">in </w:t>
      </w:r>
      <w:proofErr w:type="spellStart"/>
      <w:r w:rsidRPr="009D0155">
        <w:rPr>
          <w:i/>
          <w:iCs/>
          <w:sz w:val="24"/>
          <w:szCs w:val="24"/>
        </w:rPr>
        <w:t>silico</w:t>
      </w:r>
      <w:proofErr w:type="spellEnd"/>
      <w:r w:rsidRPr="009D0155">
        <w:rPr>
          <w:sz w:val="24"/>
          <w:szCs w:val="24"/>
        </w:rPr>
        <w:t xml:space="preserve">-simuleringer og bibliografiske data om sikkerheden af </w:t>
      </w:r>
      <w:proofErr w:type="spellStart"/>
      <w:r w:rsidRPr="009D0155">
        <w:rPr>
          <w:sz w:val="24"/>
          <w:szCs w:val="24"/>
        </w:rPr>
        <w:t>midazolam</w:t>
      </w:r>
      <w:proofErr w:type="spellEnd"/>
      <w:r w:rsidRPr="009D0155">
        <w:rPr>
          <w:sz w:val="24"/>
          <w:szCs w:val="24"/>
        </w:rPr>
        <w:t xml:space="preserve"> hos børn i alderen 2 til 12 år. Sikkerheden og virkningen af intranasal </w:t>
      </w:r>
      <w:proofErr w:type="spellStart"/>
      <w:r w:rsidRPr="009D0155">
        <w:rPr>
          <w:sz w:val="24"/>
          <w:szCs w:val="24"/>
        </w:rPr>
        <w:t>midazolam</w:t>
      </w:r>
      <w:proofErr w:type="spellEnd"/>
      <w:r w:rsidRPr="009D0155">
        <w:rPr>
          <w:sz w:val="24"/>
          <w:szCs w:val="24"/>
        </w:rPr>
        <w:t xml:space="preserve"> hos børn under 2 år er ikke blevet evalueret. Derfor frarådes intranasal </w:t>
      </w:r>
      <w:proofErr w:type="spellStart"/>
      <w:r w:rsidRPr="009D0155">
        <w:rPr>
          <w:sz w:val="24"/>
          <w:szCs w:val="24"/>
        </w:rPr>
        <w:t>midazolam</w:t>
      </w:r>
      <w:proofErr w:type="spellEnd"/>
      <w:r w:rsidRPr="009D0155">
        <w:rPr>
          <w:sz w:val="24"/>
          <w:szCs w:val="24"/>
        </w:rPr>
        <w:t xml:space="preserve"> til børn under 2 år</w:t>
      </w:r>
    </w:p>
    <w:p w14:paraId="75D2DEBB" w14:textId="77777777" w:rsidR="009260DE" w:rsidRPr="009D0155" w:rsidRDefault="009260DE" w:rsidP="009260DE">
      <w:pPr>
        <w:tabs>
          <w:tab w:val="left" w:pos="851"/>
        </w:tabs>
        <w:ind w:left="851"/>
        <w:rPr>
          <w:sz w:val="24"/>
          <w:szCs w:val="24"/>
        </w:rPr>
      </w:pPr>
    </w:p>
    <w:p w14:paraId="35B7AB50" w14:textId="77777777" w:rsidR="009260DE" w:rsidRPr="009D0155" w:rsidRDefault="009260DE" w:rsidP="009260DE">
      <w:pPr>
        <w:tabs>
          <w:tab w:val="left" w:pos="851"/>
        </w:tabs>
        <w:ind w:left="851" w:hanging="851"/>
        <w:rPr>
          <w:b/>
          <w:sz w:val="24"/>
          <w:szCs w:val="24"/>
        </w:rPr>
      </w:pPr>
      <w:r w:rsidRPr="009D0155">
        <w:rPr>
          <w:b/>
          <w:sz w:val="24"/>
          <w:szCs w:val="24"/>
        </w:rPr>
        <w:t>5.2</w:t>
      </w:r>
      <w:r w:rsidRPr="009D0155">
        <w:rPr>
          <w:b/>
          <w:sz w:val="24"/>
          <w:szCs w:val="24"/>
        </w:rPr>
        <w:tab/>
      </w:r>
      <w:proofErr w:type="spellStart"/>
      <w:r w:rsidRPr="009D0155">
        <w:rPr>
          <w:b/>
          <w:sz w:val="24"/>
          <w:szCs w:val="24"/>
        </w:rPr>
        <w:t>Farmakokinetiske</w:t>
      </w:r>
      <w:proofErr w:type="spellEnd"/>
      <w:r w:rsidRPr="009D0155">
        <w:rPr>
          <w:b/>
          <w:sz w:val="24"/>
          <w:szCs w:val="24"/>
        </w:rPr>
        <w:t xml:space="preserve"> egenskaber</w:t>
      </w:r>
    </w:p>
    <w:p w14:paraId="05F72800" w14:textId="77777777" w:rsidR="00FC32EC" w:rsidRPr="009D0155" w:rsidRDefault="00FC32EC" w:rsidP="00D83412">
      <w:pPr>
        <w:ind w:left="851"/>
        <w:rPr>
          <w:sz w:val="24"/>
          <w:szCs w:val="24"/>
          <w:lang w:eastAsia="nl-NL"/>
        </w:rPr>
      </w:pPr>
      <w:r w:rsidRPr="009D0155">
        <w:rPr>
          <w:sz w:val="24"/>
          <w:szCs w:val="24"/>
        </w:rPr>
        <w:t xml:space="preserve">Simulerede </w:t>
      </w:r>
      <w:proofErr w:type="spellStart"/>
      <w:r w:rsidRPr="009D0155">
        <w:rPr>
          <w:sz w:val="24"/>
          <w:szCs w:val="24"/>
        </w:rPr>
        <w:t>farmakokinetiske</w:t>
      </w:r>
      <w:proofErr w:type="spellEnd"/>
      <w:r w:rsidRPr="009D0155">
        <w:rPr>
          <w:sz w:val="24"/>
          <w:szCs w:val="24"/>
        </w:rPr>
        <w:t xml:space="preserve"> parametre for den anbefalede dosering baseret på </w:t>
      </w:r>
      <w:proofErr w:type="spellStart"/>
      <w:r w:rsidRPr="009D0155">
        <w:rPr>
          <w:sz w:val="24"/>
          <w:szCs w:val="24"/>
        </w:rPr>
        <w:t>populationsfarmakokinetiske</w:t>
      </w:r>
      <w:proofErr w:type="spellEnd"/>
      <w:r w:rsidRPr="009D0155">
        <w:rPr>
          <w:sz w:val="24"/>
          <w:szCs w:val="24"/>
        </w:rPr>
        <w:t xml:space="preserve"> undersøgelser er angivet i tabelformat nedenfor:</w:t>
      </w:r>
    </w:p>
    <w:p w14:paraId="75C63999" w14:textId="77777777" w:rsidR="00FC32EC" w:rsidRPr="009D0155" w:rsidRDefault="00FC32EC" w:rsidP="00D83412">
      <w:pPr>
        <w:ind w:left="851"/>
        <w:rPr>
          <w:sz w:val="24"/>
          <w:szCs w:val="24"/>
        </w:rPr>
      </w:pPr>
    </w:p>
    <w:p w14:paraId="509CAC3A" w14:textId="77777777" w:rsidR="00FC32EC" w:rsidRPr="009D0155" w:rsidRDefault="00FC32EC" w:rsidP="00D83412">
      <w:pPr>
        <w:ind w:left="851"/>
        <w:rPr>
          <w:sz w:val="24"/>
          <w:szCs w:val="24"/>
          <w:u w:val="single"/>
        </w:rPr>
      </w:pPr>
      <w:r w:rsidRPr="009D0155">
        <w:rPr>
          <w:sz w:val="24"/>
          <w:szCs w:val="24"/>
          <w:u w:val="single"/>
        </w:rPr>
        <w:t xml:space="preserve">Absorption efter intranasal administration </w:t>
      </w:r>
    </w:p>
    <w:p w14:paraId="2587FA79" w14:textId="68F253FD" w:rsidR="00FC32EC" w:rsidRPr="009D0155" w:rsidRDefault="00FC32EC" w:rsidP="00D83412">
      <w:pPr>
        <w:ind w:left="851"/>
        <w:rPr>
          <w:sz w:val="24"/>
          <w:szCs w:val="24"/>
          <w:lang w:val="nl-NL"/>
        </w:rPr>
      </w:pPr>
      <w:r w:rsidRPr="009D0155">
        <w:rPr>
          <w:sz w:val="24"/>
          <w:szCs w:val="24"/>
        </w:rPr>
        <w:t xml:space="preserve">Efter intranasal </w:t>
      </w:r>
      <w:proofErr w:type="spellStart"/>
      <w:r w:rsidR="00BE7117">
        <w:rPr>
          <w:sz w:val="24"/>
          <w:szCs w:val="24"/>
        </w:rPr>
        <w:t>Medirom</w:t>
      </w:r>
      <w:proofErr w:type="spellEnd"/>
      <w:r w:rsidRPr="009D0155">
        <w:rPr>
          <w:sz w:val="24"/>
          <w:szCs w:val="24"/>
        </w:rPr>
        <w:t xml:space="preserve"> administration bliver </w:t>
      </w:r>
      <w:proofErr w:type="spellStart"/>
      <w:r w:rsidRPr="009D0155">
        <w:rPr>
          <w:sz w:val="24"/>
          <w:szCs w:val="24"/>
        </w:rPr>
        <w:t>midazolam</w:t>
      </w:r>
      <w:proofErr w:type="spellEnd"/>
      <w:r w:rsidRPr="009D0155">
        <w:rPr>
          <w:sz w:val="24"/>
          <w:szCs w:val="24"/>
        </w:rPr>
        <w:t xml:space="preserve"> hurtigt absorberet. Maksimale </w:t>
      </w:r>
      <w:proofErr w:type="spellStart"/>
      <w:r w:rsidRPr="009D0155">
        <w:rPr>
          <w:sz w:val="24"/>
          <w:szCs w:val="24"/>
        </w:rPr>
        <w:t>midazolamkoncentrationer</w:t>
      </w:r>
      <w:proofErr w:type="spellEnd"/>
      <w:r w:rsidRPr="009D0155">
        <w:rPr>
          <w:sz w:val="24"/>
          <w:szCs w:val="24"/>
        </w:rPr>
        <w:t xml:space="preserve"> i plasma er inden for 11 minutter efter administration af 2,5 mg </w:t>
      </w:r>
      <w:proofErr w:type="spellStart"/>
      <w:r w:rsidR="00BE7117">
        <w:rPr>
          <w:sz w:val="24"/>
          <w:szCs w:val="24"/>
        </w:rPr>
        <w:t>Medirom</w:t>
      </w:r>
      <w:proofErr w:type="spellEnd"/>
      <w:r w:rsidRPr="009D0155">
        <w:rPr>
          <w:sz w:val="24"/>
          <w:szCs w:val="24"/>
        </w:rPr>
        <w:t xml:space="preserve"> og 14 minutter efter administration af 5 mg </w:t>
      </w:r>
      <w:proofErr w:type="spellStart"/>
      <w:r w:rsidR="00BE7117">
        <w:rPr>
          <w:sz w:val="24"/>
          <w:szCs w:val="24"/>
        </w:rPr>
        <w:t>Medirom</w:t>
      </w:r>
      <w:proofErr w:type="spellEnd"/>
      <w:r w:rsidRPr="009D0155">
        <w:rPr>
          <w:sz w:val="24"/>
          <w:szCs w:val="24"/>
        </w:rPr>
        <w:t xml:space="preserve"> hos voksne. Den absolutte biotilgængelighed af </w:t>
      </w:r>
      <w:proofErr w:type="spellStart"/>
      <w:r w:rsidR="00BE7117">
        <w:rPr>
          <w:sz w:val="24"/>
          <w:szCs w:val="24"/>
        </w:rPr>
        <w:t>Medirom</w:t>
      </w:r>
      <w:proofErr w:type="spellEnd"/>
      <w:r w:rsidRPr="009D0155">
        <w:rPr>
          <w:sz w:val="24"/>
          <w:szCs w:val="24"/>
        </w:rPr>
        <w:t xml:space="preserve"> hos voksne er omkring 75 % hos voksne. </w:t>
      </w:r>
    </w:p>
    <w:p w14:paraId="6CA0BFC8" w14:textId="77777777" w:rsidR="00FC32EC" w:rsidRPr="009D0155" w:rsidRDefault="00FC32EC" w:rsidP="00D83412">
      <w:pPr>
        <w:ind w:left="851"/>
        <w:rPr>
          <w:sz w:val="24"/>
          <w:szCs w:val="24"/>
        </w:rPr>
      </w:pPr>
    </w:p>
    <w:p w14:paraId="6DEA54F6" w14:textId="77777777" w:rsidR="00FC32EC" w:rsidRPr="009D0155" w:rsidRDefault="00FC32EC" w:rsidP="00D83412">
      <w:pPr>
        <w:ind w:left="851"/>
        <w:rPr>
          <w:sz w:val="24"/>
          <w:szCs w:val="24"/>
          <w:u w:val="single"/>
        </w:rPr>
      </w:pPr>
      <w:r w:rsidRPr="009D0155">
        <w:rPr>
          <w:sz w:val="24"/>
          <w:szCs w:val="24"/>
          <w:u w:val="single"/>
        </w:rPr>
        <w:t>Fordeling</w:t>
      </w:r>
    </w:p>
    <w:p w14:paraId="51CA6491" w14:textId="77777777"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er meget </w:t>
      </w:r>
      <w:proofErr w:type="spellStart"/>
      <w:r w:rsidRPr="009D0155">
        <w:rPr>
          <w:sz w:val="24"/>
          <w:szCs w:val="24"/>
        </w:rPr>
        <w:t>lipofilt</w:t>
      </w:r>
      <w:proofErr w:type="spellEnd"/>
      <w:r w:rsidRPr="009D0155">
        <w:rPr>
          <w:sz w:val="24"/>
          <w:szCs w:val="24"/>
        </w:rPr>
        <w:t xml:space="preserve"> og fordeles ekstensivt. Fordelingsvolumen ved </w:t>
      </w:r>
      <w:proofErr w:type="spellStart"/>
      <w:r w:rsidRPr="009D0155">
        <w:rPr>
          <w:sz w:val="24"/>
          <w:szCs w:val="24"/>
        </w:rPr>
        <w:t>steady</w:t>
      </w:r>
      <w:proofErr w:type="spellEnd"/>
      <w:r w:rsidRPr="009D0155">
        <w:rPr>
          <w:sz w:val="24"/>
          <w:szCs w:val="24"/>
        </w:rPr>
        <w:t xml:space="preserve"> </w:t>
      </w:r>
      <w:proofErr w:type="spellStart"/>
      <w:r w:rsidRPr="009D0155">
        <w:rPr>
          <w:sz w:val="24"/>
          <w:szCs w:val="24"/>
        </w:rPr>
        <w:t>state</w:t>
      </w:r>
      <w:proofErr w:type="spellEnd"/>
      <w:r w:rsidRPr="009D0155">
        <w:rPr>
          <w:sz w:val="24"/>
          <w:szCs w:val="24"/>
        </w:rPr>
        <w:t xml:space="preserve"> er 0,7-1,2 l/kg. Cirka 96-98 % af </w:t>
      </w:r>
      <w:proofErr w:type="spellStart"/>
      <w:r w:rsidRPr="009D0155">
        <w:rPr>
          <w:sz w:val="24"/>
          <w:szCs w:val="24"/>
        </w:rPr>
        <w:t>midazolam</w:t>
      </w:r>
      <w:proofErr w:type="spellEnd"/>
      <w:r w:rsidRPr="009D0155">
        <w:rPr>
          <w:sz w:val="24"/>
          <w:szCs w:val="24"/>
        </w:rPr>
        <w:t xml:space="preserve"> er bundet til plasmaproteiner. Størstedelen af plasmaproteinbindingen skyldes albumin. Der er en langsom og ikke-signifikant udskillelse af </w:t>
      </w:r>
      <w:proofErr w:type="spellStart"/>
      <w:r w:rsidRPr="009D0155">
        <w:rPr>
          <w:sz w:val="24"/>
          <w:szCs w:val="24"/>
        </w:rPr>
        <w:t>midazolam</w:t>
      </w:r>
      <w:proofErr w:type="spellEnd"/>
      <w:r w:rsidRPr="009D0155">
        <w:rPr>
          <w:sz w:val="24"/>
          <w:szCs w:val="24"/>
        </w:rPr>
        <w:t xml:space="preserve"> i cerebrospinalvæsken. Hos mennesker har </w:t>
      </w:r>
      <w:proofErr w:type="spellStart"/>
      <w:r w:rsidRPr="009D0155">
        <w:rPr>
          <w:sz w:val="24"/>
          <w:szCs w:val="24"/>
        </w:rPr>
        <w:t>midazolam</w:t>
      </w:r>
      <w:proofErr w:type="spellEnd"/>
      <w:r w:rsidRPr="009D0155">
        <w:rPr>
          <w:sz w:val="24"/>
          <w:szCs w:val="24"/>
        </w:rPr>
        <w:t xml:space="preserve"> vist sig at krydse placenta langsomt og komme ind i fosterkredsløbet. Der findes små mængder </w:t>
      </w:r>
      <w:proofErr w:type="spellStart"/>
      <w:r w:rsidRPr="009D0155">
        <w:rPr>
          <w:sz w:val="24"/>
          <w:szCs w:val="24"/>
        </w:rPr>
        <w:t>midazolam</w:t>
      </w:r>
      <w:proofErr w:type="spellEnd"/>
      <w:r w:rsidRPr="009D0155">
        <w:rPr>
          <w:sz w:val="24"/>
          <w:szCs w:val="24"/>
        </w:rPr>
        <w:t xml:space="preserve"> i human mælk.</w:t>
      </w:r>
    </w:p>
    <w:p w14:paraId="5C80EA9D" w14:textId="77777777" w:rsidR="00FC32EC" w:rsidRPr="009D0155" w:rsidRDefault="00FC32EC" w:rsidP="00D83412">
      <w:pPr>
        <w:ind w:left="851"/>
        <w:rPr>
          <w:sz w:val="24"/>
          <w:szCs w:val="24"/>
        </w:rPr>
      </w:pPr>
    </w:p>
    <w:p w14:paraId="58B55E01" w14:textId="77777777" w:rsidR="00FC32EC" w:rsidRPr="009D0155" w:rsidRDefault="00FC32EC" w:rsidP="00D83412">
      <w:pPr>
        <w:ind w:left="851"/>
        <w:rPr>
          <w:sz w:val="24"/>
          <w:szCs w:val="24"/>
          <w:u w:val="single"/>
          <w:lang w:val="nl-NL"/>
        </w:rPr>
      </w:pPr>
      <w:r w:rsidRPr="009D0155">
        <w:rPr>
          <w:sz w:val="24"/>
          <w:szCs w:val="24"/>
          <w:u w:val="single"/>
        </w:rPr>
        <w:t>Biotransformation</w:t>
      </w:r>
    </w:p>
    <w:p w14:paraId="40E42574" w14:textId="40D17104" w:rsidR="00FC32EC" w:rsidRPr="009D0155" w:rsidRDefault="00FC32EC" w:rsidP="00D83412">
      <w:pPr>
        <w:ind w:left="851"/>
        <w:rPr>
          <w:sz w:val="24"/>
          <w:szCs w:val="24"/>
        </w:rPr>
      </w:pPr>
      <w:proofErr w:type="spellStart"/>
      <w:r w:rsidRPr="009D0155">
        <w:rPr>
          <w:sz w:val="24"/>
          <w:szCs w:val="24"/>
        </w:rPr>
        <w:t>Midazolam</w:t>
      </w:r>
      <w:proofErr w:type="spellEnd"/>
      <w:r w:rsidRPr="009D0155">
        <w:rPr>
          <w:sz w:val="24"/>
          <w:szCs w:val="24"/>
        </w:rPr>
        <w:t xml:space="preserve"> elimineres næsten fuldstændigt ved biotransformation. Den del af dosen, der ekstraheres af leveren, er blevet estimeret til at være 30-60 %. </w:t>
      </w:r>
      <w:proofErr w:type="spellStart"/>
      <w:r w:rsidRPr="009D0155">
        <w:rPr>
          <w:sz w:val="24"/>
          <w:szCs w:val="24"/>
        </w:rPr>
        <w:t>Midazolam</w:t>
      </w:r>
      <w:proofErr w:type="spellEnd"/>
      <w:r w:rsidRPr="009D0155">
        <w:rPr>
          <w:sz w:val="24"/>
          <w:szCs w:val="24"/>
        </w:rPr>
        <w:t xml:space="preserve"> </w:t>
      </w:r>
      <w:proofErr w:type="spellStart"/>
      <w:r w:rsidRPr="009D0155">
        <w:rPr>
          <w:sz w:val="24"/>
          <w:szCs w:val="24"/>
        </w:rPr>
        <w:t>hydroxyleres</w:t>
      </w:r>
      <w:proofErr w:type="spellEnd"/>
      <w:r w:rsidRPr="009D0155">
        <w:rPr>
          <w:sz w:val="24"/>
          <w:szCs w:val="24"/>
        </w:rPr>
        <w:t xml:space="preserve"> af </w:t>
      </w:r>
      <w:proofErr w:type="spellStart"/>
      <w:r w:rsidRPr="009D0155">
        <w:rPr>
          <w:sz w:val="24"/>
          <w:szCs w:val="24"/>
        </w:rPr>
        <w:t>cytochrom</w:t>
      </w:r>
      <w:proofErr w:type="spellEnd"/>
      <w:r w:rsidRPr="009D0155">
        <w:rPr>
          <w:sz w:val="24"/>
          <w:szCs w:val="24"/>
        </w:rPr>
        <w:t xml:space="preserve"> P4503A4-isozymet, og den vigtigste urin- og plasmametabolit er alfa-</w:t>
      </w:r>
      <w:proofErr w:type="spellStart"/>
      <w:r w:rsidRPr="009D0155">
        <w:rPr>
          <w:sz w:val="24"/>
          <w:szCs w:val="24"/>
        </w:rPr>
        <w:t>hydroxymidazolam</w:t>
      </w:r>
      <w:proofErr w:type="spellEnd"/>
      <w:r w:rsidRPr="009D0155">
        <w:rPr>
          <w:sz w:val="24"/>
          <w:szCs w:val="24"/>
        </w:rPr>
        <w:t>. Plasma-koncentrationer af alfa-</w:t>
      </w:r>
      <w:proofErr w:type="spellStart"/>
      <w:r w:rsidRPr="009D0155">
        <w:rPr>
          <w:sz w:val="24"/>
          <w:szCs w:val="24"/>
        </w:rPr>
        <w:t>hydroxymidazolam</w:t>
      </w:r>
      <w:proofErr w:type="spellEnd"/>
      <w:r w:rsidRPr="009D0155">
        <w:rPr>
          <w:sz w:val="24"/>
          <w:szCs w:val="24"/>
        </w:rPr>
        <w:t xml:space="preserve"> efter </w:t>
      </w:r>
      <w:proofErr w:type="spellStart"/>
      <w:r w:rsidR="00BE7117">
        <w:rPr>
          <w:sz w:val="24"/>
          <w:szCs w:val="24"/>
        </w:rPr>
        <w:t>Medirom</w:t>
      </w:r>
      <w:proofErr w:type="spellEnd"/>
      <w:r w:rsidRPr="009D0155">
        <w:rPr>
          <w:sz w:val="24"/>
          <w:szCs w:val="24"/>
        </w:rPr>
        <w:t xml:space="preserve"> administration hos raske voksne er 17 % af modersubstansen. Alfa-</w:t>
      </w:r>
      <w:proofErr w:type="spellStart"/>
      <w:r w:rsidRPr="009D0155">
        <w:rPr>
          <w:sz w:val="24"/>
          <w:szCs w:val="24"/>
        </w:rPr>
        <w:t>hydroxymidazolam</w:t>
      </w:r>
      <w:proofErr w:type="spellEnd"/>
      <w:r w:rsidRPr="009D0155">
        <w:rPr>
          <w:sz w:val="24"/>
          <w:szCs w:val="24"/>
        </w:rPr>
        <w:t xml:space="preserve"> er farmakologisk aktivt, men bidrager kun minimalt (ca. 10 %) til virkningerne af intravenøs </w:t>
      </w:r>
      <w:proofErr w:type="spellStart"/>
      <w:r w:rsidRPr="009D0155">
        <w:rPr>
          <w:sz w:val="24"/>
          <w:szCs w:val="24"/>
        </w:rPr>
        <w:t>midazolam</w:t>
      </w:r>
      <w:proofErr w:type="spellEnd"/>
      <w:r w:rsidRPr="009D0155">
        <w:rPr>
          <w:sz w:val="24"/>
          <w:szCs w:val="24"/>
        </w:rPr>
        <w:t>.</w:t>
      </w:r>
    </w:p>
    <w:p w14:paraId="0B7DABDC" w14:textId="77777777" w:rsidR="00FC32EC" w:rsidRPr="009D0155" w:rsidRDefault="00FC32EC" w:rsidP="00D83412">
      <w:pPr>
        <w:ind w:left="851"/>
        <w:rPr>
          <w:sz w:val="24"/>
          <w:szCs w:val="24"/>
        </w:rPr>
      </w:pPr>
    </w:p>
    <w:p w14:paraId="6F36CCCB" w14:textId="77777777" w:rsidR="00FC32EC" w:rsidRPr="009D0155" w:rsidRDefault="00FC32EC" w:rsidP="00D83412">
      <w:pPr>
        <w:ind w:left="851"/>
        <w:rPr>
          <w:sz w:val="24"/>
          <w:szCs w:val="24"/>
          <w:u w:val="single"/>
        </w:rPr>
      </w:pPr>
      <w:r w:rsidRPr="009D0155">
        <w:rPr>
          <w:sz w:val="24"/>
          <w:szCs w:val="24"/>
          <w:u w:val="single"/>
        </w:rPr>
        <w:t>Elimination</w:t>
      </w:r>
    </w:p>
    <w:p w14:paraId="245B7897" w14:textId="77777777" w:rsidR="00FC32EC" w:rsidRPr="009D0155" w:rsidRDefault="00FC32EC" w:rsidP="00D83412">
      <w:pPr>
        <w:ind w:left="851"/>
        <w:rPr>
          <w:sz w:val="24"/>
          <w:szCs w:val="24"/>
        </w:rPr>
      </w:pPr>
      <w:r w:rsidRPr="009D0155">
        <w:rPr>
          <w:sz w:val="24"/>
          <w:szCs w:val="24"/>
        </w:rPr>
        <w:t xml:space="preserve">Hos raske frivillige er halveringstiden for </w:t>
      </w:r>
      <w:proofErr w:type="spellStart"/>
      <w:r w:rsidRPr="009D0155">
        <w:rPr>
          <w:sz w:val="24"/>
          <w:szCs w:val="24"/>
        </w:rPr>
        <w:t>midazolam</w:t>
      </w:r>
      <w:proofErr w:type="spellEnd"/>
      <w:r w:rsidRPr="009D0155">
        <w:rPr>
          <w:sz w:val="24"/>
          <w:szCs w:val="24"/>
        </w:rPr>
        <w:t xml:space="preserve"> efter intravenøs administration mellem 1,5-2,5 timer. Efter intranasal administration er den 3-6 timer. </w:t>
      </w:r>
      <w:proofErr w:type="spellStart"/>
      <w:r w:rsidRPr="009D0155">
        <w:rPr>
          <w:sz w:val="24"/>
          <w:szCs w:val="24"/>
        </w:rPr>
        <w:t>Plasmaclearance</w:t>
      </w:r>
      <w:proofErr w:type="spellEnd"/>
      <w:r w:rsidRPr="009D0155">
        <w:rPr>
          <w:sz w:val="24"/>
          <w:szCs w:val="24"/>
        </w:rPr>
        <w:t xml:space="preserve"> er i intervallet 300-500 ml/min. </w:t>
      </w:r>
      <w:proofErr w:type="spellStart"/>
      <w:r w:rsidRPr="009D0155">
        <w:rPr>
          <w:sz w:val="24"/>
          <w:szCs w:val="24"/>
        </w:rPr>
        <w:t>Midazolam</w:t>
      </w:r>
      <w:proofErr w:type="spellEnd"/>
      <w:r w:rsidRPr="009D0155">
        <w:rPr>
          <w:sz w:val="24"/>
          <w:szCs w:val="24"/>
        </w:rPr>
        <w:t xml:space="preserve"> udskilles hovedsageligt via nyrerne (60-80 % af den injicerede dosis) og gendannes som </w:t>
      </w:r>
      <w:proofErr w:type="spellStart"/>
      <w:r w:rsidRPr="009D0155">
        <w:rPr>
          <w:sz w:val="24"/>
          <w:szCs w:val="24"/>
        </w:rPr>
        <w:t>glucurokonjugeret</w:t>
      </w:r>
      <w:proofErr w:type="spellEnd"/>
      <w:r w:rsidRPr="009D0155">
        <w:rPr>
          <w:sz w:val="24"/>
          <w:szCs w:val="24"/>
        </w:rPr>
        <w:t xml:space="preserve"> alfa-</w:t>
      </w:r>
      <w:proofErr w:type="spellStart"/>
      <w:r w:rsidRPr="009D0155">
        <w:rPr>
          <w:sz w:val="24"/>
          <w:szCs w:val="24"/>
        </w:rPr>
        <w:t>hydroxymidazolam</w:t>
      </w:r>
      <w:proofErr w:type="spellEnd"/>
      <w:r w:rsidRPr="009D0155">
        <w:rPr>
          <w:sz w:val="24"/>
          <w:szCs w:val="24"/>
        </w:rPr>
        <w:t xml:space="preserve">. Mindre end 1 % af dosis genfindes i urinen som uændret lægemiddel. </w:t>
      </w:r>
    </w:p>
    <w:p w14:paraId="642E019C" w14:textId="77777777" w:rsidR="00FC32EC" w:rsidRPr="009D0155" w:rsidRDefault="00FC32EC" w:rsidP="00D83412">
      <w:pPr>
        <w:ind w:left="851"/>
        <w:rPr>
          <w:sz w:val="24"/>
          <w:szCs w:val="24"/>
        </w:rPr>
      </w:pPr>
    </w:p>
    <w:p w14:paraId="5400A5D2" w14:textId="77777777" w:rsidR="00FC32EC" w:rsidRPr="009D0155" w:rsidRDefault="00FC32EC" w:rsidP="00D83412">
      <w:pPr>
        <w:ind w:left="851"/>
        <w:rPr>
          <w:sz w:val="24"/>
          <w:szCs w:val="24"/>
          <w:u w:val="single"/>
        </w:rPr>
      </w:pPr>
      <w:r w:rsidRPr="009D0155">
        <w:rPr>
          <w:sz w:val="24"/>
          <w:szCs w:val="24"/>
          <w:u w:val="single"/>
        </w:rPr>
        <w:t>Eksponering efter anden dosis</w:t>
      </w:r>
    </w:p>
    <w:p w14:paraId="37E65590" w14:textId="77777777" w:rsidR="00FC32EC" w:rsidRPr="009D0155" w:rsidRDefault="00FC32EC" w:rsidP="00D83412">
      <w:pPr>
        <w:ind w:left="851"/>
        <w:rPr>
          <w:sz w:val="24"/>
          <w:szCs w:val="24"/>
        </w:rPr>
      </w:pPr>
      <w:r w:rsidRPr="009D0155">
        <w:rPr>
          <w:sz w:val="24"/>
          <w:szCs w:val="24"/>
        </w:rPr>
        <w:t xml:space="preserve">Da </w:t>
      </w:r>
      <w:proofErr w:type="spellStart"/>
      <w:r w:rsidRPr="009D0155">
        <w:rPr>
          <w:sz w:val="24"/>
          <w:szCs w:val="24"/>
        </w:rPr>
        <w:t>midazolams</w:t>
      </w:r>
      <w:proofErr w:type="spellEnd"/>
      <w:r w:rsidRPr="009D0155">
        <w:rPr>
          <w:sz w:val="24"/>
          <w:szCs w:val="24"/>
        </w:rPr>
        <w:t xml:space="preserve"> farmakokinetik er lineær over det angivne dosisområde, vil anden dosis </w:t>
      </w:r>
      <w:proofErr w:type="spellStart"/>
      <w:r w:rsidRPr="009D0155">
        <w:rPr>
          <w:sz w:val="24"/>
          <w:szCs w:val="24"/>
        </w:rPr>
        <w:t>midazolam</w:t>
      </w:r>
      <w:proofErr w:type="spellEnd"/>
      <w:r w:rsidRPr="009D0155">
        <w:rPr>
          <w:sz w:val="24"/>
          <w:szCs w:val="24"/>
        </w:rPr>
        <w:t xml:space="preserve"> administreret i det andet næsebor sammen med første dosis i det første næsebor øge AUC for </w:t>
      </w:r>
      <w:proofErr w:type="spellStart"/>
      <w:r w:rsidRPr="009D0155">
        <w:rPr>
          <w:sz w:val="24"/>
          <w:szCs w:val="24"/>
        </w:rPr>
        <w:t>midazolam</w:t>
      </w:r>
      <w:proofErr w:type="spellEnd"/>
      <w:r w:rsidRPr="009D0155">
        <w:rPr>
          <w:sz w:val="24"/>
          <w:szCs w:val="24"/>
        </w:rPr>
        <w:t xml:space="preserve"> med 100 %. Administration af anden dosis 10 minutter efter den første dosis fører til en stigning af </w:t>
      </w:r>
      <w:proofErr w:type="spellStart"/>
      <w:r w:rsidRPr="009D0155">
        <w:rPr>
          <w:sz w:val="24"/>
          <w:szCs w:val="24"/>
        </w:rPr>
        <w:t>C</w:t>
      </w:r>
      <w:r w:rsidRPr="009D0155">
        <w:rPr>
          <w:sz w:val="24"/>
          <w:szCs w:val="24"/>
          <w:vertAlign w:val="subscript"/>
        </w:rPr>
        <w:t>max</w:t>
      </w:r>
      <w:proofErr w:type="spellEnd"/>
      <w:r w:rsidRPr="009D0155">
        <w:rPr>
          <w:sz w:val="24"/>
          <w:szCs w:val="24"/>
        </w:rPr>
        <w:t xml:space="preserve"> på ca. 1,7 til 1,9 gange baseret på </w:t>
      </w:r>
      <w:proofErr w:type="spellStart"/>
      <w:r w:rsidRPr="009D0155">
        <w:rPr>
          <w:sz w:val="24"/>
          <w:szCs w:val="24"/>
        </w:rPr>
        <w:t>farmakokinetiske</w:t>
      </w:r>
      <w:proofErr w:type="spellEnd"/>
      <w:r w:rsidRPr="009D0155">
        <w:rPr>
          <w:sz w:val="24"/>
          <w:szCs w:val="24"/>
        </w:rPr>
        <w:t xml:space="preserve"> </w:t>
      </w:r>
      <w:r w:rsidRPr="009D0155">
        <w:rPr>
          <w:i/>
          <w:iCs/>
          <w:sz w:val="24"/>
          <w:szCs w:val="24"/>
        </w:rPr>
        <w:t xml:space="preserve">in </w:t>
      </w:r>
      <w:proofErr w:type="spellStart"/>
      <w:r w:rsidRPr="009D0155">
        <w:rPr>
          <w:i/>
          <w:iCs/>
          <w:sz w:val="24"/>
          <w:szCs w:val="24"/>
        </w:rPr>
        <w:t>silico</w:t>
      </w:r>
      <w:proofErr w:type="spellEnd"/>
      <w:r w:rsidRPr="009D0155">
        <w:rPr>
          <w:sz w:val="24"/>
          <w:szCs w:val="24"/>
        </w:rPr>
        <w:t>-simuleringer.</w:t>
      </w:r>
    </w:p>
    <w:p w14:paraId="1A6D3AD9" w14:textId="77777777" w:rsidR="00FC32EC" w:rsidRPr="009D0155" w:rsidRDefault="00FC32EC" w:rsidP="00D83412">
      <w:pPr>
        <w:ind w:left="851"/>
        <w:rPr>
          <w:sz w:val="24"/>
          <w:szCs w:val="24"/>
        </w:rPr>
      </w:pPr>
    </w:p>
    <w:p w14:paraId="6B775FE3" w14:textId="77777777" w:rsidR="00FC32EC" w:rsidRPr="009D0155" w:rsidRDefault="00FC32EC" w:rsidP="00D83412">
      <w:pPr>
        <w:ind w:left="851"/>
        <w:rPr>
          <w:sz w:val="24"/>
          <w:szCs w:val="24"/>
          <w:u w:val="single"/>
        </w:rPr>
      </w:pPr>
      <w:r w:rsidRPr="009D0155">
        <w:rPr>
          <w:sz w:val="24"/>
          <w:szCs w:val="24"/>
          <w:u w:val="single"/>
        </w:rPr>
        <w:t>Farmakokinetik hos særlige befolkningsgrupper</w:t>
      </w:r>
    </w:p>
    <w:p w14:paraId="5DA66520" w14:textId="77777777" w:rsidR="00FC32EC" w:rsidRPr="00F70B65" w:rsidRDefault="00FC32EC" w:rsidP="00D83412">
      <w:pPr>
        <w:ind w:left="851"/>
        <w:rPr>
          <w:i/>
          <w:sz w:val="24"/>
          <w:szCs w:val="24"/>
        </w:rPr>
      </w:pPr>
      <w:r w:rsidRPr="00F70B65">
        <w:rPr>
          <w:i/>
          <w:sz w:val="24"/>
          <w:szCs w:val="24"/>
        </w:rPr>
        <w:t>Ældre</w:t>
      </w:r>
    </w:p>
    <w:p w14:paraId="53825890" w14:textId="77777777" w:rsidR="00FC32EC" w:rsidRPr="009D0155" w:rsidRDefault="00FC32EC" w:rsidP="00D83412">
      <w:pPr>
        <w:ind w:left="851"/>
        <w:rPr>
          <w:sz w:val="24"/>
          <w:szCs w:val="24"/>
        </w:rPr>
      </w:pPr>
      <w:r w:rsidRPr="009D0155">
        <w:rPr>
          <w:sz w:val="24"/>
          <w:szCs w:val="24"/>
        </w:rPr>
        <w:t>Hos voksne over 60 år kan elimineringshalveringstiden være forlænget op til fire gange.</w:t>
      </w:r>
    </w:p>
    <w:p w14:paraId="4A8C6148" w14:textId="27CB6F86" w:rsidR="000C3F75" w:rsidRDefault="000C3F75">
      <w:pPr>
        <w:rPr>
          <w:sz w:val="24"/>
          <w:szCs w:val="24"/>
        </w:rPr>
      </w:pPr>
      <w:r>
        <w:rPr>
          <w:sz w:val="24"/>
          <w:szCs w:val="24"/>
        </w:rPr>
        <w:br w:type="page"/>
      </w:r>
    </w:p>
    <w:p w14:paraId="42821DEE" w14:textId="77777777" w:rsidR="00FC32EC" w:rsidRPr="009D0155" w:rsidRDefault="00FC32EC" w:rsidP="00D83412">
      <w:pPr>
        <w:ind w:left="851"/>
        <w:rPr>
          <w:sz w:val="24"/>
          <w:szCs w:val="24"/>
        </w:rPr>
      </w:pPr>
    </w:p>
    <w:p w14:paraId="067CE040" w14:textId="77777777" w:rsidR="00FC32EC" w:rsidRPr="00F70B65" w:rsidRDefault="00FC32EC" w:rsidP="00D83412">
      <w:pPr>
        <w:ind w:left="851"/>
        <w:rPr>
          <w:i/>
          <w:sz w:val="24"/>
          <w:szCs w:val="24"/>
        </w:rPr>
      </w:pPr>
      <w:r w:rsidRPr="00F70B65">
        <w:rPr>
          <w:i/>
          <w:sz w:val="24"/>
          <w:szCs w:val="24"/>
        </w:rPr>
        <w:t>Børn</w:t>
      </w:r>
    </w:p>
    <w:p w14:paraId="7FB3A999" w14:textId="77777777" w:rsidR="00FC32EC" w:rsidRPr="009D0155" w:rsidRDefault="00FC32EC" w:rsidP="00D83412">
      <w:pPr>
        <w:ind w:left="851"/>
        <w:rPr>
          <w:sz w:val="24"/>
          <w:szCs w:val="24"/>
        </w:rPr>
      </w:pPr>
      <w:r w:rsidRPr="009D0155">
        <w:rPr>
          <w:sz w:val="24"/>
          <w:szCs w:val="24"/>
        </w:rPr>
        <w:t xml:space="preserve">Elimineringshalveringstiden efter intravenøs og </w:t>
      </w:r>
      <w:proofErr w:type="spellStart"/>
      <w:r w:rsidRPr="009D0155">
        <w:rPr>
          <w:sz w:val="24"/>
          <w:szCs w:val="24"/>
        </w:rPr>
        <w:t>rektal</w:t>
      </w:r>
      <w:proofErr w:type="spellEnd"/>
      <w:r w:rsidRPr="009D0155">
        <w:rPr>
          <w:sz w:val="24"/>
          <w:szCs w:val="24"/>
        </w:rPr>
        <w:t xml:space="preserve"> administration er kortere hos børn i alderen 3-10 år (1-1,5 timer) sammenlignet med den hos voksne. Forskellen kan forklares med den øgede metaboliske </w:t>
      </w:r>
      <w:proofErr w:type="spellStart"/>
      <w:r w:rsidRPr="009D0155">
        <w:rPr>
          <w:sz w:val="24"/>
          <w:szCs w:val="24"/>
        </w:rPr>
        <w:t>clearance</w:t>
      </w:r>
      <w:proofErr w:type="spellEnd"/>
      <w:r w:rsidRPr="009D0155">
        <w:rPr>
          <w:sz w:val="24"/>
          <w:szCs w:val="24"/>
        </w:rPr>
        <w:t xml:space="preserve"> hos børn i denne aldersgruppe.</w:t>
      </w:r>
    </w:p>
    <w:p w14:paraId="2A7E552F" w14:textId="77777777" w:rsidR="00FC32EC" w:rsidRPr="009D0155" w:rsidRDefault="00FC32EC" w:rsidP="00D83412">
      <w:pPr>
        <w:ind w:left="851"/>
        <w:rPr>
          <w:sz w:val="24"/>
          <w:szCs w:val="24"/>
        </w:rPr>
      </w:pPr>
    </w:p>
    <w:p w14:paraId="4B96B6A1" w14:textId="77777777" w:rsidR="00FC32EC" w:rsidRPr="00F70B65" w:rsidRDefault="00FC32EC" w:rsidP="00D83412">
      <w:pPr>
        <w:ind w:left="851"/>
        <w:rPr>
          <w:i/>
          <w:sz w:val="24"/>
          <w:szCs w:val="24"/>
        </w:rPr>
      </w:pPr>
      <w:r w:rsidRPr="00F70B65">
        <w:rPr>
          <w:i/>
          <w:sz w:val="24"/>
          <w:szCs w:val="24"/>
        </w:rPr>
        <w:t>Overvægtige</w:t>
      </w:r>
    </w:p>
    <w:p w14:paraId="6FE90E0F" w14:textId="77777777" w:rsidR="00FC32EC" w:rsidRPr="009D0155" w:rsidRDefault="00FC32EC" w:rsidP="00D83412">
      <w:pPr>
        <w:ind w:left="851"/>
        <w:rPr>
          <w:sz w:val="24"/>
          <w:szCs w:val="24"/>
        </w:rPr>
      </w:pPr>
      <w:r w:rsidRPr="009D0155">
        <w:rPr>
          <w:sz w:val="24"/>
          <w:szCs w:val="24"/>
        </w:rPr>
        <w:t xml:space="preserve">Den gennemsnitlige halveringstid er større hos overvægtige end hos ikke-overvægtige patienter (5,9 vs. 2,3 timer). Dette skyldes en stigning på ca. 50 % i fordelingsvolumenet korrigeret for den samlede kropsvægt. </w:t>
      </w:r>
      <w:proofErr w:type="spellStart"/>
      <w:r w:rsidRPr="009D0155">
        <w:rPr>
          <w:sz w:val="24"/>
          <w:szCs w:val="24"/>
        </w:rPr>
        <w:t>Clearance</w:t>
      </w:r>
      <w:proofErr w:type="spellEnd"/>
      <w:r w:rsidRPr="009D0155">
        <w:rPr>
          <w:sz w:val="24"/>
          <w:szCs w:val="24"/>
        </w:rPr>
        <w:t xml:space="preserve"> er ikke signifikant forskellig hos overvægtige og ikke-overvægtige patienter. </w:t>
      </w:r>
    </w:p>
    <w:p w14:paraId="5ACD51E7" w14:textId="77777777" w:rsidR="00FC32EC" w:rsidRPr="009D0155" w:rsidRDefault="00FC32EC" w:rsidP="00D83412">
      <w:pPr>
        <w:ind w:left="851"/>
        <w:rPr>
          <w:sz w:val="24"/>
          <w:szCs w:val="24"/>
        </w:rPr>
      </w:pPr>
      <w:r w:rsidRPr="009D0155">
        <w:rPr>
          <w:sz w:val="24"/>
          <w:szCs w:val="24"/>
        </w:rPr>
        <w:t xml:space="preserve">Hos overvægtige patienter fører administration af intranasal </w:t>
      </w:r>
      <w:proofErr w:type="spellStart"/>
      <w:r w:rsidRPr="009D0155">
        <w:rPr>
          <w:sz w:val="24"/>
          <w:szCs w:val="24"/>
        </w:rPr>
        <w:t>midazolam</w:t>
      </w:r>
      <w:proofErr w:type="spellEnd"/>
      <w:r w:rsidRPr="009D0155">
        <w:rPr>
          <w:sz w:val="24"/>
          <w:szCs w:val="24"/>
        </w:rPr>
        <w:t xml:space="preserve"> af en dosis på 2,5 mg, 3,75 mg eller 5 mg til et langsommere fald i </w:t>
      </w:r>
      <w:proofErr w:type="spellStart"/>
      <w:r w:rsidRPr="009D0155">
        <w:rPr>
          <w:sz w:val="24"/>
          <w:szCs w:val="24"/>
        </w:rPr>
        <w:t>midazolamkoncentrationer</w:t>
      </w:r>
      <w:proofErr w:type="spellEnd"/>
      <w:r w:rsidRPr="009D0155">
        <w:rPr>
          <w:sz w:val="24"/>
          <w:szCs w:val="24"/>
        </w:rPr>
        <w:t xml:space="preserve"> på subkliniske niveauer. Denne forlængelse på sub-kliniske niveauer forventes ikke at føre til forlængelse af den </w:t>
      </w:r>
      <w:proofErr w:type="spellStart"/>
      <w:r w:rsidRPr="009D0155">
        <w:rPr>
          <w:sz w:val="24"/>
          <w:szCs w:val="24"/>
        </w:rPr>
        <w:t>farmalogiske</w:t>
      </w:r>
      <w:proofErr w:type="spellEnd"/>
      <w:r w:rsidRPr="009D0155">
        <w:rPr>
          <w:sz w:val="24"/>
          <w:szCs w:val="24"/>
        </w:rPr>
        <w:t xml:space="preserve"> effekt hos overvægtige patienter sammenlignet med ikke-overvægtige patienter. </w:t>
      </w:r>
    </w:p>
    <w:p w14:paraId="11CBFFE2" w14:textId="77777777" w:rsidR="00FC32EC" w:rsidRPr="009D0155" w:rsidRDefault="00FC32EC" w:rsidP="00D83412">
      <w:pPr>
        <w:ind w:left="851"/>
        <w:rPr>
          <w:sz w:val="24"/>
          <w:szCs w:val="24"/>
        </w:rPr>
      </w:pPr>
    </w:p>
    <w:p w14:paraId="5A244955" w14:textId="77777777" w:rsidR="00FC32EC" w:rsidRPr="00F70B65" w:rsidRDefault="00FC32EC" w:rsidP="00D83412">
      <w:pPr>
        <w:ind w:left="851"/>
        <w:rPr>
          <w:i/>
          <w:sz w:val="24"/>
          <w:szCs w:val="24"/>
        </w:rPr>
      </w:pPr>
      <w:r w:rsidRPr="00F70B65">
        <w:rPr>
          <w:i/>
          <w:sz w:val="24"/>
          <w:szCs w:val="24"/>
        </w:rPr>
        <w:t>Patienter med nedsat leverfunktion</w:t>
      </w:r>
    </w:p>
    <w:p w14:paraId="3D1E1F9D" w14:textId="77777777" w:rsidR="00FC32EC" w:rsidRPr="009D0155" w:rsidRDefault="00FC32EC" w:rsidP="00D83412">
      <w:pPr>
        <w:ind w:left="851"/>
        <w:rPr>
          <w:sz w:val="24"/>
          <w:szCs w:val="24"/>
        </w:rPr>
      </w:pPr>
      <w:r w:rsidRPr="009D0155">
        <w:rPr>
          <w:sz w:val="24"/>
          <w:szCs w:val="24"/>
        </w:rPr>
        <w:t xml:space="preserve">Elimineringshalveringstiden hos patienter med cirrose kan være længere og </w:t>
      </w:r>
      <w:proofErr w:type="spellStart"/>
      <w:r w:rsidRPr="009D0155">
        <w:rPr>
          <w:sz w:val="24"/>
          <w:szCs w:val="24"/>
        </w:rPr>
        <w:t>clearance</w:t>
      </w:r>
      <w:proofErr w:type="spellEnd"/>
      <w:r w:rsidRPr="009D0155">
        <w:rPr>
          <w:sz w:val="24"/>
          <w:szCs w:val="24"/>
        </w:rPr>
        <w:t xml:space="preserve"> mindre end sammenlignet med dem hos raske frivillige (se pkt. 4.4).</w:t>
      </w:r>
    </w:p>
    <w:p w14:paraId="47AFACCA" w14:textId="77777777" w:rsidR="00FC32EC" w:rsidRPr="009D0155" w:rsidRDefault="00FC32EC" w:rsidP="00D83412">
      <w:pPr>
        <w:ind w:left="851"/>
        <w:rPr>
          <w:sz w:val="24"/>
          <w:szCs w:val="24"/>
        </w:rPr>
      </w:pPr>
    </w:p>
    <w:p w14:paraId="3984AAA8" w14:textId="77777777" w:rsidR="00FC32EC" w:rsidRPr="00F70B65" w:rsidRDefault="00FC32EC" w:rsidP="00D83412">
      <w:pPr>
        <w:ind w:left="851"/>
        <w:rPr>
          <w:i/>
          <w:sz w:val="24"/>
          <w:szCs w:val="24"/>
        </w:rPr>
      </w:pPr>
      <w:r w:rsidRPr="00F70B65">
        <w:rPr>
          <w:i/>
          <w:sz w:val="24"/>
          <w:szCs w:val="24"/>
        </w:rPr>
        <w:t>Patienter med nedsat nyrefunktion</w:t>
      </w:r>
    </w:p>
    <w:p w14:paraId="3193D0BD" w14:textId="77777777" w:rsidR="00FC32EC" w:rsidRPr="009D0155" w:rsidRDefault="00FC32EC" w:rsidP="00D83412">
      <w:pPr>
        <w:ind w:left="851"/>
        <w:rPr>
          <w:sz w:val="24"/>
          <w:szCs w:val="24"/>
        </w:rPr>
      </w:pPr>
      <w:r w:rsidRPr="009D0155">
        <w:rPr>
          <w:sz w:val="24"/>
          <w:szCs w:val="24"/>
        </w:rPr>
        <w:t xml:space="preserve">Farmakokinetikken hos ubunden </w:t>
      </w:r>
      <w:proofErr w:type="spellStart"/>
      <w:r w:rsidRPr="009D0155">
        <w:rPr>
          <w:sz w:val="24"/>
          <w:szCs w:val="24"/>
        </w:rPr>
        <w:t>midazolam</w:t>
      </w:r>
      <w:proofErr w:type="spellEnd"/>
      <w:r w:rsidRPr="009D0155">
        <w:rPr>
          <w:sz w:val="24"/>
          <w:szCs w:val="24"/>
        </w:rPr>
        <w:t xml:space="preserve"> er ikke ændret hos patienter med alvorligt nedsat nyrefunktion. Den farmakologisk mildt aktive hovedmetabolit af </w:t>
      </w:r>
      <w:proofErr w:type="spellStart"/>
      <w:r w:rsidRPr="009D0155">
        <w:rPr>
          <w:sz w:val="24"/>
          <w:szCs w:val="24"/>
        </w:rPr>
        <w:t>midazolam</w:t>
      </w:r>
      <w:proofErr w:type="spellEnd"/>
      <w:r w:rsidRPr="009D0155">
        <w:rPr>
          <w:sz w:val="24"/>
          <w:szCs w:val="24"/>
        </w:rPr>
        <w:t xml:space="preserve"> (1'-hydroxyl-midazolam </w:t>
      </w:r>
      <w:proofErr w:type="spellStart"/>
      <w:r w:rsidRPr="009D0155">
        <w:rPr>
          <w:sz w:val="24"/>
          <w:szCs w:val="24"/>
        </w:rPr>
        <w:t>glucuronid</w:t>
      </w:r>
      <w:proofErr w:type="spellEnd"/>
      <w:r w:rsidRPr="009D0155">
        <w:rPr>
          <w:sz w:val="24"/>
          <w:szCs w:val="24"/>
        </w:rPr>
        <w:t xml:space="preserve">), som udskilles gennem nyrerne, akkumuleres hos patienter med svært nedsat nyrefunktion. Denne akkumulering kan forlænge </w:t>
      </w:r>
      <w:proofErr w:type="spellStart"/>
      <w:r w:rsidRPr="009D0155">
        <w:rPr>
          <w:sz w:val="24"/>
          <w:szCs w:val="24"/>
        </w:rPr>
        <w:t>sedering</w:t>
      </w:r>
      <w:proofErr w:type="spellEnd"/>
      <w:r w:rsidRPr="009D0155">
        <w:rPr>
          <w:sz w:val="24"/>
          <w:szCs w:val="24"/>
        </w:rPr>
        <w:t xml:space="preserve">. </w:t>
      </w:r>
      <w:proofErr w:type="spellStart"/>
      <w:r w:rsidRPr="009D0155">
        <w:rPr>
          <w:sz w:val="24"/>
          <w:szCs w:val="24"/>
        </w:rPr>
        <w:t>Midazolam</w:t>
      </w:r>
      <w:proofErr w:type="spellEnd"/>
      <w:r w:rsidRPr="009D0155">
        <w:rPr>
          <w:sz w:val="24"/>
          <w:szCs w:val="24"/>
        </w:rPr>
        <w:t xml:space="preserve"> bør administreres forsigtigt.</w:t>
      </w:r>
    </w:p>
    <w:p w14:paraId="0EBBB71C" w14:textId="77777777" w:rsidR="00FC32EC" w:rsidRPr="009D0155" w:rsidRDefault="00FC32EC" w:rsidP="00D83412">
      <w:pPr>
        <w:ind w:left="851"/>
        <w:rPr>
          <w:sz w:val="24"/>
          <w:szCs w:val="24"/>
        </w:rPr>
      </w:pPr>
    </w:p>
    <w:p w14:paraId="526C557C" w14:textId="77777777" w:rsidR="00FC32EC" w:rsidRPr="00F70B65" w:rsidRDefault="00FC32EC" w:rsidP="00D83412">
      <w:pPr>
        <w:ind w:left="851"/>
        <w:rPr>
          <w:i/>
          <w:sz w:val="24"/>
          <w:szCs w:val="24"/>
        </w:rPr>
      </w:pPr>
      <w:r w:rsidRPr="00F70B65">
        <w:rPr>
          <w:i/>
          <w:sz w:val="24"/>
          <w:szCs w:val="24"/>
        </w:rPr>
        <w:t>Kritisk syge patienter</w:t>
      </w:r>
    </w:p>
    <w:p w14:paraId="21184540" w14:textId="77777777" w:rsidR="00FC32EC" w:rsidRPr="009D0155" w:rsidRDefault="00FC32EC" w:rsidP="00D83412">
      <w:pPr>
        <w:ind w:left="851"/>
        <w:rPr>
          <w:sz w:val="24"/>
          <w:szCs w:val="24"/>
        </w:rPr>
      </w:pPr>
      <w:r w:rsidRPr="009D0155">
        <w:rPr>
          <w:sz w:val="24"/>
          <w:szCs w:val="24"/>
        </w:rPr>
        <w:t xml:space="preserve">Elimineringen af halveringstiden for </w:t>
      </w:r>
      <w:proofErr w:type="spellStart"/>
      <w:r w:rsidRPr="009D0155">
        <w:rPr>
          <w:sz w:val="24"/>
          <w:szCs w:val="24"/>
        </w:rPr>
        <w:t>midazolam</w:t>
      </w:r>
      <w:proofErr w:type="spellEnd"/>
      <w:r w:rsidRPr="009D0155">
        <w:rPr>
          <w:sz w:val="24"/>
          <w:szCs w:val="24"/>
        </w:rPr>
        <w:t xml:space="preserve"> er forlænget op til 6 gange hos kritisk syge patienter.</w:t>
      </w:r>
    </w:p>
    <w:p w14:paraId="3B255B80" w14:textId="77777777" w:rsidR="00FC32EC" w:rsidRPr="009D0155" w:rsidRDefault="00FC32EC" w:rsidP="00D83412">
      <w:pPr>
        <w:ind w:left="851"/>
        <w:rPr>
          <w:sz w:val="24"/>
          <w:szCs w:val="24"/>
        </w:rPr>
      </w:pPr>
    </w:p>
    <w:p w14:paraId="233420A2" w14:textId="77777777" w:rsidR="00FC32EC" w:rsidRPr="00F70B65" w:rsidRDefault="00FC32EC" w:rsidP="00D83412">
      <w:pPr>
        <w:ind w:left="851"/>
        <w:rPr>
          <w:i/>
          <w:sz w:val="24"/>
          <w:szCs w:val="24"/>
        </w:rPr>
      </w:pPr>
      <w:r w:rsidRPr="00F70B65">
        <w:rPr>
          <w:i/>
          <w:sz w:val="24"/>
          <w:szCs w:val="24"/>
        </w:rPr>
        <w:t xml:space="preserve">Patienter med </w:t>
      </w:r>
      <w:proofErr w:type="spellStart"/>
      <w:r w:rsidRPr="00F70B65">
        <w:rPr>
          <w:i/>
          <w:sz w:val="24"/>
          <w:szCs w:val="24"/>
        </w:rPr>
        <w:t>hjerteinsuffiens</w:t>
      </w:r>
      <w:proofErr w:type="spellEnd"/>
    </w:p>
    <w:p w14:paraId="21D4A63E" w14:textId="77777777" w:rsidR="00FC32EC" w:rsidRPr="009D0155" w:rsidRDefault="00FC32EC" w:rsidP="00D83412">
      <w:pPr>
        <w:ind w:left="851"/>
        <w:rPr>
          <w:sz w:val="24"/>
          <w:szCs w:val="24"/>
        </w:rPr>
      </w:pPr>
      <w:r w:rsidRPr="009D0155">
        <w:rPr>
          <w:sz w:val="24"/>
          <w:szCs w:val="24"/>
        </w:rPr>
        <w:t xml:space="preserve">Elimineringshalveringstiden er længere hos patienter med </w:t>
      </w:r>
      <w:proofErr w:type="spellStart"/>
      <w:r w:rsidRPr="009D0155">
        <w:rPr>
          <w:sz w:val="24"/>
          <w:szCs w:val="24"/>
        </w:rPr>
        <w:t>kongestivt</w:t>
      </w:r>
      <w:proofErr w:type="spellEnd"/>
      <w:r w:rsidRPr="009D0155">
        <w:rPr>
          <w:sz w:val="24"/>
          <w:szCs w:val="24"/>
        </w:rPr>
        <w:t xml:space="preserve"> hjertesvigt sammenlignet med den hos raske personer (se pkt. 4.4).</w:t>
      </w:r>
    </w:p>
    <w:p w14:paraId="75FA659F" w14:textId="77777777" w:rsidR="00FC32EC" w:rsidRPr="009D0155" w:rsidRDefault="00FC32EC" w:rsidP="00D83412">
      <w:pPr>
        <w:ind w:left="851"/>
        <w:rPr>
          <w:sz w:val="24"/>
          <w:szCs w:val="24"/>
          <w:u w:val="single" w:color="33443E"/>
        </w:rPr>
      </w:pPr>
    </w:p>
    <w:p w14:paraId="22198172" w14:textId="77777777" w:rsidR="00FC32EC" w:rsidRPr="009D0155" w:rsidRDefault="00FC32EC" w:rsidP="00D83412">
      <w:pPr>
        <w:ind w:left="851"/>
        <w:rPr>
          <w:sz w:val="24"/>
          <w:szCs w:val="24"/>
        </w:rPr>
      </w:pPr>
      <w:r w:rsidRPr="009D0155">
        <w:rPr>
          <w:sz w:val="24"/>
          <w:szCs w:val="24"/>
        </w:rPr>
        <w:t xml:space="preserve">Eksponering efter anden dosis ved vågen </w:t>
      </w:r>
      <w:proofErr w:type="spellStart"/>
      <w:r w:rsidRPr="009D0155">
        <w:rPr>
          <w:sz w:val="24"/>
          <w:szCs w:val="24"/>
        </w:rPr>
        <w:t>sedering</w:t>
      </w:r>
      <w:proofErr w:type="spellEnd"/>
      <w:r w:rsidRPr="009D0155">
        <w:rPr>
          <w:sz w:val="24"/>
          <w:szCs w:val="24"/>
        </w:rPr>
        <w:t xml:space="preserve">, præmedicinering eller behandling af længerevarende, akutte, krampeanfald. </w:t>
      </w:r>
    </w:p>
    <w:p w14:paraId="4787AF7B" w14:textId="77777777" w:rsidR="00FC32EC" w:rsidRPr="009D0155" w:rsidRDefault="00FC32EC" w:rsidP="00D83412">
      <w:pPr>
        <w:ind w:left="851"/>
        <w:rPr>
          <w:sz w:val="24"/>
          <w:szCs w:val="24"/>
          <w:u w:val="single" w:color="33443E"/>
        </w:rPr>
      </w:pPr>
      <w:r w:rsidRPr="009D0155">
        <w:rPr>
          <w:sz w:val="24"/>
          <w:szCs w:val="24"/>
        </w:rPr>
        <w:t xml:space="preserve">Da </w:t>
      </w:r>
      <w:proofErr w:type="spellStart"/>
      <w:r w:rsidRPr="009D0155">
        <w:rPr>
          <w:sz w:val="24"/>
          <w:szCs w:val="24"/>
        </w:rPr>
        <w:t>midazolams</w:t>
      </w:r>
      <w:proofErr w:type="spellEnd"/>
      <w:r w:rsidRPr="009D0155">
        <w:rPr>
          <w:sz w:val="24"/>
          <w:szCs w:val="24"/>
        </w:rPr>
        <w:t xml:space="preserve"> farmakokinetik er lineært for </w:t>
      </w:r>
      <w:proofErr w:type="gramStart"/>
      <w:r w:rsidRPr="009D0155">
        <w:rPr>
          <w:sz w:val="24"/>
          <w:szCs w:val="24"/>
        </w:rPr>
        <w:t>den indicerede dosisinterval</w:t>
      </w:r>
      <w:proofErr w:type="gramEnd"/>
      <w:r w:rsidRPr="009D0155">
        <w:rPr>
          <w:sz w:val="24"/>
          <w:szCs w:val="24"/>
        </w:rPr>
        <w:t>, øger administration af anden dosis</w:t>
      </w:r>
      <w:r w:rsidRPr="009D0155">
        <w:rPr>
          <w:color w:val="0000FF"/>
          <w:sz w:val="24"/>
          <w:szCs w:val="24"/>
        </w:rPr>
        <w:t xml:space="preserve"> </w:t>
      </w:r>
      <w:r w:rsidRPr="009D0155">
        <w:rPr>
          <w:sz w:val="24"/>
          <w:szCs w:val="24"/>
        </w:rPr>
        <w:t xml:space="preserve">det overordnede AUC med 100 %. Administration af anden dosis 10 minutter efter første dosis resulterer i en væsentlig stigning i gennemsnitligt </w:t>
      </w:r>
      <w:proofErr w:type="spellStart"/>
      <w:r w:rsidRPr="009D0155">
        <w:rPr>
          <w:sz w:val="24"/>
          <w:szCs w:val="24"/>
        </w:rPr>
        <w:t>C</w:t>
      </w:r>
      <w:r w:rsidRPr="009D0155">
        <w:rPr>
          <w:sz w:val="24"/>
          <w:szCs w:val="24"/>
          <w:vertAlign w:val="subscript"/>
        </w:rPr>
        <w:t>max</w:t>
      </w:r>
      <w:proofErr w:type="spellEnd"/>
      <w:r w:rsidRPr="009D0155">
        <w:rPr>
          <w:sz w:val="24"/>
          <w:szCs w:val="24"/>
        </w:rPr>
        <w:t xml:space="preserve"> på mellem 1,7-1,9 gange. Administration af anden dosis efter 30 eller 60 minutter fører til en stigning i </w:t>
      </w:r>
      <w:proofErr w:type="spellStart"/>
      <w:r w:rsidRPr="009D0155">
        <w:rPr>
          <w:sz w:val="24"/>
          <w:szCs w:val="24"/>
        </w:rPr>
        <w:t>C</w:t>
      </w:r>
      <w:r w:rsidRPr="009D0155">
        <w:rPr>
          <w:sz w:val="24"/>
          <w:szCs w:val="24"/>
          <w:vertAlign w:val="subscript"/>
        </w:rPr>
        <w:t>max</w:t>
      </w:r>
      <w:proofErr w:type="spellEnd"/>
      <w:r w:rsidRPr="009D0155">
        <w:rPr>
          <w:sz w:val="24"/>
          <w:szCs w:val="24"/>
        </w:rPr>
        <w:t xml:space="preserve"> på henholdsvis 1,3-1,6 og 1,2-1,5 gange, baseret på </w:t>
      </w:r>
      <w:r w:rsidRPr="009D0155">
        <w:rPr>
          <w:i/>
          <w:iCs/>
          <w:sz w:val="24"/>
          <w:szCs w:val="24"/>
        </w:rPr>
        <w:t xml:space="preserve">in </w:t>
      </w:r>
      <w:proofErr w:type="spellStart"/>
      <w:r w:rsidRPr="009D0155">
        <w:rPr>
          <w:i/>
          <w:iCs/>
          <w:sz w:val="24"/>
          <w:szCs w:val="24"/>
        </w:rPr>
        <w:t>silico</w:t>
      </w:r>
      <w:proofErr w:type="spellEnd"/>
      <w:r w:rsidRPr="009D0155">
        <w:rPr>
          <w:sz w:val="24"/>
          <w:szCs w:val="24"/>
        </w:rPr>
        <w:t>-simuleringer (se pkt. 4.2).</w:t>
      </w:r>
    </w:p>
    <w:p w14:paraId="7D36FE8E" w14:textId="77777777" w:rsidR="009260DE" w:rsidRPr="009D0155" w:rsidRDefault="009260DE" w:rsidP="009260DE">
      <w:pPr>
        <w:tabs>
          <w:tab w:val="left" w:pos="851"/>
        </w:tabs>
        <w:ind w:left="851"/>
        <w:rPr>
          <w:sz w:val="24"/>
          <w:szCs w:val="24"/>
        </w:rPr>
      </w:pPr>
    </w:p>
    <w:p w14:paraId="41D07E0E" w14:textId="77777777" w:rsidR="009260DE" w:rsidRPr="009D0155" w:rsidRDefault="009260DE" w:rsidP="009260DE">
      <w:pPr>
        <w:tabs>
          <w:tab w:val="left" w:pos="851"/>
        </w:tabs>
        <w:ind w:left="851" w:hanging="851"/>
        <w:rPr>
          <w:b/>
          <w:sz w:val="24"/>
          <w:szCs w:val="24"/>
        </w:rPr>
      </w:pPr>
      <w:r w:rsidRPr="009D0155">
        <w:rPr>
          <w:b/>
          <w:sz w:val="24"/>
          <w:szCs w:val="24"/>
        </w:rPr>
        <w:t>5.3</w:t>
      </w:r>
      <w:r w:rsidRPr="009D0155">
        <w:rPr>
          <w:b/>
          <w:sz w:val="24"/>
          <w:szCs w:val="24"/>
        </w:rPr>
        <w:tab/>
      </w:r>
      <w:r w:rsidR="00BD7931" w:rsidRPr="009D0155">
        <w:rPr>
          <w:b/>
          <w:sz w:val="24"/>
          <w:szCs w:val="24"/>
        </w:rPr>
        <w:t>Non-</w:t>
      </w:r>
      <w:r w:rsidRPr="009D0155">
        <w:rPr>
          <w:b/>
          <w:sz w:val="24"/>
          <w:szCs w:val="24"/>
        </w:rPr>
        <w:t>kliniske sikkerhedsdata</w:t>
      </w:r>
    </w:p>
    <w:p w14:paraId="48AB1F62" w14:textId="77777777" w:rsidR="00FC32EC" w:rsidRPr="009D0155" w:rsidRDefault="00FC32EC" w:rsidP="00D83412">
      <w:pPr>
        <w:ind w:left="851"/>
        <w:rPr>
          <w:sz w:val="24"/>
          <w:szCs w:val="24"/>
        </w:rPr>
      </w:pPr>
      <w:r w:rsidRPr="009D0155">
        <w:rPr>
          <w:sz w:val="24"/>
          <w:szCs w:val="24"/>
        </w:rPr>
        <w:t xml:space="preserve">I rottefertilitetsforsøg, hvor dyrene fik doser op til ti gange den kliniske dosis, blev der ikke observeret bivirkninger for fertilitet. </w:t>
      </w:r>
    </w:p>
    <w:p w14:paraId="67DFCBD7" w14:textId="77777777" w:rsidR="00FC32EC" w:rsidRPr="009D0155" w:rsidRDefault="00FC32EC" w:rsidP="00D83412">
      <w:pPr>
        <w:ind w:left="851"/>
        <w:rPr>
          <w:sz w:val="24"/>
          <w:szCs w:val="24"/>
        </w:rPr>
      </w:pPr>
    </w:p>
    <w:p w14:paraId="0F9BDDC3" w14:textId="41F42E88" w:rsidR="00FC32EC" w:rsidRPr="009D0155" w:rsidRDefault="00FC32EC" w:rsidP="00D83412">
      <w:pPr>
        <w:ind w:left="851"/>
        <w:rPr>
          <w:sz w:val="24"/>
          <w:szCs w:val="24"/>
        </w:rPr>
      </w:pPr>
      <w:r w:rsidRPr="009D0155">
        <w:rPr>
          <w:sz w:val="24"/>
          <w:szCs w:val="24"/>
        </w:rPr>
        <w:t xml:space="preserve">Under lokale tolerancedyreforsøg blev </w:t>
      </w:r>
      <w:proofErr w:type="spellStart"/>
      <w:r w:rsidR="00BE7117">
        <w:rPr>
          <w:sz w:val="24"/>
          <w:szCs w:val="24"/>
        </w:rPr>
        <w:t>Medirom</w:t>
      </w:r>
      <w:proofErr w:type="spellEnd"/>
      <w:r w:rsidRPr="009D0155">
        <w:rPr>
          <w:sz w:val="24"/>
          <w:szCs w:val="24"/>
        </w:rPr>
        <w:t xml:space="preserve"> tolereret godt efter intranasal administration. </w:t>
      </w:r>
    </w:p>
    <w:p w14:paraId="69972F78" w14:textId="77777777" w:rsidR="00FC32EC" w:rsidRPr="009D0155" w:rsidRDefault="00FC32EC" w:rsidP="00D83412">
      <w:pPr>
        <w:ind w:left="851"/>
        <w:rPr>
          <w:sz w:val="24"/>
          <w:szCs w:val="24"/>
        </w:rPr>
      </w:pPr>
      <w:r w:rsidRPr="009D0155">
        <w:rPr>
          <w:sz w:val="24"/>
          <w:szCs w:val="24"/>
        </w:rPr>
        <w:t xml:space="preserve">Der er ingen andre prækliniske data ud over dem, der allerede er inkluderet i andre afsnit af produktresuméet.af relevans for den ordinerende læge., </w:t>
      </w:r>
    </w:p>
    <w:p w14:paraId="4138054F" w14:textId="77777777" w:rsidR="009260DE" w:rsidRPr="009D0155" w:rsidRDefault="009260DE" w:rsidP="009260DE">
      <w:pPr>
        <w:tabs>
          <w:tab w:val="left" w:pos="851"/>
        </w:tabs>
        <w:ind w:left="851"/>
        <w:rPr>
          <w:sz w:val="24"/>
          <w:szCs w:val="24"/>
        </w:rPr>
      </w:pPr>
    </w:p>
    <w:p w14:paraId="1D306FDC" w14:textId="77777777" w:rsidR="009260DE" w:rsidRPr="009D0155" w:rsidRDefault="009260DE" w:rsidP="009260DE">
      <w:pPr>
        <w:tabs>
          <w:tab w:val="left" w:pos="851"/>
        </w:tabs>
        <w:ind w:left="851"/>
        <w:rPr>
          <w:sz w:val="24"/>
          <w:szCs w:val="24"/>
        </w:rPr>
      </w:pPr>
    </w:p>
    <w:p w14:paraId="663FFB53" w14:textId="77777777" w:rsidR="009260DE" w:rsidRPr="009D0155" w:rsidRDefault="009260DE" w:rsidP="009260DE">
      <w:pPr>
        <w:tabs>
          <w:tab w:val="left" w:pos="851"/>
        </w:tabs>
        <w:ind w:left="851" w:hanging="851"/>
        <w:rPr>
          <w:b/>
          <w:sz w:val="24"/>
          <w:szCs w:val="24"/>
        </w:rPr>
      </w:pPr>
      <w:r w:rsidRPr="009D0155">
        <w:rPr>
          <w:b/>
          <w:sz w:val="24"/>
          <w:szCs w:val="24"/>
        </w:rPr>
        <w:t>6.</w:t>
      </w:r>
      <w:r w:rsidRPr="009D0155">
        <w:rPr>
          <w:b/>
          <w:sz w:val="24"/>
          <w:szCs w:val="24"/>
        </w:rPr>
        <w:tab/>
        <w:t>FARMACEUTISKE OPLYSNINGER</w:t>
      </w:r>
    </w:p>
    <w:p w14:paraId="3F998607" w14:textId="77777777" w:rsidR="009260DE" w:rsidRPr="009D0155" w:rsidRDefault="009260DE" w:rsidP="009260DE">
      <w:pPr>
        <w:tabs>
          <w:tab w:val="left" w:pos="851"/>
        </w:tabs>
        <w:ind w:left="851"/>
        <w:rPr>
          <w:sz w:val="24"/>
          <w:szCs w:val="24"/>
        </w:rPr>
      </w:pPr>
    </w:p>
    <w:p w14:paraId="7FB7A370" w14:textId="77777777" w:rsidR="009260DE" w:rsidRPr="009D0155" w:rsidRDefault="009260DE" w:rsidP="009260DE">
      <w:pPr>
        <w:tabs>
          <w:tab w:val="left" w:pos="851"/>
        </w:tabs>
        <w:ind w:left="851" w:hanging="851"/>
        <w:rPr>
          <w:b/>
          <w:sz w:val="24"/>
          <w:szCs w:val="24"/>
        </w:rPr>
      </w:pPr>
      <w:r w:rsidRPr="009D0155">
        <w:rPr>
          <w:b/>
          <w:sz w:val="24"/>
          <w:szCs w:val="24"/>
        </w:rPr>
        <w:t>6.1</w:t>
      </w:r>
      <w:r w:rsidRPr="009D0155">
        <w:rPr>
          <w:b/>
          <w:sz w:val="24"/>
          <w:szCs w:val="24"/>
        </w:rPr>
        <w:tab/>
        <w:t>Hjælpestoffer</w:t>
      </w:r>
    </w:p>
    <w:p w14:paraId="0F0DB5DE" w14:textId="77777777" w:rsidR="00FC32EC" w:rsidRPr="009D0155" w:rsidRDefault="00FC32EC" w:rsidP="00D83412">
      <w:pPr>
        <w:ind w:left="851"/>
        <w:rPr>
          <w:sz w:val="24"/>
          <w:szCs w:val="24"/>
        </w:rPr>
      </w:pPr>
      <w:r w:rsidRPr="009D0155">
        <w:rPr>
          <w:sz w:val="24"/>
          <w:szCs w:val="24"/>
        </w:rPr>
        <w:t>Vand</w:t>
      </w:r>
    </w:p>
    <w:p w14:paraId="1C06C4BE" w14:textId="77777777" w:rsidR="00FC32EC" w:rsidRPr="009D0155" w:rsidRDefault="00FC32EC" w:rsidP="00D83412">
      <w:pPr>
        <w:ind w:left="851"/>
        <w:rPr>
          <w:sz w:val="24"/>
          <w:szCs w:val="24"/>
        </w:rPr>
      </w:pPr>
      <w:r w:rsidRPr="009D0155">
        <w:rPr>
          <w:sz w:val="24"/>
          <w:szCs w:val="24"/>
        </w:rPr>
        <w:t xml:space="preserve">Propylenglycol </w:t>
      </w:r>
    </w:p>
    <w:p w14:paraId="4AB65E40" w14:textId="77777777" w:rsidR="00FC32EC" w:rsidRPr="009D0155" w:rsidRDefault="00FC32EC" w:rsidP="00D83412">
      <w:pPr>
        <w:ind w:left="851"/>
        <w:rPr>
          <w:sz w:val="24"/>
          <w:szCs w:val="24"/>
        </w:rPr>
      </w:pPr>
      <w:proofErr w:type="spellStart"/>
      <w:r w:rsidRPr="009D0155">
        <w:rPr>
          <w:sz w:val="24"/>
          <w:szCs w:val="24"/>
        </w:rPr>
        <w:t>Ethanol</w:t>
      </w:r>
      <w:proofErr w:type="spellEnd"/>
    </w:p>
    <w:p w14:paraId="59EB8BEB" w14:textId="77777777" w:rsidR="009260DE" w:rsidRPr="009D0155" w:rsidRDefault="009260DE" w:rsidP="009260DE">
      <w:pPr>
        <w:tabs>
          <w:tab w:val="left" w:pos="851"/>
        </w:tabs>
        <w:ind w:left="851"/>
        <w:rPr>
          <w:sz w:val="24"/>
          <w:szCs w:val="24"/>
        </w:rPr>
      </w:pPr>
    </w:p>
    <w:p w14:paraId="3C638A24" w14:textId="77777777" w:rsidR="009260DE" w:rsidRPr="009D0155" w:rsidRDefault="009260DE" w:rsidP="009260DE">
      <w:pPr>
        <w:tabs>
          <w:tab w:val="left" w:pos="851"/>
        </w:tabs>
        <w:ind w:left="851" w:hanging="851"/>
        <w:rPr>
          <w:b/>
          <w:sz w:val="24"/>
          <w:szCs w:val="24"/>
        </w:rPr>
      </w:pPr>
      <w:r w:rsidRPr="009D0155">
        <w:rPr>
          <w:b/>
          <w:sz w:val="24"/>
          <w:szCs w:val="24"/>
        </w:rPr>
        <w:t>6.2</w:t>
      </w:r>
      <w:r w:rsidRPr="009D0155">
        <w:rPr>
          <w:b/>
          <w:sz w:val="24"/>
          <w:szCs w:val="24"/>
        </w:rPr>
        <w:tab/>
        <w:t>Uforligeligheder</w:t>
      </w:r>
    </w:p>
    <w:p w14:paraId="1B6C3410" w14:textId="77777777" w:rsidR="00FC32EC" w:rsidRPr="009D0155" w:rsidRDefault="00FC32EC" w:rsidP="00D83412">
      <w:pPr>
        <w:ind w:left="851"/>
        <w:rPr>
          <w:sz w:val="24"/>
          <w:szCs w:val="24"/>
        </w:rPr>
      </w:pPr>
      <w:r w:rsidRPr="009D0155">
        <w:rPr>
          <w:sz w:val="24"/>
          <w:szCs w:val="24"/>
        </w:rPr>
        <w:t>Ikke relevant</w:t>
      </w:r>
    </w:p>
    <w:p w14:paraId="037B2422" w14:textId="77777777" w:rsidR="009260DE" w:rsidRPr="009D0155" w:rsidRDefault="009260DE" w:rsidP="009260DE">
      <w:pPr>
        <w:tabs>
          <w:tab w:val="left" w:pos="851"/>
        </w:tabs>
        <w:ind w:left="851"/>
        <w:rPr>
          <w:sz w:val="24"/>
          <w:szCs w:val="24"/>
        </w:rPr>
      </w:pPr>
    </w:p>
    <w:p w14:paraId="2625DC3C" w14:textId="77777777" w:rsidR="009260DE" w:rsidRPr="009D0155" w:rsidRDefault="009260DE" w:rsidP="009260DE">
      <w:pPr>
        <w:tabs>
          <w:tab w:val="left" w:pos="851"/>
        </w:tabs>
        <w:ind w:left="851" w:hanging="851"/>
        <w:rPr>
          <w:b/>
          <w:sz w:val="24"/>
          <w:szCs w:val="24"/>
        </w:rPr>
      </w:pPr>
      <w:r w:rsidRPr="009D0155">
        <w:rPr>
          <w:b/>
          <w:sz w:val="24"/>
          <w:szCs w:val="24"/>
        </w:rPr>
        <w:t>6.3</w:t>
      </w:r>
      <w:r w:rsidRPr="009D0155">
        <w:rPr>
          <w:b/>
          <w:sz w:val="24"/>
          <w:szCs w:val="24"/>
        </w:rPr>
        <w:tab/>
        <w:t>Opbevaringstid</w:t>
      </w:r>
    </w:p>
    <w:p w14:paraId="14E9BE94" w14:textId="77777777" w:rsidR="00FC32EC" w:rsidRPr="009D0155" w:rsidRDefault="00FC32EC" w:rsidP="00D83412">
      <w:pPr>
        <w:ind w:left="851"/>
        <w:rPr>
          <w:sz w:val="24"/>
          <w:szCs w:val="24"/>
          <w:lang w:eastAsia="nl-NL"/>
        </w:rPr>
      </w:pPr>
      <w:r w:rsidRPr="009D0155">
        <w:rPr>
          <w:sz w:val="24"/>
          <w:szCs w:val="24"/>
        </w:rPr>
        <w:t>2 år</w:t>
      </w:r>
    </w:p>
    <w:p w14:paraId="35C8F393" w14:textId="77777777" w:rsidR="009260DE" w:rsidRPr="009D0155" w:rsidRDefault="009260DE" w:rsidP="009260DE">
      <w:pPr>
        <w:tabs>
          <w:tab w:val="left" w:pos="851"/>
        </w:tabs>
        <w:ind w:left="851"/>
        <w:rPr>
          <w:sz w:val="24"/>
          <w:szCs w:val="24"/>
        </w:rPr>
      </w:pPr>
    </w:p>
    <w:p w14:paraId="79353101" w14:textId="77777777" w:rsidR="009260DE" w:rsidRPr="009D0155" w:rsidRDefault="009260DE" w:rsidP="009260DE">
      <w:pPr>
        <w:tabs>
          <w:tab w:val="left" w:pos="851"/>
        </w:tabs>
        <w:ind w:left="851" w:hanging="851"/>
        <w:rPr>
          <w:b/>
          <w:sz w:val="24"/>
          <w:szCs w:val="24"/>
        </w:rPr>
      </w:pPr>
      <w:r w:rsidRPr="009D0155">
        <w:rPr>
          <w:b/>
          <w:sz w:val="24"/>
          <w:szCs w:val="24"/>
        </w:rPr>
        <w:t>6.4</w:t>
      </w:r>
      <w:r w:rsidRPr="009D0155">
        <w:rPr>
          <w:b/>
          <w:sz w:val="24"/>
          <w:szCs w:val="24"/>
        </w:rPr>
        <w:tab/>
        <w:t>Særlige opbevaringsforhold</w:t>
      </w:r>
    </w:p>
    <w:p w14:paraId="0D6D746B" w14:textId="77777777" w:rsidR="00FC32EC" w:rsidRPr="009D0155" w:rsidRDefault="00FC32EC" w:rsidP="00D83412">
      <w:pPr>
        <w:ind w:left="851"/>
        <w:rPr>
          <w:sz w:val="24"/>
          <w:szCs w:val="24"/>
          <w:lang w:eastAsia="nl-NL"/>
        </w:rPr>
      </w:pPr>
      <w:r w:rsidRPr="009D0155">
        <w:rPr>
          <w:sz w:val="24"/>
          <w:szCs w:val="24"/>
        </w:rPr>
        <w:t>Dette lægemiddel kræver ingen særlige forholdsregler vedrørende opbevaringen.</w:t>
      </w:r>
    </w:p>
    <w:p w14:paraId="61B750D6" w14:textId="77777777" w:rsidR="009260DE" w:rsidRPr="009D0155" w:rsidRDefault="009260DE" w:rsidP="009260DE">
      <w:pPr>
        <w:tabs>
          <w:tab w:val="left" w:pos="851"/>
        </w:tabs>
        <w:ind w:left="851"/>
        <w:rPr>
          <w:sz w:val="24"/>
          <w:szCs w:val="24"/>
        </w:rPr>
      </w:pPr>
    </w:p>
    <w:p w14:paraId="50A4FC68" w14:textId="77777777" w:rsidR="009260DE" w:rsidRPr="009D0155" w:rsidRDefault="009260DE" w:rsidP="009260DE">
      <w:pPr>
        <w:tabs>
          <w:tab w:val="left" w:pos="851"/>
        </w:tabs>
        <w:ind w:left="851" w:hanging="851"/>
        <w:rPr>
          <w:b/>
          <w:sz w:val="24"/>
          <w:szCs w:val="24"/>
        </w:rPr>
      </w:pPr>
      <w:r w:rsidRPr="009D0155">
        <w:rPr>
          <w:b/>
          <w:sz w:val="24"/>
          <w:szCs w:val="24"/>
        </w:rPr>
        <w:t>6.5</w:t>
      </w:r>
      <w:r w:rsidRPr="009D0155">
        <w:rPr>
          <w:b/>
          <w:sz w:val="24"/>
          <w:szCs w:val="24"/>
        </w:rPr>
        <w:tab/>
        <w:t>Emballagetype og pakningsstørrelser</w:t>
      </w:r>
    </w:p>
    <w:p w14:paraId="4B9F5960" w14:textId="77777777" w:rsidR="00FC32EC" w:rsidRPr="009D0155" w:rsidRDefault="00FC32EC" w:rsidP="00D83412">
      <w:pPr>
        <w:ind w:left="851"/>
        <w:rPr>
          <w:sz w:val="24"/>
          <w:szCs w:val="24"/>
          <w:lang w:eastAsia="nl-NL"/>
        </w:rPr>
      </w:pPr>
      <w:r w:rsidRPr="009D0155">
        <w:rPr>
          <w:sz w:val="24"/>
          <w:szCs w:val="24"/>
        </w:rPr>
        <w:t>Enkeltdosisbeholder bestående af et klart hætteglas af glas med gummiprop, integreret i en spraybeholder af polypropylen pakket i en blister.</w:t>
      </w:r>
    </w:p>
    <w:p w14:paraId="3B348966" w14:textId="77777777" w:rsidR="00FC32EC" w:rsidRPr="009D0155" w:rsidRDefault="00FC32EC" w:rsidP="00D83412">
      <w:pPr>
        <w:ind w:left="851"/>
        <w:rPr>
          <w:sz w:val="24"/>
          <w:szCs w:val="24"/>
        </w:rPr>
      </w:pPr>
      <w:r w:rsidRPr="009D0155">
        <w:rPr>
          <w:sz w:val="24"/>
          <w:szCs w:val="24"/>
        </w:rPr>
        <w:t>Pakkestørrelse: 4 enkeltdosisbeholdere på 2,5 mg eller 4 enkeltdosisbeholdere på 3,75 mg eller 4 enkeltdosisbeholdere på 5 mg.</w:t>
      </w:r>
    </w:p>
    <w:p w14:paraId="4F4CA2A9" w14:textId="77777777" w:rsidR="009260DE" w:rsidRPr="009D0155" w:rsidRDefault="009260DE" w:rsidP="009260DE">
      <w:pPr>
        <w:tabs>
          <w:tab w:val="left" w:pos="851"/>
        </w:tabs>
        <w:ind w:left="851"/>
        <w:rPr>
          <w:sz w:val="24"/>
          <w:szCs w:val="24"/>
        </w:rPr>
      </w:pPr>
    </w:p>
    <w:p w14:paraId="4A08FFBE" w14:textId="77777777" w:rsidR="009260DE" w:rsidRPr="009D0155" w:rsidRDefault="009260DE" w:rsidP="009260DE">
      <w:pPr>
        <w:tabs>
          <w:tab w:val="left" w:pos="851"/>
        </w:tabs>
        <w:ind w:left="851" w:hanging="851"/>
        <w:rPr>
          <w:b/>
          <w:sz w:val="24"/>
          <w:szCs w:val="24"/>
        </w:rPr>
      </w:pPr>
      <w:r w:rsidRPr="009D0155">
        <w:rPr>
          <w:b/>
          <w:sz w:val="24"/>
          <w:szCs w:val="24"/>
        </w:rPr>
        <w:t>6.6</w:t>
      </w:r>
      <w:r w:rsidRPr="009D0155">
        <w:rPr>
          <w:b/>
          <w:sz w:val="24"/>
          <w:szCs w:val="24"/>
        </w:rPr>
        <w:tab/>
        <w:t xml:space="preserve">Regler for </w:t>
      </w:r>
      <w:r w:rsidR="00BD7931" w:rsidRPr="009D0155">
        <w:rPr>
          <w:b/>
          <w:sz w:val="24"/>
          <w:szCs w:val="24"/>
        </w:rPr>
        <w:t>bortskaffelse</w:t>
      </w:r>
      <w:r w:rsidRPr="009D0155">
        <w:rPr>
          <w:b/>
          <w:sz w:val="24"/>
          <w:szCs w:val="24"/>
        </w:rPr>
        <w:t xml:space="preserve"> og anden håndtering</w:t>
      </w:r>
    </w:p>
    <w:p w14:paraId="21DEA2B6" w14:textId="77777777" w:rsidR="00FC32EC" w:rsidRPr="009D0155" w:rsidRDefault="00FC32EC" w:rsidP="00D83412">
      <w:pPr>
        <w:ind w:left="851"/>
        <w:rPr>
          <w:sz w:val="24"/>
          <w:szCs w:val="24"/>
          <w:lang w:eastAsia="nl-NL"/>
        </w:rPr>
      </w:pPr>
      <w:r w:rsidRPr="009D0155">
        <w:rPr>
          <w:sz w:val="24"/>
          <w:szCs w:val="24"/>
        </w:rPr>
        <w:t xml:space="preserve">Hver enkeltdosisbeholder indeholder kun en dosis. Enkeltdosisbeholderen skal ikke testes før brug. Epileptikere bør altid have mindst 2 enkeltdosisbeholdere til rådighed. </w:t>
      </w:r>
    </w:p>
    <w:p w14:paraId="7514E7E5" w14:textId="77777777" w:rsidR="00FC32EC" w:rsidRPr="009D0155" w:rsidRDefault="00FC32EC" w:rsidP="00D83412">
      <w:pPr>
        <w:ind w:left="851"/>
        <w:rPr>
          <w:sz w:val="24"/>
          <w:szCs w:val="24"/>
          <w:lang w:val="nl-NL"/>
        </w:rPr>
      </w:pPr>
      <w:r w:rsidRPr="009D0155">
        <w:rPr>
          <w:sz w:val="24"/>
          <w:szCs w:val="24"/>
        </w:rPr>
        <w:t xml:space="preserve">Ikke anvendt lægemiddel eller affaldsmateriale bør bortskaffes i overensstemmelse med lokale krav eller returneres til apoteket. </w:t>
      </w:r>
    </w:p>
    <w:p w14:paraId="3E113CD8" w14:textId="77777777" w:rsidR="00FC32EC" w:rsidRPr="009D0155" w:rsidRDefault="00FC32EC" w:rsidP="00D83412">
      <w:pPr>
        <w:ind w:left="851"/>
        <w:rPr>
          <w:sz w:val="24"/>
          <w:szCs w:val="24"/>
        </w:rPr>
      </w:pPr>
    </w:p>
    <w:p w14:paraId="3657FFAA" w14:textId="77777777" w:rsidR="00FC32EC" w:rsidRPr="009D0155" w:rsidRDefault="00FC32EC" w:rsidP="00D83412">
      <w:pPr>
        <w:ind w:left="851"/>
        <w:rPr>
          <w:sz w:val="24"/>
          <w:szCs w:val="24"/>
        </w:rPr>
      </w:pPr>
      <w:r w:rsidRPr="009D0155">
        <w:rPr>
          <w:sz w:val="24"/>
          <w:szCs w:val="24"/>
        </w:rPr>
        <w:t>Administration</w:t>
      </w:r>
    </w:p>
    <w:p w14:paraId="68F7E463"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Fjern enkeltdosisbeholderen fra blisterpakken.</w:t>
      </w:r>
    </w:p>
    <w:p w14:paraId="09019CAF"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Hold enkeltdosisbeholderen ved at placere din tommelfinger på apparatets stempel og din pege- og langfinger på begge sider af dysen</w:t>
      </w:r>
    </w:p>
    <w:p w14:paraId="1DE49C93"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Indsæt dysen i et næsebor, indtil dine fingre på fingergrebet rører næsen. Hos små børn passer dysen muligvis ikke i næseboret. I det tilfælde placeres enden af dysen ved næseborets åbning – på grund af den kugleformede top, vil der altid trænge lidt ind i næseboret – og sørg for, at dysen lukker næseboret før administration</w:t>
      </w:r>
    </w:p>
    <w:p w14:paraId="66577350"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Tryk kraftigt på stemplet med din tommelfinger</w:t>
      </w:r>
    </w:p>
    <w:p w14:paraId="43EFC1F1"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Fjern dysen fra næsen</w:t>
      </w:r>
    </w:p>
    <w:p w14:paraId="5FF01A62" w14:textId="77777777" w:rsidR="00FC32EC" w:rsidRPr="00F70B65" w:rsidRDefault="00FC32EC" w:rsidP="00F70B65">
      <w:pPr>
        <w:pStyle w:val="Listeafsnit"/>
        <w:numPr>
          <w:ilvl w:val="0"/>
          <w:numId w:val="39"/>
        </w:numPr>
        <w:ind w:left="1276" w:hanging="425"/>
        <w:rPr>
          <w:rFonts w:ascii="Times New Roman" w:hAnsi="Times New Roman" w:cs="Times New Roman"/>
        </w:rPr>
      </w:pPr>
      <w:r w:rsidRPr="00F70B65">
        <w:rPr>
          <w:rFonts w:ascii="Times New Roman" w:hAnsi="Times New Roman" w:cs="Times New Roman"/>
        </w:rPr>
        <w:t>Ved behandling af epileptiske anfald skal patienten om muligt placeres i aflåst sideleje, på siden med åben mund og hovedet bagover.</w:t>
      </w:r>
    </w:p>
    <w:p w14:paraId="193107A8" w14:textId="77777777" w:rsidR="00FC32EC" w:rsidRPr="00F70B65" w:rsidRDefault="00FC32EC" w:rsidP="00F70B65">
      <w:pPr>
        <w:pStyle w:val="Listeafsnit"/>
        <w:numPr>
          <w:ilvl w:val="0"/>
          <w:numId w:val="39"/>
        </w:numPr>
        <w:ind w:left="1276" w:hanging="425"/>
        <w:rPr>
          <w:rFonts w:ascii="Times New Roman" w:hAnsi="Times New Roman" w:cs="Times New Roman"/>
          <w:u w:val="single"/>
        </w:rPr>
      </w:pPr>
      <w:r w:rsidRPr="00F70B65">
        <w:rPr>
          <w:rFonts w:ascii="Times New Roman" w:hAnsi="Times New Roman" w:cs="Times New Roman"/>
        </w:rPr>
        <w:t xml:space="preserve">Hvis det er påkrævet, kan der gives en efterfølgende dosis intranasalt i modsatte næsebor end den første dosis, mindst 10 minutter efter den indledende dosis (fx hvis anfaldet ikke stoppede efter første dosis), men kun efter rådføring med en læge. </w:t>
      </w:r>
      <w:r w:rsidRPr="00F70B65">
        <w:rPr>
          <w:rFonts w:ascii="Times New Roman" w:hAnsi="Times New Roman" w:cs="Times New Roman"/>
          <w:u w:val="single"/>
        </w:rPr>
        <w:t xml:space="preserve">Denne efterfølgende dosis må ikke gives, hvis patienten har vejrtrækningsbesvær, eller patienten virker meget sløv på en måde, som ikke er karakteristisk for patienten under et anfald. I disse tilfælde skal der søges lægehjælp med det samme. </w:t>
      </w:r>
    </w:p>
    <w:p w14:paraId="1F8529EB" w14:textId="77777777" w:rsidR="009260DE" w:rsidRPr="009D0155" w:rsidRDefault="009260DE" w:rsidP="000730CA">
      <w:pPr>
        <w:tabs>
          <w:tab w:val="left" w:pos="851"/>
        </w:tabs>
        <w:ind w:left="851"/>
        <w:rPr>
          <w:sz w:val="24"/>
          <w:szCs w:val="24"/>
        </w:rPr>
      </w:pPr>
    </w:p>
    <w:p w14:paraId="52A5EB7F" w14:textId="77777777" w:rsidR="009260DE" w:rsidRPr="009D0155" w:rsidRDefault="009260DE" w:rsidP="009260DE">
      <w:pPr>
        <w:tabs>
          <w:tab w:val="left" w:pos="851"/>
        </w:tabs>
        <w:ind w:left="851" w:hanging="851"/>
        <w:rPr>
          <w:b/>
          <w:sz w:val="24"/>
          <w:szCs w:val="24"/>
        </w:rPr>
      </w:pPr>
      <w:r w:rsidRPr="009D0155">
        <w:rPr>
          <w:b/>
          <w:sz w:val="24"/>
          <w:szCs w:val="24"/>
        </w:rPr>
        <w:t>7.</w:t>
      </w:r>
      <w:r w:rsidRPr="009D0155">
        <w:rPr>
          <w:b/>
          <w:sz w:val="24"/>
          <w:szCs w:val="24"/>
        </w:rPr>
        <w:tab/>
        <w:t>INDEHAVER AF MARKEDSFØRINGSTILLADELSEN</w:t>
      </w:r>
    </w:p>
    <w:p w14:paraId="1552CC24" w14:textId="77777777" w:rsidR="00FC32EC" w:rsidRPr="005D0E5A" w:rsidRDefault="00FC32EC" w:rsidP="00D83412">
      <w:pPr>
        <w:ind w:left="851"/>
        <w:rPr>
          <w:sz w:val="24"/>
          <w:szCs w:val="24"/>
        </w:rPr>
      </w:pPr>
      <w:proofErr w:type="spellStart"/>
      <w:r w:rsidRPr="005D0E5A">
        <w:rPr>
          <w:sz w:val="24"/>
          <w:szCs w:val="24"/>
        </w:rPr>
        <w:t>Medir</w:t>
      </w:r>
      <w:proofErr w:type="spellEnd"/>
      <w:r w:rsidRPr="005D0E5A">
        <w:rPr>
          <w:sz w:val="24"/>
          <w:szCs w:val="24"/>
        </w:rPr>
        <w:t xml:space="preserve"> Europe BV</w:t>
      </w:r>
    </w:p>
    <w:p w14:paraId="246E3036" w14:textId="77777777" w:rsidR="00FC32EC" w:rsidRPr="005D0E5A" w:rsidRDefault="00FC32EC" w:rsidP="00D83412">
      <w:pPr>
        <w:ind w:left="851"/>
        <w:rPr>
          <w:sz w:val="24"/>
          <w:szCs w:val="24"/>
        </w:rPr>
      </w:pPr>
      <w:proofErr w:type="spellStart"/>
      <w:r w:rsidRPr="005D0E5A">
        <w:rPr>
          <w:sz w:val="24"/>
          <w:szCs w:val="24"/>
        </w:rPr>
        <w:t>Dorpsstraat</w:t>
      </w:r>
      <w:proofErr w:type="spellEnd"/>
      <w:r w:rsidRPr="005D0E5A">
        <w:rPr>
          <w:sz w:val="24"/>
          <w:szCs w:val="24"/>
        </w:rPr>
        <w:t xml:space="preserve"> 5</w:t>
      </w:r>
    </w:p>
    <w:p w14:paraId="323C5043" w14:textId="77777777" w:rsidR="00FC32EC" w:rsidRPr="005D0E5A" w:rsidRDefault="00FC32EC" w:rsidP="00D83412">
      <w:pPr>
        <w:ind w:left="851"/>
        <w:rPr>
          <w:sz w:val="24"/>
          <w:szCs w:val="24"/>
        </w:rPr>
      </w:pPr>
      <w:r w:rsidRPr="005D0E5A">
        <w:rPr>
          <w:sz w:val="24"/>
          <w:szCs w:val="24"/>
        </w:rPr>
        <w:t>3941 JJ Doorn</w:t>
      </w:r>
    </w:p>
    <w:p w14:paraId="4EDFE4DB" w14:textId="77777777" w:rsidR="00FC32EC" w:rsidRPr="009D0155" w:rsidRDefault="00FC32EC" w:rsidP="00D83412">
      <w:pPr>
        <w:ind w:left="851"/>
        <w:rPr>
          <w:sz w:val="24"/>
          <w:szCs w:val="24"/>
        </w:rPr>
      </w:pPr>
      <w:r w:rsidRPr="009D0155">
        <w:rPr>
          <w:sz w:val="24"/>
          <w:szCs w:val="24"/>
        </w:rPr>
        <w:t>Holland</w:t>
      </w:r>
    </w:p>
    <w:p w14:paraId="67DD94E8" w14:textId="77777777" w:rsidR="009260DE" w:rsidRPr="009D0155" w:rsidRDefault="009260DE" w:rsidP="00D83412">
      <w:pPr>
        <w:ind w:left="851"/>
        <w:rPr>
          <w:sz w:val="24"/>
          <w:szCs w:val="24"/>
        </w:rPr>
      </w:pPr>
    </w:p>
    <w:p w14:paraId="478A9D6E" w14:textId="77777777" w:rsidR="009260DE" w:rsidRPr="009D0155" w:rsidRDefault="009260DE" w:rsidP="009260DE">
      <w:pPr>
        <w:tabs>
          <w:tab w:val="left" w:pos="851"/>
        </w:tabs>
        <w:ind w:left="851" w:hanging="851"/>
        <w:rPr>
          <w:b/>
          <w:sz w:val="24"/>
          <w:szCs w:val="24"/>
        </w:rPr>
      </w:pPr>
      <w:r w:rsidRPr="009D0155">
        <w:rPr>
          <w:b/>
          <w:sz w:val="24"/>
          <w:szCs w:val="24"/>
        </w:rPr>
        <w:t>8.</w:t>
      </w:r>
      <w:r w:rsidRPr="009D0155">
        <w:rPr>
          <w:b/>
          <w:sz w:val="24"/>
          <w:szCs w:val="24"/>
        </w:rPr>
        <w:tab/>
        <w:t>MARKEDSFØRINGSTILLADELSESNUMMER (</w:t>
      </w:r>
      <w:r w:rsidR="00BF6243" w:rsidRPr="009D0155">
        <w:rPr>
          <w:b/>
          <w:sz w:val="24"/>
          <w:szCs w:val="24"/>
        </w:rPr>
        <w:t>-</w:t>
      </w:r>
      <w:r w:rsidRPr="009D0155">
        <w:rPr>
          <w:b/>
          <w:sz w:val="24"/>
          <w:szCs w:val="24"/>
        </w:rPr>
        <w:t>NUMRE)</w:t>
      </w:r>
    </w:p>
    <w:p w14:paraId="150EC19B" w14:textId="193A19BE" w:rsidR="00FC32EC" w:rsidRPr="009D0155" w:rsidRDefault="00FC32EC" w:rsidP="00D83412">
      <w:pPr>
        <w:tabs>
          <w:tab w:val="left" w:pos="1985"/>
        </w:tabs>
        <w:ind w:left="851"/>
        <w:rPr>
          <w:sz w:val="24"/>
          <w:szCs w:val="24"/>
        </w:rPr>
      </w:pPr>
      <w:r w:rsidRPr="009D0155">
        <w:rPr>
          <w:sz w:val="24"/>
          <w:szCs w:val="24"/>
        </w:rPr>
        <w:t>2,5 mg:</w:t>
      </w:r>
      <w:r w:rsidR="00F26163" w:rsidRPr="009D0155">
        <w:rPr>
          <w:sz w:val="24"/>
          <w:szCs w:val="24"/>
        </w:rPr>
        <w:t xml:space="preserve"> </w:t>
      </w:r>
      <w:r w:rsidR="00D83412" w:rsidRPr="009D0155">
        <w:rPr>
          <w:sz w:val="24"/>
          <w:szCs w:val="24"/>
        </w:rPr>
        <w:tab/>
      </w:r>
      <w:r w:rsidR="00F26163" w:rsidRPr="009D0155">
        <w:rPr>
          <w:sz w:val="24"/>
          <w:szCs w:val="24"/>
        </w:rPr>
        <w:t>63978</w:t>
      </w:r>
    </w:p>
    <w:p w14:paraId="3A0DE075" w14:textId="64FA57C0" w:rsidR="00FC32EC" w:rsidRPr="009D0155" w:rsidRDefault="00FC32EC" w:rsidP="00D83412">
      <w:pPr>
        <w:tabs>
          <w:tab w:val="left" w:pos="1985"/>
        </w:tabs>
        <w:ind w:left="851"/>
        <w:rPr>
          <w:sz w:val="24"/>
          <w:szCs w:val="24"/>
        </w:rPr>
      </w:pPr>
      <w:r w:rsidRPr="009D0155">
        <w:rPr>
          <w:sz w:val="24"/>
          <w:szCs w:val="24"/>
        </w:rPr>
        <w:t>3,75 mg:</w:t>
      </w:r>
      <w:r w:rsidR="00F26163" w:rsidRPr="009D0155">
        <w:rPr>
          <w:sz w:val="24"/>
          <w:szCs w:val="24"/>
        </w:rPr>
        <w:t xml:space="preserve"> </w:t>
      </w:r>
      <w:r w:rsidR="00D83412" w:rsidRPr="009D0155">
        <w:rPr>
          <w:sz w:val="24"/>
          <w:szCs w:val="24"/>
        </w:rPr>
        <w:tab/>
      </w:r>
      <w:r w:rsidR="00F26163" w:rsidRPr="009D0155">
        <w:rPr>
          <w:sz w:val="24"/>
          <w:szCs w:val="24"/>
        </w:rPr>
        <w:t>63979</w:t>
      </w:r>
    </w:p>
    <w:p w14:paraId="2F1DF4A0" w14:textId="730556C2" w:rsidR="00FC32EC" w:rsidRPr="009D0155" w:rsidRDefault="00FC32EC" w:rsidP="00D83412">
      <w:pPr>
        <w:tabs>
          <w:tab w:val="left" w:pos="1985"/>
        </w:tabs>
        <w:ind w:left="851"/>
        <w:rPr>
          <w:b/>
          <w:sz w:val="24"/>
          <w:szCs w:val="24"/>
          <w:lang w:eastAsia="da-DK"/>
        </w:rPr>
      </w:pPr>
      <w:r w:rsidRPr="009D0155">
        <w:rPr>
          <w:sz w:val="24"/>
          <w:szCs w:val="24"/>
        </w:rPr>
        <w:t>5 mg:</w:t>
      </w:r>
      <w:r w:rsidR="00F26163" w:rsidRPr="009D0155">
        <w:rPr>
          <w:sz w:val="24"/>
          <w:szCs w:val="24"/>
        </w:rPr>
        <w:t xml:space="preserve"> </w:t>
      </w:r>
      <w:r w:rsidR="00D83412" w:rsidRPr="009D0155">
        <w:rPr>
          <w:sz w:val="24"/>
          <w:szCs w:val="24"/>
        </w:rPr>
        <w:tab/>
      </w:r>
      <w:r w:rsidR="00F26163" w:rsidRPr="009D0155">
        <w:rPr>
          <w:sz w:val="24"/>
          <w:szCs w:val="24"/>
        </w:rPr>
        <w:t>63980</w:t>
      </w:r>
    </w:p>
    <w:p w14:paraId="7709CF4B" w14:textId="77777777" w:rsidR="009260DE" w:rsidRPr="009D0155" w:rsidRDefault="009260DE" w:rsidP="009260DE">
      <w:pPr>
        <w:tabs>
          <w:tab w:val="left" w:pos="851"/>
        </w:tabs>
        <w:ind w:left="851"/>
        <w:jc w:val="both"/>
        <w:rPr>
          <w:sz w:val="24"/>
          <w:szCs w:val="24"/>
        </w:rPr>
      </w:pPr>
    </w:p>
    <w:p w14:paraId="4E62650F" w14:textId="77777777" w:rsidR="009260DE" w:rsidRPr="009D0155" w:rsidRDefault="009260DE" w:rsidP="009260DE">
      <w:pPr>
        <w:tabs>
          <w:tab w:val="left" w:pos="851"/>
        </w:tabs>
        <w:ind w:left="851" w:hanging="851"/>
        <w:rPr>
          <w:b/>
          <w:sz w:val="24"/>
          <w:szCs w:val="24"/>
        </w:rPr>
      </w:pPr>
      <w:r w:rsidRPr="009D0155">
        <w:rPr>
          <w:b/>
          <w:sz w:val="24"/>
          <w:szCs w:val="24"/>
        </w:rPr>
        <w:t>9.</w:t>
      </w:r>
      <w:r w:rsidRPr="009D0155">
        <w:rPr>
          <w:b/>
          <w:sz w:val="24"/>
          <w:szCs w:val="24"/>
        </w:rPr>
        <w:tab/>
        <w:t>DATO FOR FØRSTE MARKEDSFØRINGSTILLADELSE</w:t>
      </w:r>
    </w:p>
    <w:p w14:paraId="2FCBD12F" w14:textId="0CD95F5D" w:rsidR="009260DE" w:rsidRPr="009D0155" w:rsidRDefault="00044474" w:rsidP="009260DE">
      <w:pPr>
        <w:tabs>
          <w:tab w:val="left" w:pos="851"/>
        </w:tabs>
        <w:ind w:left="851"/>
        <w:rPr>
          <w:sz w:val="24"/>
          <w:szCs w:val="24"/>
        </w:rPr>
      </w:pPr>
      <w:r>
        <w:rPr>
          <w:sz w:val="24"/>
          <w:szCs w:val="24"/>
        </w:rPr>
        <w:t>2. oktober 2024</w:t>
      </w:r>
    </w:p>
    <w:p w14:paraId="3924BEA8" w14:textId="77777777" w:rsidR="009260DE" w:rsidRPr="009D0155" w:rsidRDefault="009260DE" w:rsidP="009260DE">
      <w:pPr>
        <w:tabs>
          <w:tab w:val="left" w:pos="851"/>
        </w:tabs>
        <w:ind w:left="851"/>
        <w:rPr>
          <w:sz w:val="24"/>
          <w:szCs w:val="24"/>
        </w:rPr>
      </w:pPr>
    </w:p>
    <w:p w14:paraId="51B310EA" w14:textId="77777777" w:rsidR="009260DE" w:rsidRPr="009D0155" w:rsidRDefault="009260DE" w:rsidP="009260DE">
      <w:pPr>
        <w:tabs>
          <w:tab w:val="left" w:pos="851"/>
        </w:tabs>
        <w:ind w:left="851" w:hanging="851"/>
        <w:rPr>
          <w:b/>
          <w:sz w:val="24"/>
          <w:szCs w:val="24"/>
        </w:rPr>
      </w:pPr>
      <w:r w:rsidRPr="009D0155">
        <w:rPr>
          <w:b/>
          <w:sz w:val="24"/>
          <w:szCs w:val="24"/>
        </w:rPr>
        <w:t>10.</w:t>
      </w:r>
      <w:r w:rsidRPr="009D0155">
        <w:rPr>
          <w:b/>
          <w:sz w:val="24"/>
          <w:szCs w:val="24"/>
        </w:rPr>
        <w:tab/>
        <w:t>DATO FOR ÆNDRING AF TEKSTEN</w:t>
      </w:r>
    </w:p>
    <w:p w14:paraId="5D9CD1B3" w14:textId="05166332" w:rsidR="009260DE" w:rsidRPr="009D0155" w:rsidRDefault="00FC32EC" w:rsidP="009260DE">
      <w:pPr>
        <w:tabs>
          <w:tab w:val="left" w:pos="851"/>
        </w:tabs>
        <w:ind w:left="851"/>
        <w:rPr>
          <w:sz w:val="24"/>
          <w:szCs w:val="24"/>
        </w:rPr>
      </w:pPr>
      <w:r w:rsidRPr="009D0155">
        <w:rPr>
          <w:sz w:val="24"/>
          <w:szCs w:val="24"/>
        </w:rPr>
        <w:t>-</w:t>
      </w:r>
    </w:p>
    <w:sectPr w:rsidR="009260DE" w:rsidRPr="009D015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5BA5" w14:textId="77777777" w:rsidR="005D0E5A" w:rsidRDefault="005D0E5A">
      <w:r>
        <w:separator/>
      </w:r>
    </w:p>
  </w:endnote>
  <w:endnote w:type="continuationSeparator" w:id="0">
    <w:p w14:paraId="73750DF8" w14:textId="77777777" w:rsidR="005D0E5A" w:rsidRDefault="005D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C84B" w14:textId="77777777" w:rsidR="005D0E5A" w:rsidRDefault="005D0E5A">
    <w:pPr>
      <w:pStyle w:val="Sidefod"/>
      <w:pBdr>
        <w:bottom w:val="single" w:sz="6" w:space="1" w:color="auto"/>
      </w:pBdr>
    </w:pPr>
  </w:p>
  <w:p w14:paraId="2330A71C" w14:textId="77777777" w:rsidR="005D0E5A" w:rsidRDefault="005D0E5A" w:rsidP="00C42586">
    <w:pPr>
      <w:pStyle w:val="Sidefod"/>
      <w:tabs>
        <w:tab w:val="clear" w:pos="4819"/>
        <w:tab w:val="left" w:pos="8505"/>
      </w:tabs>
      <w:rPr>
        <w:i/>
        <w:sz w:val="18"/>
        <w:szCs w:val="18"/>
      </w:rPr>
    </w:pPr>
  </w:p>
  <w:p w14:paraId="1C87AA0D" w14:textId="06A27E88" w:rsidR="005D0E5A" w:rsidRPr="00B373D7" w:rsidRDefault="005D0E5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44474">
      <w:rPr>
        <w:i/>
        <w:noProof/>
        <w:sz w:val="18"/>
        <w:szCs w:val="18"/>
      </w:rPr>
      <w:t>Medirom, næsespray, opløsning i enkeltdosisbeholder 2,5 mg, 3,75 mg og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9F95" w14:textId="77777777" w:rsidR="005D0E5A" w:rsidRDefault="005D0E5A">
      <w:r>
        <w:separator/>
      </w:r>
    </w:p>
  </w:footnote>
  <w:footnote w:type="continuationSeparator" w:id="0">
    <w:p w14:paraId="260C0EFC" w14:textId="77777777" w:rsidR="005D0E5A" w:rsidRDefault="005D0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8EF"/>
    <w:multiLevelType w:val="hybridMultilevel"/>
    <w:tmpl w:val="00F2B0F2"/>
    <w:lvl w:ilvl="0" w:tplc="988015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1762D54"/>
    <w:multiLevelType w:val="hybridMultilevel"/>
    <w:tmpl w:val="5FE08008"/>
    <w:lvl w:ilvl="0" w:tplc="988015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3242DC3"/>
    <w:multiLevelType w:val="hybridMultilevel"/>
    <w:tmpl w:val="6A40A874"/>
    <w:lvl w:ilvl="0" w:tplc="04060001">
      <w:start w:val="1"/>
      <w:numFmt w:val="bullet"/>
      <w:lvlText w:val=""/>
      <w:lvlJc w:val="left"/>
      <w:pPr>
        <w:ind w:left="2651" w:hanging="360"/>
      </w:pPr>
      <w:rPr>
        <w:rFonts w:ascii="Symbol" w:hAnsi="Symbol" w:hint="default"/>
      </w:rPr>
    </w:lvl>
    <w:lvl w:ilvl="1" w:tplc="04060003" w:tentative="1">
      <w:start w:val="1"/>
      <w:numFmt w:val="bullet"/>
      <w:lvlText w:val="o"/>
      <w:lvlJc w:val="left"/>
      <w:pPr>
        <w:ind w:left="3371" w:hanging="360"/>
      </w:pPr>
      <w:rPr>
        <w:rFonts w:ascii="Courier New" w:hAnsi="Courier New" w:cs="Courier New" w:hint="default"/>
      </w:rPr>
    </w:lvl>
    <w:lvl w:ilvl="2" w:tplc="04060005" w:tentative="1">
      <w:start w:val="1"/>
      <w:numFmt w:val="bullet"/>
      <w:lvlText w:val=""/>
      <w:lvlJc w:val="left"/>
      <w:pPr>
        <w:ind w:left="4091" w:hanging="360"/>
      </w:pPr>
      <w:rPr>
        <w:rFonts w:ascii="Wingdings" w:hAnsi="Wingdings" w:hint="default"/>
      </w:rPr>
    </w:lvl>
    <w:lvl w:ilvl="3" w:tplc="04060001" w:tentative="1">
      <w:start w:val="1"/>
      <w:numFmt w:val="bullet"/>
      <w:lvlText w:val=""/>
      <w:lvlJc w:val="left"/>
      <w:pPr>
        <w:ind w:left="4811" w:hanging="360"/>
      </w:pPr>
      <w:rPr>
        <w:rFonts w:ascii="Symbol" w:hAnsi="Symbol" w:hint="default"/>
      </w:rPr>
    </w:lvl>
    <w:lvl w:ilvl="4" w:tplc="04060003" w:tentative="1">
      <w:start w:val="1"/>
      <w:numFmt w:val="bullet"/>
      <w:lvlText w:val="o"/>
      <w:lvlJc w:val="left"/>
      <w:pPr>
        <w:ind w:left="5531" w:hanging="360"/>
      </w:pPr>
      <w:rPr>
        <w:rFonts w:ascii="Courier New" w:hAnsi="Courier New" w:cs="Courier New" w:hint="default"/>
      </w:rPr>
    </w:lvl>
    <w:lvl w:ilvl="5" w:tplc="04060005" w:tentative="1">
      <w:start w:val="1"/>
      <w:numFmt w:val="bullet"/>
      <w:lvlText w:val=""/>
      <w:lvlJc w:val="left"/>
      <w:pPr>
        <w:ind w:left="6251" w:hanging="360"/>
      </w:pPr>
      <w:rPr>
        <w:rFonts w:ascii="Wingdings" w:hAnsi="Wingdings" w:hint="default"/>
      </w:rPr>
    </w:lvl>
    <w:lvl w:ilvl="6" w:tplc="04060001" w:tentative="1">
      <w:start w:val="1"/>
      <w:numFmt w:val="bullet"/>
      <w:lvlText w:val=""/>
      <w:lvlJc w:val="left"/>
      <w:pPr>
        <w:ind w:left="6971" w:hanging="360"/>
      </w:pPr>
      <w:rPr>
        <w:rFonts w:ascii="Symbol" w:hAnsi="Symbol" w:hint="default"/>
      </w:rPr>
    </w:lvl>
    <w:lvl w:ilvl="7" w:tplc="04060003" w:tentative="1">
      <w:start w:val="1"/>
      <w:numFmt w:val="bullet"/>
      <w:lvlText w:val="o"/>
      <w:lvlJc w:val="left"/>
      <w:pPr>
        <w:ind w:left="7691" w:hanging="360"/>
      </w:pPr>
      <w:rPr>
        <w:rFonts w:ascii="Courier New" w:hAnsi="Courier New" w:cs="Courier New" w:hint="default"/>
      </w:rPr>
    </w:lvl>
    <w:lvl w:ilvl="8" w:tplc="04060005" w:tentative="1">
      <w:start w:val="1"/>
      <w:numFmt w:val="bullet"/>
      <w:lvlText w:val=""/>
      <w:lvlJc w:val="left"/>
      <w:pPr>
        <w:ind w:left="8411" w:hanging="360"/>
      </w:pPr>
      <w:rPr>
        <w:rFonts w:ascii="Wingdings" w:hAnsi="Wingdings" w:hint="default"/>
      </w:rPr>
    </w:lvl>
  </w:abstractNum>
  <w:abstractNum w:abstractNumId="3" w15:restartNumberingAfterBreak="0">
    <w:nsid w:val="0FA72F6D"/>
    <w:multiLevelType w:val="hybridMultilevel"/>
    <w:tmpl w:val="A8EE488A"/>
    <w:lvl w:ilvl="0" w:tplc="04060001">
      <w:start w:val="1"/>
      <w:numFmt w:val="bullet"/>
      <w:lvlText w:val=""/>
      <w:lvlJc w:val="left"/>
      <w:pPr>
        <w:ind w:left="1571" w:hanging="360"/>
      </w:pPr>
      <w:rPr>
        <w:rFonts w:ascii="Symbol" w:hAnsi="Symbol" w:hint="default"/>
      </w:rPr>
    </w:lvl>
    <w:lvl w:ilvl="1" w:tplc="6C6CCF18">
      <w:numFmt w:val="bullet"/>
      <w:lvlText w:val="•"/>
      <w:lvlJc w:val="left"/>
      <w:pPr>
        <w:ind w:left="2291" w:hanging="360"/>
      </w:pPr>
      <w:rPr>
        <w:rFonts w:ascii="Times New Roman" w:eastAsia="Times New Roman" w:hAnsi="Times New Roman" w:cs="Times New Roman" w:hint="default"/>
        <w:sz w:val="24"/>
        <w:szCs w:val="24"/>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660741"/>
    <w:multiLevelType w:val="hybridMultilevel"/>
    <w:tmpl w:val="4526365C"/>
    <w:lvl w:ilvl="0" w:tplc="3EE4FCAE">
      <w:start w:val="1"/>
      <w:numFmt w:val="bullet"/>
      <w:lvlText w:val="-"/>
      <w:lvlJc w:val="left"/>
      <w:pPr>
        <w:ind w:left="1069" w:hanging="360"/>
      </w:pPr>
      <w:rPr>
        <w:rFonts w:ascii="Times New Roman" w:eastAsiaTheme="minorEastAsia" w:hAnsi="Times New Roman" w:cs="Times New Roman" w:hint="default"/>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abstractNum w:abstractNumId="6" w15:restartNumberingAfterBreak="0">
    <w:nsid w:val="1C3B393B"/>
    <w:multiLevelType w:val="hybridMultilevel"/>
    <w:tmpl w:val="94CE1E2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1E7F142E"/>
    <w:multiLevelType w:val="hybridMultilevel"/>
    <w:tmpl w:val="9A7E5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5A54CE"/>
    <w:multiLevelType w:val="hybridMultilevel"/>
    <w:tmpl w:val="500C5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071522"/>
    <w:multiLevelType w:val="hybridMultilevel"/>
    <w:tmpl w:val="310289A2"/>
    <w:lvl w:ilvl="0" w:tplc="04060001">
      <w:start w:val="1"/>
      <w:numFmt w:val="bullet"/>
      <w:lvlText w:val=""/>
      <w:lvlJc w:val="left"/>
      <w:pPr>
        <w:ind w:left="2651" w:hanging="360"/>
      </w:pPr>
      <w:rPr>
        <w:rFonts w:ascii="Symbol" w:hAnsi="Symbol" w:hint="default"/>
      </w:rPr>
    </w:lvl>
    <w:lvl w:ilvl="1" w:tplc="04060003" w:tentative="1">
      <w:start w:val="1"/>
      <w:numFmt w:val="bullet"/>
      <w:lvlText w:val="o"/>
      <w:lvlJc w:val="left"/>
      <w:pPr>
        <w:ind w:left="3371" w:hanging="360"/>
      </w:pPr>
      <w:rPr>
        <w:rFonts w:ascii="Courier New" w:hAnsi="Courier New" w:cs="Courier New" w:hint="default"/>
      </w:rPr>
    </w:lvl>
    <w:lvl w:ilvl="2" w:tplc="04060005" w:tentative="1">
      <w:start w:val="1"/>
      <w:numFmt w:val="bullet"/>
      <w:lvlText w:val=""/>
      <w:lvlJc w:val="left"/>
      <w:pPr>
        <w:ind w:left="4091" w:hanging="360"/>
      </w:pPr>
      <w:rPr>
        <w:rFonts w:ascii="Wingdings" w:hAnsi="Wingdings" w:hint="default"/>
      </w:rPr>
    </w:lvl>
    <w:lvl w:ilvl="3" w:tplc="04060001" w:tentative="1">
      <w:start w:val="1"/>
      <w:numFmt w:val="bullet"/>
      <w:lvlText w:val=""/>
      <w:lvlJc w:val="left"/>
      <w:pPr>
        <w:ind w:left="4811" w:hanging="360"/>
      </w:pPr>
      <w:rPr>
        <w:rFonts w:ascii="Symbol" w:hAnsi="Symbol" w:hint="default"/>
      </w:rPr>
    </w:lvl>
    <w:lvl w:ilvl="4" w:tplc="04060003" w:tentative="1">
      <w:start w:val="1"/>
      <w:numFmt w:val="bullet"/>
      <w:lvlText w:val="o"/>
      <w:lvlJc w:val="left"/>
      <w:pPr>
        <w:ind w:left="5531" w:hanging="360"/>
      </w:pPr>
      <w:rPr>
        <w:rFonts w:ascii="Courier New" w:hAnsi="Courier New" w:cs="Courier New" w:hint="default"/>
      </w:rPr>
    </w:lvl>
    <w:lvl w:ilvl="5" w:tplc="04060005" w:tentative="1">
      <w:start w:val="1"/>
      <w:numFmt w:val="bullet"/>
      <w:lvlText w:val=""/>
      <w:lvlJc w:val="left"/>
      <w:pPr>
        <w:ind w:left="6251" w:hanging="360"/>
      </w:pPr>
      <w:rPr>
        <w:rFonts w:ascii="Wingdings" w:hAnsi="Wingdings" w:hint="default"/>
      </w:rPr>
    </w:lvl>
    <w:lvl w:ilvl="6" w:tplc="04060001" w:tentative="1">
      <w:start w:val="1"/>
      <w:numFmt w:val="bullet"/>
      <w:lvlText w:val=""/>
      <w:lvlJc w:val="left"/>
      <w:pPr>
        <w:ind w:left="6971" w:hanging="360"/>
      </w:pPr>
      <w:rPr>
        <w:rFonts w:ascii="Symbol" w:hAnsi="Symbol" w:hint="default"/>
      </w:rPr>
    </w:lvl>
    <w:lvl w:ilvl="7" w:tplc="04060003" w:tentative="1">
      <w:start w:val="1"/>
      <w:numFmt w:val="bullet"/>
      <w:lvlText w:val="o"/>
      <w:lvlJc w:val="left"/>
      <w:pPr>
        <w:ind w:left="7691" w:hanging="360"/>
      </w:pPr>
      <w:rPr>
        <w:rFonts w:ascii="Courier New" w:hAnsi="Courier New" w:cs="Courier New" w:hint="default"/>
      </w:rPr>
    </w:lvl>
    <w:lvl w:ilvl="8" w:tplc="04060005" w:tentative="1">
      <w:start w:val="1"/>
      <w:numFmt w:val="bullet"/>
      <w:lvlText w:val=""/>
      <w:lvlJc w:val="left"/>
      <w:pPr>
        <w:ind w:left="8411" w:hanging="360"/>
      </w:pPr>
      <w:rPr>
        <w:rFonts w:ascii="Wingdings" w:hAnsi="Wingdings" w:hint="default"/>
      </w:rPr>
    </w:lvl>
  </w:abstractNum>
  <w:abstractNum w:abstractNumId="10" w15:restartNumberingAfterBreak="0">
    <w:nsid w:val="24F742FA"/>
    <w:multiLevelType w:val="hybridMultilevel"/>
    <w:tmpl w:val="13A277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26832C4B"/>
    <w:multiLevelType w:val="hybridMultilevel"/>
    <w:tmpl w:val="F77267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269C68B6"/>
    <w:multiLevelType w:val="hybridMultilevel"/>
    <w:tmpl w:val="AB2C2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D161C7"/>
    <w:multiLevelType w:val="hybridMultilevel"/>
    <w:tmpl w:val="A2E82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D43D1F"/>
    <w:multiLevelType w:val="hybridMultilevel"/>
    <w:tmpl w:val="3556A974"/>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sz w:val="24"/>
        <w:szCs w:val="24"/>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27A059DB"/>
    <w:multiLevelType w:val="hybridMultilevel"/>
    <w:tmpl w:val="BFCC8F76"/>
    <w:lvl w:ilvl="0" w:tplc="988015F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476D8E"/>
    <w:multiLevelType w:val="hybridMultilevel"/>
    <w:tmpl w:val="73B2187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31A42294"/>
    <w:multiLevelType w:val="hybridMultilevel"/>
    <w:tmpl w:val="5FCEBE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0" w15:restartNumberingAfterBreak="0">
    <w:nsid w:val="366879FF"/>
    <w:multiLevelType w:val="hybridMultilevel"/>
    <w:tmpl w:val="3198F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296663"/>
    <w:multiLevelType w:val="hybridMultilevel"/>
    <w:tmpl w:val="62FA67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380E3CA7"/>
    <w:multiLevelType w:val="hybridMultilevel"/>
    <w:tmpl w:val="1C8ED7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3D5A6AF8"/>
    <w:multiLevelType w:val="hybridMultilevel"/>
    <w:tmpl w:val="E27C2CE8"/>
    <w:lvl w:ilvl="0" w:tplc="988015F4">
      <w:numFmt w:val="bullet"/>
      <w:lvlText w:val="-"/>
      <w:lvlJc w:val="left"/>
      <w:pPr>
        <w:ind w:left="720" w:hanging="360"/>
      </w:pPr>
      <w:rPr>
        <w:rFonts w:ascii="Times New Roman" w:eastAsia="Times New Roman" w:hAnsi="Times New Roman" w:cs="Times New Roman" w:hint="default"/>
      </w:rPr>
    </w:lvl>
    <w:lvl w:ilvl="1" w:tplc="988015F4">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5" w15:restartNumberingAfterBreak="0">
    <w:nsid w:val="465E34B9"/>
    <w:multiLevelType w:val="hybridMultilevel"/>
    <w:tmpl w:val="99A4C4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6C535BF"/>
    <w:multiLevelType w:val="hybridMultilevel"/>
    <w:tmpl w:val="380A457E"/>
    <w:lvl w:ilvl="0" w:tplc="04060001">
      <w:start w:val="1"/>
      <w:numFmt w:val="bullet"/>
      <w:lvlText w:val=""/>
      <w:lvlJc w:val="left"/>
      <w:pPr>
        <w:ind w:left="2651" w:hanging="360"/>
      </w:pPr>
      <w:rPr>
        <w:rFonts w:ascii="Symbol" w:hAnsi="Symbol" w:hint="default"/>
      </w:rPr>
    </w:lvl>
    <w:lvl w:ilvl="1" w:tplc="04060003" w:tentative="1">
      <w:start w:val="1"/>
      <w:numFmt w:val="bullet"/>
      <w:lvlText w:val="o"/>
      <w:lvlJc w:val="left"/>
      <w:pPr>
        <w:ind w:left="3371" w:hanging="360"/>
      </w:pPr>
      <w:rPr>
        <w:rFonts w:ascii="Courier New" w:hAnsi="Courier New" w:cs="Courier New" w:hint="default"/>
      </w:rPr>
    </w:lvl>
    <w:lvl w:ilvl="2" w:tplc="04060005" w:tentative="1">
      <w:start w:val="1"/>
      <w:numFmt w:val="bullet"/>
      <w:lvlText w:val=""/>
      <w:lvlJc w:val="left"/>
      <w:pPr>
        <w:ind w:left="4091" w:hanging="360"/>
      </w:pPr>
      <w:rPr>
        <w:rFonts w:ascii="Wingdings" w:hAnsi="Wingdings" w:hint="default"/>
      </w:rPr>
    </w:lvl>
    <w:lvl w:ilvl="3" w:tplc="04060001" w:tentative="1">
      <w:start w:val="1"/>
      <w:numFmt w:val="bullet"/>
      <w:lvlText w:val=""/>
      <w:lvlJc w:val="left"/>
      <w:pPr>
        <w:ind w:left="4811" w:hanging="360"/>
      </w:pPr>
      <w:rPr>
        <w:rFonts w:ascii="Symbol" w:hAnsi="Symbol" w:hint="default"/>
      </w:rPr>
    </w:lvl>
    <w:lvl w:ilvl="4" w:tplc="04060003" w:tentative="1">
      <w:start w:val="1"/>
      <w:numFmt w:val="bullet"/>
      <w:lvlText w:val="o"/>
      <w:lvlJc w:val="left"/>
      <w:pPr>
        <w:ind w:left="5531" w:hanging="360"/>
      </w:pPr>
      <w:rPr>
        <w:rFonts w:ascii="Courier New" w:hAnsi="Courier New" w:cs="Courier New" w:hint="default"/>
      </w:rPr>
    </w:lvl>
    <w:lvl w:ilvl="5" w:tplc="04060005" w:tentative="1">
      <w:start w:val="1"/>
      <w:numFmt w:val="bullet"/>
      <w:lvlText w:val=""/>
      <w:lvlJc w:val="left"/>
      <w:pPr>
        <w:ind w:left="6251" w:hanging="360"/>
      </w:pPr>
      <w:rPr>
        <w:rFonts w:ascii="Wingdings" w:hAnsi="Wingdings" w:hint="default"/>
      </w:rPr>
    </w:lvl>
    <w:lvl w:ilvl="6" w:tplc="04060001" w:tentative="1">
      <w:start w:val="1"/>
      <w:numFmt w:val="bullet"/>
      <w:lvlText w:val=""/>
      <w:lvlJc w:val="left"/>
      <w:pPr>
        <w:ind w:left="6971" w:hanging="360"/>
      </w:pPr>
      <w:rPr>
        <w:rFonts w:ascii="Symbol" w:hAnsi="Symbol" w:hint="default"/>
      </w:rPr>
    </w:lvl>
    <w:lvl w:ilvl="7" w:tplc="04060003" w:tentative="1">
      <w:start w:val="1"/>
      <w:numFmt w:val="bullet"/>
      <w:lvlText w:val="o"/>
      <w:lvlJc w:val="left"/>
      <w:pPr>
        <w:ind w:left="7691" w:hanging="360"/>
      </w:pPr>
      <w:rPr>
        <w:rFonts w:ascii="Courier New" w:hAnsi="Courier New" w:cs="Courier New" w:hint="default"/>
      </w:rPr>
    </w:lvl>
    <w:lvl w:ilvl="8" w:tplc="04060005" w:tentative="1">
      <w:start w:val="1"/>
      <w:numFmt w:val="bullet"/>
      <w:lvlText w:val=""/>
      <w:lvlJc w:val="left"/>
      <w:pPr>
        <w:ind w:left="8411" w:hanging="360"/>
      </w:pPr>
      <w:rPr>
        <w:rFonts w:ascii="Wingdings" w:hAnsi="Wingdings" w:hint="default"/>
      </w:rPr>
    </w:lvl>
  </w:abstractNum>
  <w:abstractNum w:abstractNumId="27" w15:restartNumberingAfterBreak="0">
    <w:nsid w:val="48606050"/>
    <w:multiLevelType w:val="hybridMultilevel"/>
    <w:tmpl w:val="E00CD87C"/>
    <w:lvl w:ilvl="0" w:tplc="04060001">
      <w:start w:val="1"/>
      <w:numFmt w:val="bullet"/>
      <w:lvlText w:val=""/>
      <w:lvlJc w:val="left"/>
      <w:pPr>
        <w:ind w:left="1571" w:hanging="360"/>
      </w:pPr>
      <w:rPr>
        <w:rFonts w:ascii="Symbol" w:hAnsi="Symbol" w:hint="default"/>
      </w:rPr>
    </w:lvl>
    <w:lvl w:ilvl="1" w:tplc="988015F4">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486D3780"/>
    <w:multiLevelType w:val="hybridMultilevel"/>
    <w:tmpl w:val="AF0CF3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DBB448E"/>
    <w:multiLevelType w:val="hybridMultilevel"/>
    <w:tmpl w:val="48D44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6B68F9"/>
    <w:multiLevelType w:val="hybridMultilevel"/>
    <w:tmpl w:val="B0CAA2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1" w15:restartNumberingAfterBreak="0">
    <w:nsid w:val="53CA2932"/>
    <w:multiLevelType w:val="hybridMultilevel"/>
    <w:tmpl w:val="2B9A2E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5F546BF"/>
    <w:multiLevelType w:val="hybridMultilevel"/>
    <w:tmpl w:val="B62895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4" w15:restartNumberingAfterBreak="0">
    <w:nsid w:val="6B95145A"/>
    <w:multiLevelType w:val="hybridMultilevel"/>
    <w:tmpl w:val="0FE66B0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5" w15:restartNumberingAfterBreak="0">
    <w:nsid w:val="702636A0"/>
    <w:multiLevelType w:val="hybridMultilevel"/>
    <w:tmpl w:val="1C263FD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6" w15:restartNumberingAfterBreak="0">
    <w:nsid w:val="716E5C44"/>
    <w:multiLevelType w:val="hybridMultilevel"/>
    <w:tmpl w:val="394A1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26258F"/>
    <w:multiLevelType w:val="hybridMultilevel"/>
    <w:tmpl w:val="0FD83EA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2"/>
  </w:num>
  <w:num w:numId="8">
    <w:abstractNumId w:val="1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num>
  <w:num w:numId="13">
    <w:abstractNumId w:val="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7"/>
  </w:num>
  <w:num w:numId="17">
    <w:abstractNumId w:val="33"/>
  </w:num>
  <w:num w:numId="18">
    <w:abstractNumId w:val="27"/>
  </w:num>
  <w:num w:numId="19">
    <w:abstractNumId w:val="34"/>
  </w:num>
  <w:num w:numId="20">
    <w:abstractNumId w:val="11"/>
  </w:num>
  <w:num w:numId="21">
    <w:abstractNumId w:val="21"/>
  </w:num>
  <w:num w:numId="22">
    <w:abstractNumId w:val="28"/>
  </w:num>
  <w:num w:numId="23">
    <w:abstractNumId w:val="15"/>
  </w:num>
  <w:num w:numId="24">
    <w:abstractNumId w:val="23"/>
  </w:num>
  <w:num w:numId="25">
    <w:abstractNumId w:val="0"/>
  </w:num>
  <w:num w:numId="26">
    <w:abstractNumId w:val="3"/>
  </w:num>
  <w:num w:numId="27">
    <w:abstractNumId w:val="1"/>
  </w:num>
  <w:num w:numId="28">
    <w:abstractNumId w:val="37"/>
  </w:num>
  <w:num w:numId="29">
    <w:abstractNumId w:val="31"/>
  </w:num>
  <w:num w:numId="30">
    <w:abstractNumId w:val="25"/>
  </w:num>
  <w:num w:numId="31">
    <w:abstractNumId w:val="14"/>
  </w:num>
  <w:num w:numId="32">
    <w:abstractNumId w:val="10"/>
  </w:num>
  <w:num w:numId="33">
    <w:abstractNumId w:val="22"/>
  </w:num>
  <w:num w:numId="34">
    <w:abstractNumId w:val="9"/>
  </w:num>
  <w:num w:numId="35">
    <w:abstractNumId w:val="16"/>
  </w:num>
  <w:num w:numId="36">
    <w:abstractNumId w:val="26"/>
  </w:num>
  <w:num w:numId="37">
    <w:abstractNumId w:val="30"/>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CB"/>
    <w:rsid w:val="000259B9"/>
    <w:rsid w:val="00041491"/>
    <w:rsid w:val="00044401"/>
    <w:rsid w:val="00044474"/>
    <w:rsid w:val="00050D16"/>
    <w:rsid w:val="000730CA"/>
    <w:rsid w:val="00074F2A"/>
    <w:rsid w:val="000A1CA8"/>
    <w:rsid w:val="000A466B"/>
    <w:rsid w:val="000B058C"/>
    <w:rsid w:val="000C3F75"/>
    <w:rsid w:val="000D68B0"/>
    <w:rsid w:val="000E4EE6"/>
    <w:rsid w:val="001454E2"/>
    <w:rsid w:val="001877CC"/>
    <w:rsid w:val="00205B5A"/>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53FEB"/>
    <w:rsid w:val="00565F0F"/>
    <w:rsid w:val="00594A86"/>
    <w:rsid w:val="00596D86"/>
    <w:rsid w:val="005D0E5A"/>
    <w:rsid w:val="00612F36"/>
    <w:rsid w:val="00637F5A"/>
    <w:rsid w:val="00641C65"/>
    <w:rsid w:val="006560B1"/>
    <w:rsid w:val="006756DD"/>
    <w:rsid w:val="006A152B"/>
    <w:rsid w:val="0071241E"/>
    <w:rsid w:val="00737275"/>
    <w:rsid w:val="00740EEC"/>
    <w:rsid w:val="0078011A"/>
    <w:rsid w:val="00782AF4"/>
    <w:rsid w:val="00790EE7"/>
    <w:rsid w:val="007B6649"/>
    <w:rsid w:val="0082576E"/>
    <w:rsid w:val="0089346F"/>
    <w:rsid w:val="00907F75"/>
    <w:rsid w:val="009260DE"/>
    <w:rsid w:val="0093258A"/>
    <w:rsid w:val="009C7BA3"/>
    <w:rsid w:val="009D0155"/>
    <w:rsid w:val="009D1F5A"/>
    <w:rsid w:val="00A10294"/>
    <w:rsid w:val="00A82804"/>
    <w:rsid w:val="00AA25EB"/>
    <w:rsid w:val="00B003BF"/>
    <w:rsid w:val="00B373D7"/>
    <w:rsid w:val="00B55271"/>
    <w:rsid w:val="00BD7931"/>
    <w:rsid w:val="00BE56CB"/>
    <w:rsid w:val="00BE7117"/>
    <w:rsid w:val="00BF6243"/>
    <w:rsid w:val="00C06337"/>
    <w:rsid w:val="00C36276"/>
    <w:rsid w:val="00C42586"/>
    <w:rsid w:val="00C45F6B"/>
    <w:rsid w:val="00C60CCD"/>
    <w:rsid w:val="00C84483"/>
    <w:rsid w:val="00C95551"/>
    <w:rsid w:val="00CB20D7"/>
    <w:rsid w:val="00D020B0"/>
    <w:rsid w:val="00D11748"/>
    <w:rsid w:val="00D237F6"/>
    <w:rsid w:val="00D34D98"/>
    <w:rsid w:val="00D366CF"/>
    <w:rsid w:val="00D83412"/>
    <w:rsid w:val="00D93992"/>
    <w:rsid w:val="00E108AA"/>
    <w:rsid w:val="00E3749A"/>
    <w:rsid w:val="00E55C96"/>
    <w:rsid w:val="00E7437F"/>
    <w:rsid w:val="00E865B8"/>
    <w:rsid w:val="00EC0B9B"/>
    <w:rsid w:val="00ED5E9F"/>
    <w:rsid w:val="00F26163"/>
    <w:rsid w:val="00F62229"/>
    <w:rsid w:val="00F66D4F"/>
    <w:rsid w:val="00F70B65"/>
    <w:rsid w:val="00FB6D01"/>
    <w:rsid w:val="00FC32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16250"/>
  <w15:chartTrackingRefBased/>
  <w15:docId w15:val="{CB740552-5228-4048-B122-D8C9D53C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C32EC"/>
    <w:pPr>
      <w:ind w:left="720"/>
      <w:contextualSpacing/>
    </w:pPr>
    <w:rPr>
      <w:rFonts w:asciiTheme="minorHAnsi" w:eastAsiaTheme="minorEastAsia" w:hAnsiTheme="minorHAnsi" w:cstheme="minorBidi"/>
      <w:sz w:val="24"/>
      <w:szCs w:val="24"/>
      <w:lang w:val="nl-NL" w:eastAsia="nl-NL"/>
    </w:rPr>
  </w:style>
  <w:style w:type="paragraph" w:customStyle="1" w:styleId="Default">
    <w:name w:val="Default"/>
    <w:rsid w:val="00FC32EC"/>
    <w:pPr>
      <w:widowControl w:val="0"/>
      <w:autoSpaceDE w:val="0"/>
      <w:autoSpaceDN w:val="0"/>
      <w:adjustRightInd w:val="0"/>
    </w:pPr>
    <w:rPr>
      <w:rFonts w:eastAsiaTheme="minorEastAsia"/>
      <w:color w:val="000000"/>
      <w:sz w:val="24"/>
      <w:szCs w:val="24"/>
      <w:lang w:val="en-US" w:eastAsia="nl-NL"/>
    </w:rPr>
  </w:style>
  <w:style w:type="table" w:styleId="Tabel-Gitter">
    <w:name w:val="Table Grid"/>
    <w:basedOn w:val="Tabel-Normal"/>
    <w:uiPriority w:val="59"/>
    <w:rsid w:val="00FC32EC"/>
    <w:rPr>
      <w:rFonts w:asciiTheme="minorHAnsi" w:eastAsiaTheme="minorEastAsia" w:hAnsiTheme="minorHAnsi" w:cstheme="minorBidi"/>
      <w:sz w:val="24"/>
      <w:szCs w:val="24"/>
      <w:lang w:val="nl-NL"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604">
      <w:bodyDiv w:val="1"/>
      <w:marLeft w:val="0"/>
      <w:marRight w:val="0"/>
      <w:marTop w:val="0"/>
      <w:marBottom w:val="0"/>
      <w:divBdr>
        <w:top w:val="none" w:sz="0" w:space="0" w:color="auto"/>
        <w:left w:val="none" w:sz="0" w:space="0" w:color="auto"/>
        <w:bottom w:val="none" w:sz="0" w:space="0" w:color="auto"/>
        <w:right w:val="none" w:sz="0" w:space="0" w:color="auto"/>
      </w:divBdr>
    </w:div>
    <w:div w:id="1543419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167108">
      <w:bodyDiv w:val="1"/>
      <w:marLeft w:val="0"/>
      <w:marRight w:val="0"/>
      <w:marTop w:val="0"/>
      <w:marBottom w:val="0"/>
      <w:divBdr>
        <w:top w:val="none" w:sz="0" w:space="0" w:color="auto"/>
        <w:left w:val="none" w:sz="0" w:space="0" w:color="auto"/>
        <w:bottom w:val="none" w:sz="0" w:space="0" w:color="auto"/>
        <w:right w:val="none" w:sz="0" w:space="0" w:color="auto"/>
      </w:divBdr>
    </w:div>
    <w:div w:id="388308756">
      <w:bodyDiv w:val="1"/>
      <w:marLeft w:val="0"/>
      <w:marRight w:val="0"/>
      <w:marTop w:val="0"/>
      <w:marBottom w:val="0"/>
      <w:divBdr>
        <w:top w:val="none" w:sz="0" w:space="0" w:color="auto"/>
        <w:left w:val="none" w:sz="0" w:space="0" w:color="auto"/>
        <w:bottom w:val="none" w:sz="0" w:space="0" w:color="auto"/>
        <w:right w:val="none" w:sz="0" w:space="0" w:color="auto"/>
      </w:divBdr>
    </w:div>
    <w:div w:id="493883032">
      <w:bodyDiv w:val="1"/>
      <w:marLeft w:val="0"/>
      <w:marRight w:val="0"/>
      <w:marTop w:val="0"/>
      <w:marBottom w:val="0"/>
      <w:divBdr>
        <w:top w:val="none" w:sz="0" w:space="0" w:color="auto"/>
        <w:left w:val="none" w:sz="0" w:space="0" w:color="auto"/>
        <w:bottom w:val="none" w:sz="0" w:space="0" w:color="auto"/>
        <w:right w:val="none" w:sz="0" w:space="0" w:color="auto"/>
      </w:divBdr>
    </w:div>
    <w:div w:id="584339778">
      <w:bodyDiv w:val="1"/>
      <w:marLeft w:val="0"/>
      <w:marRight w:val="0"/>
      <w:marTop w:val="0"/>
      <w:marBottom w:val="0"/>
      <w:divBdr>
        <w:top w:val="none" w:sz="0" w:space="0" w:color="auto"/>
        <w:left w:val="none" w:sz="0" w:space="0" w:color="auto"/>
        <w:bottom w:val="none" w:sz="0" w:space="0" w:color="auto"/>
        <w:right w:val="none" w:sz="0" w:space="0" w:color="auto"/>
      </w:divBdr>
    </w:div>
    <w:div w:id="585307436">
      <w:bodyDiv w:val="1"/>
      <w:marLeft w:val="0"/>
      <w:marRight w:val="0"/>
      <w:marTop w:val="0"/>
      <w:marBottom w:val="0"/>
      <w:divBdr>
        <w:top w:val="none" w:sz="0" w:space="0" w:color="auto"/>
        <w:left w:val="none" w:sz="0" w:space="0" w:color="auto"/>
        <w:bottom w:val="none" w:sz="0" w:space="0" w:color="auto"/>
        <w:right w:val="none" w:sz="0" w:space="0" w:color="auto"/>
      </w:divBdr>
    </w:div>
    <w:div w:id="602035385">
      <w:bodyDiv w:val="1"/>
      <w:marLeft w:val="0"/>
      <w:marRight w:val="0"/>
      <w:marTop w:val="0"/>
      <w:marBottom w:val="0"/>
      <w:divBdr>
        <w:top w:val="none" w:sz="0" w:space="0" w:color="auto"/>
        <w:left w:val="none" w:sz="0" w:space="0" w:color="auto"/>
        <w:bottom w:val="none" w:sz="0" w:space="0" w:color="auto"/>
        <w:right w:val="none" w:sz="0" w:space="0" w:color="auto"/>
      </w:divBdr>
    </w:div>
    <w:div w:id="918514261">
      <w:bodyDiv w:val="1"/>
      <w:marLeft w:val="0"/>
      <w:marRight w:val="0"/>
      <w:marTop w:val="0"/>
      <w:marBottom w:val="0"/>
      <w:divBdr>
        <w:top w:val="none" w:sz="0" w:space="0" w:color="auto"/>
        <w:left w:val="none" w:sz="0" w:space="0" w:color="auto"/>
        <w:bottom w:val="none" w:sz="0" w:space="0" w:color="auto"/>
        <w:right w:val="none" w:sz="0" w:space="0" w:color="auto"/>
      </w:divBdr>
    </w:div>
    <w:div w:id="1154028252">
      <w:bodyDiv w:val="1"/>
      <w:marLeft w:val="0"/>
      <w:marRight w:val="0"/>
      <w:marTop w:val="0"/>
      <w:marBottom w:val="0"/>
      <w:divBdr>
        <w:top w:val="none" w:sz="0" w:space="0" w:color="auto"/>
        <w:left w:val="none" w:sz="0" w:space="0" w:color="auto"/>
        <w:bottom w:val="none" w:sz="0" w:space="0" w:color="auto"/>
        <w:right w:val="none" w:sz="0" w:space="0" w:color="auto"/>
      </w:divBdr>
    </w:div>
    <w:div w:id="1182890173">
      <w:bodyDiv w:val="1"/>
      <w:marLeft w:val="0"/>
      <w:marRight w:val="0"/>
      <w:marTop w:val="0"/>
      <w:marBottom w:val="0"/>
      <w:divBdr>
        <w:top w:val="none" w:sz="0" w:space="0" w:color="auto"/>
        <w:left w:val="none" w:sz="0" w:space="0" w:color="auto"/>
        <w:bottom w:val="none" w:sz="0" w:space="0" w:color="auto"/>
        <w:right w:val="none" w:sz="0" w:space="0" w:color="auto"/>
      </w:divBdr>
    </w:div>
    <w:div w:id="1283608937">
      <w:bodyDiv w:val="1"/>
      <w:marLeft w:val="0"/>
      <w:marRight w:val="0"/>
      <w:marTop w:val="0"/>
      <w:marBottom w:val="0"/>
      <w:divBdr>
        <w:top w:val="none" w:sz="0" w:space="0" w:color="auto"/>
        <w:left w:val="none" w:sz="0" w:space="0" w:color="auto"/>
        <w:bottom w:val="none" w:sz="0" w:space="0" w:color="auto"/>
        <w:right w:val="none" w:sz="0" w:space="0" w:color="auto"/>
      </w:divBdr>
    </w:div>
    <w:div w:id="1299189435">
      <w:bodyDiv w:val="1"/>
      <w:marLeft w:val="0"/>
      <w:marRight w:val="0"/>
      <w:marTop w:val="0"/>
      <w:marBottom w:val="0"/>
      <w:divBdr>
        <w:top w:val="none" w:sz="0" w:space="0" w:color="auto"/>
        <w:left w:val="none" w:sz="0" w:space="0" w:color="auto"/>
        <w:bottom w:val="none" w:sz="0" w:space="0" w:color="auto"/>
        <w:right w:val="none" w:sz="0" w:space="0" w:color="auto"/>
      </w:divBdr>
    </w:div>
    <w:div w:id="1558199981">
      <w:bodyDiv w:val="1"/>
      <w:marLeft w:val="0"/>
      <w:marRight w:val="0"/>
      <w:marTop w:val="0"/>
      <w:marBottom w:val="0"/>
      <w:divBdr>
        <w:top w:val="none" w:sz="0" w:space="0" w:color="auto"/>
        <w:left w:val="none" w:sz="0" w:space="0" w:color="auto"/>
        <w:bottom w:val="none" w:sz="0" w:space="0" w:color="auto"/>
        <w:right w:val="none" w:sz="0" w:space="0" w:color="auto"/>
      </w:divBdr>
    </w:div>
    <w:div w:id="1568954694">
      <w:bodyDiv w:val="1"/>
      <w:marLeft w:val="0"/>
      <w:marRight w:val="0"/>
      <w:marTop w:val="0"/>
      <w:marBottom w:val="0"/>
      <w:divBdr>
        <w:top w:val="none" w:sz="0" w:space="0" w:color="auto"/>
        <w:left w:val="none" w:sz="0" w:space="0" w:color="auto"/>
        <w:bottom w:val="none" w:sz="0" w:space="0" w:color="auto"/>
        <w:right w:val="none" w:sz="0" w:space="0" w:color="auto"/>
      </w:divBdr>
    </w:div>
    <w:div w:id="1576816303">
      <w:bodyDiv w:val="1"/>
      <w:marLeft w:val="0"/>
      <w:marRight w:val="0"/>
      <w:marTop w:val="0"/>
      <w:marBottom w:val="0"/>
      <w:divBdr>
        <w:top w:val="none" w:sz="0" w:space="0" w:color="auto"/>
        <w:left w:val="none" w:sz="0" w:space="0" w:color="auto"/>
        <w:bottom w:val="none" w:sz="0" w:space="0" w:color="auto"/>
        <w:right w:val="none" w:sz="0" w:space="0" w:color="auto"/>
      </w:divBdr>
    </w:div>
    <w:div w:id="1678145771">
      <w:bodyDiv w:val="1"/>
      <w:marLeft w:val="0"/>
      <w:marRight w:val="0"/>
      <w:marTop w:val="0"/>
      <w:marBottom w:val="0"/>
      <w:divBdr>
        <w:top w:val="none" w:sz="0" w:space="0" w:color="auto"/>
        <w:left w:val="none" w:sz="0" w:space="0" w:color="auto"/>
        <w:bottom w:val="none" w:sz="0" w:space="0" w:color="auto"/>
        <w:right w:val="none" w:sz="0" w:space="0" w:color="auto"/>
      </w:divBdr>
    </w:div>
    <w:div w:id="1751389612">
      <w:bodyDiv w:val="1"/>
      <w:marLeft w:val="0"/>
      <w:marRight w:val="0"/>
      <w:marTop w:val="0"/>
      <w:marBottom w:val="0"/>
      <w:divBdr>
        <w:top w:val="none" w:sz="0" w:space="0" w:color="auto"/>
        <w:left w:val="none" w:sz="0" w:space="0" w:color="auto"/>
        <w:bottom w:val="none" w:sz="0" w:space="0" w:color="auto"/>
        <w:right w:val="none" w:sz="0" w:space="0" w:color="auto"/>
      </w:divBdr>
    </w:div>
    <w:div w:id="1792359701">
      <w:bodyDiv w:val="1"/>
      <w:marLeft w:val="0"/>
      <w:marRight w:val="0"/>
      <w:marTop w:val="0"/>
      <w:marBottom w:val="0"/>
      <w:divBdr>
        <w:top w:val="none" w:sz="0" w:space="0" w:color="auto"/>
        <w:left w:val="none" w:sz="0" w:space="0" w:color="auto"/>
        <w:bottom w:val="none" w:sz="0" w:space="0" w:color="auto"/>
        <w:right w:val="none" w:sz="0" w:space="0" w:color="auto"/>
      </w:divBdr>
    </w:div>
    <w:div w:id="1811088981">
      <w:bodyDiv w:val="1"/>
      <w:marLeft w:val="0"/>
      <w:marRight w:val="0"/>
      <w:marTop w:val="0"/>
      <w:marBottom w:val="0"/>
      <w:divBdr>
        <w:top w:val="none" w:sz="0" w:space="0" w:color="auto"/>
        <w:left w:val="none" w:sz="0" w:space="0" w:color="auto"/>
        <w:bottom w:val="none" w:sz="0" w:space="0" w:color="auto"/>
        <w:right w:val="none" w:sz="0" w:space="0" w:color="auto"/>
      </w:divBdr>
    </w:div>
    <w:div w:id="1814249074">
      <w:bodyDiv w:val="1"/>
      <w:marLeft w:val="0"/>
      <w:marRight w:val="0"/>
      <w:marTop w:val="0"/>
      <w:marBottom w:val="0"/>
      <w:divBdr>
        <w:top w:val="none" w:sz="0" w:space="0" w:color="auto"/>
        <w:left w:val="none" w:sz="0" w:space="0" w:color="auto"/>
        <w:bottom w:val="none" w:sz="0" w:space="0" w:color="auto"/>
        <w:right w:val="none" w:sz="0" w:space="0" w:color="auto"/>
      </w:divBdr>
    </w:div>
    <w:div w:id="19554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107</TotalTime>
  <Pages>17</Pages>
  <Words>5292</Words>
  <Characters>34012</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2020015287, MT</dc:description>
  <cp:lastModifiedBy>Gitte Jørgensen</cp:lastModifiedBy>
  <cp:revision>16</cp:revision>
  <cp:lastPrinted>2012-08-22T08:53:00Z</cp:lastPrinted>
  <dcterms:created xsi:type="dcterms:W3CDTF">2024-09-23T06:29:00Z</dcterms:created>
  <dcterms:modified xsi:type="dcterms:W3CDTF">2024-10-02T09:13:00Z</dcterms:modified>
</cp:coreProperties>
</file>