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13EBC">
        <w:rPr>
          <w:szCs w:val="24"/>
          <w:lang w:eastAsia="en-US"/>
        </w:rPr>
        <w:t>1</w:t>
      </w:r>
      <w:r w:rsidR="002012B0">
        <w:rPr>
          <w:szCs w:val="24"/>
          <w:lang w:eastAsia="en-US"/>
        </w:rPr>
        <w:t>7</w:t>
      </w:r>
      <w:r w:rsidR="00613EBC">
        <w:rPr>
          <w:szCs w:val="24"/>
          <w:lang w:eastAsia="en-US"/>
        </w:rPr>
        <w:t>. januar 2024</w:t>
      </w:r>
    </w:p>
    <w:p w:rsidR="009260DE" w:rsidRPr="00C84483"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AD0FDB" w:rsidRPr="00C84483" w:rsidRDefault="00AD0FDB"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2018CE" w:rsidP="009260DE">
      <w:pPr>
        <w:jc w:val="center"/>
        <w:rPr>
          <w:b/>
          <w:sz w:val="24"/>
          <w:szCs w:val="24"/>
        </w:rPr>
      </w:pPr>
      <w:r>
        <w:rPr>
          <w:b/>
          <w:sz w:val="24"/>
          <w:szCs w:val="24"/>
        </w:rPr>
        <w:t>Menopur, injektionsvæske, opløsning</w:t>
      </w:r>
      <w:r w:rsidR="00613EBC">
        <w:rPr>
          <w:b/>
          <w:sz w:val="24"/>
          <w:szCs w:val="24"/>
        </w:rPr>
        <w:t xml:space="preserve"> (2care4)</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720E3" w:rsidP="009260DE">
      <w:pPr>
        <w:tabs>
          <w:tab w:val="left" w:pos="851"/>
        </w:tabs>
        <w:ind w:left="851"/>
        <w:rPr>
          <w:sz w:val="24"/>
          <w:szCs w:val="24"/>
        </w:rPr>
      </w:pPr>
      <w:r>
        <w:rPr>
          <w:sz w:val="24"/>
          <w:szCs w:val="24"/>
        </w:rPr>
        <w:t>20186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967A6A" w:rsidP="009260DE">
      <w:pPr>
        <w:tabs>
          <w:tab w:val="left" w:pos="851"/>
        </w:tabs>
        <w:ind w:left="851"/>
        <w:rPr>
          <w:sz w:val="24"/>
          <w:szCs w:val="24"/>
        </w:rPr>
      </w:pPr>
      <w:r>
        <w:rPr>
          <w:sz w:val="24"/>
          <w:szCs w:val="24"/>
        </w:rPr>
        <w:t>Menopur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879F4" w:rsidRDefault="001879F4" w:rsidP="001879F4">
      <w:pPr>
        <w:ind w:left="851"/>
        <w:rPr>
          <w:sz w:val="24"/>
          <w:szCs w:val="24"/>
        </w:rPr>
      </w:pPr>
    </w:p>
    <w:p w:rsidR="001879F4" w:rsidRPr="001879F4" w:rsidRDefault="001879F4" w:rsidP="001879F4">
      <w:pPr>
        <w:ind w:left="851"/>
        <w:rPr>
          <w:sz w:val="24"/>
          <w:szCs w:val="24"/>
          <w:u w:val="single"/>
        </w:rPr>
      </w:pPr>
      <w:r w:rsidRPr="001879F4">
        <w:rPr>
          <w:sz w:val="24"/>
          <w:szCs w:val="24"/>
          <w:u w:val="single"/>
        </w:rPr>
        <w:t>Menopur 600 IE injektionsvæske, opløsning i fyldt pen</w:t>
      </w:r>
    </w:p>
    <w:p w:rsidR="001879F4" w:rsidRPr="00B4169B" w:rsidRDefault="001879F4" w:rsidP="001879F4">
      <w:pPr>
        <w:ind w:left="851"/>
        <w:rPr>
          <w:sz w:val="24"/>
          <w:szCs w:val="24"/>
        </w:rPr>
      </w:pPr>
      <w:r w:rsidRPr="00B4169B">
        <w:rPr>
          <w:sz w:val="24"/>
          <w:szCs w:val="24"/>
        </w:rPr>
        <w:t xml:space="preserve">En fyldt multidosis pen giver højtoprenset </w:t>
      </w:r>
      <w:proofErr w:type="spellStart"/>
      <w:r w:rsidRPr="00B4169B">
        <w:rPr>
          <w:sz w:val="24"/>
          <w:szCs w:val="24"/>
        </w:rPr>
        <w:t>menotropin</w:t>
      </w:r>
      <w:proofErr w:type="spellEnd"/>
      <w:r w:rsidRPr="00B4169B">
        <w:rPr>
          <w:sz w:val="24"/>
          <w:szCs w:val="24"/>
        </w:rPr>
        <w:t xml:space="preserve"> (human </w:t>
      </w:r>
      <w:proofErr w:type="spellStart"/>
      <w:r w:rsidRPr="00B4169B">
        <w:rPr>
          <w:sz w:val="24"/>
          <w:szCs w:val="24"/>
        </w:rPr>
        <w:t>menopausal</w:t>
      </w:r>
      <w:proofErr w:type="spellEnd"/>
      <w:r w:rsidRPr="00B4169B">
        <w:rPr>
          <w:sz w:val="24"/>
          <w:szCs w:val="24"/>
        </w:rPr>
        <w:t xml:space="preserve"> </w:t>
      </w:r>
      <w:proofErr w:type="spellStart"/>
      <w:r w:rsidRPr="00B4169B">
        <w:rPr>
          <w:sz w:val="24"/>
          <w:szCs w:val="24"/>
        </w:rPr>
        <w:t>gonadotropin</w:t>
      </w:r>
      <w:proofErr w:type="spellEnd"/>
      <w:r w:rsidRPr="00B4169B">
        <w:rPr>
          <w:sz w:val="24"/>
          <w:szCs w:val="24"/>
        </w:rPr>
        <w:t xml:space="preserve">, HMG) svarende til follikelstimulerende hormon aktivitet FSH 600 IE og </w:t>
      </w:r>
      <w:proofErr w:type="spellStart"/>
      <w:r w:rsidRPr="00B4169B">
        <w:rPr>
          <w:sz w:val="24"/>
          <w:szCs w:val="24"/>
        </w:rPr>
        <w:t>luteotrop</w:t>
      </w:r>
      <w:proofErr w:type="spellEnd"/>
      <w:r w:rsidRPr="00B4169B">
        <w:rPr>
          <w:sz w:val="24"/>
          <w:szCs w:val="24"/>
        </w:rPr>
        <w:t xml:space="preserve"> hormon aktivitet LH 600 IE i 0,96 </w:t>
      </w:r>
      <w:proofErr w:type="spellStart"/>
      <w:r w:rsidRPr="00B4169B">
        <w:rPr>
          <w:sz w:val="24"/>
          <w:szCs w:val="24"/>
        </w:rPr>
        <w:t>mL</w:t>
      </w:r>
      <w:proofErr w:type="spellEnd"/>
      <w:r w:rsidRPr="00B4169B">
        <w:rPr>
          <w:sz w:val="24"/>
          <w:szCs w:val="24"/>
        </w:rPr>
        <w:t xml:space="preserve"> opløsning. </w:t>
      </w:r>
      <w:r w:rsidRPr="00B4169B">
        <w:rPr>
          <w:sz w:val="24"/>
          <w:szCs w:val="24"/>
        </w:rPr>
        <w:tab/>
      </w:r>
    </w:p>
    <w:p w:rsidR="001879F4" w:rsidRPr="00B4169B" w:rsidRDefault="001879F4" w:rsidP="001879F4">
      <w:pPr>
        <w:pStyle w:val="Brdtekstindrykning"/>
        <w:rPr>
          <w:szCs w:val="24"/>
        </w:rPr>
      </w:pPr>
    </w:p>
    <w:p w:rsidR="001879F4" w:rsidRPr="001879F4" w:rsidRDefault="001879F4" w:rsidP="001879F4">
      <w:pPr>
        <w:pStyle w:val="Brdtekstindrykning"/>
        <w:rPr>
          <w:szCs w:val="24"/>
          <w:u w:val="single"/>
        </w:rPr>
      </w:pPr>
      <w:r w:rsidRPr="001879F4">
        <w:rPr>
          <w:szCs w:val="24"/>
          <w:u w:val="single"/>
        </w:rPr>
        <w:t>Menopur 1200 IE injektionsvæske, opløsning i fyldt pen</w:t>
      </w:r>
    </w:p>
    <w:p w:rsidR="001879F4" w:rsidRPr="00B4169B" w:rsidRDefault="001879F4" w:rsidP="001879F4">
      <w:pPr>
        <w:pStyle w:val="Brdtekstindrykning"/>
        <w:rPr>
          <w:szCs w:val="24"/>
        </w:rPr>
      </w:pPr>
      <w:r w:rsidRPr="00B4169B">
        <w:rPr>
          <w:szCs w:val="24"/>
        </w:rPr>
        <w:t xml:space="preserve">En fyldt multidosis pen giver højtoprenset </w:t>
      </w:r>
      <w:proofErr w:type="spellStart"/>
      <w:r w:rsidRPr="00B4169B">
        <w:rPr>
          <w:szCs w:val="24"/>
        </w:rPr>
        <w:t>menotropin</w:t>
      </w:r>
      <w:proofErr w:type="spellEnd"/>
      <w:r w:rsidRPr="00B4169B">
        <w:rPr>
          <w:szCs w:val="24"/>
        </w:rPr>
        <w:t xml:space="preserve"> (human </w:t>
      </w:r>
      <w:proofErr w:type="spellStart"/>
      <w:r w:rsidRPr="00B4169B">
        <w:rPr>
          <w:szCs w:val="24"/>
        </w:rPr>
        <w:t>menopausal</w:t>
      </w:r>
      <w:proofErr w:type="spellEnd"/>
      <w:r w:rsidRPr="00B4169B">
        <w:rPr>
          <w:szCs w:val="24"/>
        </w:rPr>
        <w:t xml:space="preserve"> </w:t>
      </w:r>
      <w:proofErr w:type="spellStart"/>
      <w:r w:rsidRPr="00B4169B">
        <w:rPr>
          <w:szCs w:val="24"/>
        </w:rPr>
        <w:t>gonadotropin</w:t>
      </w:r>
      <w:proofErr w:type="spellEnd"/>
      <w:r w:rsidRPr="00B4169B">
        <w:rPr>
          <w:szCs w:val="24"/>
        </w:rPr>
        <w:t xml:space="preserve">, HMG) svarende til follikelstimulerende hormon aktivitet FSH 1200 IE og </w:t>
      </w:r>
      <w:proofErr w:type="spellStart"/>
      <w:r w:rsidRPr="00B4169B">
        <w:rPr>
          <w:szCs w:val="24"/>
        </w:rPr>
        <w:t>luteotrop</w:t>
      </w:r>
      <w:proofErr w:type="spellEnd"/>
      <w:r w:rsidRPr="00B4169B">
        <w:rPr>
          <w:szCs w:val="24"/>
        </w:rPr>
        <w:t xml:space="preserve"> hormon aktivitet LH 1200 IE i 1,92 </w:t>
      </w:r>
      <w:proofErr w:type="spellStart"/>
      <w:r w:rsidRPr="00B4169B">
        <w:rPr>
          <w:szCs w:val="24"/>
        </w:rPr>
        <w:t>mL</w:t>
      </w:r>
      <w:proofErr w:type="spellEnd"/>
      <w:r w:rsidRPr="00B4169B">
        <w:rPr>
          <w:szCs w:val="24"/>
        </w:rPr>
        <w:t xml:space="preserve"> opløsning. </w:t>
      </w:r>
      <w:r w:rsidRPr="00B4169B">
        <w:rPr>
          <w:szCs w:val="24"/>
        </w:rPr>
        <w:tab/>
      </w:r>
    </w:p>
    <w:p w:rsidR="001879F4" w:rsidRPr="00B4169B" w:rsidRDefault="001879F4" w:rsidP="001879F4">
      <w:pPr>
        <w:pStyle w:val="Brdtekstindrykning"/>
        <w:rPr>
          <w:szCs w:val="24"/>
        </w:rPr>
      </w:pPr>
    </w:p>
    <w:p w:rsidR="001879F4" w:rsidRPr="00B4169B" w:rsidRDefault="001879F4" w:rsidP="001879F4">
      <w:pPr>
        <w:pStyle w:val="Brdtekstindrykning"/>
        <w:rPr>
          <w:szCs w:val="24"/>
        </w:rPr>
      </w:pPr>
      <w:r w:rsidRPr="00B4169B">
        <w:rPr>
          <w:szCs w:val="24"/>
        </w:rPr>
        <w:t xml:space="preserve">En </w:t>
      </w:r>
      <w:proofErr w:type="spellStart"/>
      <w:r w:rsidRPr="00B4169B">
        <w:rPr>
          <w:szCs w:val="24"/>
        </w:rPr>
        <w:t>mL</w:t>
      </w:r>
      <w:proofErr w:type="spellEnd"/>
      <w:r w:rsidRPr="00B4169B">
        <w:rPr>
          <w:szCs w:val="24"/>
        </w:rPr>
        <w:t xml:space="preserve"> opløsning indeholder 625 IE </w:t>
      </w:r>
      <w:proofErr w:type="gramStart"/>
      <w:r w:rsidRPr="00B4169B">
        <w:rPr>
          <w:szCs w:val="24"/>
        </w:rPr>
        <w:t>FSH aktivitet</w:t>
      </w:r>
      <w:proofErr w:type="gramEnd"/>
      <w:r w:rsidRPr="00B4169B">
        <w:rPr>
          <w:szCs w:val="24"/>
        </w:rPr>
        <w:t xml:space="preserve"> og 625 IE LH aktivitet.</w:t>
      </w:r>
    </w:p>
    <w:p w:rsidR="001879F4" w:rsidRPr="00B4169B" w:rsidRDefault="001879F4" w:rsidP="001879F4">
      <w:pPr>
        <w:pStyle w:val="Brdtekstindrykning"/>
        <w:rPr>
          <w:szCs w:val="24"/>
        </w:rPr>
      </w:pPr>
    </w:p>
    <w:p w:rsidR="001879F4" w:rsidRPr="00B4169B" w:rsidRDefault="001879F4" w:rsidP="001879F4">
      <w:pPr>
        <w:pStyle w:val="Brdtekstindrykning"/>
        <w:rPr>
          <w:szCs w:val="24"/>
        </w:rPr>
      </w:pPr>
      <w:r w:rsidRPr="00B4169B">
        <w:rPr>
          <w:szCs w:val="24"/>
        </w:rPr>
        <w:t xml:space="preserve">Humant </w:t>
      </w:r>
      <w:proofErr w:type="spellStart"/>
      <w:r w:rsidRPr="00B4169B">
        <w:rPr>
          <w:szCs w:val="24"/>
        </w:rPr>
        <w:t>chorion-gonadotropin</w:t>
      </w:r>
      <w:proofErr w:type="spellEnd"/>
      <w:r w:rsidRPr="00B4169B">
        <w:rPr>
          <w:szCs w:val="24"/>
        </w:rPr>
        <w:t xml:space="preserve"> (</w:t>
      </w:r>
      <w:proofErr w:type="spellStart"/>
      <w:r w:rsidRPr="00B4169B">
        <w:rPr>
          <w:szCs w:val="24"/>
        </w:rPr>
        <w:t>hCG</w:t>
      </w:r>
      <w:proofErr w:type="spellEnd"/>
      <w:r w:rsidRPr="00B4169B">
        <w:rPr>
          <w:szCs w:val="24"/>
        </w:rPr>
        <w:t xml:space="preserve">), et naturligt forekommende hormon i </w:t>
      </w:r>
      <w:proofErr w:type="spellStart"/>
      <w:r w:rsidRPr="00B4169B">
        <w:rPr>
          <w:szCs w:val="24"/>
        </w:rPr>
        <w:t>postmenopausal</w:t>
      </w:r>
      <w:proofErr w:type="spellEnd"/>
      <w:r w:rsidRPr="00B4169B">
        <w:rPr>
          <w:szCs w:val="24"/>
        </w:rPr>
        <w:t xml:space="preserve"> urin, findes i Menopur og bidrager til den totale </w:t>
      </w:r>
      <w:proofErr w:type="spellStart"/>
      <w:r w:rsidRPr="00B4169B">
        <w:rPr>
          <w:szCs w:val="24"/>
        </w:rPr>
        <w:t>luteiniserende</w:t>
      </w:r>
      <w:proofErr w:type="spellEnd"/>
      <w:r w:rsidRPr="00B4169B">
        <w:rPr>
          <w:szCs w:val="24"/>
        </w:rPr>
        <w:t xml:space="preserve"> hormonaktivitet. </w:t>
      </w:r>
    </w:p>
    <w:p w:rsidR="001879F4" w:rsidRPr="00B4169B" w:rsidRDefault="001879F4" w:rsidP="001879F4">
      <w:pPr>
        <w:pStyle w:val="Brdtekstindrykning"/>
        <w:rPr>
          <w:szCs w:val="24"/>
        </w:rPr>
      </w:pPr>
    </w:p>
    <w:p w:rsidR="001879F4" w:rsidRPr="00B4169B" w:rsidRDefault="001879F4" w:rsidP="001879F4">
      <w:pPr>
        <w:pStyle w:val="Brdtekstindrykning"/>
        <w:rPr>
          <w:szCs w:val="24"/>
        </w:rPr>
      </w:pPr>
      <w:r w:rsidRPr="00B4169B">
        <w:rPr>
          <w:szCs w:val="24"/>
        </w:rPr>
        <w:t xml:space="preserve">Produktets aktive stof er fremstillet af urin fra </w:t>
      </w:r>
      <w:proofErr w:type="spellStart"/>
      <w:r w:rsidRPr="00B4169B">
        <w:rPr>
          <w:szCs w:val="24"/>
        </w:rPr>
        <w:t>postmenopausale</w:t>
      </w:r>
      <w:proofErr w:type="spellEnd"/>
      <w:r w:rsidRPr="00B4169B">
        <w:rPr>
          <w:szCs w:val="24"/>
        </w:rPr>
        <w:t xml:space="preserve"> kvinder.</w:t>
      </w:r>
    </w:p>
    <w:p w:rsidR="001879F4" w:rsidRPr="00B4169B" w:rsidRDefault="001879F4" w:rsidP="001879F4">
      <w:pPr>
        <w:pStyle w:val="Brdtekstindrykning"/>
        <w:rPr>
          <w:szCs w:val="24"/>
        </w:rPr>
      </w:pPr>
    </w:p>
    <w:p w:rsidR="009260DE" w:rsidRPr="00C84483" w:rsidRDefault="001879F4" w:rsidP="00BA6C61">
      <w:pPr>
        <w:ind w:left="851"/>
        <w:jc w:val="both"/>
        <w:rPr>
          <w:sz w:val="24"/>
          <w:szCs w:val="24"/>
        </w:rPr>
      </w:pPr>
      <w:r w:rsidRPr="00B4169B">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1879F4" w:rsidRPr="000A1AFD" w:rsidRDefault="001879F4" w:rsidP="001879F4">
      <w:pPr>
        <w:ind w:left="851"/>
        <w:rPr>
          <w:sz w:val="24"/>
          <w:szCs w:val="24"/>
        </w:rPr>
      </w:pPr>
      <w:r w:rsidRPr="000A1AFD">
        <w:rPr>
          <w:sz w:val="24"/>
          <w:szCs w:val="24"/>
        </w:rPr>
        <w:t>Injektionsvæske, opløsning i fyldt pen</w:t>
      </w:r>
      <w:r w:rsidR="00613EBC">
        <w:rPr>
          <w:sz w:val="24"/>
          <w:szCs w:val="24"/>
        </w:rPr>
        <w:t xml:space="preserve"> (2care4)</w:t>
      </w:r>
    </w:p>
    <w:p w:rsidR="009260DE" w:rsidRDefault="009260DE" w:rsidP="009260DE">
      <w:pPr>
        <w:tabs>
          <w:tab w:val="left" w:pos="851"/>
        </w:tabs>
        <w:ind w:left="851"/>
        <w:rPr>
          <w:sz w:val="24"/>
          <w:szCs w:val="24"/>
        </w:rPr>
      </w:pPr>
    </w:p>
    <w:p w:rsidR="00613EBC" w:rsidRDefault="00613EBC" w:rsidP="009260DE">
      <w:pPr>
        <w:tabs>
          <w:tab w:val="left" w:pos="851"/>
        </w:tabs>
        <w:ind w:left="851"/>
        <w:rPr>
          <w:sz w:val="24"/>
          <w:szCs w:val="24"/>
        </w:rPr>
      </w:pPr>
    </w:p>
    <w:p w:rsidR="00613EBC" w:rsidRDefault="00613EBC" w:rsidP="009260DE">
      <w:pPr>
        <w:tabs>
          <w:tab w:val="left" w:pos="851"/>
        </w:tabs>
        <w:ind w:left="851"/>
        <w:rPr>
          <w:sz w:val="24"/>
          <w:szCs w:val="24"/>
        </w:rPr>
      </w:pPr>
    </w:p>
    <w:p w:rsidR="00613EBC" w:rsidRDefault="00613EBC"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A6C61" w:rsidRPr="00FA49F5" w:rsidRDefault="00BA6C61" w:rsidP="00BA6C61">
      <w:pPr>
        <w:ind w:left="851"/>
        <w:rPr>
          <w:sz w:val="24"/>
          <w:szCs w:val="24"/>
        </w:rPr>
      </w:pPr>
      <w:r w:rsidRPr="00FA49F5">
        <w:rPr>
          <w:sz w:val="24"/>
          <w:szCs w:val="24"/>
        </w:rPr>
        <w:t xml:space="preserve">Menopur anvendes til behandling af </w:t>
      </w:r>
      <w:proofErr w:type="spellStart"/>
      <w:r w:rsidRPr="00FA49F5">
        <w:rPr>
          <w:sz w:val="24"/>
          <w:szCs w:val="24"/>
        </w:rPr>
        <w:t>infertilitet</w:t>
      </w:r>
      <w:proofErr w:type="spellEnd"/>
      <w:r w:rsidRPr="00FA49F5">
        <w:rPr>
          <w:sz w:val="24"/>
          <w:szCs w:val="24"/>
        </w:rPr>
        <w:t xml:space="preserve"> i følgende situationer:</w:t>
      </w:r>
    </w:p>
    <w:p w:rsidR="00BA6C61" w:rsidRPr="00FA49F5" w:rsidRDefault="00BA6C61" w:rsidP="00BA6C61">
      <w:pPr>
        <w:ind w:left="851"/>
        <w:rPr>
          <w:sz w:val="24"/>
          <w:szCs w:val="24"/>
        </w:rPr>
      </w:pPr>
    </w:p>
    <w:p w:rsidR="00BA6C61" w:rsidRPr="00FA49F5" w:rsidRDefault="00BA6C61" w:rsidP="00BA6C61">
      <w:pPr>
        <w:ind w:left="851"/>
        <w:rPr>
          <w:sz w:val="24"/>
          <w:szCs w:val="24"/>
        </w:rPr>
      </w:pPr>
      <w:proofErr w:type="spellStart"/>
      <w:r w:rsidRPr="00FA49F5">
        <w:rPr>
          <w:sz w:val="24"/>
          <w:szCs w:val="24"/>
        </w:rPr>
        <w:t>Anovulation</w:t>
      </w:r>
      <w:proofErr w:type="spellEnd"/>
      <w:r w:rsidRPr="00FA49F5">
        <w:rPr>
          <w:sz w:val="24"/>
          <w:szCs w:val="24"/>
        </w:rPr>
        <w:t xml:space="preserve">, inklusiv polycystisk ovariesyndrom (PCOS) hos kvinder, der ikke har responderet på behandling med </w:t>
      </w:r>
      <w:proofErr w:type="spellStart"/>
      <w:r w:rsidRPr="00FA49F5">
        <w:rPr>
          <w:sz w:val="24"/>
          <w:szCs w:val="24"/>
        </w:rPr>
        <w:t>clomifencitrat</w:t>
      </w:r>
      <w:proofErr w:type="spellEnd"/>
      <w:r w:rsidRPr="00FA49F5">
        <w:rPr>
          <w:sz w:val="24"/>
          <w:szCs w:val="24"/>
        </w:rPr>
        <w:t>.</w:t>
      </w:r>
    </w:p>
    <w:p w:rsidR="00BA6C61" w:rsidRPr="00FA49F5" w:rsidRDefault="00BA6C61" w:rsidP="00BA6C61">
      <w:pPr>
        <w:ind w:left="851"/>
        <w:rPr>
          <w:sz w:val="24"/>
          <w:szCs w:val="24"/>
        </w:rPr>
      </w:pPr>
    </w:p>
    <w:p w:rsidR="009260DE" w:rsidRPr="00C84483" w:rsidRDefault="00BA6C61" w:rsidP="00BA6C61">
      <w:pPr>
        <w:pStyle w:val="Sidehoved"/>
        <w:tabs>
          <w:tab w:val="clear" w:pos="4819"/>
          <w:tab w:val="clear" w:pos="9638"/>
        </w:tabs>
        <w:ind w:left="851"/>
        <w:rPr>
          <w:szCs w:val="24"/>
        </w:rPr>
      </w:pPr>
      <w:r w:rsidRPr="00FA49F5">
        <w:rPr>
          <w:szCs w:val="24"/>
        </w:rPr>
        <w:t xml:space="preserve">Kontrolleret ovariestimulation med henblik på multipel follikeludvikling i forbindelse med assisteret reproduktionsteknologi (ART) (såsom </w:t>
      </w:r>
      <w:proofErr w:type="gramStart"/>
      <w:r w:rsidRPr="00FA49F5">
        <w:rPr>
          <w:szCs w:val="24"/>
        </w:rPr>
        <w:t xml:space="preserve">in </w:t>
      </w:r>
      <w:proofErr w:type="spellStart"/>
      <w:r w:rsidRPr="00FA49F5">
        <w:rPr>
          <w:szCs w:val="24"/>
        </w:rPr>
        <w:t>vitro</w:t>
      </w:r>
      <w:proofErr w:type="spellEnd"/>
      <w:r w:rsidRPr="00FA49F5">
        <w:rPr>
          <w:szCs w:val="24"/>
        </w:rPr>
        <w:t xml:space="preserve"> befrugtning</w:t>
      </w:r>
      <w:proofErr w:type="gramEnd"/>
      <w:r w:rsidRPr="00FA49F5">
        <w:rPr>
          <w:szCs w:val="24"/>
        </w:rPr>
        <w:t>/embryooverførsel (IVF/ET), ”</w:t>
      </w:r>
      <w:proofErr w:type="spellStart"/>
      <w:r w:rsidRPr="00FA49F5">
        <w:rPr>
          <w:szCs w:val="24"/>
        </w:rPr>
        <w:t>gamete</w:t>
      </w:r>
      <w:proofErr w:type="spellEnd"/>
      <w:r w:rsidRPr="00FA49F5">
        <w:rPr>
          <w:szCs w:val="24"/>
        </w:rPr>
        <w:t xml:space="preserve"> </w:t>
      </w:r>
      <w:proofErr w:type="spellStart"/>
      <w:r w:rsidRPr="00FA49F5">
        <w:rPr>
          <w:szCs w:val="24"/>
        </w:rPr>
        <w:t>intra-fallopian</w:t>
      </w:r>
      <w:proofErr w:type="spellEnd"/>
      <w:r w:rsidRPr="00FA49F5">
        <w:rPr>
          <w:szCs w:val="24"/>
        </w:rPr>
        <w:t xml:space="preserve"> transfer” (GIFT) og intracytoplasmatisk sperm-injektion (ICSI)).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BA6C61" w:rsidRPr="009D06E4" w:rsidRDefault="00BA6C61" w:rsidP="00BA6C61">
      <w:pPr>
        <w:ind w:left="851"/>
        <w:rPr>
          <w:sz w:val="24"/>
          <w:szCs w:val="24"/>
        </w:rPr>
      </w:pPr>
      <w:r w:rsidRPr="009D06E4">
        <w:rPr>
          <w:sz w:val="24"/>
          <w:szCs w:val="24"/>
        </w:rPr>
        <w:t>Behandling med Menopur skal påbegyndes under opsyn af en læge, som har erfaring inden for behandling af fertilitetsproblemer.</w:t>
      </w:r>
    </w:p>
    <w:p w:rsidR="00BA6C61" w:rsidRPr="009D06E4" w:rsidRDefault="00BA6C61" w:rsidP="00BA6C61">
      <w:pPr>
        <w:ind w:left="851"/>
        <w:rPr>
          <w:sz w:val="24"/>
          <w:szCs w:val="24"/>
        </w:rPr>
      </w:pPr>
    </w:p>
    <w:p w:rsidR="00BA6C61" w:rsidRPr="00F12E17" w:rsidRDefault="00BA6C61" w:rsidP="00BA6C61">
      <w:pPr>
        <w:ind w:left="851"/>
        <w:rPr>
          <w:b/>
          <w:bCs/>
          <w:sz w:val="24"/>
          <w:szCs w:val="24"/>
        </w:rPr>
      </w:pPr>
      <w:r w:rsidRPr="00F12E17">
        <w:rPr>
          <w:b/>
          <w:bCs/>
          <w:sz w:val="24"/>
          <w:szCs w:val="24"/>
        </w:rPr>
        <w:t xml:space="preserve">Dosering </w:t>
      </w:r>
    </w:p>
    <w:p w:rsidR="00BA6C61" w:rsidRPr="009D06E4" w:rsidRDefault="00BA6C61" w:rsidP="00BA6C61">
      <w:pPr>
        <w:ind w:left="851"/>
        <w:rPr>
          <w:sz w:val="24"/>
          <w:szCs w:val="24"/>
        </w:rPr>
      </w:pPr>
      <w:r w:rsidRPr="009D06E4">
        <w:rPr>
          <w:sz w:val="24"/>
          <w:szCs w:val="24"/>
        </w:rPr>
        <w:t xml:space="preserve">Der er stor variation i patienternes respons på tilførsel af </w:t>
      </w:r>
      <w:proofErr w:type="spellStart"/>
      <w:r w:rsidRPr="009D06E4">
        <w:rPr>
          <w:sz w:val="24"/>
          <w:szCs w:val="24"/>
        </w:rPr>
        <w:t>exogent</w:t>
      </w:r>
      <w:proofErr w:type="spellEnd"/>
      <w:r w:rsidRPr="009D06E4">
        <w:rPr>
          <w:sz w:val="24"/>
          <w:szCs w:val="24"/>
        </w:rPr>
        <w:t xml:space="preserve"> </w:t>
      </w:r>
      <w:proofErr w:type="spellStart"/>
      <w:r w:rsidRPr="009D06E4">
        <w:rPr>
          <w:sz w:val="24"/>
          <w:szCs w:val="24"/>
        </w:rPr>
        <w:t>gonadotropin</w:t>
      </w:r>
      <w:proofErr w:type="spellEnd"/>
      <w:r w:rsidRPr="009D06E4">
        <w:rPr>
          <w:sz w:val="24"/>
          <w:szCs w:val="24"/>
        </w:rPr>
        <w:t xml:space="preserve">. Dette gør det umuligt at angive en ensartet dosering. Dosis skal derfor tilpasses den enkelte patient afhængig af dennes </w:t>
      </w:r>
      <w:proofErr w:type="spellStart"/>
      <w:r w:rsidRPr="009D06E4">
        <w:rPr>
          <w:sz w:val="24"/>
          <w:szCs w:val="24"/>
        </w:rPr>
        <w:t>ovarielle</w:t>
      </w:r>
      <w:proofErr w:type="spellEnd"/>
      <w:r w:rsidRPr="009D06E4">
        <w:rPr>
          <w:sz w:val="24"/>
          <w:szCs w:val="24"/>
        </w:rPr>
        <w:t xml:space="preserve"> respons. Menopur kan gives alene eller i kombination med en </w:t>
      </w:r>
      <w:proofErr w:type="spellStart"/>
      <w:r w:rsidRPr="009D06E4">
        <w:rPr>
          <w:sz w:val="24"/>
          <w:szCs w:val="24"/>
        </w:rPr>
        <w:t>gonadotropin-releasing</w:t>
      </w:r>
      <w:proofErr w:type="spellEnd"/>
      <w:r w:rsidRPr="009D06E4">
        <w:rPr>
          <w:sz w:val="24"/>
          <w:szCs w:val="24"/>
        </w:rPr>
        <w:t xml:space="preserve"> hormon (</w:t>
      </w:r>
      <w:proofErr w:type="spellStart"/>
      <w:r w:rsidRPr="009D06E4">
        <w:rPr>
          <w:sz w:val="24"/>
          <w:szCs w:val="24"/>
        </w:rPr>
        <w:t>GnRH</w:t>
      </w:r>
      <w:proofErr w:type="spellEnd"/>
      <w:r w:rsidRPr="009D06E4">
        <w:rPr>
          <w:sz w:val="24"/>
          <w:szCs w:val="24"/>
        </w:rPr>
        <w:t xml:space="preserve">)-agonist eller antagonist. Dosering og varighed af behandlingen vil afhænge af behandlingsprotokollen.  </w:t>
      </w:r>
    </w:p>
    <w:p w:rsidR="00BA6C61" w:rsidRPr="009D06E4" w:rsidRDefault="00BA6C61" w:rsidP="00BA6C61">
      <w:pPr>
        <w:ind w:left="851"/>
        <w:rPr>
          <w:i/>
          <w:sz w:val="24"/>
          <w:szCs w:val="24"/>
        </w:rPr>
      </w:pPr>
    </w:p>
    <w:p w:rsidR="00BA6C61" w:rsidRPr="00F12E17" w:rsidRDefault="00BA6C61" w:rsidP="00BA6C61">
      <w:pPr>
        <w:ind w:left="851"/>
        <w:rPr>
          <w:sz w:val="24"/>
          <w:szCs w:val="24"/>
          <w:u w:val="single"/>
        </w:rPr>
      </w:pPr>
      <w:proofErr w:type="spellStart"/>
      <w:r w:rsidRPr="00F12E17">
        <w:rPr>
          <w:sz w:val="24"/>
          <w:szCs w:val="24"/>
          <w:u w:val="single"/>
        </w:rPr>
        <w:t>Anovulatoriske</w:t>
      </w:r>
      <w:proofErr w:type="spellEnd"/>
      <w:r w:rsidRPr="00F12E17">
        <w:rPr>
          <w:sz w:val="24"/>
          <w:szCs w:val="24"/>
          <w:u w:val="single"/>
        </w:rPr>
        <w:t xml:space="preserve"> kvinder (inklusive PCOS)</w:t>
      </w:r>
    </w:p>
    <w:p w:rsidR="00BA6C61" w:rsidRPr="009D06E4" w:rsidRDefault="00BA6C61" w:rsidP="00BA6C61">
      <w:pPr>
        <w:ind w:left="851"/>
        <w:rPr>
          <w:sz w:val="24"/>
          <w:szCs w:val="24"/>
        </w:rPr>
      </w:pPr>
      <w:r w:rsidRPr="009D06E4">
        <w:rPr>
          <w:sz w:val="24"/>
          <w:szCs w:val="24"/>
        </w:rPr>
        <w:t xml:space="preserve">Målet med behandling med Menopur er at udvikle en enkelt </w:t>
      </w:r>
      <w:proofErr w:type="spellStart"/>
      <w:r w:rsidRPr="009D06E4">
        <w:rPr>
          <w:sz w:val="24"/>
          <w:szCs w:val="24"/>
        </w:rPr>
        <w:t>Graafs</w:t>
      </w:r>
      <w:proofErr w:type="spellEnd"/>
      <w:r w:rsidRPr="009D06E4">
        <w:rPr>
          <w:sz w:val="24"/>
          <w:szCs w:val="24"/>
        </w:rPr>
        <w:t xml:space="preserve"> follikel fra hvilken </w:t>
      </w:r>
      <w:proofErr w:type="spellStart"/>
      <w:r w:rsidRPr="009D06E4">
        <w:rPr>
          <w:sz w:val="24"/>
          <w:szCs w:val="24"/>
        </w:rPr>
        <w:t>oocytten</w:t>
      </w:r>
      <w:proofErr w:type="spellEnd"/>
      <w:r w:rsidRPr="009D06E4">
        <w:rPr>
          <w:sz w:val="24"/>
          <w:szCs w:val="24"/>
        </w:rPr>
        <w:t xml:space="preserve"> vil blive frigivet efter administration af humant </w:t>
      </w:r>
      <w:proofErr w:type="spellStart"/>
      <w:r w:rsidRPr="009D06E4">
        <w:rPr>
          <w:sz w:val="24"/>
          <w:szCs w:val="24"/>
        </w:rPr>
        <w:t>chorion-gonadotropin</w:t>
      </w:r>
      <w:proofErr w:type="spellEnd"/>
      <w:r w:rsidRPr="009D06E4">
        <w:rPr>
          <w:sz w:val="24"/>
          <w:szCs w:val="24"/>
        </w:rPr>
        <w:t xml:space="preserve"> (</w:t>
      </w:r>
      <w:proofErr w:type="spellStart"/>
      <w:r w:rsidRPr="009D06E4">
        <w:rPr>
          <w:sz w:val="24"/>
          <w:szCs w:val="24"/>
        </w:rPr>
        <w:t>hCG</w:t>
      </w:r>
      <w:proofErr w:type="spellEnd"/>
      <w:r w:rsidRPr="009D06E4">
        <w:rPr>
          <w:sz w:val="24"/>
          <w:szCs w:val="24"/>
        </w:rPr>
        <w:t>).</w:t>
      </w:r>
    </w:p>
    <w:p w:rsidR="00BA6C61" w:rsidRPr="009D06E4" w:rsidRDefault="00BA6C61" w:rsidP="00BA6C61">
      <w:pPr>
        <w:ind w:left="851"/>
        <w:rPr>
          <w:sz w:val="24"/>
          <w:szCs w:val="24"/>
        </w:rPr>
      </w:pPr>
    </w:p>
    <w:p w:rsidR="00BA6C61" w:rsidRPr="009D06E4" w:rsidRDefault="00BA6C61" w:rsidP="00BA6C61">
      <w:pPr>
        <w:ind w:left="851"/>
        <w:rPr>
          <w:sz w:val="24"/>
          <w:szCs w:val="24"/>
        </w:rPr>
      </w:pPr>
      <w:r w:rsidRPr="009D06E4">
        <w:rPr>
          <w:sz w:val="24"/>
          <w:szCs w:val="24"/>
        </w:rPr>
        <w:t>Behandling med Menopur bør påbegyndes inden for de første 7 dage af menstruationscyklus. Den anbefalede startdosis af Menopur er 75-150 IE daglig. Denne dosis bør bibeholdes i mindst 7 dage. På baggrund af klinisk monitorering (</w:t>
      </w:r>
      <w:proofErr w:type="gramStart"/>
      <w:r w:rsidRPr="009D06E4">
        <w:rPr>
          <w:sz w:val="24"/>
          <w:szCs w:val="24"/>
        </w:rPr>
        <w:t>inklusiv</w:t>
      </w:r>
      <w:proofErr w:type="gramEnd"/>
      <w:r w:rsidRPr="009D06E4">
        <w:rPr>
          <w:sz w:val="24"/>
          <w:szCs w:val="24"/>
        </w:rPr>
        <w:t xml:space="preserve"> ultralyd af ovarier alene eller i kombination med måling af </w:t>
      </w:r>
      <w:proofErr w:type="spellStart"/>
      <w:r w:rsidRPr="009D06E4">
        <w:rPr>
          <w:sz w:val="24"/>
          <w:szCs w:val="24"/>
        </w:rPr>
        <w:t>østradiolniveauer</w:t>
      </w:r>
      <w:proofErr w:type="spellEnd"/>
      <w:r w:rsidRPr="009D06E4">
        <w:rPr>
          <w:sz w:val="24"/>
          <w:szCs w:val="24"/>
        </w:rPr>
        <w:t>) skal efterfølgende dosering justeres efter den enkelte patients respons. Dosisændringer bør ikke foretages oftere end hver 7. dag. Den anbefalede dosisøgning er 37,5 IE pr. ændring og bør ikke overstige 75 IE pr. ændring. Maksimal daglig dosis bør ikke være højere end 225 IE. Hvis en patient ikke responderer tilstrækkeligt efter 4 ugers behandling, bør pågældende behandlingscyklus afbrydes, og patienten bør begynde på en ny behandling med en højere startdosis end i den afbrudte cyklus.</w:t>
      </w:r>
    </w:p>
    <w:p w:rsidR="00BA6C61" w:rsidRPr="009D06E4" w:rsidRDefault="00BA6C61" w:rsidP="00BA6C61">
      <w:pPr>
        <w:ind w:left="851"/>
        <w:rPr>
          <w:sz w:val="24"/>
          <w:szCs w:val="24"/>
        </w:rPr>
      </w:pPr>
    </w:p>
    <w:p w:rsidR="00BA6C61" w:rsidRPr="009D06E4" w:rsidRDefault="00BA6C61" w:rsidP="00BA6C61">
      <w:pPr>
        <w:ind w:left="851"/>
        <w:rPr>
          <w:sz w:val="24"/>
          <w:szCs w:val="24"/>
        </w:rPr>
      </w:pPr>
      <w:r w:rsidRPr="009D06E4">
        <w:rPr>
          <w:sz w:val="24"/>
          <w:szCs w:val="24"/>
        </w:rPr>
        <w:t xml:space="preserve">Når optimal respons er opnået, gives én enkelt injektion på 5.000 IE til 10.000 IE </w:t>
      </w:r>
      <w:proofErr w:type="spellStart"/>
      <w:r w:rsidRPr="009D06E4">
        <w:rPr>
          <w:sz w:val="24"/>
          <w:szCs w:val="24"/>
        </w:rPr>
        <w:t>hCG</w:t>
      </w:r>
      <w:proofErr w:type="spellEnd"/>
      <w:r w:rsidRPr="009D06E4">
        <w:rPr>
          <w:sz w:val="24"/>
          <w:szCs w:val="24"/>
        </w:rPr>
        <w:t xml:space="preserve"> 1 dag efter den sidste injektion med Menopur. Patienten anbefales at have samleje på dagen for og dagen efterfølgende administration af </w:t>
      </w:r>
      <w:proofErr w:type="spellStart"/>
      <w:r w:rsidRPr="009D06E4">
        <w:rPr>
          <w:sz w:val="24"/>
          <w:szCs w:val="24"/>
        </w:rPr>
        <w:t>hCG</w:t>
      </w:r>
      <w:proofErr w:type="spellEnd"/>
      <w:r w:rsidRPr="009D06E4">
        <w:rPr>
          <w:sz w:val="24"/>
          <w:szCs w:val="24"/>
        </w:rPr>
        <w:t xml:space="preserve">. Alternativt kan intrauterin insemination (IUI) udføres. Hvis responset på Menopur er for kraftig, bør behandlingen stoppes, og </w:t>
      </w:r>
      <w:proofErr w:type="spellStart"/>
      <w:r w:rsidRPr="009D06E4">
        <w:rPr>
          <w:sz w:val="24"/>
          <w:szCs w:val="24"/>
        </w:rPr>
        <w:t>hCG</w:t>
      </w:r>
      <w:proofErr w:type="spellEnd"/>
      <w:r w:rsidRPr="009D06E4">
        <w:rPr>
          <w:sz w:val="24"/>
          <w:szCs w:val="24"/>
        </w:rPr>
        <w:t xml:space="preserve">-injektionerne ikke gives (se pkt. 4.4), og patienten bør bruge en barrieremetode af prævention eller afstå fra samleje, indtil den næste </w:t>
      </w:r>
      <w:proofErr w:type="spellStart"/>
      <w:r w:rsidRPr="009D06E4">
        <w:rPr>
          <w:sz w:val="24"/>
          <w:szCs w:val="24"/>
        </w:rPr>
        <w:t>menstruelle</w:t>
      </w:r>
      <w:proofErr w:type="spellEnd"/>
      <w:r w:rsidRPr="009D06E4">
        <w:rPr>
          <w:sz w:val="24"/>
          <w:szCs w:val="24"/>
        </w:rPr>
        <w:t xml:space="preserve"> blødning er startet.</w:t>
      </w:r>
    </w:p>
    <w:p w:rsidR="00BA6C61" w:rsidRPr="009D06E4" w:rsidRDefault="00BA6C61" w:rsidP="00BA6C61">
      <w:pPr>
        <w:ind w:left="851"/>
        <w:rPr>
          <w:i/>
          <w:sz w:val="24"/>
          <w:szCs w:val="24"/>
        </w:rPr>
      </w:pPr>
    </w:p>
    <w:p w:rsidR="00BA6C61" w:rsidRPr="00BA6C61" w:rsidRDefault="00BA6C61" w:rsidP="00BA6C61">
      <w:pPr>
        <w:ind w:left="851"/>
        <w:rPr>
          <w:sz w:val="24"/>
          <w:szCs w:val="24"/>
          <w:u w:val="single"/>
        </w:rPr>
      </w:pPr>
      <w:r w:rsidRPr="00BA6C61">
        <w:rPr>
          <w:sz w:val="24"/>
          <w:szCs w:val="24"/>
          <w:u w:val="single"/>
        </w:rPr>
        <w:t>Kvinder som gennemgår ovariestimulation med henblik på multipel follikeludvikling i forbindelse med assisteret reproduktionsteknologi (ART)</w:t>
      </w:r>
    </w:p>
    <w:p w:rsidR="00BA6C61" w:rsidRPr="009D06E4" w:rsidRDefault="00BA6C61" w:rsidP="00BA6C61">
      <w:pPr>
        <w:ind w:left="851"/>
        <w:rPr>
          <w:sz w:val="24"/>
          <w:szCs w:val="24"/>
        </w:rPr>
      </w:pPr>
      <w:r w:rsidRPr="009D06E4">
        <w:rPr>
          <w:sz w:val="24"/>
          <w:szCs w:val="24"/>
        </w:rPr>
        <w:t xml:space="preserve">I en protokol der omfatter nedregulering med en </w:t>
      </w:r>
      <w:proofErr w:type="spellStart"/>
      <w:r w:rsidRPr="009D06E4">
        <w:rPr>
          <w:sz w:val="24"/>
          <w:szCs w:val="24"/>
        </w:rPr>
        <w:t>GnRH</w:t>
      </w:r>
      <w:proofErr w:type="spellEnd"/>
      <w:r w:rsidRPr="009D06E4">
        <w:rPr>
          <w:sz w:val="24"/>
          <w:szCs w:val="24"/>
        </w:rPr>
        <w:t xml:space="preserve"> agonist, startes behandlingen med Menopur ca. 2 uger efter påbegyndelse af agonistbehandlingen. I en protokol hvor der nedreguleres med </w:t>
      </w:r>
      <w:proofErr w:type="spellStart"/>
      <w:r w:rsidRPr="009D06E4">
        <w:rPr>
          <w:sz w:val="24"/>
          <w:szCs w:val="24"/>
        </w:rPr>
        <w:t>GnRH</w:t>
      </w:r>
      <w:proofErr w:type="spellEnd"/>
      <w:r w:rsidRPr="009D06E4">
        <w:rPr>
          <w:sz w:val="24"/>
          <w:szCs w:val="24"/>
        </w:rPr>
        <w:t xml:space="preserve"> antagonist, skal Menopur behandling starte på dag 2 eller 3 i </w:t>
      </w:r>
      <w:r w:rsidRPr="009D06E4">
        <w:rPr>
          <w:sz w:val="24"/>
          <w:szCs w:val="24"/>
        </w:rPr>
        <w:lastRenderedPageBreak/>
        <w:t xml:space="preserve">menstruationscyklen. Den anbefalede Menopur startdosis er 150-225 IE </w:t>
      </w:r>
      <w:r w:rsidR="00116361">
        <w:rPr>
          <w:sz w:val="24"/>
          <w:szCs w:val="24"/>
        </w:rPr>
        <w:t>daglig</w:t>
      </w:r>
      <w:r w:rsidRPr="009D06E4">
        <w:rPr>
          <w:sz w:val="24"/>
          <w:szCs w:val="24"/>
        </w:rPr>
        <w:t xml:space="preserve"> i mindst 5 dage. Baseret på klinisk monitorering (ved hjælp af ultralyd alene eller sammen med målinger af serumøstrogen) fortsættes med dosistilpasning efter patientens respons, dog ikke mere end 150 IE per tilpasning. Den maksimale daglige dosis bør ikke være højere end 450 IE/dag, og i de fleste tilfælde bør der ikke doseres mere end 20 dage. </w:t>
      </w:r>
    </w:p>
    <w:p w:rsidR="00BA6C61" w:rsidRPr="009D06E4" w:rsidRDefault="00BA6C61" w:rsidP="00BA6C61">
      <w:pPr>
        <w:ind w:left="851"/>
        <w:rPr>
          <w:sz w:val="24"/>
          <w:szCs w:val="24"/>
        </w:rPr>
      </w:pPr>
    </w:p>
    <w:p w:rsidR="00BA6C61" w:rsidRPr="009D06E4" w:rsidRDefault="00BA6C61" w:rsidP="00BA6C61">
      <w:pPr>
        <w:pStyle w:val="Brdtekstindrykning"/>
        <w:rPr>
          <w:szCs w:val="24"/>
        </w:rPr>
      </w:pPr>
      <w:r w:rsidRPr="009D06E4">
        <w:rPr>
          <w:szCs w:val="24"/>
        </w:rPr>
        <w:t xml:space="preserve">Når et tilpas antal follikler har nået en passende størrelse, administreres en enkelt injektion på op til 10.000 IE </w:t>
      </w:r>
      <w:proofErr w:type="spellStart"/>
      <w:r w:rsidRPr="009D06E4">
        <w:rPr>
          <w:szCs w:val="24"/>
        </w:rPr>
        <w:t>hCG</w:t>
      </w:r>
      <w:proofErr w:type="spellEnd"/>
      <w:r w:rsidRPr="009D06E4">
        <w:rPr>
          <w:szCs w:val="24"/>
        </w:rPr>
        <w:t xml:space="preserve"> for at inducere </w:t>
      </w:r>
      <w:proofErr w:type="spellStart"/>
      <w:r w:rsidRPr="009D06E4">
        <w:rPr>
          <w:szCs w:val="24"/>
        </w:rPr>
        <w:t>follikulær</w:t>
      </w:r>
      <w:proofErr w:type="spellEnd"/>
      <w:r w:rsidRPr="009D06E4">
        <w:rPr>
          <w:szCs w:val="24"/>
        </w:rPr>
        <w:t xml:space="preserve"> modning som forberedelse på </w:t>
      </w:r>
      <w:proofErr w:type="spellStart"/>
      <w:r w:rsidRPr="009D06E4">
        <w:rPr>
          <w:szCs w:val="24"/>
        </w:rPr>
        <w:t>oocyt</w:t>
      </w:r>
      <w:proofErr w:type="spellEnd"/>
      <w:r w:rsidRPr="009D06E4">
        <w:rPr>
          <w:szCs w:val="24"/>
        </w:rPr>
        <w:t xml:space="preserve"> oprettelse. Patienter bør følges tæt i mindst 2 uger efter </w:t>
      </w:r>
      <w:proofErr w:type="spellStart"/>
      <w:r w:rsidRPr="009D06E4">
        <w:rPr>
          <w:szCs w:val="24"/>
        </w:rPr>
        <w:t>hCG</w:t>
      </w:r>
      <w:proofErr w:type="spellEnd"/>
      <w:r w:rsidRPr="009D06E4">
        <w:rPr>
          <w:szCs w:val="24"/>
        </w:rPr>
        <w:t xml:space="preserve"> administration. Hvis et for kraftigt </w:t>
      </w:r>
      <w:proofErr w:type="spellStart"/>
      <w:r w:rsidRPr="009D06E4">
        <w:rPr>
          <w:szCs w:val="24"/>
        </w:rPr>
        <w:t>ovarielt</w:t>
      </w:r>
      <w:proofErr w:type="spellEnd"/>
      <w:r w:rsidRPr="009D06E4">
        <w:rPr>
          <w:szCs w:val="24"/>
        </w:rPr>
        <w:t xml:space="preserve"> respons opnås, bør behandlingen stoppes og </w:t>
      </w:r>
      <w:proofErr w:type="spellStart"/>
      <w:r w:rsidRPr="009D06E4">
        <w:rPr>
          <w:szCs w:val="24"/>
        </w:rPr>
        <w:t>hCG</w:t>
      </w:r>
      <w:proofErr w:type="spellEnd"/>
      <w:r w:rsidRPr="009D06E4">
        <w:rPr>
          <w:szCs w:val="24"/>
        </w:rPr>
        <w:t xml:space="preserve"> injektionen undlades (se pkt. 4.4), og patienten bør bruge en barrieremetode af prævention eller afstå fra samleje, indtil den næste </w:t>
      </w:r>
      <w:proofErr w:type="spellStart"/>
      <w:r w:rsidRPr="009D06E4">
        <w:rPr>
          <w:szCs w:val="24"/>
        </w:rPr>
        <w:t>menstruelle</w:t>
      </w:r>
      <w:proofErr w:type="spellEnd"/>
      <w:r w:rsidRPr="009D06E4">
        <w:rPr>
          <w:szCs w:val="24"/>
        </w:rPr>
        <w:t xml:space="preserve"> blødning er startet.</w:t>
      </w:r>
    </w:p>
    <w:p w:rsidR="00BA6C61" w:rsidRPr="009D06E4" w:rsidRDefault="00BA6C61" w:rsidP="00BA6C61">
      <w:pPr>
        <w:pStyle w:val="Brdtekstindrykning"/>
        <w:rPr>
          <w:szCs w:val="24"/>
        </w:rPr>
      </w:pPr>
    </w:p>
    <w:p w:rsidR="00BA6C61" w:rsidRPr="00BA6C61" w:rsidRDefault="00BA6C61" w:rsidP="00BA6C61">
      <w:pPr>
        <w:pStyle w:val="Brdtekstindrykning"/>
        <w:rPr>
          <w:szCs w:val="24"/>
          <w:u w:val="single"/>
        </w:rPr>
      </w:pPr>
      <w:r w:rsidRPr="00BA6C61">
        <w:rPr>
          <w:szCs w:val="24"/>
          <w:u w:val="single"/>
        </w:rPr>
        <w:t>Nedsat nyre-/leverfunktion</w:t>
      </w:r>
    </w:p>
    <w:p w:rsidR="00BA6C61" w:rsidRPr="009D06E4" w:rsidRDefault="00BA6C61" w:rsidP="00BA6C61">
      <w:pPr>
        <w:pStyle w:val="Brdtekstindrykning"/>
        <w:rPr>
          <w:szCs w:val="24"/>
        </w:rPr>
      </w:pPr>
      <w:r w:rsidRPr="009D06E4">
        <w:rPr>
          <w:szCs w:val="24"/>
        </w:rPr>
        <w:t>Patienter med nedsat nyre- og leverfunktion er ikke blevet inkluderet i kliniske forsøg (se pkt. 5.2).</w:t>
      </w:r>
    </w:p>
    <w:p w:rsidR="00BA6C61" w:rsidRPr="009D06E4" w:rsidRDefault="00BA6C61" w:rsidP="00BA6C61">
      <w:pPr>
        <w:pStyle w:val="Brdtekstindrykning"/>
        <w:rPr>
          <w:szCs w:val="24"/>
        </w:rPr>
      </w:pPr>
    </w:p>
    <w:p w:rsidR="00BA6C61" w:rsidRPr="00BA6C61" w:rsidRDefault="00BA6C61" w:rsidP="00BA6C61">
      <w:pPr>
        <w:pStyle w:val="Brdtekstindrykning"/>
        <w:rPr>
          <w:szCs w:val="24"/>
          <w:u w:val="single"/>
        </w:rPr>
      </w:pPr>
      <w:r w:rsidRPr="00BA6C61">
        <w:rPr>
          <w:szCs w:val="24"/>
          <w:u w:val="single"/>
        </w:rPr>
        <w:t>Pædiatrisk population</w:t>
      </w:r>
    </w:p>
    <w:p w:rsidR="00BA6C61" w:rsidRPr="009D06E4" w:rsidRDefault="00BA6C61" w:rsidP="00BA6C61">
      <w:pPr>
        <w:pStyle w:val="Brdtekstindrykning"/>
        <w:rPr>
          <w:szCs w:val="24"/>
        </w:rPr>
      </w:pPr>
      <w:r w:rsidRPr="009D06E4">
        <w:rPr>
          <w:szCs w:val="24"/>
        </w:rPr>
        <w:t>Der er ingen relevante indikationer for brug af Menopur i den pædiatriske population.</w:t>
      </w:r>
    </w:p>
    <w:p w:rsidR="00BA6C61" w:rsidRPr="009D06E4" w:rsidRDefault="00BA6C61" w:rsidP="00BA6C61">
      <w:pPr>
        <w:pStyle w:val="Brdtekstindrykning"/>
        <w:rPr>
          <w:szCs w:val="24"/>
        </w:rPr>
      </w:pPr>
    </w:p>
    <w:p w:rsidR="00BA6C61" w:rsidRPr="00BA6C61" w:rsidRDefault="00BA6C61" w:rsidP="00BA6C61">
      <w:pPr>
        <w:ind w:left="851"/>
        <w:rPr>
          <w:b/>
          <w:bCs/>
          <w:sz w:val="24"/>
          <w:szCs w:val="24"/>
        </w:rPr>
      </w:pPr>
      <w:r w:rsidRPr="00BA6C61">
        <w:rPr>
          <w:b/>
          <w:bCs/>
          <w:sz w:val="24"/>
          <w:szCs w:val="24"/>
        </w:rPr>
        <w:t>Administration</w:t>
      </w:r>
      <w:r w:rsidRPr="00BA6C61" w:rsidDel="009F3CBB">
        <w:rPr>
          <w:b/>
          <w:bCs/>
          <w:sz w:val="24"/>
          <w:szCs w:val="24"/>
        </w:rPr>
        <w:t xml:space="preserve"> </w:t>
      </w:r>
    </w:p>
    <w:p w:rsidR="00BA6C61" w:rsidRPr="009D06E4" w:rsidRDefault="00BA6C61" w:rsidP="00BA6C61">
      <w:pPr>
        <w:ind w:left="851"/>
        <w:rPr>
          <w:sz w:val="24"/>
          <w:szCs w:val="24"/>
        </w:rPr>
      </w:pPr>
      <w:r w:rsidRPr="009D06E4">
        <w:rPr>
          <w:sz w:val="24"/>
          <w:szCs w:val="24"/>
        </w:rPr>
        <w:t>Menopur er beregnet til subkutan (</w:t>
      </w:r>
      <w:proofErr w:type="spellStart"/>
      <w:r w:rsidRPr="009D06E4">
        <w:rPr>
          <w:sz w:val="24"/>
          <w:szCs w:val="24"/>
        </w:rPr>
        <w:t>s.c</w:t>
      </w:r>
      <w:proofErr w:type="spellEnd"/>
      <w:r w:rsidRPr="009D06E4">
        <w:rPr>
          <w:sz w:val="24"/>
          <w:szCs w:val="24"/>
        </w:rPr>
        <w:t xml:space="preserve">.) injektion, helst i maveskindet. Den første injektion bør foretages under direkte lægeligt tilsyn. Patienter skal instrueres i, hvordan MENOPUR-injektionspennen anvendes og at </w:t>
      </w:r>
      <w:proofErr w:type="spellStart"/>
      <w:r w:rsidRPr="009D06E4">
        <w:rPr>
          <w:sz w:val="24"/>
          <w:szCs w:val="24"/>
        </w:rPr>
        <w:t>at</w:t>
      </w:r>
      <w:proofErr w:type="spellEnd"/>
      <w:r w:rsidRPr="009D06E4">
        <w:rPr>
          <w:sz w:val="24"/>
          <w:szCs w:val="24"/>
        </w:rPr>
        <w:t xml:space="preserve"> udføre injektioner. Selvadministration bør kun udføres af patienter, som er yderst motiverede, tilstrækkeligt uddannede og som har adgang til ekspertrådgivning.</w:t>
      </w:r>
    </w:p>
    <w:p w:rsidR="00BA6C61" w:rsidRPr="009D06E4" w:rsidRDefault="00BA6C61" w:rsidP="00BA6C61">
      <w:pPr>
        <w:ind w:left="851"/>
        <w:rPr>
          <w:sz w:val="24"/>
          <w:szCs w:val="24"/>
        </w:rPr>
      </w:pPr>
    </w:p>
    <w:p w:rsidR="009260DE" w:rsidRPr="00C84483" w:rsidRDefault="00BA6C61" w:rsidP="00F12E17">
      <w:pPr>
        <w:ind w:left="851"/>
        <w:rPr>
          <w:sz w:val="24"/>
          <w:szCs w:val="24"/>
        </w:rPr>
      </w:pPr>
      <w:r w:rsidRPr="009D06E4">
        <w:rPr>
          <w:sz w:val="24"/>
          <w:szCs w:val="24"/>
        </w:rPr>
        <w:t>For instruktioner om administration med den fyldte pen, se ”</w:t>
      </w:r>
      <w:r w:rsidRPr="009D06E4">
        <w:rPr>
          <w:noProof/>
          <w:sz w:val="24"/>
          <w:szCs w:val="24"/>
        </w:rPr>
        <w:t xml:space="preserve"> Brugervejledning</w:t>
      </w:r>
      <w:r w:rsidRPr="009D06E4">
        <w:rPr>
          <w:sz w:val="24"/>
          <w:szCs w:val="24"/>
        </w:rPr>
        <w:t>”, som følger med i pakken med pennen.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C7176" w:rsidRPr="00483C12" w:rsidRDefault="009C7176" w:rsidP="009C7176">
      <w:pPr>
        <w:ind w:left="851"/>
        <w:rPr>
          <w:sz w:val="24"/>
          <w:szCs w:val="24"/>
        </w:rPr>
      </w:pPr>
    </w:p>
    <w:p w:rsidR="009C7176" w:rsidRPr="009C7176" w:rsidRDefault="009C7176" w:rsidP="009C7176">
      <w:pPr>
        <w:ind w:left="851"/>
        <w:rPr>
          <w:sz w:val="24"/>
          <w:szCs w:val="24"/>
          <w:u w:val="single"/>
        </w:rPr>
      </w:pPr>
      <w:r w:rsidRPr="009C7176">
        <w:rPr>
          <w:sz w:val="24"/>
          <w:szCs w:val="24"/>
          <w:u w:val="single"/>
        </w:rPr>
        <w:t>Menopur må ikke anvendes i tilfælde af</w:t>
      </w:r>
    </w:p>
    <w:p w:rsidR="009C7176" w:rsidRPr="00483C12" w:rsidRDefault="009C7176" w:rsidP="009C7176">
      <w:pPr>
        <w:numPr>
          <w:ilvl w:val="0"/>
          <w:numId w:val="7"/>
        </w:numPr>
        <w:tabs>
          <w:tab w:val="clear" w:pos="720"/>
        </w:tabs>
        <w:ind w:left="1134" w:hanging="283"/>
        <w:rPr>
          <w:sz w:val="24"/>
          <w:szCs w:val="24"/>
        </w:rPr>
      </w:pPr>
      <w:r w:rsidRPr="00483C12">
        <w:rPr>
          <w:sz w:val="24"/>
          <w:szCs w:val="24"/>
        </w:rPr>
        <w:t>tumor i hypotalamus eller hypofysen</w:t>
      </w:r>
    </w:p>
    <w:p w:rsidR="009C7176" w:rsidRPr="00483C12" w:rsidRDefault="009C7176" w:rsidP="009C7176">
      <w:pPr>
        <w:numPr>
          <w:ilvl w:val="0"/>
          <w:numId w:val="7"/>
        </w:numPr>
        <w:tabs>
          <w:tab w:val="clear" w:pos="720"/>
        </w:tabs>
        <w:ind w:left="1134" w:hanging="283"/>
        <w:rPr>
          <w:sz w:val="24"/>
          <w:szCs w:val="24"/>
        </w:rPr>
      </w:pPr>
      <w:r w:rsidRPr="00483C12">
        <w:rPr>
          <w:sz w:val="24"/>
          <w:szCs w:val="24"/>
        </w:rPr>
        <w:t xml:space="preserve">ovarie-, uterus-, eller </w:t>
      </w:r>
      <w:proofErr w:type="spellStart"/>
      <w:r w:rsidRPr="00483C12">
        <w:rPr>
          <w:sz w:val="24"/>
          <w:szCs w:val="24"/>
        </w:rPr>
        <w:t>mammacarcinom</w:t>
      </w:r>
      <w:proofErr w:type="spellEnd"/>
    </w:p>
    <w:p w:rsidR="009C7176" w:rsidRPr="00483C12" w:rsidRDefault="009C7176" w:rsidP="009C7176">
      <w:pPr>
        <w:numPr>
          <w:ilvl w:val="0"/>
          <w:numId w:val="7"/>
        </w:numPr>
        <w:tabs>
          <w:tab w:val="clear" w:pos="720"/>
        </w:tabs>
        <w:ind w:left="1134" w:hanging="283"/>
        <w:rPr>
          <w:sz w:val="24"/>
          <w:szCs w:val="24"/>
        </w:rPr>
      </w:pPr>
      <w:r w:rsidRPr="00483C12">
        <w:rPr>
          <w:sz w:val="24"/>
          <w:szCs w:val="24"/>
        </w:rPr>
        <w:t>graviditet og amning</w:t>
      </w:r>
    </w:p>
    <w:p w:rsidR="009C7176" w:rsidRPr="00483C12" w:rsidRDefault="009C7176" w:rsidP="009C7176">
      <w:pPr>
        <w:numPr>
          <w:ilvl w:val="0"/>
          <w:numId w:val="7"/>
        </w:numPr>
        <w:tabs>
          <w:tab w:val="clear" w:pos="720"/>
        </w:tabs>
        <w:ind w:left="1134" w:hanging="283"/>
        <w:rPr>
          <w:sz w:val="24"/>
          <w:szCs w:val="24"/>
        </w:rPr>
      </w:pPr>
      <w:r w:rsidRPr="00483C12">
        <w:rPr>
          <w:sz w:val="24"/>
          <w:szCs w:val="24"/>
        </w:rPr>
        <w:t>gynækologiske blødninger af ukendt ætiologi</w:t>
      </w:r>
    </w:p>
    <w:p w:rsidR="009C7176" w:rsidRPr="00483C12" w:rsidRDefault="009C7176" w:rsidP="009C7176">
      <w:pPr>
        <w:numPr>
          <w:ilvl w:val="0"/>
          <w:numId w:val="7"/>
        </w:numPr>
        <w:tabs>
          <w:tab w:val="clear" w:pos="720"/>
        </w:tabs>
        <w:ind w:left="1134" w:hanging="283"/>
        <w:rPr>
          <w:sz w:val="24"/>
          <w:szCs w:val="24"/>
        </w:rPr>
      </w:pPr>
      <w:r w:rsidRPr="00483C12">
        <w:rPr>
          <w:sz w:val="24"/>
          <w:szCs w:val="24"/>
        </w:rPr>
        <w:t>overfølsomhed overfor det aktive stof eller et eller flere af hjælpestofferne anført i pkt. 6.1</w:t>
      </w:r>
    </w:p>
    <w:p w:rsidR="009C7176" w:rsidRPr="00483C12" w:rsidRDefault="009C7176" w:rsidP="009C7176">
      <w:pPr>
        <w:numPr>
          <w:ilvl w:val="0"/>
          <w:numId w:val="7"/>
        </w:numPr>
        <w:tabs>
          <w:tab w:val="clear" w:pos="720"/>
        </w:tabs>
        <w:ind w:left="1134" w:hanging="283"/>
        <w:rPr>
          <w:sz w:val="24"/>
          <w:szCs w:val="24"/>
        </w:rPr>
      </w:pPr>
      <w:r w:rsidRPr="00483C12">
        <w:rPr>
          <w:sz w:val="24"/>
          <w:szCs w:val="24"/>
        </w:rPr>
        <w:t>ovarieforstørrelse eller cyste, som ikke er forårsaget af polycystisk ovariesyndrom</w:t>
      </w:r>
    </w:p>
    <w:p w:rsidR="009C7176" w:rsidRPr="00483C12" w:rsidRDefault="009C7176" w:rsidP="009C7176">
      <w:pPr>
        <w:ind w:left="1134" w:hanging="283"/>
        <w:rPr>
          <w:sz w:val="24"/>
          <w:szCs w:val="24"/>
        </w:rPr>
      </w:pPr>
    </w:p>
    <w:p w:rsidR="009C7176" w:rsidRPr="00483C12" w:rsidRDefault="009C7176" w:rsidP="00EE3ABF">
      <w:pPr>
        <w:ind w:left="851"/>
        <w:rPr>
          <w:sz w:val="24"/>
          <w:szCs w:val="24"/>
        </w:rPr>
      </w:pPr>
      <w:r w:rsidRPr="00483C12">
        <w:rPr>
          <w:sz w:val="24"/>
          <w:szCs w:val="24"/>
        </w:rPr>
        <w:t>I de følgende situationer er det usandsynligt, at behandlingsresultatet vil være gunstigt</w:t>
      </w:r>
      <w:r w:rsidR="00EE3ABF">
        <w:rPr>
          <w:sz w:val="24"/>
          <w:szCs w:val="24"/>
        </w:rPr>
        <w:t>,</w:t>
      </w:r>
      <w:r w:rsidRPr="00483C12">
        <w:rPr>
          <w:sz w:val="24"/>
          <w:szCs w:val="24"/>
        </w:rPr>
        <w:t xml:space="preserve"> og derfor bør Menopur ikke administreres:</w:t>
      </w:r>
    </w:p>
    <w:p w:rsidR="009C7176" w:rsidRPr="00483C12" w:rsidRDefault="009C7176" w:rsidP="009C7176">
      <w:pPr>
        <w:numPr>
          <w:ilvl w:val="0"/>
          <w:numId w:val="8"/>
        </w:numPr>
        <w:tabs>
          <w:tab w:val="clear" w:pos="720"/>
          <w:tab w:val="left" w:pos="567"/>
        </w:tabs>
        <w:ind w:left="1134" w:hanging="283"/>
        <w:rPr>
          <w:sz w:val="24"/>
          <w:szCs w:val="24"/>
        </w:rPr>
      </w:pPr>
      <w:proofErr w:type="gramStart"/>
      <w:r w:rsidRPr="00483C12">
        <w:rPr>
          <w:sz w:val="24"/>
          <w:szCs w:val="24"/>
        </w:rPr>
        <w:t>primær ovariesvigt</w:t>
      </w:r>
      <w:proofErr w:type="gramEnd"/>
    </w:p>
    <w:p w:rsidR="009C7176" w:rsidRPr="00483C12" w:rsidRDefault="009C7176" w:rsidP="009C7176">
      <w:pPr>
        <w:numPr>
          <w:ilvl w:val="0"/>
          <w:numId w:val="8"/>
        </w:numPr>
        <w:tabs>
          <w:tab w:val="clear" w:pos="720"/>
          <w:tab w:val="left" w:pos="567"/>
        </w:tabs>
        <w:ind w:left="1134" w:hanging="283"/>
        <w:rPr>
          <w:sz w:val="24"/>
          <w:szCs w:val="24"/>
        </w:rPr>
      </w:pPr>
      <w:proofErr w:type="spellStart"/>
      <w:r w:rsidRPr="00483C12">
        <w:rPr>
          <w:sz w:val="24"/>
          <w:szCs w:val="24"/>
        </w:rPr>
        <w:t>malformation</w:t>
      </w:r>
      <w:proofErr w:type="spellEnd"/>
      <w:r w:rsidRPr="00483C12">
        <w:rPr>
          <w:sz w:val="24"/>
          <w:szCs w:val="24"/>
        </w:rPr>
        <w:t xml:space="preserve"> af </w:t>
      </w:r>
      <w:proofErr w:type="spellStart"/>
      <w:r w:rsidRPr="00483C12">
        <w:rPr>
          <w:sz w:val="24"/>
          <w:szCs w:val="24"/>
        </w:rPr>
        <w:t>gonaderne</w:t>
      </w:r>
      <w:proofErr w:type="spellEnd"/>
      <w:r w:rsidRPr="00483C12">
        <w:rPr>
          <w:sz w:val="24"/>
          <w:szCs w:val="24"/>
        </w:rPr>
        <w:t>, uforenelig med graviditet</w:t>
      </w:r>
    </w:p>
    <w:p w:rsidR="009260DE" w:rsidRPr="00EE3ABF" w:rsidRDefault="009C7176" w:rsidP="00EE3ABF">
      <w:pPr>
        <w:numPr>
          <w:ilvl w:val="0"/>
          <w:numId w:val="8"/>
        </w:numPr>
        <w:tabs>
          <w:tab w:val="clear" w:pos="720"/>
          <w:tab w:val="left" w:pos="567"/>
        </w:tabs>
        <w:ind w:left="1134" w:hanging="283"/>
        <w:rPr>
          <w:sz w:val="24"/>
          <w:szCs w:val="24"/>
        </w:rPr>
      </w:pPr>
      <w:proofErr w:type="spellStart"/>
      <w:r w:rsidRPr="00483C12">
        <w:rPr>
          <w:sz w:val="24"/>
          <w:szCs w:val="24"/>
        </w:rPr>
        <w:t>fibroide</w:t>
      </w:r>
      <w:proofErr w:type="spellEnd"/>
      <w:r w:rsidRPr="00483C12">
        <w:rPr>
          <w:sz w:val="24"/>
          <w:szCs w:val="24"/>
        </w:rPr>
        <w:t xml:space="preserve"> tumorer i uterus uforenelige med graviditet</w:t>
      </w:r>
    </w:p>
    <w:p w:rsidR="008B1FF6" w:rsidRDefault="008B1FF6">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B1FF6" w:rsidRPr="002D72B0" w:rsidRDefault="008B1FF6" w:rsidP="008B1FF6">
      <w:pPr>
        <w:pStyle w:val="Brdtekstindrykning"/>
        <w:rPr>
          <w:szCs w:val="24"/>
        </w:rPr>
      </w:pPr>
    </w:p>
    <w:p w:rsidR="008B1FF6" w:rsidRPr="002D72B0" w:rsidRDefault="008B1FF6" w:rsidP="008B1FF6">
      <w:pPr>
        <w:ind w:left="851"/>
        <w:rPr>
          <w:color w:val="000000"/>
          <w:sz w:val="24"/>
          <w:szCs w:val="24"/>
          <w:u w:val="single"/>
        </w:rPr>
      </w:pPr>
      <w:r w:rsidRPr="002D72B0">
        <w:rPr>
          <w:color w:val="000000"/>
          <w:sz w:val="24"/>
          <w:szCs w:val="24"/>
          <w:u w:val="single"/>
        </w:rPr>
        <w:t xml:space="preserve">Sporbarhed </w:t>
      </w:r>
    </w:p>
    <w:p w:rsidR="008B1FF6" w:rsidRPr="002D72B0" w:rsidRDefault="008B1FF6" w:rsidP="008B1FF6">
      <w:pPr>
        <w:ind w:left="851"/>
        <w:rPr>
          <w:sz w:val="24"/>
          <w:szCs w:val="24"/>
        </w:rPr>
      </w:pPr>
      <w:r w:rsidRPr="002D72B0">
        <w:rPr>
          <w:color w:val="000000"/>
          <w:sz w:val="24"/>
          <w:szCs w:val="24"/>
        </w:rPr>
        <w:t xml:space="preserve">For at forbedre sporbarheden af biologiske lægemidler </w:t>
      </w:r>
      <w:r w:rsidRPr="002D72B0">
        <w:rPr>
          <w:rFonts w:ascii="TimesNewRomanPSMT" w:hAnsi="TimesNewRomanPSMT" w:cs="TimesNewRomanPSMT"/>
          <w:sz w:val="24"/>
          <w:szCs w:val="24"/>
          <w:lang w:eastAsia="en-GB"/>
        </w:rPr>
        <w:t>skal det administrerede produkts navn og batchnummer tydeligt registreres</w:t>
      </w:r>
    </w:p>
    <w:p w:rsidR="008B1FF6" w:rsidRPr="002D72B0" w:rsidRDefault="008B1FF6" w:rsidP="008B1FF6">
      <w:pPr>
        <w:pStyle w:val="Brdtekstindrykning"/>
        <w:rPr>
          <w:szCs w:val="24"/>
        </w:rPr>
      </w:pPr>
      <w:r w:rsidRPr="002D72B0">
        <w:rPr>
          <w:szCs w:val="24"/>
        </w:rPr>
        <w:t xml:space="preserve">Menopur er et potent </w:t>
      </w:r>
      <w:proofErr w:type="spellStart"/>
      <w:r w:rsidRPr="002D72B0">
        <w:rPr>
          <w:szCs w:val="24"/>
        </w:rPr>
        <w:t>gonadotropinprodukt</w:t>
      </w:r>
      <w:proofErr w:type="spellEnd"/>
      <w:r w:rsidRPr="002D72B0">
        <w:rPr>
          <w:szCs w:val="24"/>
        </w:rPr>
        <w:t xml:space="preserve"> som kan fremkalde milde til alvorlige bivirkninger, og bør derfor kun bruges af læger, som er specialiseret i fertilitetsbehandling.</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 xml:space="preserve">Behandlingen med </w:t>
      </w:r>
      <w:proofErr w:type="spellStart"/>
      <w:r w:rsidRPr="002D72B0">
        <w:rPr>
          <w:sz w:val="24"/>
          <w:szCs w:val="24"/>
        </w:rPr>
        <w:t>gonadotropiner</w:t>
      </w:r>
      <w:proofErr w:type="spellEnd"/>
      <w:r w:rsidRPr="002D72B0">
        <w:rPr>
          <w:sz w:val="24"/>
          <w:szCs w:val="24"/>
        </w:rPr>
        <w:t xml:space="preserve"> er tidskrævende for lægen og øvrigt personale og kræver overvågning af ovarierespons via ultralyd alene eller helst i kombination med regelmæssig måling af serum </w:t>
      </w:r>
      <w:proofErr w:type="spellStart"/>
      <w:r w:rsidRPr="002D72B0">
        <w:rPr>
          <w:sz w:val="24"/>
          <w:szCs w:val="24"/>
        </w:rPr>
        <w:t>østradiol</w:t>
      </w:r>
      <w:proofErr w:type="spellEnd"/>
      <w:r w:rsidRPr="002D72B0">
        <w:rPr>
          <w:sz w:val="24"/>
          <w:szCs w:val="24"/>
        </w:rPr>
        <w:t>.</w:t>
      </w:r>
    </w:p>
    <w:p w:rsidR="008B1FF6" w:rsidRPr="002D72B0" w:rsidRDefault="008B1FF6" w:rsidP="008B1FF6">
      <w:pPr>
        <w:ind w:left="851"/>
        <w:rPr>
          <w:sz w:val="24"/>
          <w:szCs w:val="24"/>
        </w:rPr>
      </w:pPr>
      <w:r w:rsidRPr="002D72B0">
        <w:rPr>
          <w:sz w:val="24"/>
          <w:szCs w:val="24"/>
        </w:rPr>
        <w:t xml:space="preserve">Der er betydelig </w:t>
      </w:r>
      <w:proofErr w:type="spellStart"/>
      <w:r w:rsidRPr="002D72B0">
        <w:rPr>
          <w:sz w:val="24"/>
          <w:szCs w:val="24"/>
        </w:rPr>
        <w:t>interpatientvariabilitet</w:t>
      </w:r>
      <w:proofErr w:type="spellEnd"/>
      <w:r w:rsidRPr="002D72B0">
        <w:rPr>
          <w:sz w:val="24"/>
          <w:szCs w:val="24"/>
        </w:rPr>
        <w:t xml:space="preserve"> i respons på </w:t>
      </w:r>
      <w:proofErr w:type="spellStart"/>
      <w:r w:rsidRPr="002D72B0">
        <w:rPr>
          <w:sz w:val="24"/>
          <w:szCs w:val="24"/>
        </w:rPr>
        <w:t>menotropin</w:t>
      </w:r>
      <w:proofErr w:type="spellEnd"/>
      <w:r w:rsidRPr="002D72B0">
        <w:rPr>
          <w:sz w:val="24"/>
          <w:szCs w:val="24"/>
        </w:rPr>
        <w:t xml:space="preserve"> administration og hos visse patienter ses dårligt respons. Den laveste effektive dosis i relation til behandlings</w:t>
      </w:r>
      <w:r w:rsidRPr="002D72B0">
        <w:rPr>
          <w:sz w:val="24"/>
          <w:szCs w:val="24"/>
        </w:rPr>
        <w:softHyphen/>
        <w:t>målet skal anvendes.</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 xml:space="preserve">Før behandlingen begynder, bør det vurderes om parrets </w:t>
      </w:r>
      <w:proofErr w:type="spellStart"/>
      <w:r w:rsidRPr="002D72B0">
        <w:rPr>
          <w:sz w:val="24"/>
          <w:szCs w:val="24"/>
        </w:rPr>
        <w:t>infertilitet</w:t>
      </w:r>
      <w:proofErr w:type="spellEnd"/>
      <w:r w:rsidRPr="002D72B0">
        <w:rPr>
          <w:sz w:val="24"/>
          <w:szCs w:val="24"/>
        </w:rPr>
        <w:t xml:space="preserve"> er egnet for behandling og mulige kontraindikationer for graviditet vurderes. Specielt skal patienten undersøges for </w:t>
      </w:r>
      <w:proofErr w:type="spellStart"/>
      <w:r w:rsidRPr="002D72B0">
        <w:rPr>
          <w:sz w:val="24"/>
          <w:szCs w:val="24"/>
        </w:rPr>
        <w:t>hypothyroidisme</w:t>
      </w:r>
      <w:proofErr w:type="spellEnd"/>
      <w:r w:rsidRPr="002D72B0">
        <w:rPr>
          <w:sz w:val="24"/>
          <w:szCs w:val="24"/>
        </w:rPr>
        <w:t xml:space="preserve">, binyrebarkinsufficiens, </w:t>
      </w:r>
      <w:proofErr w:type="spellStart"/>
      <w:r w:rsidRPr="002D72B0">
        <w:rPr>
          <w:sz w:val="24"/>
          <w:szCs w:val="24"/>
        </w:rPr>
        <w:t>hyperprolaktinæmi</w:t>
      </w:r>
      <w:proofErr w:type="spellEnd"/>
      <w:r w:rsidRPr="002D72B0">
        <w:rPr>
          <w:sz w:val="24"/>
          <w:szCs w:val="24"/>
        </w:rPr>
        <w:t xml:space="preserve"> og tumorer i hypofyse eller </w:t>
      </w:r>
      <w:proofErr w:type="spellStart"/>
      <w:r w:rsidRPr="002D72B0">
        <w:rPr>
          <w:sz w:val="24"/>
          <w:szCs w:val="24"/>
        </w:rPr>
        <w:t>hypothalamus</w:t>
      </w:r>
      <w:proofErr w:type="spellEnd"/>
      <w:r w:rsidRPr="002D72B0">
        <w:rPr>
          <w:sz w:val="24"/>
          <w:szCs w:val="24"/>
        </w:rPr>
        <w:t xml:space="preserve"> og adækvat behandling gives.</w:t>
      </w:r>
    </w:p>
    <w:p w:rsidR="008B1FF6" w:rsidRPr="002D72B0" w:rsidRDefault="008B1FF6" w:rsidP="008B1FF6">
      <w:pPr>
        <w:ind w:left="851"/>
        <w:rPr>
          <w:sz w:val="24"/>
          <w:szCs w:val="24"/>
        </w:rPr>
      </w:pPr>
    </w:p>
    <w:p w:rsidR="008B1FF6" w:rsidRPr="002D72B0" w:rsidRDefault="008B1FF6" w:rsidP="008B1FF6">
      <w:pPr>
        <w:pStyle w:val="Brdtekstindrykning"/>
        <w:rPr>
          <w:szCs w:val="24"/>
        </w:rPr>
      </w:pPr>
      <w:r w:rsidRPr="002D72B0">
        <w:rPr>
          <w:szCs w:val="24"/>
        </w:rPr>
        <w:t xml:space="preserve">For patienter, som gennemgår stimulation af follikeludvikling, enten for behandling af </w:t>
      </w:r>
      <w:proofErr w:type="spellStart"/>
      <w:r w:rsidRPr="002D72B0">
        <w:rPr>
          <w:szCs w:val="24"/>
        </w:rPr>
        <w:t>anovulatorisk</w:t>
      </w:r>
      <w:proofErr w:type="spellEnd"/>
      <w:r w:rsidRPr="002D72B0">
        <w:rPr>
          <w:szCs w:val="24"/>
        </w:rPr>
        <w:t xml:space="preserve"> </w:t>
      </w:r>
      <w:proofErr w:type="spellStart"/>
      <w:r w:rsidRPr="002D72B0">
        <w:rPr>
          <w:szCs w:val="24"/>
        </w:rPr>
        <w:t>infertilitet</w:t>
      </w:r>
      <w:proofErr w:type="spellEnd"/>
      <w:r w:rsidRPr="002D72B0">
        <w:rPr>
          <w:szCs w:val="24"/>
        </w:rPr>
        <w:t xml:space="preserve"> eller i forbindelse med ART, øges risikoen for at udvikle ovarieforstørrelse eller </w:t>
      </w:r>
      <w:proofErr w:type="spellStart"/>
      <w:r w:rsidRPr="002D72B0">
        <w:rPr>
          <w:szCs w:val="24"/>
        </w:rPr>
        <w:t>hyperstimulering</w:t>
      </w:r>
      <w:proofErr w:type="spellEnd"/>
      <w:r w:rsidRPr="002D72B0">
        <w:rPr>
          <w:szCs w:val="24"/>
        </w:rPr>
        <w:t>. Overholdelse af anbefalet dosis og administrationsvej samt nøje overvågning af behandling vil reducere risikoen for disse bivirkninger. Bedømmelse af follikeludvikling og modning skal gøres af en læge med erfaring i dette.</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r w:rsidRPr="002D72B0">
        <w:rPr>
          <w:bCs/>
          <w:sz w:val="24"/>
          <w:szCs w:val="24"/>
          <w:u w:val="single"/>
        </w:rPr>
        <w:t xml:space="preserve">Ovarie </w:t>
      </w:r>
      <w:proofErr w:type="spellStart"/>
      <w:r w:rsidRPr="002D72B0">
        <w:rPr>
          <w:bCs/>
          <w:sz w:val="24"/>
          <w:szCs w:val="24"/>
          <w:u w:val="single"/>
        </w:rPr>
        <w:t>Hyperstimulation</w:t>
      </w:r>
      <w:proofErr w:type="spellEnd"/>
      <w:r w:rsidRPr="002D72B0">
        <w:rPr>
          <w:bCs/>
          <w:sz w:val="24"/>
          <w:szCs w:val="24"/>
          <w:u w:val="single"/>
        </w:rPr>
        <w:t xml:space="preserve"> Syndrom (OHSS)</w:t>
      </w:r>
    </w:p>
    <w:p w:rsidR="008B1FF6" w:rsidRPr="002D72B0" w:rsidRDefault="008B1FF6" w:rsidP="008B1FF6">
      <w:pPr>
        <w:ind w:left="851"/>
        <w:rPr>
          <w:sz w:val="24"/>
          <w:szCs w:val="24"/>
        </w:rPr>
      </w:pPr>
      <w:r w:rsidRPr="002D72B0">
        <w:rPr>
          <w:sz w:val="24"/>
          <w:szCs w:val="24"/>
        </w:rPr>
        <w:t xml:space="preserve">OHSS er en alvorlig medicinsk tilstand til forskel fra ukompliceret ovarie forstørrelse. OHSS er et syndrom som manifesteres i forskellige grader. Ved OHSS ses markant ovarie forstørrelse, forhøjet niveau af kønshormoner og en øget </w:t>
      </w:r>
      <w:proofErr w:type="spellStart"/>
      <w:r w:rsidRPr="002D72B0">
        <w:rPr>
          <w:sz w:val="24"/>
          <w:szCs w:val="24"/>
        </w:rPr>
        <w:t>vaskulær</w:t>
      </w:r>
      <w:proofErr w:type="spellEnd"/>
      <w:r w:rsidRPr="002D72B0">
        <w:rPr>
          <w:sz w:val="24"/>
          <w:szCs w:val="24"/>
        </w:rPr>
        <w:t xml:space="preserve"> permeabilitet hvilket kan resultere i ophobning af væske i bughulen, lungerne og meget sjældent, perkardialt.</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 xml:space="preserve">Følgende symptomer kan ses ved alvorlige tilfælde af OHSS: smerter og udspiling af maven, alvorlig ovarie forstørrelse, vægtøgning, dyspnø, </w:t>
      </w:r>
      <w:proofErr w:type="spellStart"/>
      <w:r w:rsidRPr="002D72B0">
        <w:rPr>
          <w:sz w:val="24"/>
          <w:szCs w:val="24"/>
        </w:rPr>
        <w:t>oliguri</w:t>
      </w:r>
      <w:proofErr w:type="spellEnd"/>
      <w:r w:rsidRPr="002D72B0">
        <w:rPr>
          <w:sz w:val="24"/>
          <w:szCs w:val="24"/>
        </w:rPr>
        <w:t xml:space="preserve"> og </w:t>
      </w:r>
      <w:proofErr w:type="spellStart"/>
      <w:r w:rsidRPr="002D72B0">
        <w:rPr>
          <w:sz w:val="24"/>
          <w:szCs w:val="24"/>
        </w:rPr>
        <w:t>gastrointestinale</w:t>
      </w:r>
      <w:proofErr w:type="spellEnd"/>
      <w:r w:rsidRPr="002D72B0">
        <w:rPr>
          <w:sz w:val="24"/>
          <w:szCs w:val="24"/>
        </w:rPr>
        <w:t xml:space="preserve"> symptomer såsom kvalme, opkast og diarré. En klinisk undersøgelse kan påvise </w:t>
      </w:r>
      <w:proofErr w:type="spellStart"/>
      <w:r w:rsidRPr="002D72B0">
        <w:rPr>
          <w:sz w:val="24"/>
          <w:szCs w:val="24"/>
        </w:rPr>
        <w:t>hypo-volemi</w:t>
      </w:r>
      <w:proofErr w:type="spellEnd"/>
      <w:r w:rsidRPr="002D72B0">
        <w:rPr>
          <w:sz w:val="24"/>
          <w:szCs w:val="24"/>
        </w:rPr>
        <w:t xml:space="preserve">, </w:t>
      </w:r>
      <w:proofErr w:type="spellStart"/>
      <w:r w:rsidRPr="002D72B0">
        <w:rPr>
          <w:sz w:val="24"/>
          <w:szCs w:val="24"/>
        </w:rPr>
        <w:t>hæmokoncentration</w:t>
      </w:r>
      <w:proofErr w:type="spellEnd"/>
      <w:r w:rsidRPr="002D72B0">
        <w:rPr>
          <w:sz w:val="24"/>
          <w:szCs w:val="24"/>
        </w:rPr>
        <w:t xml:space="preserve">, elektrolyt ubalance, </w:t>
      </w:r>
      <w:proofErr w:type="spellStart"/>
      <w:r w:rsidRPr="002D72B0">
        <w:rPr>
          <w:sz w:val="24"/>
          <w:szCs w:val="24"/>
        </w:rPr>
        <w:t>ascites</w:t>
      </w:r>
      <w:proofErr w:type="spellEnd"/>
      <w:r w:rsidRPr="002D72B0">
        <w:rPr>
          <w:sz w:val="24"/>
          <w:szCs w:val="24"/>
        </w:rPr>
        <w:t xml:space="preserve">, </w:t>
      </w:r>
      <w:proofErr w:type="spellStart"/>
      <w:r w:rsidRPr="002D72B0">
        <w:rPr>
          <w:sz w:val="24"/>
          <w:szCs w:val="24"/>
        </w:rPr>
        <w:t>hæmoperitoneum</w:t>
      </w:r>
      <w:proofErr w:type="spellEnd"/>
      <w:r w:rsidRPr="002D72B0">
        <w:rPr>
          <w:sz w:val="24"/>
          <w:szCs w:val="24"/>
        </w:rPr>
        <w:t xml:space="preserve">, </w:t>
      </w:r>
      <w:proofErr w:type="spellStart"/>
      <w:r w:rsidRPr="002D72B0">
        <w:rPr>
          <w:sz w:val="24"/>
          <w:szCs w:val="24"/>
        </w:rPr>
        <w:t>pleuraeks-sudat</w:t>
      </w:r>
      <w:proofErr w:type="spellEnd"/>
      <w:r w:rsidRPr="002D72B0">
        <w:rPr>
          <w:sz w:val="24"/>
          <w:szCs w:val="24"/>
        </w:rPr>
        <w:t xml:space="preserve">, </w:t>
      </w:r>
      <w:proofErr w:type="spellStart"/>
      <w:r w:rsidRPr="002D72B0">
        <w:rPr>
          <w:sz w:val="24"/>
          <w:szCs w:val="24"/>
        </w:rPr>
        <w:t>hydrothorax</w:t>
      </w:r>
      <w:proofErr w:type="spellEnd"/>
      <w:r w:rsidRPr="002D72B0">
        <w:rPr>
          <w:sz w:val="24"/>
          <w:szCs w:val="24"/>
        </w:rPr>
        <w:t xml:space="preserve">, akut </w:t>
      </w:r>
      <w:proofErr w:type="spellStart"/>
      <w:r w:rsidRPr="002D72B0">
        <w:rPr>
          <w:sz w:val="24"/>
          <w:szCs w:val="24"/>
        </w:rPr>
        <w:t>pulmonær</w:t>
      </w:r>
      <w:proofErr w:type="spellEnd"/>
      <w:r w:rsidRPr="002D72B0">
        <w:rPr>
          <w:sz w:val="24"/>
          <w:szCs w:val="24"/>
        </w:rPr>
        <w:t xml:space="preserve"> </w:t>
      </w:r>
      <w:proofErr w:type="spellStart"/>
      <w:r w:rsidRPr="002D72B0">
        <w:rPr>
          <w:sz w:val="24"/>
          <w:szCs w:val="24"/>
        </w:rPr>
        <w:t>distress</w:t>
      </w:r>
      <w:proofErr w:type="spellEnd"/>
      <w:r w:rsidRPr="002D72B0">
        <w:rPr>
          <w:sz w:val="24"/>
          <w:szCs w:val="24"/>
        </w:rPr>
        <w:t xml:space="preserve"> samt </w:t>
      </w:r>
      <w:proofErr w:type="spellStart"/>
      <w:r w:rsidRPr="002D72B0">
        <w:rPr>
          <w:sz w:val="24"/>
          <w:szCs w:val="24"/>
        </w:rPr>
        <w:t>tromboemboliske</w:t>
      </w:r>
      <w:proofErr w:type="spellEnd"/>
      <w:r w:rsidRPr="002D72B0">
        <w:rPr>
          <w:sz w:val="24"/>
          <w:szCs w:val="24"/>
        </w:rPr>
        <w:t xml:space="preserve"> komplikationer.</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 xml:space="preserve">Forøget ovarierespons på </w:t>
      </w:r>
      <w:proofErr w:type="spellStart"/>
      <w:r w:rsidRPr="002D72B0">
        <w:rPr>
          <w:sz w:val="24"/>
          <w:szCs w:val="24"/>
        </w:rPr>
        <w:t>gonadotropinbehandlingen</w:t>
      </w:r>
      <w:proofErr w:type="spellEnd"/>
      <w:r w:rsidRPr="002D72B0">
        <w:rPr>
          <w:sz w:val="24"/>
          <w:szCs w:val="24"/>
        </w:rPr>
        <w:t xml:space="preserve"> fører sjældent til OHSS, med mindre </w:t>
      </w:r>
      <w:proofErr w:type="spellStart"/>
      <w:r w:rsidRPr="002D72B0">
        <w:rPr>
          <w:sz w:val="24"/>
          <w:szCs w:val="24"/>
        </w:rPr>
        <w:t>hCG</w:t>
      </w:r>
      <w:proofErr w:type="spellEnd"/>
      <w:r w:rsidRPr="002D72B0">
        <w:rPr>
          <w:sz w:val="24"/>
          <w:szCs w:val="24"/>
        </w:rPr>
        <w:t xml:space="preserve"> administreres for at starte ovulationen. Det er derfor vigtigt ikke at give </w:t>
      </w:r>
      <w:proofErr w:type="spellStart"/>
      <w:r w:rsidRPr="002D72B0">
        <w:rPr>
          <w:sz w:val="24"/>
          <w:szCs w:val="24"/>
        </w:rPr>
        <w:t>hCG</w:t>
      </w:r>
      <w:proofErr w:type="spellEnd"/>
      <w:r w:rsidRPr="002D72B0">
        <w:rPr>
          <w:sz w:val="24"/>
          <w:szCs w:val="24"/>
        </w:rPr>
        <w:t xml:space="preserve"> i tilfælde af </w:t>
      </w:r>
      <w:proofErr w:type="spellStart"/>
      <w:r w:rsidRPr="002D72B0">
        <w:rPr>
          <w:sz w:val="24"/>
          <w:szCs w:val="24"/>
        </w:rPr>
        <w:t>hyperstimulation</w:t>
      </w:r>
      <w:proofErr w:type="spellEnd"/>
      <w:r w:rsidRPr="002D72B0">
        <w:rPr>
          <w:sz w:val="24"/>
          <w:szCs w:val="24"/>
        </w:rPr>
        <w:t xml:space="preserve"> og desuden bede patienten afstå fra coitus eller bruge en barriere præventionsmetode i mindst 4 dage. OHSS kan tiltage hurtigt (24 timer til flere dage) og kan udvikle sig til en alvorlig medicinsk tilstand. Patienten skal derfor følges i mindst 2 uger efter </w:t>
      </w:r>
      <w:proofErr w:type="spellStart"/>
      <w:r w:rsidRPr="002D72B0">
        <w:rPr>
          <w:sz w:val="24"/>
          <w:szCs w:val="24"/>
        </w:rPr>
        <w:t>hCG</w:t>
      </w:r>
      <w:proofErr w:type="spellEnd"/>
      <w:r w:rsidRPr="002D72B0">
        <w:rPr>
          <w:sz w:val="24"/>
          <w:szCs w:val="24"/>
        </w:rPr>
        <w:t xml:space="preserve"> administration.</w:t>
      </w:r>
    </w:p>
    <w:p w:rsidR="008B1FF6" w:rsidRPr="002D72B0" w:rsidRDefault="008B1FF6" w:rsidP="008B1FF6">
      <w:pPr>
        <w:ind w:left="851"/>
        <w:rPr>
          <w:sz w:val="24"/>
          <w:szCs w:val="24"/>
        </w:rPr>
      </w:pPr>
    </w:p>
    <w:p w:rsidR="008B1FF6" w:rsidRPr="002D72B0" w:rsidRDefault="008B1FF6" w:rsidP="008B1FF6">
      <w:pPr>
        <w:pStyle w:val="Brdtekstindrykning"/>
        <w:rPr>
          <w:szCs w:val="24"/>
        </w:rPr>
      </w:pPr>
      <w:r w:rsidRPr="002D72B0">
        <w:rPr>
          <w:szCs w:val="24"/>
        </w:rPr>
        <w:t>Overholdelse af anbefalet Menopur dosis og administrationsmetode samt nøje overvågning af behandling, minimerer risikoen for OHSS samt flerfoldsgraviditet (se pkt. 4.2 og 4.8).</w:t>
      </w:r>
    </w:p>
    <w:p w:rsidR="008B1FF6" w:rsidRPr="002D72B0" w:rsidRDefault="008B1FF6" w:rsidP="008B1FF6">
      <w:pPr>
        <w:ind w:left="851"/>
        <w:rPr>
          <w:sz w:val="24"/>
          <w:szCs w:val="24"/>
        </w:rPr>
      </w:pPr>
      <w:r w:rsidRPr="002D72B0">
        <w:rPr>
          <w:sz w:val="24"/>
          <w:szCs w:val="24"/>
        </w:rPr>
        <w:t xml:space="preserve">Ved ART kan aspiration af alle follikler før ovulation muligvis reducere forekomsten af </w:t>
      </w:r>
      <w:proofErr w:type="spellStart"/>
      <w:r w:rsidRPr="002D72B0">
        <w:rPr>
          <w:sz w:val="24"/>
          <w:szCs w:val="24"/>
        </w:rPr>
        <w:t>hyperstimulation</w:t>
      </w:r>
      <w:proofErr w:type="spellEnd"/>
      <w:r w:rsidRPr="002D72B0">
        <w:rPr>
          <w:sz w:val="24"/>
          <w:szCs w:val="24"/>
        </w:rPr>
        <w:t>.</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OHSS kan blive alvorligere og længere varende hvis graviditet opstår. Ved de fleste tilfælde opstår OHSS først efter afsluttet hormonbehandling og når maksimal sværhedsgrad syv til ti dage senere. Normalt forsvinder OHSS spontant i forbindelse med menses.</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 xml:space="preserve">Hvis alvorlig OHSS opstår, skal evt. igangværende </w:t>
      </w:r>
      <w:proofErr w:type="spellStart"/>
      <w:r w:rsidRPr="002D72B0">
        <w:rPr>
          <w:sz w:val="24"/>
          <w:szCs w:val="24"/>
        </w:rPr>
        <w:t>gonadotropinbehandling</w:t>
      </w:r>
      <w:proofErr w:type="spellEnd"/>
      <w:r w:rsidRPr="002D72B0">
        <w:rPr>
          <w:sz w:val="24"/>
          <w:szCs w:val="24"/>
        </w:rPr>
        <w:t xml:space="preserve"> stoppes hvis den stadig er pågående og patienten indlægges på hospital for behandling af </w:t>
      </w:r>
      <w:proofErr w:type="gramStart"/>
      <w:r w:rsidRPr="002D72B0">
        <w:rPr>
          <w:sz w:val="24"/>
          <w:szCs w:val="24"/>
        </w:rPr>
        <w:t>OHSS symptomer</w:t>
      </w:r>
      <w:proofErr w:type="gramEnd"/>
      <w:r w:rsidRPr="002D72B0">
        <w:rPr>
          <w:sz w:val="24"/>
          <w:szCs w:val="24"/>
        </w:rPr>
        <w:t>.</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Dette syndrom forekommer hyppigere hos patienter med polycystisk ovariesyndrom.</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r w:rsidRPr="002D72B0">
        <w:rPr>
          <w:bCs/>
          <w:sz w:val="24"/>
          <w:szCs w:val="24"/>
          <w:u w:val="single"/>
        </w:rPr>
        <w:t>Flerfoldsgraviditet</w:t>
      </w:r>
    </w:p>
    <w:p w:rsidR="008B1FF6" w:rsidRPr="002D72B0" w:rsidRDefault="008B1FF6" w:rsidP="008B1FF6">
      <w:pPr>
        <w:ind w:left="851"/>
        <w:rPr>
          <w:sz w:val="24"/>
          <w:szCs w:val="24"/>
        </w:rPr>
      </w:pPr>
      <w:r w:rsidRPr="002D72B0">
        <w:rPr>
          <w:sz w:val="24"/>
          <w:szCs w:val="24"/>
        </w:rPr>
        <w:t>Flerfoldsgraviditet, særligt med et højt antal, medfører en øget risiko for kvinde og foster.</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 xml:space="preserve">Hos patienter, som undergår ovulationsinduktion med </w:t>
      </w:r>
      <w:proofErr w:type="spellStart"/>
      <w:r w:rsidRPr="002D72B0">
        <w:rPr>
          <w:sz w:val="24"/>
          <w:szCs w:val="24"/>
        </w:rPr>
        <w:t>gonadotropiner</w:t>
      </w:r>
      <w:proofErr w:type="spellEnd"/>
      <w:r w:rsidRPr="002D72B0">
        <w:rPr>
          <w:sz w:val="24"/>
          <w:szCs w:val="24"/>
        </w:rPr>
        <w:t xml:space="preserve">, er </w:t>
      </w:r>
      <w:proofErr w:type="spellStart"/>
      <w:r w:rsidRPr="002D72B0">
        <w:rPr>
          <w:sz w:val="24"/>
          <w:szCs w:val="24"/>
        </w:rPr>
        <w:t>insidensen</w:t>
      </w:r>
      <w:proofErr w:type="spellEnd"/>
      <w:r w:rsidRPr="002D72B0">
        <w:rPr>
          <w:sz w:val="24"/>
          <w:szCs w:val="24"/>
        </w:rPr>
        <w:t xml:space="preserve"> af flerfoldsgraviditet øget sammenlignet med ved naturlig befrugtning. Flertallet af de multiple undfangelser er tvillinger. For at minimere risikoen for flerfoldsgraviditet anbefales nøje monitorering af ovarieresponset.</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Hos patienter der gennemgår ART er risikoen for flerfold graviditet primært relateret til antallet af embryoner der bliver tilbagelagt, deres kvalitet og patientens alder.</w:t>
      </w:r>
    </w:p>
    <w:p w:rsidR="008B1FF6" w:rsidRPr="002D72B0" w:rsidRDefault="008B1FF6" w:rsidP="008B1FF6">
      <w:pPr>
        <w:ind w:left="851"/>
        <w:rPr>
          <w:sz w:val="24"/>
          <w:szCs w:val="24"/>
        </w:rPr>
      </w:pPr>
    </w:p>
    <w:p w:rsidR="008B1FF6" w:rsidRPr="002D72B0" w:rsidRDefault="008B1FF6" w:rsidP="008B1FF6">
      <w:pPr>
        <w:ind w:left="851"/>
        <w:rPr>
          <w:sz w:val="24"/>
          <w:szCs w:val="24"/>
        </w:rPr>
      </w:pPr>
      <w:r w:rsidRPr="002D72B0">
        <w:rPr>
          <w:sz w:val="24"/>
          <w:szCs w:val="24"/>
        </w:rPr>
        <w:t>Patienterne bør informeres om risikoen for flerfoldsgraviditet, før behandlingen påbegyndes.</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r w:rsidRPr="002D72B0">
        <w:rPr>
          <w:bCs/>
          <w:sz w:val="24"/>
          <w:szCs w:val="24"/>
          <w:u w:val="single"/>
        </w:rPr>
        <w:t>Graviditetsbortfald</w:t>
      </w:r>
    </w:p>
    <w:p w:rsidR="008B1FF6" w:rsidRPr="002D72B0" w:rsidRDefault="008B1FF6" w:rsidP="008B1FF6">
      <w:pPr>
        <w:ind w:left="851"/>
        <w:rPr>
          <w:sz w:val="24"/>
          <w:szCs w:val="24"/>
        </w:rPr>
      </w:pPr>
      <w:r w:rsidRPr="002D72B0">
        <w:rPr>
          <w:sz w:val="24"/>
          <w:szCs w:val="24"/>
        </w:rPr>
        <w:t>Hyppigheden af graviditetsbortfald i form af spontan eller provokeret abort er øget hos patienter der er i stimulationsbehandling for ART sammenlignet med normalpopulationen.</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r w:rsidRPr="002D72B0">
        <w:rPr>
          <w:bCs/>
          <w:sz w:val="24"/>
          <w:szCs w:val="24"/>
          <w:u w:val="single"/>
        </w:rPr>
        <w:t>Ekstrauterin graviditet</w:t>
      </w:r>
    </w:p>
    <w:p w:rsidR="008B1FF6" w:rsidRPr="002D72B0" w:rsidRDefault="008B1FF6" w:rsidP="008B1FF6">
      <w:pPr>
        <w:ind w:left="851"/>
        <w:rPr>
          <w:bCs/>
          <w:sz w:val="24"/>
          <w:szCs w:val="24"/>
          <w:u w:val="single"/>
        </w:rPr>
      </w:pPr>
      <w:r w:rsidRPr="002D72B0">
        <w:rPr>
          <w:sz w:val="24"/>
          <w:szCs w:val="24"/>
        </w:rPr>
        <w:t xml:space="preserve">Kvinder med </w:t>
      </w:r>
      <w:proofErr w:type="spellStart"/>
      <w:r w:rsidRPr="002D72B0">
        <w:rPr>
          <w:sz w:val="24"/>
          <w:szCs w:val="24"/>
        </w:rPr>
        <w:t>tubar</w:t>
      </w:r>
      <w:proofErr w:type="spellEnd"/>
      <w:r w:rsidRPr="002D72B0">
        <w:rPr>
          <w:sz w:val="24"/>
          <w:szCs w:val="24"/>
        </w:rPr>
        <w:t xml:space="preserve"> sygdom i deres anamnese har øget risiko for ekstrauterin graviditet, uanset om graviditeten er opnået ved normal befrugtning eller fertilitetsbehandling. Hyppigheden af ekstrauterin graviditet efter IVF er 2 til 5 % sammenlignet med 1 til 1,5 % hos den generelle befolkning.</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r w:rsidRPr="002D72B0">
        <w:rPr>
          <w:bCs/>
          <w:sz w:val="24"/>
          <w:szCs w:val="24"/>
          <w:u w:val="single"/>
        </w:rPr>
        <w:t>Tumorer i reproduktionssystemet</w:t>
      </w:r>
    </w:p>
    <w:p w:rsidR="008B1FF6" w:rsidRPr="002D72B0" w:rsidRDefault="008B1FF6" w:rsidP="008B1FF6">
      <w:pPr>
        <w:ind w:left="851"/>
        <w:rPr>
          <w:sz w:val="24"/>
          <w:szCs w:val="24"/>
        </w:rPr>
      </w:pPr>
      <w:r w:rsidRPr="002D72B0">
        <w:rPr>
          <w:sz w:val="24"/>
          <w:szCs w:val="24"/>
        </w:rPr>
        <w:t xml:space="preserve">Der er rapporteret tilfælde af ovarie- og reproduktionssystemstumorer, benigne og maligne, hos kvinder behandlet flere gange med præparater for </w:t>
      </w:r>
      <w:proofErr w:type="spellStart"/>
      <w:r w:rsidRPr="002D72B0">
        <w:rPr>
          <w:sz w:val="24"/>
          <w:szCs w:val="24"/>
        </w:rPr>
        <w:t>infertilitet</w:t>
      </w:r>
      <w:proofErr w:type="spellEnd"/>
      <w:r w:rsidRPr="002D72B0">
        <w:rPr>
          <w:sz w:val="24"/>
          <w:szCs w:val="24"/>
        </w:rPr>
        <w:t xml:space="preserve">. Det er ikke fastslået om behandling med </w:t>
      </w:r>
      <w:proofErr w:type="spellStart"/>
      <w:r w:rsidRPr="002D72B0">
        <w:rPr>
          <w:sz w:val="24"/>
          <w:szCs w:val="24"/>
        </w:rPr>
        <w:t>gonadotropiner</w:t>
      </w:r>
      <w:proofErr w:type="spellEnd"/>
      <w:r w:rsidRPr="002D72B0">
        <w:rPr>
          <w:sz w:val="24"/>
          <w:szCs w:val="24"/>
        </w:rPr>
        <w:t xml:space="preserve"> øger risikoen for disse typer af tumorer hos infertile kvinder.</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r w:rsidRPr="002D72B0">
        <w:rPr>
          <w:bCs/>
          <w:sz w:val="24"/>
          <w:szCs w:val="24"/>
          <w:u w:val="single"/>
        </w:rPr>
        <w:t>Medfødte misdannelser</w:t>
      </w:r>
    </w:p>
    <w:p w:rsidR="008B1FF6" w:rsidRPr="002D72B0" w:rsidRDefault="008B1FF6" w:rsidP="008B1FF6">
      <w:pPr>
        <w:ind w:left="851"/>
        <w:rPr>
          <w:sz w:val="24"/>
          <w:szCs w:val="24"/>
        </w:rPr>
      </w:pPr>
      <w:r w:rsidRPr="002D72B0">
        <w:rPr>
          <w:sz w:val="24"/>
          <w:szCs w:val="24"/>
        </w:rPr>
        <w:t>Frekvensen af medfødte misdannelser efter assisteret befrugtning kan være en anelse højere end efter spontan undfangelse. Årsagen til dette antages at være forældreegenskaber (dvs. moderens alder, sædkvalitet) og flerfoldsgraviditeter.</w:t>
      </w:r>
    </w:p>
    <w:p w:rsidR="008B1FF6" w:rsidRPr="002D72B0" w:rsidRDefault="008B1FF6" w:rsidP="008B1FF6">
      <w:pPr>
        <w:ind w:left="851"/>
        <w:rPr>
          <w:sz w:val="24"/>
          <w:szCs w:val="24"/>
        </w:rPr>
      </w:pPr>
    </w:p>
    <w:p w:rsidR="008B1FF6" w:rsidRPr="002D72B0" w:rsidRDefault="008B1FF6" w:rsidP="008B1FF6">
      <w:pPr>
        <w:ind w:left="851"/>
        <w:rPr>
          <w:bCs/>
          <w:sz w:val="24"/>
          <w:szCs w:val="24"/>
          <w:u w:val="single"/>
        </w:rPr>
      </w:pPr>
      <w:proofErr w:type="spellStart"/>
      <w:r w:rsidRPr="002D72B0">
        <w:rPr>
          <w:bCs/>
          <w:sz w:val="24"/>
          <w:szCs w:val="24"/>
          <w:u w:val="single"/>
        </w:rPr>
        <w:t>Tromboemboliske</w:t>
      </w:r>
      <w:proofErr w:type="spellEnd"/>
      <w:r w:rsidRPr="002D72B0">
        <w:rPr>
          <w:bCs/>
          <w:sz w:val="24"/>
          <w:szCs w:val="24"/>
          <w:u w:val="single"/>
        </w:rPr>
        <w:t xml:space="preserve"> hændelser</w:t>
      </w:r>
    </w:p>
    <w:p w:rsidR="009260DE" w:rsidRPr="00C84483" w:rsidRDefault="008B1FF6" w:rsidP="00546ACB">
      <w:pPr>
        <w:ind w:left="851"/>
        <w:rPr>
          <w:sz w:val="24"/>
          <w:szCs w:val="24"/>
        </w:rPr>
      </w:pPr>
      <w:r w:rsidRPr="002D72B0">
        <w:rPr>
          <w:sz w:val="24"/>
          <w:szCs w:val="24"/>
        </w:rPr>
        <w:t xml:space="preserve">Kvinder med kendt risiko for </w:t>
      </w:r>
      <w:proofErr w:type="spellStart"/>
      <w:r w:rsidRPr="002D72B0">
        <w:rPr>
          <w:sz w:val="24"/>
          <w:szCs w:val="24"/>
        </w:rPr>
        <w:t>tromboemboliske</w:t>
      </w:r>
      <w:proofErr w:type="spellEnd"/>
      <w:r w:rsidRPr="002D72B0">
        <w:rPr>
          <w:sz w:val="24"/>
          <w:szCs w:val="24"/>
        </w:rPr>
        <w:t xml:space="preserve"> hændelser, såsom personlig eller familiær anamnese, kraftig overvægt (Body Mass Index &gt; 30 kg/m</w:t>
      </w:r>
      <w:r w:rsidRPr="002D72B0">
        <w:rPr>
          <w:sz w:val="24"/>
          <w:szCs w:val="24"/>
          <w:vertAlign w:val="superscript"/>
        </w:rPr>
        <w:t>2</w:t>
      </w:r>
      <w:r w:rsidRPr="002D72B0">
        <w:rPr>
          <w:sz w:val="24"/>
          <w:szCs w:val="24"/>
        </w:rPr>
        <w:t xml:space="preserve">) eller </w:t>
      </w:r>
      <w:proofErr w:type="spellStart"/>
      <w:r w:rsidRPr="002D72B0">
        <w:rPr>
          <w:sz w:val="24"/>
          <w:szCs w:val="24"/>
        </w:rPr>
        <w:t>trombofili</w:t>
      </w:r>
      <w:proofErr w:type="spellEnd"/>
      <w:r w:rsidRPr="002D72B0">
        <w:rPr>
          <w:sz w:val="24"/>
          <w:szCs w:val="24"/>
        </w:rPr>
        <w:t xml:space="preserve">, kan have en øget risiko for venøse eller arterielle </w:t>
      </w:r>
      <w:proofErr w:type="spellStart"/>
      <w:r w:rsidRPr="002D72B0">
        <w:rPr>
          <w:sz w:val="24"/>
          <w:szCs w:val="24"/>
        </w:rPr>
        <w:t>tromboemboliske</w:t>
      </w:r>
      <w:proofErr w:type="spellEnd"/>
      <w:r w:rsidRPr="002D72B0">
        <w:rPr>
          <w:sz w:val="24"/>
          <w:szCs w:val="24"/>
        </w:rPr>
        <w:t xml:space="preserve"> hændelser under eller efter behand</w:t>
      </w:r>
      <w:r w:rsidRPr="002D72B0">
        <w:rPr>
          <w:sz w:val="24"/>
          <w:szCs w:val="24"/>
        </w:rPr>
        <w:softHyphen/>
      </w:r>
      <w:r w:rsidRPr="002D72B0">
        <w:rPr>
          <w:sz w:val="24"/>
          <w:szCs w:val="24"/>
        </w:rPr>
        <w:lastRenderedPageBreak/>
        <w:t xml:space="preserve">ling med </w:t>
      </w:r>
      <w:proofErr w:type="spellStart"/>
      <w:r w:rsidRPr="002D72B0">
        <w:rPr>
          <w:sz w:val="24"/>
          <w:szCs w:val="24"/>
        </w:rPr>
        <w:t>gonadotropiner</w:t>
      </w:r>
      <w:proofErr w:type="spellEnd"/>
      <w:r w:rsidRPr="002D72B0">
        <w:rPr>
          <w:sz w:val="24"/>
          <w:szCs w:val="24"/>
        </w:rPr>
        <w:t xml:space="preserve">. Hos disse kvinder bør fordele ved </w:t>
      </w:r>
      <w:proofErr w:type="spellStart"/>
      <w:r w:rsidRPr="002D72B0">
        <w:rPr>
          <w:sz w:val="24"/>
          <w:szCs w:val="24"/>
        </w:rPr>
        <w:t>gonadotropin</w:t>
      </w:r>
      <w:proofErr w:type="spellEnd"/>
      <w:r w:rsidRPr="002D72B0">
        <w:rPr>
          <w:sz w:val="24"/>
          <w:szCs w:val="24"/>
        </w:rPr>
        <w:t xml:space="preserve"> behandling vejes mod risikoen. Det skal bemærkes at graviditet i sig selv øger risikoen for </w:t>
      </w:r>
      <w:proofErr w:type="spellStart"/>
      <w:r w:rsidRPr="002D72B0">
        <w:rPr>
          <w:sz w:val="24"/>
          <w:szCs w:val="24"/>
        </w:rPr>
        <w:t>tromboembolisk</w:t>
      </w:r>
      <w:proofErr w:type="spellEnd"/>
      <w:r w:rsidRPr="002D72B0">
        <w:rPr>
          <w:sz w:val="24"/>
          <w:szCs w:val="24"/>
        </w:rPr>
        <w:t xml:space="preserve"> sygdom.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E4ED5" w:rsidRPr="001C0A3B" w:rsidRDefault="000E4ED5" w:rsidP="000E4ED5">
      <w:pPr>
        <w:ind w:left="851"/>
        <w:rPr>
          <w:sz w:val="24"/>
          <w:szCs w:val="24"/>
        </w:rPr>
      </w:pPr>
      <w:r w:rsidRPr="001C0A3B">
        <w:rPr>
          <w:sz w:val="24"/>
          <w:szCs w:val="24"/>
        </w:rPr>
        <w:t xml:space="preserve">Der er ikke udført nogen interaktionsstudier med Menopur i mennesker. </w:t>
      </w:r>
    </w:p>
    <w:p w:rsidR="000E4ED5" w:rsidRPr="001C0A3B" w:rsidRDefault="000E4ED5" w:rsidP="000E4ED5">
      <w:pPr>
        <w:ind w:left="851"/>
        <w:rPr>
          <w:sz w:val="24"/>
          <w:szCs w:val="24"/>
        </w:rPr>
      </w:pPr>
    </w:p>
    <w:p w:rsidR="009260DE" w:rsidRPr="00C84483" w:rsidRDefault="000E4ED5" w:rsidP="000E4ED5">
      <w:pPr>
        <w:ind w:left="851"/>
        <w:rPr>
          <w:sz w:val="24"/>
          <w:szCs w:val="24"/>
        </w:rPr>
      </w:pPr>
      <w:r w:rsidRPr="001C0A3B">
        <w:rPr>
          <w:sz w:val="24"/>
          <w:szCs w:val="24"/>
        </w:rPr>
        <w:t>Selvom der ikke er nogen kontrolleret klinisk erfaring, forventes det at samtidig behand</w:t>
      </w:r>
      <w:r w:rsidRPr="001C0A3B">
        <w:rPr>
          <w:sz w:val="24"/>
          <w:szCs w:val="24"/>
        </w:rPr>
        <w:softHyphen/>
        <w:t xml:space="preserve">ling med Menopur og </w:t>
      </w:r>
      <w:proofErr w:type="spellStart"/>
      <w:r w:rsidRPr="001C0A3B">
        <w:rPr>
          <w:sz w:val="24"/>
          <w:szCs w:val="24"/>
        </w:rPr>
        <w:t>clomifen</w:t>
      </w:r>
      <w:proofErr w:type="spellEnd"/>
      <w:r w:rsidRPr="001C0A3B">
        <w:rPr>
          <w:sz w:val="24"/>
          <w:szCs w:val="24"/>
        </w:rPr>
        <w:t xml:space="preserve"> citrat kan forstærke follikelresponset. Når man anvender </w:t>
      </w:r>
      <w:proofErr w:type="spellStart"/>
      <w:r w:rsidRPr="001C0A3B">
        <w:rPr>
          <w:sz w:val="24"/>
          <w:szCs w:val="24"/>
        </w:rPr>
        <w:t>GnRH</w:t>
      </w:r>
      <w:proofErr w:type="spellEnd"/>
      <w:r w:rsidRPr="001C0A3B">
        <w:rPr>
          <w:sz w:val="24"/>
          <w:szCs w:val="24"/>
        </w:rPr>
        <w:t xml:space="preserve">-agonistinduceret </w:t>
      </w:r>
      <w:proofErr w:type="spellStart"/>
      <w:r w:rsidRPr="001C0A3B">
        <w:rPr>
          <w:sz w:val="24"/>
          <w:szCs w:val="24"/>
        </w:rPr>
        <w:t>hypofysedesensibilisering</w:t>
      </w:r>
      <w:proofErr w:type="spellEnd"/>
      <w:r w:rsidRPr="001C0A3B">
        <w:rPr>
          <w:sz w:val="24"/>
          <w:szCs w:val="24"/>
        </w:rPr>
        <w:t xml:space="preserve"> kan den dosis af Menopur der er nødvendigt for at opnå et adækvat ovarierespons være forøget.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0E4ED5" w:rsidRPr="00F1266D" w:rsidRDefault="000E4ED5" w:rsidP="000E4ED5">
      <w:pPr>
        <w:pStyle w:val="Brdtekstindrykning"/>
        <w:rPr>
          <w:b/>
          <w:szCs w:val="24"/>
        </w:rPr>
      </w:pPr>
    </w:p>
    <w:p w:rsidR="000E4ED5" w:rsidRPr="00F1266D" w:rsidRDefault="000E4ED5" w:rsidP="000E4ED5">
      <w:pPr>
        <w:pStyle w:val="Brdtekstindrykning"/>
        <w:rPr>
          <w:bCs/>
          <w:szCs w:val="24"/>
          <w:u w:val="single"/>
        </w:rPr>
      </w:pPr>
      <w:r w:rsidRPr="00F1266D">
        <w:rPr>
          <w:bCs/>
          <w:szCs w:val="24"/>
          <w:u w:val="single"/>
        </w:rPr>
        <w:t>Fertilitet</w:t>
      </w:r>
    </w:p>
    <w:p w:rsidR="000E4ED5" w:rsidRPr="00F1266D" w:rsidRDefault="000E4ED5" w:rsidP="000E4ED5">
      <w:pPr>
        <w:pStyle w:val="Brdtekstindrykning"/>
        <w:rPr>
          <w:szCs w:val="24"/>
        </w:rPr>
      </w:pPr>
      <w:r w:rsidRPr="00F1266D">
        <w:rPr>
          <w:szCs w:val="24"/>
        </w:rPr>
        <w:t xml:space="preserve">Menopur er indiceret til brug mod </w:t>
      </w:r>
      <w:proofErr w:type="spellStart"/>
      <w:r w:rsidRPr="00F1266D">
        <w:rPr>
          <w:szCs w:val="24"/>
        </w:rPr>
        <w:t>infertilitet</w:t>
      </w:r>
      <w:proofErr w:type="spellEnd"/>
      <w:r w:rsidRPr="00F1266D">
        <w:rPr>
          <w:szCs w:val="24"/>
        </w:rPr>
        <w:t xml:space="preserve"> (se pkt. 4.1).</w:t>
      </w:r>
    </w:p>
    <w:p w:rsidR="000E4ED5" w:rsidRPr="00F1266D" w:rsidRDefault="000E4ED5" w:rsidP="000E4ED5">
      <w:pPr>
        <w:pStyle w:val="Brdtekstindrykning"/>
        <w:rPr>
          <w:szCs w:val="24"/>
        </w:rPr>
      </w:pPr>
    </w:p>
    <w:p w:rsidR="000E4ED5" w:rsidRPr="00F1266D" w:rsidRDefault="000E4ED5" w:rsidP="000E4ED5">
      <w:pPr>
        <w:pStyle w:val="Brdtekstindrykning"/>
        <w:rPr>
          <w:bCs/>
          <w:szCs w:val="24"/>
          <w:u w:val="single"/>
        </w:rPr>
      </w:pPr>
      <w:r w:rsidRPr="00F1266D">
        <w:rPr>
          <w:bCs/>
          <w:szCs w:val="24"/>
          <w:u w:val="single"/>
        </w:rPr>
        <w:t>Graviditet</w:t>
      </w:r>
    </w:p>
    <w:p w:rsidR="000E4ED5" w:rsidRPr="00F1266D" w:rsidRDefault="000E4ED5" w:rsidP="000E4ED5">
      <w:pPr>
        <w:pStyle w:val="Brdtekstindrykning"/>
        <w:rPr>
          <w:szCs w:val="24"/>
        </w:rPr>
      </w:pPr>
      <w:r w:rsidRPr="00F1266D">
        <w:rPr>
          <w:szCs w:val="24"/>
        </w:rPr>
        <w:t>Menopur må ikke anvendes under graviditet (se pkt. 4.3).</w:t>
      </w:r>
    </w:p>
    <w:p w:rsidR="000E4ED5" w:rsidRPr="00F1266D" w:rsidRDefault="000E4ED5" w:rsidP="000E4ED5">
      <w:pPr>
        <w:pStyle w:val="Brdtekstindrykning"/>
        <w:rPr>
          <w:szCs w:val="24"/>
        </w:rPr>
      </w:pPr>
      <w:r w:rsidRPr="00F1266D">
        <w:rPr>
          <w:szCs w:val="24"/>
        </w:rPr>
        <w:t xml:space="preserve">Der er ingen eller begrænset erfaring med anvendelse af </w:t>
      </w:r>
      <w:proofErr w:type="spellStart"/>
      <w:r w:rsidRPr="00F1266D">
        <w:rPr>
          <w:szCs w:val="24"/>
        </w:rPr>
        <w:t>menotropin</w:t>
      </w:r>
      <w:proofErr w:type="spellEnd"/>
      <w:r w:rsidRPr="00F1266D">
        <w:rPr>
          <w:szCs w:val="24"/>
        </w:rPr>
        <w:t xml:space="preserve"> til gravide kvinder. Der er ikke udført dyreforsøg med henblik på at evaluere effekten af Menopur under graviditet (se pkt. 5.3).</w:t>
      </w:r>
    </w:p>
    <w:p w:rsidR="000E4ED5" w:rsidRPr="00F1266D" w:rsidRDefault="000E4ED5" w:rsidP="000E4ED5">
      <w:pPr>
        <w:pStyle w:val="Brdtekstindrykning"/>
        <w:rPr>
          <w:szCs w:val="24"/>
        </w:rPr>
      </w:pPr>
    </w:p>
    <w:p w:rsidR="000E4ED5" w:rsidRPr="00F1266D" w:rsidRDefault="000E4ED5" w:rsidP="000E4ED5">
      <w:pPr>
        <w:pStyle w:val="Brdtekstindrykning"/>
        <w:rPr>
          <w:bCs/>
          <w:szCs w:val="24"/>
          <w:u w:val="single"/>
        </w:rPr>
      </w:pPr>
      <w:r w:rsidRPr="00F1266D">
        <w:rPr>
          <w:bCs/>
          <w:szCs w:val="24"/>
          <w:u w:val="single"/>
        </w:rPr>
        <w:t>Amning</w:t>
      </w:r>
    </w:p>
    <w:p w:rsidR="009260DE" w:rsidRPr="00C84483" w:rsidRDefault="000E4ED5" w:rsidP="000E4ED5">
      <w:pPr>
        <w:pStyle w:val="Brdtekstindrykning"/>
        <w:rPr>
          <w:szCs w:val="24"/>
        </w:rPr>
      </w:pPr>
      <w:r w:rsidRPr="00F1266D">
        <w:rPr>
          <w:szCs w:val="24"/>
        </w:rPr>
        <w:t>Menopur må ikke anvendes af kvinder der ammer (se pkt. 4.3).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0E4ED5" w:rsidRPr="00A13E73" w:rsidRDefault="000E4ED5" w:rsidP="000E4ED5">
      <w:pPr>
        <w:ind w:left="851"/>
        <w:rPr>
          <w:sz w:val="24"/>
          <w:szCs w:val="24"/>
        </w:rPr>
      </w:pPr>
      <w:r w:rsidRPr="00A13E73">
        <w:rPr>
          <w:sz w:val="24"/>
          <w:szCs w:val="24"/>
        </w:rPr>
        <w:t>Ikke mærkning</w:t>
      </w:r>
      <w:r>
        <w:rPr>
          <w:sz w:val="24"/>
          <w:szCs w:val="24"/>
        </w:rPr>
        <w:t>.</w:t>
      </w:r>
    </w:p>
    <w:p w:rsidR="000E4ED5" w:rsidRPr="00A13E73" w:rsidRDefault="000E4ED5" w:rsidP="000E4ED5">
      <w:pPr>
        <w:ind w:left="851"/>
        <w:rPr>
          <w:sz w:val="24"/>
          <w:szCs w:val="24"/>
        </w:rPr>
      </w:pPr>
      <w:r w:rsidRPr="00A13E73">
        <w:rPr>
          <w:sz w:val="24"/>
          <w:szCs w:val="24"/>
        </w:rPr>
        <w:t>Der er ikke foretaget undersøgelser af indflydelsen på evnen til at føre bil eller betjene maskiner. Det er dog usandsynligt, at Menopur har indflydelse på patientens evne til at føre bil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116361" w:rsidRPr="00C73F9E" w:rsidRDefault="00116361" w:rsidP="00116361">
      <w:pPr>
        <w:ind w:left="851"/>
        <w:rPr>
          <w:sz w:val="24"/>
          <w:szCs w:val="24"/>
        </w:rPr>
      </w:pPr>
      <w:r w:rsidRPr="00C73F9E">
        <w:rPr>
          <w:sz w:val="24"/>
          <w:szCs w:val="24"/>
        </w:rPr>
        <w:t xml:space="preserve">De alvorligste og oftest rapporterede bivirkninger under behandling med Menopur i de kliniske afprøvninger er OHSS, mavesmerter, hovedpine, </w:t>
      </w:r>
      <w:proofErr w:type="spellStart"/>
      <w:r w:rsidRPr="00C73F9E">
        <w:rPr>
          <w:sz w:val="24"/>
          <w:szCs w:val="24"/>
        </w:rPr>
        <w:t>abdominal</w:t>
      </w:r>
      <w:proofErr w:type="spellEnd"/>
      <w:r w:rsidRPr="00C73F9E">
        <w:rPr>
          <w:sz w:val="24"/>
          <w:szCs w:val="24"/>
        </w:rPr>
        <w:t xml:space="preserve"> </w:t>
      </w:r>
      <w:proofErr w:type="spellStart"/>
      <w:r w:rsidRPr="00C73F9E">
        <w:rPr>
          <w:sz w:val="24"/>
          <w:szCs w:val="24"/>
        </w:rPr>
        <w:t>distension</w:t>
      </w:r>
      <w:proofErr w:type="spellEnd"/>
      <w:r w:rsidRPr="00C73F9E">
        <w:rPr>
          <w:sz w:val="24"/>
          <w:szCs w:val="24"/>
        </w:rPr>
        <w:t>, og smerte ved indstiksstedet med en hyppighed på op til 5 %. Tabellen nedenfor viser de væsentligste bivirkninger hos kvinder behandlet med Menopur i kliniske afprøvninger fordelt på systemorganklasser og frekvens. Bivirkninger som er rapporteret efter markedsføring er angivet med frekvens ”ikke kendt”.</w:t>
      </w:r>
    </w:p>
    <w:p w:rsidR="00116361" w:rsidRPr="00C73F9E" w:rsidRDefault="00116361" w:rsidP="00116361">
      <w:pPr>
        <w:pStyle w:val="Brdtekst"/>
        <w:ind w:left="851"/>
        <w:rPr>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856"/>
        <w:gridCol w:w="1833"/>
        <w:gridCol w:w="1919"/>
        <w:gridCol w:w="2007"/>
        <w:gridCol w:w="2007"/>
      </w:tblGrid>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Systemorgan-klasse</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b/>
                <w:sz w:val="24"/>
                <w:szCs w:val="24"/>
                <w:lang w:val="en-GB"/>
              </w:rPr>
            </w:pPr>
            <w:proofErr w:type="spellStart"/>
            <w:r w:rsidRPr="00C73F9E">
              <w:rPr>
                <w:b/>
                <w:sz w:val="24"/>
                <w:szCs w:val="24"/>
                <w:lang w:val="en-GB"/>
              </w:rPr>
              <w:t>Almindelig</w:t>
            </w:r>
            <w:proofErr w:type="spellEnd"/>
            <w:r w:rsidRPr="00C73F9E">
              <w:rPr>
                <w:b/>
                <w:sz w:val="24"/>
                <w:szCs w:val="24"/>
                <w:lang w:val="en-GB"/>
              </w:rPr>
              <w:t xml:space="preserve"> </w:t>
            </w:r>
          </w:p>
          <w:p w:rsidR="00116361" w:rsidRPr="00C73F9E" w:rsidRDefault="00116361" w:rsidP="00CB67C2">
            <w:pPr>
              <w:ind w:left="1"/>
              <w:rPr>
                <w:b/>
                <w:sz w:val="24"/>
                <w:szCs w:val="24"/>
              </w:rPr>
            </w:pPr>
            <w:r w:rsidRPr="00C73F9E">
              <w:rPr>
                <w:b/>
                <w:sz w:val="24"/>
                <w:szCs w:val="24"/>
                <w:lang w:val="en-GB"/>
              </w:rPr>
              <w:t>(</w:t>
            </w:r>
            <w:r w:rsidRPr="00C73F9E">
              <w:rPr>
                <w:b/>
                <w:sz w:val="24"/>
                <w:szCs w:val="24"/>
              </w:rPr>
              <w:t>≥</w:t>
            </w:r>
            <w:r w:rsidRPr="00C73F9E">
              <w:rPr>
                <w:b/>
                <w:sz w:val="24"/>
                <w:szCs w:val="24"/>
                <w:lang w:val="en-GB"/>
              </w:rPr>
              <w:t xml:space="preserve"> 1/100 </w:t>
            </w:r>
            <w:proofErr w:type="spellStart"/>
            <w:r w:rsidRPr="00C73F9E">
              <w:rPr>
                <w:b/>
                <w:sz w:val="24"/>
                <w:szCs w:val="24"/>
                <w:lang w:val="en-GB"/>
              </w:rPr>
              <w:t>til</w:t>
            </w:r>
            <w:proofErr w:type="spellEnd"/>
            <w:r w:rsidRPr="00C73F9E">
              <w:rPr>
                <w:b/>
                <w:sz w:val="24"/>
                <w:szCs w:val="24"/>
                <w:lang w:val="en-GB"/>
              </w:rPr>
              <w:t xml:space="preserve"> &lt; 1/10)</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b/>
                <w:sz w:val="24"/>
                <w:szCs w:val="24"/>
              </w:rPr>
            </w:pPr>
            <w:r w:rsidRPr="00C73F9E">
              <w:rPr>
                <w:b/>
                <w:sz w:val="24"/>
                <w:szCs w:val="24"/>
              </w:rPr>
              <w:t xml:space="preserve">Ikke almindelig </w:t>
            </w:r>
          </w:p>
          <w:p w:rsidR="00116361" w:rsidRPr="00C73F9E" w:rsidRDefault="00116361" w:rsidP="00CB67C2">
            <w:pPr>
              <w:ind w:left="21"/>
              <w:rPr>
                <w:b/>
                <w:sz w:val="24"/>
                <w:szCs w:val="24"/>
              </w:rPr>
            </w:pPr>
            <w:r w:rsidRPr="00C73F9E">
              <w:rPr>
                <w:b/>
                <w:sz w:val="24"/>
                <w:szCs w:val="24"/>
              </w:rPr>
              <w:t>(≥</w:t>
            </w:r>
            <w:r w:rsidRPr="00C73F9E">
              <w:rPr>
                <w:b/>
                <w:sz w:val="24"/>
                <w:szCs w:val="24"/>
                <w:lang w:val="en-GB"/>
              </w:rPr>
              <w:t xml:space="preserve"> </w:t>
            </w:r>
            <w:r w:rsidRPr="00C73F9E">
              <w:rPr>
                <w:b/>
                <w:sz w:val="24"/>
                <w:szCs w:val="24"/>
              </w:rPr>
              <w:t xml:space="preserve">1/1.000 til </w:t>
            </w:r>
            <w:r w:rsidRPr="00C73F9E">
              <w:rPr>
                <w:b/>
                <w:sz w:val="24"/>
                <w:szCs w:val="24"/>
                <w:lang w:val="en-GB"/>
              </w:rPr>
              <w:t xml:space="preserve">&lt; </w:t>
            </w:r>
            <w:r w:rsidRPr="00C73F9E">
              <w:rPr>
                <w:b/>
                <w:sz w:val="24"/>
                <w:szCs w:val="24"/>
              </w:rPr>
              <w:t>1/100)</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b/>
                <w:sz w:val="24"/>
                <w:szCs w:val="24"/>
              </w:rPr>
            </w:pPr>
            <w:r w:rsidRPr="00C73F9E">
              <w:rPr>
                <w:b/>
                <w:sz w:val="24"/>
                <w:szCs w:val="24"/>
              </w:rPr>
              <w:t>Sjælden</w:t>
            </w:r>
            <w:r w:rsidRPr="00C73F9E">
              <w:rPr>
                <w:b/>
                <w:sz w:val="24"/>
                <w:szCs w:val="24"/>
                <w:lang w:val="el-GR"/>
              </w:rPr>
              <w:t xml:space="preserve"> (</w:t>
            </w:r>
            <w:r w:rsidRPr="00C73F9E">
              <w:rPr>
                <w:b/>
                <w:sz w:val="24"/>
                <w:szCs w:val="24"/>
              </w:rPr>
              <w:t xml:space="preserve">≥ </w:t>
            </w:r>
            <w:r w:rsidRPr="00C73F9E">
              <w:rPr>
                <w:b/>
                <w:sz w:val="24"/>
                <w:szCs w:val="24"/>
                <w:lang w:val="el-GR"/>
              </w:rPr>
              <w:t>1/10</w:t>
            </w:r>
            <w:r w:rsidRPr="00C73F9E">
              <w:rPr>
                <w:b/>
                <w:sz w:val="24"/>
                <w:szCs w:val="24"/>
              </w:rPr>
              <w:t>.</w:t>
            </w:r>
            <w:r w:rsidRPr="00C73F9E">
              <w:rPr>
                <w:b/>
                <w:sz w:val="24"/>
                <w:szCs w:val="24"/>
                <w:lang w:val="el-GR"/>
              </w:rPr>
              <w:t>000</w:t>
            </w:r>
            <w:r w:rsidRPr="00C73F9E">
              <w:rPr>
                <w:b/>
                <w:sz w:val="24"/>
                <w:szCs w:val="24"/>
              </w:rPr>
              <w:t xml:space="preserve"> til</w:t>
            </w:r>
            <w:r w:rsidRPr="00C73F9E">
              <w:rPr>
                <w:b/>
                <w:sz w:val="24"/>
                <w:szCs w:val="24"/>
                <w:lang w:val="el-GR"/>
              </w:rPr>
              <w:t xml:space="preserve"> </w:t>
            </w:r>
            <w:r w:rsidRPr="00C73F9E">
              <w:rPr>
                <w:b/>
                <w:sz w:val="24"/>
                <w:szCs w:val="24"/>
              </w:rPr>
              <w:t xml:space="preserve">&lt; </w:t>
            </w:r>
            <w:r w:rsidRPr="00C73F9E">
              <w:rPr>
                <w:b/>
                <w:sz w:val="24"/>
                <w:szCs w:val="24"/>
                <w:lang w:val="el-GR"/>
              </w:rPr>
              <w:t>1/1</w:t>
            </w:r>
            <w:r w:rsidRPr="00C73F9E">
              <w:rPr>
                <w:b/>
                <w:sz w:val="24"/>
                <w:szCs w:val="24"/>
              </w:rPr>
              <w:t>.</w:t>
            </w:r>
            <w:r w:rsidRPr="00C73F9E">
              <w:rPr>
                <w:b/>
                <w:sz w:val="24"/>
                <w:szCs w:val="24"/>
                <w:lang w:val="el-GR"/>
              </w:rPr>
              <w:t>000)</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b/>
                <w:sz w:val="24"/>
                <w:szCs w:val="24"/>
              </w:rPr>
            </w:pPr>
            <w:r w:rsidRPr="00C73F9E">
              <w:rPr>
                <w:b/>
                <w:sz w:val="24"/>
                <w:szCs w:val="24"/>
              </w:rPr>
              <w:t>Ikke kendt (kan ikke estimeres ud fra forhånden</w:t>
            </w:r>
            <w:r w:rsidRPr="00C73F9E">
              <w:rPr>
                <w:b/>
                <w:sz w:val="24"/>
                <w:szCs w:val="24"/>
              </w:rPr>
              <w:softHyphen/>
              <w:t>værende data)</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Øjne</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r w:rsidRPr="00C73F9E">
              <w:rPr>
                <w:sz w:val="24"/>
                <w:szCs w:val="24"/>
              </w:rPr>
              <w:t xml:space="preserve">Synsforstyrrelser </w:t>
            </w:r>
            <w:r w:rsidRPr="00C73F9E">
              <w:rPr>
                <w:sz w:val="24"/>
                <w:szCs w:val="24"/>
                <w:vertAlign w:val="superscript"/>
              </w:rPr>
              <w:t>a</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proofErr w:type="spellStart"/>
            <w:r w:rsidRPr="00C73F9E">
              <w:rPr>
                <w:b/>
                <w:sz w:val="24"/>
                <w:szCs w:val="24"/>
              </w:rPr>
              <w:t>Mave-tarm</w:t>
            </w:r>
            <w:r w:rsidRPr="00C73F9E">
              <w:rPr>
                <w:b/>
                <w:sz w:val="24"/>
                <w:szCs w:val="24"/>
              </w:rPr>
              <w:softHyphen/>
              <w:t>kanalen</w:t>
            </w:r>
            <w:proofErr w:type="spellEnd"/>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roofErr w:type="spellStart"/>
            <w:r w:rsidRPr="00C73F9E">
              <w:rPr>
                <w:sz w:val="24"/>
                <w:szCs w:val="24"/>
              </w:rPr>
              <w:t>Abdominal</w:t>
            </w:r>
            <w:proofErr w:type="spellEnd"/>
            <w:r w:rsidRPr="00C73F9E">
              <w:rPr>
                <w:sz w:val="24"/>
                <w:szCs w:val="24"/>
              </w:rPr>
              <w:t xml:space="preserve">-smerter, </w:t>
            </w:r>
            <w:proofErr w:type="spellStart"/>
            <w:r w:rsidRPr="00C73F9E">
              <w:rPr>
                <w:sz w:val="24"/>
                <w:szCs w:val="24"/>
              </w:rPr>
              <w:t>abdominal</w:t>
            </w:r>
            <w:proofErr w:type="spellEnd"/>
            <w:r w:rsidRPr="00C73F9E">
              <w:rPr>
                <w:sz w:val="24"/>
                <w:szCs w:val="24"/>
              </w:rPr>
              <w:t xml:space="preserve"> </w:t>
            </w:r>
            <w:proofErr w:type="spellStart"/>
            <w:r w:rsidRPr="00C73F9E">
              <w:rPr>
                <w:sz w:val="24"/>
                <w:szCs w:val="24"/>
              </w:rPr>
              <w:t>distension</w:t>
            </w:r>
            <w:proofErr w:type="spellEnd"/>
            <w:r w:rsidRPr="00C73F9E">
              <w:rPr>
                <w:sz w:val="24"/>
                <w:szCs w:val="24"/>
              </w:rPr>
              <w:t xml:space="preserve"> kvalme, </w:t>
            </w:r>
            <w:r w:rsidRPr="00C73F9E">
              <w:rPr>
                <w:sz w:val="24"/>
                <w:szCs w:val="24"/>
              </w:rPr>
              <w:lastRenderedPageBreak/>
              <w:t>forstørret abdomen</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r w:rsidRPr="00C73F9E">
              <w:rPr>
                <w:sz w:val="24"/>
                <w:szCs w:val="24"/>
              </w:rPr>
              <w:lastRenderedPageBreak/>
              <w:t>Opkastninger, ubehag i abdomen, diarré</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Almene symptomer og reaktioner på administra</w:t>
            </w:r>
            <w:r w:rsidRPr="00C73F9E">
              <w:rPr>
                <w:b/>
                <w:sz w:val="24"/>
                <w:szCs w:val="24"/>
              </w:rPr>
              <w:softHyphen/>
              <w:t>tionsstedet</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r w:rsidRPr="00C73F9E">
              <w:rPr>
                <w:sz w:val="24"/>
                <w:szCs w:val="24"/>
              </w:rPr>
              <w:t xml:space="preserve">Reaktion på injektionssted </w:t>
            </w:r>
            <w:r w:rsidRPr="00C73F9E">
              <w:rPr>
                <w:sz w:val="24"/>
                <w:szCs w:val="24"/>
                <w:vertAlign w:val="superscript"/>
              </w:rPr>
              <w:t>b</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r w:rsidRPr="00C73F9E">
              <w:rPr>
                <w:sz w:val="24"/>
                <w:szCs w:val="24"/>
              </w:rPr>
              <w:t>Træthed</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r w:rsidRPr="00C73F9E">
              <w:rPr>
                <w:sz w:val="24"/>
                <w:szCs w:val="24"/>
              </w:rPr>
              <w:t>Feber, utilpashed</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Immunsystemet</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r w:rsidRPr="00C73F9E">
              <w:rPr>
                <w:sz w:val="24"/>
                <w:szCs w:val="24"/>
              </w:rPr>
              <w:t xml:space="preserve">Overfølsomheds-reaktioner </w:t>
            </w:r>
            <w:r w:rsidRPr="00C73F9E">
              <w:rPr>
                <w:sz w:val="24"/>
                <w:szCs w:val="24"/>
                <w:vertAlign w:val="superscript"/>
              </w:rPr>
              <w:t>c</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Undersøgelser</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r w:rsidRPr="00C73F9E">
              <w:rPr>
                <w:sz w:val="24"/>
                <w:szCs w:val="24"/>
              </w:rPr>
              <w:t>Vægtøgning</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Knogler, led, muskler og bindevæv</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roofErr w:type="spellStart"/>
            <w:r w:rsidRPr="00C73F9E">
              <w:rPr>
                <w:sz w:val="24"/>
                <w:szCs w:val="24"/>
              </w:rPr>
              <w:t>Muskuloskeletale</w:t>
            </w:r>
            <w:proofErr w:type="spellEnd"/>
            <w:r w:rsidRPr="00C73F9E">
              <w:rPr>
                <w:sz w:val="24"/>
                <w:szCs w:val="24"/>
              </w:rPr>
              <w:t xml:space="preserve"> smerter </w:t>
            </w:r>
            <w:r w:rsidRPr="00C73F9E">
              <w:rPr>
                <w:sz w:val="24"/>
                <w:szCs w:val="24"/>
                <w:vertAlign w:val="superscript"/>
              </w:rPr>
              <w:t>d</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Nervesystemet</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r w:rsidRPr="00C73F9E">
              <w:rPr>
                <w:sz w:val="24"/>
                <w:szCs w:val="24"/>
              </w:rPr>
              <w:t>Hovedpine</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r w:rsidRPr="00C73F9E">
              <w:rPr>
                <w:sz w:val="24"/>
                <w:szCs w:val="24"/>
              </w:rPr>
              <w:t>Svimmelhed</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Det reproduktive system</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r w:rsidRPr="00C73F9E">
              <w:rPr>
                <w:sz w:val="24"/>
                <w:szCs w:val="24"/>
              </w:rPr>
              <w:t xml:space="preserve">OHSS </w:t>
            </w:r>
            <w:r w:rsidRPr="00C73F9E">
              <w:rPr>
                <w:sz w:val="24"/>
                <w:szCs w:val="24"/>
                <w:vertAlign w:val="superscript"/>
              </w:rPr>
              <w:t>e</w:t>
            </w:r>
            <w:r w:rsidRPr="00C73F9E">
              <w:rPr>
                <w:sz w:val="24"/>
                <w:szCs w:val="24"/>
              </w:rPr>
              <w:t>, bækken</w:t>
            </w:r>
            <w:r w:rsidRPr="00C73F9E">
              <w:rPr>
                <w:sz w:val="24"/>
                <w:szCs w:val="24"/>
              </w:rPr>
              <w:softHyphen/>
              <w:t xml:space="preserve">smerter </w:t>
            </w:r>
            <w:r w:rsidRPr="00C73F9E">
              <w:rPr>
                <w:sz w:val="24"/>
                <w:szCs w:val="24"/>
                <w:vertAlign w:val="superscript"/>
              </w:rPr>
              <w:t>f</w:t>
            </w: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r w:rsidRPr="00C73F9E">
              <w:rPr>
                <w:sz w:val="24"/>
                <w:szCs w:val="24"/>
              </w:rPr>
              <w:t xml:space="preserve">Ovarie-cyste, brystgener </w:t>
            </w:r>
            <w:r w:rsidRPr="00C73F9E">
              <w:rPr>
                <w:sz w:val="24"/>
                <w:szCs w:val="24"/>
                <w:vertAlign w:val="superscript"/>
              </w:rPr>
              <w:t>g</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r w:rsidRPr="00C73F9E">
              <w:rPr>
                <w:sz w:val="24"/>
                <w:szCs w:val="24"/>
              </w:rPr>
              <w:t xml:space="preserve">Ovarietorsion </w:t>
            </w:r>
            <w:r w:rsidRPr="00C73F9E">
              <w:rPr>
                <w:sz w:val="24"/>
                <w:szCs w:val="24"/>
                <w:vertAlign w:val="superscript"/>
              </w:rPr>
              <w:t>e</w:t>
            </w:r>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r w:rsidRPr="00C73F9E">
              <w:rPr>
                <w:b/>
                <w:sz w:val="24"/>
                <w:szCs w:val="24"/>
              </w:rPr>
              <w:t>Hud og subkutane væv</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r w:rsidRPr="00C73F9E">
              <w:rPr>
                <w:sz w:val="24"/>
                <w:szCs w:val="24"/>
              </w:rPr>
              <w:t>Akne, udslæt</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roofErr w:type="spellStart"/>
            <w:r w:rsidRPr="00C73F9E">
              <w:rPr>
                <w:sz w:val="24"/>
                <w:szCs w:val="24"/>
              </w:rPr>
              <w:t>Pruritus</w:t>
            </w:r>
            <w:proofErr w:type="spellEnd"/>
            <w:r w:rsidRPr="00C73F9E">
              <w:rPr>
                <w:sz w:val="24"/>
                <w:szCs w:val="24"/>
              </w:rPr>
              <w:t xml:space="preserve">, </w:t>
            </w:r>
            <w:proofErr w:type="spellStart"/>
            <w:r w:rsidRPr="00C73F9E">
              <w:rPr>
                <w:sz w:val="24"/>
                <w:szCs w:val="24"/>
              </w:rPr>
              <w:t>urticaria</w:t>
            </w:r>
            <w:proofErr w:type="spellEnd"/>
          </w:p>
        </w:tc>
      </w:tr>
      <w:tr w:rsidR="00CB67C2" w:rsidRPr="00C73F9E" w:rsidTr="00C73F9E">
        <w:trPr>
          <w:trHeight w:val="574"/>
        </w:trPr>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rPr>
                <w:b/>
                <w:sz w:val="24"/>
                <w:szCs w:val="24"/>
              </w:rPr>
            </w:pPr>
            <w:proofErr w:type="spellStart"/>
            <w:r w:rsidRPr="00C73F9E">
              <w:rPr>
                <w:b/>
                <w:sz w:val="24"/>
                <w:szCs w:val="24"/>
              </w:rPr>
              <w:t>Vaskulære</w:t>
            </w:r>
            <w:proofErr w:type="spellEnd"/>
            <w:r w:rsidRPr="00C73F9E">
              <w:rPr>
                <w:b/>
                <w:sz w:val="24"/>
                <w:szCs w:val="24"/>
              </w:rPr>
              <w:t xml:space="preserve"> sygdomme</w:t>
            </w:r>
          </w:p>
        </w:tc>
        <w:tc>
          <w:tcPr>
            <w:tcW w:w="955"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1"/>
              <w:rPr>
                <w:sz w:val="24"/>
                <w:szCs w:val="24"/>
              </w:rPr>
            </w:pPr>
          </w:p>
        </w:tc>
        <w:tc>
          <w:tcPr>
            <w:tcW w:w="1000" w:type="pct"/>
            <w:tcBorders>
              <w:top w:val="single" w:sz="6" w:space="0" w:color="000000"/>
              <w:left w:val="single" w:sz="6" w:space="0" w:color="000000"/>
              <w:bottom w:val="single" w:sz="6" w:space="0" w:color="000000"/>
              <w:right w:val="single" w:sz="6" w:space="0" w:color="000000"/>
            </w:tcBorders>
            <w:shd w:val="clear" w:color="auto" w:fill="auto"/>
          </w:tcPr>
          <w:p w:rsidR="00116361" w:rsidRPr="00C73F9E" w:rsidRDefault="00116361" w:rsidP="00CB67C2">
            <w:pPr>
              <w:ind w:left="21"/>
              <w:rPr>
                <w:sz w:val="24"/>
                <w:szCs w:val="24"/>
              </w:rPr>
            </w:pPr>
            <w:r w:rsidRPr="00C73F9E">
              <w:rPr>
                <w:sz w:val="24"/>
                <w:szCs w:val="24"/>
              </w:rPr>
              <w:t>Hedeture</w:t>
            </w: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
        </w:tc>
        <w:tc>
          <w:tcPr>
            <w:tcW w:w="1045" w:type="pct"/>
            <w:tcBorders>
              <w:top w:val="single" w:sz="6" w:space="0" w:color="000000"/>
              <w:left w:val="single" w:sz="6" w:space="0" w:color="000000"/>
              <w:bottom w:val="single" w:sz="6" w:space="0" w:color="000000"/>
              <w:right w:val="single" w:sz="6" w:space="0" w:color="000000"/>
            </w:tcBorders>
          </w:tcPr>
          <w:p w:rsidR="00116361" w:rsidRPr="00C73F9E" w:rsidRDefault="00116361" w:rsidP="00CB67C2">
            <w:pPr>
              <w:rPr>
                <w:sz w:val="24"/>
                <w:szCs w:val="24"/>
              </w:rPr>
            </w:pPr>
            <w:proofErr w:type="spellStart"/>
            <w:r w:rsidRPr="00C73F9E">
              <w:rPr>
                <w:sz w:val="24"/>
                <w:szCs w:val="24"/>
              </w:rPr>
              <w:t>Tromboembolier</w:t>
            </w:r>
            <w:r w:rsidRPr="00C73F9E">
              <w:rPr>
                <w:sz w:val="24"/>
                <w:szCs w:val="24"/>
                <w:vertAlign w:val="superscript"/>
              </w:rPr>
              <w:t>e</w:t>
            </w:r>
            <w:proofErr w:type="spellEnd"/>
          </w:p>
        </w:tc>
      </w:tr>
    </w:tbl>
    <w:p w:rsidR="00116361" w:rsidRPr="00CB67C2" w:rsidRDefault="00116361" w:rsidP="00CB67C2">
      <w:pPr>
        <w:pStyle w:val="Brdtekstindrykning"/>
        <w:ind w:left="993" w:hanging="142"/>
        <w:rPr>
          <w:sz w:val="20"/>
        </w:rPr>
      </w:pPr>
      <w:r w:rsidRPr="00CB67C2">
        <w:rPr>
          <w:sz w:val="20"/>
          <w:vertAlign w:val="superscript"/>
        </w:rPr>
        <w:t>a</w:t>
      </w:r>
      <w:r w:rsidR="00CC6EE2">
        <w:rPr>
          <w:sz w:val="20"/>
          <w:vertAlign w:val="superscript"/>
        </w:rPr>
        <w:tab/>
      </w:r>
      <w:r w:rsidRPr="00CB67C2">
        <w:rPr>
          <w:sz w:val="20"/>
        </w:rPr>
        <w:t xml:space="preserve">Enkelte tilfælde af midlertidig </w:t>
      </w:r>
      <w:proofErr w:type="spellStart"/>
      <w:r w:rsidRPr="00CB67C2">
        <w:rPr>
          <w:sz w:val="20"/>
        </w:rPr>
        <w:t>amaurosis</w:t>
      </w:r>
      <w:proofErr w:type="spellEnd"/>
      <w:r w:rsidRPr="00CB67C2">
        <w:rPr>
          <w:sz w:val="20"/>
        </w:rPr>
        <w:t xml:space="preserve">, dobbeltsyn, </w:t>
      </w:r>
      <w:proofErr w:type="spellStart"/>
      <w:r w:rsidRPr="00CB67C2">
        <w:rPr>
          <w:sz w:val="20"/>
        </w:rPr>
        <w:t>mydriasis</w:t>
      </w:r>
      <w:proofErr w:type="spellEnd"/>
      <w:r w:rsidRPr="00CB67C2">
        <w:rPr>
          <w:sz w:val="20"/>
        </w:rPr>
        <w:t xml:space="preserve">, </w:t>
      </w:r>
      <w:proofErr w:type="spellStart"/>
      <w:r w:rsidRPr="00CB67C2">
        <w:rPr>
          <w:sz w:val="20"/>
        </w:rPr>
        <w:t>skotom</w:t>
      </w:r>
      <w:proofErr w:type="spellEnd"/>
      <w:r w:rsidRPr="00CB67C2">
        <w:rPr>
          <w:sz w:val="20"/>
        </w:rPr>
        <w:t xml:space="preserve">, fotopsi, </w:t>
      </w:r>
      <w:proofErr w:type="spellStart"/>
      <w:r w:rsidRPr="00CB67C2">
        <w:rPr>
          <w:sz w:val="20"/>
        </w:rPr>
        <w:t>glaslegemeflydere</w:t>
      </w:r>
      <w:proofErr w:type="spellEnd"/>
      <w:r w:rsidRPr="00CB67C2">
        <w:rPr>
          <w:sz w:val="20"/>
        </w:rPr>
        <w:t>, sløret syn og synsforringelse er blevet rapporteret som synsforstyrrelser, siden markedsføringen.</w:t>
      </w:r>
    </w:p>
    <w:p w:rsidR="00116361" w:rsidRPr="00CB67C2" w:rsidRDefault="00116361" w:rsidP="00CB67C2">
      <w:pPr>
        <w:pStyle w:val="Brdtekstindrykning"/>
        <w:ind w:left="993" w:hanging="142"/>
        <w:rPr>
          <w:sz w:val="20"/>
        </w:rPr>
      </w:pPr>
      <w:r w:rsidRPr="00CB67C2">
        <w:rPr>
          <w:sz w:val="20"/>
          <w:vertAlign w:val="superscript"/>
        </w:rPr>
        <w:t>b</w:t>
      </w:r>
      <w:r w:rsidR="00CC6EE2">
        <w:rPr>
          <w:sz w:val="20"/>
        </w:rPr>
        <w:tab/>
      </w:r>
      <w:r w:rsidRPr="00CB67C2">
        <w:rPr>
          <w:sz w:val="20"/>
        </w:rPr>
        <w:t>De hyppigst rapporterede reaktioner ved injektionsstedet var smerte på injektionsstedet.</w:t>
      </w:r>
    </w:p>
    <w:p w:rsidR="00116361" w:rsidRPr="00CB67C2" w:rsidRDefault="00116361" w:rsidP="00CB67C2">
      <w:pPr>
        <w:pStyle w:val="Brdtekstindrykning"/>
        <w:ind w:left="993" w:hanging="142"/>
        <w:rPr>
          <w:sz w:val="20"/>
        </w:rPr>
      </w:pPr>
      <w:r w:rsidRPr="00CB67C2">
        <w:rPr>
          <w:sz w:val="20"/>
          <w:vertAlign w:val="superscript"/>
        </w:rPr>
        <w:t>c</w:t>
      </w:r>
      <w:r w:rsidR="00CC6EE2">
        <w:rPr>
          <w:sz w:val="20"/>
          <w:vertAlign w:val="superscript"/>
        </w:rPr>
        <w:tab/>
      </w:r>
      <w:r w:rsidRPr="00CB67C2">
        <w:rPr>
          <w:sz w:val="20"/>
        </w:rPr>
        <w:t xml:space="preserve">I sjældne tilfælde er der rapporteret tilfælde af allergiske reaktioner, lokale eller generelle, inklusiv </w:t>
      </w:r>
      <w:proofErr w:type="spellStart"/>
      <w:r w:rsidRPr="00CB67C2">
        <w:rPr>
          <w:sz w:val="20"/>
        </w:rPr>
        <w:t>anafylaktisk</w:t>
      </w:r>
      <w:proofErr w:type="spellEnd"/>
      <w:r w:rsidRPr="00CB67C2">
        <w:rPr>
          <w:sz w:val="20"/>
        </w:rPr>
        <w:t xml:space="preserve"> reaktion, samt relateret symptomatologi.</w:t>
      </w:r>
    </w:p>
    <w:p w:rsidR="00116361" w:rsidRPr="00CB67C2" w:rsidRDefault="00116361" w:rsidP="00CB67C2">
      <w:pPr>
        <w:pStyle w:val="Brdtekstindrykning"/>
        <w:ind w:left="993" w:hanging="142"/>
        <w:rPr>
          <w:sz w:val="20"/>
        </w:rPr>
      </w:pPr>
      <w:r w:rsidRPr="00CB67C2">
        <w:rPr>
          <w:sz w:val="20"/>
          <w:vertAlign w:val="superscript"/>
        </w:rPr>
        <w:t>d</w:t>
      </w:r>
      <w:r w:rsidR="00CC6EE2">
        <w:rPr>
          <w:sz w:val="20"/>
        </w:rPr>
        <w:tab/>
      </w:r>
      <w:r w:rsidRPr="00CB67C2">
        <w:rPr>
          <w:sz w:val="20"/>
        </w:rPr>
        <w:t xml:space="preserve">Smerte i bevægeapparatet inkluderer </w:t>
      </w:r>
      <w:proofErr w:type="spellStart"/>
      <w:r w:rsidRPr="00CB67C2">
        <w:rPr>
          <w:sz w:val="20"/>
        </w:rPr>
        <w:t>atralgi</w:t>
      </w:r>
      <w:proofErr w:type="spellEnd"/>
      <w:r w:rsidRPr="00CB67C2">
        <w:rPr>
          <w:sz w:val="20"/>
        </w:rPr>
        <w:t>, rygsmerter, smerter i nakken og smerter i ekstremiteterne.</w:t>
      </w:r>
    </w:p>
    <w:p w:rsidR="00116361" w:rsidRPr="00CB67C2" w:rsidRDefault="00116361" w:rsidP="00CB67C2">
      <w:pPr>
        <w:pStyle w:val="Brdtekstindrykning"/>
        <w:ind w:left="993" w:hanging="142"/>
        <w:rPr>
          <w:sz w:val="20"/>
        </w:rPr>
      </w:pPr>
      <w:r w:rsidRPr="00CB67C2">
        <w:rPr>
          <w:sz w:val="20"/>
          <w:vertAlign w:val="superscript"/>
        </w:rPr>
        <w:t>e</w:t>
      </w:r>
      <w:r w:rsidR="00CC6EE2">
        <w:rPr>
          <w:sz w:val="20"/>
        </w:rPr>
        <w:tab/>
      </w:r>
      <w:proofErr w:type="spellStart"/>
      <w:r w:rsidRPr="00CB67C2">
        <w:rPr>
          <w:sz w:val="20"/>
        </w:rPr>
        <w:t>Gastrointestinale</w:t>
      </w:r>
      <w:proofErr w:type="spellEnd"/>
      <w:r w:rsidRPr="00CB67C2">
        <w:rPr>
          <w:sz w:val="20"/>
        </w:rPr>
        <w:t xml:space="preserve"> symptomer associeret med OHSS såsom </w:t>
      </w:r>
      <w:proofErr w:type="spellStart"/>
      <w:r w:rsidRPr="00CB67C2">
        <w:rPr>
          <w:sz w:val="20"/>
        </w:rPr>
        <w:t>abdominal</w:t>
      </w:r>
      <w:proofErr w:type="spellEnd"/>
      <w:r w:rsidRPr="00CB67C2">
        <w:rPr>
          <w:sz w:val="20"/>
        </w:rPr>
        <w:t xml:space="preserve"> </w:t>
      </w:r>
      <w:proofErr w:type="spellStart"/>
      <w:r w:rsidRPr="00CB67C2">
        <w:rPr>
          <w:sz w:val="20"/>
        </w:rPr>
        <w:t>distension</w:t>
      </w:r>
      <w:proofErr w:type="spellEnd"/>
      <w:r w:rsidRPr="00CB67C2">
        <w:rPr>
          <w:sz w:val="20"/>
        </w:rPr>
        <w:t xml:space="preserve"> og ubehag, kvalme, opkastning og diarré er blevet rapporteret med Menopur i kliniske studier. I tilfælde af svær OHSS, har i sjældne tilfælde, </w:t>
      </w:r>
      <w:proofErr w:type="spellStart"/>
      <w:r w:rsidRPr="00CB67C2">
        <w:rPr>
          <w:sz w:val="20"/>
        </w:rPr>
        <w:t>ascites</w:t>
      </w:r>
      <w:proofErr w:type="spellEnd"/>
      <w:r w:rsidRPr="00CB67C2">
        <w:rPr>
          <w:sz w:val="20"/>
        </w:rPr>
        <w:t xml:space="preserve"> og væskeansamling i bækkenet, </w:t>
      </w:r>
      <w:proofErr w:type="spellStart"/>
      <w:r w:rsidRPr="00CB67C2">
        <w:rPr>
          <w:sz w:val="20"/>
        </w:rPr>
        <w:t>pleuraekssudat</w:t>
      </w:r>
      <w:proofErr w:type="spellEnd"/>
      <w:r w:rsidRPr="00CB67C2">
        <w:rPr>
          <w:sz w:val="20"/>
        </w:rPr>
        <w:t xml:space="preserve">, dyspnø, </w:t>
      </w:r>
      <w:proofErr w:type="spellStart"/>
      <w:r w:rsidRPr="00CB67C2">
        <w:rPr>
          <w:sz w:val="20"/>
        </w:rPr>
        <w:t>oliguri</w:t>
      </w:r>
      <w:proofErr w:type="spellEnd"/>
      <w:r w:rsidRPr="00CB67C2">
        <w:rPr>
          <w:sz w:val="20"/>
        </w:rPr>
        <w:t xml:space="preserve">, </w:t>
      </w:r>
      <w:proofErr w:type="spellStart"/>
      <w:r w:rsidRPr="00CB67C2">
        <w:rPr>
          <w:sz w:val="20"/>
        </w:rPr>
        <w:t>tromboemboliske</w:t>
      </w:r>
      <w:proofErr w:type="spellEnd"/>
      <w:r w:rsidRPr="00CB67C2">
        <w:rPr>
          <w:sz w:val="20"/>
        </w:rPr>
        <w:t xml:space="preserve"> hændelser, ovarietorsion, været rapporteret.</w:t>
      </w:r>
    </w:p>
    <w:p w:rsidR="00116361" w:rsidRPr="00CB67C2" w:rsidRDefault="00116361" w:rsidP="00CB67C2">
      <w:pPr>
        <w:pStyle w:val="Brdtekstindrykning"/>
        <w:ind w:left="993" w:hanging="142"/>
        <w:rPr>
          <w:sz w:val="20"/>
          <w:lang w:val="nb-NO"/>
        </w:rPr>
      </w:pPr>
      <w:r w:rsidRPr="00CB67C2">
        <w:rPr>
          <w:sz w:val="20"/>
          <w:vertAlign w:val="superscript"/>
          <w:lang w:val="nb-NO"/>
        </w:rPr>
        <w:t>f</w:t>
      </w:r>
      <w:r w:rsidR="00CC6EE2">
        <w:rPr>
          <w:sz w:val="20"/>
          <w:lang w:val="nb-NO"/>
        </w:rPr>
        <w:tab/>
      </w:r>
      <w:r w:rsidRPr="00CB67C2">
        <w:rPr>
          <w:sz w:val="20"/>
          <w:lang w:val="nb-NO"/>
        </w:rPr>
        <w:t>Bækkensmerter, inkluderer ovariesmerter og smerter i adnexa uteri.</w:t>
      </w:r>
    </w:p>
    <w:p w:rsidR="00116361" w:rsidRPr="00CB67C2" w:rsidRDefault="00116361" w:rsidP="00CB67C2">
      <w:pPr>
        <w:pStyle w:val="Brdtekstindrykning"/>
        <w:ind w:left="993" w:hanging="142"/>
        <w:rPr>
          <w:sz w:val="20"/>
        </w:rPr>
      </w:pPr>
      <w:r w:rsidRPr="00CB67C2">
        <w:rPr>
          <w:sz w:val="20"/>
          <w:vertAlign w:val="superscript"/>
        </w:rPr>
        <w:t>g</w:t>
      </w:r>
      <w:r w:rsidR="00CC6EE2">
        <w:rPr>
          <w:sz w:val="20"/>
        </w:rPr>
        <w:tab/>
      </w:r>
      <w:r w:rsidRPr="00CB67C2">
        <w:rPr>
          <w:sz w:val="20"/>
        </w:rPr>
        <w:t>Brystgener inkluderer smerter i brysterne, brystspænding, brystubehag, smerter i brystvorte og brysthævelse.</w:t>
      </w:r>
    </w:p>
    <w:p w:rsidR="00116361" w:rsidRPr="00C73F9E" w:rsidRDefault="00116361" w:rsidP="00116361">
      <w:pPr>
        <w:pStyle w:val="Brdtekstindrykning"/>
        <w:rPr>
          <w:szCs w:val="24"/>
        </w:rPr>
      </w:pPr>
    </w:p>
    <w:p w:rsidR="00116361" w:rsidRPr="00C73F9E" w:rsidRDefault="00116361" w:rsidP="00116361">
      <w:pPr>
        <w:autoSpaceDE w:val="0"/>
        <w:autoSpaceDN w:val="0"/>
        <w:adjustRightInd w:val="0"/>
        <w:ind w:left="851"/>
        <w:rPr>
          <w:sz w:val="24"/>
          <w:szCs w:val="24"/>
          <w:u w:val="single"/>
        </w:rPr>
      </w:pPr>
      <w:r w:rsidRPr="00C73F9E">
        <w:rPr>
          <w:noProof/>
          <w:sz w:val="24"/>
          <w:szCs w:val="24"/>
          <w:u w:val="single"/>
        </w:rPr>
        <w:t>Indberetning af formodede bivirkninger</w:t>
      </w:r>
    </w:p>
    <w:p w:rsidR="00116361" w:rsidRPr="00C73F9E" w:rsidRDefault="00116361" w:rsidP="00116361">
      <w:pPr>
        <w:autoSpaceDE w:val="0"/>
        <w:autoSpaceDN w:val="0"/>
        <w:adjustRightInd w:val="0"/>
        <w:ind w:left="851"/>
        <w:rPr>
          <w:noProof/>
          <w:sz w:val="24"/>
          <w:szCs w:val="24"/>
        </w:rPr>
      </w:pPr>
      <w:r w:rsidRPr="00C73F9E">
        <w:rPr>
          <w:noProof/>
          <w:sz w:val="24"/>
          <w:szCs w:val="24"/>
        </w:rPr>
        <w:t>Når lægemidlet er godkendt, er indberetning af formodede bivirkninger vigtig.</w:t>
      </w:r>
      <w:r w:rsidRPr="00C73F9E">
        <w:rPr>
          <w:sz w:val="24"/>
          <w:szCs w:val="24"/>
        </w:rPr>
        <w:t xml:space="preserve"> </w:t>
      </w:r>
      <w:r w:rsidRPr="00C73F9E">
        <w:rPr>
          <w:noProof/>
          <w:sz w:val="24"/>
          <w:szCs w:val="24"/>
        </w:rPr>
        <w:t>Det muliggør løbende overvågning af benefit/risk-forholdet for lægemidlet.</w:t>
      </w:r>
      <w:r w:rsidRPr="00C73F9E">
        <w:rPr>
          <w:sz w:val="24"/>
          <w:szCs w:val="24"/>
        </w:rPr>
        <w:t xml:space="preserve"> </w:t>
      </w:r>
      <w:r w:rsidR="00CC6EE2">
        <w:rPr>
          <w:noProof/>
          <w:sz w:val="24"/>
          <w:szCs w:val="24"/>
        </w:rPr>
        <w:t xml:space="preserve">Sundhedspersoner </w:t>
      </w:r>
      <w:r w:rsidRPr="00C73F9E">
        <w:rPr>
          <w:noProof/>
          <w:sz w:val="24"/>
          <w:szCs w:val="24"/>
        </w:rPr>
        <w:t xml:space="preserve">anmodes om at indberette alle </w:t>
      </w:r>
      <w:r w:rsidRPr="00C73F9E">
        <w:rPr>
          <w:color w:val="000000"/>
          <w:sz w:val="24"/>
          <w:szCs w:val="24"/>
        </w:rPr>
        <w:t xml:space="preserve">formodede </w:t>
      </w:r>
      <w:r w:rsidRPr="00C73F9E">
        <w:rPr>
          <w:noProof/>
          <w:sz w:val="24"/>
          <w:szCs w:val="24"/>
        </w:rPr>
        <w:t xml:space="preserve">bivirkninger </w:t>
      </w:r>
      <w:r w:rsidRPr="00C73F9E">
        <w:rPr>
          <w:color w:val="000000"/>
          <w:sz w:val="24"/>
          <w:szCs w:val="24"/>
        </w:rPr>
        <w:t>via</w:t>
      </w:r>
      <w:r w:rsidRPr="00C73F9E">
        <w:rPr>
          <w:noProof/>
          <w:sz w:val="24"/>
          <w:szCs w:val="24"/>
        </w:rPr>
        <w:t xml:space="preserve">: </w:t>
      </w:r>
    </w:p>
    <w:p w:rsidR="00116361" w:rsidRPr="00C73F9E" w:rsidRDefault="00116361" w:rsidP="00116361">
      <w:pPr>
        <w:ind w:left="851"/>
        <w:rPr>
          <w:iCs/>
          <w:color w:val="000000"/>
          <w:sz w:val="24"/>
          <w:szCs w:val="24"/>
        </w:rPr>
      </w:pPr>
    </w:p>
    <w:p w:rsidR="00116361" w:rsidRPr="00C73F9E" w:rsidRDefault="00116361" w:rsidP="00116361">
      <w:pPr>
        <w:ind w:left="851"/>
        <w:rPr>
          <w:sz w:val="24"/>
          <w:szCs w:val="24"/>
        </w:rPr>
      </w:pPr>
      <w:r w:rsidRPr="00C73F9E">
        <w:rPr>
          <w:iCs/>
          <w:color w:val="000000"/>
          <w:sz w:val="24"/>
          <w:szCs w:val="24"/>
        </w:rPr>
        <w:t>Lægemiddelstyrelsen</w:t>
      </w:r>
    </w:p>
    <w:p w:rsidR="00116361" w:rsidRPr="00C73F9E" w:rsidRDefault="00116361" w:rsidP="00116361">
      <w:pPr>
        <w:ind w:left="851"/>
        <w:rPr>
          <w:sz w:val="24"/>
          <w:szCs w:val="24"/>
        </w:rPr>
      </w:pPr>
      <w:r w:rsidRPr="00C73F9E">
        <w:rPr>
          <w:iCs/>
          <w:sz w:val="24"/>
          <w:szCs w:val="24"/>
        </w:rPr>
        <w:t>Axel Heides Gade 1</w:t>
      </w:r>
    </w:p>
    <w:p w:rsidR="00116361" w:rsidRPr="00C73F9E" w:rsidRDefault="00116361" w:rsidP="00116361">
      <w:pPr>
        <w:ind w:left="851"/>
        <w:rPr>
          <w:sz w:val="24"/>
          <w:szCs w:val="24"/>
        </w:rPr>
      </w:pPr>
      <w:r w:rsidRPr="00C73F9E">
        <w:rPr>
          <w:iCs/>
          <w:sz w:val="24"/>
          <w:szCs w:val="24"/>
        </w:rPr>
        <w:t>DK-2300 København S</w:t>
      </w:r>
    </w:p>
    <w:p w:rsidR="00116361" w:rsidRPr="004E7AC9" w:rsidRDefault="00116361" w:rsidP="00116361">
      <w:pPr>
        <w:ind w:left="851"/>
        <w:rPr>
          <w:sz w:val="24"/>
          <w:szCs w:val="24"/>
        </w:rPr>
      </w:pPr>
      <w:r w:rsidRPr="004E7AC9">
        <w:rPr>
          <w:iCs/>
          <w:sz w:val="24"/>
          <w:szCs w:val="24"/>
        </w:rPr>
        <w:t xml:space="preserve">Websted: </w:t>
      </w:r>
      <w:hyperlink r:id="rId8" w:history="1">
        <w:r w:rsidR="00613EBC" w:rsidRPr="00C50D74">
          <w:rPr>
            <w:rStyle w:val="Hyperlink"/>
            <w:iCs/>
            <w:sz w:val="24"/>
            <w:szCs w:val="24"/>
          </w:rPr>
          <w:t>www.meldenbivirkning.dk</w:t>
        </w:r>
      </w:hyperlink>
      <w:r w:rsidR="00613EBC">
        <w:rPr>
          <w:iCs/>
          <w:sz w:val="24"/>
          <w:szCs w:val="24"/>
        </w:rPr>
        <w:t xml:space="preserve"> </w:t>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9260DE" w:rsidRPr="00C84483" w:rsidRDefault="00C377F2" w:rsidP="00C377F2">
      <w:pPr>
        <w:pStyle w:val="Brdtekstindrykning"/>
        <w:rPr>
          <w:szCs w:val="24"/>
        </w:rPr>
      </w:pPr>
      <w:r w:rsidRPr="009D5018">
        <w:rPr>
          <w:szCs w:val="24"/>
        </w:rPr>
        <w:t xml:space="preserve">Effekten af overdosering er ukendt, men </w:t>
      </w:r>
      <w:proofErr w:type="spellStart"/>
      <w:r w:rsidRPr="009D5018">
        <w:rPr>
          <w:szCs w:val="24"/>
        </w:rPr>
        <w:t>ovarielt</w:t>
      </w:r>
      <w:proofErr w:type="spellEnd"/>
      <w:r w:rsidRPr="009D5018">
        <w:rPr>
          <w:szCs w:val="24"/>
        </w:rPr>
        <w:t xml:space="preserve"> </w:t>
      </w:r>
      <w:proofErr w:type="spellStart"/>
      <w:r w:rsidRPr="009D5018">
        <w:rPr>
          <w:szCs w:val="24"/>
        </w:rPr>
        <w:t>hyperstimulationssyndrom</w:t>
      </w:r>
      <w:proofErr w:type="spellEnd"/>
      <w:r w:rsidRPr="009D5018">
        <w:rPr>
          <w:szCs w:val="24"/>
        </w:rPr>
        <w:t xml:space="preserve"> kan forventes at forekomme (se pkt. 4.4).</w:t>
      </w:r>
    </w:p>
    <w:p w:rsidR="00C377F2" w:rsidRDefault="00C377F2">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9517C8"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4F5738" w:rsidRPr="00BF6823" w:rsidRDefault="004F5738" w:rsidP="004F5738">
      <w:pPr>
        <w:ind w:left="851"/>
        <w:rPr>
          <w:sz w:val="24"/>
          <w:szCs w:val="24"/>
        </w:rPr>
      </w:pPr>
      <w:r w:rsidRPr="00BF6823">
        <w:rPr>
          <w:sz w:val="24"/>
          <w:szCs w:val="24"/>
        </w:rPr>
        <w:t>ATC-kode: G 03 GA 02.</w:t>
      </w:r>
      <w:r>
        <w:rPr>
          <w:sz w:val="24"/>
          <w:szCs w:val="24"/>
        </w:rPr>
        <w:t xml:space="preserve"> </w:t>
      </w:r>
      <w:proofErr w:type="spellStart"/>
      <w:r w:rsidRPr="00BF6823">
        <w:rPr>
          <w:sz w:val="24"/>
          <w:szCs w:val="24"/>
        </w:rPr>
        <w:t>Gonadotropiner</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F5738" w:rsidRPr="002867D9" w:rsidRDefault="004F5738" w:rsidP="004F5738">
      <w:pPr>
        <w:ind w:left="851"/>
        <w:rPr>
          <w:sz w:val="24"/>
          <w:szCs w:val="24"/>
        </w:rPr>
      </w:pPr>
      <w:r w:rsidRPr="002867D9">
        <w:rPr>
          <w:sz w:val="24"/>
          <w:szCs w:val="24"/>
        </w:rPr>
        <w:t xml:space="preserve">Menopur er produceret fra urinen fra </w:t>
      </w:r>
      <w:proofErr w:type="spellStart"/>
      <w:r w:rsidRPr="002867D9">
        <w:rPr>
          <w:sz w:val="24"/>
          <w:szCs w:val="24"/>
        </w:rPr>
        <w:t>postmenopausale</w:t>
      </w:r>
      <w:proofErr w:type="spellEnd"/>
      <w:r w:rsidRPr="002867D9">
        <w:rPr>
          <w:sz w:val="24"/>
          <w:szCs w:val="24"/>
        </w:rPr>
        <w:t xml:space="preserve"> kvinder. Humant </w:t>
      </w:r>
      <w:proofErr w:type="spellStart"/>
      <w:r w:rsidRPr="002867D9">
        <w:rPr>
          <w:sz w:val="24"/>
          <w:szCs w:val="24"/>
        </w:rPr>
        <w:t>chorion-gonadotropin</w:t>
      </w:r>
      <w:proofErr w:type="spellEnd"/>
      <w:r w:rsidRPr="002867D9">
        <w:rPr>
          <w:sz w:val="24"/>
          <w:szCs w:val="24"/>
        </w:rPr>
        <w:t xml:space="preserve"> (</w:t>
      </w:r>
      <w:proofErr w:type="spellStart"/>
      <w:r w:rsidRPr="002867D9">
        <w:rPr>
          <w:sz w:val="24"/>
          <w:szCs w:val="24"/>
        </w:rPr>
        <w:t>hCG</w:t>
      </w:r>
      <w:proofErr w:type="spellEnd"/>
      <w:r w:rsidRPr="002867D9">
        <w:rPr>
          <w:sz w:val="24"/>
          <w:szCs w:val="24"/>
        </w:rPr>
        <w:t>), et naturligt forekommende hormon i post-</w:t>
      </w:r>
      <w:proofErr w:type="spellStart"/>
      <w:r w:rsidRPr="002867D9">
        <w:rPr>
          <w:sz w:val="24"/>
          <w:szCs w:val="24"/>
        </w:rPr>
        <w:t>menopausal</w:t>
      </w:r>
      <w:proofErr w:type="spellEnd"/>
      <w:r w:rsidRPr="002867D9">
        <w:rPr>
          <w:sz w:val="24"/>
          <w:szCs w:val="24"/>
        </w:rPr>
        <w:t xml:space="preserve"> urin, findes i Menopur er hovedbidrageren til den totale </w:t>
      </w:r>
      <w:proofErr w:type="spellStart"/>
      <w:r w:rsidRPr="002867D9">
        <w:rPr>
          <w:sz w:val="24"/>
          <w:szCs w:val="24"/>
        </w:rPr>
        <w:t>luteiniserende</w:t>
      </w:r>
      <w:proofErr w:type="spellEnd"/>
      <w:r w:rsidRPr="002867D9">
        <w:rPr>
          <w:sz w:val="24"/>
          <w:szCs w:val="24"/>
        </w:rPr>
        <w:t xml:space="preserve"> hormon (LH)-aktivitet.</w:t>
      </w:r>
    </w:p>
    <w:p w:rsidR="004F5738" w:rsidRPr="002867D9" w:rsidRDefault="004F5738" w:rsidP="004F5738">
      <w:pPr>
        <w:ind w:left="851"/>
        <w:rPr>
          <w:sz w:val="24"/>
          <w:szCs w:val="24"/>
        </w:rPr>
      </w:pPr>
    </w:p>
    <w:p w:rsidR="004F5738" w:rsidRPr="002867D9" w:rsidRDefault="004F5738" w:rsidP="004F5738">
      <w:pPr>
        <w:ind w:left="851"/>
        <w:rPr>
          <w:sz w:val="24"/>
          <w:szCs w:val="24"/>
        </w:rPr>
      </w:pPr>
      <w:proofErr w:type="spellStart"/>
      <w:r w:rsidRPr="002867D9">
        <w:rPr>
          <w:sz w:val="24"/>
          <w:szCs w:val="24"/>
        </w:rPr>
        <w:t>Menotropin</w:t>
      </w:r>
      <w:proofErr w:type="spellEnd"/>
      <w:r w:rsidRPr="002867D9">
        <w:rPr>
          <w:sz w:val="24"/>
          <w:szCs w:val="24"/>
        </w:rPr>
        <w:t xml:space="preserve">, som indeholder både FSH- og LH-aktivitet, inducerer follikelvækst og -udvikling samt den </w:t>
      </w:r>
      <w:proofErr w:type="spellStart"/>
      <w:r w:rsidRPr="002867D9">
        <w:rPr>
          <w:sz w:val="24"/>
          <w:szCs w:val="24"/>
        </w:rPr>
        <w:t>gonale</w:t>
      </w:r>
      <w:proofErr w:type="spellEnd"/>
      <w:r w:rsidRPr="002867D9">
        <w:rPr>
          <w:sz w:val="24"/>
          <w:szCs w:val="24"/>
        </w:rPr>
        <w:t xml:space="preserve"> steroidproduktion hos kvinder, der ikke lider af primært ovariesvigt. Follikelstimulering og follikeltilvækst i den tidlige </w:t>
      </w:r>
      <w:proofErr w:type="spellStart"/>
      <w:r w:rsidRPr="002867D9">
        <w:rPr>
          <w:sz w:val="24"/>
          <w:szCs w:val="24"/>
        </w:rPr>
        <w:t>follikulogenese</w:t>
      </w:r>
      <w:proofErr w:type="spellEnd"/>
      <w:r w:rsidRPr="002867D9">
        <w:rPr>
          <w:sz w:val="24"/>
          <w:szCs w:val="24"/>
        </w:rPr>
        <w:t xml:space="preserve"> induceres primært af FSH, mens LH er vigtig for ovariets </w:t>
      </w:r>
      <w:proofErr w:type="spellStart"/>
      <w:r w:rsidRPr="002867D9">
        <w:rPr>
          <w:sz w:val="24"/>
          <w:szCs w:val="24"/>
        </w:rPr>
        <w:t>steroidogenese</w:t>
      </w:r>
      <w:proofErr w:type="spellEnd"/>
      <w:r w:rsidRPr="002867D9">
        <w:rPr>
          <w:sz w:val="24"/>
          <w:szCs w:val="24"/>
        </w:rPr>
        <w:t xml:space="preserve"> og er involveret i det fysiologiske forløb som leder til udviklingen af en kompetent </w:t>
      </w:r>
      <w:proofErr w:type="spellStart"/>
      <w:r w:rsidRPr="002867D9">
        <w:rPr>
          <w:sz w:val="24"/>
          <w:szCs w:val="24"/>
        </w:rPr>
        <w:t>præovulatorisk</w:t>
      </w:r>
      <w:proofErr w:type="spellEnd"/>
      <w:r w:rsidRPr="002867D9">
        <w:rPr>
          <w:sz w:val="24"/>
          <w:szCs w:val="24"/>
        </w:rPr>
        <w:t xml:space="preserve"> follikel. Follikelvækst kan stimuleres af FSH i totalt fravær af LH, men de resulterende follikler udvikles unormalt og er associeret med lave </w:t>
      </w:r>
      <w:proofErr w:type="spellStart"/>
      <w:r w:rsidRPr="002867D9">
        <w:rPr>
          <w:sz w:val="24"/>
          <w:szCs w:val="24"/>
        </w:rPr>
        <w:t>østradiolniveauer</w:t>
      </w:r>
      <w:proofErr w:type="spellEnd"/>
      <w:r w:rsidRPr="002867D9">
        <w:rPr>
          <w:sz w:val="24"/>
          <w:szCs w:val="24"/>
        </w:rPr>
        <w:t xml:space="preserve"> og er ude af stand til at </w:t>
      </w:r>
      <w:proofErr w:type="spellStart"/>
      <w:r w:rsidRPr="002867D9">
        <w:rPr>
          <w:sz w:val="24"/>
          <w:szCs w:val="24"/>
        </w:rPr>
        <w:t>luteinisere</w:t>
      </w:r>
      <w:proofErr w:type="spellEnd"/>
      <w:r w:rsidRPr="002867D9">
        <w:rPr>
          <w:sz w:val="24"/>
          <w:szCs w:val="24"/>
        </w:rPr>
        <w:t xml:space="preserve"> på et normalt </w:t>
      </w:r>
      <w:proofErr w:type="spellStart"/>
      <w:r w:rsidRPr="002867D9">
        <w:rPr>
          <w:sz w:val="24"/>
          <w:szCs w:val="24"/>
        </w:rPr>
        <w:t>ovulatorisk</w:t>
      </w:r>
      <w:proofErr w:type="spellEnd"/>
      <w:r w:rsidRPr="002867D9">
        <w:rPr>
          <w:sz w:val="24"/>
          <w:szCs w:val="24"/>
        </w:rPr>
        <w:t xml:space="preserve"> stimulus.  </w:t>
      </w:r>
    </w:p>
    <w:p w:rsidR="004F5738" w:rsidRPr="002867D9" w:rsidRDefault="004F5738" w:rsidP="004F5738">
      <w:pPr>
        <w:ind w:left="851"/>
        <w:rPr>
          <w:sz w:val="24"/>
          <w:szCs w:val="24"/>
        </w:rPr>
      </w:pPr>
    </w:p>
    <w:p w:rsidR="009260DE" w:rsidRPr="00C84483" w:rsidRDefault="004F5738" w:rsidP="004F5738">
      <w:pPr>
        <w:ind w:left="851"/>
        <w:rPr>
          <w:sz w:val="24"/>
          <w:szCs w:val="24"/>
        </w:rPr>
      </w:pPr>
      <w:r w:rsidRPr="002867D9">
        <w:rPr>
          <w:sz w:val="24"/>
          <w:szCs w:val="24"/>
        </w:rPr>
        <w:t xml:space="preserve">Eftersom LH-aktiviteten forstærker steroidgenesen, er </w:t>
      </w:r>
      <w:proofErr w:type="spellStart"/>
      <w:r w:rsidRPr="002867D9">
        <w:rPr>
          <w:sz w:val="24"/>
          <w:szCs w:val="24"/>
        </w:rPr>
        <w:t>østradiolniveauerne</w:t>
      </w:r>
      <w:proofErr w:type="spellEnd"/>
      <w:r w:rsidRPr="002867D9">
        <w:rPr>
          <w:sz w:val="24"/>
          <w:szCs w:val="24"/>
        </w:rPr>
        <w:t xml:space="preserve"> højere ved behandling med Menopur end ved behandling med </w:t>
      </w:r>
      <w:proofErr w:type="spellStart"/>
      <w:r w:rsidRPr="002867D9">
        <w:rPr>
          <w:sz w:val="24"/>
          <w:szCs w:val="24"/>
        </w:rPr>
        <w:t>rekombinant</w:t>
      </w:r>
      <w:proofErr w:type="spellEnd"/>
      <w:r w:rsidRPr="002867D9">
        <w:rPr>
          <w:sz w:val="24"/>
          <w:szCs w:val="24"/>
        </w:rPr>
        <w:t xml:space="preserve"> FSH i nedregulerede IVF/ICSI </w:t>
      </w:r>
      <w:proofErr w:type="spellStart"/>
      <w:r w:rsidRPr="002867D9">
        <w:rPr>
          <w:sz w:val="24"/>
          <w:szCs w:val="24"/>
        </w:rPr>
        <w:t>cykli</w:t>
      </w:r>
      <w:proofErr w:type="spellEnd"/>
      <w:r w:rsidRPr="002867D9">
        <w:rPr>
          <w:sz w:val="24"/>
          <w:szCs w:val="24"/>
        </w:rPr>
        <w:t xml:space="preserve">. Dette bør tages i betragtning, når patientens respons måles ved hjælp af </w:t>
      </w:r>
      <w:proofErr w:type="spellStart"/>
      <w:r w:rsidRPr="002867D9">
        <w:rPr>
          <w:sz w:val="24"/>
          <w:szCs w:val="24"/>
        </w:rPr>
        <w:t>østradiolniveau</w:t>
      </w:r>
      <w:proofErr w:type="spellEnd"/>
      <w:r w:rsidRPr="002867D9">
        <w:rPr>
          <w:sz w:val="24"/>
          <w:szCs w:val="24"/>
        </w:rPr>
        <w:t xml:space="preserve">. Forskellen i </w:t>
      </w:r>
      <w:proofErr w:type="spellStart"/>
      <w:r w:rsidRPr="002867D9">
        <w:rPr>
          <w:sz w:val="24"/>
          <w:szCs w:val="24"/>
        </w:rPr>
        <w:t>østradiolniveau</w:t>
      </w:r>
      <w:proofErr w:type="spellEnd"/>
      <w:r w:rsidRPr="002867D9">
        <w:rPr>
          <w:sz w:val="24"/>
          <w:szCs w:val="24"/>
        </w:rPr>
        <w:t xml:space="preserve"> ses ikke, når der anvendes lavdosis ovulationsinduktionsprotokoller ved </w:t>
      </w:r>
      <w:proofErr w:type="spellStart"/>
      <w:r w:rsidRPr="002867D9">
        <w:rPr>
          <w:sz w:val="24"/>
          <w:szCs w:val="24"/>
        </w:rPr>
        <w:t>anovulatoriske</w:t>
      </w:r>
      <w:proofErr w:type="spellEnd"/>
      <w:r w:rsidRPr="002867D9">
        <w:rPr>
          <w:sz w:val="24"/>
          <w:szCs w:val="24"/>
        </w:rPr>
        <w:t xml:space="preserve">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F5738" w:rsidRPr="0052435F" w:rsidRDefault="004F5738" w:rsidP="004F5738">
      <w:pPr>
        <w:ind w:left="851"/>
        <w:rPr>
          <w:sz w:val="24"/>
          <w:szCs w:val="24"/>
        </w:rPr>
      </w:pPr>
      <w:r w:rsidRPr="0052435F">
        <w:rPr>
          <w:sz w:val="24"/>
          <w:szCs w:val="24"/>
        </w:rPr>
        <w:t xml:space="preserve">Den </w:t>
      </w:r>
      <w:proofErr w:type="spellStart"/>
      <w:r w:rsidRPr="0052435F">
        <w:rPr>
          <w:sz w:val="24"/>
          <w:szCs w:val="24"/>
        </w:rPr>
        <w:t>farmakokinetiske</w:t>
      </w:r>
      <w:proofErr w:type="spellEnd"/>
      <w:r w:rsidRPr="0052435F">
        <w:rPr>
          <w:sz w:val="24"/>
          <w:szCs w:val="24"/>
        </w:rPr>
        <w:t xml:space="preserve"> profil af FSH i Menopur er dokumenteret. Efter 7 dages gentagen dosering med 150 IE Menopur i nedregulerede raske, frivillige kvinder opnås følgende plasmakoncentrationer:</w:t>
      </w:r>
    </w:p>
    <w:p w:rsidR="004F5738" w:rsidRPr="0052435F" w:rsidRDefault="004F5738" w:rsidP="004F5738">
      <w:pPr>
        <w:ind w:left="851"/>
        <w:rPr>
          <w:sz w:val="24"/>
          <w:szCs w:val="24"/>
        </w:rPr>
      </w:pPr>
      <w:r w:rsidRPr="0052435F">
        <w:rPr>
          <w:sz w:val="24"/>
          <w:szCs w:val="24"/>
        </w:rPr>
        <w:t xml:space="preserve">Maximale plasma FSH-koncentrationer (korrigeret i forhold til baseline) (gennemsnit </w:t>
      </w:r>
      <w:r w:rsidRPr="0052435F">
        <w:rPr>
          <w:sz w:val="24"/>
          <w:szCs w:val="24"/>
        </w:rPr>
        <w:sym w:font="Symbol" w:char="00B1"/>
      </w:r>
      <w:r w:rsidRPr="0052435F">
        <w:rPr>
          <w:sz w:val="24"/>
          <w:szCs w:val="24"/>
        </w:rPr>
        <w:t xml:space="preserve"> SD) var henholdsvis 8.9 </w:t>
      </w:r>
      <w:r w:rsidRPr="0052435F">
        <w:rPr>
          <w:sz w:val="24"/>
          <w:szCs w:val="24"/>
        </w:rPr>
        <w:sym w:font="Symbol" w:char="00B1"/>
      </w:r>
      <w:r w:rsidRPr="0052435F">
        <w:rPr>
          <w:sz w:val="24"/>
          <w:szCs w:val="24"/>
        </w:rPr>
        <w:t xml:space="preserve"> 3.5 IE/L og 8.5 </w:t>
      </w:r>
      <w:r w:rsidRPr="0052435F">
        <w:rPr>
          <w:sz w:val="24"/>
          <w:szCs w:val="24"/>
        </w:rPr>
        <w:sym w:font="Symbol" w:char="00B1"/>
      </w:r>
      <w:r w:rsidRPr="0052435F">
        <w:rPr>
          <w:sz w:val="24"/>
          <w:szCs w:val="24"/>
        </w:rPr>
        <w:t xml:space="preserve"> 3.2 IE/L for </w:t>
      </w:r>
      <w:proofErr w:type="spellStart"/>
      <w:r w:rsidRPr="0052435F">
        <w:rPr>
          <w:sz w:val="24"/>
          <w:szCs w:val="24"/>
        </w:rPr>
        <w:t>s.c</w:t>
      </w:r>
      <w:proofErr w:type="spellEnd"/>
      <w:r w:rsidRPr="0052435F">
        <w:rPr>
          <w:sz w:val="24"/>
          <w:szCs w:val="24"/>
        </w:rPr>
        <w:t xml:space="preserve">. og </w:t>
      </w:r>
      <w:proofErr w:type="spellStart"/>
      <w:r w:rsidRPr="0052435F">
        <w:rPr>
          <w:sz w:val="24"/>
          <w:szCs w:val="24"/>
        </w:rPr>
        <w:t>i.m</w:t>
      </w:r>
      <w:proofErr w:type="spellEnd"/>
      <w:r w:rsidRPr="0052435F">
        <w:rPr>
          <w:sz w:val="24"/>
          <w:szCs w:val="24"/>
        </w:rPr>
        <w:t xml:space="preserve">. administration. </w:t>
      </w:r>
    </w:p>
    <w:p w:rsidR="004F5738" w:rsidRPr="0052435F" w:rsidRDefault="004F5738" w:rsidP="004F5738">
      <w:pPr>
        <w:ind w:left="851"/>
        <w:rPr>
          <w:sz w:val="24"/>
          <w:szCs w:val="24"/>
        </w:rPr>
      </w:pPr>
      <w:r w:rsidRPr="0052435F">
        <w:rPr>
          <w:sz w:val="24"/>
          <w:szCs w:val="24"/>
        </w:rPr>
        <w:t xml:space="preserve">Maximale FSH-koncentrationer sås indenfor 7 timer for både </w:t>
      </w:r>
      <w:proofErr w:type="spellStart"/>
      <w:r w:rsidRPr="0052435F">
        <w:rPr>
          <w:sz w:val="24"/>
          <w:szCs w:val="24"/>
        </w:rPr>
        <w:t>s.c</w:t>
      </w:r>
      <w:proofErr w:type="spellEnd"/>
      <w:r w:rsidRPr="0052435F">
        <w:rPr>
          <w:sz w:val="24"/>
          <w:szCs w:val="24"/>
        </w:rPr>
        <w:t xml:space="preserve">. og </w:t>
      </w:r>
      <w:proofErr w:type="spellStart"/>
      <w:r w:rsidRPr="0052435F">
        <w:rPr>
          <w:sz w:val="24"/>
          <w:szCs w:val="24"/>
        </w:rPr>
        <w:t>i.m</w:t>
      </w:r>
      <w:proofErr w:type="spellEnd"/>
      <w:r w:rsidRPr="0052435F">
        <w:rPr>
          <w:sz w:val="24"/>
          <w:szCs w:val="24"/>
        </w:rPr>
        <w:t xml:space="preserve">. administration. </w:t>
      </w:r>
    </w:p>
    <w:p w:rsidR="004F5738" w:rsidRPr="0052435F" w:rsidRDefault="004F5738" w:rsidP="004F5738">
      <w:pPr>
        <w:ind w:left="851"/>
        <w:rPr>
          <w:sz w:val="24"/>
          <w:szCs w:val="24"/>
        </w:rPr>
      </w:pPr>
      <w:r w:rsidRPr="0052435F">
        <w:rPr>
          <w:sz w:val="24"/>
          <w:szCs w:val="24"/>
        </w:rPr>
        <w:t xml:space="preserve">Efter gentagen administration blev FSH elimineret med en halveringstid på (gennemsnit </w:t>
      </w:r>
      <w:r w:rsidRPr="0052435F">
        <w:rPr>
          <w:sz w:val="24"/>
          <w:szCs w:val="24"/>
        </w:rPr>
        <w:sym w:font="Symbol" w:char="00B1"/>
      </w:r>
      <w:r w:rsidRPr="0052435F">
        <w:rPr>
          <w:sz w:val="24"/>
          <w:szCs w:val="24"/>
        </w:rPr>
        <w:t xml:space="preserve"> SD) 30 </w:t>
      </w:r>
      <w:r w:rsidRPr="0052435F">
        <w:rPr>
          <w:sz w:val="24"/>
          <w:szCs w:val="24"/>
        </w:rPr>
        <w:sym w:font="Symbol" w:char="00B1"/>
      </w:r>
      <w:r w:rsidRPr="0052435F">
        <w:rPr>
          <w:sz w:val="24"/>
          <w:szCs w:val="24"/>
        </w:rPr>
        <w:t xml:space="preserve"> 11 timer og 27 </w:t>
      </w:r>
      <w:r w:rsidRPr="0052435F">
        <w:rPr>
          <w:sz w:val="24"/>
          <w:szCs w:val="24"/>
        </w:rPr>
        <w:sym w:font="Symbol" w:char="00B1"/>
      </w:r>
      <w:r w:rsidRPr="0052435F">
        <w:rPr>
          <w:sz w:val="24"/>
          <w:szCs w:val="24"/>
        </w:rPr>
        <w:t xml:space="preserve"> 9 timer for henholdsvis </w:t>
      </w:r>
      <w:proofErr w:type="spellStart"/>
      <w:r w:rsidRPr="0052435F">
        <w:rPr>
          <w:sz w:val="24"/>
          <w:szCs w:val="24"/>
        </w:rPr>
        <w:t>s.c</w:t>
      </w:r>
      <w:proofErr w:type="spellEnd"/>
      <w:r w:rsidRPr="0052435F">
        <w:rPr>
          <w:sz w:val="24"/>
          <w:szCs w:val="24"/>
        </w:rPr>
        <w:t xml:space="preserve">. og </w:t>
      </w:r>
      <w:proofErr w:type="spellStart"/>
      <w:r w:rsidRPr="0052435F">
        <w:rPr>
          <w:sz w:val="24"/>
          <w:szCs w:val="24"/>
        </w:rPr>
        <w:t>i.m</w:t>
      </w:r>
      <w:proofErr w:type="spellEnd"/>
      <w:r w:rsidRPr="0052435F">
        <w:rPr>
          <w:sz w:val="24"/>
          <w:szCs w:val="24"/>
        </w:rPr>
        <w:t xml:space="preserve">. administration. Selvom de enkelte LH koncentration-tid kurver viser en øgning i LH-koncentrationen efter Menopur administration er data for spredte til at kunne foretage en egentlig </w:t>
      </w:r>
      <w:proofErr w:type="spellStart"/>
      <w:r w:rsidRPr="0052435F">
        <w:rPr>
          <w:sz w:val="24"/>
          <w:szCs w:val="24"/>
        </w:rPr>
        <w:t>farmakokinetisk</w:t>
      </w:r>
      <w:proofErr w:type="spellEnd"/>
      <w:r w:rsidRPr="0052435F">
        <w:rPr>
          <w:sz w:val="24"/>
          <w:szCs w:val="24"/>
        </w:rPr>
        <w:t xml:space="preserve"> analyse.</w:t>
      </w:r>
    </w:p>
    <w:p w:rsidR="004F5738" w:rsidRPr="0052435F" w:rsidRDefault="004F5738" w:rsidP="004F5738">
      <w:pPr>
        <w:ind w:left="851"/>
        <w:rPr>
          <w:sz w:val="24"/>
          <w:szCs w:val="24"/>
        </w:rPr>
      </w:pPr>
    </w:p>
    <w:p w:rsidR="004F5738" w:rsidRPr="0052435F" w:rsidRDefault="004F5738" w:rsidP="004F5738">
      <w:pPr>
        <w:pStyle w:val="Brdtekstindrykning"/>
        <w:rPr>
          <w:szCs w:val="24"/>
        </w:rPr>
      </w:pPr>
      <w:proofErr w:type="spellStart"/>
      <w:r w:rsidRPr="0052435F">
        <w:rPr>
          <w:szCs w:val="24"/>
        </w:rPr>
        <w:t>Menotropin</w:t>
      </w:r>
      <w:proofErr w:type="spellEnd"/>
      <w:r w:rsidRPr="0052435F">
        <w:rPr>
          <w:szCs w:val="24"/>
        </w:rPr>
        <w:t xml:space="preserve"> udskilles primært gennem nyrerne.</w:t>
      </w:r>
    </w:p>
    <w:p w:rsidR="004F5738" w:rsidRPr="0052435F" w:rsidRDefault="004F5738" w:rsidP="004F5738">
      <w:pPr>
        <w:pStyle w:val="Brdtekstindrykning"/>
        <w:rPr>
          <w:szCs w:val="24"/>
        </w:rPr>
      </w:pPr>
    </w:p>
    <w:p w:rsidR="009260DE" w:rsidRPr="00C84483" w:rsidRDefault="004F5738" w:rsidP="004F5738">
      <w:pPr>
        <w:pStyle w:val="Brdtekstindrykning"/>
        <w:rPr>
          <w:szCs w:val="24"/>
        </w:rPr>
      </w:pPr>
      <w:r w:rsidRPr="0052435F">
        <w:rPr>
          <w:szCs w:val="24"/>
        </w:rPr>
        <w:t>Farmakokinetikken af Menopur hos patienter med nedsat nyre- eller leverfunktion er ikke undersøgt.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A169FC" w:rsidRPr="006E4771" w:rsidRDefault="00A169FC" w:rsidP="00A169FC">
      <w:pPr>
        <w:pStyle w:val="Brdtekstindrykning"/>
        <w:rPr>
          <w:szCs w:val="24"/>
        </w:rPr>
      </w:pPr>
      <w:r w:rsidRPr="006E4771">
        <w:rPr>
          <w:szCs w:val="24"/>
        </w:rPr>
        <w:t xml:space="preserve">De prækliniske data viser ingen særlig risiko for mennesker, der ikke er kendt fra den omfattende kliniske erfaring. Der har ikke været udført reproduktionstoksicitet studier med </w:t>
      </w:r>
      <w:r w:rsidRPr="006E4771">
        <w:rPr>
          <w:szCs w:val="24"/>
        </w:rPr>
        <w:lastRenderedPageBreak/>
        <w:t>henblik på at evaluere effekten af Menopur under graviditeten eller efter fødslen, da Menopur er ikke indiceret til behandling under disse omstændigheder.</w:t>
      </w:r>
    </w:p>
    <w:p w:rsidR="009260DE" w:rsidRPr="00C84483" w:rsidRDefault="00A169FC" w:rsidP="00A169FC">
      <w:pPr>
        <w:pStyle w:val="Brdtekstindrykning"/>
        <w:rPr>
          <w:szCs w:val="24"/>
        </w:rPr>
      </w:pPr>
      <w:r w:rsidRPr="006E4771">
        <w:rPr>
          <w:szCs w:val="24"/>
        </w:rPr>
        <w:t xml:space="preserve">Menopur består af naturligt forekommende hormoner, og forventes ikke at være genotoksisk. Der er ikke udført </w:t>
      </w:r>
      <w:proofErr w:type="spellStart"/>
      <w:r w:rsidRPr="006E4771">
        <w:rPr>
          <w:szCs w:val="24"/>
        </w:rPr>
        <w:t>karcinogenicitetsstudier</w:t>
      </w:r>
      <w:proofErr w:type="spellEnd"/>
      <w:r w:rsidRPr="006E4771">
        <w:rPr>
          <w:szCs w:val="24"/>
        </w:rPr>
        <w:t>, da produktet er indiceret til korttidsbehandling.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4E7AC9" w:rsidRPr="00623C1D" w:rsidRDefault="004E7AC9" w:rsidP="004E7AC9">
      <w:pPr>
        <w:ind w:left="851"/>
        <w:rPr>
          <w:sz w:val="24"/>
          <w:szCs w:val="24"/>
        </w:rPr>
      </w:pPr>
      <w:proofErr w:type="spellStart"/>
      <w:r w:rsidRPr="00623C1D">
        <w:rPr>
          <w:sz w:val="24"/>
          <w:szCs w:val="24"/>
        </w:rPr>
        <w:t>Phenol</w:t>
      </w:r>
      <w:proofErr w:type="spellEnd"/>
    </w:p>
    <w:p w:rsidR="004E7AC9" w:rsidRPr="00623C1D" w:rsidRDefault="004E7AC9" w:rsidP="004E7AC9">
      <w:pPr>
        <w:ind w:left="851"/>
        <w:rPr>
          <w:sz w:val="24"/>
          <w:szCs w:val="24"/>
        </w:rPr>
      </w:pPr>
      <w:proofErr w:type="spellStart"/>
      <w:r w:rsidRPr="00623C1D">
        <w:rPr>
          <w:sz w:val="24"/>
          <w:szCs w:val="24"/>
        </w:rPr>
        <w:t>Methionin</w:t>
      </w:r>
      <w:proofErr w:type="spellEnd"/>
    </w:p>
    <w:p w:rsidR="004E7AC9" w:rsidRPr="00623C1D" w:rsidRDefault="004E7AC9" w:rsidP="004E7AC9">
      <w:pPr>
        <w:ind w:left="851"/>
        <w:rPr>
          <w:sz w:val="24"/>
          <w:szCs w:val="24"/>
        </w:rPr>
      </w:pPr>
      <w:proofErr w:type="spellStart"/>
      <w:r w:rsidRPr="00623C1D">
        <w:rPr>
          <w:sz w:val="24"/>
          <w:szCs w:val="24"/>
        </w:rPr>
        <w:t>Argininhydrochlorid</w:t>
      </w:r>
      <w:proofErr w:type="spellEnd"/>
    </w:p>
    <w:p w:rsidR="004E7AC9" w:rsidRPr="00623C1D" w:rsidRDefault="004E7AC9" w:rsidP="004E7AC9">
      <w:pPr>
        <w:ind w:left="851"/>
        <w:rPr>
          <w:sz w:val="24"/>
          <w:szCs w:val="24"/>
        </w:rPr>
      </w:pPr>
      <w:proofErr w:type="spellStart"/>
      <w:r w:rsidRPr="00623C1D">
        <w:rPr>
          <w:sz w:val="24"/>
          <w:szCs w:val="24"/>
        </w:rPr>
        <w:t>Polysorbat</w:t>
      </w:r>
      <w:proofErr w:type="spellEnd"/>
      <w:r w:rsidRPr="00623C1D">
        <w:rPr>
          <w:sz w:val="24"/>
          <w:szCs w:val="24"/>
        </w:rPr>
        <w:t xml:space="preserve"> 20</w:t>
      </w:r>
    </w:p>
    <w:p w:rsidR="004E7AC9" w:rsidRPr="00623C1D" w:rsidRDefault="004E7AC9" w:rsidP="004E7AC9">
      <w:pPr>
        <w:ind w:left="851"/>
        <w:rPr>
          <w:sz w:val="24"/>
          <w:szCs w:val="24"/>
        </w:rPr>
      </w:pPr>
      <w:r w:rsidRPr="00623C1D">
        <w:rPr>
          <w:sz w:val="24"/>
          <w:szCs w:val="24"/>
        </w:rPr>
        <w:t>Natriumhydroxid</w:t>
      </w:r>
    </w:p>
    <w:p w:rsidR="004E7AC9" w:rsidRPr="00623C1D" w:rsidRDefault="004E7AC9" w:rsidP="004E7AC9">
      <w:pPr>
        <w:ind w:left="851"/>
        <w:rPr>
          <w:sz w:val="24"/>
          <w:szCs w:val="24"/>
        </w:rPr>
      </w:pPr>
      <w:r w:rsidRPr="00623C1D">
        <w:rPr>
          <w:sz w:val="24"/>
          <w:szCs w:val="24"/>
        </w:rPr>
        <w:t>Saltsyre</w:t>
      </w:r>
    </w:p>
    <w:p w:rsidR="009260DE" w:rsidRPr="00C84483" w:rsidRDefault="004E7AC9" w:rsidP="004E7AC9">
      <w:pPr>
        <w:ind w:left="851"/>
        <w:rPr>
          <w:sz w:val="24"/>
          <w:szCs w:val="24"/>
        </w:rPr>
      </w:pPr>
      <w:r w:rsidRPr="00623C1D">
        <w:rPr>
          <w:sz w:val="24"/>
          <w:szCs w:val="24"/>
        </w:rPr>
        <w:t>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4E7AC9" w:rsidP="004E7AC9">
      <w:pPr>
        <w:ind w:left="851"/>
        <w:rPr>
          <w:sz w:val="24"/>
          <w:szCs w:val="24"/>
        </w:rPr>
      </w:pPr>
      <w:r w:rsidRPr="00771B82">
        <w:rPr>
          <w:sz w:val="24"/>
          <w:szCs w:val="24"/>
        </w:rPr>
        <w:t>Da der ikke foreligger studier af eventuelle uforligeligheder, må dette lægemiddel ikke blandes med andre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4E7AC9" w:rsidRPr="00DB59B8" w:rsidRDefault="004E7AC9" w:rsidP="004E7AC9">
      <w:pPr>
        <w:ind w:left="851"/>
        <w:rPr>
          <w:sz w:val="24"/>
          <w:szCs w:val="24"/>
        </w:rPr>
      </w:pPr>
      <w:r w:rsidRPr="00DB59B8">
        <w:rPr>
          <w:sz w:val="24"/>
          <w:szCs w:val="24"/>
        </w:rPr>
        <w:t>3 år</w:t>
      </w:r>
      <w:r>
        <w:rPr>
          <w:sz w:val="24"/>
          <w:szCs w:val="24"/>
        </w:rPr>
        <w:t>.</w:t>
      </w:r>
    </w:p>
    <w:p w:rsidR="004E7AC9" w:rsidRPr="00DB59B8" w:rsidRDefault="004E7AC9" w:rsidP="004E7AC9">
      <w:pPr>
        <w:ind w:left="851"/>
        <w:rPr>
          <w:sz w:val="24"/>
          <w:szCs w:val="24"/>
        </w:rPr>
      </w:pPr>
    </w:p>
    <w:p w:rsidR="007A289E" w:rsidRPr="007A289E" w:rsidRDefault="00896699" w:rsidP="004E7AC9">
      <w:pPr>
        <w:pStyle w:val="Brdtekstindrykning"/>
        <w:rPr>
          <w:szCs w:val="24"/>
          <w:u w:val="single"/>
        </w:rPr>
      </w:pPr>
      <w:r>
        <w:rPr>
          <w:szCs w:val="24"/>
          <w:u w:val="single"/>
        </w:rPr>
        <w:t>Efter åbning</w:t>
      </w:r>
    </w:p>
    <w:p w:rsidR="004E7AC9" w:rsidRPr="00DB59B8" w:rsidRDefault="004E7AC9" w:rsidP="004E7AC9">
      <w:pPr>
        <w:pStyle w:val="Brdtekstindrykning"/>
        <w:rPr>
          <w:szCs w:val="24"/>
        </w:rPr>
      </w:pPr>
      <w:r w:rsidRPr="00DB59B8">
        <w:rPr>
          <w:szCs w:val="24"/>
        </w:rPr>
        <w:t>28 dage</w:t>
      </w:r>
      <w:r w:rsidR="004F6CA6">
        <w:rPr>
          <w:szCs w:val="24"/>
        </w:rPr>
        <w:t>.</w:t>
      </w:r>
    </w:p>
    <w:p w:rsidR="004E7AC9" w:rsidRPr="00DB59B8" w:rsidRDefault="004E7AC9" w:rsidP="004E7AC9">
      <w:pPr>
        <w:pStyle w:val="Brdtekstindrykning"/>
        <w:rPr>
          <w:szCs w:val="24"/>
        </w:rPr>
      </w:pPr>
      <w:r w:rsidRPr="00DB59B8">
        <w:rPr>
          <w:szCs w:val="24"/>
        </w:rPr>
        <w:t xml:space="preserve">Opbevares ved temperaturer under 25 °C mens i brug. </w:t>
      </w:r>
    </w:p>
    <w:p w:rsidR="004E7AC9" w:rsidRPr="00DB59B8" w:rsidRDefault="004E7AC9" w:rsidP="004E7AC9">
      <w:pPr>
        <w:ind w:left="851"/>
        <w:rPr>
          <w:sz w:val="24"/>
          <w:szCs w:val="24"/>
        </w:rPr>
      </w:pPr>
      <w:r w:rsidRPr="00DB59B8">
        <w:rPr>
          <w:sz w:val="24"/>
          <w:szCs w:val="24"/>
        </w:rPr>
        <w:t>Stabilitet under brug er påvist i 28 dage ved 25</w:t>
      </w:r>
      <w:r w:rsidR="004F6CA6">
        <w:rPr>
          <w:sz w:val="24"/>
          <w:szCs w:val="24"/>
        </w:rPr>
        <w:t xml:space="preserve"> </w:t>
      </w:r>
      <w:r w:rsidRPr="00DB59B8">
        <w:rPr>
          <w:sz w:val="24"/>
          <w:szCs w:val="24"/>
        </w:rPr>
        <w:t>°C. Derfor kan produktet, når det er åbnet, opbevares i maksimalt 28 dage ved temperaturer under 25</w:t>
      </w:r>
      <w:r w:rsidR="004F6CA6">
        <w:rPr>
          <w:sz w:val="24"/>
          <w:szCs w:val="24"/>
        </w:rPr>
        <w:t xml:space="preserve"> </w:t>
      </w:r>
      <w:r w:rsidRPr="00DB59B8">
        <w:rPr>
          <w:sz w:val="24"/>
          <w:szCs w:val="24"/>
        </w:rPr>
        <w:t>°C.</w:t>
      </w:r>
    </w:p>
    <w:p w:rsidR="009260DE" w:rsidRPr="00C84483" w:rsidRDefault="009260DE" w:rsidP="00CC6BA2">
      <w:pPr>
        <w:tabs>
          <w:tab w:val="left" w:pos="851"/>
        </w:tabs>
        <w:ind w:left="851" w:hanging="851"/>
        <w:rPr>
          <w:sz w:val="24"/>
          <w:szCs w:val="24"/>
        </w:rPr>
      </w:pPr>
      <w:r w:rsidRPr="00C84483">
        <w:rPr>
          <w:sz w:val="24"/>
          <w:szCs w:val="24"/>
        </w:rPr>
        <w:tab/>
      </w: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C6BA2" w:rsidRPr="00092A34" w:rsidRDefault="00CC6BA2" w:rsidP="00CC6BA2">
      <w:pPr>
        <w:ind w:left="851"/>
        <w:rPr>
          <w:sz w:val="24"/>
          <w:szCs w:val="24"/>
        </w:rPr>
      </w:pPr>
      <w:r w:rsidRPr="00092A34">
        <w:rPr>
          <w:sz w:val="24"/>
          <w:szCs w:val="24"/>
        </w:rPr>
        <w:t>Opbevares i køleskab (2</w:t>
      </w:r>
      <w:r>
        <w:rPr>
          <w:sz w:val="24"/>
          <w:szCs w:val="24"/>
        </w:rPr>
        <w:t xml:space="preserve"> </w:t>
      </w:r>
      <w:r w:rsidRPr="00092A34">
        <w:rPr>
          <w:sz w:val="24"/>
          <w:szCs w:val="24"/>
        </w:rPr>
        <w:t>°C-8</w:t>
      </w:r>
      <w:r>
        <w:rPr>
          <w:sz w:val="24"/>
          <w:szCs w:val="24"/>
        </w:rPr>
        <w:t xml:space="preserve"> </w:t>
      </w:r>
      <w:r w:rsidRPr="00092A34">
        <w:rPr>
          <w:sz w:val="24"/>
          <w:szCs w:val="24"/>
        </w:rPr>
        <w:t xml:space="preserve">°C). </w:t>
      </w:r>
    </w:p>
    <w:p w:rsidR="00CC6BA2" w:rsidRPr="00092A34" w:rsidRDefault="00CC6BA2" w:rsidP="00CC6BA2">
      <w:pPr>
        <w:ind w:left="851"/>
        <w:rPr>
          <w:sz w:val="24"/>
          <w:szCs w:val="24"/>
        </w:rPr>
      </w:pPr>
      <w:r w:rsidRPr="00092A34">
        <w:rPr>
          <w:sz w:val="24"/>
          <w:szCs w:val="24"/>
        </w:rPr>
        <w:t>Må ikke nedfryses.</w:t>
      </w:r>
    </w:p>
    <w:p w:rsidR="00CC6BA2" w:rsidRPr="00092A34" w:rsidRDefault="00CC6BA2" w:rsidP="00CC6BA2">
      <w:pPr>
        <w:ind w:left="851"/>
        <w:rPr>
          <w:sz w:val="24"/>
          <w:szCs w:val="24"/>
        </w:rPr>
      </w:pPr>
    </w:p>
    <w:p w:rsidR="00CC6BA2" w:rsidRPr="00092A34" w:rsidRDefault="00CC6BA2" w:rsidP="00CC6BA2">
      <w:pPr>
        <w:ind w:left="851"/>
        <w:rPr>
          <w:sz w:val="24"/>
          <w:szCs w:val="24"/>
        </w:rPr>
      </w:pPr>
      <w:r w:rsidRPr="00092A34">
        <w:rPr>
          <w:sz w:val="24"/>
          <w:szCs w:val="24"/>
        </w:rPr>
        <w:t xml:space="preserve">Opbevar altid pennen med penhætten på for at beskytte den mod lys. </w:t>
      </w:r>
    </w:p>
    <w:p w:rsidR="00CC6BA2" w:rsidRPr="00092A34" w:rsidRDefault="00CC6BA2" w:rsidP="00CC6BA2">
      <w:pPr>
        <w:ind w:left="851"/>
        <w:rPr>
          <w:sz w:val="24"/>
          <w:szCs w:val="24"/>
        </w:rPr>
      </w:pPr>
      <w:r w:rsidRPr="00092A34">
        <w:rPr>
          <w:sz w:val="24"/>
          <w:szCs w:val="24"/>
        </w:rPr>
        <w:tab/>
      </w:r>
    </w:p>
    <w:p w:rsidR="009260DE" w:rsidRPr="00C84483" w:rsidRDefault="00CC6BA2" w:rsidP="00CC6BA2">
      <w:pPr>
        <w:ind w:left="851"/>
        <w:rPr>
          <w:sz w:val="24"/>
          <w:szCs w:val="24"/>
        </w:rPr>
      </w:pPr>
      <w:r w:rsidRPr="00092A34">
        <w:rPr>
          <w:sz w:val="24"/>
          <w:szCs w:val="24"/>
        </w:rPr>
        <w:t>Opbevaringsforhold efter første brug af lægemidlet</w:t>
      </w:r>
      <w:r w:rsidRPr="00092A34" w:rsidDel="00DA4398">
        <w:rPr>
          <w:sz w:val="24"/>
          <w:szCs w:val="24"/>
        </w:rPr>
        <w:t xml:space="preserve"> </w:t>
      </w:r>
      <w:r w:rsidRPr="00092A34">
        <w:rPr>
          <w:sz w:val="24"/>
          <w:szCs w:val="24"/>
        </w:rPr>
        <w:t>se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0024E8" w:rsidRDefault="000024E8" w:rsidP="000024E8">
      <w:pPr>
        <w:ind w:left="851"/>
        <w:rPr>
          <w:sz w:val="24"/>
          <w:szCs w:val="24"/>
          <w:u w:val="single"/>
        </w:rPr>
      </w:pPr>
    </w:p>
    <w:p w:rsidR="000024E8" w:rsidRPr="00744A60" w:rsidRDefault="000024E8" w:rsidP="000024E8">
      <w:pPr>
        <w:ind w:left="851"/>
        <w:rPr>
          <w:sz w:val="24"/>
          <w:szCs w:val="24"/>
          <w:u w:val="single"/>
        </w:rPr>
      </w:pPr>
      <w:r w:rsidRPr="00744A60">
        <w:rPr>
          <w:sz w:val="24"/>
          <w:szCs w:val="24"/>
          <w:u w:val="single"/>
        </w:rPr>
        <w:t>Menopur 600 IE injektionsvæske, opløsning i fyldt pen</w:t>
      </w:r>
    </w:p>
    <w:p w:rsidR="000024E8" w:rsidRPr="00744A60" w:rsidRDefault="000024E8" w:rsidP="000024E8">
      <w:pPr>
        <w:ind w:left="851"/>
        <w:rPr>
          <w:sz w:val="24"/>
          <w:szCs w:val="24"/>
        </w:rPr>
      </w:pPr>
      <w:r w:rsidRPr="00744A60">
        <w:rPr>
          <w:sz w:val="24"/>
          <w:szCs w:val="24"/>
        </w:rPr>
        <w:t xml:space="preserve">Multidosis-ampul (Type I glas) med stempel (gummi) og en </w:t>
      </w:r>
      <w:proofErr w:type="spellStart"/>
      <w:r w:rsidRPr="00744A60">
        <w:rPr>
          <w:sz w:val="24"/>
          <w:szCs w:val="24"/>
        </w:rPr>
        <w:t>krymphætte</w:t>
      </w:r>
      <w:proofErr w:type="spellEnd"/>
      <w:r w:rsidRPr="00744A60">
        <w:rPr>
          <w:sz w:val="24"/>
          <w:szCs w:val="24"/>
        </w:rPr>
        <w:t xml:space="preserve"> (aluminium) med tolags septum (gummi). Hver ampul indeholder 0,96 </w:t>
      </w:r>
      <w:proofErr w:type="spellStart"/>
      <w:r w:rsidRPr="00744A60">
        <w:rPr>
          <w:sz w:val="24"/>
          <w:szCs w:val="24"/>
        </w:rPr>
        <w:t>mL</w:t>
      </w:r>
      <w:proofErr w:type="spellEnd"/>
      <w:r w:rsidRPr="00744A60">
        <w:rPr>
          <w:sz w:val="24"/>
          <w:szCs w:val="24"/>
        </w:rPr>
        <w:t xml:space="preserve"> opløsning. </w:t>
      </w:r>
    </w:p>
    <w:p w:rsidR="000024E8" w:rsidRDefault="000024E8" w:rsidP="000024E8">
      <w:pPr>
        <w:ind w:left="851"/>
        <w:rPr>
          <w:sz w:val="24"/>
          <w:szCs w:val="24"/>
        </w:rPr>
      </w:pPr>
    </w:p>
    <w:p w:rsidR="000024E8" w:rsidRPr="00744A60" w:rsidRDefault="000024E8" w:rsidP="000024E8">
      <w:pPr>
        <w:ind w:left="851"/>
        <w:rPr>
          <w:sz w:val="24"/>
          <w:szCs w:val="24"/>
        </w:rPr>
      </w:pPr>
      <w:r w:rsidRPr="00744A60">
        <w:rPr>
          <w:sz w:val="24"/>
          <w:szCs w:val="24"/>
        </w:rPr>
        <w:t>Pakningsstørrelse</w:t>
      </w:r>
      <w:r>
        <w:rPr>
          <w:sz w:val="24"/>
          <w:szCs w:val="24"/>
        </w:rPr>
        <w:t>r:</w:t>
      </w:r>
      <w:r w:rsidRPr="00744A60">
        <w:rPr>
          <w:sz w:val="24"/>
          <w:szCs w:val="24"/>
        </w:rPr>
        <w:t xml:space="preserve"> 1 fyldt pen og 12 kanyler (rustfrit stål).</w:t>
      </w:r>
    </w:p>
    <w:p w:rsidR="000024E8" w:rsidRPr="00744A60" w:rsidRDefault="000024E8" w:rsidP="000024E8">
      <w:pPr>
        <w:ind w:left="851"/>
        <w:rPr>
          <w:sz w:val="24"/>
          <w:szCs w:val="24"/>
        </w:rPr>
      </w:pPr>
    </w:p>
    <w:p w:rsidR="000024E8" w:rsidRPr="00744A60" w:rsidRDefault="000024E8" w:rsidP="000024E8">
      <w:pPr>
        <w:ind w:left="851"/>
        <w:rPr>
          <w:sz w:val="24"/>
          <w:szCs w:val="24"/>
          <w:u w:val="single"/>
        </w:rPr>
      </w:pPr>
      <w:r w:rsidRPr="00744A60">
        <w:rPr>
          <w:sz w:val="24"/>
          <w:szCs w:val="24"/>
          <w:u w:val="single"/>
        </w:rPr>
        <w:t>Menopur 1200 IE injektionsvæske, opløsning i fyldt pen</w:t>
      </w:r>
    </w:p>
    <w:p w:rsidR="000024E8" w:rsidRPr="00744A60" w:rsidRDefault="000024E8" w:rsidP="000024E8">
      <w:pPr>
        <w:ind w:left="851"/>
        <w:rPr>
          <w:sz w:val="24"/>
          <w:szCs w:val="24"/>
        </w:rPr>
      </w:pPr>
      <w:r w:rsidRPr="00744A60">
        <w:rPr>
          <w:sz w:val="24"/>
          <w:szCs w:val="24"/>
        </w:rPr>
        <w:t xml:space="preserve">Multidosis-ampul (Type I glas) med stempel (gummi) og en </w:t>
      </w:r>
      <w:proofErr w:type="spellStart"/>
      <w:r w:rsidRPr="00744A60">
        <w:rPr>
          <w:sz w:val="24"/>
          <w:szCs w:val="24"/>
        </w:rPr>
        <w:t>krymphætte</w:t>
      </w:r>
      <w:proofErr w:type="spellEnd"/>
      <w:r w:rsidRPr="00744A60">
        <w:rPr>
          <w:sz w:val="24"/>
          <w:szCs w:val="24"/>
        </w:rPr>
        <w:t xml:space="preserve"> (aluminium) med tolags septum (gummi). Hver ampul indeholder 1,92 </w:t>
      </w:r>
      <w:proofErr w:type="spellStart"/>
      <w:r w:rsidRPr="00744A60">
        <w:rPr>
          <w:sz w:val="24"/>
          <w:szCs w:val="24"/>
        </w:rPr>
        <w:t>mL</w:t>
      </w:r>
      <w:proofErr w:type="spellEnd"/>
      <w:r w:rsidRPr="00744A60">
        <w:rPr>
          <w:sz w:val="24"/>
          <w:szCs w:val="24"/>
        </w:rPr>
        <w:t xml:space="preserve"> opløsning. </w:t>
      </w:r>
    </w:p>
    <w:p w:rsidR="000024E8" w:rsidRDefault="000024E8" w:rsidP="000024E8">
      <w:pPr>
        <w:ind w:left="851"/>
        <w:rPr>
          <w:sz w:val="24"/>
          <w:szCs w:val="24"/>
        </w:rPr>
      </w:pPr>
    </w:p>
    <w:p w:rsidR="000024E8" w:rsidRDefault="000024E8" w:rsidP="000024E8">
      <w:pPr>
        <w:ind w:left="851"/>
        <w:rPr>
          <w:sz w:val="24"/>
          <w:szCs w:val="24"/>
        </w:rPr>
      </w:pPr>
      <w:r w:rsidRPr="00744A60">
        <w:rPr>
          <w:sz w:val="24"/>
          <w:szCs w:val="24"/>
        </w:rPr>
        <w:lastRenderedPageBreak/>
        <w:t>Pakningsstørrelse</w:t>
      </w:r>
      <w:r>
        <w:rPr>
          <w:sz w:val="24"/>
          <w:szCs w:val="24"/>
        </w:rPr>
        <w:t xml:space="preserve">r: </w:t>
      </w:r>
      <w:r w:rsidRPr="00744A60">
        <w:rPr>
          <w:sz w:val="24"/>
          <w:szCs w:val="24"/>
        </w:rPr>
        <w:t>1 fyldt pen og 21 kanyler (rustfrit stål).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A289E" w:rsidRPr="00015EBA" w:rsidRDefault="007A289E" w:rsidP="007A289E">
      <w:pPr>
        <w:ind w:left="851"/>
        <w:rPr>
          <w:sz w:val="24"/>
          <w:szCs w:val="24"/>
        </w:rPr>
      </w:pPr>
      <w:r w:rsidRPr="00015EBA">
        <w:rPr>
          <w:sz w:val="24"/>
          <w:szCs w:val="24"/>
        </w:rPr>
        <w:t>Opløsningen må ikke anvendes, hvis den indeholder partikler eller er uklar.</w:t>
      </w:r>
    </w:p>
    <w:p w:rsidR="007A289E" w:rsidRPr="00015EBA" w:rsidRDefault="007A289E" w:rsidP="007A289E">
      <w:pPr>
        <w:ind w:left="851"/>
        <w:rPr>
          <w:sz w:val="24"/>
          <w:szCs w:val="24"/>
        </w:rPr>
      </w:pPr>
    </w:p>
    <w:p w:rsidR="007A289E" w:rsidRPr="00015EBA" w:rsidRDefault="007A289E" w:rsidP="007A289E">
      <w:pPr>
        <w:ind w:left="851"/>
        <w:rPr>
          <w:sz w:val="24"/>
          <w:szCs w:val="24"/>
        </w:rPr>
      </w:pPr>
      <w:r w:rsidRPr="00015EBA">
        <w:rPr>
          <w:sz w:val="24"/>
          <w:szCs w:val="24"/>
        </w:rPr>
        <w:t>Brugsanvisningen for pennen skal følges. Smid brugte kanyler ud straks efter injektion.</w:t>
      </w:r>
    </w:p>
    <w:p w:rsidR="007A289E" w:rsidRPr="00015EBA" w:rsidRDefault="007A289E" w:rsidP="007A289E">
      <w:pPr>
        <w:ind w:left="851"/>
        <w:rPr>
          <w:sz w:val="24"/>
          <w:szCs w:val="24"/>
        </w:rPr>
      </w:pPr>
    </w:p>
    <w:p w:rsidR="009260DE" w:rsidRPr="00C84483" w:rsidRDefault="007A289E" w:rsidP="007A289E">
      <w:pPr>
        <w:ind w:left="851"/>
        <w:rPr>
          <w:sz w:val="24"/>
          <w:szCs w:val="24"/>
        </w:rPr>
      </w:pPr>
      <w:r w:rsidRPr="00015EBA">
        <w:rPr>
          <w:sz w:val="24"/>
          <w:szCs w:val="24"/>
        </w:rPr>
        <w:t xml:space="preserve">Ikke anvendt lægemiddel samt affald heraf skal </w:t>
      </w:r>
      <w:proofErr w:type="gramStart"/>
      <w:r w:rsidRPr="00015EBA">
        <w:rPr>
          <w:sz w:val="24"/>
          <w:szCs w:val="24"/>
        </w:rPr>
        <w:t>bortskaffes  i</w:t>
      </w:r>
      <w:proofErr w:type="gramEnd"/>
      <w:r w:rsidRPr="00015EBA">
        <w:rPr>
          <w:sz w:val="24"/>
          <w:szCs w:val="24"/>
        </w:rPr>
        <w:t xml:space="preserve">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13EBC" w:rsidRPr="002F2B9C" w:rsidRDefault="00613EBC" w:rsidP="00613EBC">
      <w:pPr>
        <w:ind w:left="851"/>
        <w:rPr>
          <w:lang w:eastAsia="da-DK"/>
        </w:rPr>
      </w:pPr>
      <w:r w:rsidRPr="002F2B9C">
        <w:rPr>
          <w:lang w:eastAsia="da-DK"/>
        </w:rPr>
        <w:t>2care4 ApS</w:t>
      </w:r>
    </w:p>
    <w:p w:rsidR="00613EBC" w:rsidRPr="002F2B9C" w:rsidRDefault="00613EBC" w:rsidP="00613EBC">
      <w:pPr>
        <w:ind w:left="851"/>
        <w:rPr>
          <w:lang w:eastAsia="da-DK"/>
        </w:rPr>
      </w:pPr>
      <w:r>
        <w:rPr>
          <w:lang w:eastAsia="da-DK"/>
        </w:rPr>
        <w:t>Stenhuggervej 12</w:t>
      </w:r>
    </w:p>
    <w:p w:rsidR="00613EBC" w:rsidRPr="002F2B9C" w:rsidRDefault="00613EBC" w:rsidP="00613EBC">
      <w:pPr>
        <w:ind w:left="851"/>
        <w:rPr>
          <w:lang w:eastAsia="da-DK"/>
        </w:rPr>
      </w:pPr>
      <w:r w:rsidRPr="002F2B9C">
        <w:rPr>
          <w:lang w:eastAsia="da-DK"/>
        </w:rPr>
        <w:t>6710 Esbjerg V</w:t>
      </w:r>
    </w:p>
    <w:p w:rsidR="00613EBC" w:rsidRDefault="00613EBC"/>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F90987" w:rsidP="004B7D6F">
      <w:pPr>
        <w:tabs>
          <w:tab w:val="left" w:pos="851"/>
          <w:tab w:val="left" w:pos="1843"/>
        </w:tabs>
        <w:ind w:left="851"/>
        <w:rPr>
          <w:sz w:val="24"/>
          <w:szCs w:val="24"/>
        </w:rPr>
      </w:pPr>
      <w:r>
        <w:rPr>
          <w:sz w:val="24"/>
          <w:szCs w:val="24"/>
        </w:rPr>
        <w:t>600 IE:</w:t>
      </w:r>
      <w:r>
        <w:rPr>
          <w:sz w:val="24"/>
          <w:szCs w:val="24"/>
        </w:rPr>
        <w:tab/>
      </w:r>
      <w:r w:rsidR="00613EBC">
        <w:rPr>
          <w:sz w:val="24"/>
          <w:szCs w:val="24"/>
        </w:rPr>
        <w:t>70773</w:t>
      </w:r>
    </w:p>
    <w:p w:rsidR="004B7D6F" w:rsidRPr="00C84483" w:rsidRDefault="004B7D6F" w:rsidP="004B7D6F">
      <w:pPr>
        <w:tabs>
          <w:tab w:val="left" w:pos="851"/>
          <w:tab w:val="left" w:pos="1843"/>
        </w:tabs>
        <w:ind w:left="851"/>
        <w:rPr>
          <w:sz w:val="24"/>
          <w:szCs w:val="24"/>
        </w:rPr>
      </w:pPr>
      <w:r>
        <w:rPr>
          <w:sz w:val="24"/>
          <w:szCs w:val="24"/>
        </w:rPr>
        <w:t>1200 IE:</w:t>
      </w:r>
      <w:r>
        <w:rPr>
          <w:sz w:val="24"/>
          <w:szCs w:val="24"/>
        </w:rPr>
        <w:tab/>
      </w:r>
      <w:r w:rsidR="00613EBC">
        <w:rPr>
          <w:sz w:val="24"/>
          <w:szCs w:val="24"/>
        </w:rPr>
        <w:t>70774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613EBC" w:rsidP="009260DE">
      <w:pPr>
        <w:tabs>
          <w:tab w:val="left" w:pos="851"/>
        </w:tabs>
        <w:ind w:left="851"/>
        <w:rPr>
          <w:sz w:val="24"/>
          <w:szCs w:val="24"/>
        </w:rPr>
      </w:pPr>
      <w:r>
        <w:rPr>
          <w:sz w:val="24"/>
          <w:szCs w:val="24"/>
        </w:rPr>
        <w:t>1</w:t>
      </w:r>
      <w:r w:rsidR="002012B0">
        <w:rPr>
          <w:sz w:val="24"/>
          <w:szCs w:val="24"/>
        </w:rPr>
        <w:t>7</w:t>
      </w:r>
      <w:bookmarkStart w:id="0" w:name="_GoBack"/>
      <w:bookmarkEnd w:id="0"/>
      <w:r>
        <w:rPr>
          <w:sz w:val="24"/>
          <w:szCs w:val="24"/>
        </w:rPr>
        <w:t>. januar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613EBC"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8CE" w:rsidRDefault="002018CE">
      <w:r>
        <w:separator/>
      </w:r>
    </w:p>
  </w:endnote>
  <w:endnote w:type="continuationSeparator" w:id="0">
    <w:p w:rsidR="002018CE" w:rsidRDefault="0020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13EBC">
      <w:rPr>
        <w:i/>
        <w:noProof/>
        <w:sz w:val="18"/>
        <w:szCs w:val="18"/>
      </w:rPr>
      <w:t>Menopur (2care4), injektionsvæske, opløsning i fyldt pen 600 IE og 1200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8CE" w:rsidRDefault="002018CE">
      <w:r>
        <w:separator/>
      </w:r>
    </w:p>
  </w:footnote>
  <w:footnote w:type="continuationSeparator" w:id="0">
    <w:p w:rsidR="002018CE" w:rsidRDefault="00201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6813C4B"/>
    <w:multiLevelType w:val="hybridMultilevel"/>
    <w:tmpl w:val="62666E72"/>
    <w:lvl w:ilvl="0" w:tplc="2000000F">
      <w:start w:val="1"/>
      <w:numFmt w:val="decimal"/>
      <w:lvlText w:val="%1."/>
      <w:lvlJc w:val="left"/>
      <w:pPr>
        <w:ind w:left="1211" w:hanging="360"/>
      </w:pPr>
      <w:rPr>
        <w:rFonts w:hint="default"/>
      </w:rPr>
    </w:lvl>
    <w:lvl w:ilvl="1" w:tplc="20000019">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A12C61"/>
    <w:multiLevelType w:val="hybridMultilevel"/>
    <w:tmpl w:val="6FFECE4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11A6374"/>
    <w:multiLevelType w:val="hybridMultilevel"/>
    <w:tmpl w:val="39FC074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CE"/>
    <w:rsid w:val="000024E8"/>
    <w:rsid w:val="000259B9"/>
    <w:rsid w:val="00041491"/>
    <w:rsid w:val="00050D16"/>
    <w:rsid w:val="00074F2A"/>
    <w:rsid w:val="000A1CA8"/>
    <w:rsid w:val="000A466B"/>
    <w:rsid w:val="000B058C"/>
    <w:rsid w:val="000E4ED5"/>
    <w:rsid w:val="000E4EE6"/>
    <w:rsid w:val="00116361"/>
    <w:rsid w:val="001454E2"/>
    <w:rsid w:val="001879F4"/>
    <w:rsid w:val="001C57CD"/>
    <w:rsid w:val="002012B0"/>
    <w:rsid w:val="002018CE"/>
    <w:rsid w:val="00206CE8"/>
    <w:rsid w:val="0021526C"/>
    <w:rsid w:val="00283A2B"/>
    <w:rsid w:val="002B30AD"/>
    <w:rsid w:val="002C2C01"/>
    <w:rsid w:val="003662D8"/>
    <w:rsid w:val="003A29AE"/>
    <w:rsid w:val="003A32D7"/>
    <w:rsid w:val="003B4074"/>
    <w:rsid w:val="003C769A"/>
    <w:rsid w:val="003F1838"/>
    <w:rsid w:val="0045746C"/>
    <w:rsid w:val="0049104B"/>
    <w:rsid w:val="00492360"/>
    <w:rsid w:val="004B7D6F"/>
    <w:rsid w:val="004E3B12"/>
    <w:rsid w:val="004E7AC9"/>
    <w:rsid w:val="004F5738"/>
    <w:rsid w:val="004F6CA6"/>
    <w:rsid w:val="00531095"/>
    <w:rsid w:val="00532310"/>
    <w:rsid w:val="00546ACB"/>
    <w:rsid w:val="00565F0F"/>
    <w:rsid w:val="00594A86"/>
    <w:rsid w:val="00596D86"/>
    <w:rsid w:val="005A6ABD"/>
    <w:rsid w:val="00613EBC"/>
    <w:rsid w:val="00637F5A"/>
    <w:rsid w:val="006560B1"/>
    <w:rsid w:val="006720E3"/>
    <w:rsid w:val="006756DD"/>
    <w:rsid w:val="00737275"/>
    <w:rsid w:val="00740EEC"/>
    <w:rsid w:val="0078011A"/>
    <w:rsid w:val="00782AF4"/>
    <w:rsid w:val="00790EE7"/>
    <w:rsid w:val="007A289E"/>
    <w:rsid w:val="007B6649"/>
    <w:rsid w:val="0082576E"/>
    <w:rsid w:val="00862381"/>
    <w:rsid w:val="00896699"/>
    <w:rsid w:val="008B1FF6"/>
    <w:rsid w:val="008B3C17"/>
    <w:rsid w:val="008C7E9D"/>
    <w:rsid w:val="00907F75"/>
    <w:rsid w:val="009260DE"/>
    <w:rsid w:val="0093258A"/>
    <w:rsid w:val="009517C8"/>
    <w:rsid w:val="00967A6A"/>
    <w:rsid w:val="009B6705"/>
    <w:rsid w:val="009C7176"/>
    <w:rsid w:val="009C7BA3"/>
    <w:rsid w:val="009D1F5A"/>
    <w:rsid w:val="00A169FC"/>
    <w:rsid w:val="00A43C39"/>
    <w:rsid w:val="00AD0FDB"/>
    <w:rsid w:val="00B003BF"/>
    <w:rsid w:val="00B373D7"/>
    <w:rsid w:val="00BA6C61"/>
    <w:rsid w:val="00C36276"/>
    <w:rsid w:val="00C377F2"/>
    <w:rsid w:val="00C42586"/>
    <w:rsid w:val="00C60CCD"/>
    <w:rsid w:val="00C641B3"/>
    <w:rsid w:val="00C84483"/>
    <w:rsid w:val="00C95551"/>
    <w:rsid w:val="00CB20D7"/>
    <w:rsid w:val="00CB67C2"/>
    <w:rsid w:val="00CC1AC7"/>
    <w:rsid w:val="00CC6BA2"/>
    <w:rsid w:val="00CC6EE2"/>
    <w:rsid w:val="00D020B0"/>
    <w:rsid w:val="00D11748"/>
    <w:rsid w:val="00D366CF"/>
    <w:rsid w:val="00E108AA"/>
    <w:rsid w:val="00E3749A"/>
    <w:rsid w:val="00E7437F"/>
    <w:rsid w:val="00E865B8"/>
    <w:rsid w:val="00EC0B9B"/>
    <w:rsid w:val="00ED5E9F"/>
    <w:rsid w:val="00EE3ABF"/>
    <w:rsid w:val="00EF5FED"/>
    <w:rsid w:val="00F12E17"/>
    <w:rsid w:val="00F66D4F"/>
    <w:rsid w:val="00F9098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39C2F"/>
  <w15:chartTrackingRefBased/>
  <w15:docId w15:val="{CAE02B72-77B5-47FD-8DE8-A3794299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rsid w:val="001879F4"/>
    <w:pPr>
      <w:ind w:left="851"/>
    </w:pPr>
    <w:rPr>
      <w:sz w:val="24"/>
      <w:lang w:eastAsia="da-DK"/>
    </w:rPr>
  </w:style>
  <w:style w:type="character" w:customStyle="1" w:styleId="BrdtekstindrykningTegn">
    <w:name w:val="Brødtekstindrykning Tegn"/>
    <w:basedOn w:val="Standardskrifttypeiafsnit"/>
    <w:link w:val="Brdtekstindrykning"/>
    <w:rsid w:val="001879F4"/>
    <w:rPr>
      <w:sz w:val="24"/>
    </w:rPr>
  </w:style>
  <w:style w:type="paragraph" w:styleId="Brdtekst">
    <w:name w:val="Body Text"/>
    <w:basedOn w:val="Normal"/>
    <w:link w:val="BrdtekstTegn"/>
    <w:rsid w:val="00116361"/>
    <w:pPr>
      <w:spacing w:after="120"/>
    </w:pPr>
  </w:style>
  <w:style w:type="character" w:customStyle="1" w:styleId="BrdtekstTegn">
    <w:name w:val="Brødtekst Tegn"/>
    <w:basedOn w:val="Standardskrifttypeiafsnit"/>
    <w:link w:val="Brdtekst"/>
    <w:rsid w:val="00116361"/>
    <w:rPr>
      <w:sz w:val="23"/>
      <w:lang w:eastAsia="en-US"/>
    </w:rPr>
  </w:style>
  <w:style w:type="character" w:styleId="Hyperlink">
    <w:name w:val="Hyperlink"/>
    <w:uiPriority w:val="99"/>
    <w:rsid w:val="00116361"/>
    <w:rPr>
      <w:color w:val="0000FF"/>
      <w:u w:val="single"/>
    </w:rPr>
  </w:style>
  <w:style w:type="character" w:styleId="Ulstomtale">
    <w:name w:val="Unresolved Mention"/>
    <w:basedOn w:val="Standardskrifttypeiafsnit"/>
    <w:uiPriority w:val="99"/>
    <w:semiHidden/>
    <w:unhideWhenUsed/>
    <w:rsid w:val="00613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52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2871</Words>
  <Characters>18621</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1200 IE: 2023112942 og 600IE: 2023112940 - Nyt PI-SPC</dc:description>
  <cp:lastModifiedBy>Camilla Sværke Hansen</cp:lastModifiedBy>
  <cp:revision>8</cp:revision>
  <cp:lastPrinted>2012-08-22T08:53:00Z</cp:lastPrinted>
  <dcterms:created xsi:type="dcterms:W3CDTF">2022-07-29T13:33:00Z</dcterms:created>
  <dcterms:modified xsi:type="dcterms:W3CDTF">2024-01-17T07:41:00Z</dcterms:modified>
</cp:coreProperties>
</file>