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131D" w:rsidRPr="00DE7B77" w:rsidRDefault="0032131D" w:rsidP="0032131D">
      <w:pPr>
        <w:rPr>
          <w:sz w:val="24"/>
          <w:szCs w:val="24"/>
        </w:rPr>
      </w:pPr>
      <w:r>
        <w:rPr>
          <w:noProof/>
          <w:lang w:eastAsia="da-DK"/>
        </w:rPr>
        <w:drawing>
          <wp:inline distT="0" distB="0" distL="0" distR="0" wp14:anchorId="0A3FC8DC" wp14:editId="4C095B57">
            <wp:extent cx="2466975" cy="685800"/>
            <wp:effectExtent l="0" t="0" r="9525" b="0"/>
            <wp:docPr id="2" name="Billede 2" descr="C:\Users\ALS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32131D" w:rsidRPr="00DE7B77" w:rsidRDefault="0032131D" w:rsidP="0032131D">
      <w:pPr>
        <w:pStyle w:val="Titel"/>
        <w:tabs>
          <w:tab w:val="right" w:pos="9356"/>
        </w:tabs>
        <w:jc w:val="left"/>
        <w:rPr>
          <w:b w:val="0"/>
          <w:szCs w:val="24"/>
          <w:lang w:eastAsia="en-US"/>
        </w:rPr>
      </w:pPr>
    </w:p>
    <w:p w:rsidR="0032131D" w:rsidRPr="00DE7B77" w:rsidRDefault="0032131D" w:rsidP="00DE7B77">
      <w:pPr>
        <w:pStyle w:val="Titel"/>
        <w:tabs>
          <w:tab w:val="right" w:pos="9356"/>
        </w:tabs>
        <w:jc w:val="left"/>
        <w:rPr>
          <w:b w:val="0"/>
          <w:szCs w:val="24"/>
          <w:lang w:eastAsia="en-US"/>
        </w:rPr>
      </w:pPr>
      <w:r w:rsidRPr="00DE7B77">
        <w:rPr>
          <w:b w:val="0"/>
          <w:szCs w:val="24"/>
          <w:lang w:eastAsia="en-US"/>
        </w:rPr>
        <w:tab/>
      </w:r>
      <w:r w:rsidR="00DE7B77" w:rsidRPr="00DE7B77">
        <w:rPr>
          <w:szCs w:val="24"/>
        </w:rPr>
        <w:t>4</w:t>
      </w:r>
      <w:r w:rsidRPr="00DE7B77">
        <w:rPr>
          <w:szCs w:val="24"/>
        </w:rPr>
        <w:t xml:space="preserve">. </w:t>
      </w:r>
      <w:r w:rsidR="00DE7B77" w:rsidRPr="00DE7B77">
        <w:rPr>
          <w:szCs w:val="24"/>
        </w:rPr>
        <w:t>december</w:t>
      </w:r>
      <w:r w:rsidRPr="00DE7B77">
        <w:rPr>
          <w:szCs w:val="24"/>
        </w:rPr>
        <w:t xml:space="preserve"> 20</w:t>
      </w:r>
      <w:r w:rsidR="006F3B23" w:rsidRPr="00DE7B77">
        <w:rPr>
          <w:szCs w:val="24"/>
        </w:rPr>
        <w:t>2</w:t>
      </w:r>
      <w:r w:rsidR="00DE7B77" w:rsidRPr="00DE7B77">
        <w:rPr>
          <w:szCs w:val="24"/>
        </w:rPr>
        <w:t>3</w:t>
      </w:r>
    </w:p>
    <w:p w:rsidR="0032131D" w:rsidRPr="00DE7B77" w:rsidRDefault="0032131D" w:rsidP="0032131D">
      <w:pPr>
        <w:pStyle w:val="Titel"/>
        <w:jc w:val="left"/>
        <w:rPr>
          <w:b w:val="0"/>
          <w:szCs w:val="24"/>
        </w:rPr>
      </w:pPr>
    </w:p>
    <w:p w:rsidR="0032131D" w:rsidRPr="00DE7B77" w:rsidRDefault="0032131D" w:rsidP="0032131D">
      <w:pPr>
        <w:pStyle w:val="Titel"/>
        <w:jc w:val="left"/>
        <w:rPr>
          <w:b w:val="0"/>
          <w:szCs w:val="24"/>
        </w:rPr>
      </w:pPr>
    </w:p>
    <w:p w:rsidR="0032131D" w:rsidRPr="00DE7B77" w:rsidRDefault="0032131D" w:rsidP="0032131D">
      <w:pPr>
        <w:jc w:val="center"/>
        <w:rPr>
          <w:b/>
          <w:sz w:val="24"/>
          <w:szCs w:val="24"/>
        </w:rPr>
      </w:pPr>
      <w:r w:rsidRPr="00DE7B77">
        <w:rPr>
          <w:b/>
          <w:sz w:val="24"/>
          <w:szCs w:val="24"/>
        </w:rPr>
        <w:t>PRODUKTRESUMÉ</w:t>
      </w:r>
    </w:p>
    <w:p w:rsidR="0032131D" w:rsidRPr="00DE7B77" w:rsidRDefault="0032131D" w:rsidP="0032131D">
      <w:pPr>
        <w:jc w:val="center"/>
        <w:rPr>
          <w:b/>
          <w:sz w:val="24"/>
          <w:szCs w:val="24"/>
        </w:rPr>
      </w:pPr>
    </w:p>
    <w:p w:rsidR="0032131D" w:rsidRPr="00DE7B77" w:rsidRDefault="0032131D" w:rsidP="0032131D">
      <w:pPr>
        <w:jc w:val="center"/>
        <w:rPr>
          <w:b/>
          <w:sz w:val="24"/>
          <w:szCs w:val="24"/>
        </w:rPr>
      </w:pPr>
      <w:r w:rsidRPr="00DE7B77">
        <w:rPr>
          <w:b/>
          <w:sz w:val="24"/>
          <w:szCs w:val="24"/>
        </w:rPr>
        <w:t>for</w:t>
      </w:r>
    </w:p>
    <w:p w:rsidR="0032131D" w:rsidRPr="00DE7B77" w:rsidRDefault="0032131D" w:rsidP="0032131D">
      <w:pPr>
        <w:jc w:val="center"/>
        <w:rPr>
          <w:b/>
          <w:sz w:val="24"/>
          <w:szCs w:val="24"/>
        </w:rPr>
      </w:pPr>
    </w:p>
    <w:p w:rsidR="0032131D" w:rsidRPr="00DE7B77" w:rsidRDefault="0032131D" w:rsidP="0032131D">
      <w:pPr>
        <w:jc w:val="center"/>
        <w:rPr>
          <w:b/>
          <w:sz w:val="24"/>
          <w:szCs w:val="24"/>
        </w:rPr>
      </w:pPr>
      <w:proofErr w:type="spellStart"/>
      <w:r w:rsidRPr="00DE7B77">
        <w:rPr>
          <w:b/>
          <w:sz w:val="24"/>
          <w:szCs w:val="24"/>
        </w:rPr>
        <w:t>Mentixa</w:t>
      </w:r>
      <w:proofErr w:type="spellEnd"/>
      <w:r w:rsidRPr="00DE7B77">
        <w:rPr>
          <w:b/>
          <w:sz w:val="24"/>
          <w:szCs w:val="24"/>
        </w:rPr>
        <w:t>, filmovertrukne tabletter</w:t>
      </w:r>
    </w:p>
    <w:p w:rsidR="0032131D" w:rsidRPr="00DE7B77" w:rsidRDefault="0032131D" w:rsidP="0032131D">
      <w:pPr>
        <w:jc w:val="both"/>
        <w:rPr>
          <w:sz w:val="24"/>
          <w:szCs w:val="24"/>
        </w:rPr>
      </w:pPr>
    </w:p>
    <w:p w:rsidR="0032131D" w:rsidRPr="00DE7B77" w:rsidRDefault="0032131D" w:rsidP="0032131D">
      <w:pPr>
        <w:jc w:val="both"/>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0.</w:t>
      </w:r>
      <w:r w:rsidRPr="00DE7B77">
        <w:rPr>
          <w:b/>
          <w:sz w:val="24"/>
          <w:szCs w:val="24"/>
        </w:rPr>
        <w:tab/>
        <w:t>D.SP.NR.</w:t>
      </w:r>
    </w:p>
    <w:p w:rsidR="0032131D" w:rsidRPr="00DE7B77" w:rsidRDefault="0032131D" w:rsidP="0032131D">
      <w:pPr>
        <w:tabs>
          <w:tab w:val="left" w:pos="851"/>
        </w:tabs>
        <w:rPr>
          <w:sz w:val="24"/>
          <w:szCs w:val="24"/>
        </w:rPr>
      </w:pPr>
      <w:r w:rsidRPr="00DE7B77">
        <w:rPr>
          <w:sz w:val="24"/>
          <w:szCs w:val="24"/>
        </w:rPr>
        <w:tab/>
        <w:t>28399</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1.</w:t>
      </w:r>
      <w:r w:rsidRPr="00DE7B77">
        <w:rPr>
          <w:b/>
          <w:sz w:val="24"/>
          <w:szCs w:val="24"/>
        </w:rPr>
        <w:tab/>
        <w:t>LÆGEMIDLETS NAVN</w:t>
      </w:r>
    </w:p>
    <w:p w:rsidR="0032131D" w:rsidRPr="00DE7B77" w:rsidRDefault="0032131D" w:rsidP="0032131D">
      <w:pPr>
        <w:tabs>
          <w:tab w:val="left" w:pos="851"/>
        </w:tabs>
        <w:rPr>
          <w:sz w:val="24"/>
          <w:szCs w:val="24"/>
        </w:rPr>
      </w:pPr>
      <w:r w:rsidRPr="00DE7B77">
        <w:rPr>
          <w:sz w:val="24"/>
          <w:szCs w:val="24"/>
        </w:rPr>
        <w:tab/>
      </w:r>
      <w:proofErr w:type="spellStart"/>
      <w:r w:rsidRPr="00DE7B77">
        <w:rPr>
          <w:sz w:val="24"/>
          <w:szCs w:val="24"/>
        </w:rPr>
        <w:t>Mentixa</w:t>
      </w:r>
      <w:proofErr w:type="spellEnd"/>
    </w:p>
    <w:p w:rsidR="0032131D" w:rsidRPr="00DE7B77" w:rsidRDefault="0032131D" w:rsidP="0032131D">
      <w:pPr>
        <w:tabs>
          <w:tab w:val="left" w:pos="851"/>
        </w:tabs>
        <w:rPr>
          <w:sz w:val="24"/>
          <w:szCs w:val="24"/>
        </w:rPr>
      </w:pPr>
      <w:r w:rsidRPr="00DE7B77">
        <w:rPr>
          <w:sz w:val="24"/>
          <w:szCs w:val="24"/>
        </w:rPr>
        <w:tab/>
      </w:r>
    </w:p>
    <w:p w:rsidR="0032131D" w:rsidRPr="00DE7B77" w:rsidRDefault="0032131D" w:rsidP="0032131D">
      <w:pPr>
        <w:tabs>
          <w:tab w:val="left" w:pos="851"/>
        </w:tabs>
        <w:ind w:left="851" w:hanging="851"/>
        <w:rPr>
          <w:b/>
          <w:sz w:val="24"/>
          <w:szCs w:val="24"/>
        </w:rPr>
      </w:pPr>
      <w:r w:rsidRPr="00DE7B77">
        <w:rPr>
          <w:b/>
          <w:sz w:val="24"/>
          <w:szCs w:val="24"/>
        </w:rPr>
        <w:t>2.</w:t>
      </w:r>
      <w:r w:rsidRPr="00DE7B77">
        <w:rPr>
          <w:b/>
          <w:sz w:val="24"/>
          <w:szCs w:val="24"/>
        </w:rPr>
        <w:tab/>
        <w:t>KVALITATIV OG KVANTITATIV SAMMENSÆTNING</w:t>
      </w:r>
    </w:p>
    <w:p w:rsidR="0032131D" w:rsidRPr="00DE7B77" w:rsidRDefault="0032131D" w:rsidP="0032131D">
      <w:pPr>
        <w:pStyle w:val="EMEAEnBodyText"/>
        <w:autoSpaceDE w:val="0"/>
        <w:autoSpaceDN w:val="0"/>
        <w:adjustRightInd w:val="0"/>
        <w:spacing w:before="0" w:after="0"/>
        <w:ind w:left="851"/>
        <w:jc w:val="left"/>
        <w:rPr>
          <w:sz w:val="24"/>
          <w:szCs w:val="24"/>
          <w:u w:val="single"/>
          <w:lang w:val="da-DK"/>
        </w:rPr>
      </w:pPr>
      <w:proofErr w:type="spellStart"/>
      <w:r w:rsidRPr="00DE7B77">
        <w:rPr>
          <w:sz w:val="24"/>
          <w:szCs w:val="24"/>
          <w:u w:val="single"/>
          <w:lang w:val="da-DK"/>
        </w:rPr>
        <w:t>Mentixa</w:t>
      </w:r>
      <w:proofErr w:type="spellEnd"/>
      <w:r w:rsidRPr="00DE7B77">
        <w:rPr>
          <w:sz w:val="24"/>
          <w:szCs w:val="24"/>
          <w:u w:val="single"/>
          <w:lang w:val="da-DK"/>
        </w:rPr>
        <w:t xml:space="preserve"> 10 mg filmovertrukne tabletter</w:t>
      </w:r>
    </w:p>
    <w:p w:rsidR="0032131D" w:rsidRPr="00DE7B77" w:rsidRDefault="0032131D" w:rsidP="0032131D">
      <w:pPr>
        <w:pStyle w:val="EMEAEnBodyText"/>
        <w:autoSpaceDE w:val="0"/>
        <w:autoSpaceDN w:val="0"/>
        <w:adjustRightInd w:val="0"/>
        <w:spacing w:before="0" w:after="0"/>
        <w:ind w:left="851"/>
        <w:jc w:val="left"/>
        <w:rPr>
          <w:sz w:val="24"/>
          <w:szCs w:val="24"/>
          <w:lang w:val="da-DK"/>
        </w:rPr>
      </w:pPr>
      <w:r w:rsidRPr="00DE7B77">
        <w:rPr>
          <w:sz w:val="24"/>
          <w:szCs w:val="24"/>
          <w:lang w:val="da-DK"/>
        </w:rPr>
        <w:t xml:space="preserve">Hver filmovertrukket tablet indeholder 10 mg </w:t>
      </w:r>
      <w:proofErr w:type="spellStart"/>
      <w:r w:rsidRPr="00DE7B77">
        <w:rPr>
          <w:sz w:val="24"/>
          <w:szCs w:val="24"/>
          <w:lang w:val="da-DK"/>
        </w:rPr>
        <w:t>memantinhydrochlorid</w:t>
      </w:r>
      <w:proofErr w:type="spellEnd"/>
      <w:r w:rsidRPr="00DE7B77">
        <w:rPr>
          <w:sz w:val="24"/>
          <w:szCs w:val="24"/>
          <w:lang w:val="da-DK"/>
        </w:rPr>
        <w:t xml:space="preserve"> svarende til 8,31 mg </w:t>
      </w:r>
      <w:proofErr w:type="spellStart"/>
      <w:r w:rsidRPr="00DE7B77">
        <w:rPr>
          <w:sz w:val="24"/>
          <w:szCs w:val="24"/>
          <w:lang w:val="da-DK"/>
        </w:rPr>
        <w:t>memantin</w:t>
      </w:r>
      <w:proofErr w:type="spellEnd"/>
      <w:r w:rsidRPr="00DE7B77">
        <w:rPr>
          <w:sz w:val="24"/>
          <w:szCs w:val="24"/>
          <w:lang w:val="da-DK"/>
        </w:rPr>
        <w:t>.</w:t>
      </w:r>
    </w:p>
    <w:p w:rsidR="0032131D" w:rsidRPr="00DE7B77" w:rsidRDefault="0032131D" w:rsidP="0032131D">
      <w:pPr>
        <w:pStyle w:val="EMEAEnBodyText"/>
        <w:autoSpaceDE w:val="0"/>
        <w:autoSpaceDN w:val="0"/>
        <w:adjustRightInd w:val="0"/>
        <w:spacing w:before="0" w:after="0"/>
        <w:ind w:left="851"/>
        <w:jc w:val="left"/>
        <w:rPr>
          <w:sz w:val="24"/>
          <w:szCs w:val="24"/>
          <w:lang w:val="da-DK"/>
        </w:rPr>
      </w:pPr>
    </w:p>
    <w:p w:rsidR="0032131D" w:rsidRPr="00DE7B77" w:rsidRDefault="0032131D" w:rsidP="0032131D">
      <w:pPr>
        <w:pStyle w:val="EMEAEnBodyText"/>
        <w:autoSpaceDE w:val="0"/>
        <w:autoSpaceDN w:val="0"/>
        <w:adjustRightInd w:val="0"/>
        <w:spacing w:before="0" w:after="0"/>
        <w:ind w:left="851"/>
        <w:jc w:val="left"/>
        <w:rPr>
          <w:sz w:val="24"/>
          <w:szCs w:val="24"/>
          <w:u w:val="single"/>
          <w:lang w:val="da-DK"/>
        </w:rPr>
      </w:pPr>
      <w:proofErr w:type="spellStart"/>
      <w:r w:rsidRPr="00DE7B77">
        <w:rPr>
          <w:sz w:val="24"/>
          <w:szCs w:val="24"/>
          <w:u w:val="single"/>
          <w:lang w:val="da-DK"/>
        </w:rPr>
        <w:t>Mentixa</w:t>
      </w:r>
      <w:proofErr w:type="spellEnd"/>
      <w:r w:rsidRPr="00DE7B77">
        <w:rPr>
          <w:sz w:val="24"/>
          <w:szCs w:val="24"/>
          <w:u w:val="single"/>
          <w:lang w:val="da-DK"/>
        </w:rPr>
        <w:t xml:space="preserve"> 20 mg filmovertrukne tabletter</w:t>
      </w:r>
    </w:p>
    <w:p w:rsidR="0032131D" w:rsidRPr="00DE7B77" w:rsidRDefault="0032131D" w:rsidP="0032131D">
      <w:pPr>
        <w:pStyle w:val="EMEAEnBodyText"/>
        <w:autoSpaceDE w:val="0"/>
        <w:autoSpaceDN w:val="0"/>
        <w:adjustRightInd w:val="0"/>
        <w:spacing w:before="0" w:after="0"/>
        <w:ind w:left="851"/>
        <w:jc w:val="left"/>
        <w:rPr>
          <w:sz w:val="24"/>
          <w:szCs w:val="24"/>
          <w:lang w:val="da-DK"/>
        </w:rPr>
      </w:pPr>
      <w:r w:rsidRPr="00DE7B77">
        <w:rPr>
          <w:sz w:val="24"/>
          <w:szCs w:val="24"/>
          <w:lang w:val="da-DK"/>
        </w:rPr>
        <w:t xml:space="preserve">Hver filmovertrukket tablet indeholder 20 mg </w:t>
      </w:r>
      <w:proofErr w:type="spellStart"/>
      <w:r w:rsidRPr="00DE7B77">
        <w:rPr>
          <w:sz w:val="24"/>
          <w:szCs w:val="24"/>
          <w:lang w:val="da-DK"/>
        </w:rPr>
        <w:t>memantinhydrochlorid</w:t>
      </w:r>
      <w:proofErr w:type="spellEnd"/>
      <w:r w:rsidRPr="00DE7B77">
        <w:rPr>
          <w:sz w:val="24"/>
          <w:szCs w:val="24"/>
          <w:lang w:val="da-DK"/>
        </w:rPr>
        <w:t xml:space="preserve"> svarende til 16,62 mg </w:t>
      </w:r>
      <w:proofErr w:type="spellStart"/>
      <w:r w:rsidRPr="00DE7B77">
        <w:rPr>
          <w:sz w:val="24"/>
          <w:szCs w:val="24"/>
          <w:lang w:val="da-DK"/>
        </w:rPr>
        <w:t>memantin</w:t>
      </w:r>
      <w:proofErr w:type="spellEnd"/>
      <w:r w:rsidRPr="00DE7B77">
        <w:rPr>
          <w:sz w:val="24"/>
          <w:szCs w:val="24"/>
          <w:lang w:val="da-DK"/>
        </w:rPr>
        <w:t>.</w:t>
      </w:r>
    </w:p>
    <w:p w:rsidR="0032131D" w:rsidRPr="00DE7B77" w:rsidRDefault="0032131D" w:rsidP="0032131D">
      <w:pPr>
        <w:pStyle w:val="EMEAEnBodyText"/>
        <w:autoSpaceDE w:val="0"/>
        <w:autoSpaceDN w:val="0"/>
        <w:adjustRightInd w:val="0"/>
        <w:spacing w:before="0" w:after="0"/>
        <w:ind w:left="851"/>
        <w:jc w:val="left"/>
        <w:rPr>
          <w:sz w:val="24"/>
          <w:szCs w:val="24"/>
          <w:lang w:val="da-DK"/>
        </w:rPr>
      </w:pPr>
    </w:p>
    <w:p w:rsidR="0032131D" w:rsidRPr="00DE7B77" w:rsidRDefault="0032131D" w:rsidP="0032131D">
      <w:pPr>
        <w:ind w:left="851"/>
        <w:rPr>
          <w:sz w:val="24"/>
          <w:szCs w:val="24"/>
          <w:u w:val="single"/>
        </w:rPr>
      </w:pPr>
      <w:r w:rsidRPr="00DE7B77">
        <w:rPr>
          <w:sz w:val="24"/>
          <w:szCs w:val="24"/>
          <w:u w:val="single"/>
        </w:rPr>
        <w:t>Hjælpestof, som behandleren skal være opmærksom på</w:t>
      </w:r>
    </w:p>
    <w:p w:rsidR="0032131D" w:rsidRPr="00DE7B77" w:rsidRDefault="0032131D" w:rsidP="0032131D">
      <w:pPr>
        <w:ind w:left="851"/>
        <w:rPr>
          <w:i/>
          <w:sz w:val="24"/>
          <w:szCs w:val="24"/>
        </w:rPr>
      </w:pPr>
      <w:r w:rsidRPr="00DE7B77">
        <w:rPr>
          <w:sz w:val="24"/>
          <w:szCs w:val="24"/>
        </w:rPr>
        <w:t xml:space="preserve">Hver 10 mg filmovertrukket tablet indeholder 51,45 mg </w:t>
      </w:r>
      <w:proofErr w:type="spellStart"/>
      <w:r w:rsidRPr="00DE7B77">
        <w:rPr>
          <w:sz w:val="24"/>
          <w:szCs w:val="24"/>
        </w:rPr>
        <w:t>lactosemonohydrat</w:t>
      </w:r>
      <w:proofErr w:type="spellEnd"/>
      <w:r w:rsidRPr="00DE7B77">
        <w:rPr>
          <w:sz w:val="24"/>
          <w:szCs w:val="24"/>
        </w:rPr>
        <w:t>.</w:t>
      </w:r>
    </w:p>
    <w:p w:rsidR="0032131D" w:rsidRPr="00DE7B77" w:rsidRDefault="0032131D" w:rsidP="0032131D">
      <w:pPr>
        <w:pStyle w:val="EMEAEnBodyText"/>
        <w:autoSpaceDE w:val="0"/>
        <w:autoSpaceDN w:val="0"/>
        <w:adjustRightInd w:val="0"/>
        <w:spacing w:before="0" w:after="0"/>
        <w:ind w:left="851"/>
        <w:jc w:val="left"/>
        <w:rPr>
          <w:sz w:val="24"/>
          <w:szCs w:val="24"/>
          <w:lang w:val="da-DK"/>
        </w:rPr>
      </w:pPr>
      <w:r w:rsidRPr="00DE7B77">
        <w:rPr>
          <w:sz w:val="24"/>
          <w:szCs w:val="24"/>
          <w:lang w:val="da-DK"/>
        </w:rPr>
        <w:t xml:space="preserve">Hver 20 mg filmovertrukket tablet indeholder 102,90 mg </w:t>
      </w:r>
      <w:proofErr w:type="spellStart"/>
      <w:r w:rsidRPr="00DE7B77">
        <w:rPr>
          <w:sz w:val="24"/>
          <w:szCs w:val="24"/>
          <w:lang w:val="da-DK"/>
        </w:rPr>
        <w:t>lactosemonohydrat</w:t>
      </w:r>
      <w:proofErr w:type="spellEnd"/>
    </w:p>
    <w:p w:rsidR="0032131D" w:rsidRPr="00DE7B77" w:rsidRDefault="0032131D" w:rsidP="0032131D">
      <w:pPr>
        <w:pStyle w:val="EMEAEnBodyText"/>
        <w:autoSpaceDE w:val="0"/>
        <w:autoSpaceDN w:val="0"/>
        <w:adjustRightInd w:val="0"/>
        <w:spacing w:before="0" w:after="0"/>
        <w:ind w:left="851"/>
        <w:jc w:val="left"/>
        <w:rPr>
          <w:sz w:val="24"/>
          <w:szCs w:val="24"/>
          <w:lang w:val="da-DK"/>
        </w:rPr>
      </w:pPr>
    </w:p>
    <w:p w:rsidR="0032131D" w:rsidRPr="00DE7B77" w:rsidRDefault="0032131D" w:rsidP="0032131D">
      <w:pPr>
        <w:tabs>
          <w:tab w:val="left" w:pos="567"/>
        </w:tabs>
        <w:ind w:left="851"/>
        <w:rPr>
          <w:sz w:val="24"/>
          <w:szCs w:val="24"/>
        </w:rPr>
      </w:pPr>
      <w:r w:rsidRPr="00DE7B77">
        <w:rPr>
          <w:sz w:val="24"/>
          <w:szCs w:val="24"/>
        </w:rPr>
        <w:t>Alle hjælpestoffer er anført under pkt. 6.1.</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3.</w:t>
      </w:r>
      <w:r w:rsidRPr="00DE7B77">
        <w:rPr>
          <w:b/>
          <w:sz w:val="24"/>
          <w:szCs w:val="24"/>
        </w:rPr>
        <w:tab/>
        <w:t>LÆGEMIDDELFORM</w:t>
      </w:r>
    </w:p>
    <w:p w:rsidR="0032131D" w:rsidRPr="00DE7B77" w:rsidRDefault="0032131D" w:rsidP="0032131D">
      <w:pPr>
        <w:suppressAutoHyphens/>
        <w:ind w:left="851"/>
        <w:rPr>
          <w:spacing w:val="-3"/>
          <w:sz w:val="24"/>
          <w:szCs w:val="24"/>
        </w:rPr>
      </w:pPr>
      <w:r w:rsidRPr="00DE7B77">
        <w:rPr>
          <w:spacing w:val="-3"/>
          <w:sz w:val="24"/>
          <w:szCs w:val="24"/>
        </w:rPr>
        <w:t>Filmovertrukne tabletter.</w:t>
      </w:r>
    </w:p>
    <w:p w:rsidR="0032131D" w:rsidRPr="00DE7B77" w:rsidRDefault="0032131D" w:rsidP="0032131D">
      <w:pPr>
        <w:suppressAutoHyphens/>
        <w:ind w:left="851"/>
        <w:rPr>
          <w:sz w:val="24"/>
          <w:szCs w:val="24"/>
        </w:rPr>
      </w:pPr>
    </w:p>
    <w:p w:rsidR="0032131D" w:rsidRPr="00DE7B77" w:rsidRDefault="0032131D" w:rsidP="0032131D">
      <w:pPr>
        <w:suppressAutoHyphens/>
        <w:ind w:left="851"/>
        <w:rPr>
          <w:sz w:val="24"/>
          <w:szCs w:val="24"/>
          <w:u w:val="single"/>
        </w:rPr>
      </w:pPr>
      <w:proofErr w:type="spellStart"/>
      <w:r w:rsidRPr="00DE7B77">
        <w:rPr>
          <w:sz w:val="24"/>
          <w:szCs w:val="24"/>
          <w:u w:val="single"/>
        </w:rPr>
        <w:t>Mentixa</w:t>
      </w:r>
      <w:proofErr w:type="spellEnd"/>
      <w:r w:rsidRPr="00DE7B77">
        <w:rPr>
          <w:sz w:val="24"/>
          <w:szCs w:val="24"/>
          <w:u w:val="single"/>
        </w:rPr>
        <w:t xml:space="preserve"> 10 mg filmovertrukne tabletter</w:t>
      </w:r>
    </w:p>
    <w:p w:rsidR="0032131D" w:rsidRPr="00DE7B77" w:rsidRDefault="0032131D" w:rsidP="0032131D">
      <w:pPr>
        <w:ind w:left="851"/>
        <w:rPr>
          <w:sz w:val="24"/>
          <w:szCs w:val="24"/>
        </w:rPr>
      </w:pPr>
      <w:r w:rsidRPr="00DE7B77">
        <w:rPr>
          <w:sz w:val="24"/>
          <w:szCs w:val="24"/>
        </w:rPr>
        <w:t xml:space="preserve">Hvide, ovale, </w:t>
      </w:r>
      <w:proofErr w:type="spellStart"/>
      <w:r w:rsidRPr="00DE7B77">
        <w:rPr>
          <w:sz w:val="24"/>
          <w:szCs w:val="24"/>
        </w:rPr>
        <w:t>bikonvekse</w:t>
      </w:r>
      <w:proofErr w:type="spellEnd"/>
      <w:r w:rsidRPr="00DE7B77">
        <w:rPr>
          <w:sz w:val="24"/>
          <w:szCs w:val="24"/>
        </w:rPr>
        <w:t>, filmovertrukne tabletter med delekærv på den ene side (tabletlængde: 12,2-12,9 mm, tykkelse: 3,5-4,5 mm).</w:t>
      </w:r>
    </w:p>
    <w:p w:rsidR="0032131D" w:rsidRPr="00DE7B77" w:rsidRDefault="0032131D" w:rsidP="0032131D">
      <w:pPr>
        <w:ind w:left="851"/>
        <w:rPr>
          <w:sz w:val="24"/>
          <w:szCs w:val="24"/>
        </w:rPr>
      </w:pPr>
      <w:r w:rsidRPr="00DE7B77">
        <w:rPr>
          <w:sz w:val="24"/>
          <w:szCs w:val="24"/>
        </w:rPr>
        <w:t>Tabletten kan deles i to lige store doser.</w:t>
      </w:r>
    </w:p>
    <w:p w:rsidR="0032131D" w:rsidRPr="00DE7B77" w:rsidRDefault="0032131D" w:rsidP="0032131D">
      <w:pPr>
        <w:ind w:left="851"/>
        <w:rPr>
          <w:sz w:val="24"/>
          <w:szCs w:val="24"/>
        </w:rPr>
      </w:pPr>
    </w:p>
    <w:p w:rsidR="0032131D" w:rsidRPr="00DE7B77" w:rsidRDefault="0032131D" w:rsidP="0032131D">
      <w:pPr>
        <w:suppressAutoHyphens/>
        <w:ind w:left="851"/>
        <w:rPr>
          <w:sz w:val="24"/>
          <w:szCs w:val="24"/>
          <w:u w:val="single"/>
        </w:rPr>
      </w:pPr>
      <w:proofErr w:type="spellStart"/>
      <w:r w:rsidRPr="00DE7B77">
        <w:rPr>
          <w:sz w:val="24"/>
          <w:szCs w:val="24"/>
          <w:u w:val="single"/>
        </w:rPr>
        <w:t>Mentixa</w:t>
      </w:r>
      <w:proofErr w:type="spellEnd"/>
      <w:r w:rsidRPr="00DE7B77">
        <w:rPr>
          <w:sz w:val="24"/>
          <w:szCs w:val="24"/>
          <w:u w:val="single"/>
        </w:rPr>
        <w:t xml:space="preserve"> 20 mg filmovertrukne tabletter</w:t>
      </w:r>
    </w:p>
    <w:p w:rsidR="0032131D" w:rsidRPr="00DE7B77" w:rsidRDefault="0032131D" w:rsidP="0032131D">
      <w:pPr>
        <w:ind w:left="851"/>
        <w:rPr>
          <w:sz w:val="24"/>
          <w:szCs w:val="24"/>
        </w:rPr>
      </w:pPr>
      <w:r w:rsidRPr="00DE7B77">
        <w:rPr>
          <w:sz w:val="24"/>
          <w:szCs w:val="24"/>
        </w:rPr>
        <w:t xml:space="preserve">Hvide, ovale, </w:t>
      </w:r>
      <w:proofErr w:type="spellStart"/>
      <w:r w:rsidRPr="00DE7B77">
        <w:rPr>
          <w:sz w:val="24"/>
          <w:szCs w:val="24"/>
        </w:rPr>
        <w:t>bikonvekse</w:t>
      </w:r>
      <w:proofErr w:type="spellEnd"/>
      <w:r w:rsidRPr="00DE7B77">
        <w:rPr>
          <w:sz w:val="24"/>
          <w:szCs w:val="24"/>
        </w:rPr>
        <w:t>, filmovertrukne tabletter (tabletlængde: 15,7-16,49 mm, tykkelse: 4,7-5,7 mm).</w:t>
      </w:r>
    </w:p>
    <w:p w:rsidR="0032131D" w:rsidRDefault="0032131D" w:rsidP="0032131D">
      <w:pPr>
        <w:tabs>
          <w:tab w:val="left" w:pos="851"/>
        </w:tabs>
        <w:rPr>
          <w:sz w:val="24"/>
          <w:szCs w:val="24"/>
        </w:rPr>
      </w:pPr>
    </w:p>
    <w:p w:rsidR="00DE7B77" w:rsidRPr="00DE7B77" w:rsidRDefault="00DE7B77" w:rsidP="0032131D">
      <w:pPr>
        <w:tabs>
          <w:tab w:val="left" w:pos="851"/>
        </w:tabs>
        <w:rPr>
          <w:sz w:val="24"/>
          <w:szCs w:val="24"/>
        </w:rPr>
      </w:pPr>
    </w:p>
    <w:p w:rsidR="0032131D" w:rsidRPr="00DE7B77" w:rsidRDefault="0032131D" w:rsidP="0032131D">
      <w:pPr>
        <w:tabs>
          <w:tab w:val="left" w:pos="851"/>
        </w:tabs>
        <w:rPr>
          <w:sz w:val="24"/>
          <w:szCs w:val="24"/>
        </w:rPr>
      </w:pP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lastRenderedPageBreak/>
        <w:t>4.</w:t>
      </w:r>
      <w:r w:rsidRPr="00DE7B77">
        <w:rPr>
          <w:b/>
          <w:sz w:val="24"/>
          <w:szCs w:val="24"/>
        </w:rPr>
        <w:tab/>
        <w:t>KLINISKE OPLYSNINGER</w:t>
      </w:r>
    </w:p>
    <w:p w:rsidR="0032131D" w:rsidRPr="00DE7B77" w:rsidRDefault="0032131D" w:rsidP="0032131D">
      <w:pPr>
        <w:tabs>
          <w:tab w:val="left" w:pos="851"/>
        </w:tabs>
        <w:rPr>
          <w:b/>
          <w:sz w:val="24"/>
          <w:szCs w:val="24"/>
        </w:rPr>
      </w:pPr>
    </w:p>
    <w:p w:rsidR="0032131D" w:rsidRPr="00DE7B77" w:rsidRDefault="0032131D" w:rsidP="0032131D">
      <w:pPr>
        <w:tabs>
          <w:tab w:val="left" w:pos="851"/>
        </w:tabs>
        <w:ind w:left="851" w:hanging="851"/>
        <w:rPr>
          <w:b/>
          <w:sz w:val="24"/>
          <w:szCs w:val="24"/>
          <w:u w:val="single"/>
        </w:rPr>
      </w:pPr>
      <w:r w:rsidRPr="00DE7B77">
        <w:rPr>
          <w:b/>
          <w:sz w:val="24"/>
          <w:szCs w:val="24"/>
        </w:rPr>
        <w:t>4.1</w:t>
      </w:r>
      <w:r w:rsidRPr="00DE7B77">
        <w:rPr>
          <w:b/>
          <w:sz w:val="24"/>
          <w:szCs w:val="24"/>
        </w:rPr>
        <w:tab/>
        <w:t>Terapeutiske indikationer</w:t>
      </w:r>
    </w:p>
    <w:p w:rsidR="0032131D" w:rsidRPr="00DE7B77" w:rsidRDefault="0032131D" w:rsidP="0032131D">
      <w:pPr>
        <w:ind w:left="851"/>
        <w:rPr>
          <w:sz w:val="24"/>
          <w:szCs w:val="24"/>
          <w:lang w:eastAsia="da-DK"/>
        </w:rPr>
      </w:pPr>
      <w:r w:rsidRPr="00DE7B77">
        <w:rPr>
          <w:sz w:val="24"/>
          <w:szCs w:val="24"/>
          <w:lang w:eastAsia="da-DK"/>
        </w:rPr>
        <w:t>Behandling af patienter med moderat til svær Alzheimers sygdom.</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4.2</w:t>
      </w:r>
      <w:r w:rsidRPr="00DE7B77">
        <w:rPr>
          <w:b/>
          <w:sz w:val="24"/>
          <w:szCs w:val="24"/>
        </w:rPr>
        <w:tab/>
        <w:t xml:space="preserve">Dosering og </w:t>
      </w:r>
      <w:r w:rsidR="00DE7B77">
        <w:rPr>
          <w:b/>
          <w:sz w:val="24"/>
          <w:szCs w:val="24"/>
        </w:rPr>
        <w:t>administration</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Behandlingen bør iværksættes og overvåges af en læge med erfaring i diagnosticering og behandling af Alzheimers demens.</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u w:val="single"/>
          <w:lang w:eastAsia="da-DK"/>
        </w:rPr>
      </w:pPr>
      <w:r w:rsidRPr="00DE7B77">
        <w:rPr>
          <w:sz w:val="24"/>
          <w:szCs w:val="24"/>
          <w:u w:val="single"/>
          <w:lang w:eastAsia="da-DK"/>
        </w:rPr>
        <w:t>Dosering</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Behandlingen bør kun påbegyndes, hvis patienten har en omsorgsperson til rådighed, som er villig til regelmæssigt at overvåge patientens lægemiddelindtagelse. Diagnosen skal stilles i henhold til gældende retningslinjer. Tolerance og dosering af </w:t>
      </w:r>
      <w:proofErr w:type="spellStart"/>
      <w:r w:rsidRPr="00DE7B77">
        <w:rPr>
          <w:sz w:val="24"/>
          <w:szCs w:val="24"/>
          <w:lang w:eastAsia="da-DK"/>
        </w:rPr>
        <w:t>memantin</w:t>
      </w:r>
      <w:proofErr w:type="spellEnd"/>
      <w:r w:rsidRPr="00DE7B77">
        <w:rPr>
          <w:sz w:val="24"/>
          <w:szCs w:val="24"/>
          <w:lang w:eastAsia="da-DK"/>
        </w:rPr>
        <w:t xml:space="preserve"> bør regelmæssigt vurderes, helst senest tre måneder efter behandlingsstart. Herefter bør den behandlingsmæssige fordel af </w:t>
      </w:r>
      <w:proofErr w:type="spellStart"/>
      <w:r w:rsidRPr="00DE7B77">
        <w:rPr>
          <w:sz w:val="24"/>
          <w:szCs w:val="24"/>
          <w:lang w:eastAsia="da-DK"/>
        </w:rPr>
        <w:t>memantin</w:t>
      </w:r>
      <w:proofErr w:type="spellEnd"/>
      <w:r w:rsidRPr="00DE7B77">
        <w:rPr>
          <w:sz w:val="24"/>
          <w:szCs w:val="24"/>
          <w:lang w:eastAsia="da-DK"/>
        </w:rPr>
        <w:t xml:space="preserve"> og patientens </w:t>
      </w:r>
      <w:proofErr w:type="spellStart"/>
      <w:r w:rsidRPr="00DE7B77">
        <w:rPr>
          <w:sz w:val="24"/>
          <w:szCs w:val="24"/>
          <w:lang w:eastAsia="da-DK"/>
        </w:rPr>
        <w:t>tolerabilitet</w:t>
      </w:r>
      <w:proofErr w:type="spellEnd"/>
      <w:r w:rsidRPr="00DE7B77">
        <w:rPr>
          <w:sz w:val="24"/>
          <w:szCs w:val="24"/>
          <w:lang w:eastAsia="da-DK"/>
        </w:rPr>
        <w:t xml:space="preserve"> regelmæssigt vurderes i henhold til gældende kliniske retningslinjer. Vedligeholdelsesbehandling kan fortsætte, så længe der er terapeutiske fordele, og patienten kan tåle </w:t>
      </w:r>
      <w:proofErr w:type="spellStart"/>
      <w:r w:rsidRPr="00DE7B77">
        <w:rPr>
          <w:sz w:val="24"/>
          <w:szCs w:val="24"/>
          <w:lang w:eastAsia="da-DK"/>
        </w:rPr>
        <w:t>memantinbehandlingen</w:t>
      </w:r>
      <w:proofErr w:type="spellEnd"/>
      <w:r w:rsidRPr="00DE7B77">
        <w:rPr>
          <w:sz w:val="24"/>
          <w:szCs w:val="24"/>
          <w:lang w:eastAsia="da-DK"/>
        </w:rPr>
        <w:t xml:space="preserve">. </w:t>
      </w:r>
      <w:proofErr w:type="spellStart"/>
      <w:r w:rsidRPr="00DE7B77">
        <w:rPr>
          <w:sz w:val="24"/>
          <w:szCs w:val="24"/>
          <w:lang w:eastAsia="da-DK"/>
        </w:rPr>
        <w:t>Seponering</w:t>
      </w:r>
      <w:proofErr w:type="spellEnd"/>
      <w:r w:rsidRPr="00DE7B77">
        <w:rPr>
          <w:sz w:val="24"/>
          <w:szCs w:val="24"/>
          <w:lang w:eastAsia="da-DK"/>
        </w:rPr>
        <w:t xml:space="preserve"> bør overvejes, når der ikke længere er tegn på terapeutisk effekt, eller hvis patienten ikke kan tåle behandlingen.</w:t>
      </w:r>
    </w:p>
    <w:p w:rsidR="0032131D" w:rsidRPr="00DE7B77" w:rsidRDefault="0032131D" w:rsidP="0032131D">
      <w:pPr>
        <w:autoSpaceDE w:val="0"/>
        <w:autoSpaceDN w:val="0"/>
        <w:adjustRightInd w:val="0"/>
        <w:rPr>
          <w:sz w:val="24"/>
          <w:szCs w:val="24"/>
          <w:lang w:eastAsia="da-DK"/>
        </w:rPr>
      </w:pPr>
    </w:p>
    <w:p w:rsidR="0032131D" w:rsidRPr="00DE7B77" w:rsidRDefault="0032131D" w:rsidP="0032131D">
      <w:pPr>
        <w:autoSpaceDE w:val="0"/>
        <w:autoSpaceDN w:val="0"/>
        <w:adjustRightInd w:val="0"/>
        <w:ind w:left="851"/>
        <w:rPr>
          <w:i/>
          <w:iCs/>
          <w:sz w:val="24"/>
          <w:szCs w:val="24"/>
          <w:lang w:eastAsia="da-DK"/>
        </w:rPr>
      </w:pPr>
      <w:r w:rsidRPr="00DE7B77">
        <w:rPr>
          <w:i/>
          <w:iCs/>
          <w:sz w:val="24"/>
          <w:szCs w:val="24"/>
          <w:lang w:eastAsia="da-DK"/>
        </w:rPr>
        <w:t>Voksne</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Dosistilpasning:</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Den maksimale daglige dosis er 20 mg pr. dag. For at reducere risikoen for bivirkninger opnås vedligeholdelsesdosis ved en gradvis dosisøgning på 5 mg om ugen i de første 3 uger som følger:</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1. uge (dag 1-7):</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Patienten bør indtage en halv filmovertrukket 10 mg-tablet (5 mg) daglig i 7 dage.</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2. uge (dag 8-14):</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Patienten bør indtage en filmovertrukket 10 mg-tablet (10 mg) daglig i 7 dage.</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3. uge (dag 15-21):</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Patienten bør indtage halvanden filmovertrukne 10 mg-tabletter (15 mg) daglig i 7 dage.</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Fra 4. uge:</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Patienten bør indtage to filmovertrukne 10 mg-tabletter (20 mg) eller en filmovertrukket 20 mg-tablet daglig.</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Vedligeholdelsesdosis:</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Den anbefalede vedligeholdelsesdosis er 20 mg daglig.</w:t>
      </w:r>
    </w:p>
    <w:p w:rsidR="0032131D" w:rsidRPr="00DE7B77" w:rsidRDefault="0032131D" w:rsidP="0032131D">
      <w:pPr>
        <w:autoSpaceDE w:val="0"/>
        <w:autoSpaceDN w:val="0"/>
        <w:adjustRightInd w:val="0"/>
        <w:ind w:left="851"/>
        <w:rPr>
          <w:i/>
          <w:iCs/>
          <w:sz w:val="24"/>
          <w:szCs w:val="24"/>
          <w:lang w:eastAsia="da-DK"/>
        </w:rPr>
      </w:pPr>
    </w:p>
    <w:p w:rsidR="0032131D" w:rsidRPr="00DE7B77" w:rsidRDefault="0032131D" w:rsidP="0032131D">
      <w:pPr>
        <w:autoSpaceDE w:val="0"/>
        <w:autoSpaceDN w:val="0"/>
        <w:adjustRightInd w:val="0"/>
        <w:ind w:left="851"/>
        <w:rPr>
          <w:i/>
          <w:iCs/>
          <w:sz w:val="24"/>
          <w:szCs w:val="24"/>
          <w:lang w:eastAsia="da-DK"/>
        </w:rPr>
      </w:pPr>
      <w:r w:rsidRPr="00DE7B77">
        <w:rPr>
          <w:i/>
          <w:iCs/>
          <w:sz w:val="24"/>
          <w:szCs w:val="24"/>
          <w:lang w:eastAsia="da-DK"/>
        </w:rPr>
        <w:t>Ældre</w:t>
      </w:r>
    </w:p>
    <w:p w:rsidR="0032131D" w:rsidRPr="00DE7B77" w:rsidRDefault="0032131D" w:rsidP="0032131D">
      <w:pPr>
        <w:autoSpaceDE w:val="0"/>
        <w:autoSpaceDN w:val="0"/>
        <w:adjustRightInd w:val="0"/>
        <w:ind w:left="851"/>
        <w:rPr>
          <w:i/>
          <w:iCs/>
          <w:sz w:val="24"/>
          <w:szCs w:val="24"/>
          <w:lang w:eastAsia="da-DK"/>
        </w:rPr>
      </w:pPr>
      <w:r w:rsidRPr="00DE7B77">
        <w:rPr>
          <w:sz w:val="24"/>
          <w:szCs w:val="24"/>
          <w:lang w:eastAsia="da-DK"/>
        </w:rPr>
        <w:t>På baggrund af de kliniske studier er den anbefalede dosis til patienter over 65 år 20 mg daglig (to 10 mg filmovertrukne tabletter en gang daglig eller en 20 mg filmovertrukket tablet en gang daglig), som beskrevet ovenfor.</w:t>
      </w:r>
    </w:p>
    <w:p w:rsidR="0032131D" w:rsidRPr="00DE7B77" w:rsidRDefault="0032131D" w:rsidP="0032131D">
      <w:pPr>
        <w:autoSpaceDE w:val="0"/>
        <w:autoSpaceDN w:val="0"/>
        <w:adjustRightInd w:val="0"/>
        <w:ind w:left="851"/>
        <w:rPr>
          <w:i/>
          <w:iCs/>
          <w:sz w:val="24"/>
          <w:szCs w:val="24"/>
          <w:lang w:eastAsia="da-DK"/>
        </w:rPr>
      </w:pPr>
    </w:p>
    <w:p w:rsidR="0032131D" w:rsidRPr="00DE7B77" w:rsidRDefault="0032131D" w:rsidP="0032131D">
      <w:pPr>
        <w:autoSpaceDE w:val="0"/>
        <w:autoSpaceDN w:val="0"/>
        <w:adjustRightInd w:val="0"/>
        <w:ind w:left="851"/>
        <w:rPr>
          <w:i/>
          <w:iCs/>
          <w:sz w:val="24"/>
          <w:szCs w:val="24"/>
          <w:lang w:eastAsia="da-DK"/>
        </w:rPr>
      </w:pPr>
      <w:r w:rsidRPr="00DE7B77">
        <w:rPr>
          <w:i/>
          <w:iCs/>
          <w:sz w:val="24"/>
          <w:szCs w:val="24"/>
          <w:lang w:eastAsia="da-DK"/>
        </w:rPr>
        <w:t>Pædiatrisk population</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Mentixa</w:t>
      </w:r>
      <w:proofErr w:type="spellEnd"/>
      <w:r w:rsidRPr="00DE7B77">
        <w:rPr>
          <w:sz w:val="24"/>
          <w:szCs w:val="24"/>
          <w:lang w:eastAsia="da-DK"/>
        </w:rPr>
        <w:t xml:space="preserve"> bør ikke anvendes til børn under 18 år pga. manglende dokumentation for sikkerhed og virkning.</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i/>
          <w:iCs/>
          <w:sz w:val="24"/>
          <w:szCs w:val="24"/>
          <w:lang w:eastAsia="da-DK"/>
        </w:rPr>
      </w:pPr>
      <w:r w:rsidRPr="00DE7B77">
        <w:rPr>
          <w:i/>
          <w:iCs/>
          <w:sz w:val="24"/>
          <w:szCs w:val="24"/>
          <w:lang w:eastAsia="da-DK"/>
        </w:rPr>
        <w:lastRenderedPageBreak/>
        <w:t>Patienter med nedsat nyrefunktion</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Hos patienter med let nedsat nyrefunktion (</w:t>
      </w:r>
      <w:proofErr w:type="spellStart"/>
      <w:r w:rsidRPr="00DE7B77">
        <w:rPr>
          <w:sz w:val="24"/>
          <w:szCs w:val="24"/>
          <w:lang w:eastAsia="da-DK"/>
        </w:rPr>
        <w:t>kreatininclearance</w:t>
      </w:r>
      <w:proofErr w:type="spellEnd"/>
      <w:r w:rsidRPr="00DE7B77">
        <w:rPr>
          <w:sz w:val="24"/>
          <w:szCs w:val="24"/>
          <w:lang w:eastAsia="da-DK"/>
        </w:rPr>
        <w:t xml:space="preserve"> 50-80 ml/min) er dosisjustering ikke påkrævet. Hos patienter med moderat nedsat nyrefunktion (</w:t>
      </w:r>
      <w:proofErr w:type="spellStart"/>
      <w:r w:rsidRPr="00DE7B77">
        <w:rPr>
          <w:sz w:val="24"/>
          <w:szCs w:val="24"/>
          <w:lang w:eastAsia="da-DK"/>
        </w:rPr>
        <w:t>kreatininclearance</w:t>
      </w:r>
      <w:proofErr w:type="spellEnd"/>
      <w:r w:rsidRPr="00DE7B77">
        <w:rPr>
          <w:sz w:val="24"/>
          <w:szCs w:val="24"/>
          <w:lang w:eastAsia="da-DK"/>
        </w:rPr>
        <w:t xml:space="preserve"> 30-49 ml/min) er daglig dosis 10 mg pr. dag. Hvis 10 mg pr. dag er veltolereret efter mindst 7 dages behandling, kan dosis øges op til 20 mg pr. dag efter det almindelige dosistitreringsskema. Hos patienter med svært nedsat nyrefunktion (</w:t>
      </w:r>
      <w:proofErr w:type="spellStart"/>
      <w:r w:rsidRPr="00DE7B77">
        <w:rPr>
          <w:sz w:val="24"/>
          <w:szCs w:val="24"/>
          <w:lang w:eastAsia="da-DK"/>
        </w:rPr>
        <w:t>kreatininclearance</w:t>
      </w:r>
      <w:proofErr w:type="spellEnd"/>
      <w:r w:rsidRPr="00DE7B77">
        <w:rPr>
          <w:sz w:val="24"/>
          <w:szCs w:val="24"/>
          <w:lang w:eastAsia="da-DK"/>
        </w:rPr>
        <w:t xml:space="preserve"> 5-29 ml/min) er daglig dosis 10 mg pr. dag.</w:t>
      </w:r>
    </w:p>
    <w:p w:rsidR="0032131D" w:rsidRPr="00DE7B77" w:rsidRDefault="0032131D" w:rsidP="0032131D">
      <w:pPr>
        <w:autoSpaceDE w:val="0"/>
        <w:autoSpaceDN w:val="0"/>
        <w:adjustRightInd w:val="0"/>
        <w:ind w:left="851"/>
        <w:rPr>
          <w:i/>
          <w:iCs/>
          <w:sz w:val="24"/>
          <w:szCs w:val="24"/>
          <w:lang w:eastAsia="da-DK"/>
        </w:rPr>
      </w:pPr>
    </w:p>
    <w:p w:rsidR="0032131D" w:rsidRPr="00DE7B77" w:rsidRDefault="0032131D" w:rsidP="0032131D">
      <w:pPr>
        <w:autoSpaceDE w:val="0"/>
        <w:autoSpaceDN w:val="0"/>
        <w:adjustRightInd w:val="0"/>
        <w:ind w:left="851"/>
        <w:rPr>
          <w:i/>
          <w:iCs/>
          <w:sz w:val="24"/>
          <w:szCs w:val="24"/>
          <w:lang w:eastAsia="da-DK"/>
        </w:rPr>
      </w:pPr>
      <w:r w:rsidRPr="00DE7B77">
        <w:rPr>
          <w:i/>
          <w:iCs/>
          <w:sz w:val="24"/>
          <w:szCs w:val="24"/>
          <w:lang w:eastAsia="da-DK"/>
        </w:rPr>
        <w:t>Patienter med nedsat leverfunktion</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Hos patienter med let eller moderat nedsat leverfunktion (Child-</w:t>
      </w:r>
      <w:proofErr w:type="spellStart"/>
      <w:r w:rsidRPr="00DE7B77">
        <w:rPr>
          <w:sz w:val="24"/>
          <w:szCs w:val="24"/>
          <w:lang w:eastAsia="da-DK"/>
        </w:rPr>
        <w:t>Pugh</w:t>
      </w:r>
      <w:proofErr w:type="spellEnd"/>
      <w:r w:rsidRPr="00DE7B77">
        <w:rPr>
          <w:sz w:val="24"/>
          <w:szCs w:val="24"/>
          <w:lang w:eastAsia="da-DK"/>
        </w:rPr>
        <w:t xml:space="preserve"> Klasse A og Child-</w:t>
      </w:r>
      <w:proofErr w:type="spellStart"/>
      <w:r w:rsidRPr="00DE7B77">
        <w:rPr>
          <w:sz w:val="24"/>
          <w:szCs w:val="24"/>
          <w:lang w:eastAsia="da-DK"/>
        </w:rPr>
        <w:t>Pugh</w:t>
      </w:r>
      <w:proofErr w:type="spellEnd"/>
      <w:r w:rsidRPr="00DE7B77">
        <w:rPr>
          <w:sz w:val="24"/>
          <w:szCs w:val="24"/>
          <w:lang w:eastAsia="da-DK"/>
        </w:rPr>
        <w:t xml:space="preserve"> Klasse B) er dosisjustering ikke nødvendig. Der foreligger ikke tilgængelige data om brug af </w:t>
      </w:r>
      <w:proofErr w:type="spellStart"/>
      <w:r w:rsidRPr="00DE7B77">
        <w:rPr>
          <w:sz w:val="24"/>
          <w:szCs w:val="24"/>
          <w:lang w:eastAsia="da-DK"/>
        </w:rPr>
        <w:t>memantin</w:t>
      </w:r>
      <w:proofErr w:type="spellEnd"/>
      <w:r w:rsidRPr="00DE7B77">
        <w:rPr>
          <w:sz w:val="24"/>
          <w:szCs w:val="24"/>
          <w:lang w:eastAsia="da-DK"/>
        </w:rPr>
        <w:t xml:space="preserve"> hos patienter med svært nedsat leverfunktion. Administration af </w:t>
      </w:r>
      <w:proofErr w:type="spellStart"/>
      <w:r w:rsidRPr="00DE7B77">
        <w:rPr>
          <w:sz w:val="24"/>
          <w:szCs w:val="24"/>
          <w:lang w:eastAsia="da-DK"/>
        </w:rPr>
        <w:t>Mentixa</w:t>
      </w:r>
      <w:proofErr w:type="spellEnd"/>
      <w:r w:rsidRPr="00DE7B77">
        <w:rPr>
          <w:sz w:val="24"/>
          <w:szCs w:val="24"/>
          <w:lang w:eastAsia="da-DK"/>
        </w:rPr>
        <w:t xml:space="preserve"> til patienter med svært nedsat leverfunktion frarådes.</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u w:val="single"/>
          <w:lang w:eastAsia="da-DK"/>
        </w:rPr>
      </w:pPr>
      <w:r w:rsidRPr="00DE7B77">
        <w:rPr>
          <w:sz w:val="24"/>
          <w:szCs w:val="24"/>
          <w:u w:val="single"/>
          <w:lang w:eastAsia="da-DK"/>
        </w:rPr>
        <w:t>Administration</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Mentixa</w:t>
      </w:r>
      <w:proofErr w:type="spellEnd"/>
      <w:r w:rsidRPr="00DE7B77">
        <w:rPr>
          <w:sz w:val="24"/>
          <w:szCs w:val="24"/>
          <w:lang w:eastAsia="da-DK"/>
        </w:rPr>
        <w:t xml:space="preserve"> skal tages en gang daglig på samme tidspunkt hver dag. Tabletterne kan indtages uafhængigt af måltider.</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4.3</w:t>
      </w:r>
      <w:r w:rsidRPr="00DE7B77">
        <w:rPr>
          <w:b/>
          <w:sz w:val="24"/>
          <w:szCs w:val="24"/>
        </w:rPr>
        <w:tab/>
        <w:t>Kontraindikationer</w:t>
      </w:r>
    </w:p>
    <w:p w:rsidR="0032131D" w:rsidRPr="00DE7B77" w:rsidRDefault="0032131D" w:rsidP="0032131D">
      <w:pPr>
        <w:ind w:left="851"/>
        <w:rPr>
          <w:sz w:val="24"/>
          <w:szCs w:val="24"/>
        </w:rPr>
      </w:pPr>
      <w:r w:rsidRPr="00DE7B77">
        <w:rPr>
          <w:sz w:val="24"/>
          <w:szCs w:val="24"/>
        </w:rPr>
        <w:t>Overfølsomhed over for det aktive stof eller over for et eller flere af hjælpestofferne anført i pkt. 6.1.</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4.4</w:t>
      </w:r>
      <w:r w:rsidRPr="00DE7B77">
        <w:rPr>
          <w:b/>
          <w:sz w:val="24"/>
          <w:szCs w:val="24"/>
        </w:rPr>
        <w:tab/>
        <w:t>Særlige advarsler og forsigtighedsregler vedrørende brugen</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Forsigtighed anbefales hos patienter, som lider af epilepsi, som tidligere har haft kramper, eller som er disponeret for epilepsi.</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Samtidig brug af N-metyl-D-</w:t>
      </w:r>
      <w:proofErr w:type="spellStart"/>
      <w:r w:rsidRPr="00DE7B77">
        <w:rPr>
          <w:sz w:val="24"/>
          <w:szCs w:val="24"/>
          <w:lang w:eastAsia="da-DK"/>
        </w:rPr>
        <w:t>aspartat</w:t>
      </w:r>
      <w:proofErr w:type="spellEnd"/>
      <w:r w:rsidRPr="00DE7B77">
        <w:rPr>
          <w:sz w:val="24"/>
          <w:szCs w:val="24"/>
          <w:lang w:eastAsia="da-DK"/>
        </w:rPr>
        <w:t xml:space="preserve"> (NMDA)-antagonister såsom </w:t>
      </w:r>
      <w:proofErr w:type="spellStart"/>
      <w:r w:rsidRPr="00DE7B77">
        <w:rPr>
          <w:sz w:val="24"/>
          <w:szCs w:val="24"/>
          <w:lang w:eastAsia="da-DK"/>
        </w:rPr>
        <w:t>amantadin</w:t>
      </w:r>
      <w:proofErr w:type="spellEnd"/>
      <w:r w:rsidRPr="00DE7B77">
        <w:rPr>
          <w:sz w:val="24"/>
          <w:szCs w:val="24"/>
          <w:lang w:eastAsia="da-DK"/>
        </w:rPr>
        <w:t xml:space="preserve">, </w:t>
      </w:r>
      <w:proofErr w:type="spellStart"/>
      <w:r w:rsidRPr="00DE7B77">
        <w:rPr>
          <w:sz w:val="24"/>
          <w:szCs w:val="24"/>
          <w:lang w:eastAsia="da-DK"/>
        </w:rPr>
        <w:t>ketamin</w:t>
      </w:r>
      <w:proofErr w:type="spellEnd"/>
      <w:r w:rsidRPr="00DE7B77">
        <w:rPr>
          <w:sz w:val="24"/>
          <w:szCs w:val="24"/>
          <w:lang w:eastAsia="da-DK"/>
        </w:rPr>
        <w:t xml:space="preserve"> eller </w:t>
      </w:r>
      <w:proofErr w:type="spellStart"/>
      <w:r w:rsidRPr="00DE7B77">
        <w:rPr>
          <w:sz w:val="24"/>
          <w:szCs w:val="24"/>
          <w:lang w:eastAsia="da-DK"/>
        </w:rPr>
        <w:t>dextromethorfan</w:t>
      </w:r>
      <w:proofErr w:type="spellEnd"/>
      <w:r w:rsidRPr="00DE7B77">
        <w:rPr>
          <w:sz w:val="24"/>
          <w:szCs w:val="24"/>
          <w:lang w:eastAsia="da-DK"/>
        </w:rPr>
        <w:t xml:space="preserve"> bør undgås. Disse forbindelser påvirker det samme receptorsystem som </w:t>
      </w:r>
      <w:proofErr w:type="spellStart"/>
      <w:r w:rsidRPr="00DE7B77">
        <w:rPr>
          <w:sz w:val="24"/>
          <w:szCs w:val="24"/>
          <w:lang w:eastAsia="da-DK"/>
        </w:rPr>
        <w:t>memantin</w:t>
      </w:r>
      <w:proofErr w:type="spellEnd"/>
      <w:r w:rsidRPr="00DE7B77">
        <w:rPr>
          <w:sz w:val="24"/>
          <w:szCs w:val="24"/>
          <w:lang w:eastAsia="da-DK"/>
        </w:rPr>
        <w:t>, og derfor kan bivirkninger (hovedsageligt relaterede til centralnervesystemet (CNS)) indtræffe hyppigere og være mere udtalte (se også under punkt 4.5).</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Visse faktorer, der kan forhøje urin-pH (se under punkt 5.2), kan nødvendiggøre omhyggelig monitorering af patienten. Disse faktorer omfatter drastiske ændringer i kosten, f.eks. fra en kødholdig til en vegetarisk kost, eller fra en kraftig indtagelse af alkaliserende buffere. Urin-pH kan også forhøjes ved tilstande med </w:t>
      </w:r>
      <w:proofErr w:type="spellStart"/>
      <w:r w:rsidRPr="00DE7B77">
        <w:rPr>
          <w:sz w:val="24"/>
          <w:szCs w:val="24"/>
          <w:lang w:eastAsia="da-DK"/>
        </w:rPr>
        <w:t>renal</w:t>
      </w:r>
      <w:proofErr w:type="spellEnd"/>
      <w:r w:rsidRPr="00DE7B77">
        <w:rPr>
          <w:sz w:val="24"/>
          <w:szCs w:val="24"/>
          <w:lang w:eastAsia="da-DK"/>
        </w:rPr>
        <w:t xml:space="preserve"> </w:t>
      </w:r>
      <w:proofErr w:type="spellStart"/>
      <w:r w:rsidRPr="00DE7B77">
        <w:rPr>
          <w:sz w:val="24"/>
          <w:szCs w:val="24"/>
          <w:lang w:eastAsia="da-DK"/>
        </w:rPr>
        <w:t>tubulær</w:t>
      </w:r>
      <w:proofErr w:type="spellEnd"/>
      <w:r w:rsidRPr="00DE7B77">
        <w:rPr>
          <w:sz w:val="24"/>
          <w:szCs w:val="24"/>
          <w:lang w:eastAsia="da-DK"/>
        </w:rPr>
        <w:t xml:space="preserve"> </w:t>
      </w:r>
      <w:proofErr w:type="spellStart"/>
      <w:r w:rsidRPr="00DE7B77">
        <w:rPr>
          <w:sz w:val="24"/>
          <w:szCs w:val="24"/>
          <w:lang w:eastAsia="da-DK"/>
        </w:rPr>
        <w:t>acidose</w:t>
      </w:r>
      <w:proofErr w:type="spellEnd"/>
      <w:r w:rsidRPr="00DE7B77">
        <w:rPr>
          <w:sz w:val="24"/>
          <w:szCs w:val="24"/>
          <w:lang w:eastAsia="da-DK"/>
        </w:rPr>
        <w:t xml:space="preserve"> (RTA) eller alvorlige urinvejsinfektioner med </w:t>
      </w:r>
      <w:r w:rsidRPr="00DE7B77">
        <w:rPr>
          <w:i/>
          <w:iCs/>
          <w:sz w:val="24"/>
          <w:szCs w:val="24"/>
          <w:lang w:eastAsia="da-DK"/>
        </w:rPr>
        <w:t xml:space="preserve">Proteus </w:t>
      </w:r>
      <w:proofErr w:type="spellStart"/>
      <w:r w:rsidRPr="00DE7B77">
        <w:rPr>
          <w:iCs/>
          <w:sz w:val="24"/>
          <w:szCs w:val="24"/>
          <w:lang w:eastAsia="da-DK"/>
        </w:rPr>
        <w:t>bacteria</w:t>
      </w:r>
      <w:proofErr w:type="spellEnd"/>
      <w:r w:rsidRPr="00DE7B77">
        <w:rPr>
          <w:sz w:val="24"/>
          <w:szCs w:val="24"/>
          <w:lang w:eastAsia="da-DK"/>
        </w:rPr>
        <w:t>.</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I de fleste kliniske forsøg blev patienter med nyligt myokardieinfarkt, ubehandlet kongestiv hjerteinsufficiens (</w:t>
      </w:r>
      <w:proofErr w:type="gramStart"/>
      <w:r w:rsidRPr="00DE7B77">
        <w:rPr>
          <w:sz w:val="24"/>
          <w:szCs w:val="24"/>
          <w:lang w:eastAsia="da-DK"/>
        </w:rPr>
        <w:t>NYHA klasse</w:t>
      </w:r>
      <w:proofErr w:type="gramEnd"/>
      <w:r w:rsidRPr="00DE7B77">
        <w:rPr>
          <w:sz w:val="24"/>
          <w:szCs w:val="24"/>
          <w:lang w:eastAsia="da-DK"/>
        </w:rPr>
        <w:t xml:space="preserve"> III-IV) eller ukontrolleret hypertension ekskluderet. Som et resultat heraf er der kun en begrænset mængde data til rådighed, og patienter med disse tilstande skal overvåges nøje.</w:t>
      </w:r>
    </w:p>
    <w:p w:rsidR="0032131D" w:rsidRPr="00DE7B77" w:rsidRDefault="0032131D" w:rsidP="0032131D">
      <w:pPr>
        <w:ind w:left="851"/>
        <w:rPr>
          <w:sz w:val="24"/>
          <w:szCs w:val="24"/>
          <w:lang w:eastAsia="da-DK"/>
        </w:rPr>
      </w:pPr>
    </w:p>
    <w:p w:rsidR="00883ECA" w:rsidRPr="00DE7B77" w:rsidRDefault="00883ECA" w:rsidP="00883ECA">
      <w:pPr>
        <w:ind w:left="851"/>
        <w:rPr>
          <w:sz w:val="24"/>
          <w:szCs w:val="24"/>
          <w:u w:val="single"/>
          <w:lang w:eastAsia="da-DK"/>
        </w:rPr>
      </w:pPr>
      <w:proofErr w:type="spellStart"/>
      <w:r w:rsidRPr="00DE7B77">
        <w:rPr>
          <w:sz w:val="24"/>
          <w:szCs w:val="24"/>
          <w:u w:val="single"/>
          <w:lang w:eastAsia="da-DK"/>
        </w:rPr>
        <w:t>Lactose</w:t>
      </w:r>
      <w:proofErr w:type="spellEnd"/>
    </w:p>
    <w:p w:rsidR="00883ECA" w:rsidRPr="00DE7B77" w:rsidRDefault="00883ECA" w:rsidP="00883ECA">
      <w:pPr>
        <w:ind w:left="851"/>
        <w:rPr>
          <w:sz w:val="24"/>
          <w:szCs w:val="24"/>
          <w:lang w:eastAsia="da-DK"/>
        </w:rPr>
      </w:pPr>
      <w:r w:rsidRPr="00DE7B77">
        <w:rPr>
          <w:sz w:val="24"/>
          <w:szCs w:val="24"/>
          <w:lang w:eastAsia="da-DK"/>
        </w:rPr>
        <w:t xml:space="preserve">Dette lægemiddel indeholder </w:t>
      </w:r>
      <w:proofErr w:type="spellStart"/>
      <w:r w:rsidRPr="00DE7B77">
        <w:rPr>
          <w:sz w:val="24"/>
          <w:szCs w:val="24"/>
          <w:lang w:eastAsia="da-DK"/>
        </w:rPr>
        <w:t>lactose</w:t>
      </w:r>
      <w:proofErr w:type="spellEnd"/>
      <w:r w:rsidRPr="00DE7B77">
        <w:rPr>
          <w:sz w:val="24"/>
          <w:szCs w:val="24"/>
          <w:lang w:eastAsia="da-DK"/>
        </w:rPr>
        <w:t xml:space="preserve">. Bør ikke anvendes til patienter med hereditær </w:t>
      </w:r>
      <w:proofErr w:type="spellStart"/>
      <w:r w:rsidRPr="00DE7B77">
        <w:rPr>
          <w:sz w:val="24"/>
          <w:szCs w:val="24"/>
          <w:lang w:eastAsia="da-DK"/>
        </w:rPr>
        <w:t>galactoseintolerans</w:t>
      </w:r>
      <w:proofErr w:type="spellEnd"/>
      <w:r w:rsidRPr="00DE7B77">
        <w:rPr>
          <w:sz w:val="24"/>
          <w:szCs w:val="24"/>
          <w:lang w:eastAsia="da-DK"/>
        </w:rPr>
        <w:t xml:space="preserve">, total </w:t>
      </w:r>
      <w:proofErr w:type="spellStart"/>
      <w:r w:rsidRPr="00DE7B77">
        <w:rPr>
          <w:sz w:val="24"/>
          <w:szCs w:val="24"/>
          <w:lang w:eastAsia="da-DK"/>
        </w:rPr>
        <w:t>lactasemangel</w:t>
      </w:r>
      <w:proofErr w:type="spellEnd"/>
      <w:r w:rsidRPr="00DE7B77">
        <w:rPr>
          <w:sz w:val="24"/>
          <w:szCs w:val="24"/>
          <w:lang w:eastAsia="da-DK"/>
        </w:rPr>
        <w:t xml:space="preserve"> eller </w:t>
      </w:r>
      <w:proofErr w:type="spellStart"/>
      <w:r w:rsidRPr="00DE7B77">
        <w:rPr>
          <w:sz w:val="24"/>
          <w:szCs w:val="24"/>
          <w:lang w:eastAsia="da-DK"/>
        </w:rPr>
        <w:t>glucose</w:t>
      </w:r>
      <w:proofErr w:type="spellEnd"/>
      <w:r w:rsidRPr="00DE7B77">
        <w:rPr>
          <w:sz w:val="24"/>
          <w:szCs w:val="24"/>
          <w:lang w:eastAsia="da-DK"/>
        </w:rPr>
        <w:t>/</w:t>
      </w:r>
      <w:proofErr w:type="spellStart"/>
      <w:r w:rsidRPr="00DE7B77">
        <w:rPr>
          <w:sz w:val="24"/>
          <w:szCs w:val="24"/>
          <w:lang w:eastAsia="da-DK"/>
        </w:rPr>
        <w:t>galactosemalabsorption</w:t>
      </w:r>
      <w:proofErr w:type="spellEnd"/>
      <w:r w:rsidRPr="00DE7B77">
        <w:rPr>
          <w:sz w:val="24"/>
          <w:szCs w:val="24"/>
          <w:lang w:eastAsia="da-DK"/>
        </w:rPr>
        <w:t>.</w:t>
      </w:r>
    </w:p>
    <w:p w:rsidR="00883ECA" w:rsidRPr="00DE7B77" w:rsidRDefault="00883ECA" w:rsidP="00883ECA">
      <w:pPr>
        <w:ind w:left="851"/>
        <w:rPr>
          <w:sz w:val="24"/>
          <w:szCs w:val="24"/>
          <w:lang w:eastAsia="da-DK"/>
        </w:rPr>
      </w:pPr>
    </w:p>
    <w:p w:rsidR="00883ECA" w:rsidRPr="00DE7B77" w:rsidRDefault="00883ECA" w:rsidP="00883ECA">
      <w:pPr>
        <w:ind w:left="851"/>
        <w:rPr>
          <w:sz w:val="24"/>
          <w:szCs w:val="24"/>
          <w:u w:val="single"/>
          <w:lang w:eastAsia="da-DK"/>
        </w:rPr>
      </w:pPr>
      <w:r w:rsidRPr="00DE7B77">
        <w:rPr>
          <w:sz w:val="24"/>
          <w:szCs w:val="24"/>
          <w:u w:val="single"/>
          <w:lang w:eastAsia="da-DK"/>
        </w:rPr>
        <w:t>Natrium</w:t>
      </w:r>
    </w:p>
    <w:p w:rsidR="0032131D" w:rsidRPr="00DE7B77" w:rsidRDefault="00883ECA" w:rsidP="00883ECA">
      <w:pPr>
        <w:ind w:left="851"/>
        <w:rPr>
          <w:sz w:val="24"/>
          <w:szCs w:val="24"/>
          <w:lang w:eastAsia="da-DK"/>
        </w:rPr>
      </w:pPr>
      <w:r w:rsidRPr="00DE7B77">
        <w:rPr>
          <w:sz w:val="24"/>
          <w:szCs w:val="24"/>
          <w:lang w:eastAsia="da-DK"/>
        </w:rPr>
        <w:t>Dette lægemiddel indeholder mindre end 1 mmol (23 mg) natrium pr. tablet, dvs. det er i det væsentlige natriumfrit.</w:t>
      </w:r>
    </w:p>
    <w:p w:rsidR="00883ECA" w:rsidRPr="00DE7B77" w:rsidRDefault="00883ECA" w:rsidP="00883ECA">
      <w:pPr>
        <w:ind w:left="851"/>
        <w:rPr>
          <w:sz w:val="24"/>
          <w:szCs w:val="24"/>
          <w:lang w:eastAsia="da-DK"/>
        </w:rPr>
      </w:pPr>
    </w:p>
    <w:p w:rsidR="0032131D" w:rsidRPr="00DE7B77" w:rsidRDefault="0032131D" w:rsidP="0032131D">
      <w:pPr>
        <w:tabs>
          <w:tab w:val="left" w:pos="851"/>
        </w:tabs>
        <w:ind w:left="851" w:hanging="851"/>
        <w:rPr>
          <w:b/>
          <w:sz w:val="24"/>
          <w:szCs w:val="24"/>
        </w:rPr>
      </w:pPr>
      <w:r w:rsidRPr="00DE7B77">
        <w:rPr>
          <w:b/>
          <w:sz w:val="24"/>
          <w:szCs w:val="24"/>
        </w:rPr>
        <w:lastRenderedPageBreak/>
        <w:t>4.5</w:t>
      </w:r>
      <w:r w:rsidRPr="00DE7B77">
        <w:rPr>
          <w:b/>
          <w:sz w:val="24"/>
          <w:szCs w:val="24"/>
        </w:rPr>
        <w:tab/>
        <w:t>Interaktion med andre lægemidler og andre former for interaktion</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På grund af de farmakologiske virkninger og virkningsmekanismen for </w:t>
      </w:r>
      <w:proofErr w:type="spellStart"/>
      <w:r w:rsidRPr="00DE7B77">
        <w:rPr>
          <w:sz w:val="24"/>
          <w:szCs w:val="24"/>
          <w:lang w:eastAsia="da-DK"/>
        </w:rPr>
        <w:t>memantin</w:t>
      </w:r>
      <w:proofErr w:type="spellEnd"/>
      <w:r w:rsidRPr="00DE7B77">
        <w:rPr>
          <w:sz w:val="24"/>
          <w:szCs w:val="24"/>
          <w:lang w:eastAsia="da-DK"/>
        </w:rPr>
        <w:t xml:space="preserve"> kan følgende interaktioner forekomme:</w:t>
      </w:r>
    </w:p>
    <w:p w:rsidR="0032131D" w:rsidRPr="00DE7B77" w:rsidRDefault="0032131D" w:rsidP="0032131D">
      <w:pPr>
        <w:numPr>
          <w:ilvl w:val="0"/>
          <w:numId w:val="6"/>
        </w:numPr>
        <w:autoSpaceDE w:val="0"/>
        <w:autoSpaceDN w:val="0"/>
        <w:adjustRightInd w:val="0"/>
        <w:ind w:left="1134" w:hanging="283"/>
        <w:rPr>
          <w:sz w:val="24"/>
          <w:szCs w:val="24"/>
          <w:lang w:eastAsia="da-DK"/>
        </w:rPr>
      </w:pPr>
      <w:r w:rsidRPr="00DE7B77">
        <w:rPr>
          <w:sz w:val="24"/>
          <w:szCs w:val="24"/>
          <w:lang w:eastAsia="da-DK"/>
        </w:rPr>
        <w:t>Virkemåden antyder, at virkningen af L-</w:t>
      </w:r>
      <w:proofErr w:type="spellStart"/>
      <w:r w:rsidRPr="00DE7B77">
        <w:rPr>
          <w:sz w:val="24"/>
          <w:szCs w:val="24"/>
          <w:lang w:eastAsia="da-DK"/>
        </w:rPr>
        <w:t>dopa</w:t>
      </w:r>
      <w:proofErr w:type="spellEnd"/>
      <w:r w:rsidRPr="00DE7B77">
        <w:rPr>
          <w:sz w:val="24"/>
          <w:szCs w:val="24"/>
          <w:lang w:eastAsia="da-DK"/>
        </w:rPr>
        <w:t xml:space="preserve">, </w:t>
      </w:r>
      <w:proofErr w:type="spellStart"/>
      <w:r w:rsidRPr="00DE7B77">
        <w:rPr>
          <w:sz w:val="24"/>
          <w:szCs w:val="24"/>
          <w:lang w:eastAsia="da-DK"/>
        </w:rPr>
        <w:t>dopaminerge</w:t>
      </w:r>
      <w:proofErr w:type="spellEnd"/>
      <w:r w:rsidRPr="00DE7B77">
        <w:rPr>
          <w:sz w:val="24"/>
          <w:szCs w:val="24"/>
          <w:lang w:eastAsia="da-DK"/>
        </w:rPr>
        <w:t xml:space="preserve"> agonister og </w:t>
      </w:r>
      <w:proofErr w:type="spellStart"/>
      <w:r w:rsidRPr="00DE7B77">
        <w:rPr>
          <w:sz w:val="24"/>
          <w:szCs w:val="24"/>
          <w:lang w:eastAsia="da-DK"/>
        </w:rPr>
        <w:t>antikolinergika</w:t>
      </w:r>
      <w:proofErr w:type="spellEnd"/>
      <w:r w:rsidRPr="00DE7B77">
        <w:rPr>
          <w:sz w:val="24"/>
          <w:szCs w:val="24"/>
          <w:lang w:eastAsia="da-DK"/>
        </w:rPr>
        <w:t xml:space="preserve"> kan forstærkes ved samtidig behandling med NMDA-antagonister såsom </w:t>
      </w:r>
      <w:proofErr w:type="spellStart"/>
      <w:r w:rsidRPr="00DE7B77">
        <w:rPr>
          <w:sz w:val="24"/>
          <w:szCs w:val="24"/>
          <w:lang w:eastAsia="da-DK"/>
        </w:rPr>
        <w:t>memantin</w:t>
      </w:r>
      <w:proofErr w:type="spellEnd"/>
      <w:r w:rsidRPr="00DE7B77">
        <w:rPr>
          <w:sz w:val="24"/>
          <w:szCs w:val="24"/>
          <w:lang w:eastAsia="da-DK"/>
        </w:rPr>
        <w:t xml:space="preserve">. Virkningen af barbiturater og </w:t>
      </w:r>
      <w:proofErr w:type="spellStart"/>
      <w:r w:rsidRPr="00DE7B77">
        <w:rPr>
          <w:sz w:val="24"/>
          <w:szCs w:val="24"/>
          <w:lang w:eastAsia="da-DK"/>
        </w:rPr>
        <w:t>neuroleptika</w:t>
      </w:r>
      <w:proofErr w:type="spellEnd"/>
      <w:r w:rsidRPr="00DE7B77">
        <w:rPr>
          <w:sz w:val="24"/>
          <w:szCs w:val="24"/>
          <w:lang w:eastAsia="da-DK"/>
        </w:rPr>
        <w:t xml:space="preserve"> kan blive reduceret. Samtidig administration af </w:t>
      </w:r>
      <w:proofErr w:type="spellStart"/>
      <w:r w:rsidRPr="00DE7B77">
        <w:rPr>
          <w:sz w:val="24"/>
          <w:szCs w:val="24"/>
          <w:lang w:eastAsia="da-DK"/>
        </w:rPr>
        <w:t>memantin</w:t>
      </w:r>
      <w:proofErr w:type="spellEnd"/>
      <w:r w:rsidRPr="00DE7B77">
        <w:rPr>
          <w:sz w:val="24"/>
          <w:szCs w:val="24"/>
          <w:lang w:eastAsia="da-DK"/>
        </w:rPr>
        <w:t xml:space="preserve"> og </w:t>
      </w:r>
      <w:proofErr w:type="spellStart"/>
      <w:r w:rsidRPr="00DE7B77">
        <w:rPr>
          <w:sz w:val="24"/>
          <w:szCs w:val="24"/>
          <w:lang w:eastAsia="da-DK"/>
        </w:rPr>
        <w:t>antispastika</w:t>
      </w:r>
      <w:proofErr w:type="spellEnd"/>
      <w:r w:rsidRPr="00DE7B77">
        <w:rPr>
          <w:sz w:val="24"/>
          <w:szCs w:val="24"/>
          <w:lang w:eastAsia="da-DK"/>
        </w:rPr>
        <w:t xml:space="preserve">, </w:t>
      </w:r>
      <w:proofErr w:type="spellStart"/>
      <w:r w:rsidRPr="00DE7B77">
        <w:rPr>
          <w:sz w:val="24"/>
          <w:szCs w:val="24"/>
          <w:lang w:eastAsia="da-DK"/>
        </w:rPr>
        <w:t>dantrolen</w:t>
      </w:r>
      <w:proofErr w:type="spellEnd"/>
      <w:r w:rsidRPr="00DE7B77">
        <w:rPr>
          <w:sz w:val="24"/>
          <w:szCs w:val="24"/>
          <w:lang w:eastAsia="da-DK"/>
        </w:rPr>
        <w:t xml:space="preserve"> eller </w:t>
      </w:r>
      <w:proofErr w:type="spellStart"/>
      <w:r w:rsidRPr="00DE7B77">
        <w:rPr>
          <w:sz w:val="24"/>
          <w:szCs w:val="24"/>
          <w:lang w:eastAsia="da-DK"/>
        </w:rPr>
        <w:t>baklofen</w:t>
      </w:r>
      <w:proofErr w:type="spellEnd"/>
      <w:r w:rsidRPr="00DE7B77">
        <w:rPr>
          <w:sz w:val="24"/>
          <w:szCs w:val="24"/>
          <w:lang w:eastAsia="da-DK"/>
        </w:rPr>
        <w:t>, kan modificere disses virkninger, og en dosisjustering kan være nødvendig.</w:t>
      </w:r>
    </w:p>
    <w:p w:rsidR="0032131D" w:rsidRPr="00DE7B77" w:rsidRDefault="0032131D" w:rsidP="0032131D">
      <w:pPr>
        <w:numPr>
          <w:ilvl w:val="0"/>
          <w:numId w:val="6"/>
        </w:numPr>
        <w:autoSpaceDE w:val="0"/>
        <w:autoSpaceDN w:val="0"/>
        <w:adjustRightInd w:val="0"/>
        <w:ind w:left="1134" w:hanging="283"/>
        <w:rPr>
          <w:sz w:val="24"/>
          <w:szCs w:val="24"/>
          <w:lang w:eastAsia="da-DK"/>
        </w:rPr>
      </w:pPr>
      <w:r w:rsidRPr="00DE7B77">
        <w:rPr>
          <w:sz w:val="24"/>
          <w:szCs w:val="24"/>
          <w:lang w:eastAsia="da-DK"/>
        </w:rPr>
        <w:t xml:space="preserve">Samtidig brug af </w:t>
      </w:r>
      <w:proofErr w:type="spellStart"/>
      <w:r w:rsidRPr="00DE7B77">
        <w:rPr>
          <w:sz w:val="24"/>
          <w:szCs w:val="24"/>
          <w:lang w:eastAsia="da-DK"/>
        </w:rPr>
        <w:t>memantin</w:t>
      </w:r>
      <w:proofErr w:type="spellEnd"/>
      <w:r w:rsidRPr="00DE7B77">
        <w:rPr>
          <w:sz w:val="24"/>
          <w:szCs w:val="24"/>
          <w:lang w:eastAsia="da-DK"/>
        </w:rPr>
        <w:t xml:space="preserve"> og </w:t>
      </w:r>
      <w:proofErr w:type="spellStart"/>
      <w:r w:rsidRPr="00DE7B77">
        <w:rPr>
          <w:sz w:val="24"/>
          <w:szCs w:val="24"/>
          <w:lang w:eastAsia="da-DK"/>
        </w:rPr>
        <w:t>amantadin</w:t>
      </w:r>
      <w:proofErr w:type="spellEnd"/>
      <w:r w:rsidRPr="00DE7B77">
        <w:rPr>
          <w:sz w:val="24"/>
          <w:szCs w:val="24"/>
          <w:lang w:eastAsia="da-DK"/>
        </w:rPr>
        <w:t xml:space="preserve"> skal undgås på grund af risikoen for </w:t>
      </w:r>
      <w:proofErr w:type="spellStart"/>
      <w:r w:rsidRPr="00DE7B77">
        <w:rPr>
          <w:sz w:val="24"/>
          <w:szCs w:val="24"/>
          <w:lang w:eastAsia="da-DK"/>
        </w:rPr>
        <w:t>farmakotoksisk</w:t>
      </w:r>
      <w:proofErr w:type="spellEnd"/>
      <w:r w:rsidRPr="00DE7B77">
        <w:rPr>
          <w:sz w:val="24"/>
          <w:szCs w:val="24"/>
          <w:lang w:eastAsia="da-DK"/>
        </w:rPr>
        <w:t xml:space="preserve"> psykose. Begge forbindelser er kemisk beslægtede NMDA-antagonister. Det samme kan gøre sig gældende for </w:t>
      </w:r>
      <w:proofErr w:type="spellStart"/>
      <w:r w:rsidRPr="00DE7B77">
        <w:rPr>
          <w:sz w:val="24"/>
          <w:szCs w:val="24"/>
          <w:lang w:eastAsia="da-DK"/>
        </w:rPr>
        <w:t>ketamin</w:t>
      </w:r>
      <w:proofErr w:type="spellEnd"/>
      <w:r w:rsidRPr="00DE7B77">
        <w:rPr>
          <w:sz w:val="24"/>
          <w:szCs w:val="24"/>
          <w:lang w:eastAsia="da-DK"/>
        </w:rPr>
        <w:t xml:space="preserve"> og </w:t>
      </w:r>
      <w:proofErr w:type="spellStart"/>
      <w:r w:rsidRPr="00DE7B77">
        <w:rPr>
          <w:sz w:val="24"/>
          <w:szCs w:val="24"/>
          <w:lang w:eastAsia="da-DK"/>
        </w:rPr>
        <w:t>dextromethorphan</w:t>
      </w:r>
      <w:proofErr w:type="spellEnd"/>
      <w:r w:rsidRPr="00DE7B77">
        <w:rPr>
          <w:sz w:val="24"/>
          <w:szCs w:val="24"/>
          <w:lang w:eastAsia="da-DK"/>
        </w:rPr>
        <w:t xml:space="preserve"> (se også under punkt 4.4). Der findes en publiceret kasuistik, der også viser en mulig risiko ved kombination af </w:t>
      </w:r>
      <w:proofErr w:type="spellStart"/>
      <w:r w:rsidRPr="00DE7B77">
        <w:rPr>
          <w:sz w:val="24"/>
          <w:szCs w:val="24"/>
          <w:lang w:eastAsia="da-DK"/>
        </w:rPr>
        <w:t>memantin</w:t>
      </w:r>
      <w:proofErr w:type="spellEnd"/>
      <w:r w:rsidRPr="00DE7B77">
        <w:rPr>
          <w:sz w:val="24"/>
          <w:szCs w:val="24"/>
          <w:lang w:eastAsia="da-DK"/>
        </w:rPr>
        <w:t xml:space="preserve"> og </w:t>
      </w:r>
      <w:proofErr w:type="spellStart"/>
      <w:r w:rsidRPr="00DE7B77">
        <w:rPr>
          <w:sz w:val="24"/>
          <w:szCs w:val="24"/>
          <w:lang w:eastAsia="da-DK"/>
        </w:rPr>
        <w:t>phenytoin</w:t>
      </w:r>
      <w:proofErr w:type="spellEnd"/>
      <w:r w:rsidRPr="00DE7B77">
        <w:rPr>
          <w:sz w:val="24"/>
          <w:szCs w:val="24"/>
          <w:lang w:eastAsia="da-DK"/>
        </w:rPr>
        <w:t>.</w:t>
      </w:r>
    </w:p>
    <w:p w:rsidR="0032131D" w:rsidRPr="00DE7B77" w:rsidRDefault="0032131D" w:rsidP="0032131D">
      <w:pPr>
        <w:numPr>
          <w:ilvl w:val="0"/>
          <w:numId w:val="6"/>
        </w:numPr>
        <w:autoSpaceDE w:val="0"/>
        <w:autoSpaceDN w:val="0"/>
        <w:adjustRightInd w:val="0"/>
        <w:ind w:left="1134" w:hanging="283"/>
        <w:rPr>
          <w:sz w:val="24"/>
          <w:szCs w:val="24"/>
          <w:lang w:eastAsia="da-DK"/>
        </w:rPr>
      </w:pPr>
      <w:r w:rsidRPr="00DE7B77">
        <w:rPr>
          <w:sz w:val="24"/>
          <w:szCs w:val="24"/>
          <w:lang w:eastAsia="da-DK"/>
        </w:rPr>
        <w:t xml:space="preserve">Andre aktive stoffer såsom </w:t>
      </w:r>
      <w:proofErr w:type="spellStart"/>
      <w:r w:rsidRPr="00DE7B77">
        <w:rPr>
          <w:sz w:val="24"/>
          <w:szCs w:val="24"/>
          <w:lang w:eastAsia="da-DK"/>
        </w:rPr>
        <w:t>cimetidin</w:t>
      </w:r>
      <w:proofErr w:type="spellEnd"/>
      <w:r w:rsidRPr="00DE7B77">
        <w:rPr>
          <w:sz w:val="24"/>
          <w:szCs w:val="24"/>
          <w:lang w:eastAsia="da-DK"/>
        </w:rPr>
        <w:t xml:space="preserve">, </w:t>
      </w:r>
      <w:proofErr w:type="spellStart"/>
      <w:r w:rsidRPr="00DE7B77">
        <w:rPr>
          <w:sz w:val="24"/>
          <w:szCs w:val="24"/>
          <w:lang w:eastAsia="da-DK"/>
        </w:rPr>
        <w:t>ranitidin</w:t>
      </w:r>
      <w:proofErr w:type="spellEnd"/>
      <w:r w:rsidRPr="00DE7B77">
        <w:rPr>
          <w:sz w:val="24"/>
          <w:szCs w:val="24"/>
          <w:lang w:eastAsia="da-DK"/>
        </w:rPr>
        <w:t xml:space="preserve">, </w:t>
      </w:r>
      <w:proofErr w:type="spellStart"/>
      <w:r w:rsidRPr="00DE7B77">
        <w:rPr>
          <w:sz w:val="24"/>
          <w:szCs w:val="24"/>
          <w:lang w:eastAsia="da-DK"/>
        </w:rPr>
        <w:t>procainamid</w:t>
      </w:r>
      <w:proofErr w:type="spellEnd"/>
      <w:r w:rsidRPr="00DE7B77">
        <w:rPr>
          <w:sz w:val="24"/>
          <w:szCs w:val="24"/>
          <w:lang w:eastAsia="da-DK"/>
        </w:rPr>
        <w:t xml:space="preserve">, </w:t>
      </w:r>
      <w:proofErr w:type="spellStart"/>
      <w:r w:rsidRPr="00DE7B77">
        <w:rPr>
          <w:sz w:val="24"/>
          <w:szCs w:val="24"/>
          <w:lang w:eastAsia="da-DK"/>
        </w:rPr>
        <w:t>quinidin</w:t>
      </w:r>
      <w:proofErr w:type="spellEnd"/>
      <w:r w:rsidRPr="00DE7B77">
        <w:rPr>
          <w:sz w:val="24"/>
          <w:szCs w:val="24"/>
          <w:lang w:eastAsia="da-DK"/>
        </w:rPr>
        <w:t xml:space="preserve">, </w:t>
      </w:r>
      <w:proofErr w:type="spellStart"/>
      <w:r w:rsidRPr="00DE7B77">
        <w:rPr>
          <w:sz w:val="24"/>
          <w:szCs w:val="24"/>
          <w:lang w:eastAsia="da-DK"/>
        </w:rPr>
        <w:t>quinin</w:t>
      </w:r>
      <w:proofErr w:type="spellEnd"/>
      <w:r w:rsidRPr="00DE7B77">
        <w:rPr>
          <w:sz w:val="24"/>
          <w:szCs w:val="24"/>
          <w:lang w:eastAsia="da-DK"/>
        </w:rPr>
        <w:t xml:space="preserve"> og nikotin, der bruger samme </w:t>
      </w:r>
      <w:proofErr w:type="spellStart"/>
      <w:r w:rsidRPr="00DE7B77">
        <w:rPr>
          <w:sz w:val="24"/>
          <w:szCs w:val="24"/>
          <w:lang w:eastAsia="da-DK"/>
        </w:rPr>
        <w:t>renale</w:t>
      </w:r>
      <w:proofErr w:type="spellEnd"/>
      <w:r w:rsidRPr="00DE7B77">
        <w:rPr>
          <w:sz w:val="24"/>
          <w:szCs w:val="24"/>
          <w:lang w:eastAsia="da-DK"/>
        </w:rPr>
        <w:t xml:space="preserve"> </w:t>
      </w:r>
      <w:proofErr w:type="spellStart"/>
      <w:r w:rsidRPr="00DE7B77">
        <w:rPr>
          <w:sz w:val="24"/>
          <w:szCs w:val="24"/>
          <w:lang w:eastAsia="da-DK"/>
        </w:rPr>
        <w:t>kationiske</w:t>
      </w:r>
      <w:proofErr w:type="spellEnd"/>
      <w:r w:rsidRPr="00DE7B77">
        <w:rPr>
          <w:sz w:val="24"/>
          <w:szCs w:val="24"/>
          <w:lang w:eastAsia="da-DK"/>
        </w:rPr>
        <w:t xml:space="preserve"> transportsystem som </w:t>
      </w:r>
      <w:proofErr w:type="spellStart"/>
      <w:r w:rsidRPr="00DE7B77">
        <w:rPr>
          <w:sz w:val="24"/>
          <w:szCs w:val="24"/>
          <w:lang w:eastAsia="da-DK"/>
        </w:rPr>
        <w:t>amantadin</w:t>
      </w:r>
      <w:proofErr w:type="spellEnd"/>
      <w:r w:rsidRPr="00DE7B77">
        <w:rPr>
          <w:sz w:val="24"/>
          <w:szCs w:val="24"/>
          <w:lang w:eastAsia="da-DK"/>
        </w:rPr>
        <w:t xml:space="preserve">, kan muligvis også have interaktion med </w:t>
      </w:r>
      <w:proofErr w:type="spellStart"/>
      <w:r w:rsidRPr="00DE7B77">
        <w:rPr>
          <w:sz w:val="24"/>
          <w:szCs w:val="24"/>
          <w:lang w:eastAsia="da-DK"/>
        </w:rPr>
        <w:t>memantin</w:t>
      </w:r>
      <w:proofErr w:type="spellEnd"/>
      <w:r w:rsidRPr="00DE7B77">
        <w:rPr>
          <w:sz w:val="24"/>
          <w:szCs w:val="24"/>
          <w:lang w:eastAsia="da-DK"/>
        </w:rPr>
        <w:t>, hvilket kan medføre en risiko for forhøjede plasmaniveauer.</w:t>
      </w:r>
    </w:p>
    <w:p w:rsidR="0032131D" w:rsidRPr="00DE7B77" w:rsidRDefault="0032131D" w:rsidP="0032131D">
      <w:pPr>
        <w:numPr>
          <w:ilvl w:val="0"/>
          <w:numId w:val="6"/>
        </w:numPr>
        <w:autoSpaceDE w:val="0"/>
        <w:autoSpaceDN w:val="0"/>
        <w:adjustRightInd w:val="0"/>
        <w:ind w:left="1134" w:hanging="283"/>
        <w:rPr>
          <w:sz w:val="24"/>
          <w:szCs w:val="24"/>
          <w:lang w:eastAsia="da-DK"/>
        </w:rPr>
      </w:pPr>
      <w:r w:rsidRPr="00DE7B77">
        <w:rPr>
          <w:sz w:val="24"/>
          <w:szCs w:val="24"/>
          <w:lang w:eastAsia="da-DK"/>
        </w:rPr>
        <w:t xml:space="preserve">Der er mulighed for en reduktion i serumkoncentrationen af </w:t>
      </w:r>
      <w:proofErr w:type="spellStart"/>
      <w:r w:rsidRPr="00DE7B77">
        <w:rPr>
          <w:sz w:val="24"/>
          <w:szCs w:val="24"/>
          <w:lang w:eastAsia="da-DK"/>
        </w:rPr>
        <w:t>hydrochlorthiazid</w:t>
      </w:r>
      <w:proofErr w:type="spellEnd"/>
      <w:r w:rsidRPr="00DE7B77">
        <w:rPr>
          <w:sz w:val="24"/>
          <w:szCs w:val="24"/>
          <w:lang w:eastAsia="da-DK"/>
        </w:rPr>
        <w:t xml:space="preserve"> (HCT), når </w:t>
      </w:r>
      <w:proofErr w:type="spellStart"/>
      <w:r w:rsidRPr="00DE7B77">
        <w:rPr>
          <w:sz w:val="24"/>
          <w:szCs w:val="24"/>
          <w:lang w:eastAsia="da-DK"/>
        </w:rPr>
        <w:t>memantin</w:t>
      </w:r>
      <w:proofErr w:type="spellEnd"/>
      <w:r w:rsidRPr="00DE7B77">
        <w:rPr>
          <w:sz w:val="24"/>
          <w:szCs w:val="24"/>
          <w:lang w:eastAsia="da-DK"/>
        </w:rPr>
        <w:t xml:space="preserve"> administreres sammen med HCT eller sammen med kombinationspræparater med HCT.</w:t>
      </w:r>
    </w:p>
    <w:p w:rsidR="0032131D" w:rsidRPr="00DE7B77" w:rsidRDefault="0032131D" w:rsidP="0032131D">
      <w:pPr>
        <w:numPr>
          <w:ilvl w:val="0"/>
          <w:numId w:val="6"/>
        </w:numPr>
        <w:autoSpaceDE w:val="0"/>
        <w:autoSpaceDN w:val="0"/>
        <w:adjustRightInd w:val="0"/>
        <w:ind w:left="1134" w:hanging="283"/>
        <w:rPr>
          <w:sz w:val="24"/>
          <w:szCs w:val="24"/>
          <w:lang w:eastAsia="da-DK"/>
        </w:rPr>
      </w:pPr>
      <w:r w:rsidRPr="00DE7B77">
        <w:rPr>
          <w:sz w:val="24"/>
          <w:szCs w:val="24"/>
          <w:lang w:eastAsia="da-DK"/>
        </w:rPr>
        <w:t xml:space="preserve">Efter markedsføringen er der rapporteret enkeltstående tilfælde af stigninger i international </w:t>
      </w:r>
      <w:proofErr w:type="spellStart"/>
      <w:r w:rsidRPr="00DE7B77">
        <w:rPr>
          <w:sz w:val="24"/>
          <w:szCs w:val="24"/>
          <w:lang w:eastAsia="da-DK"/>
        </w:rPr>
        <w:t>normalized</w:t>
      </w:r>
      <w:proofErr w:type="spellEnd"/>
      <w:r w:rsidRPr="00DE7B77">
        <w:rPr>
          <w:sz w:val="24"/>
          <w:szCs w:val="24"/>
          <w:lang w:eastAsia="da-DK"/>
        </w:rPr>
        <w:t xml:space="preserve"> ratio (INR) hos patienter i samtidig behandling med </w:t>
      </w:r>
      <w:proofErr w:type="spellStart"/>
      <w:r w:rsidRPr="00DE7B77">
        <w:rPr>
          <w:sz w:val="24"/>
          <w:szCs w:val="24"/>
          <w:lang w:eastAsia="da-DK"/>
        </w:rPr>
        <w:t>warfarin</w:t>
      </w:r>
      <w:proofErr w:type="spellEnd"/>
      <w:r w:rsidRPr="00DE7B77">
        <w:rPr>
          <w:sz w:val="24"/>
          <w:szCs w:val="24"/>
          <w:lang w:eastAsia="da-DK"/>
        </w:rPr>
        <w:t xml:space="preserve">. Selvom der ikke er påvist nogen årsagssammenhæng, tilrådes nøje overvågning af </w:t>
      </w:r>
      <w:proofErr w:type="spellStart"/>
      <w:r w:rsidRPr="00DE7B77">
        <w:rPr>
          <w:sz w:val="24"/>
          <w:szCs w:val="24"/>
          <w:lang w:eastAsia="da-DK"/>
        </w:rPr>
        <w:t>protrombintid</w:t>
      </w:r>
      <w:proofErr w:type="spellEnd"/>
      <w:r w:rsidRPr="00DE7B77">
        <w:rPr>
          <w:sz w:val="24"/>
          <w:szCs w:val="24"/>
          <w:lang w:eastAsia="da-DK"/>
        </w:rPr>
        <w:t xml:space="preserve"> eller INR hos patienter i samtidig behandling med orale </w:t>
      </w:r>
      <w:proofErr w:type="spellStart"/>
      <w:r w:rsidRPr="00DE7B77">
        <w:rPr>
          <w:sz w:val="24"/>
          <w:szCs w:val="24"/>
          <w:lang w:eastAsia="da-DK"/>
        </w:rPr>
        <w:t>antikoagulantia</w:t>
      </w:r>
      <w:proofErr w:type="spellEnd"/>
      <w:r w:rsidRPr="00DE7B77">
        <w:rPr>
          <w:sz w:val="24"/>
          <w:szCs w:val="24"/>
          <w:lang w:eastAsia="da-DK"/>
        </w:rPr>
        <w:t>.</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Der sås ingen relevante interaktioner mellem de aktive stoffer i </w:t>
      </w:r>
      <w:proofErr w:type="spellStart"/>
      <w:r w:rsidRPr="00DE7B77">
        <w:rPr>
          <w:sz w:val="24"/>
          <w:szCs w:val="24"/>
          <w:lang w:eastAsia="da-DK"/>
        </w:rPr>
        <w:t>memantin</w:t>
      </w:r>
      <w:proofErr w:type="spellEnd"/>
      <w:r w:rsidRPr="00DE7B77">
        <w:rPr>
          <w:sz w:val="24"/>
          <w:szCs w:val="24"/>
          <w:lang w:eastAsia="da-DK"/>
        </w:rPr>
        <w:t xml:space="preserve"> og </w:t>
      </w:r>
      <w:proofErr w:type="spellStart"/>
      <w:r w:rsidRPr="00DE7B77">
        <w:rPr>
          <w:sz w:val="24"/>
          <w:szCs w:val="24"/>
          <w:lang w:eastAsia="da-DK"/>
        </w:rPr>
        <w:t>glyburid</w:t>
      </w:r>
      <w:proofErr w:type="spellEnd"/>
      <w:r w:rsidRPr="00DE7B77">
        <w:rPr>
          <w:sz w:val="24"/>
          <w:szCs w:val="24"/>
          <w:lang w:eastAsia="da-DK"/>
        </w:rPr>
        <w:t>/</w:t>
      </w:r>
      <w:proofErr w:type="spellStart"/>
      <w:r w:rsidRPr="00DE7B77">
        <w:rPr>
          <w:sz w:val="24"/>
          <w:szCs w:val="24"/>
          <w:lang w:eastAsia="da-DK"/>
        </w:rPr>
        <w:t>metformin</w:t>
      </w:r>
      <w:proofErr w:type="spellEnd"/>
      <w:r w:rsidRPr="00DE7B77">
        <w:rPr>
          <w:sz w:val="24"/>
          <w:szCs w:val="24"/>
          <w:lang w:eastAsia="da-DK"/>
        </w:rPr>
        <w:t xml:space="preserve"> henholdsvist </w:t>
      </w:r>
      <w:proofErr w:type="spellStart"/>
      <w:r w:rsidRPr="00DE7B77">
        <w:rPr>
          <w:sz w:val="24"/>
          <w:szCs w:val="24"/>
          <w:lang w:eastAsia="da-DK"/>
        </w:rPr>
        <w:t>donepezil</w:t>
      </w:r>
      <w:proofErr w:type="spellEnd"/>
      <w:r w:rsidRPr="00DE7B77">
        <w:rPr>
          <w:sz w:val="24"/>
          <w:szCs w:val="24"/>
          <w:lang w:eastAsia="da-DK"/>
        </w:rPr>
        <w:t xml:space="preserve"> i enkeltdosis </w:t>
      </w:r>
      <w:proofErr w:type="spellStart"/>
      <w:r w:rsidRPr="00DE7B77">
        <w:rPr>
          <w:sz w:val="24"/>
          <w:szCs w:val="24"/>
          <w:lang w:eastAsia="da-DK"/>
        </w:rPr>
        <w:t>farmakokinetiske</w:t>
      </w:r>
      <w:proofErr w:type="spellEnd"/>
      <w:r w:rsidRPr="00DE7B77">
        <w:rPr>
          <w:sz w:val="24"/>
          <w:szCs w:val="24"/>
          <w:lang w:eastAsia="da-DK"/>
        </w:rPr>
        <w:t xml:space="preserve"> (PK)-studier hos yngre, raske forsøgspersoner.</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Der sås ingen relevant virkning af </w:t>
      </w:r>
      <w:proofErr w:type="spellStart"/>
      <w:r w:rsidRPr="00DE7B77">
        <w:rPr>
          <w:sz w:val="24"/>
          <w:szCs w:val="24"/>
          <w:lang w:eastAsia="da-DK"/>
        </w:rPr>
        <w:t>memantin</w:t>
      </w:r>
      <w:proofErr w:type="spellEnd"/>
      <w:r w:rsidRPr="00DE7B77">
        <w:rPr>
          <w:sz w:val="24"/>
          <w:szCs w:val="24"/>
          <w:lang w:eastAsia="da-DK"/>
        </w:rPr>
        <w:t xml:space="preserve"> på </w:t>
      </w:r>
      <w:proofErr w:type="spellStart"/>
      <w:r w:rsidRPr="00DE7B77">
        <w:rPr>
          <w:sz w:val="24"/>
          <w:szCs w:val="24"/>
          <w:lang w:eastAsia="da-DK"/>
        </w:rPr>
        <w:t>galantamins</w:t>
      </w:r>
      <w:proofErr w:type="spellEnd"/>
      <w:r w:rsidRPr="00DE7B77">
        <w:rPr>
          <w:sz w:val="24"/>
          <w:szCs w:val="24"/>
          <w:lang w:eastAsia="da-DK"/>
        </w:rPr>
        <w:t xml:space="preserve"> farmakokinetik i et klinisk studie med yngre, raske frivillige forsøgspersoner.</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Memantin</w:t>
      </w:r>
      <w:proofErr w:type="spellEnd"/>
      <w:r w:rsidRPr="00DE7B77">
        <w:rPr>
          <w:sz w:val="24"/>
          <w:szCs w:val="24"/>
          <w:lang w:eastAsia="da-DK"/>
        </w:rPr>
        <w:t xml:space="preserve"> hæmmede ikke CYP 1A2, 2A6, 2C9, 2D6, 2E1, 3A, </w:t>
      </w:r>
      <w:proofErr w:type="spellStart"/>
      <w:r w:rsidRPr="00DE7B77">
        <w:rPr>
          <w:sz w:val="24"/>
          <w:szCs w:val="24"/>
          <w:lang w:eastAsia="da-DK"/>
        </w:rPr>
        <w:t>flavin</w:t>
      </w:r>
      <w:proofErr w:type="spellEnd"/>
      <w:r w:rsidRPr="00DE7B77">
        <w:rPr>
          <w:sz w:val="24"/>
          <w:szCs w:val="24"/>
          <w:lang w:eastAsia="da-DK"/>
        </w:rPr>
        <w:t xml:space="preserve"> indeholdende monoxygenase, </w:t>
      </w:r>
      <w:proofErr w:type="spellStart"/>
      <w:r w:rsidRPr="00DE7B77">
        <w:rPr>
          <w:sz w:val="24"/>
          <w:szCs w:val="24"/>
          <w:lang w:eastAsia="da-DK"/>
        </w:rPr>
        <w:t>epoxid</w:t>
      </w:r>
      <w:proofErr w:type="spellEnd"/>
      <w:r w:rsidRPr="00DE7B77">
        <w:rPr>
          <w:sz w:val="24"/>
          <w:szCs w:val="24"/>
          <w:lang w:eastAsia="da-DK"/>
        </w:rPr>
        <w:t xml:space="preserve"> </w:t>
      </w:r>
      <w:proofErr w:type="spellStart"/>
      <w:r w:rsidRPr="00DE7B77">
        <w:rPr>
          <w:sz w:val="24"/>
          <w:szCs w:val="24"/>
          <w:lang w:eastAsia="da-DK"/>
        </w:rPr>
        <w:t>hydrolase</w:t>
      </w:r>
      <w:proofErr w:type="spellEnd"/>
      <w:r w:rsidRPr="00DE7B77">
        <w:rPr>
          <w:sz w:val="24"/>
          <w:szCs w:val="24"/>
          <w:lang w:eastAsia="da-DK"/>
        </w:rPr>
        <w:t xml:space="preserve"> eller </w:t>
      </w:r>
      <w:proofErr w:type="spellStart"/>
      <w:r w:rsidRPr="00DE7B77">
        <w:rPr>
          <w:sz w:val="24"/>
          <w:szCs w:val="24"/>
          <w:lang w:eastAsia="da-DK"/>
        </w:rPr>
        <w:t>sulfatering</w:t>
      </w:r>
      <w:proofErr w:type="spellEnd"/>
      <w:r w:rsidRPr="00DE7B77">
        <w:rPr>
          <w:sz w:val="24"/>
          <w:szCs w:val="24"/>
          <w:lang w:eastAsia="da-DK"/>
        </w:rPr>
        <w:t xml:space="preserve"> </w:t>
      </w:r>
      <w:r w:rsidRPr="00DE7B77">
        <w:rPr>
          <w:i/>
          <w:iCs/>
          <w:sz w:val="24"/>
          <w:szCs w:val="24"/>
          <w:lang w:eastAsia="da-DK"/>
        </w:rPr>
        <w:t xml:space="preserve">in </w:t>
      </w:r>
      <w:proofErr w:type="spellStart"/>
      <w:r w:rsidRPr="00DE7B77">
        <w:rPr>
          <w:i/>
          <w:iCs/>
          <w:sz w:val="24"/>
          <w:szCs w:val="24"/>
          <w:lang w:eastAsia="da-DK"/>
        </w:rPr>
        <w:t>vitro</w:t>
      </w:r>
      <w:proofErr w:type="spellEnd"/>
      <w:r w:rsidRPr="00DE7B77">
        <w:rPr>
          <w:sz w:val="24"/>
          <w:szCs w:val="24"/>
          <w:lang w:eastAsia="da-DK"/>
        </w:rPr>
        <w:t>.</w:t>
      </w:r>
    </w:p>
    <w:p w:rsidR="0032131D" w:rsidRPr="00DE7B77" w:rsidRDefault="0032131D" w:rsidP="0032131D">
      <w:pPr>
        <w:tabs>
          <w:tab w:val="left" w:pos="851"/>
        </w:tabs>
        <w:rPr>
          <w:sz w:val="24"/>
          <w:szCs w:val="24"/>
        </w:rPr>
      </w:pPr>
    </w:p>
    <w:p w:rsidR="0032131D" w:rsidRPr="00DE7B77" w:rsidRDefault="0032131D" w:rsidP="00883ECA">
      <w:pPr>
        <w:tabs>
          <w:tab w:val="left" w:pos="851"/>
        </w:tabs>
        <w:ind w:left="851" w:hanging="851"/>
        <w:rPr>
          <w:b/>
          <w:sz w:val="24"/>
          <w:szCs w:val="24"/>
        </w:rPr>
      </w:pPr>
      <w:r w:rsidRPr="00DE7B77">
        <w:rPr>
          <w:b/>
          <w:sz w:val="24"/>
          <w:szCs w:val="24"/>
        </w:rPr>
        <w:t>4.6</w:t>
      </w:r>
      <w:r w:rsidRPr="00DE7B77">
        <w:rPr>
          <w:b/>
          <w:sz w:val="24"/>
          <w:szCs w:val="24"/>
        </w:rPr>
        <w:tab/>
      </w:r>
      <w:r w:rsidR="00DE7B77">
        <w:rPr>
          <w:b/>
          <w:sz w:val="24"/>
          <w:szCs w:val="24"/>
        </w:rPr>
        <w:t>Fertilitet, g</w:t>
      </w:r>
      <w:r w:rsidRPr="00DE7B77">
        <w:rPr>
          <w:b/>
          <w:sz w:val="24"/>
          <w:szCs w:val="24"/>
        </w:rPr>
        <w:t>raviditet og amning</w:t>
      </w:r>
    </w:p>
    <w:p w:rsidR="00883ECA" w:rsidRPr="00DE7B77" w:rsidRDefault="00883ECA" w:rsidP="00883ECA">
      <w:pPr>
        <w:tabs>
          <w:tab w:val="left" w:pos="851"/>
        </w:tabs>
        <w:ind w:left="851" w:hanging="851"/>
        <w:rPr>
          <w:b/>
          <w:sz w:val="24"/>
          <w:szCs w:val="24"/>
        </w:rPr>
      </w:pPr>
    </w:p>
    <w:p w:rsidR="0032131D" w:rsidRPr="00DE7B77" w:rsidRDefault="0032131D" w:rsidP="0032131D">
      <w:pPr>
        <w:autoSpaceDE w:val="0"/>
        <w:autoSpaceDN w:val="0"/>
        <w:adjustRightInd w:val="0"/>
        <w:ind w:left="851"/>
        <w:rPr>
          <w:sz w:val="24"/>
          <w:szCs w:val="24"/>
          <w:u w:val="single"/>
          <w:lang w:eastAsia="da-DK"/>
        </w:rPr>
      </w:pPr>
      <w:r w:rsidRPr="00DE7B77">
        <w:rPr>
          <w:sz w:val="24"/>
          <w:szCs w:val="24"/>
          <w:u w:val="single"/>
          <w:lang w:eastAsia="da-DK"/>
        </w:rPr>
        <w:t>Graviditet</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Der er ingen eller en begrænset mængde data for brugen af </w:t>
      </w:r>
      <w:proofErr w:type="spellStart"/>
      <w:r w:rsidRPr="00DE7B77">
        <w:rPr>
          <w:sz w:val="24"/>
          <w:szCs w:val="24"/>
          <w:lang w:eastAsia="da-DK"/>
        </w:rPr>
        <w:t>memantin</w:t>
      </w:r>
      <w:proofErr w:type="spellEnd"/>
      <w:r w:rsidRPr="00DE7B77">
        <w:rPr>
          <w:sz w:val="24"/>
          <w:szCs w:val="24"/>
          <w:lang w:eastAsia="da-DK"/>
        </w:rPr>
        <w:t xml:space="preserve"> hos gravide kvinder. Dyrestudier antyder en potentiel mulighed for intrauterin væksthæmning ved eksponeringsniveauer, der er identiske med eller lidt højere end human eksponering (se under punkt 5.3). Den potentielle risiko for mennesker kendes ikke. </w:t>
      </w:r>
      <w:proofErr w:type="spellStart"/>
      <w:r w:rsidRPr="00DE7B77">
        <w:rPr>
          <w:sz w:val="24"/>
          <w:szCs w:val="24"/>
          <w:lang w:eastAsia="da-DK"/>
        </w:rPr>
        <w:t>Memantin</w:t>
      </w:r>
      <w:proofErr w:type="spellEnd"/>
      <w:r w:rsidRPr="00DE7B77">
        <w:rPr>
          <w:sz w:val="24"/>
          <w:szCs w:val="24"/>
          <w:lang w:eastAsia="da-DK"/>
        </w:rPr>
        <w:t xml:space="preserve"> må ikke anvendes under graviditet, medmindre det er tvingende nødvendigt.</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u w:val="single"/>
          <w:lang w:eastAsia="da-DK"/>
        </w:rPr>
      </w:pPr>
      <w:r w:rsidRPr="00DE7B77">
        <w:rPr>
          <w:sz w:val="24"/>
          <w:szCs w:val="24"/>
          <w:u w:val="single"/>
          <w:lang w:eastAsia="da-DK"/>
        </w:rPr>
        <w:t>Amning</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Det vides ikke, om </w:t>
      </w:r>
      <w:proofErr w:type="spellStart"/>
      <w:r w:rsidRPr="00DE7B77">
        <w:rPr>
          <w:sz w:val="24"/>
          <w:szCs w:val="24"/>
          <w:lang w:eastAsia="da-DK"/>
        </w:rPr>
        <w:t>memantin</w:t>
      </w:r>
      <w:proofErr w:type="spellEnd"/>
      <w:r w:rsidRPr="00DE7B77">
        <w:rPr>
          <w:sz w:val="24"/>
          <w:szCs w:val="24"/>
          <w:lang w:eastAsia="da-DK"/>
        </w:rPr>
        <w:t xml:space="preserve"> udskilles i human modermælk, men i betragtning af stoffets </w:t>
      </w:r>
      <w:proofErr w:type="spellStart"/>
      <w:r w:rsidRPr="00DE7B77">
        <w:rPr>
          <w:sz w:val="24"/>
          <w:szCs w:val="24"/>
          <w:lang w:eastAsia="da-DK"/>
        </w:rPr>
        <w:t>lipofilicitet</w:t>
      </w:r>
      <w:proofErr w:type="spellEnd"/>
      <w:r w:rsidRPr="00DE7B77">
        <w:rPr>
          <w:sz w:val="24"/>
          <w:szCs w:val="24"/>
          <w:lang w:eastAsia="da-DK"/>
        </w:rPr>
        <w:t xml:space="preserve"> forventes dette at være tilfældet. Kvinder, der tager </w:t>
      </w:r>
      <w:proofErr w:type="spellStart"/>
      <w:r w:rsidRPr="00DE7B77">
        <w:rPr>
          <w:sz w:val="24"/>
          <w:szCs w:val="24"/>
          <w:lang w:eastAsia="da-DK"/>
        </w:rPr>
        <w:t>memantin</w:t>
      </w:r>
      <w:proofErr w:type="spellEnd"/>
      <w:r w:rsidRPr="00DE7B77">
        <w:rPr>
          <w:sz w:val="24"/>
          <w:szCs w:val="24"/>
          <w:lang w:eastAsia="da-DK"/>
        </w:rPr>
        <w:t>, bør ikke amme.</w:t>
      </w:r>
    </w:p>
    <w:p w:rsidR="00883ECA" w:rsidRPr="00DE7B77" w:rsidRDefault="00883ECA" w:rsidP="0032131D">
      <w:pPr>
        <w:autoSpaceDE w:val="0"/>
        <w:autoSpaceDN w:val="0"/>
        <w:adjustRightInd w:val="0"/>
        <w:ind w:left="851"/>
        <w:rPr>
          <w:sz w:val="24"/>
          <w:szCs w:val="24"/>
          <w:lang w:eastAsia="da-DK"/>
        </w:rPr>
      </w:pPr>
    </w:p>
    <w:p w:rsidR="00DE7B77" w:rsidRDefault="00DE7B77" w:rsidP="00DE7B77">
      <w:pPr>
        <w:autoSpaceDE w:val="0"/>
        <w:autoSpaceDN w:val="0"/>
        <w:adjustRightInd w:val="0"/>
        <w:ind w:left="851"/>
        <w:rPr>
          <w:sz w:val="24"/>
          <w:szCs w:val="24"/>
          <w:u w:val="single"/>
          <w:lang w:eastAsia="da-DK"/>
        </w:rPr>
      </w:pPr>
      <w:r>
        <w:rPr>
          <w:sz w:val="24"/>
          <w:szCs w:val="24"/>
          <w:u w:val="single"/>
          <w:lang w:eastAsia="da-DK"/>
        </w:rPr>
        <w:t>Fertilitet</w:t>
      </w:r>
    </w:p>
    <w:p w:rsidR="00DE7B77" w:rsidRDefault="00DE7B77" w:rsidP="00DE7B77">
      <w:pPr>
        <w:autoSpaceDE w:val="0"/>
        <w:autoSpaceDN w:val="0"/>
        <w:adjustRightInd w:val="0"/>
        <w:ind w:left="851"/>
        <w:rPr>
          <w:sz w:val="24"/>
          <w:szCs w:val="24"/>
          <w:lang w:eastAsia="da-DK"/>
        </w:rPr>
      </w:pPr>
      <w:r>
        <w:rPr>
          <w:sz w:val="24"/>
          <w:szCs w:val="24"/>
          <w:lang w:eastAsia="da-DK"/>
        </w:rPr>
        <w:t xml:space="preserve">Der er ikke registreret uønskede virkninger af </w:t>
      </w:r>
      <w:proofErr w:type="spellStart"/>
      <w:r>
        <w:rPr>
          <w:sz w:val="24"/>
          <w:szCs w:val="24"/>
          <w:lang w:eastAsia="da-DK"/>
        </w:rPr>
        <w:t>memantin</w:t>
      </w:r>
      <w:proofErr w:type="spellEnd"/>
      <w:r>
        <w:rPr>
          <w:sz w:val="24"/>
          <w:szCs w:val="24"/>
          <w:lang w:eastAsia="da-DK"/>
        </w:rPr>
        <w:t xml:space="preserve"> i forbindelse med ikke-kliniske fertilitetsstudier hos hanner og hunner.</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4.7</w:t>
      </w:r>
      <w:r w:rsidRPr="00DE7B77">
        <w:rPr>
          <w:b/>
          <w:sz w:val="24"/>
          <w:szCs w:val="24"/>
        </w:rPr>
        <w:tab/>
        <w:t xml:space="preserve">Virkning på evnen til at føre motorkøretøj </w:t>
      </w:r>
      <w:r w:rsidR="00DE7B77">
        <w:rPr>
          <w:b/>
          <w:sz w:val="24"/>
          <w:szCs w:val="24"/>
        </w:rPr>
        <w:t>og</w:t>
      </w:r>
      <w:r w:rsidRPr="00DE7B77">
        <w:rPr>
          <w:b/>
          <w:sz w:val="24"/>
          <w:szCs w:val="24"/>
        </w:rPr>
        <w:t xml:space="preserve"> betjene maskiner</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Ikke mærkning.</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Moderat til svær Alzheimers sygdom nedsætter normalt evnen til at føre et motorkøretøj eller betjene maskiner. Derudover har </w:t>
      </w:r>
      <w:proofErr w:type="spellStart"/>
      <w:r w:rsidRPr="00DE7B77">
        <w:rPr>
          <w:sz w:val="24"/>
          <w:szCs w:val="24"/>
          <w:lang w:eastAsia="da-DK"/>
        </w:rPr>
        <w:t>Mentixa</w:t>
      </w:r>
      <w:proofErr w:type="spellEnd"/>
      <w:r w:rsidRPr="00DE7B77">
        <w:rPr>
          <w:sz w:val="24"/>
          <w:szCs w:val="24"/>
          <w:lang w:eastAsia="da-DK"/>
        </w:rPr>
        <w:t xml:space="preserve"> mindre til moderat indflydelse på evnen til at føre motorkøretøj </w:t>
      </w:r>
      <w:r w:rsidR="00883ECA" w:rsidRPr="00DE7B77">
        <w:rPr>
          <w:sz w:val="24"/>
          <w:szCs w:val="24"/>
          <w:lang w:eastAsia="da-DK"/>
        </w:rPr>
        <w:t>og</w:t>
      </w:r>
      <w:r w:rsidRPr="00DE7B77">
        <w:rPr>
          <w:sz w:val="24"/>
          <w:szCs w:val="24"/>
          <w:lang w:eastAsia="da-DK"/>
        </w:rPr>
        <w:t xml:space="preserve"> betjene en maskine, hvorfor ambulante patienter skal gøres opmærksom på at være særligt forsigtige.</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4.8</w:t>
      </w:r>
      <w:r w:rsidRPr="00DE7B77">
        <w:rPr>
          <w:b/>
          <w:sz w:val="24"/>
          <w:szCs w:val="24"/>
        </w:rPr>
        <w:tab/>
        <w:t>Bivirkninger</w:t>
      </w:r>
    </w:p>
    <w:p w:rsidR="0032131D" w:rsidRPr="00DE7B77" w:rsidRDefault="0032131D" w:rsidP="0032131D">
      <w:pPr>
        <w:autoSpaceDE w:val="0"/>
        <w:autoSpaceDN w:val="0"/>
        <w:adjustRightInd w:val="0"/>
        <w:ind w:left="851"/>
        <w:rPr>
          <w:sz w:val="24"/>
          <w:szCs w:val="24"/>
          <w:u w:val="single"/>
          <w:lang w:eastAsia="da-DK"/>
        </w:rPr>
      </w:pPr>
      <w:r w:rsidRPr="00DE7B77">
        <w:rPr>
          <w:sz w:val="24"/>
          <w:szCs w:val="24"/>
          <w:u w:val="single"/>
          <w:lang w:eastAsia="da-DK"/>
        </w:rPr>
        <w:t>Sammenfatning af sikkerhedsprofilen</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kliniske forsøg med 1.784 patienter i behandling med </w:t>
      </w:r>
      <w:proofErr w:type="spellStart"/>
      <w:r w:rsidRPr="00DE7B77">
        <w:rPr>
          <w:sz w:val="24"/>
          <w:szCs w:val="24"/>
          <w:lang w:eastAsia="da-DK"/>
        </w:rPr>
        <w:t>memantin</w:t>
      </w:r>
      <w:proofErr w:type="spellEnd"/>
      <w:r w:rsidRPr="00DE7B77">
        <w:rPr>
          <w:sz w:val="24"/>
          <w:szCs w:val="24"/>
          <w:lang w:eastAsia="da-DK"/>
        </w:rPr>
        <w:t xml:space="preserve"> for mild til svær demens og med 1.595 patienter i placebobehandling adskilte den generelle </w:t>
      </w:r>
      <w:proofErr w:type="spellStart"/>
      <w:r w:rsidRPr="00DE7B77">
        <w:rPr>
          <w:sz w:val="24"/>
          <w:szCs w:val="24"/>
          <w:lang w:eastAsia="da-DK"/>
        </w:rPr>
        <w:t>incidensrate</w:t>
      </w:r>
      <w:proofErr w:type="spellEnd"/>
      <w:r w:rsidRPr="00DE7B77">
        <w:rPr>
          <w:sz w:val="24"/>
          <w:szCs w:val="24"/>
          <w:lang w:eastAsia="da-DK"/>
        </w:rPr>
        <w:t xml:space="preserve"> for bivirkninger med </w:t>
      </w:r>
      <w:proofErr w:type="spellStart"/>
      <w:r w:rsidRPr="00DE7B77">
        <w:rPr>
          <w:sz w:val="24"/>
          <w:szCs w:val="24"/>
          <w:lang w:eastAsia="da-DK"/>
        </w:rPr>
        <w:t>memantin</w:t>
      </w:r>
      <w:proofErr w:type="spellEnd"/>
      <w:r w:rsidRPr="00DE7B77">
        <w:rPr>
          <w:sz w:val="24"/>
          <w:szCs w:val="24"/>
          <w:lang w:eastAsia="da-DK"/>
        </w:rPr>
        <w:t xml:space="preserve"> sig ikke fra placebobehandlingen, og bivirkningerne var som regel milde til moderate. De bivirkninger, der forekom oftest og med en højere </w:t>
      </w:r>
      <w:proofErr w:type="spellStart"/>
      <w:r w:rsidRPr="00DE7B77">
        <w:rPr>
          <w:sz w:val="24"/>
          <w:szCs w:val="24"/>
          <w:lang w:eastAsia="da-DK"/>
        </w:rPr>
        <w:t>incidens</w:t>
      </w:r>
      <w:proofErr w:type="spellEnd"/>
      <w:r w:rsidRPr="00DE7B77">
        <w:rPr>
          <w:sz w:val="24"/>
          <w:szCs w:val="24"/>
          <w:lang w:eastAsia="da-DK"/>
        </w:rPr>
        <w:t xml:space="preserve"> i </w:t>
      </w:r>
      <w:proofErr w:type="spellStart"/>
      <w:r w:rsidRPr="00DE7B77">
        <w:rPr>
          <w:sz w:val="24"/>
          <w:szCs w:val="24"/>
          <w:lang w:eastAsia="da-DK"/>
        </w:rPr>
        <w:t>memantin</w:t>
      </w:r>
      <w:proofErr w:type="spellEnd"/>
      <w:r w:rsidRPr="00DE7B77">
        <w:rPr>
          <w:sz w:val="24"/>
          <w:szCs w:val="24"/>
          <w:lang w:eastAsia="da-DK"/>
        </w:rPr>
        <w:t xml:space="preserve">-gruppen end i placebogruppen, var svimmelhed (hhv. 6,3 % vs. 5,6 %), hovedpine (5,2 % vs. 3,9 %), forstoppelse (4,6 % vs. 2,6 %), </w:t>
      </w:r>
      <w:proofErr w:type="spellStart"/>
      <w:r w:rsidRPr="00DE7B77">
        <w:rPr>
          <w:sz w:val="24"/>
          <w:szCs w:val="24"/>
          <w:lang w:eastAsia="da-DK"/>
        </w:rPr>
        <w:t>somnolens</w:t>
      </w:r>
      <w:proofErr w:type="spellEnd"/>
      <w:r w:rsidRPr="00DE7B77">
        <w:rPr>
          <w:sz w:val="24"/>
          <w:szCs w:val="24"/>
          <w:lang w:eastAsia="da-DK"/>
        </w:rPr>
        <w:t xml:space="preserve"> (3,4 % vs. 2,2 %) og hypertension (4,1 % vs. 2,8 %).</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u w:val="single"/>
          <w:lang w:eastAsia="da-DK"/>
        </w:rPr>
      </w:pPr>
      <w:r w:rsidRPr="00DE7B77">
        <w:rPr>
          <w:sz w:val="24"/>
          <w:szCs w:val="24"/>
          <w:u w:val="single"/>
          <w:lang w:eastAsia="da-DK"/>
        </w:rPr>
        <w:t>Bivirkninger i tabelform</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Følgende bivirkninger i nedenstående tabel er indrapporteret i forbindelse med kliniske forsøg med </w:t>
      </w:r>
      <w:proofErr w:type="spellStart"/>
      <w:r w:rsidRPr="00DE7B77">
        <w:rPr>
          <w:sz w:val="24"/>
          <w:szCs w:val="24"/>
          <w:lang w:eastAsia="da-DK"/>
        </w:rPr>
        <w:t>memantin</w:t>
      </w:r>
      <w:proofErr w:type="spellEnd"/>
      <w:r w:rsidRPr="00DE7B77">
        <w:rPr>
          <w:sz w:val="24"/>
          <w:szCs w:val="24"/>
          <w:lang w:eastAsia="da-DK"/>
        </w:rPr>
        <w:t xml:space="preserve"> og efter markedsføring. Inden for hver enkelt frekvensgruppe er bivirkningerne opstillet efter, hvor alvorlige de er. De alvorligste bivirkninger er anført først.</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Bivirkningerne er opdelt efter organklassesystem med følgende betegnelser: Meget almindelig (≥1/10), almindelig (≥1/100 til &lt;1/10), ikke almindelig (≥1/1.000 til &lt;1/100), sjælden (≥1/10.000 til &lt;1/1.000), meget sjælden (&lt;1/10.000), ikke kendt (kan ikke estimeres ud fra forhåndenværende data).</w:t>
      </w:r>
    </w:p>
    <w:p w:rsidR="0032131D" w:rsidRPr="00DE7B77" w:rsidRDefault="0032131D" w:rsidP="0032131D">
      <w:pPr>
        <w:autoSpaceDE w:val="0"/>
        <w:autoSpaceDN w:val="0"/>
        <w:adjustRightInd w:val="0"/>
        <w:ind w:left="851"/>
        <w:rPr>
          <w:sz w:val="24"/>
          <w:szCs w:val="24"/>
          <w:lang w:eastAsia="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2268"/>
        <w:gridCol w:w="3969"/>
      </w:tblGrid>
      <w:tr w:rsidR="0032131D" w:rsidRPr="00DE7B77" w:rsidTr="003B4BCE">
        <w:tc>
          <w:tcPr>
            <w:tcW w:w="2551"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proofErr w:type="spellStart"/>
            <w:r w:rsidRPr="00DE7B77">
              <w:rPr>
                <w:b/>
                <w:sz w:val="24"/>
                <w:szCs w:val="24"/>
                <w:lang w:eastAsia="da-DK"/>
              </w:rPr>
              <w:t>Systenorganklasser</w:t>
            </w:r>
            <w:proofErr w:type="spellEnd"/>
          </w:p>
        </w:tc>
        <w:tc>
          <w:tcPr>
            <w:tcW w:w="2268" w:type="dxa"/>
            <w:tcBorders>
              <w:top w:val="single" w:sz="4" w:space="0" w:color="auto"/>
              <w:left w:val="single" w:sz="4" w:space="0" w:color="auto"/>
              <w:bottom w:val="single" w:sz="4" w:space="0" w:color="auto"/>
              <w:right w:val="single" w:sz="4" w:space="0" w:color="auto"/>
            </w:tcBorders>
          </w:tcPr>
          <w:p w:rsidR="0032131D" w:rsidRPr="00DE7B77" w:rsidRDefault="0032131D" w:rsidP="003B4BCE">
            <w:pPr>
              <w:ind w:left="74"/>
              <w:rPr>
                <w:b/>
                <w:sz w:val="24"/>
                <w:szCs w:val="24"/>
                <w:lang w:eastAsia="da-DK"/>
              </w:rPr>
            </w:pPr>
            <w:r w:rsidRPr="00DE7B77">
              <w:rPr>
                <w:b/>
                <w:sz w:val="24"/>
                <w:szCs w:val="24"/>
                <w:lang w:eastAsia="da-DK"/>
              </w:rPr>
              <w:t>Frekvens</w:t>
            </w:r>
          </w:p>
          <w:p w:rsidR="0032131D" w:rsidRPr="00DE7B77" w:rsidRDefault="0032131D" w:rsidP="003B4BCE">
            <w:pPr>
              <w:ind w:left="74"/>
              <w:rPr>
                <w:b/>
                <w:sz w:val="24"/>
                <w:szCs w:val="24"/>
                <w:lang w:eastAsia="da-DK"/>
              </w:rPr>
            </w:pP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b/>
                <w:sz w:val="24"/>
                <w:szCs w:val="24"/>
                <w:lang w:eastAsia="da-DK"/>
              </w:rPr>
            </w:pPr>
            <w:r w:rsidRPr="00DE7B77">
              <w:rPr>
                <w:b/>
                <w:sz w:val="24"/>
                <w:szCs w:val="24"/>
                <w:lang w:eastAsia="da-DK"/>
              </w:rPr>
              <w:t>Bivirkning</w:t>
            </w:r>
          </w:p>
        </w:tc>
      </w:tr>
      <w:tr w:rsidR="0032131D" w:rsidRPr="00DE7B77" w:rsidTr="003B4BCE">
        <w:tc>
          <w:tcPr>
            <w:tcW w:w="2551"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t>Injektioner og parasitære sygdomme</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Ikke almindelig</w:t>
            </w:r>
          </w:p>
        </w:tc>
        <w:tc>
          <w:tcPr>
            <w:tcW w:w="3969" w:type="dxa"/>
            <w:tcBorders>
              <w:top w:val="single" w:sz="4" w:space="0" w:color="auto"/>
              <w:left w:val="single" w:sz="4" w:space="0" w:color="auto"/>
              <w:bottom w:val="single" w:sz="4" w:space="0" w:color="auto"/>
              <w:right w:val="single" w:sz="4" w:space="0" w:color="auto"/>
            </w:tcBorders>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Svampe</w:t>
            </w:r>
            <w:r w:rsidRPr="00DE7B77">
              <w:rPr>
                <w:sz w:val="24"/>
                <w:szCs w:val="24"/>
                <w:lang w:eastAsia="da-DK"/>
              </w:rPr>
              <w:softHyphen/>
              <w:t>infektioner</w:t>
            </w:r>
          </w:p>
          <w:p w:rsidR="0032131D" w:rsidRPr="00DE7B77" w:rsidRDefault="0032131D" w:rsidP="003B4BCE">
            <w:pPr>
              <w:ind w:left="74"/>
              <w:rPr>
                <w:sz w:val="24"/>
                <w:szCs w:val="24"/>
                <w:lang w:eastAsia="da-DK"/>
              </w:rPr>
            </w:pPr>
          </w:p>
        </w:tc>
      </w:tr>
      <w:tr w:rsidR="0032131D" w:rsidRPr="00DE7B77" w:rsidTr="003B4BCE">
        <w:trPr>
          <w:trHeight w:val="796"/>
        </w:trPr>
        <w:tc>
          <w:tcPr>
            <w:tcW w:w="2551"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t>Immun</w:t>
            </w:r>
            <w:r w:rsidRPr="00DE7B77">
              <w:rPr>
                <w:sz w:val="24"/>
                <w:szCs w:val="24"/>
                <w:lang w:eastAsia="da-DK"/>
              </w:rPr>
              <w:softHyphen/>
            </w:r>
            <w:r w:rsidRPr="00DE7B77">
              <w:rPr>
                <w:b/>
                <w:sz w:val="24"/>
                <w:szCs w:val="24"/>
                <w:lang w:eastAsia="da-DK"/>
              </w:rPr>
              <w:t>systemet</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Lægemiddelhypersensitivitet</w:t>
            </w:r>
          </w:p>
        </w:tc>
      </w:tr>
      <w:tr w:rsidR="0032131D" w:rsidRPr="00DE7B77" w:rsidTr="003B4BCE">
        <w:tc>
          <w:tcPr>
            <w:tcW w:w="2551" w:type="dxa"/>
            <w:vMerge w:val="restart"/>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t>Psykiske forstyrrelser</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proofErr w:type="spellStart"/>
            <w:r w:rsidRPr="00DE7B77">
              <w:rPr>
                <w:sz w:val="24"/>
                <w:szCs w:val="24"/>
                <w:lang w:eastAsia="da-DK"/>
              </w:rPr>
              <w:t>Somnolens</w:t>
            </w:r>
            <w:proofErr w:type="spellEnd"/>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Forvirring</w:t>
            </w:r>
          </w:p>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Hallucinationer</w:t>
            </w:r>
            <w:r w:rsidRPr="00DE7B77">
              <w:rPr>
                <w:sz w:val="24"/>
                <w:szCs w:val="24"/>
                <w:vertAlign w:val="superscript"/>
                <w:lang w:eastAsia="da-DK"/>
              </w:rPr>
              <w:t>1</w:t>
            </w:r>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Ikke kendt</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Psykotiske reaktioner</w:t>
            </w:r>
            <w:r w:rsidRPr="00DE7B77">
              <w:rPr>
                <w:sz w:val="24"/>
                <w:szCs w:val="24"/>
                <w:vertAlign w:val="superscript"/>
                <w:lang w:eastAsia="da-DK"/>
              </w:rPr>
              <w:t>2</w:t>
            </w:r>
          </w:p>
        </w:tc>
      </w:tr>
      <w:tr w:rsidR="0032131D" w:rsidRPr="00DE7B77" w:rsidTr="003B4BCE">
        <w:tc>
          <w:tcPr>
            <w:tcW w:w="2551" w:type="dxa"/>
            <w:vMerge w:val="restart"/>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t>Nervesystemet</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Svimmelhed,</w:t>
            </w:r>
          </w:p>
          <w:p w:rsidR="0032131D" w:rsidRPr="00DE7B77" w:rsidRDefault="0032131D" w:rsidP="003B4BCE">
            <w:pPr>
              <w:ind w:left="74"/>
              <w:rPr>
                <w:sz w:val="24"/>
                <w:szCs w:val="24"/>
                <w:lang w:eastAsia="da-DK"/>
              </w:rPr>
            </w:pPr>
            <w:r w:rsidRPr="00DE7B77">
              <w:rPr>
                <w:sz w:val="24"/>
                <w:szCs w:val="24"/>
                <w:lang w:eastAsia="da-DK"/>
              </w:rPr>
              <w:t>balance</w:t>
            </w:r>
            <w:r w:rsidRPr="00DE7B77">
              <w:rPr>
                <w:sz w:val="24"/>
                <w:szCs w:val="24"/>
                <w:lang w:eastAsia="da-DK"/>
              </w:rPr>
              <w:softHyphen/>
              <w:t>forstyrrelser</w:t>
            </w:r>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Unormal gang</w:t>
            </w:r>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Meget sjælden</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Krampe</w:t>
            </w:r>
            <w:r w:rsidRPr="00DE7B77">
              <w:rPr>
                <w:sz w:val="24"/>
                <w:szCs w:val="24"/>
                <w:lang w:eastAsia="da-DK"/>
              </w:rPr>
              <w:softHyphen/>
              <w:t>anfald</w:t>
            </w:r>
          </w:p>
        </w:tc>
      </w:tr>
      <w:tr w:rsidR="0032131D" w:rsidRPr="00DE7B77" w:rsidTr="003B4BCE">
        <w:tc>
          <w:tcPr>
            <w:tcW w:w="2551"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t>Hjerte</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Hjertesvigt</w:t>
            </w:r>
          </w:p>
        </w:tc>
      </w:tr>
      <w:tr w:rsidR="0032131D" w:rsidRPr="00DE7B77" w:rsidTr="003B4BCE">
        <w:tc>
          <w:tcPr>
            <w:tcW w:w="2551" w:type="dxa"/>
            <w:vMerge w:val="restart"/>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proofErr w:type="spellStart"/>
            <w:r w:rsidRPr="00DE7B77">
              <w:rPr>
                <w:b/>
                <w:sz w:val="24"/>
                <w:szCs w:val="24"/>
                <w:lang w:eastAsia="da-DK"/>
              </w:rPr>
              <w:t>Vaskulære</w:t>
            </w:r>
            <w:proofErr w:type="spellEnd"/>
            <w:r w:rsidRPr="00DE7B77">
              <w:rPr>
                <w:b/>
                <w:sz w:val="24"/>
                <w:szCs w:val="24"/>
                <w:lang w:eastAsia="da-DK"/>
              </w:rPr>
              <w:t xml:space="preserve"> sygdomme</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Hypertension</w:t>
            </w:r>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Venetrombose/</w:t>
            </w:r>
          </w:p>
          <w:p w:rsidR="0032131D" w:rsidRPr="00DE7B77" w:rsidRDefault="0032131D" w:rsidP="003B4BCE">
            <w:pPr>
              <w:autoSpaceDE w:val="0"/>
              <w:autoSpaceDN w:val="0"/>
              <w:adjustRightInd w:val="0"/>
              <w:ind w:left="74"/>
              <w:rPr>
                <w:sz w:val="24"/>
                <w:szCs w:val="24"/>
                <w:lang w:eastAsia="da-DK"/>
              </w:rPr>
            </w:pPr>
            <w:proofErr w:type="spellStart"/>
            <w:r w:rsidRPr="00DE7B77">
              <w:rPr>
                <w:sz w:val="24"/>
                <w:szCs w:val="24"/>
                <w:lang w:eastAsia="da-DK"/>
              </w:rPr>
              <w:t>Tromboembolisme</w:t>
            </w:r>
            <w:proofErr w:type="spellEnd"/>
          </w:p>
        </w:tc>
      </w:tr>
      <w:tr w:rsidR="0032131D" w:rsidRPr="00DE7B77" w:rsidTr="003B4BCE">
        <w:tc>
          <w:tcPr>
            <w:tcW w:w="2551"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t xml:space="preserve">Luftveje, thorax og </w:t>
            </w:r>
            <w:proofErr w:type="spellStart"/>
            <w:r w:rsidRPr="00DE7B77">
              <w:rPr>
                <w:b/>
                <w:sz w:val="24"/>
                <w:szCs w:val="24"/>
                <w:lang w:eastAsia="da-DK"/>
              </w:rPr>
              <w:t>mediastinum</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Dyspnø</w:t>
            </w:r>
          </w:p>
        </w:tc>
      </w:tr>
      <w:tr w:rsidR="0032131D" w:rsidRPr="00DE7B77" w:rsidTr="003B4BCE">
        <w:tc>
          <w:tcPr>
            <w:tcW w:w="2551" w:type="dxa"/>
            <w:vMerge w:val="restart"/>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lastRenderedPageBreak/>
              <w:t>Mave-tarm-kanalen</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 xml:space="preserve"> Forstoppelse</w:t>
            </w:r>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Opkastning</w:t>
            </w:r>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Ikke kendt</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Pankreatitis</w:t>
            </w:r>
            <w:r w:rsidRPr="00DE7B77">
              <w:rPr>
                <w:sz w:val="24"/>
                <w:szCs w:val="24"/>
                <w:vertAlign w:val="superscript"/>
                <w:lang w:eastAsia="da-DK"/>
              </w:rPr>
              <w:t>2</w:t>
            </w:r>
          </w:p>
        </w:tc>
      </w:tr>
      <w:tr w:rsidR="0032131D" w:rsidRPr="00DE7B77" w:rsidTr="003B4BCE">
        <w:tc>
          <w:tcPr>
            <w:tcW w:w="2551" w:type="dxa"/>
            <w:vMerge w:val="restart"/>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t>Lever og galdeveje</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Forhøjet leverfunktionstest</w:t>
            </w:r>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autoSpaceDE w:val="0"/>
              <w:autoSpaceDN w:val="0"/>
              <w:adjustRightInd w:val="0"/>
              <w:ind w:left="74"/>
              <w:rPr>
                <w:sz w:val="24"/>
                <w:szCs w:val="24"/>
                <w:lang w:eastAsia="da-DK"/>
              </w:rPr>
            </w:pPr>
            <w:r w:rsidRPr="00DE7B77">
              <w:rPr>
                <w:sz w:val="24"/>
                <w:szCs w:val="24"/>
                <w:lang w:eastAsia="da-DK"/>
              </w:rPr>
              <w:t>Ikke kendt</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Hepatitis</w:t>
            </w:r>
          </w:p>
        </w:tc>
      </w:tr>
      <w:tr w:rsidR="0032131D" w:rsidRPr="00DE7B77" w:rsidTr="003B4BCE">
        <w:tc>
          <w:tcPr>
            <w:tcW w:w="2551" w:type="dxa"/>
            <w:vMerge w:val="restart"/>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142" w:right="469"/>
              <w:rPr>
                <w:b/>
                <w:sz w:val="24"/>
                <w:szCs w:val="24"/>
                <w:lang w:eastAsia="da-DK"/>
              </w:rPr>
            </w:pPr>
            <w:r w:rsidRPr="00DE7B77">
              <w:rPr>
                <w:b/>
                <w:sz w:val="24"/>
                <w:szCs w:val="24"/>
                <w:lang w:eastAsia="da-DK"/>
              </w:rPr>
              <w:t>Almene symptomer og reaktioner på administrations</w:t>
            </w:r>
            <w:r w:rsidRPr="00DE7B77">
              <w:rPr>
                <w:sz w:val="24"/>
                <w:szCs w:val="24"/>
                <w:lang w:eastAsia="da-DK"/>
              </w:rPr>
              <w:softHyphen/>
            </w:r>
            <w:r w:rsidRPr="00DE7B77">
              <w:rPr>
                <w:b/>
                <w:sz w:val="24"/>
                <w:szCs w:val="24"/>
                <w:lang w:eastAsia="da-DK"/>
              </w:rPr>
              <w:t>stedet</w:t>
            </w: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Hovedpine</w:t>
            </w:r>
          </w:p>
        </w:tc>
      </w:tr>
      <w:tr w:rsidR="0032131D" w:rsidRPr="00DE7B77" w:rsidTr="003B4BCE">
        <w:tc>
          <w:tcPr>
            <w:tcW w:w="2551" w:type="dxa"/>
            <w:vMerge/>
            <w:tcBorders>
              <w:top w:val="single" w:sz="4" w:space="0" w:color="auto"/>
              <w:left w:val="single" w:sz="4" w:space="0" w:color="auto"/>
              <w:bottom w:val="single" w:sz="4" w:space="0" w:color="auto"/>
              <w:right w:val="single" w:sz="4" w:space="0" w:color="auto"/>
            </w:tcBorders>
            <w:vAlign w:val="center"/>
            <w:hideMark/>
          </w:tcPr>
          <w:p w:rsidR="0032131D" w:rsidRPr="00DE7B77" w:rsidRDefault="0032131D" w:rsidP="003B4BCE">
            <w:pPr>
              <w:rPr>
                <w:b/>
                <w:sz w:val="24"/>
                <w:szCs w:val="24"/>
                <w:lang w:eastAsia="da-DK"/>
              </w:rPr>
            </w:pPr>
          </w:p>
        </w:tc>
        <w:tc>
          <w:tcPr>
            <w:tcW w:w="2268"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Ikke almindelig</w:t>
            </w:r>
          </w:p>
        </w:tc>
        <w:tc>
          <w:tcPr>
            <w:tcW w:w="3969" w:type="dxa"/>
            <w:tcBorders>
              <w:top w:val="single" w:sz="4" w:space="0" w:color="auto"/>
              <w:left w:val="single" w:sz="4" w:space="0" w:color="auto"/>
              <w:bottom w:val="single" w:sz="4" w:space="0" w:color="auto"/>
              <w:right w:val="single" w:sz="4" w:space="0" w:color="auto"/>
            </w:tcBorders>
            <w:hideMark/>
          </w:tcPr>
          <w:p w:rsidR="0032131D" w:rsidRPr="00DE7B77" w:rsidRDefault="0032131D" w:rsidP="003B4BCE">
            <w:pPr>
              <w:ind w:left="74"/>
              <w:rPr>
                <w:sz w:val="24"/>
                <w:szCs w:val="24"/>
                <w:lang w:eastAsia="da-DK"/>
              </w:rPr>
            </w:pPr>
            <w:r w:rsidRPr="00DE7B77">
              <w:rPr>
                <w:sz w:val="24"/>
                <w:szCs w:val="24"/>
                <w:lang w:eastAsia="da-DK"/>
              </w:rPr>
              <w:t>Træthed</w:t>
            </w:r>
          </w:p>
        </w:tc>
      </w:tr>
    </w:tbl>
    <w:p w:rsidR="0032131D" w:rsidRPr="00DE7B77" w:rsidRDefault="0032131D" w:rsidP="0032131D">
      <w:pPr>
        <w:autoSpaceDE w:val="0"/>
        <w:autoSpaceDN w:val="0"/>
        <w:adjustRightInd w:val="0"/>
        <w:ind w:left="851"/>
        <w:rPr>
          <w:sz w:val="24"/>
          <w:szCs w:val="24"/>
          <w:lang w:eastAsia="da-DK"/>
        </w:rPr>
      </w:pPr>
      <w:r w:rsidRPr="00DE7B77">
        <w:rPr>
          <w:sz w:val="24"/>
          <w:szCs w:val="24"/>
          <w:vertAlign w:val="superscript"/>
          <w:lang w:eastAsia="da-DK"/>
        </w:rPr>
        <w:t>1</w:t>
      </w:r>
      <w:r w:rsidRPr="00DE7B77">
        <w:rPr>
          <w:sz w:val="24"/>
          <w:szCs w:val="24"/>
          <w:lang w:eastAsia="da-DK"/>
        </w:rPr>
        <w:t>Hallucinationer er hovedsageligt observeret hos patienter med svær Alzheimers sygdom.</w:t>
      </w:r>
    </w:p>
    <w:p w:rsidR="0032131D" w:rsidRPr="00DE7B77" w:rsidRDefault="0032131D" w:rsidP="0032131D">
      <w:pPr>
        <w:autoSpaceDE w:val="0"/>
        <w:autoSpaceDN w:val="0"/>
        <w:adjustRightInd w:val="0"/>
        <w:ind w:left="851"/>
        <w:rPr>
          <w:sz w:val="24"/>
          <w:szCs w:val="24"/>
          <w:lang w:eastAsia="da-DK"/>
        </w:rPr>
      </w:pPr>
      <w:r w:rsidRPr="00DE7B77">
        <w:rPr>
          <w:sz w:val="24"/>
          <w:szCs w:val="24"/>
          <w:vertAlign w:val="superscript"/>
          <w:lang w:eastAsia="da-DK"/>
        </w:rPr>
        <w:t>2</w:t>
      </w:r>
      <w:r w:rsidRPr="00DE7B77">
        <w:rPr>
          <w:sz w:val="24"/>
          <w:szCs w:val="24"/>
          <w:lang w:eastAsia="da-DK"/>
        </w:rPr>
        <w:t>Enkeltstående tilfælde rapporteret efter markedsføringen.</w:t>
      </w:r>
      <w:r w:rsidRPr="00DE7B77">
        <w:rPr>
          <w:sz w:val="24"/>
          <w:szCs w:val="24"/>
          <w:lang w:eastAsia="da-DK"/>
        </w:rPr>
        <w:br/>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Alzheimers sygdom er blevet sat i forbindelse med depression, selvmordsforestilling og selvmord.</w:t>
      </w:r>
    </w:p>
    <w:p w:rsidR="0032131D" w:rsidRPr="00DE7B77" w:rsidRDefault="0032131D" w:rsidP="0032131D">
      <w:pPr>
        <w:ind w:left="851"/>
        <w:rPr>
          <w:sz w:val="24"/>
          <w:szCs w:val="24"/>
          <w:lang w:eastAsia="da-DK"/>
        </w:rPr>
      </w:pPr>
    </w:p>
    <w:p w:rsidR="0032131D" w:rsidRPr="00DE7B77" w:rsidRDefault="0032131D" w:rsidP="0032131D">
      <w:pPr>
        <w:ind w:left="851"/>
        <w:rPr>
          <w:sz w:val="24"/>
          <w:szCs w:val="24"/>
          <w:lang w:eastAsia="da-DK"/>
        </w:rPr>
      </w:pPr>
      <w:r w:rsidRPr="00DE7B77">
        <w:rPr>
          <w:sz w:val="24"/>
          <w:szCs w:val="24"/>
          <w:lang w:eastAsia="da-DK"/>
        </w:rPr>
        <w:t xml:space="preserve">Efter markedsføringen er disse hændelser rapporteret hos patienter i behandling med </w:t>
      </w:r>
      <w:proofErr w:type="spellStart"/>
      <w:r w:rsidRPr="00DE7B77">
        <w:rPr>
          <w:sz w:val="24"/>
          <w:szCs w:val="24"/>
          <w:lang w:eastAsia="da-DK"/>
        </w:rPr>
        <w:t>memantin</w:t>
      </w:r>
      <w:proofErr w:type="spellEnd"/>
      <w:r w:rsidRPr="00DE7B77">
        <w:rPr>
          <w:sz w:val="24"/>
          <w:szCs w:val="24"/>
          <w:lang w:eastAsia="da-DK"/>
        </w:rPr>
        <w:t>.</w:t>
      </w:r>
    </w:p>
    <w:p w:rsidR="0032131D" w:rsidRPr="00DE7B77" w:rsidRDefault="0032131D" w:rsidP="0032131D">
      <w:pPr>
        <w:ind w:left="851"/>
        <w:rPr>
          <w:sz w:val="24"/>
          <w:szCs w:val="24"/>
          <w:lang w:eastAsia="da-DK"/>
        </w:rPr>
      </w:pPr>
    </w:p>
    <w:p w:rsidR="0032131D" w:rsidRPr="00DE7B77" w:rsidRDefault="0032131D" w:rsidP="0032131D">
      <w:pPr>
        <w:pStyle w:val="NormalWeb"/>
        <w:shd w:val="clear" w:color="auto" w:fill="FFFFFF"/>
        <w:ind w:left="851"/>
        <w:rPr>
          <w:sz w:val="24"/>
          <w:szCs w:val="24"/>
        </w:rPr>
      </w:pPr>
      <w:r w:rsidRPr="00DE7B77">
        <w:rPr>
          <w:rStyle w:val="Strk"/>
          <w:sz w:val="24"/>
          <w:szCs w:val="24"/>
        </w:rPr>
        <w:t>Indberetning af formodede bivirkninger</w:t>
      </w:r>
      <w:r w:rsidRPr="00DE7B77">
        <w:rPr>
          <w:rStyle w:val="Strk"/>
          <w:sz w:val="24"/>
          <w:szCs w:val="24"/>
        </w:rPr>
        <w:br/>
      </w:r>
      <w:r w:rsidRPr="00DE7B77">
        <w:rPr>
          <w:sz w:val="24"/>
          <w:szCs w:val="24"/>
        </w:rPr>
        <w:t>Når lægemidlet er godkendt, er indberetning af formodede bivirkninger vigtig. Det muliggør løbende overvågning af benefit/</w:t>
      </w:r>
      <w:proofErr w:type="spellStart"/>
      <w:r w:rsidRPr="00DE7B77">
        <w:rPr>
          <w:sz w:val="24"/>
          <w:szCs w:val="24"/>
        </w:rPr>
        <w:t>risk</w:t>
      </w:r>
      <w:proofErr w:type="spellEnd"/>
      <w:r w:rsidRPr="00DE7B77">
        <w:rPr>
          <w:sz w:val="24"/>
          <w:szCs w:val="24"/>
        </w:rPr>
        <w:t>-forholdet for lægemidlet. Læger og sundhedspersonale anmodes om at indberette alle formodede bivirkninger via:</w:t>
      </w:r>
    </w:p>
    <w:p w:rsidR="0032131D" w:rsidRPr="00DE7B77" w:rsidRDefault="0032131D" w:rsidP="0032131D">
      <w:pPr>
        <w:pStyle w:val="NormalWeb"/>
        <w:shd w:val="clear" w:color="auto" w:fill="FFFFFF"/>
        <w:ind w:left="851"/>
        <w:rPr>
          <w:sz w:val="24"/>
          <w:szCs w:val="24"/>
        </w:rPr>
      </w:pPr>
      <w:r w:rsidRPr="00DE7B77">
        <w:rPr>
          <w:sz w:val="24"/>
          <w:szCs w:val="24"/>
        </w:rPr>
        <w:t>Lægemiddelstyrelsen</w:t>
      </w:r>
      <w:r w:rsidRPr="00DE7B77">
        <w:rPr>
          <w:sz w:val="24"/>
          <w:szCs w:val="24"/>
        </w:rPr>
        <w:br/>
        <w:t>Axel Heides Gade 1</w:t>
      </w:r>
      <w:r w:rsidRPr="00DE7B77">
        <w:rPr>
          <w:sz w:val="24"/>
          <w:szCs w:val="24"/>
        </w:rPr>
        <w:br/>
        <w:t>DK-2300 København S</w:t>
      </w:r>
      <w:r w:rsidRPr="00DE7B77">
        <w:rPr>
          <w:sz w:val="24"/>
          <w:szCs w:val="24"/>
        </w:rPr>
        <w:br/>
        <w:t xml:space="preserve">Websted: </w:t>
      </w:r>
      <w:hyperlink r:id="rId8" w:history="1">
        <w:r w:rsidRPr="00DE7B77">
          <w:rPr>
            <w:rStyle w:val="Hyperlink"/>
            <w:sz w:val="24"/>
            <w:szCs w:val="24"/>
          </w:rPr>
          <w:t>www.meldenbivirkning.dk</w:t>
        </w:r>
      </w:hyperlink>
      <w:r w:rsidRPr="00DE7B77">
        <w:rPr>
          <w:sz w:val="24"/>
          <w:szCs w:val="24"/>
        </w:rPr>
        <w:t xml:space="preserve"> </w:t>
      </w:r>
      <w:r w:rsidRPr="00DE7B77">
        <w:rPr>
          <w:sz w:val="24"/>
          <w:szCs w:val="24"/>
        </w:rPr>
        <w:br/>
      </w:r>
    </w:p>
    <w:p w:rsidR="0032131D" w:rsidRPr="00DE7B77" w:rsidRDefault="0032131D" w:rsidP="0032131D">
      <w:pPr>
        <w:tabs>
          <w:tab w:val="left" w:pos="851"/>
        </w:tabs>
        <w:ind w:left="851" w:hanging="851"/>
        <w:rPr>
          <w:b/>
          <w:sz w:val="24"/>
          <w:szCs w:val="24"/>
        </w:rPr>
      </w:pPr>
      <w:r w:rsidRPr="00DE7B77">
        <w:rPr>
          <w:b/>
          <w:sz w:val="24"/>
          <w:szCs w:val="24"/>
        </w:rPr>
        <w:t>4.9</w:t>
      </w:r>
      <w:r w:rsidRPr="00DE7B77">
        <w:rPr>
          <w:b/>
          <w:sz w:val="24"/>
          <w:szCs w:val="24"/>
        </w:rPr>
        <w:tab/>
        <w:t>Overdosering</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Der er kun begrænset erfaring med overdosering fra kliniske studier og efter markedsføring.</w:t>
      </w:r>
    </w:p>
    <w:p w:rsidR="0032131D" w:rsidRPr="00DE7B77" w:rsidRDefault="0032131D" w:rsidP="0032131D">
      <w:pPr>
        <w:autoSpaceDE w:val="0"/>
        <w:autoSpaceDN w:val="0"/>
        <w:adjustRightInd w:val="0"/>
        <w:ind w:left="851"/>
        <w:rPr>
          <w:b/>
          <w:bCs/>
          <w:i/>
          <w:iCs/>
          <w:sz w:val="24"/>
          <w:szCs w:val="24"/>
          <w:lang w:eastAsia="da-DK"/>
        </w:rPr>
      </w:pPr>
    </w:p>
    <w:p w:rsidR="0032131D" w:rsidRPr="00DE7B77" w:rsidRDefault="0032131D" w:rsidP="0032131D">
      <w:pPr>
        <w:autoSpaceDE w:val="0"/>
        <w:autoSpaceDN w:val="0"/>
        <w:adjustRightInd w:val="0"/>
        <w:ind w:left="851"/>
        <w:rPr>
          <w:bCs/>
          <w:sz w:val="24"/>
          <w:szCs w:val="24"/>
          <w:u w:val="single"/>
          <w:lang w:eastAsia="da-DK"/>
        </w:rPr>
      </w:pPr>
      <w:r w:rsidRPr="00DE7B77">
        <w:rPr>
          <w:bCs/>
          <w:iCs/>
          <w:sz w:val="24"/>
          <w:szCs w:val="24"/>
          <w:u w:val="single"/>
          <w:lang w:eastAsia="da-DK"/>
        </w:rPr>
        <w:t>Symptomer</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Relativt store overdoseringer (henholdsvis 200 mg og 105 mg/dag i 3 dage) har kun været forbundet med symptomer på enten træthed, svaghed og/eller diarré eller ingen symptomer. I tilfælde af overdosering med doser under 140 mg eller ukendt dosis har patienterne haft symptomer fra centralnervesystemet (forvirring, døsighed, </w:t>
      </w:r>
      <w:proofErr w:type="spellStart"/>
      <w:r w:rsidRPr="00DE7B77">
        <w:rPr>
          <w:sz w:val="24"/>
          <w:szCs w:val="24"/>
          <w:lang w:eastAsia="da-DK"/>
        </w:rPr>
        <w:t>somnolens</w:t>
      </w:r>
      <w:proofErr w:type="spellEnd"/>
      <w:r w:rsidRPr="00DE7B77">
        <w:rPr>
          <w:sz w:val="24"/>
          <w:szCs w:val="24"/>
          <w:lang w:eastAsia="da-DK"/>
        </w:rPr>
        <w:t xml:space="preserve">, svimmelhed, agitation, aggression, hallucinationer og gangforstyrrelser) og/eller fra </w:t>
      </w:r>
      <w:proofErr w:type="spellStart"/>
      <w:r w:rsidRPr="00DE7B77">
        <w:rPr>
          <w:sz w:val="24"/>
          <w:szCs w:val="24"/>
          <w:lang w:eastAsia="da-DK"/>
        </w:rPr>
        <w:t>mave-tarmkanalen</w:t>
      </w:r>
      <w:proofErr w:type="spellEnd"/>
      <w:r w:rsidRPr="00DE7B77">
        <w:rPr>
          <w:sz w:val="24"/>
          <w:szCs w:val="24"/>
          <w:lang w:eastAsia="da-DK"/>
        </w:rPr>
        <w:t xml:space="preserve"> (opkastning og diarré).</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det alvorligste tilfælde af overdosering overlevede patienten en oral indtagelse af i alt 2.000 mg </w:t>
      </w:r>
      <w:proofErr w:type="spellStart"/>
      <w:r w:rsidRPr="00DE7B77">
        <w:rPr>
          <w:sz w:val="24"/>
          <w:szCs w:val="24"/>
          <w:lang w:eastAsia="da-DK"/>
        </w:rPr>
        <w:t>memantin</w:t>
      </w:r>
      <w:proofErr w:type="spellEnd"/>
      <w:r w:rsidRPr="00DE7B77">
        <w:rPr>
          <w:sz w:val="24"/>
          <w:szCs w:val="24"/>
          <w:lang w:eastAsia="da-DK"/>
        </w:rPr>
        <w:t xml:space="preserve"> med virkninger på centralnervesystemet (koma i 10 dage og senere </w:t>
      </w:r>
      <w:proofErr w:type="spellStart"/>
      <w:r w:rsidRPr="00DE7B77">
        <w:rPr>
          <w:sz w:val="24"/>
          <w:szCs w:val="24"/>
          <w:lang w:eastAsia="da-DK"/>
        </w:rPr>
        <w:t>diplopi</w:t>
      </w:r>
      <w:proofErr w:type="spellEnd"/>
      <w:r w:rsidRPr="00DE7B77">
        <w:rPr>
          <w:sz w:val="24"/>
          <w:szCs w:val="24"/>
          <w:lang w:eastAsia="da-DK"/>
        </w:rPr>
        <w:t xml:space="preserve"> og agitation). Patienten fik symptomatisk behandling og </w:t>
      </w:r>
      <w:proofErr w:type="spellStart"/>
      <w:r w:rsidRPr="00DE7B77">
        <w:rPr>
          <w:sz w:val="24"/>
          <w:szCs w:val="24"/>
          <w:lang w:eastAsia="da-DK"/>
        </w:rPr>
        <w:t>plasmaferese</w:t>
      </w:r>
      <w:proofErr w:type="spellEnd"/>
      <w:r w:rsidRPr="00DE7B77">
        <w:rPr>
          <w:sz w:val="24"/>
          <w:szCs w:val="24"/>
          <w:lang w:eastAsia="da-DK"/>
        </w:rPr>
        <w:t>. Patienten kom sig uden varige følgetilstande.</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et andet tilfælde med stor overdosis overlevede patienten også og kom sig. Patienten havde fået 400 mg </w:t>
      </w:r>
      <w:proofErr w:type="spellStart"/>
      <w:r w:rsidRPr="00DE7B77">
        <w:rPr>
          <w:sz w:val="24"/>
          <w:szCs w:val="24"/>
          <w:lang w:eastAsia="da-DK"/>
        </w:rPr>
        <w:t>memantin</w:t>
      </w:r>
      <w:proofErr w:type="spellEnd"/>
      <w:r w:rsidRPr="00DE7B77">
        <w:rPr>
          <w:sz w:val="24"/>
          <w:szCs w:val="24"/>
          <w:lang w:eastAsia="da-DK"/>
        </w:rPr>
        <w:t xml:space="preserve"> oralt. Patienten havde symptomer fra centralnervesystemet såsom rastløshed, psykose, visuelle hallucinationer, pro-</w:t>
      </w:r>
      <w:proofErr w:type="spellStart"/>
      <w:r w:rsidRPr="00DE7B77">
        <w:rPr>
          <w:sz w:val="24"/>
          <w:szCs w:val="24"/>
          <w:lang w:eastAsia="da-DK"/>
        </w:rPr>
        <w:t>konvulsiv</w:t>
      </w:r>
      <w:proofErr w:type="spellEnd"/>
      <w:r w:rsidRPr="00DE7B77">
        <w:rPr>
          <w:sz w:val="24"/>
          <w:szCs w:val="24"/>
          <w:lang w:eastAsia="da-DK"/>
        </w:rPr>
        <w:t xml:space="preserve"> aktivitet, </w:t>
      </w:r>
      <w:proofErr w:type="spellStart"/>
      <w:r w:rsidRPr="00DE7B77">
        <w:rPr>
          <w:sz w:val="24"/>
          <w:szCs w:val="24"/>
          <w:lang w:eastAsia="da-DK"/>
        </w:rPr>
        <w:t>somnolens</w:t>
      </w:r>
      <w:proofErr w:type="spellEnd"/>
      <w:r w:rsidRPr="00DE7B77">
        <w:rPr>
          <w:sz w:val="24"/>
          <w:szCs w:val="24"/>
          <w:lang w:eastAsia="da-DK"/>
        </w:rPr>
        <w:t>, sløvhed og bevidstløshed.</w:t>
      </w:r>
    </w:p>
    <w:p w:rsidR="0032131D" w:rsidRPr="00DE7B77" w:rsidRDefault="0032131D" w:rsidP="0032131D">
      <w:pPr>
        <w:autoSpaceDE w:val="0"/>
        <w:autoSpaceDN w:val="0"/>
        <w:adjustRightInd w:val="0"/>
        <w:ind w:left="851"/>
        <w:rPr>
          <w:b/>
          <w:bCs/>
          <w:i/>
          <w:iCs/>
          <w:sz w:val="24"/>
          <w:szCs w:val="24"/>
          <w:lang w:eastAsia="da-DK"/>
        </w:rPr>
      </w:pPr>
    </w:p>
    <w:p w:rsidR="0032131D" w:rsidRPr="00DE7B77" w:rsidRDefault="0032131D" w:rsidP="0032131D">
      <w:pPr>
        <w:autoSpaceDE w:val="0"/>
        <w:autoSpaceDN w:val="0"/>
        <w:adjustRightInd w:val="0"/>
        <w:ind w:left="851"/>
        <w:rPr>
          <w:b/>
          <w:bCs/>
          <w:i/>
          <w:iCs/>
          <w:sz w:val="24"/>
          <w:szCs w:val="24"/>
          <w:lang w:eastAsia="da-DK"/>
        </w:rPr>
      </w:pPr>
    </w:p>
    <w:p w:rsidR="0032131D" w:rsidRPr="00DE7B77" w:rsidRDefault="0032131D" w:rsidP="0032131D">
      <w:pPr>
        <w:autoSpaceDE w:val="0"/>
        <w:autoSpaceDN w:val="0"/>
        <w:adjustRightInd w:val="0"/>
        <w:ind w:left="851"/>
        <w:rPr>
          <w:b/>
          <w:bCs/>
          <w:i/>
          <w:iCs/>
          <w:sz w:val="24"/>
          <w:szCs w:val="24"/>
          <w:lang w:eastAsia="da-DK"/>
        </w:rPr>
      </w:pPr>
    </w:p>
    <w:p w:rsidR="0032131D" w:rsidRPr="00DE7B77" w:rsidRDefault="0032131D" w:rsidP="0032131D">
      <w:pPr>
        <w:autoSpaceDE w:val="0"/>
        <w:autoSpaceDN w:val="0"/>
        <w:adjustRightInd w:val="0"/>
        <w:ind w:left="851"/>
        <w:rPr>
          <w:bCs/>
          <w:sz w:val="24"/>
          <w:szCs w:val="24"/>
          <w:u w:val="single"/>
          <w:lang w:eastAsia="da-DK"/>
        </w:rPr>
      </w:pPr>
      <w:r w:rsidRPr="00DE7B77">
        <w:rPr>
          <w:bCs/>
          <w:iCs/>
          <w:sz w:val="24"/>
          <w:szCs w:val="24"/>
          <w:u w:val="single"/>
          <w:lang w:eastAsia="da-DK"/>
        </w:rPr>
        <w:t>Behandling</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tilfælde af overdosering bør der anvendes symptomatisk behandling. Der findes ingen specifik modgift mod forgiftning eller overdosering. Der bør anvendes passende standardprocedurer for at fjerne det aktive stof, f.eks. ventrikeltømning, medicinsk kul (afbrydelse af potentiel </w:t>
      </w:r>
      <w:proofErr w:type="spellStart"/>
      <w:r w:rsidRPr="00DE7B77">
        <w:rPr>
          <w:sz w:val="24"/>
          <w:szCs w:val="24"/>
          <w:lang w:eastAsia="da-DK"/>
        </w:rPr>
        <w:t>enterohepatisk</w:t>
      </w:r>
      <w:proofErr w:type="spellEnd"/>
      <w:r w:rsidRPr="00DE7B77">
        <w:rPr>
          <w:sz w:val="24"/>
          <w:szCs w:val="24"/>
          <w:lang w:eastAsia="da-DK"/>
        </w:rPr>
        <w:t xml:space="preserve"> recirkulation), </w:t>
      </w:r>
      <w:proofErr w:type="spellStart"/>
      <w:r w:rsidRPr="00DE7B77">
        <w:rPr>
          <w:sz w:val="24"/>
          <w:szCs w:val="24"/>
          <w:lang w:eastAsia="da-DK"/>
        </w:rPr>
        <w:t>surgøring</w:t>
      </w:r>
      <w:proofErr w:type="spellEnd"/>
      <w:r w:rsidRPr="00DE7B77">
        <w:rPr>
          <w:sz w:val="24"/>
          <w:szCs w:val="24"/>
          <w:lang w:eastAsia="da-DK"/>
        </w:rPr>
        <w:t xml:space="preserve"> af urinen og forceret diurese.</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Hvis der er tegn og symptomer på generel overstimulering af centralnervesystemet (CNS), skal det overvejes at give omhyggelig symptomatisk, klinisk behandling.</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4.10</w:t>
      </w:r>
      <w:r w:rsidRPr="00DE7B77">
        <w:rPr>
          <w:b/>
          <w:sz w:val="24"/>
          <w:szCs w:val="24"/>
        </w:rPr>
        <w:tab/>
        <w:t>Udlevering</w:t>
      </w:r>
    </w:p>
    <w:p w:rsidR="0032131D" w:rsidRPr="00DE7B77" w:rsidRDefault="0032131D" w:rsidP="0032131D">
      <w:pPr>
        <w:tabs>
          <w:tab w:val="left" w:pos="851"/>
        </w:tabs>
        <w:ind w:left="851" w:hanging="851"/>
        <w:rPr>
          <w:sz w:val="24"/>
          <w:szCs w:val="24"/>
        </w:rPr>
      </w:pPr>
      <w:r w:rsidRPr="00DE7B77">
        <w:rPr>
          <w:sz w:val="24"/>
          <w:szCs w:val="24"/>
        </w:rPr>
        <w:tab/>
        <w:t>A</w:t>
      </w:r>
    </w:p>
    <w:p w:rsidR="0032131D" w:rsidRPr="00DE7B77" w:rsidRDefault="0032131D" w:rsidP="0032131D">
      <w:pPr>
        <w:tabs>
          <w:tab w:val="left" w:pos="851"/>
        </w:tabs>
        <w:rPr>
          <w:sz w:val="24"/>
          <w:szCs w:val="24"/>
        </w:rPr>
      </w:pPr>
    </w:p>
    <w:p w:rsidR="0032131D" w:rsidRPr="00DE7B77" w:rsidRDefault="0032131D" w:rsidP="0032131D">
      <w:pPr>
        <w:tabs>
          <w:tab w:val="left" w:pos="851"/>
        </w:tabs>
        <w:rPr>
          <w:sz w:val="24"/>
          <w:szCs w:val="24"/>
        </w:rPr>
      </w:pPr>
    </w:p>
    <w:p w:rsidR="0032131D" w:rsidRPr="00DE7B77" w:rsidRDefault="0032131D" w:rsidP="00DE7B77">
      <w:pPr>
        <w:tabs>
          <w:tab w:val="left" w:pos="851"/>
        </w:tabs>
        <w:ind w:left="851" w:hanging="851"/>
        <w:rPr>
          <w:b/>
          <w:sz w:val="24"/>
          <w:szCs w:val="24"/>
        </w:rPr>
      </w:pPr>
      <w:r w:rsidRPr="00DE7B77">
        <w:rPr>
          <w:b/>
          <w:sz w:val="24"/>
          <w:szCs w:val="24"/>
        </w:rPr>
        <w:t>5.</w:t>
      </w:r>
      <w:r w:rsidRPr="00DE7B77">
        <w:rPr>
          <w:b/>
          <w:sz w:val="24"/>
          <w:szCs w:val="24"/>
        </w:rPr>
        <w:tab/>
        <w:t>FARMAKOLOGISKE EGENSKABER</w:t>
      </w:r>
    </w:p>
    <w:p w:rsidR="0032131D" w:rsidRPr="00DE7B77" w:rsidRDefault="0032131D" w:rsidP="0032131D">
      <w:pPr>
        <w:tabs>
          <w:tab w:val="left" w:pos="851"/>
        </w:tabs>
        <w:rPr>
          <w:sz w:val="24"/>
          <w:szCs w:val="24"/>
        </w:rPr>
      </w:pPr>
    </w:p>
    <w:p w:rsidR="0032131D" w:rsidRDefault="0032131D" w:rsidP="0032131D">
      <w:pPr>
        <w:tabs>
          <w:tab w:val="num" w:pos="851"/>
        </w:tabs>
        <w:ind w:left="851" w:hanging="851"/>
        <w:rPr>
          <w:b/>
          <w:sz w:val="24"/>
          <w:szCs w:val="24"/>
        </w:rPr>
      </w:pPr>
      <w:r w:rsidRPr="00DE7B77">
        <w:rPr>
          <w:b/>
          <w:sz w:val="24"/>
          <w:szCs w:val="24"/>
        </w:rPr>
        <w:t>5.1</w:t>
      </w:r>
      <w:r w:rsidRPr="00DE7B77">
        <w:rPr>
          <w:b/>
          <w:sz w:val="24"/>
          <w:szCs w:val="24"/>
        </w:rPr>
        <w:tab/>
      </w:r>
      <w:proofErr w:type="spellStart"/>
      <w:r w:rsidRPr="00DE7B77">
        <w:rPr>
          <w:b/>
          <w:sz w:val="24"/>
          <w:szCs w:val="24"/>
        </w:rPr>
        <w:t>Farmakodynamiske</w:t>
      </w:r>
      <w:proofErr w:type="spellEnd"/>
      <w:r w:rsidRPr="00DE7B77">
        <w:rPr>
          <w:b/>
          <w:sz w:val="24"/>
          <w:szCs w:val="24"/>
        </w:rPr>
        <w:t xml:space="preserve"> egenskaber</w:t>
      </w:r>
    </w:p>
    <w:p w:rsidR="00DE7B77" w:rsidRPr="00DE7B77" w:rsidRDefault="00DE7B77" w:rsidP="00DE7B77">
      <w:pPr>
        <w:tabs>
          <w:tab w:val="left" w:pos="851"/>
        </w:tabs>
        <w:ind w:left="851" w:hanging="851"/>
        <w:rPr>
          <w:b/>
          <w:sz w:val="24"/>
          <w:szCs w:val="24"/>
        </w:rPr>
      </w:pPr>
      <w:r>
        <w:rPr>
          <w:b/>
          <w:sz w:val="24"/>
          <w:szCs w:val="24"/>
        </w:rPr>
        <w:tab/>
      </w:r>
      <w:proofErr w:type="spellStart"/>
      <w:r w:rsidRPr="00DE7B77">
        <w:rPr>
          <w:sz w:val="24"/>
          <w:szCs w:val="24"/>
        </w:rPr>
        <w:t>Farmakot</w:t>
      </w:r>
      <w:r w:rsidRPr="00DE7B77">
        <w:rPr>
          <w:sz w:val="24"/>
          <w:szCs w:val="24"/>
        </w:rPr>
        <w:t>erapeutisk</w:t>
      </w:r>
      <w:proofErr w:type="spellEnd"/>
      <w:r w:rsidRPr="00DE7B77">
        <w:rPr>
          <w:sz w:val="24"/>
          <w:szCs w:val="24"/>
        </w:rPr>
        <w:t xml:space="preserve"> klassifikation</w:t>
      </w:r>
      <w:r>
        <w:rPr>
          <w:b/>
          <w:sz w:val="24"/>
          <w:szCs w:val="24"/>
        </w:rPr>
        <w:t xml:space="preserve">: </w:t>
      </w:r>
      <w:proofErr w:type="spellStart"/>
      <w:r w:rsidRPr="00DE7B77">
        <w:rPr>
          <w:sz w:val="24"/>
          <w:szCs w:val="24"/>
          <w:lang w:eastAsia="da-DK"/>
        </w:rPr>
        <w:t>Psykoanaleptika</w:t>
      </w:r>
      <w:proofErr w:type="spellEnd"/>
      <w:r w:rsidRPr="00DE7B77">
        <w:rPr>
          <w:sz w:val="24"/>
          <w:szCs w:val="24"/>
          <w:lang w:eastAsia="da-DK"/>
        </w:rPr>
        <w:t xml:space="preserve">, </w:t>
      </w:r>
      <w:r w:rsidRPr="00DE7B77">
        <w:rPr>
          <w:sz w:val="24"/>
          <w:szCs w:val="24"/>
          <w:lang w:val="sv-SE" w:eastAsia="sv-SE"/>
        </w:rPr>
        <w:t xml:space="preserve">andre </w:t>
      </w:r>
      <w:proofErr w:type="spellStart"/>
      <w:r w:rsidRPr="00DE7B77">
        <w:rPr>
          <w:sz w:val="24"/>
          <w:szCs w:val="24"/>
          <w:lang w:val="sv-SE" w:eastAsia="sv-SE"/>
        </w:rPr>
        <w:t>antidemenspræparater</w:t>
      </w:r>
      <w:proofErr w:type="spellEnd"/>
      <w:r>
        <w:rPr>
          <w:sz w:val="24"/>
          <w:szCs w:val="24"/>
          <w:lang w:eastAsia="da-DK"/>
        </w:rPr>
        <w:t xml:space="preserve">, </w:t>
      </w:r>
      <w:r w:rsidRPr="00DE7B77">
        <w:rPr>
          <w:sz w:val="24"/>
          <w:szCs w:val="24"/>
          <w:lang w:eastAsia="da-DK"/>
        </w:rPr>
        <w:t>ATC-kode: N 06 DX 01</w:t>
      </w:r>
    </w:p>
    <w:p w:rsidR="00DE7B77" w:rsidRPr="00DE7B77" w:rsidRDefault="00DE7B77" w:rsidP="0032131D">
      <w:pPr>
        <w:tabs>
          <w:tab w:val="num" w:pos="851"/>
        </w:tabs>
        <w:ind w:left="851" w:hanging="851"/>
        <w:rPr>
          <w:b/>
          <w:sz w:val="24"/>
          <w:szCs w:val="24"/>
        </w:rPr>
      </w:pPr>
    </w:p>
    <w:p w:rsidR="0032131D" w:rsidRPr="00DE7B77" w:rsidRDefault="0032131D" w:rsidP="0032131D">
      <w:pPr>
        <w:autoSpaceDE w:val="0"/>
        <w:autoSpaceDN w:val="0"/>
        <w:adjustRightInd w:val="0"/>
        <w:ind w:left="851"/>
        <w:rPr>
          <w:sz w:val="24"/>
          <w:szCs w:val="24"/>
          <w:u w:val="single"/>
          <w:lang w:eastAsia="da-DK"/>
        </w:rPr>
      </w:pPr>
      <w:r w:rsidRPr="00DE7B77">
        <w:rPr>
          <w:sz w:val="24"/>
          <w:szCs w:val="24"/>
          <w:u w:val="single"/>
          <w:lang w:eastAsia="da-DK"/>
        </w:rPr>
        <w:t>Virkningsmekanisme</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Ved </w:t>
      </w:r>
      <w:proofErr w:type="spellStart"/>
      <w:r w:rsidRPr="00DE7B77">
        <w:rPr>
          <w:sz w:val="24"/>
          <w:szCs w:val="24"/>
          <w:lang w:eastAsia="da-DK"/>
        </w:rPr>
        <w:t>neurodegenerativ</w:t>
      </w:r>
      <w:proofErr w:type="spellEnd"/>
      <w:r w:rsidRPr="00DE7B77">
        <w:rPr>
          <w:sz w:val="24"/>
          <w:szCs w:val="24"/>
          <w:lang w:eastAsia="da-DK"/>
        </w:rPr>
        <w:t xml:space="preserve"> demens er der meget der tyder på, at </w:t>
      </w:r>
      <w:proofErr w:type="spellStart"/>
      <w:r w:rsidRPr="00DE7B77">
        <w:rPr>
          <w:sz w:val="24"/>
          <w:szCs w:val="24"/>
          <w:lang w:eastAsia="da-DK"/>
        </w:rPr>
        <w:t>malfunktion</w:t>
      </w:r>
      <w:proofErr w:type="spellEnd"/>
      <w:r w:rsidRPr="00DE7B77">
        <w:rPr>
          <w:sz w:val="24"/>
          <w:szCs w:val="24"/>
          <w:lang w:eastAsia="da-DK"/>
        </w:rPr>
        <w:t xml:space="preserve"> af den </w:t>
      </w:r>
      <w:proofErr w:type="spellStart"/>
      <w:r w:rsidRPr="00DE7B77">
        <w:rPr>
          <w:sz w:val="24"/>
          <w:szCs w:val="24"/>
          <w:lang w:eastAsia="da-DK"/>
        </w:rPr>
        <w:t>glutamaterge</w:t>
      </w:r>
      <w:proofErr w:type="spellEnd"/>
      <w:r w:rsidRPr="00DE7B77">
        <w:rPr>
          <w:sz w:val="24"/>
          <w:szCs w:val="24"/>
          <w:lang w:eastAsia="da-DK"/>
        </w:rPr>
        <w:t xml:space="preserve"> </w:t>
      </w:r>
      <w:proofErr w:type="spellStart"/>
      <w:r w:rsidRPr="00DE7B77">
        <w:rPr>
          <w:sz w:val="24"/>
          <w:szCs w:val="24"/>
          <w:lang w:eastAsia="da-DK"/>
        </w:rPr>
        <w:t>neurotransmission</w:t>
      </w:r>
      <w:proofErr w:type="spellEnd"/>
      <w:r w:rsidRPr="00DE7B77">
        <w:rPr>
          <w:sz w:val="24"/>
          <w:szCs w:val="24"/>
          <w:lang w:eastAsia="da-DK"/>
        </w:rPr>
        <w:t>, i særdeleshed ved NMDA-receptorer, både medvirker til, at symptomerne kommer til udtryk, og at sygdommen forværres.</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Memantin</w:t>
      </w:r>
      <w:proofErr w:type="spellEnd"/>
      <w:r w:rsidRPr="00DE7B77">
        <w:rPr>
          <w:sz w:val="24"/>
          <w:szCs w:val="24"/>
          <w:lang w:eastAsia="da-DK"/>
        </w:rPr>
        <w:t xml:space="preserve"> er en ikke-</w:t>
      </w:r>
      <w:proofErr w:type="spellStart"/>
      <w:r w:rsidRPr="00DE7B77">
        <w:rPr>
          <w:sz w:val="24"/>
          <w:szCs w:val="24"/>
          <w:lang w:eastAsia="da-DK"/>
        </w:rPr>
        <w:t>kompetitiv</w:t>
      </w:r>
      <w:proofErr w:type="spellEnd"/>
      <w:r w:rsidRPr="00DE7B77">
        <w:rPr>
          <w:sz w:val="24"/>
          <w:szCs w:val="24"/>
          <w:lang w:eastAsia="da-DK"/>
        </w:rPr>
        <w:t xml:space="preserve">, spændingsafhængig NMDA-receptorantagonist med moderat affinitet. Det modulerer virkningen af patologisk forhøjede toniske niveauer af glutamat, der kan medføre </w:t>
      </w:r>
      <w:proofErr w:type="spellStart"/>
      <w:r w:rsidRPr="00DE7B77">
        <w:rPr>
          <w:sz w:val="24"/>
          <w:szCs w:val="24"/>
          <w:lang w:eastAsia="da-DK"/>
        </w:rPr>
        <w:t>neuronal</w:t>
      </w:r>
      <w:proofErr w:type="spellEnd"/>
      <w:r w:rsidRPr="00DE7B77">
        <w:rPr>
          <w:sz w:val="24"/>
          <w:szCs w:val="24"/>
          <w:lang w:eastAsia="da-DK"/>
        </w:rPr>
        <w:t xml:space="preserve"> dysfunktion.</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iCs/>
          <w:sz w:val="24"/>
          <w:szCs w:val="24"/>
          <w:u w:val="single"/>
          <w:lang w:eastAsia="da-DK"/>
        </w:rPr>
      </w:pPr>
      <w:r w:rsidRPr="00DE7B77">
        <w:rPr>
          <w:iCs/>
          <w:sz w:val="24"/>
          <w:szCs w:val="24"/>
          <w:u w:val="single"/>
          <w:lang w:eastAsia="da-DK"/>
        </w:rPr>
        <w:t>Klinisk virkning og sikkerhed</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et </w:t>
      </w:r>
      <w:proofErr w:type="spellStart"/>
      <w:r w:rsidRPr="00DE7B77">
        <w:rPr>
          <w:sz w:val="24"/>
          <w:szCs w:val="24"/>
          <w:lang w:eastAsia="da-DK"/>
        </w:rPr>
        <w:t>pivotal</w:t>
      </w:r>
      <w:proofErr w:type="spellEnd"/>
      <w:r w:rsidRPr="00DE7B77">
        <w:rPr>
          <w:sz w:val="24"/>
          <w:szCs w:val="24"/>
          <w:lang w:eastAsia="da-DK"/>
        </w:rPr>
        <w:t xml:space="preserve"> monoterapistudie med en patientpopulation, der led af moderat til svær Alzheimers sygdom (med en samlet Mini mental </w:t>
      </w:r>
      <w:proofErr w:type="spellStart"/>
      <w:r w:rsidRPr="00DE7B77">
        <w:rPr>
          <w:sz w:val="24"/>
          <w:szCs w:val="24"/>
          <w:lang w:eastAsia="da-DK"/>
        </w:rPr>
        <w:t>state</w:t>
      </w:r>
      <w:proofErr w:type="spellEnd"/>
      <w:r w:rsidRPr="00DE7B77">
        <w:rPr>
          <w:sz w:val="24"/>
          <w:szCs w:val="24"/>
          <w:lang w:eastAsia="da-DK"/>
        </w:rPr>
        <w:t xml:space="preserve"> </w:t>
      </w:r>
      <w:proofErr w:type="spellStart"/>
      <w:r w:rsidRPr="00DE7B77">
        <w:rPr>
          <w:sz w:val="24"/>
          <w:szCs w:val="24"/>
          <w:lang w:eastAsia="da-DK"/>
        </w:rPr>
        <w:t>examination</w:t>
      </w:r>
      <w:proofErr w:type="spellEnd"/>
      <w:r w:rsidRPr="00DE7B77">
        <w:rPr>
          <w:sz w:val="24"/>
          <w:szCs w:val="24"/>
          <w:lang w:eastAsia="da-DK"/>
        </w:rPr>
        <w:t xml:space="preserve"> (MMSE)-score ved baseline på 3 – 14), indgik i alt 252 ambulante patienter. Studiet viste en gavnlig effekt af </w:t>
      </w:r>
      <w:proofErr w:type="spellStart"/>
      <w:r w:rsidRPr="00DE7B77">
        <w:rPr>
          <w:sz w:val="24"/>
          <w:szCs w:val="24"/>
          <w:lang w:eastAsia="da-DK"/>
        </w:rPr>
        <w:t>memantinbehandlingen</w:t>
      </w:r>
      <w:proofErr w:type="spellEnd"/>
      <w:r w:rsidRPr="00DE7B77">
        <w:rPr>
          <w:sz w:val="24"/>
          <w:szCs w:val="24"/>
          <w:lang w:eastAsia="da-DK"/>
        </w:rPr>
        <w:t xml:space="preserve"> sammenlignet med placebo over en behandlingsperiode på 6 måneder (”</w:t>
      </w:r>
      <w:proofErr w:type="spellStart"/>
      <w:r w:rsidRPr="00DE7B77">
        <w:rPr>
          <w:sz w:val="24"/>
          <w:szCs w:val="24"/>
          <w:lang w:eastAsia="da-DK"/>
        </w:rPr>
        <w:t>observed</w:t>
      </w:r>
      <w:proofErr w:type="spellEnd"/>
      <w:r w:rsidRPr="00DE7B77">
        <w:rPr>
          <w:sz w:val="24"/>
          <w:szCs w:val="24"/>
          <w:lang w:eastAsia="da-DK"/>
        </w:rPr>
        <w:t xml:space="preserve"> cases </w:t>
      </w:r>
      <w:proofErr w:type="spellStart"/>
      <w:r w:rsidRPr="00DE7B77">
        <w:rPr>
          <w:sz w:val="24"/>
          <w:szCs w:val="24"/>
          <w:lang w:eastAsia="da-DK"/>
        </w:rPr>
        <w:t>analysis</w:t>
      </w:r>
      <w:proofErr w:type="spellEnd"/>
      <w:r w:rsidRPr="00DE7B77">
        <w:rPr>
          <w:sz w:val="24"/>
          <w:szCs w:val="24"/>
          <w:lang w:eastAsia="da-DK"/>
        </w:rPr>
        <w:t xml:space="preserve">” for </w:t>
      </w:r>
      <w:proofErr w:type="spellStart"/>
      <w:r w:rsidRPr="00DE7B77">
        <w:rPr>
          <w:sz w:val="24"/>
          <w:szCs w:val="24"/>
          <w:lang w:eastAsia="da-DK"/>
        </w:rPr>
        <w:t>Clinician's</w:t>
      </w:r>
      <w:proofErr w:type="spellEnd"/>
      <w:r w:rsidRPr="00DE7B77">
        <w:rPr>
          <w:sz w:val="24"/>
          <w:szCs w:val="24"/>
          <w:lang w:eastAsia="da-DK"/>
        </w:rPr>
        <w:t xml:space="preserve"> interview </w:t>
      </w:r>
      <w:proofErr w:type="spellStart"/>
      <w:r w:rsidRPr="00DE7B77">
        <w:rPr>
          <w:sz w:val="24"/>
          <w:szCs w:val="24"/>
          <w:lang w:eastAsia="da-DK"/>
        </w:rPr>
        <w:t>based</w:t>
      </w:r>
      <w:proofErr w:type="spellEnd"/>
      <w:r w:rsidRPr="00DE7B77">
        <w:rPr>
          <w:sz w:val="24"/>
          <w:szCs w:val="24"/>
          <w:lang w:eastAsia="da-DK"/>
        </w:rPr>
        <w:t xml:space="preserve"> </w:t>
      </w:r>
      <w:proofErr w:type="spellStart"/>
      <w:r w:rsidRPr="00DE7B77">
        <w:rPr>
          <w:sz w:val="24"/>
          <w:szCs w:val="24"/>
          <w:lang w:eastAsia="da-DK"/>
        </w:rPr>
        <w:t>impression</w:t>
      </w:r>
      <w:proofErr w:type="spellEnd"/>
      <w:r w:rsidRPr="00DE7B77">
        <w:rPr>
          <w:sz w:val="24"/>
          <w:szCs w:val="24"/>
          <w:lang w:eastAsia="da-DK"/>
        </w:rPr>
        <w:t xml:space="preserve"> of </w:t>
      </w:r>
      <w:proofErr w:type="spellStart"/>
      <w:r w:rsidRPr="00DE7B77">
        <w:rPr>
          <w:sz w:val="24"/>
          <w:szCs w:val="24"/>
          <w:lang w:eastAsia="da-DK"/>
        </w:rPr>
        <w:t>change</w:t>
      </w:r>
      <w:proofErr w:type="spellEnd"/>
      <w:r w:rsidRPr="00DE7B77">
        <w:rPr>
          <w:sz w:val="24"/>
          <w:szCs w:val="24"/>
          <w:lang w:eastAsia="da-DK"/>
        </w:rPr>
        <w:t xml:space="preserve"> (CIBIC-plus): p=0,025; </w:t>
      </w:r>
      <w:proofErr w:type="spellStart"/>
      <w:r w:rsidRPr="00DE7B77">
        <w:rPr>
          <w:sz w:val="24"/>
          <w:szCs w:val="24"/>
          <w:lang w:eastAsia="da-DK"/>
        </w:rPr>
        <w:t>Alzheimer´s</w:t>
      </w:r>
      <w:proofErr w:type="spellEnd"/>
      <w:r w:rsidRPr="00DE7B77">
        <w:rPr>
          <w:sz w:val="24"/>
          <w:szCs w:val="24"/>
          <w:lang w:eastAsia="da-DK"/>
        </w:rPr>
        <w:t xml:space="preserve"> </w:t>
      </w:r>
      <w:proofErr w:type="spellStart"/>
      <w:r w:rsidRPr="00DE7B77">
        <w:rPr>
          <w:sz w:val="24"/>
          <w:szCs w:val="24"/>
          <w:lang w:eastAsia="da-DK"/>
        </w:rPr>
        <w:t>disease</w:t>
      </w:r>
      <w:proofErr w:type="spellEnd"/>
      <w:r w:rsidRPr="00DE7B77">
        <w:rPr>
          <w:sz w:val="24"/>
          <w:szCs w:val="24"/>
          <w:lang w:eastAsia="da-DK"/>
        </w:rPr>
        <w:t xml:space="preserve"> </w:t>
      </w:r>
      <w:proofErr w:type="spellStart"/>
      <w:r w:rsidRPr="00DE7B77">
        <w:rPr>
          <w:sz w:val="24"/>
          <w:szCs w:val="24"/>
          <w:lang w:eastAsia="da-DK"/>
        </w:rPr>
        <w:t>cooperative</w:t>
      </w:r>
      <w:proofErr w:type="spellEnd"/>
      <w:r w:rsidRPr="00DE7B77">
        <w:rPr>
          <w:sz w:val="24"/>
          <w:szCs w:val="24"/>
          <w:lang w:eastAsia="da-DK"/>
        </w:rPr>
        <w:t xml:space="preserve"> </w:t>
      </w:r>
      <w:proofErr w:type="spellStart"/>
      <w:r w:rsidRPr="00DE7B77">
        <w:rPr>
          <w:sz w:val="24"/>
          <w:szCs w:val="24"/>
          <w:lang w:eastAsia="da-DK"/>
        </w:rPr>
        <w:t>study</w:t>
      </w:r>
      <w:proofErr w:type="spellEnd"/>
      <w:r w:rsidRPr="00DE7B77">
        <w:rPr>
          <w:sz w:val="24"/>
          <w:szCs w:val="24"/>
          <w:lang w:eastAsia="da-DK"/>
        </w:rPr>
        <w:t xml:space="preserve"> – </w:t>
      </w:r>
      <w:proofErr w:type="spellStart"/>
      <w:r w:rsidRPr="00DE7B77">
        <w:rPr>
          <w:sz w:val="24"/>
          <w:szCs w:val="24"/>
          <w:lang w:eastAsia="da-DK"/>
        </w:rPr>
        <w:t>activities</w:t>
      </w:r>
      <w:proofErr w:type="spellEnd"/>
      <w:r w:rsidRPr="00DE7B77">
        <w:rPr>
          <w:sz w:val="24"/>
          <w:szCs w:val="24"/>
          <w:lang w:eastAsia="da-DK"/>
        </w:rPr>
        <w:t xml:space="preserve"> of </w:t>
      </w:r>
      <w:proofErr w:type="spellStart"/>
      <w:r w:rsidRPr="00DE7B77">
        <w:rPr>
          <w:sz w:val="24"/>
          <w:szCs w:val="24"/>
          <w:lang w:eastAsia="da-DK"/>
        </w:rPr>
        <w:t>daily</w:t>
      </w:r>
      <w:proofErr w:type="spellEnd"/>
      <w:r w:rsidRPr="00DE7B77">
        <w:rPr>
          <w:sz w:val="24"/>
          <w:szCs w:val="24"/>
          <w:lang w:eastAsia="da-DK"/>
        </w:rPr>
        <w:t xml:space="preserve"> </w:t>
      </w:r>
      <w:proofErr w:type="spellStart"/>
      <w:r w:rsidRPr="00DE7B77">
        <w:rPr>
          <w:sz w:val="24"/>
          <w:szCs w:val="24"/>
          <w:lang w:eastAsia="da-DK"/>
        </w:rPr>
        <w:t>living</w:t>
      </w:r>
      <w:proofErr w:type="spellEnd"/>
      <w:r w:rsidRPr="00DE7B77">
        <w:rPr>
          <w:sz w:val="24"/>
          <w:szCs w:val="24"/>
          <w:lang w:eastAsia="da-DK"/>
        </w:rPr>
        <w:t xml:space="preserve"> (ADCS-</w:t>
      </w:r>
      <w:proofErr w:type="spellStart"/>
      <w:r w:rsidRPr="00DE7B77">
        <w:rPr>
          <w:sz w:val="24"/>
          <w:szCs w:val="24"/>
          <w:lang w:eastAsia="da-DK"/>
        </w:rPr>
        <w:t>ADLsev</w:t>
      </w:r>
      <w:proofErr w:type="spellEnd"/>
      <w:r w:rsidRPr="00DE7B77">
        <w:rPr>
          <w:sz w:val="24"/>
          <w:szCs w:val="24"/>
          <w:lang w:eastAsia="da-DK"/>
        </w:rPr>
        <w:t xml:space="preserve">): p=0,003; </w:t>
      </w:r>
      <w:proofErr w:type="spellStart"/>
      <w:r w:rsidRPr="00DE7B77">
        <w:rPr>
          <w:sz w:val="24"/>
          <w:szCs w:val="24"/>
          <w:lang w:eastAsia="da-DK"/>
        </w:rPr>
        <w:t>severe</w:t>
      </w:r>
      <w:proofErr w:type="spellEnd"/>
      <w:r w:rsidRPr="00DE7B77">
        <w:rPr>
          <w:sz w:val="24"/>
          <w:szCs w:val="24"/>
          <w:lang w:eastAsia="da-DK"/>
        </w:rPr>
        <w:t xml:space="preserve"> </w:t>
      </w:r>
      <w:proofErr w:type="spellStart"/>
      <w:r w:rsidRPr="00DE7B77">
        <w:rPr>
          <w:sz w:val="24"/>
          <w:szCs w:val="24"/>
          <w:lang w:eastAsia="da-DK"/>
        </w:rPr>
        <w:t>impairment</w:t>
      </w:r>
      <w:proofErr w:type="spellEnd"/>
      <w:r w:rsidRPr="00DE7B77">
        <w:rPr>
          <w:sz w:val="24"/>
          <w:szCs w:val="24"/>
          <w:lang w:eastAsia="da-DK"/>
        </w:rPr>
        <w:t xml:space="preserve"> </w:t>
      </w:r>
      <w:proofErr w:type="spellStart"/>
      <w:r w:rsidRPr="00DE7B77">
        <w:rPr>
          <w:sz w:val="24"/>
          <w:szCs w:val="24"/>
          <w:lang w:eastAsia="da-DK"/>
        </w:rPr>
        <w:t>battery</w:t>
      </w:r>
      <w:proofErr w:type="spellEnd"/>
      <w:r w:rsidRPr="00DE7B77">
        <w:rPr>
          <w:sz w:val="24"/>
          <w:szCs w:val="24"/>
          <w:lang w:eastAsia="da-DK"/>
        </w:rPr>
        <w:t xml:space="preserve"> (SIB): p=0,002).</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et </w:t>
      </w:r>
      <w:proofErr w:type="spellStart"/>
      <w:r w:rsidRPr="00DE7B77">
        <w:rPr>
          <w:sz w:val="24"/>
          <w:szCs w:val="24"/>
          <w:lang w:eastAsia="da-DK"/>
        </w:rPr>
        <w:t>pivotal</w:t>
      </w:r>
      <w:proofErr w:type="spellEnd"/>
      <w:r w:rsidRPr="00DE7B77">
        <w:rPr>
          <w:sz w:val="24"/>
          <w:szCs w:val="24"/>
          <w:lang w:eastAsia="da-DK"/>
        </w:rPr>
        <w:t xml:space="preserve"> monoterapistudie med </w:t>
      </w:r>
      <w:proofErr w:type="spellStart"/>
      <w:r w:rsidRPr="00DE7B77">
        <w:rPr>
          <w:sz w:val="24"/>
          <w:szCs w:val="24"/>
          <w:lang w:eastAsia="da-DK"/>
        </w:rPr>
        <w:t>memantin</w:t>
      </w:r>
      <w:proofErr w:type="spellEnd"/>
      <w:r w:rsidRPr="00DE7B77">
        <w:rPr>
          <w:sz w:val="24"/>
          <w:szCs w:val="24"/>
          <w:lang w:eastAsia="da-DK"/>
        </w:rPr>
        <w:t xml:space="preserve"> til behandling af mild til moderat Alzheimers sygdom (med en samlet MMSE-score ved baseline på 10 – 22) indgik 403 patienter. Hos patienterne behandlet med </w:t>
      </w:r>
      <w:proofErr w:type="spellStart"/>
      <w:r w:rsidRPr="00DE7B77">
        <w:rPr>
          <w:sz w:val="24"/>
          <w:szCs w:val="24"/>
          <w:lang w:eastAsia="da-DK"/>
        </w:rPr>
        <w:t>memantin</w:t>
      </w:r>
      <w:proofErr w:type="spellEnd"/>
      <w:r w:rsidRPr="00DE7B77">
        <w:rPr>
          <w:sz w:val="24"/>
          <w:szCs w:val="24"/>
          <w:lang w:eastAsia="da-DK"/>
        </w:rPr>
        <w:t xml:space="preserve"> sås en statistisk signifikant bedre virkning end hos patienterne behandlet med placebo på de primære effektmål: </w:t>
      </w:r>
      <w:proofErr w:type="spellStart"/>
      <w:r w:rsidRPr="00DE7B77">
        <w:rPr>
          <w:iCs/>
          <w:sz w:val="24"/>
          <w:szCs w:val="24"/>
          <w:lang w:eastAsia="da-DK"/>
        </w:rPr>
        <w:t>Alzheimer´s</w:t>
      </w:r>
      <w:proofErr w:type="spellEnd"/>
      <w:r w:rsidRPr="00DE7B77">
        <w:rPr>
          <w:iCs/>
          <w:sz w:val="24"/>
          <w:szCs w:val="24"/>
          <w:lang w:eastAsia="da-DK"/>
        </w:rPr>
        <w:t xml:space="preserve"> </w:t>
      </w:r>
      <w:proofErr w:type="spellStart"/>
      <w:r w:rsidRPr="00DE7B77">
        <w:rPr>
          <w:iCs/>
          <w:sz w:val="24"/>
          <w:szCs w:val="24"/>
          <w:lang w:eastAsia="da-DK"/>
        </w:rPr>
        <w:t>disease</w:t>
      </w:r>
      <w:proofErr w:type="spellEnd"/>
      <w:r w:rsidRPr="00DE7B77">
        <w:rPr>
          <w:iCs/>
          <w:sz w:val="24"/>
          <w:szCs w:val="24"/>
          <w:lang w:eastAsia="da-DK"/>
        </w:rPr>
        <w:t xml:space="preserve"> </w:t>
      </w:r>
      <w:proofErr w:type="spellStart"/>
      <w:r w:rsidRPr="00DE7B77">
        <w:rPr>
          <w:iCs/>
          <w:sz w:val="24"/>
          <w:szCs w:val="24"/>
          <w:lang w:eastAsia="da-DK"/>
        </w:rPr>
        <w:t>assessment</w:t>
      </w:r>
      <w:proofErr w:type="spellEnd"/>
      <w:r w:rsidRPr="00DE7B77">
        <w:rPr>
          <w:iCs/>
          <w:sz w:val="24"/>
          <w:szCs w:val="24"/>
          <w:lang w:eastAsia="da-DK"/>
        </w:rPr>
        <w:t xml:space="preserve"> </w:t>
      </w:r>
      <w:proofErr w:type="spellStart"/>
      <w:r w:rsidRPr="00DE7B77">
        <w:rPr>
          <w:iCs/>
          <w:sz w:val="24"/>
          <w:szCs w:val="24"/>
          <w:lang w:eastAsia="da-DK"/>
        </w:rPr>
        <w:t>scale</w:t>
      </w:r>
      <w:proofErr w:type="spellEnd"/>
      <w:r w:rsidRPr="00DE7B77">
        <w:rPr>
          <w:i/>
          <w:iCs/>
          <w:sz w:val="24"/>
          <w:szCs w:val="24"/>
          <w:lang w:eastAsia="da-DK"/>
        </w:rPr>
        <w:t xml:space="preserve"> (</w:t>
      </w:r>
      <w:r w:rsidRPr="00DE7B77">
        <w:rPr>
          <w:sz w:val="24"/>
          <w:szCs w:val="24"/>
          <w:lang w:eastAsia="da-DK"/>
        </w:rPr>
        <w:t>ADAS-</w:t>
      </w:r>
      <w:proofErr w:type="spellStart"/>
      <w:r w:rsidRPr="00DE7B77">
        <w:rPr>
          <w:sz w:val="24"/>
          <w:szCs w:val="24"/>
          <w:lang w:eastAsia="da-DK"/>
        </w:rPr>
        <w:t>cog</w:t>
      </w:r>
      <w:proofErr w:type="spellEnd"/>
      <w:r w:rsidRPr="00DE7B77">
        <w:rPr>
          <w:sz w:val="24"/>
          <w:szCs w:val="24"/>
          <w:lang w:eastAsia="da-DK"/>
        </w:rPr>
        <w:t>) (p=0,003) og CIBIC-plus (p=0,004) i uge 24 (</w:t>
      </w:r>
      <w:r w:rsidRPr="00DE7B77">
        <w:rPr>
          <w:iCs/>
          <w:sz w:val="24"/>
          <w:szCs w:val="24"/>
          <w:lang w:eastAsia="da-DK"/>
        </w:rPr>
        <w:t xml:space="preserve">Last observation </w:t>
      </w:r>
      <w:proofErr w:type="spellStart"/>
      <w:r w:rsidRPr="00DE7B77">
        <w:rPr>
          <w:iCs/>
          <w:sz w:val="24"/>
          <w:szCs w:val="24"/>
          <w:lang w:eastAsia="da-DK"/>
        </w:rPr>
        <w:t>carried</w:t>
      </w:r>
      <w:proofErr w:type="spellEnd"/>
      <w:r w:rsidRPr="00DE7B77">
        <w:rPr>
          <w:iCs/>
          <w:sz w:val="24"/>
          <w:szCs w:val="24"/>
          <w:lang w:eastAsia="da-DK"/>
        </w:rPr>
        <w:t xml:space="preserve"> forward (</w:t>
      </w:r>
      <w:r w:rsidRPr="00DE7B77">
        <w:rPr>
          <w:sz w:val="24"/>
          <w:szCs w:val="24"/>
          <w:lang w:eastAsia="da-DK"/>
        </w:rPr>
        <w:t xml:space="preserve">LOCF)). I et andet monoterapistudie med mild til moderat Alzheimers sygdom blev i alt 470 patienter randomiseret (samlet MMSE-score ved baseline 11-23). I den </w:t>
      </w:r>
      <w:proofErr w:type="spellStart"/>
      <w:r w:rsidRPr="00DE7B77">
        <w:rPr>
          <w:sz w:val="24"/>
          <w:szCs w:val="24"/>
          <w:lang w:eastAsia="da-DK"/>
        </w:rPr>
        <w:t>prospektivt</w:t>
      </w:r>
      <w:proofErr w:type="spellEnd"/>
      <w:r w:rsidRPr="00DE7B77">
        <w:rPr>
          <w:sz w:val="24"/>
          <w:szCs w:val="24"/>
          <w:lang w:eastAsia="da-DK"/>
        </w:rPr>
        <w:t xml:space="preserve"> definerede primære analyse opnåedes der ikke statistisk signifikans på det primære effektmål i uge 24.</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lastRenderedPageBreak/>
        <w:t xml:space="preserve">En metaanalyse af patienter med moderat til svær Alzheimers sygdom (med en samlet MMSE-score &lt; 20) fra de seks fase III, placebokontrollerede studier af 6 måneders varighed (inkl. monoterapistudier og studier med patienter behandlet med fastdosis </w:t>
      </w:r>
      <w:proofErr w:type="spellStart"/>
      <w:r w:rsidRPr="00DE7B77">
        <w:rPr>
          <w:sz w:val="24"/>
          <w:szCs w:val="24"/>
          <w:lang w:eastAsia="da-DK"/>
        </w:rPr>
        <w:t>acetylkolinesterasehæmmere</w:t>
      </w:r>
      <w:proofErr w:type="spellEnd"/>
      <w:r w:rsidRPr="00DE7B77">
        <w:rPr>
          <w:sz w:val="24"/>
          <w:szCs w:val="24"/>
          <w:lang w:eastAsia="da-DK"/>
        </w:rPr>
        <w:t xml:space="preserve">) viste, at </w:t>
      </w:r>
      <w:proofErr w:type="spellStart"/>
      <w:r w:rsidRPr="00DE7B77">
        <w:rPr>
          <w:sz w:val="24"/>
          <w:szCs w:val="24"/>
          <w:lang w:eastAsia="da-DK"/>
        </w:rPr>
        <w:t>memantin</w:t>
      </w:r>
      <w:proofErr w:type="spellEnd"/>
      <w:r w:rsidRPr="00DE7B77">
        <w:rPr>
          <w:sz w:val="24"/>
          <w:szCs w:val="24"/>
          <w:lang w:eastAsia="da-DK"/>
        </w:rPr>
        <w:t xml:space="preserve"> havde en statistisk signifikant virkning på de kognitive, globale og funktionelle domæner. Når patienterne havde fået konstateret en samtidig forværring i alle tre domæner, viste resultaterne en statistisk signifikant virkning af </w:t>
      </w:r>
      <w:proofErr w:type="spellStart"/>
      <w:r w:rsidRPr="00DE7B77">
        <w:rPr>
          <w:sz w:val="24"/>
          <w:szCs w:val="24"/>
          <w:lang w:eastAsia="da-DK"/>
        </w:rPr>
        <w:t>memantin</w:t>
      </w:r>
      <w:proofErr w:type="spellEnd"/>
      <w:r w:rsidRPr="00DE7B77">
        <w:rPr>
          <w:sz w:val="24"/>
          <w:szCs w:val="24"/>
          <w:lang w:eastAsia="da-DK"/>
        </w:rPr>
        <w:t xml:space="preserve"> hvad angår forebyggelse af forværring, eftersom dobbelt så mange placebobehandlede patienter som </w:t>
      </w:r>
      <w:proofErr w:type="spellStart"/>
      <w:r w:rsidRPr="00DE7B77">
        <w:rPr>
          <w:sz w:val="24"/>
          <w:szCs w:val="24"/>
          <w:lang w:eastAsia="da-DK"/>
        </w:rPr>
        <w:t>memantinbehandlede</w:t>
      </w:r>
      <w:proofErr w:type="spellEnd"/>
      <w:r w:rsidRPr="00DE7B77">
        <w:rPr>
          <w:sz w:val="24"/>
          <w:szCs w:val="24"/>
          <w:lang w:eastAsia="da-DK"/>
        </w:rPr>
        <w:t xml:space="preserve"> patienter frembød forværring i alle tre domæner (21 % vs. 11 %, p&lt;0,0001).</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5.2</w:t>
      </w:r>
      <w:r w:rsidRPr="00DE7B77">
        <w:rPr>
          <w:b/>
          <w:sz w:val="24"/>
          <w:szCs w:val="24"/>
        </w:rPr>
        <w:tab/>
      </w:r>
      <w:proofErr w:type="spellStart"/>
      <w:r w:rsidRPr="00DE7B77">
        <w:rPr>
          <w:b/>
          <w:sz w:val="24"/>
          <w:szCs w:val="24"/>
        </w:rPr>
        <w:t>Farmakokinetiske</w:t>
      </w:r>
      <w:proofErr w:type="spellEnd"/>
      <w:r w:rsidRPr="00DE7B77">
        <w:rPr>
          <w:b/>
          <w:sz w:val="24"/>
          <w:szCs w:val="24"/>
        </w:rPr>
        <w:t xml:space="preserve"> egenskaber</w:t>
      </w:r>
    </w:p>
    <w:p w:rsidR="0032131D" w:rsidRPr="00DE7B77" w:rsidRDefault="0032131D" w:rsidP="0032131D">
      <w:pPr>
        <w:autoSpaceDE w:val="0"/>
        <w:autoSpaceDN w:val="0"/>
        <w:adjustRightInd w:val="0"/>
        <w:ind w:left="851"/>
        <w:rPr>
          <w:iCs/>
          <w:sz w:val="24"/>
          <w:szCs w:val="24"/>
          <w:u w:val="single"/>
          <w:lang w:eastAsia="da-DK"/>
        </w:rPr>
      </w:pPr>
      <w:r w:rsidRPr="00DE7B77">
        <w:rPr>
          <w:iCs/>
          <w:sz w:val="24"/>
          <w:szCs w:val="24"/>
          <w:u w:val="single"/>
          <w:lang w:eastAsia="da-DK"/>
        </w:rPr>
        <w:t>Absorption</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Memantin</w:t>
      </w:r>
      <w:proofErr w:type="spellEnd"/>
      <w:r w:rsidRPr="00DE7B77">
        <w:rPr>
          <w:sz w:val="24"/>
          <w:szCs w:val="24"/>
          <w:lang w:eastAsia="da-DK"/>
        </w:rPr>
        <w:t xml:space="preserve"> har en absolut biotilgængelighed på ca. 100 %. </w:t>
      </w:r>
      <w:proofErr w:type="spellStart"/>
      <w:r w:rsidRPr="00DE7B77">
        <w:rPr>
          <w:sz w:val="24"/>
          <w:szCs w:val="24"/>
          <w:lang w:eastAsia="da-DK"/>
        </w:rPr>
        <w:t>T</w:t>
      </w:r>
      <w:r w:rsidRPr="00DE7B77">
        <w:rPr>
          <w:sz w:val="24"/>
          <w:szCs w:val="24"/>
          <w:vertAlign w:val="subscript"/>
          <w:lang w:eastAsia="da-DK"/>
        </w:rPr>
        <w:t>max</w:t>
      </w:r>
      <w:proofErr w:type="spellEnd"/>
      <w:r w:rsidRPr="00DE7B77">
        <w:rPr>
          <w:sz w:val="24"/>
          <w:szCs w:val="24"/>
          <w:lang w:eastAsia="da-DK"/>
        </w:rPr>
        <w:t xml:space="preserve"> er mellem 3 og 8 timer. Der er ikke noget der tyder på, at føde påvirker absorptionen af </w:t>
      </w:r>
      <w:proofErr w:type="spellStart"/>
      <w:r w:rsidRPr="00DE7B77">
        <w:rPr>
          <w:sz w:val="24"/>
          <w:szCs w:val="24"/>
          <w:lang w:eastAsia="da-DK"/>
        </w:rPr>
        <w:t>memantin</w:t>
      </w:r>
      <w:proofErr w:type="spellEnd"/>
      <w:r w:rsidRPr="00DE7B77">
        <w:rPr>
          <w:sz w:val="24"/>
          <w:szCs w:val="24"/>
          <w:lang w:eastAsia="da-DK"/>
        </w:rPr>
        <w:t>.</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iCs/>
          <w:sz w:val="24"/>
          <w:szCs w:val="24"/>
          <w:u w:val="single"/>
          <w:lang w:eastAsia="da-DK"/>
        </w:rPr>
      </w:pPr>
      <w:r w:rsidRPr="00DE7B77">
        <w:rPr>
          <w:iCs/>
          <w:sz w:val="24"/>
          <w:szCs w:val="24"/>
          <w:u w:val="single"/>
          <w:lang w:eastAsia="da-DK"/>
        </w:rPr>
        <w:t>Fordeling</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Daglige doser på 20 mg giver </w:t>
      </w:r>
      <w:proofErr w:type="spellStart"/>
      <w:r w:rsidRPr="00DE7B77">
        <w:rPr>
          <w:sz w:val="24"/>
          <w:szCs w:val="24"/>
          <w:lang w:eastAsia="da-DK"/>
        </w:rPr>
        <w:t>steady</w:t>
      </w:r>
      <w:proofErr w:type="spellEnd"/>
      <w:r w:rsidRPr="00DE7B77">
        <w:rPr>
          <w:sz w:val="24"/>
          <w:szCs w:val="24"/>
          <w:lang w:eastAsia="da-DK"/>
        </w:rPr>
        <w:t>-</w:t>
      </w:r>
      <w:proofErr w:type="spellStart"/>
      <w:r w:rsidRPr="00DE7B77">
        <w:rPr>
          <w:sz w:val="24"/>
          <w:szCs w:val="24"/>
          <w:lang w:eastAsia="da-DK"/>
        </w:rPr>
        <w:t>state</w:t>
      </w:r>
      <w:proofErr w:type="spellEnd"/>
      <w:r w:rsidRPr="00DE7B77">
        <w:rPr>
          <w:sz w:val="24"/>
          <w:szCs w:val="24"/>
          <w:lang w:eastAsia="da-DK"/>
        </w:rPr>
        <w:t xml:space="preserve">-plasmakoncentrationer for </w:t>
      </w:r>
      <w:proofErr w:type="spellStart"/>
      <w:r w:rsidRPr="00DE7B77">
        <w:rPr>
          <w:sz w:val="24"/>
          <w:szCs w:val="24"/>
          <w:lang w:eastAsia="da-DK"/>
        </w:rPr>
        <w:t>memantin</w:t>
      </w:r>
      <w:proofErr w:type="spellEnd"/>
      <w:r w:rsidRPr="00DE7B77">
        <w:rPr>
          <w:sz w:val="24"/>
          <w:szCs w:val="24"/>
          <w:lang w:eastAsia="da-DK"/>
        </w:rPr>
        <w:t xml:space="preserve"> på mellem 70 og 150 </w:t>
      </w:r>
      <w:proofErr w:type="spellStart"/>
      <w:r w:rsidRPr="00DE7B77">
        <w:rPr>
          <w:sz w:val="24"/>
          <w:szCs w:val="24"/>
          <w:lang w:eastAsia="da-DK"/>
        </w:rPr>
        <w:t>ng</w:t>
      </w:r>
      <w:proofErr w:type="spellEnd"/>
      <w:r w:rsidRPr="00DE7B77">
        <w:rPr>
          <w:sz w:val="24"/>
          <w:szCs w:val="24"/>
          <w:lang w:eastAsia="da-DK"/>
        </w:rPr>
        <w:t xml:space="preserve">/ml (0,5 - 1 </w:t>
      </w:r>
      <w:proofErr w:type="spellStart"/>
      <w:r w:rsidRPr="00DE7B77">
        <w:rPr>
          <w:sz w:val="24"/>
          <w:szCs w:val="24"/>
          <w:lang w:eastAsia="da-DK"/>
        </w:rPr>
        <w:t>μmol</w:t>
      </w:r>
      <w:proofErr w:type="spellEnd"/>
      <w:r w:rsidRPr="00DE7B77">
        <w:rPr>
          <w:sz w:val="24"/>
          <w:szCs w:val="24"/>
          <w:lang w:eastAsia="da-DK"/>
        </w:rPr>
        <w:t xml:space="preserve">) med store </w:t>
      </w:r>
      <w:proofErr w:type="spellStart"/>
      <w:r w:rsidRPr="00DE7B77">
        <w:rPr>
          <w:sz w:val="24"/>
          <w:szCs w:val="24"/>
          <w:lang w:eastAsia="da-DK"/>
        </w:rPr>
        <w:t>interindividuelle</w:t>
      </w:r>
      <w:proofErr w:type="spellEnd"/>
      <w:r w:rsidRPr="00DE7B77">
        <w:rPr>
          <w:sz w:val="24"/>
          <w:szCs w:val="24"/>
          <w:lang w:eastAsia="da-DK"/>
        </w:rPr>
        <w:t xml:space="preserve"> variationer. Ved indgivelse af daglige doser på 5 til 30 mg udregnedes en gennemsnitlig (cerebrospinalvæske) CSF/serumværdi på 0,52. Distributionsvolumen er ca. 10 l/kg. Omkring 45 % af </w:t>
      </w:r>
      <w:proofErr w:type="spellStart"/>
      <w:r w:rsidRPr="00DE7B77">
        <w:rPr>
          <w:sz w:val="24"/>
          <w:szCs w:val="24"/>
          <w:lang w:eastAsia="da-DK"/>
        </w:rPr>
        <w:t>memantin</w:t>
      </w:r>
      <w:proofErr w:type="spellEnd"/>
      <w:r w:rsidRPr="00DE7B77">
        <w:rPr>
          <w:sz w:val="24"/>
          <w:szCs w:val="24"/>
          <w:lang w:eastAsia="da-DK"/>
        </w:rPr>
        <w:t xml:space="preserve"> bindes til plasmaproteiner.</w:t>
      </w:r>
    </w:p>
    <w:p w:rsidR="0032131D" w:rsidRPr="00DE7B77" w:rsidRDefault="0032131D" w:rsidP="0032131D">
      <w:pPr>
        <w:autoSpaceDE w:val="0"/>
        <w:autoSpaceDN w:val="0"/>
        <w:adjustRightInd w:val="0"/>
        <w:ind w:left="851"/>
        <w:rPr>
          <w:i/>
          <w:iCs/>
          <w:sz w:val="24"/>
          <w:szCs w:val="24"/>
          <w:lang w:eastAsia="da-DK"/>
        </w:rPr>
      </w:pPr>
    </w:p>
    <w:p w:rsidR="0032131D" w:rsidRPr="00DE7B77" w:rsidRDefault="0032131D" w:rsidP="0032131D">
      <w:pPr>
        <w:autoSpaceDE w:val="0"/>
        <w:autoSpaceDN w:val="0"/>
        <w:adjustRightInd w:val="0"/>
        <w:ind w:left="851"/>
        <w:rPr>
          <w:iCs/>
          <w:sz w:val="24"/>
          <w:szCs w:val="24"/>
          <w:u w:val="single"/>
          <w:lang w:eastAsia="da-DK"/>
        </w:rPr>
      </w:pPr>
      <w:r w:rsidRPr="00DE7B77">
        <w:rPr>
          <w:iCs/>
          <w:sz w:val="24"/>
          <w:szCs w:val="24"/>
          <w:u w:val="single"/>
          <w:lang w:eastAsia="da-DK"/>
        </w:rPr>
        <w:t>Biotransformation</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Hos mennesket er ca. 80 % af det cirkulerende </w:t>
      </w:r>
      <w:proofErr w:type="spellStart"/>
      <w:r w:rsidRPr="00DE7B77">
        <w:rPr>
          <w:sz w:val="24"/>
          <w:szCs w:val="24"/>
          <w:lang w:eastAsia="da-DK"/>
        </w:rPr>
        <w:t>memantin</w:t>
      </w:r>
      <w:proofErr w:type="spellEnd"/>
      <w:r w:rsidRPr="00DE7B77">
        <w:rPr>
          <w:sz w:val="24"/>
          <w:szCs w:val="24"/>
          <w:lang w:eastAsia="da-DK"/>
        </w:rPr>
        <w:t xml:space="preserve">-relaterede materiale til stede som modersubstans. Humane hovedmetabolitter er N-3,5-dimethyl-gludantan, den </w:t>
      </w:r>
      <w:proofErr w:type="spellStart"/>
      <w:r w:rsidRPr="00DE7B77">
        <w:rPr>
          <w:sz w:val="24"/>
          <w:szCs w:val="24"/>
          <w:lang w:eastAsia="da-DK"/>
        </w:rPr>
        <w:t>isomeriske</w:t>
      </w:r>
      <w:proofErr w:type="spellEnd"/>
      <w:r w:rsidRPr="00DE7B77">
        <w:rPr>
          <w:sz w:val="24"/>
          <w:szCs w:val="24"/>
          <w:lang w:eastAsia="da-DK"/>
        </w:rPr>
        <w:t xml:space="preserve"> blanding af 4- og 6-hydroxy-memantin og 1-nitroso-3,5-dimethyl-adamantan. Ingen af disse metabolitter udviser NMDA-antagonistisk aktivitet. </w:t>
      </w:r>
      <w:r w:rsidRPr="00DE7B77">
        <w:rPr>
          <w:i/>
          <w:iCs/>
          <w:sz w:val="24"/>
          <w:szCs w:val="24"/>
          <w:lang w:eastAsia="da-DK"/>
        </w:rPr>
        <w:t xml:space="preserve">In </w:t>
      </w:r>
      <w:proofErr w:type="spellStart"/>
      <w:r w:rsidRPr="00DE7B77">
        <w:rPr>
          <w:i/>
          <w:iCs/>
          <w:sz w:val="24"/>
          <w:szCs w:val="24"/>
          <w:lang w:eastAsia="da-DK"/>
        </w:rPr>
        <w:t>vitro</w:t>
      </w:r>
      <w:proofErr w:type="spellEnd"/>
      <w:r w:rsidRPr="00DE7B77">
        <w:rPr>
          <w:i/>
          <w:iCs/>
          <w:sz w:val="24"/>
          <w:szCs w:val="24"/>
          <w:lang w:eastAsia="da-DK"/>
        </w:rPr>
        <w:t xml:space="preserve"> </w:t>
      </w:r>
      <w:r w:rsidRPr="00DE7B77">
        <w:rPr>
          <w:sz w:val="24"/>
          <w:szCs w:val="24"/>
          <w:lang w:eastAsia="da-DK"/>
        </w:rPr>
        <w:t xml:space="preserve">er der ikke fundet nogen </w:t>
      </w:r>
      <w:proofErr w:type="spellStart"/>
      <w:r w:rsidRPr="00DE7B77">
        <w:rPr>
          <w:sz w:val="24"/>
          <w:szCs w:val="24"/>
          <w:lang w:eastAsia="da-DK"/>
        </w:rPr>
        <w:t>cytokrom</w:t>
      </w:r>
      <w:proofErr w:type="spellEnd"/>
      <w:r w:rsidRPr="00DE7B77">
        <w:rPr>
          <w:sz w:val="24"/>
          <w:szCs w:val="24"/>
          <w:lang w:eastAsia="da-DK"/>
        </w:rPr>
        <w:t xml:space="preserve"> P450-metabolisme.</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et studie med oral indgivelse af </w:t>
      </w:r>
      <w:r w:rsidRPr="00DE7B77">
        <w:rPr>
          <w:sz w:val="24"/>
          <w:szCs w:val="24"/>
          <w:vertAlign w:val="superscript"/>
          <w:lang w:eastAsia="da-DK"/>
        </w:rPr>
        <w:t>14</w:t>
      </w:r>
      <w:r w:rsidRPr="00DE7B77">
        <w:rPr>
          <w:sz w:val="24"/>
          <w:szCs w:val="24"/>
          <w:lang w:eastAsia="da-DK"/>
        </w:rPr>
        <w:t>C-memantin blev gennemsnitligt 84 % af dosis udskilt inden for 20 dage, mere end 99 % blev udskilt via nyrerne.</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iCs/>
          <w:sz w:val="24"/>
          <w:szCs w:val="24"/>
          <w:u w:val="single"/>
          <w:lang w:eastAsia="da-DK"/>
        </w:rPr>
      </w:pPr>
      <w:r w:rsidRPr="00DE7B77">
        <w:rPr>
          <w:iCs/>
          <w:sz w:val="24"/>
          <w:szCs w:val="24"/>
          <w:u w:val="single"/>
          <w:lang w:eastAsia="da-DK"/>
        </w:rPr>
        <w:t>Elimination</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Memantin</w:t>
      </w:r>
      <w:proofErr w:type="spellEnd"/>
      <w:r w:rsidRPr="00DE7B77">
        <w:rPr>
          <w:sz w:val="24"/>
          <w:szCs w:val="24"/>
          <w:lang w:eastAsia="da-DK"/>
        </w:rPr>
        <w:t xml:space="preserve"> har en monoeksponentiel elimination med en terminal t</w:t>
      </w:r>
      <w:r w:rsidRPr="00DE7B77">
        <w:rPr>
          <w:sz w:val="24"/>
          <w:szCs w:val="24"/>
          <w:vertAlign w:val="subscript"/>
          <w:lang w:eastAsia="da-DK"/>
        </w:rPr>
        <w:t>½</w:t>
      </w:r>
      <w:r w:rsidRPr="00DE7B77">
        <w:rPr>
          <w:sz w:val="24"/>
          <w:szCs w:val="24"/>
          <w:lang w:eastAsia="da-DK"/>
        </w:rPr>
        <w:t xml:space="preserve"> på 60 til 100 timer.</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Hos frivillige forsøgspersoner med normal nyrefunktion er den totale </w:t>
      </w:r>
      <w:proofErr w:type="spellStart"/>
      <w:r w:rsidRPr="00DE7B77">
        <w:rPr>
          <w:sz w:val="24"/>
          <w:szCs w:val="24"/>
          <w:lang w:eastAsia="da-DK"/>
        </w:rPr>
        <w:t>clearance</w:t>
      </w:r>
      <w:proofErr w:type="spellEnd"/>
      <w:r w:rsidRPr="00DE7B77">
        <w:rPr>
          <w:sz w:val="24"/>
          <w:szCs w:val="24"/>
          <w:lang w:eastAsia="da-DK"/>
        </w:rPr>
        <w:t xml:space="preserve"> (</w:t>
      </w:r>
      <w:proofErr w:type="spellStart"/>
      <w:r w:rsidRPr="00DE7B77">
        <w:rPr>
          <w:sz w:val="24"/>
          <w:szCs w:val="24"/>
          <w:lang w:eastAsia="da-DK"/>
        </w:rPr>
        <w:t>Cl</w:t>
      </w:r>
      <w:r w:rsidRPr="00DE7B77">
        <w:rPr>
          <w:sz w:val="24"/>
          <w:szCs w:val="24"/>
          <w:vertAlign w:val="subscript"/>
          <w:lang w:eastAsia="da-DK"/>
        </w:rPr>
        <w:t>tot</w:t>
      </w:r>
      <w:proofErr w:type="spellEnd"/>
      <w:r w:rsidRPr="00DE7B77">
        <w:rPr>
          <w:sz w:val="24"/>
          <w:szCs w:val="24"/>
          <w:lang w:eastAsia="da-DK"/>
        </w:rPr>
        <w:t>)</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170 ml/min/1,73 m</w:t>
      </w:r>
      <w:r w:rsidRPr="00DE7B77">
        <w:rPr>
          <w:sz w:val="24"/>
          <w:szCs w:val="24"/>
          <w:vertAlign w:val="superscript"/>
          <w:lang w:eastAsia="da-DK"/>
        </w:rPr>
        <w:t>2</w:t>
      </w:r>
      <w:r w:rsidRPr="00DE7B77">
        <w:rPr>
          <w:sz w:val="24"/>
          <w:szCs w:val="24"/>
          <w:lang w:eastAsia="da-DK"/>
        </w:rPr>
        <w:t xml:space="preserve">, og en del af den totale </w:t>
      </w:r>
      <w:proofErr w:type="spellStart"/>
      <w:r w:rsidRPr="00DE7B77">
        <w:rPr>
          <w:sz w:val="24"/>
          <w:szCs w:val="24"/>
          <w:lang w:eastAsia="da-DK"/>
        </w:rPr>
        <w:t>renale</w:t>
      </w:r>
      <w:proofErr w:type="spellEnd"/>
      <w:r w:rsidRPr="00DE7B77">
        <w:rPr>
          <w:sz w:val="24"/>
          <w:szCs w:val="24"/>
          <w:lang w:eastAsia="da-DK"/>
        </w:rPr>
        <w:t xml:space="preserve"> </w:t>
      </w:r>
      <w:proofErr w:type="spellStart"/>
      <w:r w:rsidRPr="00DE7B77">
        <w:rPr>
          <w:sz w:val="24"/>
          <w:szCs w:val="24"/>
          <w:lang w:eastAsia="da-DK"/>
        </w:rPr>
        <w:t>clearance</w:t>
      </w:r>
      <w:proofErr w:type="spellEnd"/>
      <w:r w:rsidRPr="00DE7B77">
        <w:rPr>
          <w:sz w:val="24"/>
          <w:szCs w:val="24"/>
          <w:lang w:eastAsia="da-DK"/>
        </w:rPr>
        <w:t xml:space="preserve"> opnås ved </w:t>
      </w:r>
      <w:proofErr w:type="spellStart"/>
      <w:r w:rsidRPr="00DE7B77">
        <w:rPr>
          <w:sz w:val="24"/>
          <w:szCs w:val="24"/>
          <w:lang w:eastAsia="da-DK"/>
        </w:rPr>
        <w:t>tubulær</w:t>
      </w:r>
      <w:proofErr w:type="spellEnd"/>
      <w:r w:rsidRPr="00DE7B77">
        <w:rPr>
          <w:sz w:val="24"/>
          <w:szCs w:val="24"/>
          <w:lang w:eastAsia="da-DK"/>
        </w:rPr>
        <w:t xml:space="preserve"> sekretion. Omsætningen i nyrerne involverer også </w:t>
      </w:r>
      <w:proofErr w:type="spellStart"/>
      <w:r w:rsidRPr="00DE7B77">
        <w:rPr>
          <w:sz w:val="24"/>
          <w:szCs w:val="24"/>
          <w:lang w:eastAsia="da-DK"/>
        </w:rPr>
        <w:t>tubulær</w:t>
      </w:r>
      <w:proofErr w:type="spellEnd"/>
      <w:r w:rsidRPr="00DE7B77">
        <w:rPr>
          <w:sz w:val="24"/>
          <w:szCs w:val="24"/>
          <w:lang w:eastAsia="da-DK"/>
        </w:rPr>
        <w:t xml:space="preserve"> </w:t>
      </w:r>
      <w:proofErr w:type="spellStart"/>
      <w:r w:rsidRPr="00DE7B77">
        <w:rPr>
          <w:sz w:val="24"/>
          <w:szCs w:val="24"/>
          <w:lang w:eastAsia="da-DK"/>
        </w:rPr>
        <w:t>reabsorption</w:t>
      </w:r>
      <w:proofErr w:type="spellEnd"/>
      <w:r w:rsidRPr="00DE7B77">
        <w:rPr>
          <w:sz w:val="24"/>
          <w:szCs w:val="24"/>
          <w:lang w:eastAsia="da-DK"/>
        </w:rPr>
        <w:t xml:space="preserve">, der sandsynligvis medieres af </w:t>
      </w:r>
      <w:proofErr w:type="spellStart"/>
      <w:r w:rsidRPr="00DE7B77">
        <w:rPr>
          <w:sz w:val="24"/>
          <w:szCs w:val="24"/>
          <w:lang w:eastAsia="da-DK"/>
        </w:rPr>
        <w:t>katione</w:t>
      </w:r>
      <w:proofErr w:type="spellEnd"/>
      <w:r w:rsidRPr="00DE7B77">
        <w:rPr>
          <w:sz w:val="24"/>
          <w:szCs w:val="24"/>
          <w:lang w:eastAsia="da-DK"/>
        </w:rPr>
        <w:t xml:space="preserve"> transportproteiner. Den </w:t>
      </w:r>
      <w:proofErr w:type="spellStart"/>
      <w:r w:rsidRPr="00DE7B77">
        <w:rPr>
          <w:sz w:val="24"/>
          <w:szCs w:val="24"/>
          <w:lang w:eastAsia="da-DK"/>
        </w:rPr>
        <w:t>renale</w:t>
      </w:r>
      <w:proofErr w:type="spellEnd"/>
      <w:r w:rsidRPr="00DE7B77">
        <w:rPr>
          <w:sz w:val="24"/>
          <w:szCs w:val="24"/>
          <w:lang w:eastAsia="da-DK"/>
        </w:rPr>
        <w:t xml:space="preserve"> eliminationsrate for </w:t>
      </w:r>
      <w:proofErr w:type="spellStart"/>
      <w:r w:rsidRPr="00DE7B77">
        <w:rPr>
          <w:sz w:val="24"/>
          <w:szCs w:val="24"/>
          <w:lang w:eastAsia="da-DK"/>
        </w:rPr>
        <w:t>memantin</w:t>
      </w:r>
      <w:proofErr w:type="spellEnd"/>
      <w:r w:rsidRPr="00DE7B77">
        <w:rPr>
          <w:sz w:val="24"/>
          <w:szCs w:val="24"/>
          <w:lang w:eastAsia="da-DK"/>
        </w:rPr>
        <w:t xml:space="preserve"> kan, under alkaliske urinforhold, reduceres med en faktor på 7 til 9 (se under punkt 4.4). </w:t>
      </w:r>
      <w:proofErr w:type="spellStart"/>
      <w:r w:rsidRPr="00DE7B77">
        <w:rPr>
          <w:sz w:val="24"/>
          <w:szCs w:val="24"/>
          <w:lang w:eastAsia="da-DK"/>
        </w:rPr>
        <w:t>Alkalisering</w:t>
      </w:r>
      <w:proofErr w:type="spellEnd"/>
      <w:r w:rsidRPr="00DE7B77">
        <w:rPr>
          <w:sz w:val="24"/>
          <w:szCs w:val="24"/>
          <w:lang w:eastAsia="da-DK"/>
        </w:rPr>
        <w:t xml:space="preserve"> af urin kan skyldes drastiske ændringer i kosten, f.eks. fra en kødholdig til en vegetarisk kost eller fra en kraftig indtagelse af alkaliserende gastriske buffere.</w:t>
      </w:r>
    </w:p>
    <w:p w:rsidR="0032131D" w:rsidRPr="00DE7B77" w:rsidRDefault="0032131D" w:rsidP="0032131D">
      <w:pPr>
        <w:autoSpaceDE w:val="0"/>
        <w:autoSpaceDN w:val="0"/>
        <w:adjustRightInd w:val="0"/>
        <w:ind w:left="851"/>
        <w:rPr>
          <w:i/>
          <w:iCs/>
          <w:sz w:val="24"/>
          <w:szCs w:val="24"/>
          <w:lang w:eastAsia="da-DK"/>
        </w:rPr>
      </w:pPr>
    </w:p>
    <w:p w:rsidR="0032131D" w:rsidRPr="00DE7B77" w:rsidRDefault="0032131D" w:rsidP="0032131D">
      <w:pPr>
        <w:autoSpaceDE w:val="0"/>
        <w:autoSpaceDN w:val="0"/>
        <w:adjustRightInd w:val="0"/>
        <w:ind w:left="851"/>
        <w:rPr>
          <w:sz w:val="24"/>
          <w:szCs w:val="24"/>
          <w:u w:val="single"/>
          <w:lang w:eastAsia="da-DK"/>
        </w:rPr>
      </w:pPr>
      <w:r w:rsidRPr="00DE7B77">
        <w:rPr>
          <w:iCs/>
          <w:sz w:val="24"/>
          <w:szCs w:val="24"/>
          <w:u w:val="single"/>
          <w:lang w:eastAsia="da-DK"/>
        </w:rPr>
        <w:t>Linearitet/non-linearitet</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Studier hos frivillige forsøgspersoner har vist en lineær farmakokinetik i doser mellem 10 og 40 mg.</w:t>
      </w:r>
    </w:p>
    <w:p w:rsidR="0032131D" w:rsidRPr="00DE7B77" w:rsidRDefault="0032131D" w:rsidP="0032131D">
      <w:pPr>
        <w:autoSpaceDE w:val="0"/>
        <w:autoSpaceDN w:val="0"/>
        <w:adjustRightInd w:val="0"/>
        <w:ind w:left="851"/>
        <w:rPr>
          <w:i/>
          <w:iCs/>
          <w:sz w:val="24"/>
          <w:szCs w:val="24"/>
          <w:lang w:eastAsia="da-DK"/>
        </w:rPr>
      </w:pPr>
    </w:p>
    <w:p w:rsidR="0032131D" w:rsidRPr="00DE7B77" w:rsidRDefault="0032131D" w:rsidP="0032131D">
      <w:pPr>
        <w:autoSpaceDE w:val="0"/>
        <w:autoSpaceDN w:val="0"/>
        <w:adjustRightInd w:val="0"/>
        <w:ind w:left="851"/>
        <w:rPr>
          <w:i/>
          <w:iCs/>
          <w:sz w:val="24"/>
          <w:szCs w:val="24"/>
          <w:lang w:eastAsia="da-DK"/>
        </w:rPr>
      </w:pPr>
      <w:proofErr w:type="spellStart"/>
      <w:r w:rsidRPr="00DE7B77">
        <w:rPr>
          <w:iCs/>
          <w:sz w:val="24"/>
          <w:szCs w:val="24"/>
          <w:u w:val="single"/>
          <w:lang w:eastAsia="da-DK"/>
        </w:rPr>
        <w:t>Farmakokinetiske</w:t>
      </w:r>
      <w:proofErr w:type="spellEnd"/>
      <w:r w:rsidRPr="00DE7B77">
        <w:rPr>
          <w:iCs/>
          <w:sz w:val="24"/>
          <w:szCs w:val="24"/>
          <w:u w:val="single"/>
          <w:lang w:eastAsia="da-DK"/>
        </w:rPr>
        <w:t>/</w:t>
      </w:r>
      <w:proofErr w:type="spellStart"/>
      <w:r w:rsidRPr="00DE7B77">
        <w:rPr>
          <w:iCs/>
          <w:sz w:val="24"/>
          <w:szCs w:val="24"/>
          <w:u w:val="single"/>
          <w:lang w:eastAsia="da-DK"/>
        </w:rPr>
        <w:t>farmakodynamiske</w:t>
      </w:r>
      <w:proofErr w:type="spellEnd"/>
      <w:r w:rsidRPr="00DE7B77">
        <w:rPr>
          <w:iCs/>
          <w:sz w:val="24"/>
          <w:szCs w:val="24"/>
          <w:u w:val="single"/>
          <w:lang w:eastAsia="da-DK"/>
        </w:rPr>
        <w:t xml:space="preserve"> forhold</w:t>
      </w:r>
    </w:p>
    <w:p w:rsidR="0032131D" w:rsidRDefault="0032131D" w:rsidP="0032131D">
      <w:pPr>
        <w:autoSpaceDE w:val="0"/>
        <w:autoSpaceDN w:val="0"/>
        <w:adjustRightInd w:val="0"/>
        <w:ind w:left="851"/>
        <w:rPr>
          <w:sz w:val="24"/>
          <w:szCs w:val="24"/>
          <w:lang w:eastAsia="da-DK"/>
        </w:rPr>
      </w:pPr>
      <w:r w:rsidRPr="00DE7B77">
        <w:rPr>
          <w:sz w:val="24"/>
          <w:szCs w:val="24"/>
          <w:lang w:eastAsia="da-DK"/>
        </w:rPr>
        <w:t xml:space="preserve">Ved en dosis af </w:t>
      </w:r>
      <w:proofErr w:type="spellStart"/>
      <w:r w:rsidRPr="00DE7B77">
        <w:rPr>
          <w:sz w:val="24"/>
          <w:szCs w:val="24"/>
          <w:lang w:eastAsia="da-DK"/>
        </w:rPr>
        <w:t>memantin</w:t>
      </w:r>
      <w:proofErr w:type="spellEnd"/>
      <w:r w:rsidRPr="00DE7B77">
        <w:rPr>
          <w:sz w:val="24"/>
          <w:szCs w:val="24"/>
          <w:lang w:eastAsia="da-DK"/>
        </w:rPr>
        <w:t xml:space="preserve"> på 20 mg pr. dag svarer CSF-niveauerne til </w:t>
      </w:r>
      <w:proofErr w:type="spellStart"/>
      <w:r w:rsidRPr="00DE7B77">
        <w:rPr>
          <w:sz w:val="24"/>
          <w:szCs w:val="24"/>
          <w:lang w:eastAsia="da-DK"/>
        </w:rPr>
        <w:t>k</w:t>
      </w:r>
      <w:r w:rsidRPr="00DE7B77">
        <w:rPr>
          <w:sz w:val="24"/>
          <w:szCs w:val="24"/>
          <w:vertAlign w:val="subscript"/>
          <w:lang w:eastAsia="da-DK"/>
        </w:rPr>
        <w:t>i</w:t>
      </w:r>
      <w:proofErr w:type="spellEnd"/>
      <w:r w:rsidRPr="00DE7B77">
        <w:rPr>
          <w:sz w:val="24"/>
          <w:szCs w:val="24"/>
          <w:lang w:eastAsia="da-DK"/>
        </w:rPr>
        <w:t>-værdien (</w:t>
      </w:r>
      <w:proofErr w:type="spellStart"/>
      <w:r w:rsidRPr="00DE7B77">
        <w:rPr>
          <w:sz w:val="24"/>
          <w:szCs w:val="24"/>
          <w:lang w:eastAsia="da-DK"/>
        </w:rPr>
        <w:t>k</w:t>
      </w:r>
      <w:r w:rsidRPr="00DE7B77">
        <w:rPr>
          <w:sz w:val="24"/>
          <w:szCs w:val="24"/>
          <w:vertAlign w:val="subscript"/>
          <w:lang w:eastAsia="da-DK"/>
        </w:rPr>
        <w:t>i</w:t>
      </w:r>
      <w:proofErr w:type="spellEnd"/>
      <w:r w:rsidRPr="00DE7B77">
        <w:rPr>
          <w:sz w:val="24"/>
          <w:szCs w:val="24"/>
          <w:lang w:eastAsia="da-DK"/>
        </w:rPr>
        <w:t xml:space="preserve"> = hæmningsfaktor) for </w:t>
      </w:r>
      <w:proofErr w:type="spellStart"/>
      <w:r w:rsidRPr="00DE7B77">
        <w:rPr>
          <w:sz w:val="24"/>
          <w:szCs w:val="24"/>
          <w:lang w:eastAsia="da-DK"/>
        </w:rPr>
        <w:t>memantin</w:t>
      </w:r>
      <w:proofErr w:type="spellEnd"/>
      <w:r w:rsidRPr="00DE7B77">
        <w:rPr>
          <w:sz w:val="24"/>
          <w:szCs w:val="24"/>
          <w:lang w:eastAsia="da-DK"/>
        </w:rPr>
        <w:t xml:space="preserve">, som er 0,5 </w:t>
      </w:r>
      <w:proofErr w:type="spellStart"/>
      <w:r w:rsidRPr="00DE7B77">
        <w:rPr>
          <w:sz w:val="24"/>
          <w:szCs w:val="24"/>
          <w:lang w:eastAsia="da-DK"/>
        </w:rPr>
        <w:t>μmol</w:t>
      </w:r>
      <w:proofErr w:type="spellEnd"/>
      <w:r w:rsidRPr="00DE7B77">
        <w:rPr>
          <w:sz w:val="24"/>
          <w:szCs w:val="24"/>
          <w:lang w:eastAsia="da-DK"/>
        </w:rPr>
        <w:t xml:space="preserve"> i den humane frontale cortex.</w:t>
      </w:r>
    </w:p>
    <w:p w:rsidR="00DE7B77" w:rsidRDefault="00DE7B77" w:rsidP="0032131D">
      <w:pPr>
        <w:autoSpaceDE w:val="0"/>
        <w:autoSpaceDN w:val="0"/>
        <w:adjustRightInd w:val="0"/>
        <w:ind w:left="851"/>
        <w:rPr>
          <w:sz w:val="24"/>
          <w:szCs w:val="24"/>
        </w:rPr>
      </w:pPr>
    </w:p>
    <w:p w:rsidR="00DE7B77" w:rsidRPr="00DE7B77" w:rsidRDefault="00DE7B77" w:rsidP="0032131D">
      <w:pPr>
        <w:autoSpaceDE w:val="0"/>
        <w:autoSpaceDN w:val="0"/>
        <w:adjustRightInd w:val="0"/>
        <w:ind w:left="851"/>
        <w:rPr>
          <w:sz w:val="24"/>
          <w:szCs w:val="24"/>
        </w:rPr>
      </w:pPr>
      <w:bookmarkStart w:id="0" w:name="_GoBack"/>
      <w:bookmarkEnd w:id="0"/>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lastRenderedPageBreak/>
        <w:t>5.3</w:t>
      </w:r>
      <w:r w:rsidRPr="00DE7B77">
        <w:rPr>
          <w:b/>
          <w:sz w:val="24"/>
          <w:szCs w:val="24"/>
        </w:rPr>
        <w:tab/>
      </w:r>
      <w:r w:rsidR="00DE7B77">
        <w:rPr>
          <w:b/>
          <w:sz w:val="24"/>
          <w:szCs w:val="24"/>
        </w:rPr>
        <w:t>Non-</w:t>
      </w:r>
      <w:r w:rsidRPr="00DE7B77">
        <w:rPr>
          <w:b/>
          <w:sz w:val="24"/>
          <w:szCs w:val="24"/>
        </w:rPr>
        <w:t>kliniske sikkerhedsdata</w:t>
      </w: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kortidsstudier på rotter har </w:t>
      </w:r>
      <w:proofErr w:type="spellStart"/>
      <w:r w:rsidRPr="00DE7B77">
        <w:rPr>
          <w:sz w:val="24"/>
          <w:szCs w:val="24"/>
          <w:lang w:eastAsia="da-DK"/>
        </w:rPr>
        <w:t>memantin</w:t>
      </w:r>
      <w:proofErr w:type="spellEnd"/>
      <w:r w:rsidRPr="00DE7B77">
        <w:rPr>
          <w:sz w:val="24"/>
          <w:szCs w:val="24"/>
          <w:lang w:eastAsia="da-DK"/>
        </w:rPr>
        <w:t xml:space="preserve"> ligesom andre NMDA-antagonister kun induceret </w:t>
      </w:r>
      <w:proofErr w:type="spellStart"/>
      <w:r w:rsidRPr="00DE7B77">
        <w:rPr>
          <w:sz w:val="24"/>
          <w:szCs w:val="24"/>
          <w:lang w:eastAsia="da-DK"/>
        </w:rPr>
        <w:t>neuronal</w:t>
      </w:r>
      <w:proofErr w:type="spellEnd"/>
      <w:r w:rsidRPr="00DE7B77">
        <w:rPr>
          <w:sz w:val="24"/>
          <w:szCs w:val="24"/>
          <w:lang w:eastAsia="da-DK"/>
        </w:rPr>
        <w:t xml:space="preserve"> </w:t>
      </w:r>
      <w:proofErr w:type="spellStart"/>
      <w:r w:rsidRPr="00DE7B77">
        <w:rPr>
          <w:sz w:val="24"/>
          <w:szCs w:val="24"/>
          <w:lang w:eastAsia="da-DK"/>
        </w:rPr>
        <w:t>vakuolisering</w:t>
      </w:r>
      <w:proofErr w:type="spellEnd"/>
      <w:r w:rsidRPr="00DE7B77">
        <w:rPr>
          <w:sz w:val="24"/>
          <w:szCs w:val="24"/>
          <w:lang w:eastAsia="da-DK"/>
        </w:rPr>
        <w:t xml:space="preserve"> og nekrose (</w:t>
      </w:r>
      <w:proofErr w:type="spellStart"/>
      <w:r w:rsidRPr="00DE7B77">
        <w:rPr>
          <w:sz w:val="24"/>
          <w:szCs w:val="24"/>
          <w:lang w:eastAsia="da-DK"/>
        </w:rPr>
        <w:t>Olney</w:t>
      </w:r>
      <w:proofErr w:type="spellEnd"/>
      <w:r w:rsidRPr="00DE7B77">
        <w:rPr>
          <w:sz w:val="24"/>
          <w:szCs w:val="24"/>
          <w:lang w:eastAsia="da-DK"/>
        </w:rPr>
        <w:t xml:space="preserve">-læsioner) efter doser, der medfører meget høje maksimale serumkoncentrationer. </w:t>
      </w:r>
      <w:proofErr w:type="spellStart"/>
      <w:r w:rsidRPr="00DE7B77">
        <w:rPr>
          <w:sz w:val="24"/>
          <w:szCs w:val="24"/>
          <w:lang w:eastAsia="da-DK"/>
        </w:rPr>
        <w:t>Ataksi</w:t>
      </w:r>
      <w:proofErr w:type="spellEnd"/>
      <w:r w:rsidRPr="00DE7B77">
        <w:rPr>
          <w:sz w:val="24"/>
          <w:szCs w:val="24"/>
          <w:lang w:eastAsia="da-DK"/>
        </w:rPr>
        <w:t xml:space="preserve"> og andre </w:t>
      </w:r>
      <w:r w:rsidR="00883ECA" w:rsidRPr="00DE7B77">
        <w:rPr>
          <w:sz w:val="24"/>
          <w:szCs w:val="24"/>
          <w:lang w:eastAsia="da-DK"/>
        </w:rPr>
        <w:t>non-</w:t>
      </w:r>
      <w:r w:rsidRPr="00DE7B77">
        <w:rPr>
          <w:sz w:val="24"/>
          <w:szCs w:val="24"/>
          <w:lang w:eastAsia="da-DK"/>
        </w:rPr>
        <w:t xml:space="preserve">kliniske tegn er indtruffet før </w:t>
      </w:r>
      <w:proofErr w:type="spellStart"/>
      <w:r w:rsidRPr="00DE7B77">
        <w:rPr>
          <w:sz w:val="24"/>
          <w:szCs w:val="24"/>
          <w:lang w:eastAsia="da-DK"/>
        </w:rPr>
        <w:t>vakuolisering</w:t>
      </w:r>
      <w:proofErr w:type="spellEnd"/>
      <w:r w:rsidRPr="00DE7B77">
        <w:rPr>
          <w:sz w:val="24"/>
          <w:szCs w:val="24"/>
          <w:lang w:eastAsia="da-DK"/>
        </w:rPr>
        <w:t xml:space="preserve"> og nekrose. Da virkningerne hverken er blevet observeret i langtidsstudier hos gnavere eller hos ikke-gnavere, er den kliniske relevans af disse observationer ukendt.</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I toksicitetsstudier med gentagen dosis var der modstridende observationer af </w:t>
      </w:r>
      <w:proofErr w:type="spellStart"/>
      <w:r w:rsidRPr="00DE7B77">
        <w:rPr>
          <w:sz w:val="24"/>
          <w:szCs w:val="24"/>
          <w:lang w:eastAsia="da-DK"/>
        </w:rPr>
        <w:t>okulære</w:t>
      </w:r>
      <w:proofErr w:type="spellEnd"/>
      <w:r w:rsidRPr="00DE7B77">
        <w:rPr>
          <w:sz w:val="24"/>
          <w:szCs w:val="24"/>
          <w:lang w:eastAsia="da-DK"/>
        </w:rPr>
        <w:t xml:space="preserve"> forandringer hos gnavere og hunde, men ikke hos aber. Specifikke </w:t>
      </w:r>
      <w:proofErr w:type="spellStart"/>
      <w:r w:rsidRPr="00DE7B77">
        <w:rPr>
          <w:sz w:val="24"/>
          <w:szCs w:val="24"/>
          <w:lang w:eastAsia="da-DK"/>
        </w:rPr>
        <w:t>oftalmoskopiske</w:t>
      </w:r>
      <w:proofErr w:type="spellEnd"/>
      <w:r w:rsidRPr="00DE7B77">
        <w:rPr>
          <w:sz w:val="24"/>
          <w:szCs w:val="24"/>
          <w:lang w:eastAsia="da-DK"/>
        </w:rPr>
        <w:t xml:space="preserve"> undersøgelser i kliniske studier med </w:t>
      </w:r>
      <w:proofErr w:type="spellStart"/>
      <w:r w:rsidRPr="00DE7B77">
        <w:rPr>
          <w:sz w:val="24"/>
          <w:szCs w:val="24"/>
          <w:lang w:eastAsia="da-DK"/>
        </w:rPr>
        <w:t>memantin</w:t>
      </w:r>
      <w:proofErr w:type="spellEnd"/>
      <w:r w:rsidRPr="00DE7B77">
        <w:rPr>
          <w:sz w:val="24"/>
          <w:szCs w:val="24"/>
          <w:lang w:eastAsia="da-DK"/>
        </w:rPr>
        <w:t xml:space="preserve"> afslørede ingen </w:t>
      </w:r>
      <w:proofErr w:type="spellStart"/>
      <w:r w:rsidRPr="00DE7B77">
        <w:rPr>
          <w:sz w:val="24"/>
          <w:szCs w:val="24"/>
          <w:lang w:eastAsia="da-DK"/>
        </w:rPr>
        <w:t>okulare</w:t>
      </w:r>
      <w:proofErr w:type="spellEnd"/>
      <w:r w:rsidRPr="00DE7B77">
        <w:rPr>
          <w:sz w:val="24"/>
          <w:szCs w:val="24"/>
          <w:lang w:eastAsia="da-DK"/>
        </w:rPr>
        <w:t xml:space="preserve"> forandringer.</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Phospholipidose</w:t>
      </w:r>
      <w:proofErr w:type="spellEnd"/>
      <w:r w:rsidRPr="00DE7B77">
        <w:rPr>
          <w:sz w:val="24"/>
          <w:szCs w:val="24"/>
          <w:lang w:eastAsia="da-DK"/>
        </w:rPr>
        <w:t xml:space="preserve"> i </w:t>
      </w:r>
      <w:proofErr w:type="spellStart"/>
      <w:r w:rsidRPr="00DE7B77">
        <w:rPr>
          <w:sz w:val="24"/>
          <w:szCs w:val="24"/>
          <w:lang w:eastAsia="da-DK"/>
        </w:rPr>
        <w:t>pulmonale</w:t>
      </w:r>
      <w:proofErr w:type="spellEnd"/>
      <w:r w:rsidRPr="00DE7B77">
        <w:rPr>
          <w:sz w:val="24"/>
          <w:szCs w:val="24"/>
          <w:lang w:eastAsia="da-DK"/>
        </w:rPr>
        <w:t xml:space="preserve"> makrofager på grund af akkumulation af </w:t>
      </w:r>
      <w:proofErr w:type="spellStart"/>
      <w:r w:rsidRPr="00DE7B77">
        <w:rPr>
          <w:sz w:val="24"/>
          <w:szCs w:val="24"/>
          <w:lang w:eastAsia="da-DK"/>
        </w:rPr>
        <w:t>memantin</w:t>
      </w:r>
      <w:proofErr w:type="spellEnd"/>
      <w:r w:rsidRPr="00DE7B77">
        <w:rPr>
          <w:sz w:val="24"/>
          <w:szCs w:val="24"/>
          <w:lang w:eastAsia="da-DK"/>
        </w:rPr>
        <w:t xml:space="preserve"> i lysosomer blev observeret hos gnavere. Denne virkning kendes fra andre aktive stoffer med </w:t>
      </w:r>
      <w:proofErr w:type="spellStart"/>
      <w:r w:rsidRPr="00DE7B77">
        <w:rPr>
          <w:sz w:val="24"/>
          <w:szCs w:val="24"/>
          <w:lang w:eastAsia="da-DK"/>
        </w:rPr>
        <w:t>kationiske</w:t>
      </w:r>
      <w:proofErr w:type="spellEnd"/>
      <w:r w:rsidRPr="00DE7B77">
        <w:rPr>
          <w:sz w:val="24"/>
          <w:szCs w:val="24"/>
          <w:lang w:eastAsia="da-DK"/>
        </w:rPr>
        <w:t xml:space="preserve"> </w:t>
      </w:r>
      <w:proofErr w:type="spellStart"/>
      <w:r w:rsidRPr="00DE7B77">
        <w:rPr>
          <w:sz w:val="24"/>
          <w:szCs w:val="24"/>
          <w:lang w:eastAsia="da-DK"/>
        </w:rPr>
        <w:t>amfifile</w:t>
      </w:r>
      <w:proofErr w:type="spellEnd"/>
      <w:r w:rsidRPr="00DE7B77">
        <w:rPr>
          <w:sz w:val="24"/>
          <w:szCs w:val="24"/>
          <w:lang w:eastAsia="da-DK"/>
        </w:rPr>
        <w:t xml:space="preserve"> egenskaber. Der er en mulig sammenhæng mellem denne akkumulation og den </w:t>
      </w:r>
      <w:proofErr w:type="spellStart"/>
      <w:r w:rsidRPr="00DE7B77">
        <w:rPr>
          <w:sz w:val="24"/>
          <w:szCs w:val="24"/>
          <w:lang w:eastAsia="da-DK"/>
        </w:rPr>
        <w:t>vakuolisation</w:t>
      </w:r>
      <w:proofErr w:type="spellEnd"/>
      <w:r w:rsidRPr="00DE7B77">
        <w:rPr>
          <w:sz w:val="24"/>
          <w:szCs w:val="24"/>
          <w:lang w:eastAsia="da-DK"/>
        </w:rPr>
        <w:t>, der observeredes i lunger. Denne virkning blev kun observeret ved høje doser hos gnavere. Den kliniske relevans af disse observationer er ukendt.</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 xml:space="preserve">Der er ikke observeret nogen genotoksicitet efter afprøvning af </w:t>
      </w:r>
      <w:proofErr w:type="spellStart"/>
      <w:r w:rsidRPr="00DE7B77">
        <w:rPr>
          <w:sz w:val="24"/>
          <w:szCs w:val="24"/>
          <w:lang w:eastAsia="da-DK"/>
        </w:rPr>
        <w:t>memantin</w:t>
      </w:r>
      <w:proofErr w:type="spellEnd"/>
      <w:r w:rsidRPr="00DE7B77">
        <w:rPr>
          <w:sz w:val="24"/>
          <w:szCs w:val="24"/>
          <w:lang w:eastAsia="da-DK"/>
        </w:rPr>
        <w:t xml:space="preserve"> ved standardstudier. Der var ingen tegn på </w:t>
      </w:r>
      <w:proofErr w:type="spellStart"/>
      <w:r w:rsidRPr="00DE7B77">
        <w:rPr>
          <w:sz w:val="24"/>
          <w:szCs w:val="24"/>
          <w:lang w:eastAsia="da-DK"/>
        </w:rPr>
        <w:t>karcinogen</w:t>
      </w:r>
      <w:r w:rsidR="00883ECA" w:rsidRPr="00DE7B77">
        <w:rPr>
          <w:sz w:val="24"/>
          <w:szCs w:val="24"/>
          <w:lang w:eastAsia="da-DK"/>
        </w:rPr>
        <w:t>t</w:t>
      </w:r>
      <w:proofErr w:type="spellEnd"/>
      <w:r w:rsidR="00883ECA" w:rsidRPr="00DE7B77">
        <w:rPr>
          <w:sz w:val="24"/>
          <w:szCs w:val="24"/>
          <w:lang w:eastAsia="da-DK"/>
        </w:rPr>
        <w:t xml:space="preserve"> potentiale</w:t>
      </w:r>
      <w:r w:rsidRPr="00DE7B77">
        <w:rPr>
          <w:sz w:val="24"/>
          <w:szCs w:val="24"/>
          <w:lang w:eastAsia="da-DK"/>
        </w:rPr>
        <w:t xml:space="preserve"> i livstidsstudier på rotter og mus. </w:t>
      </w:r>
      <w:proofErr w:type="spellStart"/>
      <w:r w:rsidRPr="00DE7B77">
        <w:rPr>
          <w:sz w:val="24"/>
          <w:szCs w:val="24"/>
          <w:lang w:eastAsia="da-DK"/>
        </w:rPr>
        <w:t>Memantin</w:t>
      </w:r>
      <w:proofErr w:type="spellEnd"/>
      <w:r w:rsidRPr="00DE7B77">
        <w:rPr>
          <w:sz w:val="24"/>
          <w:szCs w:val="24"/>
          <w:lang w:eastAsia="da-DK"/>
        </w:rPr>
        <w:t xml:space="preserve"> var ikke </w:t>
      </w:r>
      <w:proofErr w:type="spellStart"/>
      <w:r w:rsidRPr="00DE7B77">
        <w:rPr>
          <w:sz w:val="24"/>
          <w:szCs w:val="24"/>
          <w:lang w:eastAsia="da-DK"/>
        </w:rPr>
        <w:t>teratogent</w:t>
      </w:r>
      <w:proofErr w:type="spellEnd"/>
      <w:r w:rsidRPr="00DE7B77">
        <w:rPr>
          <w:sz w:val="24"/>
          <w:szCs w:val="24"/>
          <w:lang w:eastAsia="da-DK"/>
        </w:rPr>
        <w:t xml:space="preserve"> hos rotter og kaniner, selv ved </w:t>
      </w:r>
      <w:proofErr w:type="spellStart"/>
      <w:r w:rsidRPr="00DE7B77">
        <w:rPr>
          <w:sz w:val="24"/>
          <w:szCs w:val="24"/>
          <w:lang w:eastAsia="da-DK"/>
        </w:rPr>
        <w:t>maternale</w:t>
      </w:r>
      <w:proofErr w:type="spellEnd"/>
      <w:r w:rsidRPr="00DE7B77">
        <w:rPr>
          <w:sz w:val="24"/>
          <w:szCs w:val="24"/>
          <w:lang w:eastAsia="da-DK"/>
        </w:rPr>
        <w:t xml:space="preserve"> toksiske doser, og der blev ikke noteret nogen bivirkninger af </w:t>
      </w:r>
      <w:proofErr w:type="spellStart"/>
      <w:r w:rsidRPr="00DE7B77">
        <w:rPr>
          <w:sz w:val="24"/>
          <w:szCs w:val="24"/>
          <w:lang w:eastAsia="da-DK"/>
        </w:rPr>
        <w:t>memantin</w:t>
      </w:r>
      <w:proofErr w:type="spellEnd"/>
      <w:r w:rsidRPr="00DE7B77">
        <w:rPr>
          <w:sz w:val="24"/>
          <w:szCs w:val="24"/>
          <w:lang w:eastAsia="da-DK"/>
        </w:rPr>
        <w:t xml:space="preserve"> i forbindelse med fertilitet. Hos rotter noteredes en </w:t>
      </w:r>
      <w:proofErr w:type="spellStart"/>
      <w:r w:rsidRPr="00DE7B77">
        <w:rPr>
          <w:sz w:val="24"/>
          <w:szCs w:val="24"/>
          <w:lang w:eastAsia="da-DK"/>
        </w:rPr>
        <w:t>føtal</w:t>
      </w:r>
      <w:proofErr w:type="spellEnd"/>
      <w:r w:rsidRPr="00DE7B77">
        <w:rPr>
          <w:sz w:val="24"/>
          <w:szCs w:val="24"/>
          <w:lang w:eastAsia="da-DK"/>
        </w:rPr>
        <w:t xml:space="preserve"> vækstreduktion ved eksponeringsniveauer, der var identiske med eller lidt højere end ved human eksponering.</w:t>
      </w:r>
    </w:p>
    <w:p w:rsidR="0032131D" w:rsidRPr="00DE7B77" w:rsidRDefault="0032131D" w:rsidP="0032131D">
      <w:pPr>
        <w:tabs>
          <w:tab w:val="left" w:pos="851"/>
        </w:tabs>
        <w:rPr>
          <w:sz w:val="24"/>
          <w:szCs w:val="24"/>
        </w:rPr>
      </w:pP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6.</w:t>
      </w:r>
      <w:r w:rsidRPr="00DE7B77">
        <w:rPr>
          <w:b/>
          <w:sz w:val="24"/>
          <w:szCs w:val="24"/>
        </w:rPr>
        <w:tab/>
        <w:t>FARMACEUTISKE OPLYSNINGER</w:t>
      </w:r>
    </w:p>
    <w:p w:rsidR="0032131D" w:rsidRPr="00DE7B77" w:rsidRDefault="0032131D" w:rsidP="0032131D">
      <w:pPr>
        <w:tabs>
          <w:tab w:val="left" w:pos="851"/>
        </w:tabs>
        <w:rPr>
          <w:b/>
          <w:sz w:val="24"/>
          <w:szCs w:val="24"/>
        </w:rPr>
      </w:pPr>
    </w:p>
    <w:p w:rsidR="0032131D" w:rsidRPr="00DE7B77" w:rsidRDefault="0032131D" w:rsidP="0032131D">
      <w:pPr>
        <w:tabs>
          <w:tab w:val="left" w:pos="851"/>
        </w:tabs>
        <w:ind w:left="851" w:hanging="851"/>
        <w:rPr>
          <w:b/>
          <w:sz w:val="24"/>
          <w:szCs w:val="24"/>
        </w:rPr>
      </w:pPr>
      <w:r w:rsidRPr="00DE7B77">
        <w:rPr>
          <w:b/>
          <w:sz w:val="24"/>
          <w:szCs w:val="24"/>
        </w:rPr>
        <w:t>6.1</w:t>
      </w:r>
      <w:r w:rsidRPr="00DE7B77">
        <w:rPr>
          <w:b/>
          <w:sz w:val="24"/>
          <w:szCs w:val="24"/>
        </w:rPr>
        <w:tab/>
        <w:t>Hjælpestoffer</w:t>
      </w:r>
    </w:p>
    <w:p w:rsidR="0032131D" w:rsidRPr="00DE7B77" w:rsidRDefault="0032131D" w:rsidP="0032131D">
      <w:pPr>
        <w:autoSpaceDE w:val="0"/>
        <w:autoSpaceDN w:val="0"/>
        <w:adjustRightInd w:val="0"/>
        <w:ind w:left="851"/>
        <w:rPr>
          <w:iCs/>
          <w:sz w:val="24"/>
          <w:szCs w:val="24"/>
          <w:lang w:eastAsia="da-DK"/>
        </w:rPr>
      </w:pPr>
      <w:r w:rsidRPr="00DE7B77">
        <w:rPr>
          <w:iCs/>
          <w:sz w:val="24"/>
          <w:szCs w:val="24"/>
          <w:u w:val="single"/>
          <w:lang w:eastAsia="da-DK"/>
        </w:rPr>
        <w:t>Tabletkerne</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Lactosemonohydrat</w:t>
      </w:r>
      <w:proofErr w:type="spellEnd"/>
    </w:p>
    <w:p w:rsidR="0032131D" w:rsidRPr="00DE7B77" w:rsidRDefault="0032131D" w:rsidP="0032131D">
      <w:pPr>
        <w:autoSpaceDE w:val="0"/>
        <w:autoSpaceDN w:val="0"/>
        <w:adjustRightInd w:val="0"/>
        <w:ind w:left="851"/>
        <w:rPr>
          <w:sz w:val="24"/>
          <w:szCs w:val="24"/>
          <w:lang w:eastAsia="da-DK"/>
        </w:rPr>
      </w:pPr>
      <w:r w:rsidRPr="00DE7B77">
        <w:rPr>
          <w:sz w:val="24"/>
          <w:szCs w:val="24"/>
          <w:lang w:eastAsia="da-DK"/>
        </w:rPr>
        <w:t>Mikrokrystallinsk cellulose (E460)</w:t>
      </w:r>
    </w:p>
    <w:p w:rsidR="0032131D" w:rsidRPr="00DE7B77" w:rsidRDefault="00883ECA" w:rsidP="0032131D">
      <w:pPr>
        <w:autoSpaceDE w:val="0"/>
        <w:autoSpaceDN w:val="0"/>
        <w:adjustRightInd w:val="0"/>
        <w:ind w:left="851"/>
        <w:rPr>
          <w:sz w:val="24"/>
          <w:szCs w:val="24"/>
          <w:lang w:eastAsia="da-DK"/>
        </w:rPr>
      </w:pPr>
      <w:r w:rsidRPr="00DE7B77">
        <w:rPr>
          <w:sz w:val="24"/>
          <w:szCs w:val="24"/>
          <w:lang w:eastAsia="da-DK"/>
        </w:rPr>
        <w:t>K</w:t>
      </w:r>
      <w:r w:rsidR="0032131D" w:rsidRPr="00DE7B77">
        <w:rPr>
          <w:sz w:val="24"/>
          <w:szCs w:val="24"/>
          <w:lang w:eastAsia="da-DK"/>
        </w:rPr>
        <w:t>olloid, vandfri</w:t>
      </w:r>
      <w:r w:rsidRPr="00DE7B77">
        <w:rPr>
          <w:sz w:val="24"/>
          <w:szCs w:val="24"/>
          <w:lang w:eastAsia="da-DK"/>
        </w:rPr>
        <w:t xml:space="preserve"> </w:t>
      </w:r>
      <w:proofErr w:type="spellStart"/>
      <w:r w:rsidRPr="00DE7B77">
        <w:rPr>
          <w:sz w:val="24"/>
          <w:szCs w:val="24"/>
          <w:lang w:eastAsia="da-DK"/>
        </w:rPr>
        <w:t>silica</w:t>
      </w:r>
      <w:proofErr w:type="spellEnd"/>
      <w:r w:rsidR="0032131D" w:rsidRPr="00DE7B77">
        <w:rPr>
          <w:sz w:val="24"/>
          <w:szCs w:val="24"/>
          <w:lang w:eastAsia="da-DK"/>
        </w:rPr>
        <w:t xml:space="preserve"> </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Talcum</w:t>
      </w:r>
      <w:proofErr w:type="spellEnd"/>
      <w:r w:rsidRPr="00DE7B77">
        <w:rPr>
          <w:sz w:val="24"/>
          <w:szCs w:val="24"/>
          <w:lang w:eastAsia="da-DK"/>
        </w:rPr>
        <w:t xml:space="preserve"> (E533b)</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Magnesiumstearat</w:t>
      </w:r>
      <w:proofErr w:type="spellEnd"/>
      <w:r w:rsidRPr="00DE7B77">
        <w:rPr>
          <w:sz w:val="24"/>
          <w:szCs w:val="24"/>
          <w:lang w:eastAsia="da-DK"/>
        </w:rPr>
        <w:t xml:space="preserve"> (E</w:t>
      </w:r>
      <w:r w:rsidRPr="00DE7B77">
        <w:rPr>
          <w:iCs/>
          <w:sz w:val="24"/>
          <w:szCs w:val="24"/>
        </w:rPr>
        <w:t>470b</w:t>
      </w:r>
      <w:r w:rsidRPr="00DE7B77">
        <w:rPr>
          <w:sz w:val="24"/>
          <w:szCs w:val="24"/>
          <w:lang w:eastAsia="da-DK"/>
        </w:rPr>
        <w:t>)</w:t>
      </w:r>
    </w:p>
    <w:p w:rsidR="0032131D" w:rsidRPr="00DE7B77" w:rsidRDefault="0032131D" w:rsidP="0032131D">
      <w:pPr>
        <w:autoSpaceDE w:val="0"/>
        <w:autoSpaceDN w:val="0"/>
        <w:adjustRightInd w:val="0"/>
        <w:ind w:left="851"/>
        <w:rPr>
          <w:sz w:val="24"/>
          <w:szCs w:val="24"/>
          <w:lang w:eastAsia="da-DK"/>
        </w:rPr>
      </w:pPr>
    </w:p>
    <w:p w:rsidR="0032131D" w:rsidRPr="00DE7B77" w:rsidRDefault="0032131D" w:rsidP="0032131D">
      <w:pPr>
        <w:autoSpaceDE w:val="0"/>
        <w:autoSpaceDN w:val="0"/>
        <w:adjustRightInd w:val="0"/>
        <w:ind w:left="851"/>
        <w:rPr>
          <w:iCs/>
          <w:sz w:val="24"/>
          <w:szCs w:val="24"/>
          <w:u w:val="single"/>
          <w:lang w:eastAsia="da-DK"/>
        </w:rPr>
      </w:pPr>
      <w:r w:rsidRPr="00DE7B77">
        <w:rPr>
          <w:iCs/>
          <w:sz w:val="24"/>
          <w:szCs w:val="24"/>
          <w:u w:val="single"/>
          <w:lang w:eastAsia="da-DK"/>
        </w:rPr>
        <w:t>Filmovertræk</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Methacrylsyre-ethylacrylat</w:t>
      </w:r>
      <w:proofErr w:type="spellEnd"/>
      <w:r w:rsidRPr="00DE7B77">
        <w:rPr>
          <w:sz w:val="24"/>
          <w:szCs w:val="24"/>
          <w:lang w:eastAsia="da-DK"/>
        </w:rPr>
        <w:t xml:space="preserve"> </w:t>
      </w:r>
      <w:proofErr w:type="spellStart"/>
      <w:r w:rsidRPr="00DE7B77">
        <w:rPr>
          <w:sz w:val="24"/>
          <w:szCs w:val="24"/>
          <w:lang w:eastAsia="da-DK"/>
        </w:rPr>
        <w:t>copolymer</w:t>
      </w:r>
      <w:proofErr w:type="spellEnd"/>
      <w:r w:rsidRPr="00DE7B77">
        <w:rPr>
          <w:sz w:val="24"/>
          <w:szCs w:val="24"/>
          <w:lang w:eastAsia="da-DK"/>
        </w:rPr>
        <w:t xml:space="preserve"> (1:1)</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Natriumlaurilsulfat</w:t>
      </w:r>
      <w:proofErr w:type="spellEnd"/>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Polysorbat</w:t>
      </w:r>
      <w:proofErr w:type="spellEnd"/>
      <w:r w:rsidRPr="00DE7B77">
        <w:rPr>
          <w:sz w:val="24"/>
          <w:szCs w:val="24"/>
          <w:lang w:eastAsia="da-DK"/>
        </w:rPr>
        <w:t xml:space="preserve"> 80</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Talcum</w:t>
      </w:r>
      <w:proofErr w:type="spellEnd"/>
      <w:r w:rsidRPr="00DE7B77">
        <w:rPr>
          <w:sz w:val="24"/>
          <w:szCs w:val="24"/>
          <w:lang w:eastAsia="da-DK"/>
        </w:rPr>
        <w:t xml:space="preserve"> (E553b)</w:t>
      </w:r>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Triacetin</w:t>
      </w:r>
      <w:proofErr w:type="spellEnd"/>
    </w:p>
    <w:p w:rsidR="0032131D" w:rsidRPr="00DE7B77" w:rsidRDefault="0032131D" w:rsidP="0032131D">
      <w:pPr>
        <w:autoSpaceDE w:val="0"/>
        <w:autoSpaceDN w:val="0"/>
        <w:adjustRightInd w:val="0"/>
        <w:ind w:left="851"/>
        <w:rPr>
          <w:sz w:val="24"/>
          <w:szCs w:val="24"/>
          <w:lang w:eastAsia="da-DK"/>
        </w:rPr>
      </w:pPr>
      <w:proofErr w:type="spellStart"/>
      <w:r w:rsidRPr="00DE7B77">
        <w:rPr>
          <w:sz w:val="24"/>
          <w:szCs w:val="24"/>
          <w:lang w:eastAsia="da-DK"/>
        </w:rPr>
        <w:t>Simeticonemulsion</w:t>
      </w:r>
      <w:proofErr w:type="spellEnd"/>
      <w:r w:rsidRPr="00DE7B77">
        <w:rPr>
          <w:sz w:val="24"/>
          <w:szCs w:val="24"/>
          <w:lang w:eastAsia="da-DK"/>
        </w:rPr>
        <w:t xml:space="preserve"> (indeholder </w:t>
      </w:r>
      <w:proofErr w:type="spellStart"/>
      <w:r w:rsidRPr="00DE7B77">
        <w:rPr>
          <w:sz w:val="24"/>
          <w:szCs w:val="24"/>
          <w:lang w:eastAsia="da-DK"/>
        </w:rPr>
        <w:t>dimeticon</w:t>
      </w:r>
      <w:proofErr w:type="spellEnd"/>
      <w:r w:rsidRPr="00DE7B77">
        <w:rPr>
          <w:sz w:val="24"/>
          <w:szCs w:val="24"/>
          <w:lang w:eastAsia="da-DK"/>
        </w:rPr>
        <w:t>; kolloid</w:t>
      </w:r>
      <w:r w:rsidR="00883ECA" w:rsidRPr="00DE7B77">
        <w:rPr>
          <w:sz w:val="24"/>
          <w:szCs w:val="24"/>
          <w:lang w:eastAsia="da-DK"/>
        </w:rPr>
        <w:t xml:space="preserve"> </w:t>
      </w:r>
      <w:proofErr w:type="spellStart"/>
      <w:r w:rsidR="00883ECA" w:rsidRPr="00DE7B77">
        <w:rPr>
          <w:sz w:val="24"/>
          <w:szCs w:val="24"/>
          <w:lang w:eastAsia="da-DK"/>
        </w:rPr>
        <w:t>silica</w:t>
      </w:r>
      <w:proofErr w:type="spellEnd"/>
      <w:r w:rsidRPr="00DE7B77">
        <w:rPr>
          <w:sz w:val="24"/>
          <w:szCs w:val="24"/>
          <w:lang w:eastAsia="da-DK"/>
        </w:rPr>
        <w:t xml:space="preserve">; </w:t>
      </w:r>
      <w:proofErr w:type="spellStart"/>
      <w:r w:rsidRPr="00DE7B77">
        <w:rPr>
          <w:sz w:val="24"/>
          <w:szCs w:val="24"/>
          <w:lang w:eastAsia="da-DK"/>
        </w:rPr>
        <w:t>macrogolstearylether</w:t>
      </w:r>
      <w:proofErr w:type="spellEnd"/>
      <w:r w:rsidRPr="00DE7B77">
        <w:rPr>
          <w:sz w:val="24"/>
          <w:szCs w:val="24"/>
          <w:lang w:eastAsia="da-DK"/>
        </w:rPr>
        <w:t xml:space="preserve">; </w:t>
      </w:r>
      <w:proofErr w:type="spellStart"/>
      <w:r w:rsidRPr="00DE7B77">
        <w:rPr>
          <w:sz w:val="24"/>
          <w:szCs w:val="24"/>
          <w:lang w:eastAsia="da-DK"/>
        </w:rPr>
        <w:t>hydrogenperioxid</w:t>
      </w:r>
      <w:proofErr w:type="spellEnd"/>
      <w:r w:rsidRPr="00DE7B77">
        <w:rPr>
          <w:sz w:val="24"/>
          <w:szCs w:val="24"/>
          <w:lang w:eastAsia="da-DK"/>
        </w:rPr>
        <w:t xml:space="preserve">; </w:t>
      </w:r>
      <w:proofErr w:type="spellStart"/>
      <w:r w:rsidRPr="00DE7B77">
        <w:rPr>
          <w:sz w:val="24"/>
          <w:szCs w:val="24"/>
          <w:lang w:eastAsia="da-DK"/>
        </w:rPr>
        <w:t>sorbinsyre</w:t>
      </w:r>
      <w:proofErr w:type="spellEnd"/>
      <w:r w:rsidRPr="00DE7B77">
        <w:rPr>
          <w:sz w:val="24"/>
          <w:szCs w:val="24"/>
          <w:lang w:eastAsia="da-DK"/>
        </w:rPr>
        <w:t>; vand)</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6.2</w:t>
      </w:r>
      <w:r w:rsidRPr="00DE7B77">
        <w:rPr>
          <w:b/>
          <w:sz w:val="24"/>
          <w:szCs w:val="24"/>
        </w:rPr>
        <w:tab/>
        <w:t>Uforligeligheder</w:t>
      </w:r>
    </w:p>
    <w:p w:rsidR="0032131D" w:rsidRPr="00DE7B77" w:rsidRDefault="0032131D" w:rsidP="0032131D">
      <w:pPr>
        <w:ind w:left="851"/>
        <w:rPr>
          <w:sz w:val="24"/>
          <w:szCs w:val="24"/>
        </w:rPr>
      </w:pPr>
      <w:r w:rsidRPr="00DE7B77">
        <w:rPr>
          <w:sz w:val="24"/>
          <w:szCs w:val="24"/>
        </w:rPr>
        <w:t>Ikke relevant.</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6.3</w:t>
      </w:r>
      <w:r w:rsidRPr="00DE7B77">
        <w:rPr>
          <w:b/>
          <w:sz w:val="24"/>
          <w:szCs w:val="24"/>
        </w:rPr>
        <w:tab/>
        <w:t>Opbevaringstid</w:t>
      </w:r>
    </w:p>
    <w:p w:rsidR="0032131D" w:rsidRPr="00DE7B77" w:rsidRDefault="0032131D" w:rsidP="0032131D">
      <w:pPr>
        <w:ind w:left="851"/>
        <w:rPr>
          <w:sz w:val="24"/>
          <w:szCs w:val="24"/>
        </w:rPr>
      </w:pPr>
      <w:r w:rsidRPr="00DE7B77">
        <w:rPr>
          <w:sz w:val="24"/>
          <w:szCs w:val="24"/>
        </w:rPr>
        <w:t>5 år.</w:t>
      </w:r>
    </w:p>
    <w:p w:rsidR="00883ECA" w:rsidRPr="00DE7B77" w:rsidRDefault="00883ECA" w:rsidP="0032131D">
      <w:pPr>
        <w:ind w:left="851"/>
        <w:rPr>
          <w:sz w:val="24"/>
          <w:szCs w:val="24"/>
        </w:rPr>
      </w:pPr>
    </w:p>
    <w:p w:rsidR="00883ECA" w:rsidRPr="00DE7B77" w:rsidRDefault="00883ECA" w:rsidP="00883ECA">
      <w:pPr>
        <w:ind w:left="851"/>
        <w:rPr>
          <w:i/>
          <w:sz w:val="24"/>
          <w:szCs w:val="24"/>
        </w:rPr>
      </w:pPr>
      <w:r w:rsidRPr="00DE7B77">
        <w:rPr>
          <w:i/>
          <w:sz w:val="24"/>
          <w:szCs w:val="24"/>
        </w:rPr>
        <w:lastRenderedPageBreak/>
        <w:t>HDPE tabletbeholder:</w:t>
      </w:r>
    </w:p>
    <w:p w:rsidR="00883ECA" w:rsidRPr="00DE7B77" w:rsidRDefault="00883ECA" w:rsidP="00883ECA">
      <w:pPr>
        <w:ind w:left="851"/>
        <w:rPr>
          <w:sz w:val="24"/>
          <w:szCs w:val="24"/>
        </w:rPr>
      </w:pPr>
      <w:r w:rsidRPr="00DE7B77">
        <w:rPr>
          <w:sz w:val="24"/>
          <w:szCs w:val="24"/>
        </w:rPr>
        <w:t>Holdbarhed efter første åbning af beholderen er 3 måneder. Må ikke opbevares ved temperaturer over 25 °C.</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6.4</w:t>
      </w:r>
      <w:r w:rsidRPr="00DE7B77">
        <w:rPr>
          <w:b/>
          <w:sz w:val="24"/>
          <w:szCs w:val="24"/>
        </w:rPr>
        <w:tab/>
        <w:t>Særlige opbevaringsforhold</w:t>
      </w:r>
    </w:p>
    <w:p w:rsidR="0032131D" w:rsidRPr="00DE7B77" w:rsidRDefault="0032131D" w:rsidP="0032131D">
      <w:pPr>
        <w:ind w:left="851"/>
        <w:rPr>
          <w:noProof/>
          <w:sz w:val="24"/>
          <w:szCs w:val="24"/>
        </w:rPr>
      </w:pPr>
      <w:r w:rsidRPr="00DE7B77">
        <w:rPr>
          <w:noProof/>
          <w:sz w:val="24"/>
          <w:szCs w:val="24"/>
        </w:rPr>
        <w:t>Dette lægemiddel kræver ingen særlige forholdsregler vedrørende opbevaringen.</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6.5</w:t>
      </w:r>
      <w:r w:rsidRPr="00DE7B77">
        <w:rPr>
          <w:b/>
          <w:sz w:val="24"/>
          <w:szCs w:val="24"/>
        </w:rPr>
        <w:tab/>
        <w:t>Emballagetype og pakningsstørrelser</w:t>
      </w:r>
    </w:p>
    <w:p w:rsidR="0032131D" w:rsidRPr="00DE7B77" w:rsidRDefault="0032131D" w:rsidP="0032131D">
      <w:pPr>
        <w:suppressAutoHyphens/>
        <w:ind w:left="851"/>
        <w:rPr>
          <w:sz w:val="24"/>
          <w:szCs w:val="24"/>
        </w:rPr>
      </w:pPr>
      <w:r w:rsidRPr="00DE7B77">
        <w:rPr>
          <w:sz w:val="24"/>
          <w:szCs w:val="24"/>
        </w:rPr>
        <w:t>Blister (PVC/PVDC-</w:t>
      </w:r>
      <w:proofErr w:type="spellStart"/>
      <w:r w:rsidRPr="00DE7B77">
        <w:rPr>
          <w:sz w:val="24"/>
          <w:szCs w:val="24"/>
        </w:rPr>
        <w:t>Alu</w:t>
      </w:r>
      <w:proofErr w:type="spellEnd"/>
      <w:r w:rsidRPr="00DE7B77">
        <w:rPr>
          <w:sz w:val="24"/>
          <w:szCs w:val="24"/>
        </w:rPr>
        <w:t>-folie), pakket i æsker.</w:t>
      </w:r>
    </w:p>
    <w:p w:rsidR="0032131D" w:rsidRPr="00DE7B77" w:rsidRDefault="0032131D" w:rsidP="0032131D">
      <w:pPr>
        <w:suppressAutoHyphens/>
        <w:ind w:left="851"/>
        <w:rPr>
          <w:sz w:val="24"/>
          <w:szCs w:val="24"/>
        </w:rPr>
      </w:pPr>
    </w:p>
    <w:p w:rsidR="0032131D" w:rsidRPr="00DE7B77" w:rsidRDefault="0032131D" w:rsidP="0032131D">
      <w:pPr>
        <w:suppressAutoHyphens/>
        <w:ind w:left="851"/>
        <w:rPr>
          <w:sz w:val="24"/>
          <w:szCs w:val="24"/>
        </w:rPr>
      </w:pPr>
      <w:r w:rsidRPr="00DE7B77">
        <w:rPr>
          <w:sz w:val="24"/>
          <w:szCs w:val="24"/>
        </w:rPr>
        <w:t>Pakningsstørrelser: 14, 28, 30, 42, 50, 56, 60, 70, 84, 90, 98, 100 og 112 stk.</w:t>
      </w:r>
    </w:p>
    <w:p w:rsidR="00883ECA" w:rsidRPr="00DE7B77" w:rsidRDefault="00883ECA" w:rsidP="0032131D">
      <w:pPr>
        <w:suppressAutoHyphens/>
        <w:ind w:left="851"/>
        <w:rPr>
          <w:sz w:val="24"/>
          <w:szCs w:val="24"/>
        </w:rPr>
      </w:pPr>
    </w:p>
    <w:p w:rsidR="00883ECA" w:rsidRPr="00DE7B77" w:rsidRDefault="00883ECA" w:rsidP="00883ECA">
      <w:pPr>
        <w:suppressAutoHyphens/>
        <w:ind w:left="851"/>
        <w:rPr>
          <w:sz w:val="24"/>
          <w:szCs w:val="24"/>
        </w:rPr>
      </w:pPr>
      <w:proofErr w:type="spellStart"/>
      <w:r w:rsidRPr="00DE7B77">
        <w:rPr>
          <w:sz w:val="24"/>
          <w:szCs w:val="24"/>
        </w:rPr>
        <w:t>Polyethylen</w:t>
      </w:r>
      <w:proofErr w:type="spellEnd"/>
      <w:r w:rsidRPr="00DE7B77">
        <w:rPr>
          <w:sz w:val="24"/>
          <w:szCs w:val="24"/>
        </w:rPr>
        <w:t xml:space="preserve"> (HDPE) tablet beholder med en forsegling af polypropylen, der viser, om den er brudt: 100 filmovertrukne tabletter, i en æske.</w:t>
      </w:r>
    </w:p>
    <w:p w:rsidR="00883ECA" w:rsidRPr="00DE7B77" w:rsidRDefault="00883ECA" w:rsidP="0032131D">
      <w:pPr>
        <w:suppressAutoHyphens/>
        <w:ind w:left="851"/>
        <w:rPr>
          <w:sz w:val="24"/>
          <w:szCs w:val="24"/>
        </w:rPr>
      </w:pPr>
    </w:p>
    <w:p w:rsidR="0032131D" w:rsidRPr="00DE7B77" w:rsidRDefault="0032131D" w:rsidP="0032131D">
      <w:pPr>
        <w:suppressAutoHyphens/>
        <w:ind w:left="851"/>
        <w:rPr>
          <w:sz w:val="24"/>
          <w:szCs w:val="24"/>
        </w:rPr>
      </w:pPr>
      <w:r w:rsidRPr="00DE7B77">
        <w:rPr>
          <w:sz w:val="24"/>
          <w:szCs w:val="24"/>
        </w:rPr>
        <w:t>Ikke alle pakningsstørrelser er nødvendigvis markedsført.</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6.6</w:t>
      </w:r>
      <w:r w:rsidRPr="00DE7B77">
        <w:rPr>
          <w:b/>
          <w:sz w:val="24"/>
          <w:szCs w:val="24"/>
        </w:rPr>
        <w:tab/>
        <w:t xml:space="preserve">Regler for </w:t>
      </w:r>
      <w:r w:rsidR="00DE7B77">
        <w:rPr>
          <w:b/>
          <w:sz w:val="24"/>
          <w:szCs w:val="24"/>
        </w:rPr>
        <w:t>bortskaffelse</w:t>
      </w:r>
      <w:r w:rsidRPr="00DE7B77">
        <w:rPr>
          <w:b/>
          <w:sz w:val="24"/>
          <w:szCs w:val="24"/>
        </w:rPr>
        <w:t xml:space="preserve"> og anden håndtering</w:t>
      </w:r>
    </w:p>
    <w:p w:rsidR="0032131D" w:rsidRPr="00DE7B77" w:rsidRDefault="0032131D" w:rsidP="0032131D">
      <w:pPr>
        <w:ind w:left="851"/>
        <w:rPr>
          <w:sz w:val="24"/>
          <w:szCs w:val="24"/>
        </w:rPr>
      </w:pPr>
      <w:r w:rsidRPr="00DE7B77">
        <w:rPr>
          <w:sz w:val="24"/>
          <w:szCs w:val="24"/>
        </w:rPr>
        <w:t>Ingen særlige forholdsregler ved bortskaffelse.</w:t>
      </w:r>
    </w:p>
    <w:p w:rsidR="0032131D" w:rsidRPr="00DE7B77" w:rsidRDefault="0032131D" w:rsidP="0032131D">
      <w:pPr>
        <w:tabs>
          <w:tab w:val="left" w:pos="851"/>
        </w:tabs>
        <w:jc w:val="both"/>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7.</w:t>
      </w:r>
      <w:r w:rsidRPr="00DE7B77">
        <w:rPr>
          <w:b/>
          <w:sz w:val="24"/>
          <w:szCs w:val="24"/>
        </w:rPr>
        <w:tab/>
        <w:t>INDEHAVER AF MARKEDSFØRINGSTILLADELSEN</w:t>
      </w:r>
    </w:p>
    <w:p w:rsidR="0032131D" w:rsidRPr="00DE7B77" w:rsidRDefault="0032131D" w:rsidP="0032131D">
      <w:pPr>
        <w:suppressAutoHyphens/>
        <w:ind w:left="851"/>
        <w:rPr>
          <w:rFonts w:eastAsia="Calibri"/>
          <w:sz w:val="24"/>
          <w:szCs w:val="24"/>
        </w:rPr>
      </w:pPr>
      <w:r w:rsidRPr="00DE7B77">
        <w:rPr>
          <w:rFonts w:eastAsia="Calibri"/>
          <w:sz w:val="24"/>
          <w:szCs w:val="24"/>
        </w:rPr>
        <w:t xml:space="preserve">KRKA d.d. Novo </w:t>
      </w:r>
      <w:proofErr w:type="spellStart"/>
      <w:r w:rsidRPr="00DE7B77">
        <w:rPr>
          <w:rFonts w:eastAsia="Calibri"/>
          <w:sz w:val="24"/>
          <w:szCs w:val="24"/>
        </w:rPr>
        <w:t>mesto</w:t>
      </w:r>
      <w:proofErr w:type="spellEnd"/>
    </w:p>
    <w:p w:rsidR="0032131D" w:rsidRPr="00DE7B77" w:rsidRDefault="0032131D" w:rsidP="0032131D">
      <w:pPr>
        <w:suppressAutoHyphens/>
        <w:ind w:left="851"/>
        <w:rPr>
          <w:rFonts w:eastAsia="Calibri"/>
          <w:sz w:val="24"/>
          <w:szCs w:val="24"/>
        </w:rPr>
      </w:pPr>
      <w:proofErr w:type="spellStart"/>
      <w:r w:rsidRPr="00DE7B77">
        <w:rPr>
          <w:rFonts w:eastAsia="Calibri"/>
          <w:sz w:val="24"/>
          <w:szCs w:val="24"/>
        </w:rPr>
        <w:t>Smarjeska</w:t>
      </w:r>
      <w:proofErr w:type="spellEnd"/>
      <w:r w:rsidRPr="00DE7B77">
        <w:rPr>
          <w:rFonts w:eastAsia="Calibri"/>
          <w:sz w:val="24"/>
          <w:szCs w:val="24"/>
        </w:rPr>
        <w:t xml:space="preserve"> </w:t>
      </w:r>
      <w:proofErr w:type="spellStart"/>
      <w:r w:rsidRPr="00DE7B77">
        <w:rPr>
          <w:rFonts w:eastAsia="Calibri"/>
          <w:sz w:val="24"/>
          <w:szCs w:val="24"/>
        </w:rPr>
        <w:t>cesta</w:t>
      </w:r>
      <w:proofErr w:type="spellEnd"/>
      <w:r w:rsidRPr="00DE7B77">
        <w:rPr>
          <w:rFonts w:eastAsia="Calibri"/>
          <w:sz w:val="24"/>
          <w:szCs w:val="24"/>
        </w:rPr>
        <w:t xml:space="preserve"> 6</w:t>
      </w:r>
    </w:p>
    <w:p w:rsidR="0032131D" w:rsidRPr="00DE7B77" w:rsidRDefault="0032131D" w:rsidP="0032131D">
      <w:pPr>
        <w:suppressAutoHyphens/>
        <w:ind w:left="851"/>
        <w:rPr>
          <w:rFonts w:eastAsia="Calibri"/>
          <w:sz w:val="24"/>
          <w:szCs w:val="24"/>
        </w:rPr>
      </w:pPr>
      <w:r w:rsidRPr="00DE7B77">
        <w:rPr>
          <w:rFonts w:eastAsia="Calibri"/>
          <w:sz w:val="24"/>
          <w:szCs w:val="24"/>
        </w:rPr>
        <w:t xml:space="preserve">8501 Novo </w:t>
      </w:r>
      <w:proofErr w:type="spellStart"/>
      <w:r w:rsidRPr="00DE7B77">
        <w:rPr>
          <w:rFonts w:eastAsia="Calibri"/>
          <w:sz w:val="24"/>
          <w:szCs w:val="24"/>
        </w:rPr>
        <w:t>mesto</w:t>
      </w:r>
      <w:proofErr w:type="spellEnd"/>
    </w:p>
    <w:p w:rsidR="0032131D" w:rsidRPr="00DE7B77" w:rsidRDefault="0032131D" w:rsidP="0032131D">
      <w:pPr>
        <w:suppressAutoHyphens/>
        <w:ind w:left="851"/>
        <w:rPr>
          <w:sz w:val="24"/>
          <w:szCs w:val="24"/>
        </w:rPr>
      </w:pPr>
      <w:r w:rsidRPr="00DE7B77">
        <w:rPr>
          <w:rFonts w:eastAsia="Calibri"/>
          <w:sz w:val="24"/>
          <w:szCs w:val="24"/>
        </w:rPr>
        <w:t>Slovenien</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8.</w:t>
      </w:r>
      <w:r w:rsidRPr="00DE7B77">
        <w:rPr>
          <w:b/>
          <w:sz w:val="24"/>
          <w:szCs w:val="24"/>
        </w:rPr>
        <w:tab/>
        <w:t>MARKEDSFØRINGSTILLADELSESNUMMER (</w:t>
      </w:r>
      <w:r w:rsidR="00DE7B77">
        <w:rPr>
          <w:b/>
          <w:sz w:val="24"/>
          <w:szCs w:val="24"/>
        </w:rPr>
        <w:t>-</w:t>
      </w:r>
      <w:r w:rsidRPr="00DE7B77">
        <w:rPr>
          <w:b/>
          <w:sz w:val="24"/>
          <w:szCs w:val="24"/>
        </w:rPr>
        <w:t>NUMRE)</w:t>
      </w:r>
    </w:p>
    <w:p w:rsidR="0032131D" w:rsidRPr="00DE7B77" w:rsidRDefault="0032131D" w:rsidP="0032131D">
      <w:pPr>
        <w:tabs>
          <w:tab w:val="left" w:pos="1701"/>
        </w:tabs>
        <w:ind w:left="851" w:hanging="851"/>
        <w:rPr>
          <w:sz w:val="24"/>
          <w:szCs w:val="24"/>
        </w:rPr>
      </w:pPr>
      <w:r w:rsidRPr="00DE7B77">
        <w:rPr>
          <w:sz w:val="24"/>
          <w:szCs w:val="24"/>
        </w:rPr>
        <w:tab/>
        <w:t>10 mg:</w:t>
      </w:r>
      <w:r w:rsidRPr="00DE7B77">
        <w:rPr>
          <w:sz w:val="24"/>
          <w:szCs w:val="24"/>
        </w:rPr>
        <w:tab/>
        <w:t>50866</w:t>
      </w:r>
    </w:p>
    <w:p w:rsidR="0032131D" w:rsidRPr="00DE7B77" w:rsidRDefault="0032131D" w:rsidP="0032131D">
      <w:pPr>
        <w:tabs>
          <w:tab w:val="left" w:pos="1701"/>
        </w:tabs>
        <w:ind w:left="851" w:hanging="851"/>
        <w:rPr>
          <w:sz w:val="24"/>
          <w:szCs w:val="24"/>
        </w:rPr>
      </w:pPr>
      <w:r w:rsidRPr="00DE7B77">
        <w:rPr>
          <w:sz w:val="24"/>
          <w:szCs w:val="24"/>
        </w:rPr>
        <w:tab/>
        <w:t>20 mg:</w:t>
      </w:r>
      <w:r w:rsidRPr="00DE7B77">
        <w:rPr>
          <w:sz w:val="24"/>
          <w:szCs w:val="24"/>
        </w:rPr>
        <w:tab/>
        <w:t>50867</w:t>
      </w:r>
    </w:p>
    <w:p w:rsidR="0032131D" w:rsidRPr="00DE7B77" w:rsidRDefault="0032131D" w:rsidP="0032131D">
      <w:pPr>
        <w:tabs>
          <w:tab w:val="left" w:pos="851"/>
        </w:tabs>
        <w:jc w:val="both"/>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9.</w:t>
      </w:r>
      <w:r w:rsidRPr="00DE7B77">
        <w:rPr>
          <w:b/>
          <w:sz w:val="24"/>
          <w:szCs w:val="24"/>
        </w:rPr>
        <w:tab/>
        <w:t>DATO FOR FØRSTE MARKEDSFØRINGSTILLADELSE</w:t>
      </w:r>
    </w:p>
    <w:p w:rsidR="0032131D" w:rsidRPr="00DE7B77" w:rsidRDefault="0032131D" w:rsidP="0032131D">
      <w:pPr>
        <w:tabs>
          <w:tab w:val="left" w:pos="851"/>
        </w:tabs>
        <w:rPr>
          <w:sz w:val="24"/>
          <w:szCs w:val="24"/>
        </w:rPr>
      </w:pPr>
      <w:r w:rsidRPr="00DE7B77">
        <w:rPr>
          <w:sz w:val="24"/>
          <w:szCs w:val="24"/>
        </w:rPr>
        <w:tab/>
        <w:t>7. januar 2013</w:t>
      </w:r>
    </w:p>
    <w:p w:rsidR="0032131D" w:rsidRPr="00DE7B77" w:rsidRDefault="0032131D" w:rsidP="0032131D">
      <w:pPr>
        <w:tabs>
          <w:tab w:val="left" w:pos="851"/>
        </w:tabs>
        <w:rPr>
          <w:sz w:val="24"/>
          <w:szCs w:val="24"/>
        </w:rPr>
      </w:pPr>
    </w:p>
    <w:p w:rsidR="0032131D" w:rsidRPr="00DE7B77" w:rsidRDefault="0032131D" w:rsidP="0032131D">
      <w:pPr>
        <w:tabs>
          <w:tab w:val="left" w:pos="851"/>
        </w:tabs>
        <w:ind w:left="851" w:hanging="851"/>
        <w:rPr>
          <w:b/>
          <w:sz w:val="24"/>
          <w:szCs w:val="24"/>
        </w:rPr>
      </w:pPr>
      <w:r w:rsidRPr="00DE7B77">
        <w:rPr>
          <w:b/>
          <w:sz w:val="24"/>
          <w:szCs w:val="24"/>
        </w:rPr>
        <w:t>10.</w:t>
      </w:r>
      <w:r w:rsidRPr="00DE7B77">
        <w:rPr>
          <w:b/>
          <w:sz w:val="24"/>
          <w:szCs w:val="24"/>
        </w:rPr>
        <w:tab/>
        <w:t>DATO FOR ÆNDRING AF TEKSTEN</w:t>
      </w:r>
    </w:p>
    <w:p w:rsidR="0032131D" w:rsidRPr="00DE7B77" w:rsidRDefault="0032131D" w:rsidP="0032131D">
      <w:pPr>
        <w:tabs>
          <w:tab w:val="left" w:pos="851"/>
        </w:tabs>
        <w:rPr>
          <w:sz w:val="24"/>
          <w:szCs w:val="24"/>
        </w:rPr>
      </w:pPr>
      <w:r w:rsidRPr="00DE7B77">
        <w:rPr>
          <w:sz w:val="24"/>
          <w:szCs w:val="24"/>
        </w:rPr>
        <w:tab/>
      </w:r>
      <w:r w:rsidR="00DE7B77">
        <w:rPr>
          <w:sz w:val="24"/>
          <w:szCs w:val="24"/>
        </w:rPr>
        <w:t>4</w:t>
      </w:r>
      <w:r w:rsidRPr="00DE7B77">
        <w:rPr>
          <w:sz w:val="24"/>
          <w:szCs w:val="24"/>
        </w:rPr>
        <w:t xml:space="preserve">. </w:t>
      </w:r>
      <w:r w:rsidR="00DE7B77">
        <w:rPr>
          <w:sz w:val="24"/>
          <w:szCs w:val="24"/>
        </w:rPr>
        <w:t>december</w:t>
      </w:r>
      <w:r w:rsidRPr="00DE7B77">
        <w:rPr>
          <w:sz w:val="24"/>
          <w:szCs w:val="24"/>
        </w:rPr>
        <w:t xml:space="preserve"> 20</w:t>
      </w:r>
      <w:r w:rsidR="00883ECA" w:rsidRPr="00DE7B77">
        <w:rPr>
          <w:sz w:val="24"/>
          <w:szCs w:val="24"/>
        </w:rPr>
        <w:t>2</w:t>
      </w:r>
      <w:r w:rsidR="00DE7B77">
        <w:rPr>
          <w:sz w:val="24"/>
          <w:szCs w:val="24"/>
        </w:rPr>
        <w:t>3</w:t>
      </w:r>
    </w:p>
    <w:p w:rsidR="0032131D" w:rsidRPr="00B848ED" w:rsidRDefault="0032131D" w:rsidP="0032131D"/>
    <w:p w:rsidR="0032131D" w:rsidRPr="000234FA" w:rsidRDefault="0032131D" w:rsidP="0032131D"/>
    <w:p w:rsidR="009260DE" w:rsidRPr="0032131D" w:rsidRDefault="009260DE" w:rsidP="0032131D"/>
    <w:sectPr w:rsidR="009260DE" w:rsidRPr="0032131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131D" w:rsidRDefault="0032131D">
      <w:r>
        <w:separator/>
      </w:r>
    </w:p>
  </w:endnote>
  <w:endnote w:type="continuationSeparator" w:id="0">
    <w:p w:rsidR="0032131D" w:rsidRDefault="00321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228CF">
      <w:rPr>
        <w:i/>
        <w:noProof/>
        <w:sz w:val="18"/>
        <w:szCs w:val="18"/>
      </w:rPr>
      <w:t>Mentixa, filmovertrukne tabletter 10 mg og 20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131D" w:rsidRDefault="0032131D">
      <w:r>
        <w:separator/>
      </w:r>
    </w:p>
  </w:footnote>
  <w:footnote w:type="continuationSeparator" w:id="0">
    <w:p w:rsidR="0032131D" w:rsidRDefault="003213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D443CE"/>
    <w:multiLevelType w:val="hybridMultilevel"/>
    <w:tmpl w:val="D3CCBBCA"/>
    <w:lvl w:ilvl="0" w:tplc="FFFFFFFF">
      <w:start w:val="1"/>
      <w:numFmt w:val="bullet"/>
      <w:lvlText w:val="-"/>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31D"/>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2131D"/>
    <w:rsid w:val="003A29AE"/>
    <w:rsid w:val="003A32D7"/>
    <w:rsid w:val="003B4074"/>
    <w:rsid w:val="003C769A"/>
    <w:rsid w:val="003F1838"/>
    <w:rsid w:val="0045746C"/>
    <w:rsid w:val="0049104B"/>
    <w:rsid w:val="004E3B12"/>
    <w:rsid w:val="00532310"/>
    <w:rsid w:val="00560ECC"/>
    <w:rsid w:val="00565F0F"/>
    <w:rsid w:val="00594A86"/>
    <w:rsid w:val="00596D86"/>
    <w:rsid w:val="005B216A"/>
    <w:rsid w:val="00637F5A"/>
    <w:rsid w:val="0064259B"/>
    <w:rsid w:val="006560B1"/>
    <w:rsid w:val="006756DD"/>
    <w:rsid w:val="006F3B23"/>
    <w:rsid w:val="00737275"/>
    <w:rsid w:val="00740EEC"/>
    <w:rsid w:val="0078011A"/>
    <w:rsid w:val="00782AF4"/>
    <w:rsid w:val="00790EE7"/>
    <w:rsid w:val="007B6649"/>
    <w:rsid w:val="0081546F"/>
    <w:rsid w:val="008228CF"/>
    <w:rsid w:val="0082576E"/>
    <w:rsid w:val="00860E1E"/>
    <w:rsid w:val="00883ECA"/>
    <w:rsid w:val="00907F75"/>
    <w:rsid w:val="009260DE"/>
    <w:rsid w:val="0093258A"/>
    <w:rsid w:val="00976556"/>
    <w:rsid w:val="009C7BA3"/>
    <w:rsid w:val="009D1F5A"/>
    <w:rsid w:val="00B003BF"/>
    <w:rsid w:val="00B373D7"/>
    <w:rsid w:val="00BB300F"/>
    <w:rsid w:val="00C36276"/>
    <w:rsid w:val="00C42586"/>
    <w:rsid w:val="00C60CCD"/>
    <w:rsid w:val="00C84483"/>
    <w:rsid w:val="00C95551"/>
    <w:rsid w:val="00CB20D7"/>
    <w:rsid w:val="00CB6892"/>
    <w:rsid w:val="00D020B0"/>
    <w:rsid w:val="00D11748"/>
    <w:rsid w:val="00D366CF"/>
    <w:rsid w:val="00D7088D"/>
    <w:rsid w:val="00DE7B77"/>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186FBC"/>
  <w15:chartTrackingRefBased/>
  <w15:docId w15:val="{EEA06BCE-EA6D-4E7F-83F2-856CDA46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32131D"/>
    <w:pPr>
      <w:spacing w:before="120" w:after="120"/>
      <w:jc w:val="both"/>
    </w:pPr>
    <w:rPr>
      <w:sz w:val="22"/>
      <w:lang w:val="en-US"/>
    </w:rPr>
  </w:style>
  <w:style w:type="character" w:styleId="Hyperlink">
    <w:name w:val="Hyperlink"/>
    <w:basedOn w:val="Standardskrifttypeiafsnit"/>
    <w:uiPriority w:val="99"/>
    <w:unhideWhenUsed/>
    <w:rsid w:val="0032131D"/>
    <w:rPr>
      <w:color w:val="000000"/>
      <w:u w:val="single"/>
    </w:rPr>
  </w:style>
  <w:style w:type="paragraph" w:styleId="NormalWeb">
    <w:name w:val="Normal (Web)"/>
    <w:basedOn w:val="Normal"/>
    <w:uiPriority w:val="99"/>
    <w:semiHidden/>
    <w:unhideWhenUsed/>
    <w:rsid w:val="0032131D"/>
    <w:pPr>
      <w:spacing w:before="45" w:after="100" w:afterAutospacing="1"/>
    </w:pPr>
    <w:rPr>
      <w:sz w:val="22"/>
      <w:szCs w:val="22"/>
      <w:lang w:eastAsia="da-DK"/>
    </w:rPr>
  </w:style>
  <w:style w:type="character" w:styleId="Strk">
    <w:name w:val="Strong"/>
    <w:basedOn w:val="Standardskrifttypeiafsnit"/>
    <w:uiPriority w:val="22"/>
    <w:qFormat/>
    <w:rsid w:val="003213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78516752">
      <w:bodyDiv w:val="1"/>
      <w:marLeft w:val="0"/>
      <w:marRight w:val="0"/>
      <w:marTop w:val="0"/>
      <w:marBottom w:val="0"/>
      <w:divBdr>
        <w:top w:val="none" w:sz="0" w:space="0" w:color="auto"/>
        <w:left w:val="none" w:sz="0" w:space="0" w:color="auto"/>
        <w:bottom w:val="none" w:sz="0" w:space="0" w:color="auto"/>
        <w:right w:val="none" w:sz="0" w:space="0" w:color="auto"/>
      </w:divBdr>
    </w:div>
    <w:div w:id="1000544423">
      <w:bodyDiv w:val="1"/>
      <w:marLeft w:val="0"/>
      <w:marRight w:val="0"/>
      <w:marTop w:val="0"/>
      <w:marBottom w:val="0"/>
      <w:divBdr>
        <w:top w:val="none" w:sz="0" w:space="0" w:color="auto"/>
        <w:left w:val="none" w:sz="0" w:space="0" w:color="auto"/>
        <w:bottom w:val="none" w:sz="0" w:space="0" w:color="auto"/>
        <w:right w:val="none" w:sz="0" w:space="0" w:color="auto"/>
      </w:divBdr>
    </w:div>
    <w:div w:id="1022634518">
      <w:bodyDiv w:val="1"/>
      <w:marLeft w:val="0"/>
      <w:marRight w:val="0"/>
      <w:marTop w:val="0"/>
      <w:marBottom w:val="0"/>
      <w:divBdr>
        <w:top w:val="none" w:sz="0" w:space="0" w:color="auto"/>
        <w:left w:val="none" w:sz="0" w:space="0" w:color="auto"/>
        <w:bottom w:val="none" w:sz="0" w:space="0" w:color="auto"/>
        <w:right w:val="none" w:sz="0" w:space="0" w:color="auto"/>
      </w:divBdr>
    </w:div>
    <w:div w:id="1111390675">
      <w:bodyDiv w:val="1"/>
      <w:marLeft w:val="0"/>
      <w:marRight w:val="0"/>
      <w:marTop w:val="0"/>
      <w:marBottom w:val="0"/>
      <w:divBdr>
        <w:top w:val="none" w:sz="0" w:space="0" w:color="auto"/>
        <w:left w:val="none" w:sz="0" w:space="0" w:color="auto"/>
        <w:bottom w:val="none" w:sz="0" w:space="0" w:color="auto"/>
        <w:right w:val="none" w:sz="0" w:space="0" w:color="auto"/>
      </w:divBdr>
    </w:div>
    <w:div w:id="168297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2869</Words>
  <Characters>18842</Characters>
  <Application>Microsoft Office Word</Application>
  <DocSecurity>0</DocSecurity>
  <Lines>157</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2021112649_x000d_
SPC pkt. 4.6 og overskrifter iht. QRD</dc:description>
  <cp:lastModifiedBy>Victoria Alexsandra Ringgaard</cp:lastModifiedBy>
  <cp:revision>3</cp:revision>
  <cp:lastPrinted>2012-08-22T08:53:00Z</cp:lastPrinted>
  <dcterms:created xsi:type="dcterms:W3CDTF">2023-11-30T08:12:00Z</dcterms:created>
  <dcterms:modified xsi:type="dcterms:W3CDTF">2023-11-30T08:20:00Z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