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18D5B" w14:textId="77777777" w:rsidR="009260DE" w:rsidRPr="007E629E" w:rsidRDefault="0021526C" w:rsidP="009260DE">
      <w:pPr>
        <w:rPr>
          <w:sz w:val="24"/>
          <w:szCs w:val="24"/>
        </w:rPr>
      </w:pPr>
      <w:bookmarkStart w:id="0" w:name="_GoBack"/>
      <w:bookmarkEnd w:id="0"/>
      <w:r w:rsidRPr="007E629E">
        <w:rPr>
          <w:noProof/>
          <w:sz w:val="24"/>
          <w:szCs w:val="24"/>
          <w:lang w:eastAsia="da-DK"/>
        </w:rPr>
        <w:drawing>
          <wp:anchor distT="0" distB="0" distL="114300" distR="114300" simplePos="0" relativeHeight="251658240" behindDoc="0" locked="0" layoutInCell="1" allowOverlap="1" wp14:anchorId="007B3011" wp14:editId="10EFB5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E629E">
        <w:rPr>
          <w:sz w:val="24"/>
          <w:szCs w:val="24"/>
        </w:rPr>
        <w:br w:type="textWrapping" w:clear="all"/>
      </w:r>
    </w:p>
    <w:p w14:paraId="07C036C6" w14:textId="4EC2F12F" w:rsidR="009260DE" w:rsidRPr="007E629E" w:rsidRDefault="009260DE" w:rsidP="009260DE">
      <w:pPr>
        <w:pStyle w:val="Titel"/>
        <w:tabs>
          <w:tab w:val="right" w:pos="9356"/>
        </w:tabs>
        <w:jc w:val="left"/>
        <w:rPr>
          <w:b w:val="0"/>
          <w:szCs w:val="24"/>
          <w:lang w:eastAsia="en-US"/>
        </w:rPr>
      </w:pPr>
      <w:r w:rsidRPr="007E629E">
        <w:rPr>
          <w:b w:val="0"/>
          <w:szCs w:val="24"/>
          <w:lang w:eastAsia="en-US"/>
        </w:rPr>
        <w:tab/>
      </w:r>
      <w:r w:rsidR="003A255F">
        <w:rPr>
          <w:szCs w:val="24"/>
        </w:rPr>
        <w:t>25</w:t>
      </w:r>
      <w:r w:rsidR="003D1E66">
        <w:rPr>
          <w:szCs w:val="24"/>
        </w:rPr>
        <w:t xml:space="preserve">. </w:t>
      </w:r>
      <w:r w:rsidR="003A255F">
        <w:rPr>
          <w:szCs w:val="24"/>
        </w:rPr>
        <w:t>november</w:t>
      </w:r>
      <w:r w:rsidR="003D1E66">
        <w:rPr>
          <w:szCs w:val="24"/>
        </w:rPr>
        <w:t xml:space="preserve"> 202</w:t>
      </w:r>
      <w:r w:rsidR="003A255F">
        <w:rPr>
          <w:szCs w:val="24"/>
        </w:rPr>
        <w:t>4</w:t>
      </w:r>
    </w:p>
    <w:p w14:paraId="74020D10" w14:textId="77777777" w:rsidR="009260DE" w:rsidRPr="007E629E" w:rsidRDefault="009260DE" w:rsidP="009260DE">
      <w:pPr>
        <w:pStyle w:val="Titel"/>
        <w:tabs>
          <w:tab w:val="left" w:pos="8222"/>
        </w:tabs>
        <w:jc w:val="left"/>
        <w:rPr>
          <w:b w:val="0"/>
          <w:szCs w:val="24"/>
        </w:rPr>
      </w:pPr>
    </w:p>
    <w:p w14:paraId="0DBC156D" w14:textId="4F008F23" w:rsidR="009260DE" w:rsidRPr="007E629E" w:rsidRDefault="009260DE" w:rsidP="009260DE">
      <w:pPr>
        <w:pStyle w:val="Titel"/>
        <w:jc w:val="left"/>
        <w:rPr>
          <w:b w:val="0"/>
          <w:szCs w:val="24"/>
        </w:rPr>
      </w:pPr>
    </w:p>
    <w:p w14:paraId="038EBEC2" w14:textId="77777777" w:rsidR="009260DE" w:rsidRPr="007E629E" w:rsidRDefault="009260DE" w:rsidP="009260DE">
      <w:pPr>
        <w:pStyle w:val="Titel"/>
        <w:jc w:val="left"/>
        <w:rPr>
          <w:b w:val="0"/>
          <w:szCs w:val="24"/>
        </w:rPr>
      </w:pPr>
    </w:p>
    <w:p w14:paraId="1638C8E2" w14:textId="77777777" w:rsidR="009260DE" w:rsidRPr="007E629E" w:rsidRDefault="009260DE" w:rsidP="009260DE">
      <w:pPr>
        <w:jc w:val="center"/>
        <w:rPr>
          <w:b/>
          <w:sz w:val="24"/>
          <w:szCs w:val="24"/>
        </w:rPr>
      </w:pPr>
      <w:r w:rsidRPr="007E629E">
        <w:rPr>
          <w:b/>
          <w:sz w:val="24"/>
          <w:szCs w:val="24"/>
        </w:rPr>
        <w:t>PRODUKTRESUMÉ</w:t>
      </w:r>
    </w:p>
    <w:p w14:paraId="1B7F469E" w14:textId="10A0CE81" w:rsidR="009260DE" w:rsidRPr="007E629E" w:rsidRDefault="009260DE" w:rsidP="00096D4F">
      <w:pPr>
        <w:rPr>
          <w:b/>
          <w:sz w:val="24"/>
          <w:szCs w:val="24"/>
        </w:rPr>
      </w:pPr>
    </w:p>
    <w:p w14:paraId="7CC4DDEE" w14:textId="77777777" w:rsidR="009260DE" w:rsidRPr="007E629E" w:rsidRDefault="009260DE" w:rsidP="009260DE">
      <w:pPr>
        <w:jc w:val="center"/>
        <w:rPr>
          <w:b/>
          <w:sz w:val="24"/>
          <w:szCs w:val="24"/>
        </w:rPr>
      </w:pPr>
      <w:r w:rsidRPr="007E629E">
        <w:rPr>
          <w:b/>
          <w:sz w:val="24"/>
          <w:szCs w:val="24"/>
        </w:rPr>
        <w:t>for</w:t>
      </w:r>
    </w:p>
    <w:p w14:paraId="2782FF0E" w14:textId="77777777" w:rsidR="000B058C" w:rsidRPr="007E629E" w:rsidRDefault="000B058C" w:rsidP="009260DE">
      <w:pPr>
        <w:jc w:val="center"/>
        <w:rPr>
          <w:b/>
          <w:sz w:val="24"/>
          <w:szCs w:val="24"/>
        </w:rPr>
      </w:pPr>
    </w:p>
    <w:p w14:paraId="677F7ED8" w14:textId="77EE34EC" w:rsidR="009260DE" w:rsidRPr="007E629E" w:rsidRDefault="00CA2188" w:rsidP="009260DE">
      <w:pPr>
        <w:jc w:val="center"/>
        <w:rPr>
          <w:b/>
          <w:sz w:val="24"/>
          <w:szCs w:val="24"/>
        </w:rPr>
      </w:pPr>
      <w:proofErr w:type="spellStart"/>
      <w:r w:rsidRPr="007E629E">
        <w:rPr>
          <w:b/>
          <w:sz w:val="24"/>
          <w:szCs w:val="24"/>
        </w:rPr>
        <w:t>Mepidental</w:t>
      </w:r>
      <w:proofErr w:type="spellEnd"/>
      <w:r w:rsidRPr="007E629E">
        <w:rPr>
          <w:b/>
          <w:sz w:val="24"/>
          <w:szCs w:val="24"/>
        </w:rPr>
        <w:t xml:space="preserve">, </w:t>
      </w:r>
      <w:r w:rsidR="00B43653" w:rsidRPr="007E629E">
        <w:rPr>
          <w:b/>
          <w:sz w:val="24"/>
          <w:szCs w:val="24"/>
        </w:rPr>
        <w:t>injektionsvæske, opløsning i cylinderampul</w:t>
      </w:r>
    </w:p>
    <w:p w14:paraId="21321E9B" w14:textId="77777777" w:rsidR="009260DE" w:rsidRPr="007E629E" w:rsidRDefault="009260DE" w:rsidP="009260DE">
      <w:pPr>
        <w:jc w:val="both"/>
        <w:rPr>
          <w:sz w:val="24"/>
          <w:szCs w:val="24"/>
        </w:rPr>
      </w:pPr>
    </w:p>
    <w:p w14:paraId="1ACCD6A2" w14:textId="77777777" w:rsidR="009260DE" w:rsidRPr="007E629E" w:rsidRDefault="009260DE" w:rsidP="009260DE">
      <w:pPr>
        <w:jc w:val="both"/>
        <w:rPr>
          <w:sz w:val="24"/>
          <w:szCs w:val="24"/>
        </w:rPr>
      </w:pPr>
    </w:p>
    <w:p w14:paraId="3F52D2C7" w14:textId="77777777" w:rsidR="009260DE" w:rsidRPr="007E629E" w:rsidRDefault="009260DE" w:rsidP="009260DE">
      <w:pPr>
        <w:tabs>
          <w:tab w:val="left" w:pos="851"/>
        </w:tabs>
        <w:ind w:left="851" w:hanging="851"/>
        <w:rPr>
          <w:b/>
          <w:sz w:val="24"/>
          <w:szCs w:val="24"/>
        </w:rPr>
      </w:pPr>
      <w:r w:rsidRPr="007E629E">
        <w:rPr>
          <w:b/>
          <w:sz w:val="24"/>
          <w:szCs w:val="24"/>
        </w:rPr>
        <w:t>0.</w:t>
      </w:r>
      <w:r w:rsidRPr="007E629E">
        <w:rPr>
          <w:b/>
          <w:sz w:val="24"/>
          <w:szCs w:val="24"/>
        </w:rPr>
        <w:tab/>
        <w:t>D.SP.NR.</w:t>
      </w:r>
    </w:p>
    <w:p w14:paraId="676CF289" w14:textId="64F1DF28" w:rsidR="009260DE" w:rsidRPr="007E629E" w:rsidRDefault="00B43653" w:rsidP="009260DE">
      <w:pPr>
        <w:tabs>
          <w:tab w:val="left" w:pos="851"/>
        </w:tabs>
        <w:ind w:left="851"/>
        <w:rPr>
          <w:sz w:val="24"/>
          <w:szCs w:val="24"/>
        </w:rPr>
      </w:pPr>
      <w:r w:rsidRPr="007E629E">
        <w:rPr>
          <w:sz w:val="24"/>
          <w:szCs w:val="24"/>
        </w:rPr>
        <w:t>32430</w:t>
      </w:r>
    </w:p>
    <w:p w14:paraId="59A14E3B" w14:textId="77777777" w:rsidR="009260DE" w:rsidRPr="007E629E" w:rsidRDefault="009260DE" w:rsidP="009260DE">
      <w:pPr>
        <w:tabs>
          <w:tab w:val="left" w:pos="851"/>
        </w:tabs>
        <w:ind w:left="851"/>
        <w:rPr>
          <w:sz w:val="24"/>
          <w:szCs w:val="24"/>
        </w:rPr>
      </w:pPr>
    </w:p>
    <w:p w14:paraId="1C430CD2" w14:textId="77777777" w:rsidR="009260DE" w:rsidRPr="007E629E" w:rsidRDefault="009260DE" w:rsidP="009260DE">
      <w:pPr>
        <w:tabs>
          <w:tab w:val="left" w:pos="851"/>
        </w:tabs>
        <w:ind w:left="851" w:hanging="851"/>
        <w:rPr>
          <w:b/>
          <w:sz w:val="24"/>
          <w:szCs w:val="24"/>
        </w:rPr>
      </w:pPr>
      <w:r w:rsidRPr="007E629E">
        <w:rPr>
          <w:b/>
          <w:sz w:val="24"/>
          <w:szCs w:val="24"/>
        </w:rPr>
        <w:t>1.</w:t>
      </w:r>
      <w:r w:rsidRPr="007E629E">
        <w:rPr>
          <w:b/>
          <w:sz w:val="24"/>
          <w:szCs w:val="24"/>
        </w:rPr>
        <w:tab/>
        <w:t>LÆGEMIDLETS NAVN</w:t>
      </w:r>
    </w:p>
    <w:p w14:paraId="534F9088" w14:textId="1EAA32E9" w:rsidR="009260DE" w:rsidRPr="007E629E" w:rsidRDefault="00B43653" w:rsidP="009260DE">
      <w:pPr>
        <w:tabs>
          <w:tab w:val="left" w:pos="851"/>
        </w:tabs>
        <w:ind w:left="851"/>
        <w:rPr>
          <w:sz w:val="24"/>
          <w:szCs w:val="24"/>
        </w:rPr>
      </w:pPr>
      <w:proofErr w:type="spellStart"/>
      <w:r w:rsidRPr="007E629E">
        <w:rPr>
          <w:sz w:val="24"/>
          <w:szCs w:val="24"/>
        </w:rPr>
        <w:t>Mepidental</w:t>
      </w:r>
      <w:proofErr w:type="spellEnd"/>
    </w:p>
    <w:p w14:paraId="2E688CBF" w14:textId="77777777" w:rsidR="009260DE" w:rsidRPr="007E629E" w:rsidRDefault="009260DE" w:rsidP="009260DE">
      <w:pPr>
        <w:tabs>
          <w:tab w:val="left" w:pos="851"/>
        </w:tabs>
        <w:ind w:left="851"/>
        <w:rPr>
          <w:sz w:val="24"/>
          <w:szCs w:val="24"/>
        </w:rPr>
      </w:pPr>
    </w:p>
    <w:p w14:paraId="7BEC3EF8" w14:textId="77777777" w:rsidR="009260DE" w:rsidRPr="007E629E" w:rsidRDefault="009260DE" w:rsidP="009260DE">
      <w:pPr>
        <w:tabs>
          <w:tab w:val="left" w:pos="851"/>
        </w:tabs>
        <w:ind w:left="851" w:hanging="851"/>
        <w:rPr>
          <w:b/>
          <w:sz w:val="24"/>
          <w:szCs w:val="24"/>
        </w:rPr>
      </w:pPr>
      <w:r w:rsidRPr="007E629E">
        <w:rPr>
          <w:b/>
          <w:sz w:val="24"/>
          <w:szCs w:val="24"/>
        </w:rPr>
        <w:t>2.</w:t>
      </w:r>
      <w:r w:rsidRPr="007E629E">
        <w:rPr>
          <w:b/>
          <w:sz w:val="24"/>
          <w:szCs w:val="24"/>
        </w:rPr>
        <w:tab/>
        <w:t>KVALITATIV OG KVANTITATIV SAMMENSÆTNING</w:t>
      </w:r>
    </w:p>
    <w:p w14:paraId="1B5E3087" w14:textId="77777777" w:rsidR="00D930AB" w:rsidRPr="007E629E" w:rsidRDefault="00D930AB" w:rsidP="009A1C0D">
      <w:pPr>
        <w:ind w:left="851"/>
        <w:rPr>
          <w:sz w:val="24"/>
          <w:szCs w:val="24"/>
          <w:lang w:eastAsia="en-GB"/>
        </w:rPr>
      </w:pPr>
      <w:r w:rsidRPr="007E629E">
        <w:rPr>
          <w:sz w:val="24"/>
          <w:szCs w:val="24"/>
        </w:rPr>
        <w:t xml:space="preserve">1 ml injektionsvæske, opløsning, indeholder 30 mg </w:t>
      </w:r>
      <w:proofErr w:type="spellStart"/>
      <w:r w:rsidRPr="007E629E">
        <w:rPr>
          <w:sz w:val="24"/>
          <w:szCs w:val="24"/>
        </w:rPr>
        <w:t>mepivacainhydrochlorid</w:t>
      </w:r>
      <w:proofErr w:type="spellEnd"/>
      <w:r w:rsidRPr="007E629E">
        <w:rPr>
          <w:sz w:val="24"/>
          <w:szCs w:val="24"/>
        </w:rPr>
        <w:t>.</w:t>
      </w:r>
    </w:p>
    <w:p w14:paraId="07785F6C" w14:textId="77777777" w:rsidR="00D930AB" w:rsidRPr="007E629E" w:rsidRDefault="00D930AB" w:rsidP="009A1C0D">
      <w:pPr>
        <w:ind w:left="851"/>
        <w:rPr>
          <w:sz w:val="24"/>
          <w:szCs w:val="24"/>
        </w:rPr>
      </w:pPr>
    </w:p>
    <w:p w14:paraId="2FF16470" w14:textId="77777777" w:rsidR="00D930AB" w:rsidRPr="007E629E" w:rsidRDefault="00D930AB" w:rsidP="009A1C0D">
      <w:pPr>
        <w:ind w:left="851"/>
        <w:rPr>
          <w:sz w:val="24"/>
          <w:szCs w:val="24"/>
        </w:rPr>
      </w:pPr>
      <w:r w:rsidRPr="007E629E">
        <w:rPr>
          <w:sz w:val="24"/>
          <w:szCs w:val="24"/>
        </w:rPr>
        <w:t xml:space="preserve">Hver cylinderampul med 1,8 ml injektionsvæske, opløsning indeholder 54 mg </w:t>
      </w:r>
      <w:proofErr w:type="spellStart"/>
      <w:r w:rsidRPr="007E629E">
        <w:rPr>
          <w:sz w:val="24"/>
          <w:szCs w:val="24"/>
        </w:rPr>
        <w:t>mepivacainhydrochlorid</w:t>
      </w:r>
      <w:proofErr w:type="spellEnd"/>
      <w:r w:rsidRPr="007E629E">
        <w:rPr>
          <w:sz w:val="24"/>
          <w:szCs w:val="24"/>
        </w:rPr>
        <w:t>.</w:t>
      </w:r>
    </w:p>
    <w:p w14:paraId="5AA6EAFC" w14:textId="77777777" w:rsidR="00D930AB" w:rsidRPr="007E629E" w:rsidRDefault="00D930AB" w:rsidP="009A1C0D">
      <w:pPr>
        <w:ind w:left="851"/>
        <w:rPr>
          <w:sz w:val="24"/>
          <w:szCs w:val="24"/>
        </w:rPr>
      </w:pPr>
    </w:p>
    <w:p w14:paraId="5091BEA1" w14:textId="77777777" w:rsidR="00D930AB" w:rsidRPr="007E629E" w:rsidRDefault="00D930AB" w:rsidP="009A1C0D">
      <w:pPr>
        <w:ind w:left="851"/>
        <w:rPr>
          <w:sz w:val="24"/>
          <w:szCs w:val="24"/>
          <w:u w:val="single"/>
          <w:lang w:eastAsia="en-GB"/>
        </w:rPr>
      </w:pPr>
      <w:r w:rsidRPr="007E629E">
        <w:rPr>
          <w:sz w:val="24"/>
          <w:szCs w:val="24"/>
          <w:u w:val="single"/>
        </w:rPr>
        <w:t xml:space="preserve">Hjælpestof(fer), som behandleren skal være opmærksom på </w:t>
      </w:r>
    </w:p>
    <w:p w14:paraId="024B14B6" w14:textId="77777777" w:rsidR="00D930AB" w:rsidRPr="007E629E" w:rsidRDefault="00D930AB" w:rsidP="009A1C0D">
      <w:pPr>
        <w:ind w:left="851"/>
        <w:rPr>
          <w:sz w:val="24"/>
          <w:szCs w:val="24"/>
          <w:u w:val="single"/>
        </w:rPr>
      </w:pPr>
      <w:r w:rsidRPr="007E629E">
        <w:rPr>
          <w:sz w:val="24"/>
          <w:szCs w:val="24"/>
        </w:rPr>
        <w:t>Hver ml indeholder 1,18 mg natrium.</w:t>
      </w:r>
    </w:p>
    <w:p w14:paraId="15664504" w14:textId="77777777" w:rsidR="00D930AB" w:rsidRPr="007E629E" w:rsidRDefault="00D930AB" w:rsidP="009A1C0D">
      <w:pPr>
        <w:ind w:left="851"/>
        <w:rPr>
          <w:sz w:val="24"/>
          <w:szCs w:val="24"/>
          <w:u w:val="single"/>
        </w:rPr>
      </w:pPr>
    </w:p>
    <w:p w14:paraId="0F725518" w14:textId="77777777" w:rsidR="00D930AB" w:rsidRPr="007E629E" w:rsidRDefault="00D930AB" w:rsidP="009A1C0D">
      <w:pPr>
        <w:ind w:left="851"/>
        <w:rPr>
          <w:sz w:val="24"/>
          <w:szCs w:val="24"/>
        </w:rPr>
      </w:pPr>
      <w:r w:rsidRPr="007E629E">
        <w:rPr>
          <w:sz w:val="24"/>
          <w:szCs w:val="24"/>
        </w:rPr>
        <w:t>Alle hjælpestoffer er anført under pkt. 6.1.</w:t>
      </w:r>
    </w:p>
    <w:p w14:paraId="65E46FF5" w14:textId="77777777" w:rsidR="009260DE" w:rsidRPr="007E629E" w:rsidRDefault="009260DE" w:rsidP="009260DE">
      <w:pPr>
        <w:tabs>
          <w:tab w:val="left" w:pos="851"/>
        </w:tabs>
        <w:ind w:left="851"/>
        <w:rPr>
          <w:sz w:val="24"/>
          <w:szCs w:val="24"/>
        </w:rPr>
      </w:pPr>
    </w:p>
    <w:p w14:paraId="07A80963" w14:textId="77777777" w:rsidR="009260DE" w:rsidRPr="007E629E" w:rsidRDefault="009260DE" w:rsidP="009260DE">
      <w:pPr>
        <w:tabs>
          <w:tab w:val="left" w:pos="851"/>
        </w:tabs>
        <w:ind w:left="851" w:hanging="851"/>
        <w:rPr>
          <w:b/>
          <w:sz w:val="24"/>
          <w:szCs w:val="24"/>
        </w:rPr>
      </w:pPr>
      <w:r w:rsidRPr="007E629E">
        <w:rPr>
          <w:b/>
          <w:sz w:val="24"/>
          <w:szCs w:val="24"/>
        </w:rPr>
        <w:t>3.</w:t>
      </w:r>
      <w:r w:rsidRPr="007E629E">
        <w:rPr>
          <w:b/>
          <w:sz w:val="24"/>
          <w:szCs w:val="24"/>
        </w:rPr>
        <w:tab/>
        <w:t>LÆGEMIDDELFORM</w:t>
      </w:r>
    </w:p>
    <w:p w14:paraId="5B703E44" w14:textId="7217D050" w:rsidR="00D930AB" w:rsidRPr="007E629E" w:rsidRDefault="00D930AB" w:rsidP="009A1C0D">
      <w:pPr>
        <w:ind w:left="851"/>
        <w:rPr>
          <w:sz w:val="24"/>
          <w:szCs w:val="24"/>
          <w:lang w:eastAsia="en-GB"/>
        </w:rPr>
      </w:pPr>
      <w:r w:rsidRPr="007E629E">
        <w:rPr>
          <w:sz w:val="24"/>
          <w:szCs w:val="24"/>
        </w:rPr>
        <w:t>Injektionsvæske, opløsning, i en cylinderampul</w:t>
      </w:r>
    </w:p>
    <w:p w14:paraId="7C119D34" w14:textId="77777777" w:rsidR="00D930AB" w:rsidRPr="007E629E" w:rsidRDefault="00D930AB" w:rsidP="009A1C0D">
      <w:pPr>
        <w:ind w:left="851"/>
        <w:rPr>
          <w:sz w:val="24"/>
          <w:szCs w:val="24"/>
        </w:rPr>
      </w:pPr>
      <w:r w:rsidRPr="007E629E">
        <w:rPr>
          <w:sz w:val="24"/>
          <w:szCs w:val="24"/>
        </w:rPr>
        <w:t xml:space="preserve">Klar og farveløs opløsning. </w:t>
      </w:r>
    </w:p>
    <w:p w14:paraId="4AC8C050" w14:textId="77777777" w:rsidR="00D930AB" w:rsidRPr="007E629E" w:rsidRDefault="00D930AB" w:rsidP="009A1C0D">
      <w:pPr>
        <w:ind w:left="851"/>
        <w:rPr>
          <w:sz w:val="24"/>
          <w:szCs w:val="24"/>
        </w:rPr>
      </w:pPr>
      <w:r w:rsidRPr="007E629E">
        <w:rPr>
          <w:sz w:val="24"/>
          <w:szCs w:val="24"/>
        </w:rPr>
        <w:t xml:space="preserve">pH: 5,5 – 6,5 </w:t>
      </w:r>
    </w:p>
    <w:p w14:paraId="1286909C" w14:textId="77777777" w:rsidR="00D930AB" w:rsidRPr="007E629E" w:rsidRDefault="00D930AB" w:rsidP="009A1C0D">
      <w:pPr>
        <w:ind w:left="851"/>
        <w:rPr>
          <w:sz w:val="24"/>
          <w:szCs w:val="24"/>
        </w:rPr>
      </w:pPr>
      <w:proofErr w:type="spellStart"/>
      <w:r w:rsidRPr="007E629E">
        <w:rPr>
          <w:sz w:val="24"/>
          <w:szCs w:val="24"/>
        </w:rPr>
        <w:t>Osmolalitet</w:t>
      </w:r>
      <w:proofErr w:type="spellEnd"/>
      <w:r w:rsidRPr="007E629E">
        <w:rPr>
          <w:sz w:val="24"/>
          <w:szCs w:val="24"/>
        </w:rPr>
        <w:t>: 272–300 </w:t>
      </w:r>
      <w:proofErr w:type="spellStart"/>
      <w:r w:rsidRPr="007E629E">
        <w:rPr>
          <w:sz w:val="24"/>
          <w:szCs w:val="24"/>
        </w:rPr>
        <w:t>mOsm</w:t>
      </w:r>
      <w:proofErr w:type="spellEnd"/>
      <w:r w:rsidRPr="007E629E">
        <w:rPr>
          <w:sz w:val="24"/>
          <w:szCs w:val="24"/>
        </w:rPr>
        <w:t>/Kg</w:t>
      </w:r>
    </w:p>
    <w:p w14:paraId="547CC659" w14:textId="3729D8D5" w:rsidR="009260DE" w:rsidRPr="007E629E" w:rsidRDefault="009260DE" w:rsidP="009260DE">
      <w:pPr>
        <w:tabs>
          <w:tab w:val="left" w:pos="851"/>
        </w:tabs>
        <w:ind w:left="851"/>
        <w:rPr>
          <w:sz w:val="24"/>
          <w:szCs w:val="24"/>
        </w:rPr>
      </w:pPr>
    </w:p>
    <w:p w14:paraId="05D66469" w14:textId="77777777" w:rsidR="009260DE" w:rsidRPr="007E629E" w:rsidRDefault="009260DE" w:rsidP="009260DE">
      <w:pPr>
        <w:tabs>
          <w:tab w:val="left" w:pos="851"/>
        </w:tabs>
        <w:ind w:left="851"/>
        <w:rPr>
          <w:sz w:val="24"/>
          <w:szCs w:val="24"/>
        </w:rPr>
      </w:pPr>
    </w:p>
    <w:p w14:paraId="0CD6B5E9" w14:textId="77777777" w:rsidR="009260DE" w:rsidRPr="007E629E" w:rsidRDefault="009260DE" w:rsidP="009260DE">
      <w:pPr>
        <w:tabs>
          <w:tab w:val="left" w:pos="851"/>
        </w:tabs>
        <w:ind w:left="851" w:hanging="851"/>
        <w:rPr>
          <w:b/>
          <w:sz w:val="24"/>
          <w:szCs w:val="24"/>
        </w:rPr>
      </w:pPr>
      <w:r w:rsidRPr="007E629E">
        <w:rPr>
          <w:b/>
          <w:sz w:val="24"/>
          <w:szCs w:val="24"/>
        </w:rPr>
        <w:t>4.</w:t>
      </w:r>
      <w:r w:rsidRPr="007E629E">
        <w:rPr>
          <w:b/>
          <w:sz w:val="24"/>
          <w:szCs w:val="24"/>
        </w:rPr>
        <w:tab/>
        <w:t>KLINISKE OPLYSNINGER</w:t>
      </w:r>
    </w:p>
    <w:p w14:paraId="240D741A" w14:textId="77777777" w:rsidR="009260DE" w:rsidRPr="007E629E" w:rsidRDefault="009260DE" w:rsidP="009260DE">
      <w:pPr>
        <w:tabs>
          <w:tab w:val="left" w:pos="851"/>
        </w:tabs>
        <w:ind w:left="851"/>
        <w:rPr>
          <w:b/>
          <w:sz w:val="24"/>
          <w:szCs w:val="24"/>
        </w:rPr>
      </w:pPr>
    </w:p>
    <w:p w14:paraId="332BD5B9" w14:textId="77777777" w:rsidR="009260DE" w:rsidRPr="007E629E" w:rsidRDefault="009260DE" w:rsidP="009260DE">
      <w:pPr>
        <w:tabs>
          <w:tab w:val="left" w:pos="851"/>
        </w:tabs>
        <w:ind w:left="851" w:hanging="851"/>
        <w:rPr>
          <w:b/>
          <w:sz w:val="24"/>
          <w:szCs w:val="24"/>
          <w:u w:val="single"/>
        </w:rPr>
      </w:pPr>
      <w:r w:rsidRPr="007E629E">
        <w:rPr>
          <w:b/>
          <w:sz w:val="24"/>
          <w:szCs w:val="24"/>
        </w:rPr>
        <w:t>4.1</w:t>
      </w:r>
      <w:r w:rsidRPr="007E629E">
        <w:rPr>
          <w:b/>
          <w:sz w:val="24"/>
          <w:szCs w:val="24"/>
        </w:rPr>
        <w:tab/>
        <w:t>Terapeutiske indikationer</w:t>
      </w:r>
    </w:p>
    <w:p w14:paraId="272D83B5" w14:textId="77777777" w:rsidR="00D930AB" w:rsidRPr="007E629E" w:rsidRDefault="00D930AB" w:rsidP="009A1C0D">
      <w:pPr>
        <w:ind w:left="851"/>
        <w:rPr>
          <w:color w:val="000000"/>
          <w:sz w:val="24"/>
          <w:szCs w:val="24"/>
          <w:lang w:eastAsia="en-GB"/>
        </w:rPr>
      </w:pPr>
      <w:proofErr w:type="spellStart"/>
      <w:r w:rsidRPr="007E629E">
        <w:rPr>
          <w:sz w:val="24"/>
          <w:szCs w:val="24"/>
        </w:rPr>
        <w:t>Mepidental</w:t>
      </w:r>
      <w:proofErr w:type="spellEnd"/>
      <w:r w:rsidRPr="007E629E">
        <w:rPr>
          <w:sz w:val="24"/>
          <w:szCs w:val="24"/>
        </w:rPr>
        <w:t xml:space="preserve"> 30 mg/ml er et </w:t>
      </w:r>
      <w:proofErr w:type="spellStart"/>
      <w:r w:rsidRPr="007E629E">
        <w:rPr>
          <w:sz w:val="24"/>
          <w:szCs w:val="24"/>
        </w:rPr>
        <w:t>lokalanalgetikum</w:t>
      </w:r>
      <w:proofErr w:type="spellEnd"/>
      <w:r w:rsidRPr="007E629E">
        <w:rPr>
          <w:sz w:val="24"/>
          <w:szCs w:val="24"/>
        </w:rPr>
        <w:t xml:space="preserve">, der er indiceret til lokal og </w:t>
      </w:r>
      <w:proofErr w:type="spellStart"/>
      <w:r w:rsidRPr="007E629E">
        <w:rPr>
          <w:sz w:val="24"/>
          <w:szCs w:val="24"/>
        </w:rPr>
        <w:t>loko</w:t>
      </w:r>
      <w:proofErr w:type="spellEnd"/>
      <w:r w:rsidRPr="007E629E">
        <w:rPr>
          <w:sz w:val="24"/>
          <w:szCs w:val="24"/>
        </w:rPr>
        <w:t>-regional anæstesi ved tandkirurgi hos voksne, unge og børn over 4 år (legemsvægt ca. 20 kg).</w:t>
      </w:r>
    </w:p>
    <w:p w14:paraId="72C507FA" w14:textId="77777777" w:rsidR="009260DE" w:rsidRPr="007E629E" w:rsidRDefault="009260DE" w:rsidP="009260DE">
      <w:pPr>
        <w:tabs>
          <w:tab w:val="left" w:pos="851"/>
        </w:tabs>
        <w:ind w:left="851"/>
        <w:rPr>
          <w:sz w:val="24"/>
          <w:szCs w:val="24"/>
        </w:rPr>
      </w:pPr>
    </w:p>
    <w:p w14:paraId="0BCFFF54" w14:textId="7CCAE9CB" w:rsidR="009260DE" w:rsidRPr="007E629E" w:rsidRDefault="009260DE" w:rsidP="009260DE">
      <w:pPr>
        <w:tabs>
          <w:tab w:val="left" w:pos="851"/>
        </w:tabs>
        <w:ind w:left="851" w:hanging="851"/>
        <w:rPr>
          <w:b/>
          <w:sz w:val="24"/>
          <w:szCs w:val="24"/>
        </w:rPr>
      </w:pPr>
      <w:r w:rsidRPr="007E629E">
        <w:rPr>
          <w:b/>
          <w:sz w:val="24"/>
          <w:szCs w:val="24"/>
        </w:rPr>
        <w:t>4.2</w:t>
      </w:r>
      <w:r w:rsidRPr="007E629E">
        <w:rPr>
          <w:b/>
          <w:sz w:val="24"/>
          <w:szCs w:val="24"/>
        </w:rPr>
        <w:tab/>
        <w:t xml:space="preserve">Dosering og </w:t>
      </w:r>
      <w:r w:rsidR="00B60B88">
        <w:rPr>
          <w:b/>
          <w:sz w:val="24"/>
          <w:szCs w:val="24"/>
        </w:rPr>
        <w:t>administration</w:t>
      </w:r>
    </w:p>
    <w:p w14:paraId="7A55D835" w14:textId="77777777" w:rsidR="00D930AB" w:rsidRPr="007E629E" w:rsidRDefault="00D930AB" w:rsidP="009A1C0D">
      <w:pPr>
        <w:ind w:left="851"/>
        <w:rPr>
          <w:sz w:val="24"/>
          <w:szCs w:val="24"/>
          <w:lang w:eastAsia="en-GB"/>
        </w:rPr>
      </w:pPr>
      <w:r w:rsidRPr="007E629E">
        <w:rPr>
          <w:sz w:val="24"/>
          <w:szCs w:val="24"/>
        </w:rPr>
        <w:t xml:space="preserve">Lægemidlet må kun anvendes af eller under tilsyn af tandlæger, </w:t>
      </w:r>
      <w:proofErr w:type="spellStart"/>
      <w:r w:rsidRPr="007E629E">
        <w:rPr>
          <w:sz w:val="24"/>
          <w:szCs w:val="24"/>
        </w:rPr>
        <w:t>stomatologer</w:t>
      </w:r>
      <w:proofErr w:type="spellEnd"/>
      <w:r w:rsidRPr="007E629E">
        <w:rPr>
          <w:sz w:val="24"/>
          <w:szCs w:val="24"/>
        </w:rPr>
        <w:t xml:space="preserve"> eller andre klinikere, som er tilstrækkeligt uddannet og har kendskab til diagnosticering og behandling af systemisk toksicitet. Tilgængeligheden af passende genoplivningsudstyr og medicin samt tilstrækkeligt uddannet personale anbefales inden induktion af regional anæstesi med </w:t>
      </w:r>
      <w:proofErr w:type="spellStart"/>
      <w:r w:rsidRPr="007E629E">
        <w:rPr>
          <w:sz w:val="24"/>
          <w:szCs w:val="24"/>
        </w:rPr>
        <w:lastRenderedPageBreak/>
        <w:t>lokalanæstetika</w:t>
      </w:r>
      <w:proofErr w:type="spellEnd"/>
      <w:r w:rsidRPr="007E629E">
        <w:rPr>
          <w:sz w:val="24"/>
          <w:szCs w:val="24"/>
        </w:rPr>
        <w:t xml:space="preserve"> for at muliggøre hurtig behandling af alle respiratoriske og </w:t>
      </w:r>
      <w:proofErr w:type="spellStart"/>
      <w:r w:rsidRPr="007E629E">
        <w:rPr>
          <w:sz w:val="24"/>
          <w:szCs w:val="24"/>
        </w:rPr>
        <w:t>kardiovaskulære</w:t>
      </w:r>
      <w:proofErr w:type="spellEnd"/>
      <w:r w:rsidRPr="007E629E">
        <w:rPr>
          <w:sz w:val="24"/>
          <w:szCs w:val="24"/>
        </w:rPr>
        <w:t xml:space="preserve"> nødsituationer. Patientens bevidsthedsstatus skal overvåges efter hver injektion af </w:t>
      </w:r>
      <w:proofErr w:type="spellStart"/>
      <w:r w:rsidRPr="007E629E">
        <w:rPr>
          <w:sz w:val="24"/>
          <w:szCs w:val="24"/>
        </w:rPr>
        <w:t>lokalanæstetika</w:t>
      </w:r>
      <w:proofErr w:type="spellEnd"/>
      <w:r w:rsidRPr="007E629E">
        <w:rPr>
          <w:sz w:val="24"/>
          <w:szCs w:val="24"/>
        </w:rPr>
        <w:t>.</w:t>
      </w:r>
    </w:p>
    <w:p w14:paraId="4A546996" w14:textId="77777777" w:rsidR="00D930AB" w:rsidRPr="007E629E" w:rsidRDefault="00D930AB" w:rsidP="009A1C0D">
      <w:pPr>
        <w:ind w:left="851"/>
        <w:rPr>
          <w:sz w:val="24"/>
          <w:szCs w:val="24"/>
        </w:rPr>
      </w:pPr>
    </w:p>
    <w:p w14:paraId="236386F8" w14:textId="77777777" w:rsidR="00D930AB" w:rsidRPr="007E629E" w:rsidRDefault="00D930AB" w:rsidP="009A1C0D">
      <w:pPr>
        <w:ind w:left="851"/>
        <w:rPr>
          <w:sz w:val="24"/>
          <w:szCs w:val="24"/>
          <w:u w:val="single"/>
          <w:lang w:eastAsia="en-GB"/>
        </w:rPr>
      </w:pPr>
      <w:r w:rsidRPr="007E629E">
        <w:rPr>
          <w:sz w:val="24"/>
          <w:szCs w:val="24"/>
          <w:u w:val="single"/>
        </w:rPr>
        <w:t>Dosering</w:t>
      </w:r>
    </w:p>
    <w:p w14:paraId="3C3DAC04" w14:textId="77777777" w:rsidR="00D930AB" w:rsidRPr="007E629E" w:rsidRDefault="00D930AB" w:rsidP="009A1C0D">
      <w:pPr>
        <w:ind w:left="851"/>
        <w:rPr>
          <w:sz w:val="24"/>
          <w:szCs w:val="24"/>
        </w:rPr>
      </w:pPr>
      <w:r w:rsidRPr="007E629E">
        <w:rPr>
          <w:sz w:val="24"/>
          <w:szCs w:val="24"/>
        </w:rPr>
        <w:t xml:space="preserve">Da fravær af smerte er relateret til den individuelle patients følsomhed, skal den laveste dosis </w:t>
      </w:r>
      <w:proofErr w:type="spellStart"/>
      <w:r w:rsidRPr="007E629E">
        <w:rPr>
          <w:sz w:val="24"/>
          <w:szCs w:val="24"/>
        </w:rPr>
        <w:t>anæstetika</w:t>
      </w:r>
      <w:proofErr w:type="spellEnd"/>
      <w:r w:rsidRPr="007E629E">
        <w:rPr>
          <w:sz w:val="24"/>
          <w:szCs w:val="24"/>
        </w:rPr>
        <w:t>, der giver effektiv anæstesi, anvendes. Ved mere omfattende indgreb kan det være nødvendigt med en eller flere cylinderampuller uden at overskride den maksimalt anbefalede dosis.</w:t>
      </w:r>
    </w:p>
    <w:p w14:paraId="24FCD9B7" w14:textId="77777777" w:rsidR="00D930AB" w:rsidRPr="007E629E" w:rsidRDefault="00D930AB" w:rsidP="009A1C0D">
      <w:pPr>
        <w:ind w:left="851"/>
        <w:rPr>
          <w:sz w:val="24"/>
          <w:szCs w:val="24"/>
        </w:rPr>
      </w:pPr>
    </w:p>
    <w:p w14:paraId="41088CA6" w14:textId="77777777" w:rsidR="00670E9B" w:rsidRDefault="00D930AB" w:rsidP="009A1C0D">
      <w:pPr>
        <w:ind w:left="851"/>
        <w:rPr>
          <w:sz w:val="24"/>
          <w:szCs w:val="24"/>
        </w:rPr>
      </w:pPr>
      <w:r w:rsidRPr="007E629E">
        <w:rPr>
          <w:sz w:val="24"/>
          <w:szCs w:val="24"/>
        </w:rPr>
        <w:t xml:space="preserve">For voksne er den maksimale anbefalede dosis 4,4 mg/kg legemsvægt med en absolut maksimal anbefalet dosis på 300 mg til personer med en legemsvægt på over 70 kg, svarende til 10 ml opløsning. </w:t>
      </w:r>
    </w:p>
    <w:p w14:paraId="65D94B13" w14:textId="77777777" w:rsidR="00670E9B" w:rsidRDefault="00670E9B" w:rsidP="009A1C0D">
      <w:pPr>
        <w:ind w:left="851"/>
        <w:rPr>
          <w:sz w:val="24"/>
          <w:szCs w:val="24"/>
        </w:rPr>
      </w:pPr>
    </w:p>
    <w:p w14:paraId="0DD4AD41" w14:textId="00089F70" w:rsidR="00D930AB" w:rsidRPr="007E629E" w:rsidRDefault="00D930AB" w:rsidP="009A1C0D">
      <w:pPr>
        <w:ind w:left="851"/>
        <w:rPr>
          <w:sz w:val="24"/>
          <w:szCs w:val="24"/>
        </w:rPr>
      </w:pPr>
      <w:r w:rsidRPr="007E629E">
        <w:rPr>
          <w:sz w:val="24"/>
          <w:szCs w:val="24"/>
        </w:rPr>
        <w:t xml:space="preserve">Bemærk, at den maksimale mængde skal tage højde for patientens legemsvægt.  Eftersom patienter har forskellig legemsvægt, har hver patient en forskellig maksimalt tilladt mængde </w:t>
      </w:r>
      <w:proofErr w:type="spellStart"/>
      <w:r w:rsidRPr="007E629E">
        <w:rPr>
          <w:sz w:val="24"/>
          <w:szCs w:val="24"/>
        </w:rPr>
        <w:t>mepivacain</w:t>
      </w:r>
      <w:proofErr w:type="spellEnd"/>
      <w:r w:rsidRPr="007E629E">
        <w:rPr>
          <w:sz w:val="24"/>
          <w:szCs w:val="24"/>
        </w:rPr>
        <w:t>, som de kan tolerere. Der er desuden vigtige individuelle variationer med hensyn til debut og varighed af virkningen.</w:t>
      </w:r>
    </w:p>
    <w:p w14:paraId="330745AB" w14:textId="77777777" w:rsidR="00D930AB" w:rsidRPr="007E629E" w:rsidRDefault="00D930AB" w:rsidP="009A1C0D">
      <w:pPr>
        <w:ind w:left="851"/>
        <w:rPr>
          <w:sz w:val="24"/>
          <w:szCs w:val="24"/>
        </w:rPr>
      </w:pPr>
    </w:p>
    <w:p w14:paraId="39088DA9" w14:textId="77777777" w:rsidR="00D930AB" w:rsidRPr="007E629E" w:rsidRDefault="00D930AB" w:rsidP="009A1C0D">
      <w:pPr>
        <w:ind w:left="851"/>
        <w:rPr>
          <w:sz w:val="24"/>
          <w:szCs w:val="24"/>
          <w:lang w:eastAsia="en-GB"/>
        </w:rPr>
      </w:pPr>
      <w:r w:rsidRPr="007E629E">
        <w:rPr>
          <w:sz w:val="24"/>
          <w:szCs w:val="24"/>
        </w:rPr>
        <w:t>Den følgende tabel viser de maksimalt tilladte doser til voksne for de mest almindeligt anvendte anæstesiteknikker og det tilsvarende antal cylinderampuller:</w:t>
      </w:r>
    </w:p>
    <w:p w14:paraId="276569B5" w14:textId="77777777" w:rsidR="00D930AB" w:rsidRPr="007E629E" w:rsidRDefault="00D930AB" w:rsidP="00D930AB">
      <w:pPr>
        <w:tabs>
          <w:tab w:val="left" w:pos="567"/>
        </w:tabs>
        <w:jc w:val="both"/>
        <w:rPr>
          <w:sz w:val="24"/>
          <w:szCs w:val="24"/>
        </w:rPr>
      </w:pPr>
    </w:p>
    <w:tbl>
      <w:tblPr>
        <w:tblW w:w="5000" w:type="pct"/>
        <w:jc w:val="center"/>
        <w:tblLook w:val="04A0" w:firstRow="1" w:lastRow="0" w:firstColumn="1" w:lastColumn="0" w:noHBand="0" w:noVBand="1"/>
      </w:tblPr>
      <w:tblGrid>
        <w:gridCol w:w="597"/>
        <w:gridCol w:w="2565"/>
        <w:gridCol w:w="1113"/>
        <w:gridCol w:w="1785"/>
        <w:gridCol w:w="1785"/>
        <w:gridCol w:w="1783"/>
      </w:tblGrid>
      <w:tr w:rsidR="00D930AB" w:rsidRPr="00670E9B" w14:paraId="4995FEB2" w14:textId="77777777" w:rsidTr="00B60B88">
        <w:trPr>
          <w:jc w:val="center"/>
        </w:trPr>
        <w:tc>
          <w:tcPr>
            <w:tcW w:w="310" w:type="pct"/>
            <w:tcBorders>
              <w:top w:val="single" w:sz="4" w:space="0" w:color="auto"/>
              <w:left w:val="single" w:sz="4" w:space="0" w:color="auto"/>
              <w:bottom w:val="single" w:sz="4" w:space="0" w:color="auto"/>
              <w:right w:val="single" w:sz="4" w:space="0" w:color="auto"/>
            </w:tcBorders>
            <w:hideMark/>
          </w:tcPr>
          <w:p w14:paraId="789504D1" w14:textId="77777777" w:rsidR="00D930AB" w:rsidRPr="00670E9B" w:rsidRDefault="00D930AB">
            <w:pPr>
              <w:pStyle w:val="Default"/>
              <w:ind w:left="-120"/>
              <w:jc w:val="center"/>
              <w:rPr>
                <w:sz w:val="22"/>
                <w:szCs w:val="22"/>
              </w:rPr>
            </w:pPr>
            <w:r w:rsidRPr="00670E9B">
              <w:rPr>
                <w:sz w:val="22"/>
                <w:szCs w:val="22"/>
              </w:rPr>
              <w:t>Vægt (kg)</w:t>
            </w:r>
          </w:p>
        </w:tc>
        <w:tc>
          <w:tcPr>
            <w:tcW w:w="1332" w:type="pct"/>
            <w:tcBorders>
              <w:top w:val="single" w:sz="4" w:space="0" w:color="auto"/>
              <w:left w:val="single" w:sz="4" w:space="0" w:color="auto"/>
              <w:bottom w:val="single" w:sz="4" w:space="0" w:color="auto"/>
              <w:right w:val="single" w:sz="4" w:space="0" w:color="auto"/>
            </w:tcBorders>
            <w:hideMark/>
          </w:tcPr>
          <w:p w14:paraId="07E6AB62" w14:textId="77777777" w:rsidR="00D930AB" w:rsidRPr="00670E9B" w:rsidRDefault="00D930AB">
            <w:pPr>
              <w:pStyle w:val="Default"/>
              <w:ind w:right="-25"/>
              <w:jc w:val="center"/>
              <w:rPr>
                <w:sz w:val="22"/>
                <w:szCs w:val="22"/>
              </w:rPr>
            </w:pPr>
            <w:proofErr w:type="spellStart"/>
            <w:r w:rsidRPr="00670E9B">
              <w:rPr>
                <w:sz w:val="22"/>
                <w:szCs w:val="22"/>
              </w:rPr>
              <w:t>Mepivacainhydrochlorid</w:t>
            </w:r>
            <w:proofErr w:type="spellEnd"/>
            <w:r w:rsidRPr="00670E9B">
              <w:rPr>
                <w:sz w:val="22"/>
                <w:szCs w:val="22"/>
              </w:rPr>
              <w:t>-dosis (mg)</w:t>
            </w:r>
          </w:p>
        </w:tc>
        <w:tc>
          <w:tcPr>
            <w:tcW w:w="578" w:type="pct"/>
            <w:tcBorders>
              <w:top w:val="single" w:sz="4" w:space="0" w:color="auto"/>
              <w:left w:val="single" w:sz="4" w:space="0" w:color="auto"/>
              <w:bottom w:val="single" w:sz="4" w:space="0" w:color="auto"/>
              <w:right w:val="single" w:sz="4" w:space="0" w:color="auto"/>
            </w:tcBorders>
            <w:hideMark/>
          </w:tcPr>
          <w:p w14:paraId="37497FFB" w14:textId="77777777" w:rsidR="00D930AB" w:rsidRPr="00670E9B" w:rsidRDefault="00D930AB">
            <w:pPr>
              <w:tabs>
                <w:tab w:val="left" w:pos="567"/>
              </w:tabs>
              <w:jc w:val="center"/>
              <w:rPr>
                <w:rFonts w:eastAsia="Calibri"/>
                <w:sz w:val="22"/>
                <w:szCs w:val="22"/>
              </w:rPr>
            </w:pPr>
            <w:r w:rsidRPr="00670E9B">
              <w:rPr>
                <w:sz w:val="22"/>
                <w:szCs w:val="22"/>
              </w:rPr>
              <w:t>Volumen (ml)</w:t>
            </w:r>
          </w:p>
        </w:tc>
        <w:tc>
          <w:tcPr>
            <w:tcW w:w="927" w:type="pct"/>
            <w:tcBorders>
              <w:top w:val="single" w:sz="4" w:space="0" w:color="auto"/>
              <w:left w:val="single" w:sz="4" w:space="0" w:color="auto"/>
              <w:bottom w:val="single" w:sz="4" w:space="0" w:color="auto"/>
              <w:right w:val="single" w:sz="4" w:space="0" w:color="auto"/>
            </w:tcBorders>
            <w:hideMark/>
          </w:tcPr>
          <w:p w14:paraId="19BF8E90" w14:textId="77777777" w:rsidR="00D930AB" w:rsidRPr="00670E9B" w:rsidRDefault="00D930AB">
            <w:pPr>
              <w:pStyle w:val="Default"/>
              <w:jc w:val="center"/>
              <w:rPr>
                <w:rFonts w:eastAsia="Calibri"/>
                <w:sz w:val="22"/>
                <w:szCs w:val="22"/>
              </w:rPr>
            </w:pPr>
            <w:r w:rsidRPr="00670E9B">
              <w:rPr>
                <w:sz w:val="22"/>
                <w:szCs w:val="22"/>
              </w:rPr>
              <w:t>Svarer* i antal cylinderampuller (1,7 ml) til</w:t>
            </w:r>
          </w:p>
        </w:tc>
        <w:tc>
          <w:tcPr>
            <w:tcW w:w="927" w:type="pct"/>
            <w:tcBorders>
              <w:top w:val="single" w:sz="4" w:space="0" w:color="auto"/>
              <w:left w:val="single" w:sz="4" w:space="0" w:color="auto"/>
              <w:bottom w:val="single" w:sz="4" w:space="0" w:color="auto"/>
              <w:right w:val="single" w:sz="4" w:space="0" w:color="auto"/>
            </w:tcBorders>
            <w:hideMark/>
          </w:tcPr>
          <w:p w14:paraId="64CCDDA3" w14:textId="77777777" w:rsidR="00D930AB" w:rsidRPr="00670E9B" w:rsidRDefault="00D930AB">
            <w:pPr>
              <w:pStyle w:val="Default"/>
              <w:jc w:val="center"/>
              <w:rPr>
                <w:sz w:val="22"/>
                <w:szCs w:val="22"/>
              </w:rPr>
            </w:pPr>
            <w:r w:rsidRPr="00670E9B">
              <w:rPr>
                <w:sz w:val="22"/>
                <w:szCs w:val="22"/>
              </w:rPr>
              <w:t>Svarer* i antal cylinderampuller (1,8 ml) til</w:t>
            </w:r>
          </w:p>
        </w:tc>
        <w:tc>
          <w:tcPr>
            <w:tcW w:w="926" w:type="pct"/>
            <w:tcBorders>
              <w:top w:val="single" w:sz="4" w:space="0" w:color="auto"/>
              <w:left w:val="single" w:sz="4" w:space="0" w:color="auto"/>
              <w:bottom w:val="single" w:sz="4" w:space="0" w:color="auto"/>
              <w:right w:val="single" w:sz="4" w:space="0" w:color="auto"/>
            </w:tcBorders>
            <w:hideMark/>
          </w:tcPr>
          <w:p w14:paraId="225FA051" w14:textId="77777777" w:rsidR="00D930AB" w:rsidRPr="00670E9B" w:rsidRDefault="00D930AB">
            <w:pPr>
              <w:pStyle w:val="Default"/>
              <w:jc w:val="center"/>
              <w:rPr>
                <w:rFonts w:eastAsia="Calibri"/>
                <w:sz w:val="22"/>
                <w:szCs w:val="22"/>
              </w:rPr>
            </w:pPr>
            <w:r w:rsidRPr="00670E9B">
              <w:rPr>
                <w:sz w:val="22"/>
                <w:szCs w:val="22"/>
              </w:rPr>
              <w:t>Svarer* i antal cylinderampuller (2,2 ml) til</w:t>
            </w:r>
          </w:p>
        </w:tc>
      </w:tr>
      <w:tr w:rsidR="00D930AB" w:rsidRPr="00670E9B" w14:paraId="1B4CF75D" w14:textId="77777777" w:rsidTr="00B60B88">
        <w:trPr>
          <w:jc w:val="center"/>
        </w:trPr>
        <w:tc>
          <w:tcPr>
            <w:tcW w:w="310" w:type="pct"/>
            <w:tcBorders>
              <w:top w:val="single" w:sz="4" w:space="0" w:color="auto"/>
              <w:left w:val="single" w:sz="4" w:space="0" w:color="auto"/>
              <w:bottom w:val="single" w:sz="4" w:space="0" w:color="auto"/>
              <w:right w:val="single" w:sz="4" w:space="0" w:color="auto"/>
            </w:tcBorders>
            <w:hideMark/>
          </w:tcPr>
          <w:p w14:paraId="1A58C024" w14:textId="77777777" w:rsidR="00D930AB" w:rsidRPr="00670E9B" w:rsidRDefault="00D930AB">
            <w:pPr>
              <w:tabs>
                <w:tab w:val="left" w:pos="567"/>
              </w:tabs>
              <w:ind w:left="-120"/>
              <w:jc w:val="center"/>
              <w:rPr>
                <w:rFonts w:eastAsia="Calibri"/>
                <w:sz w:val="22"/>
                <w:szCs w:val="22"/>
              </w:rPr>
            </w:pPr>
            <w:r w:rsidRPr="00670E9B">
              <w:rPr>
                <w:sz w:val="22"/>
                <w:szCs w:val="22"/>
              </w:rPr>
              <w:t>50</w:t>
            </w:r>
          </w:p>
        </w:tc>
        <w:tc>
          <w:tcPr>
            <w:tcW w:w="1332" w:type="pct"/>
            <w:tcBorders>
              <w:top w:val="single" w:sz="4" w:space="0" w:color="auto"/>
              <w:left w:val="single" w:sz="4" w:space="0" w:color="auto"/>
              <w:bottom w:val="single" w:sz="4" w:space="0" w:color="auto"/>
              <w:right w:val="single" w:sz="4" w:space="0" w:color="auto"/>
            </w:tcBorders>
            <w:vAlign w:val="center"/>
            <w:hideMark/>
          </w:tcPr>
          <w:p w14:paraId="59CFF7DF" w14:textId="77777777" w:rsidR="00D930AB" w:rsidRPr="00670E9B" w:rsidRDefault="00D930AB">
            <w:pPr>
              <w:tabs>
                <w:tab w:val="left" w:pos="567"/>
              </w:tabs>
              <w:jc w:val="center"/>
              <w:rPr>
                <w:rFonts w:eastAsia="Calibri"/>
                <w:sz w:val="22"/>
                <w:szCs w:val="22"/>
              </w:rPr>
            </w:pPr>
            <w:r w:rsidRPr="00670E9B">
              <w:rPr>
                <w:sz w:val="22"/>
                <w:szCs w:val="22"/>
              </w:rPr>
              <w:t>220</w:t>
            </w:r>
          </w:p>
        </w:tc>
        <w:tc>
          <w:tcPr>
            <w:tcW w:w="578" w:type="pct"/>
            <w:tcBorders>
              <w:top w:val="single" w:sz="4" w:space="0" w:color="auto"/>
              <w:left w:val="single" w:sz="4" w:space="0" w:color="auto"/>
              <w:bottom w:val="single" w:sz="4" w:space="0" w:color="auto"/>
              <w:right w:val="single" w:sz="4" w:space="0" w:color="auto"/>
            </w:tcBorders>
            <w:vAlign w:val="center"/>
            <w:hideMark/>
          </w:tcPr>
          <w:p w14:paraId="1A651B34" w14:textId="77777777" w:rsidR="00D930AB" w:rsidRPr="00670E9B" w:rsidRDefault="00D930AB">
            <w:pPr>
              <w:tabs>
                <w:tab w:val="left" w:pos="567"/>
              </w:tabs>
              <w:jc w:val="center"/>
              <w:rPr>
                <w:rFonts w:eastAsia="Calibri"/>
                <w:sz w:val="22"/>
                <w:szCs w:val="22"/>
              </w:rPr>
            </w:pPr>
            <w:r w:rsidRPr="00670E9B">
              <w:rPr>
                <w:sz w:val="22"/>
                <w:szCs w:val="22"/>
              </w:rPr>
              <w:t>7,3</w:t>
            </w:r>
          </w:p>
        </w:tc>
        <w:tc>
          <w:tcPr>
            <w:tcW w:w="927" w:type="pct"/>
            <w:tcBorders>
              <w:top w:val="single" w:sz="4" w:space="0" w:color="auto"/>
              <w:left w:val="single" w:sz="4" w:space="0" w:color="auto"/>
              <w:bottom w:val="single" w:sz="4" w:space="0" w:color="auto"/>
              <w:right w:val="single" w:sz="4" w:space="0" w:color="auto"/>
            </w:tcBorders>
            <w:vAlign w:val="center"/>
            <w:hideMark/>
          </w:tcPr>
          <w:p w14:paraId="33D150AA" w14:textId="77777777" w:rsidR="00D930AB" w:rsidRPr="00670E9B" w:rsidRDefault="00D930AB">
            <w:pPr>
              <w:tabs>
                <w:tab w:val="left" w:pos="567"/>
              </w:tabs>
              <w:jc w:val="center"/>
              <w:rPr>
                <w:rFonts w:eastAsia="Calibri"/>
                <w:sz w:val="22"/>
                <w:szCs w:val="22"/>
              </w:rPr>
            </w:pPr>
            <w:r w:rsidRPr="00670E9B">
              <w:rPr>
                <w:sz w:val="22"/>
                <w:szCs w:val="22"/>
              </w:rPr>
              <w:t>4,0</w:t>
            </w:r>
          </w:p>
        </w:tc>
        <w:tc>
          <w:tcPr>
            <w:tcW w:w="927" w:type="pct"/>
            <w:tcBorders>
              <w:top w:val="single" w:sz="4" w:space="0" w:color="auto"/>
              <w:left w:val="single" w:sz="4" w:space="0" w:color="auto"/>
              <w:bottom w:val="single" w:sz="4" w:space="0" w:color="auto"/>
              <w:right w:val="single" w:sz="4" w:space="0" w:color="auto"/>
            </w:tcBorders>
            <w:hideMark/>
          </w:tcPr>
          <w:p w14:paraId="00105B22" w14:textId="77777777" w:rsidR="00D930AB" w:rsidRPr="00670E9B" w:rsidRDefault="00D930AB">
            <w:pPr>
              <w:pStyle w:val="Default"/>
              <w:jc w:val="center"/>
              <w:rPr>
                <w:sz w:val="22"/>
                <w:szCs w:val="22"/>
              </w:rPr>
            </w:pPr>
            <w:r w:rsidRPr="00670E9B">
              <w:rPr>
                <w:sz w:val="22"/>
                <w:szCs w:val="22"/>
              </w:rPr>
              <w:t xml:space="preserve">4,0 </w:t>
            </w:r>
          </w:p>
        </w:tc>
        <w:tc>
          <w:tcPr>
            <w:tcW w:w="926" w:type="pct"/>
            <w:tcBorders>
              <w:top w:val="single" w:sz="4" w:space="0" w:color="auto"/>
              <w:left w:val="single" w:sz="4" w:space="0" w:color="auto"/>
              <w:bottom w:val="single" w:sz="4" w:space="0" w:color="auto"/>
              <w:right w:val="single" w:sz="4" w:space="0" w:color="auto"/>
            </w:tcBorders>
            <w:vAlign w:val="center"/>
            <w:hideMark/>
          </w:tcPr>
          <w:p w14:paraId="0E84E4DF" w14:textId="77777777" w:rsidR="00D930AB" w:rsidRPr="00670E9B" w:rsidRDefault="00D930AB">
            <w:pPr>
              <w:tabs>
                <w:tab w:val="left" w:pos="567"/>
              </w:tabs>
              <w:jc w:val="center"/>
              <w:rPr>
                <w:rFonts w:eastAsia="Calibri"/>
                <w:sz w:val="22"/>
                <w:szCs w:val="22"/>
              </w:rPr>
            </w:pPr>
            <w:r w:rsidRPr="00670E9B">
              <w:rPr>
                <w:sz w:val="22"/>
                <w:szCs w:val="22"/>
              </w:rPr>
              <w:t>3,0</w:t>
            </w:r>
          </w:p>
        </w:tc>
      </w:tr>
      <w:tr w:rsidR="00D930AB" w:rsidRPr="00670E9B" w14:paraId="7FE8EFA7" w14:textId="77777777" w:rsidTr="00B60B88">
        <w:trPr>
          <w:jc w:val="center"/>
        </w:trPr>
        <w:tc>
          <w:tcPr>
            <w:tcW w:w="310" w:type="pct"/>
            <w:tcBorders>
              <w:top w:val="single" w:sz="4" w:space="0" w:color="auto"/>
              <w:left w:val="single" w:sz="4" w:space="0" w:color="auto"/>
              <w:bottom w:val="single" w:sz="4" w:space="0" w:color="auto"/>
              <w:right w:val="single" w:sz="4" w:space="0" w:color="auto"/>
            </w:tcBorders>
            <w:hideMark/>
          </w:tcPr>
          <w:p w14:paraId="72BA5C54" w14:textId="77777777" w:rsidR="00D930AB" w:rsidRPr="00670E9B" w:rsidRDefault="00D930AB">
            <w:pPr>
              <w:tabs>
                <w:tab w:val="left" w:pos="567"/>
              </w:tabs>
              <w:ind w:left="-120"/>
              <w:jc w:val="center"/>
              <w:rPr>
                <w:rFonts w:eastAsia="Calibri"/>
                <w:sz w:val="22"/>
                <w:szCs w:val="22"/>
              </w:rPr>
            </w:pPr>
            <w:r w:rsidRPr="00670E9B">
              <w:rPr>
                <w:sz w:val="22"/>
                <w:szCs w:val="22"/>
              </w:rPr>
              <w:t>60</w:t>
            </w:r>
          </w:p>
        </w:tc>
        <w:tc>
          <w:tcPr>
            <w:tcW w:w="1332" w:type="pct"/>
            <w:tcBorders>
              <w:top w:val="single" w:sz="4" w:space="0" w:color="auto"/>
              <w:left w:val="single" w:sz="4" w:space="0" w:color="auto"/>
              <w:bottom w:val="single" w:sz="4" w:space="0" w:color="auto"/>
              <w:right w:val="single" w:sz="4" w:space="0" w:color="auto"/>
            </w:tcBorders>
            <w:vAlign w:val="center"/>
            <w:hideMark/>
          </w:tcPr>
          <w:p w14:paraId="7274FD52" w14:textId="77777777" w:rsidR="00D930AB" w:rsidRPr="00670E9B" w:rsidRDefault="00D930AB">
            <w:pPr>
              <w:tabs>
                <w:tab w:val="left" w:pos="567"/>
              </w:tabs>
              <w:jc w:val="center"/>
              <w:rPr>
                <w:rFonts w:eastAsia="Calibri"/>
                <w:sz w:val="22"/>
                <w:szCs w:val="22"/>
              </w:rPr>
            </w:pPr>
            <w:r w:rsidRPr="00670E9B">
              <w:rPr>
                <w:sz w:val="22"/>
                <w:szCs w:val="22"/>
              </w:rPr>
              <w:t>264</w:t>
            </w:r>
          </w:p>
        </w:tc>
        <w:tc>
          <w:tcPr>
            <w:tcW w:w="578" w:type="pct"/>
            <w:tcBorders>
              <w:top w:val="single" w:sz="4" w:space="0" w:color="auto"/>
              <w:left w:val="single" w:sz="4" w:space="0" w:color="auto"/>
              <w:bottom w:val="single" w:sz="4" w:space="0" w:color="auto"/>
              <w:right w:val="single" w:sz="4" w:space="0" w:color="auto"/>
            </w:tcBorders>
            <w:vAlign w:val="center"/>
            <w:hideMark/>
          </w:tcPr>
          <w:p w14:paraId="0D2727E8" w14:textId="77777777" w:rsidR="00D930AB" w:rsidRPr="00670E9B" w:rsidRDefault="00D930AB">
            <w:pPr>
              <w:tabs>
                <w:tab w:val="left" w:pos="567"/>
              </w:tabs>
              <w:jc w:val="center"/>
              <w:rPr>
                <w:rFonts w:eastAsia="Calibri"/>
                <w:sz w:val="22"/>
                <w:szCs w:val="22"/>
              </w:rPr>
            </w:pPr>
            <w:r w:rsidRPr="00670E9B">
              <w:rPr>
                <w:sz w:val="22"/>
                <w:szCs w:val="22"/>
              </w:rPr>
              <w:t>8,8</w:t>
            </w:r>
          </w:p>
        </w:tc>
        <w:tc>
          <w:tcPr>
            <w:tcW w:w="927" w:type="pct"/>
            <w:tcBorders>
              <w:top w:val="single" w:sz="4" w:space="0" w:color="auto"/>
              <w:left w:val="single" w:sz="4" w:space="0" w:color="auto"/>
              <w:bottom w:val="single" w:sz="4" w:space="0" w:color="auto"/>
              <w:right w:val="single" w:sz="4" w:space="0" w:color="auto"/>
            </w:tcBorders>
            <w:vAlign w:val="center"/>
            <w:hideMark/>
          </w:tcPr>
          <w:p w14:paraId="32329F29" w14:textId="77777777" w:rsidR="00D930AB" w:rsidRPr="00670E9B" w:rsidRDefault="00D930AB">
            <w:pPr>
              <w:tabs>
                <w:tab w:val="left" w:pos="567"/>
              </w:tabs>
              <w:jc w:val="center"/>
              <w:rPr>
                <w:rFonts w:eastAsia="Calibri"/>
                <w:sz w:val="22"/>
                <w:szCs w:val="22"/>
              </w:rPr>
            </w:pPr>
            <w:r w:rsidRPr="00670E9B">
              <w:rPr>
                <w:sz w:val="22"/>
                <w:szCs w:val="22"/>
              </w:rPr>
              <w:t>5,0</w:t>
            </w:r>
          </w:p>
        </w:tc>
        <w:tc>
          <w:tcPr>
            <w:tcW w:w="927" w:type="pct"/>
            <w:tcBorders>
              <w:top w:val="single" w:sz="4" w:space="0" w:color="auto"/>
              <w:left w:val="single" w:sz="4" w:space="0" w:color="auto"/>
              <w:bottom w:val="single" w:sz="4" w:space="0" w:color="auto"/>
              <w:right w:val="single" w:sz="4" w:space="0" w:color="auto"/>
            </w:tcBorders>
            <w:hideMark/>
          </w:tcPr>
          <w:p w14:paraId="5B10C45B" w14:textId="77777777" w:rsidR="00D930AB" w:rsidRPr="00670E9B" w:rsidRDefault="00D930AB">
            <w:pPr>
              <w:pStyle w:val="Default"/>
              <w:jc w:val="center"/>
              <w:rPr>
                <w:sz w:val="22"/>
                <w:szCs w:val="22"/>
              </w:rPr>
            </w:pPr>
            <w:r w:rsidRPr="00670E9B">
              <w:rPr>
                <w:sz w:val="22"/>
                <w:szCs w:val="22"/>
              </w:rPr>
              <w:t xml:space="preserve">5,0 </w:t>
            </w:r>
          </w:p>
        </w:tc>
        <w:tc>
          <w:tcPr>
            <w:tcW w:w="926" w:type="pct"/>
            <w:tcBorders>
              <w:top w:val="single" w:sz="4" w:space="0" w:color="auto"/>
              <w:left w:val="single" w:sz="4" w:space="0" w:color="auto"/>
              <w:bottom w:val="single" w:sz="4" w:space="0" w:color="auto"/>
              <w:right w:val="single" w:sz="4" w:space="0" w:color="auto"/>
            </w:tcBorders>
            <w:vAlign w:val="center"/>
            <w:hideMark/>
          </w:tcPr>
          <w:p w14:paraId="2D49B672" w14:textId="77777777" w:rsidR="00D930AB" w:rsidRPr="00670E9B" w:rsidRDefault="00D930AB">
            <w:pPr>
              <w:tabs>
                <w:tab w:val="left" w:pos="567"/>
              </w:tabs>
              <w:jc w:val="center"/>
              <w:rPr>
                <w:rFonts w:eastAsia="Calibri"/>
                <w:sz w:val="22"/>
                <w:szCs w:val="22"/>
              </w:rPr>
            </w:pPr>
            <w:r w:rsidRPr="00670E9B">
              <w:rPr>
                <w:sz w:val="22"/>
                <w:szCs w:val="22"/>
              </w:rPr>
              <w:t>4,0</w:t>
            </w:r>
          </w:p>
        </w:tc>
      </w:tr>
      <w:tr w:rsidR="00D930AB" w:rsidRPr="00670E9B" w14:paraId="43DBC505" w14:textId="77777777" w:rsidTr="00B60B88">
        <w:trPr>
          <w:jc w:val="center"/>
        </w:trPr>
        <w:tc>
          <w:tcPr>
            <w:tcW w:w="310" w:type="pct"/>
            <w:tcBorders>
              <w:top w:val="single" w:sz="4" w:space="0" w:color="auto"/>
              <w:left w:val="single" w:sz="4" w:space="0" w:color="auto"/>
              <w:bottom w:val="single" w:sz="4" w:space="0" w:color="auto"/>
              <w:right w:val="single" w:sz="4" w:space="0" w:color="auto"/>
            </w:tcBorders>
            <w:hideMark/>
          </w:tcPr>
          <w:p w14:paraId="263EDB5F" w14:textId="77777777" w:rsidR="00D930AB" w:rsidRPr="00670E9B" w:rsidRDefault="00D930AB">
            <w:pPr>
              <w:tabs>
                <w:tab w:val="left" w:pos="567"/>
              </w:tabs>
              <w:ind w:left="-120"/>
              <w:jc w:val="center"/>
              <w:rPr>
                <w:rFonts w:eastAsia="Calibri"/>
                <w:sz w:val="22"/>
                <w:szCs w:val="22"/>
              </w:rPr>
            </w:pPr>
            <w:r w:rsidRPr="00670E9B">
              <w:rPr>
                <w:sz w:val="22"/>
                <w:szCs w:val="22"/>
              </w:rPr>
              <w:t>≥ 70</w:t>
            </w:r>
          </w:p>
        </w:tc>
        <w:tc>
          <w:tcPr>
            <w:tcW w:w="1332" w:type="pct"/>
            <w:tcBorders>
              <w:top w:val="single" w:sz="4" w:space="0" w:color="auto"/>
              <w:left w:val="single" w:sz="4" w:space="0" w:color="auto"/>
              <w:bottom w:val="single" w:sz="4" w:space="0" w:color="auto"/>
              <w:right w:val="single" w:sz="4" w:space="0" w:color="auto"/>
            </w:tcBorders>
            <w:vAlign w:val="center"/>
            <w:hideMark/>
          </w:tcPr>
          <w:p w14:paraId="54728F2C" w14:textId="77777777" w:rsidR="00D930AB" w:rsidRPr="00670E9B" w:rsidRDefault="00D930AB">
            <w:pPr>
              <w:tabs>
                <w:tab w:val="left" w:pos="567"/>
              </w:tabs>
              <w:jc w:val="center"/>
              <w:rPr>
                <w:rFonts w:eastAsia="Calibri"/>
                <w:sz w:val="22"/>
                <w:szCs w:val="22"/>
              </w:rPr>
            </w:pPr>
            <w:r w:rsidRPr="00670E9B">
              <w:rPr>
                <w:sz w:val="22"/>
                <w:szCs w:val="22"/>
              </w:rPr>
              <w:t>300</w:t>
            </w:r>
          </w:p>
        </w:tc>
        <w:tc>
          <w:tcPr>
            <w:tcW w:w="578" w:type="pct"/>
            <w:tcBorders>
              <w:top w:val="single" w:sz="4" w:space="0" w:color="auto"/>
              <w:left w:val="single" w:sz="4" w:space="0" w:color="auto"/>
              <w:bottom w:val="single" w:sz="4" w:space="0" w:color="auto"/>
              <w:right w:val="single" w:sz="4" w:space="0" w:color="auto"/>
            </w:tcBorders>
            <w:vAlign w:val="center"/>
            <w:hideMark/>
          </w:tcPr>
          <w:p w14:paraId="49EB65A6" w14:textId="77777777" w:rsidR="00D930AB" w:rsidRPr="00670E9B" w:rsidRDefault="00D930AB">
            <w:pPr>
              <w:tabs>
                <w:tab w:val="left" w:pos="567"/>
              </w:tabs>
              <w:jc w:val="center"/>
              <w:rPr>
                <w:rFonts w:eastAsia="Calibri"/>
                <w:sz w:val="22"/>
                <w:szCs w:val="22"/>
              </w:rPr>
            </w:pPr>
            <w:r w:rsidRPr="00670E9B">
              <w:rPr>
                <w:sz w:val="22"/>
                <w:szCs w:val="22"/>
              </w:rPr>
              <w:t>10,0</w:t>
            </w:r>
          </w:p>
        </w:tc>
        <w:tc>
          <w:tcPr>
            <w:tcW w:w="927" w:type="pct"/>
            <w:tcBorders>
              <w:top w:val="single" w:sz="4" w:space="0" w:color="auto"/>
              <w:left w:val="single" w:sz="4" w:space="0" w:color="auto"/>
              <w:bottom w:val="single" w:sz="4" w:space="0" w:color="auto"/>
              <w:right w:val="single" w:sz="4" w:space="0" w:color="auto"/>
            </w:tcBorders>
            <w:vAlign w:val="center"/>
            <w:hideMark/>
          </w:tcPr>
          <w:p w14:paraId="66A762E6" w14:textId="77777777" w:rsidR="00D930AB" w:rsidRPr="00670E9B" w:rsidRDefault="00D930AB">
            <w:pPr>
              <w:tabs>
                <w:tab w:val="left" w:pos="567"/>
              </w:tabs>
              <w:jc w:val="center"/>
              <w:rPr>
                <w:rFonts w:eastAsia="Calibri"/>
                <w:sz w:val="22"/>
                <w:szCs w:val="22"/>
              </w:rPr>
            </w:pPr>
            <w:r w:rsidRPr="00670E9B">
              <w:rPr>
                <w:sz w:val="22"/>
                <w:szCs w:val="22"/>
              </w:rPr>
              <w:t>5,5</w:t>
            </w:r>
          </w:p>
        </w:tc>
        <w:tc>
          <w:tcPr>
            <w:tcW w:w="927" w:type="pct"/>
            <w:tcBorders>
              <w:top w:val="single" w:sz="4" w:space="0" w:color="auto"/>
              <w:left w:val="single" w:sz="4" w:space="0" w:color="auto"/>
              <w:bottom w:val="single" w:sz="4" w:space="0" w:color="auto"/>
              <w:right w:val="single" w:sz="4" w:space="0" w:color="auto"/>
            </w:tcBorders>
            <w:hideMark/>
          </w:tcPr>
          <w:p w14:paraId="3E8A0A57" w14:textId="77777777" w:rsidR="00D930AB" w:rsidRPr="00670E9B" w:rsidRDefault="00D930AB">
            <w:pPr>
              <w:pStyle w:val="Default"/>
              <w:jc w:val="center"/>
              <w:rPr>
                <w:sz w:val="22"/>
                <w:szCs w:val="22"/>
              </w:rPr>
            </w:pPr>
            <w:r w:rsidRPr="00670E9B">
              <w:rPr>
                <w:sz w:val="22"/>
                <w:szCs w:val="22"/>
              </w:rPr>
              <w:t xml:space="preserve">5,5 </w:t>
            </w:r>
          </w:p>
        </w:tc>
        <w:tc>
          <w:tcPr>
            <w:tcW w:w="926" w:type="pct"/>
            <w:tcBorders>
              <w:top w:val="single" w:sz="4" w:space="0" w:color="auto"/>
              <w:left w:val="single" w:sz="4" w:space="0" w:color="auto"/>
              <w:bottom w:val="single" w:sz="4" w:space="0" w:color="auto"/>
              <w:right w:val="single" w:sz="4" w:space="0" w:color="auto"/>
            </w:tcBorders>
            <w:vAlign w:val="center"/>
            <w:hideMark/>
          </w:tcPr>
          <w:p w14:paraId="50BB7DF3" w14:textId="77777777" w:rsidR="00D930AB" w:rsidRPr="00670E9B" w:rsidRDefault="00D930AB">
            <w:pPr>
              <w:tabs>
                <w:tab w:val="left" w:pos="567"/>
              </w:tabs>
              <w:jc w:val="center"/>
              <w:rPr>
                <w:rFonts w:eastAsia="Calibri"/>
                <w:sz w:val="22"/>
                <w:szCs w:val="22"/>
              </w:rPr>
            </w:pPr>
            <w:r w:rsidRPr="00670E9B">
              <w:rPr>
                <w:sz w:val="22"/>
                <w:szCs w:val="22"/>
              </w:rPr>
              <w:t>4,5</w:t>
            </w:r>
          </w:p>
        </w:tc>
      </w:tr>
    </w:tbl>
    <w:p w14:paraId="61222050" w14:textId="77777777" w:rsidR="00D930AB" w:rsidRPr="007E629E" w:rsidRDefault="00D930AB" w:rsidP="00D930AB">
      <w:pPr>
        <w:tabs>
          <w:tab w:val="left" w:pos="567"/>
        </w:tabs>
        <w:jc w:val="both"/>
        <w:rPr>
          <w:sz w:val="24"/>
          <w:szCs w:val="24"/>
          <w:lang w:eastAsia="en-GB"/>
        </w:rPr>
      </w:pPr>
      <w:r w:rsidRPr="007E629E">
        <w:rPr>
          <w:sz w:val="24"/>
          <w:szCs w:val="24"/>
        </w:rPr>
        <w:t>* Afrundet til nærmeste halve cylinderampul</w:t>
      </w:r>
    </w:p>
    <w:p w14:paraId="753E928C" w14:textId="77777777" w:rsidR="00D930AB" w:rsidRPr="007E629E" w:rsidRDefault="00D930AB" w:rsidP="00D930AB">
      <w:pPr>
        <w:tabs>
          <w:tab w:val="left" w:pos="567"/>
        </w:tabs>
        <w:jc w:val="both"/>
        <w:rPr>
          <w:sz w:val="24"/>
          <w:szCs w:val="24"/>
        </w:rPr>
      </w:pPr>
    </w:p>
    <w:p w14:paraId="7B3EE786" w14:textId="77777777" w:rsidR="00B60B88" w:rsidRPr="00670E9B" w:rsidRDefault="00B60B88" w:rsidP="00B60B88">
      <w:pPr>
        <w:ind w:left="851"/>
        <w:rPr>
          <w:i/>
          <w:iCs/>
          <w:sz w:val="24"/>
          <w:szCs w:val="24"/>
          <w:lang w:eastAsia="en-GB"/>
        </w:rPr>
      </w:pPr>
      <w:r w:rsidRPr="00670E9B">
        <w:rPr>
          <w:i/>
          <w:sz w:val="24"/>
          <w:szCs w:val="24"/>
        </w:rPr>
        <w:t xml:space="preserve">Pædiatrisk population </w:t>
      </w:r>
    </w:p>
    <w:p w14:paraId="37450401" w14:textId="77777777" w:rsidR="00B60B88" w:rsidRPr="00C12811" w:rsidRDefault="00B60B88" w:rsidP="00B60B88">
      <w:pPr>
        <w:ind w:left="851"/>
      </w:pPr>
      <w:proofErr w:type="spellStart"/>
      <w:r w:rsidRPr="007E629E">
        <w:rPr>
          <w:sz w:val="24"/>
          <w:szCs w:val="24"/>
        </w:rPr>
        <w:t>Mepi</w:t>
      </w:r>
      <w:r>
        <w:rPr>
          <w:sz w:val="24"/>
          <w:szCs w:val="24"/>
        </w:rPr>
        <w:t>dental</w:t>
      </w:r>
      <w:proofErr w:type="spellEnd"/>
      <w:r w:rsidRPr="007E629E">
        <w:rPr>
          <w:sz w:val="24"/>
          <w:szCs w:val="24"/>
        </w:rPr>
        <w:t xml:space="preserve"> er kontraindiceret til børn under 4 år (legemsvægt ca. 20 kg) (se pkt. 4.3).</w:t>
      </w:r>
      <w:r>
        <w:rPr>
          <w:sz w:val="24"/>
          <w:szCs w:val="24"/>
        </w:rPr>
        <w:t xml:space="preserve"> </w:t>
      </w:r>
      <w:r w:rsidRPr="00FC2F5B">
        <w:rPr>
          <w:sz w:val="24"/>
          <w:szCs w:val="24"/>
        </w:rPr>
        <w:t xml:space="preserve">Produkter, der indeholder mindre end 3 % </w:t>
      </w:r>
      <w:proofErr w:type="spellStart"/>
      <w:r w:rsidRPr="00FC2F5B">
        <w:rPr>
          <w:sz w:val="24"/>
          <w:szCs w:val="24"/>
        </w:rPr>
        <w:t>mepivacain</w:t>
      </w:r>
      <w:proofErr w:type="spellEnd"/>
      <w:r w:rsidRPr="00FC2F5B">
        <w:rPr>
          <w:sz w:val="24"/>
          <w:szCs w:val="24"/>
        </w:rPr>
        <w:t>, kan overvejes til brug hos børn under 4 år.</w:t>
      </w:r>
    </w:p>
    <w:p w14:paraId="02B180E2" w14:textId="77777777" w:rsidR="00D930AB" w:rsidRPr="007E629E" w:rsidRDefault="00D930AB" w:rsidP="009A1C0D">
      <w:pPr>
        <w:ind w:left="851"/>
        <w:rPr>
          <w:sz w:val="24"/>
          <w:szCs w:val="24"/>
        </w:rPr>
      </w:pPr>
    </w:p>
    <w:p w14:paraId="6EAA0B35" w14:textId="77777777" w:rsidR="00D930AB" w:rsidRPr="007E629E" w:rsidRDefault="00D930AB" w:rsidP="009A1C0D">
      <w:pPr>
        <w:ind w:left="851"/>
        <w:rPr>
          <w:sz w:val="24"/>
          <w:szCs w:val="24"/>
          <w:lang w:eastAsia="en-GB"/>
        </w:rPr>
      </w:pPr>
      <w:r w:rsidRPr="007E629E">
        <w:rPr>
          <w:sz w:val="24"/>
          <w:szCs w:val="24"/>
        </w:rPr>
        <w:t xml:space="preserve">Anbefalet terapeutisk dosis: </w:t>
      </w:r>
    </w:p>
    <w:p w14:paraId="0C7CD770" w14:textId="77777777" w:rsidR="00D930AB" w:rsidRPr="007E629E" w:rsidRDefault="00D930AB" w:rsidP="009A1C0D">
      <w:pPr>
        <w:ind w:left="851"/>
        <w:rPr>
          <w:sz w:val="24"/>
          <w:szCs w:val="24"/>
        </w:rPr>
      </w:pPr>
      <w:r w:rsidRPr="007E629E">
        <w:rPr>
          <w:sz w:val="24"/>
          <w:szCs w:val="24"/>
        </w:rPr>
        <w:t xml:space="preserve">Den injicerede mængde skal bestemmes ud fra barnets alder og vægt samt operationens omfang. Den gennemsnitlige dosering er 0,75 mg/kg = 0,025 ml </w:t>
      </w:r>
      <w:proofErr w:type="spellStart"/>
      <w:r w:rsidRPr="007E629E">
        <w:rPr>
          <w:sz w:val="24"/>
          <w:szCs w:val="24"/>
        </w:rPr>
        <w:t>mepivacainopløsning</w:t>
      </w:r>
      <w:proofErr w:type="spellEnd"/>
      <w:r w:rsidRPr="007E629E">
        <w:rPr>
          <w:sz w:val="24"/>
          <w:szCs w:val="24"/>
        </w:rPr>
        <w:t xml:space="preserve"> pr. kg legemsvægt: ~ ¼ cylinderampul (15 mg </w:t>
      </w:r>
      <w:proofErr w:type="spellStart"/>
      <w:r w:rsidRPr="007E629E">
        <w:rPr>
          <w:sz w:val="24"/>
          <w:szCs w:val="24"/>
        </w:rPr>
        <w:t>mepivacainhydrochlorid</w:t>
      </w:r>
      <w:proofErr w:type="spellEnd"/>
      <w:r w:rsidRPr="007E629E">
        <w:rPr>
          <w:sz w:val="24"/>
          <w:szCs w:val="24"/>
        </w:rPr>
        <w:t>) til et barn på 20 kg.</w:t>
      </w:r>
    </w:p>
    <w:p w14:paraId="2C618C60" w14:textId="77777777" w:rsidR="00D930AB" w:rsidRPr="007E629E" w:rsidRDefault="00D930AB" w:rsidP="009A1C0D">
      <w:pPr>
        <w:ind w:left="851"/>
        <w:rPr>
          <w:sz w:val="24"/>
          <w:szCs w:val="24"/>
        </w:rPr>
      </w:pPr>
    </w:p>
    <w:p w14:paraId="35530A8E" w14:textId="77777777" w:rsidR="00D930AB" w:rsidRPr="007E629E" w:rsidRDefault="00D930AB" w:rsidP="009A1C0D">
      <w:pPr>
        <w:ind w:left="851"/>
        <w:rPr>
          <w:sz w:val="24"/>
          <w:szCs w:val="24"/>
        </w:rPr>
      </w:pPr>
      <w:r w:rsidRPr="007E629E">
        <w:rPr>
          <w:sz w:val="24"/>
          <w:szCs w:val="24"/>
        </w:rPr>
        <w:t xml:space="preserve">Maksimal anbefalet dosering: </w:t>
      </w:r>
    </w:p>
    <w:p w14:paraId="4DC8AE98" w14:textId="77777777" w:rsidR="00D930AB" w:rsidRPr="007E629E" w:rsidRDefault="00D930AB" w:rsidP="009A1C0D">
      <w:pPr>
        <w:ind w:left="851"/>
        <w:rPr>
          <w:sz w:val="24"/>
          <w:szCs w:val="24"/>
        </w:rPr>
      </w:pPr>
      <w:r w:rsidRPr="007E629E">
        <w:rPr>
          <w:sz w:val="24"/>
          <w:szCs w:val="24"/>
        </w:rPr>
        <w:t xml:space="preserve">Den maksimale anbefalede dosis til børn er 3 mg </w:t>
      </w:r>
      <w:proofErr w:type="spellStart"/>
      <w:r w:rsidRPr="007E629E">
        <w:rPr>
          <w:sz w:val="24"/>
          <w:szCs w:val="24"/>
        </w:rPr>
        <w:t>mepivacain</w:t>
      </w:r>
      <w:proofErr w:type="spellEnd"/>
      <w:r w:rsidRPr="007E629E">
        <w:rPr>
          <w:sz w:val="24"/>
          <w:szCs w:val="24"/>
        </w:rPr>
        <w:t xml:space="preserve">/kg (0,1 ml </w:t>
      </w:r>
      <w:proofErr w:type="spellStart"/>
      <w:r w:rsidRPr="007E629E">
        <w:rPr>
          <w:sz w:val="24"/>
          <w:szCs w:val="24"/>
        </w:rPr>
        <w:t>mepivacain</w:t>
      </w:r>
      <w:proofErr w:type="spellEnd"/>
      <w:r w:rsidRPr="007E629E">
        <w:rPr>
          <w:sz w:val="24"/>
          <w:szCs w:val="24"/>
        </w:rPr>
        <w:t>/kg).</w:t>
      </w:r>
    </w:p>
    <w:p w14:paraId="26DEE239" w14:textId="77777777" w:rsidR="00D930AB" w:rsidRPr="007E629E" w:rsidRDefault="00D930AB" w:rsidP="009A1C0D">
      <w:pPr>
        <w:ind w:left="851"/>
        <w:rPr>
          <w:sz w:val="24"/>
          <w:szCs w:val="24"/>
        </w:rPr>
      </w:pPr>
    </w:p>
    <w:p w14:paraId="4F9978DA" w14:textId="77777777" w:rsidR="00D930AB" w:rsidRPr="007E629E" w:rsidRDefault="00D930AB" w:rsidP="009A1C0D">
      <w:pPr>
        <w:ind w:left="851"/>
        <w:rPr>
          <w:sz w:val="24"/>
          <w:szCs w:val="24"/>
          <w:lang w:eastAsia="en-GB"/>
        </w:rPr>
      </w:pPr>
      <w:r w:rsidRPr="007E629E">
        <w:rPr>
          <w:sz w:val="24"/>
          <w:szCs w:val="24"/>
        </w:rPr>
        <w:t>Den følgende tabel viser den maksimalt tilladte dosis til børn og det tilsvarende antal cylinderampuller:</w:t>
      </w:r>
    </w:p>
    <w:p w14:paraId="4DBE1C5C" w14:textId="77777777" w:rsidR="00D930AB" w:rsidRPr="007E629E" w:rsidRDefault="00D930AB" w:rsidP="00D930AB">
      <w:pPr>
        <w:tabs>
          <w:tab w:val="left" w:pos="567"/>
        </w:tabs>
        <w:jc w:val="both"/>
        <w:rPr>
          <w:sz w:val="24"/>
          <w:szCs w:val="24"/>
        </w:rPr>
      </w:pPr>
    </w:p>
    <w:tbl>
      <w:tblPr>
        <w:tblW w:w="5000" w:type="pct"/>
        <w:jc w:val="center"/>
        <w:tblLook w:val="04A0" w:firstRow="1" w:lastRow="0" w:firstColumn="1" w:lastColumn="0" w:noHBand="0" w:noVBand="1"/>
      </w:tblPr>
      <w:tblGrid>
        <w:gridCol w:w="718"/>
        <w:gridCol w:w="2465"/>
        <w:gridCol w:w="936"/>
        <w:gridCol w:w="1747"/>
        <w:gridCol w:w="1804"/>
        <w:gridCol w:w="1958"/>
      </w:tblGrid>
      <w:tr w:rsidR="00D930AB" w:rsidRPr="00670E9B" w14:paraId="377141D6" w14:textId="77777777" w:rsidTr="009A1C0D">
        <w:trPr>
          <w:jc w:val="center"/>
        </w:trPr>
        <w:tc>
          <w:tcPr>
            <w:tcW w:w="373" w:type="pct"/>
            <w:tcBorders>
              <w:top w:val="single" w:sz="4" w:space="0" w:color="auto"/>
              <w:left w:val="single" w:sz="4" w:space="0" w:color="auto"/>
              <w:bottom w:val="single" w:sz="4" w:space="0" w:color="auto"/>
              <w:right w:val="single" w:sz="4" w:space="0" w:color="auto"/>
            </w:tcBorders>
            <w:hideMark/>
          </w:tcPr>
          <w:p w14:paraId="1152D51C" w14:textId="77777777" w:rsidR="00D930AB" w:rsidRPr="00670E9B" w:rsidRDefault="00D930AB">
            <w:pPr>
              <w:pStyle w:val="Default"/>
              <w:ind w:left="-120" w:right="-102"/>
              <w:jc w:val="center"/>
              <w:rPr>
                <w:rFonts w:eastAsia="Calibri"/>
                <w:sz w:val="22"/>
                <w:szCs w:val="22"/>
              </w:rPr>
            </w:pPr>
            <w:r w:rsidRPr="00670E9B">
              <w:rPr>
                <w:sz w:val="22"/>
                <w:szCs w:val="22"/>
              </w:rPr>
              <w:t xml:space="preserve">Vægt (kg) </w:t>
            </w:r>
          </w:p>
        </w:tc>
        <w:tc>
          <w:tcPr>
            <w:tcW w:w="1280" w:type="pct"/>
            <w:tcBorders>
              <w:top w:val="single" w:sz="4" w:space="0" w:color="auto"/>
              <w:left w:val="single" w:sz="4" w:space="0" w:color="auto"/>
              <w:bottom w:val="single" w:sz="4" w:space="0" w:color="auto"/>
              <w:right w:val="single" w:sz="4" w:space="0" w:color="auto"/>
            </w:tcBorders>
            <w:hideMark/>
          </w:tcPr>
          <w:p w14:paraId="31C644ED" w14:textId="77777777" w:rsidR="00D930AB" w:rsidRPr="00670E9B" w:rsidRDefault="00D930AB">
            <w:pPr>
              <w:pStyle w:val="Default"/>
              <w:ind w:right="-25"/>
              <w:jc w:val="center"/>
              <w:rPr>
                <w:rFonts w:eastAsia="Calibri"/>
                <w:sz w:val="22"/>
                <w:szCs w:val="22"/>
              </w:rPr>
            </w:pPr>
            <w:proofErr w:type="spellStart"/>
            <w:r w:rsidRPr="00670E9B">
              <w:rPr>
                <w:sz w:val="22"/>
                <w:szCs w:val="22"/>
              </w:rPr>
              <w:t>Mepivacainhydrochlorid</w:t>
            </w:r>
            <w:proofErr w:type="spellEnd"/>
            <w:r w:rsidRPr="00670E9B">
              <w:rPr>
                <w:sz w:val="22"/>
                <w:szCs w:val="22"/>
              </w:rPr>
              <w:t xml:space="preserve">-dosis (mg) </w:t>
            </w:r>
          </w:p>
        </w:tc>
        <w:tc>
          <w:tcPr>
            <w:tcW w:w="486" w:type="pct"/>
            <w:tcBorders>
              <w:top w:val="single" w:sz="4" w:space="0" w:color="auto"/>
              <w:left w:val="single" w:sz="4" w:space="0" w:color="auto"/>
              <w:bottom w:val="single" w:sz="4" w:space="0" w:color="auto"/>
              <w:right w:val="single" w:sz="4" w:space="0" w:color="auto"/>
            </w:tcBorders>
            <w:hideMark/>
          </w:tcPr>
          <w:p w14:paraId="1E4F02F4" w14:textId="77777777" w:rsidR="00D930AB" w:rsidRPr="00670E9B" w:rsidRDefault="00D930AB">
            <w:pPr>
              <w:pStyle w:val="Default"/>
              <w:ind w:left="-112" w:right="-129"/>
              <w:jc w:val="center"/>
              <w:rPr>
                <w:rFonts w:eastAsia="Calibri"/>
                <w:sz w:val="22"/>
                <w:szCs w:val="22"/>
              </w:rPr>
            </w:pPr>
            <w:r w:rsidRPr="00670E9B">
              <w:rPr>
                <w:sz w:val="22"/>
                <w:szCs w:val="22"/>
              </w:rPr>
              <w:t xml:space="preserve">Volumen (ml) </w:t>
            </w:r>
          </w:p>
        </w:tc>
        <w:tc>
          <w:tcPr>
            <w:tcW w:w="907" w:type="pct"/>
            <w:tcBorders>
              <w:top w:val="single" w:sz="4" w:space="0" w:color="auto"/>
              <w:left w:val="single" w:sz="4" w:space="0" w:color="auto"/>
              <w:bottom w:val="single" w:sz="4" w:space="0" w:color="auto"/>
              <w:right w:val="single" w:sz="4" w:space="0" w:color="auto"/>
            </w:tcBorders>
            <w:hideMark/>
          </w:tcPr>
          <w:p w14:paraId="58310FB9" w14:textId="77777777" w:rsidR="00D930AB" w:rsidRPr="00670E9B" w:rsidRDefault="00D930AB">
            <w:pPr>
              <w:pStyle w:val="Default"/>
              <w:jc w:val="center"/>
              <w:rPr>
                <w:rFonts w:eastAsia="Calibri"/>
                <w:sz w:val="22"/>
                <w:szCs w:val="22"/>
              </w:rPr>
            </w:pPr>
            <w:r w:rsidRPr="00670E9B">
              <w:rPr>
                <w:sz w:val="22"/>
                <w:szCs w:val="22"/>
              </w:rPr>
              <w:t xml:space="preserve">Svarer* i antal cylinderampuller (1,7 ml) til </w:t>
            </w:r>
          </w:p>
        </w:tc>
        <w:tc>
          <w:tcPr>
            <w:tcW w:w="937" w:type="pct"/>
            <w:tcBorders>
              <w:top w:val="single" w:sz="4" w:space="0" w:color="auto"/>
              <w:left w:val="single" w:sz="4" w:space="0" w:color="auto"/>
              <w:bottom w:val="single" w:sz="4" w:space="0" w:color="auto"/>
              <w:right w:val="single" w:sz="4" w:space="0" w:color="auto"/>
            </w:tcBorders>
            <w:hideMark/>
          </w:tcPr>
          <w:p w14:paraId="6D35182D" w14:textId="77777777" w:rsidR="00D930AB" w:rsidRPr="00670E9B" w:rsidRDefault="00D930AB">
            <w:pPr>
              <w:pStyle w:val="Default"/>
              <w:jc w:val="center"/>
              <w:rPr>
                <w:sz w:val="22"/>
                <w:szCs w:val="22"/>
              </w:rPr>
            </w:pPr>
            <w:r w:rsidRPr="00670E9B">
              <w:rPr>
                <w:sz w:val="22"/>
                <w:szCs w:val="22"/>
              </w:rPr>
              <w:t>Svarer* i antal cylinderampuller (1,8 ml) til</w:t>
            </w:r>
          </w:p>
        </w:tc>
        <w:tc>
          <w:tcPr>
            <w:tcW w:w="1017" w:type="pct"/>
            <w:tcBorders>
              <w:top w:val="single" w:sz="4" w:space="0" w:color="auto"/>
              <w:left w:val="single" w:sz="4" w:space="0" w:color="auto"/>
              <w:bottom w:val="single" w:sz="4" w:space="0" w:color="auto"/>
              <w:right w:val="single" w:sz="4" w:space="0" w:color="auto"/>
            </w:tcBorders>
            <w:hideMark/>
          </w:tcPr>
          <w:p w14:paraId="28ED6CBC" w14:textId="77777777" w:rsidR="00D930AB" w:rsidRPr="00670E9B" w:rsidRDefault="00D930AB">
            <w:pPr>
              <w:pStyle w:val="Default"/>
              <w:jc w:val="center"/>
              <w:rPr>
                <w:rFonts w:eastAsia="Calibri"/>
                <w:sz w:val="22"/>
                <w:szCs w:val="22"/>
              </w:rPr>
            </w:pPr>
            <w:r w:rsidRPr="00670E9B">
              <w:rPr>
                <w:sz w:val="22"/>
                <w:szCs w:val="22"/>
              </w:rPr>
              <w:t xml:space="preserve">Svarer* i antal cylinderampuller (2,2 ml) til </w:t>
            </w:r>
          </w:p>
        </w:tc>
      </w:tr>
      <w:tr w:rsidR="00D930AB" w:rsidRPr="00670E9B" w14:paraId="5B9F5FAB" w14:textId="77777777" w:rsidTr="009A1C0D">
        <w:trPr>
          <w:jc w:val="center"/>
        </w:trPr>
        <w:tc>
          <w:tcPr>
            <w:tcW w:w="373" w:type="pct"/>
            <w:tcBorders>
              <w:top w:val="single" w:sz="4" w:space="0" w:color="auto"/>
              <w:left w:val="single" w:sz="4" w:space="0" w:color="auto"/>
              <w:bottom w:val="single" w:sz="4" w:space="0" w:color="auto"/>
              <w:right w:val="single" w:sz="4" w:space="0" w:color="auto"/>
            </w:tcBorders>
            <w:hideMark/>
          </w:tcPr>
          <w:p w14:paraId="0EF78AE8" w14:textId="77777777" w:rsidR="00D930AB" w:rsidRPr="00670E9B" w:rsidRDefault="00D930AB">
            <w:pPr>
              <w:tabs>
                <w:tab w:val="left" w:pos="567"/>
              </w:tabs>
              <w:jc w:val="center"/>
              <w:rPr>
                <w:rFonts w:eastAsia="Calibri"/>
                <w:sz w:val="22"/>
                <w:szCs w:val="22"/>
              </w:rPr>
            </w:pPr>
            <w:r w:rsidRPr="00670E9B">
              <w:rPr>
                <w:sz w:val="22"/>
                <w:szCs w:val="22"/>
              </w:rPr>
              <w:t>20</w:t>
            </w:r>
          </w:p>
        </w:tc>
        <w:tc>
          <w:tcPr>
            <w:tcW w:w="1280" w:type="pct"/>
            <w:tcBorders>
              <w:top w:val="single" w:sz="4" w:space="0" w:color="auto"/>
              <w:left w:val="single" w:sz="4" w:space="0" w:color="auto"/>
              <w:bottom w:val="single" w:sz="4" w:space="0" w:color="auto"/>
              <w:right w:val="single" w:sz="4" w:space="0" w:color="auto"/>
            </w:tcBorders>
            <w:hideMark/>
          </w:tcPr>
          <w:p w14:paraId="4998A9CB" w14:textId="77777777" w:rsidR="00D930AB" w:rsidRPr="00670E9B" w:rsidRDefault="00D930AB">
            <w:pPr>
              <w:tabs>
                <w:tab w:val="left" w:pos="567"/>
              </w:tabs>
              <w:jc w:val="center"/>
              <w:rPr>
                <w:rFonts w:eastAsia="Calibri"/>
                <w:sz w:val="22"/>
                <w:szCs w:val="22"/>
              </w:rPr>
            </w:pPr>
            <w:r w:rsidRPr="00670E9B">
              <w:rPr>
                <w:sz w:val="22"/>
                <w:szCs w:val="22"/>
              </w:rPr>
              <w:t>60</w:t>
            </w:r>
          </w:p>
        </w:tc>
        <w:tc>
          <w:tcPr>
            <w:tcW w:w="486" w:type="pct"/>
            <w:tcBorders>
              <w:top w:val="single" w:sz="4" w:space="0" w:color="auto"/>
              <w:left w:val="single" w:sz="4" w:space="0" w:color="auto"/>
              <w:bottom w:val="single" w:sz="4" w:space="0" w:color="auto"/>
              <w:right w:val="single" w:sz="4" w:space="0" w:color="auto"/>
            </w:tcBorders>
            <w:hideMark/>
          </w:tcPr>
          <w:p w14:paraId="00B69D7A" w14:textId="77777777" w:rsidR="00D930AB" w:rsidRPr="00670E9B" w:rsidRDefault="00D930AB">
            <w:pPr>
              <w:tabs>
                <w:tab w:val="left" w:pos="567"/>
              </w:tabs>
              <w:jc w:val="center"/>
              <w:rPr>
                <w:rFonts w:eastAsia="Calibri"/>
                <w:sz w:val="22"/>
                <w:szCs w:val="22"/>
              </w:rPr>
            </w:pPr>
            <w:r w:rsidRPr="00670E9B">
              <w:rPr>
                <w:sz w:val="22"/>
                <w:szCs w:val="22"/>
              </w:rPr>
              <w:t>2</w:t>
            </w:r>
          </w:p>
        </w:tc>
        <w:tc>
          <w:tcPr>
            <w:tcW w:w="907" w:type="pct"/>
            <w:tcBorders>
              <w:top w:val="single" w:sz="4" w:space="0" w:color="auto"/>
              <w:left w:val="single" w:sz="4" w:space="0" w:color="auto"/>
              <w:bottom w:val="single" w:sz="4" w:space="0" w:color="auto"/>
              <w:right w:val="single" w:sz="4" w:space="0" w:color="auto"/>
            </w:tcBorders>
            <w:hideMark/>
          </w:tcPr>
          <w:p w14:paraId="78C404CB" w14:textId="77777777" w:rsidR="00D930AB" w:rsidRPr="00670E9B" w:rsidRDefault="00D930AB">
            <w:pPr>
              <w:tabs>
                <w:tab w:val="left" w:pos="567"/>
              </w:tabs>
              <w:jc w:val="center"/>
              <w:rPr>
                <w:rFonts w:eastAsia="Calibri"/>
                <w:sz w:val="22"/>
                <w:szCs w:val="22"/>
              </w:rPr>
            </w:pPr>
            <w:r w:rsidRPr="00670E9B">
              <w:rPr>
                <w:sz w:val="22"/>
                <w:szCs w:val="22"/>
              </w:rPr>
              <w:t>1,2</w:t>
            </w:r>
          </w:p>
        </w:tc>
        <w:tc>
          <w:tcPr>
            <w:tcW w:w="937" w:type="pct"/>
            <w:tcBorders>
              <w:top w:val="single" w:sz="4" w:space="0" w:color="auto"/>
              <w:left w:val="single" w:sz="4" w:space="0" w:color="auto"/>
              <w:bottom w:val="single" w:sz="4" w:space="0" w:color="auto"/>
              <w:right w:val="single" w:sz="4" w:space="0" w:color="auto"/>
            </w:tcBorders>
            <w:hideMark/>
          </w:tcPr>
          <w:p w14:paraId="12F8D7C9" w14:textId="77777777" w:rsidR="00D930AB" w:rsidRPr="00670E9B" w:rsidRDefault="00D930AB">
            <w:pPr>
              <w:pStyle w:val="Default"/>
              <w:jc w:val="center"/>
              <w:rPr>
                <w:sz w:val="22"/>
                <w:szCs w:val="22"/>
              </w:rPr>
            </w:pPr>
            <w:r w:rsidRPr="00670E9B">
              <w:rPr>
                <w:sz w:val="22"/>
                <w:szCs w:val="22"/>
              </w:rPr>
              <w:t xml:space="preserve">1,1 </w:t>
            </w:r>
          </w:p>
        </w:tc>
        <w:tc>
          <w:tcPr>
            <w:tcW w:w="1017" w:type="pct"/>
            <w:tcBorders>
              <w:top w:val="single" w:sz="4" w:space="0" w:color="auto"/>
              <w:left w:val="single" w:sz="4" w:space="0" w:color="auto"/>
              <w:bottom w:val="single" w:sz="4" w:space="0" w:color="auto"/>
              <w:right w:val="single" w:sz="4" w:space="0" w:color="auto"/>
            </w:tcBorders>
            <w:hideMark/>
          </w:tcPr>
          <w:p w14:paraId="6F7AF895" w14:textId="77777777" w:rsidR="00D930AB" w:rsidRPr="00670E9B" w:rsidRDefault="00D930AB">
            <w:pPr>
              <w:tabs>
                <w:tab w:val="left" w:pos="567"/>
              </w:tabs>
              <w:jc w:val="center"/>
              <w:rPr>
                <w:rFonts w:eastAsia="Calibri"/>
                <w:sz w:val="22"/>
                <w:szCs w:val="22"/>
              </w:rPr>
            </w:pPr>
            <w:r w:rsidRPr="00670E9B">
              <w:rPr>
                <w:sz w:val="22"/>
                <w:szCs w:val="22"/>
              </w:rPr>
              <w:t>0,9</w:t>
            </w:r>
          </w:p>
        </w:tc>
      </w:tr>
      <w:tr w:rsidR="00D930AB" w:rsidRPr="00670E9B" w14:paraId="40C2A3AF" w14:textId="77777777" w:rsidTr="009A1C0D">
        <w:trPr>
          <w:jc w:val="center"/>
        </w:trPr>
        <w:tc>
          <w:tcPr>
            <w:tcW w:w="373" w:type="pct"/>
            <w:tcBorders>
              <w:top w:val="single" w:sz="4" w:space="0" w:color="auto"/>
              <w:left w:val="single" w:sz="4" w:space="0" w:color="auto"/>
              <w:bottom w:val="single" w:sz="4" w:space="0" w:color="auto"/>
              <w:right w:val="single" w:sz="4" w:space="0" w:color="auto"/>
            </w:tcBorders>
            <w:hideMark/>
          </w:tcPr>
          <w:p w14:paraId="0C26008F" w14:textId="77777777" w:rsidR="00D930AB" w:rsidRPr="00670E9B" w:rsidRDefault="00D930AB">
            <w:pPr>
              <w:tabs>
                <w:tab w:val="left" w:pos="567"/>
              </w:tabs>
              <w:jc w:val="center"/>
              <w:rPr>
                <w:rFonts w:eastAsia="Calibri"/>
                <w:sz w:val="22"/>
                <w:szCs w:val="22"/>
              </w:rPr>
            </w:pPr>
            <w:r w:rsidRPr="00670E9B">
              <w:rPr>
                <w:sz w:val="22"/>
                <w:szCs w:val="22"/>
              </w:rPr>
              <w:t>35</w:t>
            </w:r>
          </w:p>
        </w:tc>
        <w:tc>
          <w:tcPr>
            <w:tcW w:w="1280" w:type="pct"/>
            <w:tcBorders>
              <w:top w:val="single" w:sz="4" w:space="0" w:color="auto"/>
              <w:left w:val="single" w:sz="4" w:space="0" w:color="auto"/>
              <w:bottom w:val="single" w:sz="4" w:space="0" w:color="auto"/>
              <w:right w:val="single" w:sz="4" w:space="0" w:color="auto"/>
            </w:tcBorders>
            <w:hideMark/>
          </w:tcPr>
          <w:p w14:paraId="28F034D5" w14:textId="77777777" w:rsidR="00D930AB" w:rsidRPr="00670E9B" w:rsidRDefault="00D930AB">
            <w:pPr>
              <w:tabs>
                <w:tab w:val="left" w:pos="567"/>
              </w:tabs>
              <w:jc w:val="center"/>
              <w:rPr>
                <w:rFonts w:eastAsia="Calibri"/>
                <w:sz w:val="22"/>
                <w:szCs w:val="22"/>
              </w:rPr>
            </w:pPr>
            <w:r w:rsidRPr="00670E9B">
              <w:rPr>
                <w:sz w:val="22"/>
                <w:szCs w:val="22"/>
              </w:rPr>
              <w:t>105</w:t>
            </w:r>
          </w:p>
        </w:tc>
        <w:tc>
          <w:tcPr>
            <w:tcW w:w="486" w:type="pct"/>
            <w:tcBorders>
              <w:top w:val="single" w:sz="4" w:space="0" w:color="auto"/>
              <w:left w:val="single" w:sz="4" w:space="0" w:color="auto"/>
              <w:bottom w:val="single" w:sz="4" w:space="0" w:color="auto"/>
              <w:right w:val="single" w:sz="4" w:space="0" w:color="auto"/>
            </w:tcBorders>
            <w:hideMark/>
          </w:tcPr>
          <w:p w14:paraId="2227A2C7" w14:textId="77777777" w:rsidR="00D930AB" w:rsidRPr="00670E9B" w:rsidRDefault="00D930AB">
            <w:pPr>
              <w:tabs>
                <w:tab w:val="left" w:pos="567"/>
              </w:tabs>
              <w:jc w:val="center"/>
              <w:rPr>
                <w:rFonts w:eastAsia="Calibri"/>
                <w:sz w:val="22"/>
                <w:szCs w:val="22"/>
              </w:rPr>
            </w:pPr>
            <w:r w:rsidRPr="00670E9B">
              <w:rPr>
                <w:sz w:val="22"/>
                <w:szCs w:val="22"/>
              </w:rPr>
              <w:t>3,5</w:t>
            </w:r>
          </w:p>
        </w:tc>
        <w:tc>
          <w:tcPr>
            <w:tcW w:w="907" w:type="pct"/>
            <w:tcBorders>
              <w:top w:val="single" w:sz="4" w:space="0" w:color="auto"/>
              <w:left w:val="single" w:sz="4" w:space="0" w:color="auto"/>
              <w:bottom w:val="single" w:sz="4" w:space="0" w:color="auto"/>
              <w:right w:val="single" w:sz="4" w:space="0" w:color="auto"/>
            </w:tcBorders>
            <w:hideMark/>
          </w:tcPr>
          <w:p w14:paraId="659C6623" w14:textId="77777777" w:rsidR="00D930AB" w:rsidRPr="00670E9B" w:rsidRDefault="00D930AB">
            <w:pPr>
              <w:tabs>
                <w:tab w:val="left" w:pos="567"/>
              </w:tabs>
              <w:jc w:val="center"/>
              <w:rPr>
                <w:rFonts w:eastAsia="Calibri"/>
                <w:sz w:val="22"/>
                <w:szCs w:val="22"/>
              </w:rPr>
            </w:pPr>
            <w:r w:rsidRPr="00670E9B">
              <w:rPr>
                <w:sz w:val="22"/>
                <w:szCs w:val="22"/>
              </w:rPr>
              <w:t>2,0</w:t>
            </w:r>
          </w:p>
        </w:tc>
        <w:tc>
          <w:tcPr>
            <w:tcW w:w="937" w:type="pct"/>
            <w:tcBorders>
              <w:top w:val="single" w:sz="4" w:space="0" w:color="auto"/>
              <w:left w:val="single" w:sz="4" w:space="0" w:color="auto"/>
              <w:bottom w:val="single" w:sz="4" w:space="0" w:color="auto"/>
              <w:right w:val="single" w:sz="4" w:space="0" w:color="auto"/>
            </w:tcBorders>
            <w:hideMark/>
          </w:tcPr>
          <w:p w14:paraId="3C072F3F" w14:textId="77777777" w:rsidR="00D930AB" w:rsidRPr="00670E9B" w:rsidRDefault="00D930AB">
            <w:pPr>
              <w:pStyle w:val="Default"/>
              <w:jc w:val="center"/>
              <w:rPr>
                <w:sz w:val="22"/>
                <w:szCs w:val="22"/>
              </w:rPr>
            </w:pPr>
            <w:r w:rsidRPr="00670E9B">
              <w:rPr>
                <w:sz w:val="22"/>
                <w:szCs w:val="22"/>
              </w:rPr>
              <w:t xml:space="preserve">1,9 </w:t>
            </w:r>
          </w:p>
        </w:tc>
        <w:tc>
          <w:tcPr>
            <w:tcW w:w="1017" w:type="pct"/>
            <w:tcBorders>
              <w:top w:val="single" w:sz="4" w:space="0" w:color="auto"/>
              <w:left w:val="single" w:sz="4" w:space="0" w:color="auto"/>
              <w:bottom w:val="single" w:sz="4" w:space="0" w:color="auto"/>
              <w:right w:val="single" w:sz="4" w:space="0" w:color="auto"/>
            </w:tcBorders>
            <w:hideMark/>
          </w:tcPr>
          <w:p w14:paraId="7AAC5841" w14:textId="77777777" w:rsidR="00D930AB" w:rsidRPr="00670E9B" w:rsidRDefault="00D930AB">
            <w:pPr>
              <w:tabs>
                <w:tab w:val="left" w:pos="567"/>
              </w:tabs>
              <w:jc w:val="center"/>
              <w:rPr>
                <w:rFonts w:eastAsia="Calibri"/>
                <w:sz w:val="22"/>
                <w:szCs w:val="22"/>
              </w:rPr>
            </w:pPr>
            <w:r w:rsidRPr="00670E9B">
              <w:rPr>
                <w:sz w:val="22"/>
                <w:szCs w:val="22"/>
              </w:rPr>
              <w:t>1,5</w:t>
            </w:r>
          </w:p>
        </w:tc>
      </w:tr>
      <w:tr w:rsidR="00D930AB" w:rsidRPr="00670E9B" w14:paraId="2B142F85" w14:textId="77777777" w:rsidTr="009A1C0D">
        <w:trPr>
          <w:jc w:val="center"/>
        </w:trPr>
        <w:tc>
          <w:tcPr>
            <w:tcW w:w="373" w:type="pct"/>
            <w:tcBorders>
              <w:top w:val="single" w:sz="4" w:space="0" w:color="auto"/>
              <w:left w:val="single" w:sz="4" w:space="0" w:color="auto"/>
              <w:bottom w:val="single" w:sz="4" w:space="0" w:color="auto"/>
              <w:right w:val="single" w:sz="4" w:space="0" w:color="auto"/>
            </w:tcBorders>
            <w:hideMark/>
          </w:tcPr>
          <w:p w14:paraId="060E43F9" w14:textId="77777777" w:rsidR="00D930AB" w:rsidRPr="00670E9B" w:rsidRDefault="00D930AB">
            <w:pPr>
              <w:tabs>
                <w:tab w:val="left" w:pos="567"/>
              </w:tabs>
              <w:jc w:val="center"/>
              <w:rPr>
                <w:rFonts w:eastAsia="Calibri"/>
                <w:sz w:val="22"/>
                <w:szCs w:val="22"/>
              </w:rPr>
            </w:pPr>
            <w:r w:rsidRPr="00670E9B">
              <w:rPr>
                <w:sz w:val="22"/>
                <w:szCs w:val="22"/>
              </w:rPr>
              <w:t>45</w:t>
            </w:r>
          </w:p>
        </w:tc>
        <w:tc>
          <w:tcPr>
            <w:tcW w:w="1280" w:type="pct"/>
            <w:tcBorders>
              <w:top w:val="single" w:sz="4" w:space="0" w:color="auto"/>
              <w:left w:val="single" w:sz="4" w:space="0" w:color="auto"/>
              <w:bottom w:val="single" w:sz="4" w:space="0" w:color="auto"/>
              <w:right w:val="single" w:sz="4" w:space="0" w:color="auto"/>
            </w:tcBorders>
            <w:hideMark/>
          </w:tcPr>
          <w:p w14:paraId="6C52614D" w14:textId="77777777" w:rsidR="00D930AB" w:rsidRPr="00670E9B" w:rsidRDefault="00D930AB">
            <w:pPr>
              <w:tabs>
                <w:tab w:val="left" w:pos="567"/>
              </w:tabs>
              <w:jc w:val="center"/>
              <w:rPr>
                <w:rFonts w:eastAsia="Calibri"/>
                <w:sz w:val="22"/>
                <w:szCs w:val="22"/>
              </w:rPr>
            </w:pPr>
            <w:r w:rsidRPr="00670E9B">
              <w:rPr>
                <w:sz w:val="22"/>
                <w:szCs w:val="22"/>
              </w:rPr>
              <w:t>135</w:t>
            </w:r>
          </w:p>
        </w:tc>
        <w:tc>
          <w:tcPr>
            <w:tcW w:w="486" w:type="pct"/>
            <w:tcBorders>
              <w:top w:val="single" w:sz="4" w:space="0" w:color="auto"/>
              <w:left w:val="single" w:sz="4" w:space="0" w:color="auto"/>
              <w:bottom w:val="single" w:sz="4" w:space="0" w:color="auto"/>
              <w:right w:val="single" w:sz="4" w:space="0" w:color="auto"/>
            </w:tcBorders>
            <w:hideMark/>
          </w:tcPr>
          <w:p w14:paraId="2F6BA981" w14:textId="77777777" w:rsidR="00D930AB" w:rsidRPr="00670E9B" w:rsidRDefault="00D930AB">
            <w:pPr>
              <w:tabs>
                <w:tab w:val="left" w:pos="567"/>
              </w:tabs>
              <w:jc w:val="center"/>
              <w:rPr>
                <w:rFonts w:eastAsia="Calibri"/>
                <w:sz w:val="22"/>
                <w:szCs w:val="22"/>
              </w:rPr>
            </w:pPr>
            <w:r w:rsidRPr="00670E9B">
              <w:rPr>
                <w:sz w:val="22"/>
                <w:szCs w:val="22"/>
              </w:rPr>
              <w:t>4,5</w:t>
            </w:r>
          </w:p>
        </w:tc>
        <w:tc>
          <w:tcPr>
            <w:tcW w:w="907" w:type="pct"/>
            <w:tcBorders>
              <w:top w:val="single" w:sz="4" w:space="0" w:color="auto"/>
              <w:left w:val="single" w:sz="4" w:space="0" w:color="auto"/>
              <w:bottom w:val="single" w:sz="4" w:space="0" w:color="auto"/>
              <w:right w:val="single" w:sz="4" w:space="0" w:color="auto"/>
            </w:tcBorders>
            <w:hideMark/>
          </w:tcPr>
          <w:p w14:paraId="50528E4F" w14:textId="77777777" w:rsidR="00D930AB" w:rsidRPr="00670E9B" w:rsidRDefault="00D930AB">
            <w:pPr>
              <w:tabs>
                <w:tab w:val="left" w:pos="567"/>
              </w:tabs>
              <w:jc w:val="center"/>
              <w:rPr>
                <w:rFonts w:eastAsia="Calibri"/>
                <w:sz w:val="22"/>
                <w:szCs w:val="22"/>
              </w:rPr>
            </w:pPr>
            <w:r w:rsidRPr="00670E9B">
              <w:rPr>
                <w:sz w:val="22"/>
                <w:szCs w:val="22"/>
              </w:rPr>
              <w:t>2,5</w:t>
            </w:r>
          </w:p>
        </w:tc>
        <w:tc>
          <w:tcPr>
            <w:tcW w:w="937" w:type="pct"/>
            <w:tcBorders>
              <w:top w:val="single" w:sz="4" w:space="0" w:color="auto"/>
              <w:left w:val="single" w:sz="4" w:space="0" w:color="auto"/>
              <w:bottom w:val="single" w:sz="4" w:space="0" w:color="auto"/>
              <w:right w:val="single" w:sz="4" w:space="0" w:color="auto"/>
            </w:tcBorders>
            <w:hideMark/>
          </w:tcPr>
          <w:p w14:paraId="0A2A3B61" w14:textId="77777777" w:rsidR="00D930AB" w:rsidRPr="00670E9B" w:rsidRDefault="00D930AB">
            <w:pPr>
              <w:pStyle w:val="Default"/>
              <w:jc w:val="center"/>
              <w:rPr>
                <w:sz w:val="22"/>
                <w:szCs w:val="22"/>
              </w:rPr>
            </w:pPr>
            <w:r w:rsidRPr="00670E9B">
              <w:rPr>
                <w:sz w:val="22"/>
                <w:szCs w:val="22"/>
              </w:rPr>
              <w:t xml:space="preserve">2,5 </w:t>
            </w:r>
          </w:p>
        </w:tc>
        <w:tc>
          <w:tcPr>
            <w:tcW w:w="1017" w:type="pct"/>
            <w:tcBorders>
              <w:top w:val="single" w:sz="4" w:space="0" w:color="auto"/>
              <w:left w:val="single" w:sz="4" w:space="0" w:color="auto"/>
              <w:bottom w:val="single" w:sz="4" w:space="0" w:color="auto"/>
              <w:right w:val="single" w:sz="4" w:space="0" w:color="auto"/>
            </w:tcBorders>
            <w:hideMark/>
          </w:tcPr>
          <w:p w14:paraId="1134A114" w14:textId="77777777" w:rsidR="00D930AB" w:rsidRPr="00670E9B" w:rsidRDefault="00D930AB">
            <w:pPr>
              <w:tabs>
                <w:tab w:val="left" w:pos="567"/>
              </w:tabs>
              <w:jc w:val="center"/>
              <w:rPr>
                <w:rFonts w:eastAsia="Calibri"/>
                <w:sz w:val="22"/>
                <w:szCs w:val="22"/>
              </w:rPr>
            </w:pPr>
            <w:r w:rsidRPr="00670E9B">
              <w:rPr>
                <w:sz w:val="22"/>
                <w:szCs w:val="22"/>
              </w:rPr>
              <w:t>2,0</w:t>
            </w:r>
          </w:p>
        </w:tc>
      </w:tr>
    </w:tbl>
    <w:p w14:paraId="406FBE15" w14:textId="77777777" w:rsidR="00D930AB" w:rsidRPr="007E629E" w:rsidRDefault="00D930AB" w:rsidP="00D930AB">
      <w:pPr>
        <w:tabs>
          <w:tab w:val="left" w:pos="567"/>
        </w:tabs>
        <w:jc w:val="both"/>
        <w:rPr>
          <w:sz w:val="24"/>
          <w:szCs w:val="24"/>
          <w:lang w:eastAsia="en-GB"/>
        </w:rPr>
      </w:pPr>
      <w:r w:rsidRPr="007E629E">
        <w:rPr>
          <w:sz w:val="24"/>
          <w:szCs w:val="24"/>
        </w:rPr>
        <w:lastRenderedPageBreak/>
        <w:t>* Afrundet til nærmeste halve cylinderampul</w:t>
      </w:r>
    </w:p>
    <w:p w14:paraId="19DC1162" w14:textId="77777777" w:rsidR="00D930AB" w:rsidRPr="007E629E" w:rsidRDefault="00D930AB" w:rsidP="00D930AB">
      <w:pPr>
        <w:autoSpaceDE w:val="0"/>
        <w:autoSpaceDN w:val="0"/>
        <w:adjustRightInd w:val="0"/>
        <w:rPr>
          <w:sz w:val="24"/>
          <w:szCs w:val="24"/>
        </w:rPr>
      </w:pPr>
    </w:p>
    <w:p w14:paraId="2A93A9B4" w14:textId="77777777" w:rsidR="00D930AB" w:rsidRPr="00670E9B" w:rsidRDefault="00D930AB" w:rsidP="009A1C0D">
      <w:pPr>
        <w:ind w:left="851"/>
        <w:rPr>
          <w:i/>
          <w:sz w:val="24"/>
          <w:szCs w:val="24"/>
          <w:lang w:eastAsia="en-GB"/>
        </w:rPr>
      </w:pPr>
      <w:r w:rsidRPr="00670E9B">
        <w:rPr>
          <w:i/>
          <w:sz w:val="24"/>
          <w:szCs w:val="24"/>
        </w:rPr>
        <w:t>Særlige populationer</w:t>
      </w:r>
    </w:p>
    <w:p w14:paraId="7DE234B4" w14:textId="77777777" w:rsidR="00D930AB" w:rsidRPr="007E629E" w:rsidRDefault="00D930AB" w:rsidP="009A1C0D">
      <w:pPr>
        <w:ind w:left="851"/>
        <w:rPr>
          <w:sz w:val="24"/>
          <w:szCs w:val="24"/>
        </w:rPr>
      </w:pPr>
      <w:r w:rsidRPr="007E629E">
        <w:rPr>
          <w:sz w:val="24"/>
          <w:szCs w:val="24"/>
        </w:rPr>
        <w:t>På grund af manglende kliniske data skal der udvises særlig forsigtighed således, at den laveste dosis, der fører til effektiv anæstesi, administreres til:</w:t>
      </w:r>
    </w:p>
    <w:p w14:paraId="6A0CE72E" w14:textId="677FED69" w:rsidR="00D930AB" w:rsidRPr="00114CF6" w:rsidRDefault="00D930AB" w:rsidP="00114CF6">
      <w:pPr>
        <w:pStyle w:val="Listeafsnit"/>
        <w:numPr>
          <w:ilvl w:val="0"/>
          <w:numId w:val="8"/>
        </w:numPr>
        <w:ind w:left="1276" w:hanging="425"/>
        <w:rPr>
          <w:sz w:val="24"/>
          <w:szCs w:val="24"/>
        </w:rPr>
      </w:pPr>
      <w:r w:rsidRPr="00114CF6">
        <w:rPr>
          <w:sz w:val="24"/>
          <w:szCs w:val="24"/>
        </w:rPr>
        <w:t>ældre personer,</w:t>
      </w:r>
    </w:p>
    <w:p w14:paraId="0C0DD16A" w14:textId="6C95BB0A" w:rsidR="00D930AB" w:rsidRPr="00114CF6" w:rsidRDefault="00D930AB" w:rsidP="00114CF6">
      <w:pPr>
        <w:pStyle w:val="Listeafsnit"/>
        <w:numPr>
          <w:ilvl w:val="0"/>
          <w:numId w:val="8"/>
        </w:numPr>
        <w:ind w:left="1276" w:hanging="425"/>
        <w:rPr>
          <w:sz w:val="24"/>
          <w:szCs w:val="24"/>
        </w:rPr>
      </w:pPr>
      <w:r w:rsidRPr="00114CF6">
        <w:rPr>
          <w:sz w:val="24"/>
          <w:szCs w:val="24"/>
        </w:rPr>
        <w:t>patienter med nedsat nyre- eller leverfunktion.</w:t>
      </w:r>
    </w:p>
    <w:p w14:paraId="09279319" w14:textId="77777777" w:rsidR="00D930AB" w:rsidRPr="007E629E" w:rsidRDefault="00D930AB" w:rsidP="009A1C0D">
      <w:pPr>
        <w:ind w:left="851"/>
        <w:rPr>
          <w:sz w:val="24"/>
          <w:szCs w:val="24"/>
        </w:rPr>
      </w:pPr>
    </w:p>
    <w:p w14:paraId="4E42D36A" w14:textId="77777777" w:rsidR="00D930AB" w:rsidRPr="007E629E" w:rsidRDefault="00D930AB" w:rsidP="009A1C0D">
      <w:pPr>
        <w:ind w:left="851"/>
        <w:rPr>
          <w:sz w:val="24"/>
          <w:szCs w:val="24"/>
          <w:lang w:eastAsia="en-GB"/>
        </w:rPr>
      </w:pPr>
      <w:proofErr w:type="spellStart"/>
      <w:r w:rsidRPr="007E629E">
        <w:rPr>
          <w:sz w:val="24"/>
          <w:szCs w:val="24"/>
        </w:rPr>
        <w:t>Mepivacain</w:t>
      </w:r>
      <w:proofErr w:type="spellEnd"/>
      <w:r w:rsidRPr="007E629E">
        <w:rPr>
          <w:sz w:val="24"/>
          <w:szCs w:val="24"/>
        </w:rPr>
        <w:t xml:space="preserve"> </w:t>
      </w:r>
      <w:proofErr w:type="spellStart"/>
      <w:r w:rsidRPr="007E629E">
        <w:rPr>
          <w:sz w:val="24"/>
          <w:szCs w:val="24"/>
        </w:rPr>
        <w:t>metaboliseres</w:t>
      </w:r>
      <w:proofErr w:type="spellEnd"/>
      <w:r w:rsidRPr="007E629E">
        <w:rPr>
          <w:sz w:val="24"/>
          <w:szCs w:val="24"/>
        </w:rPr>
        <w:t xml:space="preserve"> i leveren og kan især efter gentagen brug føre til forhøjede plasmaniveauer hos patienter med nedsat leverfunktion. Hvis gentagen injektion er påkrævet, skal patienten overvåges for at identificere tegn på relativ overdosering.</w:t>
      </w:r>
    </w:p>
    <w:p w14:paraId="74B55F39" w14:textId="77777777" w:rsidR="00D930AB" w:rsidRPr="007E629E" w:rsidRDefault="00D930AB" w:rsidP="009A1C0D">
      <w:pPr>
        <w:ind w:left="851"/>
        <w:rPr>
          <w:sz w:val="24"/>
          <w:szCs w:val="24"/>
        </w:rPr>
      </w:pPr>
    </w:p>
    <w:p w14:paraId="6D13061D" w14:textId="77777777" w:rsidR="00D930AB" w:rsidRPr="00114CF6" w:rsidRDefault="00D930AB" w:rsidP="009A1C0D">
      <w:pPr>
        <w:ind w:left="851"/>
        <w:rPr>
          <w:i/>
          <w:sz w:val="24"/>
          <w:szCs w:val="24"/>
          <w:lang w:eastAsia="en-GB"/>
        </w:rPr>
      </w:pPr>
      <w:r w:rsidRPr="00114CF6">
        <w:rPr>
          <w:i/>
          <w:sz w:val="24"/>
          <w:szCs w:val="24"/>
        </w:rPr>
        <w:t xml:space="preserve">Samtidig brug af </w:t>
      </w:r>
      <w:proofErr w:type="spellStart"/>
      <w:r w:rsidRPr="00114CF6">
        <w:rPr>
          <w:i/>
          <w:sz w:val="24"/>
          <w:szCs w:val="24"/>
        </w:rPr>
        <w:t>sedativa</w:t>
      </w:r>
      <w:proofErr w:type="spellEnd"/>
      <w:r w:rsidRPr="00114CF6">
        <w:rPr>
          <w:i/>
          <w:sz w:val="24"/>
          <w:szCs w:val="24"/>
        </w:rPr>
        <w:t xml:space="preserve"> til nedsættelse af patientens angst:</w:t>
      </w:r>
    </w:p>
    <w:p w14:paraId="0DDE82D8" w14:textId="77777777" w:rsidR="00D930AB" w:rsidRPr="007E629E" w:rsidRDefault="00D930AB" w:rsidP="009A1C0D">
      <w:pPr>
        <w:ind w:left="851"/>
        <w:rPr>
          <w:sz w:val="24"/>
          <w:szCs w:val="24"/>
        </w:rPr>
      </w:pPr>
    </w:p>
    <w:p w14:paraId="2C4E5922" w14:textId="77777777" w:rsidR="00D930AB" w:rsidRPr="007E629E" w:rsidRDefault="00D930AB" w:rsidP="009A1C0D">
      <w:pPr>
        <w:ind w:left="851"/>
        <w:rPr>
          <w:sz w:val="24"/>
          <w:szCs w:val="24"/>
          <w:lang w:eastAsia="en-GB"/>
        </w:rPr>
      </w:pPr>
      <w:r w:rsidRPr="007E629E">
        <w:rPr>
          <w:sz w:val="24"/>
          <w:szCs w:val="24"/>
        </w:rPr>
        <w:t xml:space="preserve">Hvis der anvendes </w:t>
      </w:r>
      <w:proofErr w:type="spellStart"/>
      <w:r w:rsidRPr="007E629E">
        <w:rPr>
          <w:sz w:val="24"/>
          <w:szCs w:val="24"/>
        </w:rPr>
        <w:t>sedativa</w:t>
      </w:r>
      <w:proofErr w:type="spellEnd"/>
      <w:r w:rsidRPr="007E629E">
        <w:rPr>
          <w:sz w:val="24"/>
          <w:szCs w:val="24"/>
        </w:rPr>
        <w:t xml:space="preserve">, kan den maksimale sikre dosis af </w:t>
      </w:r>
      <w:proofErr w:type="spellStart"/>
      <w:r w:rsidRPr="007E629E">
        <w:rPr>
          <w:sz w:val="24"/>
          <w:szCs w:val="24"/>
        </w:rPr>
        <w:t>mepivacain</w:t>
      </w:r>
      <w:proofErr w:type="spellEnd"/>
      <w:r w:rsidRPr="007E629E">
        <w:rPr>
          <w:sz w:val="24"/>
          <w:szCs w:val="24"/>
        </w:rPr>
        <w:t xml:space="preserve"> være nedsat grundet kombinationens </w:t>
      </w:r>
      <w:proofErr w:type="spellStart"/>
      <w:r w:rsidRPr="007E629E">
        <w:rPr>
          <w:sz w:val="24"/>
          <w:szCs w:val="24"/>
        </w:rPr>
        <w:t>additive</w:t>
      </w:r>
      <w:proofErr w:type="spellEnd"/>
      <w:r w:rsidRPr="007E629E">
        <w:rPr>
          <w:sz w:val="24"/>
          <w:szCs w:val="24"/>
        </w:rPr>
        <w:t xml:space="preserve"> virkning på undertrykkelse af centralnervesystemet (se pkt. 4.5).</w:t>
      </w:r>
    </w:p>
    <w:p w14:paraId="54BE3DD3" w14:textId="77777777" w:rsidR="00D930AB" w:rsidRPr="007E629E" w:rsidRDefault="00D930AB" w:rsidP="009A1C0D">
      <w:pPr>
        <w:ind w:left="851"/>
        <w:rPr>
          <w:sz w:val="24"/>
          <w:szCs w:val="24"/>
        </w:rPr>
      </w:pPr>
    </w:p>
    <w:p w14:paraId="2156A4A4" w14:textId="77777777" w:rsidR="00D930AB" w:rsidRPr="007E629E" w:rsidRDefault="00D930AB" w:rsidP="009A1C0D">
      <w:pPr>
        <w:ind w:left="851"/>
        <w:rPr>
          <w:sz w:val="24"/>
          <w:szCs w:val="24"/>
          <w:u w:val="single"/>
          <w:lang w:eastAsia="en-GB"/>
        </w:rPr>
      </w:pPr>
      <w:r w:rsidRPr="007E629E">
        <w:rPr>
          <w:sz w:val="24"/>
          <w:szCs w:val="24"/>
          <w:u w:val="single"/>
        </w:rPr>
        <w:t xml:space="preserve">Administration </w:t>
      </w:r>
    </w:p>
    <w:p w14:paraId="13F6EB04" w14:textId="77777777" w:rsidR="00D930AB" w:rsidRPr="007E629E" w:rsidRDefault="00D930AB" w:rsidP="009A1C0D">
      <w:pPr>
        <w:ind w:left="851"/>
        <w:rPr>
          <w:sz w:val="24"/>
          <w:szCs w:val="24"/>
        </w:rPr>
      </w:pPr>
      <w:r w:rsidRPr="007E629E">
        <w:rPr>
          <w:sz w:val="24"/>
          <w:szCs w:val="24"/>
        </w:rPr>
        <w:t xml:space="preserve">Infiltration og perineural anvendelse </w:t>
      </w:r>
    </w:p>
    <w:p w14:paraId="02A2BE37" w14:textId="77777777" w:rsidR="00D930AB" w:rsidRPr="007E629E" w:rsidRDefault="00D930AB" w:rsidP="009A1C0D">
      <w:pPr>
        <w:ind w:left="851"/>
        <w:rPr>
          <w:sz w:val="24"/>
          <w:szCs w:val="24"/>
        </w:rPr>
      </w:pPr>
      <w:r w:rsidRPr="007E629E">
        <w:rPr>
          <w:sz w:val="24"/>
          <w:szCs w:val="24"/>
        </w:rPr>
        <w:t>Til engangsbrug.</w:t>
      </w:r>
    </w:p>
    <w:p w14:paraId="3867FB94" w14:textId="77777777" w:rsidR="00D930AB" w:rsidRPr="007E629E" w:rsidRDefault="00D930AB" w:rsidP="009A1C0D">
      <w:pPr>
        <w:ind w:left="851"/>
        <w:rPr>
          <w:sz w:val="24"/>
          <w:szCs w:val="24"/>
        </w:rPr>
      </w:pPr>
    </w:p>
    <w:p w14:paraId="082B2E12" w14:textId="77777777" w:rsidR="00D930AB" w:rsidRPr="00114CF6" w:rsidRDefault="00D930AB" w:rsidP="009A1C0D">
      <w:pPr>
        <w:ind w:left="851"/>
        <w:rPr>
          <w:i/>
          <w:iCs/>
          <w:sz w:val="24"/>
          <w:szCs w:val="24"/>
          <w:lang w:eastAsia="en-GB"/>
        </w:rPr>
      </w:pPr>
      <w:r w:rsidRPr="00114CF6">
        <w:rPr>
          <w:i/>
          <w:sz w:val="24"/>
          <w:szCs w:val="24"/>
        </w:rPr>
        <w:t xml:space="preserve">Sikkerhedsforanstaltninger, der skal tages, inden administration af lægemidlet </w:t>
      </w:r>
    </w:p>
    <w:p w14:paraId="7B930FB9" w14:textId="77777777" w:rsidR="00D930AB" w:rsidRPr="007E629E" w:rsidRDefault="00D930AB" w:rsidP="009A1C0D">
      <w:pPr>
        <w:ind w:left="851"/>
        <w:rPr>
          <w:color w:val="000000"/>
          <w:sz w:val="24"/>
          <w:szCs w:val="24"/>
        </w:rPr>
      </w:pPr>
      <w:r w:rsidRPr="007E629E">
        <w:rPr>
          <w:color w:val="000000"/>
          <w:sz w:val="24"/>
          <w:szCs w:val="24"/>
        </w:rPr>
        <w:t xml:space="preserve">Lægemidlet må ikke anvendes, hvis det er uklart og misfarvet. </w:t>
      </w:r>
    </w:p>
    <w:p w14:paraId="53CF2C55" w14:textId="77777777" w:rsidR="00D930AB" w:rsidRPr="007E629E" w:rsidRDefault="00D930AB" w:rsidP="009A1C0D">
      <w:pPr>
        <w:ind w:left="851"/>
        <w:rPr>
          <w:color w:val="000000"/>
          <w:sz w:val="24"/>
          <w:szCs w:val="24"/>
        </w:rPr>
      </w:pPr>
      <w:r w:rsidRPr="007E629E">
        <w:rPr>
          <w:color w:val="000000"/>
          <w:sz w:val="24"/>
          <w:szCs w:val="24"/>
        </w:rPr>
        <w:t xml:space="preserve">Injektionshastigheden må ikke overstige 1 ml opløsning pr. minut. </w:t>
      </w:r>
    </w:p>
    <w:p w14:paraId="4DE4AA18" w14:textId="77777777" w:rsidR="00D930AB" w:rsidRPr="007E629E" w:rsidRDefault="00D930AB" w:rsidP="009A1C0D">
      <w:pPr>
        <w:ind w:left="851"/>
        <w:rPr>
          <w:color w:val="000000"/>
          <w:sz w:val="24"/>
          <w:szCs w:val="24"/>
        </w:rPr>
      </w:pPr>
      <w:r w:rsidRPr="007E629E">
        <w:rPr>
          <w:color w:val="000000"/>
          <w:sz w:val="24"/>
          <w:szCs w:val="24"/>
        </w:rPr>
        <w:t xml:space="preserve">Hvis der er inflammation og/eller infektion ved injektionsstedet, skal injektion af </w:t>
      </w:r>
      <w:proofErr w:type="spellStart"/>
      <w:r w:rsidRPr="007E629E">
        <w:rPr>
          <w:color w:val="000000"/>
          <w:sz w:val="24"/>
          <w:szCs w:val="24"/>
        </w:rPr>
        <w:t>lokalanæstetika</w:t>
      </w:r>
      <w:proofErr w:type="spellEnd"/>
      <w:r w:rsidRPr="007E629E">
        <w:rPr>
          <w:color w:val="000000"/>
          <w:sz w:val="24"/>
          <w:szCs w:val="24"/>
        </w:rPr>
        <w:t xml:space="preserve"> foretages med forsigtighed. Injektionshastigheden skal være meget langsom (1 ml/min).</w:t>
      </w:r>
    </w:p>
    <w:p w14:paraId="585E462A" w14:textId="77777777" w:rsidR="00D930AB" w:rsidRPr="007E629E" w:rsidRDefault="00D930AB" w:rsidP="009A1C0D">
      <w:pPr>
        <w:ind w:left="851"/>
        <w:rPr>
          <w:sz w:val="24"/>
          <w:szCs w:val="24"/>
        </w:rPr>
      </w:pPr>
    </w:p>
    <w:p w14:paraId="33B6A53B" w14:textId="77777777" w:rsidR="00D930AB" w:rsidRPr="00114CF6" w:rsidRDefault="00D930AB" w:rsidP="009A1C0D">
      <w:pPr>
        <w:ind w:left="851"/>
        <w:rPr>
          <w:i/>
          <w:iCs/>
          <w:sz w:val="24"/>
          <w:szCs w:val="24"/>
          <w:lang w:eastAsia="en-GB"/>
        </w:rPr>
      </w:pPr>
      <w:r w:rsidRPr="00114CF6">
        <w:rPr>
          <w:i/>
          <w:sz w:val="24"/>
          <w:szCs w:val="24"/>
        </w:rPr>
        <w:t xml:space="preserve">Risiko forbundet med utilsigtet </w:t>
      </w:r>
      <w:proofErr w:type="spellStart"/>
      <w:r w:rsidRPr="00114CF6">
        <w:rPr>
          <w:i/>
          <w:sz w:val="24"/>
          <w:szCs w:val="24"/>
        </w:rPr>
        <w:t>intravaskulær</w:t>
      </w:r>
      <w:proofErr w:type="spellEnd"/>
      <w:r w:rsidRPr="00114CF6">
        <w:rPr>
          <w:i/>
          <w:sz w:val="24"/>
          <w:szCs w:val="24"/>
        </w:rPr>
        <w:t xml:space="preserve"> injektion </w:t>
      </w:r>
    </w:p>
    <w:p w14:paraId="00ED9876" w14:textId="77777777" w:rsidR="00D930AB" w:rsidRPr="007E629E" w:rsidRDefault="00D930AB" w:rsidP="009A1C0D">
      <w:pPr>
        <w:ind w:left="851"/>
        <w:rPr>
          <w:color w:val="000000"/>
          <w:sz w:val="24"/>
          <w:szCs w:val="24"/>
        </w:rPr>
      </w:pPr>
      <w:r w:rsidRPr="007E629E">
        <w:rPr>
          <w:color w:val="000000"/>
          <w:sz w:val="24"/>
          <w:szCs w:val="24"/>
        </w:rPr>
        <w:t xml:space="preserve">Utilsigtet </w:t>
      </w:r>
      <w:proofErr w:type="spellStart"/>
      <w:r w:rsidRPr="007E629E">
        <w:rPr>
          <w:color w:val="000000"/>
          <w:sz w:val="24"/>
          <w:szCs w:val="24"/>
        </w:rPr>
        <w:t>intravaskulær</w:t>
      </w:r>
      <w:proofErr w:type="spellEnd"/>
      <w:r w:rsidRPr="007E629E">
        <w:rPr>
          <w:color w:val="000000"/>
          <w:sz w:val="24"/>
          <w:szCs w:val="24"/>
        </w:rPr>
        <w:t xml:space="preserve"> injektion (f.eks. utilsigtet intravenøs injektion i det systemiske kredsløb, utilsigtet intravenøs eller intraarteriel injektion i hoved- eller halsområdet) kan være forbundet med alvorlige bivirkninger, såsom kramper, efterfulgt af undertrykkelse af centralnervesystemet eller </w:t>
      </w:r>
      <w:proofErr w:type="spellStart"/>
      <w:r w:rsidRPr="007E629E">
        <w:rPr>
          <w:color w:val="000000"/>
          <w:sz w:val="24"/>
          <w:szCs w:val="24"/>
        </w:rPr>
        <w:t>kardiorespiratorisk</w:t>
      </w:r>
      <w:proofErr w:type="spellEnd"/>
      <w:r w:rsidRPr="007E629E">
        <w:rPr>
          <w:color w:val="000000"/>
          <w:sz w:val="24"/>
          <w:szCs w:val="24"/>
        </w:rPr>
        <w:t xml:space="preserve"> undertrykkelse og koma, der ultimativt kan udvikle sig til respirationsophør, på grund af det pludseligt høje niveau af </w:t>
      </w:r>
      <w:proofErr w:type="spellStart"/>
      <w:r w:rsidRPr="007E629E">
        <w:rPr>
          <w:color w:val="000000"/>
          <w:sz w:val="24"/>
          <w:szCs w:val="24"/>
        </w:rPr>
        <w:t>mepivacain</w:t>
      </w:r>
      <w:proofErr w:type="spellEnd"/>
      <w:r w:rsidRPr="007E629E">
        <w:rPr>
          <w:color w:val="000000"/>
          <w:sz w:val="24"/>
          <w:szCs w:val="24"/>
        </w:rPr>
        <w:t xml:space="preserve"> i det systemiske kredsløb. </w:t>
      </w:r>
    </w:p>
    <w:p w14:paraId="35FE9A0B" w14:textId="77777777" w:rsidR="00D930AB" w:rsidRPr="007E629E" w:rsidRDefault="00D930AB" w:rsidP="009A1C0D">
      <w:pPr>
        <w:ind w:left="851"/>
        <w:rPr>
          <w:color w:val="000000"/>
          <w:sz w:val="24"/>
          <w:szCs w:val="24"/>
        </w:rPr>
      </w:pPr>
      <w:r w:rsidRPr="007E629E">
        <w:rPr>
          <w:color w:val="000000"/>
          <w:sz w:val="24"/>
          <w:szCs w:val="24"/>
        </w:rPr>
        <w:t xml:space="preserve">Der skal således foretages aspiration før injektion af </w:t>
      </w:r>
      <w:proofErr w:type="spellStart"/>
      <w:r w:rsidRPr="007E629E">
        <w:rPr>
          <w:color w:val="000000"/>
          <w:sz w:val="24"/>
          <w:szCs w:val="24"/>
        </w:rPr>
        <w:t>lokalanalgetika</w:t>
      </w:r>
      <w:proofErr w:type="spellEnd"/>
      <w:r w:rsidRPr="007E629E">
        <w:rPr>
          <w:color w:val="000000"/>
          <w:sz w:val="24"/>
          <w:szCs w:val="24"/>
        </w:rPr>
        <w:t xml:space="preserve"> for at sikre, at kanylen ikke penetrerer et blodkar under injektionen. Fravær af blod i sprøjten kan imidlertid ikke fuldstændig garantere, at </w:t>
      </w:r>
      <w:proofErr w:type="spellStart"/>
      <w:r w:rsidRPr="007E629E">
        <w:rPr>
          <w:color w:val="000000"/>
          <w:sz w:val="24"/>
          <w:szCs w:val="24"/>
        </w:rPr>
        <w:t>intravaskulær</w:t>
      </w:r>
      <w:proofErr w:type="spellEnd"/>
      <w:r w:rsidRPr="007E629E">
        <w:rPr>
          <w:color w:val="000000"/>
          <w:sz w:val="24"/>
          <w:szCs w:val="24"/>
        </w:rPr>
        <w:t xml:space="preserve"> injektion er undgået.</w:t>
      </w:r>
    </w:p>
    <w:p w14:paraId="0368742A" w14:textId="77777777" w:rsidR="00D930AB" w:rsidRPr="007E629E" w:rsidRDefault="00D930AB" w:rsidP="009A1C0D">
      <w:pPr>
        <w:ind w:left="851"/>
        <w:rPr>
          <w:sz w:val="24"/>
          <w:szCs w:val="24"/>
        </w:rPr>
      </w:pPr>
    </w:p>
    <w:p w14:paraId="593D17DE" w14:textId="77777777" w:rsidR="00D930AB" w:rsidRPr="00114CF6" w:rsidRDefault="00D930AB" w:rsidP="00114CF6">
      <w:pPr>
        <w:ind w:left="851"/>
        <w:rPr>
          <w:i/>
          <w:iCs/>
          <w:sz w:val="24"/>
          <w:szCs w:val="24"/>
          <w:lang w:eastAsia="en-GB"/>
        </w:rPr>
      </w:pPr>
      <w:r w:rsidRPr="00114CF6">
        <w:rPr>
          <w:i/>
          <w:sz w:val="24"/>
          <w:szCs w:val="24"/>
        </w:rPr>
        <w:t xml:space="preserve">Risiko forbundet med intraneural injektion </w:t>
      </w:r>
    </w:p>
    <w:p w14:paraId="17C98AB9" w14:textId="77777777" w:rsidR="00D930AB" w:rsidRPr="007E629E" w:rsidRDefault="00D930AB" w:rsidP="00114CF6">
      <w:pPr>
        <w:ind w:left="851"/>
        <w:rPr>
          <w:color w:val="000000"/>
          <w:sz w:val="24"/>
          <w:szCs w:val="24"/>
        </w:rPr>
      </w:pPr>
      <w:r w:rsidRPr="007E629E">
        <w:rPr>
          <w:color w:val="000000"/>
          <w:sz w:val="24"/>
          <w:szCs w:val="24"/>
        </w:rPr>
        <w:t xml:space="preserve">Utilsigtet intraneural injektion kan bevirke, at lægemidlet diffunderer retrograd langs nerven. </w:t>
      </w:r>
    </w:p>
    <w:p w14:paraId="29DBA457" w14:textId="77777777" w:rsidR="00D930AB" w:rsidRPr="007E629E" w:rsidRDefault="00D930AB" w:rsidP="00114CF6">
      <w:pPr>
        <w:ind w:left="851"/>
        <w:rPr>
          <w:sz w:val="24"/>
          <w:szCs w:val="24"/>
        </w:rPr>
      </w:pPr>
      <w:r w:rsidRPr="007E629E">
        <w:rPr>
          <w:color w:val="000000"/>
          <w:sz w:val="24"/>
          <w:szCs w:val="24"/>
        </w:rPr>
        <w:t xml:space="preserve">For at undgå intraneural injektion og forhindre nervelæsioner i forbindelse med nerveblokader, skal kanylen altid trækkes lidt tilbage, hvis patienten oplever en følelse af elektrisk stød under injektionen, eller hvis injektionen er særdeles smertefuld. I tilfælde af, at der opstår nervelæsioner fra kanylen, kan den </w:t>
      </w:r>
      <w:proofErr w:type="spellStart"/>
      <w:r w:rsidRPr="007E629E">
        <w:rPr>
          <w:color w:val="000000"/>
          <w:sz w:val="24"/>
          <w:szCs w:val="24"/>
        </w:rPr>
        <w:t>neurotoksiske</w:t>
      </w:r>
      <w:proofErr w:type="spellEnd"/>
      <w:r w:rsidRPr="007E629E">
        <w:rPr>
          <w:color w:val="000000"/>
          <w:sz w:val="24"/>
          <w:szCs w:val="24"/>
        </w:rPr>
        <w:t xml:space="preserve"> virkning forværres af </w:t>
      </w:r>
      <w:proofErr w:type="spellStart"/>
      <w:r w:rsidRPr="007E629E">
        <w:rPr>
          <w:color w:val="000000"/>
          <w:sz w:val="24"/>
          <w:szCs w:val="24"/>
        </w:rPr>
        <w:t>mepivacains</w:t>
      </w:r>
      <w:proofErr w:type="spellEnd"/>
      <w:r w:rsidRPr="007E629E">
        <w:rPr>
          <w:color w:val="000000"/>
          <w:sz w:val="24"/>
          <w:szCs w:val="24"/>
        </w:rPr>
        <w:t xml:space="preserve"> potentielle kemiske </w:t>
      </w:r>
      <w:proofErr w:type="spellStart"/>
      <w:r w:rsidRPr="007E629E">
        <w:rPr>
          <w:color w:val="000000"/>
          <w:sz w:val="24"/>
          <w:szCs w:val="24"/>
        </w:rPr>
        <w:t>neurotoksicitet</w:t>
      </w:r>
      <w:proofErr w:type="spellEnd"/>
      <w:r w:rsidRPr="007E629E">
        <w:rPr>
          <w:color w:val="000000"/>
          <w:sz w:val="24"/>
          <w:szCs w:val="24"/>
        </w:rPr>
        <w:t xml:space="preserve">, da det kan hæmme den perineurale blodtilførsel og forhindre lokal udvaskning af </w:t>
      </w:r>
      <w:proofErr w:type="spellStart"/>
      <w:r w:rsidRPr="007E629E">
        <w:rPr>
          <w:color w:val="000000"/>
          <w:sz w:val="24"/>
          <w:szCs w:val="24"/>
        </w:rPr>
        <w:t>mepivacain</w:t>
      </w:r>
      <w:proofErr w:type="spellEnd"/>
      <w:r w:rsidRPr="007E629E">
        <w:rPr>
          <w:color w:val="000000"/>
          <w:sz w:val="24"/>
          <w:szCs w:val="24"/>
        </w:rPr>
        <w:t>.</w:t>
      </w:r>
    </w:p>
    <w:p w14:paraId="4C3A8D64" w14:textId="693F8371" w:rsidR="001D738A" w:rsidRDefault="001D738A">
      <w:pPr>
        <w:rPr>
          <w:sz w:val="24"/>
          <w:szCs w:val="24"/>
        </w:rPr>
      </w:pPr>
      <w:r>
        <w:rPr>
          <w:sz w:val="24"/>
          <w:szCs w:val="24"/>
        </w:rPr>
        <w:br w:type="page"/>
      </w:r>
    </w:p>
    <w:p w14:paraId="44A2717F" w14:textId="77777777" w:rsidR="009260DE" w:rsidRPr="007E629E" w:rsidRDefault="009260DE" w:rsidP="00114CF6">
      <w:pPr>
        <w:tabs>
          <w:tab w:val="left" w:pos="851"/>
        </w:tabs>
        <w:ind w:left="851"/>
        <w:rPr>
          <w:sz w:val="24"/>
          <w:szCs w:val="24"/>
        </w:rPr>
      </w:pPr>
    </w:p>
    <w:p w14:paraId="7D4F184E" w14:textId="77777777" w:rsidR="009260DE" w:rsidRPr="007E629E" w:rsidRDefault="009260DE" w:rsidP="009260DE">
      <w:pPr>
        <w:tabs>
          <w:tab w:val="left" w:pos="851"/>
        </w:tabs>
        <w:ind w:left="851" w:hanging="851"/>
        <w:rPr>
          <w:b/>
          <w:sz w:val="24"/>
          <w:szCs w:val="24"/>
        </w:rPr>
      </w:pPr>
      <w:r w:rsidRPr="007E629E">
        <w:rPr>
          <w:b/>
          <w:sz w:val="24"/>
          <w:szCs w:val="24"/>
        </w:rPr>
        <w:t>4.3</w:t>
      </w:r>
      <w:r w:rsidRPr="007E629E">
        <w:rPr>
          <w:b/>
          <w:sz w:val="24"/>
          <w:szCs w:val="24"/>
        </w:rPr>
        <w:tab/>
        <w:t>Kontraindikationer</w:t>
      </w:r>
    </w:p>
    <w:p w14:paraId="2AD53795" w14:textId="77777777" w:rsidR="00D930AB" w:rsidRPr="007E629E" w:rsidRDefault="00D930AB" w:rsidP="00114CF6">
      <w:pPr>
        <w:pStyle w:val="Listeafsnit"/>
        <w:numPr>
          <w:ilvl w:val="0"/>
          <w:numId w:val="7"/>
        </w:numPr>
        <w:ind w:left="1276" w:hanging="425"/>
        <w:rPr>
          <w:sz w:val="24"/>
          <w:szCs w:val="24"/>
          <w:lang w:eastAsia="en-GB"/>
        </w:rPr>
      </w:pPr>
      <w:r w:rsidRPr="007E629E">
        <w:rPr>
          <w:sz w:val="24"/>
          <w:szCs w:val="24"/>
        </w:rPr>
        <w:t xml:space="preserve">Overfølsomhed over for det aktive stof (eller ethvert </w:t>
      </w:r>
      <w:proofErr w:type="spellStart"/>
      <w:r w:rsidRPr="007E629E">
        <w:rPr>
          <w:sz w:val="24"/>
          <w:szCs w:val="24"/>
        </w:rPr>
        <w:t>lokalanæstetikum</w:t>
      </w:r>
      <w:proofErr w:type="spellEnd"/>
      <w:r w:rsidRPr="007E629E">
        <w:rPr>
          <w:sz w:val="24"/>
          <w:szCs w:val="24"/>
        </w:rPr>
        <w:t xml:space="preserve"> af amidtypen) eller over for et eller flere af hjælpestofferne anført i pkt. 6.1</w:t>
      </w:r>
    </w:p>
    <w:p w14:paraId="30AFCF0C" w14:textId="77777777" w:rsidR="00B60B88" w:rsidRPr="00254979" w:rsidRDefault="00B60B88" w:rsidP="00B60B88">
      <w:pPr>
        <w:pStyle w:val="Listeafsnit"/>
        <w:numPr>
          <w:ilvl w:val="0"/>
          <w:numId w:val="7"/>
        </w:numPr>
        <w:ind w:left="1276" w:hanging="425"/>
        <w:rPr>
          <w:sz w:val="24"/>
          <w:szCs w:val="24"/>
        </w:rPr>
      </w:pPr>
      <w:r w:rsidRPr="007E629E">
        <w:rPr>
          <w:sz w:val="24"/>
          <w:szCs w:val="24"/>
        </w:rPr>
        <w:t>Børn under 4 år (legemsvægt på ca. 20 kg</w:t>
      </w:r>
      <w:r w:rsidRPr="00254979">
        <w:rPr>
          <w:sz w:val="24"/>
          <w:szCs w:val="24"/>
        </w:rPr>
        <w:t xml:space="preserve">) </w:t>
      </w:r>
      <w:r w:rsidRPr="00FC2F5B">
        <w:rPr>
          <w:color w:val="000000"/>
          <w:sz w:val="24"/>
          <w:szCs w:val="24"/>
        </w:rPr>
        <w:t>(se afsnit 4.2 og 4.9)</w:t>
      </w:r>
      <w:r w:rsidRPr="00254979">
        <w:rPr>
          <w:sz w:val="24"/>
          <w:szCs w:val="24"/>
        </w:rPr>
        <w:t>.</w:t>
      </w:r>
    </w:p>
    <w:p w14:paraId="40A5468E" w14:textId="77777777" w:rsidR="00D930AB" w:rsidRPr="007E629E" w:rsidRDefault="00D930AB" w:rsidP="00114CF6">
      <w:pPr>
        <w:pStyle w:val="Listeafsnit"/>
        <w:numPr>
          <w:ilvl w:val="0"/>
          <w:numId w:val="7"/>
        </w:numPr>
        <w:ind w:left="1276" w:hanging="425"/>
        <w:rPr>
          <w:sz w:val="24"/>
          <w:szCs w:val="24"/>
        </w:rPr>
      </w:pPr>
      <w:r w:rsidRPr="007E629E">
        <w:rPr>
          <w:sz w:val="24"/>
          <w:szCs w:val="24"/>
        </w:rPr>
        <w:t xml:space="preserve">Svære </w:t>
      </w:r>
      <w:proofErr w:type="spellStart"/>
      <w:r w:rsidRPr="007E629E">
        <w:rPr>
          <w:sz w:val="24"/>
          <w:szCs w:val="24"/>
        </w:rPr>
        <w:t>atrioventrikulære</w:t>
      </w:r>
      <w:proofErr w:type="spellEnd"/>
      <w:r w:rsidRPr="007E629E">
        <w:rPr>
          <w:sz w:val="24"/>
          <w:szCs w:val="24"/>
        </w:rPr>
        <w:t xml:space="preserve"> ledningsforstyrrelser, som ikke kompenseres ved hjælp af pacemaker. </w:t>
      </w:r>
    </w:p>
    <w:p w14:paraId="1F908B02" w14:textId="603A6A03" w:rsidR="00D930AB" w:rsidRPr="007E629E" w:rsidRDefault="00D930AB" w:rsidP="00114CF6">
      <w:pPr>
        <w:pStyle w:val="Listeafsnit"/>
        <w:numPr>
          <w:ilvl w:val="0"/>
          <w:numId w:val="7"/>
        </w:numPr>
        <w:ind w:left="1276" w:hanging="425"/>
        <w:rPr>
          <w:sz w:val="24"/>
          <w:szCs w:val="24"/>
        </w:rPr>
      </w:pPr>
      <w:r w:rsidRPr="007E629E">
        <w:rPr>
          <w:sz w:val="24"/>
          <w:szCs w:val="24"/>
        </w:rPr>
        <w:t xml:space="preserve">Dårligt kontrolleret epileptisk patient. </w:t>
      </w:r>
    </w:p>
    <w:p w14:paraId="4CBDAB4C" w14:textId="77777777" w:rsidR="009260DE" w:rsidRPr="007E629E" w:rsidRDefault="009260DE" w:rsidP="009260DE">
      <w:pPr>
        <w:tabs>
          <w:tab w:val="left" w:pos="851"/>
        </w:tabs>
        <w:ind w:left="851"/>
        <w:rPr>
          <w:sz w:val="24"/>
          <w:szCs w:val="24"/>
        </w:rPr>
      </w:pPr>
    </w:p>
    <w:p w14:paraId="2361582E" w14:textId="77777777" w:rsidR="009260DE" w:rsidRPr="007E629E" w:rsidRDefault="009260DE" w:rsidP="009260DE">
      <w:pPr>
        <w:tabs>
          <w:tab w:val="left" w:pos="851"/>
        </w:tabs>
        <w:ind w:left="851" w:hanging="851"/>
        <w:rPr>
          <w:b/>
          <w:sz w:val="24"/>
          <w:szCs w:val="24"/>
        </w:rPr>
      </w:pPr>
      <w:r w:rsidRPr="007E629E">
        <w:rPr>
          <w:b/>
          <w:sz w:val="24"/>
          <w:szCs w:val="24"/>
        </w:rPr>
        <w:t>4.4</w:t>
      </w:r>
      <w:r w:rsidRPr="007E629E">
        <w:rPr>
          <w:b/>
          <w:sz w:val="24"/>
          <w:szCs w:val="24"/>
        </w:rPr>
        <w:tab/>
        <w:t>Særlige advarsler og forsigtighedsregler vedrørende brugen</w:t>
      </w:r>
    </w:p>
    <w:p w14:paraId="1E818649" w14:textId="77777777" w:rsidR="00CB5991" w:rsidRDefault="00CB5991" w:rsidP="00B463FD">
      <w:pPr>
        <w:ind w:left="851"/>
        <w:rPr>
          <w:sz w:val="24"/>
          <w:szCs w:val="24"/>
        </w:rPr>
      </w:pPr>
    </w:p>
    <w:p w14:paraId="7F83BEF5" w14:textId="5FA02A3E" w:rsidR="00FC762F" w:rsidRPr="00CB5991" w:rsidRDefault="00FC762F" w:rsidP="00B463FD">
      <w:pPr>
        <w:ind w:left="851"/>
        <w:rPr>
          <w:sz w:val="24"/>
          <w:szCs w:val="24"/>
          <w:u w:val="single"/>
          <w:lang w:eastAsia="en-GB"/>
        </w:rPr>
      </w:pPr>
      <w:r w:rsidRPr="00CB5991">
        <w:rPr>
          <w:sz w:val="24"/>
          <w:szCs w:val="24"/>
          <w:u w:val="single"/>
        </w:rPr>
        <w:t>Særlige advarsler</w:t>
      </w:r>
    </w:p>
    <w:p w14:paraId="7C41B6D6" w14:textId="77777777" w:rsidR="00FC762F" w:rsidRPr="007E629E" w:rsidRDefault="00FC762F" w:rsidP="00B463FD">
      <w:pPr>
        <w:ind w:left="851"/>
        <w:rPr>
          <w:sz w:val="24"/>
          <w:szCs w:val="24"/>
        </w:rPr>
      </w:pPr>
    </w:p>
    <w:p w14:paraId="00102E00" w14:textId="77777777" w:rsidR="00FC762F" w:rsidRPr="007E629E" w:rsidRDefault="00FC762F" w:rsidP="00B463FD">
      <w:pPr>
        <w:ind w:left="851"/>
        <w:rPr>
          <w:sz w:val="24"/>
          <w:szCs w:val="24"/>
          <w:lang w:eastAsia="en-GB"/>
        </w:rPr>
      </w:pPr>
      <w:r w:rsidRPr="007E629E">
        <w:rPr>
          <w:sz w:val="24"/>
          <w:szCs w:val="24"/>
        </w:rPr>
        <w:t>Hvis der er nogen som helst risiko for en allergisk reaktion, skal der vælges et andet anæstesilægemiddel (se pkt. 4.3).</w:t>
      </w:r>
    </w:p>
    <w:p w14:paraId="07C16C07" w14:textId="77777777" w:rsidR="00FC762F" w:rsidRPr="00CB5991" w:rsidRDefault="00FC762F" w:rsidP="00B463FD">
      <w:pPr>
        <w:ind w:left="851"/>
        <w:rPr>
          <w:sz w:val="24"/>
          <w:szCs w:val="24"/>
        </w:rPr>
      </w:pPr>
    </w:p>
    <w:p w14:paraId="2259FA99" w14:textId="77777777" w:rsidR="00FC762F" w:rsidRPr="007E629E" w:rsidRDefault="00FC762F" w:rsidP="00B463FD">
      <w:pPr>
        <w:ind w:left="851"/>
        <w:rPr>
          <w:sz w:val="24"/>
          <w:szCs w:val="24"/>
          <w:lang w:eastAsia="en-GB"/>
        </w:rPr>
      </w:pPr>
      <w:proofErr w:type="spellStart"/>
      <w:r w:rsidRPr="007E629E">
        <w:rPr>
          <w:sz w:val="24"/>
          <w:szCs w:val="24"/>
        </w:rPr>
        <w:t>Mepivacain</w:t>
      </w:r>
      <w:proofErr w:type="spellEnd"/>
      <w:r w:rsidRPr="007E629E">
        <w:rPr>
          <w:sz w:val="24"/>
          <w:szCs w:val="24"/>
        </w:rPr>
        <w:t xml:space="preserve"> skal anvendes sikkert og effektivt under passende betingelser:</w:t>
      </w:r>
    </w:p>
    <w:p w14:paraId="70EF8D99" w14:textId="77777777" w:rsidR="00FC762F" w:rsidRPr="007E629E" w:rsidRDefault="00FC762F" w:rsidP="00B463FD">
      <w:pPr>
        <w:ind w:left="851"/>
        <w:rPr>
          <w:sz w:val="24"/>
          <w:szCs w:val="24"/>
        </w:rPr>
      </w:pPr>
    </w:p>
    <w:p w14:paraId="3118224A" w14:textId="77777777" w:rsidR="00FC762F" w:rsidRPr="007E629E" w:rsidRDefault="00FC762F" w:rsidP="00B463FD">
      <w:pPr>
        <w:ind w:left="851"/>
        <w:rPr>
          <w:sz w:val="24"/>
          <w:szCs w:val="24"/>
        </w:rPr>
      </w:pPr>
      <w:r w:rsidRPr="007E629E">
        <w:rPr>
          <w:sz w:val="24"/>
          <w:szCs w:val="24"/>
        </w:rPr>
        <w:t xml:space="preserve">Den lokalanæstetiske virkning kan være nedsat, hvis </w:t>
      </w:r>
      <w:proofErr w:type="spellStart"/>
      <w:r w:rsidRPr="007E629E">
        <w:rPr>
          <w:sz w:val="24"/>
          <w:szCs w:val="24"/>
        </w:rPr>
        <w:t>mepivacain</w:t>
      </w:r>
      <w:proofErr w:type="spellEnd"/>
      <w:r w:rsidRPr="007E629E">
        <w:rPr>
          <w:sz w:val="24"/>
          <w:szCs w:val="24"/>
        </w:rPr>
        <w:t xml:space="preserve"> injiceres i inflammerede eller inficerede områder.</w:t>
      </w:r>
    </w:p>
    <w:p w14:paraId="05E84688" w14:textId="77777777" w:rsidR="00FC762F" w:rsidRPr="007E629E" w:rsidRDefault="00FC762F" w:rsidP="00B463FD">
      <w:pPr>
        <w:ind w:left="851"/>
        <w:rPr>
          <w:sz w:val="24"/>
          <w:szCs w:val="24"/>
        </w:rPr>
      </w:pPr>
    </w:p>
    <w:p w14:paraId="3AE6741F" w14:textId="77777777" w:rsidR="00FC762F" w:rsidRPr="007E629E" w:rsidRDefault="00FC762F" w:rsidP="00B463FD">
      <w:pPr>
        <w:ind w:left="851"/>
        <w:rPr>
          <w:b/>
          <w:sz w:val="24"/>
          <w:szCs w:val="24"/>
          <w:lang w:eastAsia="en-GB"/>
        </w:rPr>
      </w:pPr>
      <w:r w:rsidRPr="007E629E">
        <w:rPr>
          <w:sz w:val="24"/>
          <w:szCs w:val="24"/>
        </w:rPr>
        <w:t>På grund af risikoen for bidtraumer (læber, kinder, slimhinder og tunge), navnlig hos børn, skal patienten oplyses om ikke at tygge tyggegummi eller spise, før normal følelse er vendt tilbage.</w:t>
      </w:r>
    </w:p>
    <w:p w14:paraId="3601A340" w14:textId="77777777" w:rsidR="00FC762F" w:rsidRPr="007E629E" w:rsidRDefault="00FC762F" w:rsidP="00B463FD">
      <w:pPr>
        <w:ind w:left="851"/>
        <w:rPr>
          <w:sz w:val="24"/>
          <w:szCs w:val="24"/>
        </w:rPr>
      </w:pPr>
    </w:p>
    <w:p w14:paraId="77E0ADDB" w14:textId="77777777" w:rsidR="00FC762F" w:rsidRPr="007E629E" w:rsidRDefault="00FC762F" w:rsidP="00B463FD">
      <w:pPr>
        <w:ind w:left="851"/>
        <w:rPr>
          <w:sz w:val="24"/>
          <w:szCs w:val="24"/>
          <w:lang w:eastAsia="en-GB"/>
        </w:rPr>
      </w:pPr>
      <w:proofErr w:type="spellStart"/>
      <w:r w:rsidRPr="007E629E">
        <w:rPr>
          <w:sz w:val="24"/>
          <w:szCs w:val="24"/>
        </w:rPr>
        <w:t>Mepivacain</w:t>
      </w:r>
      <w:proofErr w:type="spellEnd"/>
      <w:r w:rsidRPr="007E629E">
        <w:rPr>
          <w:sz w:val="24"/>
          <w:szCs w:val="24"/>
        </w:rPr>
        <w:t xml:space="preserve"> skal anvendes med forsigtighed til:</w:t>
      </w:r>
    </w:p>
    <w:p w14:paraId="017AA213" w14:textId="77777777" w:rsidR="00FC762F" w:rsidRPr="007E629E" w:rsidRDefault="00FC762F" w:rsidP="00B463FD">
      <w:pPr>
        <w:ind w:left="851"/>
        <w:rPr>
          <w:sz w:val="24"/>
          <w:szCs w:val="24"/>
        </w:rPr>
      </w:pPr>
    </w:p>
    <w:p w14:paraId="58A85B96" w14:textId="77777777" w:rsidR="00FC762F" w:rsidRPr="007E629E" w:rsidRDefault="00FC762F" w:rsidP="00B463FD">
      <w:pPr>
        <w:ind w:left="851"/>
        <w:rPr>
          <w:i/>
          <w:sz w:val="24"/>
          <w:szCs w:val="24"/>
        </w:rPr>
      </w:pPr>
      <w:r w:rsidRPr="007E629E">
        <w:rPr>
          <w:i/>
          <w:sz w:val="24"/>
          <w:szCs w:val="24"/>
        </w:rPr>
        <w:t xml:space="preserve">Patienter med hjerte-kar-sygdomme: </w:t>
      </w:r>
    </w:p>
    <w:p w14:paraId="4DCE7B89" w14:textId="3EA4842F" w:rsidR="00FC762F" w:rsidRPr="00CB5991" w:rsidRDefault="00FC762F" w:rsidP="00CB5991">
      <w:pPr>
        <w:pStyle w:val="Listeafsnit"/>
        <w:numPr>
          <w:ilvl w:val="0"/>
          <w:numId w:val="10"/>
        </w:numPr>
        <w:ind w:left="1276" w:hanging="425"/>
        <w:rPr>
          <w:sz w:val="24"/>
          <w:szCs w:val="24"/>
        </w:rPr>
      </w:pPr>
      <w:r w:rsidRPr="00CB5991">
        <w:rPr>
          <w:sz w:val="24"/>
          <w:szCs w:val="24"/>
        </w:rPr>
        <w:t xml:space="preserve">Perifer </w:t>
      </w:r>
      <w:proofErr w:type="spellStart"/>
      <w:r w:rsidRPr="00CB5991">
        <w:rPr>
          <w:sz w:val="24"/>
          <w:szCs w:val="24"/>
        </w:rPr>
        <w:t>vaskulær</w:t>
      </w:r>
      <w:proofErr w:type="spellEnd"/>
      <w:r w:rsidRPr="00CB5991">
        <w:rPr>
          <w:sz w:val="24"/>
          <w:szCs w:val="24"/>
        </w:rPr>
        <w:t xml:space="preserve"> sygdom. </w:t>
      </w:r>
    </w:p>
    <w:p w14:paraId="0566073F" w14:textId="4F6A4208" w:rsidR="00FC762F" w:rsidRPr="00CB5991" w:rsidRDefault="00FC762F" w:rsidP="00CB5991">
      <w:pPr>
        <w:pStyle w:val="Listeafsnit"/>
        <w:numPr>
          <w:ilvl w:val="0"/>
          <w:numId w:val="10"/>
        </w:numPr>
        <w:ind w:left="1276" w:hanging="425"/>
        <w:rPr>
          <w:sz w:val="24"/>
          <w:szCs w:val="24"/>
        </w:rPr>
      </w:pPr>
      <w:proofErr w:type="spellStart"/>
      <w:r w:rsidRPr="00CB5991">
        <w:rPr>
          <w:sz w:val="24"/>
          <w:szCs w:val="24"/>
        </w:rPr>
        <w:t>Arytmier</w:t>
      </w:r>
      <w:proofErr w:type="spellEnd"/>
      <w:r w:rsidRPr="00CB5991">
        <w:rPr>
          <w:sz w:val="24"/>
          <w:szCs w:val="24"/>
        </w:rPr>
        <w:t xml:space="preserve">, især af </w:t>
      </w:r>
      <w:proofErr w:type="spellStart"/>
      <w:r w:rsidRPr="00CB5991">
        <w:rPr>
          <w:sz w:val="24"/>
          <w:szCs w:val="24"/>
        </w:rPr>
        <w:t>ventrikulær</w:t>
      </w:r>
      <w:proofErr w:type="spellEnd"/>
      <w:r w:rsidRPr="00CB5991">
        <w:rPr>
          <w:sz w:val="24"/>
          <w:szCs w:val="24"/>
        </w:rPr>
        <w:t xml:space="preserve"> oprindelse. </w:t>
      </w:r>
    </w:p>
    <w:p w14:paraId="3630B283" w14:textId="7A3A4F7C" w:rsidR="00FC762F" w:rsidRPr="00CB5991" w:rsidRDefault="00FC762F" w:rsidP="00CB5991">
      <w:pPr>
        <w:pStyle w:val="Listeafsnit"/>
        <w:numPr>
          <w:ilvl w:val="0"/>
          <w:numId w:val="10"/>
        </w:numPr>
        <w:ind w:left="1276" w:hanging="425"/>
        <w:rPr>
          <w:sz w:val="24"/>
          <w:szCs w:val="24"/>
        </w:rPr>
      </w:pPr>
      <w:proofErr w:type="spellStart"/>
      <w:r w:rsidRPr="00CB5991">
        <w:rPr>
          <w:sz w:val="24"/>
          <w:szCs w:val="24"/>
        </w:rPr>
        <w:t>Atrioventrikulære</w:t>
      </w:r>
      <w:proofErr w:type="spellEnd"/>
      <w:r w:rsidRPr="00CB5991">
        <w:rPr>
          <w:sz w:val="24"/>
          <w:szCs w:val="24"/>
        </w:rPr>
        <w:t xml:space="preserve"> ledningsforstyrrelser.</w:t>
      </w:r>
    </w:p>
    <w:p w14:paraId="053D0F07" w14:textId="29660101" w:rsidR="00FC762F" w:rsidRPr="00CB5991" w:rsidRDefault="00FC762F" w:rsidP="00CB5991">
      <w:pPr>
        <w:pStyle w:val="Listeafsnit"/>
        <w:numPr>
          <w:ilvl w:val="0"/>
          <w:numId w:val="10"/>
        </w:numPr>
        <w:ind w:left="1276" w:hanging="425"/>
        <w:rPr>
          <w:sz w:val="24"/>
          <w:szCs w:val="24"/>
        </w:rPr>
      </w:pPr>
      <w:r w:rsidRPr="00CB5991">
        <w:rPr>
          <w:sz w:val="24"/>
          <w:szCs w:val="24"/>
        </w:rPr>
        <w:t xml:space="preserve">Hjertesvigt. </w:t>
      </w:r>
    </w:p>
    <w:p w14:paraId="1276454E" w14:textId="3775427E" w:rsidR="00FC762F" w:rsidRPr="00CB5991" w:rsidRDefault="00FC762F" w:rsidP="00CB5991">
      <w:pPr>
        <w:pStyle w:val="Listeafsnit"/>
        <w:numPr>
          <w:ilvl w:val="0"/>
          <w:numId w:val="10"/>
        </w:numPr>
        <w:ind w:left="1276" w:hanging="425"/>
        <w:rPr>
          <w:sz w:val="24"/>
          <w:szCs w:val="24"/>
        </w:rPr>
      </w:pPr>
      <w:r w:rsidRPr="00CB5991">
        <w:rPr>
          <w:sz w:val="24"/>
          <w:szCs w:val="24"/>
        </w:rPr>
        <w:t>Hypotension.</w:t>
      </w:r>
    </w:p>
    <w:p w14:paraId="5E4D78EE" w14:textId="77777777" w:rsidR="00FC762F" w:rsidRPr="00CB5991" w:rsidRDefault="00FC762F" w:rsidP="00B463FD">
      <w:pPr>
        <w:ind w:left="851"/>
        <w:rPr>
          <w:sz w:val="24"/>
          <w:szCs w:val="24"/>
        </w:rPr>
      </w:pPr>
    </w:p>
    <w:p w14:paraId="5D253A1F" w14:textId="77777777" w:rsidR="00FC762F" w:rsidRPr="007E629E" w:rsidRDefault="00FC762F" w:rsidP="00B463FD">
      <w:pPr>
        <w:ind w:left="851"/>
        <w:rPr>
          <w:sz w:val="24"/>
          <w:szCs w:val="24"/>
          <w:lang w:eastAsia="en-GB"/>
        </w:rPr>
      </w:pPr>
      <w:proofErr w:type="spellStart"/>
      <w:r w:rsidRPr="007E629E">
        <w:rPr>
          <w:sz w:val="24"/>
          <w:szCs w:val="24"/>
        </w:rPr>
        <w:t>Mepivacain</w:t>
      </w:r>
      <w:proofErr w:type="spellEnd"/>
      <w:r w:rsidRPr="007E629E">
        <w:rPr>
          <w:sz w:val="24"/>
          <w:szCs w:val="24"/>
        </w:rPr>
        <w:t xml:space="preserve"> skal administreres med forsigtighed hos patienter med nedsat hjertefunktion, da de har vanskeligere ved at kompensere for ændringer, eller da det kan forværre ændringer, på grund af forlænget </w:t>
      </w:r>
      <w:proofErr w:type="spellStart"/>
      <w:r w:rsidRPr="007E629E">
        <w:rPr>
          <w:sz w:val="24"/>
          <w:szCs w:val="24"/>
        </w:rPr>
        <w:t>atrioventrikulær</w:t>
      </w:r>
      <w:proofErr w:type="spellEnd"/>
      <w:r w:rsidRPr="007E629E">
        <w:rPr>
          <w:sz w:val="24"/>
          <w:szCs w:val="24"/>
        </w:rPr>
        <w:t xml:space="preserve"> </w:t>
      </w:r>
      <w:proofErr w:type="spellStart"/>
      <w:r w:rsidRPr="007E629E">
        <w:rPr>
          <w:sz w:val="24"/>
          <w:szCs w:val="24"/>
        </w:rPr>
        <w:t>konduktion</w:t>
      </w:r>
      <w:proofErr w:type="spellEnd"/>
      <w:r w:rsidRPr="007E629E">
        <w:rPr>
          <w:sz w:val="24"/>
          <w:szCs w:val="24"/>
        </w:rPr>
        <w:t>.</w:t>
      </w:r>
    </w:p>
    <w:p w14:paraId="7833942B" w14:textId="77777777" w:rsidR="00FC762F" w:rsidRPr="007E629E" w:rsidRDefault="00FC762F" w:rsidP="00B463FD">
      <w:pPr>
        <w:ind w:left="851"/>
        <w:rPr>
          <w:sz w:val="24"/>
          <w:szCs w:val="24"/>
        </w:rPr>
      </w:pPr>
    </w:p>
    <w:p w14:paraId="6DC83ED0" w14:textId="77777777" w:rsidR="00FC762F" w:rsidRPr="007E629E" w:rsidRDefault="00FC762F" w:rsidP="00B463FD">
      <w:pPr>
        <w:ind w:left="851"/>
        <w:rPr>
          <w:i/>
          <w:iCs/>
          <w:sz w:val="24"/>
          <w:szCs w:val="24"/>
          <w:lang w:eastAsia="en-GB"/>
        </w:rPr>
      </w:pPr>
      <w:r w:rsidRPr="007E629E">
        <w:rPr>
          <w:i/>
          <w:sz w:val="24"/>
          <w:szCs w:val="24"/>
        </w:rPr>
        <w:t xml:space="preserve">Epileptiske patienter: </w:t>
      </w:r>
    </w:p>
    <w:p w14:paraId="361EA1E2" w14:textId="77777777" w:rsidR="00FC762F" w:rsidRPr="007E629E" w:rsidRDefault="00FC762F" w:rsidP="00B463FD">
      <w:pPr>
        <w:ind w:left="851"/>
        <w:rPr>
          <w:sz w:val="24"/>
          <w:szCs w:val="24"/>
        </w:rPr>
      </w:pPr>
      <w:r w:rsidRPr="007E629E">
        <w:rPr>
          <w:sz w:val="24"/>
          <w:szCs w:val="24"/>
        </w:rPr>
        <w:t xml:space="preserve">Samtlige </w:t>
      </w:r>
      <w:proofErr w:type="spellStart"/>
      <w:r w:rsidRPr="007E629E">
        <w:rPr>
          <w:sz w:val="24"/>
          <w:szCs w:val="24"/>
        </w:rPr>
        <w:t>lokalanæstetika</w:t>
      </w:r>
      <w:proofErr w:type="spellEnd"/>
      <w:r w:rsidRPr="007E629E">
        <w:rPr>
          <w:sz w:val="24"/>
          <w:szCs w:val="24"/>
        </w:rPr>
        <w:t xml:space="preserve"> bør på grund af deres </w:t>
      </w:r>
      <w:proofErr w:type="spellStart"/>
      <w:r w:rsidRPr="007E629E">
        <w:rPr>
          <w:sz w:val="24"/>
          <w:szCs w:val="24"/>
        </w:rPr>
        <w:t>konvulsive</w:t>
      </w:r>
      <w:proofErr w:type="spellEnd"/>
      <w:r w:rsidRPr="007E629E">
        <w:rPr>
          <w:sz w:val="24"/>
          <w:szCs w:val="24"/>
        </w:rPr>
        <w:t xml:space="preserve"> virkning anvendes med yderste forsigtighed. </w:t>
      </w:r>
    </w:p>
    <w:p w14:paraId="5035195E" w14:textId="77777777" w:rsidR="00FC762F" w:rsidRPr="007E629E" w:rsidRDefault="00FC762F" w:rsidP="00B463FD">
      <w:pPr>
        <w:ind w:left="851"/>
        <w:rPr>
          <w:sz w:val="24"/>
          <w:szCs w:val="24"/>
        </w:rPr>
      </w:pPr>
      <w:r w:rsidRPr="007E629E">
        <w:rPr>
          <w:sz w:val="24"/>
          <w:szCs w:val="24"/>
        </w:rPr>
        <w:t>Med hensyn til dårligt kontrollerede epileptiske patienter, henvises til pkt. 4.3.</w:t>
      </w:r>
    </w:p>
    <w:p w14:paraId="201B02D1" w14:textId="77777777" w:rsidR="00FC762F" w:rsidRPr="007E629E" w:rsidRDefault="00FC762F" w:rsidP="00B463FD">
      <w:pPr>
        <w:ind w:left="851"/>
        <w:rPr>
          <w:i/>
          <w:sz w:val="24"/>
          <w:szCs w:val="24"/>
        </w:rPr>
      </w:pPr>
    </w:p>
    <w:p w14:paraId="4747D355" w14:textId="77777777" w:rsidR="00FC762F" w:rsidRPr="007E629E" w:rsidRDefault="00FC762F" w:rsidP="00B463FD">
      <w:pPr>
        <w:ind w:left="851"/>
        <w:rPr>
          <w:i/>
          <w:sz w:val="24"/>
          <w:szCs w:val="24"/>
          <w:lang w:eastAsia="en-GB"/>
        </w:rPr>
      </w:pPr>
      <w:r w:rsidRPr="007E629E">
        <w:rPr>
          <w:i/>
          <w:sz w:val="24"/>
          <w:szCs w:val="24"/>
        </w:rPr>
        <w:t xml:space="preserve">Patienter med leversygdom: </w:t>
      </w:r>
    </w:p>
    <w:p w14:paraId="298341B1" w14:textId="77777777" w:rsidR="00FC762F" w:rsidRPr="007E629E" w:rsidRDefault="00FC762F" w:rsidP="00B463FD">
      <w:pPr>
        <w:ind w:left="851"/>
        <w:rPr>
          <w:sz w:val="24"/>
          <w:szCs w:val="24"/>
        </w:rPr>
      </w:pPr>
      <w:r w:rsidRPr="007E629E">
        <w:rPr>
          <w:sz w:val="24"/>
          <w:szCs w:val="24"/>
        </w:rPr>
        <w:t>Den laveste dosis, der resulterer i effektiv anæstesi, bør anvendes.</w:t>
      </w:r>
    </w:p>
    <w:p w14:paraId="2B7BE6AA" w14:textId="77777777" w:rsidR="00FC762F" w:rsidRPr="007E629E" w:rsidRDefault="00FC762F" w:rsidP="00B463FD">
      <w:pPr>
        <w:ind w:left="851"/>
        <w:rPr>
          <w:i/>
          <w:sz w:val="24"/>
          <w:szCs w:val="24"/>
        </w:rPr>
      </w:pPr>
    </w:p>
    <w:p w14:paraId="4B4CC68C" w14:textId="77777777" w:rsidR="00FC762F" w:rsidRPr="007E629E" w:rsidRDefault="00FC762F" w:rsidP="00B463FD">
      <w:pPr>
        <w:ind w:left="851"/>
        <w:rPr>
          <w:i/>
          <w:sz w:val="24"/>
          <w:szCs w:val="24"/>
          <w:lang w:eastAsia="en-GB"/>
        </w:rPr>
      </w:pPr>
      <w:r w:rsidRPr="007E629E">
        <w:rPr>
          <w:i/>
          <w:sz w:val="24"/>
          <w:szCs w:val="24"/>
        </w:rPr>
        <w:t xml:space="preserve">Patienter med nyresygdom: </w:t>
      </w:r>
    </w:p>
    <w:p w14:paraId="5B69CAF0" w14:textId="77777777" w:rsidR="00FC762F" w:rsidRPr="007E629E" w:rsidRDefault="00FC762F" w:rsidP="00B463FD">
      <w:pPr>
        <w:ind w:left="851"/>
        <w:rPr>
          <w:sz w:val="24"/>
          <w:szCs w:val="24"/>
        </w:rPr>
      </w:pPr>
      <w:r w:rsidRPr="007E629E">
        <w:rPr>
          <w:sz w:val="24"/>
          <w:szCs w:val="24"/>
        </w:rPr>
        <w:t>Den laveste dosis, der resulterer i effektiv anæstesi, bør anvendes.</w:t>
      </w:r>
    </w:p>
    <w:p w14:paraId="049B507A" w14:textId="26E9011C" w:rsidR="001D738A" w:rsidRDefault="001D738A">
      <w:pPr>
        <w:rPr>
          <w:i/>
          <w:sz w:val="24"/>
          <w:szCs w:val="24"/>
        </w:rPr>
      </w:pPr>
      <w:r>
        <w:rPr>
          <w:i/>
          <w:sz w:val="24"/>
          <w:szCs w:val="24"/>
        </w:rPr>
        <w:br w:type="page"/>
      </w:r>
    </w:p>
    <w:p w14:paraId="53DC5F32" w14:textId="77777777" w:rsidR="00FC762F" w:rsidRPr="001D738A" w:rsidRDefault="00FC762F" w:rsidP="00B463FD">
      <w:pPr>
        <w:ind w:left="851"/>
        <w:rPr>
          <w:sz w:val="24"/>
          <w:szCs w:val="24"/>
        </w:rPr>
      </w:pPr>
    </w:p>
    <w:p w14:paraId="556B1264" w14:textId="77777777" w:rsidR="00FC762F" w:rsidRPr="007E629E" w:rsidRDefault="00FC762F" w:rsidP="00B463FD">
      <w:pPr>
        <w:ind w:left="851"/>
        <w:rPr>
          <w:i/>
          <w:sz w:val="24"/>
          <w:szCs w:val="24"/>
          <w:lang w:eastAsia="en-GB"/>
        </w:rPr>
      </w:pPr>
      <w:r w:rsidRPr="007E629E">
        <w:rPr>
          <w:i/>
          <w:sz w:val="24"/>
          <w:szCs w:val="24"/>
        </w:rPr>
        <w:t xml:space="preserve">Patienter med </w:t>
      </w:r>
      <w:proofErr w:type="spellStart"/>
      <w:r w:rsidRPr="007E629E">
        <w:rPr>
          <w:i/>
          <w:sz w:val="24"/>
          <w:szCs w:val="24"/>
        </w:rPr>
        <w:t>porfyri</w:t>
      </w:r>
      <w:proofErr w:type="spellEnd"/>
      <w:r w:rsidRPr="007E629E">
        <w:rPr>
          <w:i/>
          <w:sz w:val="24"/>
          <w:szCs w:val="24"/>
        </w:rPr>
        <w:t>:</w:t>
      </w:r>
    </w:p>
    <w:p w14:paraId="07AD5768" w14:textId="77777777" w:rsidR="00FC762F" w:rsidRPr="007E629E" w:rsidRDefault="00FC762F" w:rsidP="00B463FD">
      <w:pPr>
        <w:ind w:left="851"/>
        <w:rPr>
          <w:sz w:val="24"/>
          <w:szCs w:val="24"/>
        </w:rPr>
      </w:pPr>
      <w:proofErr w:type="spellStart"/>
      <w:r w:rsidRPr="007E629E">
        <w:rPr>
          <w:color w:val="000000"/>
          <w:sz w:val="24"/>
          <w:szCs w:val="24"/>
        </w:rPr>
        <w:t>Mepivacain</w:t>
      </w:r>
      <w:proofErr w:type="spellEnd"/>
      <w:r w:rsidRPr="007E629E">
        <w:rPr>
          <w:color w:val="000000"/>
          <w:sz w:val="24"/>
          <w:szCs w:val="24"/>
        </w:rPr>
        <w:t xml:space="preserve"> </w:t>
      </w:r>
      <w:r w:rsidRPr="007E629E">
        <w:rPr>
          <w:sz w:val="24"/>
          <w:szCs w:val="24"/>
        </w:rPr>
        <w:t xml:space="preserve">må kun anvendes til patienter med akut </w:t>
      </w:r>
      <w:proofErr w:type="spellStart"/>
      <w:r w:rsidRPr="007E629E">
        <w:rPr>
          <w:sz w:val="24"/>
          <w:szCs w:val="24"/>
        </w:rPr>
        <w:t>porfyri</w:t>
      </w:r>
      <w:proofErr w:type="spellEnd"/>
      <w:r w:rsidRPr="007E629E">
        <w:rPr>
          <w:sz w:val="24"/>
          <w:szCs w:val="24"/>
        </w:rPr>
        <w:t xml:space="preserve">, når der ikke findes et mere sikkert alternativ. Der skal udvises forsigtighed hos alle patienter med </w:t>
      </w:r>
      <w:proofErr w:type="spellStart"/>
      <w:r w:rsidRPr="007E629E">
        <w:rPr>
          <w:sz w:val="24"/>
          <w:szCs w:val="24"/>
        </w:rPr>
        <w:t>porfyri</w:t>
      </w:r>
      <w:proofErr w:type="spellEnd"/>
      <w:r w:rsidRPr="007E629E">
        <w:rPr>
          <w:sz w:val="24"/>
          <w:szCs w:val="24"/>
        </w:rPr>
        <w:t xml:space="preserve">, da dette lægemiddel kan udløse </w:t>
      </w:r>
      <w:proofErr w:type="spellStart"/>
      <w:r w:rsidRPr="007E629E">
        <w:rPr>
          <w:sz w:val="24"/>
          <w:szCs w:val="24"/>
        </w:rPr>
        <w:t>porfyri</w:t>
      </w:r>
      <w:proofErr w:type="spellEnd"/>
      <w:r w:rsidRPr="007E629E">
        <w:rPr>
          <w:sz w:val="24"/>
          <w:szCs w:val="24"/>
        </w:rPr>
        <w:t>.</w:t>
      </w:r>
    </w:p>
    <w:p w14:paraId="1FFED26D" w14:textId="483CDAB4" w:rsidR="00FD5F49" w:rsidRDefault="00FD5F49">
      <w:pPr>
        <w:rPr>
          <w:sz w:val="24"/>
          <w:szCs w:val="24"/>
        </w:rPr>
      </w:pPr>
    </w:p>
    <w:p w14:paraId="64791ABE" w14:textId="77777777" w:rsidR="00FC762F" w:rsidRPr="007E629E" w:rsidRDefault="00FC762F" w:rsidP="00B463FD">
      <w:pPr>
        <w:ind w:left="851"/>
        <w:rPr>
          <w:sz w:val="24"/>
          <w:szCs w:val="24"/>
        </w:rPr>
      </w:pPr>
    </w:p>
    <w:p w14:paraId="0DDB686E" w14:textId="77777777" w:rsidR="00FC762F" w:rsidRPr="007E629E" w:rsidRDefault="00FC762F" w:rsidP="00B463FD">
      <w:pPr>
        <w:ind w:left="851"/>
        <w:rPr>
          <w:color w:val="000000"/>
          <w:sz w:val="24"/>
          <w:szCs w:val="24"/>
          <w:lang w:eastAsia="en-GB"/>
        </w:rPr>
      </w:pPr>
      <w:r w:rsidRPr="007E629E">
        <w:rPr>
          <w:i/>
          <w:color w:val="000000"/>
          <w:sz w:val="24"/>
          <w:szCs w:val="24"/>
        </w:rPr>
        <w:t xml:space="preserve">Patienter med </w:t>
      </w:r>
      <w:proofErr w:type="spellStart"/>
      <w:r w:rsidRPr="007E629E">
        <w:rPr>
          <w:i/>
          <w:color w:val="000000"/>
          <w:sz w:val="24"/>
          <w:szCs w:val="24"/>
        </w:rPr>
        <w:t>acidose</w:t>
      </w:r>
      <w:proofErr w:type="spellEnd"/>
      <w:r w:rsidRPr="007E629E">
        <w:rPr>
          <w:i/>
          <w:color w:val="000000"/>
          <w:sz w:val="24"/>
          <w:szCs w:val="24"/>
        </w:rPr>
        <w:t xml:space="preserve"> </w:t>
      </w:r>
    </w:p>
    <w:p w14:paraId="35420CB8" w14:textId="77777777" w:rsidR="00FC762F" w:rsidRPr="007E629E" w:rsidRDefault="00FC762F" w:rsidP="00B463FD">
      <w:pPr>
        <w:ind w:left="851"/>
        <w:rPr>
          <w:i/>
          <w:sz w:val="24"/>
          <w:szCs w:val="24"/>
        </w:rPr>
      </w:pPr>
      <w:r w:rsidRPr="007E629E">
        <w:rPr>
          <w:color w:val="000000"/>
          <w:sz w:val="24"/>
          <w:szCs w:val="24"/>
        </w:rPr>
        <w:t xml:space="preserve">Der skal udvises forsigtighed i tilfælde af </w:t>
      </w:r>
      <w:proofErr w:type="spellStart"/>
      <w:r w:rsidRPr="007E629E">
        <w:rPr>
          <w:color w:val="000000"/>
          <w:sz w:val="24"/>
          <w:szCs w:val="24"/>
        </w:rPr>
        <w:t>acidose</w:t>
      </w:r>
      <w:proofErr w:type="spellEnd"/>
      <w:r w:rsidRPr="007E629E">
        <w:rPr>
          <w:color w:val="000000"/>
          <w:sz w:val="24"/>
          <w:szCs w:val="24"/>
        </w:rPr>
        <w:t>, såsom forværring af nedsat nyrefunktion eller dårligt kontrolleret type 1 diabetes mellitus.</w:t>
      </w:r>
    </w:p>
    <w:p w14:paraId="41EEB0A2" w14:textId="77777777" w:rsidR="00FC762F" w:rsidRPr="007E629E" w:rsidRDefault="00FC762F" w:rsidP="00B463FD">
      <w:pPr>
        <w:ind w:left="851"/>
        <w:rPr>
          <w:i/>
          <w:sz w:val="24"/>
          <w:szCs w:val="24"/>
        </w:rPr>
      </w:pPr>
    </w:p>
    <w:p w14:paraId="7CFAFCC2" w14:textId="77777777" w:rsidR="00FC762F" w:rsidRPr="007E629E" w:rsidRDefault="00FC762F" w:rsidP="00B463FD">
      <w:pPr>
        <w:ind w:left="851"/>
        <w:rPr>
          <w:color w:val="000000"/>
          <w:sz w:val="24"/>
          <w:szCs w:val="24"/>
          <w:lang w:eastAsia="en-GB"/>
        </w:rPr>
      </w:pPr>
      <w:r w:rsidRPr="007E629E">
        <w:rPr>
          <w:i/>
          <w:color w:val="000000"/>
          <w:sz w:val="24"/>
          <w:szCs w:val="24"/>
        </w:rPr>
        <w:t xml:space="preserve">Ældre patienter: </w:t>
      </w:r>
    </w:p>
    <w:p w14:paraId="43BF8A60" w14:textId="77777777" w:rsidR="00FC762F" w:rsidRPr="007E629E" w:rsidRDefault="00FC762F" w:rsidP="00B463FD">
      <w:pPr>
        <w:ind w:left="851"/>
        <w:rPr>
          <w:i/>
          <w:sz w:val="24"/>
          <w:szCs w:val="24"/>
        </w:rPr>
      </w:pPr>
      <w:r w:rsidRPr="007E629E">
        <w:rPr>
          <w:color w:val="000000"/>
          <w:sz w:val="24"/>
          <w:szCs w:val="24"/>
        </w:rPr>
        <w:t>Doseringerne bør reduceres hos ældre patienter (på grund af manglende kliniske data).</w:t>
      </w:r>
    </w:p>
    <w:p w14:paraId="262C4DEF" w14:textId="77777777" w:rsidR="00FC762F" w:rsidRPr="007E629E" w:rsidRDefault="00FC762F" w:rsidP="00B463FD">
      <w:pPr>
        <w:ind w:left="851"/>
        <w:rPr>
          <w:i/>
          <w:sz w:val="24"/>
          <w:szCs w:val="24"/>
        </w:rPr>
      </w:pPr>
    </w:p>
    <w:p w14:paraId="0CB68120" w14:textId="2FCAC60E" w:rsidR="00FC762F" w:rsidRPr="007E629E" w:rsidRDefault="00FC762F" w:rsidP="00B463FD">
      <w:pPr>
        <w:ind w:left="851"/>
        <w:rPr>
          <w:sz w:val="24"/>
          <w:szCs w:val="24"/>
          <w:lang w:eastAsia="en-GB"/>
        </w:rPr>
      </w:pPr>
      <w:proofErr w:type="spellStart"/>
      <w:r w:rsidRPr="007E629E">
        <w:rPr>
          <w:sz w:val="24"/>
          <w:szCs w:val="24"/>
        </w:rPr>
        <w:t>Mepivacain</w:t>
      </w:r>
      <w:proofErr w:type="spellEnd"/>
      <w:r w:rsidRPr="007E629E">
        <w:rPr>
          <w:sz w:val="24"/>
          <w:szCs w:val="24"/>
        </w:rPr>
        <w:t xml:space="preserve"> bør gives med forsigtighed til patienter, som bruger </w:t>
      </w:r>
      <w:proofErr w:type="spellStart"/>
      <w:r w:rsidRPr="007E629E">
        <w:rPr>
          <w:sz w:val="24"/>
          <w:szCs w:val="24"/>
        </w:rPr>
        <w:t>trombocyt</w:t>
      </w:r>
      <w:r w:rsidR="00E71BF6">
        <w:rPr>
          <w:sz w:val="24"/>
          <w:szCs w:val="24"/>
        </w:rPr>
        <w:softHyphen/>
      </w:r>
      <w:r w:rsidRPr="007E629E">
        <w:rPr>
          <w:sz w:val="24"/>
          <w:szCs w:val="24"/>
        </w:rPr>
        <w:t>hæmmende</w:t>
      </w:r>
      <w:proofErr w:type="spellEnd"/>
      <w:r w:rsidRPr="007E629E">
        <w:rPr>
          <w:sz w:val="24"/>
          <w:szCs w:val="24"/>
        </w:rPr>
        <w:t>/anti</w:t>
      </w:r>
      <w:r w:rsidR="00E71BF6">
        <w:rPr>
          <w:sz w:val="24"/>
          <w:szCs w:val="24"/>
        </w:rPr>
        <w:softHyphen/>
      </w:r>
      <w:r w:rsidRPr="007E629E">
        <w:rPr>
          <w:sz w:val="24"/>
          <w:szCs w:val="24"/>
        </w:rPr>
        <w:t>koa</w:t>
      </w:r>
      <w:r w:rsidR="00E71BF6">
        <w:rPr>
          <w:sz w:val="24"/>
          <w:szCs w:val="24"/>
        </w:rPr>
        <w:softHyphen/>
      </w:r>
      <w:r w:rsidRPr="007E629E">
        <w:rPr>
          <w:sz w:val="24"/>
          <w:szCs w:val="24"/>
        </w:rPr>
        <w:t>gulerende lægemidler, eller som lider af en koagulationsforstyrrelse på grund af den højere risiko for blødning. Den højere risiko for blødning er snarere forbundet med indgrebet end med lægemidlet.</w:t>
      </w:r>
    </w:p>
    <w:p w14:paraId="50845E0C" w14:textId="77777777" w:rsidR="00FC762F" w:rsidRPr="007E629E" w:rsidRDefault="00FC762F" w:rsidP="00B463FD">
      <w:pPr>
        <w:ind w:left="851"/>
        <w:rPr>
          <w:sz w:val="24"/>
          <w:szCs w:val="24"/>
        </w:rPr>
      </w:pPr>
    </w:p>
    <w:p w14:paraId="0118DFC2" w14:textId="77777777" w:rsidR="00FC762F" w:rsidRPr="00CB5991" w:rsidRDefault="00FC762F" w:rsidP="00B463FD">
      <w:pPr>
        <w:ind w:left="851"/>
        <w:rPr>
          <w:sz w:val="24"/>
          <w:szCs w:val="24"/>
          <w:u w:val="single"/>
          <w:lang w:eastAsia="en-GB"/>
        </w:rPr>
      </w:pPr>
      <w:r w:rsidRPr="00CB5991">
        <w:rPr>
          <w:sz w:val="24"/>
          <w:szCs w:val="24"/>
          <w:u w:val="single"/>
        </w:rPr>
        <w:t>Forsigtighedsregler vedrørende brugen</w:t>
      </w:r>
    </w:p>
    <w:p w14:paraId="324CD072" w14:textId="77777777" w:rsidR="00FC762F" w:rsidRPr="00CB5991" w:rsidRDefault="00FC762F" w:rsidP="00B463FD">
      <w:pPr>
        <w:ind w:left="851"/>
        <w:rPr>
          <w:sz w:val="24"/>
          <w:szCs w:val="24"/>
          <w:highlight w:val="yellow"/>
        </w:rPr>
      </w:pPr>
    </w:p>
    <w:p w14:paraId="47E57D62" w14:textId="77777777" w:rsidR="00FC762F" w:rsidRPr="007E629E" w:rsidRDefault="00FC762F" w:rsidP="00B463FD">
      <w:pPr>
        <w:ind w:left="851"/>
        <w:rPr>
          <w:sz w:val="24"/>
          <w:szCs w:val="24"/>
          <w:lang w:eastAsia="en-GB"/>
        </w:rPr>
      </w:pPr>
      <w:proofErr w:type="spellStart"/>
      <w:r w:rsidRPr="007E629E">
        <w:rPr>
          <w:sz w:val="24"/>
          <w:szCs w:val="24"/>
        </w:rPr>
        <w:t>Lokalanæstetika</w:t>
      </w:r>
      <w:proofErr w:type="spellEnd"/>
      <w:r w:rsidRPr="007E629E">
        <w:rPr>
          <w:sz w:val="24"/>
          <w:szCs w:val="24"/>
        </w:rPr>
        <w:t xml:space="preserve"> må kun anvendes af sundhedspersoner med et godt kendskab til diagnosticering og håndtering af dosisrelateret toksicitet og andre akutte nødsituationer, der måtte opstå som følge af den anvendte blokade. Oxygen, andre lægemidler og andet udstyr til genoplivning skal være tilgængelige til umiddelbar anvendelse, og personale til korrekt håndtering af toksiske reaktioner og relaterede nødsituationer skal overvejes (se pkt. 4.2). Forsinkelse af korrekt håndtering af dosisrelateret toksicitet, underventilation uanset årsag og/eller ændret følsomhed kan føre til udvikling af </w:t>
      </w:r>
      <w:proofErr w:type="spellStart"/>
      <w:r w:rsidRPr="007E629E">
        <w:rPr>
          <w:sz w:val="24"/>
          <w:szCs w:val="24"/>
        </w:rPr>
        <w:t>acidose</w:t>
      </w:r>
      <w:proofErr w:type="spellEnd"/>
      <w:r w:rsidRPr="007E629E">
        <w:rPr>
          <w:sz w:val="24"/>
          <w:szCs w:val="24"/>
        </w:rPr>
        <w:t>, hjertestop og muligvis død.</w:t>
      </w:r>
    </w:p>
    <w:p w14:paraId="4A07E105" w14:textId="77777777" w:rsidR="00FC762F" w:rsidRPr="007E629E" w:rsidRDefault="00FC762F" w:rsidP="00B463FD">
      <w:pPr>
        <w:ind w:left="851"/>
        <w:rPr>
          <w:sz w:val="24"/>
          <w:szCs w:val="24"/>
        </w:rPr>
      </w:pPr>
    </w:p>
    <w:p w14:paraId="2B5058D4" w14:textId="77777777" w:rsidR="00FC762F" w:rsidRPr="007E629E" w:rsidRDefault="00FC762F" w:rsidP="00B463FD">
      <w:pPr>
        <w:ind w:left="851"/>
        <w:rPr>
          <w:sz w:val="24"/>
          <w:szCs w:val="24"/>
          <w:lang w:eastAsia="en-GB"/>
        </w:rPr>
      </w:pPr>
      <w:proofErr w:type="spellStart"/>
      <w:r w:rsidRPr="007E629E">
        <w:rPr>
          <w:sz w:val="24"/>
          <w:szCs w:val="24"/>
        </w:rPr>
        <w:t>Hypoksæmi</w:t>
      </w:r>
      <w:proofErr w:type="spellEnd"/>
      <w:r w:rsidRPr="007E629E">
        <w:rPr>
          <w:sz w:val="24"/>
          <w:szCs w:val="24"/>
        </w:rPr>
        <w:t xml:space="preserve"> og metabolisk </w:t>
      </w:r>
      <w:proofErr w:type="spellStart"/>
      <w:r w:rsidRPr="007E629E">
        <w:rPr>
          <w:sz w:val="24"/>
          <w:szCs w:val="24"/>
        </w:rPr>
        <w:t>acidose</w:t>
      </w:r>
      <w:proofErr w:type="spellEnd"/>
      <w:r w:rsidRPr="007E629E">
        <w:rPr>
          <w:sz w:val="24"/>
          <w:szCs w:val="24"/>
        </w:rPr>
        <w:t xml:space="preserve"> kan forstærke den </w:t>
      </w:r>
      <w:proofErr w:type="spellStart"/>
      <w:r w:rsidRPr="007E629E">
        <w:rPr>
          <w:sz w:val="24"/>
          <w:szCs w:val="24"/>
        </w:rPr>
        <w:t>kardiovaskulære</w:t>
      </w:r>
      <w:proofErr w:type="spellEnd"/>
      <w:r w:rsidRPr="007E629E">
        <w:rPr>
          <w:sz w:val="24"/>
          <w:szCs w:val="24"/>
        </w:rPr>
        <w:t xml:space="preserve"> toksicitet. Tidlig kontrol af krampeanfald og aggressiv håndtering af luftveje til behandling af </w:t>
      </w:r>
      <w:proofErr w:type="spellStart"/>
      <w:r w:rsidRPr="007E629E">
        <w:rPr>
          <w:sz w:val="24"/>
          <w:szCs w:val="24"/>
        </w:rPr>
        <w:t>hypoksæmi</w:t>
      </w:r>
      <w:proofErr w:type="spellEnd"/>
      <w:r w:rsidRPr="007E629E">
        <w:rPr>
          <w:sz w:val="24"/>
          <w:szCs w:val="24"/>
        </w:rPr>
        <w:t xml:space="preserve"> og </w:t>
      </w:r>
      <w:proofErr w:type="spellStart"/>
      <w:r w:rsidRPr="007E629E">
        <w:rPr>
          <w:sz w:val="24"/>
          <w:szCs w:val="24"/>
        </w:rPr>
        <w:t>acidose</w:t>
      </w:r>
      <w:proofErr w:type="spellEnd"/>
      <w:r w:rsidRPr="007E629E">
        <w:rPr>
          <w:sz w:val="24"/>
          <w:szCs w:val="24"/>
        </w:rPr>
        <w:t xml:space="preserve"> kan forhindre hjertestop.</w:t>
      </w:r>
    </w:p>
    <w:p w14:paraId="446C98F4" w14:textId="77777777" w:rsidR="00FC762F" w:rsidRPr="007E629E" w:rsidRDefault="00FC762F" w:rsidP="00B463FD">
      <w:pPr>
        <w:ind w:left="851"/>
        <w:rPr>
          <w:sz w:val="24"/>
          <w:szCs w:val="24"/>
        </w:rPr>
      </w:pPr>
    </w:p>
    <w:p w14:paraId="15349D9D" w14:textId="77777777" w:rsidR="00FC762F" w:rsidRPr="007E629E" w:rsidRDefault="00FC762F" w:rsidP="00B463FD">
      <w:pPr>
        <w:ind w:left="851"/>
        <w:rPr>
          <w:sz w:val="24"/>
          <w:szCs w:val="24"/>
          <w:lang w:eastAsia="en-GB"/>
        </w:rPr>
      </w:pPr>
      <w:r w:rsidRPr="007E629E">
        <w:rPr>
          <w:sz w:val="24"/>
          <w:szCs w:val="24"/>
        </w:rPr>
        <w:t>Samtidig anvendelse af andre lægemidler kan kræve nøje overvågning (se pkt. 4.5).</w:t>
      </w:r>
    </w:p>
    <w:p w14:paraId="1E8F42C4" w14:textId="77777777" w:rsidR="00FC762F" w:rsidRPr="007E629E" w:rsidRDefault="00FC762F" w:rsidP="00B463FD">
      <w:pPr>
        <w:ind w:left="851"/>
        <w:rPr>
          <w:sz w:val="24"/>
          <w:szCs w:val="24"/>
        </w:rPr>
      </w:pPr>
    </w:p>
    <w:p w14:paraId="79010B8D" w14:textId="77777777" w:rsidR="00FC762F" w:rsidRPr="007E629E" w:rsidRDefault="00FC762F" w:rsidP="00B463FD">
      <w:pPr>
        <w:ind w:left="851"/>
        <w:rPr>
          <w:sz w:val="24"/>
          <w:szCs w:val="24"/>
        </w:rPr>
      </w:pPr>
      <w:r w:rsidRPr="007E629E">
        <w:rPr>
          <w:sz w:val="24"/>
          <w:szCs w:val="24"/>
        </w:rPr>
        <w:t>Dette lægemiddel indeholder 1,18 mg natrium pr. ml, svarende til 0,059 % af den WHO-anbefalede maksimale daglige indtagelse af 2 g natrium for en voksen.</w:t>
      </w:r>
    </w:p>
    <w:p w14:paraId="382522D3" w14:textId="77777777" w:rsidR="00FC762F" w:rsidRPr="007E629E" w:rsidRDefault="00FC762F" w:rsidP="00B463FD">
      <w:pPr>
        <w:ind w:left="851"/>
        <w:rPr>
          <w:sz w:val="24"/>
          <w:szCs w:val="24"/>
        </w:rPr>
      </w:pPr>
    </w:p>
    <w:p w14:paraId="03B5C336" w14:textId="77777777" w:rsidR="00FC762F" w:rsidRPr="007E629E" w:rsidRDefault="00FC762F" w:rsidP="00B463FD">
      <w:pPr>
        <w:ind w:left="851"/>
        <w:rPr>
          <w:i/>
          <w:sz w:val="24"/>
          <w:szCs w:val="24"/>
          <w:lang w:eastAsia="en-GB"/>
        </w:rPr>
      </w:pPr>
      <w:r w:rsidRPr="007E629E">
        <w:rPr>
          <w:i/>
          <w:sz w:val="24"/>
          <w:szCs w:val="24"/>
        </w:rPr>
        <w:t>Brug til atleter</w:t>
      </w:r>
    </w:p>
    <w:p w14:paraId="6F0E97D3" w14:textId="77777777" w:rsidR="00FC762F" w:rsidRPr="007E629E" w:rsidRDefault="00FC762F" w:rsidP="00B463FD">
      <w:pPr>
        <w:ind w:left="851"/>
        <w:rPr>
          <w:sz w:val="24"/>
          <w:szCs w:val="24"/>
        </w:rPr>
      </w:pPr>
      <w:r w:rsidRPr="007E629E">
        <w:rPr>
          <w:sz w:val="24"/>
          <w:szCs w:val="24"/>
        </w:rPr>
        <w:t xml:space="preserve">Det bør bemærkes, at dette lægemiddel indeholder </w:t>
      </w:r>
      <w:proofErr w:type="spellStart"/>
      <w:r w:rsidRPr="007E629E">
        <w:rPr>
          <w:sz w:val="24"/>
          <w:szCs w:val="24"/>
        </w:rPr>
        <w:t>mepivacain</w:t>
      </w:r>
      <w:proofErr w:type="spellEnd"/>
      <w:r w:rsidRPr="007E629E">
        <w:rPr>
          <w:sz w:val="24"/>
          <w:szCs w:val="24"/>
        </w:rPr>
        <w:t>, som kan give et positivt resultat i dopingkontroller.</w:t>
      </w:r>
    </w:p>
    <w:p w14:paraId="29A67667" w14:textId="77777777" w:rsidR="009260DE" w:rsidRPr="007E629E" w:rsidRDefault="009260DE" w:rsidP="009260DE">
      <w:pPr>
        <w:tabs>
          <w:tab w:val="left" w:pos="851"/>
        </w:tabs>
        <w:ind w:left="851"/>
        <w:rPr>
          <w:sz w:val="24"/>
          <w:szCs w:val="24"/>
        </w:rPr>
      </w:pPr>
    </w:p>
    <w:p w14:paraId="72190649" w14:textId="77777777" w:rsidR="009260DE" w:rsidRPr="007E629E" w:rsidRDefault="009260DE" w:rsidP="009260DE">
      <w:pPr>
        <w:tabs>
          <w:tab w:val="left" w:pos="851"/>
        </w:tabs>
        <w:ind w:left="851" w:hanging="851"/>
        <w:rPr>
          <w:b/>
          <w:sz w:val="24"/>
          <w:szCs w:val="24"/>
        </w:rPr>
      </w:pPr>
      <w:r w:rsidRPr="007E629E">
        <w:rPr>
          <w:b/>
          <w:sz w:val="24"/>
          <w:szCs w:val="24"/>
        </w:rPr>
        <w:t>4.5</w:t>
      </w:r>
      <w:r w:rsidRPr="007E629E">
        <w:rPr>
          <w:b/>
          <w:sz w:val="24"/>
          <w:szCs w:val="24"/>
        </w:rPr>
        <w:tab/>
        <w:t>Interaktion med andre lægemidler og andre former for interaktion</w:t>
      </w:r>
    </w:p>
    <w:p w14:paraId="6BF9A44E" w14:textId="77777777" w:rsidR="00A46DCB" w:rsidRDefault="00A46DCB" w:rsidP="00B463FD">
      <w:pPr>
        <w:ind w:left="851"/>
        <w:rPr>
          <w:sz w:val="24"/>
          <w:szCs w:val="24"/>
        </w:rPr>
      </w:pPr>
    </w:p>
    <w:p w14:paraId="75961447" w14:textId="57C998D9" w:rsidR="00FC762F" w:rsidRPr="00A46DCB" w:rsidRDefault="00FC762F" w:rsidP="00B463FD">
      <w:pPr>
        <w:ind w:left="851"/>
        <w:rPr>
          <w:i/>
          <w:sz w:val="24"/>
          <w:szCs w:val="24"/>
          <w:lang w:eastAsia="en-GB"/>
        </w:rPr>
      </w:pPr>
      <w:proofErr w:type="spellStart"/>
      <w:r w:rsidRPr="00A46DCB">
        <w:rPr>
          <w:i/>
          <w:sz w:val="24"/>
          <w:szCs w:val="24"/>
        </w:rPr>
        <w:t>Additive</w:t>
      </w:r>
      <w:proofErr w:type="spellEnd"/>
      <w:r w:rsidRPr="00A46DCB">
        <w:rPr>
          <w:i/>
          <w:sz w:val="24"/>
          <w:szCs w:val="24"/>
        </w:rPr>
        <w:t xml:space="preserve"> interaktioner med andre </w:t>
      </w:r>
      <w:proofErr w:type="spellStart"/>
      <w:r w:rsidRPr="00A46DCB">
        <w:rPr>
          <w:i/>
          <w:sz w:val="24"/>
          <w:szCs w:val="24"/>
        </w:rPr>
        <w:t>lokalanæstetika</w:t>
      </w:r>
      <w:proofErr w:type="spellEnd"/>
      <w:r w:rsidRPr="00A46DCB">
        <w:rPr>
          <w:i/>
          <w:sz w:val="24"/>
          <w:szCs w:val="24"/>
        </w:rPr>
        <w:t xml:space="preserve"> </w:t>
      </w:r>
    </w:p>
    <w:p w14:paraId="1994CF7F" w14:textId="77777777" w:rsidR="00FC762F" w:rsidRPr="007E629E" w:rsidRDefault="00FC762F" w:rsidP="00B463FD">
      <w:pPr>
        <w:ind w:left="851"/>
        <w:rPr>
          <w:sz w:val="24"/>
          <w:szCs w:val="24"/>
        </w:rPr>
      </w:pPr>
      <w:proofErr w:type="spellStart"/>
      <w:r w:rsidRPr="007E629E">
        <w:rPr>
          <w:sz w:val="24"/>
          <w:szCs w:val="24"/>
        </w:rPr>
        <w:t>Toksiciteterne</w:t>
      </w:r>
      <w:proofErr w:type="spellEnd"/>
      <w:r w:rsidRPr="007E629E">
        <w:rPr>
          <w:sz w:val="24"/>
          <w:szCs w:val="24"/>
        </w:rPr>
        <w:t xml:space="preserve"> af </w:t>
      </w:r>
      <w:proofErr w:type="spellStart"/>
      <w:r w:rsidRPr="007E629E">
        <w:rPr>
          <w:sz w:val="24"/>
          <w:szCs w:val="24"/>
        </w:rPr>
        <w:t>lokalanæstetika</w:t>
      </w:r>
      <w:proofErr w:type="spellEnd"/>
      <w:r w:rsidRPr="007E629E">
        <w:rPr>
          <w:sz w:val="24"/>
          <w:szCs w:val="24"/>
        </w:rPr>
        <w:t xml:space="preserve"> er </w:t>
      </w:r>
      <w:proofErr w:type="spellStart"/>
      <w:r w:rsidRPr="007E629E">
        <w:rPr>
          <w:sz w:val="24"/>
          <w:szCs w:val="24"/>
        </w:rPr>
        <w:t>additive</w:t>
      </w:r>
      <w:proofErr w:type="spellEnd"/>
      <w:r w:rsidRPr="007E629E">
        <w:rPr>
          <w:sz w:val="24"/>
          <w:szCs w:val="24"/>
        </w:rPr>
        <w:t xml:space="preserve">. Den samlede dosis af administreret </w:t>
      </w:r>
      <w:proofErr w:type="spellStart"/>
      <w:r w:rsidRPr="007E629E">
        <w:rPr>
          <w:sz w:val="24"/>
          <w:szCs w:val="24"/>
        </w:rPr>
        <w:t>mepivacain</w:t>
      </w:r>
      <w:proofErr w:type="spellEnd"/>
      <w:r w:rsidRPr="007E629E">
        <w:rPr>
          <w:sz w:val="24"/>
          <w:szCs w:val="24"/>
        </w:rPr>
        <w:t xml:space="preserve"> må ikke overstige den maksimalt anbefalede dosis.</w:t>
      </w:r>
    </w:p>
    <w:p w14:paraId="7CE8FD98" w14:textId="619F078D" w:rsidR="001D738A" w:rsidRDefault="001D738A">
      <w:pPr>
        <w:rPr>
          <w:sz w:val="24"/>
          <w:szCs w:val="24"/>
          <w:u w:val="single"/>
        </w:rPr>
      </w:pPr>
      <w:r>
        <w:rPr>
          <w:sz w:val="24"/>
          <w:szCs w:val="24"/>
          <w:u w:val="single"/>
        </w:rPr>
        <w:br w:type="page"/>
      </w:r>
    </w:p>
    <w:p w14:paraId="2CF19619" w14:textId="77777777" w:rsidR="00FC762F" w:rsidRPr="007E629E" w:rsidRDefault="00FC762F" w:rsidP="00B463FD">
      <w:pPr>
        <w:ind w:left="851"/>
        <w:rPr>
          <w:sz w:val="24"/>
          <w:szCs w:val="24"/>
          <w:u w:val="single"/>
        </w:rPr>
      </w:pPr>
    </w:p>
    <w:p w14:paraId="1155B4D8" w14:textId="77777777" w:rsidR="00FC762F" w:rsidRPr="001C5528" w:rsidRDefault="00FC762F" w:rsidP="00B463FD">
      <w:pPr>
        <w:ind w:left="851"/>
        <w:rPr>
          <w:i/>
          <w:sz w:val="24"/>
          <w:szCs w:val="24"/>
          <w:lang w:eastAsia="en-GB"/>
        </w:rPr>
      </w:pPr>
      <w:r w:rsidRPr="001C5528">
        <w:rPr>
          <w:i/>
          <w:sz w:val="24"/>
          <w:szCs w:val="24"/>
        </w:rPr>
        <w:t>H2-antihistaminika (</w:t>
      </w:r>
      <w:proofErr w:type="spellStart"/>
      <w:r w:rsidRPr="001C5528">
        <w:rPr>
          <w:i/>
          <w:sz w:val="24"/>
          <w:szCs w:val="24"/>
        </w:rPr>
        <w:t>cimetidin</w:t>
      </w:r>
      <w:proofErr w:type="spellEnd"/>
      <w:r w:rsidRPr="001C5528">
        <w:rPr>
          <w:i/>
          <w:sz w:val="24"/>
          <w:szCs w:val="24"/>
        </w:rPr>
        <w:t xml:space="preserve">) </w:t>
      </w:r>
    </w:p>
    <w:p w14:paraId="2007896E" w14:textId="77777777" w:rsidR="00FC762F" w:rsidRPr="007E629E" w:rsidRDefault="00FC762F" w:rsidP="00B463FD">
      <w:pPr>
        <w:ind w:left="851"/>
        <w:rPr>
          <w:sz w:val="24"/>
          <w:szCs w:val="24"/>
        </w:rPr>
      </w:pPr>
      <w:r w:rsidRPr="007E629E">
        <w:rPr>
          <w:sz w:val="24"/>
          <w:szCs w:val="24"/>
        </w:rPr>
        <w:t xml:space="preserve">Der er rapporteret om forhøjede serumniveauer af </w:t>
      </w:r>
      <w:proofErr w:type="spellStart"/>
      <w:r w:rsidRPr="007E629E">
        <w:rPr>
          <w:sz w:val="24"/>
          <w:szCs w:val="24"/>
        </w:rPr>
        <w:t>anæstetika</w:t>
      </w:r>
      <w:proofErr w:type="spellEnd"/>
      <w:r w:rsidRPr="007E629E">
        <w:rPr>
          <w:sz w:val="24"/>
          <w:szCs w:val="24"/>
        </w:rPr>
        <w:t xml:space="preserve"> af amidtypen efter samtidig administration af </w:t>
      </w:r>
      <w:proofErr w:type="spellStart"/>
      <w:r w:rsidRPr="007E629E">
        <w:rPr>
          <w:sz w:val="24"/>
          <w:szCs w:val="24"/>
        </w:rPr>
        <w:t>cimetidin</w:t>
      </w:r>
      <w:proofErr w:type="spellEnd"/>
      <w:r w:rsidRPr="007E629E">
        <w:rPr>
          <w:sz w:val="24"/>
          <w:szCs w:val="24"/>
        </w:rPr>
        <w:t xml:space="preserve">. </w:t>
      </w:r>
      <w:proofErr w:type="spellStart"/>
      <w:r w:rsidRPr="007E629E">
        <w:rPr>
          <w:sz w:val="24"/>
          <w:szCs w:val="24"/>
        </w:rPr>
        <w:t>Cimetidin</w:t>
      </w:r>
      <w:proofErr w:type="spellEnd"/>
      <w:r w:rsidRPr="007E629E">
        <w:rPr>
          <w:sz w:val="24"/>
          <w:szCs w:val="24"/>
        </w:rPr>
        <w:t xml:space="preserve"> reducerer </w:t>
      </w:r>
      <w:proofErr w:type="spellStart"/>
      <w:r w:rsidRPr="007E629E">
        <w:rPr>
          <w:sz w:val="24"/>
          <w:szCs w:val="24"/>
        </w:rPr>
        <w:t>clearance</w:t>
      </w:r>
      <w:proofErr w:type="spellEnd"/>
      <w:r w:rsidRPr="007E629E">
        <w:rPr>
          <w:sz w:val="24"/>
          <w:szCs w:val="24"/>
        </w:rPr>
        <w:t xml:space="preserve"> af </w:t>
      </w:r>
      <w:proofErr w:type="spellStart"/>
      <w:r w:rsidRPr="007E629E">
        <w:rPr>
          <w:sz w:val="24"/>
          <w:szCs w:val="24"/>
        </w:rPr>
        <w:t>mepivacain</w:t>
      </w:r>
      <w:proofErr w:type="spellEnd"/>
      <w:r w:rsidRPr="007E629E">
        <w:rPr>
          <w:sz w:val="24"/>
          <w:szCs w:val="24"/>
        </w:rPr>
        <w:t>.</w:t>
      </w:r>
    </w:p>
    <w:p w14:paraId="36D55D74" w14:textId="77777777" w:rsidR="00FC762F" w:rsidRPr="007E629E" w:rsidRDefault="00FC762F" w:rsidP="00B463FD">
      <w:pPr>
        <w:ind w:left="851"/>
        <w:rPr>
          <w:sz w:val="24"/>
          <w:szCs w:val="24"/>
          <w:u w:val="single"/>
        </w:rPr>
      </w:pPr>
    </w:p>
    <w:p w14:paraId="326F0E0C" w14:textId="77777777" w:rsidR="00FC762F" w:rsidRPr="007E629E" w:rsidRDefault="00FC762F" w:rsidP="00B463FD">
      <w:pPr>
        <w:ind w:left="851"/>
        <w:rPr>
          <w:sz w:val="24"/>
          <w:szCs w:val="24"/>
          <w:lang w:eastAsia="en-GB"/>
        </w:rPr>
      </w:pPr>
      <w:proofErr w:type="spellStart"/>
      <w:r w:rsidRPr="007E629E">
        <w:rPr>
          <w:sz w:val="24"/>
          <w:szCs w:val="24"/>
        </w:rPr>
        <w:t>Sedativa</w:t>
      </w:r>
      <w:proofErr w:type="spellEnd"/>
      <w:r w:rsidRPr="007E629E">
        <w:rPr>
          <w:sz w:val="24"/>
          <w:szCs w:val="24"/>
        </w:rPr>
        <w:t xml:space="preserve"> (undertrykkere af centralnervesystemet (CNS)) </w:t>
      </w:r>
    </w:p>
    <w:p w14:paraId="697AB334" w14:textId="346C6A21" w:rsidR="00FC762F" w:rsidRPr="007E629E" w:rsidRDefault="00FC762F" w:rsidP="00B463FD">
      <w:pPr>
        <w:ind w:left="851"/>
        <w:rPr>
          <w:sz w:val="24"/>
          <w:szCs w:val="24"/>
        </w:rPr>
      </w:pPr>
      <w:r w:rsidRPr="007E629E">
        <w:rPr>
          <w:sz w:val="24"/>
          <w:szCs w:val="24"/>
        </w:rPr>
        <w:t xml:space="preserve">Hvis der anvendes </w:t>
      </w:r>
      <w:proofErr w:type="spellStart"/>
      <w:r w:rsidRPr="007E629E">
        <w:rPr>
          <w:sz w:val="24"/>
          <w:szCs w:val="24"/>
        </w:rPr>
        <w:t>sedativa</w:t>
      </w:r>
      <w:proofErr w:type="spellEnd"/>
      <w:r w:rsidRPr="007E629E">
        <w:rPr>
          <w:sz w:val="24"/>
          <w:szCs w:val="24"/>
        </w:rPr>
        <w:t xml:space="preserve"> til nedsættelse af patientens angst, skal der anvendes mindre doser </w:t>
      </w:r>
      <w:proofErr w:type="spellStart"/>
      <w:r w:rsidRPr="007E629E">
        <w:rPr>
          <w:sz w:val="24"/>
          <w:szCs w:val="24"/>
        </w:rPr>
        <w:t>anæstetika</w:t>
      </w:r>
      <w:proofErr w:type="spellEnd"/>
      <w:r w:rsidRPr="007E629E">
        <w:rPr>
          <w:sz w:val="24"/>
          <w:szCs w:val="24"/>
        </w:rPr>
        <w:t xml:space="preserve">, eftersom </w:t>
      </w:r>
      <w:proofErr w:type="spellStart"/>
      <w:r w:rsidRPr="007E629E">
        <w:rPr>
          <w:sz w:val="24"/>
          <w:szCs w:val="24"/>
        </w:rPr>
        <w:t>lokalanæstetika</w:t>
      </w:r>
      <w:proofErr w:type="spellEnd"/>
      <w:r w:rsidRPr="007E629E">
        <w:rPr>
          <w:sz w:val="24"/>
          <w:szCs w:val="24"/>
        </w:rPr>
        <w:t xml:space="preserve">, i lighed med </w:t>
      </w:r>
      <w:proofErr w:type="spellStart"/>
      <w:r w:rsidRPr="007E629E">
        <w:rPr>
          <w:sz w:val="24"/>
          <w:szCs w:val="24"/>
        </w:rPr>
        <w:t>sedativa</w:t>
      </w:r>
      <w:proofErr w:type="spellEnd"/>
      <w:r w:rsidRPr="007E629E">
        <w:rPr>
          <w:sz w:val="24"/>
          <w:szCs w:val="24"/>
        </w:rPr>
        <w:t xml:space="preserve">, er CNS-undertrykkere, og i kombination kan de have en </w:t>
      </w:r>
      <w:proofErr w:type="gramStart"/>
      <w:r w:rsidRPr="007E629E">
        <w:rPr>
          <w:sz w:val="24"/>
          <w:szCs w:val="24"/>
        </w:rPr>
        <w:t>additiv virkning</w:t>
      </w:r>
      <w:proofErr w:type="gramEnd"/>
      <w:r w:rsidRPr="007E629E">
        <w:rPr>
          <w:sz w:val="24"/>
          <w:szCs w:val="24"/>
        </w:rPr>
        <w:t>.</w:t>
      </w:r>
    </w:p>
    <w:p w14:paraId="2339D1B8" w14:textId="77777777" w:rsidR="00FC762F" w:rsidRPr="007E629E" w:rsidRDefault="00FC762F" w:rsidP="00B463FD">
      <w:pPr>
        <w:ind w:left="851"/>
        <w:rPr>
          <w:sz w:val="24"/>
          <w:szCs w:val="24"/>
        </w:rPr>
      </w:pPr>
    </w:p>
    <w:p w14:paraId="7C2F5509" w14:textId="77777777" w:rsidR="00FC762F" w:rsidRPr="001C5528" w:rsidRDefault="00FC762F" w:rsidP="00B463FD">
      <w:pPr>
        <w:ind w:left="851"/>
        <w:rPr>
          <w:i/>
          <w:sz w:val="24"/>
          <w:szCs w:val="24"/>
          <w:lang w:eastAsia="en-GB"/>
        </w:rPr>
      </w:pPr>
      <w:proofErr w:type="spellStart"/>
      <w:r w:rsidRPr="001C5528">
        <w:rPr>
          <w:i/>
          <w:sz w:val="24"/>
          <w:szCs w:val="24"/>
        </w:rPr>
        <w:t>Antiarytmika</w:t>
      </w:r>
      <w:proofErr w:type="spellEnd"/>
      <w:r w:rsidRPr="001C5528">
        <w:rPr>
          <w:i/>
          <w:sz w:val="24"/>
          <w:szCs w:val="24"/>
        </w:rPr>
        <w:t xml:space="preserve"> </w:t>
      </w:r>
    </w:p>
    <w:p w14:paraId="3EDE2844" w14:textId="77777777" w:rsidR="00FC762F" w:rsidRPr="007E629E" w:rsidRDefault="00FC762F" w:rsidP="00B463FD">
      <w:pPr>
        <w:ind w:left="851"/>
        <w:rPr>
          <w:sz w:val="24"/>
          <w:szCs w:val="24"/>
        </w:rPr>
      </w:pPr>
      <w:r w:rsidRPr="007E629E">
        <w:rPr>
          <w:sz w:val="24"/>
          <w:szCs w:val="24"/>
        </w:rPr>
        <w:t xml:space="preserve">Hos patienter, som behandles med </w:t>
      </w:r>
      <w:proofErr w:type="spellStart"/>
      <w:r w:rsidRPr="007E629E">
        <w:rPr>
          <w:sz w:val="24"/>
          <w:szCs w:val="24"/>
        </w:rPr>
        <w:t>antiarytmika</w:t>
      </w:r>
      <w:proofErr w:type="spellEnd"/>
      <w:r w:rsidRPr="007E629E">
        <w:rPr>
          <w:sz w:val="24"/>
          <w:szCs w:val="24"/>
        </w:rPr>
        <w:t xml:space="preserve">, kan der ske akkumulering af bivirkninger efter anvendelse af </w:t>
      </w:r>
      <w:proofErr w:type="spellStart"/>
      <w:r w:rsidRPr="007E629E">
        <w:rPr>
          <w:sz w:val="24"/>
          <w:szCs w:val="24"/>
        </w:rPr>
        <w:t>mepivacain</w:t>
      </w:r>
      <w:proofErr w:type="spellEnd"/>
      <w:r w:rsidRPr="007E629E">
        <w:rPr>
          <w:sz w:val="24"/>
          <w:szCs w:val="24"/>
        </w:rPr>
        <w:t xml:space="preserve"> på grund af den strukturelle lighed (såsom </w:t>
      </w:r>
      <w:proofErr w:type="gramStart"/>
      <w:r w:rsidRPr="007E629E">
        <w:rPr>
          <w:sz w:val="24"/>
          <w:szCs w:val="24"/>
        </w:rPr>
        <w:t>et klasse</w:t>
      </w:r>
      <w:proofErr w:type="gramEnd"/>
      <w:r w:rsidRPr="007E629E">
        <w:rPr>
          <w:sz w:val="24"/>
          <w:szCs w:val="24"/>
        </w:rPr>
        <w:t xml:space="preserve"> I-lægemiddel, dvs. </w:t>
      </w:r>
      <w:proofErr w:type="spellStart"/>
      <w:r w:rsidRPr="007E629E">
        <w:rPr>
          <w:sz w:val="24"/>
          <w:szCs w:val="24"/>
        </w:rPr>
        <w:t>lidocain</w:t>
      </w:r>
      <w:proofErr w:type="spellEnd"/>
      <w:r w:rsidRPr="007E629E">
        <w:rPr>
          <w:sz w:val="24"/>
          <w:szCs w:val="24"/>
        </w:rPr>
        <w:t>).</w:t>
      </w:r>
    </w:p>
    <w:p w14:paraId="6BBB850D" w14:textId="77777777" w:rsidR="00FC762F" w:rsidRPr="007E629E" w:rsidRDefault="00FC762F" w:rsidP="00B463FD">
      <w:pPr>
        <w:ind w:left="851"/>
        <w:rPr>
          <w:sz w:val="24"/>
          <w:szCs w:val="24"/>
        </w:rPr>
      </w:pPr>
    </w:p>
    <w:p w14:paraId="13EC4773" w14:textId="77777777" w:rsidR="00FC762F" w:rsidRPr="001C5528" w:rsidRDefault="00FC762F" w:rsidP="00B463FD">
      <w:pPr>
        <w:ind w:left="851"/>
        <w:rPr>
          <w:i/>
          <w:sz w:val="24"/>
          <w:szCs w:val="24"/>
          <w:lang w:eastAsia="en-GB"/>
        </w:rPr>
      </w:pPr>
      <w:r w:rsidRPr="001C5528">
        <w:rPr>
          <w:i/>
          <w:sz w:val="24"/>
          <w:szCs w:val="24"/>
          <w:u w:val="single"/>
        </w:rPr>
        <w:t xml:space="preserve">CYP1A2-hæmmere </w:t>
      </w:r>
    </w:p>
    <w:p w14:paraId="6A7DC6D7" w14:textId="77777777" w:rsidR="00FC762F" w:rsidRPr="007E629E" w:rsidRDefault="00FC762F" w:rsidP="00B463FD">
      <w:pPr>
        <w:ind w:left="851"/>
        <w:rPr>
          <w:sz w:val="24"/>
          <w:szCs w:val="24"/>
        </w:rPr>
      </w:pPr>
      <w:proofErr w:type="spellStart"/>
      <w:r w:rsidRPr="007E629E">
        <w:rPr>
          <w:sz w:val="24"/>
          <w:szCs w:val="24"/>
        </w:rPr>
        <w:t>Mepivacain</w:t>
      </w:r>
      <w:proofErr w:type="spellEnd"/>
      <w:r w:rsidRPr="007E629E">
        <w:rPr>
          <w:sz w:val="24"/>
          <w:szCs w:val="24"/>
        </w:rPr>
        <w:t xml:space="preserve"> </w:t>
      </w:r>
      <w:proofErr w:type="spellStart"/>
      <w:r w:rsidRPr="007E629E">
        <w:rPr>
          <w:sz w:val="24"/>
          <w:szCs w:val="24"/>
        </w:rPr>
        <w:t>metaboliseres</w:t>
      </w:r>
      <w:proofErr w:type="spellEnd"/>
      <w:r w:rsidRPr="007E629E">
        <w:rPr>
          <w:sz w:val="24"/>
          <w:szCs w:val="24"/>
        </w:rPr>
        <w:t xml:space="preserve"> primært af CYP1A2-enzymet. </w:t>
      </w:r>
      <w:proofErr w:type="spellStart"/>
      <w:r w:rsidRPr="007E629E">
        <w:rPr>
          <w:sz w:val="24"/>
          <w:szCs w:val="24"/>
        </w:rPr>
        <w:t>Hæmmere</w:t>
      </w:r>
      <w:proofErr w:type="spellEnd"/>
      <w:r w:rsidRPr="007E629E">
        <w:rPr>
          <w:sz w:val="24"/>
          <w:szCs w:val="24"/>
        </w:rPr>
        <w:t xml:space="preserve"> af dette </w:t>
      </w:r>
      <w:proofErr w:type="spellStart"/>
      <w:r w:rsidRPr="007E629E">
        <w:rPr>
          <w:sz w:val="24"/>
          <w:szCs w:val="24"/>
        </w:rPr>
        <w:t>cytokrom</w:t>
      </w:r>
      <w:proofErr w:type="spellEnd"/>
      <w:r w:rsidRPr="007E629E">
        <w:rPr>
          <w:sz w:val="24"/>
          <w:szCs w:val="24"/>
        </w:rPr>
        <w:t xml:space="preserve"> (f.eks. </w:t>
      </w:r>
      <w:proofErr w:type="spellStart"/>
      <w:r w:rsidRPr="007E629E">
        <w:rPr>
          <w:sz w:val="24"/>
          <w:szCs w:val="24"/>
        </w:rPr>
        <w:t>ciprofloxacin</w:t>
      </w:r>
      <w:proofErr w:type="spellEnd"/>
      <w:r w:rsidRPr="007E629E">
        <w:rPr>
          <w:sz w:val="24"/>
          <w:szCs w:val="24"/>
        </w:rPr>
        <w:t xml:space="preserve">, </w:t>
      </w:r>
      <w:proofErr w:type="spellStart"/>
      <w:r w:rsidRPr="007E629E">
        <w:rPr>
          <w:sz w:val="24"/>
          <w:szCs w:val="24"/>
        </w:rPr>
        <w:t>enoxacin</w:t>
      </w:r>
      <w:proofErr w:type="spellEnd"/>
      <w:r w:rsidRPr="007E629E">
        <w:rPr>
          <w:sz w:val="24"/>
          <w:szCs w:val="24"/>
        </w:rPr>
        <w:t xml:space="preserve">, </w:t>
      </w:r>
      <w:proofErr w:type="spellStart"/>
      <w:r w:rsidRPr="007E629E">
        <w:rPr>
          <w:sz w:val="24"/>
          <w:szCs w:val="24"/>
        </w:rPr>
        <w:t>fluvoxamin</w:t>
      </w:r>
      <w:proofErr w:type="spellEnd"/>
      <w:r w:rsidRPr="007E629E">
        <w:rPr>
          <w:sz w:val="24"/>
          <w:szCs w:val="24"/>
        </w:rPr>
        <w:t xml:space="preserve">) kan nedsætte dets </w:t>
      </w:r>
      <w:proofErr w:type="spellStart"/>
      <w:r w:rsidRPr="007E629E">
        <w:rPr>
          <w:sz w:val="24"/>
          <w:szCs w:val="24"/>
        </w:rPr>
        <w:t>metabolisering</w:t>
      </w:r>
      <w:proofErr w:type="spellEnd"/>
      <w:r w:rsidRPr="007E629E">
        <w:rPr>
          <w:sz w:val="24"/>
          <w:szCs w:val="24"/>
        </w:rPr>
        <w:t xml:space="preserve">, øge risikoen for bivirkninger og bidrage til længerevarende eller toksiske plasmaniveauer. Der er også rapporteret om øgede serumniveauer af </w:t>
      </w:r>
      <w:proofErr w:type="spellStart"/>
      <w:r w:rsidRPr="007E629E">
        <w:rPr>
          <w:sz w:val="24"/>
          <w:szCs w:val="24"/>
        </w:rPr>
        <w:t>anæstetika</w:t>
      </w:r>
      <w:proofErr w:type="spellEnd"/>
      <w:r w:rsidRPr="007E629E">
        <w:rPr>
          <w:sz w:val="24"/>
          <w:szCs w:val="24"/>
        </w:rPr>
        <w:t xml:space="preserve"> af amidtypen efter samtidig administration af </w:t>
      </w:r>
      <w:proofErr w:type="spellStart"/>
      <w:r w:rsidRPr="007E629E">
        <w:rPr>
          <w:sz w:val="24"/>
          <w:szCs w:val="24"/>
        </w:rPr>
        <w:t>cimetidin</w:t>
      </w:r>
      <w:proofErr w:type="spellEnd"/>
      <w:r w:rsidRPr="007E629E">
        <w:rPr>
          <w:sz w:val="24"/>
          <w:szCs w:val="24"/>
        </w:rPr>
        <w:t xml:space="preserve">, hvilket sandsynligvis skyldes </w:t>
      </w:r>
      <w:proofErr w:type="spellStart"/>
      <w:r w:rsidRPr="007E629E">
        <w:rPr>
          <w:sz w:val="24"/>
          <w:szCs w:val="24"/>
        </w:rPr>
        <w:t>cimetidins</w:t>
      </w:r>
      <w:proofErr w:type="spellEnd"/>
      <w:r w:rsidRPr="007E629E">
        <w:rPr>
          <w:sz w:val="24"/>
          <w:szCs w:val="24"/>
        </w:rPr>
        <w:t xml:space="preserve"> hæmmende virkning på CYP1A2. Det anbefales at udvise forsigtighed ved brug af dette præparat sammen med disse lægemidler, da svimmelhed kan vare længere (se pkt. 4.7.). </w:t>
      </w:r>
    </w:p>
    <w:p w14:paraId="76420B8E" w14:textId="77777777" w:rsidR="00FC762F" w:rsidRPr="007E629E" w:rsidRDefault="00FC762F" w:rsidP="00B463FD">
      <w:pPr>
        <w:ind w:left="851"/>
        <w:rPr>
          <w:sz w:val="24"/>
          <w:szCs w:val="24"/>
        </w:rPr>
      </w:pPr>
    </w:p>
    <w:p w14:paraId="5EC2448A" w14:textId="77777777" w:rsidR="00FC762F" w:rsidRPr="001C5528" w:rsidRDefault="00FC762F" w:rsidP="00B463FD">
      <w:pPr>
        <w:ind w:left="851"/>
        <w:rPr>
          <w:i/>
          <w:sz w:val="24"/>
          <w:szCs w:val="24"/>
          <w:lang w:eastAsia="en-GB"/>
        </w:rPr>
      </w:pPr>
      <w:r w:rsidRPr="001C5528">
        <w:rPr>
          <w:i/>
          <w:sz w:val="24"/>
          <w:szCs w:val="24"/>
          <w:u w:val="single"/>
        </w:rPr>
        <w:t xml:space="preserve">Propranolol </w:t>
      </w:r>
    </w:p>
    <w:p w14:paraId="5DCC4902" w14:textId="77777777" w:rsidR="00FC762F" w:rsidRPr="007E629E" w:rsidRDefault="00FC762F" w:rsidP="00B463FD">
      <w:pPr>
        <w:ind w:left="851"/>
        <w:rPr>
          <w:sz w:val="24"/>
          <w:szCs w:val="24"/>
        </w:rPr>
      </w:pPr>
      <w:proofErr w:type="spellStart"/>
      <w:r w:rsidRPr="007E629E">
        <w:rPr>
          <w:sz w:val="24"/>
          <w:szCs w:val="24"/>
        </w:rPr>
        <w:t>Mepivacains</w:t>
      </w:r>
      <w:proofErr w:type="spellEnd"/>
      <w:r w:rsidRPr="007E629E">
        <w:rPr>
          <w:sz w:val="24"/>
          <w:szCs w:val="24"/>
        </w:rPr>
        <w:t xml:space="preserve"> </w:t>
      </w:r>
      <w:proofErr w:type="spellStart"/>
      <w:r w:rsidRPr="007E629E">
        <w:rPr>
          <w:sz w:val="24"/>
          <w:szCs w:val="24"/>
        </w:rPr>
        <w:t>clearance</w:t>
      </w:r>
      <w:proofErr w:type="spellEnd"/>
      <w:r w:rsidRPr="007E629E">
        <w:rPr>
          <w:sz w:val="24"/>
          <w:szCs w:val="24"/>
        </w:rPr>
        <w:t xml:space="preserve"> kan blive reduceret, hvis det administreres med </w:t>
      </w:r>
      <w:proofErr w:type="spellStart"/>
      <w:r w:rsidRPr="007E629E">
        <w:rPr>
          <w:sz w:val="24"/>
          <w:szCs w:val="24"/>
        </w:rPr>
        <w:t>propranolol</w:t>
      </w:r>
      <w:proofErr w:type="spellEnd"/>
      <w:r w:rsidRPr="007E629E">
        <w:rPr>
          <w:sz w:val="24"/>
          <w:szCs w:val="24"/>
        </w:rPr>
        <w:t xml:space="preserve">, og det kan resultere i højere serumkoncentrationer af det anæstetiske lægemiddel. Der bør udvises forsigtighed, hvis </w:t>
      </w:r>
      <w:proofErr w:type="spellStart"/>
      <w:r w:rsidRPr="007E629E">
        <w:rPr>
          <w:sz w:val="24"/>
          <w:szCs w:val="24"/>
        </w:rPr>
        <w:t>mepivacain</w:t>
      </w:r>
      <w:proofErr w:type="spellEnd"/>
      <w:r w:rsidRPr="007E629E">
        <w:rPr>
          <w:sz w:val="24"/>
          <w:szCs w:val="24"/>
        </w:rPr>
        <w:t xml:space="preserve"> administreres samtidigt med </w:t>
      </w:r>
      <w:proofErr w:type="spellStart"/>
      <w:r w:rsidRPr="007E629E">
        <w:rPr>
          <w:sz w:val="24"/>
          <w:szCs w:val="24"/>
        </w:rPr>
        <w:t>propanolol</w:t>
      </w:r>
      <w:proofErr w:type="spellEnd"/>
      <w:r w:rsidRPr="007E629E">
        <w:rPr>
          <w:sz w:val="24"/>
          <w:szCs w:val="24"/>
        </w:rPr>
        <w:t>.</w:t>
      </w:r>
    </w:p>
    <w:p w14:paraId="08C819F5" w14:textId="77777777" w:rsidR="009260DE" w:rsidRPr="007E629E" w:rsidRDefault="009260DE" w:rsidP="009260DE">
      <w:pPr>
        <w:tabs>
          <w:tab w:val="left" w:pos="851"/>
        </w:tabs>
        <w:ind w:left="851"/>
        <w:rPr>
          <w:sz w:val="24"/>
          <w:szCs w:val="24"/>
        </w:rPr>
      </w:pPr>
    </w:p>
    <w:p w14:paraId="7F987669" w14:textId="69C0509A" w:rsidR="009260DE" w:rsidRPr="007E629E" w:rsidRDefault="009260DE" w:rsidP="009260DE">
      <w:pPr>
        <w:tabs>
          <w:tab w:val="left" w:pos="851"/>
        </w:tabs>
        <w:ind w:left="851" w:hanging="851"/>
        <w:rPr>
          <w:b/>
          <w:sz w:val="24"/>
          <w:szCs w:val="24"/>
        </w:rPr>
      </w:pPr>
      <w:r w:rsidRPr="007E629E">
        <w:rPr>
          <w:b/>
          <w:sz w:val="24"/>
          <w:szCs w:val="24"/>
        </w:rPr>
        <w:t>4.6</w:t>
      </w:r>
      <w:r w:rsidRPr="007E629E">
        <w:rPr>
          <w:b/>
          <w:sz w:val="24"/>
          <w:szCs w:val="24"/>
        </w:rPr>
        <w:tab/>
      </w:r>
      <w:r w:rsidR="00B60B88">
        <w:rPr>
          <w:b/>
          <w:sz w:val="24"/>
          <w:szCs w:val="24"/>
        </w:rPr>
        <w:t>Fertilitet, g</w:t>
      </w:r>
      <w:r w:rsidRPr="007E629E">
        <w:rPr>
          <w:b/>
          <w:sz w:val="24"/>
          <w:szCs w:val="24"/>
        </w:rPr>
        <w:t>raviditet og amning</w:t>
      </w:r>
    </w:p>
    <w:p w14:paraId="5A88F954" w14:textId="77777777" w:rsidR="001C5528" w:rsidRDefault="001C5528" w:rsidP="00B463FD">
      <w:pPr>
        <w:ind w:left="851"/>
        <w:rPr>
          <w:sz w:val="24"/>
          <w:szCs w:val="24"/>
        </w:rPr>
      </w:pPr>
    </w:p>
    <w:p w14:paraId="68340075" w14:textId="3E3035B3" w:rsidR="00FC762F" w:rsidRPr="001C5528" w:rsidRDefault="00FC762F" w:rsidP="00B463FD">
      <w:pPr>
        <w:ind w:left="851"/>
        <w:rPr>
          <w:sz w:val="24"/>
          <w:szCs w:val="24"/>
          <w:u w:val="single"/>
          <w:lang w:eastAsia="en-GB"/>
        </w:rPr>
      </w:pPr>
      <w:r w:rsidRPr="001C5528">
        <w:rPr>
          <w:sz w:val="24"/>
          <w:szCs w:val="24"/>
          <w:u w:val="single"/>
        </w:rPr>
        <w:t xml:space="preserve">Fertilitet </w:t>
      </w:r>
    </w:p>
    <w:p w14:paraId="2E026B8F" w14:textId="77777777" w:rsidR="00FC762F" w:rsidRPr="007E629E" w:rsidRDefault="00FC762F" w:rsidP="00B463FD">
      <w:pPr>
        <w:ind w:left="851"/>
        <w:rPr>
          <w:sz w:val="24"/>
          <w:szCs w:val="24"/>
        </w:rPr>
      </w:pPr>
      <w:r w:rsidRPr="007E629E">
        <w:rPr>
          <w:sz w:val="24"/>
          <w:szCs w:val="24"/>
        </w:rPr>
        <w:t xml:space="preserve">Der findes ingen relevante data om </w:t>
      </w:r>
      <w:proofErr w:type="spellStart"/>
      <w:r w:rsidRPr="007E629E">
        <w:rPr>
          <w:sz w:val="24"/>
          <w:szCs w:val="24"/>
        </w:rPr>
        <w:t>mepivacains</w:t>
      </w:r>
      <w:proofErr w:type="spellEnd"/>
      <w:r w:rsidRPr="007E629E">
        <w:rPr>
          <w:sz w:val="24"/>
          <w:szCs w:val="24"/>
        </w:rPr>
        <w:t xml:space="preserve"> eventuelle toksiske virkning på fertiliteten hos dyr. Der findes til dato ingen data for mennesker.</w:t>
      </w:r>
    </w:p>
    <w:p w14:paraId="2DE52BBC" w14:textId="77777777" w:rsidR="00FC762F" w:rsidRPr="007E629E" w:rsidRDefault="00FC762F" w:rsidP="00B463FD">
      <w:pPr>
        <w:ind w:left="851"/>
        <w:rPr>
          <w:sz w:val="24"/>
          <w:szCs w:val="24"/>
        </w:rPr>
      </w:pPr>
    </w:p>
    <w:p w14:paraId="4BCB9C85" w14:textId="77777777" w:rsidR="00FC762F" w:rsidRPr="001C5528" w:rsidRDefault="00FC762F" w:rsidP="00B463FD">
      <w:pPr>
        <w:ind w:left="851"/>
        <w:rPr>
          <w:sz w:val="24"/>
          <w:szCs w:val="24"/>
          <w:u w:val="single"/>
          <w:lang w:eastAsia="en-GB"/>
        </w:rPr>
      </w:pPr>
      <w:r w:rsidRPr="001C5528">
        <w:rPr>
          <w:sz w:val="24"/>
          <w:szCs w:val="24"/>
          <w:u w:val="single"/>
        </w:rPr>
        <w:t xml:space="preserve">Graviditet </w:t>
      </w:r>
    </w:p>
    <w:p w14:paraId="5D407042" w14:textId="77777777" w:rsidR="00FC762F" w:rsidRPr="007E629E" w:rsidRDefault="00FC762F" w:rsidP="00B463FD">
      <w:pPr>
        <w:ind w:left="851"/>
        <w:rPr>
          <w:sz w:val="24"/>
          <w:szCs w:val="24"/>
        </w:rPr>
      </w:pPr>
      <w:r w:rsidRPr="007E629E">
        <w:rPr>
          <w:sz w:val="24"/>
          <w:szCs w:val="24"/>
        </w:rPr>
        <w:t xml:space="preserve">Der er ikke udført kliniske studier hos gravide, og der er ingen oplysninger fra litteraturen om tilfælde hvor gravide kvinder er blevet injiceret med </w:t>
      </w:r>
      <w:proofErr w:type="spellStart"/>
      <w:r w:rsidRPr="007E629E">
        <w:rPr>
          <w:sz w:val="24"/>
          <w:szCs w:val="24"/>
        </w:rPr>
        <w:t>mepivacain</w:t>
      </w:r>
      <w:proofErr w:type="spellEnd"/>
      <w:r w:rsidRPr="007E629E">
        <w:rPr>
          <w:sz w:val="24"/>
          <w:szCs w:val="24"/>
        </w:rPr>
        <w:t xml:space="preserve"> 30 mg/ml. Dyreforsøg indikerer hverken direkte eller indirekte skadelige virkninger hvad angår reproduktionstoksicitet. For en sikkerheds skyld bør </w:t>
      </w:r>
      <w:proofErr w:type="spellStart"/>
      <w:r w:rsidRPr="007E629E">
        <w:rPr>
          <w:sz w:val="24"/>
          <w:szCs w:val="24"/>
        </w:rPr>
        <w:t>mepivacain</w:t>
      </w:r>
      <w:proofErr w:type="spellEnd"/>
      <w:r w:rsidRPr="007E629E">
        <w:rPr>
          <w:sz w:val="24"/>
          <w:szCs w:val="24"/>
        </w:rPr>
        <w:t xml:space="preserve"> derfor undgås under graviditeten, medmindre det er nødvendigt.</w:t>
      </w:r>
    </w:p>
    <w:p w14:paraId="0C1F7AEE" w14:textId="77777777" w:rsidR="00FC762F" w:rsidRPr="007E629E" w:rsidRDefault="00FC762F" w:rsidP="00B463FD">
      <w:pPr>
        <w:ind w:left="851"/>
        <w:rPr>
          <w:sz w:val="24"/>
          <w:szCs w:val="24"/>
        </w:rPr>
      </w:pPr>
    </w:p>
    <w:p w14:paraId="2EBBC5F8" w14:textId="77777777" w:rsidR="00FC762F" w:rsidRPr="001C5528" w:rsidRDefault="00FC762F" w:rsidP="00B463FD">
      <w:pPr>
        <w:ind w:left="851"/>
        <w:rPr>
          <w:sz w:val="24"/>
          <w:szCs w:val="24"/>
          <w:u w:val="single"/>
          <w:lang w:eastAsia="en-GB"/>
        </w:rPr>
      </w:pPr>
      <w:r w:rsidRPr="001C5528">
        <w:rPr>
          <w:sz w:val="24"/>
          <w:szCs w:val="24"/>
          <w:u w:val="single"/>
        </w:rPr>
        <w:t xml:space="preserve">Amning </w:t>
      </w:r>
    </w:p>
    <w:p w14:paraId="74A675D6" w14:textId="77777777" w:rsidR="00FC762F" w:rsidRPr="007E629E" w:rsidRDefault="00FC762F" w:rsidP="00B463FD">
      <w:pPr>
        <w:ind w:left="851"/>
        <w:rPr>
          <w:sz w:val="24"/>
          <w:szCs w:val="24"/>
        </w:rPr>
      </w:pPr>
      <w:r w:rsidRPr="007E629E">
        <w:rPr>
          <w:sz w:val="24"/>
          <w:szCs w:val="24"/>
        </w:rPr>
        <w:t xml:space="preserve">Der indgik ikke ammende mødre i de kliniske studier med </w:t>
      </w:r>
      <w:proofErr w:type="spellStart"/>
      <w:r w:rsidRPr="007E629E">
        <w:rPr>
          <w:sz w:val="24"/>
          <w:szCs w:val="24"/>
        </w:rPr>
        <w:t>mepivacain</w:t>
      </w:r>
      <w:proofErr w:type="spellEnd"/>
      <w:r w:rsidRPr="007E629E">
        <w:rPr>
          <w:sz w:val="24"/>
          <w:szCs w:val="24"/>
        </w:rPr>
        <w:t xml:space="preserve">. I betragtning af de manglende data for </w:t>
      </w:r>
      <w:proofErr w:type="spellStart"/>
      <w:r w:rsidRPr="007E629E">
        <w:rPr>
          <w:sz w:val="24"/>
          <w:szCs w:val="24"/>
        </w:rPr>
        <w:t>mepivacain</w:t>
      </w:r>
      <w:proofErr w:type="spellEnd"/>
      <w:r w:rsidRPr="007E629E">
        <w:rPr>
          <w:sz w:val="24"/>
          <w:szCs w:val="24"/>
        </w:rPr>
        <w:t xml:space="preserve"> kan det dog ikke udelukkes, at der er en risiko for nyfødte/spædbørn. Ammende mødre rådes derfor til ikke at amme inden 10 timer efter anæstesi med </w:t>
      </w:r>
      <w:proofErr w:type="spellStart"/>
      <w:r w:rsidRPr="007E629E">
        <w:rPr>
          <w:sz w:val="24"/>
          <w:szCs w:val="24"/>
        </w:rPr>
        <w:t>mepivacain</w:t>
      </w:r>
      <w:proofErr w:type="spellEnd"/>
      <w:r w:rsidRPr="007E629E">
        <w:rPr>
          <w:sz w:val="24"/>
          <w:szCs w:val="24"/>
        </w:rPr>
        <w:t>.</w:t>
      </w:r>
    </w:p>
    <w:p w14:paraId="7F2B66C0" w14:textId="4B1809CF" w:rsidR="001D738A" w:rsidRDefault="001D738A">
      <w:pPr>
        <w:rPr>
          <w:sz w:val="24"/>
          <w:szCs w:val="24"/>
        </w:rPr>
      </w:pPr>
      <w:r>
        <w:rPr>
          <w:sz w:val="24"/>
          <w:szCs w:val="24"/>
        </w:rPr>
        <w:br w:type="page"/>
      </w:r>
    </w:p>
    <w:p w14:paraId="743D2409" w14:textId="77777777" w:rsidR="009260DE" w:rsidRPr="007E629E" w:rsidRDefault="009260DE" w:rsidP="009260DE">
      <w:pPr>
        <w:tabs>
          <w:tab w:val="left" w:pos="851"/>
        </w:tabs>
        <w:ind w:left="851"/>
        <w:rPr>
          <w:sz w:val="24"/>
          <w:szCs w:val="24"/>
        </w:rPr>
      </w:pPr>
    </w:p>
    <w:p w14:paraId="3F11C857" w14:textId="06EE3BA3" w:rsidR="009260DE" w:rsidRPr="007E629E" w:rsidRDefault="009260DE" w:rsidP="009260DE">
      <w:pPr>
        <w:tabs>
          <w:tab w:val="left" w:pos="851"/>
        </w:tabs>
        <w:ind w:left="851" w:hanging="851"/>
        <w:rPr>
          <w:b/>
          <w:sz w:val="24"/>
          <w:szCs w:val="24"/>
        </w:rPr>
      </w:pPr>
      <w:r w:rsidRPr="007E629E">
        <w:rPr>
          <w:b/>
          <w:sz w:val="24"/>
          <w:szCs w:val="24"/>
        </w:rPr>
        <w:t>4.7</w:t>
      </w:r>
      <w:r w:rsidRPr="007E629E">
        <w:rPr>
          <w:b/>
          <w:sz w:val="24"/>
          <w:szCs w:val="24"/>
        </w:rPr>
        <w:tab/>
        <w:t xml:space="preserve">Virkning på evnen til at føre motorkøretøj </w:t>
      </w:r>
      <w:r w:rsidR="00B60B88">
        <w:rPr>
          <w:b/>
          <w:sz w:val="24"/>
          <w:szCs w:val="24"/>
        </w:rPr>
        <w:t>og</w:t>
      </w:r>
      <w:r w:rsidRPr="007E629E">
        <w:rPr>
          <w:b/>
          <w:sz w:val="24"/>
          <w:szCs w:val="24"/>
        </w:rPr>
        <w:t xml:space="preserve"> betjene maskiner</w:t>
      </w:r>
    </w:p>
    <w:p w14:paraId="1A4CFF87" w14:textId="77777777" w:rsidR="00FC762F" w:rsidRPr="007E629E" w:rsidRDefault="00FC762F" w:rsidP="00B463FD">
      <w:pPr>
        <w:ind w:left="851"/>
        <w:rPr>
          <w:sz w:val="24"/>
          <w:szCs w:val="24"/>
        </w:rPr>
      </w:pPr>
      <w:r w:rsidRPr="007E629E">
        <w:rPr>
          <w:sz w:val="24"/>
          <w:szCs w:val="24"/>
        </w:rPr>
        <w:t>Ikke mærkning.</w:t>
      </w:r>
    </w:p>
    <w:p w14:paraId="16F3AED2" w14:textId="77777777" w:rsidR="00FC762F" w:rsidRPr="007E629E" w:rsidRDefault="00FC762F" w:rsidP="00B463FD">
      <w:pPr>
        <w:ind w:left="851"/>
        <w:rPr>
          <w:sz w:val="24"/>
          <w:szCs w:val="24"/>
          <w:lang w:eastAsia="en-GB"/>
        </w:rPr>
      </w:pPr>
      <w:proofErr w:type="spellStart"/>
      <w:r w:rsidRPr="007E629E">
        <w:rPr>
          <w:sz w:val="24"/>
          <w:szCs w:val="24"/>
        </w:rPr>
        <w:t>Mepivacain</w:t>
      </w:r>
      <w:proofErr w:type="spellEnd"/>
      <w:r w:rsidRPr="007E629E">
        <w:rPr>
          <w:sz w:val="24"/>
          <w:szCs w:val="24"/>
        </w:rPr>
        <w:t xml:space="preserve"> kan i mindre grad påvirke evnen til at føre motorkøretøj og betjene maskiner. Der kan opstå svimmelhed (herunder </w:t>
      </w:r>
      <w:proofErr w:type="spellStart"/>
      <w:r w:rsidRPr="007E629E">
        <w:rPr>
          <w:sz w:val="24"/>
          <w:szCs w:val="24"/>
        </w:rPr>
        <w:t>vertigo</w:t>
      </w:r>
      <w:proofErr w:type="spellEnd"/>
      <w:r w:rsidRPr="007E629E">
        <w:rPr>
          <w:sz w:val="24"/>
          <w:szCs w:val="24"/>
        </w:rPr>
        <w:t xml:space="preserve">, synsforstyrrelser og træthed) efter administration af </w:t>
      </w:r>
      <w:proofErr w:type="spellStart"/>
      <w:r w:rsidRPr="007E629E">
        <w:rPr>
          <w:sz w:val="24"/>
          <w:szCs w:val="24"/>
        </w:rPr>
        <w:t>mepivacain</w:t>
      </w:r>
      <w:proofErr w:type="spellEnd"/>
      <w:r w:rsidRPr="007E629E">
        <w:rPr>
          <w:sz w:val="24"/>
          <w:szCs w:val="24"/>
        </w:rPr>
        <w:t xml:space="preserve"> (se pkt. 4.8). Patienter bør derfor ikke forlade tandlægens klinik, før de har genvundet deres evner (normalt inden for 30 minutter) efter indgrebet.</w:t>
      </w:r>
    </w:p>
    <w:p w14:paraId="26B8FE67" w14:textId="77777777" w:rsidR="009260DE" w:rsidRPr="007E629E" w:rsidRDefault="009260DE" w:rsidP="009260DE">
      <w:pPr>
        <w:tabs>
          <w:tab w:val="left" w:pos="851"/>
        </w:tabs>
        <w:ind w:left="851"/>
        <w:rPr>
          <w:sz w:val="24"/>
          <w:szCs w:val="24"/>
        </w:rPr>
      </w:pPr>
    </w:p>
    <w:p w14:paraId="22046FF0" w14:textId="77777777" w:rsidR="009260DE" w:rsidRPr="007E629E" w:rsidRDefault="009260DE" w:rsidP="009260DE">
      <w:pPr>
        <w:tabs>
          <w:tab w:val="left" w:pos="851"/>
        </w:tabs>
        <w:ind w:left="851" w:hanging="851"/>
        <w:rPr>
          <w:b/>
          <w:sz w:val="24"/>
          <w:szCs w:val="24"/>
        </w:rPr>
      </w:pPr>
      <w:r w:rsidRPr="007E629E">
        <w:rPr>
          <w:b/>
          <w:sz w:val="24"/>
          <w:szCs w:val="24"/>
        </w:rPr>
        <w:t>4.8</w:t>
      </w:r>
      <w:r w:rsidRPr="007E629E">
        <w:rPr>
          <w:b/>
          <w:sz w:val="24"/>
          <w:szCs w:val="24"/>
        </w:rPr>
        <w:tab/>
        <w:t>Bivirkninger</w:t>
      </w:r>
    </w:p>
    <w:p w14:paraId="39AB7F73" w14:textId="77777777" w:rsidR="001C5528" w:rsidRDefault="001C5528" w:rsidP="00B463FD">
      <w:pPr>
        <w:ind w:left="851"/>
        <w:rPr>
          <w:sz w:val="24"/>
          <w:szCs w:val="24"/>
        </w:rPr>
      </w:pPr>
    </w:p>
    <w:p w14:paraId="13D5C8D3" w14:textId="53D1FB88" w:rsidR="00FC762F" w:rsidRPr="001C5528" w:rsidRDefault="00FC762F" w:rsidP="00B463FD">
      <w:pPr>
        <w:ind w:left="851"/>
        <w:rPr>
          <w:sz w:val="24"/>
          <w:szCs w:val="24"/>
          <w:u w:val="single"/>
          <w:lang w:eastAsia="en-GB"/>
        </w:rPr>
      </w:pPr>
      <w:r w:rsidRPr="001C5528">
        <w:rPr>
          <w:sz w:val="24"/>
          <w:szCs w:val="24"/>
          <w:u w:val="single"/>
        </w:rPr>
        <w:t xml:space="preserve">Oversigt over sikkerhedsprofilen </w:t>
      </w:r>
    </w:p>
    <w:p w14:paraId="0B86054C" w14:textId="77777777" w:rsidR="00FC762F" w:rsidRPr="007E629E" w:rsidRDefault="00FC762F" w:rsidP="00B463FD">
      <w:pPr>
        <w:ind w:left="851"/>
        <w:rPr>
          <w:sz w:val="24"/>
          <w:szCs w:val="24"/>
        </w:rPr>
      </w:pPr>
      <w:r w:rsidRPr="007E629E">
        <w:rPr>
          <w:sz w:val="24"/>
          <w:szCs w:val="24"/>
        </w:rPr>
        <w:t xml:space="preserve">Bivirkninger efter administration af </w:t>
      </w:r>
      <w:proofErr w:type="spellStart"/>
      <w:r w:rsidRPr="007E629E">
        <w:rPr>
          <w:sz w:val="24"/>
          <w:szCs w:val="24"/>
        </w:rPr>
        <w:t>Mepidental</w:t>
      </w:r>
      <w:proofErr w:type="spellEnd"/>
      <w:r w:rsidRPr="007E629E">
        <w:rPr>
          <w:sz w:val="24"/>
          <w:szCs w:val="24"/>
        </w:rPr>
        <w:t xml:space="preserve"> svarer til de bivirkninger, der observeres med andre </w:t>
      </w:r>
      <w:proofErr w:type="spellStart"/>
      <w:r w:rsidRPr="007E629E">
        <w:rPr>
          <w:sz w:val="24"/>
          <w:szCs w:val="24"/>
        </w:rPr>
        <w:t>anæstetika</w:t>
      </w:r>
      <w:proofErr w:type="spellEnd"/>
      <w:r w:rsidRPr="007E629E">
        <w:rPr>
          <w:sz w:val="24"/>
          <w:szCs w:val="24"/>
        </w:rPr>
        <w:t xml:space="preserve"> af amidtypen. Disse bivirkninger er generelt dosisrelaterede og kan være forårsaget af høje plasmaniveauer grundet overdosis, hurtig absorption eller utilsigtet </w:t>
      </w:r>
      <w:proofErr w:type="spellStart"/>
      <w:r w:rsidRPr="007E629E">
        <w:rPr>
          <w:sz w:val="24"/>
          <w:szCs w:val="24"/>
        </w:rPr>
        <w:t>intravaskulær</w:t>
      </w:r>
      <w:proofErr w:type="spellEnd"/>
      <w:r w:rsidRPr="007E629E">
        <w:rPr>
          <w:sz w:val="24"/>
          <w:szCs w:val="24"/>
        </w:rPr>
        <w:t xml:space="preserve"> injektion. De kan også skyldes overfølsomhed, idiosynkrasi eller nedsat tolerans hos patienten. </w:t>
      </w:r>
    </w:p>
    <w:p w14:paraId="2F85E264" w14:textId="77777777" w:rsidR="00FC762F" w:rsidRPr="007E629E" w:rsidRDefault="00FC762F" w:rsidP="00B463FD">
      <w:pPr>
        <w:ind w:left="851"/>
        <w:rPr>
          <w:sz w:val="24"/>
          <w:szCs w:val="24"/>
        </w:rPr>
      </w:pPr>
      <w:r w:rsidRPr="007E629E">
        <w:rPr>
          <w:sz w:val="24"/>
          <w:szCs w:val="24"/>
        </w:rPr>
        <w:t>Alvorlige bivirkninger er generelt systemiske.</w:t>
      </w:r>
    </w:p>
    <w:p w14:paraId="3E4AEF7E" w14:textId="77777777" w:rsidR="00FC762F" w:rsidRPr="007E629E" w:rsidRDefault="00FC762F" w:rsidP="00B463FD">
      <w:pPr>
        <w:ind w:left="851"/>
        <w:rPr>
          <w:sz w:val="24"/>
          <w:szCs w:val="24"/>
        </w:rPr>
      </w:pPr>
    </w:p>
    <w:p w14:paraId="5BD29475" w14:textId="77777777" w:rsidR="00FC762F" w:rsidRPr="001C5528" w:rsidRDefault="00FC762F" w:rsidP="00B463FD">
      <w:pPr>
        <w:ind w:left="851"/>
        <w:rPr>
          <w:sz w:val="24"/>
          <w:szCs w:val="24"/>
          <w:u w:val="single"/>
          <w:lang w:eastAsia="en-GB"/>
        </w:rPr>
      </w:pPr>
      <w:r w:rsidRPr="001C5528">
        <w:rPr>
          <w:sz w:val="24"/>
          <w:szCs w:val="24"/>
          <w:u w:val="single"/>
        </w:rPr>
        <w:t xml:space="preserve">Tabel over bivirkninger </w:t>
      </w:r>
    </w:p>
    <w:p w14:paraId="3896249F" w14:textId="77777777" w:rsidR="00FC762F" w:rsidRPr="007E629E" w:rsidRDefault="00FC762F" w:rsidP="00B463FD">
      <w:pPr>
        <w:ind w:left="851"/>
        <w:rPr>
          <w:sz w:val="24"/>
          <w:szCs w:val="24"/>
        </w:rPr>
      </w:pPr>
      <w:r w:rsidRPr="007E629E">
        <w:rPr>
          <w:sz w:val="24"/>
          <w:szCs w:val="24"/>
        </w:rPr>
        <w:t xml:space="preserve">De indberettede bivirkninger stammer fra spontane indberetninger og litteraturen. </w:t>
      </w:r>
    </w:p>
    <w:p w14:paraId="7307B29D" w14:textId="77777777" w:rsidR="00FC762F" w:rsidRPr="007E629E" w:rsidRDefault="00FC762F" w:rsidP="00B463FD">
      <w:pPr>
        <w:ind w:left="851"/>
        <w:rPr>
          <w:sz w:val="24"/>
          <w:szCs w:val="24"/>
        </w:rPr>
      </w:pPr>
      <w:r w:rsidRPr="007E629E">
        <w:rPr>
          <w:sz w:val="24"/>
          <w:szCs w:val="24"/>
        </w:rPr>
        <w:t xml:space="preserve">Klassificeringen af hyppighed følger konventionen: Meget almindelig (≥1/10), almindelig (≥ 1/100 til &lt; 1/10), ikke almindelig (≥ 1/1.000 til &lt; 1/100), sjælden (≥ 1/10.000 til &lt; 1/1.000) og meget sjælden (&lt; 1/10.000). </w:t>
      </w:r>
    </w:p>
    <w:p w14:paraId="095C1C7C" w14:textId="77777777" w:rsidR="00FC762F" w:rsidRPr="007E629E" w:rsidRDefault="00FC762F" w:rsidP="00B463FD">
      <w:pPr>
        <w:ind w:left="851"/>
        <w:rPr>
          <w:sz w:val="24"/>
          <w:szCs w:val="24"/>
        </w:rPr>
      </w:pPr>
      <w:r w:rsidRPr="007E629E">
        <w:rPr>
          <w:sz w:val="24"/>
          <w:szCs w:val="24"/>
        </w:rPr>
        <w:t>Hyppighed «ikke kendt»: «ikke kendt (kan ikke estimeres ud fra forhåndenværende data)».</w:t>
      </w:r>
    </w:p>
    <w:p w14:paraId="5AE96ACB" w14:textId="77777777" w:rsidR="00FC762F" w:rsidRPr="007E629E" w:rsidRDefault="00FC762F" w:rsidP="00FC762F">
      <w:pPr>
        <w:tabs>
          <w:tab w:val="left" w:pos="567"/>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350"/>
        <w:gridCol w:w="5069"/>
      </w:tblGrid>
      <w:tr w:rsidR="00FC762F" w:rsidRPr="007E629E" w14:paraId="01A3235F" w14:textId="77777777" w:rsidTr="004174ED">
        <w:tc>
          <w:tcPr>
            <w:tcW w:w="1731" w:type="pct"/>
            <w:tcBorders>
              <w:top w:val="single" w:sz="4" w:space="0" w:color="auto"/>
              <w:left w:val="single" w:sz="4" w:space="0" w:color="auto"/>
              <w:bottom w:val="single" w:sz="4" w:space="0" w:color="auto"/>
              <w:right w:val="single" w:sz="4" w:space="0" w:color="auto"/>
            </w:tcBorders>
          </w:tcPr>
          <w:p w14:paraId="47B2E568" w14:textId="77777777" w:rsidR="00FC762F" w:rsidRPr="007E629E" w:rsidRDefault="00FC762F">
            <w:pPr>
              <w:pStyle w:val="Default"/>
              <w:jc w:val="both"/>
            </w:pPr>
            <w:proofErr w:type="spellStart"/>
            <w:r w:rsidRPr="007E629E">
              <w:rPr>
                <w:b/>
              </w:rPr>
              <w:t>MedDRA</w:t>
            </w:r>
            <w:proofErr w:type="spellEnd"/>
            <w:r w:rsidRPr="007E629E">
              <w:rPr>
                <w:b/>
              </w:rPr>
              <w:t xml:space="preserve"> systemorganklasse </w:t>
            </w:r>
          </w:p>
          <w:p w14:paraId="3517A3B1" w14:textId="77777777" w:rsidR="00FC762F" w:rsidRPr="007E629E" w:rsidRDefault="00FC762F">
            <w:pPr>
              <w:tabs>
                <w:tab w:val="left" w:pos="567"/>
              </w:tabs>
              <w:jc w:val="both"/>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66EFA021" w14:textId="77777777" w:rsidR="00FC762F" w:rsidRPr="007E629E" w:rsidRDefault="00FC762F">
            <w:pPr>
              <w:pStyle w:val="Default"/>
              <w:jc w:val="both"/>
            </w:pPr>
            <w:r w:rsidRPr="007E629E">
              <w:rPr>
                <w:b/>
              </w:rPr>
              <w:t xml:space="preserve">Hyppighed </w:t>
            </w:r>
          </w:p>
          <w:p w14:paraId="11DF023C" w14:textId="77777777" w:rsidR="00FC762F" w:rsidRPr="007E629E" w:rsidRDefault="00FC762F">
            <w:pPr>
              <w:tabs>
                <w:tab w:val="left" w:pos="567"/>
              </w:tabs>
              <w:jc w:val="both"/>
              <w:rPr>
                <w:b/>
                <w:sz w:val="24"/>
                <w:szCs w:val="24"/>
                <w:lang w:val="es-ES"/>
              </w:rPr>
            </w:pPr>
          </w:p>
        </w:tc>
        <w:tc>
          <w:tcPr>
            <w:tcW w:w="2585" w:type="pct"/>
            <w:tcBorders>
              <w:top w:val="single" w:sz="4" w:space="0" w:color="auto"/>
              <w:left w:val="single" w:sz="4" w:space="0" w:color="auto"/>
              <w:bottom w:val="single" w:sz="4" w:space="0" w:color="auto"/>
              <w:right w:val="single" w:sz="4" w:space="0" w:color="auto"/>
            </w:tcBorders>
          </w:tcPr>
          <w:p w14:paraId="33656F05" w14:textId="77777777" w:rsidR="00FC762F" w:rsidRPr="007E629E" w:rsidRDefault="00FC762F">
            <w:pPr>
              <w:pStyle w:val="Default"/>
            </w:pPr>
            <w:r w:rsidRPr="007E629E">
              <w:rPr>
                <w:b/>
              </w:rPr>
              <w:t xml:space="preserve">Bivirkninger </w:t>
            </w:r>
          </w:p>
          <w:p w14:paraId="5560E7A2" w14:textId="77777777" w:rsidR="00FC762F" w:rsidRPr="007E629E" w:rsidRDefault="00FC762F">
            <w:pPr>
              <w:tabs>
                <w:tab w:val="left" w:pos="567"/>
              </w:tabs>
              <w:rPr>
                <w:b/>
                <w:sz w:val="24"/>
                <w:szCs w:val="24"/>
                <w:lang w:val="es-ES"/>
              </w:rPr>
            </w:pPr>
          </w:p>
        </w:tc>
      </w:tr>
      <w:tr w:rsidR="00FC762F" w:rsidRPr="007E629E" w14:paraId="0474509D" w14:textId="77777777" w:rsidTr="004174ED">
        <w:tc>
          <w:tcPr>
            <w:tcW w:w="1731" w:type="pct"/>
            <w:tcBorders>
              <w:top w:val="single" w:sz="4" w:space="0" w:color="auto"/>
              <w:left w:val="single" w:sz="4" w:space="0" w:color="auto"/>
              <w:bottom w:val="single" w:sz="4" w:space="0" w:color="auto"/>
              <w:right w:val="single" w:sz="4" w:space="0" w:color="auto"/>
            </w:tcBorders>
          </w:tcPr>
          <w:p w14:paraId="4B741D4C" w14:textId="03453FF7" w:rsidR="00FC762F" w:rsidRPr="007E629E" w:rsidRDefault="00FC762F" w:rsidP="001C5528">
            <w:pPr>
              <w:pStyle w:val="Default"/>
              <w:jc w:val="both"/>
              <w:rPr>
                <w:b/>
                <w:lang w:val="es-ES"/>
              </w:rPr>
            </w:pPr>
            <w:r w:rsidRPr="007E629E">
              <w:rPr>
                <w:b/>
              </w:rPr>
              <w:t xml:space="preserve">Immunsystemet </w:t>
            </w:r>
          </w:p>
        </w:tc>
        <w:tc>
          <w:tcPr>
            <w:tcW w:w="684" w:type="pct"/>
            <w:tcBorders>
              <w:top w:val="single" w:sz="4" w:space="0" w:color="auto"/>
              <w:left w:val="single" w:sz="4" w:space="0" w:color="auto"/>
              <w:bottom w:val="single" w:sz="4" w:space="0" w:color="auto"/>
              <w:right w:val="single" w:sz="4" w:space="0" w:color="auto"/>
            </w:tcBorders>
          </w:tcPr>
          <w:p w14:paraId="2706B605" w14:textId="12B38A66" w:rsidR="00FC762F" w:rsidRPr="007E629E" w:rsidRDefault="00FC762F" w:rsidP="001C5528">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4781A393" w14:textId="77777777" w:rsidR="00FC762F" w:rsidRPr="007E629E" w:rsidRDefault="00FC762F">
            <w:pPr>
              <w:pStyle w:val="Default"/>
            </w:pPr>
            <w:r w:rsidRPr="007E629E">
              <w:t xml:space="preserve">Overfølsomhed </w:t>
            </w:r>
          </w:p>
          <w:p w14:paraId="536D1C5D" w14:textId="77777777" w:rsidR="00FC762F" w:rsidRPr="007E629E" w:rsidRDefault="00FC762F">
            <w:pPr>
              <w:pStyle w:val="Default"/>
            </w:pPr>
            <w:proofErr w:type="spellStart"/>
            <w:r w:rsidRPr="007E629E">
              <w:t>Anafylaktiske</w:t>
            </w:r>
            <w:proofErr w:type="spellEnd"/>
            <w:r w:rsidRPr="007E629E">
              <w:t>/</w:t>
            </w:r>
            <w:proofErr w:type="spellStart"/>
            <w:r w:rsidRPr="007E629E">
              <w:t>anafylaktoide</w:t>
            </w:r>
            <w:proofErr w:type="spellEnd"/>
            <w:r w:rsidRPr="007E629E">
              <w:t xml:space="preserve"> reaktioner </w:t>
            </w:r>
          </w:p>
          <w:p w14:paraId="1BE5ED16" w14:textId="77777777" w:rsidR="00FC762F" w:rsidRPr="007E629E" w:rsidRDefault="00FC762F">
            <w:pPr>
              <w:pStyle w:val="Default"/>
            </w:pPr>
            <w:proofErr w:type="spellStart"/>
            <w:r w:rsidRPr="007E629E">
              <w:t>Angioødem</w:t>
            </w:r>
            <w:proofErr w:type="spellEnd"/>
            <w:r w:rsidRPr="007E629E">
              <w:t xml:space="preserve"> (ansigt/tunge/læbe/svælg/strubehoved</w:t>
            </w:r>
            <w:r w:rsidRPr="007E629E">
              <w:rPr>
                <w:vertAlign w:val="superscript"/>
              </w:rPr>
              <w:t>1</w:t>
            </w:r>
            <w:r w:rsidRPr="007E629E">
              <w:t>/</w:t>
            </w:r>
            <w:proofErr w:type="spellStart"/>
            <w:r w:rsidRPr="007E629E">
              <w:t>periorbitalt</w:t>
            </w:r>
            <w:proofErr w:type="spellEnd"/>
            <w:r w:rsidRPr="007E629E">
              <w:t xml:space="preserve"> ødem) </w:t>
            </w:r>
          </w:p>
          <w:p w14:paraId="5EC51B8A" w14:textId="77777777" w:rsidR="00FC762F" w:rsidRPr="007E629E" w:rsidRDefault="00FC762F">
            <w:pPr>
              <w:pStyle w:val="Default"/>
              <w:rPr>
                <w:position w:val="8"/>
                <w:vertAlign w:val="superscript"/>
              </w:rPr>
            </w:pPr>
            <w:proofErr w:type="spellStart"/>
            <w:r w:rsidRPr="007E629E">
              <w:t>Bronkospasme</w:t>
            </w:r>
            <w:proofErr w:type="spellEnd"/>
            <w:r w:rsidRPr="007E629E">
              <w:t>/astma</w:t>
            </w:r>
            <w:r w:rsidRPr="007E629E">
              <w:rPr>
                <w:vertAlign w:val="superscript"/>
              </w:rPr>
              <w:t>2</w:t>
            </w:r>
          </w:p>
          <w:p w14:paraId="4ABE5FF7" w14:textId="77777777" w:rsidR="00FC762F" w:rsidRPr="007E629E" w:rsidRDefault="00FC762F">
            <w:pPr>
              <w:tabs>
                <w:tab w:val="left" w:pos="567"/>
              </w:tabs>
              <w:rPr>
                <w:sz w:val="24"/>
                <w:szCs w:val="24"/>
              </w:rPr>
            </w:pPr>
            <w:proofErr w:type="spellStart"/>
            <w:r w:rsidRPr="007E629E">
              <w:rPr>
                <w:sz w:val="24"/>
                <w:szCs w:val="24"/>
              </w:rPr>
              <w:t>Urticaria</w:t>
            </w:r>
            <w:proofErr w:type="spellEnd"/>
            <w:r w:rsidRPr="007E629E">
              <w:rPr>
                <w:sz w:val="24"/>
                <w:szCs w:val="24"/>
              </w:rPr>
              <w:t xml:space="preserve"> </w:t>
            </w:r>
          </w:p>
        </w:tc>
      </w:tr>
      <w:tr w:rsidR="00FC762F" w:rsidRPr="007E629E" w14:paraId="583E46C3" w14:textId="77777777" w:rsidTr="004174ED">
        <w:trPr>
          <w:trHeight w:val="420"/>
        </w:trPr>
        <w:tc>
          <w:tcPr>
            <w:tcW w:w="1731" w:type="pct"/>
            <w:tcBorders>
              <w:top w:val="single" w:sz="4" w:space="0" w:color="auto"/>
              <w:left w:val="single" w:sz="4" w:space="0" w:color="auto"/>
              <w:bottom w:val="single" w:sz="4" w:space="0" w:color="auto"/>
              <w:right w:val="single" w:sz="4" w:space="0" w:color="auto"/>
            </w:tcBorders>
          </w:tcPr>
          <w:p w14:paraId="66D80ECB" w14:textId="0CD13038" w:rsidR="00FC762F" w:rsidRPr="007E629E" w:rsidRDefault="00FC762F" w:rsidP="001C5528">
            <w:pPr>
              <w:pStyle w:val="Default"/>
              <w:jc w:val="both"/>
              <w:rPr>
                <w:b/>
                <w:lang w:val="es-ES"/>
              </w:rPr>
            </w:pPr>
            <w:r w:rsidRPr="007E629E">
              <w:rPr>
                <w:b/>
              </w:rPr>
              <w:t xml:space="preserve">Psykiske forstyrrelser </w:t>
            </w:r>
          </w:p>
        </w:tc>
        <w:tc>
          <w:tcPr>
            <w:tcW w:w="684" w:type="pct"/>
            <w:tcBorders>
              <w:top w:val="single" w:sz="4" w:space="0" w:color="auto"/>
              <w:left w:val="single" w:sz="4" w:space="0" w:color="auto"/>
              <w:bottom w:val="single" w:sz="4" w:space="0" w:color="auto"/>
              <w:right w:val="single" w:sz="4" w:space="0" w:color="auto"/>
            </w:tcBorders>
          </w:tcPr>
          <w:p w14:paraId="09BC7344" w14:textId="77777777" w:rsidR="00FC762F" w:rsidRPr="007E629E" w:rsidRDefault="00FC762F">
            <w:pPr>
              <w:pStyle w:val="Default"/>
              <w:jc w:val="both"/>
            </w:pPr>
            <w:r w:rsidRPr="007E629E">
              <w:t xml:space="preserve">Ikke kendt </w:t>
            </w:r>
          </w:p>
          <w:p w14:paraId="1D9EB24D" w14:textId="77777777" w:rsidR="00FC762F" w:rsidRPr="007E629E" w:rsidRDefault="00FC762F">
            <w:pPr>
              <w:tabs>
                <w:tab w:val="left" w:pos="567"/>
              </w:tabs>
              <w:jc w:val="both"/>
              <w:rPr>
                <w:sz w:val="24"/>
                <w:szCs w:val="24"/>
                <w:lang w:val="es-ES"/>
              </w:rPr>
            </w:pPr>
          </w:p>
        </w:tc>
        <w:tc>
          <w:tcPr>
            <w:tcW w:w="2585" w:type="pct"/>
            <w:tcBorders>
              <w:top w:val="single" w:sz="4" w:space="0" w:color="auto"/>
              <w:left w:val="single" w:sz="4" w:space="0" w:color="auto"/>
              <w:bottom w:val="single" w:sz="4" w:space="0" w:color="auto"/>
              <w:right w:val="single" w:sz="4" w:space="0" w:color="auto"/>
            </w:tcBorders>
            <w:hideMark/>
          </w:tcPr>
          <w:p w14:paraId="6C2AE918" w14:textId="77777777" w:rsidR="00FC762F" w:rsidRPr="007E629E" w:rsidRDefault="00FC762F">
            <w:pPr>
              <w:pStyle w:val="Default"/>
            </w:pPr>
            <w:r w:rsidRPr="007E629E">
              <w:t xml:space="preserve">Euforisk stemning </w:t>
            </w:r>
          </w:p>
          <w:p w14:paraId="453D359B" w14:textId="77777777" w:rsidR="00FC762F" w:rsidRPr="007E629E" w:rsidRDefault="00FC762F">
            <w:pPr>
              <w:tabs>
                <w:tab w:val="left" w:pos="567"/>
              </w:tabs>
              <w:rPr>
                <w:sz w:val="24"/>
                <w:szCs w:val="24"/>
              </w:rPr>
            </w:pPr>
            <w:r w:rsidRPr="007E629E">
              <w:rPr>
                <w:sz w:val="24"/>
                <w:szCs w:val="24"/>
              </w:rPr>
              <w:t>Angst/nervøsitet</w:t>
            </w:r>
            <w:r w:rsidRPr="007E629E">
              <w:rPr>
                <w:sz w:val="24"/>
                <w:szCs w:val="24"/>
                <w:vertAlign w:val="superscript"/>
              </w:rPr>
              <w:t>3</w:t>
            </w:r>
          </w:p>
        </w:tc>
      </w:tr>
      <w:tr w:rsidR="00FC762F" w:rsidRPr="007E629E" w14:paraId="24461B4E" w14:textId="77777777" w:rsidTr="004174ED">
        <w:trPr>
          <w:trHeight w:val="200"/>
        </w:trPr>
        <w:tc>
          <w:tcPr>
            <w:tcW w:w="1731" w:type="pct"/>
            <w:vMerge w:val="restart"/>
            <w:tcBorders>
              <w:top w:val="single" w:sz="4" w:space="0" w:color="auto"/>
              <w:left w:val="single" w:sz="4" w:space="0" w:color="auto"/>
              <w:bottom w:val="single" w:sz="4" w:space="0" w:color="auto"/>
              <w:right w:val="single" w:sz="4" w:space="0" w:color="auto"/>
            </w:tcBorders>
          </w:tcPr>
          <w:p w14:paraId="342D0AB4" w14:textId="5033918F" w:rsidR="00FC762F" w:rsidRPr="007E629E" w:rsidRDefault="00FC762F" w:rsidP="001C5528">
            <w:pPr>
              <w:pStyle w:val="Default"/>
              <w:jc w:val="both"/>
              <w:rPr>
                <w:lang w:val="es-ES"/>
              </w:rPr>
            </w:pPr>
            <w:r w:rsidRPr="007E629E">
              <w:rPr>
                <w:b/>
              </w:rPr>
              <w:t xml:space="preserve">Nervesystemet </w:t>
            </w:r>
          </w:p>
          <w:p w14:paraId="3F006E69" w14:textId="77777777" w:rsidR="00FC762F" w:rsidRPr="007E629E" w:rsidRDefault="00FC762F">
            <w:pPr>
              <w:tabs>
                <w:tab w:val="left" w:pos="567"/>
              </w:tabs>
              <w:jc w:val="both"/>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hideMark/>
          </w:tcPr>
          <w:p w14:paraId="0E9895E1" w14:textId="77777777" w:rsidR="00FC762F" w:rsidRPr="007E629E" w:rsidRDefault="00FC762F">
            <w:pPr>
              <w:pStyle w:val="Default"/>
              <w:jc w:val="both"/>
            </w:pPr>
            <w:r w:rsidRPr="007E629E">
              <w:t xml:space="preserve">Almindelig </w:t>
            </w:r>
          </w:p>
        </w:tc>
        <w:tc>
          <w:tcPr>
            <w:tcW w:w="2585" w:type="pct"/>
            <w:tcBorders>
              <w:top w:val="single" w:sz="4" w:space="0" w:color="auto"/>
              <w:left w:val="single" w:sz="4" w:space="0" w:color="auto"/>
              <w:bottom w:val="single" w:sz="4" w:space="0" w:color="auto"/>
              <w:right w:val="single" w:sz="4" w:space="0" w:color="auto"/>
            </w:tcBorders>
            <w:hideMark/>
          </w:tcPr>
          <w:p w14:paraId="0EBA8327" w14:textId="77777777" w:rsidR="00FC762F" w:rsidRPr="007E629E" w:rsidRDefault="00FC762F">
            <w:pPr>
              <w:pStyle w:val="Default"/>
            </w:pPr>
            <w:r w:rsidRPr="007E629E">
              <w:t xml:space="preserve">Hovedpine </w:t>
            </w:r>
          </w:p>
        </w:tc>
      </w:tr>
      <w:tr w:rsidR="00FC762F" w:rsidRPr="007E629E" w14:paraId="53ECECB7" w14:textId="77777777" w:rsidTr="004174ED">
        <w:tc>
          <w:tcPr>
            <w:tcW w:w="1731" w:type="pct"/>
            <w:vMerge/>
            <w:tcBorders>
              <w:top w:val="single" w:sz="4" w:space="0" w:color="auto"/>
              <w:left w:val="single" w:sz="4" w:space="0" w:color="auto"/>
              <w:bottom w:val="single" w:sz="4" w:space="0" w:color="auto"/>
              <w:right w:val="single" w:sz="4" w:space="0" w:color="auto"/>
            </w:tcBorders>
            <w:vAlign w:val="center"/>
            <w:hideMark/>
          </w:tcPr>
          <w:p w14:paraId="3092324A"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5D651CF3" w14:textId="65640426" w:rsidR="00FC762F" w:rsidRPr="007E629E" w:rsidRDefault="00FC762F" w:rsidP="001C5528">
            <w:pPr>
              <w:pStyle w:val="Default"/>
              <w:jc w:val="both"/>
              <w:rPr>
                <w:b/>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tcPr>
          <w:p w14:paraId="0B148866" w14:textId="111CCF3F" w:rsidR="00FC762F" w:rsidRPr="007E629E" w:rsidRDefault="00FC762F">
            <w:pPr>
              <w:pStyle w:val="Default"/>
            </w:pPr>
            <w:r w:rsidRPr="007E629E">
              <w:t>Neuropati</w:t>
            </w:r>
            <w:r w:rsidRPr="007E629E">
              <w:rPr>
                <w:vertAlign w:val="superscript"/>
              </w:rPr>
              <w:t>4</w:t>
            </w:r>
            <w:r w:rsidRPr="007E629E">
              <w:t xml:space="preserve">: </w:t>
            </w:r>
          </w:p>
          <w:p w14:paraId="2DC156AC" w14:textId="77777777" w:rsidR="00FC762F" w:rsidRPr="007E629E" w:rsidRDefault="00FC762F">
            <w:pPr>
              <w:pStyle w:val="Default"/>
            </w:pPr>
            <w:r w:rsidRPr="007E629E">
              <w:t xml:space="preserve">Neuralgi (neuropatisk smerte) </w:t>
            </w:r>
          </w:p>
          <w:p w14:paraId="6D26BF00" w14:textId="77777777" w:rsidR="00FC762F" w:rsidRPr="007E629E" w:rsidRDefault="00FC762F">
            <w:pPr>
              <w:pStyle w:val="Default"/>
            </w:pPr>
            <w:proofErr w:type="spellStart"/>
            <w:r w:rsidRPr="007E629E">
              <w:t>Paræstesi</w:t>
            </w:r>
            <w:proofErr w:type="spellEnd"/>
            <w:r w:rsidRPr="007E629E">
              <w:t xml:space="preserve"> (dvs. </w:t>
            </w:r>
            <w:proofErr w:type="spellStart"/>
            <w:r w:rsidRPr="007E629E">
              <w:t>brænden</w:t>
            </w:r>
            <w:proofErr w:type="spellEnd"/>
            <w:r w:rsidRPr="007E629E">
              <w:t xml:space="preserve">, prikken, kløen, stikken, lokal følelse af varme eller kulde, uden tilsyneladende fysisk årsag) af orale og periorale strukturer </w:t>
            </w:r>
          </w:p>
          <w:p w14:paraId="027A5DE3" w14:textId="77777777" w:rsidR="00FC762F" w:rsidRPr="007E629E" w:rsidRDefault="00FC762F">
            <w:pPr>
              <w:pStyle w:val="Default"/>
            </w:pPr>
            <w:proofErr w:type="spellStart"/>
            <w:r w:rsidRPr="007E629E">
              <w:t>Hypoæstesi</w:t>
            </w:r>
            <w:proofErr w:type="spellEnd"/>
            <w:r w:rsidRPr="007E629E">
              <w:t xml:space="preserve">/følelsesløshed (oral og perioral) </w:t>
            </w:r>
          </w:p>
          <w:p w14:paraId="2B707CBF" w14:textId="77777777" w:rsidR="00FC762F" w:rsidRPr="007E629E" w:rsidRDefault="00FC762F">
            <w:pPr>
              <w:pStyle w:val="Default"/>
            </w:pPr>
            <w:proofErr w:type="spellStart"/>
            <w:r w:rsidRPr="007E629E">
              <w:t>Dysæstesi</w:t>
            </w:r>
            <w:proofErr w:type="spellEnd"/>
            <w:r w:rsidRPr="007E629E">
              <w:t xml:space="preserve"> (oral og perioral), herunder </w:t>
            </w:r>
            <w:proofErr w:type="spellStart"/>
            <w:r w:rsidRPr="007E629E">
              <w:t>dysgeusi</w:t>
            </w:r>
            <w:proofErr w:type="spellEnd"/>
            <w:r w:rsidRPr="007E629E">
              <w:t xml:space="preserve"> (f.eks. metallisk smag, smagsforstyrrelse), </w:t>
            </w:r>
            <w:proofErr w:type="spellStart"/>
            <w:r w:rsidRPr="007E629E">
              <w:t>ageusi</w:t>
            </w:r>
            <w:proofErr w:type="spellEnd"/>
            <w:r w:rsidRPr="007E629E">
              <w:t xml:space="preserve"> </w:t>
            </w:r>
          </w:p>
          <w:p w14:paraId="156E7678" w14:textId="77777777" w:rsidR="00FC762F" w:rsidRPr="007E629E" w:rsidRDefault="00FC762F">
            <w:pPr>
              <w:pStyle w:val="Default"/>
            </w:pPr>
            <w:r w:rsidRPr="007E629E">
              <w:t>Svimmelhed (</w:t>
            </w:r>
            <w:proofErr w:type="spellStart"/>
            <w:r w:rsidRPr="007E629E">
              <w:t>ørhed</w:t>
            </w:r>
            <w:proofErr w:type="spellEnd"/>
            <w:r w:rsidRPr="007E629E">
              <w:t xml:space="preserve">) </w:t>
            </w:r>
          </w:p>
          <w:p w14:paraId="49C3A439" w14:textId="77777777" w:rsidR="00FC762F" w:rsidRPr="007E629E" w:rsidRDefault="00FC762F">
            <w:pPr>
              <w:tabs>
                <w:tab w:val="left" w:pos="567"/>
              </w:tabs>
              <w:rPr>
                <w:sz w:val="24"/>
                <w:szCs w:val="24"/>
              </w:rPr>
            </w:pPr>
            <w:r w:rsidRPr="007E629E">
              <w:rPr>
                <w:sz w:val="24"/>
                <w:szCs w:val="24"/>
              </w:rPr>
              <w:t>Tremor</w:t>
            </w:r>
            <w:r w:rsidRPr="007E629E">
              <w:rPr>
                <w:sz w:val="24"/>
                <w:szCs w:val="24"/>
                <w:vertAlign w:val="superscript"/>
              </w:rPr>
              <w:t>3</w:t>
            </w:r>
          </w:p>
          <w:p w14:paraId="717FF53F" w14:textId="77777777" w:rsidR="00FC762F" w:rsidRPr="007E629E" w:rsidRDefault="00FC762F">
            <w:pPr>
              <w:tabs>
                <w:tab w:val="left" w:pos="567"/>
              </w:tabs>
              <w:rPr>
                <w:sz w:val="24"/>
                <w:szCs w:val="24"/>
              </w:rPr>
            </w:pPr>
          </w:p>
          <w:p w14:paraId="54F06A38" w14:textId="77777777" w:rsidR="00FC762F" w:rsidRPr="007E629E" w:rsidRDefault="00FC762F">
            <w:pPr>
              <w:pStyle w:val="Default"/>
            </w:pPr>
            <w:r w:rsidRPr="007E629E">
              <w:t xml:space="preserve">Dyb CNS-undertrykkelse: </w:t>
            </w:r>
          </w:p>
          <w:p w14:paraId="2627DBC2" w14:textId="77777777" w:rsidR="00FC762F" w:rsidRPr="007E629E" w:rsidRDefault="00FC762F">
            <w:pPr>
              <w:pStyle w:val="Default"/>
            </w:pPr>
            <w:r w:rsidRPr="007E629E">
              <w:t xml:space="preserve">Bevidstløshed </w:t>
            </w:r>
          </w:p>
          <w:p w14:paraId="62266D27" w14:textId="77777777" w:rsidR="00FC762F" w:rsidRPr="007E629E" w:rsidRDefault="00FC762F">
            <w:pPr>
              <w:pStyle w:val="Default"/>
            </w:pPr>
            <w:r w:rsidRPr="007E629E">
              <w:lastRenderedPageBreak/>
              <w:t xml:space="preserve">Koma </w:t>
            </w:r>
          </w:p>
          <w:p w14:paraId="77365C8A" w14:textId="77777777" w:rsidR="00FC762F" w:rsidRPr="007E629E" w:rsidRDefault="00FC762F">
            <w:pPr>
              <w:tabs>
                <w:tab w:val="left" w:pos="567"/>
              </w:tabs>
              <w:rPr>
                <w:sz w:val="24"/>
                <w:szCs w:val="24"/>
              </w:rPr>
            </w:pPr>
            <w:r w:rsidRPr="007E629E">
              <w:rPr>
                <w:sz w:val="24"/>
                <w:szCs w:val="24"/>
              </w:rPr>
              <w:t xml:space="preserve">Kramper (herunder tonisk-kloniske krampeanfald) </w:t>
            </w:r>
          </w:p>
          <w:p w14:paraId="7B88FF22" w14:textId="77777777" w:rsidR="00FC762F" w:rsidRPr="007E629E" w:rsidRDefault="00FC762F">
            <w:pPr>
              <w:tabs>
                <w:tab w:val="left" w:pos="567"/>
              </w:tabs>
              <w:rPr>
                <w:sz w:val="24"/>
                <w:szCs w:val="24"/>
              </w:rPr>
            </w:pPr>
          </w:p>
          <w:p w14:paraId="51B0B5DC" w14:textId="77777777" w:rsidR="00FC762F" w:rsidRPr="007E629E" w:rsidRDefault="00FC762F">
            <w:pPr>
              <w:pStyle w:val="Default"/>
            </w:pPr>
            <w:r w:rsidRPr="007E629E">
              <w:t xml:space="preserve">Præsynkope og synkope </w:t>
            </w:r>
          </w:p>
          <w:p w14:paraId="033D922A" w14:textId="77777777" w:rsidR="00FC762F" w:rsidRPr="007E629E" w:rsidRDefault="00FC762F">
            <w:pPr>
              <w:pStyle w:val="Default"/>
            </w:pPr>
            <w:r w:rsidRPr="007E629E">
              <w:t xml:space="preserve">Forvirret tilstand desorientering </w:t>
            </w:r>
          </w:p>
          <w:p w14:paraId="6C1D158B" w14:textId="77777777" w:rsidR="00FC762F" w:rsidRPr="007E629E" w:rsidRDefault="00FC762F">
            <w:pPr>
              <w:pStyle w:val="Default"/>
            </w:pPr>
            <w:r w:rsidRPr="007E629E">
              <w:t>Taleforstyrrelse</w:t>
            </w:r>
            <w:r w:rsidRPr="007E629E">
              <w:rPr>
                <w:vertAlign w:val="superscript"/>
              </w:rPr>
              <w:t xml:space="preserve">3 </w:t>
            </w:r>
            <w:r w:rsidRPr="007E629E">
              <w:t xml:space="preserve">(f.eks. </w:t>
            </w:r>
            <w:proofErr w:type="spellStart"/>
            <w:r w:rsidRPr="007E629E">
              <w:t>dysartri</w:t>
            </w:r>
            <w:proofErr w:type="spellEnd"/>
            <w:r w:rsidRPr="007E629E">
              <w:t xml:space="preserve"> og </w:t>
            </w:r>
            <w:proofErr w:type="spellStart"/>
            <w:r w:rsidRPr="007E629E">
              <w:t>logorré</w:t>
            </w:r>
            <w:proofErr w:type="spellEnd"/>
            <w:r w:rsidRPr="007E629E">
              <w:t xml:space="preserve">) </w:t>
            </w:r>
          </w:p>
          <w:p w14:paraId="32D06FDC" w14:textId="77777777" w:rsidR="00FC762F" w:rsidRPr="007E629E" w:rsidRDefault="00FC762F">
            <w:pPr>
              <w:tabs>
                <w:tab w:val="left" w:pos="567"/>
              </w:tabs>
              <w:rPr>
                <w:position w:val="8"/>
                <w:sz w:val="24"/>
                <w:szCs w:val="24"/>
                <w:vertAlign w:val="superscript"/>
              </w:rPr>
            </w:pPr>
            <w:r w:rsidRPr="007E629E">
              <w:rPr>
                <w:sz w:val="24"/>
                <w:szCs w:val="24"/>
              </w:rPr>
              <w:t>Rastløshed/agitation</w:t>
            </w:r>
            <w:r w:rsidRPr="007E629E">
              <w:rPr>
                <w:sz w:val="24"/>
                <w:szCs w:val="24"/>
                <w:vertAlign w:val="superscript"/>
              </w:rPr>
              <w:t>3</w:t>
            </w:r>
          </w:p>
          <w:p w14:paraId="016006CB" w14:textId="77777777" w:rsidR="00FC762F" w:rsidRPr="007E629E" w:rsidRDefault="00FC762F">
            <w:pPr>
              <w:pStyle w:val="Default"/>
            </w:pPr>
            <w:r w:rsidRPr="007E629E">
              <w:t xml:space="preserve">Balanceforstyrrelse (uligevægt) </w:t>
            </w:r>
          </w:p>
          <w:p w14:paraId="5BF1523E" w14:textId="77777777" w:rsidR="00FC762F" w:rsidRPr="007E629E" w:rsidRDefault="00FC762F">
            <w:pPr>
              <w:tabs>
                <w:tab w:val="left" w:pos="567"/>
              </w:tabs>
              <w:rPr>
                <w:sz w:val="24"/>
                <w:szCs w:val="24"/>
              </w:rPr>
            </w:pPr>
            <w:proofErr w:type="spellStart"/>
            <w:r w:rsidRPr="007E629E">
              <w:rPr>
                <w:sz w:val="24"/>
                <w:szCs w:val="24"/>
              </w:rPr>
              <w:t>Somnolens</w:t>
            </w:r>
            <w:proofErr w:type="spellEnd"/>
            <w:r w:rsidRPr="007E629E">
              <w:rPr>
                <w:sz w:val="24"/>
                <w:szCs w:val="24"/>
              </w:rPr>
              <w:t xml:space="preserve">  </w:t>
            </w:r>
          </w:p>
        </w:tc>
      </w:tr>
      <w:tr w:rsidR="00FC762F" w:rsidRPr="007E629E" w14:paraId="1193C088" w14:textId="77777777" w:rsidTr="004174ED">
        <w:trPr>
          <w:trHeight w:val="163"/>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434205C4"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hideMark/>
          </w:tcPr>
          <w:p w14:paraId="56E40F83" w14:textId="77777777" w:rsidR="00FC762F" w:rsidRPr="007E629E" w:rsidRDefault="00FC762F">
            <w:pPr>
              <w:pStyle w:val="Default"/>
              <w:jc w:val="both"/>
            </w:pPr>
            <w:r w:rsidRPr="007E629E">
              <w:t>Ikke kendt</w:t>
            </w:r>
          </w:p>
        </w:tc>
        <w:tc>
          <w:tcPr>
            <w:tcW w:w="2585" w:type="pct"/>
            <w:tcBorders>
              <w:top w:val="single" w:sz="4" w:space="0" w:color="auto"/>
              <w:left w:val="single" w:sz="4" w:space="0" w:color="auto"/>
              <w:bottom w:val="single" w:sz="4" w:space="0" w:color="auto"/>
              <w:right w:val="single" w:sz="4" w:space="0" w:color="auto"/>
            </w:tcBorders>
            <w:hideMark/>
          </w:tcPr>
          <w:p w14:paraId="0633F03B" w14:textId="77777777" w:rsidR="00FC762F" w:rsidRPr="007E629E" w:rsidRDefault="00FC762F">
            <w:pPr>
              <w:pStyle w:val="Default"/>
            </w:pPr>
            <w:r w:rsidRPr="007E629E">
              <w:t xml:space="preserve">Nystagmus </w:t>
            </w:r>
          </w:p>
        </w:tc>
      </w:tr>
      <w:tr w:rsidR="00FC762F" w:rsidRPr="007E629E" w14:paraId="256FEF83" w14:textId="77777777" w:rsidTr="004174ED">
        <w:trPr>
          <w:trHeight w:val="388"/>
        </w:trPr>
        <w:tc>
          <w:tcPr>
            <w:tcW w:w="1731" w:type="pct"/>
            <w:vMerge w:val="restart"/>
            <w:tcBorders>
              <w:top w:val="single" w:sz="4" w:space="0" w:color="auto"/>
              <w:left w:val="single" w:sz="4" w:space="0" w:color="auto"/>
              <w:bottom w:val="single" w:sz="4" w:space="0" w:color="auto"/>
              <w:right w:val="single" w:sz="4" w:space="0" w:color="auto"/>
            </w:tcBorders>
          </w:tcPr>
          <w:p w14:paraId="097C695D" w14:textId="46F90D1D" w:rsidR="00FC762F" w:rsidRPr="007E629E" w:rsidRDefault="00FC762F" w:rsidP="001C5528">
            <w:pPr>
              <w:pStyle w:val="Default"/>
              <w:jc w:val="both"/>
              <w:rPr>
                <w:b/>
                <w:lang w:val="es-ES"/>
              </w:rPr>
            </w:pPr>
            <w:r w:rsidRPr="007E629E">
              <w:rPr>
                <w:b/>
              </w:rPr>
              <w:t xml:space="preserve">Øjne </w:t>
            </w:r>
          </w:p>
        </w:tc>
        <w:tc>
          <w:tcPr>
            <w:tcW w:w="684" w:type="pct"/>
            <w:tcBorders>
              <w:top w:val="single" w:sz="4" w:space="0" w:color="auto"/>
              <w:left w:val="single" w:sz="4" w:space="0" w:color="auto"/>
              <w:bottom w:val="single" w:sz="4" w:space="0" w:color="auto"/>
              <w:right w:val="single" w:sz="4" w:space="0" w:color="auto"/>
            </w:tcBorders>
          </w:tcPr>
          <w:p w14:paraId="09B6CBB1" w14:textId="4900008B" w:rsidR="00FC762F" w:rsidRPr="007E629E" w:rsidRDefault="00FC762F" w:rsidP="001C5528">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44B100E6" w14:textId="77777777" w:rsidR="00FC762F" w:rsidRPr="007E629E" w:rsidRDefault="00FC762F">
            <w:pPr>
              <w:pStyle w:val="Default"/>
            </w:pPr>
            <w:r w:rsidRPr="007E629E">
              <w:t xml:space="preserve">Synsnedsættelse </w:t>
            </w:r>
          </w:p>
          <w:p w14:paraId="557C41F3" w14:textId="77777777" w:rsidR="00FC762F" w:rsidRPr="007E629E" w:rsidRDefault="00FC762F">
            <w:pPr>
              <w:pStyle w:val="Default"/>
            </w:pPr>
            <w:r w:rsidRPr="007E629E">
              <w:t xml:space="preserve">Sløret syn </w:t>
            </w:r>
          </w:p>
          <w:p w14:paraId="1AFADFFF" w14:textId="77777777" w:rsidR="00FC762F" w:rsidRPr="007E629E" w:rsidRDefault="00FC762F">
            <w:pPr>
              <w:tabs>
                <w:tab w:val="left" w:pos="567"/>
              </w:tabs>
              <w:rPr>
                <w:sz w:val="24"/>
                <w:szCs w:val="24"/>
              </w:rPr>
            </w:pPr>
            <w:r w:rsidRPr="007E629E">
              <w:rPr>
                <w:sz w:val="24"/>
                <w:szCs w:val="24"/>
              </w:rPr>
              <w:t xml:space="preserve">Akkommodationsforstyrrelser </w:t>
            </w:r>
          </w:p>
        </w:tc>
      </w:tr>
      <w:tr w:rsidR="00FC762F" w:rsidRPr="007E629E" w14:paraId="57B0BFE9" w14:textId="77777777" w:rsidTr="004174ED">
        <w:trPr>
          <w:trHeight w:val="388"/>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52443F11"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370C8BA8" w14:textId="5B78E441" w:rsidR="00FC762F" w:rsidRPr="007E629E" w:rsidRDefault="00FC762F" w:rsidP="001C5528">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hideMark/>
          </w:tcPr>
          <w:p w14:paraId="77567A2E" w14:textId="77777777" w:rsidR="00FC762F" w:rsidRPr="007E629E" w:rsidRDefault="00FC762F">
            <w:pPr>
              <w:pStyle w:val="Default"/>
            </w:pPr>
            <w:proofErr w:type="spellStart"/>
            <w:r w:rsidRPr="007E629E">
              <w:t>Horners</w:t>
            </w:r>
            <w:proofErr w:type="spellEnd"/>
            <w:r w:rsidRPr="007E629E">
              <w:t xml:space="preserve"> syndrom </w:t>
            </w:r>
          </w:p>
          <w:p w14:paraId="4B9A21DC" w14:textId="77777777" w:rsidR="00FC762F" w:rsidRPr="007E629E" w:rsidRDefault="00FC762F">
            <w:pPr>
              <w:pStyle w:val="Default"/>
            </w:pPr>
            <w:proofErr w:type="spellStart"/>
            <w:r w:rsidRPr="007E629E">
              <w:t>Øjenlågsptose</w:t>
            </w:r>
            <w:proofErr w:type="spellEnd"/>
            <w:r w:rsidRPr="007E629E">
              <w:t xml:space="preserve"> </w:t>
            </w:r>
          </w:p>
          <w:p w14:paraId="7311C52B" w14:textId="77777777" w:rsidR="00FC762F" w:rsidRPr="007E629E" w:rsidRDefault="00FC762F">
            <w:pPr>
              <w:pStyle w:val="Default"/>
            </w:pPr>
            <w:proofErr w:type="spellStart"/>
            <w:r w:rsidRPr="007E629E">
              <w:t>Enoftalmus</w:t>
            </w:r>
            <w:proofErr w:type="spellEnd"/>
            <w:r w:rsidRPr="007E629E">
              <w:t xml:space="preserve"> </w:t>
            </w:r>
          </w:p>
          <w:p w14:paraId="0BC5F112" w14:textId="77777777" w:rsidR="00FC762F" w:rsidRPr="007E629E" w:rsidRDefault="00FC762F">
            <w:pPr>
              <w:pStyle w:val="Default"/>
            </w:pPr>
            <w:proofErr w:type="spellStart"/>
            <w:r w:rsidRPr="007E629E">
              <w:t>Diplopi</w:t>
            </w:r>
            <w:proofErr w:type="spellEnd"/>
            <w:r w:rsidRPr="007E629E">
              <w:t xml:space="preserve"> (lammelse af </w:t>
            </w:r>
            <w:proofErr w:type="spellStart"/>
            <w:r w:rsidRPr="007E629E">
              <w:t>okulomotoriske</w:t>
            </w:r>
            <w:proofErr w:type="spellEnd"/>
            <w:r w:rsidRPr="007E629E">
              <w:t xml:space="preserve"> muskler) </w:t>
            </w:r>
          </w:p>
          <w:p w14:paraId="43BDE920" w14:textId="77777777" w:rsidR="00FC762F" w:rsidRPr="007E629E" w:rsidRDefault="00FC762F">
            <w:pPr>
              <w:pStyle w:val="Default"/>
            </w:pPr>
            <w:proofErr w:type="spellStart"/>
            <w:r w:rsidRPr="007E629E">
              <w:t>Amaurose</w:t>
            </w:r>
            <w:proofErr w:type="spellEnd"/>
            <w:r w:rsidRPr="007E629E">
              <w:t xml:space="preserve"> (blindhed) </w:t>
            </w:r>
          </w:p>
          <w:p w14:paraId="67A54332" w14:textId="77777777" w:rsidR="00FC762F" w:rsidRPr="007E629E" w:rsidRDefault="00FC762F">
            <w:pPr>
              <w:pStyle w:val="Default"/>
            </w:pPr>
            <w:proofErr w:type="spellStart"/>
            <w:r w:rsidRPr="007E629E">
              <w:t>Mydriasis</w:t>
            </w:r>
            <w:proofErr w:type="spellEnd"/>
            <w:r w:rsidRPr="007E629E">
              <w:t xml:space="preserve"> </w:t>
            </w:r>
          </w:p>
          <w:p w14:paraId="4A0FB572" w14:textId="77777777" w:rsidR="00FC762F" w:rsidRPr="007E629E" w:rsidRDefault="00FC762F">
            <w:pPr>
              <w:tabs>
                <w:tab w:val="left" w:pos="567"/>
              </w:tabs>
              <w:rPr>
                <w:sz w:val="24"/>
                <w:szCs w:val="24"/>
              </w:rPr>
            </w:pPr>
            <w:proofErr w:type="spellStart"/>
            <w:r w:rsidRPr="007E629E">
              <w:rPr>
                <w:sz w:val="24"/>
                <w:szCs w:val="24"/>
              </w:rPr>
              <w:t>Miosis</w:t>
            </w:r>
            <w:proofErr w:type="spellEnd"/>
            <w:r w:rsidRPr="007E629E">
              <w:rPr>
                <w:sz w:val="24"/>
                <w:szCs w:val="24"/>
              </w:rPr>
              <w:t xml:space="preserve"> </w:t>
            </w:r>
          </w:p>
        </w:tc>
      </w:tr>
      <w:tr w:rsidR="00FC762F" w:rsidRPr="007E629E" w14:paraId="360C5C80" w14:textId="77777777" w:rsidTr="004174ED">
        <w:trPr>
          <w:trHeight w:val="388"/>
        </w:trPr>
        <w:tc>
          <w:tcPr>
            <w:tcW w:w="1731" w:type="pct"/>
            <w:vMerge w:val="restart"/>
            <w:tcBorders>
              <w:top w:val="single" w:sz="4" w:space="0" w:color="auto"/>
              <w:left w:val="single" w:sz="4" w:space="0" w:color="auto"/>
              <w:bottom w:val="single" w:sz="4" w:space="0" w:color="auto"/>
              <w:right w:val="single" w:sz="4" w:space="0" w:color="auto"/>
            </w:tcBorders>
          </w:tcPr>
          <w:p w14:paraId="6EAA600E" w14:textId="7E09EFA2" w:rsidR="00FC762F" w:rsidRPr="007E629E" w:rsidRDefault="00FC762F" w:rsidP="001C5528">
            <w:pPr>
              <w:pStyle w:val="Default"/>
              <w:jc w:val="both"/>
              <w:rPr>
                <w:b/>
                <w:lang w:val="es-ES"/>
              </w:rPr>
            </w:pPr>
            <w:r w:rsidRPr="007E629E">
              <w:rPr>
                <w:b/>
              </w:rPr>
              <w:t xml:space="preserve">Øre og labyrint </w:t>
            </w:r>
          </w:p>
        </w:tc>
        <w:tc>
          <w:tcPr>
            <w:tcW w:w="684" w:type="pct"/>
            <w:tcBorders>
              <w:top w:val="single" w:sz="4" w:space="0" w:color="auto"/>
              <w:left w:val="single" w:sz="4" w:space="0" w:color="auto"/>
              <w:bottom w:val="single" w:sz="4" w:space="0" w:color="auto"/>
              <w:right w:val="single" w:sz="4" w:space="0" w:color="auto"/>
            </w:tcBorders>
            <w:hideMark/>
          </w:tcPr>
          <w:p w14:paraId="1933EF40" w14:textId="77777777" w:rsidR="00FC762F" w:rsidRPr="007E629E" w:rsidRDefault="00FC762F">
            <w:pPr>
              <w:pStyle w:val="Default"/>
              <w:jc w:val="both"/>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786E2EF5" w14:textId="77777777" w:rsidR="00FC762F" w:rsidRPr="007E629E" w:rsidRDefault="00FC762F">
            <w:pPr>
              <w:pStyle w:val="Default"/>
            </w:pPr>
            <w:proofErr w:type="spellStart"/>
            <w:r w:rsidRPr="007E629E">
              <w:t>Vertigo</w:t>
            </w:r>
            <w:proofErr w:type="spellEnd"/>
            <w:r w:rsidRPr="007E629E">
              <w:t xml:space="preserve"> </w:t>
            </w:r>
          </w:p>
        </w:tc>
      </w:tr>
      <w:tr w:rsidR="00FC762F" w:rsidRPr="007E629E" w14:paraId="5380DBE7" w14:textId="77777777" w:rsidTr="004174ED">
        <w:trPr>
          <w:trHeight w:val="388"/>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134558C5"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38F1E86B" w14:textId="47D97FD5" w:rsidR="00FC762F" w:rsidRPr="007E629E" w:rsidRDefault="00FC762F" w:rsidP="001C5528">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hideMark/>
          </w:tcPr>
          <w:p w14:paraId="336E2EAF" w14:textId="77777777" w:rsidR="00FC762F" w:rsidRPr="007E629E" w:rsidRDefault="00FC762F">
            <w:pPr>
              <w:pStyle w:val="Default"/>
            </w:pPr>
            <w:r w:rsidRPr="007E629E">
              <w:t xml:space="preserve">Ubehag i øret </w:t>
            </w:r>
          </w:p>
          <w:p w14:paraId="2501B2F0" w14:textId="77777777" w:rsidR="00FC762F" w:rsidRPr="007E629E" w:rsidRDefault="00FC762F">
            <w:pPr>
              <w:pStyle w:val="Default"/>
            </w:pPr>
            <w:r w:rsidRPr="007E629E">
              <w:t xml:space="preserve">Tinnitus </w:t>
            </w:r>
          </w:p>
          <w:p w14:paraId="4D3A5FFA" w14:textId="77777777" w:rsidR="00FC762F" w:rsidRPr="007E629E" w:rsidRDefault="00FC762F">
            <w:pPr>
              <w:tabs>
                <w:tab w:val="left" w:pos="567"/>
              </w:tabs>
              <w:rPr>
                <w:sz w:val="24"/>
                <w:szCs w:val="24"/>
              </w:rPr>
            </w:pPr>
            <w:proofErr w:type="spellStart"/>
            <w:r w:rsidRPr="007E629E">
              <w:rPr>
                <w:sz w:val="24"/>
                <w:szCs w:val="24"/>
              </w:rPr>
              <w:t>Hyperacusis</w:t>
            </w:r>
            <w:proofErr w:type="spellEnd"/>
            <w:r w:rsidRPr="007E629E">
              <w:rPr>
                <w:sz w:val="24"/>
                <w:szCs w:val="24"/>
              </w:rPr>
              <w:t xml:space="preserve"> </w:t>
            </w:r>
          </w:p>
        </w:tc>
      </w:tr>
      <w:tr w:rsidR="00FC762F" w:rsidRPr="007E629E" w14:paraId="6F164C16" w14:textId="77777777" w:rsidTr="004174ED">
        <w:trPr>
          <w:trHeight w:val="168"/>
        </w:trPr>
        <w:tc>
          <w:tcPr>
            <w:tcW w:w="1731" w:type="pct"/>
            <w:vMerge w:val="restart"/>
            <w:tcBorders>
              <w:top w:val="single" w:sz="4" w:space="0" w:color="auto"/>
              <w:left w:val="single" w:sz="4" w:space="0" w:color="auto"/>
              <w:bottom w:val="single" w:sz="4" w:space="0" w:color="auto"/>
              <w:right w:val="single" w:sz="4" w:space="0" w:color="auto"/>
            </w:tcBorders>
          </w:tcPr>
          <w:p w14:paraId="6822DC34" w14:textId="1B102C19" w:rsidR="00FC762F" w:rsidRPr="007E629E" w:rsidRDefault="00FC762F" w:rsidP="001C5528">
            <w:pPr>
              <w:pStyle w:val="Default"/>
              <w:jc w:val="both"/>
              <w:rPr>
                <w:b/>
                <w:lang w:val="es-ES"/>
              </w:rPr>
            </w:pPr>
            <w:r w:rsidRPr="007E629E">
              <w:rPr>
                <w:b/>
              </w:rPr>
              <w:t xml:space="preserve">Hjerte </w:t>
            </w:r>
          </w:p>
        </w:tc>
        <w:tc>
          <w:tcPr>
            <w:tcW w:w="684" w:type="pct"/>
            <w:tcBorders>
              <w:top w:val="single" w:sz="4" w:space="0" w:color="auto"/>
              <w:left w:val="single" w:sz="4" w:space="0" w:color="auto"/>
              <w:bottom w:val="single" w:sz="4" w:space="0" w:color="auto"/>
              <w:right w:val="single" w:sz="4" w:space="0" w:color="auto"/>
            </w:tcBorders>
          </w:tcPr>
          <w:p w14:paraId="28DEC42C" w14:textId="567868A3" w:rsidR="00FC762F" w:rsidRPr="007E629E" w:rsidRDefault="00FC762F" w:rsidP="001C5528">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051894BE" w14:textId="77777777" w:rsidR="00FC762F" w:rsidRPr="007E629E" w:rsidRDefault="00FC762F">
            <w:pPr>
              <w:pStyle w:val="Default"/>
            </w:pPr>
            <w:r w:rsidRPr="007E629E">
              <w:t xml:space="preserve">Hjertestop </w:t>
            </w:r>
          </w:p>
          <w:p w14:paraId="1B0EFED0" w14:textId="77777777" w:rsidR="00FC762F" w:rsidRPr="007E629E" w:rsidRDefault="00FC762F">
            <w:pPr>
              <w:pStyle w:val="Default"/>
            </w:pPr>
            <w:proofErr w:type="spellStart"/>
            <w:r w:rsidRPr="007E629E">
              <w:t>Bradyarytmi</w:t>
            </w:r>
            <w:proofErr w:type="spellEnd"/>
            <w:r w:rsidRPr="007E629E">
              <w:t xml:space="preserve"> </w:t>
            </w:r>
          </w:p>
          <w:p w14:paraId="29523779" w14:textId="77777777" w:rsidR="00FC762F" w:rsidRPr="007E629E" w:rsidRDefault="00FC762F">
            <w:pPr>
              <w:pStyle w:val="Default"/>
            </w:pPr>
            <w:r w:rsidRPr="007E629E">
              <w:t xml:space="preserve">Bradykardi </w:t>
            </w:r>
          </w:p>
          <w:p w14:paraId="5226E27D" w14:textId="77777777" w:rsidR="00FC762F" w:rsidRPr="007E629E" w:rsidRDefault="00FC762F">
            <w:pPr>
              <w:pStyle w:val="Default"/>
            </w:pPr>
            <w:proofErr w:type="spellStart"/>
            <w:r w:rsidRPr="007E629E">
              <w:t>Takyarytmi</w:t>
            </w:r>
            <w:proofErr w:type="spellEnd"/>
            <w:r w:rsidRPr="007E629E">
              <w:t xml:space="preserve"> (herunder </w:t>
            </w:r>
            <w:proofErr w:type="spellStart"/>
            <w:r w:rsidRPr="007E629E">
              <w:t>ventrikulære</w:t>
            </w:r>
            <w:proofErr w:type="spellEnd"/>
            <w:r w:rsidRPr="007E629E">
              <w:t xml:space="preserve"> </w:t>
            </w:r>
            <w:proofErr w:type="spellStart"/>
            <w:r w:rsidRPr="007E629E">
              <w:t>ekstrasystoler</w:t>
            </w:r>
            <w:proofErr w:type="spellEnd"/>
            <w:r w:rsidRPr="007E629E">
              <w:t xml:space="preserve"> og ventrikelflimren)</w:t>
            </w:r>
            <w:r w:rsidRPr="007E629E">
              <w:rPr>
                <w:vertAlign w:val="superscript"/>
              </w:rPr>
              <w:t>5</w:t>
            </w:r>
          </w:p>
          <w:p w14:paraId="38CBC4D4" w14:textId="77777777" w:rsidR="00FC762F" w:rsidRPr="007E629E" w:rsidRDefault="00FC762F">
            <w:pPr>
              <w:pStyle w:val="Default"/>
            </w:pPr>
            <w:r w:rsidRPr="007E629E">
              <w:t>Angina pectoris</w:t>
            </w:r>
            <w:r w:rsidRPr="007E629E">
              <w:rPr>
                <w:vertAlign w:val="superscript"/>
              </w:rPr>
              <w:t>6</w:t>
            </w:r>
          </w:p>
          <w:p w14:paraId="7C4AD6AC" w14:textId="77777777" w:rsidR="00FC762F" w:rsidRPr="007E629E" w:rsidRDefault="00FC762F">
            <w:pPr>
              <w:pStyle w:val="Default"/>
            </w:pPr>
            <w:r w:rsidRPr="007E629E">
              <w:t>Ledningsforstyrrelser (</w:t>
            </w:r>
            <w:proofErr w:type="spellStart"/>
            <w:r w:rsidRPr="007E629E">
              <w:t>atrioventrikulært</w:t>
            </w:r>
            <w:proofErr w:type="spellEnd"/>
            <w:r w:rsidRPr="007E629E">
              <w:t xml:space="preserve"> blok) </w:t>
            </w:r>
          </w:p>
          <w:p w14:paraId="5E1A86A2" w14:textId="77777777" w:rsidR="00FC762F" w:rsidRPr="007E629E" w:rsidRDefault="00FC762F">
            <w:pPr>
              <w:pStyle w:val="Default"/>
            </w:pPr>
            <w:proofErr w:type="spellStart"/>
            <w:r w:rsidRPr="007E629E">
              <w:t>Takykardi</w:t>
            </w:r>
            <w:proofErr w:type="spellEnd"/>
            <w:r w:rsidRPr="007E629E">
              <w:t xml:space="preserve"> </w:t>
            </w:r>
          </w:p>
          <w:p w14:paraId="3AABE253" w14:textId="77777777" w:rsidR="00FC762F" w:rsidRPr="007E629E" w:rsidRDefault="00FC762F">
            <w:pPr>
              <w:tabs>
                <w:tab w:val="left" w:pos="567"/>
              </w:tabs>
              <w:rPr>
                <w:sz w:val="24"/>
                <w:szCs w:val="24"/>
              </w:rPr>
            </w:pPr>
            <w:proofErr w:type="spellStart"/>
            <w:r w:rsidRPr="007E629E">
              <w:rPr>
                <w:sz w:val="24"/>
                <w:szCs w:val="24"/>
              </w:rPr>
              <w:t>Palpitationer</w:t>
            </w:r>
            <w:proofErr w:type="spellEnd"/>
            <w:r w:rsidRPr="007E629E">
              <w:rPr>
                <w:sz w:val="24"/>
                <w:szCs w:val="24"/>
              </w:rPr>
              <w:t xml:space="preserve"> </w:t>
            </w:r>
          </w:p>
        </w:tc>
      </w:tr>
      <w:tr w:rsidR="00FC762F" w:rsidRPr="007E629E" w14:paraId="38FC9226" w14:textId="77777777" w:rsidTr="004174ED">
        <w:trPr>
          <w:trHeight w:val="266"/>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4571E233"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36008EC0" w14:textId="64531FD6" w:rsidR="00FC762F" w:rsidRPr="007E629E" w:rsidRDefault="00FC762F" w:rsidP="001C5528">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tcPr>
          <w:p w14:paraId="4E712E3F" w14:textId="77777777" w:rsidR="00FC762F" w:rsidRPr="007E629E" w:rsidRDefault="00FC762F">
            <w:pPr>
              <w:pStyle w:val="Default"/>
            </w:pPr>
            <w:proofErr w:type="spellStart"/>
            <w:r w:rsidRPr="007E629E">
              <w:t>Myokardiedepression</w:t>
            </w:r>
            <w:proofErr w:type="spellEnd"/>
            <w:r w:rsidRPr="007E629E">
              <w:t xml:space="preserve"> </w:t>
            </w:r>
          </w:p>
          <w:p w14:paraId="67080033" w14:textId="77777777" w:rsidR="00FC762F" w:rsidRPr="007E629E" w:rsidRDefault="00FC762F">
            <w:pPr>
              <w:tabs>
                <w:tab w:val="left" w:pos="567"/>
              </w:tabs>
              <w:rPr>
                <w:sz w:val="24"/>
                <w:szCs w:val="24"/>
                <w:lang w:val="es-ES"/>
              </w:rPr>
            </w:pPr>
          </w:p>
        </w:tc>
      </w:tr>
      <w:tr w:rsidR="00FC762F" w:rsidRPr="007E629E" w14:paraId="16CFE0E5" w14:textId="77777777" w:rsidTr="004174ED">
        <w:trPr>
          <w:trHeight w:val="266"/>
        </w:trPr>
        <w:tc>
          <w:tcPr>
            <w:tcW w:w="1731" w:type="pct"/>
            <w:vMerge w:val="restart"/>
            <w:tcBorders>
              <w:top w:val="single" w:sz="4" w:space="0" w:color="auto"/>
              <w:left w:val="single" w:sz="4" w:space="0" w:color="auto"/>
              <w:bottom w:val="single" w:sz="4" w:space="0" w:color="auto"/>
              <w:right w:val="single" w:sz="4" w:space="0" w:color="auto"/>
            </w:tcBorders>
          </w:tcPr>
          <w:p w14:paraId="541E5DD0" w14:textId="79DE65C4" w:rsidR="00FC762F" w:rsidRPr="007E629E" w:rsidRDefault="00FC762F" w:rsidP="0087575B">
            <w:pPr>
              <w:pStyle w:val="Default"/>
              <w:jc w:val="both"/>
              <w:rPr>
                <w:b/>
                <w:lang w:val="es-ES"/>
              </w:rPr>
            </w:pPr>
            <w:proofErr w:type="spellStart"/>
            <w:r w:rsidRPr="007E629E">
              <w:rPr>
                <w:b/>
              </w:rPr>
              <w:t>Vaskulære</w:t>
            </w:r>
            <w:proofErr w:type="spellEnd"/>
            <w:r w:rsidRPr="007E629E">
              <w:rPr>
                <w:b/>
              </w:rPr>
              <w:t xml:space="preserve"> sygdomme </w:t>
            </w:r>
          </w:p>
        </w:tc>
        <w:tc>
          <w:tcPr>
            <w:tcW w:w="684" w:type="pct"/>
            <w:tcBorders>
              <w:top w:val="single" w:sz="4" w:space="0" w:color="auto"/>
              <w:left w:val="single" w:sz="4" w:space="0" w:color="auto"/>
              <w:bottom w:val="single" w:sz="4" w:space="0" w:color="auto"/>
              <w:right w:val="single" w:sz="4" w:space="0" w:color="auto"/>
            </w:tcBorders>
          </w:tcPr>
          <w:p w14:paraId="5DED64DA" w14:textId="63F940C9" w:rsidR="00FC762F" w:rsidRPr="007E629E" w:rsidRDefault="00FC762F" w:rsidP="001C5528">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tcPr>
          <w:p w14:paraId="7742F953" w14:textId="77777777" w:rsidR="00FC762F" w:rsidRPr="007E629E" w:rsidRDefault="00FC762F">
            <w:pPr>
              <w:pStyle w:val="Default"/>
            </w:pPr>
            <w:r w:rsidRPr="007E629E">
              <w:t xml:space="preserve">Hypotension (med muligt kredsløbskollaps) </w:t>
            </w:r>
          </w:p>
          <w:p w14:paraId="5F63E833" w14:textId="77777777" w:rsidR="00FC762F" w:rsidRPr="007E629E" w:rsidRDefault="00FC762F">
            <w:pPr>
              <w:tabs>
                <w:tab w:val="left" w:pos="567"/>
              </w:tabs>
              <w:rPr>
                <w:sz w:val="24"/>
                <w:szCs w:val="24"/>
              </w:rPr>
            </w:pPr>
          </w:p>
        </w:tc>
      </w:tr>
      <w:tr w:rsidR="00FC762F" w:rsidRPr="007E629E" w14:paraId="3D5E51E3" w14:textId="77777777" w:rsidTr="004174ED">
        <w:trPr>
          <w:trHeight w:val="270"/>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3FF3680A"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12367338" w14:textId="519F6FBE" w:rsidR="00FC762F" w:rsidRPr="007E629E" w:rsidRDefault="00FC762F" w:rsidP="0087575B">
            <w:pPr>
              <w:pStyle w:val="Default"/>
              <w:jc w:val="both"/>
              <w:rPr>
                <w:lang w:val="es-ES"/>
              </w:rPr>
            </w:pPr>
            <w:r w:rsidRPr="007E629E">
              <w:t xml:space="preserve">Meget sjælden </w:t>
            </w:r>
          </w:p>
        </w:tc>
        <w:tc>
          <w:tcPr>
            <w:tcW w:w="2585" w:type="pct"/>
            <w:tcBorders>
              <w:top w:val="single" w:sz="4" w:space="0" w:color="auto"/>
              <w:left w:val="single" w:sz="4" w:space="0" w:color="auto"/>
              <w:bottom w:val="single" w:sz="4" w:space="0" w:color="auto"/>
              <w:right w:val="single" w:sz="4" w:space="0" w:color="auto"/>
            </w:tcBorders>
          </w:tcPr>
          <w:p w14:paraId="4DEEE437" w14:textId="77777777" w:rsidR="00FC762F" w:rsidRPr="007E629E" w:rsidRDefault="00FC762F">
            <w:pPr>
              <w:pStyle w:val="Default"/>
            </w:pPr>
            <w:r w:rsidRPr="007E629E">
              <w:t xml:space="preserve">Hypertension </w:t>
            </w:r>
          </w:p>
          <w:p w14:paraId="60B5E6A6" w14:textId="77777777" w:rsidR="00FC762F" w:rsidRPr="007E629E" w:rsidRDefault="00FC762F">
            <w:pPr>
              <w:tabs>
                <w:tab w:val="left" w:pos="567"/>
              </w:tabs>
              <w:rPr>
                <w:sz w:val="24"/>
                <w:szCs w:val="24"/>
                <w:lang w:val="es-ES"/>
              </w:rPr>
            </w:pPr>
          </w:p>
        </w:tc>
      </w:tr>
      <w:tr w:rsidR="00FC762F" w:rsidRPr="007E629E" w14:paraId="3C68B7F0" w14:textId="77777777" w:rsidTr="004174ED">
        <w:trPr>
          <w:trHeight w:val="271"/>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6678344D"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10A146B0" w14:textId="6C8EBBAA" w:rsidR="00FC762F" w:rsidRPr="007E629E" w:rsidRDefault="00FC762F" w:rsidP="0087575B">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hideMark/>
          </w:tcPr>
          <w:p w14:paraId="162175E1" w14:textId="77777777" w:rsidR="00FC762F" w:rsidRPr="007E629E" w:rsidRDefault="00FC762F">
            <w:pPr>
              <w:pStyle w:val="Default"/>
            </w:pPr>
            <w:r w:rsidRPr="007E629E">
              <w:t xml:space="preserve">Vasodilatation </w:t>
            </w:r>
          </w:p>
          <w:p w14:paraId="1CB3E519" w14:textId="77777777" w:rsidR="00FC762F" w:rsidRPr="007E629E" w:rsidRDefault="00FC762F">
            <w:pPr>
              <w:tabs>
                <w:tab w:val="left" w:pos="567"/>
              </w:tabs>
              <w:rPr>
                <w:sz w:val="24"/>
                <w:szCs w:val="24"/>
              </w:rPr>
            </w:pPr>
            <w:r w:rsidRPr="007E629E">
              <w:rPr>
                <w:sz w:val="24"/>
                <w:szCs w:val="24"/>
              </w:rPr>
              <w:t xml:space="preserve">Lokal/regional </w:t>
            </w:r>
            <w:proofErr w:type="spellStart"/>
            <w:r w:rsidRPr="007E629E">
              <w:rPr>
                <w:sz w:val="24"/>
                <w:szCs w:val="24"/>
              </w:rPr>
              <w:t>hyperæmi</w:t>
            </w:r>
            <w:proofErr w:type="spellEnd"/>
            <w:r w:rsidRPr="007E629E">
              <w:rPr>
                <w:sz w:val="24"/>
                <w:szCs w:val="24"/>
              </w:rPr>
              <w:t xml:space="preserve"> </w:t>
            </w:r>
          </w:p>
        </w:tc>
      </w:tr>
      <w:tr w:rsidR="00FC762F" w:rsidRPr="007E629E" w14:paraId="6D3FF9BB" w14:textId="77777777" w:rsidTr="004174ED">
        <w:tc>
          <w:tcPr>
            <w:tcW w:w="1731" w:type="pct"/>
            <w:vMerge w:val="restart"/>
            <w:tcBorders>
              <w:top w:val="single" w:sz="4" w:space="0" w:color="auto"/>
              <w:left w:val="single" w:sz="4" w:space="0" w:color="auto"/>
              <w:bottom w:val="single" w:sz="4" w:space="0" w:color="auto"/>
              <w:right w:val="single" w:sz="4" w:space="0" w:color="auto"/>
            </w:tcBorders>
          </w:tcPr>
          <w:p w14:paraId="023F0D6A" w14:textId="7B903C91" w:rsidR="00FC762F" w:rsidRPr="007E629E" w:rsidRDefault="00FC762F" w:rsidP="0087575B">
            <w:pPr>
              <w:pStyle w:val="Default"/>
              <w:rPr>
                <w:b/>
                <w:lang w:val="es-ES"/>
              </w:rPr>
            </w:pPr>
            <w:r w:rsidRPr="007E629E">
              <w:rPr>
                <w:b/>
              </w:rPr>
              <w:t xml:space="preserve">Luftveje, thorax og </w:t>
            </w:r>
            <w:proofErr w:type="spellStart"/>
            <w:r w:rsidRPr="007E629E">
              <w:rPr>
                <w:b/>
              </w:rPr>
              <w:t>mediastinum</w:t>
            </w:r>
            <w:proofErr w:type="spellEnd"/>
            <w:r w:rsidRPr="007E629E">
              <w:rPr>
                <w:b/>
              </w:rPr>
              <w:t xml:space="preserve"> </w:t>
            </w:r>
          </w:p>
        </w:tc>
        <w:tc>
          <w:tcPr>
            <w:tcW w:w="684" w:type="pct"/>
            <w:tcBorders>
              <w:top w:val="single" w:sz="4" w:space="0" w:color="auto"/>
              <w:left w:val="single" w:sz="4" w:space="0" w:color="auto"/>
              <w:bottom w:val="single" w:sz="4" w:space="0" w:color="auto"/>
              <w:right w:val="single" w:sz="4" w:space="0" w:color="auto"/>
            </w:tcBorders>
          </w:tcPr>
          <w:p w14:paraId="37D533D0" w14:textId="63F2FAE6" w:rsidR="00FC762F" w:rsidRPr="007E629E" w:rsidRDefault="00FC762F" w:rsidP="0087575B">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093191F3" w14:textId="77777777" w:rsidR="00FC762F" w:rsidRPr="007E629E" w:rsidRDefault="00FC762F">
            <w:pPr>
              <w:pStyle w:val="Default"/>
            </w:pPr>
            <w:r w:rsidRPr="007E629E">
              <w:t xml:space="preserve">Respirationsundertrykkelse </w:t>
            </w:r>
          </w:p>
          <w:p w14:paraId="4DB8D385" w14:textId="77777777" w:rsidR="00FC762F" w:rsidRPr="007E629E" w:rsidRDefault="00FC762F">
            <w:pPr>
              <w:pStyle w:val="Default"/>
            </w:pPr>
            <w:proofErr w:type="spellStart"/>
            <w:r w:rsidRPr="007E629E">
              <w:t>Bradypnø</w:t>
            </w:r>
            <w:proofErr w:type="spellEnd"/>
            <w:r w:rsidRPr="007E629E">
              <w:t xml:space="preserve"> </w:t>
            </w:r>
          </w:p>
          <w:p w14:paraId="469770A7" w14:textId="77777777" w:rsidR="00FC762F" w:rsidRPr="007E629E" w:rsidRDefault="00FC762F">
            <w:pPr>
              <w:pStyle w:val="Default"/>
            </w:pPr>
            <w:r w:rsidRPr="007E629E">
              <w:t xml:space="preserve">Apnø (åndedrætsstop) </w:t>
            </w:r>
          </w:p>
          <w:p w14:paraId="3AC9A09E" w14:textId="77777777" w:rsidR="00FC762F" w:rsidRPr="007E629E" w:rsidRDefault="00FC762F">
            <w:pPr>
              <w:pStyle w:val="Default"/>
            </w:pPr>
            <w:proofErr w:type="spellStart"/>
            <w:r w:rsidRPr="007E629E">
              <w:t>Gaben</w:t>
            </w:r>
            <w:proofErr w:type="spellEnd"/>
            <w:r w:rsidRPr="007E629E">
              <w:t xml:space="preserve"> </w:t>
            </w:r>
          </w:p>
          <w:p w14:paraId="6423A117" w14:textId="77777777" w:rsidR="00FC762F" w:rsidRPr="007E629E" w:rsidRDefault="00FC762F">
            <w:pPr>
              <w:pStyle w:val="Default"/>
            </w:pPr>
            <w:r w:rsidRPr="007E629E">
              <w:t>Dyspnø</w:t>
            </w:r>
            <w:r w:rsidRPr="007E629E">
              <w:rPr>
                <w:vertAlign w:val="superscript"/>
              </w:rPr>
              <w:t>2</w:t>
            </w:r>
          </w:p>
          <w:p w14:paraId="45E7EB70" w14:textId="77777777" w:rsidR="00FC762F" w:rsidRPr="007E629E" w:rsidRDefault="00FC762F">
            <w:pPr>
              <w:tabs>
                <w:tab w:val="left" w:pos="567"/>
              </w:tabs>
              <w:rPr>
                <w:sz w:val="24"/>
                <w:szCs w:val="24"/>
              </w:rPr>
            </w:pPr>
            <w:proofErr w:type="spellStart"/>
            <w:r w:rsidRPr="007E629E">
              <w:rPr>
                <w:sz w:val="24"/>
                <w:szCs w:val="24"/>
              </w:rPr>
              <w:t>Takypnø</w:t>
            </w:r>
            <w:proofErr w:type="spellEnd"/>
            <w:r w:rsidRPr="007E629E">
              <w:rPr>
                <w:sz w:val="24"/>
                <w:szCs w:val="24"/>
              </w:rPr>
              <w:t xml:space="preserve"> </w:t>
            </w:r>
          </w:p>
        </w:tc>
      </w:tr>
      <w:tr w:rsidR="00FC762F" w:rsidRPr="007E629E" w14:paraId="05973C5E" w14:textId="77777777" w:rsidTr="004174ED">
        <w:tc>
          <w:tcPr>
            <w:tcW w:w="1731" w:type="pct"/>
            <w:vMerge/>
            <w:tcBorders>
              <w:top w:val="single" w:sz="4" w:space="0" w:color="auto"/>
              <w:left w:val="single" w:sz="4" w:space="0" w:color="auto"/>
              <w:bottom w:val="single" w:sz="4" w:space="0" w:color="auto"/>
              <w:right w:val="single" w:sz="4" w:space="0" w:color="auto"/>
            </w:tcBorders>
            <w:vAlign w:val="center"/>
            <w:hideMark/>
          </w:tcPr>
          <w:p w14:paraId="4A5C772A"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38E8E5E4" w14:textId="61E7E396" w:rsidR="00FC762F" w:rsidRPr="007E629E" w:rsidRDefault="00FC762F" w:rsidP="0087575B">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hideMark/>
          </w:tcPr>
          <w:p w14:paraId="59C83451" w14:textId="77777777" w:rsidR="00FC762F" w:rsidRPr="007E629E" w:rsidRDefault="00FC762F">
            <w:pPr>
              <w:pStyle w:val="Default"/>
            </w:pPr>
            <w:r w:rsidRPr="007E629E">
              <w:t>Hypoksi</w:t>
            </w:r>
            <w:r w:rsidRPr="007E629E">
              <w:rPr>
                <w:vertAlign w:val="superscript"/>
              </w:rPr>
              <w:t xml:space="preserve">7 </w:t>
            </w:r>
            <w:r w:rsidRPr="007E629E">
              <w:t xml:space="preserve">(herunder cerebral) </w:t>
            </w:r>
          </w:p>
          <w:p w14:paraId="708BF51E" w14:textId="77777777" w:rsidR="00FC762F" w:rsidRPr="007E629E" w:rsidRDefault="00FC762F">
            <w:pPr>
              <w:pStyle w:val="Default"/>
            </w:pPr>
            <w:r w:rsidRPr="007E629E">
              <w:t>Hyperkapni</w:t>
            </w:r>
            <w:r w:rsidRPr="007E629E">
              <w:rPr>
                <w:vertAlign w:val="superscript"/>
              </w:rPr>
              <w:t>7</w:t>
            </w:r>
          </w:p>
          <w:p w14:paraId="44477D1B" w14:textId="77777777" w:rsidR="00FC762F" w:rsidRPr="007E629E" w:rsidRDefault="00FC762F">
            <w:pPr>
              <w:tabs>
                <w:tab w:val="left" w:pos="567"/>
              </w:tabs>
              <w:rPr>
                <w:sz w:val="24"/>
                <w:szCs w:val="24"/>
              </w:rPr>
            </w:pPr>
            <w:proofErr w:type="spellStart"/>
            <w:r w:rsidRPr="007E629E">
              <w:rPr>
                <w:sz w:val="24"/>
                <w:szCs w:val="24"/>
              </w:rPr>
              <w:t>Dysfoni</w:t>
            </w:r>
            <w:proofErr w:type="spellEnd"/>
            <w:r w:rsidRPr="007E629E">
              <w:rPr>
                <w:sz w:val="24"/>
                <w:szCs w:val="24"/>
              </w:rPr>
              <w:t xml:space="preserve"> (hæshed</w:t>
            </w:r>
            <w:r w:rsidRPr="007E629E">
              <w:rPr>
                <w:sz w:val="24"/>
                <w:szCs w:val="24"/>
                <w:vertAlign w:val="superscript"/>
              </w:rPr>
              <w:t>1</w:t>
            </w:r>
            <w:r w:rsidRPr="007E629E">
              <w:rPr>
                <w:sz w:val="24"/>
                <w:szCs w:val="24"/>
              </w:rPr>
              <w:t xml:space="preserve">) </w:t>
            </w:r>
          </w:p>
        </w:tc>
      </w:tr>
      <w:tr w:rsidR="00FC762F" w:rsidRPr="007E629E" w14:paraId="7BE7C838" w14:textId="77777777" w:rsidTr="004174ED">
        <w:trPr>
          <w:trHeight w:val="409"/>
        </w:trPr>
        <w:tc>
          <w:tcPr>
            <w:tcW w:w="1731" w:type="pct"/>
            <w:vMerge w:val="restart"/>
            <w:tcBorders>
              <w:top w:val="single" w:sz="4" w:space="0" w:color="auto"/>
              <w:left w:val="single" w:sz="4" w:space="0" w:color="auto"/>
              <w:bottom w:val="single" w:sz="4" w:space="0" w:color="auto"/>
              <w:right w:val="single" w:sz="4" w:space="0" w:color="auto"/>
            </w:tcBorders>
          </w:tcPr>
          <w:p w14:paraId="77F3082F" w14:textId="4D364EA7" w:rsidR="00FC762F" w:rsidRPr="007E629E" w:rsidRDefault="00FC762F" w:rsidP="0087575B">
            <w:pPr>
              <w:pStyle w:val="Default"/>
              <w:jc w:val="both"/>
              <w:rPr>
                <w:b/>
                <w:lang w:val="es-ES"/>
              </w:rPr>
            </w:pPr>
            <w:r w:rsidRPr="007E629E">
              <w:rPr>
                <w:b/>
              </w:rPr>
              <w:lastRenderedPageBreak/>
              <w:t xml:space="preserve">Mave-tarm-kanalen </w:t>
            </w:r>
          </w:p>
        </w:tc>
        <w:tc>
          <w:tcPr>
            <w:tcW w:w="684" w:type="pct"/>
            <w:tcBorders>
              <w:top w:val="single" w:sz="4" w:space="0" w:color="auto"/>
              <w:left w:val="single" w:sz="4" w:space="0" w:color="auto"/>
              <w:bottom w:val="single" w:sz="4" w:space="0" w:color="auto"/>
              <w:right w:val="single" w:sz="4" w:space="0" w:color="auto"/>
            </w:tcBorders>
          </w:tcPr>
          <w:p w14:paraId="7BF770EA" w14:textId="1812D872" w:rsidR="00FC762F" w:rsidRPr="007E629E" w:rsidRDefault="00FC762F" w:rsidP="0087575B">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5EB3C987" w14:textId="77777777" w:rsidR="00FC762F" w:rsidRPr="007E629E" w:rsidRDefault="00FC762F">
            <w:pPr>
              <w:pStyle w:val="Default"/>
            </w:pPr>
            <w:r w:rsidRPr="007E629E">
              <w:t xml:space="preserve">Kvalme </w:t>
            </w:r>
          </w:p>
          <w:p w14:paraId="32471816" w14:textId="77777777" w:rsidR="00FC762F" w:rsidRPr="007E629E" w:rsidRDefault="00FC762F">
            <w:pPr>
              <w:pStyle w:val="Default"/>
            </w:pPr>
            <w:r w:rsidRPr="007E629E">
              <w:t xml:space="preserve">Opkastning </w:t>
            </w:r>
          </w:p>
          <w:p w14:paraId="6C73C7E0" w14:textId="77777777" w:rsidR="00FC762F" w:rsidRPr="007E629E" w:rsidRDefault="00FC762F">
            <w:pPr>
              <w:pStyle w:val="Default"/>
            </w:pPr>
            <w:proofErr w:type="spellStart"/>
            <w:r w:rsidRPr="007E629E">
              <w:t>Gingival</w:t>
            </w:r>
            <w:proofErr w:type="spellEnd"/>
            <w:r w:rsidRPr="007E629E">
              <w:t xml:space="preserve">/oral </w:t>
            </w:r>
            <w:proofErr w:type="spellStart"/>
            <w:r w:rsidRPr="007E629E">
              <w:t>slimhindeeksfoliering</w:t>
            </w:r>
            <w:proofErr w:type="spellEnd"/>
            <w:r w:rsidRPr="007E629E">
              <w:t xml:space="preserve"> (afstødning)/sårdannelse </w:t>
            </w:r>
          </w:p>
          <w:p w14:paraId="30C7CBF2" w14:textId="77777777" w:rsidR="00FC762F" w:rsidRPr="007E629E" w:rsidRDefault="00FC762F">
            <w:pPr>
              <w:tabs>
                <w:tab w:val="left" w:pos="567"/>
              </w:tabs>
              <w:rPr>
                <w:sz w:val="24"/>
                <w:szCs w:val="24"/>
              </w:rPr>
            </w:pPr>
            <w:r w:rsidRPr="007E629E">
              <w:rPr>
                <w:sz w:val="24"/>
                <w:szCs w:val="24"/>
              </w:rPr>
              <w:t>Hævelse</w:t>
            </w:r>
            <w:r w:rsidRPr="007E629E">
              <w:rPr>
                <w:sz w:val="24"/>
                <w:szCs w:val="24"/>
                <w:vertAlign w:val="superscript"/>
              </w:rPr>
              <w:t>8</w:t>
            </w:r>
            <w:r w:rsidRPr="007E629E">
              <w:rPr>
                <w:sz w:val="24"/>
                <w:szCs w:val="24"/>
              </w:rPr>
              <w:t xml:space="preserve"> af tunge, læber, gummer </w:t>
            </w:r>
          </w:p>
        </w:tc>
      </w:tr>
      <w:tr w:rsidR="00FC762F" w:rsidRPr="007E629E" w14:paraId="68E3BCC5" w14:textId="77777777" w:rsidTr="004174ED">
        <w:trPr>
          <w:trHeight w:val="258"/>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05F90D39" w14:textId="77777777" w:rsidR="00FC762F" w:rsidRPr="007E629E" w:rsidRDefault="00FC762F">
            <w:pPr>
              <w:rPr>
                <w:b/>
                <w:sz w:val="24"/>
                <w:szCs w:val="24"/>
                <w:lang w:val="es-ES"/>
              </w:rPr>
            </w:pPr>
          </w:p>
        </w:tc>
        <w:tc>
          <w:tcPr>
            <w:tcW w:w="684" w:type="pct"/>
            <w:tcBorders>
              <w:top w:val="single" w:sz="4" w:space="0" w:color="auto"/>
              <w:left w:val="single" w:sz="4" w:space="0" w:color="auto"/>
              <w:bottom w:val="single" w:sz="4" w:space="0" w:color="auto"/>
              <w:right w:val="single" w:sz="4" w:space="0" w:color="auto"/>
            </w:tcBorders>
          </w:tcPr>
          <w:p w14:paraId="5D907BCF" w14:textId="260656EC" w:rsidR="00FC762F" w:rsidRPr="007E629E" w:rsidRDefault="00FC762F" w:rsidP="0087575B">
            <w:pPr>
              <w:pStyle w:val="Default"/>
              <w:jc w:val="both"/>
              <w:rPr>
                <w:lang w:val="es-ES"/>
              </w:rPr>
            </w:pPr>
            <w:r w:rsidRPr="007E629E">
              <w:t xml:space="preserve">Ikke kendt </w:t>
            </w:r>
          </w:p>
        </w:tc>
        <w:tc>
          <w:tcPr>
            <w:tcW w:w="2585" w:type="pct"/>
            <w:tcBorders>
              <w:top w:val="single" w:sz="4" w:space="0" w:color="auto"/>
              <w:left w:val="single" w:sz="4" w:space="0" w:color="auto"/>
              <w:bottom w:val="single" w:sz="4" w:space="0" w:color="auto"/>
              <w:right w:val="single" w:sz="4" w:space="0" w:color="auto"/>
            </w:tcBorders>
            <w:hideMark/>
          </w:tcPr>
          <w:p w14:paraId="0AEAAC2A" w14:textId="77777777" w:rsidR="00FC762F" w:rsidRPr="007E629E" w:rsidRDefault="00FC762F">
            <w:pPr>
              <w:pStyle w:val="Default"/>
            </w:pPr>
            <w:proofErr w:type="spellStart"/>
            <w:r w:rsidRPr="007E629E">
              <w:t>Stomatitis</w:t>
            </w:r>
            <w:proofErr w:type="spellEnd"/>
            <w:r w:rsidRPr="007E629E">
              <w:t xml:space="preserve">, </w:t>
            </w:r>
            <w:proofErr w:type="spellStart"/>
            <w:r w:rsidRPr="007E629E">
              <w:t>glossitis</w:t>
            </w:r>
            <w:proofErr w:type="spellEnd"/>
            <w:r w:rsidRPr="007E629E">
              <w:t xml:space="preserve">, </w:t>
            </w:r>
            <w:proofErr w:type="spellStart"/>
            <w:r w:rsidRPr="007E629E">
              <w:t>gingivitis</w:t>
            </w:r>
            <w:proofErr w:type="spellEnd"/>
            <w:r w:rsidRPr="007E629E">
              <w:t xml:space="preserve"> </w:t>
            </w:r>
          </w:p>
          <w:p w14:paraId="67DB7350" w14:textId="77777777" w:rsidR="00FC762F" w:rsidRPr="007E629E" w:rsidRDefault="00FC762F">
            <w:pPr>
              <w:tabs>
                <w:tab w:val="left" w:pos="567"/>
              </w:tabs>
              <w:rPr>
                <w:sz w:val="24"/>
                <w:szCs w:val="24"/>
              </w:rPr>
            </w:pPr>
            <w:proofErr w:type="spellStart"/>
            <w:r w:rsidRPr="007E629E">
              <w:rPr>
                <w:sz w:val="24"/>
                <w:szCs w:val="24"/>
              </w:rPr>
              <w:t>Hypersekretion</w:t>
            </w:r>
            <w:proofErr w:type="spellEnd"/>
            <w:r w:rsidRPr="007E629E">
              <w:rPr>
                <w:sz w:val="24"/>
                <w:szCs w:val="24"/>
              </w:rPr>
              <w:t xml:space="preserve"> af spyt </w:t>
            </w:r>
          </w:p>
        </w:tc>
      </w:tr>
      <w:tr w:rsidR="00FC762F" w:rsidRPr="007E629E" w14:paraId="16B45242" w14:textId="77777777" w:rsidTr="004174ED">
        <w:tc>
          <w:tcPr>
            <w:tcW w:w="1731" w:type="pct"/>
            <w:tcBorders>
              <w:top w:val="single" w:sz="4" w:space="0" w:color="auto"/>
              <w:left w:val="single" w:sz="4" w:space="0" w:color="auto"/>
              <w:bottom w:val="single" w:sz="4" w:space="0" w:color="auto"/>
              <w:right w:val="single" w:sz="4" w:space="0" w:color="auto"/>
            </w:tcBorders>
          </w:tcPr>
          <w:p w14:paraId="59EAC550" w14:textId="35908ECE" w:rsidR="00FC762F" w:rsidRPr="007E629E" w:rsidRDefault="00FC762F" w:rsidP="0087575B">
            <w:pPr>
              <w:pStyle w:val="Default"/>
              <w:rPr>
                <w:b/>
                <w:lang w:val="es-ES"/>
              </w:rPr>
            </w:pPr>
            <w:r w:rsidRPr="007E629E">
              <w:rPr>
                <w:b/>
              </w:rPr>
              <w:t xml:space="preserve">Hud og subkutane </w:t>
            </w:r>
            <w:r w:rsidR="0087575B">
              <w:rPr>
                <w:b/>
              </w:rPr>
              <w:t>v</w:t>
            </w:r>
            <w:r w:rsidRPr="007E629E">
              <w:rPr>
                <w:b/>
              </w:rPr>
              <w:t xml:space="preserve">æv </w:t>
            </w:r>
          </w:p>
        </w:tc>
        <w:tc>
          <w:tcPr>
            <w:tcW w:w="684" w:type="pct"/>
            <w:tcBorders>
              <w:top w:val="single" w:sz="4" w:space="0" w:color="auto"/>
              <w:left w:val="single" w:sz="4" w:space="0" w:color="auto"/>
              <w:bottom w:val="single" w:sz="4" w:space="0" w:color="auto"/>
              <w:right w:val="single" w:sz="4" w:space="0" w:color="auto"/>
            </w:tcBorders>
          </w:tcPr>
          <w:p w14:paraId="0CC44351" w14:textId="5C41567A" w:rsidR="00FC762F" w:rsidRPr="007E629E" w:rsidRDefault="00FC762F" w:rsidP="0087575B">
            <w:pPr>
              <w:pStyle w:val="Default"/>
              <w:jc w:val="both"/>
              <w:rPr>
                <w:lang w:val="es-ES"/>
              </w:rPr>
            </w:pPr>
            <w:r w:rsidRPr="007E629E">
              <w:t xml:space="preserve">Sjælden </w:t>
            </w:r>
          </w:p>
        </w:tc>
        <w:tc>
          <w:tcPr>
            <w:tcW w:w="2585" w:type="pct"/>
            <w:tcBorders>
              <w:top w:val="single" w:sz="4" w:space="0" w:color="auto"/>
              <w:left w:val="single" w:sz="4" w:space="0" w:color="auto"/>
              <w:bottom w:val="single" w:sz="4" w:space="0" w:color="auto"/>
              <w:right w:val="single" w:sz="4" w:space="0" w:color="auto"/>
            </w:tcBorders>
            <w:hideMark/>
          </w:tcPr>
          <w:p w14:paraId="60572090" w14:textId="77777777" w:rsidR="00FC762F" w:rsidRPr="007E629E" w:rsidRDefault="00FC762F">
            <w:pPr>
              <w:pStyle w:val="Default"/>
            </w:pPr>
            <w:r w:rsidRPr="007E629E">
              <w:t>Udslæt (eruption)</w:t>
            </w:r>
          </w:p>
          <w:p w14:paraId="09891F9D" w14:textId="77777777" w:rsidR="00FC762F" w:rsidRPr="007E629E" w:rsidRDefault="00FC762F">
            <w:pPr>
              <w:pStyle w:val="Default"/>
            </w:pPr>
            <w:proofErr w:type="spellStart"/>
            <w:r w:rsidRPr="007E629E">
              <w:t>Erytem</w:t>
            </w:r>
            <w:proofErr w:type="spellEnd"/>
            <w:r w:rsidRPr="007E629E">
              <w:t xml:space="preserve"> </w:t>
            </w:r>
          </w:p>
          <w:p w14:paraId="6C8E81B4" w14:textId="77777777" w:rsidR="00FC762F" w:rsidRPr="007E629E" w:rsidRDefault="00FC762F">
            <w:pPr>
              <w:pStyle w:val="Default"/>
            </w:pPr>
            <w:proofErr w:type="spellStart"/>
            <w:r w:rsidRPr="007E629E">
              <w:t>Pruritus</w:t>
            </w:r>
            <w:proofErr w:type="spellEnd"/>
            <w:r w:rsidRPr="007E629E">
              <w:t xml:space="preserve"> </w:t>
            </w:r>
          </w:p>
          <w:p w14:paraId="3212D505" w14:textId="77777777" w:rsidR="00FC762F" w:rsidRPr="007E629E" w:rsidRDefault="00FC762F">
            <w:pPr>
              <w:pStyle w:val="Default"/>
            </w:pPr>
            <w:r w:rsidRPr="007E629E">
              <w:t xml:space="preserve">Hævelse af ansigt </w:t>
            </w:r>
          </w:p>
          <w:p w14:paraId="1782F9C2" w14:textId="77777777" w:rsidR="00FC762F" w:rsidRPr="007E629E" w:rsidRDefault="00FC762F">
            <w:pPr>
              <w:tabs>
                <w:tab w:val="left" w:pos="567"/>
              </w:tabs>
              <w:rPr>
                <w:sz w:val="24"/>
                <w:szCs w:val="24"/>
              </w:rPr>
            </w:pPr>
            <w:proofErr w:type="spellStart"/>
            <w:r w:rsidRPr="007E629E">
              <w:rPr>
                <w:sz w:val="24"/>
                <w:szCs w:val="24"/>
              </w:rPr>
              <w:t>Hyperhidrose</w:t>
            </w:r>
            <w:proofErr w:type="spellEnd"/>
            <w:r w:rsidRPr="007E629E">
              <w:rPr>
                <w:sz w:val="24"/>
                <w:szCs w:val="24"/>
              </w:rPr>
              <w:t xml:space="preserve"> (svedtendens eller </w:t>
            </w:r>
            <w:proofErr w:type="spellStart"/>
            <w:r w:rsidRPr="007E629E">
              <w:rPr>
                <w:sz w:val="24"/>
                <w:szCs w:val="24"/>
              </w:rPr>
              <w:t>perspiration</w:t>
            </w:r>
            <w:proofErr w:type="spellEnd"/>
            <w:r w:rsidRPr="007E629E">
              <w:rPr>
                <w:sz w:val="24"/>
                <w:szCs w:val="24"/>
              </w:rPr>
              <w:t xml:space="preserve">) </w:t>
            </w:r>
          </w:p>
        </w:tc>
      </w:tr>
      <w:tr w:rsidR="00FC762F" w:rsidRPr="007E629E" w14:paraId="5892E426" w14:textId="77777777" w:rsidTr="004174ED">
        <w:trPr>
          <w:trHeight w:val="352"/>
        </w:trPr>
        <w:tc>
          <w:tcPr>
            <w:tcW w:w="1731" w:type="pct"/>
            <w:tcBorders>
              <w:top w:val="single" w:sz="4" w:space="0" w:color="auto"/>
              <w:left w:val="single" w:sz="4" w:space="0" w:color="auto"/>
              <w:bottom w:val="single" w:sz="4" w:space="0" w:color="auto"/>
              <w:right w:val="single" w:sz="4" w:space="0" w:color="auto"/>
            </w:tcBorders>
            <w:hideMark/>
          </w:tcPr>
          <w:p w14:paraId="1EC46C18" w14:textId="77777777" w:rsidR="00FC762F" w:rsidRPr="007E629E" w:rsidRDefault="00FC762F">
            <w:pPr>
              <w:pStyle w:val="Default"/>
            </w:pPr>
            <w:r w:rsidRPr="007E629E">
              <w:rPr>
                <w:b/>
              </w:rPr>
              <w:t xml:space="preserve">Knogler, led, muskler og bindevæv </w:t>
            </w:r>
          </w:p>
        </w:tc>
        <w:tc>
          <w:tcPr>
            <w:tcW w:w="684" w:type="pct"/>
            <w:tcBorders>
              <w:top w:val="single" w:sz="4" w:space="0" w:color="auto"/>
              <w:left w:val="single" w:sz="4" w:space="0" w:color="auto"/>
              <w:bottom w:val="single" w:sz="4" w:space="0" w:color="auto"/>
              <w:right w:val="single" w:sz="4" w:space="0" w:color="auto"/>
            </w:tcBorders>
          </w:tcPr>
          <w:p w14:paraId="70739E72" w14:textId="77777777" w:rsidR="00FC762F" w:rsidRPr="007E629E" w:rsidRDefault="00FC762F">
            <w:pPr>
              <w:pStyle w:val="Default"/>
              <w:jc w:val="both"/>
            </w:pPr>
            <w:r w:rsidRPr="007E629E">
              <w:t xml:space="preserve">Sjælden </w:t>
            </w:r>
          </w:p>
          <w:p w14:paraId="1E92716E" w14:textId="77777777" w:rsidR="00FC762F" w:rsidRPr="007E629E" w:rsidRDefault="00FC762F">
            <w:pPr>
              <w:tabs>
                <w:tab w:val="left" w:pos="567"/>
              </w:tabs>
              <w:jc w:val="both"/>
              <w:rPr>
                <w:sz w:val="24"/>
                <w:szCs w:val="24"/>
                <w:lang w:val="es-ES"/>
              </w:rPr>
            </w:pPr>
          </w:p>
        </w:tc>
        <w:tc>
          <w:tcPr>
            <w:tcW w:w="2585" w:type="pct"/>
            <w:tcBorders>
              <w:top w:val="single" w:sz="4" w:space="0" w:color="auto"/>
              <w:left w:val="single" w:sz="4" w:space="0" w:color="auto"/>
              <w:bottom w:val="single" w:sz="4" w:space="0" w:color="auto"/>
              <w:right w:val="single" w:sz="4" w:space="0" w:color="auto"/>
            </w:tcBorders>
            <w:hideMark/>
          </w:tcPr>
          <w:p w14:paraId="73163FBB" w14:textId="77777777" w:rsidR="00FC762F" w:rsidRPr="007E629E" w:rsidRDefault="00FC762F">
            <w:pPr>
              <w:pStyle w:val="Default"/>
            </w:pPr>
            <w:r w:rsidRPr="007E629E">
              <w:t xml:space="preserve">Muskeltrækninger </w:t>
            </w:r>
          </w:p>
          <w:p w14:paraId="3797E0AB" w14:textId="77777777" w:rsidR="00FC762F" w:rsidRPr="007E629E" w:rsidRDefault="00FC762F">
            <w:pPr>
              <w:tabs>
                <w:tab w:val="left" w:pos="567"/>
              </w:tabs>
              <w:rPr>
                <w:sz w:val="24"/>
                <w:szCs w:val="24"/>
              </w:rPr>
            </w:pPr>
            <w:r w:rsidRPr="007E629E">
              <w:rPr>
                <w:sz w:val="24"/>
                <w:szCs w:val="24"/>
              </w:rPr>
              <w:t>Kulderystelser (</w:t>
            </w:r>
            <w:proofErr w:type="spellStart"/>
            <w:r w:rsidRPr="007E629E">
              <w:rPr>
                <w:sz w:val="24"/>
                <w:szCs w:val="24"/>
              </w:rPr>
              <w:t>skælven</w:t>
            </w:r>
            <w:proofErr w:type="spellEnd"/>
            <w:r w:rsidRPr="007E629E">
              <w:rPr>
                <w:sz w:val="24"/>
                <w:szCs w:val="24"/>
              </w:rPr>
              <w:t xml:space="preserve">) </w:t>
            </w:r>
          </w:p>
        </w:tc>
      </w:tr>
      <w:tr w:rsidR="00FC762F" w:rsidRPr="007E629E" w14:paraId="3092D621" w14:textId="77777777" w:rsidTr="004174ED">
        <w:trPr>
          <w:trHeight w:val="511"/>
        </w:trPr>
        <w:tc>
          <w:tcPr>
            <w:tcW w:w="1731" w:type="pct"/>
            <w:vMerge w:val="restart"/>
            <w:tcBorders>
              <w:top w:val="single" w:sz="4" w:space="0" w:color="auto"/>
              <w:left w:val="single" w:sz="4" w:space="0" w:color="auto"/>
              <w:bottom w:val="single" w:sz="4" w:space="0" w:color="auto"/>
              <w:right w:val="single" w:sz="4" w:space="0" w:color="auto"/>
            </w:tcBorders>
          </w:tcPr>
          <w:p w14:paraId="4DFE8E27" w14:textId="05C35785" w:rsidR="00FC762F" w:rsidRPr="007E629E" w:rsidRDefault="00FC762F" w:rsidP="0087575B">
            <w:pPr>
              <w:pStyle w:val="Default"/>
              <w:rPr>
                <w:b/>
              </w:rPr>
            </w:pPr>
            <w:r w:rsidRPr="007E629E">
              <w:rPr>
                <w:b/>
              </w:rPr>
              <w:t xml:space="preserve">Almene symptomer og reaktioner på administrationsstedet </w:t>
            </w:r>
          </w:p>
        </w:tc>
        <w:tc>
          <w:tcPr>
            <w:tcW w:w="684" w:type="pct"/>
            <w:tcBorders>
              <w:top w:val="single" w:sz="4" w:space="0" w:color="auto"/>
              <w:left w:val="single" w:sz="4" w:space="0" w:color="auto"/>
              <w:bottom w:val="single" w:sz="4" w:space="0" w:color="auto"/>
              <w:right w:val="single" w:sz="4" w:space="0" w:color="auto"/>
            </w:tcBorders>
          </w:tcPr>
          <w:p w14:paraId="39A048FB" w14:textId="77777777" w:rsidR="00FC762F" w:rsidRPr="007E629E" w:rsidRDefault="00FC762F">
            <w:pPr>
              <w:pStyle w:val="Default"/>
              <w:jc w:val="both"/>
            </w:pPr>
            <w:r w:rsidRPr="007E629E">
              <w:t xml:space="preserve">Sjælden </w:t>
            </w:r>
          </w:p>
          <w:p w14:paraId="551CA4B7" w14:textId="77777777" w:rsidR="00FC762F" w:rsidRPr="007E629E" w:rsidRDefault="00FC762F">
            <w:pPr>
              <w:tabs>
                <w:tab w:val="left" w:pos="567"/>
              </w:tabs>
              <w:jc w:val="both"/>
              <w:rPr>
                <w:sz w:val="24"/>
                <w:szCs w:val="24"/>
                <w:lang w:val="es-ES"/>
              </w:rPr>
            </w:pPr>
          </w:p>
        </w:tc>
        <w:tc>
          <w:tcPr>
            <w:tcW w:w="2585" w:type="pct"/>
            <w:tcBorders>
              <w:top w:val="single" w:sz="4" w:space="0" w:color="auto"/>
              <w:left w:val="single" w:sz="4" w:space="0" w:color="auto"/>
              <w:bottom w:val="single" w:sz="4" w:space="0" w:color="auto"/>
              <w:right w:val="single" w:sz="4" w:space="0" w:color="auto"/>
            </w:tcBorders>
            <w:hideMark/>
          </w:tcPr>
          <w:p w14:paraId="46E7F106" w14:textId="77777777" w:rsidR="00FC762F" w:rsidRPr="007E629E" w:rsidRDefault="00FC762F">
            <w:pPr>
              <w:pStyle w:val="Default"/>
            </w:pPr>
            <w:r w:rsidRPr="007E629E">
              <w:t xml:space="preserve">Lokal hævelse </w:t>
            </w:r>
          </w:p>
          <w:p w14:paraId="4B164646" w14:textId="77777777" w:rsidR="00FC762F" w:rsidRPr="007E629E" w:rsidRDefault="00FC762F">
            <w:pPr>
              <w:tabs>
                <w:tab w:val="left" w:pos="567"/>
              </w:tabs>
              <w:rPr>
                <w:sz w:val="24"/>
                <w:szCs w:val="24"/>
              </w:rPr>
            </w:pPr>
            <w:r w:rsidRPr="007E629E">
              <w:rPr>
                <w:sz w:val="24"/>
                <w:szCs w:val="24"/>
              </w:rPr>
              <w:t xml:space="preserve">Hævelse på injektionsstedet </w:t>
            </w:r>
          </w:p>
        </w:tc>
      </w:tr>
      <w:tr w:rsidR="00FC762F" w:rsidRPr="007E629E" w14:paraId="18B46F39" w14:textId="77777777" w:rsidTr="004174ED">
        <w:trPr>
          <w:trHeight w:val="661"/>
        </w:trPr>
        <w:tc>
          <w:tcPr>
            <w:tcW w:w="1731" w:type="pct"/>
            <w:vMerge/>
            <w:tcBorders>
              <w:top w:val="single" w:sz="4" w:space="0" w:color="auto"/>
              <w:left w:val="single" w:sz="4" w:space="0" w:color="auto"/>
              <w:bottom w:val="single" w:sz="4" w:space="0" w:color="auto"/>
              <w:right w:val="single" w:sz="4" w:space="0" w:color="auto"/>
            </w:tcBorders>
            <w:vAlign w:val="center"/>
            <w:hideMark/>
          </w:tcPr>
          <w:p w14:paraId="0C2D7CA5" w14:textId="77777777" w:rsidR="00FC762F" w:rsidRPr="007E629E" w:rsidRDefault="00FC762F">
            <w:pPr>
              <w:rPr>
                <w:b/>
                <w:sz w:val="24"/>
                <w:szCs w:val="24"/>
              </w:rPr>
            </w:pPr>
          </w:p>
        </w:tc>
        <w:tc>
          <w:tcPr>
            <w:tcW w:w="684" w:type="pct"/>
            <w:tcBorders>
              <w:top w:val="single" w:sz="4" w:space="0" w:color="auto"/>
              <w:left w:val="single" w:sz="4" w:space="0" w:color="auto"/>
              <w:bottom w:val="single" w:sz="4" w:space="0" w:color="auto"/>
              <w:right w:val="single" w:sz="4" w:space="0" w:color="auto"/>
            </w:tcBorders>
          </w:tcPr>
          <w:p w14:paraId="48137273" w14:textId="77777777" w:rsidR="00FC762F" w:rsidRPr="007E629E" w:rsidRDefault="00FC762F">
            <w:pPr>
              <w:pStyle w:val="Default"/>
              <w:jc w:val="both"/>
            </w:pPr>
            <w:r w:rsidRPr="007E629E">
              <w:t xml:space="preserve">Ikke kendt </w:t>
            </w:r>
          </w:p>
          <w:p w14:paraId="2D1A7B92" w14:textId="77777777" w:rsidR="00FC762F" w:rsidRPr="007E629E" w:rsidRDefault="00FC762F">
            <w:pPr>
              <w:tabs>
                <w:tab w:val="left" w:pos="567"/>
              </w:tabs>
              <w:jc w:val="both"/>
              <w:rPr>
                <w:sz w:val="24"/>
                <w:szCs w:val="24"/>
                <w:lang w:val="es-ES"/>
              </w:rPr>
            </w:pPr>
          </w:p>
        </w:tc>
        <w:tc>
          <w:tcPr>
            <w:tcW w:w="2585" w:type="pct"/>
            <w:tcBorders>
              <w:top w:val="single" w:sz="4" w:space="0" w:color="auto"/>
              <w:left w:val="single" w:sz="4" w:space="0" w:color="auto"/>
              <w:bottom w:val="single" w:sz="4" w:space="0" w:color="auto"/>
              <w:right w:val="single" w:sz="4" w:space="0" w:color="auto"/>
            </w:tcBorders>
            <w:hideMark/>
          </w:tcPr>
          <w:p w14:paraId="6C03690D" w14:textId="77777777" w:rsidR="00FC762F" w:rsidRPr="007E629E" w:rsidRDefault="00FC762F">
            <w:pPr>
              <w:pStyle w:val="Default"/>
            </w:pPr>
            <w:r w:rsidRPr="007E629E">
              <w:t xml:space="preserve">Brystsmerter </w:t>
            </w:r>
          </w:p>
          <w:p w14:paraId="59E20FD5" w14:textId="77777777" w:rsidR="00FC762F" w:rsidRPr="007E629E" w:rsidRDefault="00FC762F">
            <w:pPr>
              <w:pStyle w:val="Default"/>
            </w:pPr>
            <w:r w:rsidRPr="007E629E">
              <w:t xml:space="preserve">Træthed, asteni (svaghed) </w:t>
            </w:r>
          </w:p>
          <w:p w14:paraId="50863ED0" w14:textId="77777777" w:rsidR="00FC762F" w:rsidRPr="007E629E" w:rsidRDefault="00FC762F">
            <w:pPr>
              <w:pStyle w:val="Default"/>
            </w:pPr>
            <w:r w:rsidRPr="007E629E">
              <w:t xml:space="preserve">Varmefølelse </w:t>
            </w:r>
          </w:p>
          <w:p w14:paraId="492482A2" w14:textId="77777777" w:rsidR="00FC762F" w:rsidRPr="007E629E" w:rsidRDefault="00FC762F">
            <w:pPr>
              <w:tabs>
                <w:tab w:val="left" w:pos="567"/>
              </w:tabs>
              <w:rPr>
                <w:sz w:val="24"/>
                <w:szCs w:val="24"/>
              </w:rPr>
            </w:pPr>
            <w:r w:rsidRPr="007E629E">
              <w:rPr>
                <w:sz w:val="24"/>
                <w:szCs w:val="24"/>
              </w:rPr>
              <w:t xml:space="preserve">Smerter på injektionsstedet </w:t>
            </w:r>
          </w:p>
        </w:tc>
      </w:tr>
      <w:tr w:rsidR="00FC762F" w:rsidRPr="007E629E" w14:paraId="10FF51DC" w14:textId="77777777" w:rsidTr="004174ED">
        <w:trPr>
          <w:trHeight w:val="469"/>
        </w:trPr>
        <w:tc>
          <w:tcPr>
            <w:tcW w:w="1731" w:type="pct"/>
            <w:tcBorders>
              <w:top w:val="single" w:sz="4" w:space="0" w:color="auto"/>
              <w:left w:val="single" w:sz="4" w:space="0" w:color="auto"/>
              <w:bottom w:val="single" w:sz="4" w:space="0" w:color="auto"/>
              <w:right w:val="single" w:sz="4" w:space="0" w:color="auto"/>
            </w:tcBorders>
          </w:tcPr>
          <w:p w14:paraId="08D0C4E4" w14:textId="32014543" w:rsidR="00FC762F" w:rsidRPr="007E629E" w:rsidRDefault="00FC762F" w:rsidP="0087575B">
            <w:pPr>
              <w:pStyle w:val="Default"/>
              <w:rPr>
                <w:b/>
                <w:lang w:val="es-ES"/>
              </w:rPr>
            </w:pPr>
            <w:r w:rsidRPr="007E629E">
              <w:rPr>
                <w:b/>
              </w:rPr>
              <w:t xml:space="preserve">Traumer, forgiftninger og behandlingskomplikationer </w:t>
            </w:r>
          </w:p>
        </w:tc>
        <w:tc>
          <w:tcPr>
            <w:tcW w:w="684" w:type="pct"/>
            <w:tcBorders>
              <w:top w:val="single" w:sz="4" w:space="0" w:color="auto"/>
              <w:left w:val="single" w:sz="4" w:space="0" w:color="auto"/>
              <w:bottom w:val="single" w:sz="4" w:space="0" w:color="auto"/>
              <w:right w:val="single" w:sz="4" w:space="0" w:color="auto"/>
            </w:tcBorders>
          </w:tcPr>
          <w:p w14:paraId="4C1E209D" w14:textId="77777777" w:rsidR="00FC762F" w:rsidRPr="007E629E" w:rsidRDefault="00FC762F">
            <w:pPr>
              <w:pStyle w:val="Default"/>
              <w:jc w:val="both"/>
            </w:pPr>
            <w:r w:rsidRPr="007E629E">
              <w:t xml:space="preserve">Ikke kendt </w:t>
            </w:r>
          </w:p>
          <w:p w14:paraId="3AD6134F" w14:textId="77777777" w:rsidR="00FC762F" w:rsidRPr="007E629E" w:rsidRDefault="00FC762F">
            <w:pPr>
              <w:tabs>
                <w:tab w:val="left" w:pos="567"/>
              </w:tabs>
              <w:jc w:val="both"/>
              <w:rPr>
                <w:sz w:val="24"/>
                <w:szCs w:val="24"/>
                <w:lang w:val="es-ES"/>
              </w:rPr>
            </w:pPr>
          </w:p>
        </w:tc>
        <w:tc>
          <w:tcPr>
            <w:tcW w:w="2585" w:type="pct"/>
            <w:tcBorders>
              <w:top w:val="single" w:sz="4" w:space="0" w:color="auto"/>
              <w:left w:val="single" w:sz="4" w:space="0" w:color="auto"/>
              <w:bottom w:val="single" w:sz="4" w:space="0" w:color="auto"/>
              <w:right w:val="single" w:sz="4" w:space="0" w:color="auto"/>
            </w:tcBorders>
          </w:tcPr>
          <w:p w14:paraId="41AF833C" w14:textId="77777777" w:rsidR="00FC762F" w:rsidRPr="007E629E" w:rsidRDefault="00FC762F">
            <w:pPr>
              <w:pStyle w:val="Default"/>
            </w:pPr>
            <w:r w:rsidRPr="007E629E">
              <w:t xml:space="preserve">Nerveskade </w:t>
            </w:r>
          </w:p>
          <w:p w14:paraId="054A5DDB" w14:textId="77777777" w:rsidR="00FC762F" w:rsidRPr="007E629E" w:rsidRDefault="00FC762F">
            <w:pPr>
              <w:tabs>
                <w:tab w:val="left" w:pos="567"/>
              </w:tabs>
              <w:rPr>
                <w:sz w:val="24"/>
                <w:szCs w:val="24"/>
                <w:lang w:val="es-ES"/>
              </w:rPr>
            </w:pPr>
          </w:p>
        </w:tc>
      </w:tr>
    </w:tbl>
    <w:p w14:paraId="2DF41A59" w14:textId="77777777" w:rsidR="00FC762F" w:rsidRPr="007E629E" w:rsidRDefault="00FC762F" w:rsidP="00FC762F">
      <w:pPr>
        <w:tabs>
          <w:tab w:val="left" w:pos="567"/>
        </w:tabs>
        <w:jc w:val="both"/>
        <w:rPr>
          <w:sz w:val="24"/>
          <w:szCs w:val="24"/>
          <w:lang w:val="es-ES"/>
        </w:rPr>
      </w:pPr>
    </w:p>
    <w:p w14:paraId="28D38ADE" w14:textId="77777777" w:rsidR="00FC762F" w:rsidRPr="0087575B" w:rsidRDefault="00FC762F" w:rsidP="004174ED">
      <w:pPr>
        <w:ind w:left="851"/>
        <w:rPr>
          <w:sz w:val="24"/>
          <w:szCs w:val="24"/>
          <w:u w:val="single"/>
          <w:lang w:eastAsia="en-GB"/>
        </w:rPr>
      </w:pPr>
      <w:r w:rsidRPr="0087575B">
        <w:rPr>
          <w:sz w:val="24"/>
          <w:szCs w:val="24"/>
          <w:u w:val="single"/>
        </w:rPr>
        <w:t xml:space="preserve">Beskrivelse af udvalgte bivirkninger </w:t>
      </w:r>
    </w:p>
    <w:p w14:paraId="56832390" w14:textId="7EDC430E" w:rsidR="00FC762F" w:rsidRPr="007E629E" w:rsidRDefault="00FC762F" w:rsidP="0087575B">
      <w:pPr>
        <w:tabs>
          <w:tab w:val="left" w:pos="1134"/>
        </w:tabs>
        <w:ind w:left="851"/>
        <w:rPr>
          <w:sz w:val="24"/>
          <w:szCs w:val="24"/>
        </w:rPr>
      </w:pPr>
      <w:r w:rsidRPr="007E629E">
        <w:rPr>
          <w:sz w:val="24"/>
          <w:szCs w:val="24"/>
          <w:vertAlign w:val="superscript"/>
        </w:rPr>
        <w:t>1</w:t>
      </w:r>
      <w:r w:rsidR="00DC2FAB">
        <w:rPr>
          <w:sz w:val="24"/>
          <w:szCs w:val="24"/>
          <w:vertAlign w:val="superscript"/>
        </w:rPr>
        <w:tab/>
      </w:r>
      <w:proofErr w:type="spellStart"/>
      <w:r w:rsidRPr="007E629E">
        <w:rPr>
          <w:sz w:val="24"/>
          <w:szCs w:val="24"/>
        </w:rPr>
        <w:t>laryngo-faryngealt</w:t>
      </w:r>
      <w:proofErr w:type="spellEnd"/>
      <w:r w:rsidRPr="007E629E">
        <w:rPr>
          <w:sz w:val="24"/>
          <w:szCs w:val="24"/>
        </w:rPr>
        <w:t xml:space="preserve"> ødemer kan typisk forekomme med hæshed og/eller </w:t>
      </w:r>
      <w:proofErr w:type="spellStart"/>
      <w:r w:rsidRPr="007E629E">
        <w:rPr>
          <w:sz w:val="24"/>
          <w:szCs w:val="24"/>
        </w:rPr>
        <w:t>dysfagi</w:t>
      </w:r>
      <w:proofErr w:type="spellEnd"/>
      <w:r w:rsidRPr="007E629E">
        <w:rPr>
          <w:sz w:val="24"/>
          <w:szCs w:val="24"/>
        </w:rPr>
        <w:t xml:space="preserve">, </w:t>
      </w:r>
    </w:p>
    <w:p w14:paraId="7FF83F00" w14:textId="63057AED" w:rsidR="00FC762F" w:rsidRPr="007E629E" w:rsidRDefault="00FC762F" w:rsidP="0087575B">
      <w:pPr>
        <w:tabs>
          <w:tab w:val="left" w:pos="1134"/>
        </w:tabs>
        <w:ind w:left="851"/>
        <w:rPr>
          <w:sz w:val="24"/>
          <w:szCs w:val="24"/>
        </w:rPr>
      </w:pPr>
      <w:r w:rsidRPr="007E629E">
        <w:rPr>
          <w:sz w:val="24"/>
          <w:szCs w:val="24"/>
          <w:vertAlign w:val="superscript"/>
        </w:rPr>
        <w:t>2</w:t>
      </w:r>
      <w:r w:rsidR="00DC2FAB">
        <w:rPr>
          <w:sz w:val="24"/>
          <w:szCs w:val="24"/>
          <w:vertAlign w:val="superscript"/>
        </w:rPr>
        <w:tab/>
      </w:r>
      <w:proofErr w:type="spellStart"/>
      <w:r w:rsidRPr="007E629E">
        <w:rPr>
          <w:sz w:val="24"/>
          <w:szCs w:val="24"/>
        </w:rPr>
        <w:t>bronkospasmer</w:t>
      </w:r>
      <w:proofErr w:type="spellEnd"/>
      <w:r w:rsidRPr="007E629E">
        <w:rPr>
          <w:sz w:val="24"/>
          <w:szCs w:val="24"/>
        </w:rPr>
        <w:t xml:space="preserve"> (</w:t>
      </w:r>
      <w:proofErr w:type="spellStart"/>
      <w:r w:rsidRPr="007E629E">
        <w:rPr>
          <w:sz w:val="24"/>
          <w:szCs w:val="24"/>
        </w:rPr>
        <w:t>bronkokonstriktion</w:t>
      </w:r>
      <w:proofErr w:type="spellEnd"/>
      <w:r w:rsidRPr="007E629E">
        <w:rPr>
          <w:sz w:val="24"/>
          <w:szCs w:val="24"/>
        </w:rPr>
        <w:t xml:space="preserve">) kan typisk forekomme med dyspnø, </w:t>
      </w:r>
    </w:p>
    <w:p w14:paraId="7195CE38" w14:textId="6449C643" w:rsidR="00FC762F" w:rsidRPr="007E629E" w:rsidRDefault="00FC762F" w:rsidP="00DC2FAB">
      <w:pPr>
        <w:tabs>
          <w:tab w:val="left" w:pos="1134"/>
        </w:tabs>
        <w:ind w:left="1134" w:hanging="283"/>
        <w:rPr>
          <w:sz w:val="24"/>
          <w:szCs w:val="24"/>
        </w:rPr>
      </w:pPr>
      <w:r w:rsidRPr="007E629E">
        <w:rPr>
          <w:sz w:val="24"/>
          <w:szCs w:val="24"/>
          <w:vertAlign w:val="superscript"/>
        </w:rPr>
        <w:t>3</w:t>
      </w:r>
      <w:r w:rsidR="00DC2FAB">
        <w:rPr>
          <w:sz w:val="24"/>
          <w:szCs w:val="24"/>
          <w:vertAlign w:val="superscript"/>
        </w:rPr>
        <w:tab/>
      </w:r>
      <w:r w:rsidRPr="007E629E">
        <w:rPr>
          <w:sz w:val="24"/>
          <w:szCs w:val="24"/>
        </w:rPr>
        <w:t xml:space="preserve">flere bivirkninger, såsom agitation, angst/nervøs </w:t>
      </w:r>
      <w:proofErr w:type="spellStart"/>
      <w:r w:rsidRPr="007E629E">
        <w:rPr>
          <w:sz w:val="24"/>
          <w:szCs w:val="24"/>
        </w:rPr>
        <w:t>tremor</w:t>
      </w:r>
      <w:proofErr w:type="spellEnd"/>
      <w:r w:rsidRPr="007E629E">
        <w:rPr>
          <w:sz w:val="24"/>
          <w:szCs w:val="24"/>
        </w:rPr>
        <w:t xml:space="preserve">, taleforstyrrelse kan være advarselstegn på CNS-undertrykkelse, Ved tilstedeværelse af disse tegn skal patienterne anmodes om at hyperventilere og de skal overvåges (se pkt. 4.9.). </w:t>
      </w:r>
    </w:p>
    <w:p w14:paraId="1B1537DA" w14:textId="7D47F551" w:rsidR="00FC762F" w:rsidRPr="007E629E" w:rsidRDefault="00FC762F" w:rsidP="00DC2FAB">
      <w:pPr>
        <w:tabs>
          <w:tab w:val="left" w:pos="1134"/>
        </w:tabs>
        <w:ind w:left="1134" w:hanging="283"/>
        <w:rPr>
          <w:sz w:val="24"/>
          <w:szCs w:val="24"/>
        </w:rPr>
      </w:pPr>
      <w:r w:rsidRPr="007E629E">
        <w:rPr>
          <w:sz w:val="24"/>
          <w:szCs w:val="24"/>
          <w:vertAlign w:val="superscript"/>
        </w:rPr>
        <w:t>4</w:t>
      </w:r>
      <w:r w:rsidR="00DC2FAB">
        <w:rPr>
          <w:sz w:val="24"/>
          <w:szCs w:val="24"/>
          <w:vertAlign w:val="superscript"/>
        </w:rPr>
        <w:tab/>
      </w:r>
      <w:r w:rsidRPr="007E629E">
        <w:rPr>
          <w:sz w:val="24"/>
          <w:szCs w:val="24"/>
        </w:rPr>
        <w:t xml:space="preserve">neurale patologier der kan forekomme med forskellige symptomer på abnorm følesans (f.eks. </w:t>
      </w:r>
      <w:proofErr w:type="spellStart"/>
      <w:r w:rsidRPr="007E629E">
        <w:rPr>
          <w:sz w:val="24"/>
          <w:szCs w:val="24"/>
        </w:rPr>
        <w:t>paræstesi</w:t>
      </w:r>
      <w:proofErr w:type="spellEnd"/>
      <w:r w:rsidRPr="007E629E">
        <w:rPr>
          <w:sz w:val="24"/>
          <w:szCs w:val="24"/>
        </w:rPr>
        <w:t xml:space="preserve">, </w:t>
      </w:r>
      <w:proofErr w:type="spellStart"/>
      <w:r w:rsidRPr="007E629E">
        <w:rPr>
          <w:sz w:val="24"/>
          <w:szCs w:val="24"/>
        </w:rPr>
        <w:t>hypoæstesi</w:t>
      </w:r>
      <w:proofErr w:type="spellEnd"/>
      <w:r w:rsidRPr="007E629E">
        <w:rPr>
          <w:sz w:val="24"/>
          <w:szCs w:val="24"/>
        </w:rPr>
        <w:t xml:space="preserve">, </w:t>
      </w:r>
      <w:proofErr w:type="spellStart"/>
      <w:r w:rsidRPr="007E629E">
        <w:rPr>
          <w:sz w:val="24"/>
          <w:szCs w:val="24"/>
        </w:rPr>
        <w:t>dysæstesi</w:t>
      </w:r>
      <w:proofErr w:type="spellEnd"/>
      <w:r w:rsidRPr="007E629E">
        <w:rPr>
          <w:sz w:val="24"/>
          <w:szCs w:val="24"/>
        </w:rPr>
        <w:t xml:space="preserve">, </w:t>
      </w:r>
      <w:proofErr w:type="spellStart"/>
      <w:r w:rsidRPr="007E629E">
        <w:rPr>
          <w:sz w:val="24"/>
          <w:szCs w:val="24"/>
        </w:rPr>
        <w:t>hyperæstesi</w:t>
      </w:r>
      <w:proofErr w:type="spellEnd"/>
      <w:r w:rsidRPr="007E629E">
        <w:rPr>
          <w:sz w:val="24"/>
          <w:szCs w:val="24"/>
        </w:rPr>
        <w:t xml:space="preserve">, osv.) af læber, tunge og oralt væv. Disse data stammer fra rapporter efter markedsføring, hovedsagelig efter nerveblokade i kæben, der involverede forskellige grene af </w:t>
      </w:r>
      <w:proofErr w:type="spellStart"/>
      <w:r w:rsidRPr="007E629E">
        <w:rPr>
          <w:sz w:val="24"/>
          <w:szCs w:val="24"/>
        </w:rPr>
        <w:t>nervus</w:t>
      </w:r>
      <w:proofErr w:type="spellEnd"/>
      <w:r w:rsidRPr="007E629E">
        <w:rPr>
          <w:sz w:val="24"/>
          <w:szCs w:val="24"/>
        </w:rPr>
        <w:t xml:space="preserve"> trigeminus. </w:t>
      </w:r>
    </w:p>
    <w:p w14:paraId="180C6344" w14:textId="4C9B23BA" w:rsidR="00FC762F" w:rsidRPr="007E629E" w:rsidRDefault="00FC762F" w:rsidP="00DC2FAB">
      <w:pPr>
        <w:tabs>
          <w:tab w:val="left" w:pos="1134"/>
        </w:tabs>
        <w:ind w:left="1134" w:hanging="283"/>
        <w:rPr>
          <w:sz w:val="24"/>
          <w:szCs w:val="24"/>
        </w:rPr>
      </w:pPr>
      <w:r w:rsidRPr="007E629E">
        <w:rPr>
          <w:sz w:val="24"/>
          <w:szCs w:val="24"/>
          <w:vertAlign w:val="superscript"/>
        </w:rPr>
        <w:t>5</w:t>
      </w:r>
      <w:r w:rsidR="00DC2FAB">
        <w:rPr>
          <w:sz w:val="24"/>
          <w:szCs w:val="24"/>
          <w:vertAlign w:val="superscript"/>
        </w:rPr>
        <w:tab/>
      </w:r>
      <w:r w:rsidRPr="007E629E">
        <w:rPr>
          <w:sz w:val="24"/>
          <w:szCs w:val="24"/>
        </w:rPr>
        <w:t xml:space="preserve">primært hos patienter med underliggende hjertesygdom eller patienter, der får visse lægemidler, </w:t>
      </w:r>
    </w:p>
    <w:p w14:paraId="2E48DC9B" w14:textId="76B687C9" w:rsidR="00FC762F" w:rsidRPr="007E629E" w:rsidRDefault="00FC762F" w:rsidP="00DC2FAB">
      <w:pPr>
        <w:tabs>
          <w:tab w:val="left" w:pos="1134"/>
        </w:tabs>
        <w:ind w:left="1134" w:hanging="283"/>
        <w:rPr>
          <w:sz w:val="24"/>
          <w:szCs w:val="24"/>
        </w:rPr>
      </w:pPr>
      <w:r w:rsidRPr="007E629E">
        <w:rPr>
          <w:sz w:val="24"/>
          <w:szCs w:val="24"/>
          <w:vertAlign w:val="superscript"/>
        </w:rPr>
        <w:t>6</w:t>
      </w:r>
      <w:r w:rsidR="00DC2FAB">
        <w:rPr>
          <w:sz w:val="24"/>
          <w:szCs w:val="24"/>
          <w:vertAlign w:val="superscript"/>
        </w:rPr>
        <w:tab/>
      </w:r>
      <w:r w:rsidRPr="007E629E">
        <w:rPr>
          <w:sz w:val="24"/>
          <w:szCs w:val="24"/>
        </w:rPr>
        <w:t xml:space="preserve">hos prædisponerede patienter eller patienter med risikofaktorer for iskæmisk hjertesygdom, </w:t>
      </w:r>
    </w:p>
    <w:p w14:paraId="3C43E2ED" w14:textId="53841577" w:rsidR="00FC762F" w:rsidRPr="007E629E" w:rsidRDefault="00FC762F" w:rsidP="00DC2FAB">
      <w:pPr>
        <w:tabs>
          <w:tab w:val="left" w:pos="1134"/>
        </w:tabs>
        <w:ind w:left="1134" w:hanging="283"/>
        <w:rPr>
          <w:sz w:val="24"/>
          <w:szCs w:val="24"/>
        </w:rPr>
      </w:pPr>
      <w:r w:rsidRPr="007E629E">
        <w:rPr>
          <w:sz w:val="24"/>
          <w:szCs w:val="24"/>
          <w:vertAlign w:val="superscript"/>
        </w:rPr>
        <w:t>7</w:t>
      </w:r>
      <w:r w:rsidR="00DC2FAB">
        <w:rPr>
          <w:sz w:val="24"/>
          <w:szCs w:val="24"/>
          <w:vertAlign w:val="superscript"/>
        </w:rPr>
        <w:tab/>
      </w:r>
      <w:proofErr w:type="spellStart"/>
      <w:r w:rsidRPr="007E629E">
        <w:rPr>
          <w:sz w:val="24"/>
          <w:szCs w:val="24"/>
        </w:rPr>
        <w:t>hypoksi</w:t>
      </w:r>
      <w:proofErr w:type="spellEnd"/>
      <w:r w:rsidRPr="007E629E">
        <w:rPr>
          <w:sz w:val="24"/>
          <w:szCs w:val="24"/>
        </w:rPr>
        <w:t xml:space="preserve"> og </w:t>
      </w:r>
      <w:proofErr w:type="spellStart"/>
      <w:r w:rsidRPr="007E629E">
        <w:rPr>
          <w:sz w:val="24"/>
          <w:szCs w:val="24"/>
        </w:rPr>
        <w:t>hyperkapni</w:t>
      </w:r>
      <w:proofErr w:type="spellEnd"/>
      <w:r w:rsidRPr="007E629E">
        <w:rPr>
          <w:sz w:val="24"/>
          <w:szCs w:val="24"/>
        </w:rPr>
        <w:t xml:space="preserve"> er sekundære til respirationsundertrykkelse og/eller krampeanfald og vedvarende anspændte muskler, </w:t>
      </w:r>
    </w:p>
    <w:p w14:paraId="136575EB" w14:textId="0D38625B" w:rsidR="00FC762F" w:rsidRPr="007E629E" w:rsidRDefault="00FC762F" w:rsidP="0087575B">
      <w:pPr>
        <w:tabs>
          <w:tab w:val="left" w:pos="1134"/>
        </w:tabs>
        <w:ind w:left="851"/>
        <w:rPr>
          <w:sz w:val="24"/>
          <w:szCs w:val="24"/>
        </w:rPr>
      </w:pPr>
      <w:r w:rsidRPr="007E629E">
        <w:rPr>
          <w:sz w:val="24"/>
          <w:szCs w:val="24"/>
          <w:vertAlign w:val="superscript"/>
        </w:rPr>
        <w:t>8</w:t>
      </w:r>
      <w:r w:rsidR="00DC2FAB">
        <w:rPr>
          <w:sz w:val="24"/>
          <w:szCs w:val="24"/>
          <w:vertAlign w:val="superscript"/>
        </w:rPr>
        <w:tab/>
      </w:r>
      <w:r w:rsidRPr="007E629E">
        <w:rPr>
          <w:sz w:val="24"/>
          <w:szCs w:val="24"/>
        </w:rPr>
        <w:t>ved utilsigtet bid eller tygning af læber eller tunge, mens bedøvelsen virker.</w:t>
      </w:r>
    </w:p>
    <w:p w14:paraId="3669675A" w14:textId="77777777" w:rsidR="00FC762F" w:rsidRPr="007E629E" w:rsidRDefault="00FC762F" w:rsidP="004174ED">
      <w:pPr>
        <w:ind w:left="851"/>
        <w:rPr>
          <w:sz w:val="24"/>
          <w:szCs w:val="24"/>
        </w:rPr>
      </w:pPr>
    </w:p>
    <w:p w14:paraId="22E3C404" w14:textId="77777777" w:rsidR="004174ED" w:rsidRPr="007E629E" w:rsidRDefault="004174ED" w:rsidP="004174ED">
      <w:pPr>
        <w:autoSpaceDE w:val="0"/>
        <w:autoSpaceDN w:val="0"/>
        <w:ind w:left="851"/>
        <w:rPr>
          <w:sz w:val="24"/>
          <w:szCs w:val="24"/>
          <w:u w:val="single"/>
        </w:rPr>
      </w:pPr>
      <w:r w:rsidRPr="007E629E">
        <w:rPr>
          <w:sz w:val="24"/>
          <w:szCs w:val="24"/>
          <w:u w:val="single"/>
        </w:rPr>
        <w:t>Indberetning af formodede bivirkninger</w:t>
      </w:r>
    </w:p>
    <w:p w14:paraId="16E3873A" w14:textId="77777777" w:rsidR="004174ED" w:rsidRPr="007E629E" w:rsidRDefault="004174ED" w:rsidP="004174ED">
      <w:pPr>
        <w:ind w:left="851"/>
        <w:rPr>
          <w:sz w:val="24"/>
          <w:szCs w:val="24"/>
        </w:rPr>
      </w:pPr>
      <w:r w:rsidRPr="007E629E">
        <w:rPr>
          <w:sz w:val="24"/>
          <w:szCs w:val="24"/>
        </w:rPr>
        <w:t>Når lægemidlet er godkendt, er indberetning af formodede bivirkninger vigtig. Det muliggør løbende overvågning af benefit/</w:t>
      </w:r>
      <w:proofErr w:type="spellStart"/>
      <w:r w:rsidRPr="007E629E">
        <w:rPr>
          <w:sz w:val="24"/>
          <w:szCs w:val="24"/>
        </w:rPr>
        <w:t>risk</w:t>
      </w:r>
      <w:proofErr w:type="spellEnd"/>
      <w:r w:rsidRPr="007E629E">
        <w:rPr>
          <w:sz w:val="24"/>
          <w:szCs w:val="24"/>
        </w:rPr>
        <w:t>-forholdet for lægemidlet. Sundhedspersoner anmodes om at indberette alle formodede bivirkninger via:</w:t>
      </w:r>
    </w:p>
    <w:p w14:paraId="31C77145" w14:textId="77777777" w:rsidR="004174ED" w:rsidRPr="007E629E" w:rsidRDefault="004174ED" w:rsidP="004174ED">
      <w:pPr>
        <w:tabs>
          <w:tab w:val="left" w:pos="2440"/>
        </w:tabs>
        <w:ind w:left="851"/>
        <w:rPr>
          <w:sz w:val="24"/>
          <w:szCs w:val="24"/>
        </w:rPr>
      </w:pPr>
    </w:p>
    <w:p w14:paraId="4B513C8E" w14:textId="77777777" w:rsidR="004174ED" w:rsidRPr="007E629E" w:rsidRDefault="004174ED" w:rsidP="004174ED">
      <w:pPr>
        <w:ind w:left="851"/>
        <w:rPr>
          <w:sz w:val="24"/>
          <w:szCs w:val="24"/>
        </w:rPr>
      </w:pPr>
      <w:r w:rsidRPr="007E629E">
        <w:rPr>
          <w:sz w:val="24"/>
          <w:szCs w:val="24"/>
        </w:rPr>
        <w:t>Lægemiddelstyrelsen</w:t>
      </w:r>
    </w:p>
    <w:p w14:paraId="068D0149" w14:textId="77777777" w:rsidR="004174ED" w:rsidRPr="007E629E" w:rsidRDefault="004174ED" w:rsidP="004174ED">
      <w:pPr>
        <w:ind w:left="851"/>
        <w:rPr>
          <w:sz w:val="24"/>
          <w:szCs w:val="24"/>
        </w:rPr>
      </w:pPr>
      <w:r w:rsidRPr="007E629E">
        <w:rPr>
          <w:sz w:val="24"/>
          <w:szCs w:val="24"/>
        </w:rPr>
        <w:t>Axel Heides Gade 1</w:t>
      </w:r>
    </w:p>
    <w:p w14:paraId="6A76FDFF" w14:textId="77777777" w:rsidR="004174ED" w:rsidRPr="007E629E" w:rsidRDefault="004174ED" w:rsidP="004174ED">
      <w:pPr>
        <w:ind w:left="851"/>
        <w:rPr>
          <w:sz w:val="24"/>
          <w:szCs w:val="24"/>
        </w:rPr>
      </w:pPr>
      <w:r w:rsidRPr="007E629E">
        <w:rPr>
          <w:sz w:val="24"/>
          <w:szCs w:val="24"/>
        </w:rPr>
        <w:t>DK-2300 København S</w:t>
      </w:r>
    </w:p>
    <w:p w14:paraId="71FB0D7B" w14:textId="77777777" w:rsidR="004174ED" w:rsidRPr="007E629E" w:rsidRDefault="004174ED" w:rsidP="004174ED">
      <w:pPr>
        <w:ind w:left="851"/>
        <w:rPr>
          <w:sz w:val="24"/>
          <w:szCs w:val="24"/>
        </w:rPr>
      </w:pPr>
      <w:r w:rsidRPr="007E629E">
        <w:rPr>
          <w:sz w:val="24"/>
          <w:szCs w:val="24"/>
        </w:rPr>
        <w:t xml:space="preserve">Websted: </w:t>
      </w:r>
      <w:hyperlink r:id="rId8" w:history="1">
        <w:r w:rsidRPr="007E629E">
          <w:rPr>
            <w:rStyle w:val="Hyperlink"/>
            <w:sz w:val="24"/>
            <w:szCs w:val="24"/>
          </w:rPr>
          <w:t>www.meldenbivirkning.dk</w:t>
        </w:r>
      </w:hyperlink>
    </w:p>
    <w:p w14:paraId="0671DB67" w14:textId="77777777" w:rsidR="009260DE" w:rsidRPr="007E629E" w:rsidRDefault="009260DE" w:rsidP="00A10294">
      <w:pPr>
        <w:tabs>
          <w:tab w:val="left" w:pos="851"/>
        </w:tabs>
        <w:ind w:left="851"/>
        <w:rPr>
          <w:sz w:val="24"/>
          <w:szCs w:val="24"/>
        </w:rPr>
      </w:pPr>
    </w:p>
    <w:p w14:paraId="58FAA322" w14:textId="77777777" w:rsidR="009260DE" w:rsidRPr="007E629E" w:rsidRDefault="009260DE" w:rsidP="009260DE">
      <w:pPr>
        <w:tabs>
          <w:tab w:val="left" w:pos="851"/>
        </w:tabs>
        <w:ind w:left="851" w:hanging="851"/>
        <w:rPr>
          <w:b/>
          <w:sz w:val="24"/>
          <w:szCs w:val="24"/>
        </w:rPr>
      </w:pPr>
      <w:r w:rsidRPr="007E629E">
        <w:rPr>
          <w:b/>
          <w:sz w:val="24"/>
          <w:szCs w:val="24"/>
        </w:rPr>
        <w:lastRenderedPageBreak/>
        <w:t>4.9</w:t>
      </w:r>
      <w:r w:rsidRPr="007E629E">
        <w:rPr>
          <w:b/>
          <w:sz w:val="24"/>
          <w:szCs w:val="24"/>
        </w:rPr>
        <w:tab/>
        <w:t>Overdosering</w:t>
      </w:r>
    </w:p>
    <w:p w14:paraId="78829FB0" w14:textId="77777777" w:rsidR="00672011" w:rsidRDefault="00672011" w:rsidP="004174ED">
      <w:pPr>
        <w:ind w:left="851"/>
        <w:rPr>
          <w:sz w:val="24"/>
          <w:szCs w:val="24"/>
        </w:rPr>
      </w:pPr>
    </w:p>
    <w:p w14:paraId="45D6DF9D" w14:textId="77777777" w:rsidR="00B60B88" w:rsidRPr="00672011" w:rsidRDefault="00B60B88" w:rsidP="00B60B88">
      <w:pPr>
        <w:ind w:left="851"/>
        <w:rPr>
          <w:sz w:val="24"/>
          <w:szCs w:val="24"/>
          <w:u w:val="single"/>
          <w:lang w:eastAsia="en-GB"/>
        </w:rPr>
      </w:pPr>
      <w:r w:rsidRPr="00672011">
        <w:rPr>
          <w:sz w:val="24"/>
          <w:szCs w:val="24"/>
          <w:u w:val="single"/>
        </w:rPr>
        <w:t xml:space="preserve">Typer af overdosering </w:t>
      </w:r>
    </w:p>
    <w:p w14:paraId="5F4D6512" w14:textId="77777777" w:rsidR="00B60B88" w:rsidRPr="007E629E" w:rsidRDefault="00B60B88" w:rsidP="00B60B88">
      <w:pPr>
        <w:ind w:left="851"/>
        <w:rPr>
          <w:sz w:val="24"/>
          <w:szCs w:val="24"/>
        </w:rPr>
      </w:pPr>
      <w:r w:rsidRPr="007E629E">
        <w:rPr>
          <w:sz w:val="24"/>
          <w:szCs w:val="24"/>
        </w:rPr>
        <w:t xml:space="preserve">Overdosering af </w:t>
      </w:r>
      <w:proofErr w:type="spellStart"/>
      <w:r w:rsidRPr="007E629E">
        <w:rPr>
          <w:sz w:val="24"/>
          <w:szCs w:val="24"/>
        </w:rPr>
        <w:t>lokalanæstetika</w:t>
      </w:r>
      <w:proofErr w:type="spellEnd"/>
      <w:r w:rsidRPr="007E629E">
        <w:rPr>
          <w:sz w:val="24"/>
          <w:szCs w:val="24"/>
        </w:rPr>
        <w:t xml:space="preserve"> kan være absolut, </w:t>
      </w:r>
      <w:r w:rsidRPr="00FC2F5B">
        <w:rPr>
          <w:color w:val="000000"/>
          <w:sz w:val="24"/>
          <w:szCs w:val="24"/>
        </w:rPr>
        <w:t>dvs. at der injiceres doser, der er højere end den maksimalt anbefalede dosis, eller relativ, dvs. at der injiceres</w:t>
      </w:r>
      <w:r w:rsidRPr="007E629E" w:rsidDel="00F263FE">
        <w:rPr>
          <w:sz w:val="24"/>
          <w:szCs w:val="24"/>
        </w:rPr>
        <w:t xml:space="preserve"> </w:t>
      </w:r>
      <w:r w:rsidRPr="007E629E">
        <w:rPr>
          <w:sz w:val="24"/>
          <w:szCs w:val="24"/>
        </w:rPr>
        <w:t xml:space="preserve">en normal ikke-toksisk dosis under særlige omstændigheder. Disse omfatter utilsigtet </w:t>
      </w:r>
      <w:proofErr w:type="spellStart"/>
      <w:r w:rsidRPr="007E629E">
        <w:rPr>
          <w:sz w:val="24"/>
          <w:szCs w:val="24"/>
        </w:rPr>
        <w:t>intravaskulær</w:t>
      </w:r>
      <w:proofErr w:type="spellEnd"/>
      <w:r w:rsidRPr="007E629E">
        <w:rPr>
          <w:sz w:val="24"/>
          <w:szCs w:val="24"/>
        </w:rPr>
        <w:t xml:space="preserve"> injektion eller unormal hurtig absorption i det systemiske kredsløb eller forsinket </w:t>
      </w:r>
      <w:proofErr w:type="spellStart"/>
      <w:r w:rsidRPr="007E629E">
        <w:rPr>
          <w:sz w:val="24"/>
          <w:szCs w:val="24"/>
        </w:rPr>
        <w:t>metabolisering</w:t>
      </w:r>
      <w:proofErr w:type="spellEnd"/>
      <w:r w:rsidRPr="007E629E">
        <w:rPr>
          <w:sz w:val="24"/>
          <w:szCs w:val="24"/>
        </w:rPr>
        <w:t xml:space="preserve"> og elimination af præparatet. </w:t>
      </w:r>
    </w:p>
    <w:p w14:paraId="372B57FA" w14:textId="77777777" w:rsidR="00B60B88" w:rsidRPr="007E629E" w:rsidRDefault="00B60B88" w:rsidP="00B60B88">
      <w:pPr>
        <w:ind w:left="851"/>
        <w:rPr>
          <w:sz w:val="24"/>
          <w:szCs w:val="24"/>
          <w:lang w:eastAsia="es-ES"/>
        </w:rPr>
      </w:pPr>
    </w:p>
    <w:p w14:paraId="14DAF601" w14:textId="77777777" w:rsidR="00B60B88" w:rsidRPr="00672011" w:rsidRDefault="00B60B88" w:rsidP="00B60B88">
      <w:pPr>
        <w:ind w:left="851"/>
        <w:rPr>
          <w:sz w:val="24"/>
          <w:szCs w:val="24"/>
          <w:u w:val="single"/>
          <w:lang w:eastAsia="en-GB"/>
        </w:rPr>
      </w:pPr>
      <w:r w:rsidRPr="00672011">
        <w:rPr>
          <w:sz w:val="24"/>
          <w:szCs w:val="24"/>
          <w:u w:val="single"/>
        </w:rPr>
        <w:t xml:space="preserve">Symptomer </w:t>
      </w:r>
    </w:p>
    <w:p w14:paraId="2F1C3239" w14:textId="77777777" w:rsidR="00B60B88" w:rsidRPr="007E629E" w:rsidRDefault="00B60B88" w:rsidP="00B60B88">
      <w:pPr>
        <w:ind w:left="851"/>
        <w:rPr>
          <w:sz w:val="24"/>
          <w:szCs w:val="24"/>
        </w:rPr>
      </w:pPr>
      <w:r w:rsidRPr="007E629E">
        <w:rPr>
          <w:sz w:val="24"/>
          <w:szCs w:val="24"/>
        </w:rPr>
        <w:t>I tilfælde af relativ overdosering ses der generelt symptomer inden for 1</w:t>
      </w:r>
      <w:r w:rsidRPr="007E629E">
        <w:rPr>
          <w:sz w:val="24"/>
          <w:szCs w:val="24"/>
        </w:rPr>
        <w:noBreakHyphen/>
        <w:t>3 minutter. Hvorimod der i tilfælde af absolut overdosering forekommer tegn på toksicitet ca. 20</w:t>
      </w:r>
      <w:r w:rsidRPr="007E629E">
        <w:rPr>
          <w:sz w:val="24"/>
          <w:szCs w:val="24"/>
        </w:rPr>
        <w:noBreakHyphen/>
        <w:t xml:space="preserve">30 minutter efter injektionen, afhængigt af injektionsstedet. </w:t>
      </w:r>
    </w:p>
    <w:p w14:paraId="67BF6E7A" w14:textId="77777777" w:rsidR="00B60B88" w:rsidRPr="007E629E" w:rsidRDefault="00B60B88" w:rsidP="00B60B88">
      <w:pPr>
        <w:ind w:left="851"/>
        <w:rPr>
          <w:sz w:val="24"/>
          <w:szCs w:val="24"/>
        </w:rPr>
      </w:pPr>
      <w:r w:rsidRPr="007E629E">
        <w:rPr>
          <w:sz w:val="24"/>
          <w:szCs w:val="24"/>
        </w:rPr>
        <w:t xml:space="preserve">Toksiske virkninger er dosisafhængige, omfattende progressive mere svære neurologiske manifestationer efterfulgt af </w:t>
      </w:r>
      <w:proofErr w:type="spellStart"/>
      <w:r w:rsidRPr="007E629E">
        <w:rPr>
          <w:sz w:val="24"/>
          <w:szCs w:val="24"/>
        </w:rPr>
        <w:t>vaskulære</w:t>
      </w:r>
      <w:proofErr w:type="spellEnd"/>
      <w:r w:rsidRPr="007E629E">
        <w:rPr>
          <w:sz w:val="24"/>
          <w:szCs w:val="24"/>
        </w:rPr>
        <w:t xml:space="preserve">, respiratoriske og til sidst </w:t>
      </w:r>
      <w:proofErr w:type="spellStart"/>
      <w:r w:rsidRPr="007E629E">
        <w:rPr>
          <w:sz w:val="24"/>
          <w:szCs w:val="24"/>
        </w:rPr>
        <w:t>kardiovaskulære</w:t>
      </w:r>
      <w:proofErr w:type="spellEnd"/>
      <w:r w:rsidRPr="007E629E">
        <w:rPr>
          <w:sz w:val="24"/>
          <w:szCs w:val="24"/>
        </w:rPr>
        <w:t xml:space="preserve"> symptomer såsom hypotension, bradykardi, </w:t>
      </w:r>
      <w:proofErr w:type="spellStart"/>
      <w:r w:rsidRPr="007E629E">
        <w:rPr>
          <w:sz w:val="24"/>
          <w:szCs w:val="24"/>
        </w:rPr>
        <w:t>arytmi</w:t>
      </w:r>
      <w:proofErr w:type="spellEnd"/>
      <w:r w:rsidRPr="007E629E">
        <w:rPr>
          <w:sz w:val="24"/>
          <w:szCs w:val="24"/>
        </w:rPr>
        <w:t xml:space="preserve"> og hjertestop</w:t>
      </w:r>
      <w:r w:rsidRPr="00254979">
        <w:rPr>
          <w:sz w:val="24"/>
          <w:szCs w:val="24"/>
        </w:rPr>
        <w:t xml:space="preserve">, </w:t>
      </w:r>
      <w:r w:rsidRPr="00FC2F5B">
        <w:rPr>
          <w:color w:val="000000"/>
          <w:sz w:val="24"/>
          <w:szCs w:val="24"/>
        </w:rPr>
        <w:t>som kan være dødelige.</w:t>
      </w:r>
    </w:p>
    <w:p w14:paraId="2C9944FC" w14:textId="77777777" w:rsidR="00FC762F" w:rsidRPr="007E629E" w:rsidRDefault="00FC762F" w:rsidP="004174ED">
      <w:pPr>
        <w:ind w:left="851"/>
        <w:rPr>
          <w:sz w:val="24"/>
          <w:szCs w:val="24"/>
        </w:rPr>
      </w:pPr>
    </w:p>
    <w:p w14:paraId="0EF832E5" w14:textId="77777777" w:rsidR="00FC762F" w:rsidRPr="007E629E" w:rsidRDefault="00FC762F" w:rsidP="004174ED">
      <w:pPr>
        <w:ind w:left="851"/>
        <w:rPr>
          <w:sz w:val="24"/>
          <w:szCs w:val="24"/>
          <w:lang w:eastAsia="en-GB"/>
        </w:rPr>
      </w:pPr>
      <w:r w:rsidRPr="007E629E">
        <w:rPr>
          <w:sz w:val="24"/>
          <w:szCs w:val="24"/>
        </w:rPr>
        <w:t xml:space="preserve">CNS-toksicitet forekommer gradvist med symptomer og reaktioner af gradvist stigende sværhedsgrad. De første symptomer omfatter agitation, en følelse af at være beruset, en fornemmelse af følelsesløshed i læber og tunge, </w:t>
      </w:r>
      <w:proofErr w:type="spellStart"/>
      <w:r w:rsidRPr="007E629E">
        <w:rPr>
          <w:sz w:val="24"/>
          <w:szCs w:val="24"/>
        </w:rPr>
        <w:t>paræstesier</w:t>
      </w:r>
      <w:proofErr w:type="spellEnd"/>
      <w:r w:rsidRPr="007E629E">
        <w:rPr>
          <w:sz w:val="24"/>
          <w:szCs w:val="24"/>
        </w:rPr>
        <w:t xml:space="preserve"> rundt om munden, svimmelhed, syns- og høreforstyrrelser og summen for ørerne. Tegn på disse virkninger under injektion af præparatet er et advarselssignal og injektionen skal omgående afbrydes.</w:t>
      </w:r>
    </w:p>
    <w:p w14:paraId="62C52945" w14:textId="77777777" w:rsidR="00FC762F" w:rsidRPr="007E629E" w:rsidRDefault="00FC762F" w:rsidP="004174ED">
      <w:pPr>
        <w:ind w:left="851"/>
        <w:rPr>
          <w:sz w:val="24"/>
          <w:szCs w:val="24"/>
        </w:rPr>
      </w:pPr>
    </w:p>
    <w:p w14:paraId="40CD311B" w14:textId="77777777" w:rsidR="00FC762F" w:rsidRPr="007E629E" w:rsidRDefault="00FC762F" w:rsidP="004174ED">
      <w:pPr>
        <w:ind w:left="851"/>
        <w:rPr>
          <w:sz w:val="24"/>
          <w:szCs w:val="24"/>
          <w:lang w:eastAsia="en-GB"/>
        </w:rPr>
      </w:pPr>
      <w:proofErr w:type="spellStart"/>
      <w:r w:rsidRPr="007E629E">
        <w:rPr>
          <w:sz w:val="24"/>
          <w:szCs w:val="24"/>
        </w:rPr>
        <w:t>Kardiovaskulære</w:t>
      </w:r>
      <w:proofErr w:type="spellEnd"/>
      <w:r w:rsidRPr="007E629E">
        <w:rPr>
          <w:sz w:val="24"/>
          <w:szCs w:val="24"/>
        </w:rPr>
        <w:t xml:space="preserve"> symptomer opstår ved højere plasmakoncentrationer end dem der forårsager CNS-toksicitet, og CNS-toksicitetstegn indtræffer derfor generelt først medmindre patienten er under fuld anæstesi eller kraftigt sederet (f.eks. med benzodiazepiner eller barbiturater). Bevidstløshed og debut af generaliserede krampeanfald kan </w:t>
      </w:r>
      <w:proofErr w:type="spellStart"/>
      <w:r w:rsidRPr="007E629E">
        <w:rPr>
          <w:sz w:val="24"/>
          <w:szCs w:val="24"/>
        </w:rPr>
        <w:t>forudgås</w:t>
      </w:r>
      <w:proofErr w:type="spellEnd"/>
      <w:r w:rsidRPr="007E629E">
        <w:rPr>
          <w:sz w:val="24"/>
          <w:szCs w:val="24"/>
        </w:rPr>
        <w:t xml:space="preserve"> af forvarslingssymptomer såsom led- og muskelstivhed eller trækninger. Krampeanfald kan vare fra få sekunder til flere minutter og hurtigt føre til </w:t>
      </w:r>
      <w:proofErr w:type="spellStart"/>
      <w:r w:rsidRPr="007E629E">
        <w:rPr>
          <w:sz w:val="24"/>
          <w:szCs w:val="24"/>
        </w:rPr>
        <w:t>hypoksi</w:t>
      </w:r>
      <w:proofErr w:type="spellEnd"/>
      <w:r w:rsidRPr="007E629E">
        <w:rPr>
          <w:sz w:val="24"/>
          <w:szCs w:val="24"/>
        </w:rPr>
        <w:t xml:space="preserve"> og </w:t>
      </w:r>
      <w:proofErr w:type="spellStart"/>
      <w:r w:rsidRPr="007E629E">
        <w:rPr>
          <w:sz w:val="24"/>
          <w:szCs w:val="24"/>
        </w:rPr>
        <w:t>hyperkapni</w:t>
      </w:r>
      <w:proofErr w:type="spellEnd"/>
      <w:r w:rsidRPr="007E629E">
        <w:rPr>
          <w:sz w:val="24"/>
          <w:szCs w:val="24"/>
        </w:rPr>
        <w:t xml:space="preserve"> på grund af den øgede muskelaktivitet og utilstrækkelig ventilation. Respirationsstop kan forekomme i alvorlige tilfælde.</w:t>
      </w:r>
    </w:p>
    <w:p w14:paraId="1AE1A803" w14:textId="77777777" w:rsidR="00FC762F" w:rsidRPr="007E629E" w:rsidRDefault="00FC762F" w:rsidP="004174ED">
      <w:pPr>
        <w:ind w:left="851"/>
        <w:rPr>
          <w:sz w:val="24"/>
          <w:szCs w:val="24"/>
        </w:rPr>
      </w:pPr>
    </w:p>
    <w:p w14:paraId="5DF72E57" w14:textId="77777777" w:rsidR="00FC762F" w:rsidRPr="007E629E" w:rsidRDefault="00FC762F" w:rsidP="004174ED">
      <w:pPr>
        <w:ind w:left="851"/>
        <w:rPr>
          <w:sz w:val="24"/>
          <w:szCs w:val="24"/>
          <w:lang w:eastAsia="en-GB"/>
        </w:rPr>
      </w:pPr>
      <w:r w:rsidRPr="007E629E">
        <w:rPr>
          <w:sz w:val="24"/>
          <w:szCs w:val="24"/>
        </w:rPr>
        <w:t xml:space="preserve">Toksiske bivirkninger kan forekomme ved plasmakoncentrationer på over 5 mg/l, og kramper kan forekomme ved 10 mg/l eller højere. Der foreligger begrænsede data om overdosering. </w:t>
      </w:r>
    </w:p>
    <w:p w14:paraId="6EB9A2BC" w14:textId="77777777" w:rsidR="00FC762F" w:rsidRPr="007E629E" w:rsidRDefault="00FC762F" w:rsidP="004174ED">
      <w:pPr>
        <w:ind w:left="851"/>
        <w:rPr>
          <w:sz w:val="24"/>
          <w:szCs w:val="24"/>
          <w:lang w:eastAsia="es-ES"/>
        </w:rPr>
      </w:pPr>
    </w:p>
    <w:p w14:paraId="62A4EC0C" w14:textId="77777777" w:rsidR="00FC762F" w:rsidRPr="007E629E" w:rsidRDefault="00FC762F" w:rsidP="004174ED">
      <w:pPr>
        <w:ind w:left="851"/>
        <w:rPr>
          <w:sz w:val="24"/>
          <w:szCs w:val="24"/>
          <w:lang w:eastAsia="en-GB"/>
        </w:rPr>
      </w:pPr>
      <w:proofErr w:type="spellStart"/>
      <w:r w:rsidRPr="007E629E">
        <w:rPr>
          <w:sz w:val="24"/>
          <w:szCs w:val="24"/>
        </w:rPr>
        <w:t>Acidose</w:t>
      </w:r>
      <w:proofErr w:type="spellEnd"/>
      <w:r w:rsidRPr="007E629E">
        <w:rPr>
          <w:sz w:val="24"/>
          <w:szCs w:val="24"/>
        </w:rPr>
        <w:t xml:space="preserve"> forværrer de toksiske virkninger af </w:t>
      </w:r>
      <w:proofErr w:type="spellStart"/>
      <w:r w:rsidRPr="007E629E">
        <w:rPr>
          <w:sz w:val="24"/>
          <w:szCs w:val="24"/>
        </w:rPr>
        <w:t>lokalanæstetika</w:t>
      </w:r>
      <w:proofErr w:type="spellEnd"/>
      <w:r w:rsidRPr="007E629E">
        <w:rPr>
          <w:sz w:val="24"/>
          <w:szCs w:val="24"/>
        </w:rPr>
        <w:t>.</w:t>
      </w:r>
    </w:p>
    <w:p w14:paraId="6C007BF9" w14:textId="77777777" w:rsidR="00FC762F" w:rsidRPr="007E629E" w:rsidRDefault="00FC762F" w:rsidP="004174ED">
      <w:pPr>
        <w:ind w:left="851"/>
        <w:rPr>
          <w:sz w:val="24"/>
          <w:szCs w:val="24"/>
        </w:rPr>
      </w:pPr>
      <w:r w:rsidRPr="007E629E">
        <w:rPr>
          <w:sz w:val="24"/>
          <w:szCs w:val="24"/>
        </w:rPr>
        <w:t xml:space="preserve">Hvis der administreres en hurtig </w:t>
      </w:r>
      <w:proofErr w:type="spellStart"/>
      <w:r w:rsidRPr="007E629E">
        <w:rPr>
          <w:sz w:val="24"/>
          <w:szCs w:val="24"/>
        </w:rPr>
        <w:t>intravaskulær</w:t>
      </w:r>
      <w:proofErr w:type="spellEnd"/>
      <w:r w:rsidRPr="007E629E">
        <w:rPr>
          <w:sz w:val="24"/>
          <w:szCs w:val="24"/>
        </w:rPr>
        <w:t xml:space="preserve"> injektion, kan en høj koncentration af </w:t>
      </w:r>
      <w:proofErr w:type="spellStart"/>
      <w:r w:rsidRPr="007E629E">
        <w:rPr>
          <w:sz w:val="24"/>
          <w:szCs w:val="24"/>
        </w:rPr>
        <w:t>mepivacain</w:t>
      </w:r>
      <w:proofErr w:type="spellEnd"/>
      <w:r w:rsidRPr="007E629E">
        <w:rPr>
          <w:sz w:val="24"/>
          <w:szCs w:val="24"/>
        </w:rPr>
        <w:t xml:space="preserve"> i kranspulsårerne føre til myokardieinfarkt, eventuelt efterfulgt af hjertestop inden centralnervesystemet påvirkes. Data om denne virkning er fortsat kontroversielle (se pkt. 4.4 og 5.1).</w:t>
      </w:r>
    </w:p>
    <w:p w14:paraId="69A0E3B5" w14:textId="77777777" w:rsidR="00FC762F" w:rsidRPr="007E629E" w:rsidRDefault="00FC762F" w:rsidP="004174ED">
      <w:pPr>
        <w:ind w:left="851"/>
        <w:rPr>
          <w:sz w:val="24"/>
          <w:szCs w:val="24"/>
        </w:rPr>
      </w:pPr>
    </w:p>
    <w:p w14:paraId="5C4C9874" w14:textId="77777777" w:rsidR="00FC762F" w:rsidRPr="00672011" w:rsidRDefault="00FC762F" w:rsidP="004174ED">
      <w:pPr>
        <w:ind w:left="851"/>
        <w:rPr>
          <w:sz w:val="24"/>
          <w:szCs w:val="24"/>
          <w:u w:val="single"/>
          <w:lang w:eastAsia="en-GB"/>
        </w:rPr>
      </w:pPr>
      <w:r w:rsidRPr="00672011">
        <w:rPr>
          <w:sz w:val="24"/>
          <w:szCs w:val="24"/>
          <w:u w:val="single"/>
        </w:rPr>
        <w:t xml:space="preserve">Håndtering </w:t>
      </w:r>
    </w:p>
    <w:p w14:paraId="01818418" w14:textId="77777777" w:rsidR="00FC762F" w:rsidRPr="007E629E" w:rsidRDefault="00FC762F" w:rsidP="004174ED">
      <w:pPr>
        <w:ind w:left="851"/>
        <w:rPr>
          <w:sz w:val="24"/>
          <w:szCs w:val="24"/>
        </w:rPr>
      </w:pPr>
      <w:r w:rsidRPr="007E629E">
        <w:rPr>
          <w:sz w:val="24"/>
          <w:szCs w:val="24"/>
        </w:rPr>
        <w:t xml:space="preserve">Hvis der opstår tegn på akut systemisk toksicitet, skal injektionen af </w:t>
      </w:r>
      <w:proofErr w:type="spellStart"/>
      <w:r w:rsidRPr="007E629E">
        <w:rPr>
          <w:sz w:val="24"/>
          <w:szCs w:val="24"/>
        </w:rPr>
        <w:t>lokalanæstetikum</w:t>
      </w:r>
      <w:proofErr w:type="spellEnd"/>
      <w:r w:rsidRPr="007E629E">
        <w:rPr>
          <w:sz w:val="24"/>
          <w:szCs w:val="24"/>
        </w:rPr>
        <w:t xml:space="preserve"> straks stoppes. </w:t>
      </w:r>
    </w:p>
    <w:p w14:paraId="60B53A0C" w14:textId="77777777" w:rsidR="00FC762F" w:rsidRPr="007E629E" w:rsidRDefault="00FC762F" w:rsidP="004174ED">
      <w:pPr>
        <w:ind w:left="851"/>
        <w:rPr>
          <w:sz w:val="24"/>
          <w:szCs w:val="24"/>
        </w:rPr>
      </w:pPr>
      <w:r w:rsidRPr="007E629E">
        <w:rPr>
          <w:sz w:val="24"/>
          <w:szCs w:val="24"/>
        </w:rPr>
        <w:t xml:space="preserve">CNS-symptomer (kramper, CNS-undertrykkelse) skal straks behandles med passende luftvejs-/respirationsstøtte og administration af et krampestillende middel. </w:t>
      </w:r>
    </w:p>
    <w:p w14:paraId="2380DA72" w14:textId="77777777" w:rsidR="00FC762F" w:rsidRPr="007E629E" w:rsidRDefault="00FC762F" w:rsidP="004174ED">
      <w:pPr>
        <w:ind w:left="851"/>
        <w:rPr>
          <w:sz w:val="24"/>
          <w:szCs w:val="24"/>
        </w:rPr>
      </w:pPr>
      <w:r w:rsidRPr="007E629E">
        <w:rPr>
          <w:sz w:val="24"/>
          <w:szCs w:val="24"/>
        </w:rPr>
        <w:t xml:space="preserve">Optimal iltning og ventilation og kredsløbsunderstøttende behandling samt behandling af </w:t>
      </w:r>
      <w:proofErr w:type="spellStart"/>
      <w:r w:rsidRPr="007E629E">
        <w:rPr>
          <w:sz w:val="24"/>
          <w:szCs w:val="24"/>
        </w:rPr>
        <w:t>acidose</w:t>
      </w:r>
      <w:proofErr w:type="spellEnd"/>
      <w:r w:rsidRPr="007E629E">
        <w:rPr>
          <w:sz w:val="24"/>
          <w:szCs w:val="24"/>
        </w:rPr>
        <w:t xml:space="preserve"> er yderst vigtigt. </w:t>
      </w:r>
    </w:p>
    <w:p w14:paraId="2148FE90" w14:textId="77777777" w:rsidR="00FC762F" w:rsidRPr="007E629E" w:rsidRDefault="00FC762F" w:rsidP="004174ED">
      <w:pPr>
        <w:ind w:left="851"/>
        <w:rPr>
          <w:sz w:val="24"/>
          <w:szCs w:val="24"/>
        </w:rPr>
      </w:pPr>
      <w:r w:rsidRPr="007E629E">
        <w:rPr>
          <w:sz w:val="24"/>
          <w:szCs w:val="24"/>
        </w:rPr>
        <w:lastRenderedPageBreak/>
        <w:t xml:space="preserve">Hvis der forekommer </w:t>
      </w:r>
      <w:proofErr w:type="spellStart"/>
      <w:r w:rsidRPr="007E629E">
        <w:rPr>
          <w:sz w:val="24"/>
          <w:szCs w:val="24"/>
        </w:rPr>
        <w:t>kardiovaskulær</w:t>
      </w:r>
      <w:proofErr w:type="spellEnd"/>
      <w:r w:rsidRPr="007E629E">
        <w:rPr>
          <w:sz w:val="24"/>
          <w:szCs w:val="24"/>
        </w:rPr>
        <w:t xml:space="preserve"> undertrykkelse (hypotension, bradykardi), skal passende behandling med intravenøse væsker, </w:t>
      </w:r>
      <w:proofErr w:type="spellStart"/>
      <w:r w:rsidRPr="007E629E">
        <w:rPr>
          <w:sz w:val="24"/>
          <w:szCs w:val="24"/>
        </w:rPr>
        <w:t>vasopressor</w:t>
      </w:r>
      <w:proofErr w:type="spellEnd"/>
      <w:r w:rsidRPr="007E629E">
        <w:rPr>
          <w:sz w:val="24"/>
          <w:szCs w:val="24"/>
        </w:rPr>
        <w:t xml:space="preserve"> og/eller inotrope stoffer overvejes. Børn bør gives doser svarende til deres alder og vægt. </w:t>
      </w:r>
    </w:p>
    <w:p w14:paraId="085AA82B" w14:textId="77777777" w:rsidR="00FC762F" w:rsidRPr="007E629E" w:rsidRDefault="00FC762F" w:rsidP="004174ED">
      <w:pPr>
        <w:ind w:left="851"/>
        <w:rPr>
          <w:sz w:val="24"/>
          <w:szCs w:val="24"/>
        </w:rPr>
      </w:pPr>
      <w:r w:rsidRPr="007E629E">
        <w:rPr>
          <w:sz w:val="24"/>
          <w:szCs w:val="24"/>
        </w:rPr>
        <w:t xml:space="preserve">Hvis der forekommer hjertestop, kan det være nødvendigt med en længerevarende, genoplivende indsats for at opnå et vellykket resultat. </w:t>
      </w:r>
    </w:p>
    <w:p w14:paraId="18F22289" w14:textId="77777777" w:rsidR="00FC762F" w:rsidRPr="007E629E" w:rsidRDefault="00FC762F" w:rsidP="004174ED">
      <w:pPr>
        <w:ind w:left="851"/>
        <w:rPr>
          <w:sz w:val="24"/>
          <w:szCs w:val="24"/>
          <w:lang w:eastAsia="es-ES"/>
        </w:rPr>
      </w:pPr>
    </w:p>
    <w:p w14:paraId="1C239BFE" w14:textId="77777777" w:rsidR="00FC762F" w:rsidRPr="007E629E" w:rsidRDefault="00FC762F" w:rsidP="004174ED">
      <w:pPr>
        <w:ind w:left="851"/>
        <w:rPr>
          <w:i/>
          <w:sz w:val="24"/>
          <w:szCs w:val="24"/>
          <w:lang w:eastAsia="en-GB"/>
        </w:rPr>
      </w:pPr>
      <w:r w:rsidRPr="007E629E">
        <w:rPr>
          <w:sz w:val="24"/>
          <w:szCs w:val="24"/>
        </w:rPr>
        <w:t xml:space="preserve">Dialyse er ikke en effektiv behandling af en overdosering med </w:t>
      </w:r>
      <w:proofErr w:type="spellStart"/>
      <w:r w:rsidRPr="007E629E">
        <w:rPr>
          <w:sz w:val="24"/>
          <w:szCs w:val="24"/>
        </w:rPr>
        <w:t>mepivacain</w:t>
      </w:r>
      <w:proofErr w:type="spellEnd"/>
      <w:r w:rsidRPr="007E629E">
        <w:rPr>
          <w:sz w:val="24"/>
          <w:szCs w:val="24"/>
        </w:rPr>
        <w:t>. Elimination kan accelereres ved forsuring af urinen.</w:t>
      </w:r>
    </w:p>
    <w:p w14:paraId="6BEBD6CA" w14:textId="0E164D8E" w:rsidR="009260DE" w:rsidRDefault="009260DE" w:rsidP="009260DE">
      <w:pPr>
        <w:tabs>
          <w:tab w:val="left" w:pos="851"/>
        </w:tabs>
        <w:ind w:left="851"/>
        <w:rPr>
          <w:sz w:val="24"/>
          <w:szCs w:val="24"/>
        </w:rPr>
      </w:pPr>
    </w:p>
    <w:p w14:paraId="7A91E0A7" w14:textId="77777777" w:rsidR="00B60B88" w:rsidRPr="00FC2F5B" w:rsidRDefault="00B60B88" w:rsidP="00B60B88">
      <w:pPr>
        <w:ind w:left="851"/>
        <w:rPr>
          <w:sz w:val="24"/>
          <w:szCs w:val="24"/>
          <w:u w:val="single"/>
        </w:rPr>
      </w:pPr>
      <w:r w:rsidRPr="00FC2F5B">
        <w:rPr>
          <w:sz w:val="24"/>
          <w:szCs w:val="24"/>
          <w:u w:val="single"/>
        </w:rPr>
        <w:t>Pædiatrisk population</w:t>
      </w:r>
    </w:p>
    <w:p w14:paraId="496471CF" w14:textId="77777777" w:rsidR="00B60B88" w:rsidRPr="00FC2F5B" w:rsidRDefault="00B60B88" w:rsidP="00B60B88">
      <w:pPr>
        <w:ind w:left="851"/>
        <w:rPr>
          <w:sz w:val="24"/>
          <w:szCs w:val="24"/>
        </w:rPr>
      </w:pPr>
      <w:r w:rsidRPr="00FC2F5B">
        <w:rPr>
          <w:sz w:val="24"/>
          <w:szCs w:val="24"/>
        </w:rPr>
        <w:t xml:space="preserve">Den maksimalt anbefalede dosis kan let overskrides hos pædiatriske patienter, når der anvendes høje koncentrationer af </w:t>
      </w:r>
      <w:proofErr w:type="spellStart"/>
      <w:r w:rsidRPr="00FC2F5B">
        <w:rPr>
          <w:sz w:val="24"/>
          <w:szCs w:val="24"/>
        </w:rPr>
        <w:t>mepivacain</w:t>
      </w:r>
      <w:proofErr w:type="spellEnd"/>
      <w:r w:rsidRPr="00FC2F5B">
        <w:rPr>
          <w:sz w:val="24"/>
          <w:szCs w:val="24"/>
        </w:rPr>
        <w:t xml:space="preserve"> (3 %).</w:t>
      </w:r>
    </w:p>
    <w:p w14:paraId="08A9F111" w14:textId="77777777" w:rsidR="00B60B88" w:rsidRPr="007E629E" w:rsidRDefault="00B60B88" w:rsidP="009260DE">
      <w:pPr>
        <w:tabs>
          <w:tab w:val="left" w:pos="851"/>
        </w:tabs>
        <w:ind w:left="851"/>
        <w:rPr>
          <w:sz w:val="24"/>
          <w:szCs w:val="24"/>
        </w:rPr>
      </w:pPr>
    </w:p>
    <w:p w14:paraId="4012E521" w14:textId="77777777" w:rsidR="009260DE" w:rsidRPr="007E629E" w:rsidRDefault="009260DE" w:rsidP="009260DE">
      <w:pPr>
        <w:tabs>
          <w:tab w:val="left" w:pos="851"/>
        </w:tabs>
        <w:ind w:left="851" w:hanging="851"/>
        <w:rPr>
          <w:b/>
          <w:sz w:val="24"/>
          <w:szCs w:val="24"/>
        </w:rPr>
      </w:pPr>
      <w:r w:rsidRPr="007E629E">
        <w:rPr>
          <w:b/>
          <w:sz w:val="24"/>
          <w:szCs w:val="24"/>
        </w:rPr>
        <w:t>4.10</w:t>
      </w:r>
      <w:r w:rsidRPr="007E629E">
        <w:rPr>
          <w:b/>
          <w:sz w:val="24"/>
          <w:szCs w:val="24"/>
        </w:rPr>
        <w:tab/>
        <w:t>Udlevering</w:t>
      </w:r>
    </w:p>
    <w:p w14:paraId="2FECF1F7" w14:textId="75C7BC61" w:rsidR="009260DE" w:rsidRPr="007E629E" w:rsidRDefault="004174ED" w:rsidP="009260DE">
      <w:pPr>
        <w:tabs>
          <w:tab w:val="left" w:pos="851"/>
        </w:tabs>
        <w:ind w:left="851"/>
        <w:rPr>
          <w:sz w:val="24"/>
          <w:szCs w:val="24"/>
        </w:rPr>
      </w:pPr>
      <w:r w:rsidRPr="007E629E">
        <w:rPr>
          <w:sz w:val="24"/>
          <w:szCs w:val="24"/>
        </w:rPr>
        <w:t>B</w:t>
      </w:r>
    </w:p>
    <w:p w14:paraId="300B5571" w14:textId="77777777" w:rsidR="009260DE" w:rsidRPr="007E629E" w:rsidRDefault="009260DE" w:rsidP="009260DE">
      <w:pPr>
        <w:tabs>
          <w:tab w:val="left" w:pos="851"/>
        </w:tabs>
        <w:ind w:left="851"/>
        <w:rPr>
          <w:sz w:val="24"/>
          <w:szCs w:val="24"/>
        </w:rPr>
      </w:pPr>
    </w:p>
    <w:p w14:paraId="3DD9992E" w14:textId="77777777" w:rsidR="009260DE" w:rsidRPr="007E629E" w:rsidRDefault="009260DE" w:rsidP="009260DE">
      <w:pPr>
        <w:tabs>
          <w:tab w:val="left" w:pos="851"/>
        </w:tabs>
        <w:ind w:left="851"/>
        <w:rPr>
          <w:sz w:val="24"/>
          <w:szCs w:val="24"/>
        </w:rPr>
      </w:pPr>
    </w:p>
    <w:p w14:paraId="5FD65E57" w14:textId="77777777" w:rsidR="009260DE" w:rsidRPr="007E629E" w:rsidRDefault="009260DE" w:rsidP="009260DE">
      <w:pPr>
        <w:tabs>
          <w:tab w:val="left" w:pos="851"/>
        </w:tabs>
        <w:ind w:left="851" w:hanging="851"/>
        <w:rPr>
          <w:b/>
          <w:sz w:val="24"/>
          <w:szCs w:val="24"/>
        </w:rPr>
      </w:pPr>
      <w:r w:rsidRPr="007E629E">
        <w:rPr>
          <w:b/>
          <w:sz w:val="24"/>
          <w:szCs w:val="24"/>
        </w:rPr>
        <w:t>5.</w:t>
      </w:r>
      <w:r w:rsidRPr="007E629E">
        <w:rPr>
          <w:b/>
          <w:sz w:val="24"/>
          <w:szCs w:val="24"/>
        </w:rPr>
        <w:tab/>
        <w:t>FARMAKOLOGISKE EGENSKABER</w:t>
      </w:r>
    </w:p>
    <w:p w14:paraId="448564F2" w14:textId="77777777" w:rsidR="009260DE" w:rsidRPr="007E629E" w:rsidRDefault="009260DE" w:rsidP="00B60B88">
      <w:pPr>
        <w:tabs>
          <w:tab w:val="left" w:pos="851"/>
        </w:tabs>
        <w:rPr>
          <w:sz w:val="24"/>
          <w:szCs w:val="24"/>
        </w:rPr>
      </w:pPr>
    </w:p>
    <w:p w14:paraId="4C7E7D24" w14:textId="77777777" w:rsidR="009260DE" w:rsidRPr="007E629E" w:rsidRDefault="009260DE" w:rsidP="009260DE">
      <w:pPr>
        <w:tabs>
          <w:tab w:val="num" w:pos="851"/>
        </w:tabs>
        <w:ind w:left="851" w:hanging="851"/>
        <w:rPr>
          <w:b/>
          <w:sz w:val="24"/>
          <w:szCs w:val="24"/>
        </w:rPr>
      </w:pPr>
      <w:r w:rsidRPr="007E629E">
        <w:rPr>
          <w:b/>
          <w:sz w:val="24"/>
          <w:szCs w:val="24"/>
        </w:rPr>
        <w:t>5.1</w:t>
      </w:r>
      <w:r w:rsidRPr="007E629E">
        <w:rPr>
          <w:b/>
          <w:sz w:val="24"/>
          <w:szCs w:val="24"/>
        </w:rPr>
        <w:tab/>
      </w:r>
      <w:proofErr w:type="spellStart"/>
      <w:r w:rsidRPr="007E629E">
        <w:rPr>
          <w:b/>
          <w:sz w:val="24"/>
          <w:szCs w:val="24"/>
        </w:rPr>
        <w:t>Farmakodynamiske</w:t>
      </w:r>
      <w:proofErr w:type="spellEnd"/>
      <w:r w:rsidRPr="007E629E">
        <w:rPr>
          <w:b/>
          <w:sz w:val="24"/>
          <w:szCs w:val="24"/>
        </w:rPr>
        <w:t xml:space="preserve"> egenskaber</w:t>
      </w:r>
    </w:p>
    <w:p w14:paraId="4D8881D4" w14:textId="160F1C32" w:rsidR="00B60B88" w:rsidRPr="007E629E" w:rsidRDefault="00B60B88" w:rsidP="00B60B88">
      <w:pPr>
        <w:ind w:left="851"/>
        <w:rPr>
          <w:sz w:val="24"/>
          <w:szCs w:val="24"/>
          <w:lang w:eastAsia="en-GB"/>
        </w:rPr>
      </w:pPr>
      <w:proofErr w:type="spellStart"/>
      <w:r>
        <w:rPr>
          <w:sz w:val="24"/>
          <w:szCs w:val="24"/>
        </w:rPr>
        <w:t>Farmakoterapeutisk</w:t>
      </w:r>
      <w:proofErr w:type="spellEnd"/>
      <w:r>
        <w:rPr>
          <w:sz w:val="24"/>
          <w:szCs w:val="24"/>
        </w:rPr>
        <w:t xml:space="preserve"> klassifikation: </w:t>
      </w:r>
      <w:proofErr w:type="spellStart"/>
      <w:r w:rsidRPr="007E629E">
        <w:rPr>
          <w:sz w:val="24"/>
          <w:szCs w:val="24"/>
        </w:rPr>
        <w:t>Lokalanesthetica</w:t>
      </w:r>
      <w:proofErr w:type="spellEnd"/>
      <w:r w:rsidRPr="007E629E">
        <w:rPr>
          <w:sz w:val="24"/>
          <w:szCs w:val="24"/>
        </w:rPr>
        <w:t>/Amider/</w:t>
      </w:r>
      <w:proofErr w:type="spellStart"/>
      <w:r w:rsidRPr="007E629E">
        <w:rPr>
          <w:sz w:val="24"/>
          <w:szCs w:val="24"/>
        </w:rPr>
        <w:t>Mepivacain</w:t>
      </w:r>
      <w:proofErr w:type="spellEnd"/>
      <w:r>
        <w:rPr>
          <w:sz w:val="24"/>
          <w:szCs w:val="24"/>
        </w:rPr>
        <w:t xml:space="preserve">, </w:t>
      </w:r>
      <w:r w:rsidRPr="007E629E">
        <w:rPr>
          <w:sz w:val="24"/>
          <w:szCs w:val="24"/>
        </w:rPr>
        <w:t xml:space="preserve">ATC-kode N01BB03. </w:t>
      </w:r>
    </w:p>
    <w:p w14:paraId="09BA6F01" w14:textId="77777777" w:rsidR="00B60B88" w:rsidRDefault="00B60B88" w:rsidP="00B60B88">
      <w:pPr>
        <w:rPr>
          <w:sz w:val="24"/>
          <w:szCs w:val="24"/>
        </w:rPr>
      </w:pPr>
    </w:p>
    <w:p w14:paraId="06698B63" w14:textId="46351E32" w:rsidR="00FC762F" w:rsidRPr="00672011" w:rsidRDefault="00FC762F" w:rsidP="004174ED">
      <w:pPr>
        <w:ind w:left="851"/>
        <w:rPr>
          <w:sz w:val="24"/>
          <w:szCs w:val="24"/>
          <w:u w:val="single"/>
          <w:lang w:eastAsia="en-GB"/>
        </w:rPr>
      </w:pPr>
      <w:r w:rsidRPr="00672011">
        <w:rPr>
          <w:sz w:val="24"/>
          <w:szCs w:val="24"/>
          <w:u w:val="single"/>
        </w:rPr>
        <w:t xml:space="preserve">Virkningsmekanisme </w:t>
      </w:r>
    </w:p>
    <w:p w14:paraId="1A1506CB" w14:textId="77777777" w:rsidR="00FC762F" w:rsidRPr="007E629E" w:rsidRDefault="00FC762F" w:rsidP="004174ED">
      <w:pPr>
        <w:ind w:left="851"/>
        <w:rPr>
          <w:sz w:val="24"/>
          <w:szCs w:val="24"/>
        </w:rPr>
      </w:pPr>
      <w:proofErr w:type="spellStart"/>
      <w:r w:rsidRPr="007E629E">
        <w:rPr>
          <w:sz w:val="24"/>
          <w:szCs w:val="24"/>
        </w:rPr>
        <w:t>Mepivacain</w:t>
      </w:r>
      <w:proofErr w:type="spellEnd"/>
      <w:r w:rsidRPr="007E629E">
        <w:rPr>
          <w:sz w:val="24"/>
          <w:szCs w:val="24"/>
        </w:rPr>
        <w:t xml:space="preserve"> er et </w:t>
      </w:r>
      <w:proofErr w:type="spellStart"/>
      <w:r w:rsidRPr="007E629E">
        <w:rPr>
          <w:sz w:val="24"/>
          <w:szCs w:val="24"/>
        </w:rPr>
        <w:t>lokalanæstetikum</w:t>
      </w:r>
      <w:proofErr w:type="spellEnd"/>
      <w:r w:rsidRPr="007E629E">
        <w:rPr>
          <w:sz w:val="24"/>
          <w:szCs w:val="24"/>
        </w:rPr>
        <w:t xml:space="preserve"> af amidtypen. </w:t>
      </w:r>
    </w:p>
    <w:p w14:paraId="33B26B92" w14:textId="77777777" w:rsidR="00FC762F" w:rsidRPr="007E629E" w:rsidRDefault="00FC762F" w:rsidP="004174ED">
      <w:pPr>
        <w:ind w:left="851"/>
        <w:rPr>
          <w:sz w:val="24"/>
          <w:szCs w:val="24"/>
        </w:rPr>
      </w:pPr>
      <w:proofErr w:type="spellStart"/>
      <w:r w:rsidRPr="007E629E">
        <w:rPr>
          <w:sz w:val="24"/>
          <w:szCs w:val="24"/>
        </w:rPr>
        <w:t>Mepivacain</w:t>
      </w:r>
      <w:proofErr w:type="spellEnd"/>
      <w:r w:rsidRPr="007E629E">
        <w:rPr>
          <w:sz w:val="24"/>
          <w:szCs w:val="24"/>
        </w:rPr>
        <w:t xml:space="preserve"> hæmmer reversibelt </w:t>
      </w:r>
      <w:proofErr w:type="spellStart"/>
      <w:r w:rsidRPr="007E629E">
        <w:rPr>
          <w:sz w:val="24"/>
          <w:szCs w:val="24"/>
        </w:rPr>
        <w:t>konduktionen</w:t>
      </w:r>
      <w:proofErr w:type="spellEnd"/>
      <w:r w:rsidRPr="007E629E">
        <w:rPr>
          <w:sz w:val="24"/>
          <w:szCs w:val="24"/>
        </w:rPr>
        <w:t xml:space="preserve"> af nerveimpulser ved at nedsætte eller blokere strømningen af </w:t>
      </w:r>
      <w:proofErr w:type="spellStart"/>
      <w:r w:rsidRPr="007E629E">
        <w:rPr>
          <w:sz w:val="24"/>
          <w:szCs w:val="24"/>
        </w:rPr>
        <w:t>natriumioner</w:t>
      </w:r>
      <w:proofErr w:type="spellEnd"/>
      <w:r w:rsidRPr="007E629E">
        <w:rPr>
          <w:sz w:val="24"/>
          <w:szCs w:val="24"/>
        </w:rPr>
        <w:t xml:space="preserve"> (Na+) under </w:t>
      </w:r>
      <w:proofErr w:type="spellStart"/>
      <w:r w:rsidRPr="007E629E">
        <w:rPr>
          <w:sz w:val="24"/>
          <w:szCs w:val="24"/>
        </w:rPr>
        <w:t>propagering</w:t>
      </w:r>
      <w:proofErr w:type="spellEnd"/>
      <w:r w:rsidRPr="007E629E">
        <w:rPr>
          <w:sz w:val="24"/>
          <w:szCs w:val="24"/>
        </w:rPr>
        <w:t xml:space="preserve"> af nervernes aktionspotentiale. Den anæstetiske virkning indtræder gradvist i nerven ved at tærsklen for elektrisk </w:t>
      </w:r>
      <w:proofErr w:type="spellStart"/>
      <w:r w:rsidRPr="007E629E">
        <w:rPr>
          <w:sz w:val="24"/>
          <w:szCs w:val="24"/>
        </w:rPr>
        <w:t>eksitabilitet</w:t>
      </w:r>
      <w:proofErr w:type="spellEnd"/>
      <w:r w:rsidRPr="007E629E">
        <w:rPr>
          <w:sz w:val="24"/>
          <w:szCs w:val="24"/>
        </w:rPr>
        <w:t xml:space="preserve"> gradvist øges, hastigheden af stigningen i aktionspotentialet falder og impulsledningen bliver langsommere. </w:t>
      </w:r>
      <w:proofErr w:type="spellStart"/>
      <w:r w:rsidRPr="007E629E">
        <w:rPr>
          <w:sz w:val="24"/>
          <w:szCs w:val="24"/>
        </w:rPr>
        <w:t>Mepivacains</w:t>
      </w:r>
      <w:proofErr w:type="spellEnd"/>
      <w:r w:rsidRPr="007E629E">
        <w:rPr>
          <w:sz w:val="24"/>
          <w:szCs w:val="24"/>
        </w:rPr>
        <w:t xml:space="preserve"> virkning indtræder hurtigt, anæstesistyrken er høj og toksiciteten lav. </w:t>
      </w:r>
    </w:p>
    <w:p w14:paraId="5ED58100" w14:textId="77777777" w:rsidR="00FC762F" w:rsidRPr="007E629E" w:rsidRDefault="00FC762F" w:rsidP="004174ED">
      <w:pPr>
        <w:ind w:left="851"/>
        <w:rPr>
          <w:sz w:val="24"/>
          <w:szCs w:val="24"/>
        </w:rPr>
      </w:pPr>
      <w:proofErr w:type="spellStart"/>
      <w:r w:rsidRPr="007E629E">
        <w:rPr>
          <w:sz w:val="24"/>
          <w:szCs w:val="24"/>
        </w:rPr>
        <w:t>Mepivacain</w:t>
      </w:r>
      <w:proofErr w:type="spellEnd"/>
      <w:r w:rsidRPr="007E629E">
        <w:rPr>
          <w:sz w:val="24"/>
          <w:szCs w:val="24"/>
        </w:rPr>
        <w:t xml:space="preserve"> har en svag </w:t>
      </w:r>
      <w:proofErr w:type="spellStart"/>
      <w:r w:rsidRPr="007E629E">
        <w:rPr>
          <w:sz w:val="24"/>
          <w:szCs w:val="24"/>
        </w:rPr>
        <w:t>vasokonstriktorisk</w:t>
      </w:r>
      <w:proofErr w:type="spellEnd"/>
      <w:r w:rsidRPr="007E629E">
        <w:rPr>
          <w:sz w:val="24"/>
          <w:szCs w:val="24"/>
        </w:rPr>
        <w:t xml:space="preserve"> virkning, hvilket giver en længere virkning end de fleste andre </w:t>
      </w:r>
      <w:proofErr w:type="spellStart"/>
      <w:r w:rsidRPr="007E629E">
        <w:rPr>
          <w:sz w:val="24"/>
          <w:szCs w:val="24"/>
        </w:rPr>
        <w:t>lokalanæstetika</w:t>
      </w:r>
      <w:proofErr w:type="spellEnd"/>
      <w:r w:rsidRPr="007E629E">
        <w:rPr>
          <w:sz w:val="24"/>
          <w:szCs w:val="24"/>
        </w:rPr>
        <w:t xml:space="preserve">, når de administreres uden en </w:t>
      </w:r>
      <w:proofErr w:type="spellStart"/>
      <w:r w:rsidRPr="007E629E">
        <w:rPr>
          <w:sz w:val="24"/>
          <w:szCs w:val="24"/>
        </w:rPr>
        <w:t>vasokonstriktor</w:t>
      </w:r>
      <w:proofErr w:type="spellEnd"/>
      <w:r w:rsidRPr="007E629E">
        <w:rPr>
          <w:sz w:val="24"/>
          <w:szCs w:val="24"/>
        </w:rPr>
        <w:t xml:space="preserve">. Studier har vist, at </w:t>
      </w:r>
      <w:proofErr w:type="spellStart"/>
      <w:r w:rsidRPr="007E629E">
        <w:rPr>
          <w:sz w:val="24"/>
          <w:szCs w:val="24"/>
        </w:rPr>
        <w:t>mepivacain</w:t>
      </w:r>
      <w:proofErr w:type="spellEnd"/>
      <w:r w:rsidRPr="007E629E">
        <w:rPr>
          <w:sz w:val="24"/>
          <w:szCs w:val="24"/>
        </w:rPr>
        <w:t xml:space="preserve"> har </w:t>
      </w:r>
      <w:proofErr w:type="spellStart"/>
      <w:r w:rsidRPr="007E629E">
        <w:rPr>
          <w:sz w:val="24"/>
          <w:szCs w:val="24"/>
        </w:rPr>
        <w:t>vasokonstriktoriske</w:t>
      </w:r>
      <w:proofErr w:type="spellEnd"/>
      <w:r w:rsidRPr="007E629E">
        <w:rPr>
          <w:sz w:val="24"/>
          <w:szCs w:val="24"/>
        </w:rPr>
        <w:t xml:space="preserve"> egenskaber. Denne egenskab kan være nyttig, når anvendelsen af en </w:t>
      </w:r>
      <w:proofErr w:type="spellStart"/>
      <w:r w:rsidRPr="007E629E">
        <w:rPr>
          <w:sz w:val="24"/>
          <w:szCs w:val="24"/>
        </w:rPr>
        <w:t>vasokonstriktor</w:t>
      </w:r>
      <w:proofErr w:type="spellEnd"/>
      <w:r w:rsidRPr="007E629E">
        <w:rPr>
          <w:sz w:val="24"/>
          <w:szCs w:val="24"/>
        </w:rPr>
        <w:t xml:space="preserve"> er kontraindiceret. Flere faktorer såsom vævets pH-værdi, </w:t>
      </w:r>
      <w:proofErr w:type="spellStart"/>
      <w:r w:rsidRPr="007E629E">
        <w:rPr>
          <w:sz w:val="24"/>
          <w:szCs w:val="24"/>
        </w:rPr>
        <w:t>pKa</w:t>
      </w:r>
      <w:proofErr w:type="spellEnd"/>
      <w:r w:rsidRPr="007E629E">
        <w:rPr>
          <w:sz w:val="24"/>
          <w:szCs w:val="24"/>
        </w:rPr>
        <w:t xml:space="preserve">, fedtopløselighed, koncentrationen af </w:t>
      </w:r>
      <w:proofErr w:type="spellStart"/>
      <w:r w:rsidRPr="007E629E">
        <w:rPr>
          <w:sz w:val="24"/>
          <w:szCs w:val="24"/>
        </w:rPr>
        <w:t>lokalanæstetika</w:t>
      </w:r>
      <w:proofErr w:type="spellEnd"/>
      <w:r w:rsidRPr="007E629E">
        <w:rPr>
          <w:sz w:val="24"/>
          <w:szCs w:val="24"/>
        </w:rPr>
        <w:t xml:space="preserve">, diffusionen af </w:t>
      </w:r>
      <w:proofErr w:type="spellStart"/>
      <w:r w:rsidRPr="007E629E">
        <w:rPr>
          <w:sz w:val="24"/>
          <w:szCs w:val="24"/>
        </w:rPr>
        <w:t>lokalanæstetika</w:t>
      </w:r>
      <w:proofErr w:type="spellEnd"/>
      <w:r w:rsidRPr="007E629E">
        <w:rPr>
          <w:sz w:val="24"/>
          <w:szCs w:val="24"/>
        </w:rPr>
        <w:t xml:space="preserve"> i nerven osv., kan påvirke debut af virkningen og varigheden af </w:t>
      </w:r>
      <w:proofErr w:type="spellStart"/>
      <w:r w:rsidRPr="007E629E">
        <w:rPr>
          <w:sz w:val="24"/>
          <w:szCs w:val="24"/>
        </w:rPr>
        <w:t>lokalanæstetika</w:t>
      </w:r>
      <w:proofErr w:type="spellEnd"/>
      <w:r w:rsidRPr="007E629E">
        <w:rPr>
          <w:sz w:val="24"/>
          <w:szCs w:val="24"/>
        </w:rPr>
        <w:t>.</w:t>
      </w:r>
    </w:p>
    <w:p w14:paraId="3FC2C959" w14:textId="77777777" w:rsidR="00FC762F" w:rsidRPr="007E629E" w:rsidRDefault="00FC762F" w:rsidP="004174ED">
      <w:pPr>
        <w:ind w:left="851"/>
        <w:rPr>
          <w:sz w:val="24"/>
          <w:szCs w:val="24"/>
        </w:rPr>
      </w:pPr>
    </w:p>
    <w:p w14:paraId="2EB327D6" w14:textId="77777777" w:rsidR="00FC762F" w:rsidRPr="00672011" w:rsidRDefault="00FC762F" w:rsidP="004174ED">
      <w:pPr>
        <w:ind w:left="851"/>
        <w:rPr>
          <w:sz w:val="24"/>
          <w:szCs w:val="24"/>
          <w:u w:val="single"/>
          <w:lang w:eastAsia="en-GB"/>
        </w:rPr>
      </w:pPr>
      <w:r w:rsidRPr="00672011">
        <w:rPr>
          <w:sz w:val="24"/>
          <w:szCs w:val="24"/>
          <w:u w:val="single"/>
        </w:rPr>
        <w:t xml:space="preserve">Start af virkning </w:t>
      </w:r>
    </w:p>
    <w:p w14:paraId="2A0C01AE" w14:textId="77777777" w:rsidR="00FC762F" w:rsidRPr="007E629E" w:rsidRDefault="00FC762F" w:rsidP="004174ED">
      <w:pPr>
        <w:ind w:left="851"/>
        <w:rPr>
          <w:sz w:val="24"/>
          <w:szCs w:val="24"/>
        </w:rPr>
      </w:pPr>
      <w:r w:rsidRPr="007E629E">
        <w:rPr>
          <w:sz w:val="24"/>
          <w:szCs w:val="24"/>
        </w:rPr>
        <w:t xml:space="preserve">Ved anlæggelse af en dental perifer nerveblokade indtræder </w:t>
      </w:r>
      <w:proofErr w:type="spellStart"/>
      <w:r w:rsidRPr="007E629E">
        <w:rPr>
          <w:sz w:val="24"/>
          <w:szCs w:val="24"/>
        </w:rPr>
        <w:t>mepivacains</w:t>
      </w:r>
      <w:proofErr w:type="spellEnd"/>
      <w:r w:rsidRPr="007E629E">
        <w:rPr>
          <w:sz w:val="24"/>
          <w:szCs w:val="24"/>
        </w:rPr>
        <w:t xml:space="preserve"> virkning hurtigt (normalt inden for 3 til 5 minutter).</w:t>
      </w:r>
    </w:p>
    <w:p w14:paraId="29A927E2" w14:textId="77777777" w:rsidR="00FC762F" w:rsidRPr="007E629E" w:rsidRDefault="00FC762F" w:rsidP="004174ED">
      <w:pPr>
        <w:ind w:left="851"/>
        <w:rPr>
          <w:sz w:val="24"/>
          <w:szCs w:val="24"/>
        </w:rPr>
      </w:pPr>
    </w:p>
    <w:p w14:paraId="596BE15E" w14:textId="77777777" w:rsidR="00FC762F" w:rsidRPr="00672011" w:rsidRDefault="00FC762F" w:rsidP="004174ED">
      <w:pPr>
        <w:ind w:left="851"/>
        <w:rPr>
          <w:sz w:val="24"/>
          <w:szCs w:val="24"/>
          <w:u w:val="single"/>
          <w:lang w:eastAsia="en-GB"/>
        </w:rPr>
      </w:pPr>
      <w:r w:rsidRPr="00672011">
        <w:rPr>
          <w:sz w:val="24"/>
          <w:szCs w:val="24"/>
          <w:u w:val="single"/>
        </w:rPr>
        <w:t xml:space="preserve">Anæstesiens varighed </w:t>
      </w:r>
    </w:p>
    <w:p w14:paraId="1AB1ABF1" w14:textId="77777777" w:rsidR="00FC762F" w:rsidRPr="007E629E" w:rsidRDefault="00FC762F" w:rsidP="004174ED">
      <w:pPr>
        <w:ind w:left="851"/>
        <w:rPr>
          <w:sz w:val="24"/>
          <w:szCs w:val="24"/>
        </w:rPr>
      </w:pPr>
      <w:proofErr w:type="spellStart"/>
      <w:r w:rsidRPr="007E629E">
        <w:rPr>
          <w:sz w:val="24"/>
          <w:szCs w:val="24"/>
        </w:rPr>
        <w:t>Pulpaanæstesi</w:t>
      </w:r>
      <w:proofErr w:type="spellEnd"/>
      <w:r w:rsidRPr="007E629E">
        <w:rPr>
          <w:sz w:val="24"/>
          <w:szCs w:val="24"/>
        </w:rPr>
        <w:t xml:space="preserve"> varer normalt ca. 25 minutter efter infiltration i </w:t>
      </w:r>
      <w:proofErr w:type="spellStart"/>
      <w:r w:rsidRPr="007E629E">
        <w:rPr>
          <w:sz w:val="24"/>
          <w:szCs w:val="24"/>
        </w:rPr>
        <w:t>maxilla</w:t>
      </w:r>
      <w:proofErr w:type="spellEnd"/>
      <w:r w:rsidRPr="007E629E">
        <w:rPr>
          <w:sz w:val="24"/>
          <w:szCs w:val="24"/>
        </w:rPr>
        <w:t xml:space="preserve"> og ca. 40 minutter efter blokade af </w:t>
      </w:r>
      <w:proofErr w:type="spellStart"/>
      <w:r w:rsidRPr="007E629E">
        <w:rPr>
          <w:sz w:val="24"/>
          <w:szCs w:val="24"/>
        </w:rPr>
        <w:t>nervus</w:t>
      </w:r>
      <w:proofErr w:type="spellEnd"/>
      <w:r w:rsidRPr="007E629E">
        <w:rPr>
          <w:sz w:val="24"/>
          <w:szCs w:val="24"/>
        </w:rPr>
        <w:t xml:space="preserve"> </w:t>
      </w:r>
      <w:proofErr w:type="spellStart"/>
      <w:r w:rsidRPr="007E629E">
        <w:rPr>
          <w:sz w:val="24"/>
          <w:szCs w:val="24"/>
        </w:rPr>
        <w:t>alveolaris</w:t>
      </w:r>
      <w:proofErr w:type="spellEnd"/>
      <w:r w:rsidRPr="007E629E">
        <w:rPr>
          <w:sz w:val="24"/>
          <w:szCs w:val="24"/>
        </w:rPr>
        <w:t xml:space="preserve"> </w:t>
      </w:r>
      <w:proofErr w:type="spellStart"/>
      <w:r w:rsidRPr="007E629E">
        <w:rPr>
          <w:sz w:val="24"/>
          <w:szCs w:val="24"/>
        </w:rPr>
        <w:t>inf</w:t>
      </w:r>
      <w:proofErr w:type="spellEnd"/>
      <w:r w:rsidRPr="007E629E">
        <w:rPr>
          <w:sz w:val="24"/>
          <w:szCs w:val="24"/>
        </w:rPr>
        <w:t xml:space="preserve">., hvorimod anæstesi i bløddelsvæv varede i op til ca. 90 minutter efter infiltration i </w:t>
      </w:r>
      <w:proofErr w:type="spellStart"/>
      <w:r w:rsidRPr="007E629E">
        <w:rPr>
          <w:sz w:val="24"/>
          <w:szCs w:val="24"/>
        </w:rPr>
        <w:t>maxilla</w:t>
      </w:r>
      <w:proofErr w:type="spellEnd"/>
      <w:r w:rsidRPr="007E629E">
        <w:rPr>
          <w:sz w:val="24"/>
          <w:szCs w:val="24"/>
        </w:rPr>
        <w:t xml:space="preserve"> og ca. 165 minutter efter blokade af </w:t>
      </w:r>
      <w:proofErr w:type="spellStart"/>
      <w:r w:rsidRPr="007E629E">
        <w:rPr>
          <w:sz w:val="24"/>
          <w:szCs w:val="24"/>
        </w:rPr>
        <w:t>nervus</w:t>
      </w:r>
      <w:proofErr w:type="spellEnd"/>
      <w:r w:rsidRPr="007E629E">
        <w:rPr>
          <w:sz w:val="24"/>
          <w:szCs w:val="24"/>
        </w:rPr>
        <w:t xml:space="preserve"> </w:t>
      </w:r>
      <w:proofErr w:type="spellStart"/>
      <w:r w:rsidRPr="007E629E">
        <w:rPr>
          <w:sz w:val="24"/>
          <w:szCs w:val="24"/>
        </w:rPr>
        <w:t>alveolaris</w:t>
      </w:r>
      <w:proofErr w:type="spellEnd"/>
      <w:r w:rsidRPr="007E629E">
        <w:rPr>
          <w:sz w:val="24"/>
          <w:szCs w:val="24"/>
        </w:rPr>
        <w:t xml:space="preserve"> </w:t>
      </w:r>
      <w:proofErr w:type="spellStart"/>
      <w:r w:rsidRPr="007E629E">
        <w:rPr>
          <w:sz w:val="24"/>
          <w:szCs w:val="24"/>
        </w:rPr>
        <w:t>inf</w:t>
      </w:r>
      <w:proofErr w:type="spellEnd"/>
      <w:r w:rsidRPr="007E629E">
        <w:rPr>
          <w:sz w:val="24"/>
          <w:szCs w:val="24"/>
        </w:rPr>
        <w:t>.</w:t>
      </w:r>
    </w:p>
    <w:p w14:paraId="2D1DF965" w14:textId="77777777" w:rsidR="00FC762F" w:rsidRPr="007E629E" w:rsidRDefault="00FC762F" w:rsidP="004174ED">
      <w:pPr>
        <w:ind w:left="851"/>
        <w:rPr>
          <w:sz w:val="24"/>
          <w:szCs w:val="24"/>
        </w:rPr>
      </w:pPr>
    </w:p>
    <w:p w14:paraId="71F55E0C" w14:textId="77777777" w:rsidR="00FC762F" w:rsidRPr="00B96750" w:rsidRDefault="00FC762F" w:rsidP="004174ED">
      <w:pPr>
        <w:ind w:left="851"/>
        <w:rPr>
          <w:sz w:val="24"/>
          <w:szCs w:val="24"/>
          <w:u w:val="single"/>
          <w:lang w:eastAsia="en-GB"/>
        </w:rPr>
      </w:pPr>
      <w:r w:rsidRPr="00B96750">
        <w:rPr>
          <w:sz w:val="24"/>
          <w:szCs w:val="24"/>
          <w:u w:val="single"/>
        </w:rPr>
        <w:t xml:space="preserve">Biotilgængelighed </w:t>
      </w:r>
    </w:p>
    <w:p w14:paraId="5CE539CA" w14:textId="4E4759E1" w:rsidR="001D738A" w:rsidRDefault="00FC762F" w:rsidP="00B60B88">
      <w:pPr>
        <w:ind w:left="851"/>
        <w:rPr>
          <w:sz w:val="24"/>
          <w:szCs w:val="24"/>
        </w:rPr>
      </w:pPr>
      <w:r w:rsidRPr="007E629E">
        <w:rPr>
          <w:sz w:val="24"/>
          <w:szCs w:val="24"/>
        </w:rPr>
        <w:t xml:space="preserve">Biotilgængeligheden er 100 % på </w:t>
      </w:r>
      <w:proofErr w:type="spellStart"/>
      <w:r w:rsidRPr="007E629E">
        <w:rPr>
          <w:sz w:val="24"/>
          <w:szCs w:val="24"/>
        </w:rPr>
        <w:t>aktionsstedet</w:t>
      </w:r>
      <w:proofErr w:type="spellEnd"/>
      <w:r w:rsidRPr="007E629E">
        <w:rPr>
          <w:sz w:val="24"/>
          <w:szCs w:val="24"/>
        </w:rPr>
        <w:t>.</w:t>
      </w:r>
    </w:p>
    <w:p w14:paraId="728B94A4" w14:textId="77777777" w:rsidR="009260DE" w:rsidRPr="007E629E" w:rsidRDefault="009260DE" w:rsidP="009260DE">
      <w:pPr>
        <w:tabs>
          <w:tab w:val="left" w:pos="851"/>
        </w:tabs>
        <w:ind w:left="851"/>
        <w:rPr>
          <w:sz w:val="24"/>
          <w:szCs w:val="24"/>
        </w:rPr>
      </w:pPr>
    </w:p>
    <w:p w14:paraId="60E6DB30" w14:textId="77777777" w:rsidR="009260DE" w:rsidRPr="007E629E" w:rsidRDefault="009260DE" w:rsidP="009260DE">
      <w:pPr>
        <w:tabs>
          <w:tab w:val="left" w:pos="851"/>
        </w:tabs>
        <w:ind w:left="851" w:hanging="851"/>
        <w:rPr>
          <w:b/>
          <w:sz w:val="24"/>
          <w:szCs w:val="24"/>
        </w:rPr>
      </w:pPr>
      <w:r w:rsidRPr="007E629E">
        <w:rPr>
          <w:b/>
          <w:sz w:val="24"/>
          <w:szCs w:val="24"/>
        </w:rPr>
        <w:t>5.2</w:t>
      </w:r>
      <w:r w:rsidRPr="007E629E">
        <w:rPr>
          <w:b/>
          <w:sz w:val="24"/>
          <w:szCs w:val="24"/>
        </w:rPr>
        <w:tab/>
      </w:r>
      <w:proofErr w:type="spellStart"/>
      <w:r w:rsidRPr="007E629E">
        <w:rPr>
          <w:b/>
          <w:sz w:val="24"/>
          <w:szCs w:val="24"/>
        </w:rPr>
        <w:t>Farmakokinetiske</w:t>
      </w:r>
      <w:proofErr w:type="spellEnd"/>
      <w:r w:rsidRPr="007E629E">
        <w:rPr>
          <w:b/>
          <w:sz w:val="24"/>
          <w:szCs w:val="24"/>
        </w:rPr>
        <w:t xml:space="preserve"> egenskaber</w:t>
      </w:r>
    </w:p>
    <w:p w14:paraId="728C7189" w14:textId="77777777" w:rsidR="00B96750" w:rsidRDefault="00B96750" w:rsidP="004174ED">
      <w:pPr>
        <w:ind w:left="851"/>
        <w:rPr>
          <w:sz w:val="24"/>
          <w:szCs w:val="24"/>
        </w:rPr>
      </w:pPr>
    </w:p>
    <w:p w14:paraId="51E1A155" w14:textId="25A2D32F" w:rsidR="00FC762F" w:rsidRPr="00B96750" w:rsidRDefault="00FC762F" w:rsidP="004174ED">
      <w:pPr>
        <w:ind w:left="851"/>
        <w:rPr>
          <w:sz w:val="24"/>
          <w:szCs w:val="24"/>
          <w:u w:val="single"/>
          <w:lang w:eastAsia="en-GB"/>
        </w:rPr>
      </w:pPr>
      <w:r w:rsidRPr="00B96750">
        <w:rPr>
          <w:sz w:val="24"/>
          <w:szCs w:val="24"/>
          <w:u w:val="single"/>
        </w:rPr>
        <w:t xml:space="preserve">Absorption </w:t>
      </w:r>
    </w:p>
    <w:p w14:paraId="57F716A4" w14:textId="77777777" w:rsidR="00FC762F" w:rsidRPr="007E629E" w:rsidRDefault="00FC762F" w:rsidP="004174ED">
      <w:pPr>
        <w:ind w:left="851"/>
        <w:rPr>
          <w:sz w:val="24"/>
          <w:szCs w:val="24"/>
        </w:rPr>
      </w:pPr>
      <w:r w:rsidRPr="007E629E">
        <w:rPr>
          <w:sz w:val="24"/>
          <w:szCs w:val="24"/>
        </w:rPr>
        <w:t xml:space="preserve">Maksimale plasmaniveauer af </w:t>
      </w:r>
      <w:proofErr w:type="spellStart"/>
      <w:r w:rsidRPr="007E629E">
        <w:rPr>
          <w:sz w:val="24"/>
          <w:szCs w:val="24"/>
        </w:rPr>
        <w:t>mepivacain</w:t>
      </w:r>
      <w:proofErr w:type="spellEnd"/>
      <w:r w:rsidRPr="007E629E">
        <w:rPr>
          <w:sz w:val="24"/>
          <w:szCs w:val="24"/>
        </w:rPr>
        <w:t xml:space="preserve"> 30 mg/ml injektionsvæske, opløsning efter periorale injektioner under almindelige tandbehandlinger er blevet fastlagt i forskellige kliniske studier. Det maksimale plasmaniveau af </w:t>
      </w:r>
      <w:proofErr w:type="spellStart"/>
      <w:r w:rsidRPr="007E629E">
        <w:rPr>
          <w:sz w:val="24"/>
          <w:szCs w:val="24"/>
        </w:rPr>
        <w:t>mepivacain</w:t>
      </w:r>
      <w:proofErr w:type="spellEnd"/>
      <w:r w:rsidRPr="007E629E">
        <w:rPr>
          <w:sz w:val="24"/>
          <w:szCs w:val="24"/>
        </w:rPr>
        <w:t xml:space="preserve"> nås efter ca. 30</w:t>
      </w:r>
      <w:r w:rsidRPr="007E629E">
        <w:rPr>
          <w:sz w:val="24"/>
          <w:szCs w:val="24"/>
        </w:rPr>
        <w:noBreakHyphen/>
        <w:t xml:space="preserve">60 minutter. </w:t>
      </w:r>
      <w:proofErr w:type="spellStart"/>
      <w:r w:rsidRPr="007E629E">
        <w:rPr>
          <w:sz w:val="24"/>
          <w:szCs w:val="24"/>
        </w:rPr>
        <w:t>Mepivacains</w:t>
      </w:r>
      <w:proofErr w:type="spellEnd"/>
      <w:r w:rsidRPr="007E629E">
        <w:rPr>
          <w:sz w:val="24"/>
          <w:szCs w:val="24"/>
        </w:rPr>
        <w:t xml:space="preserve"> maksimale koncentrationer blev rapporteret at ligge på mellem 0,4</w:t>
      </w:r>
      <w:r w:rsidRPr="007E629E">
        <w:rPr>
          <w:sz w:val="24"/>
          <w:szCs w:val="24"/>
        </w:rPr>
        <w:noBreakHyphen/>
        <w:t>1,2 mikrogram/ml ca. 30 minutter efter intraoral injektion med en cylinderampul og på mellem 0,95</w:t>
      </w:r>
      <w:r w:rsidRPr="007E629E">
        <w:rPr>
          <w:sz w:val="24"/>
          <w:szCs w:val="24"/>
        </w:rPr>
        <w:noBreakHyphen/>
        <w:t>1,70 mikrogram/ml med to cylinderampuller. Forholdet mellem de gennemsnitlige plasmaniveauer efter en og to cylinderampuller var ca. 50 %, dvs. der er dosisproportionalitet ved disse dosisniveauer. Disse plasmakoncentrationer ligger langt under grænsen for CNS- og CVS-toksicitet, henholdsvis 10 til 25 gange lavere.</w:t>
      </w:r>
    </w:p>
    <w:p w14:paraId="3D2C6679" w14:textId="77777777" w:rsidR="00FC762F" w:rsidRPr="007E629E" w:rsidRDefault="00FC762F" w:rsidP="004174ED">
      <w:pPr>
        <w:ind w:left="851"/>
        <w:rPr>
          <w:bCs/>
          <w:i/>
          <w:sz w:val="24"/>
          <w:szCs w:val="24"/>
        </w:rPr>
      </w:pPr>
    </w:p>
    <w:p w14:paraId="6B640213" w14:textId="77777777" w:rsidR="00FC762F" w:rsidRPr="00B96750" w:rsidRDefault="00FC762F" w:rsidP="004174ED">
      <w:pPr>
        <w:ind w:left="851"/>
        <w:rPr>
          <w:sz w:val="24"/>
          <w:szCs w:val="24"/>
          <w:u w:val="single"/>
          <w:lang w:eastAsia="en-GB"/>
        </w:rPr>
      </w:pPr>
      <w:r w:rsidRPr="00B96750">
        <w:rPr>
          <w:sz w:val="24"/>
          <w:szCs w:val="24"/>
          <w:u w:val="single"/>
        </w:rPr>
        <w:t xml:space="preserve">Fordeling </w:t>
      </w:r>
    </w:p>
    <w:p w14:paraId="76B09619" w14:textId="77777777" w:rsidR="00FC762F" w:rsidRPr="007E629E" w:rsidRDefault="00FC762F" w:rsidP="004174ED">
      <w:pPr>
        <w:ind w:left="851"/>
        <w:rPr>
          <w:sz w:val="24"/>
          <w:szCs w:val="24"/>
        </w:rPr>
      </w:pPr>
      <w:r w:rsidRPr="007E629E">
        <w:rPr>
          <w:sz w:val="24"/>
          <w:szCs w:val="24"/>
        </w:rPr>
        <w:t xml:space="preserve">Fordelingen af </w:t>
      </w:r>
      <w:proofErr w:type="spellStart"/>
      <w:r w:rsidRPr="007E629E">
        <w:rPr>
          <w:sz w:val="24"/>
          <w:szCs w:val="24"/>
        </w:rPr>
        <w:t>mepivacain</w:t>
      </w:r>
      <w:proofErr w:type="spellEnd"/>
      <w:r w:rsidRPr="007E629E">
        <w:rPr>
          <w:sz w:val="24"/>
          <w:szCs w:val="24"/>
        </w:rPr>
        <w:t xml:space="preserve"> dækker alt kropsvæv. Der findes højere koncentrationer i højt perfunderet væv, såsom lever, lunger, hjertet og hjernen. </w:t>
      </w:r>
      <w:proofErr w:type="spellStart"/>
      <w:r w:rsidRPr="007E629E">
        <w:rPr>
          <w:sz w:val="24"/>
          <w:szCs w:val="24"/>
        </w:rPr>
        <w:t>Mepivacain</w:t>
      </w:r>
      <w:proofErr w:type="spellEnd"/>
      <w:r w:rsidRPr="007E629E">
        <w:rPr>
          <w:sz w:val="24"/>
          <w:szCs w:val="24"/>
        </w:rPr>
        <w:t xml:space="preserve"> har en plasmaproteinbinding på op til ca. 75 % og kan passere placentabarrieren ved simpel diffusion.</w:t>
      </w:r>
    </w:p>
    <w:p w14:paraId="6F7B3F61" w14:textId="77777777" w:rsidR="00FC762F" w:rsidRPr="007E629E" w:rsidRDefault="00FC762F" w:rsidP="004174ED">
      <w:pPr>
        <w:ind w:left="851"/>
        <w:rPr>
          <w:bCs/>
          <w:sz w:val="24"/>
          <w:szCs w:val="24"/>
        </w:rPr>
      </w:pPr>
    </w:p>
    <w:p w14:paraId="663B67A5" w14:textId="77777777" w:rsidR="00FC762F" w:rsidRPr="00B96750" w:rsidRDefault="00FC762F" w:rsidP="004174ED">
      <w:pPr>
        <w:ind w:left="851"/>
        <w:rPr>
          <w:sz w:val="24"/>
          <w:szCs w:val="24"/>
          <w:u w:val="single"/>
          <w:lang w:eastAsia="en-GB"/>
        </w:rPr>
      </w:pPr>
      <w:r w:rsidRPr="00B96750">
        <w:rPr>
          <w:sz w:val="24"/>
          <w:szCs w:val="24"/>
          <w:u w:val="single"/>
        </w:rPr>
        <w:t xml:space="preserve">Metabolisme </w:t>
      </w:r>
    </w:p>
    <w:p w14:paraId="10040514" w14:textId="77777777" w:rsidR="00FC762F" w:rsidRPr="007E629E" w:rsidRDefault="00FC762F" w:rsidP="004174ED">
      <w:pPr>
        <w:ind w:left="851"/>
        <w:rPr>
          <w:sz w:val="24"/>
          <w:szCs w:val="24"/>
        </w:rPr>
      </w:pPr>
      <w:r w:rsidRPr="007E629E">
        <w:rPr>
          <w:sz w:val="24"/>
          <w:szCs w:val="24"/>
        </w:rPr>
        <w:t xml:space="preserve">Som med alle </w:t>
      </w:r>
      <w:proofErr w:type="spellStart"/>
      <w:r w:rsidRPr="007E629E">
        <w:rPr>
          <w:sz w:val="24"/>
          <w:szCs w:val="24"/>
        </w:rPr>
        <w:t>lokalanæstetika</w:t>
      </w:r>
      <w:proofErr w:type="spellEnd"/>
      <w:r w:rsidRPr="007E629E">
        <w:rPr>
          <w:sz w:val="24"/>
          <w:szCs w:val="24"/>
        </w:rPr>
        <w:t xml:space="preserve"> af amidtypen, </w:t>
      </w:r>
      <w:proofErr w:type="spellStart"/>
      <w:r w:rsidRPr="007E629E">
        <w:rPr>
          <w:sz w:val="24"/>
          <w:szCs w:val="24"/>
        </w:rPr>
        <w:t>metaboliseres</w:t>
      </w:r>
      <w:proofErr w:type="spellEnd"/>
      <w:r w:rsidRPr="007E629E">
        <w:rPr>
          <w:sz w:val="24"/>
          <w:szCs w:val="24"/>
        </w:rPr>
        <w:t xml:space="preserve"> </w:t>
      </w:r>
      <w:proofErr w:type="spellStart"/>
      <w:r w:rsidRPr="007E629E">
        <w:rPr>
          <w:sz w:val="24"/>
          <w:szCs w:val="24"/>
        </w:rPr>
        <w:t>mepivacain</w:t>
      </w:r>
      <w:proofErr w:type="spellEnd"/>
      <w:r w:rsidRPr="007E629E">
        <w:rPr>
          <w:sz w:val="24"/>
          <w:szCs w:val="24"/>
        </w:rPr>
        <w:t xml:space="preserve"> hovedsagelig i leveren af </w:t>
      </w:r>
      <w:proofErr w:type="spellStart"/>
      <w:r w:rsidRPr="007E629E">
        <w:rPr>
          <w:sz w:val="24"/>
          <w:szCs w:val="24"/>
        </w:rPr>
        <w:t>mikrosomale</w:t>
      </w:r>
      <w:proofErr w:type="spellEnd"/>
      <w:r w:rsidRPr="007E629E">
        <w:rPr>
          <w:sz w:val="24"/>
          <w:szCs w:val="24"/>
        </w:rPr>
        <w:t xml:space="preserve"> enzymer (</w:t>
      </w:r>
      <w:proofErr w:type="spellStart"/>
      <w:r w:rsidRPr="007E629E">
        <w:rPr>
          <w:sz w:val="24"/>
          <w:szCs w:val="24"/>
        </w:rPr>
        <w:t>cytokrom</w:t>
      </w:r>
      <w:proofErr w:type="spellEnd"/>
      <w:r w:rsidRPr="007E629E">
        <w:rPr>
          <w:sz w:val="24"/>
          <w:szCs w:val="24"/>
        </w:rPr>
        <w:t xml:space="preserve"> P450 1A2 (CYP1A2)). </w:t>
      </w:r>
      <w:proofErr w:type="spellStart"/>
      <w:r w:rsidRPr="007E629E">
        <w:rPr>
          <w:sz w:val="24"/>
          <w:szCs w:val="24"/>
        </w:rPr>
        <w:t>Hæmmere</w:t>
      </w:r>
      <w:proofErr w:type="spellEnd"/>
      <w:r w:rsidRPr="007E629E">
        <w:rPr>
          <w:sz w:val="24"/>
          <w:szCs w:val="24"/>
        </w:rPr>
        <w:t xml:space="preserve"> af P450-isoenzymer kan således reducere </w:t>
      </w:r>
      <w:proofErr w:type="spellStart"/>
      <w:r w:rsidRPr="007E629E">
        <w:rPr>
          <w:sz w:val="24"/>
          <w:szCs w:val="24"/>
        </w:rPr>
        <w:t>metaboliseringen</w:t>
      </w:r>
      <w:proofErr w:type="spellEnd"/>
      <w:r w:rsidRPr="007E629E">
        <w:rPr>
          <w:sz w:val="24"/>
          <w:szCs w:val="24"/>
        </w:rPr>
        <w:t xml:space="preserve"> og øge risikoen for bivirkninger (se pkt. 4.5.). Over 50 % af en dosis udskilles som metabolitter i galden, men disse gennemgår sandsynligvis </w:t>
      </w:r>
      <w:proofErr w:type="spellStart"/>
      <w:r w:rsidRPr="007E629E">
        <w:rPr>
          <w:sz w:val="24"/>
          <w:szCs w:val="24"/>
        </w:rPr>
        <w:t>enterohepatisk</w:t>
      </w:r>
      <w:proofErr w:type="spellEnd"/>
      <w:r w:rsidRPr="007E629E">
        <w:rPr>
          <w:sz w:val="24"/>
          <w:szCs w:val="24"/>
        </w:rPr>
        <w:t xml:space="preserve"> cirkulation, eftersom kun små mængder forekommer i fæces.</w:t>
      </w:r>
    </w:p>
    <w:p w14:paraId="05438578" w14:textId="77777777" w:rsidR="00FC762F" w:rsidRPr="007E629E" w:rsidRDefault="00FC762F" w:rsidP="004174ED">
      <w:pPr>
        <w:ind w:left="851"/>
        <w:rPr>
          <w:bCs/>
          <w:i/>
          <w:sz w:val="24"/>
          <w:szCs w:val="24"/>
        </w:rPr>
      </w:pPr>
    </w:p>
    <w:p w14:paraId="0A63FEB9" w14:textId="77777777" w:rsidR="00FC762F" w:rsidRPr="00B96750" w:rsidRDefault="00FC762F" w:rsidP="004174ED">
      <w:pPr>
        <w:ind w:left="851"/>
        <w:rPr>
          <w:sz w:val="24"/>
          <w:szCs w:val="24"/>
          <w:u w:val="single"/>
          <w:lang w:eastAsia="en-GB"/>
        </w:rPr>
      </w:pPr>
      <w:r w:rsidRPr="00B96750">
        <w:rPr>
          <w:sz w:val="24"/>
          <w:szCs w:val="24"/>
          <w:u w:val="single"/>
        </w:rPr>
        <w:t xml:space="preserve">Elimination </w:t>
      </w:r>
    </w:p>
    <w:p w14:paraId="392FC68A" w14:textId="77777777" w:rsidR="00FC762F" w:rsidRPr="007E629E" w:rsidRDefault="00FC762F" w:rsidP="004174ED">
      <w:pPr>
        <w:ind w:left="851"/>
        <w:rPr>
          <w:sz w:val="24"/>
          <w:szCs w:val="24"/>
        </w:rPr>
      </w:pPr>
      <w:r w:rsidRPr="007E629E">
        <w:rPr>
          <w:sz w:val="24"/>
          <w:szCs w:val="24"/>
        </w:rPr>
        <w:t xml:space="preserve">Plasmaeliminationshalveringstiden er 2 timer hos voksne. </w:t>
      </w:r>
      <w:proofErr w:type="spellStart"/>
      <w:r w:rsidRPr="007E629E">
        <w:rPr>
          <w:sz w:val="24"/>
          <w:szCs w:val="24"/>
        </w:rPr>
        <w:t>Clearance</w:t>
      </w:r>
      <w:proofErr w:type="spellEnd"/>
      <w:r w:rsidRPr="007E629E">
        <w:rPr>
          <w:sz w:val="24"/>
          <w:szCs w:val="24"/>
        </w:rPr>
        <w:t xml:space="preserve"> af amider afhænger af den </w:t>
      </w:r>
      <w:proofErr w:type="spellStart"/>
      <w:r w:rsidRPr="007E629E">
        <w:rPr>
          <w:sz w:val="24"/>
          <w:szCs w:val="24"/>
        </w:rPr>
        <w:t>hepatiske</w:t>
      </w:r>
      <w:proofErr w:type="spellEnd"/>
      <w:r w:rsidRPr="007E629E">
        <w:rPr>
          <w:sz w:val="24"/>
          <w:szCs w:val="24"/>
        </w:rPr>
        <w:t xml:space="preserve"> blodgennemstrømning. Plasmahalveringstiden forlænges, hvis patienten lider af nedsat lever- og nyrefunktion. Varigheden af lokalanæstesien er ikke relateret til halveringstiden, eftersom virkningen ophører, når lægemidlet fjernes fra receptoren. Udskillelse af metabolitter sker i urinen med mindre end 10 % af uændret </w:t>
      </w:r>
      <w:proofErr w:type="spellStart"/>
      <w:r w:rsidRPr="007E629E">
        <w:rPr>
          <w:sz w:val="24"/>
          <w:szCs w:val="24"/>
        </w:rPr>
        <w:t>mepivacain</w:t>
      </w:r>
      <w:proofErr w:type="spellEnd"/>
      <w:r w:rsidRPr="007E629E">
        <w:rPr>
          <w:sz w:val="24"/>
          <w:szCs w:val="24"/>
        </w:rPr>
        <w:t xml:space="preserve">. </w:t>
      </w:r>
    </w:p>
    <w:p w14:paraId="78E072F9" w14:textId="77777777" w:rsidR="00FC762F" w:rsidRPr="007E629E" w:rsidRDefault="00FC762F" w:rsidP="004174ED">
      <w:pPr>
        <w:ind w:left="851"/>
        <w:rPr>
          <w:sz w:val="24"/>
          <w:szCs w:val="24"/>
        </w:rPr>
      </w:pPr>
      <w:r w:rsidRPr="007E629E">
        <w:rPr>
          <w:sz w:val="24"/>
          <w:szCs w:val="24"/>
        </w:rPr>
        <w:t>Elimination kan accelereres ved at gøre urinen mere sur (se pkt. 4.9).</w:t>
      </w:r>
    </w:p>
    <w:p w14:paraId="58DABA75" w14:textId="77777777" w:rsidR="009260DE" w:rsidRPr="007E629E" w:rsidRDefault="009260DE" w:rsidP="009260DE">
      <w:pPr>
        <w:tabs>
          <w:tab w:val="left" w:pos="851"/>
        </w:tabs>
        <w:ind w:left="851"/>
        <w:rPr>
          <w:sz w:val="24"/>
          <w:szCs w:val="24"/>
        </w:rPr>
      </w:pPr>
    </w:p>
    <w:p w14:paraId="5A300B92" w14:textId="7D5152F1" w:rsidR="009260DE" w:rsidRPr="007E629E" w:rsidRDefault="009260DE" w:rsidP="009260DE">
      <w:pPr>
        <w:tabs>
          <w:tab w:val="left" w:pos="851"/>
        </w:tabs>
        <w:ind w:left="851" w:hanging="851"/>
        <w:rPr>
          <w:b/>
          <w:sz w:val="24"/>
          <w:szCs w:val="24"/>
        </w:rPr>
      </w:pPr>
      <w:r w:rsidRPr="007E629E">
        <w:rPr>
          <w:b/>
          <w:sz w:val="24"/>
          <w:szCs w:val="24"/>
        </w:rPr>
        <w:t>5.3</w:t>
      </w:r>
      <w:r w:rsidRPr="007E629E">
        <w:rPr>
          <w:b/>
          <w:sz w:val="24"/>
          <w:szCs w:val="24"/>
        </w:rPr>
        <w:tab/>
      </w:r>
      <w:r w:rsidR="00B60B88">
        <w:rPr>
          <w:b/>
          <w:sz w:val="24"/>
          <w:szCs w:val="24"/>
        </w:rPr>
        <w:t>Non-</w:t>
      </w:r>
      <w:r w:rsidRPr="007E629E">
        <w:rPr>
          <w:b/>
          <w:sz w:val="24"/>
          <w:szCs w:val="24"/>
        </w:rPr>
        <w:t>kliniske sikkerhedsdata</w:t>
      </w:r>
    </w:p>
    <w:p w14:paraId="64A12F38" w14:textId="77777777" w:rsidR="00FC762F" w:rsidRPr="007E629E" w:rsidRDefault="00FC762F" w:rsidP="004174ED">
      <w:pPr>
        <w:ind w:left="851"/>
        <w:rPr>
          <w:sz w:val="24"/>
          <w:szCs w:val="24"/>
          <w:lang w:eastAsia="en-GB"/>
        </w:rPr>
      </w:pPr>
      <w:r w:rsidRPr="007E629E">
        <w:rPr>
          <w:sz w:val="24"/>
          <w:szCs w:val="24"/>
        </w:rPr>
        <w:t xml:space="preserve">Generelle toksicitetsstudier (enkeltdosistoksicitet, toksicitet efter gentagne doser) udført med </w:t>
      </w:r>
      <w:proofErr w:type="spellStart"/>
      <w:r w:rsidRPr="007E629E">
        <w:rPr>
          <w:sz w:val="24"/>
          <w:szCs w:val="24"/>
        </w:rPr>
        <w:t>mepivacain</w:t>
      </w:r>
      <w:proofErr w:type="spellEnd"/>
      <w:r w:rsidRPr="007E629E">
        <w:rPr>
          <w:sz w:val="24"/>
          <w:szCs w:val="24"/>
        </w:rPr>
        <w:t xml:space="preserve"> viste en god sikkerhedsmargen. </w:t>
      </w:r>
      <w:r w:rsidRPr="007E629E">
        <w:rPr>
          <w:i/>
          <w:sz w:val="24"/>
          <w:szCs w:val="24"/>
        </w:rPr>
        <w:t xml:space="preserve">In </w:t>
      </w:r>
      <w:proofErr w:type="spellStart"/>
      <w:r w:rsidRPr="007E629E">
        <w:rPr>
          <w:i/>
          <w:sz w:val="24"/>
          <w:szCs w:val="24"/>
        </w:rPr>
        <w:t>vitro</w:t>
      </w:r>
      <w:proofErr w:type="spellEnd"/>
      <w:r w:rsidRPr="007E629E">
        <w:rPr>
          <w:i/>
          <w:sz w:val="24"/>
          <w:szCs w:val="24"/>
        </w:rPr>
        <w:t xml:space="preserve">- </w:t>
      </w:r>
      <w:r w:rsidRPr="007E629E">
        <w:rPr>
          <w:sz w:val="24"/>
          <w:szCs w:val="24"/>
        </w:rPr>
        <w:t xml:space="preserve">og </w:t>
      </w:r>
      <w:r w:rsidRPr="007E629E">
        <w:rPr>
          <w:i/>
          <w:sz w:val="24"/>
          <w:szCs w:val="24"/>
        </w:rPr>
        <w:t xml:space="preserve">in </w:t>
      </w:r>
      <w:proofErr w:type="spellStart"/>
      <w:r w:rsidRPr="007E629E">
        <w:rPr>
          <w:i/>
          <w:sz w:val="24"/>
          <w:szCs w:val="24"/>
        </w:rPr>
        <w:t>vivo</w:t>
      </w:r>
      <w:proofErr w:type="spellEnd"/>
      <w:r w:rsidRPr="007E629E">
        <w:rPr>
          <w:i/>
          <w:sz w:val="24"/>
          <w:szCs w:val="24"/>
        </w:rPr>
        <w:t>-</w:t>
      </w:r>
      <w:r w:rsidRPr="007E629E">
        <w:rPr>
          <w:sz w:val="24"/>
          <w:szCs w:val="24"/>
        </w:rPr>
        <w:t xml:space="preserve">tests udført med </w:t>
      </w:r>
      <w:proofErr w:type="spellStart"/>
      <w:r w:rsidRPr="007E629E">
        <w:rPr>
          <w:sz w:val="24"/>
          <w:szCs w:val="24"/>
        </w:rPr>
        <w:t>mepivacainhydrochlorid</w:t>
      </w:r>
      <w:proofErr w:type="spellEnd"/>
      <w:r w:rsidRPr="007E629E">
        <w:rPr>
          <w:sz w:val="24"/>
          <w:szCs w:val="24"/>
        </w:rPr>
        <w:t xml:space="preserve"> viste ingen genotoksisk virkning af dette præparat. </w:t>
      </w:r>
    </w:p>
    <w:p w14:paraId="169D6FC2" w14:textId="77777777" w:rsidR="00FC762F" w:rsidRPr="007E629E" w:rsidRDefault="00FC762F" w:rsidP="004174ED">
      <w:pPr>
        <w:ind w:left="851"/>
        <w:rPr>
          <w:sz w:val="24"/>
          <w:szCs w:val="24"/>
        </w:rPr>
      </w:pPr>
      <w:r w:rsidRPr="007E629E">
        <w:rPr>
          <w:sz w:val="24"/>
          <w:szCs w:val="24"/>
        </w:rPr>
        <w:t xml:space="preserve">Ingen relevante reproduktions- og udviklingstoksicitetsstudier viste </w:t>
      </w:r>
      <w:proofErr w:type="spellStart"/>
      <w:r w:rsidRPr="007E629E">
        <w:rPr>
          <w:sz w:val="24"/>
          <w:szCs w:val="24"/>
        </w:rPr>
        <w:t>teratogene</w:t>
      </w:r>
      <w:proofErr w:type="spellEnd"/>
      <w:r w:rsidRPr="007E629E">
        <w:rPr>
          <w:sz w:val="24"/>
          <w:szCs w:val="24"/>
        </w:rPr>
        <w:t xml:space="preserve"> virkninger med </w:t>
      </w:r>
      <w:proofErr w:type="spellStart"/>
      <w:r w:rsidRPr="007E629E">
        <w:rPr>
          <w:sz w:val="24"/>
          <w:szCs w:val="24"/>
        </w:rPr>
        <w:t>mepivacain</w:t>
      </w:r>
      <w:proofErr w:type="spellEnd"/>
      <w:r w:rsidRPr="007E629E">
        <w:rPr>
          <w:sz w:val="24"/>
          <w:szCs w:val="24"/>
        </w:rPr>
        <w:t xml:space="preserve">. </w:t>
      </w:r>
    </w:p>
    <w:p w14:paraId="30D514FB" w14:textId="77777777" w:rsidR="00FC762F" w:rsidRPr="007E629E" w:rsidRDefault="00FC762F" w:rsidP="004174ED">
      <w:pPr>
        <w:ind w:left="851"/>
        <w:rPr>
          <w:sz w:val="24"/>
          <w:szCs w:val="24"/>
        </w:rPr>
      </w:pPr>
      <w:proofErr w:type="spellStart"/>
      <w:r w:rsidRPr="007E629E">
        <w:rPr>
          <w:sz w:val="24"/>
          <w:szCs w:val="24"/>
        </w:rPr>
        <w:t>Mutagenicitetsstudier</w:t>
      </w:r>
      <w:proofErr w:type="spellEnd"/>
      <w:r w:rsidRPr="007E629E">
        <w:rPr>
          <w:sz w:val="24"/>
          <w:szCs w:val="24"/>
        </w:rPr>
        <w:t xml:space="preserve"> viste, at </w:t>
      </w:r>
      <w:proofErr w:type="spellStart"/>
      <w:r w:rsidRPr="007E629E">
        <w:rPr>
          <w:sz w:val="24"/>
          <w:szCs w:val="24"/>
        </w:rPr>
        <w:t>mepivacain</w:t>
      </w:r>
      <w:proofErr w:type="spellEnd"/>
      <w:r w:rsidRPr="007E629E">
        <w:rPr>
          <w:sz w:val="24"/>
          <w:szCs w:val="24"/>
        </w:rPr>
        <w:t xml:space="preserve"> ikke havde nogen mutagene virkninger i en </w:t>
      </w:r>
      <w:proofErr w:type="spellStart"/>
      <w:r w:rsidRPr="007E629E">
        <w:rPr>
          <w:sz w:val="24"/>
          <w:szCs w:val="24"/>
        </w:rPr>
        <w:t>mikronukleus-assay</w:t>
      </w:r>
      <w:proofErr w:type="spellEnd"/>
      <w:r w:rsidRPr="007E629E">
        <w:rPr>
          <w:sz w:val="24"/>
          <w:szCs w:val="24"/>
        </w:rPr>
        <w:t xml:space="preserve"> med mus.</w:t>
      </w:r>
    </w:p>
    <w:p w14:paraId="7992C12A" w14:textId="77777777" w:rsidR="00FC762F" w:rsidRPr="007E629E" w:rsidRDefault="00FC762F" w:rsidP="004174ED">
      <w:pPr>
        <w:ind w:left="851"/>
        <w:rPr>
          <w:bCs/>
          <w:sz w:val="24"/>
          <w:szCs w:val="24"/>
        </w:rPr>
      </w:pPr>
      <w:r w:rsidRPr="007E629E">
        <w:rPr>
          <w:sz w:val="24"/>
          <w:szCs w:val="24"/>
        </w:rPr>
        <w:t xml:space="preserve">Der blev ikke udført specifikke </w:t>
      </w:r>
      <w:proofErr w:type="spellStart"/>
      <w:r w:rsidRPr="007E629E">
        <w:rPr>
          <w:sz w:val="24"/>
          <w:szCs w:val="24"/>
        </w:rPr>
        <w:t>karcinogenicitetsstudier</w:t>
      </w:r>
      <w:proofErr w:type="spellEnd"/>
      <w:r w:rsidRPr="007E629E">
        <w:rPr>
          <w:sz w:val="24"/>
          <w:szCs w:val="24"/>
        </w:rPr>
        <w:t>.</w:t>
      </w:r>
    </w:p>
    <w:p w14:paraId="1BCC9813" w14:textId="77777777" w:rsidR="009260DE" w:rsidRPr="007E629E" w:rsidRDefault="009260DE" w:rsidP="009260DE">
      <w:pPr>
        <w:tabs>
          <w:tab w:val="left" w:pos="851"/>
        </w:tabs>
        <w:ind w:left="851"/>
        <w:rPr>
          <w:sz w:val="24"/>
          <w:szCs w:val="24"/>
        </w:rPr>
      </w:pPr>
    </w:p>
    <w:p w14:paraId="12F2E02E" w14:textId="731DB72A" w:rsidR="00931BAA" w:rsidRDefault="00931BAA">
      <w:pPr>
        <w:rPr>
          <w:sz w:val="24"/>
          <w:szCs w:val="24"/>
        </w:rPr>
      </w:pPr>
      <w:r>
        <w:rPr>
          <w:sz w:val="24"/>
          <w:szCs w:val="24"/>
        </w:rPr>
        <w:br w:type="page"/>
      </w:r>
    </w:p>
    <w:p w14:paraId="5608ADA8" w14:textId="77777777" w:rsidR="009260DE" w:rsidRPr="007E629E" w:rsidRDefault="009260DE" w:rsidP="009260DE">
      <w:pPr>
        <w:tabs>
          <w:tab w:val="left" w:pos="851"/>
        </w:tabs>
        <w:ind w:left="851"/>
        <w:rPr>
          <w:sz w:val="24"/>
          <w:szCs w:val="24"/>
        </w:rPr>
      </w:pPr>
    </w:p>
    <w:p w14:paraId="0A8F0D52" w14:textId="77777777" w:rsidR="009260DE" w:rsidRPr="007E629E" w:rsidRDefault="009260DE" w:rsidP="009260DE">
      <w:pPr>
        <w:tabs>
          <w:tab w:val="left" w:pos="851"/>
        </w:tabs>
        <w:ind w:left="851" w:hanging="851"/>
        <w:rPr>
          <w:b/>
          <w:sz w:val="24"/>
          <w:szCs w:val="24"/>
        </w:rPr>
      </w:pPr>
      <w:r w:rsidRPr="007E629E">
        <w:rPr>
          <w:b/>
          <w:sz w:val="24"/>
          <w:szCs w:val="24"/>
        </w:rPr>
        <w:t>6.</w:t>
      </w:r>
      <w:r w:rsidRPr="007E629E">
        <w:rPr>
          <w:b/>
          <w:sz w:val="24"/>
          <w:szCs w:val="24"/>
        </w:rPr>
        <w:tab/>
        <w:t>FARMACEUTISKE OPLYSNINGER</w:t>
      </w:r>
    </w:p>
    <w:p w14:paraId="2CFEB6A4" w14:textId="77777777" w:rsidR="009260DE" w:rsidRPr="007E629E" w:rsidRDefault="009260DE" w:rsidP="009260DE">
      <w:pPr>
        <w:tabs>
          <w:tab w:val="left" w:pos="851"/>
        </w:tabs>
        <w:ind w:left="851"/>
        <w:rPr>
          <w:sz w:val="24"/>
          <w:szCs w:val="24"/>
        </w:rPr>
      </w:pPr>
    </w:p>
    <w:p w14:paraId="42B17FBA" w14:textId="77777777" w:rsidR="009260DE" w:rsidRPr="007E629E" w:rsidRDefault="009260DE" w:rsidP="009260DE">
      <w:pPr>
        <w:tabs>
          <w:tab w:val="left" w:pos="851"/>
        </w:tabs>
        <w:ind w:left="851" w:hanging="851"/>
        <w:rPr>
          <w:b/>
          <w:sz w:val="24"/>
          <w:szCs w:val="24"/>
        </w:rPr>
      </w:pPr>
      <w:r w:rsidRPr="007E629E">
        <w:rPr>
          <w:b/>
          <w:sz w:val="24"/>
          <w:szCs w:val="24"/>
        </w:rPr>
        <w:t>6.1</w:t>
      </w:r>
      <w:r w:rsidRPr="007E629E">
        <w:rPr>
          <w:b/>
          <w:sz w:val="24"/>
          <w:szCs w:val="24"/>
        </w:rPr>
        <w:tab/>
        <w:t>Hjælpestoffer</w:t>
      </w:r>
    </w:p>
    <w:p w14:paraId="1A2A9FD0" w14:textId="77777777" w:rsidR="00FC762F" w:rsidRPr="007E629E" w:rsidRDefault="00FC762F" w:rsidP="004174ED">
      <w:pPr>
        <w:ind w:left="851"/>
        <w:rPr>
          <w:sz w:val="24"/>
          <w:szCs w:val="24"/>
          <w:lang w:eastAsia="en-GB"/>
        </w:rPr>
      </w:pPr>
      <w:proofErr w:type="spellStart"/>
      <w:r w:rsidRPr="007E629E">
        <w:rPr>
          <w:sz w:val="24"/>
          <w:szCs w:val="24"/>
        </w:rPr>
        <w:t>Natriumchlorid</w:t>
      </w:r>
      <w:proofErr w:type="spellEnd"/>
      <w:r w:rsidRPr="007E629E">
        <w:rPr>
          <w:sz w:val="24"/>
          <w:szCs w:val="24"/>
        </w:rPr>
        <w:t xml:space="preserve"> </w:t>
      </w:r>
    </w:p>
    <w:p w14:paraId="7041A02A" w14:textId="77777777" w:rsidR="00FC762F" w:rsidRPr="007E629E" w:rsidRDefault="00FC762F" w:rsidP="004174ED">
      <w:pPr>
        <w:ind w:left="851"/>
        <w:rPr>
          <w:sz w:val="24"/>
          <w:szCs w:val="24"/>
        </w:rPr>
      </w:pPr>
      <w:r w:rsidRPr="007E629E">
        <w:rPr>
          <w:sz w:val="24"/>
          <w:szCs w:val="24"/>
        </w:rPr>
        <w:t xml:space="preserve">Natriumhydroxid (E524) (til pH-justering) </w:t>
      </w:r>
    </w:p>
    <w:p w14:paraId="20AA4E8A" w14:textId="77777777" w:rsidR="00FC762F" w:rsidRPr="007E629E" w:rsidRDefault="00FC762F" w:rsidP="004174ED">
      <w:pPr>
        <w:ind w:left="851"/>
        <w:rPr>
          <w:sz w:val="24"/>
          <w:szCs w:val="24"/>
        </w:rPr>
      </w:pPr>
      <w:r w:rsidRPr="007E629E">
        <w:rPr>
          <w:sz w:val="24"/>
          <w:szCs w:val="24"/>
        </w:rPr>
        <w:t>Saltsyre (E507) (til pH-justering)</w:t>
      </w:r>
    </w:p>
    <w:p w14:paraId="4093D189" w14:textId="77777777" w:rsidR="00FC762F" w:rsidRPr="007E629E" w:rsidRDefault="00FC762F" w:rsidP="004174ED">
      <w:pPr>
        <w:ind w:left="851"/>
        <w:rPr>
          <w:sz w:val="24"/>
          <w:szCs w:val="24"/>
        </w:rPr>
      </w:pPr>
      <w:r w:rsidRPr="007E629E">
        <w:rPr>
          <w:sz w:val="24"/>
          <w:szCs w:val="24"/>
        </w:rPr>
        <w:t>Vand til injektionsvæsker</w:t>
      </w:r>
    </w:p>
    <w:p w14:paraId="30157BF2" w14:textId="77777777" w:rsidR="009260DE" w:rsidRPr="007E629E" w:rsidRDefault="009260DE" w:rsidP="009260DE">
      <w:pPr>
        <w:tabs>
          <w:tab w:val="left" w:pos="851"/>
        </w:tabs>
        <w:ind w:left="851"/>
        <w:rPr>
          <w:sz w:val="24"/>
          <w:szCs w:val="24"/>
        </w:rPr>
      </w:pPr>
    </w:p>
    <w:p w14:paraId="4340AD0F" w14:textId="77777777" w:rsidR="009260DE" w:rsidRPr="007E629E" w:rsidRDefault="009260DE" w:rsidP="009260DE">
      <w:pPr>
        <w:tabs>
          <w:tab w:val="left" w:pos="851"/>
        </w:tabs>
        <w:ind w:left="851" w:hanging="851"/>
        <w:rPr>
          <w:b/>
          <w:sz w:val="24"/>
          <w:szCs w:val="24"/>
        </w:rPr>
      </w:pPr>
      <w:r w:rsidRPr="007E629E">
        <w:rPr>
          <w:b/>
          <w:sz w:val="24"/>
          <w:szCs w:val="24"/>
        </w:rPr>
        <w:t>6.2</w:t>
      </w:r>
      <w:r w:rsidRPr="007E629E">
        <w:rPr>
          <w:b/>
          <w:sz w:val="24"/>
          <w:szCs w:val="24"/>
        </w:rPr>
        <w:tab/>
        <w:t>Uforligeligheder</w:t>
      </w:r>
    </w:p>
    <w:p w14:paraId="09AC349F" w14:textId="77777777" w:rsidR="00FC762F" w:rsidRPr="007E629E" w:rsidRDefault="00FC762F" w:rsidP="004174ED">
      <w:pPr>
        <w:ind w:left="851"/>
        <w:rPr>
          <w:sz w:val="24"/>
          <w:szCs w:val="24"/>
          <w:lang w:eastAsia="en-GB"/>
        </w:rPr>
      </w:pPr>
      <w:r w:rsidRPr="007E629E">
        <w:rPr>
          <w:sz w:val="24"/>
          <w:szCs w:val="24"/>
        </w:rPr>
        <w:t xml:space="preserve">Der er en risiko for udfældning ved en pH-værdi over 6,5. Denne karakteristik skal tages i betragtning, når der tilsættes basiske opløsninger, såsom </w:t>
      </w:r>
      <w:proofErr w:type="spellStart"/>
      <w:r w:rsidRPr="007E629E">
        <w:rPr>
          <w:sz w:val="24"/>
          <w:szCs w:val="24"/>
        </w:rPr>
        <w:t>carbonater</w:t>
      </w:r>
      <w:proofErr w:type="spellEnd"/>
      <w:r w:rsidRPr="007E629E">
        <w:rPr>
          <w:sz w:val="24"/>
          <w:szCs w:val="24"/>
        </w:rPr>
        <w:t>.</w:t>
      </w:r>
    </w:p>
    <w:p w14:paraId="2E6B695E" w14:textId="77777777" w:rsidR="00FC762F" w:rsidRPr="007E629E" w:rsidRDefault="00FC762F" w:rsidP="004174ED">
      <w:pPr>
        <w:ind w:left="851"/>
        <w:rPr>
          <w:sz w:val="24"/>
          <w:szCs w:val="24"/>
        </w:rPr>
      </w:pPr>
      <w:r w:rsidRPr="007E629E">
        <w:rPr>
          <w:sz w:val="24"/>
          <w:szCs w:val="24"/>
        </w:rPr>
        <w:t>Da der ikke foreligger studier af eventuelle uforligeligheder, må dette lægemiddel ikke blandes med andre lægemidler.</w:t>
      </w:r>
    </w:p>
    <w:p w14:paraId="4D85D5A8" w14:textId="77777777" w:rsidR="009260DE" w:rsidRPr="007E629E" w:rsidRDefault="009260DE" w:rsidP="009260DE">
      <w:pPr>
        <w:tabs>
          <w:tab w:val="left" w:pos="851"/>
        </w:tabs>
        <w:ind w:left="851"/>
        <w:rPr>
          <w:sz w:val="24"/>
          <w:szCs w:val="24"/>
        </w:rPr>
      </w:pPr>
    </w:p>
    <w:p w14:paraId="22627D9A" w14:textId="77777777" w:rsidR="009260DE" w:rsidRPr="007E629E" w:rsidRDefault="009260DE" w:rsidP="009260DE">
      <w:pPr>
        <w:tabs>
          <w:tab w:val="left" w:pos="851"/>
        </w:tabs>
        <w:ind w:left="851" w:hanging="851"/>
        <w:rPr>
          <w:b/>
          <w:sz w:val="24"/>
          <w:szCs w:val="24"/>
        </w:rPr>
      </w:pPr>
      <w:r w:rsidRPr="007E629E">
        <w:rPr>
          <w:b/>
          <w:sz w:val="24"/>
          <w:szCs w:val="24"/>
        </w:rPr>
        <w:t>6.3</w:t>
      </w:r>
      <w:r w:rsidRPr="007E629E">
        <w:rPr>
          <w:b/>
          <w:sz w:val="24"/>
          <w:szCs w:val="24"/>
        </w:rPr>
        <w:tab/>
        <w:t>Opbevaringstid</w:t>
      </w:r>
    </w:p>
    <w:p w14:paraId="0C373CD8" w14:textId="21303F8A" w:rsidR="00FC762F" w:rsidRPr="007E629E" w:rsidRDefault="00B96750" w:rsidP="004174ED">
      <w:pPr>
        <w:ind w:left="851"/>
        <w:rPr>
          <w:sz w:val="24"/>
          <w:szCs w:val="24"/>
          <w:lang w:eastAsia="en-GB"/>
        </w:rPr>
      </w:pPr>
      <w:r>
        <w:rPr>
          <w:sz w:val="24"/>
          <w:szCs w:val="24"/>
        </w:rPr>
        <w:t>5</w:t>
      </w:r>
      <w:r w:rsidR="00FC762F" w:rsidRPr="007E629E">
        <w:rPr>
          <w:sz w:val="24"/>
          <w:szCs w:val="24"/>
        </w:rPr>
        <w:t> år.</w:t>
      </w:r>
    </w:p>
    <w:p w14:paraId="41ECB242" w14:textId="77777777" w:rsidR="009260DE" w:rsidRPr="007E629E" w:rsidRDefault="009260DE" w:rsidP="009260DE">
      <w:pPr>
        <w:tabs>
          <w:tab w:val="left" w:pos="851"/>
        </w:tabs>
        <w:ind w:left="851"/>
        <w:rPr>
          <w:sz w:val="24"/>
          <w:szCs w:val="24"/>
        </w:rPr>
      </w:pPr>
    </w:p>
    <w:p w14:paraId="307F55C2" w14:textId="77777777" w:rsidR="009260DE" w:rsidRPr="007E629E" w:rsidRDefault="009260DE" w:rsidP="009260DE">
      <w:pPr>
        <w:tabs>
          <w:tab w:val="left" w:pos="851"/>
        </w:tabs>
        <w:ind w:left="851" w:hanging="851"/>
        <w:rPr>
          <w:b/>
          <w:sz w:val="24"/>
          <w:szCs w:val="24"/>
        </w:rPr>
      </w:pPr>
      <w:r w:rsidRPr="007E629E">
        <w:rPr>
          <w:b/>
          <w:sz w:val="24"/>
          <w:szCs w:val="24"/>
        </w:rPr>
        <w:t>6.4</w:t>
      </w:r>
      <w:r w:rsidRPr="007E629E">
        <w:rPr>
          <w:b/>
          <w:sz w:val="24"/>
          <w:szCs w:val="24"/>
        </w:rPr>
        <w:tab/>
        <w:t>Særlige opbevaringsforhold</w:t>
      </w:r>
    </w:p>
    <w:p w14:paraId="1FD0FD59" w14:textId="77777777" w:rsidR="00FC762F" w:rsidRPr="007E629E" w:rsidRDefault="00FC762F" w:rsidP="004174ED">
      <w:pPr>
        <w:ind w:left="851"/>
        <w:rPr>
          <w:sz w:val="24"/>
          <w:szCs w:val="24"/>
          <w:lang w:eastAsia="en-GB"/>
        </w:rPr>
      </w:pPr>
      <w:r w:rsidRPr="007E629E">
        <w:rPr>
          <w:sz w:val="24"/>
          <w:szCs w:val="24"/>
        </w:rPr>
        <w:t>Dette lægemiddel kræver ingen særlige forholdsregler vedrørende opbevaringen.</w:t>
      </w:r>
    </w:p>
    <w:p w14:paraId="3327AD53" w14:textId="77777777" w:rsidR="009260DE" w:rsidRPr="007E629E" w:rsidRDefault="009260DE" w:rsidP="009260DE">
      <w:pPr>
        <w:tabs>
          <w:tab w:val="left" w:pos="851"/>
        </w:tabs>
        <w:ind w:left="851"/>
        <w:rPr>
          <w:sz w:val="24"/>
          <w:szCs w:val="24"/>
        </w:rPr>
      </w:pPr>
    </w:p>
    <w:p w14:paraId="143109D2" w14:textId="72ECDB98" w:rsidR="009260DE" w:rsidRPr="007E629E" w:rsidRDefault="009260DE" w:rsidP="009260DE">
      <w:pPr>
        <w:tabs>
          <w:tab w:val="left" w:pos="851"/>
        </w:tabs>
        <w:ind w:left="851" w:hanging="851"/>
        <w:rPr>
          <w:b/>
          <w:sz w:val="24"/>
          <w:szCs w:val="24"/>
        </w:rPr>
      </w:pPr>
      <w:r w:rsidRPr="007E629E">
        <w:rPr>
          <w:b/>
          <w:sz w:val="24"/>
          <w:szCs w:val="24"/>
        </w:rPr>
        <w:t>6.5</w:t>
      </w:r>
      <w:r w:rsidRPr="007E629E">
        <w:rPr>
          <w:b/>
          <w:sz w:val="24"/>
          <w:szCs w:val="24"/>
        </w:rPr>
        <w:tab/>
        <w:t>Emballagetype</w:t>
      </w:r>
      <w:r w:rsidR="00B60B88">
        <w:rPr>
          <w:b/>
          <w:sz w:val="24"/>
          <w:szCs w:val="24"/>
        </w:rPr>
        <w:t xml:space="preserve"> </w:t>
      </w:r>
      <w:r w:rsidRPr="007E629E">
        <w:rPr>
          <w:b/>
          <w:sz w:val="24"/>
          <w:szCs w:val="24"/>
        </w:rPr>
        <w:t>og pakningsstørrelser</w:t>
      </w:r>
    </w:p>
    <w:p w14:paraId="34D86169" w14:textId="77777777" w:rsidR="00FC762F" w:rsidRPr="007E629E" w:rsidRDefault="00FC762F" w:rsidP="004174ED">
      <w:pPr>
        <w:ind w:left="851"/>
        <w:rPr>
          <w:sz w:val="24"/>
          <w:szCs w:val="24"/>
          <w:lang w:eastAsia="en-GB"/>
        </w:rPr>
      </w:pPr>
      <w:r w:rsidRPr="007E629E">
        <w:rPr>
          <w:sz w:val="24"/>
          <w:szCs w:val="24"/>
        </w:rPr>
        <w:t>Cylinderampuller af neutralt, farveløst glas (type I).</w:t>
      </w:r>
    </w:p>
    <w:p w14:paraId="6C1DD3F5" w14:textId="77777777" w:rsidR="00FC762F" w:rsidRPr="007E629E" w:rsidRDefault="00FC762F" w:rsidP="004174ED">
      <w:pPr>
        <w:ind w:left="851"/>
        <w:rPr>
          <w:b/>
          <w:sz w:val="24"/>
          <w:szCs w:val="24"/>
        </w:rPr>
      </w:pPr>
      <w:r w:rsidRPr="007E629E">
        <w:rPr>
          <w:sz w:val="24"/>
          <w:szCs w:val="24"/>
        </w:rPr>
        <w:t>Kapaciteten af de tomme cylinderampuller uden stempel er 2,15 ml.</w:t>
      </w:r>
    </w:p>
    <w:p w14:paraId="4F593D89" w14:textId="77777777" w:rsidR="00FC762F" w:rsidRPr="007E629E" w:rsidRDefault="00FC762F" w:rsidP="004174ED">
      <w:pPr>
        <w:ind w:left="851"/>
        <w:rPr>
          <w:sz w:val="24"/>
          <w:szCs w:val="24"/>
        </w:rPr>
      </w:pPr>
      <w:r w:rsidRPr="007E629E">
        <w:rPr>
          <w:sz w:val="24"/>
          <w:szCs w:val="24"/>
        </w:rPr>
        <w:t xml:space="preserve">Prop og gummiskiver er fremstillet af </w:t>
      </w:r>
      <w:proofErr w:type="spellStart"/>
      <w:r w:rsidRPr="007E629E">
        <w:rPr>
          <w:sz w:val="24"/>
          <w:szCs w:val="24"/>
        </w:rPr>
        <w:t>brombutylgummi</w:t>
      </w:r>
      <w:proofErr w:type="spellEnd"/>
      <w:r w:rsidRPr="007E629E">
        <w:rPr>
          <w:sz w:val="24"/>
          <w:szCs w:val="24"/>
        </w:rPr>
        <w:t>.</w:t>
      </w:r>
    </w:p>
    <w:p w14:paraId="2D9AA163" w14:textId="77777777" w:rsidR="00FC762F" w:rsidRPr="007E629E" w:rsidRDefault="00FC762F" w:rsidP="004174ED">
      <w:pPr>
        <w:ind w:left="851"/>
        <w:rPr>
          <w:sz w:val="24"/>
          <w:szCs w:val="24"/>
        </w:rPr>
      </w:pPr>
      <w:r w:rsidRPr="007E629E">
        <w:rPr>
          <w:sz w:val="24"/>
          <w:szCs w:val="24"/>
        </w:rPr>
        <w:t xml:space="preserve">Aluminiumslåget er fremstillet med en dobbelt </w:t>
      </w:r>
      <w:proofErr w:type="spellStart"/>
      <w:r w:rsidRPr="007E629E">
        <w:rPr>
          <w:sz w:val="24"/>
          <w:szCs w:val="24"/>
        </w:rPr>
        <w:t>brombutyl</w:t>
      </w:r>
      <w:proofErr w:type="spellEnd"/>
      <w:r w:rsidRPr="007E629E">
        <w:rPr>
          <w:sz w:val="24"/>
          <w:szCs w:val="24"/>
        </w:rPr>
        <w:t>-skive.</w:t>
      </w:r>
    </w:p>
    <w:p w14:paraId="202E2D08" w14:textId="77777777" w:rsidR="00FC762F" w:rsidRPr="007E629E" w:rsidRDefault="00FC762F" w:rsidP="004174ED">
      <w:pPr>
        <w:ind w:left="851"/>
        <w:rPr>
          <w:sz w:val="24"/>
          <w:szCs w:val="24"/>
        </w:rPr>
      </w:pPr>
      <w:r w:rsidRPr="007E629E">
        <w:rPr>
          <w:sz w:val="24"/>
          <w:szCs w:val="24"/>
        </w:rPr>
        <w:t>Det sekundære pakkemateriale er PVC/papir af medicinsk kvalitet, PET-PE/PET- eller PET-PE/PVC-blister.</w:t>
      </w:r>
    </w:p>
    <w:p w14:paraId="26824C1F" w14:textId="77777777" w:rsidR="00FC762F" w:rsidRPr="007E629E" w:rsidRDefault="00FC762F" w:rsidP="004174ED">
      <w:pPr>
        <w:ind w:left="851"/>
        <w:rPr>
          <w:sz w:val="24"/>
          <w:szCs w:val="24"/>
        </w:rPr>
      </w:pPr>
    </w:p>
    <w:p w14:paraId="6FAF0E49" w14:textId="77777777" w:rsidR="00FC762F" w:rsidRPr="007E629E" w:rsidRDefault="00FC762F" w:rsidP="004174ED">
      <w:pPr>
        <w:ind w:left="851"/>
        <w:rPr>
          <w:sz w:val="24"/>
          <w:szCs w:val="24"/>
          <w:u w:val="single"/>
        </w:rPr>
      </w:pPr>
      <w:r w:rsidRPr="007E629E">
        <w:rPr>
          <w:sz w:val="24"/>
          <w:szCs w:val="24"/>
          <w:u w:val="single"/>
        </w:rPr>
        <w:t>Pakningsstørrelser:</w:t>
      </w:r>
    </w:p>
    <w:p w14:paraId="29C3FC3C" w14:textId="77777777" w:rsidR="00FC762F" w:rsidRPr="007E629E" w:rsidRDefault="00FC762F" w:rsidP="004174ED">
      <w:pPr>
        <w:ind w:left="851"/>
        <w:rPr>
          <w:sz w:val="24"/>
          <w:szCs w:val="24"/>
        </w:rPr>
      </w:pPr>
      <w:r w:rsidRPr="007E629E">
        <w:rPr>
          <w:sz w:val="24"/>
          <w:szCs w:val="24"/>
        </w:rPr>
        <w:t>Pakning indeholdende 50 cylinderampuller med 1,8 ml med et fladt stempel til selvaspiration.</w:t>
      </w:r>
    </w:p>
    <w:p w14:paraId="5EB04B0F" w14:textId="77777777" w:rsidR="00FC762F" w:rsidRPr="007E629E" w:rsidRDefault="00FC762F" w:rsidP="004174ED">
      <w:pPr>
        <w:ind w:left="851"/>
        <w:rPr>
          <w:sz w:val="24"/>
          <w:szCs w:val="24"/>
        </w:rPr>
      </w:pPr>
      <w:r w:rsidRPr="007E629E">
        <w:rPr>
          <w:sz w:val="24"/>
          <w:szCs w:val="24"/>
        </w:rPr>
        <w:t>Pakning indeholdende 50 cylinderampuller med 1,8 ml med stempel med hulrum til manuel aspiration.</w:t>
      </w:r>
    </w:p>
    <w:p w14:paraId="2C3C604F" w14:textId="77777777" w:rsidR="00FC762F" w:rsidRPr="007E629E" w:rsidRDefault="00FC762F" w:rsidP="004174ED">
      <w:pPr>
        <w:ind w:left="851"/>
        <w:rPr>
          <w:sz w:val="24"/>
          <w:szCs w:val="24"/>
        </w:rPr>
      </w:pPr>
      <w:r w:rsidRPr="007E629E">
        <w:rPr>
          <w:sz w:val="24"/>
          <w:szCs w:val="24"/>
        </w:rPr>
        <w:t>Pakning indeholdende 100 cylinderampuller med 1,8 ml med et fladt stempel til selvaspiration.</w:t>
      </w:r>
    </w:p>
    <w:p w14:paraId="234772B8" w14:textId="77777777" w:rsidR="00FC762F" w:rsidRPr="007E629E" w:rsidRDefault="00FC762F" w:rsidP="004174ED">
      <w:pPr>
        <w:ind w:left="851"/>
        <w:rPr>
          <w:sz w:val="24"/>
          <w:szCs w:val="24"/>
        </w:rPr>
      </w:pPr>
      <w:r w:rsidRPr="007E629E">
        <w:rPr>
          <w:sz w:val="24"/>
          <w:szCs w:val="24"/>
        </w:rPr>
        <w:t>Pakning indeholdende 100 cylinderampuller med 1,8 ml med stempel med hulrum til manuel aspiration.</w:t>
      </w:r>
    </w:p>
    <w:p w14:paraId="4C55910A" w14:textId="77777777" w:rsidR="009260DE" w:rsidRPr="007E629E" w:rsidRDefault="009260DE" w:rsidP="009260DE">
      <w:pPr>
        <w:tabs>
          <w:tab w:val="left" w:pos="851"/>
        </w:tabs>
        <w:ind w:left="851"/>
        <w:rPr>
          <w:sz w:val="24"/>
          <w:szCs w:val="24"/>
        </w:rPr>
      </w:pPr>
    </w:p>
    <w:p w14:paraId="09AA166F" w14:textId="40D8070A" w:rsidR="009260DE" w:rsidRPr="007E629E" w:rsidRDefault="009260DE" w:rsidP="009260DE">
      <w:pPr>
        <w:tabs>
          <w:tab w:val="left" w:pos="851"/>
        </w:tabs>
        <w:ind w:left="851" w:hanging="851"/>
        <w:rPr>
          <w:b/>
          <w:sz w:val="24"/>
          <w:szCs w:val="24"/>
        </w:rPr>
      </w:pPr>
      <w:r w:rsidRPr="007E629E">
        <w:rPr>
          <w:b/>
          <w:sz w:val="24"/>
          <w:szCs w:val="24"/>
        </w:rPr>
        <w:t>6.6</w:t>
      </w:r>
      <w:r w:rsidRPr="007E629E">
        <w:rPr>
          <w:b/>
          <w:sz w:val="24"/>
          <w:szCs w:val="24"/>
        </w:rPr>
        <w:tab/>
        <w:t xml:space="preserve">Regler for </w:t>
      </w:r>
      <w:r w:rsidR="00B60B88">
        <w:rPr>
          <w:b/>
          <w:sz w:val="24"/>
          <w:szCs w:val="24"/>
        </w:rPr>
        <w:t>bortskaffelse</w:t>
      </w:r>
      <w:r w:rsidRPr="007E629E">
        <w:rPr>
          <w:b/>
          <w:sz w:val="24"/>
          <w:szCs w:val="24"/>
        </w:rPr>
        <w:t xml:space="preserve"> og anden håndtering</w:t>
      </w:r>
    </w:p>
    <w:p w14:paraId="61504E9A" w14:textId="77777777" w:rsidR="00444C82" w:rsidRPr="00444C82" w:rsidRDefault="00444C82" w:rsidP="00444C82">
      <w:pPr>
        <w:kinsoku w:val="0"/>
        <w:overflowPunct w:val="0"/>
        <w:ind w:right="138" w:firstLine="851"/>
        <w:textAlignment w:val="baseline"/>
        <w:rPr>
          <w:sz w:val="24"/>
          <w:szCs w:val="24"/>
          <w:lang w:eastAsia="en-GB"/>
        </w:rPr>
      </w:pPr>
      <w:r w:rsidRPr="00444C82">
        <w:rPr>
          <w:sz w:val="24"/>
          <w:szCs w:val="24"/>
        </w:rPr>
        <w:t xml:space="preserve">Cylinderampuller </w:t>
      </w:r>
      <w:r w:rsidRPr="00444C82">
        <w:rPr>
          <w:b/>
          <w:sz w:val="24"/>
          <w:szCs w:val="24"/>
        </w:rPr>
        <w:t>kun til engangsbrug</w:t>
      </w:r>
      <w:r w:rsidRPr="00444C82">
        <w:rPr>
          <w:sz w:val="24"/>
          <w:szCs w:val="24"/>
        </w:rPr>
        <w:t>.</w:t>
      </w:r>
    </w:p>
    <w:p w14:paraId="2472F4D9" w14:textId="77777777" w:rsidR="00444C82" w:rsidRDefault="00444C82" w:rsidP="004174ED">
      <w:pPr>
        <w:ind w:left="851"/>
        <w:rPr>
          <w:sz w:val="24"/>
          <w:szCs w:val="24"/>
        </w:rPr>
      </w:pPr>
    </w:p>
    <w:p w14:paraId="4EFB7C98" w14:textId="3AC4A176" w:rsidR="00973119" w:rsidRPr="00444C82" w:rsidRDefault="00973119" w:rsidP="004174ED">
      <w:pPr>
        <w:ind w:left="851"/>
        <w:rPr>
          <w:sz w:val="24"/>
          <w:szCs w:val="24"/>
          <w:u w:val="single"/>
          <w:lang w:eastAsia="en-GB"/>
        </w:rPr>
      </w:pPr>
      <w:r w:rsidRPr="00444C82">
        <w:rPr>
          <w:sz w:val="24"/>
          <w:szCs w:val="24"/>
          <w:u w:val="single"/>
        </w:rPr>
        <w:t xml:space="preserve">Administration </w:t>
      </w:r>
    </w:p>
    <w:p w14:paraId="20E7AB09" w14:textId="77777777" w:rsidR="00973119" w:rsidRPr="007E629E" w:rsidRDefault="00973119" w:rsidP="004174ED">
      <w:pPr>
        <w:ind w:left="851"/>
        <w:rPr>
          <w:sz w:val="24"/>
          <w:szCs w:val="24"/>
        </w:rPr>
      </w:pPr>
      <w:r w:rsidRPr="007E629E">
        <w:rPr>
          <w:sz w:val="24"/>
          <w:szCs w:val="24"/>
        </w:rPr>
        <w:t xml:space="preserve">Infiltration og perineural anvendelse </w:t>
      </w:r>
    </w:p>
    <w:p w14:paraId="72994D9C" w14:textId="77777777" w:rsidR="00973119" w:rsidRPr="007E629E" w:rsidRDefault="00973119" w:rsidP="004174ED">
      <w:pPr>
        <w:ind w:left="851"/>
        <w:rPr>
          <w:sz w:val="24"/>
          <w:szCs w:val="24"/>
          <w:lang w:val="es-ES" w:eastAsia="es-ES"/>
        </w:rPr>
      </w:pPr>
    </w:p>
    <w:p w14:paraId="7E43559A" w14:textId="77777777" w:rsidR="00973119" w:rsidRPr="007E629E" w:rsidRDefault="00973119" w:rsidP="004174ED">
      <w:pPr>
        <w:ind w:left="851"/>
        <w:rPr>
          <w:sz w:val="24"/>
          <w:szCs w:val="24"/>
          <w:lang w:eastAsia="en-GB"/>
        </w:rPr>
      </w:pPr>
      <w:r w:rsidRPr="007E629E">
        <w:rPr>
          <w:i/>
          <w:sz w:val="24"/>
          <w:szCs w:val="24"/>
        </w:rPr>
        <w:t xml:space="preserve">Sikkerhedsforanstaltninger, der skal tages, inden administration af lægemidlet </w:t>
      </w:r>
    </w:p>
    <w:p w14:paraId="7837DF91" w14:textId="77777777" w:rsidR="00973119" w:rsidRPr="007E629E" w:rsidRDefault="00973119" w:rsidP="004174ED">
      <w:pPr>
        <w:ind w:left="851"/>
        <w:rPr>
          <w:sz w:val="24"/>
          <w:szCs w:val="24"/>
        </w:rPr>
      </w:pPr>
      <w:r w:rsidRPr="007E629E">
        <w:rPr>
          <w:sz w:val="24"/>
          <w:szCs w:val="24"/>
        </w:rPr>
        <w:t xml:space="preserve">Lægemidlet må ikke anvendes, hvis det er uklart og misfarvet. </w:t>
      </w:r>
    </w:p>
    <w:p w14:paraId="1288A9CD" w14:textId="77777777" w:rsidR="00973119" w:rsidRPr="007E629E" w:rsidRDefault="00973119" w:rsidP="004174ED">
      <w:pPr>
        <w:ind w:left="851"/>
        <w:rPr>
          <w:sz w:val="24"/>
          <w:szCs w:val="24"/>
        </w:rPr>
      </w:pPr>
      <w:r w:rsidRPr="007E629E">
        <w:rPr>
          <w:sz w:val="24"/>
          <w:szCs w:val="24"/>
        </w:rPr>
        <w:t xml:space="preserve">Injektionshastigheden må ikke overstige 1 ml opløsning pr. minut. </w:t>
      </w:r>
    </w:p>
    <w:p w14:paraId="1FE6D526" w14:textId="77777777" w:rsidR="00973119" w:rsidRPr="007E629E" w:rsidRDefault="00973119" w:rsidP="004174ED">
      <w:pPr>
        <w:ind w:left="851"/>
        <w:rPr>
          <w:sz w:val="24"/>
          <w:szCs w:val="24"/>
        </w:rPr>
      </w:pPr>
      <w:r w:rsidRPr="007E629E">
        <w:rPr>
          <w:sz w:val="24"/>
          <w:szCs w:val="24"/>
        </w:rPr>
        <w:t xml:space="preserve">Hvis der er inflammation og/eller infektion ved injektionsstedet, skal injektion af </w:t>
      </w:r>
      <w:proofErr w:type="spellStart"/>
      <w:r w:rsidRPr="007E629E">
        <w:rPr>
          <w:sz w:val="24"/>
          <w:szCs w:val="24"/>
        </w:rPr>
        <w:t>lokalanæstetika</w:t>
      </w:r>
      <w:proofErr w:type="spellEnd"/>
      <w:r w:rsidRPr="007E629E">
        <w:rPr>
          <w:sz w:val="24"/>
          <w:szCs w:val="24"/>
        </w:rPr>
        <w:t xml:space="preserve"> foretages med forsigtighed. Injektionshastigheden skal være meget langsom (1 ml/min).</w:t>
      </w:r>
    </w:p>
    <w:p w14:paraId="758BC4B4" w14:textId="77777777" w:rsidR="00973119" w:rsidRPr="007E629E" w:rsidRDefault="00973119" w:rsidP="004174ED">
      <w:pPr>
        <w:ind w:left="851"/>
        <w:rPr>
          <w:sz w:val="24"/>
          <w:szCs w:val="24"/>
        </w:rPr>
      </w:pPr>
    </w:p>
    <w:p w14:paraId="0E062C8C" w14:textId="77777777" w:rsidR="00973119" w:rsidRPr="007E629E" w:rsidRDefault="00973119" w:rsidP="004174ED">
      <w:pPr>
        <w:ind w:left="851"/>
        <w:rPr>
          <w:sz w:val="24"/>
          <w:szCs w:val="24"/>
        </w:rPr>
      </w:pPr>
      <w:r w:rsidRPr="007E629E">
        <w:rPr>
          <w:sz w:val="24"/>
          <w:szCs w:val="24"/>
        </w:rPr>
        <w:t>Ikke anvendt lægemiddel samt affald heraf skal bortskaffes i henhold til lokale retningslinjer.</w:t>
      </w:r>
    </w:p>
    <w:p w14:paraId="64F81196" w14:textId="77777777" w:rsidR="009260DE" w:rsidRPr="007E629E" w:rsidRDefault="009260DE" w:rsidP="000730CA">
      <w:pPr>
        <w:tabs>
          <w:tab w:val="left" w:pos="851"/>
        </w:tabs>
        <w:ind w:left="851"/>
        <w:rPr>
          <w:sz w:val="24"/>
          <w:szCs w:val="24"/>
        </w:rPr>
      </w:pPr>
    </w:p>
    <w:p w14:paraId="1BC79F28" w14:textId="77777777" w:rsidR="009260DE" w:rsidRPr="007E629E" w:rsidRDefault="009260DE" w:rsidP="009260DE">
      <w:pPr>
        <w:tabs>
          <w:tab w:val="left" w:pos="851"/>
        </w:tabs>
        <w:ind w:left="851" w:hanging="851"/>
        <w:rPr>
          <w:b/>
          <w:sz w:val="24"/>
          <w:szCs w:val="24"/>
        </w:rPr>
      </w:pPr>
      <w:r w:rsidRPr="007E629E">
        <w:rPr>
          <w:b/>
          <w:sz w:val="24"/>
          <w:szCs w:val="24"/>
        </w:rPr>
        <w:t>7.</w:t>
      </w:r>
      <w:r w:rsidRPr="007E629E">
        <w:rPr>
          <w:b/>
          <w:sz w:val="24"/>
          <w:szCs w:val="24"/>
        </w:rPr>
        <w:tab/>
        <w:t>INDEHAVER AF MARKEDSFØRINGSTILLADELSEN</w:t>
      </w:r>
    </w:p>
    <w:p w14:paraId="70D919E3" w14:textId="77777777" w:rsidR="003A255F" w:rsidRPr="003A255F" w:rsidRDefault="003A255F" w:rsidP="003A255F">
      <w:pPr>
        <w:numPr>
          <w:ilvl w:val="12"/>
          <w:numId w:val="0"/>
        </w:numPr>
        <w:ind w:left="851" w:right="-2"/>
        <w:jc w:val="both"/>
        <w:rPr>
          <w:sz w:val="24"/>
          <w:szCs w:val="24"/>
          <w:lang w:val="en-US"/>
        </w:rPr>
      </w:pPr>
      <w:r w:rsidRPr="003A255F">
        <w:rPr>
          <w:noProof/>
          <w:sz w:val="24"/>
          <w:szCs w:val="24"/>
          <w:lang w:val="en-US"/>
        </w:rPr>
        <w:t>LABORATORIOS INIBSA, S.A.</w:t>
      </w:r>
    </w:p>
    <w:p w14:paraId="265A45AF" w14:textId="77777777" w:rsidR="00973119" w:rsidRPr="007E629E" w:rsidRDefault="00973119" w:rsidP="004174ED">
      <w:pPr>
        <w:ind w:left="851"/>
        <w:rPr>
          <w:sz w:val="24"/>
          <w:szCs w:val="24"/>
          <w:lang w:val="en-IE"/>
        </w:rPr>
      </w:pPr>
      <w:proofErr w:type="spellStart"/>
      <w:r w:rsidRPr="007E629E">
        <w:rPr>
          <w:sz w:val="24"/>
          <w:szCs w:val="24"/>
          <w:lang w:val="en-IE"/>
        </w:rPr>
        <w:t>Ctra</w:t>
      </w:r>
      <w:proofErr w:type="spellEnd"/>
      <w:r w:rsidRPr="007E629E">
        <w:rPr>
          <w:sz w:val="24"/>
          <w:szCs w:val="24"/>
          <w:lang w:val="en-IE"/>
        </w:rPr>
        <w:t>. Sabadell a Granollers, km. 14.5</w:t>
      </w:r>
    </w:p>
    <w:p w14:paraId="4597941E" w14:textId="77777777" w:rsidR="005E2AF2" w:rsidRPr="007E629E" w:rsidRDefault="00973119" w:rsidP="004174ED">
      <w:pPr>
        <w:ind w:left="851"/>
        <w:rPr>
          <w:sz w:val="24"/>
          <w:szCs w:val="24"/>
        </w:rPr>
      </w:pPr>
      <w:r w:rsidRPr="007E629E">
        <w:rPr>
          <w:sz w:val="24"/>
          <w:szCs w:val="24"/>
        </w:rPr>
        <w:t xml:space="preserve">08185 </w:t>
      </w:r>
      <w:proofErr w:type="spellStart"/>
      <w:r w:rsidRPr="007E629E">
        <w:rPr>
          <w:sz w:val="24"/>
          <w:szCs w:val="24"/>
        </w:rPr>
        <w:t>Lliçà</w:t>
      </w:r>
      <w:proofErr w:type="spellEnd"/>
      <w:r w:rsidRPr="007E629E">
        <w:rPr>
          <w:sz w:val="24"/>
          <w:szCs w:val="24"/>
        </w:rPr>
        <w:t xml:space="preserve"> de </w:t>
      </w:r>
      <w:proofErr w:type="spellStart"/>
      <w:r w:rsidRPr="007E629E">
        <w:rPr>
          <w:sz w:val="24"/>
          <w:szCs w:val="24"/>
        </w:rPr>
        <w:t>Vall</w:t>
      </w:r>
      <w:proofErr w:type="spellEnd"/>
      <w:r w:rsidRPr="007E629E">
        <w:rPr>
          <w:sz w:val="24"/>
          <w:szCs w:val="24"/>
        </w:rPr>
        <w:t xml:space="preserve"> (Barcelona)</w:t>
      </w:r>
    </w:p>
    <w:p w14:paraId="70300A1C" w14:textId="1EBFF7F1" w:rsidR="00973119" w:rsidRPr="007E629E" w:rsidRDefault="00973119" w:rsidP="004174ED">
      <w:pPr>
        <w:ind w:left="851"/>
        <w:rPr>
          <w:sz w:val="24"/>
          <w:szCs w:val="24"/>
        </w:rPr>
      </w:pPr>
      <w:r w:rsidRPr="007E629E">
        <w:rPr>
          <w:sz w:val="24"/>
          <w:szCs w:val="24"/>
        </w:rPr>
        <w:t>Spanien</w:t>
      </w:r>
    </w:p>
    <w:p w14:paraId="08D87A1A" w14:textId="77777777" w:rsidR="009260DE" w:rsidRPr="007E629E" w:rsidRDefault="009260DE" w:rsidP="009260DE">
      <w:pPr>
        <w:tabs>
          <w:tab w:val="left" w:pos="851"/>
        </w:tabs>
        <w:ind w:left="851"/>
        <w:rPr>
          <w:sz w:val="24"/>
          <w:szCs w:val="24"/>
        </w:rPr>
      </w:pPr>
    </w:p>
    <w:p w14:paraId="73D0DAF5" w14:textId="3A92E3E0" w:rsidR="009260DE" w:rsidRPr="007E629E" w:rsidRDefault="009260DE" w:rsidP="009260DE">
      <w:pPr>
        <w:tabs>
          <w:tab w:val="left" w:pos="851"/>
        </w:tabs>
        <w:ind w:left="851" w:hanging="851"/>
        <w:rPr>
          <w:b/>
          <w:sz w:val="24"/>
          <w:szCs w:val="24"/>
        </w:rPr>
      </w:pPr>
      <w:r w:rsidRPr="007E629E">
        <w:rPr>
          <w:b/>
          <w:sz w:val="24"/>
          <w:szCs w:val="24"/>
        </w:rPr>
        <w:t>8.</w:t>
      </w:r>
      <w:r w:rsidRPr="007E629E">
        <w:rPr>
          <w:b/>
          <w:sz w:val="24"/>
          <w:szCs w:val="24"/>
        </w:rPr>
        <w:tab/>
        <w:t>MARKEDSFØRINGSTILLADELSESNUMMER (</w:t>
      </w:r>
      <w:r w:rsidR="00B60B88">
        <w:rPr>
          <w:b/>
          <w:sz w:val="24"/>
          <w:szCs w:val="24"/>
        </w:rPr>
        <w:t>-</w:t>
      </w:r>
      <w:r w:rsidRPr="007E629E">
        <w:rPr>
          <w:b/>
          <w:sz w:val="24"/>
          <w:szCs w:val="24"/>
        </w:rPr>
        <w:t>NUMRE)</w:t>
      </w:r>
    </w:p>
    <w:p w14:paraId="2E6CECF4" w14:textId="6B61A41A" w:rsidR="009260DE" w:rsidRPr="007E629E" w:rsidRDefault="00973119" w:rsidP="009260DE">
      <w:pPr>
        <w:tabs>
          <w:tab w:val="left" w:pos="851"/>
        </w:tabs>
        <w:ind w:left="851"/>
        <w:rPr>
          <w:sz w:val="24"/>
          <w:szCs w:val="24"/>
        </w:rPr>
      </w:pPr>
      <w:r w:rsidRPr="007E629E">
        <w:rPr>
          <w:sz w:val="24"/>
          <w:szCs w:val="24"/>
        </w:rPr>
        <w:t>65889</w:t>
      </w:r>
    </w:p>
    <w:p w14:paraId="23CB2189" w14:textId="77777777" w:rsidR="009260DE" w:rsidRPr="007E629E" w:rsidRDefault="009260DE" w:rsidP="009260DE">
      <w:pPr>
        <w:tabs>
          <w:tab w:val="left" w:pos="851"/>
        </w:tabs>
        <w:ind w:left="851"/>
        <w:jc w:val="both"/>
        <w:rPr>
          <w:sz w:val="24"/>
          <w:szCs w:val="24"/>
        </w:rPr>
      </w:pPr>
    </w:p>
    <w:p w14:paraId="42D256E4" w14:textId="77777777" w:rsidR="009260DE" w:rsidRPr="007E629E" w:rsidRDefault="009260DE" w:rsidP="009260DE">
      <w:pPr>
        <w:tabs>
          <w:tab w:val="left" w:pos="851"/>
        </w:tabs>
        <w:ind w:left="851" w:hanging="851"/>
        <w:rPr>
          <w:b/>
          <w:sz w:val="24"/>
          <w:szCs w:val="24"/>
        </w:rPr>
      </w:pPr>
      <w:r w:rsidRPr="007E629E">
        <w:rPr>
          <w:b/>
          <w:sz w:val="24"/>
          <w:szCs w:val="24"/>
        </w:rPr>
        <w:t>9.</w:t>
      </w:r>
      <w:r w:rsidRPr="007E629E">
        <w:rPr>
          <w:b/>
          <w:sz w:val="24"/>
          <w:szCs w:val="24"/>
        </w:rPr>
        <w:tab/>
        <w:t>DATO FOR FØRSTE MARKEDSFØRINGSTILLADELSE</w:t>
      </w:r>
    </w:p>
    <w:p w14:paraId="1A5C45AB" w14:textId="58DF5820" w:rsidR="009260DE" w:rsidRPr="007E629E" w:rsidRDefault="002923CE" w:rsidP="009260DE">
      <w:pPr>
        <w:tabs>
          <w:tab w:val="left" w:pos="851"/>
        </w:tabs>
        <w:ind w:left="851"/>
        <w:rPr>
          <w:sz w:val="24"/>
          <w:szCs w:val="24"/>
        </w:rPr>
      </w:pPr>
      <w:r>
        <w:rPr>
          <w:sz w:val="24"/>
          <w:szCs w:val="24"/>
        </w:rPr>
        <w:t>15. september 2022</w:t>
      </w:r>
    </w:p>
    <w:p w14:paraId="60E9669E" w14:textId="77777777" w:rsidR="009260DE" w:rsidRPr="007E629E" w:rsidRDefault="009260DE" w:rsidP="009260DE">
      <w:pPr>
        <w:tabs>
          <w:tab w:val="left" w:pos="851"/>
        </w:tabs>
        <w:ind w:left="851"/>
        <w:rPr>
          <w:sz w:val="24"/>
          <w:szCs w:val="24"/>
        </w:rPr>
      </w:pPr>
    </w:p>
    <w:p w14:paraId="7512AFC2" w14:textId="77777777" w:rsidR="009260DE" w:rsidRPr="007E629E" w:rsidRDefault="009260DE" w:rsidP="009260DE">
      <w:pPr>
        <w:tabs>
          <w:tab w:val="left" w:pos="851"/>
        </w:tabs>
        <w:ind w:left="851" w:hanging="851"/>
        <w:rPr>
          <w:b/>
          <w:sz w:val="24"/>
          <w:szCs w:val="24"/>
        </w:rPr>
      </w:pPr>
      <w:r w:rsidRPr="007E629E">
        <w:rPr>
          <w:b/>
          <w:sz w:val="24"/>
          <w:szCs w:val="24"/>
        </w:rPr>
        <w:t>10.</w:t>
      </w:r>
      <w:r w:rsidRPr="007E629E">
        <w:rPr>
          <w:b/>
          <w:sz w:val="24"/>
          <w:szCs w:val="24"/>
        </w:rPr>
        <w:tab/>
        <w:t>DATO FOR ÆNDRING AF TEKSTEN</w:t>
      </w:r>
    </w:p>
    <w:p w14:paraId="68EDA90C" w14:textId="742B2112" w:rsidR="009260DE" w:rsidRPr="007E629E" w:rsidRDefault="003A255F" w:rsidP="009260DE">
      <w:pPr>
        <w:tabs>
          <w:tab w:val="left" w:pos="851"/>
        </w:tabs>
        <w:ind w:left="851"/>
        <w:rPr>
          <w:sz w:val="24"/>
          <w:szCs w:val="24"/>
        </w:rPr>
      </w:pPr>
      <w:r>
        <w:rPr>
          <w:sz w:val="24"/>
          <w:szCs w:val="24"/>
        </w:rPr>
        <w:t>25. november 2024</w:t>
      </w:r>
    </w:p>
    <w:sectPr w:rsidR="009260DE" w:rsidRPr="007E629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24927" w14:textId="77777777" w:rsidR="00FC762F" w:rsidRDefault="00FC762F">
      <w:r>
        <w:separator/>
      </w:r>
    </w:p>
  </w:endnote>
  <w:endnote w:type="continuationSeparator" w:id="0">
    <w:p w14:paraId="66920CED" w14:textId="77777777" w:rsidR="00FC762F" w:rsidRDefault="00FC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6FE4" w14:textId="77777777" w:rsidR="00FC762F" w:rsidRDefault="00FC762F">
    <w:pPr>
      <w:pStyle w:val="Sidefod"/>
      <w:pBdr>
        <w:bottom w:val="single" w:sz="6" w:space="1" w:color="auto"/>
      </w:pBdr>
    </w:pPr>
  </w:p>
  <w:p w14:paraId="2E276681" w14:textId="77777777" w:rsidR="00FC762F" w:rsidRDefault="00FC762F" w:rsidP="00C42586">
    <w:pPr>
      <w:pStyle w:val="Sidefod"/>
      <w:tabs>
        <w:tab w:val="clear" w:pos="4819"/>
        <w:tab w:val="left" w:pos="8505"/>
      </w:tabs>
      <w:rPr>
        <w:i/>
        <w:sz w:val="18"/>
        <w:szCs w:val="18"/>
      </w:rPr>
    </w:pPr>
  </w:p>
  <w:p w14:paraId="38943343" w14:textId="357DC42B" w:rsidR="00FC762F" w:rsidRPr="00B373D7" w:rsidRDefault="00FC76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D5F49">
      <w:rPr>
        <w:i/>
        <w:noProof/>
        <w:sz w:val="18"/>
        <w:szCs w:val="18"/>
      </w:rPr>
      <w:t>Mepidental, injektionsvæske, opløsning i cylinderampul 30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4FAB9" w14:textId="77777777" w:rsidR="00FC762F" w:rsidRDefault="00FC762F">
      <w:r>
        <w:separator/>
      </w:r>
    </w:p>
  </w:footnote>
  <w:footnote w:type="continuationSeparator" w:id="0">
    <w:p w14:paraId="3243A768" w14:textId="77777777" w:rsidR="00FC762F" w:rsidRDefault="00FC7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26DBB"/>
    <w:multiLevelType w:val="hybridMultilevel"/>
    <w:tmpl w:val="DF148F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E484260"/>
    <w:multiLevelType w:val="hybridMultilevel"/>
    <w:tmpl w:val="2B7807AC"/>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1C33F32"/>
    <w:multiLevelType w:val="hybridMultilevel"/>
    <w:tmpl w:val="8110CC8C"/>
    <w:lvl w:ilvl="0" w:tplc="CD5C016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B3078C"/>
    <w:multiLevelType w:val="hybridMultilevel"/>
    <w:tmpl w:val="91F04E4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3C4B89"/>
    <w:multiLevelType w:val="hybridMultilevel"/>
    <w:tmpl w:val="1CEA8C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86F03AB"/>
    <w:multiLevelType w:val="hybridMultilevel"/>
    <w:tmpl w:val="232EF5F8"/>
    <w:lvl w:ilvl="0" w:tplc="58C865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33"/>
    <w:rsid w:val="000259B9"/>
    <w:rsid w:val="00041491"/>
    <w:rsid w:val="00050D16"/>
    <w:rsid w:val="000730CA"/>
    <w:rsid w:val="00074F2A"/>
    <w:rsid w:val="00096D4F"/>
    <w:rsid w:val="000A1CA8"/>
    <w:rsid w:val="000A466B"/>
    <w:rsid w:val="000B058C"/>
    <w:rsid w:val="000E4EE6"/>
    <w:rsid w:val="00114CF6"/>
    <w:rsid w:val="001454E2"/>
    <w:rsid w:val="001B6DD7"/>
    <w:rsid w:val="001C5528"/>
    <w:rsid w:val="001D738A"/>
    <w:rsid w:val="00206CE8"/>
    <w:rsid w:val="0021526C"/>
    <w:rsid w:val="00283A2B"/>
    <w:rsid w:val="002923CE"/>
    <w:rsid w:val="002B30AD"/>
    <w:rsid w:val="002C2C01"/>
    <w:rsid w:val="002D0404"/>
    <w:rsid w:val="003A255F"/>
    <w:rsid w:val="003A29AE"/>
    <w:rsid w:val="003A32D7"/>
    <w:rsid w:val="003B4074"/>
    <w:rsid w:val="003C769A"/>
    <w:rsid w:val="003D1E66"/>
    <w:rsid w:val="003F1838"/>
    <w:rsid w:val="004174ED"/>
    <w:rsid w:val="00444C82"/>
    <w:rsid w:val="0045746C"/>
    <w:rsid w:val="0049104B"/>
    <w:rsid w:val="004E3B12"/>
    <w:rsid w:val="00532310"/>
    <w:rsid w:val="00565F0F"/>
    <w:rsid w:val="00594A86"/>
    <w:rsid w:val="00596D86"/>
    <w:rsid w:val="005E2AF2"/>
    <w:rsid w:val="00637F5A"/>
    <w:rsid w:val="006560B1"/>
    <w:rsid w:val="00670E9B"/>
    <w:rsid w:val="00672011"/>
    <w:rsid w:val="006756DD"/>
    <w:rsid w:val="00737275"/>
    <w:rsid w:val="00740EEC"/>
    <w:rsid w:val="0078011A"/>
    <w:rsid w:val="00782AF4"/>
    <w:rsid w:val="00790EE7"/>
    <w:rsid w:val="007B6649"/>
    <w:rsid w:val="007E629E"/>
    <w:rsid w:val="0082576E"/>
    <w:rsid w:val="008663E8"/>
    <w:rsid w:val="0087575B"/>
    <w:rsid w:val="00907F75"/>
    <w:rsid w:val="0092106C"/>
    <w:rsid w:val="009260DE"/>
    <w:rsid w:val="00931BAA"/>
    <w:rsid w:val="0093258A"/>
    <w:rsid w:val="00973119"/>
    <w:rsid w:val="009A1C0D"/>
    <w:rsid w:val="009C7BA3"/>
    <w:rsid w:val="009D1F5A"/>
    <w:rsid w:val="00A10294"/>
    <w:rsid w:val="00A46DCB"/>
    <w:rsid w:val="00B003BF"/>
    <w:rsid w:val="00B373D7"/>
    <w:rsid w:val="00B43653"/>
    <w:rsid w:val="00B463FD"/>
    <w:rsid w:val="00B60B88"/>
    <w:rsid w:val="00B96750"/>
    <w:rsid w:val="00BD3F33"/>
    <w:rsid w:val="00C36276"/>
    <w:rsid w:val="00C42586"/>
    <w:rsid w:val="00C60CCD"/>
    <w:rsid w:val="00C84483"/>
    <w:rsid w:val="00C95551"/>
    <w:rsid w:val="00CA2188"/>
    <w:rsid w:val="00CB20D7"/>
    <w:rsid w:val="00CB5991"/>
    <w:rsid w:val="00D020B0"/>
    <w:rsid w:val="00D11748"/>
    <w:rsid w:val="00D366CF"/>
    <w:rsid w:val="00D930AB"/>
    <w:rsid w:val="00DC2FAB"/>
    <w:rsid w:val="00E108AA"/>
    <w:rsid w:val="00E3749A"/>
    <w:rsid w:val="00E71BF6"/>
    <w:rsid w:val="00E7437F"/>
    <w:rsid w:val="00E865B8"/>
    <w:rsid w:val="00E92519"/>
    <w:rsid w:val="00EC0B9B"/>
    <w:rsid w:val="00ED5E9F"/>
    <w:rsid w:val="00F66D4F"/>
    <w:rsid w:val="00FB6D01"/>
    <w:rsid w:val="00FC762F"/>
    <w:rsid w:val="00FD5F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C4929"/>
  <w15:chartTrackingRefBased/>
  <w15:docId w15:val="{F58E1871-64C5-4C22-816F-0EBDC41F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930AB"/>
    <w:pPr>
      <w:autoSpaceDE w:val="0"/>
      <w:autoSpaceDN w:val="0"/>
      <w:adjustRightInd w:val="0"/>
    </w:pPr>
    <w:rPr>
      <w:rFonts w:eastAsia="SimSun"/>
      <w:color w:val="000000"/>
      <w:sz w:val="24"/>
      <w:szCs w:val="24"/>
      <w:lang w:eastAsia="zh-CN"/>
    </w:rPr>
  </w:style>
  <w:style w:type="character" w:styleId="Hyperlink">
    <w:name w:val="Hyperlink"/>
    <w:basedOn w:val="Standardskrifttypeiafsnit"/>
    <w:uiPriority w:val="99"/>
    <w:semiHidden/>
    <w:unhideWhenUsed/>
    <w:rsid w:val="00FC762F"/>
    <w:rPr>
      <w:color w:val="0000FF"/>
      <w:u w:val="single"/>
    </w:rPr>
  </w:style>
  <w:style w:type="paragraph" w:styleId="Listeafsnit">
    <w:name w:val="List Paragraph"/>
    <w:basedOn w:val="Normal"/>
    <w:uiPriority w:val="34"/>
    <w:qFormat/>
    <w:rsid w:val="00B46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17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3969573">
      <w:bodyDiv w:val="1"/>
      <w:marLeft w:val="0"/>
      <w:marRight w:val="0"/>
      <w:marTop w:val="0"/>
      <w:marBottom w:val="0"/>
      <w:divBdr>
        <w:top w:val="none" w:sz="0" w:space="0" w:color="auto"/>
        <w:left w:val="none" w:sz="0" w:space="0" w:color="auto"/>
        <w:bottom w:val="none" w:sz="0" w:space="0" w:color="auto"/>
        <w:right w:val="none" w:sz="0" w:space="0" w:color="auto"/>
      </w:divBdr>
    </w:div>
    <w:div w:id="373043221">
      <w:bodyDiv w:val="1"/>
      <w:marLeft w:val="0"/>
      <w:marRight w:val="0"/>
      <w:marTop w:val="0"/>
      <w:marBottom w:val="0"/>
      <w:divBdr>
        <w:top w:val="none" w:sz="0" w:space="0" w:color="auto"/>
        <w:left w:val="none" w:sz="0" w:space="0" w:color="auto"/>
        <w:bottom w:val="none" w:sz="0" w:space="0" w:color="auto"/>
        <w:right w:val="none" w:sz="0" w:space="0" w:color="auto"/>
      </w:divBdr>
    </w:div>
    <w:div w:id="396979428">
      <w:bodyDiv w:val="1"/>
      <w:marLeft w:val="0"/>
      <w:marRight w:val="0"/>
      <w:marTop w:val="0"/>
      <w:marBottom w:val="0"/>
      <w:divBdr>
        <w:top w:val="none" w:sz="0" w:space="0" w:color="auto"/>
        <w:left w:val="none" w:sz="0" w:space="0" w:color="auto"/>
        <w:bottom w:val="none" w:sz="0" w:space="0" w:color="auto"/>
        <w:right w:val="none" w:sz="0" w:space="0" w:color="auto"/>
      </w:divBdr>
    </w:div>
    <w:div w:id="456728240">
      <w:bodyDiv w:val="1"/>
      <w:marLeft w:val="0"/>
      <w:marRight w:val="0"/>
      <w:marTop w:val="0"/>
      <w:marBottom w:val="0"/>
      <w:divBdr>
        <w:top w:val="none" w:sz="0" w:space="0" w:color="auto"/>
        <w:left w:val="none" w:sz="0" w:space="0" w:color="auto"/>
        <w:bottom w:val="none" w:sz="0" w:space="0" w:color="auto"/>
        <w:right w:val="none" w:sz="0" w:space="0" w:color="auto"/>
      </w:divBdr>
    </w:div>
    <w:div w:id="731775164">
      <w:bodyDiv w:val="1"/>
      <w:marLeft w:val="0"/>
      <w:marRight w:val="0"/>
      <w:marTop w:val="0"/>
      <w:marBottom w:val="0"/>
      <w:divBdr>
        <w:top w:val="none" w:sz="0" w:space="0" w:color="auto"/>
        <w:left w:val="none" w:sz="0" w:space="0" w:color="auto"/>
        <w:bottom w:val="none" w:sz="0" w:space="0" w:color="auto"/>
        <w:right w:val="none" w:sz="0" w:space="0" w:color="auto"/>
      </w:divBdr>
    </w:div>
    <w:div w:id="904805536">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4841670">
      <w:bodyDiv w:val="1"/>
      <w:marLeft w:val="0"/>
      <w:marRight w:val="0"/>
      <w:marTop w:val="0"/>
      <w:marBottom w:val="0"/>
      <w:divBdr>
        <w:top w:val="none" w:sz="0" w:space="0" w:color="auto"/>
        <w:left w:val="none" w:sz="0" w:space="0" w:color="auto"/>
        <w:bottom w:val="none" w:sz="0" w:space="0" w:color="auto"/>
        <w:right w:val="none" w:sz="0" w:space="0" w:color="auto"/>
      </w:divBdr>
    </w:div>
    <w:div w:id="1087507318">
      <w:bodyDiv w:val="1"/>
      <w:marLeft w:val="0"/>
      <w:marRight w:val="0"/>
      <w:marTop w:val="0"/>
      <w:marBottom w:val="0"/>
      <w:divBdr>
        <w:top w:val="none" w:sz="0" w:space="0" w:color="auto"/>
        <w:left w:val="none" w:sz="0" w:space="0" w:color="auto"/>
        <w:bottom w:val="none" w:sz="0" w:space="0" w:color="auto"/>
        <w:right w:val="none" w:sz="0" w:space="0" w:color="auto"/>
      </w:divBdr>
    </w:div>
    <w:div w:id="1141459168">
      <w:bodyDiv w:val="1"/>
      <w:marLeft w:val="0"/>
      <w:marRight w:val="0"/>
      <w:marTop w:val="0"/>
      <w:marBottom w:val="0"/>
      <w:divBdr>
        <w:top w:val="none" w:sz="0" w:space="0" w:color="auto"/>
        <w:left w:val="none" w:sz="0" w:space="0" w:color="auto"/>
        <w:bottom w:val="none" w:sz="0" w:space="0" w:color="auto"/>
        <w:right w:val="none" w:sz="0" w:space="0" w:color="auto"/>
      </w:divBdr>
    </w:div>
    <w:div w:id="1177499410">
      <w:bodyDiv w:val="1"/>
      <w:marLeft w:val="0"/>
      <w:marRight w:val="0"/>
      <w:marTop w:val="0"/>
      <w:marBottom w:val="0"/>
      <w:divBdr>
        <w:top w:val="none" w:sz="0" w:space="0" w:color="auto"/>
        <w:left w:val="none" w:sz="0" w:space="0" w:color="auto"/>
        <w:bottom w:val="none" w:sz="0" w:space="0" w:color="auto"/>
        <w:right w:val="none" w:sz="0" w:space="0" w:color="auto"/>
      </w:divBdr>
    </w:div>
    <w:div w:id="1418362275">
      <w:bodyDiv w:val="1"/>
      <w:marLeft w:val="0"/>
      <w:marRight w:val="0"/>
      <w:marTop w:val="0"/>
      <w:marBottom w:val="0"/>
      <w:divBdr>
        <w:top w:val="none" w:sz="0" w:space="0" w:color="auto"/>
        <w:left w:val="none" w:sz="0" w:space="0" w:color="auto"/>
        <w:bottom w:val="none" w:sz="0" w:space="0" w:color="auto"/>
        <w:right w:val="none" w:sz="0" w:space="0" w:color="auto"/>
      </w:divBdr>
    </w:div>
    <w:div w:id="1452673033">
      <w:bodyDiv w:val="1"/>
      <w:marLeft w:val="0"/>
      <w:marRight w:val="0"/>
      <w:marTop w:val="0"/>
      <w:marBottom w:val="0"/>
      <w:divBdr>
        <w:top w:val="none" w:sz="0" w:space="0" w:color="auto"/>
        <w:left w:val="none" w:sz="0" w:space="0" w:color="auto"/>
        <w:bottom w:val="none" w:sz="0" w:space="0" w:color="auto"/>
        <w:right w:val="none" w:sz="0" w:space="0" w:color="auto"/>
      </w:divBdr>
    </w:div>
    <w:div w:id="1529878110">
      <w:bodyDiv w:val="1"/>
      <w:marLeft w:val="0"/>
      <w:marRight w:val="0"/>
      <w:marTop w:val="0"/>
      <w:marBottom w:val="0"/>
      <w:divBdr>
        <w:top w:val="none" w:sz="0" w:space="0" w:color="auto"/>
        <w:left w:val="none" w:sz="0" w:space="0" w:color="auto"/>
        <w:bottom w:val="none" w:sz="0" w:space="0" w:color="auto"/>
        <w:right w:val="none" w:sz="0" w:space="0" w:color="auto"/>
      </w:divBdr>
    </w:div>
    <w:div w:id="1578176298">
      <w:bodyDiv w:val="1"/>
      <w:marLeft w:val="0"/>
      <w:marRight w:val="0"/>
      <w:marTop w:val="0"/>
      <w:marBottom w:val="0"/>
      <w:divBdr>
        <w:top w:val="none" w:sz="0" w:space="0" w:color="auto"/>
        <w:left w:val="none" w:sz="0" w:space="0" w:color="auto"/>
        <w:bottom w:val="none" w:sz="0" w:space="0" w:color="auto"/>
        <w:right w:val="none" w:sz="0" w:space="0" w:color="auto"/>
      </w:divBdr>
    </w:div>
    <w:div w:id="1624460277">
      <w:bodyDiv w:val="1"/>
      <w:marLeft w:val="0"/>
      <w:marRight w:val="0"/>
      <w:marTop w:val="0"/>
      <w:marBottom w:val="0"/>
      <w:divBdr>
        <w:top w:val="none" w:sz="0" w:space="0" w:color="auto"/>
        <w:left w:val="none" w:sz="0" w:space="0" w:color="auto"/>
        <w:bottom w:val="none" w:sz="0" w:space="0" w:color="auto"/>
        <w:right w:val="none" w:sz="0" w:space="0" w:color="auto"/>
      </w:divBdr>
    </w:div>
    <w:div w:id="1712070578">
      <w:bodyDiv w:val="1"/>
      <w:marLeft w:val="0"/>
      <w:marRight w:val="0"/>
      <w:marTop w:val="0"/>
      <w:marBottom w:val="0"/>
      <w:divBdr>
        <w:top w:val="none" w:sz="0" w:space="0" w:color="auto"/>
        <w:left w:val="none" w:sz="0" w:space="0" w:color="auto"/>
        <w:bottom w:val="none" w:sz="0" w:space="0" w:color="auto"/>
        <w:right w:val="none" w:sz="0" w:space="0" w:color="auto"/>
      </w:divBdr>
    </w:div>
    <w:div w:id="1792631047">
      <w:bodyDiv w:val="1"/>
      <w:marLeft w:val="0"/>
      <w:marRight w:val="0"/>
      <w:marTop w:val="0"/>
      <w:marBottom w:val="0"/>
      <w:divBdr>
        <w:top w:val="none" w:sz="0" w:space="0" w:color="auto"/>
        <w:left w:val="none" w:sz="0" w:space="0" w:color="auto"/>
        <w:bottom w:val="none" w:sz="0" w:space="0" w:color="auto"/>
        <w:right w:val="none" w:sz="0" w:space="0" w:color="auto"/>
      </w:divBdr>
    </w:div>
    <w:div w:id="1873565590">
      <w:bodyDiv w:val="1"/>
      <w:marLeft w:val="0"/>
      <w:marRight w:val="0"/>
      <w:marTop w:val="0"/>
      <w:marBottom w:val="0"/>
      <w:divBdr>
        <w:top w:val="none" w:sz="0" w:space="0" w:color="auto"/>
        <w:left w:val="none" w:sz="0" w:space="0" w:color="auto"/>
        <w:bottom w:val="none" w:sz="0" w:space="0" w:color="auto"/>
        <w:right w:val="none" w:sz="0" w:space="0" w:color="auto"/>
      </w:divBdr>
    </w:div>
    <w:div w:id="1930233367">
      <w:bodyDiv w:val="1"/>
      <w:marLeft w:val="0"/>
      <w:marRight w:val="0"/>
      <w:marTop w:val="0"/>
      <w:marBottom w:val="0"/>
      <w:divBdr>
        <w:top w:val="none" w:sz="0" w:space="0" w:color="auto"/>
        <w:left w:val="none" w:sz="0" w:space="0" w:color="auto"/>
        <w:bottom w:val="none" w:sz="0" w:space="0" w:color="auto"/>
        <w:right w:val="none" w:sz="0" w:space="0" w:color="auto"/>
      </w:divBdr>
    </w:div>
    <w:div w:id="1966541033">
      <w:bodyDiv w:val="1"/>
      <w:marLeft w:val="0"/>
      <w:marRight w:val="0"/>
      <w:marTop w:val="0"/>
      <w:marBottom w:val="0"/>
      <w:divBdr>
        <w:top w:val="none" w:sz="0" w:space="0" w:color="auto"/>
        <w:left w:val="none" w:sz="0" w:space="0" w:color="auto"/>
        <w:bottom w:val="none" w:sz="0" w:space="0" w:color="auto"/>
        <w:right w:val="none" w:sz="0" w:space="0" w:color="auto"/>
      </w:divBdr>
    </w:div>
    <w:div w:id="2014065286">
      <w:bodyDiv w:val="1"/>
      <w:marLeft w:val="0"/>
      <w:marRight w:val="0"/>
      <w:marTop w:val="0"/>
      <w:marBottom w:val="0"/>
      <w:divBdr>
        <w:top w:val="none" w:sz="0" w:space="0" w:color="auto"/>
        <w:left w:val="none" w:sz="0" w:space="0" w:color="auto"/>
        <w:bottom w:val="none" w:sz="0" w:space="0" w:color="auto"/>
        <w:right w:val="none" w:sz="0" w:space="0" w:color="auto"/>
      </w:divBdr>
    </w:div>
    <w:div w:id="207245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3661</Words>
  <Characters>25195</Characters>
  <Application>Microsoft Office Word</Application>
  <DocSecurity>0</DocSecurity>
  <Lines>209</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2024071079_x000d_
Skift af MAH fra Inibsa Dental S.L.U.</dc:description>
  <cp:lastModifiedBy>Marianne Ott Jensen</cp:lastModifiedBy>
  <cp:revision>3</cp:revision>
  <cp:lastPrinted>2012-08-22T08:53:00Z</cp:lastPrinted>
  <dcterms:created xsi:type="dcterms:W3CDTF">2024-11-25T11:11:00Z</dcterms:created>
  <dcterms:modified xsi:type="dcterms:W3CDTF">2024-11-25T11:12:00Z</dcterms:modified>
</cp:coreProperties>
</file>