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CADD7" w14:textId="6CD0A7AF"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051CC44" wp14:editId="6D16351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5DE3BCC" w14:textId="4C90DE6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D395F">
        <w:rPr>
          <w:szCs w:val="24"/>
        </w:rPr>
        <w:t>18</w:t>
      </w:r>
      <w:r w:rsidR="00E7107A">
        <w:rPr>
          <w:szCs w:val="24"/>
        </w:rPr>
        <w:t xml:space="preserve">. </w:t>
      </w:r>
      <w:r w:rsidR="00B77D4E">
        <w:rPr>
          <w:szCs w:val="24"/>
        </w:rPr>
        <w:t>marts</w:t>
      </w:r>
      <w:r w:rsidR="00E7107A">
        <w:rPr>
          <w:szCs w:val="24"/>
        </w:rPr>
        <w:t xml:space="preserve"> 202</w:t>
      </w:r>
      <w:r w:rsidR="00B77D4E">
        <w:rPr>
          <w:szCs w:val="24"/>
        </w:rPr>
        <w:t>4</w:t>
      </w:r>
    </w:p>
    <w:p w14:paraId="79A8DD7E" w14:textId="77777777" w:rsidR="009260DE" w:rsidRPr="00C84483" w:rsidRDefault="009260DE" w:rsidP="009260DE">
      <w:pPr>
        <w:pStyle w:val="Titel"/>
        <w:tabs>
          <w:tab w:val="left" w:pos="8222"/>
        </w:tabs>
        <w:jc w:val="left"/>
        <w:rPr>
          <w:b w:val="0"/>
          <w:szCs w:val="24"/>
        </w:rPr>
      </w:pPr>
    </w:p>
    <w:p w14:paraId="5E46298D" w14:textId="77777777" w:rsidR="009260DE" w:rsidRPr="00C84483" w:rsidRDefault="009260DE" w:rsidP="009260DE">
      <w:pPr>
        <w:pStyle w:val="Titel"/>
        <w:jc w:val="left"/>
        <w:rPr>
          <w:b w:val="0"/>
          <w:szCs w:val="24"/>
        </w:rPr>
      </w:pPr>
    </w:p>
    <w:p w14:paraId="44B4ECF3" w14:textId="77777777" w:rsidR="009260DE" w:rsidRPr="00C84483" w:rsidRDefault="009260DE" w:rsidP="009260DE">
      <w:pPr>
        <w:pStyle w:val="Titel"/>
        <w:jc w:val="left"/>
        <w:rPr>
          <w:b w:val="0"/>
          <w:szCs w:val="24"/>
        </w:rPr>
      </w:pPr>
    </w:p>
    <w:p w14:paraId="6BF3013D" w14:textId="77777777" w:rsidR="009260DE" w:rsidRPr="00C84483" w:rsidRDefault="009260DE" w:rsidP="009260DE">
      <w:pPr>
        <w:jc w:val="center"/>
        <w:rPr>
          <w:b/>
          <w:sz w:val="24"/>
          <w:szCs w:val="24"/>
        </w:rPr>
      </w:pPr>
      <w:r w:rsidRPr="00C84483">
        <w:rPr>
          <w:b/>
          <w:sz w:val="24"/>
          <w:szCs w:val="24"/>
        </w:rPr>
        <w:t>PRODUKTRESUMÉ</w:t>
      </w:r>
    </w:p>
    <w:p w14:paraId="64836EA1" w14:textId="77777777" w:rsidR="009260DE" w:rsidRPr="00C84483" w:rsidRDefault="009260DE" w:rsidP="009260DE">
      <w:pPr>
        <w:jc w:val="center"/>
        <w:rPr>
          <w:b/>
          <w:sz w:val="24"/>
          <w:szCs w:val="24"/>
        </w:rPr>
      </w:pPr>
    </w:p>
    <w:p w14:paraId="2137FEDE" w14:textId="77777777" w:rsidR="009260DE" w:rsidRDefault="009260DE" w:rsidP="009260DE">
      <w:pPr>
        <w:jc w:val="center"/>
        <w:rPr>
          <w:b/>
          <w:sz w:val="24"/>
          <w:szCs w:val="24"/>
        </w:rPr>
      </w:pPr>
      <w:r w:rsidRPr="00C84483">
        <w:rPr>
          <w:b/>
          <w:sz w:val="24"/>
          <w:szCs w:val="24"/>
        </w:rPr>
        <w:t>for</w:t>
      </w:r>
    </w:p>
    <w:p w14:paraId="7C393F18" w14:textId="77777777" w:rsidR="000B058C" w:rsidRPr="00C84483" w:rsidRDefault="000B058C" w:rsidP="009260DE">
      <w:pPr>
        <w:jc w:val="center"/>
        <w:rPr>
          <w:b/>
          <w:sz w:val="24"/>
          <w:szCs w:val="24"/>
        </w:rPr>
      </w:pPr>
    </w:p>
    <w:p w14:paraId="3B36819E" w14:textId="0AC9CDB9" w:rsidR="009260DE" w:rsidRPr="00C84483" w:rsidRDefault="00ED73D7" w:rsidP="009260DE">
      <w:pPr>
        <w:jc w:val="center"/>
        <w:rPr>
          <w:b/>
          <w:sz w:val="24"/>
          <w:szCs w:val="24"/>
        </w:rPr>
      </w:pPr>
      <w:proofErr w:type="spellStart"/>
      <w:r>
        <w:rPr>
          <w:b/>
          <w:sz w:val="24"/>
          <w:szCs w:val="24"/>
        </w:rPr>
        <w:t>Mesalazin</w:t>
      </w:r>
      <w:proofErr w:type="spellEnd"/>
      <w:r>
        <w:rPr>
          <w:b/>
          <w:sz w:val="24"/>
          <w:szCs w:val="24"/>
        </w:rPr>
        <w:t xml:space="preserve"> "Orion", suppositorier</w:t>
      </w:r>
      <w:r w:rsidR="00516F31">
        <w:rPr>
          <w:b/>
          <w:sz w:val="24"/>
          <w:szCs w:val="24"/>
        </w:rPr>
        <w:t xml:space="preserve"> 1 g</w:t>
      </w:r>
    </w:p>
    <w:p w14:paraId="351754A7" w14:textId="77777777" w:rsidR="009260DE" w:rsidRPr="00C84483" w:rsidRDefault="009260DE" w:rsidP="009260DE">
      <w:pPr>
        <w:jc w:val="both"/>
        <w:rPr>
          <w:sz w:val="24"/>
          <w:szCs w:val="24"/>
        </w:rPr>
      </w:pPr>
    </w:p>
    <w:p w14:paraId="5B1764BB" w14:textId="77777777" w:rsidR="009260DE" w:rsidRPr="00B24D4A" w:rsidRDefault="009260DE" w:rsidP="00B24D4A">
      <w:pPr>
        <w:ind w:left="851" w:hanging="851"/>
        <w:jc w:val="both"/>
        <w:rPr>
          <w:sz w:val="24"/>
          <w:szCs w:val="24"/>
        </w:rPr>
      </w:pPr>
    </w:p>
    <w:p w14:paraId="2B804083" w14:textId="77777777" w:rsidR="009260DE" w:rsidRPr="00B24D4A" w:rsidRDefault="009260DE" w:rsidP="00B24D4A">
      <w:pPr>
        <w:tabs>
          <w:tab w:val="left" w:pos="851"/>
        </w:tabs>
        <w:ind w:left="851" w:hanging="851"/>
        <w:rPr>
          <w:b/>
          <w:sz w:val="24"/>
          <w:szCs w:val="24"/>
        </w:rPr>
      </w:pPr>
      <w:r w:rsidRPr="00B24D4A">
        <w:rPr>
          <w:b/>
          <w:sz w:val="24"/>
          <w:szCs w:val="24"/>
        </w:rPr>
        <w:t>0.</w:t>
      </w:r>
      <w:r w:rsidRPr="00B24D4A">
        <w:rPr>
          <w:b/>
          <w:sz w:val="24"/>
          <w:szCs w:val="24"/>
        </w:rPr>
        <w:tab/>
        <w:t>D.SP.NR.</w:t>
      </w:r>
    </w:p>
    <w:p w14:paraId="7237AE9D" w14:textId="3B7B4677" w:rsidR="009260DE" w:rsidRPr="00B24D4A" w:rsidRDefault="00B24D4A" w:rsidP="00B24D4A">
      <w:pPr>
        <w:tabs>
          <w:tab w:val="left" w:pos="851"/>
        </w:tabs>
        <w:ind w:left="851" w:hanging="851"/>
        <w:rPr>
          <w:sz w:val="24"/>
          <w:szCs w:val="24"/>
        </w:rPr>
      </w:pPr>
      <w:r>
        <w:rPr>
          <w:sz w:val="24"/>
          <w:szCs w:val="24"/>
        </w:rPr>
        <w:tab/>
      </w:r>
      <w:r w:rsidR="00ED73D7" w:rsidRPr="00B24D4A">
        <w:rPr>
          <w:sz w:val="24"/>
          <w:szCs w:val="24"/>
        </w:rPr>
        <w:t>31</w:t>
      </w:r>
      <w:r w:rsidR="005C603C">
        <w:rPr>
          <w:sz w:val="24"/>
          <w:szCs w:val="24"/>
        </w:rPr>
        <w:t>339</w:t>
      </w:r>
    </w:p>
    <w:p w14:paraId="5D32B2BF" w14:textId="77777777" w:rsidR="009260DE" w:rsidRPr="00B24D4A" w:rsidRDefault="009260DE" w:rsidP="00B24D4A">
      <w:pPr>
        <w:tabs>
          <w:tab w:val="left" w:pos="851"/>
        </w:tabs>
        <w:ind w:left="851" w:hanging="851"/>
        <w:rPr>
          <w:sz w:val="24"/>
          <w:szCs w:val="24"/>
        </w:rPr>
      </w:pPr>
    </w:p>
    <w:p w14:paraId="7D003102" w14:textId="77777777" w:rsidR="009260DE" w:rsidRPr="00B24D4A" w:rsidRDefault="009260DE" w:rsidP="00B24D4A">
      <w:pPr>
        <w:tabs>
          <w:tab w:val="left" w:pos="851"/>
        </w:tabs>
        <w:ind w:left="851" w:hanging="851"/>
        <w:rPr>
          <w:b/>
          <w:sz w:val="24"/>
          <w:szCs w:val="24"/>
        </w:rPr>
      </w:pPr>
      <w:r w:rsidRPr="00B24D4A">
        <w:rPr>
          <w:b/>
          <w:sz w:val="24"/>
          <w:szCs w:val="24"/>
        </w:rPr>
        <w:t>1.</w:t>
      </w:r>
      <w:r w:rsidRPr="00B24D4A">
        <w:rPr>
          <w:b/>
          <w:sz w:val="24"/>
          <w:szCs w:val="24"/>
        </w:rPr>
        <w:tab/>
        <w:t>LÆGEMIDLETS NAVN</w:t>
      </w:r>
    </w:p>
    <w:p w14:paraId="0B6521F3" w14:textId="0C972A9F" w:rsidR="009260DE" w:rsidRPr="00B24D4A" w:rsidRDefault="00B24D4A" w:rsidP="00B24D4A">
      <w:pPr>
        <w:tabs>
          <w:tab w:val="left" w:pos="851"/>
        </w:tabs>
        <w:ind w:left="851" w:hanging="851"/>
        <w:rPr>
          <w:sz w:val="24"/>
          <w:szCs w:val="24"/>
        </w:rPr>
      </w:pPr>
      <w:r>
        <w:rPr>
          <w:sz w:val="24"/>
          <w:szCs w:val="24"/>
        </w:rPr>
        <w:tab/>
      </w:r>
      <w:proofErr w:type="spellStart"/>
      <w:r w:rsidR="00ED73D7" w:rsidRPr="00B24D4A">
        <w:rPr>
          <w:sz w:val="24"/>
          <w:szCs w:val="24"/>
        </w:rPr>
        <w:t>Mesalazin</w:t>
      </w:r>
      <w:proofErr w:type="spellEnd"/>
      <w:r w:rsidR="00ED73D7" w:rsidRPr="00B24D4A">
        <w:rPr>
          <w:sz w:val="24"/>
          <w:szCs w:val="24"/>
        </w:rPr>
        <w:t xml:space="preserve"> "Orion"</w:t>
      </w:r>
    </w:p>
    <w:p w14:paraId="41D42372" w14:textId="77777777" w:rsidR="009260DE" w:rsidRPr="00B24D4A" w:rsidRDefault="009260DE" w:rsidP="00B24D4A">
      <w:pPr>
        <w:tabs>
          <w:tab w:val="left" w:pos="851"/>
        </w:tabs>
        <w:ind w:left="851" w:hanging="851"/>
        <w:rPr>
          <w:sz w:val="24"/>
          <w:szCs w:val="24"/>
        </w:rPr>
      </w:pPr>
    </w:p>
    <w:p w14:paraId="0260A0CA" w14:textId="77777777" w:rsidR="009260DE" w:rsidRPr="00B24D4A" w:rsidRDefault="009260DE" w:rsidP="00B24D4A">
      <w:pPr>
        <w:tabs>
          <w:tab w:val="left" w:pos="851"/>
        </w:tabs>
        <w:ind w:left="851" w:hanging="851"/>
        <w:rPr>
          <w:b/>
          <w:sz w:val="24"/>
          <w:szCs w:val="24"/>
        </w:rPr>
      </w:pPr>
      <w:r w:rsidRPr="00B24D4A">
        <w:rPr>
          <w:b/>
          <w:sz w:val="24"/>
          <w:szCs w:val="24"/>
        </w:rPr>
        <w:t>2.</w:t>
      </w:r>
      <w:r w:rsidRPr="00B24D4A">
        <w:rPr>
          <w:b/>
          <w:sz w:val="24"/>
          <w:szCs w:val="24"/>
        </w:rPr>
        <w:tab/>
        <w:t>KVALITATIV OG KVANTITATIV SAMMENSÆTNING</w:t>
      </w:r>
    </w:p>
    <w:p w14:paraId="679AF5F5" w14:textId="33984299" w:rsidR="00580A5A" w:rsidRPr="00B24D4A" w:rsidRDefault="00580A5A" w:rsidP="00B24D4A">
      <w:pPr>
        <w:suppressAutoHyphens/>
        <w:ind w:left="851"/>
        <w:rPr>
          <w:sz w:val="24"/>
          <w:szCs w:val="24"/>
        </w:rPr>
      </w:pPr>
      <w:r w:rsidRPr="00B24D4A">
        <w:rPr>
          <w:sz w:val="24"/>
          <w:szCs w:val="24"/>
        </w:rPr>
        <w:t xml:space="preserve">Hvert suppositorie indeholder </w:t>
      </w:r>
      <w:r w:rsidR="00E92BB5">
        <w:rPr>
          <w:sz w:val="24"/>
          <w:szCs w:val="24"/>
        </w:rPr>
        <w:t>1 g (</w:t>
      </w:r>
      <w:r w:rsidRPr="00B24D4A">
        <w:rPr>
          <w:sz w:val="24"/>
          <w:szCs w:val="24"/>
        </w:rPr>
        <w:t>1.000 mg</w:t>
      </w:r>
      <w:r w:rsidR="00E92BB5">
        <w:rPr>
          <w:sz w:val="24"/>
          <w:szCs w:val="24"/>
        </w:rPr>
        <w:t>)</w:t>
      </w:r>
      <w:r w:rsidRPr="00B24D4A">
        <w:rPr>
          <w:sz w:val="24"/>
          <w:szCs w:val="24"/>
        </w:rPr>
        <w:t xml:space="preserve"> </w:t>
      </w:r>
      <w:proofErr w:type="spellStart"/>
      <w:r w:rsidRPr="00B24D4A">
        <w:rPr>
          <w:sz w:val="24"/>
          <w:szCs w:val="24"/>
        </w:rPr>
        <w:t>mesalazin</w:t>
      </w:r>
      <w:proofErr w:type="spellEnd"/>
      <w:r w:rsidRPr="00B24D4A">
        <w:rPr>
          <w:sz w:val="24"/>
          <w:szCs w:val="24"/>
        </w:rPr>
        <w:t>.</w:t>
      </w:r>
    </w:p>
    <w:p w14:paraId="3EDAA64C" w14:textId="77777777" w:rsidR="00580A5A" w:rsidRPr="00B24D4A" w:rsidRDefault="00580A5A" w:rsidP="00B24D4A">
      <w:pPr>
        <w:suppressAutoHyphens/>
        <w:ind w:left="851" w:hanging="851"/>
        <w:rPr>
          <w:sz w:val="24"/>
          <w:szCs w:val="24"/>
        </w:rPr>
      </w:pPr>
    </w:p>
    <w:p w14:paraId="652A99D5" w14:textId="77777777" w:rsidR="00580A5A" w:rsidRPr="00B24D4A" w:rsidRDefault="00580A5A" w:rsidP="00B24D4A">
      <w:pPr>
        <w:suppressAutoHyphens/>
        <w:ind w:left="851"/>
        <w:rPr>
          <w:sz w:val="24"/>
          <w:szCs w:val="24"/>
        </w:rPr>
      </w:pPr>
      <w:r w:rsidRPr="00B24D4A">
        <w:rPr>
          <w:sz w:val="24"/>
          <w:szCs w:val="24"/>
        </w:rPr>
        <w:t xml:space="preserve">Alle hjælpestoffer er anført under </w:t>
      </w:r>
      <w:r w:rsidRPr="00B24D4A">
        <w:rPr>
          <w:spacing w:val="-3"/>
          <w:sz w:val="24"/>
          <w:szCs w:val="24"/>
        </w:rPr>
        <w:t>pkt. 6.1.</w:t>
      </w:r>
    </w:p>
    <w:p w14:paraId="6BDFE0E4" w14:textId="77777777" w:rsidR="009260DE" w:rsidRPr="00B24D4A" w:rsidRDefault="009260DE" w:rsidP="00B24D4A">
      <w:pPr>
        <w:tabs>
          <w:tab w:val="left" w:pos="851"/>
        </w:tabs>
        <w:ind w:left="851" w:hanging="851"/>
        <w:rPr>
          <w:sz w:val="24"/>
          <w:szCs w:val="24"/>
        </w:rPr>
      </w:pPr>
    </w:p>
    <w:p w14:paraId="06C37B13" w14:textId="77777777" w:rsidR="009260DE" w:rsidRPr="00B24D4A" w:rsidRDefault="009260DE" w:rsidP="00B24D4A">
      <w:pPr>
        <w:tabs>
          <w:tab w:val="left" w:pos="851"/>
        </w:tabs>
        <w:ind w:left="851" w:hanging="851"/>
        <w:rPr>
          <w:b/>
          <w:sz w:val="24"/>
          <w:szCs w:val="24"/>
        </w:rPr>
      </w:pPr>
      <w:r w:rsidRPr="00B24D4A">
        <w:rPr>
          <w:b/>
          <w:sz w:val="24"/>
          <w:szCs w:val="24"/>
        </w:rPr>
        <w:t>3.</w:t>
      </w:r>
      <w:r w:rsidRPr="00B24D4A">
        <w:rPr>
          <w:b/>
          <w:sz w:val="24"/>
          <w:szCs w:val="24"/>
        </w:rPr>
        <w:tab/>
        <w:t>LÆGEMIDDELFORM</w:t>
      </w:r>
    </w:p>
    <w:p w14:paraId="04973423" w14:textId="1E03DBE4" w:rsidR="00580A5A" w:rsidRPr="00B24D4A" w:rsidRDefault="00B24D4A" w:rsidP="00B24D4A">
      <w:pPr>
        <w:tabs>
          <w:tab w:val="left" w:pos="-720"/>
        </w:tabs>
        <w:suppressAutoHyphens/>
        <w:ind w:left="851" w:hanging="851"/>
        <w:rPr>
          <w:sz w:val="24"/>
          <w:szCs w:val="24"/>
        </w:rPr>
      </w:pPr>
      <w:r>
        <w:rPr>
          <w:sz w:val="24"/>
          <w:szCs w:val="24"/>
        </w:rPr>
        <w:tab/>
      </w:r>
      <w:r w:rsidR="00580A5A" w:rsidRPr="00B24D4A">
        <w:rPr>
          <w:sz w:val="24"/>
          <w:szCs w:val="24"/>
        </w:rPr>
        <w:t>Suppositorier</w:t>
      </w:r>
    </w:p>
    <w:p w14:paraId="37B7CC13" w14:textId="77777777" w:rsidR="00580A5A" w:rsidRPr="00B24D4A" w:rsidRDefault="00580A5A" w:rsidP="00B24D4A">
      <w:pPr>
        <w:tabs>
          <w:tab w:val="left" w:pos="-720"/>
        </w:tabs>
        <w:suppressAutoHyphens/>
        <w:ind w:left="851" w:hanging="851"/>
        <w:rPr>
          <w:sz w:val="24"/>
          <w:szCs w:val="24"/>
        </w:rPr>
      </w:pPr>
    </w:p>
    <w:p w14:paraId="211CD8EF" w14:textId="77777777" w:rsidR="00580A5A" w:rsidRPr="00B24D4A" w:rsidRDefault="00580A5A" w:rsidP="00B24D4A">
      <w:pPr>
        <w:tabs>
          <w:tab w:val="left" w:pos="-720"/>
        </w:tabs>
        <w:suppressAutoHyphens/>
        <w:ind w:left="851" w:hanging="851"/>
        <w:rPr>
          <w:sz w:val="24"/>
          <w:szCs w:val="24"/>
        </w:rPr>
      </w:pPr>
      <w:r w:rsidRPr="00B24D4A">
        <w:rPr>
          <w:sz w:val="24"/>
          <w:szCs w:val="24"/>
        </w:rPr>
        <w:tab/>
        <w:t>Torpedo-formet suppositorie med gråhvid til let violetrødlig farve.</w:t>
      </w:r>
    </w:p>
    <w:p w14:paraId="25694330" w14:textId="77777777" w:rsidR="009260DE" w:rsidRPr="00B24D4A" w:rsidRDefault="009260DE" w:rsidP="00B24D4A">
      <w:pPr>
        <w:tabs>
          <w:tab w:val="left" w:pos="851"/>
        </w:tabs>
        <w:ind w:left="851" w:hanging="851"/>
        <w:rPr>
          <w:sz w:val="24"/>
          <w:szCs w:val="24"/>
        </w:rPr>
      </w:pPr>
    </w:p>
    <w:p w14:paraId="52434B59" w14:textId="77777777" w:rsidR="009260DE" w:rsidRPr="00B24D4A" w:rsidRDefault="009260DE" w:rsidP="00B24D4A">
      <w:pPr>
        <w:tabs>
          <w:tab w:val="left" w:pos="851"/>
        </w:tabs>
        <w:ind w:left="851" w:hanging="851"/>
        <w:rPr>
          <w:sz w:val="24"/>
          <w:szCs w:val="24"/>
        </w:rPr>
      </w:pPr>
    </w:p>
    <w:p w14:paraId="7AAE7709" w14:textId="77777777" w:rsidR="009260DE" w:rsidRPr="00B24D4A" w:rsidRDefault="009260DE" w:rsidP="00B24D4A">
      <w:pPr>
        <w:tabs>
          <w:tab w:val="left" w:pos="851"/>
        </w:tabs>
        <w:ind w:left="851" w:hanging="851"/>
        <w:rPr>
          <w:b/>
          <w:sz w:val="24"/>
          <w:szCs w:val="24"/>
        </w:rPr>
      </w:pPr>
      <w:r w:rsidRPr="00B24D4A">
        <w:rPr>
          <w:b/>
          <w:sz w:val="24"/>
          <w:szCs w:val="24"/>
        </w:rPr>
        <w:t>4.</w:t>
      </w:r>
      <w:r w:rsidRPr="00B24D4A">
        <w:rPr>
          <w:b/>
          <w:sz w:val="24"/>
          <w:szCs w:val="24"/>
        </w:rPr>
        <w:tab/>
        <w:t>KLINISKE OPLYSNINGER</w:t>
      </w:r>
    </w:p>
    <w:p w14:paraId="12198F15" w14:textId="77777777" w:rsidR="009260DE" w:rsidRPr="00B24D4A" w:rsidRDefault="009260DE" w:rsidP="00B24D4A">
      <w:pPr>
        <w:tabs>
          <w:tab w:val="left" w:pos="851"/>
        </w:tabs>
        <w:ind w:left="851" w:hanging="851"/>
        <w:rPr>
          <w:b/>
          <w:sz w:val="24"/>
          <w:szCs w:val="24"/>
        </w:rPr>
      </w:pPr>
    </w:p>
    <w:p w14:paraId="7992C103" w14:textId="77777777" w:rsidR="009260DE" w:rsidRPr="00B24D4A" w:rsidRDefault="009260DE" w:rsidP="00B24D4A">
      <w:pPr>
        <w:tabs>
          <w:tab w:val="left" w:pos="851"/>
        </w:tabs>
        <w:ind w:left="851" w:hanging="851"/>
        <w:rPr>
          <w:b/>
          <w:sz w:val="24"/>
          <w:szCs w:val="24"/>
          <w:u w:val="single"/>
        </w:rPr>
      </w:pPr>
      <w:r w:rsidRPr="00B24D4A">
        <w:rPr>
          <w:b/>
          <w:sz w:val="24"/>
          <w:szCs w:val="24"/>
        </w:rPr>
        <w:t>4.1</w:t>
      </w:r>
      <w:r w:rsidRPr="00B24D4A">
        <w:rPr>
          <w:b/>
          <w:sz w:val="24"/>
          <w:szCs w:val="24"/>
        </w:rPr>
        <w:tab/>
        <w:t>Terapeutiske indikationer</w:t>
      </w:r>
    </w:p>
    <w:p w14:paraId="66526E2D" w14:textId="340BD25F" w:rsidR="00580A5A" w:rsidRPr="00B24D4A" w:rsidRDefault="00B24D4A" w:rsidP="00B24D4A">
      <w:pPr>
        <w:pStyle w:val="Sidehoved"/>
        <w:suppressAutoHyphens/>
        <w:ind w:left="851" w:hanging="851"/>
        <w:rPr>
          <w:szCs w:val="24"/>
        </w:rPr>
      </w:pPr>
      <w:r>
        <w:rPr>
          <w:szCs w:val="24"/>
        </w:rPr>
        <w:tab/>
      </w:r>
      <w:proofErr w:type="spellStart"/>
      <w:r w:rsidR="00580A5A" w:rsidRPr="00B24D4A">
        <w:rPr>
          <w:szCs w:val="24"/>
        </w:rPr>
        <w:t>Mesalazin</w:t>
      </w:r>
      <w:proofErr w:type="spellEnd"/>
      <w:r w:rsidR="00580A5A" w:rsidRPr="00B24D4A">
        <w:rPr>
          <w:szCs w:val="24"/>
        </w:rPr>
        <w:t xml:space="preserve"> "Orion" er indiceret til </w:t>
      </w:r>
      <w:proofErr w:type="spellStart"/>
      <w:r w:rsidR="00580A5A" w:rsidRPr="00B24D4A">
        <w:rPr>
          <w:szCs w:val="24"/>
        </w:rPr>
        <w:t>distal</w:t>
      </w:r>
      <w:proofErr w:type="spellEnd"/>
      <w:r w:rsidR="00580A5A" w:rsidRPr="00B24D4A">
        <w:rPr>
          <w:szCs w:val="24"/>
        </w:rPr>
        <w:t xml:space="preserve"> colitis </w:t>
      </w:r>
      <w:proofErr w:type="spellStart"/>
      <w:r w:rsidR="00580A5A" w:rsidRPr="00B24D4A">
        <w:rPr>
          <w:szCs w:val="24"/>
        </w:rPr>
        <w:t>ulcerosa</w:t>
      </w:r>
      <w:proofErr w:type="spellEnd"/>
      <w:r w:rsidR="00580A5A" w:rsidRPr="00B24D4A">
        <w:rPr>
          <w:szCs w:val="24"/>
        </w:rPr>
        <w:t xml:space="preserve"> (</w:t>
      </w:r>
      <w:proofErr w:type="spellStart"/>
      <w:r w:rsidR="00580A5A" w:rsidRPr="00B24D4A">
        <w:rPr>
          <w:szCs w:val="24"/>
        </w:rPr>
        <w:t>proctitis</w:t>
      </w:r>
      <w:proofErr w:type="spellEnd"/>
      <w:r w:rsidR="00580A5A" w:rsidRPr="00B24D4A">
        <w:rPr>
          <w:szCs w:val="24"/>
        </w:rPr>
        <w:t xml:space="preserve"> og </w:t>
      </w:r>
      <w:proofErr w:type="spellStart"/>
      <w:r w:rsidR="00580A5A" w:rsidRPr="00B24D4A">
        <w:rPr>
          <w:szCs w:val="24"/>
        </w:rPr>
        <w:t>proctosigmoiditis</w:t>
      </w:r>
      <w:proofErr w:type="spellEnd"/>
      <w:r w:rsidR="00580A5A" w:rsidRPr="00B24D4A">
        <w:rPr>
          <w:szCs w:val="24"/>
        </w:rPr>
        <w:t>) i:</w:t>
      </w:r>
    </w:p>
    <w:p w14:paraId="0359ADCF" w14:textId="1C2FCA8A" w:rsidR="00580A5A" w:rsidRPr="00B24D4A" w:rsidRDefault="00580A5A" w:rsidP="00B24D4A">
      <w:pPr>
        <w:pStyle w:val="Listeafsnit"/>
        <w:numPr>
          <w:ilvl w:val="0"/>
          <w:numId w:val="8"/>
        </w:numPr>
        <w:ind w:left="1276" w:hanging="425"/>
        <w:rPr>
          <w:sz w:val="24"/>
          <w:szCs w:val="24"/>
          <w:lang w:eastAsia="pt-PT"/>
        </w:rPr>
      </w:pPr>
      <w:r w:rsidRPr="00B24D4A">
        <w:rPr>
          <w:sz w:val="24"/>
          <w:szCs w:val="24"/>
          <w:lang w:eastAsia="pt-PT"/>
        </w:rPr>
        <w:t xml:space="preserve">Behandling af den akutte fase af mild eller moderat </w:t>
      </w:r>
      <w:proofErr w:type="spellStart"/>
      <w:r w:rsidRPr="00B24D4A">
        <w:rPr>
          <w:sz w:val="24"/>
          <w:szCs w:val="24"/>
          <w:lang w:eastAsia="pt-PT"/>
        </w:rPr>
        <w:t>eksacerbation</w:t>
      </w:r>
      <w:proofErr w:type="spellEnd"/>
      <w:r w:rsidRPr="00B24D4A">
        <w:rPr>
          <w:sz w:val="24"/>
          <w:szCs w:val="24"/>
          <w:lang w:eastAsia="pt-PT"/>
        </w:rPr>
        <w:t>,</w:t>
      </w:r>
    </w:p>
    <w:p w14:paraId="226DA289" w14:textId="1D9A6A3C" w:rsidR="00580A5A" w:rsidRPr="00B24D4A" w:rsidRDefault="00580A5A" w:rsidP="00B24D4A">
      <w:pPr>
        <w:pStyle w:val="Listeafsnit"/>
        <w:numPr>
          <w:ilvl w:val="0"/>
          <w:numId w:val="8"/>
        </w:numPr>
        <w:ind w:left="1276" w:hanging="425"/>
        <w:rPr>
          <w:sz w:val="24"/>
          <w:szCs w:val="24"/>
          <w:lang w:eastAsia="pt-PT"/>
        </w:rPr>
      </w:pPr>
      <w:r w:rsidRPr="00B24D4A">
        <w:rPr>
          <w:sz w:val="24"/>
          <w:szCs w:val="24"/>
          <w:lang w:eastAsia="pt-PT"/>
        </w:rPr>
        <w:t>Vedligeholdelsesbehandling af remission.</w:t>
      </w:r>
    </w:p>
    <w:p w14:paraId="39368568" w14:textId="77777777" w:rsidR="009260DE" w:rsidRPr="00B24D4A" w:rsidRDefault="009260DE" w:rsidP="00B24D4A">
      <w:pPr>
        <w:tabs>
          <w:tab w:val="left" w:pos="851"/>
        </w:tabs>
        <w:ind w:left="851" w:hanging="851"/>
        <w:rPr>
          <w:sz w:val="24"/>
          <w:szCs w:val="24"/>
        </w:rPr>
      </w:pPr>
    </w:p>
    <w:p w14:paraId="7BA8B1DB" w14:textId="4959BFB2" w:rsidR="009260DE" w:rsidRPr="00B24D4A" w:rsidRDefault="009260DE" w:rsidP="00B24D4A">
      <w:pPr>
        <w:tabs>
          <w:tab w:val="left" w:pos="851"/>
        </w:tabs>
        <w:ind w:left="851" w:hanging="851"/>
        <w:rPr>
          <w:b/>
          <w:sz w:val="24"/>
          <w:szCs w:val="24"/>
        </w:rPr>
      </w:pPr>
      <w:r w:rsidRPr="00B24D4A">
        <w:rPr>
          <w:b/>
          <w:sz w:val="24"/>
          <w:szCs w:val="24"/>
        </w:rPr>
        <w:t>4.2</w:t>
      </w:r>
      <w:r w:rsidRPr="00B24D4A">
        <w:rPr>
          <w:b/>
          <w:sz w:val="24"/>
          <w:szCs w:val="24"/>
        </w:rPr>
        <w:tab/>
        <w:t xml:space="preserve">Dosering og </w:t>
      </w:r>
      <w:r w:rsidR="006D395F">
        <w:rPr>
          <w:b/>
          <w:sz w:val="24"/>
          <w:szCs w:val="24"/>
        </w:rPr>
        <w:t>administration</w:t>
      </w:r>
    </w:p>
    <w:p w14:paraId="550CC65E" w14:textId="77777777" w:rsidR="00B24D4A" w:rsidRDefault="00B24D4A" w:rsidP="00B24D4A">
      <w:pPr>
        <w:ind w:left="851" w:hanging="851"/>
        <w:rPr>
          <w:noProof/>
          <w:sz w:val="24"/>
          <w:szCs w:val="24"/>
          <w:u w:val="single"/>
        </w:rPr>
      </w:pPr>
    </w:p>
    <w:p w14:paraId="712E1991" w14:textId="6CBE2134" w:rsidR="00580A5A" w:rsidRPr="00B24D4A" w:rsidRDefault="00580A5A" w:rsidP="00B24D4A">
      <w:pPr>
        <w:ind w:left="851"/>
        <w:rPr>
          <w:noProof/>
          <w:sz w:val="24"/>
          <w:szCs w:val="24"/>
          <w:u w:val="single"/>
        </w:rPr>
      </w:pPr>
      <w:r w:rsidRPr="00B24D4A">
        <w:rPr>
          <w:noProof/>
          <w:sz w:val="24"/>
          <w:szCs w:val="24"/>
          <w:u w:val="single"/>
        </w:rPr>
        <w:t>Dosering</w:t>
      </w:r>
    </w:p>
    <w:p w14:paraId="1097C10C" w14:textId="77777777" w:rsidR="00580A5A" w:rsidRPr="00B24D4A" w:rsidRDefault="00580A5A" w:rsidP="00B24D4A">
      <w:pPr>
        <w:autoSpaceDE w:val="0"/>
        <w:autoSpaceDN w:val="0"/>
        <w:adjustRightInd w:val="0"/>
        <w:ind w:left="851"/>
        <w:rPr>
          <w:color w:val="000000"/>
          <w:sz w:val="24"/>
          <w:szCs w:val="24"/>
        </w:rPr>
      </w:pPr>
      <w:r w:rsidRPr="00B24D4A">
        <w:rPr>
          <w:color w:val="000000"/>
          <w:sz w:val="24"/>
          <w:szCs w:val="24"/>
        </w:rPr>
        <w:t>Individuel dosisjustering bør foretages af lægen, afhængigt af patientens karakteristika og sygdom.</w:t>
      </w:r>
    </w:p>
    <w:p w14:paraId="28D59618" w14:textId="77777777" w:rsidR="00580A5A" w:rsidRPr="00B24D4A" w:rsidRDefault="00580A5A" w:rsidP="00B24D4A">
      <w:pPr>
        <w:autoSpaceDE w:val="0"/>
        <w:autoSpaceDN w:val="0"/>
        <w:adjustRightInd w:val="0"/>
        <w:ind w:left="851"/>
        <w:rPr>
          <w:color w:val="000000"/>
          <w:sz w:val="24"/>
          <w:szCs w:val="24"/>
          <w:highlight w:val="yellow"/>
        </w:rPr>
      </w:pPr>
    </w:p>
    <w:p w14:paraId="24EBDB0E" w14:textId="77777777" w:rsidR="00580A5A" w:rsidRPr="00B24D4A" w:rsidRDefault="00580A5A" w:rsidP="00B24D4A">
      <w:pPr>
        <w:autoSpaceDE w:val="0"/>
        <w:autoSpaceDN w:val="0"/>
        <w:adjustRightInd w:val="0"/>
        <w:ind w:left="851"/>
        <w:rPr>
          <w:color w:val="000000"/>
          <w:sz w:val="24"/>
          <w:szCs w:val="24"/>
        </w:rPr>
      </w:pPr>
      <w:r w:rsidRPr="00B24D4A">
        <w:rPr>
          <w:color w:val="000000"/>
          <w:sz w:val="24"/>
          <w:szCs w:val="24"/>
        </w:rPr>
        <w:t>Den anbefalede dosering til voksne er:</w:t>
      </w:r>
    </w:p>
    <w:p w14:paraId="073F74BE" w14:textId="77777777" w:rsidR="00580A5A" w:rsidRPr="00B24D4A" w:rsidRDefault="00580A5A" w:rsidP="00B24D4A">
      <w:pPr>
        <w:autoSpaceDE w:val="0"/>
        <w:autoSpaceDN w:val="0"/>
        <w:adjustRightInd w:val="0"/>
        <w:ind w:left="851" w:hanging="851"/>
        <w:rPr>
          <w:color w:val="000000"/>
          <w:sz w:val="24"/>
          <w:szCs w:val="24"/>
        </w:rPr>
      </w:pPr>
    </w:p>
    <w:p w14:paraId="286E4988" w14:textId="77777777" w:rsidR="00580A5A" w:rsidRPr="00B24D4A" w:rsidRDefault="00580A5A" w:rsidP="00B24D4A">
      <w:pPr>
        <w:pStyle w:val="Listeafsnit"/>
        <w:numPr>
          <w:ilvl w:val="0"/>
          <w:numId w:val="6"/>
        </w:numPr>
        <w:autoSpaceDE w:val="0"/>
        <w:autoSpaceDN w:val="0"/>
        <w:adjustRightInd w:val="0"/>
        <w:ind w:left="1276" w:hanging="425"/>
        <w:rPr>
          <w:color w:val="000000"/>
          <w:sz w:val="24"/>
          <w:szCs w:val="24"/>
        </w:rPr>
      </w:pPr>
      <w:r w:rsidRPr="00B24D4A">
        <w:rPr>
          <w:sz w:val="24"/>
          <w:szCs w:val="24"/>
          <w:lang w:eastAsia="pt-PT"/>
        </w:rPr>
        <w:t xml:space="preserve">Behandling af den akutte fase af mild eller moderat </w:t>
      </w:r>
      <w:proofErr w:type="spellStart"/>
      <w:r w:rsidRPr="00B24D4A">
        <w:rPr>
          <w:sz w:val="24"/>
          <w:szCs w:val="24"/>
          <w:lang w:eastAsia="pt-PT"/>
        </w:rPr>
        <w:t>eksacerbation</w:t>
      </w:r>
      <w:proofErr w:type="spellEnd"/>
      <w:r w:rsidRPr="00B24D4A">
        <w:rPr>
          <w:sz w:val="24"/>
          <w:szCs w:val="24"/>
          <w:lang w:eastAsia="pt-PT"/>
        </w:rPr>
        <w:t>: 1 suppositorie dagligt (1.000 mg).</w:t>
      </w:r>
    </w:p>
    <w:p w14:paraId="2A07BC33" w14:textId="77777777" w:rsidR="00580A5A" w:rsidRPr="00B24D4A" w:rsidRDefault="00580A5A" w:rsidP="00B24D4A">
      <w:pPr>
        <w:pStyle w:val="Listeafsnit"/>
        <w:autoSpaceDE w:val="0"/>
        <w:autoSpaceDN w:val="0"/>
        <w:adjustRightInd w:val="0"/>
        <w:ind w:left="1276" w:hanging="425"/>
        <w:rPr>
          <w:color w:val="000000"/>
          <w:sz w:val="24"/>
          <w:szCs w:val="24"/>
        </w:rPr>
      </w:pPr>
    </w:p>
    <w:p w14:paraId="05CBC98C" w14:textId="77777777" w:rsidR="00580A5A" w:rsidRPr="00B24D4A" w:rsidRDefault="00580A5A" w:rsidP="00B24D4A">
      <w:pPr>
        <w:pStyle w:val="Listeafsnit"/>
        <w:numPr>
          <w:ilvl w:val="0"/>
          <w:numId w:val="6"/>
        </w:numPr>
        <w:autoSpaceDE w:val="0"/>
        <w:autoSpaceDN w:val="0"/>
        <w:adjustRightInd w:val="0"/>
        <w:ind w:left="1276" w:hanging="425"/>
        <w:rPr>
          <w:color w:val="000000"/>
          <w:sz w:val="24"/>
          <w:szCs w:val="24"/>
        </w:rPr>
      </w:pPr>
      <w:r w:rsidRPr="00B24D4A">
        <w:rPr>
          <w:sz w:val="24"/>
          <w:szCs w:val="24"/>
          <w:lang w:eastAsia="pt-PT"/>
        </w:rPr>
        <w:lastRenderedPageBreak/>
        <w:t>Vedligeholdelsesbehandling af remission: 1 suppositorie dagligt (1.000 mg). En lavere effektiv dosis bør overvejes (i dette tilfælde bør suppositorier på 500 mg anvendes).</w:t>
      </w:r>
    </w:p>
    <w:p w14:paraId="75FFAB3D" w14:textId="77777777" w:rsidR="00580A5A" w:rsidRPr="00B24D4A" w:rsidRDefault="00580A5A" w:rsidP="00B24D4A">
      <w:pPr>
        <w:pStyle w:val="Listeafsnit"/>
        <w:autoSpaceDE w:val="0"/>
        <w:autoSpaceDN w:val="0"/>
        <w:adjustRightInd w:val="0"/>
        <w:ind w:left="851" w:hanging="851"/>
        <w:rPr>
          <w:color w:val="000000"/>
          <w:sz w:val="24"/>
          <w:szCs w:val="24"/>
        </w:rPr>
      </w:pPr>
    </w:p>
    <w:p w14:paraId="6C5949E1" w14:textId="77777777" w:rsidR="00580A5A" w:rsidRPr="00B24D4A" w:rsidRDefault="00580A5A" w:rsidP="00B24D4A">
      <w:pPr>
        <w:ind w:left="851"/>
        <w:rPr>
          <w:sz w:val="24"/>
          <w:szCs w:val="24"/>
          <w:u w:val="single"/>
        </w:rPr>
      </w:pPr>
      <w:r w:rsidRPr="00B24D4A">
        <w:rPr>
          <w:sz w:val="24"/>
          <w:szCs w:val="24"/>
          <w:u w:val="single"/>
        </w:rPr>
        <w:t>Pædiatrisk population</w:t>
      </w:r>
    </w:p>
    <w:p w14:paraId="38742D5B" w14:textId="77777777" w:rsidR="00580A5A" w:rsidRPr="00B24D4A" w:rsidRDefault="00580A5A" w:rsidP="00B24D4A">
      <w:pPr>
        <w:ind w:left="851"/>
        <w:rPr>
          <w:sz w:val="24"/>
          <w:szCs w:val="24"/>
        </w:rPr>
      </w:pPr>
      <w:proofErr w:type="spellStart"/>
      <w:r w:rsidRPr="00B24D4A">
        <w:rPr>
          <w:sz w:val="24"/>
          <w:szCs w:val="24"/>
        </w:rPr>
        <w:t>Mesalazin</w:t>
      </w:r>
      <w:proofErr w:type="spellEnd"/>
      <w:r w:rsidRPr="00B24D4A">
        <w:rPr>
          <w:sz w:val="24"/>
          <w:szCs w:val="24"/>
        </w:rPr>
        <w:t xml:space="preserve"> "Orion" bør ikke anvendes til børn under 6 år, da sikkerhed og virkning ikke er klarlagt. Information om brugen af </w:t>
      </w:r>
      <w:proofErr w:type="spellStart"/>
      <w:r w:rsidRPr="00B24D4A">
        <w:rPr>
          <w:sz w:val="24"/>
          <w:szCs w:val="24"/>
        </w:rPr>
        <w:t>Mesalazin</w:t>
      </w:r>
      <w:proofErr w:type="spellEnd"/>
      <w:r w:rsidRPr="00B24D4A">
        <w:rPr>
          <w:sz w:val="24"/>
          <w:szCs w:val="24"/>
        </w:rPr>
        <w:t xml:space="preserve"> "Orion" i børn og unge mellem 6 og 18 år er begrænset. De foreliggende data er beskrevet i pkt. 5.1, men der kan ikke gives nogen anbefalinger vedrørende dosering.</w:t>
      </w:r>
    </w:p>
    <w:p w14:paraId="5BFCD632" w14:textId="77777777" w:rsidR="00580A5A" w:rsidRPr="00B24D4A" w:rsidRDefault="00580A5A" w:rsidP="00B24D4A">
      <w:pPr>
        <w:ind w:left="851"/>
        <w:rPr>
          <w:sz w:val="24"/>
          <w:szCs w:val="24"/>
          <w:u w:val="single"/>
        </w:rPr>
      </w:pPr>
    </w:p>
    <w:p w14:paraId="0DB229B6" w14:textId="77777777" w:rsidR="00580A5A" w:rsidRPr="00B24D4A" w:rsidRDefault="00580A5A" w:rsidP="00B24D4A">
      <w:pPr>
        <w:ind w:left="851"/>
        <w:rPr>
          <w:sz w:val="24"/>
          <w:szCs w:val="24"/>
          <w:u w:val="single"/>
        </w:rPr>
      </w:pPr>
      <w:r w:rsidRPr="00B24D4A">
        <w:rPr>
          <w:sz w:val="24"/>
          <w:szCs w:val="24"/>
          <w:u w:val="single"/>
        </w:rPr>
        <w:t>Administration</w:t>
      </w:r>
    </w:p>
    <w:p w14:paraId="06F6F407" w14:textId="77777777" w:rsidR="00580A5A" w:rsidRPr="00B24D4A" w:rsidRDefault="00580A5A" w:rsidP="00B24D4A">
      <w:pPr>
        <w:ind w:left="851"/>
        <w:rPr>
          <w:sz w:val="24"/>
          <w:szCs w:val="24"/>
        </w:rPr>
      </w:pPr>
      <w:r w:rsidRPr="00B24D4A">
        <w:rPr>
          <w:sz w:val="24"/>
          <w:szCs w:val="24"/>
        </w:rPr>
        <w:t xml:space="preserve">Behandling med </w:t>
      </w:r>
      <w:proofErr w:type="spellStart"/>
      <w:r w:rsidRPr="00B24D4A">
        <w:rPr>
          <w:sz w:val="24"/>
          <w:szCs w:val="24"/>
        </w:rPr>
        <w:t>Mesalazin</w:t>
      </w:r>
      <w:proofErr w:type="spellEnd"/>
      <w:r w:rsidRPr="00B24D4A">
        <w:rPr>
          <w:sz w:val="24"/>
          <w:szCs w:val="24"/>
        </w:rPr>
        <w:t xml:space="preserve"> "Orion" skal administreres regelmæssigt og konsekvent, enten under den akutte fase eller under langvarig vedligeholdelsesbehandling, for at opnå den forventede terapeutiske effekt.</w:t>
      </w:r>
    </w:p>
    <w:p w14:paraId="4AFC59E7" w14:textId="77777777" w:rsidR="00580A5A" w:rsidRPr="00B24D4A" w:rsidRDefault="00580A5A" w:rsidP="00B24D4A">
      <w:pPr>
        <w:ind w:left="851"/>
        <w:rPr>
          <w:sz w:val="24"/>
          <w:szCs w:val="24"/>
        </w:rPr>
      </w:pPr>
    </w:p>
    <w:p w14:paraId="4E11D6F2" w14:textId="77777777" w:rsidR="00580A5A" w:rsidRPr="00B24D4A" w:rsidRDefault="00580A5A" w:rsidP="00B24D4A">
      <w:pPr>
        <w:ind w:left="851"/>
        <w:rPr>
          <w:sz w:val="24"/>
          <w:szCs w:val="24"/>
        </w:rPr>
      </w:pPr>
      <w:r w:rsidRPr="00B24D4A">
        <w:rPr>
          <w:sz w:val="24"/>
          <w:szCs w:val="24"/>
        </w:rPr>
        <w:t>Defækation anbefales umiddelbart før administration af suppositorierne.</w:t>
      </w:r>
    </w:p>
    <w:p w14:paraId="1D6FEE90" w14:textId="77777777" w:rsidR="00580A5A" w:rsidRPr="00B24D4A" w:rsidRDefault="00580A5A" w:rsidP="00B24D4A">
      <w:pPr>
        <w:autoSpaceDE w:val="0"/>
        <w:autoSpaceDN w:val="0"/>
        <w:adjustRightInd w:val="0"/>
        <w:ind w:left="851"/>
        <w:jc w:val="both"/>
        <w:rPr>
          <w:color w:val="000000"/>
          <w:sz w:val="24"/>
          <w:szCs w:val="24"/>
          <w:highlight w:val="yellow"/>
        </w:rPr>
      </w:pPr>
    </w:p>
    <w:p w14:paraId="6A1FCC52" w14:textId="77777777" w:rsidR="00580A5A" w:rsidRPr="00B24D4A" w:rsidRDefault="00580A5A" w:rsidP="00B24D4A">
      <w:pPr>
        <w:autoSpaceDE w:val="0"/>
        <w:autoSpaceDN w:val="0"/>
        <w:adjustRightInd w:val="0"/>
        <w:ind w:left="851"/>
        <w:rPr>
          <w:color w:val="000000"/>
          <w:sz w:val="24"/>
          <w:szCs w:val="24"/>
        </w:rPr>
      </w:pPr>
      <w:r w:rsidRPr="00B24D4A">
        <w:rPr>
          <w:color w:val="000000"/>
          <w:sz w:val="24"/>
          <w:szCs w:val="24"/>
        </w:rPr>
        <w:t>Suppositorier bør indføres, mens patienten ligger på sin venstre side, og det anbefales, at patienten forbliver i denne position i ca. 1 time.</w:t>
      </w:r>
    </w:p>
    <w:p w14:paraId="60EE66F7" w14:textId="77777777" w:rsidR="00580A5A" w:rsidRPr="00B24D4A" w:rsidRDefault="00580A5A" w:rsidP="00B24D4A">
      <w:pPr>
        <w:autoSpaceDE w:val="0"/>
        <w:autoSpaceDN w:val="0"/>
        <w:adjustRightInd w:val="0"/>
        <w:ind w:left="851"/>
        <w:rPr>
          <w:color w:val="000000"/>
          <w:sz w:val="24"/>
          <w:szCs w:val="24"/>
        </w:rPr>
      </w:pPr>
    </w:p>
    <w:p w14:paraId="34F0F144" w14:textId="77777777" w:rsidR="00580A5A" w:rsidRPr="00B24D4A" w:rsidRDefault="00580A5A" w:rsidP="00B24D4A">
      <w:pPr>
        <w:autoSpaceDE w:val="0"/>
        <w:autoSpaceDN w:val="0"/>
        <w:adjustRightInd w:val="0"/>
        <w:ind w:left="851"/>
        <w:rPr>
          <w:color w:val="000000"/>
          <w:sz w:val="24"/>
          <w:szCs w:val="24"/>
        </w:rPr>
      </w:pPr>
      <w:r w:rsidRPr="00B24D4A">
        <w:rPr>
          <w:color w:val="000000"/>
          <w:sz w:val="24"/>
          <w:szCs w:val="24"/>
        </w:rPr>
        <w:t>Suppositorier indføres så dybt som muligt i endetarmen og bør holdes i tarmen i 1-3 timer for at øge effekten.</w:t>
      </w:r>
    </w:p>
    <w:p w14:paraId="78FAB053" w14:textId="77777777" w:rsidR="009260DE" w:rsidRPr="00B24D4A" w:rsidRDefault="009260DE" w:rsidP="00B24D4A">
      <w:pPr>
        <w:tabs>
          <w:tab w:val="left" w:pos="851"/>
        </w:tabs>
        <w:ind w:left="851" w:hanging="851"/>
        <w:rPr>
          <w:sz w:val="24"/>
          <w:szCs w:val="24"/>
        </w:rPr>
      </w:pPr>
    </w:p>
    <w:p w14:paraId="444B5EA2" w14:textId="77777777" w:rsidR="009260DE" w:rsidRPr="00B24D4A" w:rsidRDefault="009260DE" w:rsidP="00B24D4A">
      <w:pPr>
        <w:tabs>
          <w:tab w:val="left" w:pos="851"/>
        </w:tabs>
        <w:ind w:left="851" w:hanging="851"/>
        <w:rPr>
          <w:b/>
          <w:sz w:val="24"/>
          <w:szCs w:val="24"/>
        </w:rPr>
      </w:pPr>
      <w:r w:rsidRPr="00B24D4A">
        <w:rPr>
          <w:b/>
          <w:sz w:val="24"/>
          <w:szCs w:val="24"/>
        </w:rPr>
        <w:t>4.3</w:t>
      </w:r>
      <w:r w:rsidRPr="00B24D4A">
        <w:rPr>
          <w:b/>
          <w:sz w:val="24"/>
          <w:szCs w:val="24"/>
        </w:rPr>
        <w:tab/>
        <w:t>Kontraindikationer</w:t>
      </w:r>
    </w:p>
    <w:p w14:paraId="5BC3B53E" w14:textId="77777777" w:rsidR="00580A5A" w:rsidRPr="00B24D4A" w:rsidRDefault="00580A5A" w:rsidP="00B24D4A">
      <w:pPr>
        <w:pStyle w:val="Listeafsnit"/>
        <w:numPr>
          <w:ilvl w:val="0"/>
          <w:numId w:val="7"/>
        </w:numPr>
        <w:ind w:left="1276" w:hanging="425"/>
        <w:rPr>
          <w:sz w:val="24"/>
          <w:szCs w:val="24"/>
        </w:rPr>
      </w:pPr>
      <w:r w:rsidRPr="00B24D4A">
        <w:rPr>
          <w:sz w:val="24"/>
          <w:szCs w:val="24"/>
        </w:rPr>
        <w:t>Overfølsomhed over for det aktive stof (</w:t>
      </w:r>
      <w:proofErr w:type="spellStart"/>
      <w:r w:rsidRPr="00B24D4A">
        <w:rPr>
          <w:sz w:val="24"/>
          <w:szCs w:val="24"/>
        </w:rPr>
        <w:t>mesalazin</w:t>
      </w:r>
      <w:proofErr w:type="spellEnd"/>
      <w:r w:rsidRPr="00B24D4A">
        <w:rPr>
          <w:sz w:val="24"/>
          <w:szCs w:val="24"/>
        </w:rPr>
        <w:t xml:space="preserve">), </w:t>
      </w:r>
      <w:proofErr w:type="spellStart"/>
      <w:r w:rsidRPr="00B24D4A">
        <w:rPr>
          <w:sz w:val="24"/>
          <w:szCs w:val="24"/>
        </w:rPr>
        <w:t>salicylater</w:t>
      </w:r>
      <w:proofErr w:type="spellEnd"/>
      <w:r w:rsidRPr="00B24D4A">
        <w:rPr>
          <w:sz w:val="24"/>
          <w:szCs w:val="24"/>
        </w:rPr>
        <w:t xml:space="preserve"> eller over for et eller flere af hjælpestofferne anført i pkt. 6.1.</w:t>
      </w:r>
    </w:p>
    <w:p w14:paraId="7E0CE49C" w14:textId="77777777" w:rsidR="00580A5A" w:rsidRPr="00B24D4A" w:rsidRDefault="00580A5A" w:rsidP="00B24D4A">
      <w:pPr>
        <w:numPr>
          <w:ilvl w:val="0"/>
          <w:numId w:val="7"/>
        </w:numPr>
        <w:ind w:left="1276" w:hanging="425"/>
        <w:rPr>
          <w:sz w:val="24"/>
          <w:szCs w:val="24"/>
        </w:rPr>
      </w:pPr>
      <w:r w:rsidRPr="00B24D4A">
        <w:rPr>
          <w:sz w:val="24"/>
          <w:szCs w:val="24"/>
        </w:rPr>
        <w:t>Alvorlig nedsættelse af lever- og nyrefunktionen.</w:t>
      </w:r>
    </w:p>
    <w:p w14:paraId="4FAB33C0" w14:textId="77777777" w:rsidR="00580A5A" w:rsidRPr="00B24D4A" w:rsidRDefault="00580A5A" w:rsidP="00B24D4A">
      <w:pPr>
        <w:numPr>
          <w:ilvl w:val="0"/>
          <w:numId w:val="7"/>
        </w:numPr>
        <w:ind w:left="1276" w:hanging="425"/>
        <w:rPr>
          <w:sz w:val="24"/>
          <w:szCs w:val="24"/>
        </w:rPr>
      </w:pPr>
      <w:proofErr w:type="spellStart"/>
      <w:r w:rsidRPr="00B24D4A">
        <w:rPr>
          <w:sz w:val="24"/>
          <w:szCs w:val="24"/>
        </w:rPr>
        <w:t>Hæmoragisk</w:t>
      </w:r>
      <w:proofErr w:type="spellEnd"/>
      <w:r w:rsidRPr="00B24D4A">
        <w:rPr>
          <w:sz w:val="24"/>
          <w:szCs w:val="24"/>
        </w:rPr>
        <w:t xml:space="preserve"> diatese.</w:t>
      </w:r>
    </w:p>
    <w:p w14:paraId="5DB7DFD6" w14:textId="77777777" w:rsidR="009260DE" w:rsidRPr="00B24D4A" w:rsidRDefault="009260DE" w:rsidP="00B24D4A">
      <w:pPr>
        <w:tabs>
          <w:tab w:val="left" w:pos="851"/>
        </w:tabs>
        <w:ind w:left="851" w:hanging="851"/>
        <w:rPr>
          <w:sz w:val="24"/>
          <w:szCs w:val="24"/>
        </w:rPr>
      </w:pPr>
    </w:p>
    <w:p w14:paraId="721300B6" w14:textId="77777777" w:rsidR="009260DE" w:rsidRPr="00B24D4A" w:rsidRDefault="009260DE" w:rsidP="00B24D4A">
      <w:pPr>
        <w:tabs>
          <w:tab w:val="left" w:pos="851"/>
        </w:tabs>
        <w:ind w:left="851" w:hanging="851"/>
        <w:rPr>
          <w:b/>
          <w:sz w:val="24"/>
          <w:szCs w:val="24"/>
        </w:rPr>
      </w:pPr>
      <w:r w:rsidRPr="00B24D4A">
        <w:rPr>
          <w:b/>
          <w:sz w:val="24"/>
          <w:szCs w:val="24"/>
        </w:rPr>
        <w:t>4.4</w:t>
      </w:r>
      <w:r w:rsidRPr="00B24D4A">
        <w:rPr>
          <w:b/>
          <w:sz w:val="24"/>
          <w:szCs w:val="24"/>
        </w:rPr>
        <w:tab/>
        <w:t>Særlige advarsler og forsigtighedsregler vedrørende brugen</w:t>
      </w:r>
    </w:p>
    <w:p w14:paraId="72543BCB" w14:textId="77777777" w:rsidR="00580A5A" w:rsidRPr="00B24D4A" w:rsidRDefault="00580A5A" w:rsidP="00B24D4A">
      <w:pPr>
        <w:suppressAutoHyphens/>
        <w:ind w:left="851"/>
        <w:rPr>
          <w:sz w:val="24"/>
          <w:szCs w:val="24"/>
        </w:rPr>
      </w:pPr>
      <w:r w:rsidRPr="00B24D4A">
        <w:rPr>
          <w:sz w:val="24"/>
          <w:szCs w:val="24"/>
        </w:rPr>
        <w:t xml:space="preserve">Behandling med </w:t>
      </w:r>
      <w:proofErr w:type="spellStart"/>
      <w:r w:rsidRPr="00B24D4A">
        <w:rPr>
          <w:sz w:val="24"/>
          <w:szCs w:val="24"/>
        </w:rPr>
        <w:t>Mesalazin</w:t>
      </w:r>
      <w:proofErr w:type="spellEnd"/>
      <w:r w:rsidRPr="00B24D4A">
        <w:rPr>
          <w:sz w:val="24"/>
          <w:szCs w:val="24"/>
        </w:rPr>
        <w:t xml:space="preserve"> "Orion" bør foregå under medicinsk overvågning.</w:t>
      </w:r>
    </w:p>
    <w:p w14:paraId="2486C525" w14:textId="77777777" w:rsidR="00580A5A" w:rsidRPr="00B24D4A" w:rsidRDefault="00580A5A" w:rsidP="00B24D4A">
      <w:pPr>
        <w:suppressAutoHyphens/>
        <w:ind w:left="851" w:hanging="851"/>
        <w:rPr>
          <w:sz w:val="24"/>
          <w:szCs w:val="24"/>
        </w:rPr>
      </w:pPr>
    </w:p>
    <w:p w14:paraId="6145F395" w14:textId="4D614652" w:rsidR="00580A5A" w:rsidRPr="00B24D4A" w:rsidRDefault="00580A5A" w:rsidP="00B24D4A">
      <w:pPr>
        <w:suppressAutoHyphens/>
        <w:ind w:left="851" w:hanging="851"/>
        <w:rPr>
          <w:sz w:val="24"/>
          <w:szCs w:val="24"/>
        </w:rPr>
      </w:pPr>
      <w:r w:rsidRPr="00B24D4A">
        <w:rPr>
          <w:sz w:val="24"/>
          <w:szCs w:val="24"/>
        </w:rPr>
        <w:tab/>
        <w:t>Blodprøver (</w:t>
      </w:r>
      <w:proofErr w:type="spellStart"/>
      <w:r w:rsidRPr="00B24D4A">
        <w:rPr>
          <w:sz w:val="24"/>
          <w:szCs w:val="24"/>
        </w:rPr>
        <w:t>differential</w:t>
      </w:r>
      <w:proofErr w:type="spellEnd"/>
      <w:r w:rsidRPr="00B24D4A">
        <w:rPr>
          <w:sz w:val="24"/>
          <w:szCs w:val="24"/>
        </w:rPr>
        <w:t xml:space="preserve"> blodtælling, leverfunktionsparametre såsom</w:t>
      </w:r>
      <w:r w:rsidR="00607261">
        <w:rPr>
          <w:sz w:val="24"/>
          <w:szCs w:val="24"/>
        </w:rPr>
        <w:t xml:space="preserve"> </w:t>
      </w:r>
      <w:proofErr w:type="spellStart"/>
      <w:r w:rsidRPr="00B24D4A">
        <w:rPr>
          <w:sz w:val="24"/>
          <w:szCs w:val="24"/>
        </w:rPr>
        <w:t>transaminaser</w:t>
      </w:r>
      <w:proofErr w:type="spellEnd"/>
      <w:r w:rsidRPr="00B24D4A">
        <w:rPr>
          <w:sz w:val="24"/>
          <w:szCs w:val="24"/>
        </w:rPr>
        <w:t xml:space="preserve">, </w:t>
      </w:r>
      <w:proofErr w:type="spellStart"/>
      <w:r w:rsidRPr="00B24D4A">
        <w:rPr>
          <w:sz w:val="24"/>
          <w:szCs w:val="24"/>
        </w:rPr>
        <w:t>kreatinin</w:t>
      </w:r>
      <w:proofErr w:type="spellEnd"/>
      <w:r w:rsidRPr="00B24D4A">
        <w:rPr>
          <w:sz w:val="24"/>
          <w:szCs w:val="24"/>
        </w:rPr>
        <w:t>) og urintests bør foretages 14 dage efter behandlingens begyndelse og derefter i 4-ugers intervaller i 3 måneder. Er resultaterne af prøverne normale, foretages kontrolundersøgelser hver 3. måned. Hvis yderligere symptomer opstår, skal kontrolundersøgelserne straks foretages.</w:t>
      </w:r>
    </w:p>
    <w:p w14:paraId="539E7E7C" w14:textId="77777777" w:rsidR="00580A5A" w:rsidRPr="00B24D4A" w:rsidRDefault="00580A5A" w:rsidP="00B24D4A">
      <w:pPr>
        <w:suppressAutoHyphens/>
        <w:ind w:left="851" w:hanging="851"/>
        <w:rPr>
          <w:sz w:val="24"/>
          <w:szCs w:val="24"/>
        </w:rPr>
      </w:pPr>
    </w:p>
    <w:p w14:paraId="02672F58" w14:textId="77777777" w:rsidR="00580A5A" w:rsidRPr="00B24D4A" w:rsidRDefault="00580A5A" w:rsidP="00B24D4A">
      <w:pPr>
        <w:suppressAutoHyphens/>
        <w:ind w:left="851" w:hanging="851"/>
        <w:rPr>
          <w:sz w:val="24"/>
          <w:szCs w:val="24"/>
        </w:rPr>
      </w:pPr>
      <w:r w:rsidRPr="00B24D4A">
        <w:rPr>
          <w:sz w:val="24"/>
          <w:szCs w:val="24"/>
        </w:rPr>
        <w:tab/>
        <w:t xml:space="preserve">Patienter med nedsat lever- og/eller nyrefunktion bør monitoreres nøje. Såfremt nyrefunktionen forringes under behandlingen, bør </w:t>
      </w:r>
      <w:proofErr w:type="spellStart"/>
      <w:r w:rsidRPr="00B24D4A">
        <w:rPr>
          <w:bCs/>
          <w:sz w:val="24"/>
          <w:szCs w:val="24"/>
        </w:rPr>
        <w:t>m</w:t>
      </w:r>
      <w:r w:rsidRPr="00B24D4A">
        <w:rPr>
          <w:sz w:val="24"/>
          <w:szCs w:val="24"/>
        </w:rPr>
        <w:t>esalazin</w:t>
      </w:r>
      <w:proofErr w:type="spellEnd"/>
      <w:r w:rsidRPr="00B24D4A">
        <w:rPr>
          <w:sz w:val="24"/>
          <w:szCs w:val="24"/>
        </w:rPr>
        <w:t>-fremkaldt nyretoksicitet overvejes.</w:t>
      </w:r>
    </w:p>
    <w:p w14:paraId="4B9003B5" w14:textId="77777777" w:rsidR="00580A5A" w:rsidRPr="00B24D4A" w:rsidRDefault="00580A5A" w:rsidP="00B24D4A">
      <w:pPr>
        <w:suppressAutoHyphens/>
        <w:ind w:left="851" w:hanging="851"/>
        <w:rPr>
          <w:sz w:val="24"/>
          <w:szCs w:val="24"/>
        </w:rPr>
      </w:pPr>
    </w:p>
    <w:p w14:paraId="6EEB0E32" w14:textId="77777777" w:rsidR="00580A5A" w:rsidRPr="00B24D4A" w:rsidRDefault="00580A5A" w:rsidP="00B24D4A">
      <w:pPr>
        <w:suppressAutoHyphens/>
        <w:ind w:left="851" w:hanging="851"/>
        <w:rPr>
          <w:sz w:val="24"/>
          <w:szCs w:val="24"/>
        </w:rPr>
      </w:pPr>
      <w:r w:rsidRPr="00B24D4A">
        <w:rPr>
          <w:b/>
          <w:sz w:val="24"/>
          <w:szCs w:val="24"/>
        </w:rPr>
        <w:tab/>
      </w:r>
      <w:r w:rsidRPr="00B24D4A">
        <w:rPr>
          <w:sz w:val="24"/>
          <w:szCs w:val="24"/>
        </w:rPr>
        <w:t xml:space="preserve">Der er rapporteret om tilfælde af </w:t>
      </w:r>
      <w:proofErr w:type="spellStart"/>
      <w:r w:rsidRPr="00B24D4A">
        <w:rPr>
          <w:sz w:val="24"/>
          <w:szCs w:val="24"/>
        </w:rPr>
        <w:t>nefrolitiasis</w:t>
      </w:r>
      <w:proofErr w:type="spellEnd"/>
      <w:r w:rsidRPr="00B24D4A">
        <w:rPr>
          <w:sz w:val="24"/>
          <w:szCs w:val="24"/>
        </w:rPr>
        <w:t xml:space="preserve"> ved anvendelse af </w:t>
      </w:r>
      <w:proofErr w:type="spellStart"/>
      <w:r w:rsidRPr="00B24D4A">
        <w:rPr>
          <w:sz w:val="24"/>
          <w:szCs w:val="24"/>
        </w:rPr>
        <w:t>mesalazin</w:t>
      </w:r>
      <w:proofErr w:type="spellEnd"/>
      <w:r w:rsidRPr="00B24D4A">
        <w:rPr>
          <w:sz w:val="24"/>
          <w:szCs w:val="24"/>
        </w:rPr>
        <w:t xml:space="preserve">, herunder sten med et </w:t>
      </w:r>
      <w:proofErr w:type="spellStart"/>
      <w:r w:rsidRPr="00B24D4A">
        <w:rPr>
          <w:sz w:val="24"/>
          <w:szCs w:val="24"/>
        </w:rPr>
        <w:t>mesalazin</w:t>
      </w:r>
      <w:proofErr w:type="spellEnd"/>
      <w:r w:rsidRPr="00B24D4A">
        <w:rPr>
          <w:sz w:val="24"/>
          <w:szCs w:val="24"/>
        </w:rPr>
        <w:t>-indhold på 100 %. Det anbefales at sørge for tilstrækkelig væskeindtagelse under behandlingen.</w:t>
      </w:r>
    </w:p>
    <w:p w14:paraId="4A8C8408" w14:textId="77777777" w:rsidR="00580A5A" w:rsidRPr="00B24D4A" w:rsidRDefault="00580A5A" w:rsidP="00B24D4A">
      <w:pPr>
        <w:suppressAutoHyphens/>
        <w:ind w:left="851" w:hanging="851"/>
        <w:rPr>
          <w:b/>
          <w:sz w:val="24"/>
          <w:szCs w:val="24"/>
        </w:rPr>
      </w:pPr>
    </w:p>
    <w:p w14:paraId="0BB20817" w14:textId="27D396BA" w:rsidR="00580A5A" w:rsidRPr="00B24D4A" w:rsidRDefault="00580A5A" w:rsidP="00B24D4A">
      <w:pPr>
        <w:suppressAutoHyphens/>
        <w:ind w:left="851" w:hanging="851"/>
        <w:rPr>
          <w:sz w:val="24"/>
          <w:szCs w:val="24"/>
        </w:rPr>
      </w:pPr>
      <w:r w:rsidRPr="00B24D4A">
        <w:rPr>
          <w:sz w:val="24"/>
          <w:szCs w:val="24"/>
        </w:rPr>
        <w:tab/>
        <w:t>Patienter med lungesygdomme, især astma, bør nøje monitoreres under behandlings</w:t>
      </w:r>
      <w:r w:rsidR="00607261">
        <w:rPr>
          <w:sz w:val="24"/>
          <w:szCs w:val="24"/>
        </w:rPr>
        <w:softHyphen/>
      </w:r>
      <w:r w:rsidRPr="00B24D4A">
        <w:rPr>
          <w:sz w:val="24"/>
          <w:szCs w:val="24"/>
        </w:rPr>
        <w:t xml:space="preserve">forløbet med </w:t>
      </w:r>
      <w:proofErr w:type="spellStart"/>
      <w:r w:rsidRPr="00B24D4A">
        <w:rPr>
          <w:sz w:val="24"/>
          <w:szCs w:val="24"/>
        </w:rPr>
        <w:t>mesalazin</w:t>
      </w:r>
      <w:proofErr w:type="spellEnd"/>
      <w:r w:rsidRPr="00B24D4A">
        <w:rPr>
          <w:sz w:val="24"/>
          <w:szCs w:val="24"/>
        </w:rPr>
        <w:t>.</w:t>
      </w:r>
    </w:p>
    <w:p w14:paraId="47ED2462" w14:textId="77777777" w:rsidR="00580A5A" w:rsidRPr="00B24D4A" w:rsidRDefault="00580A5A" w:rsidP="00B24D4A">
      <w:pPr>
        <w:suppressAutoHyphens/>
        <w:ind w:left="851" w:hanging="851"/>
        <w:rPr>
          <w:sz w:val="24"/>
          <w:szCs w:val="24"/>
        </w:rPr>
      </w:pPr>
    </w:p>
    <w:p w14:paraId="6F99AF1F" w14:textId="77777777" w:rsidR="00580A5A" w:rsidRPr="00B24D4A" w:rsidRDefault="00580A5A" w:rsidP="00B24D4A">
      <w:pPr>
        <w:suppressAutoHyphens/>
        <w:ind w:left="851" w:hanging="851"/>
        <w:rPr>
          <w:sz w:val="24"/>
          <w:szCs w:val="24"/>
        </w:rPr>
      </w:pPr>
      <w:r w:rsidRPr="00B24D4A">
        <w:rPr>
          <w:sz w:val="24"/>
          <w:szCs w:val="24"/>
        </w:rPr>
        <w:tab/>
        <w:t xml:space="preserve">Patienter, der tidligere har oplevet overfølsomhedsreaktioner med </w:t>
      </w:r>
      <w:proofErr w:type="spellStart"/>
      <w:r w:rsidRPr="00B24D4A">
        <w:rPr>
          <w:sz w:val="24"/>
          <w:szCs w:val="24"/>
        </w:rPr>
        <w:t>sulfasalazin</w:t>
      </w:r>
      <w:proofErr w:type="spellEnd"/>
      <w:r w:rsidRPr="00B24D4A">
        <w:rPr>
          <w:sz w:val="24"/>
          <w:szCs w:val="24"/>
        </w:rPr>
        <w:t xml:space="preserve">-præparater, bør nøje overvåges, når behandlingen med </w:t>
      </w:r>
      <w:proofErr w:type="spellStart"/>
      <w:r w:rsidRPr="00B24D4A">
        <w:rPr>
          <w:sz w:val="24"/>
          <w:szCs w:val="24"/>
        </w:rPr>
        <w:t>Mesalazin</w:t>
      </w:r>
      <w:proofErr w:type="spellEnd"/>
      <w:r w:rsidRPr="00B24D4A">
        <w:rPr>
          <w:sz w:val="24"/>
          <w:szCs w:val="24"/>
        </w:rPr>
        <w:t xml:space="preserve"> "Orion" påbegyndes. Ved akutte </w:t>
      </w:r>
      <w:r w:rsidRPr="00B24D4A">
        <w:rPr>
          <w:sz w:val="24"/>
          <w:szCs w:val="24"/>
        </w:rPr>
        <w:lastRenderedPageBreak/>
        <w:t xml:space="preserve">symptomer på intolerance såsom mavekramper, akut </w:t>
      </w:r>
      <w:proofErr w:type="spellStart"/>
      <w:r w:rsidRPr="00B24D4A">
        <w:rPr>
          <w:sz w:val="24"/>
          <w:szCs w:val="24"/>
        </w:rPr>
        <w:t>abdominal</w:t>
      </w:r>
      <w:proofErr w:type="spellEnd"/>
      <w:r w:rsidRPr="00B24D4A">
        <w:rPr>
          <w:sz w:val="24"/>
          <w:szCs w:val="24"/>
        </w:rPr>
        <w:t xml:space="preserve"> smerte, feber, hovedpine og alvorligt udslæt, bør behandlingen straks seponeres.</w:t>
      </w:r>
    </w:p>
    <w:p w14:paraId="75E02B33" w14:textId="77777777" w:rsidR="00580A5A" w:rsidRPr="00B24D4A" w:rsidRDefault="00580A5A" w:rsidP="00B24D4A">
      <w:pPr>
        <w:suppressAutoHyphens/>
        <w:ind w:left="851" w:hanging="851"/>
        <w:rPr>
          <w:sz w:val="24"/>
          <w:szCs w:val="24"/>
        </w:rPr>
      </w:pPr>
    </w:p>
    <w:p w14:paraId="33E635F2" w14:textId="77777777" w:rsidR="00580A5A" w:rsidRPr="00B24D4A" w:rsidRDefault="00580A5A" w:rsidP="00B24D4A">
      <w:pPr>
        <w:suppressAutoHyphens/>
        <w:ind w:left="851" w:hanging="851"/>
        <w:rPr>
          <w:sz w:val="24"/>
          <w:szCs w:val="24"/>
        </w:rPr>
      </w:pPr>
      <w:r w:rsidRPr="00B24D4A">
        <w:rPr>
          <w:sz w:val="24"/>
          <w:szCs w:val="24"/>
        </w:rPr>
        <w:tab/>
      </w:r>
      <w:proofErr w:type="spellStart"/>
      <w:r w:rsidRPr="00B24D4A">
        <w:rPr>
          <w:sz w:val="24"/>
          <w:szCs w:val="24"/>
        </w:rPr>
        <w:t>Mesalazin</w:t>
      </w:r>
      <w:proofErr w:type="spellEnd"/>
      <w:r w:rsidRPr="00B24D4A">
        <w:rPr>
          <w:sz w:val="24"/>
          <w:szCs w:val="24"/>
        </w:rPr>
        <w:t>-inducerede hypersensitivitetsreaktioner af hjertet (</w:t>
      </w:r>
      <w:proofErr w:type="spellStart"/>
      <w:r w:rsidRPr="00B24D4A">
        <w:rPr>
          <w:sz w:val="24"/>
          <w:szCs w:val="24"/>
        </w:rPr>
        <w:t>myo</w:t>
      </w:r>
      <w:proofErr w:type="spellEnd"/>
      <w:r w:rsidRPr="00B24D4A">
        <w:rPr>
          <w:sz w:val="24"/>
          <w:szCs w:val="24"/>
        </w:rPr>
        <w:t xml:space="preserve">- og </w:t>
      </w:r>
      <w:proofErr w:type="spellStart"/>
      <w:r w:rsidRPr="00B24D4A">
        <w:rPr>
          <w:sz w:val="24"/>
          <w:szCs w:val="24"/>
        </w:rPr>
        <w:t>pericarditis</w:t>
      </w:r>
      <w:proofErr w:type="spellEnd"/>
      <w:r w:rsidRPr="00B24D4A">
        <w:rPr>
          <w:sz w:val="24"/>
          <w:szCs w:val="24"/>
        </w:rPr>
        <w:t>) er rapporteret i sjældne tilfælde.</w:t>
      </w:r>
    </w:p>
    <w:p w14:paraId="21B0467A" w14:textId="77777777" w:rsidR="00580A5A" w:rsidRPr="00B24D4A" w:rsidRDefault="00580A5A" w:rsidP="00B24D4A">
      <w:pPr>
        <w:suppressAutoHyphens/>
        <w:ind w:left="851" w:hanging="851"/>
        <w:rPr>
          <w:sz w:val="24"/>
          <w:szCs w:val="24"/>
        </w:rPr>
      </w:pPr>
    </w:p>
    <w:p w14:paraId="028C8DB1" w14:textId="6CB0D375" w:rsidR="00580A5A" w:rsidRDefault="00580A5A" w:rsidP="00B24D4A">
      <w:pPr>
        <w:autoSpaceDE w:val="0"/>
        <w:autoSpaceDN w:val="0"/>
        <w:adjustRightInd w:val="0"/>
        <w:ind w:left="851"/>
        <w:rPr>
          <w:sz w:val="24"/>
          <w:szCs w:val="24"/>
        </w:rPr>
      </w:pPr>
      <w:r w:rsidRPr="00B24D4A">
        <w:rPr>
          <w:sz w:val="24"/>
          <w:szCs w:val="24"/>
        </w:rPr>
        <w:t xml:space="preserve">Alvorlig </w:t>
      </w:r>
      <w:proofErr w:type="spellStart"/>
      <w:r w:rsidRPr="00B24D4A">
        <w:rPr>
          <w:sz w:val="24"/>
          <w:szCs w:val="24"/>
        </w:rPr>
        <w:t>bloddyskrasi</w:t>
      </w:r>
      <w:proofErr w:type="spellEnd"/>
      <w:r w:rsidRPr="00B24D4A">
        <w:rPr>
          <w:sz w:val="24"/>
          <w:szCs w:val="24"/>
        </w:rPr>
        <w:t xml:space="preserve"> er i meget sjældne tilfælde rapporteret. Samtidig behandling med </w:t>
      </w:r>
      <w:proofErr w:type="spellStart"/>
      <w:r w:rsidRPr="00B24D4A">
        <w:rPr>
          <w:sz w:val="24"/>
          <w:szCs w:val="24"/>
        </w:rPr>
        <w:t>azathioprin</w:t>
      </w:r>
      <w:proofErr w:type="spellEnd"/>
      <w:r w:rsidRPr="00B24D4A">
        <w:rPr>
          <w:sz w:val="24"/>
          <w:szCs w:val="24"/>
        </w:rPr>
        <w:t xml:space="preserve"> eller 6-mercaptopurin kan øge risikoen for </w:t>
      </w:r>
      <w:proofErr w:type="spellStart"/>
      <w:r w:rsidRPr="00B24D4A">
        <w:rPr>
          <w:sz w:val="24"/>
          <w:szCs w:val="24"/>
        </w:rPr>
        <w:t>bloddyskrasi</w:t>
      </w:r>
      <w:proofErr w:type="spellEnd"/>
      <w:r w:rsidRPr="00B24D4A">
        <w:rPr>
          <w:sz w:val="24"/>
          <w:szCs w:val="24"/>
        </w:rPr>
        <w:t>. Hvis disse bivirkninger forekommer, eller der er mistanke herom, bør behandlingen seponeres.</w:t>
      </w:r>
    </w:p>
    <w:p w14:paraId="56AD18A1" w14:textId="4996AC55" w:rsidR="00B77D4E" w:rsidRDefault="00B77D4E" w:rsidP="00B24D4A">
      <w:pPr>
        <w:autoSpaceDE w:val="0"/>
        <w:autoSpaceDN w:val="0"/>
        <w:adjustRightInd w:val="0"/>
        <w:ind w:left="851"/>
        <w:rPr>
          <w:sz w:val="24"/>
          <w:szCs w:val="24"/>
        </w:rPr>
      </w:pPr>
    </w:p>
    <w:p w14:paraId="345E1C89" w14:textId="6A73FB6D" w:rsidR="00B77D4E" w:rsidRDefault="00B77D4E" w:rsidP="00B77D4E">
      <w:pPr>
        <w:autoSpaceDE w:val="0"/>
        <w:autoSpaceDN w:val="0"/>
        <w:adjustRightInd w:val="0"/>
        <w:ind w:left="851"/>
        <w:rPr>
          <w:sz w:val="24"/>
          <w:szCs w:val="24"/>
        </w:rPr>
      </w:pPr>
      <w:r>
        <w:rPr>
          <w:sz w:val="24"/>
          <w:szCs w:val="24"/>
        </w:rPr>
        <w:t>Forsigtighed bør udvises ved anvendelse til patienter med aktivt mavesår eller sår på tolvfingertarmen.</w:t>
      </w:r>
    </w:p>
    <w:p w14:paraId="4D20C16B" w14:textId="7CA8FECF" w:rsidR="006D395F" w:rsidRDefault="006D395F" w:rsidP="00B24D4A">
      <w:pPr>
        <w:autoSpaceDE w:val="0"/>
        <w:autoSpaceDN w:val="0"/>
        <w:adjustRightInd w:val="0"/>
        <w:ind w:left="851"/>
        <w:rPr>
          <w:sz w:val="24"/>
          <w:szCs w:val="24"/>
        </w:rPr>
      </w:pPr>
    </w:p>
    <w:p w14:paraId="26CBBA3C" w14:textId="267D5F32" w:rsidR="006D395F" w:rsidRPr="007A629B" w:rsidRDefault="006D395F" w:rsidP="006D395F">
      <w:pPr>
        <w:autoSpaceDE w:val="0"/>
        <w:autoSpaceDN w:val="0"/>
        <w:adjustRightInd w:val="0"/>
        <w:ind w:left="851"/>
        <w:rPr>
          <w:sz w:val="24"/>
          <w:szCs w:val="24"/>
        </w:rPr>
      </w:pPr>
      <w:r w:rsidRPr="007A629B">
        <w:rPr>
          <w:sz w:val="24"/>
          <w:szCs w:val="24"/>
        </w:rPr>
        <w:t xml:space="preserve">Der er rapporteret om svære </w:t>
      </w:r>
      <w:proofErr w:type="spellStart"/>
      <w:r w:rsidRPr="007A629B">
        <w:rPr>
          <w:sz w:val="24"/>
          <w:szCs w:val="24"/>
        </w:rPr>
        <w:t>kutane</w:t>
      </w:r>
      <w:proofErr w:type="spellEnd"/>
      <w:r w:rsidRPr="007A629B">
        <w:rPr>
          <w:sz w:val="24"/>
          <w:szCs w:val="24"/>
        </w:rPr>
        <w:t xml:space="preserve"> bivirkninger (</w:t>
      </w:r>
      <w:proofErr w:type="spellStart"/>
      <w:r w:rsidRPr="007A629B">
        <w:rPr>
          <w:sz w:val="24"/>
          <w:szCs w:val="24"/>
        </w:rPr>
        <w:t>SCARs</w:t>
      </w:r>
      <w:proofErr w:type="spellEnd"/>
      <w:r w:rsidRPr="007A629B">
        <w:rPr>
          <w:sz w:val="24"/>
          <w:szCs w:val="24"/>
        </w:rPr>
        <w:t xml:space="preserve">), </w:t>
      </w:r>
      <w:r w:rsidR="00B77D4E">
        <w:rPr>
          <w:sz w:val="24"/>
          <w:szCs w:val="24"/>
        </w:rPr>
        <w:t xml:space="preserve">herunder lægemiddelreaktionen </w:t>
      </w:r>
      <w:proofErr w:type="spellStart"/>
      <w:r w:rsidR="00B77D4E">
        <w:rPr>
          <w:sz w:val="24"/>
          <w:szCs w:val="24"/>
        </w:rPr>
        <w:t>eosinofili</w:t>
      </w:r>
      <w:proofErr w:type="spellEnd"/>
      <w:r w:rsidR="00B77D4E">
        <w:rPr>
          <w:sz w:val="24"/>
          <w:szCs w:val="24"/>
        </w:rPr>
        <w:t xml:space="preserve"> og systemiske symptomer (DRESS),</w:t>
      </w:r>
      <w:r w:rsidRPr="007A629B">
        <w:rPr>
          <w:sz w:val="24"/>
          <w:szCs w:val="24"/>
        </w:rPr>
        <w:t xml:space="preserve"> Stevens-Johnsons syndrom (SJS) og toksisk </w:t>
      </w:r>
      <w:proofErr w:type="spellStart"/>
      <w:r w:rsidRPr="007A629B">
        <w:rPr>
          <w:sz w:val="24"/>
          <w:szCs w:val="24"/>
        </w:rPr>
        <w:t>epidermal</w:t>
      </w:r>
      <w:proofErr w:type="spellEnd"/>
      <w:r w:rsidRPr="007A629B">
        <w:rPr>
          <w:sz w:val="24"/>
          <w:szCs w:val="24"/>
        </w:rPr>
        <w:t xml:space="preserve"> </w:t>
      </w:r>
      <w:proofErr w:type="spellStart"/>
      <w:r w:rsidRPr="007A629B">
        <w:rPr>
          <w:sz w:val="24"/>
          <w:szCs w:val="24"/>
        </w:rPr>
        <w:t>nekrolyse</w:t>
      </w:r>
      <w:proofErr w:type="spellEnd"/>
      <w:r w:rsidRPr="007A629B">
        <w:rPr>
          <w:sz w:val="24"/>
          <w:szCs w:val="24"/>
        </w:rPr>
        <w:t xml:space="preserve"> (TEN), i forbindelse med </w:t>
      </w:r>
      <w:proofErr w:type="spellStart"/>
      <w:r w:rsidRPr="007A629B">
        <w:rPr>
          <w:sz w:val="24"/>
          <w:szCs w:val="24"/>
        </w:rPr>
        <w:t>mesalazin</w:t>
      </w:r>
      <w:proofErr w:type="spellEnd"/>
      <w:r w:rsidRPr="007A629B">
        <w:rPr>
          <w:sz w:val="24"/>
          <w:szCs w:val="24"/>
        </w:rPr>
        <w:t>-behandling.</w:t>
      </w:r>
    </w:p>
    <w:p w14:paraId="6726F6BA" w14:textId="45917DF5" w:rsidR="00B77D4E" w:rsidRDefault="006D395F" w:rsidP="00B77D4E">
      <w:pPr>
        <w:autoSpaceDE w:val="0"/>
        <w:autoSpaceDN w:val="0"/>
        <w:adjustRightInd w:val="0"/>
        <w:ind w:left="851"/>
        <w:rPr>
          <w:sz w:val="24"/>
          <w:szCs w:val="24"/>
        </w:rPr>
      </w:pPr>
      <w:proofErr w:type="spellStart"/>
      <w:r w:rsidRPr="007A629B">
        <w:rPr>
          <w:sz w:val="24"/>
          <w:szCs w:val="24"/>
        </w:rPr>
        <w:t>Mesalazin</w:t>
      </w:r>
      <w:proofErr w:type="spellEnd"/>
      <w:r w:rsidRPr="007A629B">
        <w:rPr>
          <w:sz w:val="24"/>
          <w:szCs w:val="24"/>
        </w:rPr>
        <w:t xml:space="preserve"> bør seponeres ved de første tegn og symptomer på svære hudreaktioner, f.eks. hududslæt, slimhindelæsioner eller andre tegn på overfølsomhed.</w:t>
      </w:r>
    </w:p>
    <w:p w14:paraId="0ABD7DEF" w14:textId="77777777" w:rsidR="00B77D4E" w:rsidRDefault="00B77D4E" w:rsidP="00B77D4E">
      <w:pPr>
        <w:autoSpaceDE w:val="0"/>
        <w:autoSpaceDN w:val="0"/>
        <w:adjustRightInd w:val="0"/>
        <w:ind w:left="851" w:hanging="851"/>
        <w:rPr>
          <w:sz w:val="24"/>
          <w:szCs w:val="24"/>
        </w:rPr>
      </w:pPr>
    </w:p>
    <w:p w14:paraId="65246AD5" w14:textId="7999EF33" w:rsidR="00580A5A" w:rsidRPr="00B24D4A" w:rsidRDefault="00B77D4E" w:rsidP="00B77D4E">
      <w:pPr>
        <w:autoSpaceDE w:val="0"/>
        <w:autoSpaceDN w:val="0"/>
        <w:adjustRightInd w:val="0"/>
        <w:ind w:left="851"/>
        <w:rPr>
          <w:sz w:val="24"/>
          <w:szCs w:val="24"/>
        </w:rPr>
      </w:pPr>
      <w:proofErr w:type="spellStart"/>
      <w:r>
        <w:rPr>
          <w:sz w:val="24"/>
          <w:szCs w:val="24"/>
        </w:rPr>
        <w:t>Mesalazin</w:t>
      </w:r>
      <w:proofErr w:type="spellEnd"/>
      <w:r>
        <w:rPr>
          <w:sz w:val="24"/>
          <w:szCs w:val="24"/>
        </w:rPr>
        <w:t xml:space="preserve"> kan forårsage </w:t>
      </w:r>
      <w:proofErr w:type="spellStart"/>
      <w:r>
        <w:rPr>
          <w:sz w:val="24"/>
          <w:szCs w:val="24"/>
        </w:rPr>
        <w:t>rød-brun</w:t>
      </w:r>
      <w:proofErr w:type="spellEnd"/>
      <w:r>
        <w:rPr>
          <w:sz w:val="24"/>
          <w:szCs w:val="24"/>
        </w:rPr>
        <w:t xml:space="preserve"> misfarvning af urinen efter kontakt med </w:t>
      </w:r>
      <w:proofErr w:type="spellStart"/>
      <w:r>
        <w:rPr>
          <w:sz w:val="24"/>
          <w:szCs w:val="24"/>
        </w:rPr>
        <w:t>natriumhypoklorit</w:t>
      </w:r>
      <w:proofErr w:type="spellEnd"/>
      <w:r>
        <w:rPr>
          <w:sz w:val="24"/>
          <w:szCs w:val="24"/>
        </w:rPr>
        <w:t xml:space="preserve"> blegemiddel (</w:t>
      </w:r>
      <w:proofErr w:type="spellStart"/>
      <w:r>
        <w:rPr>
          <w:sz w:val="24"/>
          <w:szCs w:val="24"/>
        </w:rPr>
        <w:t>fex</w:t>
      </w:r>
      <w:proofErr w:type="spellEnd"/>
      <w:r>
        <w:rPr>
          <w:sz w:val="24"/>
          <w:szCs w:val="24"/>
        </w:rPr>
        <w:t xml:space="preserve">. i toiletter der er blevet renset med </w:t>
      </w:r>
      <w:proofErr w:type="spellStart"/>
      <w:r>
        <w:rPr>
          <w:sz w:val="24"/>
          <w:szCs w:val="24"/>
        </w:rPr>
        <w:t>natriumhypoklorit</w:t>
      </w:r>
      <w:proofErr w:type="spellEnd"/>
      <w:r>
        <w:rPr>
          <w:sz w:val="24"/>
          <w:szCs w:val="24"/>
        </w:rPr>
        <w:t xml:space="preserve"> som findes i nogle former af blegemidler).</w:t>
      </w:r>
    </w:p>
    <w:p w14:paraId="0990FA68" w14:textId="77777777" w:rsidR="009260DE" w:rsidRPr="00B24D4A" w:rsidRDefault="009260DE" w:rsidP="00B24D4A">
      <w:pPr>
        <w:tabs>
          <w:tab w:val="left" w:pos="851"/>
        </w:tabs>
        <w:ind w:left="851" w:hanging="851"/>
        <w:rPr>
          <w:sz w:val="24"/>
          <w:szCs w:val="24"/>
        </w:rPr>
      </w:pPr>
    </w:p>
    <w:p w14:paraId="19E31D95" w14:textId="77777777" w:rsidR="009260DE" w:rsidRPr="00B24D4A" w:rsidRDefault="009260DE" w:rsidP="00B24D4A">
      <w:pPr>
        <w:tabs>
          <w:tab w:val="left" w:pos="851"/>
        </w:tabs>
        <w:ind w:left="851" w:hanging="851"/>
        <w:rPr>
          <w:b/>
          <w:sz w:val="24"/>
          <w:szCs w:val="24"/>
        </w:rPr>
      </w:pPr>
      <w:r w:rsidRPr="00B24D4A">
        <w:rPr>
          <w:b/>
          <w:sz w:val="24"/>
          <w:szCs w:val="24"/>
        </w:rPr>
        <w:t>4.5</w:t>
      </w:r>
      <w:r w:rsidRPr="00B24D4A">
        <w:rPr>
          <w:b/>
          <w:sz w:val="24"/>
          <w:szCs w:val="24"/>
        </w:rPr>
        <w:tab/>
        <w:t>Interaktion med andre lægemidler og andre former for interaktion</w:t>
      </w:r>
    </w:p>
    <w:p w14:paraId="32A73CD8" w14:textId="77777777" w:rsidR="00580A5A" w:rsidRPr="00B24D4A" w:rsidRDefault="00580A5A" w:rsidP="00B24D4A">
      <w:pPr>
        <w:ind w:left="851"/>
        <w:rPr>
          <w:noProof/>
          <w:sz w:val="24"/>
          <w:szCs w:val="24"/>
        </w:rPr>
      </w:pPr>
      <w:r w:rsidRPr="00B24D4A">
        <w:rPr>
          <w:noProof/>
          <w:sz w:val="24"/>
          <w:szCs w:val="24"/>
        </w:rPr>
        <w:t>Der er ikke udført interaktionsstudier.</w:t>
      </w:r>
    </w:p>
    <w:p w14:paraId="54D5FCBD" w14:textId="77777777" w:rsidR="00580A5A" w:rsidRPr="00B24D4A" w:rsidRDefault="00580A5A" w:rsidP="00B24D4A">
      <w:pPr>
        <w:ind w:left="851"/>
        <w:rPr>
          <w:sz w:val="24"/>
          <w:szCs w:val="24"/>
        </w:rPr>
      </w:pPr>
      <w:r w:rsidRPr="00B24D4A">
        <w:rPr>
          <w:noProof/>
          <w:sz w:val="24"/>
          <w:szCs w:val="24"/>
        </w:rPr>
        <w:t xml:space="preserve">Samtidig anvendelse af </w:t>
      </w:r>
      <w:proofErr w:type="spellStart"/>
      <w:r w:rsidRPr="00B24D4A">
        <w:rPr>
          <w:sz w:val="24"/>
          <w:szCs w:val="24"/>
        </w:rPr>
        <w:t>nefrotoksiske</w:t>
      </w:r>
      <w:proofErr w:type="spellEnd"/>
      <w:r w:rsidRPr="00B24D4A">
        <w:rPr>
          <w:sz w:val="24"/>
          <w:szCs w:val="24"/>
        </w:rPr>
        <w:t xml:space="preserve"> midler såsom non-</w:t>
      </w:r>
      <w:proofErr w:type="spellStart"/>
      <w:r w:rsidRPr="00B24D4A">
        <w:rPr>
          <w:sz w:val="24"/>
          <w:szCs w:val="24"/>
        </w:rPr>
        <w:t>steroide</w:t>
      </w:r>
      <w:proofErr w:type="spellEnd"/>
      <w:r w:rsidRPr="00B24D4A">
        <w:rPr>
          <w:sz w:val="24"/>
          <w:szCs w:val="24"/>
        </w:rPr>
        <w:t xml:space="preserve"> antiinflammatoriske lægemidler (</w:t>
      </w:r>
      <w:proofErr w:type="spellStart"/>
      <w:r w:rsidRPr="00B24D4A">
        <w:rPr>
          <w:sz w:val="24"/>
          <w:szCs w:val="24"/>
        </w:rPr>
        <w:t>NSAIDs</w:t>
      </w:r>
      <w:proofErr w:type="spellEnd"/>
      <w:r w:rsidRPr="00B24D4A">
        <w:rPr>
          <w:sz w:val="24"/>
          <w:szCs w:val="24"/>
        </w:rPr>
        <w:t xml:space="preserve">) og </w:t>
      </w:r>
      <w:proofErr w:type="spellStart"/>
      <w:r w:rsidRPr="00B24D4A">
        <w:rPr>
          <w:sz w:val="24"/>
          <w:szCs w:val="24"/>
        </w:rPr>
        <w:t>azathioprin</w:t>
      </w:r>
      <w:proofErr w:type="spellEnd"/>
      <w:r w:rsidRPr="00B24D4A">
        <w:rPr>
          <w:sz w:val="24"/>
          <w:szCs w:val="24"/>
        </w:rPr>
        <w:t xml:space="preserve"> kan øge risikoen for </w:t>
      </w:r>
      <w:proofErr w:type="spellStart"/>
      <w:r w:rsidRPr="00B24D4A">
        <w:rPr>
          <w:sz w:val="24"/>
          <w:szCs w:val="24"/>
        </w:rPr>
        <w:t>renal</w:t>
      </w:r>
      <w:proofErr w:type="spellEnd"/>
      <w:r w:rsidRPr="00B24D4A">
        <w:rPr>
          <w:sz w:val="24"/>
          <w:szCs w:val="24"/>
        </w:rPr>
        <w:t xml:space="preserve"> toksicitet.</w:t>
      </w:r>
    </w:p>
    <w:p w14:paraId="304DC96F" w14:textId="77777777" w:rsidR="00580A5A" w:rsidRPr="00B24D4A" w:rsidRDefault="00580A5A" w:rsidP="00B24D4A">
      <w:pPr>
        <w:ind w:left="851"/>
        <w:rPr>
          <w:sz w:val="24"/>
          <w:szCs w:val="24"/>
        </w:rPr>
      </w:pPr>
      <w:proofErr w:type="spellStart"/>
      <w:r w:rsidRPr="00B24D4A">
        <w:rPr>
          <w:sz w:val="24"/>
          <w:szCs w:val="24"/>
        </w:rPr>
        <w:t>Mesalazin</w:t>
      </w:r>
      <w:proofErr w:type="spellEnd"/>
      <w:r w:rsidRPr="00B24D4A">
        <w:rPr>
          <w:sz w:val="24"/>
          <w:szCs w:val="24"/>
        </w:rPr>
        <w:t xml:space="preserve"> kan øge den </w:t>
      </w:r>
      <w:proofErr w:type="spellStart"/>
      <w:r w:rsidRPr="00B24D4A">
        <w:rPr>
          <w:sz w:val="24"/>
          <w:szCs w:val="24"/>
        </w:rPr>
        <w:t>myelosuppressive</w:t>
      </w:r>
      <w:proofErr w:type="spellEnd"/>
      <w:r w:rsidRPr="00B24D4A">
        <w:rPr>
          <w:sz w:val="24"/>
          <w:szCs w:val="24"/>
        </w:rPr>
        <w:t xml:space="preserve"> effekt af </w:t>
      </w:r>
      <w:proofErr w:type="spellStart"/>
      <w:r w:rsidRPr="00B24D4A">
        <w:rPr>
          <w:sz w:val="24"/>
          <w:szCs w:val="24"/>
        </w:rPr>
        <w:t>azathioprin</w:t>
      </w:r>
      <w:proofErr w:type="spellEnd"/>
      <w:r w:rsidRPr="00B24D4A">
        <w:rPr>
          <w:sz w:val="24"/>
          <w:szCs w:val="24"/>
        </w:rPr>
        <w:t>, 6-mercaptopurin og thioguanin.</w:t>
      </w:r>
    </w:p>
    <w:p w14:paraId="33357AF2" w14:textId="77777777" w:rsidR="00580A5A" w:rsidRPr="00B24D4A" w:rsidRDefault="00580A5A" w:rsidP="00B24D4A">
      <w:pPr>
        <w:ind w:left="851"/>
        <w:rPr>
          <w:noProof/>
          <w:sz w:val="24"/>
          <w:szCs w:val="24"/>
        </w:rPr>
      </w:pPr>
      <w:proofErr w:type="spellStart"/>
      <w:r w:rsidRPr="00B24D4A">
        <w:rPr>
          <w:sz w:val="24"/>
          <w:szCs w:val="24"/>
        </w:rPr>
        <w:t>Mesalazin</w:t>
      </w:r>
      <w:proofErr w:type="spellEnd"/>
      <w:r w:rsidRPr="00B24D4A">
        <w:rPr>
          <w:sz w:val="24"/>
          <w:szCs w:val="24"/>
        </w:rPr>
        <w:t xml:space="preserve"> kan reducere effekten af </w:t>
      </w:r>
      <w:proofErr w:type="spellStart"/>
      <w:r w:rsidRPr="00B24D4A">
        <w:rPr>
          <w:sz w:val="24"/>
          <w:szCs w:val="24"/>
        </w:rPr>
        <w:t>warfarin</w:t>
      </w:r>
      <w:proofErr w:type="spellEnd"/>
      <w:r w:rsidRPr="00B24D4A">
        <w:rPr>
          <w:sz w:val="24"/>
          <w:szCs w:val="24"/>
        </w:rPr>
        <w:t>.</w:t>
      </w:r>
    </w:p>
    <w:p w14:paraId="4F09804E" w14:textId="77777777" w:rsidR="009260DE" w:rsidRPr="00B24D4A" w:rsidRDefault="009260DE" w:rsidP="00B24D4A">
      <w:pPr>
        <w:tabs>
          <w:tab w:val="left" w:pos="851"/>
        </w:tabs>
        <w:ind w:left="851" w:hanging="851"/>
        <w:rPr>
          <w:sz w:val="24"/>
          <w:szCs w:val="24"/>
        </w:rPr>
      </w:pPr>
    </w:p>
    <w:p w14:paraId="3A8C0A2D" w14:textId="14AD9B37" w:rsidR="009260DE" w:rsidRPr="00B24D4A" w:rsidRDefault="009260DE" w:rsidP="00B24D4A">
      <w:pPr>
        <w:tabs>
          <w:tab w:val="left" w:pos="851"/>
        </w:tabs>
        <w:ind w:left="851" w:hanging="851"/>
        <w:rPr>
          <w:b/>
          <w:sz w:val="24"/>
          <w:szCs w:val="24"/>
        </w:rPr>
      </w:pPr>
      <w:r w:rsidRPr="00B24D4A">
        <w:rPr>
          <w:b/>
          <w:sz w:val="24"/>
          <w:szCs w:val="24"/>
        </w:rPr>
        <w:t>4.6</w:t>
      </w:r>
      <w:r w:rsidRPr="00B24D4A">
        <w:rPr>
          <w:b/>
          <w:sz w:val="24"/>
          <w:szCs w:val="24"/>
        </w:rPr>
        <w:tab/>
      </w:r>
      <w:r w:rsidR="006D395F">
        <w:rPr>
          <w:b/>
          <w:sz w:val="24"/>
          <w:szCs w:val="24"/>
        </w:rPr>
        <w:t>Fertilitet, g</w:t>
      </w:r>
      <w:r w:rsidRPr="00B24D4A">
        <w:rPr>
          <w:b/>
          <w:sz w:val="24"/>
          <w:szCs w:val="24"/>
        </w:rPr>
        <w:t>raviditet og amning</w:t>
      </w:r>
    </w:p>
    <w:p w14:paraId="4249852B" w14:textId="77777777" w:rsidR="00580A5A" w:rsidRPr="00B24D4A" w:rsidRDefault="00580A5A" w:rsidP="00B24D4A">
      <w:pPr>
        <w:suppressAutoHyphens/>
        <w:ind w:left="851"/>
        <w:rPr>
          <w:sz w:val="24"/>
          <w:szCs w:val="24"/>
        </w:rPr>
      </w:pPr>
      <w:proofErr w:type="spellStart"/>
      <w:r w:rsidRPr="00B24D4A">
        <w:rPr>
          <w:sz w:val="24"/>
          <w:szCs w:val="24"/>
        </w:rPr>
        <w:t>Mesalazin</w:t>
      </w:r>
      <w:proofErr w:type="spellEnd"/>
      <w:r w:rsidRPr="00B24D4A">
        <w:rPr>
          <w:sz w:val="24"/>
          <w:szCs w:val="24"/>
        </w:rPr>
        <w:t xml:space="preserve"> bør ikke anvendes under graviditet og amning, medmindre lægen vurderer, at de forventede fordele ved behandlingen opvejer mulige risici. Den underliggende tilstand (aktiv inflammatorisk tarmsygdom) kan øge risikoen for graviditetens udfald.</w:t>
      </w:r>
    </w:p>
    <w:p w14:paraId="1986A348" w14:textId="77777777" w:rsidR="00580A5A" w:rsidRPr="00B24D4A" w:rsidRDefault="00580A5A" w:rsidP="00B24D4A">
      <w:pPr>
        <w:suppressAutoHyphens/>
        <w:ind w:left="851" w:hanging="851"/>
        <w:rPr>
          <w:sz w:val="24"/>
          <w:szCs w:val="24"/>
        </w:rPr>
      </w:pPr>
    </w:p>
    <w:p w14:paraId="5D32C0C5" w14:textId="77777777" w:rsidR="00580A5A" w:rsidRPr="00B24D4A" w:rsidRDefault="00580A5A" w:rsidP="00B24D4A">
      <w:pPr>
        <w:suppressAutoHyphens/>
        <w:ind w:left="851"/>
        <w:rPr>
          <w:sz w:val="24"/>
          <w:szCs w:val="24"/>
          <w:u w:val="single"/>
        </w:rPr>
      </w:pPr>
      <w:r w:rsidRPr="00B24D4A">
        <w:rPr>
          <w:sz w:val="24"/>
          <w:szCs w:val="24"/>
          <w:u w:val="single"/>
        </w:rPr>
        <w:t>Graviditet</w:t>
      </w:r>
    </w:p>
    <w:p w14:paraId="7F1A2792" w14:textId="77777777" w:rsidR="00580A5A" w:rsidRPr="00B24D4A" w:rsidRDefault="00580A5A" w:rsidP="00B24D4A">
      <w:pPr>
        <w:suppressAutoHyphens/>
        <w:ind w:left="851"/>
        <w:rPr>
          <w:sz w:val="24"/>
          <w:szCs w:val="24"/>
        </w:rPr>
      </w:pPr>
      <w:proofErr w:type="spellStart"/>
      <w:r w:rsidRPr="00B24D4A">
        <w:rPr>
          <w:sz w:val="24"/>
          <w:szCs w:val="24"/>
        </w:rPr>
        <w:t>Mesalazin</w:t>
      </w:r>
      <w:proofErr w:type="spellEnd"/>
      <w:r w:rsidRPr="00B24D4A">
        <w:rPr>
          <w:sz w:val="24"/>
          <w:szCs w:val="24"/>
        </w:rPr>
        <w:t xml:space="preserve"> passerer placentabarrieren. </w:t>
      </w:r>
      <w:proofErr w:type="spellStart"/>
      <w:r w:rsidRPr="00B24D4A">
        <w:rPr>
          <w:sz w:val="24"/>
          <w:szCs w:val="24"/>
        </w:rPr>
        <w:t>Mesalazinkoncentrationen</w:t>
      </w:r>
      <w:proofErr w:type="spellEnd"/>
      <w:r w:rsidRPr="00B24D4A">
        <w:rPr>
          <w:sz w:val="24"/>
          <w:szCs w:val="24"/>
        </w:rPr>
        <w:t xml:space="preserve"> i navlestrengens plasma er lavere end i moderens plasma, hvorimod metabolitten </w:t>
      </w:r>
      <w:proofErr w:type="spellStart"/>
      <w:r w:rsidRPr="00B24D4A">
        <w:rPr>
          <w:sz w:val="24"/>
          <w:szCs w:val="24"/>
        </w:rPr>
        <w:t>acetylmesalazin</w:t>
      </w:r>
      <w:proofErr w:type="spellEnd"/>
      <w:r w:rsidRPr="00B24D4A">
        <w:rPr>
          <w:sz w:val="24"/>
          <w:szCs w:val="24"/>
        </w:rPr>
        <w:t xml:space="preserve"> forekommer i samme koncentration i navlestrengen og i moderens plasma. Dyrestudier med oral </w:t>
      </w:r>
      <w:proofErr w:type="spellStart"/>
      <w:r w:rsidRPr="00B24D4A">
        <w:rPr>
          <w:sz w:val="24"/>
          <w:szCs w:val="24"/>
        </w:rPr>
        <w:t>mesalazin</w:t>
      </w:r>
      <w:proofErr w:type="spellEnd"/>
      <w:r w:rsidRPr="00B24D4A">
        <w:rPr>
          <w:sz w:val="24"/>
          <w:szCs w:val="24"/>
        </w:rPr>
        <w:t xml:space="preserve"> indikerer ikke direkte eller indirekte skadende virkninger i forhold til graviditet, embryonisk/</w:t>
      </w:r>
      <w:proofErr w:type="spellStart"/>
      <w:r w:rsidRPr="00B24D4A">
        <w:rPr>
          <w:sz w:val="24"/>
          <w:szCs w:val="24"/>
        </w:rPr>
        <w:t>føtal</w:t>
      </w:r>
      <w:proofErr w:type="spellEnd"/>
      <w:r w:rsidRPr="00B24D4A">
        <w:rPr>
          <w:sz w:val="24"/>
          <w:szCs w:val="24"/>
        </w:rPr>
        <w:t xml:space="preserve"> udvikling, fødslen eller </w:t>
      </w:r>
      <w:proofErr w:type="spellStart"/>
      <w:r w:rsidRPr="00B24D4A">
        <w:rPr>
          <w:sz w:val="24"/>
          <w:szCs w:val="24"/>
        </w:rPr>
        <w:t>postnatal</w:t>
      </w:r>
      <w:proofErr w:type="spellEnd"/>
      <w:r w:rsidRPr="00B24D4A">
        <w:rPr>
          <w:sz w:val="24"/>
          <w:szCs w:val="24"/>
        </w:rPr>
        <w:t xml:space="preserve"> udvikling. </w:t>
      </w:r>
    </w:p>
    <w:p w14:paraId="296CFC5C" w14:textId="77777777" w:rsidR="00580A5A" w:rsidRPr="00B24D4A" w:rsidRDefault="00580A5A" w:rsidP="00B24D4A">
      <w:pPr>
        <w:suppressAutoHyphens/>
        <w:ind w:left="851"/>
        <w:rPr>
          <w:sz w:val="24"/>
          <w:szCs w:val="24"/>
        </w:rPr>
      </w:pPr>
      <w:r w:rsidRPr="00B24D4A">
        <w:rPr>
          <w:sz w:val="24"/>
          <w:szCs w:val="24"/>
        </w:rPr>
        <w:t xml:space="preserve">Der foreligger ikke velkontrollerede studier af </w:t>
      </w:r>
      <w:proofErr w:type="spellStart"/>
      <w:r w:rsidRPr="00B24D4A">
        <w:rPr>
          <w:sz w:val="24"/>
          <w:szCs w:val="24"/>
        </w:rPr>
        <w:t>mesalazin</w:t>
      </w:r>
      <w:proofErr w:type="spellEnd"/>
      <w:r w:rsidRPr="00B24D4A">
        <w:rPr>
          <w:sz w:val="24"/>
          <w:szCs w:val="24"/>
        </w:rPr>
        <w:t xml:space="preserve">-brug hos gravide kvinder. Begrænsede publicerede humane data af </w:t>
      </w:r>
      <w:proofErr w:type="spellStart"/>
      <w:r w:rsidRPr="00B24D4A">
        <w:rPr>
          <w:sz w:val="24"/>
          <w:szCs w:val="24"/>
        </w:rPr>
        <w:t>mesalazin</w:t>
      </w:r>
      <w:proofErr w:type="spellEnd"/>
      <w:r w:rsidRPr="00B24D4A">
        <w:rPr>
          <w:sz w:val="24"/>
          <w:szCs w:val="24"/>
        </w:rPr>
        <w:t xml:space="preserve"> viser ingen stigning i den samlede forekomst af misdannelser hos nyfødte. </w:t>
      </w:r>
    </w:p>
    <w:p w14:paraId="551A13B0" w14:textId="77777777" w:rsidR="00580A5A" w:rsidRPr="00B24D4A" w:rsidRDefault="00580A5A" w:rsidP="00B24D4A">
      <w:pPr>
        <w:suppressAutoHyphens/>
        <w:ind w:left="851"/>
        <w:rPr>
          <w:sz w:val="24"/>
          <w:szCs w:val="24"/>
        </w:rPr>
      </w:pPr>
      <w:r w:rsidRPr="00B24D4A">
        <w:rPr>
          <w:sz w:val="24"/>
          <w:szCs w:val="24"/>
        </w:rPr>
        <w:t>Nogle data viser en øget hyppighed af præmatur fødsel, dødfødsel og lav fødselsvægt, hvilke dog også er forbundet med aktiv inflammatorisk tarmsygdom.</w:t>
      </w:r>
    </w:p>
    <w:p w14:paraId="64721E9A" w14:textId="77777777" w:rsidR="00580A5A" w:rsidRPr="00B24D4A" w:rsidRDefault="00580A5A" w:rsidP="00B24D4A">
      <w:pPr>
        <w:suppressAutoHyphens/>
        <w:ind w:left="851"/>
        <w:rPr>
          <w:sz w:val="24"/>
          <w:szCs w:val="24"/>
        </w:rPr>
      </w:pPr>
      <w:r w:rsidRPr="00B24D4A">
        <w:rPr>
          <w:sz w:val="24"/>
          <w:szCs w:val="24"/>
        </w:rPr>
        <w:t>Der er rapporteret blodsygdomme (</w:t>
      </w:r>
      <w:proofErr w:type="spellStart"/>
      <w:r w:rsidRPr="00B24D4A">
        <w:rPr>
          <w:sz w:val="24"/>
          <w:szCs w:val="24"/>
        </w:rPr>
        <w:t>leucopeni</w:t>
      </w:r>
      <w:proofErr w:type="spellEnd"/>
      <w:r w:rsidRPr="00B24D4A">
        <w:rPr>
          <w:sz w:val="24"/>
          <w:szCs w:val="24"/>
        </w:rPr>
        <w:t xml:space="preserve">, </w:t>
      </w:r>
      <w:proofErr w:type="spellStart"/>
      <w:r w:rsidRPr="00B24D4A">
        <w:rPr>
          <w:sz w:val="24"/>
          <w:szCs w:val="24"/>
        </w:rPr>
        <w:t>thrombocytopeni</w:t>
      </w:r>
      <w:proofErr w:type="spellEnd"/>
      <w:r w:rsidRPr="00B24D4A">
        <w:rPr>
          <w:sz w:val="24"/>
          <w:szCs w:val="24"/>
        </w:rPr>
        <w:t xml:space="preserve">, anæmi) hos nyfødte, hvor moderen var behandlet med </w:t>
      </w:r>
      <w:proofErr w:type="spellStart"/>
      <w:r w:rsidRPr="00B24D4A">
        <w:rPr>
          <w:sz w:val="24"/>
          <w:szCs w:val="24"/>
        </w:rPr>
        <w:t>mesalazin</w:t>
      </w:r>
      <w:proofErr w:type="spellEnd"/>
      <w:r w:rsidRPr="00B24D4A">
        <w:rPr>
          <w:sz w:val="24"/>
          <w:szCs w:val="24"/>
        </w:rPr>
        <w:t>.</w:t>
      </w:r>
    </w:p>
    <w:p w14:paraId="090CE7B8" w14:textId="77777777" w:rsidR="00580A5A" w:rsidRPr="00B24D4A" w:rsidRDefault="00580A5A" w:rsidP="00B24D4A">
      <w:pPr>
        <w:suppressAutoHyphens/>
        <w:ind w:left="851"/>
        <w:rPr>
          <w:sz w:val="24"/>
          <w:szCs w:val="24"/>
        </w:rPr>
      </w:pPr>
    </w:p>
    <w:p w14:paraId="4F22354A" w14:textId="77777777" w:rsidR="00580A5A" w:rsidRPr="00B24D4A" w:rsidRDefault="00580A5A" w:rsidP="00B24D4A">
      <w:pPr>
        <w:suppressAutoHyphens/>
        <w:ind w:left="851"/>
        <w:rPr>
          <w:sz w:val="24"/>
          <w:szCs w:val="24"/>
        </w:rPr>
      </w:pPr>
      <w:r w:rsidRPr="00B24D4A">
        <w:rPr>
          <w:sz w:val="24"/>
          <w:szCs w:val="24"/>
        </w:rPr>
        <w:t xml:space="preserve">I et enkelt tilfælde efter langtidsbrug af en høj dosis af </w:t>
      </w:r>
      <w:proofErr w:type="spellStart"/>
      <w:r w:rsidRPr="00B24D4A">
        <w:rPr>
          <w:sz w:val="24"/>
          <w:szCs w:val="24"/>
        </w:rPr>
        <w:t>mesalazin</w:t>
      </w:r>
      <w:proofErr w:type="spellEnd"/>
      <w:r w:rsidRPr="00B24D4A">
        <w:rPr>
          <w:sz w:val="24"/>
          <w:szCs w:val="24"/>
        </w:rPr>
        <w:t xml:space="preserve"> (2-4 g oralt) under graviditet, er der rapporteret om nyresvigt hos det nyfødte barn.</w:t>
      </w:r>
    </w:p>
    <w:p w14:paraId="6E63419B" w14:textId="77777777" w:rsidR="00580A5A" w:rsidRPr="00B24D4A" w:rsidRDefault="00580A5A" w:rsidP="00B24D4A">
      <w:pPr>
        <w:suppressAutoHyphens/>
        <w:ind w:left="851" w:hanging="851"/>
        <w:rPr>
          <w:sz w:val="24"/>
          <w:szCs w:val="24"/>
        </w:rPr>
      </w:pPr>
    </w:p>
    <w:p w14:paraId="70D8BC76" w14:textId="77777777" w:rsidR="00580A5A" w:rsidRPr="00B24D4A" w:rsidRDefault="00580A5A" w:rsidP="00B24D4A">
      <w:pPr>
        <w:suppressAutoHyphens/>
        <w:ind w:left="851"/>
        <w:rPr>
          <w:sz w:val="24"/>
          <w:szCs w:val="24"/>
          <w:u w:val="single"/>
        </w:rPr>
      </w:pPr>
      <w:r w:rsidRPr="00B24D4A">
        <w:rPr>
          <w:sz w:val="24"/>
          <w:szCs w:val="24"/>
          <w:u w:val="single"/>
        </w:rPr>
        <w:t>Amning</w:t>
      </w:r>
    </w:p>
    <w:p w14:paraId="45C2DD19" w14:textId="77777777" w:rsidR="00580A5A" w:rsidRPr="00B24D4A" w:rsidRDefault="00580A5A" w:rsidP="00B24D4A">
      <w:pPr>
        <w:suppressAutoHyphens/>
        <w:ind w:left="851"/>
        <w:rPr>
          <w:sz w:val="24"/>
          <w:szCs w:val="24"/>
        </w:rPr>
      </w:pPr>
      <w:proofErr w:type="spellStart"/>
      <w:r w:rsidRPr="00B24D4A">
        <w:rPr>
          <w:sz w:val="24"/>
          <w:szCs w:val="24"/>
        </w:rPr>
        <w:t>Mesalazin</w:t>
      </w:r>
      <w:proofErr w:type="spellEnd"/>
      <w:r w:rsidRPr="00B24D4A">
        <w:rPr>
          <w:sz w:val="24"/>
          <w:szCs w:val="24"/>
        </w:rPr>
        <w:t xml:space="preserve"> udskilles i modermælken. </w:t>
      </w:r>
      <w:proofErr w:type="spellStart"/>
      <w:r w:rsidRPr="00B24D4A">
        <w:rPr>
          <w:sz w:val="24"/>
          <w:szCs w:val="24"/>
        </w:rPr>
        <w:t>Mesalazinkoncentrationen</w:t>
      </w:r>
      <w:proofErr w:type="spellEnd"/>
      <w:r w:rsidRPr="00B24D4A">
        <w:rPr>
          <w:sz w:val="24"/>
          <w:szCs w:val="24"/>
        </w:rPr>
        <w:t xml:space="preserve"> i modermælk er lavere end i moderens plasma, hvorimod metabolitten </w:t>
      </w:r>
      <w:proofErr w:type="spellStart"/>
      <w:r w:rsidRPr="00B24D4A">
        <w:rPr>
          <w:sz w:val="24"/>
          <w:szCs w:val="24"/>
        </w:rPr>
        <w:t>acetylmesalazin</w:t>
      </w:r>
      <w:proofErr w:type="spellEnd"/>
      <w:r w:rsidRPr="00B24D4A">
        <w:rPr>
          <w:sz w:val="24"/>
          <w:szCs w:val="24"/>
        </w:rPr>
        <w:t xml:space="preserve"> forekommer i samme eller højere koncentration. Der er ikke udført kontrollerede studier med brug af </w:t>
      </w:r>
      <w:proofErr w:type="spellStart"/>
      <w:r w:rsidRPr="00B24D4A">
        <w:rPr>
          <w:sz w:val="24"/>
          <w:szCs w:val="24"/>
        </w:rPr>
        <w:t>mesalazin</w:t>
      </w:r>
      <w:proofErr w:type="spellEnd"/>
      <w:r w:rsidRPr="00B24D4A">
        <w:rPr>
          <w:sz w:val="24"/>
          <w:szCs w:val="24"/>
        </w:rPr>
        <w:t xml:space="preserve"> i </w:t>
      </w:r>
      <w:proofErr w:type="spellStart"/>
      <w:r w:rsidRPr="00B24D4A">
        <w:rPr>
          <w:sz w:val="24"/>
          <w:szCs w:val="24"/>
        </w:rPr>
        <w:t>ammeperioder</w:t>
      </w:r>
      <w:proofErr w:type="spellEnd"/>
      <w:r w:rsidRPr="00B24D4A">
        <w:rPr>
          <w:sz w:val="24"/>
          <w:szCs w:val="24"/>
        </w:rPr>
        <w:t xml:space="preserve">. Til dato er der kun begrænset erfaring med kvinder, der tog </w:t>
      </w:r>
      <w:proofErr w:type="spellStart"/>
      <w:r w:rsidRPr="00B24D4A">
        <w:rPr>
          <w:sz w:val="24"/>
          <w:szCs w:val="24"/>
        </w:rPr>
        <w:t>mesalazin</w:t>
      </w:r>
      <w:proofErr w:type="spellEnd"/>
      <w:r w:rsidRPr="00B24D4A">
        <w:rPr>
          <w:sz w:val="24"/>
          <w:szCs w:val="24"/>
        </w:rPr>
        <w:t xml:space="preserve"> oralt i </w:t>
      </w:r>
      <w:proofErr w:type="spellStart"/>
      <w:r w:rsidRPr="00B24D4A">
        <w:rPr>
          <w:sz w:val="24"/>
          <w:szCs w:val="24"/>
        </w:rPr>
        <w:t>ammeperioden</w:t>
      </w:r>
      <w:proofErr w:type="spellEnd"/>
      <w:r w:rsidRPr="00B24D4A">
        <w:rPr>
          <w:sz w:val="24"/>
          <w:szCs w:val="24"/>
        </w:rPr>
        <w:t>. Hypersensitivitetsreaktioner som diarré hos spædbarnet kan ikke udelukkes. Hvis spædbarnet udvikler diarré, bør amning stoppes.</w:t>
      </w:r>
    </w:p>
    <w:p w14:paraId="5FA8E704" w14:textId="77777777" w:rsidR="00580A5A" w:rsidRPr="00B24D4A" w:rsidRDefault="00580A5A" w:rsidP="00B24D4A">
      <w:pPr>
        <w:suppressAutoHyphens/>
        <w:ind w:left="851"/>
        <w:rPr>
          <w:sz w:val="24"/>
          <w:szCs w:val="24"/>
        </w:rPr>
      </w:pPr>
    </w:p>
    <w:p w14:paraId="6DB3639C" w14:textId="77777777" w:rsidR="00580A5A" w:rsidRPr="00B24D4A" w:rsidRDefault="00580A5A" w:rsidP="00B24D4A">
      <w:pPr>
        <w:suppressAutoHyphens/>
        <w:ind w:left="851"/>
        <w:rPr>
          <w:sz w:val="24"/>
          <w:szCs w:val="24"/>
          <w:u w:val="single"/>
        </w:rPr>
      </w:pPr>
      <w:r w:rsidRPr="00B24D4A">
        <w:rPr>
          <w:sz w:val="24"/>
          <w:szCs w:val="24"/>
          <w:u w:val="single"/>
        </w:rPr>
        <w:t>Fertilitet</w:t>
      </w:r>
    </w:p>
    <w:p w14:paraId="16014BBD" w14:textId="77777777" w:rsidR="00580A5A" w:rsidRPr="00B24D4A" w:rsidRDefault="00580A5A" w:rsidP="00B24D4A">
      <w:pPr>
        <w:suppressAutoHyphens/>
        <w:ind w:left="851"/>
        <w:rPr>
          <w:sz w:val="24"/>
          <w:szCs w:val="24"/>
        </w:rPr>
      </w:pPr>
      <w:r w:rsidRPr="00B24D4A">
        <w:rPr>
          <w:sz w:val="24"/>
          <w:szCs w:val="24"/>
        </w:rPr>
        <w:t xml:space="preserve">Data fra dyr med </w:t>
      </w:r>
      <w:proofErr w:type="spellStart"/>
      <w:r w:rsidRPr="00B24D4A">
        <w:rPr>
          <w:sz w:val="24"/>
          <w:szCs w:val="24"/>
        </w:rPr>
        <w:t>mesalazin</w:t>
      </w:r>
      <w:proofErr w:type="spellEnd"/>
      <w:r w:rsidRPr="00B24D4A">
        <w:rPr>
          <w:sz w:val="24"/>
          <w:szCs w:val="24"/>
        </w:rPr>
        <w:t xml:space="preserve"> viser ingen påvirkning af mandligmænds og kvindelig fertilitet.</w:t>
      </w:r>
    </w:p>
    <w:p w14:paraId="29DEC335" w14:textId="77777777" w:rsidR="009260DE" w:rsidRPr="00B24D4A" w:rsidRDefault="009260DE" w:rsidP="00B24D4A">
      <w:pPr>
        <w:tabs>
          <w:tab w:val="left" w:pos="851"/>
        </w:tabs>
        <w:ind w:left="851" w:hanging="851"/>
        <w:rPr>
          <w:sz w:val="24"/>
          <w:szCs w:val="24"/>
        </w:rPr>
      </w:pPr>
    </w:p>
    <w:p w14:paraId="61F3967A" w14:textId="0B160D32" w:rsidR="009260DE" w:rsidRPr="00B24D4A" w:rsidRDefault="009260DE" w:rsidP="00B24D4A">
      <w:pPr>
        <w:tabs>
          <w:tab w:val="left" w:pos="851"/>
        </w:tabs>
        <w:ind w:left="851" w:hanging="851"/>
        <w:rPr>
          <w:b/>
          <w:sz w:val="24"/>
          <w:szCs w:val="24"/>
        </w:rPr>
      </w:pPr>
      <w:r w:rsidRPr="00B24D4A">
        <w:rPr>
          <w:b/>
          <w:sz w:val="24"/>
          <w:szCs w:val="24"/>
        </w:rPr>
        <w:t>4.7</w:t>
      </w:r>
      <w:r w:rsidRPr="00B24D4A">
        <w:rPr>
          <w:b/>
          <w:sz w:val="24"/>
          <w:szCs w:val="24"/>
        </w:rPr>
        <w:tab/>
        <w:t xml:space="preserve">Virkning på evnen til at føre motorkøretøj </w:t>
      </w:r>
      <w:r w:rsidR="006D395F">
        <w:rPr>
          <w:b/>
          <w:sz w:val="24"/>
          <w:szCs w:val="24"/>
        </w:rPr>
        <w:t>og</w:t>
      </w:r>
      <w:r w:rsidRPr="00B24D4A">
        <w:rPr>
          <w:b/>
          <w:sz w:val="24"/>
          <w:szCs w:val="24"/>
        </w:rPr>
        <w:t xml:space="preserve"> betjene maskiner</w:t>
      </w:r>
    </w:p>
    <w:p w14:paraId="094D4FE9" w14:textId="77777777" w:rsidR="00580A5A" w:rsidRPr="00B24D4A" w:rsidRDefault="00580A5A" w:rsidP="00B24D4A">
      <w:pPr>
        <w:ind w:left="851"/>
        <w:rPr>
          <w:sz w:val="24"/>
          <w:szCs w:val="24"/>
        </w:rPr>
      </w:pPr>
      <w:r w:rsidRPr="00B24D4A">
        <w:rPr>
          <w:sz w:val="24"/>
          <w:szCs w:val="24"/>
        </w:rPr>
        <w:t>Ikke mærkning.</w:t>
      </w:r>
    </w:p>
    <w:p w14:paraId="75FF4701" w14:textId="77777777" w:rsidR="00580A5A" w:rsidRPr="00B24D4A" w:rsidRDefault="00580A5A" w:rsidP="00B24D4A">
      <w:pPr>
        <w:ind w:left="851"/>
        <w:rPr>
          <w:sz w:val="24"/>
          <w:szCs w:val="24"/>
        </w:rPr>
      </w:pPr>
      <w:r w:rsidRPr="00B24D4A">
        <w:rPr>
          <w:sz w:val="24"/>
          <w:szCs w:val="24"/>
        </w:rPr>
        <w:t>Påvirkningen på evnen til at føre motorkøretøj og betjene maskiner er ikke undersøgt.</w:t>
      </w:r>
    </w:p>
    <w:p w14:paraId="40106CAA" w14:textId="77777777" w:rsidR="009260DE" w:rsidRPr="00B24D4A" w:rsidRDefault="009260DE" w:rsidP="00B24D4A">
      <w:pPr>
        <w:tabs>
          <w:tab w:val="left" w:pos="851"/>
        </w:tabs>
        <w:ind w:left="851" w:hanging="851"/>
        <w:rPr>
          <w:sz w:val="24"/>
          <w:szCs w:val="24"/>
        </w:rPr>
      </w:pPr>
    </w:p>
    <w:p w14:paraId="512596A4" w14:textId="77777777" w:rsidR="009260DE" w:rsidRPr="00B24D4A" w:rsidRDefault="009260DE" w:rsidP="00B24D4A">
      <w:pPr>
        <w:tabs>
          <w:tab w:val="left" w:pos="851"/>
        </w:tabs>
        <w:ind w:left="851" w:hanging="851"/>
        <w:rPr>
          <w:b/>
          <w:sz w:val="24"/>
          <w:szCs w:val="24"/>
        </w:rPr>
      </w:pPr>
      <w:r w:rsidRPr="00B24D4A">
        <w:rPr>
          <w:b/>
          <w:sz w:val="24"/>
          <w:szCs w:val="24"/>
        </w:rPr>
        <w:t>4.8</w:t>
      </w:r>
      <w:r w:rsidRPr="00B24D4A">
        <w:rPr>
          <w:b/>
          <w:sz w:val="24"/>
          <w:szCs w:val="24"/>
        </w:rPr>
        <w:tab/>
        <w:t>Bivirkninger</w:t>
      </w:r>
    </w:p>
    <w:p w14:paraId="1B113EDA" w14:textId="5E057FD6" w:rsidR="00580A5A" w:rsidRPr="00B24D4A" w:rsidRDefault="00580A5A" w:rsidP="00B24D4A">
      <w:pPr>
        <w:suppressAutoHyphens/>
        <w:ind w:left="851"/>
        <w:rPr>
          <w:sz w:val="24"/>
          <w:szCs w:val="24"/>
        </w:rPr>
      </w:pPr>
      <w:r w:rsidRPr="00B24D4A">
        <w:rPr>
          <w:sz w:val="24"/>
          <w:szCs w:val="24"/>
        </w:rPr>
        <w:t>Bivirkningsfrekvenserne i tabellen nedenfor er defineret ud fra følgende konvention (</w:t>
      </w:r>
      <w:proofErr w:type="spellStart"/>
      <w:r w:rsidRPr="00B24D4A">
        <w:rPr>
          <w:sz w:val="24"/>
          <w:szCs w:val="24"/>
        </w:rPr>
        <w:t>MedDRA</w:t>
      </w:r>
      <w:proofErr w:type="spellEnd"/>
      <w:r w:rsidRPr="00B24D4A">
        <w:rPr>
          <w:sz w:val="24"/>
          <w:szCs w:val="24"/>
        </w:rPr>
        <w:t>-konventionen): Meget almindelig (</w:t>
      </w:r>
      <w:r w:rsidRPr="00B24D4A">
        <w:rPr>
          <w:sz w:val="24"/>
          <w:szCs w:val="24"/>
          <w:lang w:val="en-GB"/>
        </w:rPr>
        <w:sym w:font="Symbol" w:char="F0B3"/>
      </w:r>
      <w:r w:rsidRPr="00B24D4A">
        <w:rPr>
          <w:sz w:val="24"/>
          <w:szCs w:val="24"/>
        </w:rPr>
        <w:t xml:space="preserve">1/10), </w:t>
      </w:r>
      <w:r w:rsidR="00607261">
        <w:rPr>
          <w:sz w:val="24"/>
          <w:szCs w:val="24"/>
        </w:rPr>
        <w:t>a</w:t>
      </w:r>
      <w:r w:rsidRPr="00B24D4A">
        <w:rPr>
          <w:sz w:val="24"/>
          <w:szCs w:val="24"/>
        </w:rPr>
        <w:t>lmindelig (</w:t>
      </w:r>
      <w:r w:rsidRPr="00B24D4A">
        <w:rPr>
          <w:sz w:val="24"/>
          <w:szCs w:val="24"/>
          <w:lang w:val="en-GB"/>
        </w:rPr>
        <w:sym w:font="Symbol" w:char="F0B3"/>
      </w:r>
      <w:r w:rsidRPr="00B24D4A">
        <w:rPr>
          <w:sz w:val="24"/>
          <w:szCs w:val="24"/>
        </w:rPr>
        <w:t xml:space="preserve">1/100 til &lt;1/10), </w:t>
      </w:r>
      <w:r w:rsidR="00607261">
        <w:rPr>
          <w:sz w:val="24"/>
          <w:szCs w:val="24"/>
        </w:rPr>
        <w:t>i</w:t>
      </w:r>
      <w:r w:rsidRPr="00B24D4A">
        <w:rPr>
          <w:sz w:val="24"/>
          <w:szCs w:val="24"/>
        </w:rPr>
        <w:t>kke almindelig (</w:t>
      </w:r>
      <w:r w:rsidRPr="00B24D4A">
        <w:rPr>
          <w:sz w:val="24"/>
          <w:szCs w:val="24"/>
          <w:lang w:val="en-GB"/>
        </w:rPr>
        <w:sym w:font="Symbol" w:char="F0B3"/>
      </w:r>
      <w:r w:rsidRPr="00B24D4A">
        <w:rPr>
          <w:sz w:val="24"/>
          <w:szCs w:val="24"/>
        </w:rPr>
        <w:t xml:space="preserve">1/1.000 til </w:t>
      </w:r>
      <w:r w:rsidRPr="00B24D4A">
        <w:rPr>
          <w:sz w:val="24"/>
          <w:szCs w:val="24"/>
          <w:lang w:val="en-GB"/>
        </w:rPr>
        <w:sym w:font="Symbol" w:char="F03C"/>
      </w:r>
      <w:r w:rsidRPr="00B24D4A">
        <w:rPr>
          <w:sz w:val="24"/>
          <w:szCs w:val="24"/>
        </w:rPr>
        <w:t xml:space="preserve">1/100), </w:t>
      </w:r>
      <w:r w:rsidR="00607261">
        <w:rPr>
          <w:sz w:val="24"/>
          <w:szCs w:val="24"/>
        </w:rPr>
        <w:t>s</w:t>
      </w:r>
      <w:r w:rsidRPr="00B24D4A">
        <w:rPr>
          <w:sz w:val="24"/>
          <w:szCs w:val="24"/>
        </w:rPr>
        <w:t>j</w:t>
      </w:r>
      <w:r w:rsidRPr="00B24D4A">
        <w:rPr>
          <w:sz w:val="24"/>
          <w:szCs w:val="24"/>
          <w:lang w:val="el-GR"/>
        </w:rPr>
        <w:t>æ</w:t>
      </w:r>
      <w:proofErr w:type="spellStart"/>
      <w:r w:rsidRPr="00B24D4A">
        <w:rPr>
          <w:sz w:val="24"/>
          <w:szCs w:val="24"/>
        </w:rPr>
        <w:t>lden</w:t>
      </w:r>
      <w:proofErr w:type="spellEnd"/>
      <w:r w:rsidRPr="00B24D4A">
        <w:rPr>
          <w:sz w:val="24"/>
          <w:szCs w:val="24"/>
          <w:lang w:val="el-GR"/>
        </w:rPr>
        <w:t xml:space="preserve"> (</w:t>
      </w:r>
      <w:r w:rsidRPr="00B24D4A">
        <w:rPr>
          <w:sz w:val="24"/>
          <w:szCs w:val="24"/>
          <w:lang w:val="en-GB"/>
        </w:rPr>
        <w:sym w:font="Symbol" w:char="F0B3"/>
      </w:r>
      <w:r w:rsidRPr="00B24D4A">
        <w:rPr>
          <w:sz w:val="24"/>
          <w:szCs w:val="24"/>
          <w:lang w:val="el-GR"/>
        </w:rPr>
        <w:t>1/10</w:t>
      </w:r>
      <w:r w:rsidRPr="00B24D4A">
        <w:rPr>
          <w:sz w:val="24"/>
          <w:szCs w:val="24"/>
        </w:rPr>
        <w:t>.</w:t>
      </w:r>
      <w:r w:rsidRPr="00B24D4A">
        <w:rPr>
          <w:sz w:val="24"/>
          <w:szCs w:val="24"/>
          <w:lang w:val="el-GR"/>
        </w:rPr>
        <w:t>000</w:t>
      </w:r>
      <w:r w:rsidRPr="00B24D4A">
        <w:rPr>
          <w:sz w:val="24"/>
          <w:szCs w:val="24"/>
        </w:rPr>
        <w:t xml:space="preserve"> til</w:t>
      </w:r>
      <w:r w:rsidRPr="00B24D4A">
        <w:rPr>
          <w:sz w:val="24"/>
          <w:szCs w:val="24"/>
          <w:lang w:val="el-GR"/>
        </w:rPr>
        <w:t xml:space="preserve"> </w:t>
      </w:r>
      <w:r w:rsidRPr="00B24D4A">
        <w:rPr>
          <w:sz w:val="24"/>
          <w:szCs w:val="24"/>
          <w:lang w:val="en-GB"/>
        </w:rPr>
        <w:sym w:font="Symbol" w:char="F03C"/>
      </w:r>
      <w:r w:rsidRPr="00B24D4A">
        <w:rPr>
          <w:sz w:val="24"/>
          <w:szCs w:val="24"/>
          <w:lang w:val="el-GR"/>
        </w:rPr>
        <w:t>1/1</w:t>
      </w:r>
      <w:r w:rsidRPr="00B24D4A">
        <w:rPr>
          <w:sz w:val="24"/>
          <w:szCs w:val="24"/>
        </w:rPr>
        <w:t>.</w:t>
      </w:r>
      <w:r w:rsidRPr="00B24D4A">
        <w:rPr>
          <w:sz w:val="24"/>
          <w:szCs w:val="24"/>
          <w:lang w:val="el-GR"/>
        </w:rPr>
        <w:t>000</w:t>
      </w:r>
      <w:r w:rsidRPr="00B24D4A">
        <w:rPr>
          <w:sz w:val="24"/>
          <w:szCs w:val="24"/>
        </w:rPr>
        <w:t xml:space="preserve">), </w:t>
      </w:r>
      <w:r w:rsidR="00607261">
        <w:rPr>
          <w:sz w:val="24"/>
          <w:szCs w:val="24"/>
        </w:rPr>
        <w:t>m</w:t>
      </w:r>
      <w:r w:rsidRPr="00B24D4A">
        <w:rPr>
          <w:sz w:val="24"/>
          <w:szCs w:val="24"/>
        </w:rPr>
        <w:t>eget sjælden (</w:t>
      </w:r>
      <w:r w:rsidRPr="00B24D4A">
        <w:rPr>
          <w:sz w:val="24"/>
          <w:szCs w:val="24"/>
          <w:lang w:val="en-GB"/>
        </w:rPr>
        <w:sym w:font="Symbol" w:char="F03C"/>
      </w:r>
      <w:r w:rsidRPr="00B24D4A">
        <w:rPr>
          <w:sz w:val="24"/>
          <w:szCs w:val="24"/>
        </w:rPr>
        <w:t>1/10.000), ikke kendt (kan ikke estimeres ud fra forhåndenværende data).</w:t>
      </w:r>
    </w:p>
    <w:p w14:paraId="591312AF" w14:textId="77777777" w:rsidR="006D395F" w:rsidRPr="00B24D4A" w:rsidRDefault="006D395F" w:rsidP="006D395F">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3"/>
        <w:gridCol w:w="2114"/>
        <w:gridCol w:w="2922"/>
        <w:gridCol w:w="2429"/>
      </w:tblGrid>
      <w:tr w:rsidR="006D395F" w:rsidRPr="00A23A14" w14:paraId="24F9AFC3" w14:textId="77777777" w:rsidTr="0006266D">
        <w:tc>
          <w:tcPr>
            <w:tcW w:w="1160" w:type="pct"/>
          </w:tcPr>
          <w:p w14:paraId="4BC0B577" w14:textId="77777777" w:rsidR="006D395F" w:rsidRPr="00A23A14" w:rsidRDefault="006D395F" w:rsidP="0006266D">
            <w:pPr>
              <w:rPr>
                <w:b/>
                <w:sz w:val="24"/>
                <w:szCs w:val="24"/>
              </w:rPr>
            </w:pPr>
            <w:r w:rsidRPr="00A23A14">
              <w:rPr>
                <w:b/>
                <w:sz w:val="24"/>
                <w:szCs w:val="24"/>
              </w:rPr>
              <w:t>Systemorganklasse</w:t>
            </w:r>
          </w:p>
        </w:tc>
        <w:tc>
          <w:tcPr>
            <w:tcW w:w="2678" w:type="pct"/>
            <w:gridSpan w:val="2"/>
            <w:tcBorders>
              <w:right w:val="nil"/>
            </w:tcBorders>
          </w:tcPr>
          <w:p w14:paraId="3AFE73AB" w14:textId="77777777" w:rsidR="006D395F" w:rsidRPr="00A23A14" w:rsidRDefault="006D395F" w:rsidP="0006266D">
            <w:pPr>
              <w:rPr>
                <w:b/>
                <w:sz w:val="24"/>
                <w:szCs w:val="24"/>
              </w:rPr>
            </w:pPr>
            <w:r w:rsidRPr="00A23A14">
              <w:rPr>
                <w:b/>
                <w:sz w:val="24"/>
                <w:szCs w:val="24"/>
              </w:rPr>
              <w:t xml:space="preserve">Hyppighed i henhold til </w:t>
            </w:r>
            <w:proofErr w:type="spellStart"/>
            <w:r w:rsidRPr="00A23A14">
              <w:rPr>
                <w:b/>
                <w:sz w:val="24"/>
                <w:szCs w:val="24"/>
              </w:rPr>
              <w:t>MedDRA</w:t>
            </w:r>
            <w:proofErr w:type="spellEnd"/>
            <w:r w:rsidRPr="00A23A14">
              <w:rPr>
                <w:b/>
                <w:sz w:val="24"/>
                <w:szCs w:val="24"/>
              </w:rPr>
              <w:t>-konventionen</w:t>
            </w:r>
          </w:p>
        </w:tc>
        <w:tc>
          <w:tcPr>
            <w:tcW w:w="1162" w:type="pct"/>
            <w:tcBorders>
              <w:left w:val="nil"/>
            </w:tcBorders>
          </w:tcPr>
          <w:p w14:paraId="4EA82E01" w14:textId="77777777" w:rsidR="006D395F" w:rsidRPr="00A23A14" w:rsidRDefault="006D395F" w:rsidP="0006266D">
            <w:pPr>
              <w:rPr>
                <w:b/>
                <w:sz w:val="24"/>
                <w:szCs w:val="24"/>
              </w:rPr>
            </w:pPr>
          </w:p>
        </w:tc>
      </w:tr>
      <w:tr w:rsidR="006D395F" w:rsidRPr="00A23A14" w14:paraId="28621449" w14:textId="77777777" w:rsidTr="0006266D">
        <w:tc>
          <w:tcPr>
            <w:tcW w:w="1160" w:type="pct"/>
          </w:tcPr>
          <w:p w14:paraId="19D885B0" w14:textId="77777777" w:rsidR="006D395F" w:rsidRPr="00A23A14" w:rsidRDefault="006D395F" w:rsidP="0006266D">
            <w:pPr>
              <w:rPr>
                <w:sz w:val="24"/>
                <w:szCs w:val="24"/>
              </w:rPr>
            </w:pPr>
          </w:p>
        </w:tc>
        <w:tc>
          <w:tcPr>
            <w:tcW w:w="1160" w:type="pct"/>
          </w:tcPr>
          <w:p w14:paraId="228D6D1B" w14:textId="77777777" w:rsidR="006D395F" w:rsidRPr="00A23A14" w:rsidRDefault="006D395F" w:rsidP="0006266D">
            <w:pPr>
              <w:rPr>
                <w:sz w:val="24"/>
                <w:szCs w:val="24"/>
              </w:rPr>
            </w:pPr>
            <w:r w:rsidRPr="00A23A14">
              <w:rPr>
                <w:sz w:val="24"/>
                <w:szCs w:val="24"/>
              </w:rPr>
              <w:t xml:space="preserve">Sjælden </w:t>
            </w:r>
          </w:p>
          <w:p w14:paraId="269F792E" w14:textId="77777777" w:rsidR="006D395F" w:rsidRPr="00A23A14" w:rsidRDefault="006D395F" w:rsidP="0006266D">
            <w:pPr>
              <w:rPr>
                <w:sz w:val="24"/>
                <w:szCs w:val="24"/>
                <w:lang w:val="en-GB" w:eastAsia="pt-PT"/>
              </w:rPr>
            </w:pPr>
            <w:r w:rsidRPr="00A23A14">
              <w:rPr>
                <w:sz w:val="24"/>
                <w:szCs w:val="24"/>
              </w:rPr>
              <w:t>(</w:t>
            </w:r>
            <w:r w:rsidRPr="00A23A14">
              <w:rPr>
                <w:sz w:val="24"/>
                <w:szCs w:val="24"/>
              </w:rPr>
              <w:sym w:font="Symbol" w:char="00B3"/>
            </w:r>
            <w:r w:rsidRPr="00A23A14">
              <w:rPr>
                <w:sz w:val="24"/>
                <w:szCs w:val="24"/>
              </w:rPr>
              <w:t>1/10.000 til &lt;1/1.000)</w:t>
            </w:r>
          </w:p>
        </w:tc>
        <w:tc>
          <w:tcPr>
            <w:tcW w:w="1517" w:type="pct"/>
          </w:tcPr>
          <w:p w14:paraId="4EF8A16B" w14:textId="77777777" w:rsidR="006D395F" w:rsidRPr="00A23A14" w:rsidRDefault="006D395F" w:rsidP="0006266D">
            <w:pPr>
              <w:rPr>
                <w:sz w:val="24"/>
                <w:szCs w:val="24"/>
              </w:rPr>
            </w:pPr>
            <w:r w:rsidRPr="00A23A14">
              <w:rPr>
                <w:sz w:val="24"/>
                <w:szCs w:val="24"/>
              </w:rPr>
              <w:t xml:space="preserve">Meget sjælden </w:t>
            </w:r>
          </w:p>
          <w:p w14:paraId="33555931" w14:textId="77777777" w:rsidR="006D395F" w:rsidRPr="00A23A14" w:rsidRDefault="006D395F" w:rsidP="0006266D">
            <w:pPr>
              <w:rPr>
                <w:sz w:val="24"/>
                <w:szCs w:val="24"/>
                <w:lang w:val="en-GB" w:eastAsia="pt-PT"/>
              </w:rPr>
            </w:pPr>
            <w:r w:rsidRPr="00A23A14">
              <w:rPr>
                <w:sz w:val="24"/>
                <w:szCs w:val="24"/>
              </w:rPr>
              <w:t>(&lt;1/10.000)</w:t>
            </w:r>
          </w:p>
        </w:tc>
        <w:tc>
          <w:tcPr>
            <w:tcW w:w="1162" w:type="pct"/>
          </w:tcPr>
          <w:p w14:paraId="6C4B860A" w14:textId="724772FE" w:rsidR="006D395F" w:rsidRPr="00A23A14" w:rsidRDefault="006D395F" w:rsidP="0006266D">
            <w:pPr>
              <w:rPr>
                <w:sz w:val="24"/>
                <w:szCs w:val="24"/>
              </w:rPr>
            </w:pPr>
            <w:r>
              <w:rPr>
                <w:sz w:val="24"/>
                <w:szCs w:val="24"/>
              </w:rPr>
              <w:t>I</w:t>
            </w:r>
            <w:r w:rsidRPr="000570C3">
              <w:rPr>
                <w:sz w:val="24"/>
                <w:szCs w:val="24"/>
              </w:rPr>
              <w:t>kke kendt (kan ikke estimeres ud fra forhåndenværende data).</w:t>
            </w:r>
          </w:p>
        </w:tc>
      </w:tr>
      <w:tr w:rsidR="006D395F" w:rsidRPr="00257A57" w14:paraId="74681BC3" w14:textId="77777777" w:rsidTr="0006266D">
        <w:tc>
          <w:tcPr>
            <w:tcW w:w="1160" w:type="pct"/>
          </w:tcPr>
          <w:p w14:paraId="55B108AA" w14:textId="77777777" w:rsidR="006D395F" w:rsidRPr="00A23A14" w:rsidRDefault="006D395F" w:rsidP="0006266D">
            <w:pPr>
              <w:rPr>
                <w:sz w:val="24"/>
                <w:szCs w:val="24"/>
                <w:lang w:val="en-GB" w:eastAsia="pt-PT"/>
              </w:rPr>
            </w:pPr>
            <w:r w:rsidRPr="00A23A14">
              <w:rPr>
                <w:sz w:val="24"/>
                <w:szCs w:val="24"/>
              </w:rPr>
              <w:t>Blod og lymfesystem</w:t>
            </w:r>
          </w:p>
        </w:tc>
        <w:tc>
          <w:tcPr>
            <w:tcW w:w="1160" w:type="pct"/>
          </w:tcPr>
          <w:p w14:paraId="03A63AED" w14:textId="77777777" w:rsidR="006D395F" w:rsidRPr="00A23A14" w:rsidRDefault="006D395F" w:rsidP="0006266D">
            <w:pPr>
              <w:rPr>
                <w:sz w:val="24"/>
                <w:szCs w:val="24"/>
                <w:lang w:val="en-GB" w:eastAsia="pt-PT"/>
              </w:rPr>
            </w:pPr>
            <w:r w:rsidRPr="00A23A14">
              <w:rPr>
                <w:sz w:val="24"/>
                <w:szCs w:val="24"/>
                <w:lang w:val="en-GB" w:eastAsia="pt-PT"/>
              </w:rPr>
              <w:t xml:space="preserve"> </w:t>
            </w:r>
          </w:p>
        </w:tc>
        <w:tc>
          <w:tcPr>
            <w:tcW w:w="1517" w:type="pct"/>
          </w:tcPr>
          <w:p w14:paraId="1B2F4F6C" w14:textId="77777777" w:rsidR="006D395F" w:rsidRPr="00A23A14" w:rsidRDefault="006D395F" w:rsidP="0006266D">
            <w:pPr>
              <w:rPr>
                <w:sz w:val="24"/>
                <w:szCs w:val="24"/>
                <w:lang w:val="en-GB" w:eastAsia="pt-PT"/>
              </w:rPr>
            </w:pPr>
            <w:proofErr w:type="spellStart"/>
            <w:r w:rsidRPr="00A23A14">
              <w:rPr>
                <w:sz w:val="24"/>
                <w:szCs w:val="24"/>
                <w:lang w:val="en-US"/>
              </w:rPr>
              <w:t>Ændring</w:t>
            </w:r>
            <w:proofErr w:type="spellEnd"/>
            <w:r w:rsidRPr="00A23A14">
              <w:rPr>
                <w:sz w:val="24"/>
                <w:szCs w:val="24"/>
                <w:lang w:val="en-US"/>
              </w:rPr>
              <w:t xml:space="preserve"> </w:t>
            </w:r>
            <w:proofErr w:type="spellStart"/>
            <w:r w:rsidRPr="00A23A14">
              <w:rPr>
                <w:sz w:val="24"/>
                <w:szCs w:val="24"/>
                <w:lang w:val="en-US"/>
              </w:rPr>
              <w:t>i</w:t>
            </w:r>
            <w:proofErr w:type="spellEnd"/>
            <w:r w:rsidRPr="00A23A14">
              <w:rPr>
                <w:sz w:val="24"/>
                <w:szCs w:val="24"/>
                <w:lang w:val="en-US"/>
              </w:rPr>
              <w:t xml:space="preserve"> </w:t>
            </w:r>
            <w:proofErr w:type="spellStart"/>
            <w:r w:rsidRPr="00A23A14">
              <w:rPr>
                <w:sz w:val="24"/>
                <w:szCs w:val="24"/>
                <w:lang w:val="en-US"/>
              </w:rPr>
              <w:t>blodbilledet</w:t>
            </w:r>
            <w:proofErr w:type="spellEnd"/>
            <w:r w:rsidRPr="00A23A14">
              <w:rPr>
                <w:sz w:val="24"/>
                <w:szCs w:val="24"/>
                <w:lang w:val="en-US"/>
              </w:rPr>
              <w:t xml:space="preserve"> </w:t>
            </w:r>
            <w:r w:rsidRPr="00A23A14">
              <w:rPr>
                <w:sz w:val="24"/>
                <w:szCs w:val="24"/>
                <w:lang w:val="en-GB" w:eastAsia="pt-PT"/>
              </w:rPr>
              <w:t>(</w:t>
            </w:r>
            <w:proofErr w:type="spellStart"/>
            <w:r w:rsidRPr="00A23A14">
              <w:rPr>
                <w:sz w:val="24"/>
                <w:szCs w:val="24"/>
                <w:lang w:val="en-US"/>
              </w:rPr>
              <w:t>agranulocytose</w:t>
            </w:r>
            <w:proofErr w:type="spellEnd"/>
            <w:r w:rsidRPr="00A23A14">
              <w:rPr>
                <w:sz w:val="24"/>
                <w:szCs w:val="24"/>
                <w:lang w:val="en-US"/>
              </w:rPr>
              <w:t xml:space="preserve">, </w:t>
            </w:r>
            <w:proofErr w:type="spellStart"/>
            <w:r w:rsidRPr="00A23A14">
              <w:rPr>
                <w:sz w:val="24"/>
                <w:szCs w:val="24"/>
                <w:lang w:val="en-US"/>
              </w:rPr>
              <w:t>pancytopeni</w:t>
            </w:r>
            <w:proofErr w:type="spellEnd"/>
            <w:r w:rsidRPr="00A23A14">
              <w:rPr>
                <w:sz w:val="24"/>
                <w:szCs w:val="24"/>
                <w:lang w:val="en-GB" w:eastAsia="pt-PT"/>
              </w:rPr>
              <w:t xml:space="preserve">, </w:t>
            </w:r>
            <w:proofErr w:type="spellStart"/>
            <w:r w:rsidRPr="00A23A14">
              <w:rPr>
                <w:sz w:val="24"/>
                <w:szCs w:val="24"/>
                <w:lang w:val="en-GB"/>
              </w:rPr>
              <w:t>leukopeni</w:t>
            </w:r>
            <w:proofErr w:type="spellEnd"/>
            <w:r w:rsidRPr="00A23A14">
              <w:rPr>
                <w:sz w:val="24"/>
                <w:szCs w:val="24"/>
                <w:lang w:val="en-GB"/>
              </w:rPr>
              <w:t xml:space="preserve">, </w:t>
            </w:r>
            <w:proofErr w:type="spellStart"/>
            <w:r w:rsidRPr="00A23A14">
              <w:rPr>
                <w:sz w:val="24"/>
                <w:szCs w:val="24"/>
                <w:lang w:val="en-GB"/>
              </w:rPr>
              <w:t>neutropeni</w:t>
            </w:r>
            <w:proofErr w:type="spellEnd"/>
            <w:r w:rsidRPr="00A23A14">
              <w:rPr>
                <w:sz w:val="24"/>
                <w:szCs w:val="24"/>
                <w:lang w:val="en-GB"/>
              </w:rPr>
              <w:t xml:space="preserve">, </w:t>
            </w:r>
            <w:proofErr w:type="spellStart"/>
            <w:r w:rsidRPr="00A23A14">
              <w:rPr>
                <w:sz w:val="24"/>
                <w:szCs w:val="24"/>
                <w:lang w:val="en-GB"/>
              </w:rPr>
              <w:t>thrombocytopeni</w:t>
            </w:r>
            <w:proofErr w:type="spellEnd"/>
            <w:r w:rsidRPr="00A23A14">
              <w:rPr>
                <w:sz w:val="24"/>
                <w:szCs w:val="24"/>
                <w:lang w:val="en-GB" w:eastAsia="pt-PT"/>
              </w:rPr>
              <w:t xml:space="preserve">, </w:t>
            </w:r>
            <w:proofErr w:type="spellStart"/>
            <w:r w:rsidRPr="00A23A14">
              <w:rPr>
                <w:sz w:val="24"/>
                <w:szCs w:val="24"/>
                <w:lang w:val="en-GB"/>
              </w:rPr>
              <w:t>aplastisk</w:t>
            </w:r>
            <w:proofErr w:type="spellEnd"/>
            <w:r w:rsidRPr="00A23A14">
              <w:rPr>
                <w:sz w:val="24"/>
                <w:szCs w:val="24"/>
                <w:lang w:val="en-GB"/>
              </w:rPr>
              <w:t xml:space="preserve"> </w:t>
            </w:r>
            <w:proofErr w:type="spellStart"/>
            <w:r w:rsidRPr="00A23A14">
              <w:rPr>
                <w:sz w:val="24"/>
                <w:szCs w:val="24"/>
                <w:lang w:val="en-GB"/>
              </w:rPr>
              <w:t>anæmi</w:t>
            </w:r>
            <w:proofErr w:type="spellEnd"/>
            <w:r w:rsidRPr="00A23A14">
              <w:rPr>
                <w:sz w:val="24"/>
                <w:szCs w:val="24"/>
                <w:lang w:val="en-GB" w:eastAsia="pt-PT"/>
              </w:rPr>
              <w:t>).</w:t>
            </w:r>
          </w:p>
        </w:tc>
        <w:tc>
          <w:tcPr>
            <w:tcW w:w="1162" w:type="pct"/>
          </w:tcPr>
          <w:p w14:paraId="010693FE" w14:textId="77777777" w:rsidR="006D395F" w:rsidRPr="00A23A14" w:rsidRDefault="006D395F" w:rsidP="0006266D">
            <w:pPr>
              <w:rPr>
                <w:sz w:val="24"/>
                <w:szCs w:val="24"/>
                <w:lang w:val="en-US"/>
              </w:rPr>
            </w:pPr>
          </w:p>
        </w:tc>
      </w:tr>
      <w:tr w:rsidR="006D395F" w:rsidRPr="00A23A14" w14:paraId="5BB482B1" w14:textId="77777777" w:rsidTr="0006266D">
        <w:tc>
          <w:tcPr>
            <w:tcW w:w="1160" w:type="pct"/>
          </w:tcPr>
          <w:p w14:paraId="58FDF349" w14:textId="77777777" w:rsidR="006D395F" w:rsidRPr="00A23A14" w:rsidRDefault="006D395F" w:rsidP="0006266D">
            <w:pPr>
              <w:rPr>
                <w:sz w:val="24"/>
                <w:szCs w:val="24"/>
                <w:lang w:val="en-GB" w:eastAsia="pt-PT"/>
              </w:rPr>
            </w:pPr>
            <w:r w:rsidRPr="00A23A14">
              <w:rPr>
                <w:sz w:val="24"/>
                <w:szCs w:val="24"/>
              </w:rPr>
              <w:t>Immunsystemet</w:t>
            </w:r>
          </w:p>
        </w:tc>
        <w:tc>
          <w:tcPr>
            <w:tcW w:w="1160" w:type="pct"/>
          </w:tcPr>
          <w:p w14:paraId="216B2F08" w14:textId="77777777" w:rsidR="006D395F" w:rsidRPr="00A23A14" w:rsidRDefault="006D395F" w:rsidP="0006266D">
            <w:pPr>
              <w:rPr>
                <w:sz w:val="24"/>
                <w:szCs w:val="24"/>
                <w:lang w:val="en-GB" w:eastAsia="pt-PT"/>
              </w:rPr>
            </w:pPr>
          </w:p>
        </w:tc>
        <w:tc>
          <w:tcPr>
            <w:tcW w:w="1517" w:type="pct"/>
          </w:tcPr>
          <w:p w14:paraId="27F814E2" w14:textId="77777777" w:rsidR="006D395F" w:rsidRPr="00A23A14" w:rsidRDefault="006D395F" w:rsidP="0006266D">
            <w:pPr>
              <w:rPr>
                <w:sz w:val="24"/>
                <w:szCs w:val="24"/>
                <w:lang w:eastAsia="pt-PT"/>
              </w:rPr>
            </w:pPr>
            <w:r w:rsidRPr="00A23A14">
              <w:rPr>
                <w:sz w:val="24"/>
                <w:szCs w:val="24"/>
              </w:rPr>
              <w:t xml:space="preserve">Hypersensitivitetsreaktioner såsom allergisk </w:t>
            </w:r>
            <w:proofErr w:type="spellStart"/>
            <w:r w:rsidRPr="00A23A14">
              <w:rPr>
                <w:sz w:val="24"/>
                <w:szCs w:val="24"/>
              </w:rPr>
              <w:t>exanthem</w:t>
            </w:r>
            <w:proofErr w:type="spellEnd"/>
            <w:r w:rsidRPr="00A23A14">
              <w:rPr>
                <w:sz w:val="24"/>
                <w:szCs w:val="24"/>
              </w:rPr>
              <w:t xml:space="preserve">, lægemiddelinduceret feber, lupus </w:t>
            </w:r>
            <w:proofErr w:type="spellStart"/>
            <w:r w:rsidRPr="00A23A14">
              <w:rPr>
                <w:sz w:val="24"/>
                <w:szCs w:val="24"/>
              </w:rPr>
              <w:t>erythematosus</w:t>
            </w:r>
            <w:proofErr w:type="spellEnd"/>
            <w:r w:rsidRPr="00A23A14">
              <w:rPr>
                <w:sz w:val="24"/>
                <w:szCs w:val="24"/>
              </w:rPr>
              <w:t xml:space="preserve"> syndrom, </w:t>
            </w:r>
            <w:proofErr w:type="spellStart"/>
            <w:r w:rsidRPr="00A23A14">
              <w:rPr>
                <w:sz w:val="24"/>
                <w:szCs w:val="24"/>
              </w:rPr>
              <w:t>pancolitis</w:t>
            </w:r>
            <w:proofErr w:type="spellEnd"/>
            <w:r w:rsidRPr="00A23A14">
              <w:rPr>
                <w:sz w:val="24"/>
                <w:szCs w:val="24"/>
              </w:rPr>
              <w:t>.</w:t>
            </w:r>
          </w:p>
        </w:tc>
        <w:tc>
          <w:tcPr>
            <w:tcW w:w="1162" w:type="pct"/>
          </w:tcPr>
          <w:p w14:paraId="7345E6CF" w14:textId="77777777" w:rsidR="006D395F" w:rsidRPr="00A23A14" w:rsidRDefault="006D395F" w:rsidP="0006266D">
            <w:pPr>
              <w:rPr>
                <w:sz w:val="24"/>
                <w:szCs w:val="24"/>
              </w:rPr>
            </w:pPr>
          </w:p>
        </w:tc>
      </w:tr>
      <w:tr w:rsidR="006D395F" w:rsidRPr="00A23A14" w14:paraId="25B5C73A" w14:textId="77777777" w:rsidTr="0006266D">
        <w:tc>
          <w:tcPr>
            <w:tcW w:w="1160" w:type="pct"/>
          </w:tcPr>
          <w:p w14:paraId="3706A4EE" w14:textId="77777777" w:rsidR="006D395F" w:rsidRPr="00A23A14" w:rsidRDefault="006D395F" w:rsidP="0006266D">
            <w:pPr>
              <w:rPr>
                <w:sz w:val="24"/>
                <w:szCs w:val="24"/>
                <w:lang w:val="en-GB" w:eastAsia="pt-PT"/>
              </w:rPr>
            </w:pPr>
            <w:r w:rsidRPr="00A23A14">
              <w:rPr>
                <w:sz w:val="24"/>
                <w:szCs w:val="24"/>
              </w:rPr>
              <w:t>Nervesystemet</w:t>
            </w:r>
          </w:p>
        </w:tc>
        <w:tc>
          <w:tcPr>
            <w:tcW w:w="1160" w:type="pct"/>
          </w:tcPr>
          <w:p w14:paraId="14F21621" w14:textId="77777777" w:rsidR="006D395F" w:rsidRPr="00A23A14" w:rsidRDefault="006D395F" w:rsidP="0006266D">
            <w:pPr>
              <w:rPr>
                <w:sz w:val="24"/>
                <w:szCs w:val="24"/>
                <w:lang w:val="en-GB" w:eastAsia="pt-PT"/>
              </w:rPr>
            </w:pPr>
            <w:r w:rsidRPr="00A23A14">
              <w:rPr>
                <w:sz w:val="24"/>
                <w:szCs w:val="24"/>
              </w:rPr>
              <w:t>Hovedpine, svimmelhed.</w:t>
            </w:r>
          </w:p>
        </w:tc>
        <w:tc>
          <w:tcPr>
            <w:tcW w:w="1517" w:type="pct"/>
          </w:tcPr>
          <w:p w14:paraId="2647B766" w14:textId="77777777" w:rsidR="006D395F" w:rsidRPr="00A23A14" w:rsidRDefault="006D395F" w:rsidP="0006266D">
            <w:pPr>
              <w:rPr>
                <w:sz w:val="24"/>
                <w:szCs w:val="24"/>
                <w:lang w:val="en-GB" w:eastAsia="pt-PT"/>
              </w:rPr>
            </w:pPr>
            <w:r w:rsidRPr="00A23A14">
              <w:rPr>
                <w:sz w:val="24"/>
                <w:szCs w:val="24"/>
              </w:rPr>
              <w:t xml:space="preserve">Perifer </w:t>
            </w:r>
            <w:proofErr w:type="spellStart"/>
            <w:r w:rsidRPr="00A23A14">
              <w:rPr>
                <w:sz w:val="24"/>
                <w:szCs w:val="24"/>
              </w:rPr>
              <w:t>neuropati</w:t>
            </w:r>
            <w:proofErr w:type="spellEnd"/>
            <w:r w:rsidRPr="00A23A14">
              <w:rPr>
                <w:sz w:val="24"/>
                <w:szCs w:val="24"/>
                <w:lang w:val="en-GB" w:eastAsia="pt-PT"/>
              </w:rPr>
              <w:t>.</w:t>
            </w:r>
          </w:p>
        </w:tc>
        <w:tc>
          <w:tcPr>
            <w:tcW w:w="1162" w:type="pct"/>
          </w:tcPr>
          <w:p w14:paraId="28537B81" w14:textId="77777777" w:rsidR="006D395F" w:rsidRPr="00A23A14" w:rsidRDefault="006D395F" w:rsidP="0006266D">
            <w:pPr>
              <w:rPr>
                <w:sz w:val="24"/>
                <w:szCs w:val="24"/>
              </w:rPr>
            </w:pPr>
          </w:p>
        </w:tc>
      </w:tr>
      <w:tr w:rsidR="006D395F" w:rsidRPr="00A23A14" w14:paraId="620BFCC9" w14:textId="77777777" w:rsidTr="0006266D">
        <w:tc>
          <w:tcPr>
            <w:tcW w:w="1160" w:type="pct"/>
          </w:tcPr>
          <w:p w14:paraId="49A8BADC" w14:textId="77777777" w:rsidR="006D395F" w:rsidRPr="00A23A14" w:rsidRDefault="006D395F" w:rsidP="0006266D">
            <w:pPr>
              <w:rPr>
                <w:sz w:val="24"/>
                <w:szCs w:val="24"/>
                <w:lang w:val="en-GB" w:eastAsia="pt-PT"/>
              </w:rPr>
            </w:pPr>
            <w:r w:rsidRPr="00A23A14">
              <w:rPr>
                <w:sz w:val="24"/>
                <w:szCs w:val="24"/>
              </w:rPr>
              <w:t>Hjerte</w:t>
            </w:r>
          </w:p>
        </w:tc>
        <w:tc>
          <w:tcPr>
            <w:tcW w:w="1160" w:type="pct"/>
          </w:tcPr>
          <w:p w14:paraId="69156C00" w14:textId="77777777" w:rsidR="006D395F" w:rsidRPr="00A23A14" w:rsidRDefault="006D395F" w:rsidP="0006266D">
            <w:pPr>
              <w:rPr>
                <w:sz w:val="24"/>
                <w:szCs w:val="24"/>
                <w:lang w:val="en-GB" w:eastAsia="pt-PT"/>
              </w:rPr>
            </w:pPr>
            <w:r w:rsidRPr="00A23A14">
              <w:rPr>
                <w:sz w:val="24"/>
                <w:szCs w:val="24"/>
                <w:lang w:val="en-GB" w:eastAsia="pt-PT"/>
              </w:rPr>
              <w:t>Myocarditis, pericarditis.</w:t>
            </w:r>
          </w:p>
        </w:tc>
        <w:tc>
          <w:tcPr>
            <w:tcW w:w="1517" w:type="pct"/>
          </w:tcPr>
          <w:p w14:paraId="75DD3348" w14:textId="77777777" w:rsidR="006D395F" w:rsidRPr="00A23A14" w:rsidRDefault="006D395F" w:rsidP="0006266D">
            <w:pPr>
              <w:rPr>
                <w:sz w:val="24"/>
                <w:szCs w:val="24"/>
                <w:lang w:val="en-GB" w:eastAsia="pt-PT"/>
              </w:rPr>
            </w:pPr>
          </w:p>
        </w:tc>
        <w:tc>
          <w:tcPr>
            <w:tcW w:w="1162" w:type="pct"/>
          </w:tcPr>
          <w:p w14:paraId="420557F4" w14:textId="77777777" w:rsidR="006D395F" w:rsidRPr="00A23A14" w:rsidRDefault="006D395F" w:rsidP="0006266D">
            <w:pPr>
              <w:rPr>
                <w:sz w:val="24"/>
                <w:szCs w:val="24"/>
                <w:lang w:val="en-GB" w:eastAsia="pt-PT"/>
              </w:rPr>
            </w:pPr>
          </w:p>
        </w:tc>
      </w:tr>
      <w:tr w:rsidR="006D395F" w:rsidRPr="00A23A14" w14:paraId="1E7ED6F2" w14:textId="77777777" w:rsidTr="0006266D">
        <w:tc>
          <w:tcPr>
            <w:tcW w:w="1160" w:type="pct"/>
          </w:tcPr>
          <w:p w14:paraId="00EDA05D" w14:textId="77777777" w:rsidR="006D395F" w:rsidRPr="00A23A14" w:rsidRDefault="006D395F" w:rsidP="0006266D">
            <w:pPr>
              <w:rPr>
                <w:sz w:val="24"/>
                <w:szCs w:val="24"/>
                <w:lang w:val="en-GB" w:eastAsia="pt-PT"/>
              </w:rPr>
            </w:pPr>
            <w:r w:rsidRPr="00A23A14">
              <w:rPr>
                <w:sz w:val="24"/>
                <w:szCs w:val="24"/>
              </w:rPr>
              <w:t xml:space="preserve">Luftveje, thorax og </w:t>
            </w:r>
            <w:proofErr w:type="spellStart"/>
            <w:r w:rsidRPr="00A23A14">
              <w:rPr>
                <w:sz w:val="24"/>
                <w:szCs w:val="24"/>
              </w:rPr>
              <w:t>mediastinum</w:t>
            </w:r>
            <w:proofErr w:type="spellEnd"/>
          </w:p>
        </w:tc>
        <w:tc>
          <w:tcPr>
            <w:tcW w:w="1160" w:type="pct"/>
          </w:tcPr>
          <w:p w14:paraId="372DAE22" w14:textId="77777777" w:rsidR="006D395F" w:rsidRPr="00A23A14" w:rsidRDefault="006D395F" w:rsidP="0006266D">
            <w:pPr>
              <w:rPr>
                <w:sz w:val="24"/>
                <w:szCs w:val="24"/>
                <w:lang w:val="en-GB" w:eastAsia="pt-PT"/>
              </w:rPr>
            </w:pPr>
            <w:r w:rsidRPr="00A23A14">
              <w:rPr>
                <w:sz w:val="24"/>
                <w:szCs w:val="24"/>
                <w:lang w:val="en-GB" w:eastAsia="pt-PT"/>
              </w:rPr>
              <w:t xml:space="preserve"> </w:t>
            </w:r>
          </w:p>
        </w:tc>
        <w:tc>
          <w:tcPr>
            <w:tcW w:w="1517" w:type="pct"/>
          </w:tcPr>
          <w:p w14:paraId="6E7E177B" w14:textId="77777777" w:rsidR="006D395F" w:rsidRPr="00A23A14" w:rsidRDefault="006D395F" w:rsidP="0006266D">
            <w:pPr>
              <w:rPr>
                <w:sz w:val="24"/>
                <w:szCs w:val="24"/>
                <w:lang w:eastAsia="pt-PT"/>
              </w:rPr>
            </w:pPr>
            <w:r w:rsidRPr="00A23A14">
              <w:rPr>
                <w:sz w:val="24"/>
                <w:szCs w:val="24"/>
              </w:rPr>
              <w:t xml:space="preserve">Allergisk lungereaktion (dyspnø, hoste, allergisk </w:t>
            </w:r>
            <w:proofErr w:type="spellStart"/>
            <w:r w:rsidRPr="00A23A14">
              <w:rPr>
                <w:sz w:val="24"/>
                <w:szCs w:val="24"/>
              </w:rPr>
              <w:t>alveolitis</w:t>
            </w:r>
            <w:proofErr w:type="spellEnd"/>
            <w:r w:rsidRPr="00A23A14">
              <w:rPr>
                <w:sz w:val="24"/>
                <w:szCs w:val="24"/>
              </w:rPr>
              <w:t xml:space="preserve">, </w:t>
            </w:r>
            <w:proofErr w:type="spellStart"/>
            <w:r w:rsidRPr="00A23A14">
              <w:rPr>
                <w:sz w:val="24"/>
                <w:szCs w:val="24"/>
              </w:rPr>
              <w:t>pulmonal</w:t>
            </w:r>
            <w:proofErr w:type="spellEnd"/>
            <w:r w:rsidRPr="00A23A14">
              <w:rPr>
                <w:sz w:val="24"/>
                <w:szCs w:val="24"/>
              </w:rPr>
              <w:t xml:space="preserve"> </w:t>
            </w:r>
            <w:proofErr w:type="spellStart"/>
            <w:r w:rsidRPr="00A23A14">
              <w:rPr>
                <w:sz w:val="24"/>
                <w:szCs w:val="24"/>
              </w:rPr>
              <w:t>eosinofil</w:t>
            </w:r>
            <w:proofErr w:type="spellEnd"/>
            <w:r w:rsidRPr="00A23A14">
              <w:rPr>
                <w:sz w:val="24"/>
                <w:szCs w:val="24"/>
              </w:rPr>
              <w:t xml:space="preserve">, lunge infiltration, pneumonitis). </w:t>
            </w:r>
          </w:p>
        </w:tc>
        <w:tc>
          <w:tcPr>
            <w:tcW w:w="1162" w:type="pct"/>
          </w:tcPr>
          <w:p w14:paraId="7657B9C6" w14:textId="77777777" w:rsidR="006D395F" w:rsidRPr="00A23A14" w:rsidRDefault="006D395F" w:rsidP="0006266D">
            <w:pPr>
              <w:rPr>
                <w:sz w:val="24"/>
                <w:szCs w:val="24"/>
              </w:rPr>
            </w:pPr>
          </w:p>
        </w:tc>
      </w:tr>
      <w:tr w:rsidR="006D395F" w:rsidRPr="00A23A14" w14:paraId="6701122A" w14:textId="77777777" w:rsidTr="0006266D">
        <w:tc>
          <w:tcPr>
            <w:tcW w:w="1160" w:type="pct"/>
          </w:tcPr>
          <w:p w14:paraId="0308B8B1" w14:textId="77777777" w:rsidR="006D395F" w:rsidRPr="00A23A14" w:rsidRDefault="006D395F" w:rsidP="0006266D">
            <w:pPr>
              <w:rPr>
                <w:sz w:val="24"/>
                <w:szCs w:val="24"/>
                <w:lang w:eastAsia="pt-PT"/>
              </w:rPr>
            </w:pPr>
            <w:r w:rsidRPr="00A23A14">
              <w:rPr>
                <w:sz w:val="24"/>
                <w:szCs w:val="24"/>
              </w:rPr>
              <w:t>Mave-tarm-kanalen</w:t>
            </w:r>
          </w:p>
        </w:tc>
        <w:tc>
          <w:tcPr>
            <w:tcW w:w="1160" w:type="pct"/>
          </w:tcPr>
          <w:p w14:paraId="00A20950" w14:textId="77777777" w:rsidR="006D395F" w:rsidRPr="00A23A14" w:rsidRDefault="006D395F" w:rsidP="0006266D">
            <w:pPr>
              <w:rPr>
                <w:sz w:val="24"/>
                <w:szCs w:val="24"/>
                <w:lang w:eastAsia="pt-PT"/>
              </w:rPr>
            </w:pPr>
            <w:r w:rsidRPr="00A23A14">
              <w:rPr>
                <w:sz w:val="24"/>
                <w:szCs w:val="24"/>
                <w:lang w:eastAsia="pt-PT"/>
              </w:rPr>
              <w:t xml:space="preserve">Ubehag og </w:t>
            </w:r>
            <w:proofErr w:type="spellStart"/>
            <w:r w:rsidRPr="00A23A14">
              <w:rPr>
                <w:sz w:val="24"/>
                <w:szCs w:val="24"/>
                <w:lang w:eastAsia="pt-PT"/>
              </w:rPr>
              <w:t>abdominale</w:t>
            </w:r>
            <w:proofErr w:type="spellEnd"/>
            <w:r w:rsidRPr="00A23A14">
              <w:rPr>
                <w:sz w:val="24"/>
                <w:szCs w:val="24"/>
                <w:lang w:eastAsia="pt-PT"/>
              </w:rPr>
              <w:t xml:space="preserve"> smerter, diarré, </w:t>
            </w:r>
            <w:proofErr w:type="spellStart"/>
            <w:r w:rsidRPr="00A23A14">
              <w:rPr>
                <w:sz w:val="24"/>
                <w:szCs w:val="24"/>
                <w:lang w:eastAsia="pt-PT"/>
              </w:rPr>
              <w:t>flatulens</w:t>
            </w:r>
            <w:proofErr w:type="spellEnd"/>
            <w:r w:rsidRPr="00A23A14">
              <w:rPr>
                <w:sz w:val="24"/>
                <w:szCs w:val="24"/>
                <w:lang w:eastAsia="pt-PT"/>
              </w:rPr>
              <w:t>, kvalme, opkastning.</w:t>
            </w:r>
          </w:p>
        </w:tc>
        <w:tc>
          <w:tcPr>
            <w:tcW w:w="1517" w:type="pct"/>
          </w:tcPr>
          <w:p w14:paraId="634BFF94" w14:textId="77777777" w:rsidR="006D395F" w:rsidRPr="00A23A14" w:rsidRDefault="006D395F" w:rsidP="0006266D">
            <w:pPr>
              <w:rPr>
                <w:sz w:val="24"/>
                <w:szCs w:val="24"/>
                <w:lang w:eastAsia="pt-PT"/>
              </w:rPr>
            </w:pPr>
            <w:r w:rsidRPr="00A23A14">
              <w:rPr>
                <w:sz w:val="24"/>
                <w:szCs w:val="24"/>
              </w:rPr>
              <w:t xml:space="preserve">Akut </w:t>
            </w:r>
            <w:proofErr w:type="spellStart"/>
            <w:r w:rsidRPr="00A23A14">
              <w:rPr>
                <w:sz w:val="24"/>
                <w:szCs w:val="24"/>
              </w:rPr>
              <w:t>pancreatitis</w:t>
            </w:r>
            <w:proofErr w:type="spellEnd"/>
            <w:r w:rsidRPr="00A23A14">
              <w:rPr>
                <w:sz w:val="24"/>
                <w:szCs w:val="24"/>
              </w:rPr>
              <w:t>.</w:t>
            </w:r>
            <w:r w:rsidRPr="00A23A14">
              <w:rPr>
                <w:sz w:val="24"/>
                <w:szCs w:val="24"/>
                <w:lang w:eastAsia="pt-PT"/>
              </w:rPr>
              <w:t xml:space="preserve"> Forværring af </w:t>
            </w:r>
            <w:proofErr w:type="spellStart"/>
            <w:r w:rsidRPr="00A23A14">
              <w:rPr>
                <w:sz w:val="24"/>
                <w:szCs w:val="24"/>
                <w:lang w:eastAsia="pt-PT"/>
              </w:rPr>
              <w:t>colitissymptomer</w:t>
            </w:r>
            <w:proofErr w:type="spellEnd"/>
            <w:r w:rsidRPr="00A23A14">
              <w:rPr>
                <w:sz w:val="24"/>
                <w:szCs w:val="24"/>
                <w:lang w:eastAsia="pt-PT"/>
              </w:rPr>
              <w:t>.</w:t>
            </w:r>
          </w:p>
          <w:p w14:paraId="7598C678" w14:textId="77777777" w:rsidR="006D395F" w:rsidRPr="00A23A14" w:rsidRDefault="006D395F" w:rsidP="0006266D">
            <w:pPr>
              <w:rPr>
                <w:sz w:val="24"/>
                <w:szCs w:val="24"/>
                <w:lang w:eastAsia="pt-PT"/>
              </w:rPr>
            </w:pPr>
          </w:p>
        </w:tc>
        <w:tc>
          <w:tcPr>
            <w:tcW w:w="1162" w:type="pct"/>
          </w:tcPr>
          <w:p w14:paraId="0102E468" w14:textId="77777777" w:rsidR="006D395F" w:rsidRPr="00A23A14" w:rsidRDefault="006D395F" w:rsidP="0006266D">
            <w:pPr>
              <w:rPr>
                <w:sz w:val="24"/>
                <w:szCs w:val="24"/>
              </w:rPr>
            </w:pPr>
          </w:p>
        </w:tc>
      </w:tr>
      <w:tr w:rsidR="006D395F" w:rsidRPr="00A23A14" w14:paraId="4D39C3FA" w14:textId="77777777" w:rsidTr="0006266D">
        <w:tc>
          <w:tcPr>
            <w:tcW w:w="1160" w:type="pct"/>
          </w:tcPr>
          <w:p w14:paraId="2F22D1CB" w14:textId="77777777" w:rsidR="006D395F" w:rsidRPr="00A23A14" w:rsidRDefault="006D395F" w:rsidP="0006266D">
            <w:pPr>
              <w:rPr>
                <w:sz w:val="24"/>
                <w:szCs w:val="24"/>
                <w:lang w:val="en-GB" w:eastAsia="pt-PT"/>
              </w:rPr>
            </w:pPr>
            <w:r w:rsidRPr="00A23A14">
              <w:rPr>
                <w:sz w:val="24"/>
                <w:szCs w:val="24"/>
              </w:rPr>
              <w:t>Lever og galdeveje</w:t>
            </w:r>
          </w:p>
        </w:tc>
        <w:tc>
          <w:tcPr>
            <w:tcW w:w="1160" w:type="pct"/>
          </w:tcPr>
          <w:p w14:paraId="65D71357" w14:textId="77777777" w:rsidR="006D395F" w:rsidRPr="00A23A14" w:rsidRDefault="006D395F" w:rsidP="0006266D">
            <w:pPr>
              <w:rPr>
                <w:sz w:val="24"/>
                <w:szCs w:val="24"/>
                <w:lang w:val="en-GB" w:eastAsia="pt-PT"/>
              </w:rPr>
            </w:pPr>
            <w:r w:rsidRPr="00A23A14">
              <w:rPr>
                <w:sz w:val="24"/>
                <w:szCs w:val="24"/>
                <w:lang w:val="en-GB" w:eastAsia="pt-PT"/>
              </w:rPr>
              <w:t xml:space="preserve"> </w:t>
            </w:r>
          </w:p>
        </w:tc>
        <w:tc>
          <w:tcPr>
            <w:tcW w:w="1517" w:type="pct"/>
          </w:tcPr>
          <w:p w14:paraId="070DCC19" w14:textId="77777777" w:rsidR="006D395F" w:rsidRPr="00A23A14" w:rsidRDefault="006D395F" w:rsidP="0006266D">
            <w:pPr>
              <w:rPr>
                <w:sz w:val="24"/>
                <w:szCs w:val="24"/>
                <w:lang w:eastAsia="pt-PT"/>
              </w:rPr>
            </w:pPr>
            <w:r w:rsidRPr="00A23A14">
              <w:rPr>
                <w:sz w:val="24"/>
                <w:szCs w:val="24"/>
              </w:rPr>
              <w:t>Ændring i leverfunk-</w:t>
            </w:r>
            <w:proofErr w:type="spellStart"/>
            <w:r w:rsidRPr="00A23A14">
              <w:rPr>
                <w:sz w:val="24"/>
                <w:szCs w:val="24"/>
              </w:rPr>
              <w:t>tionsværdierne</w:t>
            </w:r>
            <w:proofErr w:type="spellEnd"/>
            <w:r w:rsidRPr="00A23A14">
              <w:rPr>
                <w:sz w:val="24"/>
                <w:szCs w:val="24"/>
              </w:rPr>
              <w:t xml:space="preserve"> (stigning i </w:t>
            </w:r>
            <w:proofErr w:type="spellStart"/>
            <w:r w:rsidRPr="00A23A14">
              <w:rPr>
                <w:sz w:val="24"/>
                <w:szCs w:val="24"/>
              </w:rPr>
              <w:t>transaminaser</w:t>
            </w:r>
            <w:proofErr w:type="spellEnd"/>
            <w:r w:rsidRPr="00A23A14">
              <w:rPr>
                <w:sz w:val="24"/>
                <w:szCs w:val="24"/>
              </w:rPr>
              <w:t xml:space="preserve"> og </w:t>
            </w:r>
            <w:proofErr w:type="spellStart"/>
            <w:r w:rsidRPr="00A23A14">
              <w:rPr>
                <w:sz w:val="24"/>
                <w:szCs w:val="24"/>
              </w:rPr>
              <w:t>cholestatiske</w:t>
            </w:r>
            <w:proofErr w:type="spellEnd"/>
            <w:r w:rsidRPr="00A23A14">
              <w:rPr>
                <w:sz w:val="24"/>
                <w:szCs w:val="24"/>
              </w:rPr>
              <w:t xml:space="preserve"> parametre), hepatitis, </w:t>
            </w:r>
            <w:proofErr w:type="spellStart"/>
            <w:r w:rsidRPr="00A23A14">
              <w:rPr>
                <w:sz w:val="24"/>
                <w:szCs w:val="24"/>
              </w:rPr>
              <w:t>cholestatisk</w:t>
            </w:r>
            <w:proofErr w:type="spellEnd"/>
            <w:r w:rsidRPr="00A23A14">
              <w:rPr>
                <w:sz w:val="24"/>
                <w:szCs w:val="24"/>
              </w:rPr>
              <w:t xml:space="preserve"> hepatitis</w:t>
            </w:r>
            <w:r w:rsidRPr="00A23A14">
              <w:rPr>
                <w:sz w:val="24"/>
                <w:szCs w:val="24"/>
                <w:lang w:eastAsia="pt-PT"/>
              </w:rPr>
              <w:t>.</w:t>
            </w:r>
          </w:p>
        </w:tc>
        <w:tc>
          <w:tcPr>
            <w:tcW w:w="1162" w:type="pct"/>
          </w:tcPr>
          <w:p w14:paraId="375B863E" w14:textId="77777777" w:rsidR="006D395F" w:rsidRPr="00A23A14" w:rsidRDefault="006D395F" w:rsidP="0006266D">
            <w:pPr>
              <w:rPr>
                <w:sz w:val="24"/>
                <w:szCs w:val="24"/>
              </w:rPr>
            </w:pPr>
          </w:p>
        </w:tc>
      </w:tr>
      <w:tr w:rsidR="006D395F" w:rsidRPr="00E32781" w14:paraId="482505AC" w14:textId="77777777" w:rsidTr="0006266D">
        <w:tc>
          <w:tcPr>
            <w:tcW w:w="1160" w:type="pct"/>
          </w:tcPr>
          <w:p w14:paraId="3C20244A" w14:textId="77777777" w:rsidR="006D395F" w:rsidRPr="00A23A14" w:rsidRDefault="006D395F" w:rsidP="0006266D">
            <w:pPr>
              <w:rPr>
                <w:sz w:val="24"/>
                <w:szCs w:val="24"/>
                <w:lang w:val="en-GB" w:eastAsia="pt-PT"/>
              </w:rPr>
            </w:pPr>
            <w:r w:rsidRPr="00A23A14">
              <w:rPr>
                <w:sz w:val="24"/>
                <w:szCs w:val="24"/>
              </w:rPr>
              <w:t>Hud og subkutane væv</w:t>
            </w:r>
          </w:p>
        </w:tc>
        <w:tc>
          <w:tcPr>
            <w:tcW w:w="1160" w:type="pct"/>
          </w:tcPr>
          <w:p w14:paraId="381CF5E3" w14:textId="77777777" w:rsidR="006D395F" w:rsidRPr="00A23A14" w:rsidRDefault="006D395F" w:rsidP="0006266D">
            <w:pPr>
              <w:rPr>
                <w:sz w:val="24"/>
                <w:szCs w:val="24"/>
                <w:lang w:val="en-GB" w:eastAsia="pt-PT"/>
              </w:rPr>
            </w:pPr>
            <w:r w:rsidRPr="00A23A14">
              <w:rPr>
                <w:sz w:val="24"/>
                <w:szCs w:val="24"/>
              </w:rPr>
              <w:t>Fotosensibilitet</w:t>
            </w:r>
            <w:r w:rsidRPr="00A23A14">
              <w:rPr>
                <w:sz w:val="24"/>
                <w:szCs w:val="24"/>
                <w:lang w:val="en-GB" w:eastAsia="pt-PT"/>
              </w:rPr>
              <w:t>*</w:t>
            </w:r>
          </w:p>
        </w:tc>
        <w:tc>
          <w:tcPr>
            <w:tcW w:w="1517" w:type="pct"/>
          </w:tcPr>
          <w:p w14:paraId="4A11D87C" w14:textId="77777777" w:rsidR="006D395F" w:rsidRPr="009C4FCF" w:rsidRDefault="006D395F" w:rsidP="0006266D">
            <w:pPr>
              <w:rPr>
                <w:sz w:val="24"/>
                <w:szCs w:val="24"/>
                <w:lang w:eastAsia="pt-PT"/>
              </w:rPr>
            </w:pPr>
            <w:proofErr w:type="spellStart"/>
            <w:r w:rsidRPr="009C4FCF">
              <w:rPr>
                <w:sz w:val="24"/>
                <w:szCs w:val="24"/>
              </w:rPr>
              <w:t>Alopeci</w:t>
            </w:r>
            <w:proofErr w:type="spellEnd"/>
            <w:r w:rsidRPr="009C4FCF">
              <w:rPr>
                <w:sz w:val="24"/>
                <w:szCs w:val="24"/>
                <w:lang w:eastAsia="pt-PT"/>
              </w:rPr>
              <w:t>.</w:t>
            </w:r>
          </w:p>
          <w:p w14:paraId="29AAF0C7" w14:textId="1457B9CC" w:rsidR="006D395F" w:rsidRPr="009C4FCF" w:rsidRDefault="006D395F" w:rsidP="0006266D">
            <w:pPr>
              <w:rPr>
                <w:sz w:val="24"/>
                <w:szCs w:val="24"/>
                <w:lang w:eastAsia="pt-PT"/>
              </w:rPr>
            </w:pPr>
            <w:proofErr w:type="spellStart"/>
            <w:r w:rsidRPr="009C4FCF">
              <w:rPr>
                <w:sz w:val="24"/>
                <w:szCs w:val="24"/>
                <w:lang w:eastAsia="pt-PT"/>
              </w:rPr>
              <w:t>Erythema</w:t>
            </w:r>
            <w:proofErr w:type="spellEnd"/>
            <w:r w:rsidRPr="009C4FCF">
              <w:rPr>
                <w:sz w:val="24"/>
                <w:szCs w:val="24"/>
                <w:lang w:eastAsia="pt-PT"/>
              </w:rPr>
              <w:t xml:space="preserve"> multiforme</w:t>
            </w:r>
          </w:p>
        </w:tc>
        <w:tc>
          <w:tcPr>
            <w:tcW w:w="1162" w:type="pct"/>
          </w:tcPr>
          <w:p w14:paraId="1DE3D311" w14:textId="21BC6A06" w:rsidR="006D395F" w:rsidRPr="009C4FCF" w:rsidRDefault="00B77D4E" w:rsidP="0006266D">
            <w:pPr>
              <w:rPr>
                <w:sz w:val="24"/>
                <w:szCs w:val="24"/>
              </w:rPr>
            </w:pPr>
            <w:r>
              <w:rPr>
                <w:sz w:val="24"/>
                <w:szCs w:val="24"/>
              </w:rPr>
              <w:t xml:space="preserve">Lægemiddelreaktionen </w:t>
            </w:r>
            <w:proofErr w:type="spellStart"/>
            <w:r>
              <w:rPr>
                <w:sz w:val="24"/>
                <w:szCs w:val="24"/>
              </w:rPr>
              <w:t>eosinofili</w:t>
            </w:r>
            <w:proofErr w:type="spellEnd"/>
            <w:r>
              <w:rPr>
                <w:sz w:val="24"/>
                <w:szCs w:val="24"/>
              </w:rPr>
              <w:t xml:space="preserve"> og systemiske symptomer (DRESS), </w:t>
            </w:r>
            <w:r>
              <w:rPr>
                <w:sz w:val="24"/>
                <w:szCs w:val="24"/>
                <w:lang w:eastAsia="pt-PT"/>
              </w:rPr>
              <w:t>Stevens-Johnsons syndrom (SJS)</w:t>
            </w:r>
            <w:r>
              <w:rPr>
                <w:sz w:val="24"/>
                <w:szCs w:val="24"/>
                <w:lang w:val="nb-NO" w:eastAsia="pt-PT"/>
              </w:rPr>
              <w:t xml:space="preserve">, </w:t>
            </w:r>
            <w:r>
              <w:rPr>
                <w:sz w:val="24"/>
                <w:szCs w:val="24"/>
                <w:lang w:eastAsia="pt-PT"/>
              </w:rPr>
              <w:t xml:space="preserve">toksisk </w:t>
            </w:r>
            <w:proofErr w:type="spellStart"/>
            <w:r>
              <w:rPr>
                <w:sz w:val="24"/>
                <w:szCs w:val="24"/>
                <w:lang w:eastAsia="pt-PT"/>
              </w:rPr>
              <w:t>epidermal</w:t>
            </w:r>
            <w:proofErr w:type="spellEnd"/>
            <w:r>
              <w:rPr>
                <w:sz w:val="24"/>
                <w:szCs w:val="24"/>
                <w:lang w:eastAsia="pt-PT"/>
              </w:rPr>
              <w:t xml:space="preserve"> </w:t>
            </w:r>
            <w:proofErr w:type="spellStart"/>
            <w:r>
              <w:rPr>
                <w:sz w:val="24"/>
                <w:szCs w:val="24"/>
                <w:lang w:eastAsia="pt-PT"/>
              </w:rPr>
              <w:t>nekrolyse</w:t>
            </w:r>
            <w:proofErr w:type="spellEnd"/>
            <w:r>
              <w:rPr>
                <w:sz w:val="24"/>
                <w:szCs w:val="24"/>
                <w:lang w:eastAsia="pt-PT"/>
              </w:rPr>
              <w:t xml:space="preserve"> (TEN)</w:t>
            </w:r>
            <w:r>
              <w:rPr>
                <w:sz w:val="24"/>
                <w:szCs w:val="24"/>
                <w:lang w:val="nn-NO" w:eastAsia="pt-PT"/>
              </w:rPr>
              <w:t>**</w:t>
            </w:r>
          </w:p>
        </w:tc>
      </w:tr>
      <w:tr w:rsidR="006D395F" w:rsidRPr="00A23A14" w14:paraId="02CA54E1" w14:textId="77777777" w:rsidTr="0006266D">
        <w:tc>
          <w:tcPr>
            <w:tcW w:w="1160" w:type="pct"/>
          </w:tcPr>
          <w:p w14:paraId="4F5770CC" w14:textId="77777777" w:rsidR="006D395F" w:rsidRPr="00A23A14" w:rsidRDefault="006D395F" w:rsidP="0006266D">
            <w:pPr>
              <w:rPr>
                <w:sz w:val="24"/>
                <w:szCs w:val="24"/>
                <w:lang w:eastAsia="pt-PT"/>
              </w:rPr>
            </w:pPr>
            <w:r w:rsidRPr="00A23A14">
              <w:rPr>
                <w:sz w:val="24"/>
                <w:szCs w:val="24"/>
              </w:rPr>
              <w:t>Knogler, led, muskler og bindevæv</w:t>
            </w:r>
          </w:p>
        </w:tc>
        <w:tc>
          <w:tcPr>
            <w:tcW w:w="1160" w:type="pct"/>
          </w:tcPr>
          <w:p w14:paraId="688F2FBA" w14:textId="77777777" w:rsidR="006D395F" w:rsidRPr="00A23A14" w:rsidRDefault="006D395F" w:rsidP="0006266D">
            <w:pPr>
              <w:rPr>
                <w:sz w:val="24"/>
                <w:szCs w:val="24"/>
                <w:lang w:eastAsia="pt-PT"/>
              </w:rPr>
            </w:pPr>
          </w:p>
        </w:tc>
        <w:tc>
          <w:tcPr>
            <w:tcW w:w="1517" w:type="pct"/>
          </w:tcPr>
          <w:p w14:paraId="5826E8CE" w14:textId="77777777" w:rsidR="006D395F" w:rsidRPr="00A23A14" w:rsidRDefault="006D395F" w:rsidP="0006266D">
            <w:pPr>
              <w:rPr>
                <w:sz w:val="24"/>
                <w:szCs w:val="24"/>
                <w:lang w:val="en-GB" w:eastAsia="pt-PT"/>
              </w:rPr>
            </w:pPr>
            <w:r w:rsidRPr="00A23A14">
              <w:rPr>
                <w:sz w:val="24"/>
                <w:szCs w:val="24"/>
              </w:rPr>
              <w:t xml:space="preserve">Myalgi, </w:t>
            </w:r>
            <w:proofErr w:type="spellStart"/>
            <w:r w:rsidRPr="00A23A14">
              <w:rPr>
                <w:sz w:val="24"/>
                <w:szCs w:val="24"/>
              </w:rPr>
              <w:t>arthralgi</w:t>
            </w:r>
            <w:proofErr w:type="spellEnd"/>
            <w:r w:rsidRPr="00A23A14">
              <w:rPr>
                <w:sz w:val="24"/>
                <w:szCs w:val="24"/>
                <w:lang w:val="en-GB" w:eastAsia="pt-PT"/>
              </w:rPr>
              <w:t>.</w:t>
            </w:r>
          </w:p>
        </w:tc>
        <w:tc>
          <w:tcPr>
            <w:tcW w:w="1162" w:type="pct"/>
          </w:tcPr>
          <w:p w14:paraId="67BE18CD" w14:textId="77777777" w:rsidR="006D395F" w:rsidRPr="00A23A14" w:rsidRDefault="006D395F" w:rsidP="0006266D">
            <w:pPr>
              <w:rPr>
                <w:sz w:val="24"/>
                <w:szCs w:val="24"/>
              </w:rPr>
            </w:pPr>
          </w:p>
        </w:tc>
      </w:tr>
      <w:tr w:rsidR="006D395F" w:rsidRPr="00E32781" w14:paraId="68774E15" w14:textId="77777777" w:rsidTr="0006266D">
        <w:tc>
          <w:tcPr>
            <w:tcW w:w="1160" w:type="pct"/>
          </w:tcPr>
          <w:p w14:paraId="2726FE80" w14:textId="499411F1" w:rsidR="006D395F" w:rsidRPr="00A23A14" w:rsidRDefault="006D395F" w:rsidP="0006266D">
            <w:pPr>
              <w:rPr>
                <w:sz w:val="24"/>
                <w:szCs w:val="24"/>
                <w:lang w:val="en-GB" w:eastAsia="pt-PT"/>
              </w:rPr>
            </w:pPr>
            <w:r w:rsidRPr="00A23A14">
              <w:rPr>
                <w:sz w:val="24"/>
                <w:szCs w:val="24"/>
              </w:rPr>
              <w:t>Nyrer og urinveje</w:t>
            </w:r>
          </w:p>
          <w:p w14:paraId="1DFE4846" w14:textId="77777777" w:rsidR="006D395F" w:rsidRPr="00A23A14" w:rsidDel="00A950FA" w:rsidRDefault="006D395F" w:rsidP="0006266D">
            <w:pPr>
              <w:rPr>
                <w:sz w:val="24"/>
                <w:szCs w:val="24"/>
                <w:lang w:val="en-GB" w:eastAsia="pt-PT"/>
              </w:rPr>
            </w:pPr>
          </w:p>
        </w:tc>
        <w:tc>
          <w:tcPr>
            <w:tcW w:w="1160" w:type="pct"/>
          </w:tcPr>
          <w:p w14:paraId="3F2772C2" w14:textId="77777777" w:rsidR="006D395F" w:rsidRPr="00A23A14" w:rsidRDefault="006D395F" w:rsidP="0006266D">
            <w:pPr>
              <w:rPr>
                <w:sz w:val="24"/>
                <w:szCs w:val="24"/>
                <w:lang w:val="en-GB" w:eastAsia="pt-PT"/>
              </w:rPr>
            </w:pPr>
          </w:p>
        </w:tc>
        <w:tc>
          <w:tcPr>
            <w:tcW w:w="1517" w:type="pct"/>
          </w:tcPr>
          <w:p w14:paraId="676A4155" w14:textId="77777777" w:rsidR="006D395F" w:rsidRPr="006E2744" w:rsidDel="00A950FA" w:rsidRDefault="006D395F" w:rsidP="0006266D">
            <w:pPr>
              <w:rPr>
                <w:sz w:val="24"/>
                <w:szCs w:val="24"/>
                <w:lang w:val="sv-SE" w:eastAsia="pt-PT"/>
              </w:rPr>
            </w:pPr>
            <w:proofErr w:type="spellStart"/>
            <w:r w:rsidRPr="006E2744">
              <w:rPr>
                <w:sz w:val="24"/>
                <w:szCs w:val="24"/>
                <w:lang w:val="sv-SE" w:eastAsia="pt-PT"/>
              </w:rPr>
              <w:t>Interstitiel</w:t>
            </w:r>
            <w:proofErr w:type="spellEnd"/>
            <w:r w:rsidRPr="006E2744">
              <w:rPr>
                <w:sz w:val="24"/>
                <w:szCs w:val="24"/>
                <w:lang w:val="sv-SE" w:eastAsia="pt-PT"/>
              </w:rPr>
              <w:t xml:space="preserve"> </w:t>
            </w:r>
            <w:proofErr w:type="spellStart"/>
            <w:r w:rsidRPr="006E2744">
              <w:rPr>
                <w:sz w:val="24"/>
                <w:szCs w:val="24"/>
                <w:lang w:val="sv-SE" w:eastAsia="pt-PT"/>
              </w:rPr>
              <w:t>nefritis</w:t>
            </w:r>
            <w:proofErr w:type="spellEnd"/>
            <w:r w:rsidRPr="006E2744">
              <w:rPr>
                <w:sz w:val="24"/>
                <w:szCs w:val="24"/>
                <w:lang w:val="sv-SE" w:eastAsia="pt-PT"/>
              </w:rPr>
              <w:t xml:space="preserve">, </w:t>
            </w:r>
            <w:proofErr w:type="spellStart"/>
            <w:r w:rsidRPr="006E2744">
              <w:rPr>
                <w:sz w:val="24"/>
                <w:szCs w:val="24"/>
                <w:lang w:val="sv-SE"/>
              </w:rPr>
              <w:t>nyreinsufficiens</w:t>
            </w:r>
            <w:proofErr w:type="spellEnd"/>
            <w:r w:rsidRPr="006E2744">
              <w:rPr>
                <w:sz w:val="24"/>
                <w:szCs w:val="24"/>
                <w:lang w:val="sv-SE" w:eastAsia="pt-PT"/>
              </w:rPr>
              <w:t xml:space="preserve">, </w:t>
            </w:r>
            <w:proofErr w:type="spellStart"/>
            <w:r w:rsidRPr="006E2744">
              <w:rPr>
                <w:sz w:val="24"/>
                <w:szCs w:val="24"/>
                <w:lang w:val="sv-SE" w:eastAsia="pt-PT"/>
              </w:rPr>
              <w:t>nefrotisk</w:t>
            </w:r>
            <w:proofErr w:type="spellEnd"/>
            <w:r w:rsidRPr="006E2744">
              <w:rPr>
                <w:sz w:val="24"/>
                <w:szCs w:val="24"/>
                <w:lang w:val="sv-SE" w:eastAsia="pt-PT"/>
              </w:rPr>
              <w:t xml:space="preserve"> syndrom.</w:t>
            </w:r>
          </w:p>
        </w:tc>
        <w:tc>
          <w:tcPr>
            <w:tcW w:w="1162" w:type="pct"/>
          </w:tcPr>
          <w:p w14:paraId="7259574E" w14:textId="17C7235F" w:rsidR="006D395F" w:rsidRPr="006E2744" w:rsidRDefault="00B77D4E" w:rsidP="0006266D">
            <w:pPr>
              <w:rPr>
                <w:sz w:val="24"/>
                <w:szCs w:val="24"/>
                <w:lang w:val="sv-SE" w:eastAsia="pt-PT"/>
              </w:rPr>
            </w:pPr>
            <w:r>
              <w:rPr>
                <w:noProof/>
                <w:sz w:val="24"/>
                <w:szCs w:val="24"/>
              </w:rPr>
              <w:t>Nephrolithiasis</w:t>
            </w:r>
          </w:p>
        </w:tc>
      </w:tr>
      <w:tr w:rsidR="006D395F" w:rsidRPr="00A23A14" w14:paraId="3547F5F4" w14:textId="77777777" w:rsidTr="0006266D">
        <w:tc>
          <w:tcPr>
            <w:tcW w:w="1160" w:type="pct"/>
          </w:tcPr>
          <w:p w14:paraId="43FB7A7C" w14:textId="77777777" w:rsidR="006D395F" w:rsidRPr="00A23A14" w:rsidRDefault="006D395F" w:rsidP="0006266D">
            <w:pPr>
              <w:rPr>
                <w:sz w:val="24"/>
                <w:szCs w:val="24"/>
                <w:lang w:eastAsia="pt-PT"/>
              </w:rPr>
            </w:pPr>
            <w:r w:rsidRPr="00A23A14">
              <w:rPr>
                <w:sz w:val="24"/>
                <w:szCs w:val="24"/>
              </w:rPr>
              <w:t>Det reproduktive system og mammae</w:t>
            </w:r>
          </w:p>
        </w:tc>
        <w:tc>
          <w:tcPr>
            <w:tcW w:w="1160" w:type="pct"/>
          </w:tcPr>
          <w:p w14:paraId="2196AE61" w14:textId="77777777" w:rsidR="006D395F" w:rsidRPr="00A23A14" w:rsidRDefault="006D395F" w:rsidP="0006266D">
            <w:pPr>
              <w:rPr>
                <w:sz w:val="24"/>
                <w:szCs w:val="24"/>
                <w:lang w:eastAsia="pt-PT"/>
              </w:rPr>
            </w:pPr>
          </w:p>
        </w:tc>
        <w:tc>
          <w:tcPr>
            <w:tcW w:w="1517" w:type="pct"/>
          </w:tcPr>
          <w:p w14:paraId="2CAC9615" w14:textId="77777777" w:rsidR="006D395F" w:rsidRPr="00A23A14" w:rsidRDefault="006D395F" w:rsidP="0006266D">
            <w:pPr>
              <w:rPr>
                <w:sz w:val="24"/>
                <w:szCs w:val="24"/>
                <w:lang w:val="en-GB" w:eastAsia="pt-PT"/>
              </w:rPr>
            </w:pPr>
            <w:r w:rsidRPr="00A23A14">
              <w:rPr>
                <w:noProof/>
                <w:sz w:val="24"/>
                <w:szCs w:val="24"/>
              </w:rPr>
              <w:t>Oligospermi (reversibel)</w:t>
            </w:r>
            <w:r w:rsidRPr="00A23A14">
              <w:rPr>
                <w:sz w:val="24"/>
                <w:szCs w:val="24"/>
                <w:lang w:val="en-GB" w:eastAsia="pt-PT"/>
              </w:rPr>
              <w:t>.</w:t>
            </w:r>
          </w:p>
        </w:tc>
        <w:tc>
          <w:tcPr>
            <w:tcW w:w="1162" w:type="pct"/>
          </w:tcPr>
          <w:p w14:paraId="74066B1C" w14:textId="77777777" w:rsidR="006D395F" w:rsidRPr="00A23A14" w:rsidRDefault="006D395F" w:rsidP="0006266D">
            <w:pPr>
              <w:rPr>
                <w:noProof/>
                <w:sz w:val="24"/>
                <w:szCs w:val="24"/>
              </w:rPr>
            </w:pPr>
          </w:p>
        </w:tc>
      </w:tr>
    </w:tbl>
    <w:p w14:paraId="24B350F5" w14:textId="77777777" w:rsidR="006D395F" w:rsidRPr="00B24D4A" w:rsidRDefault="006D395F" w:rsidP="006D395F">
      <w:pPr>
        <w:rPr>
          <w:sz w:val="24"/>
          <w:szCs w:val="24"/>
          <w:lang w:eastAsia="pt-PT"/>
        </w:rPr>
      </w:pPr>
      <w:r w:rsidRPr="00B24D4A">
        <w:rPr>
          <w:sz w:val="24"/>
          <w:szCs w:val="24"/>
        </w:rPr>
        <w:t>*Fotosensibilitet</w:t>
      </w:r>
    </w:p>
    <w:p w14:paraId="6F0CAE23" w14:textId="77777777" w:rsidR="00580A5A" w:rsidRPr="00B24D4A" w:rsidRDefault="00580A5A" w:rsidP="00A23A14">
      <w:pPr>
        <w:rPr>
          <w:noProof/>
          <w:sz w:val="24"/>
          <w:szCs w:val="24"/>
        </w:rPr>
      </w:pPr>
      <w:r w:rsidRPr="00B24D4A">
        <w:rPr>
          <w:noProof/>
          <w:sz w:val="24"/>
          <w:szCs w:val="24"/>
        </w:rPr>
        <w:t>Der er indberettet flere svære reaktioner hos patienter med præeksisterende hudlidelser som f.eks. atopisk dermatitis og atopisk eksem.</w:t>
      </w:r>
    </w:p>
    <w:p w14:paraId="0690B078" w14:textId="77777777" w:rsidR="00B77D4E" w:rsidRDefault="00B77D4E" w:rsidP="00B77D4E">
      <w:pPr>
        <w:rPr>
          <w:sz w:val="24"/>
          <w:szCs w:val="24"/>
          <w:lang w:eastAsia="pt-PT"/>
        </w:rPr>
      </w:pPr>
      <w:r>
        <w:rPr>
          <w:sz w:val="24"/>
          <w:szCs w:val="24"/>
          <w:lang w:eastAsia="pt-PT"/>
        </w:rPr>
        <w:t xml:space="preserve">**Der er rapporteret om svære </w:t>
      </w:r>
      <w:proofErr w:type="spellStart"/>
      <w:r>
        <w:rPr>
          <w:sz w:val="24"/>
          <w:szCs w:val="24"/>
          <w:lang w:eastAsia="pt-PT"/>
        </w:rPr>
        <w:t>kutane</w:t>
      </w:r>
      <w:proofErr w:type="spellEnd"/>
      <w:r>
        <w:rPr>
          <w:sz w:val="24"/>
          <w:szCs w:val="24"/>
          <w:lang w:eastAsia="pt-PT"/>
        </w:rPr>
        <w:t xml:space="preserve"> bivirkninger, herunder</w:t>
      </w:r>
      <w:r>
        <w:t xml:space="preserve"> </w:t>
      </w:r>
      <w:r>
        <w:rPr>
          <w:sz w:val="24"/>
          <w:szCs w:val="24"/>
          <w:lang w:eastAsia="pt-PT"/>
        </w:rPr>
        <w:t xml:space="preserve">lægemiddelreaktionen </w:t>
      </w:r>
      <w:proofErr w:type="spellStart"/>
      <w:r>
        <w:rPr>
          <w:sz w:val="24"/>
          <w:szCs w:val="24"/>
          <w:lang w:eastAsia="pt-PT"/>
        </w:rPr>
        <w:t>eosinofili</w:t>
      </w:r>
      <w:proofErr w:type="spellEnd"/>
      <w:r>
        <w:rPr>
          <w:sz w:val="24"/>
          <w:szCs w:val="24"/>
          <w:lang w:eastAsia="pt-PT"/>
        </w:rPr>
        <w:t xml:space="preserve"> og systemiske symptomer (DRESS), Stevens-Johnsons syndrom (SJS) og toksisk </w:t>
      </w:r>
      <w:proofErr w:type="spellStart"/>
      <w:r>
        <w:rPr>
          <w:sz w:val="24"/>
          <w:szCs w:val="24"/>
          <w:lang w:eastAsia="pt-PT"/>
        </w:rPr>
        <w:t>epidermal</w:t>
      </w:r>
      <w:proofErr w:type="spellEnd"/>
      <w:r>
        <w:rPr>
          <w:sz w:val="24"/>
          <w:szCs w:val="24"/>
          <w:lang w:eastAsia="pt-PT"/>
        </w:rPr>
        <w:t xml:space="preserve"> </w:t>
      </w:r>
      <w:proofErr w:type="spellStart"/>
      <w:r>
        <w:rPr>
          <w:sz w:val="24"/>
          <w:szCs w:val="24"/>
          <w:lang w:eastAsia="pt-PT"/>
        </w:rPr>
        <w:t>nekrolyse</w:t>
      </w:r>
      <w:proofErr w:type="spellEnd"/>
      <w:r>
        <w:rPr>
          <w:sz w:val="24"/>
          <w:szCs w:val="24"/>
          <w:lang w:eastAsia="pt-PT"/>
        </w:rPr>
        <w:t xml:space="preserve"> (TEN), i forbindelse med </w:t>
      </w:r>
      <w:proofErr w:type="spellStart"/>
      <w:r>
        <w:rPr>
          <w:sz w:val="24"/>
          <w:szCs w:val="24"/>
          <w:lang w:eastAsia="pt-PT"/>
        </w:rPr>
        <w:t>mesalazin</w:t>
      </w:r>
      <w:proofErr w:type="spellEnd"/>
      <w:r>
        <w:rPr>
          <w:sz w:val="24"/>
          <w:szCs w:val="24"/>
          <w:lang w:eastAsia="pt-PT"/>
        </w:rPr>
        <w:t>-behandling (se pkt. 4.4).</w:t>
      </w:r>
    </w:p>
    <w:p w14:paraId="05DF4827" w14:textId="77777777" w:rsidR="00580A5A" w:rsidRPr="00B24D4A" w:rsidRDefault="00580A5A" w:rsidP="006D395F">
      <w:pPr>
        <w:rPr>
          <w:i/>
          <w:noProof/>
          <w:sz w:val="24"/>
          <w:szCs w:val="24"/>
        </w:rPr>
      </w:pPr>
    </w:p>
    <w:p w14:paraId="61DFB9DC" w14:textId="77777777" w:rsidR="00580A5A" w:rsidRPr="00B24D4A" w:rsidRDefault="00580A5A" w:rsidP="00A23A14">
      <w:pPr>
        <w:autoSpaceDE w:val="0"/>
        <w:autoSpaceDN w:val="0"/>
        <w:adjustRightInd w:val="0"/>
        <w:ind w:left="851"/>
        <w:rPr>
          <w:sz w:val="24"/>
          <w:szCs w:val="24"/>
          <w:u w:val="single"/>
        </w:rPr>
      </w:pPr>
      <w:r w:rsidRPr="00B24D4A">
        <w:rPr>
          <w:noProof/>
          <w:sz w:val="24"/>
          <w:szCs w:val="24"/>
          <w:u w:val="single"/>
        </w:rPr>
        <w:t>Indberetning af formodede bivirkninger</w:t>
      </w:r>
    </w:p>
    <w:p w14:paraId="5EEA27E1" w14:textId="77777777" w:rsidR="00580A5A" w:rsidRPr="00B24D4A" w:rsidRDefault="00580A5A" w:rsidP="00A23A14">
      <w:pPr>
        <w:autoSpaceDE w:val="0"/>
        <w:autoSpaceDN w:val="0"/>
        <w:adjustRightInd w:val="0"/>
        <w:ind w:left="851"/>
        <w:rPr>
          <w:noProof/>
          <w:sz w:val="24"/>
          <w:szCs w:val="24"/>
        </w:rPr>
      </w:pPr>
      <w:r w:rsidRPr="00B24D4A">
        <w:rPr>
          <w:noProof/>
          <w:sz w:val="24"/>
          <w:szCs w:val="24"/>
        </w:rPr>
        <w:t>Når lægemidlet er godkendt, er indberetning af formodede bivirkninger vigtig.</w:t>
      </w:r>
      <w:r w:rsidRPr="00B24D4A">
        <w:rPr>
          <w:sz w:val="24"/>
          <w:szCs w:val="24"/>
        </w:rPr>
        <w:t xml:space="preserve"> </w:t>
      </w:r>
      <w:r w:rsidRPr="00B24D4A">
        <w:rPr>
          <w:noProof/>
          <w:sz w:val="24"/>
          <w:szCs w:val="24"/>
        </w:rPr>
        <w:t>Det muliggør løbende overvågning af benefit/risk-forholdet for lægemidlet.</w:t>
      </w:r>
      <w:r w:rsidRPr="00B24D4A">
        <w:rPr>
          <w:sz w:val="24"/>
          <w:szCs w:val="24"/>
        </w:rPr>
        <w:t xml:space="preserve"> </w:t>
      </w:r>
      <w:r w:rsidRPr="00B24D4A">
        <w:rPr>
          <w:noProof/>
          <w:sz w:val="24"/>
          <w:szCs w:val="24"/>
        </w:rPr>
        <w:t>Læger og sundhedspersonale anmodes om at indberette alle formodede bivirkninger via:</w:t>
      </w:r>
    </w:p>
    <w:p w14:paraId="5808BF59" w14:textId="77777777" w:rsidR="00580A5A" w:rsidRPr="00B24D4A" w:rsidRDefault="00580A5A" w:rsidP="00A23A14">
      <w:pPr>
        <w:autoSpaceDE w:val="0"/>
        <w:autoSpaceDN w:val="0"/>
        <w:adjustRightInd w:val="0"/>
        <w:ind w:left="851"/>
        <w:rPr>
          <w:noProof/>
          <w:sz w:val="24"/>
          <w:szCs w:val="24"/>
        </w:rPr>
      </w:pPr>
    </w:p>
    <w:p w14:paraId="62A1A6A7" w14:textId="77777777" w:rsidR="00580A5A" w:rsidRPr="00B24D4A" w:rsidRDefault="00580A5A" w:rsidP="00A23A14">
      <w:pPr>
        <w:autoSpaceDE w:val="0"/>
        <w:autoSpaceDN w:val="0"/>
        <w:adjustRightInd w:val="0"/>
        <w:ind w:left="851"/>
        <w:rPr>
          <w:noProof/>
          <w:sz w:val="24"/>
          <w:szCs w:val="24"/>
        </w:rPr>
      </w:pPr>
      <w:r w:rsidRPr="00B24D4A">
        <w:rPr>
          <w:noProof/>
          <w:sz w:val="24"/>
          <w:szCs w:val="24"/>
        </w:rPr>
        <w:t>Lægemiddelstyrelsen</w:t>
      </w:r>
    </w:p>
    <w:p w14:paraId="6E832F07" w14:textId="77777777" w:rsidR="00580A5A" w:rsidRPr="00B24D4A" w:rsidRDefault="00580A5A" w:rsidP="00A23A14">
      <w:pPr>
        <w:autoSpaceDE w:val="0"/>
        <w:autoSpaceDN w:val="0"/>
        <w:adjustRightInd w:val="0"/>
        <w:ind w:left="851"/>
        <w:rPr>
          <w:noProof/>
          <w:sz w:val="24"/>
          <w:szCs w:val="24"/>
        </w:rPr>
      </w:pPr>
      <w:r w:rsidRPr="00B24D4A">
        <w:rPr>
          <w:noProof/>
          <w:sz w:val="24"/>
          <w:szCs w:val="24"/>
        </w:rPr>
        <w:t>Axel Heides Gade 1</w:t>
      </w:r>
    </w:p>
    <w:p w14:paraId="39B021FE" w14:textId="77777777" w:rsidR="00580A5A" w:rsidRPr="00B24D4A" w:rsidRDefault="00580A5A" w:rsidP="00A23A14">
      <w:pPr>
        <w:autoSpaceDE w:val="0"/>
        <w:autoSpaceDN w:val="0"/>
        <w:adjustRightInd w:val="0"/>
        <w:ind w:left="851"/>
        <w:rPr>
          <w:noProof/>
          <w:sz w:val="24"/>
          <w:szCs w:val="24"/>
        </w:rPr>
      </w:pPr>
      <w:r w:rsidRPr="00B24D4A">
        <w:rPr>
          <w:noProof/>
          <w:sz w:val="24"/>
          <w:szCs w:val="24"/>
        </w:rPr>
        <w:t>DK-2300 København S</w:t>
      </w:r>
    </w:p>
    <w:p w14:paraId="3514F041" w14:textId="77777777" w:rsidR="00580A5A" w:rsidRPr="00B24D4A" w:rsidRDefault="00580A5A" w:rsidP="00A23A14">
      <w:pPr>
        <w:autoSpaceDE w:val="0"/>
        <w:autoSpaceDN w:val="0"/>
        <w:adjustRightInd w:val="0"/>
        <w:ind w:left="851"/>
        <w:rPr>
          <w:noProof/>
          <w:sz w:val="24"/>
          <w:szCs w:val="24"/>
        </w:rPr>
      </w:pPr>
      <w:r w:rsidRPr="00B24D4A">
        <w:rPr>
          <w:noProof/>
          <w:sz w:val="24"/>
          <w:szCs w:val="24"/>
        </w:rPr>
        <w:t>Websted: www.meldenbivirkning.dk</w:t>
      </w:r>
    </w:p>
    <w:p w14:paraId="655822B9" w14:textId="77777777" w:rsidR="009260DE" w:rsidRPr="00B24D4A" w:rsidRDefault="009260DE" w:rsidP="00B24D4A">
      <w:pPr>
        <w:pStyle w:val="Sidehoved"/>
        <w:tabs>
          <w:tab w:val="left" w:pos="851"/>
        </w:tabs>
        <w:ind w:left="851" w:hanging="851"/>
        <w:rPr>
          <w:szCs w:val="24"/>
        </w:rPr>
      </w:pPr>
    </w:p>
    <w:p w14:paraId="013904A7" w14:textId="77777777" w:rsidR="009260DE" w:rsidRPr="00B24D4A" w:rsidRDefault="009260DE" w:rsidP="00B24D4A">
      <w:pPr>
        <w:tabs>
          <w:tab w:val="left" w:pos="851"/>
        </w:tabs>
        <w:ind w:left="851" w:hanging="851"/>
        <w:rPr>
          <w:b/>
          <w:sz w:val="24"/>
          <w:szCs w:val="24"/>
        </w:rPr>
      </w:pPr>
      <w:r w:rsidRPr="00B24D4A">
        <w:rPr>
          <w:b/>
          <w:sz w:val="24"/>
          <w:szCs w:val="24"/>
        </w:rPr>
        <w:t>4.9</w:t>
      </w:r>
      <w:r w:rsidRPr="00B24D4A">
        <w:rPr>
          <w:b/>
          <w:sz w:val="24"/>
          <w:szCs w:val="24"/>
        </w:rPr>
        <w:tab/>
        <w:t>Overdosering</w:t>
      </w:r>
    </w:p>
    <w:p w14:paraId="1E2C7704" w14:textId="77777777" w:rsidR="00580A5A" w:rsidRPr="00B24D4A" w:rsidRDefault="00580A5A" w:rsidP="00A23A14">
      <w:pPr>
        <w:autoSpaceDE w:val="0"/>
        <w:autoSpaceDN w:val="0"/>
        <w:adjustRightInd w:val="0"/>
        <w:ind w:left="851"/>
        <w:rPr>
          <w:sz w:val="24"/>
          <w:szCs w:val="24"/>
          <w:lang w:eastAsia="pt-PT"/>
        </w:rPr>
      </w:pPr>
      <w:r w:rsidRPr="00B24D4A">
        <w:rPr>
          <w:sz w:val="24"/>
          <w:szCs w:val="24"/>
          <w:lang w:eastAsia="pt-PT"/>
        </w:rPr>
        <w:t>Ingen tilfælde af toksicitet i forbindelse med overdosering er rapporteret.</w:t>
      </w:r>
    </w:p>
    <w:p w14:paraId="2ADEA5FA" w14:textId="77777777" w:rsidR="00580A5A" w:rsidRPr="00B24D4A" w:rsidRDefault="00580A5A" w:rsidP="00A23A14">
      <w:pPr>
        <w:autoSpaceDE w:val="0"/>
        <w:autoSpaceDN w:val="0"/>
        <w:adjustRightInd w:val="0"/>
        <w:ind w:left="851"/>
        <w:rPr>
          <w:sz w:val="24"/>
          <w:szCs w:val="24"/>
          <w:lang w:eastAsia="pt-PT"/>
        </w:rPr>
      </w:pPr>
      <w:r w:rsidRPr="00B24D4A">
        <w:rPr>
          <w:sz w:val="24"/>
          <w:szCs w:val="24"/>
          <w:lang w:eastAsia="pt-PT"/>
        </w:rPr>
        <w:t xml:space="preserve">Under normale omstændigheder er absorptionen af </w:t>
      </w:r>
      <w:proofErr w:type="spellStart"/>
      <w:r w:rsidRPr="00B24D4A">
        <w:rPr>
          <w:sz w:val="24"/>
          <w:szCs w:val="24"/>
          <w:lang w:eastAsia="pt-PT"/>
        </w:rPr>
        <w:t>mesalazin</w:t>
      </w:r>
      <w:proofErr w:type="spellEnd"/>
      <w:r w:rsidRPr="00B24D4A">
        <w:rPr>
          <w:sz w:val="24"/>
          <w:szCs w:val="24"/>
          <w:lang w:eastAsia="pt-PT"/>
        </w:rPr>
        <w:t xml:space="preserve"> i </w:t>
      </w:r>
      <w:proofErr w:type="spellStart"/>
      <w:r w:rsidRPr="00B24D4A">
        <w:rPr>
          <w:sz w:val="24"/>
          <w:szCs w:val="24"/>
          <w:lang w:eastAsia="pt-PT"/>
        </w:rPr>
        <w:t>colon</w:t>
      </w:r>
      <w:proofErr w:type="spellEnd"/>
      <w:r w:rsidRPr="00B24D4A">
        <w:rPr>
          <w:sz w:val="24"/>
          <w:szCs w:val="24"/>
          <w:lang w:eastAsia="pt-PT"/>
        </w:rPr>
        <w:t xml:space="preserve"> begrænset.</w:t>
      </w:r>
    </w:p>
    <w:p w14:paraId="3A923346" w14:textId="77B6E5F7" w:rsidR="00580A5A" w:rsidRDefault="00580A5A" w:rsidP="00A23A14">
      <w:pPr>
        <w:autoSpaceDE w:val="0"/>
        <w:autoSpaceDN w:val="0"/>
        <w:adjustRightInd w:val="0"/>
        <w:ind w:left="851"/>
        <w:rPr>
          <w:sz w:val="24"/>
          <w:szCs w:val="24"/>
          <w:lang w:eastAsia="pt-PT"/>
        </w:rPr>
      </w:pPr>
      <w:r w:rsidRPr="00B24D4A">
        <w:rPr>
          <w:sz w:val="24"/>
          <w:szCs w:val="24"/>
          <w:lang w:eastAsia="pt-PT"/>
        </w:rPr>
        <w:t>Da der ingen specifik modgift er, bør behandling af overdosering være symptomatisk og støttende.</w:t>
      </w:r>
    </w:p>
    <w:p w14:paraId="3EA13190" w14:textId="77777777" w:rsidR="005421B3" w:rsidRPr="00B24D4A" w:rsidRDefault="005421B3" w:rsidP="00A23A14">
      <w:pPr>
        <w:autoSpaceDE w:val="0"/>
        <w:autoSpaceDN w:val="0"/>
        <w:adjustRightInd w:val="0"/>
        <w:ind w:left="851"/>
        <w:rPr>
          <w:sz w:val="24"/>
          <w:szCs w:val="24"/>
          <w:lang w:eastAsia="pt-PT"/>
        </w:rPr>
      </w:pPr>
    </w:p>
    <w:p w14:paraId="1B20D2DC" w14:textId="77777777" w:rsidR="009260DE" w:rsidRPr="00B24D4A" w:rsidRDefault="009260DE" w:rsidP="00B24D4A">
      <w:pPr>
        <w:tabs>
          <w:tab w:val="left" w:pos="851"/>
        </w:tabs>
        <w:ind w:left="851" w:hanging="851"/>
        <w:rPr>
          <w:sz w:val="24"/>
          <w:szCs w:val="24"/>
        </w:rPr>
      </w:pPr>
    </w:p>
    <w:p w14:paraId="5545F834" w14:textId="77777777" w:rsidR="009260DE" w:rsidRPr="00B24D4A" w:rsidRDefault="009260DE" w:rsidP="00B24D4A">
      <w:pPr>
        <w:tabs>
          <w:tab w:val="left" w:pos="851"/>
        </w:tabs>
        <w:ind w:left="851" w:hanging="851"/>
        <w:rPr>
          <w:b/>
          <w:sz w:val="24"/>
          <w:szCs w:val="24"/>
        </w:rPr>
      </w:pPr>
      <w:r w:rsidRPr="00B24D4A">
        <w:rPr>
          <w:b/>
          <w:sz w:val="24"/>
          <w:szCs w:val="24"/>
        </w:rPr>
        <w:t>4.10</w:t>
      </w:r>
      <w:r w:rsidRPr="00B24D4A">
        <w:rPr>
          <w:b/>
          <w:sz w:val="24"/>
          <w:szCs w:val="24"/>
        </w:rPr>
        <w:tab/>
        <w:t>Udlevering</w:t>
      </w:r>
    </w:p>
    <w:p w14:paraId="332561D3" w14:textId="77777777" w:rsidR="00580A5A" w:rsidRPr="00B24D4A" w:rsidRDefault="00580A5A" w:rsidP="00B24D4A">
      <w:pPr>
        <w:suppressAutoHyphens/>
        <w:ind w:left="851" w:hanging="851"/>
        <w:rPr>
          <w:sz w:val="24"/>
          <w:szCs w:val="24"/>
        </w:rPr>
      </w:pPr>
      <w:r w:rsidRPr="00B24D4A">
        <w:rPr>
          <w:b/>
          <w:sz w:val="24"/>
          <w:szCs w:val="24"/>
        </w:rPr>
        <w:tab/>
      </w:r>
      <w:r w:rsidRPr="00B24D4A">
        <w:rPr>
          <w:sz w:val="24"/>
          <w:szCs w:val="24"/>
        </w:rPr>
        <w:t>B</w:t>
      </w:r>
    </w:p>
    <w:p w14:paraId="25741A3B" w14:textId="77777777" w:rsidR="009260DE" w:rsidRPr="00B24D4A" w:rsidRDefault="009260DE" w:rsidP="00B24D4A">
      <w:pPr>
        <w:tabs>
          <w:tab w:val="left" w:pos="851"/>
        </w:tabs>
        <w:ind w:left="851" w:hanging="851"/>
        <w:rPr>
          <w:sz w:val="24"/>
          <w:szCs w:val="24"/>
        </w:rPr>
      </w:pPr>
    </w:p>
    <w:p w14:paraId="721F0D64" w14:textId="77777777" w:rsidR="009260DE" w:rsidRPr="00B24D4A" w:rsidRDefault="009260DE" w:rsidP="00B24D4A">
      <w:pPr>
        <w:tabs>
          <w:tab w:val="left" w:pos="851"/>
        </w:tabs>
        <w:ind w:left="851" w:hanging="851"/>
        <w:rPr>
          <w:sz w:val="24"/>
          <w:szCs w:val="24"/>
        </w:rPr>
      </w:pPr>
    </w:p>
    <w:p w14:paraId="2C51ABDE" w14:textId="77777777" w:rsidR="009260DE" w:rsidRPr="00B24D4A" w:rsidRDefault="009260DE" w:rsidP="00B24D4A">
      <w:pPr>
        <w:tabs>
          <w:tab w:val="left" w:pos="851"/>
        </w:tabs>
        <w:ind w:left="851" w:hanging="851"/>
        <w:rPr>
          <w:b/>
          <w:sz w:val="24"/>
          <w:szCs w:val="24"/>
        </w:rPr>
      </w:pPr>
      <w:r w:rsidRPr="00B24D4A">
        <w:rPr>
          <w:b/>
          <w:sz w:val="24"/>
          <w:szCs w:val="24"/>
        </w:rPr>
        <w:t>5.</w:t>
      </w:r>
      <w:r w:rsidRPr="00B24D4A">
        <w:rPr>
          <w:b/>
          <w:sz w:val="24"/>
          <w:szCs w:val="24"/>
        </w:rPr>
        <w:tab/>
        <w:t>FARMAKOLOGISKE EGENSKABER</w:t>
      </w:r>
    </w:p>
    <w:p w14:paraId="139F549D" w14:textId="77777777" w:rsidR="009260DE" w:rsidRPr="00B24D4A" w:rsidRDefault="009260DE" w:rsidP="00B24D4A">
      <w:pPr>
        <w:tabs>
          <w:tab w:val="left" w:pos="851"/>
        </w:tabs>
        <w:ind w:left="851" w:hanging="851"/>
        <w:rPr>
          <w:sz w:val="24"/>
          <w:szCs w:val="24"/>
        </w:rPr>
      </w:pPr>
    </w:p>
    <w:p w14:paraId="627DBB96" w14:textId="77777777" w:rsidR="009260DE" w:rsidRPr="00B24D4A" w:rsidRDefault="009260DE" w:rsidP="00B24D4A">
      <w:pPr>
        <w:tabs>
          <w:tab w:val="num" w:pos="851"/>
        </w:tabs>
        <w:ind w:left="851" w:hanging="851"/>
        <w:rPr>
          <w:b/>
          <w:sz w:val="24"/>
          <w:szCs w:val="24"/>
        </w:rPr>
      </w:pPr>
      <w:r w:rsidRPr="00B24D4A">
        <w:rPr>
          <w:b/>
          <w:sz w:val="24"/>
          <w:szCs w:val="24"/>
        </w:rPr>
        <w:t>5.1</w:t>
      </w:r>
      <w:r w:rsidRPr="00B24D4A">
        <w:rPr>
          <w:b/>
          <w:sz w:val="24"/>
          <w:szCs w:val="24"/>
        </w:rPr>
        <w:tab/>
      </w:r>
      <w:proofErr w:type="spellStart"/>
      <w:r w:rsidRPr="00B24D4A">
        <w:rPr>
          <w:b/>
          <w:sz w:val="24"/>
          <w:szCs w:val="24"/>
        </w:rPr>
        <w:t>Farmakodynamiske</w:t>
      </w:r>
      <w:proofErr w:type="spellEnd"/>
      <w:r w:rsidRPr="00B24D4A">
        <w:rPr>
          <w:b/>
          <w:sz w:val="24"/>
          <w:szCs w:val="24"/>
        </w:rPr>
        <w:t xml:space="preserve"> egenskaber</w:t>
      </w:r>
    </w:p>
    <w:p w14:paraId="70754EBF" w14:textId="77777777" w:rsidR="006D395F" w:rsidRPr="00B24D4A" w:rsidRDefault="006D395F" w:rsidP="006D395F">
      <w:pPr>
        <w:suppressAutoHyphens/>
        <w:ind w:left="851" w:hanging="851"/>
        <w:rPr>
          <w:b/>
          <w:sz w:val="24"/>
          <w:szCs w:val="24"/>
        </w:rPr>
      </w:pPr>
      <w:r>
        <w:rPr>
          <w:bCs/>
          <w:noProof/>
          <w:sz w:val="24"/>
          <w:szCs w:val="24"/>
        </w:rPr>
        <w:tab/>
        <w:t xml:space="preserve">Farmakoterapeutisk klassifikation: </w:t>
      </w:r>
      <w:r w:rsidRPr="00B24D4A">
        <w:rPr>
          <w:sz w:val="24"/>
          <w:szCs w:val="24"/>
        </w:rPr>
        <w:t xml:space="preserve">Antiinflammatoriske midler til tarmen. Aminosalicylsyre og </w:t>
      </w:r>
      <w:proofErr w:type="spellStart"/>
      <w:r w:rsidRPr="00B24D4A">
        <w:rPr>
          <w:sz w:val="24"/>
          <w:szCs w:val="24"/>
        </w:rPr>
        <w:t>analoger</w:t>
      </w:r>
      <w:proofErr w:type="spellEnd"/>
      <w:r w:rsidRPr="00B24D4A">
        <w:rPr>
          <w:sz w:val="24"/>
          <w:szCs w:val="24"/>
        </w:rPr>
        <w:t>.</w:t>
      </w:r>
    </w:p>
    <w:p w14:paraId="0FBA10CC" w14:textId="0EDB69C9" w:rsidR="00A23A14" w:rsidRDefault="006D395F" w:rsidP="00B24D4A">
      <w:pPr>
        <w:suppressAutoHyphens/>
        <w:ind w:left="851" w:hanging="851"/>
        <w:rPr>
          <w:bCs/>
          <w:noProof/>
          <w:sz w:val="24"/>
          <w:szCs w:val="24"/>
        </w:rPr>
      </w:pPr>
      <w:r>
        <w:rPr>
          <w:bCs/>
          <w:noProof/>
          <w:sz w:val="24"/>
          <w:szCs w:val="24"/>
        </w:rPr>
        <w:tab/>
      </w:r>
      <w:r w:rsidRPr="00B24D4A">
        <w:rPr>
          <w:sz w:val="24"/>
          <w:szCs w:val="24"/>
        </w:rPr>
        <w:t>ATC-kode: A 07 EC 02.</w:t>
      </w:r>
    </w:p>
    <w:p w14:paraId="3DF445F8" w14:textId="77777777" w:rsidR="006D395F" w:rsidRPr="006D395F" w:rsidRDefault="006D395F" w:rsidP="00B24D4A">
      <w:pPr>
        <w:suppressAutoHyphens/>
        <w:ind w:left="851" w:hanging="851"/>
        <w:rPr>
          <w:bCs/>
          <w:noProof/>
          <w:sz w:val="24"/>
          <w:szCs w:val="24"/>
        </w:rPr>
      </w:pPr>
    </w:p>
    <w:p w14:paraId="57F32115" w14:textId="25823864" w:rsidR="00580A5A" w:rsidRPr="00B24D4A" w:rsidRDefault="00580A5A" w:rsidP="00A23A14">
      <w:pPr>
        <w:suppressAutoHyphens/>
        <w:ind w:left="851"/>
        <w:rPr>
          <w:bCs/>
          <w:noProof/>
          <w:sz w:val="24"/>
          <w:szCs w:val="24"/>
          <w:u w:val="single"/>
        </w:rPr>
      </w:pPr>
      <w:r w:rsidRPr="00B24D4A">
        <w:rPr>
          <w:bCs/>
          <w:noProof/>
          <w:sz w:val="24"/>
          <w:szCs w:val="24"/>
          <w:u w:val="single"/>
        </w:rPr>
        <w:t>Virkningsmekanisme</w:t>
      </w:r>
    </w:p>
    <w:p w14:paraId="254908C2" w14:textId="77777777" w:rsidR="00580A5A" w:rsidRPr="00B24D4A" w:rsidRDefault="00580A5A" w:rsidP="00A23A14">
      <w:pPr>
        <w:suppressAutoHyphens/>
        <w:ind w:left="851"/>
        <w:rPr>
          <w:bCs/>
          <w:noProof/>
          <w:sz w:val="24"/>
          <w:szCs w:val="24"/>
        </w:rPr>
      </w:pPr>
      <w:r w:rsidRPr="00B24D4A">
        <w:rPr>
          <w:bCs/>
          <w:noProof/>
          <w:sz w:val="24"/>
          <w:szCs w:val="24"/>
        </w:rPr>
        <w:t xml:space="preserve">Mesalazin </w:t>
      </w:r>
      <w:r w:rsidRPr="00B24D4A">
        <w:rPr>
          <w:sz w:val="24"/>
          <w:szCs w:val="24"/>
        </w:rPr>
        <w:t>"</w:t>
      </w:r>
      <w:r w:rsidRPr="00B24D4A">
        <w:rPr>
          <w:bCs/>
          <w:noProof/>
          <w:sz w:val="24"/>
          <w:szCs w:val="24"/>
        </w:rPr>
        <w:t>Orion</w:t>
      </w:r>
      <w:r w:rsidRPr="00B24D4A">
        <w:rPr>
          <w:sz w:val="24"/>
          <w:szCs w:val="24"/>
        </w:rPr>
        <w:t>"</w:t>
      </w:r>
      <w:r w:rsidRPr="00B24D4A">
        <w:rPr>
          <w:bCs/>
          <w:noProof/>
          <w:sz w:val="24"/>
          <w:szCs w:val="24"/>
        </w:rPr>
        <w:t xml:space="preserve"> indeholder mesalazin, også kaldet 5-aminosalicylsyre, der har anti-inflammatorisk effekt. Virkningsmekanismen er endnu ikke klarlagt til fulde. Det er blevet påvist, at mesalazin inhiberer leukotrien B4 (LTB4)-stimuleret migrering af makrofager i tarmen, og kan dermed reducere inflammation i tarmen ved at begrænse migreringen af makrofager til betændte områder. Produktionen af pro-inflammatoriske leukotriner (LTB4 og 5-HETE) i makrofager i tarmvæggen er inhiberet. Det er blevet påvist, at mesalazin aktiverer γ-formen af peroxisom proliferator-aktiverede receptorer (PPAR-γ), der neutraliserer nuclear aktivering af inflammatoriske responser i tarmen.</w:t>
      </w:r>
    </w:p>
    <w:p w14:paraId="7DE1C40D" w14:textId="77777777" w:rsidR="00580A5A" w:rsidRPr="00B24D4A" w:rsidRDefault="00580A5A" w:rsidP="00A23A14">
      <w:pPr>
        <w:suppressAutoHyphens/>
        <w:ind w:left="851"/>
        <w:rPr>
          <w:bCs/>
          <w:noProof/>
          <w:sz w:val="24"/>
          <w:szCs w:val="24"/>
        </w:rPr>
      </w:pPr>
    </w:p>
    <w:p w14:paraId="592B3529" w14:textId="77777777" w:rsidR="00580A5A" w:rsidRPr="00B24D4A" w:rsidRDefault="00580A5A" w:rsidP="00A23A14">
      <w:pPr>
        <w:suppressAutoHyphens/>
        <w:ind w:left="851"/>
        <w:rPr>
          <w:bCs/>
          <w:noProof/>
          <w:sz w:val="24"/>
          <w:szCs w:val="24"/>
          <w:u w:val="single"/>
        </w:rPr>
      </w:pPr>
      <w:r w:rsidRPr="00B24D4A">
        <w:rPr>
          <w:bCs/>
          <w:noProof/>
          <w:sz w:val="24"/>
          <w:szCs w:val="24"/>
          <w:u w:val="single"/>
        </w:rPr>
        <w:t>Farmakodynamisk virkning</w:t>
      </w:r>
    </w:p>
    <w:p w14:paraId="69A34B45" w14:textId="77777777" w:rsidR="00580A5A" w:rsidRPr="00B24D4A" w:rsidRDefault="00580A5A" w:rsidP="00A23A14">
      <w:pPr>
        <w:suppressAutoHyphens/>
        <w:ind w:left="851"/>
        <w:rPr>
          <w:bCs/>
          <w:noProof/>
          <w:sz w:val="24"/>
          <w:szCs w:val="24"/>
        </w:rPr>
      </w:pPr>
      <w:r w:rsidRPr="00B24D4A">
        <w:rPr>
          <w:bCs/>
          <w:noProof/>
          <w:sz w:val="24"/>
          <w:szCs w:val="24"/>
        </w:rPr>
        <w:t xml:space="preserve">Under forsøgsforhold inhiberede mesalazin </w:t>
      </w:r>
      <w:proofErr w:type="spellStart"/>
      <w:r w:rsidRPr="00B24D4A">
        <w:rPr>
          <w:sz w:val="24"/>
          <w:szCs w:val="24"/>
        </w:rPr>
        <w:t>cyclooxygenase</w:t>
      </w:r>
      <w:proofErr w:type="spellEnd"/>
      <w:r w:rsidRPr="00B24D4A">
        <w:rPr>
          <w:sz w:val="24"/>
          <w:szCs w:val="24"/>
        </w:rPr>
        <w:t xml:space="preserve">, og dermed frigivelsen af </w:t>
      </w:r>
      <w:proofErr w:type="spellStart"/>
      <w:r w:rsidRPr="00B24D4A">
        <w:rPr>
          <w:sz w:val="24"/>
          <w:szCs w:val="24"/>
        </w:rPr>
        <w:t>thromboxan</w:t>
      </w:r>
      <w:proofErr w:type="spellEnd"/>
      <w:r w:rsidRPr="00B24D4A">
        <w:rPr>
          <w:sz w:val="24"/>
          <w:szCs w:val="24"/>
        </w:rPr>
        <w:t xml:space="preserve"> B2 and </w:t>
      </w:r>
      <w:proofErr w:type="spellStart"/>
      <w:r w:rsidRPr="00B24D4A">
        <w:rPr>
          <w:sz w:val="24"/>
          <w:szCs w:val="24"/>
        </w:rPr>
        <w:t>prostaglandin</w:t>
      </w:r>
      <w:proofErr w:type="spellEnd"/>
      <w:r w:rsidRPr="00B24D4A">
        <w:rPr>
          <w:sz w:val="24"/>
          <w:szCs w:val="24"/>
        </w:rPr>
        <w:t xml:space="preserve"> E2, m</w:t>
      </w:r>
      <w:r w:rsidRPr="00B24D4A">
        <w:rPr>
          <w:bCs/>
          <w:noProof/>
          <w:sz w:val="24"/>
          <w:szCs w:val="24"/>
        </w:rPr>
        <w:t>en den kliniske betydning af denne effekt er endnu ikke klarlagt.</w:t>
      </w:r>
    </w:p>
    <w:p w14:paraId="388B8D0E" w14:textId="77777777" w:rsidR="00580A5A" w:rsidRPr="00B24D4A" w:rsidRDefault="00580A5A" w:rsidP="00A23A14">
      <w:pPr>
        <w:suppressAutoHyphens/>
        <w:ind w:left="851"/>
        <w:rPr>
          <w:bCs/>
          <w:noProof/>
          <w:sz w:val="24"/>
          <w:szCs w:val="24"/>
        </w:rPr>
      </w:pPr>
      <w:r w:rsidRPr="00B24D4A">
        <w:rPr>
          <w:bCs/>
          <w:noProof/>
          <w:sz w:val="24"/>
          <w:szCs w:val="24"/>
        </w:rPr>
        <w:t>Mesalazin inhiberer dannelsen af blodpladeaktiverende faktor (PAF). Mesalazin er også en antioxidant, idet det er påvist at have mindsket dannelsen af reaktive oxygenforbindelser og at optage frie radikaler.</w:t>
      </w:r>
    </w:p>
    <w:p w14:paraId="5CAF16A5" w14:textId="77777777" w:rsidR="00580A5A" w:rsidRPr="00B24D4A" w:rsidRDefault="00580A5A" w:rsidP="00A23A14">
      <w:pPr>
        <w:suppressAutoHyphens/>
        <w:ind w:left="851"/>
        <w:rPr>
          <w:bCs/>
          <w:noProof/>
          <w:sz w:val="24"/>
          <w:szCs w:val="24"/>
          <w:u w:val="single"/>
        </w:rPr>
      </w:pPr>
    </w:p>
    <w:p w14:paraId="44049980" w14:textId="77777777" w:rsidR="00580A5A" w:rsidRPr="00B24D4A" w:rsidRDefault="00580A5A" w:rsidP="00A23A14">
      <w:pPr>
        <w:suppressAutoHyphens/>
        <w:ind w:left="851"/>
        <w:rPr>
          <w:bCs/>
          <w:noProof/>
          <w:sz w:val="24"/>
          <w:szCs w:val="24"/>
        </w:rPr>
      </w:pPr>
      <w:r w:rsidRPr="00B24D4A">
        <w:rPr>
          <w:bCs/>
          <w:noProof/>
          <w:sz w:val="24"/>
          <w:szCs w:val="24"/>
        </w:rPr>
        <w:t>I kliniske forsøg med patienter med aktivt distal colitis ulcerosa (proctitis og proctosigmoiditis) inducerede behandling med mesalazin på 500 mg og 1 g suppositorier i forskellige doseringsregi (en gang dagligt/to gange dagligt/tre gange dagligt) klinisk, edoskopisk og histologisk sygdomsremission. Langvarig behandling med mesalazin-suppositorier var effektivt og sikkert til vedligeholdelsesbehandling af remission til patienter med distal colitis ulcerosa.</w:t>
      </w:r>
    </w:p>
    <w:p w14:paraId="7F818A01" w14:textId="77777777" w:rsidR="00580A5A" w:rsidRPr="00B24D4A" w:rsidRDefault="00580A5A" w:rsidP="00A23A14">
      <w:pPr>
        <w:suppressAutoHyphens/>
        <w:ind w:left="851"/>
        <w:rPr>
          <w:bCs/>
          <w:noProof/>
          <w:sz w:val="24"/>
          <w:szCs w:val="24"/>
        </w:rPr>
      </w:pPr>
    </w:p>
    <w:p w14:paraId="279845A5" w14:textId="77777777" w:rsidR="00580A5A" w:rsidRPr="00B24D4A" w:rsidRDefault="00580A5A" w:rsidP="00A23A14">
      <w:pPr>
        <w:suppressAutoHyphens/>
        <w:ind w:left="851"/>
        <w:rPr>
          <w:bCs/>
          <w:noProof/>
          <w:sz w:val="24"/>
          <w:szCs w:val="24"/>
        </w:rPr>
      </w:pPr>
      <w:r w:rsidRPr="00B24D4A">
        <w:rPr>
          <w:bCs/>
          <w:noProof/>
          <w:sz w:val="24"/>
          <w:szCs w:val="24"/>
        </w:rPr>
        <w:t xml:space="preserve">Pædiatrisk population: </w:t>
      </w:r>
    </w:p>
    <w:p w14:paraId="17B49965" w14:textId="77777777" w:rsidR="00580A5A" w:rsidRPr="00B24D4A" w:rsidRDefault="00580A5A" w:rsidP="00A23A14">
      <w:pPr>
        <w:suppressAutoHyphens/>
        <w:ind w:left="851"/>
        <w:rPr>
          <w:bCs/>
          <w:noProof/>
          <w:sz w:val="24"/>
          <w:szCs w:val="24"/>
        </w:rPr>
      </w:pPr>
      <w:r w:rsidRPr="00B24D4A">
        <w:rPr>
          <w:bCs/>
          <w:noProof/>
          <w:sz w:val="24"/>
          <w:szCs w:val="24"/>
        </w:rPr>
        <w:t>I et klinisk forsøg med 49 pædiatriske patienter (5-17 år) med let til moderat ulcerativ proctitis blev en signifikant remission i sygdomsaktivitetsindeks opnået efter 3 og 6 uger med behandling med mesalazin 500 mg suppositorier en gang dagligt.</w:t>
      </w:r>
    </w:p>
    <w:p w14:paraId="6638B6FE" w14:textId="77777777" w:rsidR="009260DE" w:rsidRPr="00B24D4A" w:rsidRDefault="009260DE" w:rsidP="00B24D4A">
      <w:pPr>
        <w:tabs>
          <w:tab w:val="left" w:pos="851"/>
        </w:tabs>
        <w:ind w:left="851" w:hanging="851"/>
        <w:rPr>
          <w:sz w:val="24"/>
          <w:szCs w:val="24"/>
        </w:rPr>
      </w:pPr>
    </w:p>
    <w:p w14:paraId="28D11441" w14:textId="77777777" w:rsidR="009260DE" w:rsidRPr="00B24D4A" w:rsidRDefault="009260DE" w:rsidP="00B24D4A">
      <w:pPr>
        <w:tabs>
          <w:tab w:val="left" w:pos="851"/>
        </w:tabs>
        <w:ind w:left="851" w:hanging="851"/>
        <w:rPr>
          <w:b/>
          <w:sz w:val="24"/>
          <w:szCs w:val="24"/>
        </w:rPr>
      </w:pPr>
      <w:r w:rsidRPr="00B24D4A">
        <w:rPr>
          <w:b/>
          <w:sz w:val="24"/>
          <w:szCs w:val="24"/>
        </w:rPr>
        <w:t>5.2</w:t>
      </w:r>
      <w:r w:rsidRPr="00B24D4A">
        <w:rPr>
          <w:b/>
          <w:sz w:val="24"/>
          <w:szCs w:val="24"/>
        </w:rPr>
        <w:tab/>
      </w:r>
      <w:proofErr w:type="spellStart"/>
      <w:r w:rsidRPr="00B24D4A">
        <w:rPr>
          <w:b/>
          <w:sz w:val="24"/>
          <w:szCs w:val="24"/>
        </w:rPr>
        <w:t>Farmakokinetiske</w:t>
      </w:r>
      <w:proofErr w:type="spellEnd"/>
      <w:r w:rsidRPr="00B24D4A">
        <w:rPr>
          <w:b/>
          <w:sz w:val="24"/>
          <w:szCs w:val="24"/>
        </w:rPr>
        <w:t xml:space="preserve"> egenskaber</w:t>
      </w:r>
    </w:p>
    <w:p w14:paraId="3EAA717C" w14:textId="77777777" w:rsidR="00580A5A" w:rsidRPr="00B24D4A" w:rsidRDefault="00580A5A" w:rsidP="00A23A14">
      <w:pPr>
        <w:suppressAutoHyphens/>
        <w:ind w:left="851"/>
        <w:rPr>
          <w:sz w:val="24"/>
          <w:szCs w:val="24"/>
        </w:rPr>
      </w:pPr>
      <w:r w:rsidRPr="00B24D4A">
        <w:rPr>
          <w:sz w:val="24"/>
          <w:szCs w:val="24"/>
        </w:rPr>
        <w:t>Generelle karakteristika ved den aktive substans:</w:t>
      </w:r>
    </w:p>
    <w:p w14:paraId="2BD07285" w14:textId="1AF1536E" w:rsidR="00580A5A" w:rsidRPr="00B24D4A" w:rsidRDefault="00580A5A" w:rsidP="00A23A14">
      <w:pPr>
        <w:suppressAutoHyphens/>
        <w:ind w:left="851"/>
        <w:rPr>
          <w:sz w:val="24"/>
          <w:szCs w:val="24"/>
        </w:rPr>
      </w:pPr>
      <w:r w:rsidRPr="00B24D4A">
        <w:rPr>
          <w:sz w:val="24"/>
          <w:szCs w:val="24"/>
        </w:rPr>
        <w:t xml:space="preserve">Farmakokinetik og lokal tilgængelighed: Den terapeutiske aktivitet af </w:t>
      </w:r>
      <w:proofErr w:type="spellStart"/>
      <w:r w:rsidRPr="00B24D4A">
        <w:rPr>
          <w:sz w:val="24"/>
          <w:szCs w:val="24"/>
        </w:rPr>
        <w:t>mesalazin</w:t>
      </w:r>
      <w:proofErr w:type="spellEnd"/>
      <w:r w:rsidRPr="00B24D4A">
        <w:rPr>
          <w:sz w:val="24"/>
          <w:szCs w:val="24"/>
        </w:rPr>
        <w:t xml:space="preserve"> afhænger af den lokale kontakt mellem lægemidlet og det påvirkede område af tarmslimhinden.</w:t>
      </w:r>
    </w:p>
    <w:p w14:paraId="76C6354D" w14:textId="77777777" w:rsidR="00580A5A" w:rsidRPr="00B24D4A" w:rsidRDefault="00580A5A" w:rsidP="00A23A14">
      <w:pPr>
        <w:suppressAutoHyphens/>
        <w:ind w:left="851"/>
        <w:rPr>
          <w:sz w:val="24"/>
          <w:szCs w:val="24"/>
        </w:rPr>
      </w:pPr>
    </w:p>
    <w:p w14:paraId="2CF7B4C6" w14:textId="371A6F17" w:rsidR="00580A5A" w:rsidRPr="00B24D4A" w:rsidRDefault="00580A5A" w:rsidP="00A23A14">
      <w:pPr>
        <w:suppressAutoHyphens/>
        <w:ind w:left="851"/>
        <w:rPr>
          <w:sz w:val="24"/>
          <w:szCs w:val="24"/>
        </w:rPr>
      </w:pPr>
      <w:proofErr w:type="spellStart"/>
      <w:r w:rsidRPr="00B24D4A">
        <w:rPr>
          <w:sz w:val="24"/>
          <w:szCs w:val="24"/>
        </w:rPr>
        <w:t>Mesalazin</w:t>
      </w:r>
      <w:proofErr w:type="spellEnd"/>
      <w:r w:rsidRPr="00B24D4A">
        <w:rPr>
          <w:sz w:val="24"/>
          <w:szCs w:val="24"/>
        </w:rPr>
        <w:t xml:space="preserve"> "Orion" suppositorier er designet til at opnå høje koncentrationer af </w:t>
      </w:r>
      <w:proofErr w:type="spellStart"/>
      <w:r w:rsidRPr="00B24D4A">
        <w:rPr>
          <w:sz w:val="24"/>
          <w:szCs w:val="24"/>
        </w:rPr>
        <w:t>mesalazin</w:t>
      </w:r>
      <w:proofErr w:type="spellEnd"/>
      <w:r w:rsidRPr="00B24D4A">
        <w:rPr>
          <w:sz w:val="24"/>
          <w:szCs w:val="24"/>
        </w:rPr>
        <w:t xml:space="preserve"> i den </w:t>
      </w:r>
      <w:proofErr w:type="spellStart"/>
      <w:r w:rsidRPr="00B24D4A">
        <w:rPr>
          <w:sz w:val="24"/>
          <w:szCs w:val="24"/>
        </w:rPr>
        <w:t>distale</w:t>
      </w:r>
      <w:proofErr w:type="spellEnd"/>
      <w:r w:rsidRPr="00B24D4A">
        <w:rPr>
          <w:sz w:val="24"/>
          <w:szCs w:val="24"/>
        </w:rPr>
        <w:t xml:space="preserve"> del af tarmen og en lav systemisk absorption.</w:t>
      </w:r>
    </w:p>
    <w:p w14:paraId="35DED5B0" w14:textId="0C248DD1" w:rsidR="00580A5A" w:rsidRPr="00B24D4A" w:rsidRDefault="00580A5A" w:rsidP="00A23A14">
      <w:pPr>
        <w:suppressAutoHyphens/>
        <w:ind w:left="851"/>
        <w:rPr>
          <w:sz w:val="24"/>
          <w:szCs w:val="24"/>
        </w:rPr>
      </w:pPr>
      <w:r w:rsidRPr="00B24D4A">
        <w:rPr>
          <w:sz w:val="24"/>
          <w:szCs w:val="24"/>
        </w:rPr>
        <w:t xml:space="preserve">Virkningen af suppositorier dækker </w:t>
      </w:r>
      <w:proofErr w:type="spellStart"/>
      <w:r w:rsidRPr="00B24D4A">
        <w:rPr>
          <w:sz w:val="24"/>
          <w:szCs w:val="24"/>
        </w:rPr>
        <w:t>rektum</w:t>
      </w:r>
      <w:proofErr w:type="spellEnd"/>
      <w:r w:rsidRPr="00B24D4A">
        <w:rPr>
          <w:sz w:val="24"/>
          <w:szCs w:val="24"/>
        </w:rPr>
        <w:t>.</w:t>
      </w:r>
    </w:p>
    <w:p w14:paraId="40B89EE6" w14:textId="48F72C77" w:rsidR="00580A5A" w:rsidRDefault="00580A5A" w:rsidP="00A23A14">
      <w:pPr>
        <w:suppressAutoHyphens/>
        <w:ind w:left="851"/>
        <w:rPr>
          <w:sz w:val="24"/>
          <w:szCs w:val="24"/>
        </w:rPr>
      </w:pPr>
    </w:p>
    <w:p w14:paraId="4D71B230" w14:textId="77777777" w:rsidR="005421B3" w:rsidRPr="00B24D4A" w:rsidRDefault="005421B3" w:rsidP="00A23A14">
      <w:pPr>
        <w:suppressAutoHyphens/>
        <w:ind w:left="851"/>
        <w:rPr>
          <w:sz w:val="24"/>
          <w:szCs w:val="24"/>
        </w:rPr>
      </w:pPr>
    </w:p>
    <w:p w14:paraId="05B4AEDB" w14:textId="77777777" w:rsidR="00580A5A" w:rsidRPr="00B24D4A" w:rsidRDefault="00580A5A" w:rsidP="00A23A14">
      <w:pPr>
        <w:autoSpaceDE w:val="0"/>
        <w:autoSpaceDN w:val="0"/>
        <w:adjustRightInd w:val="0"/>
        <w:ind w:left="851"/>
        <w:rPr>
          <w:sz w:val="24"/>
          <w:szCs w:val="24"/>
        </w:rPr>
      </w:pPr>
      <w:r w:rsidRPr="00B24D4A">
        <w:rPr>
          <w:sz w:val="24"/>
          <w:szCs w:val="24"/>
          <w:u w:val="single"/>
        </w:rPr>
        <w:t>Absorption</w:t>
      </w:r>
      <w:r w:rsidRPr="00B24D4A">
        <w:rPr>
          <w:sz w:val="24"/>
          <w:szCs w:val="24"/>
        </w:rPr>
        <w:t xml:space="preserve"> </w:t>
      </w:r>
    </w:p>
    <w:p w14:paraId="7FA4BE1A" w14:textId="77777777" w:rsidR="00580A5A" w:rsidRPr="00B24D4A" w:rsidRDefault="00580A5A" w:rsidP="00A23A14">
      <w:pPr>
        <w:autoSpaceDE w:val="0"/>
        <w:autoSpaceDN w:val="0"/>
        <w:adjustRightInd w:val="0"/>
        <w:ind w:left="851"/>
        <w:rPr>
          <w:sz w:val="24"/>
          <w:szCs w:val="24"/>
          <w:highlight w:val="yellow"/>
        </w:rPr>
      </w:pPr>
      <w:r w:rsidRPr="00B24D4A">
        <w:rPr>
          <w:sz w:val="24"/>
          <w:szCs w:val="24"/>
        </w:rPr>
        <w:t xml:space="preserve">Absorptionen efter </w:t>
      </w:r>
      <w:proofErr w:type="spellStart"/>
      <w:r w:rsidRPr="00B24D4A">
        <w:rPr>
          <w:sz w:val="24"/>
          <w:szCs w:val="24"/>
        </w:rPr>
        <w:t>rektal</w:t>
      </w:r>
      <w:proofErr w:type="spellEnd"/>
      <w:r w:rsidRPr="00B24D4A">
        <w:rPr>
          <w:sz w:val="24"/>
          <w:szCs w:val="24"/>
        </w:rPr>
        <w:t xml:space="preserve"> administration er lav, men afhænger af dosis, formulering og fordeling. Baseret på undersøgelser af urin fra raske forsøgspersoner under </w:t>
      </w:r>
      <w:proofErr w:type="spellStart"/>
      <w:r w:rsidRPr="00B24D4A">
        <w:rPr>
          <w:i/>
          <w:iCs/>
          <w:sz w:val="24"/>
          <w:szCs w:val="24"/>
        </w:rPr>
        <w:t>steady</w:t>
      </w:r>
      <w:proofErr w:type="spellEnd"/>
      <w:r w:rsidRPr="00B24D4A">
        <w:rPr>
          <w:i/>
          <w:iCs/>
          <w:sz w:val="24"/>
          <w:szCs w:val="24"/>
        </w:rPr>
        <w:t xml:space="preserve"> </w:t>
      </w:r>
      <w:proofErr w:type="spellStart"/>
      <w:r w:rsidRPr="00B24D4A">
        <w:rPr>
          <w:i/>
          <w:iCs/>
          <w:sz w:val="24"/>
          <w:szCs w:val="24"/>
        </w:rPr>
        <w:t>state</w:t>
      </w:r>
      <w:proofErr w:type="spellEnd"/>
      <w:r w:rsidRPr="00B24D4A">
        <w:rPr>
          <w:sz w:val="24"/>
          <w:szCs w:val="24"/>
        </w:rPr>
        <w:noBreakHyphen/>
        <w:t xml:space="preserve">forhold, givet en daglig dosis på 2 g (1 g x 2), var absorptionen ca. 10 % for suppositorierne. </w:t>
      </w:r>
    </w:p>
    <w:p w14:paraId="6E1DF4A3" w14:textId="77777777" w:rsidR="00580A5A" w:rsidRPr="00B24D4A" w:rsidRDefault="00580A5A" w:rsidP="00A23A14">
      <w:pPr>
        <w:autoSpaceDE w:val="0"/>
        <w:autoSpaceDN w:val="0"/>
        <w:adjustRightInd w:val="0"/>
        <w:ind w:left="851"/>
        <w:rPr>
          <w:sz w:val="24"/>
          <w:szCs w:val="24"/>
          <w:highlight w:val="yellow"/>
        </w:rPr>
      </w:pPr>
    </w:p>
    <w:p w14:paraId="0E3F0189" w14:textId="77777777" w:rsidR="00580A5A" w:rsidRPr="00B24D4A" w:rsidRDefault="00580A5A" w:rsidP="00A23A14">
      <w:pPr>
        <w:autoSpaceDE w:val="0"/>
        <w:autoSpaceDN w:val="0"/>
        <w:adjustRightInd w:val="0"/>
        <w:ind w:left="851"/>
        <w:rPr>
          <w:sz w:val="24"/>
          <w:szCs w:val="24"/>
        </w:rPr>
      </w:pPr>
      <w:r w:rsidRPr="00B24D4A">
        <w:rPr>
          <w:sz w:val="24"/>
          <w:szCs w:val="24"/>
          <w:u w:val="single"/>
        </w:rPr>
        <w:t>Fordeling</w:t>
      </w:r>
      <w:r w:rsidRPr="00B24D4A">
        <w:rPr>
          <w:sz w:val="24"/>
          <w:szCs w:val="24"/>
        </w:rPr>
        <w:t xml:space="preserve"> </w:t>
      </w:r>
    </w:p>
    <w:p w14:paraId="222AA309" w14:textId="77777777" w:rsidR="00580A5A" w:rsidRPr="00B24D4A" w:rsidRDefault="00580A5A" w:rsidP="00A23A14">
      <w:pPr>
        <w:autoSpaceDE w:val="0"/>
        <w:autoSpaceDN w:val="0"/>
        <w:adjustRightInd w:val="0"/>
        <w:ind w:left="851"/>
        <w:rPr>
          <w:sz w:val="24"/>
          <w:szCs w:val="24"/>
          <w:highlight w:val="yellow"/>
        </w:rPr>
      </w:pPr>
      <w:r w:rsidRPr="00B24D4A">
        <w:rPr>
          <w:sz w:val="24"/>
          <w:szCs w:val="24"/>
        </w:rPr>
        <w:t xml:space="preserve">Plasmaproteinbindingen af </w:t>
      </w:r>
      <w:proofErr w:type="spellStart"/>
      <w:r w:rsidRPr="00B24D4A">
        <w:rPr>
          <w:sz w:val="24"/>
          <w:szCs w:val="24"/>
        </w:rPr>
        <w:t>mesalazin</w:t>
      </w:r>
      <w:proofErr w:type="spellEnd"/>
      <w:r w:rsidRPr="00B24D4A">
        <w:rPr>
          <w:sz w:val="24"/>
          <w:szCs w:val="24"/>
        </w:rPr>
        <w:t xml:space="preserve"> og </w:t>
      </w:r>
      <w:proofErr w:type="spellStart"/>
      <w:r w:rsidRPr="00B24D4A">
        <w:rPr>
          <w:sz w:val="24"/>
          <w:szCs w:val="24"/>
        </w:rPr>
        <w:t>acetylmesalazin</w:t>
      </w:r>
      <w:proofErr w:type="spellEnd"/>
      <w:r w:rsidRPr="00B24D4A">
        <w:rPr>
          <w:sz w:val="24"/>
          <w:szCs w:val="24"/>
        </w:rPr>
        <w:t xml:space="preserve"> er henholdsvis omkring 50 % og 80 %.</w:t>
      </w:r>
    </w:p>
    <w:p w14:paraId="58BD67EF" w14:textId="77777777" w:rsidR="00580A5A" w:rsidRPr="00B24D4A" w:rsidRDefault="00580A5A" w:rsidP="00A23A14">
      <w:pPr>
        <w:autoSpaceDE w:val="0"/>
        <w:autoSpaceDN w:val="0"/>
        <w:adjustRightInd w:val="0"/>
        <w:ind w:left="851"/>
        <w:rPr>
          <w:color w:val="1E1E1E"/>
          <w:sz w:val="24"/>
          <w:szCs w:val="24"/>
          <w:highlight w:val="yellow"/>
        </w:rPr>
      </w:pPr>
    </w:p>
    <w:p w14:paraId="75492997" w14:textId="77777777" w:rsidR="00580A5A" w:rsidRPr="00B24D4A" w:rsidRDefault="00580A5A" w:rsidP="00A23A14">
      <w:pPr>
        <w:autoSpaceDE w:val="0"/>
        <w:autoSpaceDN w:val="0"/>
        <w:adjustRightInd w:val="0"/>
        <w:ind w:left="851"/>
        <w:rPr>
          <w:sz w:val="24"/>
          <w:szCs w:val="24"/>
        </w:rPr>
      </w:pPr>
      <w:r w:rsidRPr="00B24D4A">
        <w:rPr>
          <w:sz w:val="24"/>
          <w:szCs w:val="24"/>
          <w:u w:val="single"/>
        </w:rPr>
        <w:t>Biotransformation</w:t>
      </w:r>
      <w:r w:rsidRPr="00B24D4A">
        <w:rPr>
          <w:sz w:val="24"/>
          <w:szCs w:val="24"/>
        </w:rPr>
        <w:t xml:space="preserve"> </w:t>
      </w:r>
    </w:p>
    <w:p w14:paraId="12CD8A08" w14:textId="77777777" w:rsidR="00580A5A" w:rsidRPr="00B24D4A" w:rsidRDefault="00580A5A" w:rsidP="00A23A14">
      <w:pPr>
        <w:autoSpaceDE w:val="0"/>
        <w:autoSpaceDN w:val="0"/>
        <w:adjustRightInd w:val="0"/>
        <w:ind w:left="851"/>
        <w:rPr>
          <w:sz w:val="24"/>
          <w:szCs w:val="24"/>
        </w:rPr>
      </w:pPr>
      <w:proofErr w:type="spellStart"/>
      <w:r w:rsidRPr="00B24D4A">
        <w:rPr>
          <w:sz w:val="24"/>
          <w:szCs w:val="24"/>
        </w:rPr>
        <w:t>Mesalazin</w:t>
      </w:r>
      <w:proofErr w:type="spellEnd"/>
      <w:r w:rsidRPr="00B24D4A">
        <w:rPr>
          <w:sz w:val="24"/>
          <w:szCs w:val="24"/>
        </w:rPr>
        <w:t xml:space="preserve"> </w:t>
      </w:r>
      <w:proofErr w:type="spellStart"/>
      <w:r w:rsidRPr="00B24D4A">
        <w:rPr>
          <w:sz w:val="24"/>
          <w:szCs w:val="24"/>
        </w:rPr>
        <w:t>metaboliseres</w:t>
      </w:r>
      <w:proofErr w:type="spellEnd"/>
      <w:r w:rsidRPr="00B24D4A">
        <w:rPr>
          <w:sz w:val="24"/>
          <w:szCs w:val="24"/>
        </w:rPr>
        <w:t xml:space="preserve"> præsystemisk i tarmslimhinden og systemisk i leveren til N-acetyl-</w:t>
      </w:r>
      <w:proofErr w:type="spellStart"/>
      <w:r w:rsidRPr="00B24D4A">
        <w:rPr>
          <w:sz w:val="24"/>
          <w:szCs w:val="24"/>
        </w:rPr>
        <w:t>mesalazin</w:t>
      </w:r>
      <w:proofErr w:type="spellEnd"/>
      <w:r w:rsidRPr="00B24D4A">
        <w:rPr>
          <w:sz w:val="24"/>
          <w:szCs w:val="24"/>
        </w:rPr>
        <w:t xml:space="preserve"> (</w:t>
      </w:r>
      <w:proofErr w:type="spellStart"/>
      <w:r w:rsidRPr="00B24D4A">
        <w:rPr>
          <w:sz w:val="24"/>
          <w:szCs w:val="24"/>
        </w:rPr>
        <w:t>acetylmesalazin</w:t>
      </w:r>
      <w:proofErr w:type="spellEnd"/>
      <w:r w:rsidRPr="00B24D4A">
        <w:rPr>
          <w:sz w:val="24"/>
          <w:szCs w:val="24"/>
        </w:rPr>
        <w:t>).</w:t>
      </w:r>
    </w:p>
    <w:p w14:paraId="72351844" w14:textId="77777777" w:rsidR="00580A5A" w:rsidRPr="00B24D4A" w:rsidRDefault="00580A5A" w:rsidP="00A23A14">
      <w:pPr>
        <w:autoSpaceDE w:val="0"/>
        <w:autoSpaceDN w:val="0"/>
        <w:adjustRightInd w:val="0"/>
        <w:ind w:left="851"/>
        <w:rPr>
          <w:sz w:val="24"/>
          <w:szCs w:val="24"/>
        </w:rPr>
      </w:pPr>
      <w:r w:rsidRPr="00B24D4A">
        <w:rPr>
          <w:sz w:val="24"/>
          <w:szCs w:val="24"/>
        </w:rPr>
        <w:t xml:space="preserve">Tarmbakterier er også ansvarlige for nogen grad af </w:t>
      </w:r>
      <w:proofErr w:type="spellStart"/>
      <w:r w:rsidRPr="00B24D4A">
        <w:rPr>
          <w:sz w:val="24"/>
          <w:szCs w:val="24"/>
        </w:rPr>
        <w:t>acetylering</w:t>
      </w:r>
      <w:proofErr w:type="spellEnd"/>
      <w:r w:rsidRPr="00B24D4A">
        <w:rPr>
          <w:sz w:val="24"/>
          <w:szCs w:val="24"/>
        </w:rPr>
        <w:t xml:space="preserve">. </w:t>
      </w:r>
      <w:proofErr w:type="spellStart"/>
      <w:r w:rsidRPr="00B24D4A">
        <w:rPr>
          <w:sz w:val="24"/>
          <w:szCs w:val="24"/>
        </w:rPr>
        <w:t>Acetylering</w:t>
      </w:r>
      <w:proofErr w:type="spellEnd"/>
      <w:r w:rsidRPr="00B24D4A">
        <w:rPr>
          <w:sz w:val="24"/>
          <w:szCs w:val="24"/>
        </w:rPr>
        <w:t xml:space="preserve"> forekommer at være uafhængig af </w:t>
      </w:r>
      <w:proofErr w:type="spellStart"/>
      <w:r w:rsidRPr="00B24D4A">
        <w:rPr>
          <w:sz w:val="24"/>
          <w:szCs w:val="24"/>
        </w:rPr>
        <w:t>acetylerings</w:t>
      </w:r>
      <w:proofErr w:type="spellEnd"/>
      <w:r w:rsidRPr="00B24D4A">
        <w:rPr>
          <w:sz w:val="24"/>
          <w:szCs w:val="24"/>
        </w:rPr>
        <w:t>-fænotype.</w:t>
      </w:r>
    </w:p>
    <w:p w14:paraId="79F0CDDA" w14:textId="77777777" w:rsidR="00580A5A" w:rsidRPr="00B24D4A" w:rsidRDefault="00580A5A" w:rsidP="00A23A14">
      <w:pPr>
        <w:autoSpaceDE w:val="0"/>
        <w:autoSpaceDN w:val="0"/>
        <w:adjustRightInd w:val="0"/>
        <w:ind w:left="851"/>
        <w:rPr>
          <w:sz w:val="24"/>
          <w:szCs w:val="24"/>
          <w:highlight w:val="yellow"/>
        </w:rPr>
      </w:pPr>
    </w:p>
    <w:p w14:paraId="26162CCB" w14:textId="77777777" w:rsidR="00580A5A" w:rsidRPr="00B24D4A" w:rsidRDefault="00580A5A" w:rsidP="00A23A14">
      <w:pPr>
        <w:autoSpaceDE w:val="0"/>
        <w:autoSpaceDN w:val="0"/>
        <w:adjustRightInd w:val="0"/>
        <w:ind w:left="851"/>
        <w:rPr>
          <w:sz w:val="24"/>
          <w:szCs w:val="24"/>
        </w:rPr>
      </w:pPr>
      <w:proofErr w:type="spellStart"/>
      <w:r w:rsidRPr="00B24D4A">
        <w:rPr>
          <w:sz w:val="24"/>
          <w:szCs w:val="24"/>
        </w:rPr>
        <w:t>Acetylmesalazin</w:t>
      </w:r>
      <w:proofErr w:type="spellEnd"/>
      <w:r w:rsidRPr="00B24D4A">
        <w:rPr>
          <w:sz w:val="24"/>
          <w:szCs w:val="24"/>
        </w:rPr>
        <w:t xml:space="preserve"> menes at være klinisk inaktiv, men dette er endnu ikke bekræftet.</w:t>
      </w:r>
    </w:p>
    <w:p w14:paraId="3BC12051" w14:textId="77777777" w:rsidR="00580A5A" w:rsidRPr="00B24D4A" w:rsidRDefault="00580A5A" w:rsidP="00A23A14">
      <w:pPr>
        <w:autoSpaceDE w:val="0"/>
        <w:autoSpaceDN w:val="0"/>
        <w:adjustRightInd w:val="0"/>
        <w:ind w:left="851"/>
        <w:rPr>
          <w:sz w:val="24"/>
          <w:szCs w:val="24"/>
        </w:rPr>
      </w:pPr>
    </w:p>
    <w:p w14:paraId="7B01A295" w14:textId="77777777" w:rsidR="00580A5A" w:rsidRPr="00B24D4A" w:rsidRDefault="00580A5A" w:rsidP="00A23A14">
      <w:pPr>
        <w:autoSpaceDE w:val="0"/>
        <w:autoSpaceDN w:val="0"/>
        <w:adjustRightInd w:val="0"/>
        <w:ind w:left="851"/>
        <w:rPr>
          <w:sz w:val="24"/>
          <w:szCs w:val="24"/>
        </w:rPr>
      </w:pPr>
      <w:r w:rsidRPr="00B24D4A">
        <w:rPr>
          <w:sz w:val="24"/>
          <w:szCs w:val="24"/>
          <w:u w:val="single"/>
        </w:rPr>
        <w:t>Elimination</w:t>
      </w:r>
      <w:r w:rsidRPr="00B24D4A">
        <w:rPr>
          <w:sz w:val="24"/>
          <w:szCs w:val="24"/>
        </w:rPr>
        <w:t xml:space="preserve"> </w:t>
      </w:r>
    </w:p>
    <w:p w14:paraId="08C72232" w14:textId="77777777" w:rsidR="00580A5A" w:rsidRPr="00B24D4A" w:rsidRDefault="00580A5A" w:rsidP="00A23A14">
      <w:pPr>
        <w:autoSpaceDE w:val="0"/>
        <w:autoSpaceDN w:val="0"/>
        <w:adjustRightInd w:val="0"/>
        <w:ind w:left="851"/>
        <w:rPr>
          <w:sz w:val="24"/>
          <w:szCs w:val="24"/>
          <w:highlight w:val="yellow"/>
        </w:rPr>
      </w:pPr>
      <w:r w:rsidRPr="00B24D4A">
        <w:rPr>
          <w:sz w:val="24"/>
          <w:szCs w:val="24"/>
        </w:rPr>
        <w:t xml:space="preserve">Plasmahalveringstiden af </w:t>
      </w:r>
      <w:proofErr w:type="spellStart"/>
      <w:r w:rsidRPr="00B24D4A">
        <w:rPr>
          <w:sz w:val="24"/>
          <w:szCs w:val="24"/>
        </w:rPr>
        <w:t>mesalazin</w:t>
      </w:r>
      <w:proofErr w:type="spellEnd"/>
      <w:r w:rsidRPr="00B24D4A">
        <w:rPr>
          <w:sz w:val="24"/>
          <w:szCs w:val="24"/>
        </w:rPr>
        <w:t xml:space="preserve"> er ca. 40 minutter og 70 minutter for acetyl-</w:t>
      </w:r>
      <w:proofErr w:type="spellStart"/>
      <w:r w:rsidRPr="00B24D4A">
        <w:rPr>
          <w:sz w:val="24"/>
          <w:szCs w:val="24"/>
        </w:rPr>
        <w:t>mesalazin</w:t>
      </w:r>
      <w:proofErr w:type="spellEnd"/>
      <w:r w:rsidRPr="00B24D4A">
        <w:rPr>
          <w:sz w:val="24"/>
          <w:szCs w:val="24"/>
        </w:rPr>
        <w:t>.</w:t>
      </w:r>
    </w:p>
    <w:p w14:paraId="5A779993" w14:textId="77777777" w:rsidR="00580A5A" w:rsidRPr="00B24D4A" w:rsidRDefault="00580A5A" w:rsidP="00A23A14">
      <w:pPr>
        <w:autoSpaceDE w:val="0"/>
        <w:autoSpaceDN w:val="0"/>
        <w:adjustRightInd w:val="0"/>
        <w:ind w:left="851"/>
        <w:rPr>
          <w:sz w:val="24"/>
          <w:szCs w:val="24"/>
          <w:highlight w:val="yellow"/>
        </w:rPr>
      </w:pPr>
    </w:p>
    <w:p w14:paraId="394B8C32" w14:textId="77777777" w:rsidR="00580A5A" w:rsidRPr="00B24D4A" w:rsidRDefault="00580A5A" w:rsidP="00A23A14">
      <w:pPr>
        <w:autoSpaceDE w:val="0"/>
        <w:autoSpaceDN w:val="0"/>
        <w:adjustRightInd w:val="0"/>
        <w:ind w:left="851"/>
        <w:rPr>
          <w:sz w:val="24"/>
          <w:szCs w:val="24"/>
        </w:rPr>
      </w:pPr>
      <w:r w:rsidRPr="00B24D4A">
        <w:rPr>
          <w:sz w:val="24"/>
          <w:szCs w:val="24"/>
        </w:rPr>
        <w:t xml:space="preserve">Begge substanser udskilles med urin og fæces, for urinudskillelsens vedkommende hovedsagelig som </w:t>
      </w:r>
      <w:proofErr w:type="spellStart"/>
      <w:r w:rsidRPr="00B24D4A">
        <w:rPr>
          <w:sz w:val="24"/>
          <w:szCs w:val="24"/>
        </w:rPr>
        <w:t>acetylmesalazin</w:t>
      </w:r>
      <w:proofErr w:type="spellEnd"/>
      <w:r w:rsidRPr="00B24D4A">
        <w:rPr>
          <w:sz w:val="24"/>
          <w:szCs w:val="24"/>
        </w:rPr>
        <w:t>.</w:t>
      </w:r>
    </w:p>
    <w:p w14:paraId="29231771" w14:textId="77777777" w:rsidR="006D395F" w:rsidRDefault="006D395F" w:rsidP="006D395F">
      <w:pPr>
        <w:rPr>
          <w:sz w:val="24"/>
          <w:szCs w:val="24"/>
        </w:rPr>
      </w:pPr>
    </w:p>
    <w:p w14:paraId="2D395B85" w14:textId="77DE6058" w:rsidR="00580A5A" w:rsidRPr="00B24D4A" w:rsidRDefault="00580A5A" w:rsidP="006D395F">
      <w:pPr>
        <w:ind w:firstLine="851"/>
        <w:rPr>
          <w:sz w:val="24"/>
          <w:szCs w:val="24"/>
        </w:rPr>
      </w:pPr>
      <w:r w:rsidRPr="00B24D4A">
        <w:rPr>
          <w:sz w:val="24"/>
          <w:szCs w:val="24"/>
        </w:rPr>
        <w:t>Patientkarakteristika:</w:t>
      </w:r>
    </w:p>
    <w:p w14:paraId="0C78C63A" w14:textId="77777777" w:rsidR="00580A5A" w:rsidRPr="00B24D4A" w:rsidRDefault="00580A5A" w:rsidP="00A23A14">
      <w:pPr>
        <w:autoSpaceDE w:val="0"/>
        <w:autoSpaceDN w:val="0"/>
        <w:adjustRightInd w:val="0"/>
        <w:ind w:left="851"/>
        <w:rPr>
          <w:sz w:val="24"/>
          <w:szCs w:val="24"/>
        </w:rPr>
      </w:pPr>
      <w:r w:rsidRPr="00B24D4A">
        <w:rPr>
          <w:sz w:val="24"/>
          <w:szCs w:val="24"/>
        </w:rPr>
        <w:t>Hos patienter med nedsat lever- og nyrefunktion er eliminationsraten (</w:t>
      </w:r>
      <w:proofErr w:type="spellStart"/>
      <w:r w:rsidRPr="00B24D4A">
        <w:rPr>
          <w:sz w:val="24"/>
          <w:szCs w:val="24"/>
        </w:rPr>
        <w:t>clearance</w:t>
      </w:r>
      <w:proofErr w:type="spellEnd"/>
      <w:r w:rsidRPr="00B24D4A">
        <w:rPr>
          <w:sz w:val="24"/>
          <w:szCs w:val="24"/>
        </w:rPr>
        <w:t xml:space="preserve">) af 5-ASA nedsat, hvilket resulterer i en øget koncentration af </w:t>
      </w:r>
      <w:proofErr w:type="spellStart"/>
      <w:r w:rsidRPr="00B24D4A">
        <w:rPr>
          <w:sz w:val="24"/>
          <w:szCs w:val="24"/>
        </w:rPr>
        <w:t>mesalazin</w:t>
      </w:r>
      <w:proofErr w:type="spellEnd"/>
      <w:r w:rsidRPr="00B24D4A">
        <w:rPr>
          <w:sz w:val="24"/>
          <w:szCs w:val="24"/>
        </w:rPr>
        <w:t xml:space="preserve">, der kan øge risikoen for </w:t>
      </w:r>
      <w:proofErr w:type="spellStart"/>
      <w:r w:rsidRPr="00B24D4A">
        <w:rPr>
          <w:sz w:val="24"/>
          <w:szCs w:val="24"/>
        </w:rPr>
        <w:t>nefrotoksiske</w:t>
      </w:r>
      <w:proofErr w:type="spellEnd"/>
      <w:r w:rsidRPr="00B24D4A">
        <w:rPr>
          <w:sz w:val="24"/>
          <w:szCs w:val="24"/>
        </w:rPr>
        <w:t xml:space="preserve"> bivirkninger.</w:t>
      </w:r>
    </w:p>
    <w:p w14:paraId="1C2356EF" w14:textId="77777777" w:rsidR="009260DE" w:rsidRPr="00B24D4A" w:rsidRDefault="009260DE" w:rsidP="00B24D4A">
      <w:pPr>
        <w:tabs>
          <w:tab w:val="left" w:pos="851"/>
        </w:tabs>
        <w:ind w:left="851" w:hanging="851"/>
        <w:rPr>
          <w:sz w:val="24"/>
          <w:szCs w:val="24"/>
        </w:rPr>
      </w:pPr>
    </w:p>
    <w:p w14:paraId="12CACD18" w14:textId="69CBD520" w:rsidR="009260DE" w:rsidRPr="00B24D4A" w:rsidRDefault="009260DE" w:rsidP="00B24D4A">
      <w:pPr>
        <w:tabs>
          <w:tab w:val="left" w:pos="851"/>
        </w:tabs>
        <w:ind w:left="851" w:hanging="851"/>
        <w:rPr>
          <w:b/>
          <w:sz w:val="24"/>
          <w:szCs w:val="24"/>
        </w:rPr>
      </w:pPr>
      <w:r w:rsidRPr="00B24D4A">
        <w:rPr>
          <w:b/>
          <w:sz w:val="24"/>
          <w:szCs w:val="24"/>
        </w:rPr>
        <w:t>5.3</w:t>
      </w:r>
      <w:r w:rsidRPr="00B24D4A">
        <w:rPr>
          <w:b/>
          <w:sz w:val="24"/>
          <w:szCs w:val="24"/>
        </w:rPr>
        <w:tab/>
      </w:r>
      <w:r w:rsidR="006D395F">
        <w:rPr>
          <w:b/>
          <w:sz w:val="24"/>
          <w:szCs w:val="24"/>
        </w:rPr>
        <w:t>Non-</w:t>
      </w:r>
      <w:r w:rsidRPr="00B24D4A">
        <w:rPr>
          <w:b/>
          <w:sz w:val="24"/>
          <w:szCs w:val="24"/>
        </w:rPr>
        <w:t>kliniske sikkerhedsdata</w:t>
      </w:r>
    </w:p>
    <w:p w14:paraId="6AD9EEDA" w14:textId="77777777" w:rsidR="00580A5A" w:rsidRPr="00B24D4A" w:rsidRDefault="00580A5A" w:rsidP="00A23A14">
      <w:pPr>
        <w:numPr>
          <w:ilvl w:val="12"/>
          <w:numId w:val="0"/>
        </w:numPr>
        <w:ind w:left="851" w:right="11"/>
        <w:rPr>
          <w:sz w:val="24"/>
          <w:szCs w:val="24"/>
        </w:rPr>
      </w:pPr>
      <w:r w:rsidRPr="00B24D4A">
        <w:rPr>
          <w:sz w:val="24"/>
          <w:szCs w:val="24"/>
        </w:rPr>
        <w:t>Nyretoksiske virkninger er set i alle undersøgte arter. Doser til rotter og aber samt plasmakoncentrationer uden observerede negative effekter (</w:t>
      </w:r>
      <w:proofErr w:type="spellStart"/>
      <w:r w:rsidRPr="00B24D4A">
        <w:rPr>
          <w:sz w:val="24"/>
          <w:szCs w:val="24"/>
        </w:rPr>
        <w:t>NOAELs</w:t>
      </w:r>
      <w:proofErr w:type="spellEnd"/>
      <w:r w:rsidRPr="00B24D4A">
        <w:rPr>
          <w:sz w:val="24"/>
          <w:szCs w:val="24"/>
        </w:rPr>
        <w:t xml:space="preserve"> – </w:t>
      </w:r>
      <w:r w:rsidRPr="00B24D4A">
        <w:rPr>
          <w:i/>
          <w:sz w:val="24"/>
          <w:szCs w:val="24"/>
        </w:rPr>
        <w:t xml:space="preserve">no </w:t>
      </w:r>
      <w:proofErr w:type="spellStart"/>
      <w:r w:rsidRPr="00B24D4A">
        <w:rPr>
          <w:i/>
          <w:sz w:val="24"/>
          <w:szCs w:val="24"/>
        </w:rPr>
        <w:t>observed</w:t>
      </w:r>
      <w:proofErr w:type="spellEnd"/>
      <w:r w:rsidRPr="00B24D4A">
        <w:rPr>
          <w:i/>
          <w:sz w:val="24"/>
          <w:szCs w:val="24"/>
        </w:rPr>
        <w:t xml:space="preserve"> </w:t>
      </w:r>
      <w:proofErr w:type="spellStart"/>
      <w:r w:rsidRPr="00B24D4A">
        <w:rPr>
          <w:i/>
          <w:sz w:val="24"/>
          <w:szCs w:val="24"/>
        </w:rPr>
        <w:t>adverse</w:t>
      </w:r>
      <w:proofErr w:type="spellEnd"/>
      <w:r w:rsidRPr="00B24D4A">
        <w:rPr>
          <w:i/>
          <w:sz w:val="24"/>
          <w:szCs w:val="24"/>
        </w:rPr>
        <w:t xml:space="preserve"> </w:t>
      </w:r>
      <w:proofErr w:type="spellStart"/>
      <w:r w:rsidRPr="00B24D4A">
        <w:rPr>
          <w:i/>
          <w:sz w:val="24"/>
          <w:szCs w:val="24"/>
        </w:rPr>
        <w:t>effect</w:t>
      </w:r>
      <w:proofErr w:type="spellEnd"/>
      <w:r w:rsidRPr="00B24D4A">
        <w:rPr>
          <w:i/>
          <w:sz w:val="24"/>
          <w:szCs w:val="24"/>
        </w:rPr>
        <w:t xml:space="preserve"> </w:t>
      </w:r>
      <w:proofErr w:type="spellStart"/>
      <w:r w:rsidRPr="00B24D4A">
        <w:rPr>
          <w:i/>
          <w:sz w:val="24"/>
          <w:szCs w:val="24"/>
        </w:rPr>
        <w:t>levels</w:t>
      </w:r>
      <w:proofErr w:type="spellEnd"/>
      <w:r w:rsidRPr="00B24D4A">
        <w:rPr>
          <w:sz w:val="24"/>
          <w:szCs w:val="24"/>
        </w:rPr>
        <w:t>) overskrider doserne anvendt til mennesker med en faktor 2-7,2.</w:t>
      </w:r>
    </w:p>
    <w:p w14:paraId="45AD1A6E" w14:textId="7C3E6760" w:rsidR="00580A5A" w:rsidRPr="00B24D4A" w:rsidRDefault="00580A5A" w:rsidP="00A23A14">
      <w:pPr>
        <w:suppressAutoHyphens/>
        <w:ind w:left="851"/>
        <w:rPr>
          <w:sz w:val="24"/>
          <w:szCs w:val="24"/>
        </w:rPr>
      </w:pPr>
      <w:r w:rsidRPr="00B24D4A">
        <w:rPr>
          <w:sz w:val="24"/>
          <w:szCs w:val="24"/>
        </w:rPr>
        <w:t>I dyr er der ikke observeret nogen signifikant toksicitet forbundet med mave-tarm</w:t>
      </w:r>
      <w:r w:rsidR="009E47DA">
        <w:rPr>
          <w:sz w:val="24"/>
          <w:szCs w:val="24"/>
        </w:rPr>
        <w:t>-</w:t>
      </w:r>
      <w:r w:rsidRPr="00B24D4A">
        <w:rPr>
          <w:sz w:val="24"/>
          <w:szCs w:val="24"/>
        </w:rPr>
        <w:t xml:space="preserve">kanalen, leveren eller det </w:t>
      </w:r>
      <w:proofErr w:type="spellStart"/>
      <w:r w:rsidRPr="00B24D4A">
        <w:rPr>
          <w:sz w:val="24"/>
          <w:szCs w:val="24"/>
        </w:rPr>
        <w:t>hæmatopoietiske</w:t>
      </w:r>
      <w:proofErr w:type="spellEnd"/>
      <w:r w:rsidRPr="00B24D4A">
        <w:rPr>
          <w:sz w:val="24"/>
          <w:szCs w:val="24"/>
        </w:rPr>
        <w:t xml:space="preserve"> system.</w:t>
      </w:r>
    </w:p>
    <w:p w14:paraId="1CDBC3E8" w14:textId="77777777" w:rsidR="00580A5A" w:rsidRPr="00B24D4A" w:rsidRDefault="00580A5A" w:rsidP="00A23A14">
      <w:pPr>
        <w:numPr>
          <w:ilvl w:val="12"/>
          <w:numId w:val="0"/>
        </w:numPr>
        <w:ind w:left="851" w:right="11"/>
        <w:rPr>
          <w:sz w:val="24"/>
          <w:szCs w:val="24"/>
        </w:rPr>
      </w:pPr>
    </w:p>
    <w:p w14:paraId="35F75BDF" w14:textId="77777777" w:rsidR="00580A5A" w:rsidRPr="00B24D4A" w:rsidRDefault="00580A5A" w:rsidP="00A23A14">
      <w:pPr>
        <w:numPr>
          <w:ilvl w:val="12"/>
          <w:numId w:val="0"/>
        </w:numPr>
        <w:ind w:left="851" w:right="11"/>
        <w:rPr>
          <w:sz w:val="24"/>
          <w:szCs w:val="24"/>
        </w:rPr>
      </w:pPr>
      <w:r w:rsidRPr="00B24D4A">
        <w:rPr>
          <w:i/>
          <w:iCs/>
          <w:sz w:val="24"/>
          <w:szCs w:val="24"/>
        </w:rPr>
        <w:t>In-</w:t>
      </w:r>
      <w:proofErr w:type="spellStart"/>
      <w:r w:rsidRPr="00B24D4A">
        <w:rPr>
          <w:i/>
          <w:iCs/>
          <w:sz w:val="24"/>
          <w:szCs w:val="24"/>
        </w:rPr>
        <w:t>vitro</w:t>
      </w:r>
      <w:proofErr w:type="spellEnd"/>
      <w:r w:rsidRPr="00B24D4A">
        <w:rPr>
          <w:sz w:val="24"/>
          <w:szCs w:val="24"/>
        </w:rPr>
        <w:t xml:space="preserve">-testsystemer og </w:t>
      </w:r>
      <w:r w:rsidRPr="00B24D4A">
        <w:rPr>
          <w:i/>
          <w:iCs/>
          <w:sz w:val="24"/>
          <w:szCs w:val="24"/>
        </w:rPr>
        <w:t>in-</w:t>
      </w:r>
      <w:proofErr w:type="spellStart"/>
      <w:r w:rsidRPr="00B24D4A">
        <w:rPr>
          <w:i/>
          <w:iCs/>
          <w:sz w:val="24"/>
          <w:szCs w:val="24"/>
        </w:rPr>
        <w:t>vivo</w:t>
      </w:r>
      <w:proofErr w:type="spellEnd"/>
      <w:r w:rsidRPr="00B24D4A">
        <w:rPr>
          <w:sz w:val="24"/>
          <w:szCs w:val="24"/>
        </w:rPr>
        <w:t>-studier har ikke vist nogen tegn på mutagen effekt.</w:t>
      </w:r>
    </w:p>
    <w:p w14:paraId="6D8C4384" w14:textId="77777777" w:rsidR="00580A5A" w:rsidRPr="00B24D4A" w:rsidRDefault="00580A5A" w:rsidP="00A23A14">
      <w:pPr>
        <w:numPr>
          <w:ilvl w:val="12"/>
          <w:numId w:val="0"/>
        </w:numPr>
        <w:ind w:left="851" w:right="11"/>
        <w:rPr>
          <w:sz w:val="24"/>
          <w:szCs w:val="24"/>
        </w:rPr>
      </w:pPr>
      <w:proofErr w:type="spellStart"/>
      <w:r w:rsidRPr="00B24D4A">
        <w:rPr>
          <w:color w:val="000000"/>
          <w:sz w:val="24"/>
          <w:szCs w:val="24"/>
        </w:rPr>
        <w:t>Tumorgenicitetsstudier</w:t>
      </w:r>
      <w:proofErr w:type="spellEnd"/>
      <w:r w:rsidRPr="00B24D4A">
        <w:rPr>
          <w:color w:val="000000"/>
          <w:sz w:val="24"/>
          <w:szCs w:val="24"/>
        </w:rPr>
        <w:t xml:space="preserve"> </w:t>
      </w:r>
      <w:r w:rsidRPr="00B24D4A">
        <w:rPr>
          <w:sz w:val="24"/>
          <w:szCs w:val="24"/>
        </w:rPr>
        <w:t>med rotter viste ingen tegn på en stofrelateret øgning i forekomsten af tumorer.</w:t>
      </w:r>
    </w:p>
    <w:p w14:paraId="39070010" w14:textId="77777777" w:rsidR="00580A5A" w:rsidRPr="00B24D4A" w:rsidRDefault="00580A5A" w:rsidP="00A23A14">
      <w:pPr>
        <w:numPr>
          <w:ilvl w:val="12"/>
          <w:numId w:val="0"/>
        </w:numPr>
        <w:ind w:left="851" w:right="11"/>
        <w:rPr>
          <w:sz w:val="24"/>
          <w:szCs w:val="24"/>
        </w:rPr>
      </w:pPr>
    </w:p>
    <w:p w14:paraId="5C9A28DF" w14:textId="77777777" w:rsidR="00580A5A" w:rsidRPr="00B24D4A" w:rsidRDefault="00580A5A" w:rsidP="00A23A14">
      <w:pPr>
        <w:numPr>
          <w:ilvl w:val="12"/>
          <w:numId w:val="0"/>
        </w:numPr>
        <w:ind w:left="851" w:right="11"/>
        <w:rPr>
          <w:sz w:val="24"/>
          <w:szCs w:val="24"/>
        </w:rPr>
      </w:pPr>
      <w:r w:rsidRPr="00B24D4A">
        <w:rPr>
          <w:sz w:val="24"/>
          <w:szCs w:val="24"/>
        </w:rPr>
        <w:t xml:space="preserve">Dyrestudier med oral </w:t>
      </w:r>
      <w:proofErr w:type="spellStart"/>
      <w:r w:rsidRPr="00B24D4A">
        <w:rPr>
          <w:sz w:val="24"/>
          <w:szCs w:val="24"/>
        </w:rPr>
        <w:t>mesalazin</w:t>
      </w:r>
      <w:proofErr w:type="spellEnd"/>
      <w:r w:rsidRPr="00B24D4A">
        <w:rPr>
          <w:sz w:val="24"/>
          <w:szCs w:val="24"/>
        </w:rPr>
        <w:t xml:space="preserve"> viser ingen direkte eller indirekte skadelige virkninger, hvad angår fertilitet, graviditet, embryoets/fosterets udvikling, fødsel eller </w:t>
      </w:r>
      <w:proofErr w:type="spellStart"/>
      <w:r w:rsidRPr="00B24D4A">
        <w:rPr>
          <w:sz w:val="24"/>
          <w:szCs w:val="24"/>
        </w:rPr>
        <w:t>postnatal</w:t>
      </w:r>
      <w:proofErr w:type="spellEnd"/>
      <w:r w:rsidRPr="00B24D4A">
        <w:rPr>
          <w:sz w:val="24"/>
          <w:szCs w:val="24"/>
        </w:rPr>
        <w:t xml:space="preserve"> udvikling.</w:t>
      </w:r>
    </w:p>
    <w:p w14:paraId="48888496" w14:textId="77777777" w:rsidR="009260DE" w:rsidRPr="00B24D4A" w:rsidRDefault="009260DE" w:rsidP="00B24D4A">
      <w:pPr>
        <w:tabs>
          <w:tab w:val="left" w:pos="851"/>
        </w:tabs>
        <w:ind w:left="851" w:hanging="851"/>
        <w:rPr>
          <w:sz w:val="24"/>
          <w:szCs w:val="24"/>
        </w:rPr>
      </w:pPr>
    </w:p>
    <w:p w14:paraId="38534C4E" w14:textId="77777777" w:rsidR="009260DE" w:rsidRPr="00B24D4A" w:rsidRDefault="009260DE" w:rsidP="00B24D4A">
      <w:pPr>
        <w:tabs>
          <w:tab w:val="left" w:pos="851"/>
        </w:tabs>
        <w:ind w:left="851" w:hanging="851"/>
        <w:rPr>
          <w:sz w:val="24"/>
          <w:szCs w:val="24"/>
        </w:rPr>
      </w:pPr>
    </w:p>
    <w:p w14:paraId="6EA30FB2" w14:textId="77777777" w:rsidR="009260DE" w:rsidRPr="00B24D4A" w:rsidRDefault="009260DE" w:rsidP="00B24D4A">
      <w:pPr>
        <w:tabs>
          <w:tab w:val="left" w:pos="851"/>
        </w:tabs>
        <w:ind w:left="851" w:hanging="851"/>
        <w:rPr>
          <w:b/>
          <w:sz w:val="24"/>
          <w:szCs w:val="24"/>
        </w:rPr>
      </w:pPr>
      <w:r w:rsidRPr="00B24D4A">
        <w:rPr>
          <w:b/>
          <w:sz w:val="24"/>
          <w:szCs w:val="24"/>
        </w:rPr>
        <w:t>6.</w:t>
      </w:r>
      <w:r w:rsidRPr="00B24D4A">
        <w:rPr>
          <w:b/>
          <w:sz w:val="24"/>
          <w:szCs w:val="24"/>
        </w:rPr>
        <w:tab/>
        <w:t>FARMACEUTISKE OPLYSNINGER</w:t>
      </w:r>
    </w:p>
    <w:p w14:paraId="009E04D2" w14:textId="77777777" w:rsidR="009260DE" w:rsidRPr="00B24D4A" w:rsidRDefault="009260DE" w:rsidP="00B24D4A">
      <w:pPr>
        <w:tabs>
          <w:tab w:val="left" w:pos="851"/>
        </w:tabs>
        <w:ind w:left="851" w:hanging="851"/>
        <w:rPr>
          <w:sz w:val="24"/>
          <w:szCs w:val="24"/>
        </w:rPr>
      </w:pPr>
    </w:p>
    <w:p w14:paraId="492BA828" w14:textId="77777777" w:rsidR="009260DE" w:rsidRPr="00B24D4A" w:rsidRDefault="009260DE" w:rsidP="00B24D4A">
      <w:pPr>
        <w:tabs>
          <w:tab w:val="left" w:pos="851"/>
        </w:tabs>
        <w:ind w:left="851" w:hanging="851"/>
        <w:rPr>
          <w:b/>
          <w:sz w:val="24"/>
          <w:szCs w:val="24"/>
        </w:rPr>
      </w:pPr>
      <w:r w:rsidRPr="00B24D4A">
        <w:rPr>
          <w:b/>
          <w:sz w:val="24"/>
          <w:szCs w:val="24"/>
        </w:rPr>
        <w:t>6.1</w:t>
      </w:r>
      <w:r w:rsidRPr="00B24D4A">
        <w:rPr>
          <w:b/>
          <w:sz w:val="24"/>
          <w:szCs w:val="24"/>
        </w:rPr>
        <w:tab/>
        <w:t>Hjælpestoffer</w:t>
      </w:r>
    </w:p>
    <w:p w14:paraId="5B3EB6DD" w14:textId="77777777" w:rsidR="00580A5A" w:rsidRPr="00B24D4A" w:rsidRDefault="00580A5A" w:rsidP="00A23A14">
      <w:pPr>
        <w:ind w:left="851"/>
        <w:rPr>
          <w:sz w:val="24"/>
          <w:szCs w:val="24"/>
        </w:rPr>
      </w:pPr>
      <w:r w:rsidRPr="00B24D4A">
        <w:rPr>
          <w:sz w:val="24"/>
          <w:szCs w:val="24"/>
        </w:rPr>
        <w:t>Hårdfedt</w:t>
      </w:r>
    </w:p>
    <w:p w14:paraId="441310FC" w14:textId="1DCDB6ED" w:rsidR="009260DE" w:rsidRDefault="009260DE" w:rsidP="00B24D4A">
      <w:pPr>
        <w:tabs>
          <w:tab w:val="left" w:pos="851"/>
        </w:tabs>
        <w:ind w:left="851" w:hanging="851"/>
        <w:rPr>
          <w:sz w:val="24"/>
          <w:szCs w:val="24"/>
        </w:rPr>
      </w:pPr>
    </w:p>
    <w:p w14:paraId="77EF739E" w14:textId="77777777" w:rsidR="005421B3" w:rsidRPr="00B24D4A" w:rsidRDefault="005421B3" w:rsidP="00B24D4A">
      <w:pPr>
        <w:tabs>
          <w:tab w:val="left" w:pos="851"/>
        </w:tabs>
        <w:ind w:left="851" w:hanging="851"/>
        <w:rPr>
          <w:sz w:val="24"/>
          <w:szCs w:val="24"/>
        </w:rPr>
      </w:pPr>
    </w:p>
    <w:p w14:paraId="2A7F5D5A" w14:textId="77777777" w:rsidR="009260DE" w:rsidRPr="00B24D4A" w:rsidRDefault="009260DE" w:rsidP="00B24D4A">
      <w:pPr>
        <w:tabs>
          <w:tab w:val="left" w:pos="851"/>
        </w:tabs>
        <w:ind w:left="851" w:hanging="851"/>
        <w:rPr>
          <w:b/>
          <w:sz w:val="24"/>
          <w:szCs w:val="24"/>
        </w:rPr>
      </w:pPr>
      <w:r w:rsidRPr="00B24D4A">
        <w:rPr>
          <w:b/>
          <w:sz w:val="24"/>
          <w:szCs w:val="24"/>
        </w:rPr>
        <w:t>6.2</w:t>
      </w:r>
      <w:r w:rsidRPr="00B24D4A">
        <w:rPr>
          <w:b/>
          <w:sz w:val="24"/>
          <w:szCs w:val="24"/>
        </w:rPr>
        <w:tab/>
        <w:t>Uforligeligheder</w:t>
      </w:r>
    </w:p>
    <w:p w14:paraId="7C1E967A" w14:textId="77777777" w:rsidR="00580A5A" w:rsidRPr="00B24D4A" w:rsidRDefault="00580A5A" w:rsidP="00A23A14">
      <w:pPr>
        <w:ind w:left="851"/>
        <w:rPr>
          <w:sz w:val="24"/>
          <w:szCs w:val="24"/>
        </w:rPr>
      </w:pPr>
      <w:r w:rsidRPr="00B24D4A">
        <w:rPr>
          <w:sz w:val="24"/>
          <w:szCs w:val="24"/>
        </w:rPr>
        <w:t>Ikke relevant.</w:t>
      </w:r>
    </w:p>
    <w:p w14:paraId="24A40201" w14:textId="77777777" w:rsidR="009260DE" w:rsidRPr="00B24D4A" w:rsidRDefault="009260DE" w:rsidP="00B24D4A">
      <w:pPr>
        <w:tabs>
          <w:tab w:val="left" w:pos="851"/>
        </w:tabs>
        <w:ind w:left="851" w:hanging="851"/>
        <w:rPr>
          <w:sz w:val="24"/>
          <w:szCs w:val="24"/>
        </w:rPr>
      </w:pPr>
    </w:p>
    <w:p w14:paraId="42EDAB37" w14:textId="77777777" w:rsidR="009260DE" w:rsidRPr="00B24D4A" w:rsidRDefault="009260DE" w:rsidP="00B24D4A">
      <w:pPr>
        <w:tabs>
          <w:tab w:val="left" w:pos="851"/>
        </w:tabs>
        <w:ind w:left="851" w:hanging="851"/>
        <w:rPr>
          <w:b/>
          <w:sz w:val="24"/>
          <w:szCs w:val="24"/>
        </w:rPr>
      </w:pPr>
      <w:r w:rsidRPr="00B24D4A">
        <w:rPr>
          <w:b/>
          <w:sz w:val="24"/>
          <w:szCs w:val="24"/>
        </w:rPr>
        <w:t>6.3</w:t>
      </w:r>
      <w:r w:rsidRPr="00B24D4A">
        <w:rPr>
          <w:b/>
          <w:sz w:val="24"/>
          <w:szCs w:val="24"/>
        </w:rPr>
        <w:tab/>
        <w:t>Opbevaringstid</w:t>
      </w:r>
    </w:p>
    <w:p w14:paraId="61841956" w14:textId="5F8871D5" w:rsidR="00580A5A" w:rsidRPr="00B24D4A" w:rsidRDefault="009260DE" w:rsidP="00B24D4A">
      <w:pPr>
        <w:ind w:left="851" w:hanging="851"/>
        <w:rPr>
          <w:sz w:val="24"/>
          <w:szCs w:val="24"/>
        </w:rPr>
      </w:pPr>
      <w:r w:rsidRPr="00B24D4A">
        <w:rPr>
          <w:sz w:val="24"/>
          <w:szCs w:val="24"/>
        </w:rPr>
        <w:tab/>
      </w:r>
      <w:r w:rsidR="00784398">
        <w:rPr>
          <w:sz w:val="24"/>
          <w:szCs w:val="24"/>
        </w:rPr>
        <w:t>3</w:t>
      </w:r>
      <w:r w:rsidR="00580A5A" w:rsidRPr="00B24D4A">
        <w:rPr>
          <w:sz w:val="24"/>
          <w:szCs w:val="24"/>
        </w:rPr>
        <w:t> år.</w:t>
      </w:r>
    </w:p>
    <w:p w14:paraId="2EBD6992" w14:textId="77777777" w:rsidR="009260DE" w:rsidRPr="00B24D4A" w:rsidRDefault="009260DE" w:rsidP="00B24D4A">
      <w:pPr>
        <w:tabs>
          <w:tab w:val="left" w:pos="851"/>
        </w:tabs>
        <w:ind w:left="851" w:hanging="851"/>
        <w:rPr>
          <w:sz w:val="24"/>
          <w:szCs w:val="24"/>
        </w:rPr>
      </w:pPr>
    </w:p>
    <w:p w14:paraId="3387D610" w14:textId="77777777" w:rsidR="009260DE" w:rsidRPr="00B24D4A" w:rsidRDefault="009260DE" w:rsidP="00B24D4A">
      <w:pPr>
        <w:tabs>
          <w:tab w:val="left" w:pos="851"/>
        </w:tabs>
        <w:ind w:left="851" w:hanging="851"/>
        <w:rPr>
          <w:b/>
          <w:sz w:val="24"/>
          <w:szCs w:val="24"/>
        </w:rPr>
      </w:pPr>
      <w:r w:rsidRPr="00B24D4A">
        <w:rPr>
          <w:b/>
          <w:sz w:val="24"/>
          <w:szCs w:val="24"/>
        </w:rPr>
        <w:t>6.4</w:t>
      </w:r>
      <w:r w:rsidRPr="00B24D4A">
        <w:rPr>
          <w:b/>
          <w:sz w:val="24"/>
          <w:szCs w:val="24"/>
        </w:rPr>
        <w:tab/>
        <w:t>Særlige opbevaringsforhold</w:t>
      </w:r>
    </w:p>
    <w:p w14:paraId="2DDDB835" w14:textId="77777777" w:rsidR="00580A5A" w:rsidRPr="00B24D4A" w:rsidRDefault="00580A5A" w:rsidP="00A23A14">
      <w:pPr>
        <w:ind w:left="851"/>
        <w:rPr>
          <w:noProof/>
          <w:sz w:val="24"/>
          <w:szCs w:val="24"/>
        </w:rPr>
      </w:pPr>
      <w:r w:rsidRPr="00B24D4A">
        <w:rPr>
          <w:noProof/>
          <w:sz w:val="24"/>
          <w:szCs w:val="24"/>
        </w:rPr>
        <w:t>Må ikke opbevares ved temperaturer over 30 °C.</w:t>
      </w:r>
    </w:p>
    <w:p w14:paraId="1BA341DC" w14:textId="77777777" w:rsidR="009260DE" w:rsidRPr="00B24D4A" w:rsidRDefault="009260DE" w:rsidP="00B24D4A">
      <w:pPr>
        <w:tabs>
          <w:tab w:val="left" w:pos="851"/>
        </w:tabs>
        <w:ind w:left="851" w:hanging="851"/>
        <w:rPr>
          <w:sz w:val="24"/>
          <w:szCs w:val="24"/>
        </w:rPr>
      </w:pPr>
    </w:p>
    <w:p w14:paraId="61225895" w14:textId="4BBC2D20" w:rsidR="009260DE" w:rsidRPr="00B24D4A" w:rsidRDefault="009260DE" w:rsidP="00B24D4A">
      <w:pPr>
        <w:tabs>
          <w:tab w:val="left" w:pos="851"/>
        </w:tabs>
        <w:ind w:left="851" w:hanging="851"/>
        <w:rPr>
          <w:b/>
          <w:sz w:val="24"/>
          <w:szCs w:val="24"/>
        </w:rPr>
      </w:pPr>
      <w:r w:rsidRPr="00B24D4A">
        <w:rPr>
          <w:b/>
          <w:sz w:val="24"/>
          <w:szCs w:val="24"/>
        </w:rPr>
        <w:t>6.5</w:t>
      </w:r>
      <w:r w:rsidRPr="00B24D4A">
        <w:rPr>
          <w:b/>
          <w:sz w:val="24"/>
          <w:szCs w:val="24"/>
        </w:rPr>
        <w:tab/>
        <w:t>Emballagetype og pakningsstørrelser</w:t>
      </w:r>
    </w:p>
    <w:p w14:paraId="10892C0A" w14:textId="77777777" w:rsidR="00580A5A" w:rsidRPr="00B24D4A" w:rsidRDefault="00580A5A" w:rsidP="004F490A">
      <w:pPr>
        <w:suppressAutoHyphens/>
        <w:ind w:left="851"/>
        <w:rPr>
          <w:sz w:val="24"/>
          <w:szCs w:val="24"/>
        </w:rPr>
      </w:pPr>
      <w:r w:rsidRPr="00B24D4A">
        <w:rPr>
          <w:sz w:val="24"/>
          <w:szCs w:val="24"/>
        </w:rPr>
        <w:t>Suppositorier er pakket i PVC/PE-strips.</w:t>
      </w:r>
    </w:p>
    <w:p w14:paraId="796B22E4" w14:textId="77777777" w:rsidR="00580A5A" w:rsidRPr="00B24D4A" w:rsidRDefault="00580A5A" w:rsidP="004F490A">
      <w:pPr>
        <w:suppressAutoHyphens/>
        <w:ind w:left="851"/>
        <w:rPr>
          <w:sz w:val="24"/>
          <w:szCs w:val="24"/>
        </w:rPr>
      </w:pPr>
    </w:p>
    <w:p w14:paraId="1E268BED" w14:textId="77777777" w:rsidR="00580A5A" w:rsidRPr="00B24D4A" w:rsidRDefault="00580A5A" w:rsidP="004F490A">
      <w:pPr>
        <w:suppressAutoHyphens/>
        <w:ind w:left="851"/>
        <w:rPr>
          <w:sz w:val="24"/>
          <w:szCs w:val="24"/>
        </w:rPr>
      </w:pPr>
      <w:r w:rsidRPr="00B24D4A">
        <w:rPr>
          <w:sz w:val="24"/>
          <w:szCs w:val="24"/>
        </w:rPr>
        <w:t>Hver pakning indeholder 12, 24, 30 eller 100 suppositorier.</w:t>
      </w:r>
    </w:p>
    <w:p w14:paraId="47D2C9C1" w14:textId="77777777" w:rsidR="00580A5A" w:rsidRPr="00B24D4A" w:rsidRDefault="00580A5A" w:rsidP="004F490A">
      <w:pPr>
        <w:suppressAutoHyphens/>
        <w:ind w:left="851"/>
        <w:rPr>
          <w:sz w:val="24"/>
          <w:szCs w:val="24"/>
        </w:rPr>
      </w:pPr>
    </w:p>
    <w:p w14:paraId="7C92D5F7" w14:textId="77777777" w:rsidR="00580A5A" w:rsidRPr="00B24D4A" w:rsidRDefault="00580A5A" w:rsidP="004F490A">
      <w:pPr>
        <w:suppressAutoHyphens/>
        <w:ind w:left="851"/>
        <w:rPr>
          <w:sz w:val="24"/>
          <w:szCs w:val="24"/>
        </w:rPr>
      </w:pPr>
      <w:r w:rsidRPr="00B24D4A">
        <w:rPr>
          <w:sz w:val="24"/>
          <w:szCs w:val="24"/>
        </w:rPr>
        <w:t>Ikke alle pakningsstørrelser er nødvendigvis markedsført.</w:t>
      </w:r>
    </w:p>
    <w:p w14:paraId="2827514E" w14:textId="77777777" w:rsidR="00580A5A" w:rsidRPr="00B24D4A" w:rsidRDefault="00580A5A" w:rsidP="004F490A">
      <w:pPr>
        <w:suppressAutoHyphens/>
        <w:ind w:left="851"/>
        <w:rPr>
          <w:sz w:val="24"/>
          <w:szCs w:val="24"/>
        </w:rPr>
      </w:pPr>
    </w:p>
    <w:p w14:paraId="0766D875" w14:textId="77777777" w:rsidR="00580A5A" w:rsidRPr="00B24D4A" w:rsidRDefault="00580A5A" w:rsidP="004F490A">
      <w:pPr>
        <w:suppressAutoHyphens/>
        <w:ind w:left="851"/>
        <w:rPr>
          <w:sz w:val="24"/>
          <w:szCs w:val="24"/>
        </w:rPr>
      </w:pPr>
      <w:r w:rsidRPr="00B24D4A">
        <w:rPr>
          <w:sz w:val="24"/>
          <w:szCs w:val="24"/>
        </w:rPr>
        <w:t>Ikke anvendt lægemiddel samt affald heraf skal bortskaffes i henhold til lokale retningslinjer.</w:t>
      </w:r>
    </w:p>
    <w:p w14:paraId="76B60B57" w14:textId="77777777" w:rsidR="009260DE" w:rsidRPr="00B24D4A" w:rsidRDefault="009260DE" w:rsidP="00B24D4A">
      <w:pPr>
        <w:tabs>
          <w:tab w:val="left" w:pos="851"/>
        </w:tabs>
        <w:ind w:left="851" w:hanging="851"/>
        <w:rPr>
          <w:sz w:val="24"/>
          <w:szCs w:val="24"/>
        </w:rPr>
      </w:pPr>
    </w:p>
    <w:p w14:paraId="40DE0177" w14:textId="0C80D7FA" w:rsidR="009260DE" w:rsidRPr="00B24D4A" w:rsidRDefault="009260DE" w:rsidP="00B24D4A">
      <w:pPr>
        <w:tabs>
          <w:tab w:val="left" w:pos="851"/>
        </w:tabs>
        <w:ind w:left="851" w:hanging="851"/>
        <w:rPr>
          <w:b/>
          <w:sz w:val="24"/>
          <w:szCs w:val="24"/>
        </w:rPr>
      </w:pPr>
      <w:r w:rsidRPr="00B24D4A">
        <w:rPr>
          <w:b/>
          <w:sz w:val="24"/>
          <w:szCs w:val="24"/>
        </w:rPr>
        <w:t>6.6</w:t>
      </w:r>
      <w:r w:rsidRPr="00B24D4A">
        <w:rPr>
          <w:b/>
          <w:sz w:val="24"/>
          <w:szCs w:val="24"/>
        </w:rPr>
        <w:tab/>
        <w:t xml:space="preserve">Regler for </w:t>
      </w:r>
      <w:r w:rsidR="006D395F">
        <w:rPr>
          <w:b/>
          <w:sz w:val="24"/>
          <w:szCs w:val="24"/>
        </w:rPr>
        <w:t>bortskaffelse</w:t>
      </w:r>
      <w:r w:rsidRPr="00B24D4A">
        <w:rPr>
          <w:b/>
          <w:sz w:val="24"/>
          <w:szCs w:val="24"/>
        </w:rPr>
        <w:t xml:space="preserve"> og anden håndtering</w:t>
      </w:r>
    </w:p>
    <w:p w14:paraId="2F5E4826" w14:textId="0A7B4724" w:rsidR="00580A5A" w:rsidRPr="00B24D4A" w:rsidRDefault="004F490A" w:rsidP="00B24D4A">
      <w:pPr>
        <w:pStyle w:val="Listeafsnit"/>
        <w:tabs>
          <w:tab w:val="left" w:pos="851"/>
        </w:tabs>
        <w:spacing w:line="240" w:lineRule="atLeast"/>
        <w:ind w:left="851" w:hanging="851"/>
        <w:rPr>
          <w:sz w:val="24"/>
          <w:szCs w:val="24"/>
        </w:rPr>
      </w:pPr>
      <w:r>
        <w:rPr>
          <w:sz w:val="24"/>
          <w:szCs w:val="24"/>
        </w:rPr>
        <w:tab/>
      </w:r>
      <w:r w:rsidR="00580A5A" w:rsidRPr="00B24D4A">
        <w:rPr>
          <w:sz w:val="24"/>
          <w:szCs w:val="24"/>
        </w:rPr>
        <w:t>Der er ingen særlige betingelser.</w:t>
      </w:r>
    </w:p>
    <w:p w14:paraId="2CAD5021" w14:textId="4B5997AA" w:rsidR="006D395F" w:rsidRPr="00B24D4A" w:rsidRDefault="006D395F" w:rsidP="006D395F">
      <w:pPr>
        <w:rPr>
          <w:sz w:val="24"/>
          <w:szCs w:val="24"/>
        </w:rPr>
      </w:pPr>
    </w:p>
    <w:p w14:paraId="3311D5AA" w14:textId="77777777" w:rsidR="009260DE" w:rsidRPr="00B24D4A" w:rsidRDefault="009260DE" w:rsidP="00B24D4A">
      <w:pPr>
        <w:tabs>
          <w:tab w:val="left" w:pos="851"/>
        </w:tabs>
        <w:ind w:left="851" w:hanging="851"/>
        <w:rPr>
          <w:b/>
          <w:sz w:val="24"/>
          <w:szCs w:val="24"/>
        </w:rPr>
      </w:pPr>
      <w:r w:rsidRPr="00B24D4A">
        <w:rPr>
          <w:b/>
          <w:sz w:val="24"/>
          <w:szCs w:val="24"/>
        </w:rPr>
        <w:t>7.</w:t>
      </w:r>
      <w:r w:rsidRPr="00B24D4A">
        <w:rPr>
          <w:b/>
          <w:sz w:val="24"/>
          <w:szCs w:val="24"/>
        </w:rPr>
        <w:tab/>
        <w:t>INDEHAVER AF MARKEDSFØRINGSTILLADELSEN</w:t>
      </w:r>
    </w:p>
    <w:p w14:paraId="1D64DE0F" w14:textId="77777777" w:rsidR="00580A5A" w:rsidRPr="00B24D4A" w:rsidRDefault="00580A5A" w:rsidP="004F490A">
      <w:pPr>
        <w:tabs>
          <w:tab w:val="left" w:pos="851"/>
        </w:tabs>
        <w:ind w:left="851"/>
        <w:rPr>
          <w:sz w:val="24"/>
          <w:szCs w:val="24"/>
          <w:lang w:eastAsia="da-DK"/>
        </w:rPr>
      </w:pPr>
      <w:proofErr w:type="spellStart"/>
      <w:r w:rsidRPr="00B24D4A">
        <w:rPr>
          <w:sz w:val="24"/>
          <w:szCs w:val="24"/>
        </w:rPr>
        <w:t>Faes</w:t>
      </w:r>
      <w:proofErr w:type="spellEnd"/>
      <w:r w:rsidRPr="00B24D4A">
        <w:rPr>
          <w:sz w:val="24"/>
          <w:szCs w:val="24"/>
        </w:rPr>
        <w:t xml:space="preserve"> </w:t>
      </w:r>
      <w:proofErr w:type="spellStart"/>
      <w:r w:rsidRPr="00B24D4A">
        <w:rPr>
          <w:sz w:val="24"/>
          <w:szCs w:val="24"/>
        </w:rPr>
        <w:t>Farma</w:t>
      </w:r>
      <w:proofErr w:type="spellEnd"/>
      <w:r w:rsidRPr="00B24D4A">
        <w:rPr>
          <w:sz w:val="24"/>
          <w:szCs w:val="24"/>
        </w:rPr>
        <w:t>, S.A.</w:t>
      </w:r>
    </w:p>
    <w:p w14:paraId="41A7B7B9" w14:textId="77777777" w:rsidR="00580A5A" w:rsidRPr="00B24D4A" w:rsidRDefault="00580A5A" w:rsidP="004F490A">
      <w:pPr>
        <w:tabs>
          <w:tab w:val="left" w:pos="851"/>
        </w:tabs>
        <w:ind w:left="851"/>
        <w:rPr>
          <w:sz w:val="24"/>
          <w:szCs w:val="24"/>
          <w:lang w:val="en-US"/>
        </w:rPr>
      </w:pPr>
      <w:r w:rsidRPr="00B24D4A">
        <w:rPr>
          <w:sz w:val="24"/>
          <w:szCs w:val="24"/>
          <w:lang w:val="en-US"/>
        </w:rPr>
        <w:t xml:space="preserve">C/ </w:t>
      </w:r>
      <w:proofErr w:type="spellStart"/>
      <w:r w:rsidRPr="00B24D4A">
        <w:rPr>
          <w:sz w:val="24"/>
          <w:szCs w:val="24"/>
          <w:lang w:val="en-US"/>
        </w:rPr>
        <w:t>Máximo</w:t>
      </w:r>
      <w:proofErr w:type="spellEnd"/>
      <w:r w:rsidRPr="00B24D4A">
        <w:rPr>
          <w:sz w:val="24"/>
          <w:szCs w:val="24"/>
          <w:lang w:val="en-US"/>
        </w:rPr>
        <w:t xml:space="preserve"> Aguirre, 14</w:t>
      </w:r>
    </w:p>
    <w:p w14:paraId="5A3FF89E" w14:textId="77777777" w:rsidR="00580A5A" w:rsidRPr="00B24D4A" w:rsidRDefault="00580A5A" w:rsidP="004F490A">
      <w:pPr>
        <w:tabs>
          <w:tab w:val="left" w:pos="851"/>
        </w:tabs>
        <w:ind w:left="851"/>
        <w:rPr>
          <w:sz w:val="24"/>
          <w:szCs w:val="24"/>
          <w:lang w:val="en-US"/>
        </w:rPr>
      </w:pPr>
      <w:r w:rsidRPr="00B24D4A">
        <w:rPr>
          <w:sz w:val="24"/>
          <w:szCs w:val="24"/>
          <w:lang w:val="en-US"/>
        </w:rPr>
        <w:t xml:space="preserve">48940 - </w:t>
      </w:r>
      <w:proofErr w:type="spellStart"/>
      <w:r w:rsidRPr="00B24D4A">
        <w:rPr>
          <w:sz w:val="24"/>
          <w:szCs w:val="24"/>
          <w:lang w:val="en-US"/>
        </w:rPr>
        <w:t>Leioa</w:t>
      </w:r>
      <w:proofErr w:type="spellEnd"/>
      <w:r w:rsidRPr="00B24D4A">
        <w:rPr>
          <w:sz w:val="24"/>
          <w:szCs w:val="24"/>
          <w:lang w:val="en-US"/>
        </w:rPr>
        <w:t xml:space="preserve"> (Bizkaia)</w:t>
      </w:r>
    </w:p>
    <w:p w14:paraId="63319904" w14:textId="77777777" w:rsidR="00580A5A" w:rsidRPr="00B24D4A" w:rsidRDefault="00580A5A" w:rsidP="004F490A">
      <w:pPr>
        <w:tabs>
          <w:tab w:val="left" w:pos="851"/>
        </w:tabs>
        <w:ind w:left="851"/>
        <w:rPr>
          <w:sz w:val="24"/>
          <w:szCs w:val="24"/>
          <w:lang w:val="en-US"/>
        </w:rPr>
      </w:pPr>
      <w:proofErr w:type="spellStart"/>
      <w:r w:rsidRPr="00B24D4A">
        <w:rPr>
          <w:sz w:val="24"/>
          <w:szCs w:val="24"/>
          <w:lang w:val="en-US"/>
        </w:rPr>
        <w:t>Spanien</w:t>
      </w:r>
      <w:proofErr w:type="spellEnd"/>
    </w:p>
    <w:p w14:paraId="00C82392" w14:textId="77777777" w:rsidR="00580A5A" w:rsidRPr="00B24D4A" w:rsidRDefault="00580A5A" w:rsidP="004F490A">
      <w:pPr>
        <w:tabs>
          <w:tab w:val="left" w:pos="851"/>
        </w:tabs>
        <w:ind w:left="851"/>
        <w:rPr>
          <w:sz w:val="24"/>
          <w:szCs w:val="24"/>
          <w:lang w:val="en-US"/>
        </w:rPr>
      </w:pPr>
    </w:p>
    <w:p w14:paraId="190947D9" w14:textId="77777777" w:rsidR="00580A5A" w:rsidRPr="00B24D4A" w:rsidRDefault="00580A5A" w:rsidP="004F490A">
      <w:pPr>
        <w:tabs>
          <w:tab w:val="left" w:pos="851"/>
        </w:tabs>
        <w:ind w:left="851"/>
        <w:rPr>
          <w:b/>
          <w:sz w:val="24"/>
          <w:szCs w:val="24"/>
          <w:lang w:val="en-US"/>
        </w:rPr>
      </w:pPr>
      <w:proofErr w:type="spellStart"/>
      <w:r w:rsidRPr="00B24D4A">
        <w:rPr>
          <w:b/>
          <w:sz w:val="24"/>
          <w:szCs w:val="24"/>
          <w:lang w:val="en-US"/>
        </w:rPr>
        <w:t>Repræsentant</w:t>
      </w:r>
      <w:proofErr w:type="spellEnd"/>
    </w:p>
    <w:p w14:paraId="1415FEF7" w14:textId="77777777" w:rsidR="00580A5A" w:rsidRPr="00B24D4A" w:rsidRDefault="00580A5A" w:rsidP="004F490A">
      <w:pPr>
        <w:tabs>
          <w:tab w:val="left" w:pos="851"/>
        </w:tabs>
        <w:ind w:left="851"/>
        <w:rPr>
          <w:sz w:val="24"/>
          <w:szCs w:val="24"/>
          <w:lang w:val="en-US"/>
        </w:rPr>
      </w:pPr>
      <w:r w:rsidRPr="00B24D4A">
        <w:rPr>
          <w:sz w:val="24"/>
          <w:szCs w:val="24"/>
          <w:lang w:val="en-US"/>
        </w:rPr>
        <w:t>Orion Pharma A/S</w:t>
      </w:r>
    </w:p>
    <w:p w14:paraId="2AE31260" w14:textId="77777777" w:rsidR="00580A5A" w:rsidRPr="00B24D4A" w:rsidRDefault="00580A5A" w:rsidP="004F490A">
      <w:pPr>
        <w:tabs>
          <w:tab w:val="left" w:pos="851"/>
        </w:tabs>
        <w:ind w:left="851"/>
        <w:rPr>
          <w:sz w:val="24"/>
          <w:szCs w:val="24"/>
        </w:rPr>
      </w:pPr>
      <w:r w:rsidRPr="00B24D4A">
        <w:rPr>
          <w:sz w:val="24"/>
          <w:szCs w:val="24"/>
        </w:rPr>
        <w:t>Ørestads Boulevard 73</w:t>
      </w:r>
    </w:p>
    <w:p w14:paraId="6444B764" w14:textId="77777777" w:rsidR="00580A5A" w:rsidRPr="00B24D4A" w:rsidRDefault="00580A5A" w:rsidP="004F490A">
      <w:pPr>
        <w:tabs>
          <w:tab w:val="left" w:pos="851"/>
        </w:tabs>
        <w:ind w:left="851"/>
        <w:rPr>
          <w:sz w:val="24"/>
          <w:szCs w:val="24"/>
        </w:rPr>
      </w:pPr>
      <w:r w:rsidRPr="00B24D4A">
        <w:rPr>
          <w:sz w:val="24"/>
          <w:szCs w:val="24"/>
        </w:rPr>
        <w:t>2300 København S</w:t>
      </w:r>
    </w:p>
    <w:p w14:paraId="548F5B2E" w14:textId="77777777" w:rsidR="009260DE" w:rsidRPr="00B24D4A" w:rsidRDefault="009260DE" w:rsidP="00B24D4A">
      <w:pPr>
        <w:tabs>
          <w:tab w:val="left" w:pos="851"/>
        </w:tabs>
        <w:ind w:left="851" w:hanging="851"/>
        <w:rPr>
          <w:sz w:val="24"/>
          <w:szCs w:val="24"/>
        </w:rPr>
      </w:pPr>
    </w:p>
    <w:p w14:paraId="1AA9C83C" w14:textId="77777777" w:rsidR="009260DE" w:rsidRPr="00B24D4A" w:rsidRDefault="009260DE" w:rsidP="00B24D4A">
      <w:pPr>
        <w:tabs>
          <w:tab w:val="left" w:pos="851"/>
        </w:tabs>
        <w:ind w:left="851" w:hanging="851"/>
        <w:rPr>
          <w:b/>
          <w:sz w:val="24"/>
          <w:szCs w:val="24"/>
        </w:rPr>
      </w:pPr>
      <w:r w:rsidRPr="00B24D4A">
        <w:rPr>
          <w:b/>
          <w:sz w:val="24"/>
          <w:szCs w:val="24"/>
        </w:rPr>
        <w:t>8.</w:t>
      </w:r>
      <w:r w:rsidRPr="00B24D4A">
        <w:rPr>
          <w:b/>
          <w:sz w:val="24"/>
          <w:szCs w:val="24"/>
        </w:rPr>
        <w:tab/>
        <w:t>MARKEDSFØRINGSTILLADELSESNUMMER (NUMRE)</w:t>
      </w:r>
    </w:p>
    <w:p w14:paraId="7E735513" w14:textId="79929717" w:rsidR="009260DE" w:rsidRPr="00B24D4A" w:rsidRDefault="004F490A" w:rsidP="00B24D4A">
      <w:pPr>
        <w:tabs>
          <w:tab w:val="left" w:pos="851"/>
        </w:tabs>
        <w:ind w:left="851" w:hanging="851"/>
        <w:rPr>
          <w:sz w:val="24"/>
          <w:szCs w:val="24"/>
        </w:rPr>
      </w:pPr>
      <w:r>
        <w:rPr>
          <w:sz w:val="24"/>
          <w:szCs w:val="24"/>
        </w:rPr>
        <w:tab/>
      </w:r>
      <w:r w:rsidR="00B24D4A" w:rsidRPr="00B24D4A">
        <w:rPr>
          <w:sz w:val="24"/>
          <w:szCs w:val="24"/>
        </w:rPr>
        <w:t>62018</w:t>
      </w:r>
    </w:p>
    <w:p w14:paraId="2993AB58" w14:textId="77777777" w:rsidR="009260DE" w:rsidRPr="00B24D4A" w:rsidRDefault="009260DE" w:rsidP="00B24D4A">
      <w:pPr>
        <w:tabs>
          <w:tab w:val="left" w:pos="851"/>
        </w:tabs>
        <w:ind w:left="851" w:hanging="851"/>
        <w:jc w:val="both"/>
        <w:rPr>
          <w:sz w:val="24"/>
          <w:szCs w:val="24"/>
        </w:rPr>
      </w:pPr>
    </w:p>
    <w:p w14:paraId="2121291C" w14:textId="77777777" w:rsidR="009260DE" w:rsidRPr="00B24D4A" w:rsidRDefault="009260DE" w:rsidP="00B24D4A">
      <w:pPr>
        <w:tabs>
          <w:tab w:val="left" w:pos="851"/>
        </w:tabs>
        <w:ind w:left="851" w:hanging="851"/>
        <w:rPr>
          <w:b/>
          <w:sz w:val="24"/>
          <w:szCs w:val="24"/>
        </w:rPr>
      </w:pPr>
      <w:r w:rsidRPr="00B24D4A">
        <w:rPr>
          <w:b/>
          <w:sz w:val="24"/>
          <w:szCs w:val="24"/>
        </w:rPr>
        <w:t>9.</w:t>
      </w:r>
      <w:r w:rsidRPr="00B24D4A">
        <w:rPr>
          <w:b/>
          <w:sz w:val="24"/>
          <w:szCs w:val="24"/>
        </w:rPr>
        <w:tab/>
        <w:t>DATO FOR FØRSTE MARKEDSFØRINGSTILLADELSE</w:t>
      </w:r>
    </w:p>
    <w:p w14:paraId="1032DE5B" w14:textId="0369CE8C" w:rsidR="009260DE" w:rsidRPr="00B24D4A" w:rsidRDefault="004F490A" w:rsidP="00B24D4A">
      <w:pPr>
        <w:tabs>
          <w:tab w:val="left" w:pos="851"/>
        </w:tabs>
        <w:ind w:left="851" w:hanging="851"/>
        <w:rPr>
          <w:sz w:val="24"/>
          <w:szCs w:val="24"/>
        </w:rPr>
      </w:pPr>
      <w:r>
        <w:rPr>
          <w:sz w:val="24"/>
          <w:szCs w:val="24"/>
        </w:rPr>
        <w:tab/>
      </w:r>
      <w:r w:rsidR="005C603C">
        <w:rPr>
          <w:sz w:val="24"/>
          <w:szCs w:val="24"/>
        </w:rPr>
        <w:t>24. september 2019 (</w:t>
      </w:r>
      <w:proofErr w:type="spellStart"/>
      <w:r w:rsidR="005C603C">
        <w:rPr>
          <w:sz w:val="24"/>
          <w:szCs w:val="24"/>
        </w:rPr>
        <w:t>enterotabletter</w:t>
      </w:r>
      <w:proofErr w:type="spellEnd"/>
      <w:r w:rsidR="005C603C">
        <w:rPr>
          <w:sz w:val="24"/>
          <w:szCs w:val="24"/>
        </w:rPr>
        <w:t>)</w:t>
      </w:r>
    </w:p>
    <w:p w14:paraId="0A8911F8" w14:textId="77777777" w:rsidR="009260DE" w:rsidRPr="00B24D4A" w:rsidRDefault="009260DE" w:rsidP="00B24D4A">
      <w:pPr>
        <w:tabs>
          <w:tab w:val="left" w:pos="851"/>
        </w:tabs>
        <w:ind w:left="851" w:hanging="851"/>
        <w:rPr>
          <w:sz w:val="24"/>
          <w:szCs w:val="24"/>
        </w:rPr>
      </w:pPr>
    </w:p>
    <w:p w14:paraId="47830074" w14:textId="77777777" w:rsidR="009260DE" w:rsidRPr="00B24D4A" w:rsidRDefault="009260DE" w:rsidP="00B24D4A">
      <w:pPr>
        <w:tabs>
          <w:tab w:val="left" w:pos="851"/>
        </w:tabs>
        <w:ind w:left="851" w:hanging="851"/>
        <w:rPr>
          <w:b/>
          <w:sz w:val="24"/>
          <w:szCs w:val="24"/>
        </w:rPr>
      </w:pPr>
      <w:r w:rsidRPr="00B24D4A">
        <w:rPr>
          <w:b/>
          <w:sz w:val="24"/>
          <w:szCs w:val="24"/>
        </w:rPr>
        <w:t>10.</w:t>
      </w:r>
      <w:r w:rsidRPr="00B24D4A">
        <w:rPr>
          <w:b/>
          <w:sz w:val="24"/>
          <w:szCs w:val="24"/>
        </w:rPr>
        <w:tab/>
        <w:t>DATO FOR ÆNDRING AF TEKSTEN</w:t>
      </w:r>
    </w:p>
    <w:p w14:paraId="07B5462C" w14:textId="201B3E64" w:rsidR="009260DE" w:rsidRPr="00B24D4A" w:rsidRDefault="004F490A" w:rsidP="00B24D4A">
      <w:pPr>
        <w:tabs>
          <w:tab w:val="left" w:pos="851"/>
        </w:tabs>
        <w:ind w:left="851" w:hanging="851"/>
        <w:rPr>
          <w:sz w:val="24"/>
          <w:szCs w:val="24"/>
        </w:rPr>
      </w:pPr>
      <w:r>
        <w:rPr>
          <w:sz w:val="24"/>
          <w:szCs w:val="24"/>
        </w:rPr>
        <w:tab/>
      </w:r>
      <w:r w:rsidR="006D395F">
        <w:rPr>
          <w:sz w:val="24"/>
          <w:szCs w:val="24"/>
        </w:rPr>
        <w:t>18</w:t>
      </w:r>
      <w:r w:rsidR="00784398">
        <w:rPr>
          <w:sz w:val="24"/>
          <w:szCs w:val="24"/>
        </w:rPr>
        <w:t xml:space="preserve">. </w:t>
      </w:r>
      <w:r w:rsidR="005421B3">
        <w:rPr>
          <w:sz w:val="24"/>
          <w:szCs w:val="24"/>
        </w:rPr>
        <w:t>marts</w:t>
      </w:r>
      <w:r w:rsidR="00784398">
        <w:rPr>
          <w:sz w:val="24"/>
          <w:szCs w:val="24"/>
        </w:rPr>
        <w:t xml:space="preserve"> 202</w:t>
      </w:r>
      <w:r w:rsidR="005421B3">
        <w:rPr>
          <w:sz w:val="24"/>
          <w:szCs w:val="24"/>
        </w:rPr>
        <w:t>4</w:t>
      </w:r>
      <w:bookmarkStart w:id="0" w:name="_GoBack"/>
      <w:bookmarkEnd w:id="0"/>
    </w:p>
    <w:sectPr w:rsidR="009260DE" w:rsidRPr="00B24D4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CE52" w14:textId="77777777" w:rsidR="00A52E15" w:rsidRDefault="00A52E15">
      <w:r>
        <w:separator/>
      </w:r>
    </w:p>
  </w:endnote>
  <w:endnote w:type="continuationSeparator" w:id="0">
    <w:p w14:paraId="7B5AF82C" w14:textId="77777777" w:rsidR="00A52E15" w:rsidRDefault="00A5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270B" w14:textId="77777777" w:rsidR="000259B9" w:rsidRDefault="000259B9">
    <w:pPr>
      <w:pStyle w:val="Sidefod"/>
      <w:pBdr>
        <w:bottom w:val="single" w:sz="6" w:space="1" w:color="auto"/>
      </w:pBdr>
    </w:pPr>
  </w:p>
  <w:p w14:paraId="05D9C91C" w14:textId="77777777" w:rsidR="000259B9" w:rsidRDefault="000259B9" w:rsidP="00C42586">
    <w:pPr>
      <w:pStyle w:val="Sidefod"/>
      <w:tabs>
        <w:tab w:val="clear" w:pos="4819"/>
        <w:tab w:val="left" w:pos="8505"/>
      </w:tabs>
      <w:rPr>
        <w:i/>
        <w:sz w:val="18"/>
        <w:szCs w:val="18"/>
      </w:rPr>
    </w:pPr>
  </w:p>
  <w:p w14:paraId="0F04F12B" w14:textId="78D3E31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F2F02">
      <w:rPr>
        <w:i/>
        <w:noProof/>
        <w:sz w:val="18"/>
        <w:szCs w:val="18"/>
      </w:rPr>
      <w:t>Mesalazin Orion, suppositorier 1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59C8" w14:textId="77777777" w:rsidR="00A52E15" w:rsidRDefault="00A52E15">
      <w:r>
        <w:separator/>
      </w:r>
    </w:p>
  </w:footnote>
  <w:footnote w:type="continuationSeparator" w:id="0">
    <w:p w14:paraId="6B3A4E7D" w14:textId="77777777" w:rsidR="00A52E15" w:rsidRDefault="00A5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14208D"/>
    <w:multiLevelType w:val="hybridMultilevel"/>
    <w:tmpl w:val="DE40E358"/>
    <w:lvl w:ilvl="0" w:tplc="D3F859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343E4A"/>
    <w:multiLevelType w:val="hybridMultilevel"/>
    <w:tmpl w:val="73D88F40"/>
    <w:lvl w:ilvl="0" w:tplc="841CAA94">
      <w:start w:val="2"/>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387A21"/>
    <w:multiLevelType w:val="hybridMultilevel"/>
    <w:tmpl w:val="F432E78C"/>
    <w:lvl w:ilvl="0" w:tplc="0C98A63C">
      <w:start w:val="4"/>
      <w:numFmt w:val="bullet"/>
      <w:lvlText w:val="-"/>
      <w:lvlJc w:val="left"/>
      <w:pPr>
        <w:ind w:left="927" w:hanging="360"/>
      </w:pPr>
      <w:rPr>
        <w:rFonts w:ascii="Times New Roman" w:eastAsia="Times New Roman" w:hAnsi="Times New Roman" w:cs="Times New Roman" w:hint="default"/>
        <w:color w:val="auto"/>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8" w15:restartNumberingAfterBreak="0">
    <w:nsid w:val="70780A68"/>
    <w:multiLevelType w:val="hybridMultilevel"/>
    <w:tmpl w:val="C9068728"/>
    <w:lvl w:ilvl="0" w:tplc="D3F859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15"/>
    <w:rsid w:val="000259B9"/>
    <w:rsid w:val="00041491"/>
    <w:rsid w:val="00050D16"/>
    <w:rsid w:val="00074F2A"/>
    <w:rsid w:val="000A1CA8"/>
    <w:rsid w:val="000A466B"/>
    <w:rsid w:val="000B058C"/>
    <w:rsid w:val="000E4EE6"/>
    <w:rsid w:val="001454E2"/>
    <w:rsid w:val="00206CE8"/>
    <w:rsid w:val="0021526C"/>
    <w:rsid w:val="00257A57"/>
    <w:rsid w:val="00283A2B"/>
    <w:rsid w:val="002B30AD"/>
    <w:rsid w:val="002C2C01"/>
    <w:rsid w:val="002F2F02"/>
    <w:rsid w:val="003168EA"/>
    <w:rsid w:val="003A29AE"/>
    <w:rsid w:val="003A32D7"/>
    <w:rsid w:val="003B4074"/>
    <w:rsid w:val="003C769A"/>
    <w:rsid w:val="003F1838"/>
    <w:rsid w:val="0045746C"/>
    <w:rsid w:val="0049104B"/>
    <w:rsid w:val="004E3B12"/>
    <w:rsid w:val="004F490A"/>
    <w:rsid w:val="00516F31"/>
    <w:rsid w:val="00532310"/>
    <w:rsid w:val="005421B3"/>
    <w:rsid w:val="00565F0F"/>
    <w:rsid w:val="00567C9D"/>
    <w:rsid w:val="00580A5A"/>
    <w:rsid w:val="00594A86"/>
    <w:rsid w:val="00596D86"/>
    <w:rsid w:val="005C603C"/>
    <w:rsid w:val="00607261"/>
    <w:rsid w:val="00626031"/>
    <w:rsid w:val="00637F5A"/>
    <w:rsid w:val="0065262B"/>
    <w:rsid w:val="006560B1"/>
    <w:rsid w:val="006756DD"/>
    <w:rsid w:val="006B3F3A"/>
    <w:rsid w:val="006D395F"/>
    <w:rsid w:val="00737275"/>
    <w:rsid w:val="00740EEC"/>
    <w:rsid w:val="0078011A"/>
    <w:rsid w:val="00782AF4"/>
    <w:rsid w:val="00784398"/>
    <w:rsid w:val="00790EE7"/>
    <w:rsid w:val="007B6649"/>
    <w:rsid w:val="0082576E"/>
    <w:rsid w:val="00907F75"/>
    <w:rsid w:val="009260DE"/>
    <w:rsid w:val="0093258A"/>
    <w:rsid w:val="009C7BA3"/>
    <w:rsid w:val="009D1F5A"/>
    <w:rsid w:val="009E47DA"/>
    <w:rsid w:val="00A23A14"/>
    <w:rsid w:val="00A52E15"/>
    <w:rsid w:val="00B003BF"/>
    <w:rsid w:val="00B24D4A"/>
    <w:rsid w:val="00B373D7"/>
    <w:rsid w:val="00B77D4E"/>
    <w:rsid w:val="00BA075A"/>
    <w:rsid w:val="00C36276"/>
    <w:rsid w:val="00C42586"/>
    <w:rsid w:val="00C60CCD"/>
    <w:rsid w:val="00C84483"/>
    <w:rsid w:val="00C95551"/>
    <w:rsid w:val="00CB20D7"/>
    <w:rsid w:val="00D020B0"/>
    <w:rsid w:val="00D06FD4"/>
    <w:rsid w:val="00D11748"/>
    <w:rsid w:val="00D366CF"/>
    <w:rsid w:val="00E108AA"/>
    <w:rsid w:val="00E3749A"/>
    <w:rsid w:val="00E7107A"/>
    <w:rsid w:val="00E7437F"/>
    <w:rsid w:val="00E865B8"/>
    <w:rsid w:val="00E92BB5"/>
    <w:rsid w:val="00EC0B9B"/>
    <w:rsid w:val="00ED5E9F"/>
    <w:rsid w:val="00ED73D7"/>
    <w:rsid w:val="00EF0EEB"/>
    <w:rsid w:val="00F60F5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9DB53"/>
  <w15:chartTrackingRefBased/>
  <w15:docId w15:val="{BD26BBF1-9685-4CAF-B18E-0AB5F95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95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80A5A"/>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08424952">
      <w:bodyDiv w:val="1"/>
      <w:marLeft w:val="0"/>
      <w:marRight w:val="0"/>
      <w:marTop w:val="0"/>
      <w:marBottom w:val="0"/>
      <w:divBdr>
        <w:top w:val="none" w:sz="0" w:space="0" w:color="auto"/>
        <w:left w:val="none" w:sz="0" w:space="0" w:color="auto"/>
        <w:bottom w:val="none" w:sz="0" w:space="0" w:color="auto"/>
        <w:right w:val="none" w:sz="0" w:space="0" w:color="auto"/>
      </w:divBdr>
    </w:div>
    <w:div w:id="693654398">
      <w:bodyDiv w:val="1"/>
      <w:marLeft w:val="0"/>
      <w:marRight w:val="0"/>
      <w:marTop w:val="0"/>
      <w:marBottom w:val="0"/>
      <w:divBdr>
        <w:top w:val="none" w:sz="0" w:space="0" w:color="auto"/>
        <w:left w:val="none" w:sz="0" w:space="0" w:color="auto"/>
        <w:bottom w:val="none" w:sz="0" w:space="0" w:color="auto"/>
        <w:right w:val="none" w:sz="0" w:space="0" w:color="auto"/>
      </w:divBdr>
    </w:div>
    <w:div w:id="95945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1925</Words>
  <Characters>13456</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2023030830_x000d_
SPC pkt. 4.4 og 4.8</dc:description>
  <cp:lastModifiedBy>Victoria Alexsandra Ringgaard</cp:lastModifiedBy>
  <cp:revision>3</cp:revision>
  <cp:lastPrinted>2020-03-13T08:46:00Z</cp:lastPrinted>
  <dcterms:created xsi:type="dcterms:W3CDTF">2024-03-14T10:06:00Z</dcterms:created>
  <dcterms:modified xsi:type="dcterms:W3CDTF">2024-03-14T10:16:00Z</dcterms:modified>
</cp:coreProperties>
</file>