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3CD2" w:rsidRDefault="00973CD2" w:rsidP="00973CD2">
      <w:pPr>
        <w:rPr>
          <w:sz w:val="24"/>
          <w:szCs w:val="24"/>
        </w:rPr>
      </w:pPr>
      <w:r w:rsidRPr="009260DE">
        <w:rPr>
          <w:noProof/>
          <w:sz w:val="24"/>
          <w:szCs w:val="24"/>
          <w:lang w:eastAsia="da-DK"/>
        </w:rPr>
        <w:drawing>
          <wp:anchor distT="0" distB="0" distL="114300" distR="114300" simplePos="0" relativeHeight="251659264" behindDoc="0" locked="0" layoutInCell="1" allowOverlap="1" wp14:anchorId="1A30B36A" wp14:editId="595FA70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60AA1" w:rsidRPr="008F49E1" w:rsidRDefault="00960AA1" w:rsidP="00973CD2">
      <w:pPr>
        <w:rPr>
          <w:sz w:val="24"/>
          <w:szCs w:val="24"/>
        </w:rPr>
      </w:pPr>
    </w:p>
    <w:p w:rsidR="00973CD2" w:rsidRDefault="00973CD2" w:rsidP="00960AA1">
      <w:pPr>
        <w:pStyle w:val="Titel"/>
        <w:tabs>
          <w:tab w:val="right" w:pos="9356"/>
        </w:tabs>
        <w:jc w:val="left"/>
        <w:rPr>
          <w:b w:val="0"/>
          <w:szCs w:val="24"/>
          <w:lang w:eastAsia="en-US"/>
        </w:rPr>
      </w:pPr>
      <w:r w:rsidRPr="00C84483">
        <w:rPr>
          <w:b w:val="0"/>
          <w:szCs w:val="24"/>
          <w:lang w:eastAsia="en-US"/>
        </w:rPr>
        <w:tab/>
      </w:r>
      <w:r w:rsidR="00960AA1">
        <w:rPr>
          <w:szCs w:val="24"/>
        </w:rPr>
        <w:t>12</w:t>
      </w:r>
      <w:r w:rsidR="00035DD4">
        <w:rPr>
          <w:szCs w:val="24"/>
        </w:rPr>
        <w:t xml:space="preserve">. </w:t>
      </w:r>
      <w:r w:rsidR="00960AA1">
        <w:rPr>
          <w:szCs w:val="24"/>
        </w:rPr>
        <w:t>juli</w:t>
      </w:r>
      <w:r w:rsidR="00035DD4">
        <w:rPr>
          <w:szCs w:val="24"/>
        </w:rPr>
        <w:t xml:space="preserve"> 202</w:t>
      </w:r>
      <w:r w:rsidR="00960AA1">
        <w:rPr>
          <w:szCs w:val="24"/>
        </w:rPr>
        <w:t>4</w:t>
      </w:r>
    </w:p>
    <w:p w:rsidR="00960AA1" w:rsidRPr="00C84483" w:rsidRDefault="00960AA1" w:rsidP="00960AA1">
      <w:pPr>
        <w:pStyle w:val="Titel"/>
        <w:tabs>
          <w:tab w:val="right" w:pos="9356"/>
        </w:tabs>
        <w:jc w:val="left"/>
        <w:rPr>
          <w:b w:val="0"/>
          <w:szCs w:val="24"/>
          <w:lang w:eastAsia="en-US"/>
        </w:rPr>
      </w:pPr>
    </w:p>
    <w:p w:rsidR="00973CD2" w:rsidRPr="00C84483" w:rsidRDefault="00973CD2" w:rsidP="00973CD2">
      <w:pPr>
        <w:pStyle w:val="Titel"/>
        <w:jc w:val="left"/>
        <w:rPr>
          <w:b w:val="0"/>
          <w:szCs w:val="24"/>
        </w:rPr>
      </w:pPr>
    </w:p>
    <w:p w:rsidR="00973CD2" w:rsidRPr="00C84483" w:rsidRDefault="00973CD2" w:rsidP="00973CD2">
      <w:pPr>
        <w:pStyle w:val="Titel"/>
        <w:jc w:val="left"/>
        <w:rPr>
          <w:b w:val="0"/>
          <w:szCs w:val="24"/>
        </w:rPr>
      </w:pPr>
    </w:p>
    <w:p w:rsidR="00973CD2" w:rsidRPr="00C84483" w:rsidRDefault="00973CD2" w:rsidP="00973CD2">
      <w:pPr>
        <w:jc w:val="center"/>
        <w:rPr>
          <w:b/>
          <w:sz w:val="24"/>
          <w:szCs w:val="24"/>
        </w:rPr>
      </w:pPr>
      <w:r w:rsidRPr="00C84483">
        <w:rPr>
          <w:b/>
          <w:sz w:val="24"/>
          <w:szCs w:val="24"/>
        </w:rPr>
        <w:t>PRODUKTRESUMÉ</w:t>
      </w:r>
    </w:p>
    <w:p w:rsidR="00973CD2" w:rsidRPr="00C84483" w:rsidRDefault="00973CD2" w:rsidP="00DE1CC0">
      <w:pPr>
        <w:rPr>
          <w:b/>
          <w:sz w:val="24"/>
          <w:szCs w:val="24"/>
        </w:rPr>
      </w:pPr>
    </w:p>
    <w:p w:rsidR="00973CD2" w:rsidRDefault="00973CD2" w:rsidP="00973CD2">
      <w:pPr>
        <w:jc w:val="center"/>
        <w:rPr>
          <w:b/>
          <w:sz w:val="24"/>
          <w:szCs w:val="24"/>
        </w:rPr>
      </w:pPr>
      <w:r w:rsidRPr="00C84483">
        <w:rPr>
          <w:b/>
          <w:sz w:val="24"/>
          <w:szCs w:val="24"/>
        </w:rPr>
        <w:t>for</w:t>
      </w:r>
    </w:p>
    <w:p w:rsidR="00973CD2" w:rsidRPr="00C84483" w:rsidRDefault="00973CD2" w:rsidP="00973CD2">
      <w:pPr>
        <w:jc w:val="center"/>
        <w:rPr>
          <w:b/>
          <w:sz w:val="24"/>
          <w:szCs w:val="24"/>
        </w:rPr>
      </w:pPr>
    </w:p>
    <w:p w:rsidR="00973CD2" w:rsidRPr="00C84483" w:rsidRDefault="00973CD2" w:rsidP="00973CD2">
      <w:pPr>
        <w:jc w:val="center"/>
        <w:rPr>
          <w:b/>
          <w:sz w:val="24"/>
          <w:szCs w:val="24"/>
        </w:rPr>
      </w:pPr>
      <w:r>
        <w:rPr>
          <w:b/>
          <w:sz w:val="24"/>
          <w:szCs w:val="24"/>
        </w:rPr>
        <w:t>Metadon "2care4", tabletter 5 mg og 10 mg</w:t>
      </w:r>
    </w:p>
    <w:p w:rsidR="00973CD2" w:rsidRPr="00C84483" w:rsidRDefault="00973CD2" w:rsidP="00973CD2">
      <w:pPr>
        <w:jc w:val="both"/>
        <w:rPr>
          <w:sz w:val="24"/>
          <w:szCs w:val="24"/>
        </w:rPr>
      </w:pPr>
    </w:p>
    <w:p w:rsidR="00973CD2" w:rsidRPr="00C84483" w:rsidRDefault="00973CD2" w:rsidP="00973CD2">
      <w:pPr>
        <w:jc w:val="both"/>
        <w:rPr>
          <w:sz w:val="24"/>
          <w:szCs w:val="24"/>
        </w:rPr>
      </w:pPr>
    </w:p>
    <w:p w:rsidR="00973CD2" w:rsidRPr="00C84483" w:rsidRDefault="00973CD2" w:rsidP="00973CD2">
      <w:pPr>
        <w:tabs>
          <w:tab w:val="left" w:pos="851"/>
        </w:tabs>
        <w:ind w:left="851" w:hanging="851"/>
        <w:rPr>
          <w:b/>
          <w:sz w:val="24"/>
          <w:szCs w:val="24"/>
        </w:rPr>
      </w:pPr>
      <w:r w:rsidRPr="00C84483">
        <w:rPr>
          <w:b/>
          <w:sz w:val="24"/>
          <w:szCs w:val="24"/>
        </w:rPr>
        <w:t>0.</w:t>
      </w:r>
      <w:r w:rsidRPr="00C84483">
        <w:rPr>
          <w:b/>
          <w:sz w:val="24"/>
          <w:szCs w:val="24"/>
        </w:rPr>
        <w:tab/>
        <w:t>D.SP.NR.</w:t>
      </w:r>
    </w:p>
    <w:p w:rsidR="00973CD2" w:rsidRPr="00C84483" w:rsidRDefault="00973CD2" w:rsidP="00973CD2">
      <w:pPr>
        <w:tabs>
          <w:tab w:val="left" w:pos="851"/>
        </w:tabs>
        <w:ind w:left="851"/>
        <w:rPr>
          <w:sz w:val="24"/>
          <w:szCs w:val="24"/>
        </w:rPr>
      </w:pPr>
      <w:r>
        <w:rPr>
          <w:sz w:val="24"/>
          <w:szCs w:val="24"/>
        </w:rPr>
        <w:t>30849</w:t>
      </w:r>
    </w:p>
    <w:p w:rsidR="00973CD2" w:rsidRPr="00C84483" w:rsidRDefault="00973CD2" w:rsidP="00973CD2">
      <w:pPr>
        <w:tabs>
          <w:tab w:val="left" w:pos="851"/>
        </w:tabs>
        <w:ind w:left="851"/>
        <w:rPr>
          <w:sz w:val="24"/>
          <w:szCs w:val="24"/>
        </w:rPr>
      </w:pPr>
    </w:p>
    <w:p w:rsidR="00973CD2" w:rsidRPr="00C84483" w:rsidRDefault="00973CD2" w:rsidP="00973CD2">
      <w:pPr>
        <w:tabs>
          <w:tab w:val="left" w:pos="851"/>
        </w:tabs>
        <w:ind w:left="851" w:hanging="851"/>
        <w:rPr>
          <w:b/>
          <w:sz w:val="24"/>
          <w:szCs w:val="24"/>
        </w:rPr>
      </w:pPr>
      <w:r w:rsidRPr="00C84483">
        <w:rPr>
          <w:b/>
          <w:sz w:val="24"/>
          <w:szCs w:val="24"/>
        </w:rPr>
        <w:t>1.</w:t>
      </w:r>
      <w:r w:rsidRPr="00C84483">
        <w:rPr>
          <w:b/>
          <w:sz w:val="24"/>
          <w:szCs w:val="24"/>
        </w:rPr>
        <w:tab/>
        <w:t>LÆGEMIDLETS NAVN</w:t>
      </w:r>
    </w:p>
    <w:p w:rsidR="00973CD2" w:rsidRPr="00C84483" w:rsidRDefault="00973CD2" w:rsidP="00973CD2">
      <w:pPr>
        <w:tabs>
          <w:tab w:val="left" w:pos="851"/>
        </w:tabs>
        <w:ind w:left="851"/>
        <w:rPr>
          <w:sz w:val="24"/>
          <w:szCs w:val="24"/>
        </w:rPr>
      </w:pPr>
      <w:r>
        <w:rPr>
          <w:sz w:val="24"/>
          <w:szCs w:val="24"/>
        </w:rPr>
        <w:t>Metadon "2care4"</w:t>
      </w:r>
    </w:p>
    <w:p w:rsidR="00973CD2" w:rsidRPr="00C84483" w:rsidRDefault="00973CD2" w:rsidP="00973CD2">
      <w:pPr>
        <w:tabs>
          <w:tab w:val="left" w:pos="851"/>
        </w:tabs>
        <w:ind w:left="851"/>
        <w:rPr>
          <w:sz w:val="24"/>
          <w:szCs w:val="24"/>
        </w:rPr>
      </w:pPr>
    </w:p>
    <w:p w:rsidR="00973CD2" w:rsidRPr="00C84483" w:rsidRDefault="00973CD2" w:rsidP="00973CD2">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73CD2" w:rsidRPr="006566F7" w:rsidRDefault="00973CD2" w:rsidP="00973CD2">
      <w:pPr>
        <w:tabs>
          <w:tab w:val="left" w:pos="851"/>
        </w:tabs>
        <w:autoSpaceDE w:val="0"/>
        <w:autoSpaceDN w:val="0"/>
        <w:adjustRightInd w:val="0"/>
        <w:ind w:left="851"/>
        <w:rPr>
          <w:sz w:val="24"/>
          <w:szCs w:val="24"/>
          <w:lang w:eastAsia="da-DK"/>
        </w:rPr>
      </w:pPr>
      <w:r w:rsidRPr="006566F7">
        <w:rPr>
          <w:sz w:val="24"/>
          <w:szCs w:val="24"/>
          <w:lang w:eastAsia="da-DK"/>
        </w:rPr>
        <w:t xml:space="preserve">Hver 5 mg tablet indeholder 5 mg </w:t>
      </w:r>
      <w:proofErr w:type="spellStart"/>
      <w:r w:rsidRPr="006566F7">
        <w:rPr>
          <w:sz w:val="24"/>
          <w:szCs w:val="24"/>
          <w:lang w:eastAsia="da-DK"/>
        </w:rPr>
        <w:t>methadonhydrochlorid</w:t>
      </w:r>
      <w:proofErr w:type="spellEnd"/>
      <w:r w:rsidRPr="006566F7">
        <w:rPr>
          <w:sz w:val="24"/>
          <w:szCs w:val="24"/>
          <w:lang w:eastAsia="da-DK"/>
        </w:rPr>
        <w:t>.</w:t>
      </w:r>
    </w:p>
    <w:p w:rsidR="00973CD2" w:rsidRPr="006566F7" w:rsidRDefault="00973CD2" w:rsidP="00973CD2">
      <w:pPr>
        <w:tabs>
          <w:tab w:val="left" w:pos="851"/>
        </w:tabs>
        <w:ind w:left="851"/>
        <w:rPr>
          <w:sz w:val="24"/>
          <w:szCs w:val="24"/>
          <w:lang w:eastAsia="da-DK"/>
        </w:rPr>
      </w:pPr>
      <w:r w:rsidRPr="006566F7">
        <w:rPr>
          <w:sz w:val="24"/>
          <w:szCs w:val="24"/>
          <w:lang w:eastAsia="da-DK"/>
        </w:rPr>
        <w:t xml:space="preserve">Hver 10 mg tablet indeholder 10 mg </w:t>
      </w:r>
      <w:proofErr w:type="spellStart"/>
      <w:r w:rsidRPr="006566F7">
        <w:rPr>
          <w:sz w:val="24"/>
          <w:szCs w:val="24"/>
          <w:lang w:eastAsia="da-DK"/>
        </w:rPr>
        <w:t>methadonhydrochlorid</w:t>
      </w:r>
      <w:proofErr w:type="spellEnd"/>
      <w:r w:rsidRPr="006566F7">
        <w:rPr>
          <w:sz w:val="24"/>
          <w:szCs w:val="24"/>
          <w:lang w:eastAsia="da-DK"/>
        </w:rPr>
        <w:t>.</w:t>
      </w:r>
    </w:p>
    <w:p w:rsidR="00973CD2" w:rsidRPr="006566F7" w:rsidRDefault="00973CD2" w:rsidP="00973CD2">
      <w:pPr>
        <w:tabs>
          <w:tab w:val="left" w:pos="851"/>
        </w:tabs>
        <w:autoSpaceDE w:val="0"/>
        <w:autoSpaceDN w:val="0"/>
        <w:adjustRightInd w:val="0"/>
        <w:ind w:left="851"/>
        <w:rPr>
          <w:sz w:val="24"/>
          <w:szCs w:val="24"/>
          <w:u w:val="single"/>
          <w:lang w:eastAsia="da-DK"/>
        </w:rPr>
      </w:pPr>
    </w:p>
    <w:p w:rsidR="00973CD2" w:rsidRPr="006566F7" w:rsidRDefault="00973CD2" w:rsidP="00973CD2">
      <w:pPr>
        <w:tabs>
          <w:tab w:val="left" w:pos="851"/>
        </w:tabs>
        <w:autoSpaceDE w:val="0"/>
        <w:autoSpaceDN w:val="0"/>
        <w:adjustRightInd w:val="0"/>
        <w:ind w:left="851"/>
        <w:rPr>
          <w:iCs/>
          <w:sz w:val="24"/>
          <w:szCs w:val="24"/>
          <w:u w:val="single"/>
          <w:lang w:eastAsia="da-DK"/>
        </w:rPr>
      </w:pPr>
      <w:r w:rsidRPr="006566F7">
        <w:rPr>
          <w:sz w:val="24"/>
          <w:szCs w:val="24"/>
          <w:u w:val="single"/>
          <w:lang w:eastAsia="da-DK"/>
        </w:rPr>
        <w:t>Hjælpestof, som behandleren skal være opmærksom på</w:t>
      </w:r>
    </w:p>
    <w:p w:rsidR="00973CD2" w:rsidRPr="006566F7" w:rsidRDefault="00973CD2" w:rsidP="00973CD2">
      <w:pPr>
        <w:tabs>
          <w:tab w:val="left" w:pos="851"/>
        </w:tabs>
        <w:ind w:left="851"/>
        <w:rPr>
          <w:sz w:val="24"/>
          <w:szCs w:val="24"/>
          <w:lang w:eastAsia="da-DK"/>
        </w:rPr>
      </w:pPr>
      <w:r w:rsidRPr="006566F7">
        <w:rPr>
          <w:sz w:val="24"/>
          <w:szCs w:val="24"/>
          <w:lang w:eastAsia="da-DK"/>
        </w:rPr>
        <w:t xml:space="preserve">Hver 5 mg tablet indeholder 157 </w:t>
      </w:r>
      <w:r>
        <w:rPr>
          <w:sz w:val="24"/>
          <w:szCs w:val="24"/>
          <w:lang w:eastAsia="da-DK"/>
        </w:rPr>
        <w:t>mg </w:t>
      </w:r>
      <w:proofErr w:type="spellStart"/>
      <w:r>
        <w:rPr>
          <w:sz w:val="24"/>
          <w:szCs w:val="24"/>
          <w:lang w:eastAsia="da-DK"/>
        </w:rPr>
        <w:t>lactosemonohydrat</w:t>
      </w:r>
      <w:proofErr w:type="spellEnd"/>
      <w:r>
        <w:rPr>
          <w:sz w:val="24"/>
          <w:szCs w:val="24"/>
          <w:lang w:eastAsia="da-DK"/>
        </w:rPr>
        <w:t>.</w:t>
      </w:r>
    </w:p>
    <w:p w:rsidR="00973CD2" w:rsidRPr="006566F7" w:rsidRDefault="00973CD2" w:rsidP="00973CD2">
      <w:pPr>
        <w:tabs>
          <w:tab w:val="left" w:pos="851"/>
        </w:tabs>
        <w:ind w:left="851"/>
        <w:rPr>
          <w:sz w:val="24"/>
          <w:szCs w:val="24"/>
          <w:lang w:eastAsia="da-DK"/>
        </w:rPr>
      </w:pPr>
      <w:r w:rsidRPr="006566F7">
        <w:rPr>
          <w:sz w:val="24"/>
          <w:szCs w:val="24"/>
          <w:lang w:eastAsia="da-DK"/>
        </w:rPr>
        <w:t xml:space="preserve">Hver 10 mg tablet indeholder 71 </w:t>
      </w:r>
      <w:r>
        <w:rPr>
          <w:sz w:val="24"/>
          <w:szCs w:val="24"/>
          <w:lang w:eastAsia="da-DK"/>
        </w:rPr>
        <w:t>mg </w:t>
      </w:r>
      <w:proofErr w:type="spellStart"/>
      <w:r>
        <w:rPr>
          <w:sz w:val="24"/>
          <w:szCs w:val="24"/>
          <w:lang w:eastAsia="da-DK"/>
        </w:rPr>
        <w:t>lactosemonohydrat</w:t>
      </w:r>
      <w:proofErr w:type="spellEnd"/>
      <w:r>
        <w:rPr>
          <w:sz w:val="24"/>
          <w:szCs w:val="24"/>
          <w:lang w:eastAsia="da-DK"/>
        </w:rPr>
        <w:t>.</w:t>
      </w:r>
    </w:p>
    <w:p w:rsidR="00973CD2" w:rsidRPr="006566F7" w:rsidRDefault="00973CD2" w:rsidP="00973CD2">
      <w:pPr>
        <w:tabs>
          <w:tab w:val="left" w:pos="851"/>
        </w:tabs>
        <w:ind w:left="851"/>
        <w:rPr>
          <w:sz w:val="24"/>
          <w:szCs w:val="24"/>
          <w:lang w:eastAsia="da-DK"/>
        </w:rPr>
      </w:pPr>
    </w:p>
    <w:p w:rsidR="00973CD2" w:rsidRPr="00C84483" w:rsidRDefault="00973CD2" w:rsidP="00973CD2">
      <w:pPr>
        <w:tabs>
          <w:tab w:val="left" w:pos="851"/>
        </w:tabs>
        <w:ind w:left="851"/>
        <w:rPr>
          <w:sz w:val="24"/>
          <w:szCs w:val="24"/>
          <w:lang w:eastAsia="da-DK"/>
        </w:rPr>
      </w:pPr>
      <w:r w:rsidRPr="006566F7">
        <w:rPr>
          <w:sz w:val="24"/>
          <w:szCs w:val="24"/>
          <w:lang w:eastAsia="da-DK"/>
        </w:rPr>
        <w:t>Alle hjælpestoffer er anført under pkt. 6.1.</w:t>
      </w:r>
    </w:p>
    <w:p w:rsidR="00973CD2" w:rsidRPr="00C84483" w:rsidRDefault="00973CD2" w:rsidP="00973CD2">
      <w:pPr>
        <w:tabs>
          <w:tab w:val="left" w:pos="851"/>
        </w:tabs>
        <w:ind w:left="851"/>
        <w:rPr>
          <w:sz w:val="24"/>
          <w:szCs w:val="24"/>
        </w:rPr>
      </w:pPr>
    </w:p>
    <w:p w:rsidR="00973CD2" w:rsidRPr="00C84483" w:rsidRDefault="00973CD2" w:rsidP="00973CD2">
      <w:pPr>
        <w:tabs>
          <w:tab w:val="left" w:pos="851"/>
        </w:tabs>
        <w:ind w:left="851" w:hanging="851"/>
        <w:rPr>
          <w:b/>
          <w:sz w:val="24"/>
          <w:szCs w:val="24"/>
        </w:rPr>
      </w:pPr>
      <w:r w:rsidRPr="00C84483">
        <w:rPr>
          <w:b/>
          <w:sz w:val="24"/>
          <w:szCs w:val="24"/>
        </w:rPr>
        <w:t>3.</w:t>
      </w:r>
      <w:r w:rsidRPr="00C84483">
        <w:rPr>
          <w:b/>
          <w:sz w:val="24"/>
          <w:szCs w:val="24"/>
        </w:rPr>
        <w:tab/>
        <w:t>LÆGEMIDDELFORM</w:t>
      </w:r>
    </w:p>
    <w:p w:rsidR="00973CD2" w:rsidRPr="006566F7" w:rsidRDefault="00973CD2" w:rsidP="00973CD2">
      <w:pPr>
        <w:tabs>
          <w:tab w:val="left" w:pos="851"/>
        </w:tabs>
        <w:ind w:left="851"/>
        <w:rPr>
          <w:sz w:val="24"/>
          <w:szCs w:val="24"/>
          <w:lang w:eastAsia="da-DK"/>
        </w:rPr>
      </w:pPr>
      <w:r w:rsidRPr="006566F7">
        <w:rPr>
          <w:sz w:val="24"/>
          <w:szCs w:val="24"/>
          <w:lang w:eastAsia="da-DK"/>
        </w:rPr>
        <w:t>Tablet</w:t>
      </w:r>
      <w:r>
        <w:rPr>
          <w:sz w:val="24"/>
          <w:szCs w:val="24"/>
          <w:lang w:eastAsia="da-DK"/>
        </w:rPr>
        <w:t>ter</w:t>
      </w:r>
    </w:p>
    <w:p w:rsidR="00973CD2" w:rsidRPr="006566F7" w:rsidRDefault="00973CD2" w:rsidP="00973CD2">
      <w:pPr>
        <w:tabs>
          <w:tab w:val="left" w:pos="851"/>
        </w:tabs>
        <w:ind w:left="851"/>
        <w:rPr>
          <w:sz w:val="24"/>
          <w:szCs w:val="24"/>
          <w:lang w:eastAsia="da-DK"/>
        </w:rPr>
      </w:pPr>
    </w:p>
    <w:p w:rsidR="00973CD2" w:rsidRPr="0012786A" w:rsidRDefault="00973CD2" w:rsidP="00973CD2">
      <w:pPr>
        <w:tabs>
          <w:tab w:val="left" w:pos="851"/>
        </w:tabs>
        <w:ind w:left="851"/>
        <w:rPr>
          <w:sz w:val="24"/>
          <w:szCs w:val="24"/>
          <w:u w:val="single"/>
          <w:lang w:eastAsia="da-DK"/>
        </w:rPr>
      </w:pPr>
      <w:r w:rsidRPr="006566F7">
        <w:rPr>
          <w:sz w:val="24"/>
          <w:szCs w:val="24"/>
          <w:u w:val="single"/>
          <w:lang w:eastAsia="da-DK"/>
        </w:rPr>
        <w:t>5 mg</w:t>
      </w:r>
    </w:p>
    <w:p w:rsidR="00973CD2" w:rsidRPr="006566F7" w:rsidRDefault="00973CD2" w:rsidP="00973CD2">
      <w:pPr>
        <w:tabs>
          <w:tab w:val="left" w:pos="851"/>
        </w:tabs>
        <w:ind w:left="851"/>
        <w:rPr>
          <w:sz w:val="24"/>
          <w:szCs w:val="24"/>
          <w:lang w:eastAsia="da-DK"/>
        </w:rPr>
      </w:pPr>
      <w:r>
        <w:rPr>
          <w:sz w:val="24"/>
          <w:szCs w:val="24"/>
          <w:lang w:eastAsia="da-DK"/>
        </w:rPr>
        <w:t>H</w:t>
      </w:r>
      <w:r w:rsidRPr="006566F7">
        <w:rPr>
          <w:sz w:val="24"/>
          <w:szCs w:val="24"/>
          <w:lang w:eastAsia="da-DK"/>
        </w:rPr>
        <w:t xml:space="preserve">vide eller næsten hvide, runde og flade tabletter med en diameter på 8 mm. Tabletterne er mærket </w:t>
      </w:r>
      <w:r w:rsidRPr="006566F7">
        <w:rPr>
          <w:sz w:val="24"/>
          <w:szCs w:val="24"/>
          <w:cs/>
          <w:lang w:eastAsia="da-DK"/>
        </w:rPr>
        <w:t>‘</w:t>
      </w:r>
      <w:r w:rsidRPr="006566F7">
        <w:rPr>
          <w:sz w:val="24"/>
          <w:szCs w:val="24"/>
          <w:lang w:eastAsia="da-DK"/>
        </w:rPr>
        <w:t>5</w:t>
      </w:r>
      <w:r w:rsidRPr="006566F7">
        <w:rPr>
          <w:sz w:val="24"/>
          <w:szCs w:val="24"/>
          <w:cs/>
          <w:lang w:eastAsia="da-DK"/>
        </w:rPr>
        <w:t xml:space="preserve">’ </w:t>
      </w:r>
      <w:r w:rsidRPr="006566F7">
        <w:rPr>
          <w:sz w:val="24"/>
          <w:szCs w:val="24"/>
          <w:lang w:eastAsia="da-DK"/>
        </w:rPr>
        <w:t xml:space="preserve">på den ene side og har delekærv på den anden side. </w:t>
      </w:r>
    </w:p>
    <w:p w:rsidR="00973CD2" w:rsidRPr="006566F7" w:rsidRDefault="00973CD2" w:rsidP="00973CD2">
      <w:pPr>
        <w:tabs>
          <w:tab w:val="left" w:pos="851"/>
        </w:tabs>
        <w:ind w:left="851"/>
        <w:rPr>
          <w:sz w:val="24"/>
          <w:szCs w:val="24"/>
          <w:lang w:eastAsia="da-DK"/>
        </w:rPr>
      </w:pPr>
      <w:r w:rsidRPr="006566F7">
        <w:rPr>
          <w:sz w:val="24"/>
          <w:szCs w:val="24"/>
          <w:lang w:eastAsia="da-DK"/>
        </w:rPr>
        <w:t>Tabletten kan deles i to lige store doser.</w:t>
      </w:r>
    </w:p>
    <w:p w:rsidR="00973CD2" w:rsidRPr="006566F7" w:rsidRDefault="00973CD2" w:rsidP="00973CD2">
      <w:pPr>
        <w:tabs>
          <w:tab w:val="left" w:pos="851"/>
        </w:tabs>
        <w:ind w:left="851"/>
        <w:rPr>
          <w:sz w:val="24"/>
          <w:szCs w:val="24"/>
          <w:lang w:eastAsia="da-DK"/>
        </w:rPr>
      </w:pPr>
    </w:p>
    <w:p w:rsidR="00973CD2" w:rsidRPr="0012786A" w:rsidRDefault="00973CD2" w:rsidP="00973CD2">
      <w:pPr>
        <w:tabs>
          <w:tab w:val="left" w:pos="851"/>
        </w:tabs>
        <w:ind w:left="851"/>
        <w:rPr>
          <w:sz w:val="24"/>
          <w:szCs w:val="24"/>
          <w:u w:val="single"/>
          <w:lang w:eastAsia="da-DK"/>
        </w:rPr>
      </w:pPr>
      <w:r w:rsidRPr="006566F7">
        <w:rPr>
          <w:sz w:val="24"/>
          <w:szCs w:val="24"/>
          <w:u w:val="single"/>
          <w:lang w:eastAsia="da-DK"/>
        </w:rPr>
        <w:t>10 mg</w:t>
      </w:r>
    </w:p>
    <w:p w:rsidR="00973CD2" w:rsidRPr="006566F7" w:rsidRDefault="00973CD2" w:rsidP="00973CD2">
      <w:pPr>
        <w:tabs>
          <w:tab w:val="left" w:pos="851"/>
        </w:tabs>
        <w:ind w:left="851"/>
        <w:rPr>
          <w:sz w:val="24"/>
          <w:szCs w:val="24"/>
          <w:lang w:eastAsia="da-DK"/>
        </w:rPr>
      </w:pPr>
      <w:r>
        <w:rPr>
          <w:sz w:val="24"/>
          <w:szCs w:val="24"/>
          <w:lang w:eastAsia="da-DK"/>
        </w:rPr>
        <w:t>H</w:t>
      </w:r>
      <w:r w:rsidRPr="006566F7">
        <w:rPr>
          <w:sz w:val="24"/>
          <w:szCs w:val="24"/>
          <w:lang w:eastAsia="da-DK"/>
        </w:rPr>
        <w:t xml:space="preserve">vide eller næsten hvide, runde og flade tabletter </w:t>
      </w:r>
      <w:r w:rsidR="00960AA1">
        <w:rPr>
          <w:sz w:val="24"/>
          <w:szCs w:val="24"/>
          <w:lang w:eastAsia="da-DK"/>
        </w:rPr>
        <w:t xml:space="preserve">med en diameter </w:t>
      </w:r>
      <w:r w:rsidRPr="006566F7">
        <w:rPr>
          <w:sz w:val="24"/>
          <w:szCs w:val="24"/>
          <w:lang w:eastAsia="da-DK"/>
        </w:rPr>
        <w:t xml:space="preserve">på 6 mm. Tabletterne er mærket </w:t>
      </w:r>
      <w:r w:rsidRPr="006566F7">
        <w:rPr>
          <w:sz w:val="24"/>
          <w:szCs w:val="24"/>
          <w:cs/>
          <w:lang w:eastAsia="da-DK"/>
        </w:rPr>
        <w:t>‘</w:t>
      </w:r>
      <w:r w:rsidRPr="006566F7">
        <w:rPr>
          <w:sz w:val="24"/>
          <w:szCs w:val="24"/>
          <w:lang w:eastAsia="da-DK"/>
        </w:rPr>
        <w:t>10</w:t>
      </w:r>
      <w:r w:rsidRPr="006566F7">
        <w:rPr>
          <w:sz w:val="24"/>
          <w:szCs w:val="24"/>
          <w:cs/>
          <w:lang w:eastAsia="da-DK"/>
        </w:rPr>
        <w:t xml:space="preserve">’ </w:t>
      </w:r>
      <w:r w:rsidRPr="006566F7">
        <w:rPr>
          <w:sz w:val="24"/>
          <w:szCs w:val="24"/>
          <w:lang w:eastAsia="da-DK"/>
        </w:rPr>
        <w:t xml:space="preserve">på den ene side og har delekærv på den anden side. </w:t>
      </w:r>
    </w:p>
    <w:p w:rsidR="00973CD2" w:rsidRDefault="00973CD2" w:rsidP="00973CD2">
      <w:pPr>
        <w:tabs>
          <w:tab w:val="left" w:pos="851"/>
        </w:tabs>
        <w:ind w:left="851"/>
        <w:rPr>
          <w:sz w:val="24"/>
          <w:szCs w:val="24"/>
          <w:lang w:eastAsia="da-DK"/>
        </w:rPr>
      </w:pPr>
      <w:r w:rsidRPr="006566F7">
        <w:rPr>
          <w:sz w:val="24"/>
          <w:szCs w:val="24"/>
          <w:lang w:eastAsia="da-DK"/>
        </w:rPr>
        <w:t>Tabletten har kun delekærv for at muliggøre deling af tablett</w:t>
      </w:r>
      <w:r>
        <w:rPr>
          <w:sz w:val="24"/>
          <w:szCs w:val="24"/>
          <w:lang w:eastAsia="da-DK"/>
        </w:rPr>
        <w:t>en, så den er nemmere at sluge.</w:t>
      </w:r>
    </w:p>
    <w:p w:rsidR="00960AA1" w:rsidRDefault="00973CD2" w:rsidP="00960AA1">
      <w:pPr>
        <w:tabs>
          <w:tab w:val="left" w:pos="851"/>
        </w:tabs>
        <w:ind w:left="851"/>
        <w:rPr>
          <w:sz w:val="24"/>
          <w:szCs w:val="24"/>
          <w:lang w:eastAsia="da-DK"/>
        </w:rPr>
      </w:pPr>
      <w:r w:rsidRPr="006566F7">
        <w:rPr>
          <w:sz w:val="24"/>
          <w:szCs w:val="24"/>
          <w:lang w:eastAsia="da-DK"/>
        </w:rPr>
        <w:t>Tabletten kan ikke deles i to lige store doser.</w:t>
      </w:r>
    </w:p>
    <w:p w:rsidR="00AC01B3" w:rsidRPr="00C84483" w:rsidRDefault="00AC01B3" w:rsidP="00973CD2">
      <w:pPr>
        <w:tabs>
          <w:tab w:val="left" w:pos="851"/>
        </w:tabs>
        <w:ind w:left="851"/>
        <w:rPr>
          <w:sz w:val="24"/>
          <w:szCs w:val="24"/>
        </w:rPr>
      </w:pPr>
    </w:p>
    <w:p w:rsidR="00960AA1" w:rsidRDefault="00973CD2" w:rsidP="00960AA1">
      <w:pPr>
        <w:keepNext/>
        <w:tabs>
          <w:tab w:val="left" w:pos="851"/>
        </w:tabs>
        <w:ind w:left="851" w:hanging="851"/>
        <w:rPr>
          <w:b/>
          <w:sz w:val="24"/>
          <w:szCs w:val="24"/>
        </w:rPr>
      </w:pPr>
      <w:r w:rsidRPr="00C84483">
        <w:rPr>
          <w:b/>
          <w:sz w:val="24"/>
          <w:szCs w:val="24"/>
        </w:rPr>
        <w:lastRenderedPageBreak/>
        <w:t>4.</w:t>
      </w:r>
      <w:r w:rsidRPr="00C84483">
        <w:rPr>
          <w:b/>
          <w:sz w:val="24"/>
          <w:szCs w:val="24"/>
        </w:rPr>
        <w:tab/>
        <w:t>KLINISKE OPLYSNINGER</w:t>
      </w:r>
    </w:p>
    <w:p w:rsidR="00960AA1" w:rsidRDefault="00960AA1" w:rsidP="00960AA1">
      <w:pPr>
        <w:keepNext/>
        <w:tabs>
          <w:tab w:val="left" w:pos="851"/>
        </w:tabs>
        <w:ind w:left="851" w:hanging="851"/>
        <w:rPr>
          <w:b/>
          <w:sz w:val="24"/>
          <w:szCs w:val="24"/>
        </w:rPr>
      </w:pPr>
    </w:p>
    <w:p w:rsidR="00973CD2" w:rsidRPr="00960AA1" w:rsidRDefault="00973CD2" w:rsidP="00960AA1">
      <w:pPr>
        <w:keepNext/>
        <w:tabs>
          <w:tab w:val="left" w:pos="851"/>
        </w:tabs>
        <w:ind w:left="851" w:hanging="851"/>
        <w:rPr>
          <w:b/>
          <w:sz w:val="24"/>
          <w:szCs w:val="24"/>
        </w:rPr>
      </w:pPr>
      <w:r w:rsidRPr="00C84483">
        <w:rPr>
          <w:b/>
          <w:sz w:val="24"/>
          <w:szCs w:val="24"/>
        </w:rPr>
        <w:t>4.1</w:t>
      </w:r>
      <w:r w:rsidRPr="00C84483">
        <w:rPr>
          <w:b/>
          <w:sz w:val="24"/>
          <w:szCs w:val="24"/>
        </w:rPr>
        <w:tab/>
        <w:t>Terapeutiske indikationer</w:t>
      </w:r>
    </w:p>
    <w:p w:rsidR="00973CD2" w:rsidRPr="0012786A" w:rsidRDefault="00973CD2" w:rsidP="00960AA1">
      <w:pPr>
        <w:keepNext/>
        <w:tabs>
          <w:tab w:val="left" w:pos="851"/>
        </w:tabs>
        <w:ind w:left="851"/>
        <w:rPr>
          <w:sz w:val="24"/>
          <w:szCs w:val="24"/>
          <w:lang w:eastAsia="da-DK"/>
        </w:rPr>
      </w:pPr>
      <w:r w:rsidRPr="0012786A">
        <w:rPr>
          <w:sz w:val="24"/>
          <w:szCs w:val="24"/>
          <w:lang w:eastAsia="da-DK"/>
        </w:rPr>
        <w:t xml:space="preserve">Symptomatisk vedligeholdelsesbehandling af opioidafhængige patienter sideløbende med medicinsk og psykologisk behandling og social rehabilitering. Symptomatisk behandling af svære kroniske smerter, som kun kan lindres tilstrækkeligt med </w:t>
      </w:r>
      <w:proofErr w:type="spellStart"/>
      <w:r w:rsidRPr="0012786A">
        <w:rPr>
          <w:sz w:val="24"/>
          <w:szCs w:val="24"/>
          <w:lang w:eastAsia="da-DK"/>
        </w:rPr>
        <w:t>opioidanalgetika</w:t>
      </w:r>
      <w:proofErr w:type="spellEnd"/>
      <w:r w:rsidRPr="0012786A">
        <w:rPr>
          <w:sz w:val="24"/>
          <w:szCs w:val="24"/>
          <w:lang w:eastAsia="da-DK"/>
        </w:rPr>
        <w:t>.</w:t>
      </w:r>
    </w:p>
    <w:p w:rsidR="00973CD2" w:rsidRPr="0012786A" w:rsidRDefault="00973CD2" w:rsidP="00973CD2">
      <w:pPr>
        <w:tabs>
          <w:tab w:val="left" w:pos="851"/>
        </w:tabs>
        <w:ind w:left="851"/>
        <w:rPr>
          <w:sz w:val="24"/>
          <w:szCs w:val="24"/>
          <w:lang w:eastAsia="da-DK"/>
        </w:rPr>
      </w:pPr>
    </w:p>
    <w:p w:rsidR="00973CD2" w:rsidRPr="00C84483" w:rsidRDefault="00973CD2" w:rsidP="00973CD2">
      <w:pPr>
        <w:tabs>
          <w:tab w:val="left" w:pos="851"/>
        </w:tabs>
        <w:ind w:left="851"/>
        <w:rPr>
          <w:sz w:val="24"/>
          <w:szCs w:val="24"/>
          <w:lang w:eastAsia="da-DK"/>
        </w:rPr>
      </w:pPr>
      <w:r w:rsidRPr="0012786A">
        <w:rPr>
          <w:sz w:val="24"/>
          <w:szCs w:val="24"/>
          <w:lang w:eastAsia="da-DK"/>
        </w:rPr>
        <w:t>Metadon "2care4" er indiceret til voksne.</w:t>
      </w:r>
    </w:p>
    <w:p w:rsidR="00973CD2" w:rsidRPr="00C84483" w:rsidRDefault="00973CD2" w:rsidP="00973CD2">
      <w:pPr>
        <w:tabs>
          <w:tab w:val="left" w:pos="851"/>
        </w:tabs>
        <w:ind w:left="851"/>
        <w:rPr>
          <w:sz w:val="24"/>
          <w:szCs w:val="24"/>
        </w:rPr>
      </w:pPr>
    </w:p>
    <w:p w:rsidR="00973CD2" w:rsidRPr="00C84483" w:rsidRDefault="00973CD2" w:rsidP="00973CD2">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035DD4" w:rsidRPr="00035DD4">
        <w:rPr>
          <w:b/>
          <w:sz w:val="24"/>
          <w:szCs w:val="24"/>
        </w:rPr>
        <w:t>administration</w:t>
      </w:r>
    </w:p>
    <w:p w:rsidR="00973CD2" w:rsidRDefault="00973CD2" w:rsidP="00973CD2">
      <w:pPr>
        <w:tabs>
          <w:tab w:val="left" w:pos="851"/>
        </w:tabs>
        <w:ind w:left="851"/>
        <w:rPr>
          <w:sz w:val="24"/>
          <w:szCs w:val="24"/>
          <w:u w:val="single"/>
          <w:lang w:eastAsia="da-DK"/>
        </w:rPr>
      </w:pPr>
    </w:p>
    <w:p w:rsidR="00973CD2" w:rsidRPr="00EF058F" w:rsidRDefault="00973CD2" w:rsidP="00973CD2">
      <w:pPr>
        <w:tabs>
          <w:tab w:val="left" w:pos="851"/>
        </w:tabs>
        <w:ind w:left="851"/>
        <w:rPr>
          <w:b/>
          <w:sz w:val="24"/>
          <w:szCs w:val="24"/>
          <w:lang w:eastAsia="da-DK"/>
        </w:rPr>
      </w:pPr>
      <w:r w:rsidRPr="00EF058F">
        <w:rPr>
          <w:b/>
          <w:sz w:val="24"/>
          <w:szCs w:val="24"/>
          <w:lang w:eastAsia="da-DK"/>
        </w:rPr>
        <w:t>Dosering</w:t>
      </w:r>
    </w:p>
    <w:p w:rsidR="00973CD2" w:rsidRPr="00EF058F" w:rsidRDefault="00973CD2" w:rsidP="00973CD2">
      <w:pPr>
        <w:tabs>
          <w:tab w:val="left" w:pos="851"/>
        </w:tabs>
        <w:ind w:left="851"/>
        <w:rPr>
          <w:sz w:val="24"/>
          <w:szCs w:val="24"/>
          <w:u w:val="single"/>
          <w:lang w:eastAsia="da-DK"/>
        </w:rPr>
      </w:pPr>
    </w:p>
    <w:p w:rsidR="00973CD2" w:rsidRPr="00EF058F" w:rsidRDefault="00973CD2" w:rsidP="00973CD2">
      <w:pPr>
        <w:tabs>
          <w:tab w:val="left" w:pos="851"/>
        </w:tabs>
        <w:suppressAutoHyphens/>
        <w:ind w:left="851"/>
        <w:rPr>
          <w:sz w:val="24"/>
          <w:szCs w:val="24"/>
          <w:u w:val="single"/>
          <w:lang w:eastAsia="da-DK"/>
        </w:rPr>
      </w:pPr>
      <w:r>
        <w:rPr>
          <w:sz w:val="24"/>
          <w:szCs w:val="24"/>
          <w:u w:val="single"/>
          <w:lang w:eastAsia="da-DK"/>
        </w:rPr>
        <w:t>Smerter</w:t>
      </w:r>
    </w:p>
    <w:p w:rsidR="00973CD2" w:rsidRPr="00EF058F" w:rsidRDefault="00973CD2" w:rsidP="00973CD2">
      <w:pPr>
        <w:tabs>
          <w:tab w:val="left" w:pos="851"/>
        </w:tabs>
        <w:suppressAutoHyphens/>
        <w:ind w:left="851"/>
        <w:rPr>
          <w:sz w:val="24"/>
          <w:szCs w:val="24"/>
          <w:lang w:eastAsia="da-DK"/>
        </w:rPr>
      </w:pPr>
      <w:r w:rsidRPr="00EF058F">
        <w:rPr>
          <w:sz w:val="24"/>
          <w:szCs w:val="24"/>
          <w:lang w:eastAsia="da-DK"/>
        </w:rPr>
        <w:t xml:space="preserve">Doseringen bør justeres og evalueres på baggrund af virkningen hos den enkelte patient. </w:t>
      </w:r>
    </w:p>
    <w:p w:rsidR="00973CD2" w:rsidRPr="00EF058F" w:rsidRDefault="00973CD2" w:rsidP="00973CD2">
      <w:pPr>
        <w:tabs>
          <w:tab w:val="left" w:pos="851"/>
        </w:tabs>
        <w:suppressAutoHyphens/>
        <w:ind w:left="851"/>
        <w:rPr>
          <w:sz w:val="24"/>
          <w:szCs w:val="24"/>
          <w:u w:val="single"/>
          <w:lang w:eastAsia="da-DK"/>
        </w:rPr>
      </w:pPr>
    </w:p>
    <w:p w:rsidR="00973CD2" w:rsidRPr="00EF058F" w:rsidRDefault="00973CD2" w:rsidP="00973CD2">
      <w:pPr>
        <w:tabs>
          <w:tab w:val="left" w:pos="851"/>
        </w:tabs>
        <w:suppressAutoHyphens/>
        <w:ind w:left="851"/>
        <w:rPr>
          <w:color w:val="000000"/>
          <w:sz w:val="24"/>
          <w:szCs w:val="24"/>
          <w:lang w:eastAsia="da-DK"/>
        </w:rPr>
      </w:pPr>
      <w:r w:rsidRPr="00EF058F">
        <w:rPr>
          <w:color w:val="000000"/>
          <w:sz w:val="24"/>
          <w:szCs w:val="24"/>
          <w:lang w:eastAsia="da-DK"/>
        </w:rPr>
        <w:t xml:space="preserve">Nedenstående doseringsanbefalinger bør kun betragtes som vejledende ved iværksættelse af behandling med </w:t>
      </w:r>
      <w:r w:rsidR="00960AA1">
        <w:rPr>
          <w:sz w:val="24"/>
          <w:szCs w:val="24"/>
          <w:lang w:eastAsia="da-DK"/>
        </w:rPr>
        <w:t>Metadon "2care4"</w:t>
      </w:r>
      <w:r w:rsidRPr="00EF058F">
        <w:rPr>
          <w:sz w:val="24"/>
          <w:szCs w:val="24"/>
          <w:lang w:eastAsia="da-DK"/>
        </w:rPr>
        <w:t xml:space="preserve"> </w:t>
      </w:r>
      <w:r w:rsidRPr="00EF058F">
        <w:rPr>
          <w:color w:val="000000"/>
          <w:sz w:val="24"/>
          <w:szCs w:val="24"/>
          <w:lang w:eastAsia="da-DK"/>
        </w:rPr>
        <w:t xml:space="preserve">og skal tilpasses til den enkelte patients behov for smertelindring. For at opnå fuld analgetisk virkning hurtigere kan </w:t>
      </w:r>
      <w:r w:rsidR="00960AA1">
        <w:rPr>
          <w:sz w:val="24"/>
          <w:szCs w:val="24"/>
          <w:lang w:eastAsia="da-DK"/>
        </w:rPr>
        <w:t>Metadon "2care4"</w:t>
      </w:r>
      <w:r w:rsidR="00960AA1">
        <w:rPr>
          <w:sz w:val="24"/>
          <w:szCs w:val="24"/>
          <w:lang w:eastAsia="da-DK"/>
        </w:rPr>
        <w:t xml:space="preserve"> </w:t>
      </w:r>
      <w:r w:rsidRPr="00EF058F">
        <w:rPr>
          <w:color w:val="000000"/>
          <w:sz w:val="24"/>
          <w:szCs w:val="24"/>
          <w:lang w:eastAsia="da-DK"/>
        </w:rPr>
        <w:t>indledningsvis administreres med kortere doseringsinterval i en begrænset periode.</w:t>
      </w:r>
    </w:p>
    <w:p w:rsidR="00973CD2" w:rsidRPr="00EF058F" w:rsidRDefault="00973CD2" w:rsidP="00973CD2">
      <w:pPr>
        <w:tabs>
          <w:tab w:val="left" w:pos="851"/>
        </w:tabs>
        <w:suppressAutoHyphens/>
        <w:ind w:left="851"/>
        <w:rPr>
          <w:sz w:val="24"/>
          <w:szCs w:val="24"/>
          <w:lang w:eastAsia="da-DK"/>
        </w:rPr>
      </w:pPr>
    </w:p>
    <w:p w:rsidR="00973CD2" w:rsidRPr="00EF058F" w:rsidRDefault="00973CD2" w:rsidP="00973CD2">
      <w:pPr>
        <w:tabs>
          <w:tab w:val="left" w:pos="851"/>
        </w:tabs>
        <w:suppressAutoHyphens/>
        <w:ind w:left="851"/>
        <w:rPr>
          <w:i/>
          <w:sz w:val="24"/>
          <w:szCs w:val="24"/>
          <w:lang w:eastAsia="da-DK"/>
        </w:rPr>
      </w:pPr>
      <w:r>
        <w:rPr>
          <w:i/>
          <w:sz w:val="24"/>
          <w:szCs w:val="24"/>
          <w:lang w:eastAsia="da-DK"/>
        </w:rPr>
        <w:t>Dosis til opioidnaive patienter</w:t>
      </w:r>
    </w:p>
    <w:p w:rsidR="00973CD2" w:rsidRPr="00EF058F" w:rsidRDefault="00973CD2" w:rsidP="00973CD2">
      <w:pPr>
        <w:tabs>
          <w:tab w:val="left" w:pos="851"/>
        </w:tabs>
        <w:suppressAutoHyphens/>
        <w:ind w:left="851"/>
        <w:rPr>
          <w:sz w:val="24"/>
          <w:szCs w:val="24"/>
          <w:lang w:eastAsia="da-DK"/>
        </w:rPr>
      </w:pPr>
      <w:r w:rsidRPr="00EF058F">
        <w:rPr>
          <w:sz w:val="24"/>
          <w:szCs w:val="24"/>
          <w:lang w:eastAsia="da-DK"/>
        </w:rPr>
        <w:t xml:space="preserve">Den sædvanlige startdosis af oral </w:t>
      </w:r>
      <w:proofErr w:type="spellStart"/>
      <w:r w:rsidRPr="00EF058F">
        <w:rPr>
          <w:sz w:val="24"/>
          <w:szCs w:val="24"/>
          <w:lang w:eastAsia="da-DK"/>
        </w:rPr>
        <w:t>methadon</w:t>
      </w:r>
      <w:proofErr w:type="spellEnd"/>
      <w:r w:rsidRPr="00EF058F">
        <w:rPr>
          <w:sz w:val="24"/>
          <w:szCs w:val="24"/>
          <w:lang w:eastAsia="da-DK"/>
        </w:rPr>
        <w:t xml:space="preserve"> hos patienter, som ikke allerede er blevet behandlet med opioider, er 5 mg 1-3 gange/dag. Herefter titreres dosen langsomt for at opnå den ønskede virkning. Titreringen bør ske over flere uger. Startdosen bør evalueres nøje, inden dosisøgningen startes. </w:t>
      </w:r>
    </w:p>
    <w:p w:rsidR="00973CD2" w:rsidRPr="00EF058F" w:rsidRDefault="00973CD2" w:rsidP="00973CD2">
      <w:pPr>
        <w:tabs>
          <w:tab w:val="left" w:pos="851"/>
        </w:tabs>
        <w:suppressAutoHyphens/>
        <w:ind w:left="851"/>
        <w:rPr>
          <w:sz w:val="24"/>
          <w:szCs w:val="24"/>
          <w:lang w:eastAsia="da-DK"/>
        </w:rPr>
      </w:pPr>
    </w:p>
    <w:p w:rsidR="00973CD2" w:rsidRPr="00EF058F" w:rsidRDefault="00973CD2" w:rsidP="00973CD2">
      <w:pPr>
        <w:tabs>
          <w:tab w:val="left" w:pos="851"/>
        </w:tabs>
        <w:suppressAutoHyphens/>
        <w:ind w:left="851"/>
        <w:rPr>
          <w:sz w:val="24"/>
          <w:szCs w:val="24"/>
          <w:lang w:eastAsia="da-DK"/>
        </w:rPr>
      </w:pPr>
      <w:r w:rsidRPr="00EF058F">
        <w:rPr>
          <w:sz w:val="24"/>
          <w:szCs w:val="24"/>
          <w:lang w:eastAsia="da-DK"/>
        </w:rPr>
        <w:t xml:space="preserve">Da risikoen for meget alvorlige </w:t>
      </w:r>
      <w:proofErr w:type="spellStart"/>
      <w:r w:rsidRPr="00EF058F">
        <w:rPr>
          <w:sz w:val="24"/>
          <w:szCs w:val="24"/>
          <w:lang w:eastAsia="da-DK"/>
        </w:rPr>
        <w:t>kardielle</w:t>
      </w:r>
      <w:proofErr w:type="spellEnd"/>
      <w:r w:rsidRPr="00EF058F">
        <w:rPr>
          <w:sz w:val="24"/>
          <w:szCs w:val="24"/>
          <w:lang w:eastAsia="da-DK"/>
        </w:rPr>
        <w:t xml:space="preserve"> bivirkninger er dosisafhængig, bør den daglige dosis </w:t>
      </w:r>
      <w:proofErr w:type="spellStart"/>
      <w:r w:rsidRPr="00EF058F">
        <w:rPr>
          <w:sz w:val="24"/>
          <w:szCs w:val="24"/>
          <w:lang w:eastAsia="da-DK"/>
        </w:rPr>
        <w:t>methadon</w:t>
      </w:r>
      <w:proofErr w:type="spellEnd"/>
      <w:r w:rsidRPr="00EF058F">
        <w:rPr>
          <w:sz w:val="24"/>
          <w:szCs w:val="24"/>
          <w:lang w:eastAsia="da-DK"/>
        </w:rPr>
        <w:t xml:space="preserve"> normalt ikke overstige 100 mg/dag. Behandling med højere doser bør begrænses til læger med omfattende erfaring i </w:t>
      </w:r>
      <w:proofErr w:type="spellStart"/>
      <w:r w:rsidRPr="00EF058F">
        <w:rPr>
          <w:sz w:val="24"/>
          <w:szCs w:val="24"/>
          <w:lang w:eastAsia="da-DK"/>
        </w:rPr>
        <w:t>methadonbehandling</w:t>
      </w:r>
      <w:proofErr w:type="spellEnd"/>
      <w:r w:rsidRPr="00EF058F">
        <w:rPr>
          <w:sz w:val="24"/>
          <w:szCs w:val="24"/>
          <w:lang w:eastAsia="da-DK"/>
        </w:rPr>
        <w:t xml:space="preserve">. </w:t>
      </w:r>
    </w:p>
    <w:p w:rsidR="00973CD2" w:rsidRPr="00EF058F" w:rsidRDefault="00973CD2" w:rsidP="00973CD2">
      <w:pPr>
        <w:tabs>
          <w:tab w:val="left" w:pos="851"/>
        </w:tabs>
        <w:suppressAutoHyphens/>
        <w:ind w:left="851"/>
        <w:rPr>
          <w:sz w:val="24"/>
          <w:szCs w:val="24"/>
          <w:lang w:eastAsia="da-DK"/>
        </w:rPr>
      </w:pPr>
    </w:p>
    <w:p w:rsidR="00973CD2" w:rsidRPr="00EF058F" w:rsidRDefault="00973CD2" w:rsidP="00973CD2">
      <w:pPr>
        <w:tabs>
          <w:tab w:val="left" w:pos="851"/>
        </w:tabs>
        <w:suppressAutoHyphens/>
        <w:ind w:left="851"/>
        <w:rPr>
          <w:sz w:val="24"/>
          <w:szCs w:val="24"/>
          <w:lang w:eastAsia="da-DK"/>
        </w:rPr>
      </w:pPr>
      <w:r w:rsidRPr="00EF058F">
        <w:rPr>
          <w:sz w:val="24"/>
          <w:szCs w:val="24"/>
          <w:lang w:eastAsia="da-DK"/>
        </w:rPr>
        <w:t xml:space="preserve">Det kan være nødvendigt med hyppigere administration i starten af behandlingen med </w:t>
      </w:r>
      <w:proofErr w:type="spellStart"/>
      <w:r w:rsidRPr="00EF058F">
        <w:rPr>
          <w:sz w:val="24"/>
          <w:szCs w:val="24"/>
          <w:lang w:eastAsia="da-DK"/>
        </w:rPr>
        <w:t>methadon</w:t>
      </w:r>
      <w:proofErr w:type="spellEnd"/>
      <w:r w:rsidRPr="00EF058F">
        <w:rPr>
          <w:sz w:val="24"/>
          <w:szCs w:val="24"/>
          <w:lang w:eastAsia="da-DK"/>
        </w:rPr>
        <w:t xml:space="preserve"> for at opretholde tilstrækkelig analgetisk virkning. I så tilfælde skal behandlingens virkning evalueres nøje, og der skal udvises stor forsigtighed for at undgå overdosering under hensyntagen til </w:t>
      </w:r>
      <w:proofErr w:type="spellStart"/>
      <w:r w:rsidRPr="00EF058F">
        <w:rPr>
          <w:sz w:val="24"/>
          <w:szCs w:val="24"/>
          <w:lang w:eastAsia="da-DK"/>
        </w:rPr>
        <w:t>methadons</w:t>
      </w:r>
      <w:proofErr w:type="spellEnd"/>
      <w:r w:rsidRPr="00EF058F">
        <w:rPr>
          <w:sz w:val="24"/>
          <w:szCs w:val="24"/>
          <w:lang w:eastAsia="da-DK"/>
        </w:rPr>
        <w:t xml:space="preserve"> lange eliminationshalveringstid.</w:t>
      </w:r>
    </w:p>
    <w:p w:rsidR="00973CD2" w:rsidRPr="00EF058F" w:rsidRDefault="00973CD2" w:rsidP="00973CD2">
      <w:pPr>
        <w:tabs>
          <w:tab w:val="left" w:pos="851"/>
        </w:tabs>
        <w:suppressAutoHyphens/>
        <w:ind w:left="851"/>
        <w:rPr>
          <w:sz w:val="24"/>
          <w:szCs w:val="24"/>
          <w:lang w:eastAsia="da-DK"/>
        </w:rPr>
      </w:pPr>
    </w:p>
    <w:p w:rsidR="00973CD2" w:rsidRPr="00EF058F" w:rsidRDefault="00973CD2" w:rsidP="00973CD2">
      <w:pPr>
        <w:tabs>
          <w:tab w:val="left" w:pos="851"/>
        </w:tabs>
        <w:suppressAutoHyphens/>
        <w:ind w:left="851"/>
        <w:rPr>
          <w:sz w:val="24"/>
          <w:szCs w:val="24"/>
          <w:lang w:eastAsia="da-DK"/>
        </w:rPr>
      </w:pPr>
      <w:r w:rsidRPr="00EF058F">
        <w:rPr>
          <w:sz w:val="24"/>
          <w:szCs w:val="24"/>
          <w:lang w:eastAsia="da-DK"/>
        </w:rPr>
        <w:t xml:space="preserve">Der er en øget risiko for alvorlige bivirkninger ved gentagen dosering, især hos opioidnaive patienter. </w:t>
      </w:r>
    </w:p>
    <w:p w:rsidR="00973CD2" w:rsidRPr="00EF058F" w:rsidRDefault="00973CD2" w:rsidP="00973CD2">
      <w:pPr>
        <w:tabs>
          <w:tab w:val="left" w:pos="851"/>
        </w:tabs>
        <w:suppressAutoHyphens/>
        <w:ind w:left="851"/>
        <w:rPr>
          <w:sz w:val="24"/>
          <w:szCs w:val="24"/>
          <w:lang w:eastAsia="da-DK"/>
        </w:rPr>
      </w:pPr>
    </w:p>
    <w:p w:rsidR="00973CD2" w:rsidRPr="00EF058F" w:rsidRDefault="00973CD2" w:rsidP="00973CD2">
      <w:pPr>
        <w:tabs>
          <w:tab w:val="left" w:pos="851"/>
        </w:tabs>
        <w:suppressAutoHyphens/>
        <w:ind w:left="851"/>
        <w:rPr>
          <w:i/>
          <w:sz w:val="24"/>
          <w:szCs w:val="24"/>
          <w:lang w:eastAsia="da-DK"/>
        </w:rPr>
      </w:pPr>
      <w:r w:rsidRPr="00EF058F">
        <w:rPr>
          <w:i/>
          <w:sz w:val="24"/>
          <w:szCs w:val="24"/>
          <w:lang w:eastAsia="da-DK"/>
        </w:rPr>
        <w:t>Dosis til pat</w:t>
      </w:r>
      <w:r>
        <w:rPr>
          <w:i/>
          <w:sz w:val="24"/>
          <w:szCs w:val="24"/>
          <w:lang w:eastAsia="da-DK"/>
        </w:rPr>
        <w:t>ienter, der ikke er opioidnaive</w:t>
      </w:r>
    </w:p>
    <w:p w:rsidR="00973CD2" w:rsidRPr="00EF058F" w:rsidRDefault="00973CD2" w:rsidP="00973CD2">
      <w:pPr>
        <w:tabs>
          <w:tab w:val="left" w:pos="851"/>
        </w:tabs>
        <w:suppressAutoHyphens/>
        <w:ind w:left="851"/>
        <w:rPr>
          <w:sz w:val="24"/>
          <w:szCs w:val="24"/>
          <w:lang w:eastAsia="da-DK"/>
        </w:rPr>
      </w:pPr>
      <w:r w:rsidRPr="00EF058F">
        <w:rPr>
          <w:sz w:val="24"/>
          <w:szCs w:val="24"/>
          <w:lang w:eastAsia="da-DK"/>
        </w:rPr>
        <w:t xml:space="preserve">Startdosis: 5-20 mg 2-3 gange/dag. Herefter titreres dosen langsomt i trin af 5 mg til højst 100 mg daglig. Om nødvendigt kan 5 mg tabletter erstattes af eller kombineres med Metadon "2care4" 20 mg tabletter. </w:t>
      </w:r>
    </w:p>
    <w:p w:rsidR="00973CD2" w:rsidRPr="00EF058F" w:rsidRDefault="00973CD2" w:rsidP="00973CD2">
      <w:pPr>
        <w:tabs>
          <w:tab w:val="left" w:pos="851"/>
        </w:tabs>
        <w:suppressAutoHyphens/>
        <w:ind w:left="851"/>
        <w:rPr>
          <w:sz w:val="24"/>
          <w:szCs w:val="24"/>
          <w:lang w:eastAsia="da-DK"/>
        </w:rPr>
      </w:pPr>
    </w:p>
    <w:p w:rsidR="00973CD2" w:rsidRPr="00EF058F" w:rsidRDefault="00973CD2" w:rsidP="00973CD2">
      <w:pPr>
        <w:tabs>
          <w:tab w:val="left" w:pos="851"/>
        </w:tabs>
        <w:suppressAutoHyphens/>
        <w:ind w:left="851"/>
        <w:rPr>
          <w:sz w:val="24"/>
          <w:szCs w:val="24"/>
          <w:lang w:eastAsia="da-DK"/>
        </w:rPr>
      </w:pPr>
      <w:r w:rsidRPr="00EF058F">
        <w:rPr>
          <w:sz w:val="24"/>
          <w:szCs w:val="24"/>
          <w:lang w:eastAsia="da-DK"/>
        </w:rPr>
        <w:t xml:space="preserve">Da risikoen for meget alvorlige </w:t>
      </w:r>
      <w:proofErr w:type="spellStart"/>
      <w:r w:rsidRPr="00EF058F">
        <w:rPr>
          <w:sz w:val="24"/>
          <w:szCs w:val="24"/>
          <w:lang w:eastAsia="da-DK"/>
        </w:rPr>
        <w:t>kardielle</w:t>
      </w:r>
      <w:proofErr w:type="spellEnd"/>
      <w:r w:rsidRPr="00EF058F">
        <w:rPr>
          <w:sz w:val="24"/>
          <w:szCs w:val="24"/>
          <w:lang w:eastAsia="da-DK"/>
        </w:rPr>
        <w:t xml:space="preserve"> bivirkninger er dosisafhængig, bør den daglige dosis </w:t>
      </w:r>
      <w:proofErr w:type="spellStart"/>
      <w:r w:rsidRPr="00EF058F">
        <w:rPr>
          <w:sz w:val="24"/>
          <w:szCs w:val="24"/>
          <w:lang w:eastAsia="da-DK"/>
        </w:rPr>
        <w:t>methadon</w:t>
      </w:r>
      <w:proofErr w:type="spellEnd"/>
      <w:r w:rsidRPr="00EF058F">
        <w:rPr>
          <w:sz w:val="24"/>
          <w:szCs w:val="24"/>
          <w:lang w:eastAsia="da-DK"/>
        </w:rPr>
        <w:t xml:space="preserve"> normalt ikke overstige 100 mg/dag. Behandling med højere doser bør begrænses til læger med omfattende erfaring i </w:t>
      </w:r>
      <w:proofErr w:type="spellStart"/>
      <w:r w:rsidRPr="00EF058F">
        <w:rPr>
          <w:sz w:val="24"/>
          <w:szCs w:val="24"/>
          <w:lang w:eastAsia="da-DK"/>
        </w:rPr>
        <w:t>methadonbehandling</w:t>
      </w:r>
      <w:proofErr w:type="spellEnd"/>
      <w:r w:rsidRPr="00EF058F">
        <w:rPr>
          <w:sz w:val="24"/>
          <w:szCs w:val="24"/>
          <w:lang w:eastAsia="da-DK"/>
        </w:rPr>
        <w:t xml:space="preserve">. </w:t>
      </w:r>
    </w:p>
    <w:p w:rsidR="00973CD2" w:rsidRPr="00EF058F" w:rsidRDefault="00973CD2" w:rsidP="00973CD2">
      <w:pPr>
        <w:tabs>
          <w:tab w:val="left" w:pos="851"/>
        </w:tabs>
        <w:suppressAutoHyphens/>
        <w:ind w:left="851"/>
        <w:rPr>
          <w:sz w:val="24"/>
          <w:szCs w:val="24"/>
          <w:lang w:eastAsia="da-DK"/>
        </w:rPr>
      </w:pPr>
    </w:p>
    <w:p w:rsidR="00973CD2" w:rsidRPr="00EF058F" w:rsidRDefault="00973CD2" w:rsidP="00973CD2">
      <w:pPr>
        <w:tabs>
          <w:tab w:val="left" w:pos="851"/>
        </w:tabs>
        <w:suppressAutoHyphens/>
        <w:ind w:left="851"/>
        <w:rPr>
          <w:sz w:val="24"/>
          <w:szCs w:val="24"/>
          <w:lang w:eastAsia="da-DK"/>
        </w:rPr>
      </w:pPr>
      <w:r w:rsidRPr="00EF058F">
        <w:rPr>
          <w:sz w:val="24"/>
          <w:szCs w:val="24"/>
          <w:lang w:eastAsia="da-DK"/>
        </w:rPr>
        <w:t xml:space="preserve">Det kan være nødvendigt med hyppigere administration i starten af behandlingen med </w:t>
      </w:r>
      <w:proofErr w:type="spellStart"/>
      <w:r w:rsidRPr="00EF058F">
        <w:rPr>
          <w:sz w:val="24"/>
          <w:szCs w:val="24"/>
          <w:lang w:eastAsia="da-DK"/>
        </w:rPr>
        <w:t>methadon</w:t>
      </w:r>
      <w:proofErr w:type="spellEnd"/>
      <w:r w:rsidRPr="00EF058F">
        <w:rPr>
          <w:sz w:val="24"/>
          <w:szCs w:val="24"/>
          <w:lang w:eastAsia="da-DK"/>
        </w:rPr>
        <w:t xml:space="preserve"> for at opretholde tilstrækkelig analgetisk virkning. I så tilfælde skal </w:t>
      </w:r>
      <w:r w:rsidRPr="00EF058F">
        <w:rPr>
          <w:sz w:val="24"/>
          <w:szCs w:val="24"/>
          <w:lang w:eastAsia="da-DK"/>
        </w:rPr>
        <w:lastRenderedPageBreak/>
        <w:t xml:space="preserve">behandlingens virkning evalueres nøje, og der skal udvises stor forsigtighed for at undgå overdosering under hensyntagen til </w:t>
      </w:r>
      <w:proofErr w:type="spellStart"/>
      <w:r w:rsidRPr="00EF058F">
        <w:rPr>
          <w:sz w:val="24"/>
          <w:szCs w:val="24"/>
          <w:lang w:eastAsia="da-DK"/>
        </w:rPr>
        <w:t>methadons</w:t>
      </w:r>
      <w:proofErr w:type="spellEnd"/>
      <w:r w:rsidRPr="00EF058F">
        <w:rPr>
          <w:sz w:val="24"/>
          <w:szCs w:val="24"/>
          <w:lang w:eastAsia="da-DK"/>
        </w:rPr>
        <w:t xml:space="preserve"> lange eliminationshalveringstid. </w:t>
      </w:r>
    </w:p>
    <w:p w:rsidR="00973CD2" w:rsidRPr="00EF058F" w:rsidRDefault="00973CD2" w:rsidP="00973CD2">
      <w:pPr>
        <w:tabs>
          <w:tab w:val="left" w:pos="851"/>
        </w:tabs>
        <w:suppressAutoHyphens/>
        <w:ind w:left="851"/>
        <w:rPr>
          <w:sz w:val="24"/>
          <w:szCs w:val="24"/>
          <w:lang w:eastAsia="da-DK"/>
        </w:rPr>
      </w:pPr>
    </w:p>
    <w:p w:rsidR="00973CD2" w:rsidRPr="00EF058F" w:rsidRDefault="00973CD2" w:rsidP="00973CD2">
      <w:pPr>
        <w:tabs>
          <w:tab w:val="left" w:pos="851"/>
        </w:tabs>
        <w:suppressAutoHyphens/>
        <w:ind w:left="851"/>
        <w:rPr>
          <w:i/>
          <w:sz w:val="24"/>
          <w:szCs w:val="24"/>
          <w:lang w:eastAsia="da-DK"/>
        </w:rPr>
      </w:pPr>
      <w:r w:rsidRPr="00EF058F">
        <w:rPr>
          <w:i/>
          <w:sz w:val="24"/>
          <w:szCs w:val="24"/>
          <w:lang w:eastAsia="da-DK"/>
        </w:rPr>
        <w:t>Ældre</w:t>
      </w:r>
    </w:p>
    <w:p w:rsidR="00973CD2" w:rsidRPr="00EF058F" w:rsidRDefault="00973CD2" w:rsidP="00973CD2">
      <w:pPr>
        <w:tabs>
          <w:tab w:val="left" w:pos="851"/>
        </w:tabs>
        <w:autoSpaceDE w:val="0"/>
        <w:autoSpaceDN w:val="0"/>
        <w:adjustRightInd w:val="0"/>
        <w:ind w:left="851"/>
        <w:rPr>
          <w:sz w:val="24"/>
          <w:szCs w:val="24"/>
          <w:lang w:eastAsia="da-DK"/>
        </w:rPr>
      </w:pPr>
      <w:r w:rsidRPr="00EF058F">
        <w:rPr>
          <w:sz w:val="24"/>
          <w:szCs w:val="24"/>
          <w:lang w:eastAsia="da-DK"/>
        </w:rPr>
        <w:t xml:space="preserve">Ældre bør behandles med forsigtighed og med en lavere dosis i starten. </w:t>
      </w:r>
    </w:p>
    <w:p w:rsidR="00973CD2" w:rsidRPr="00EF058F" w:rsidRDefault="00973CD2" w:rsidP="00973CD2">
      <w:pPr>
        <w:tabs>
          <w:tab w:val="left" w:pos="851"/>
        </w:tabs>
        <w:autoSpaceDE w:val="0"/>
        <w:autoSpaceDN w:val="0"/>
        <w:adjustRightInd w:val="0"/>
        <w:ind w:left="851"/>
        <w:rPr>
          <w:sz w:val="24"/>
          <w:szCs w:val="24"/>
          <w:lang w:eastAsia="da-DK"/>
        </w:rPr>
      </w:pPr>
    </w:p>
    <w:p w:rsidR="00973CD2" w:rsidRPr="00EF058F" w:rsidRDefault="00973CD2" w:rsidP="00973CD2">
      <w:pPr>
        <w:tabs>
          <w:tab w:val="left" w:pos="851"/>
        </w:tabs>
        <w:ind w:left="851"/>
        <w:rPr>
          <w:bCs/>
          <w:i/>
          <w:iCs/>
          <w:sz w:val="24"/>
          <w:szCs w:val="24"/>
          <w:lang w:eastAsia="da-DK"/>
        </w:rPr>
      </w:pPr>
      <w:r w:rsidRPr="00EF058F">
        <w:rPr>
          <w:i/>
          <w:sz w:val="24"/>
          <w:szCs w:val="24"/>
          <w:lang w:eastAsia="da-DK"/>
        </w:rPr>
        <w:t>Pædiatrisk population</w:t>
      </w:r>
    </w:p>
    <w:p w:rsidR="00973CD2" w:rsidRPr="00EF058F" w:rsidRDefault="00973CD2" w:rsidP="00973CD2">
      <w:pPr>
        <w:tabs>
          <w:tab w:val="left" w:pos="851"/>
        </w:tabs>
        <w:autoSpaceDE w:val="0"/>
        <w:autoSpaceDN w:val="0"/>
        <w:adjustRightInd w:val="0"/>
        <w:ind w:left="851"/>
        <w:rPr>
          <w:sz w:val="24"/>
          <w:szCs w:val="24"/>
          <w:lang w:eastAsia="da-DK"/>
        </w:rPr>
      </w:pPr>
      <w:r w:rsidRPr="00EF058F">
        <w:rPr>
          <w:sz w:val="24"/>
          <w:szCs w:val="24"/>
          <w:lang w:eastAsia="da-DK"/>
        </w:rPr>
        <w:t xml:space="preserve">Det frarådes at anvende </w:t>
      </w:r>
      <w:r>
        <w:rPr>
          <w:sz w:val="24"/>
          <w:szCs w:val="24"/>
          <w:lang w:eastAsia="da-DK"/>
        </w:rPr>
        <w:t>Metadon "2care4"</w:t>
      </w:r>
      <w:r w:rsidRPr="00EF058F">
        <w:rPr>
          <w:sz w:val="24"/>
          <w:szCs w:val="24"/>
          <w:lang w:eastAsia="da-DK"/>
        </w:rPr>
        <w:t xml:space="preserve"> til børn, idet der ikke foreligger tilstrækkelige kliniske data til at fastlægge et velegnet doseringsregime.</w:t>
      </w:r>
    </w:p>
    <w:p w:rsidR="00973CD2" w:rsidRPr="00EF058F" w:rsidRDefault="00973CD2" w:rsidP="00973CD2">
      <w:pPr>
        <w:tabs>
          <w:tab w:val="left" w:pos="851"/>
        </w:tabs>
        <w:autoSpaceDE w:val="0"/>
        <w:autoSpaceDN w:val="0"/>
        <w:adjustRightInd w:val="0"/>
        <w:ind w:left="851"/>
        <w:rPr>
          <w:sz w:val="24"/>
          <w:szCs w:val="24"/>
          <w:lang w:eastAsia="da-DK"/>
        </w:rPr>
      </w:pPr>
    </w:p>
    <w:p w:rsidR="00973CD2" w:rsidRPr="00EF058F" w:rsidRDefault="00973CD2" w:rsidP="00973CD2">
      <w:pPr>
        <w:tabs>
          <w:tab w:val="left" w:pos="851"/>
        </w:tabs>
        <w:autoSpaceDE w:val="0"/>
        <w:autoSpaceDN w:val="0"/>
        <w:adjustRightInd w:val="0"/>
        <w:ind w:left="851"/>
        <w:rPr>
          <w:i/>
          <w:sz w:val="24"/>
          <w:szCs w:val="24"/>
          <w:lang w:eastAsia="da-DK"/>
        </w:rPr>
      </w:pPr>
      <w:r w:rsidRPr="00EF058F">
        <w:rPr>
          <w:i/>
          <w:sz w:val="24"/>
          <w:szCs w:val="24"/>
          <w:lang w:eastAsia="da-DK"/>
        </w:rPr>
        <w:t>Andre tilstande</w:t>
      </w:r>
    </w:p>
    <w:p w:rsidR="00973CD2" w:rsidRPr="00EF058F" w:rsidRDefault="00973CD2" w:rsidP="00973CD2">
      <w:pPr>
        <w:tabs>
          <w:tab w:val="left" w:pos="851"/>
        </w:tabs>
        <w:autoSpaceDE w:val="0"/>
        <w:autoSpaceDN w:val="0"/>
        <w:adjustRightInd w:val="0"/>
        <w:ind w:left="851"/>
        <w:rPr>
          <w:sz w:val="24"/>
          <w:szCs w:val="24"/>
          <w:lang w:eastAsia="da-DK"/>
        </w:rPr>
      </w:pPr>
      <w:r w:rsidRPr="00EF058F">
        <w:rPr>
          <w:sz w:val="24"/>
          <w:szCs w:val="24"/>
          <w:lang w:eastAsia="da-DK"/>
        </w:rPr>
        <w:t xml:space="preserve">Patienter med </w:t>
      </w:r>
      <w:proofErr w:type="spellStart"/>
      <w:r w:rsidRPr="00EF058F">
        <w:rPr>
          <w:sz w:val="24"/>
          <w:szCs w:val="24"/>
          <w:lang w:eastAsia="da-DK"/>
        </w:rPr>
        <w:t>hypothyreoidisme</w:t>
      </w:r>
      <w:proofErr w:type="spellEnd"/>
      <w:r w:rsidRPr="00EF058F">
        <w:rPr>
          <w:sz w:val="24"/>
          <w:szCs w:val="24"/>
          <w:lang w:eastAsia="da-DK"/>
        </w:rPr>
        <w:t xml:space="preserve">, </w:t>
      </w:r>
      <w:proofErr w:type="spellStart"/>
      <w:r w:rsidRPr="00EF058F">
        <w:rPr>
          <w:sz w:val="24"/>
          <w:szCs w:val="24"/>
          <w:lang w:eastAsia="da-DK"/>
        </w:rPr>
        <w:t>myksødem</w:t>
      </w:r>
      <w:proofErr w:type="spellEnd"/>
      <w:r w:rsidRPr="00EF058F">
        <w:rPr>
          <w:sz w:val="24"/>
          <w:szCs w:val="24"/>
          <w:lang w:eastAsia="da-DK"/>
        </w:rPr>
        <w:t xml:space="preserve">, urinrørsforsnævring, astma eller nedsat lungevolumen eller prostatahypertrofi skal have en lavere startdosis.  </w:t>
      </w:r>
    </w:p>
    <w:p w:rsidR="00973CD2" w:rsidRPr="00EF058F" w:rsidRDefault="00973CD2" w:rsidP="00973CD2">
      <w:pPr>
        <w:tabs>
          <w:tab w:val="left" w:pos="851"/>
        </w:tabs>
        <w:autoSpaceDE w:val="0"/>
        <w:autoSpaceDN w:val="0"/>
        <w:adjustRightInd w:val="0"/>
        <w:ind w:left="851"/>
        <w:rPr>
          <w:sz w:val="24"/>
          <w:szCs w:val="24"/>
          <w:lang w:eastAsia="da-DK"/>
        </w:rPr>
      </w:pPr>
    </w:p>
    <w:p w:rsidR="00973CD2" w:rsidRPr="00EF058F" w:rsidRDefault="00973CD2" w:rsidP="00973CD2">
      <w:pPr>
        <w:tabs>
          <w:tab w:val="left" w:pos="851"/>
        </w:tabs>
        <w:autoSpaceDE w:val="0"/>
        <w:autoSpaceDN w:val="0"/>
        <w:adjustRightInd w:val="0"/>
        <w:ind w:left="851"/>
        <w:rPr>
          <w:i/>
          <w:sz w:val="24"/>
          <w:szCs w:val="24"/>
          <w:lang w:eastAsia="da-DK"/>
        </w:rPr>
      </w:pPr>
      <w:r w:rsidRPr="00EF058F">
        <w:rPr>
          <w:i/>
          <w:sz w:val="24"/>
          <w:szCs w:val="24"/>
          <w:lang w:eastAsia="da-DK"/>
        </w:rPr>
        <w:t xml:space="preserve">Nedsat leverfunktion </w:t>
      </w:r>
    </w:p>
    <w:p w:rsidR="00973CD2" w:rsidRPr="00EF058F" w:rsidRDefault="00973CD2" w:rsidP="00973CD2">
      <w:pPr>
        <w:tabs>
          <w:tab w:val="left" w:pos="851"/>
        </w:tabs>
        <w:autoSpaceDE w:val="0"/>
        <w:autoSpaceDN w:val="0"/>
        <w:adjustRightInd w:val="0"/>
        <w:ind w:left="851"/>
        <w:rPr>
          <w:sz w:val="24"/>
          <w:szCs w:val="24"/>
          <w:lang w:eastAsia="da-DK"/>
        </w:rPr>
      </w:pPr>
      <w:r w:rsidRPr="00EF058F">
        <w:rPr>
          <w:sz w:val="24"/>
          <w:szCs w:val="24"/>
          <w:lang w:eastAsia="da-DK"/>
        </w:rPr>
        <w:t xml:space="preserve">Der bør udvises forsigtighed, hvis </w:t>
      </w:r>
      <w:r w:rsidR="00960AA1">
        <w:rPr>
          <w:sz w:val="24"/>
          <w:szCs w:val="24"/>
          <w:lang w:eastAsia="da-DK"/>
        </w:rPr>
        <w:t xml:space="preserve">Metadon "2care4" </w:t>
      </w:r>
      <w:r w:rsidRPr="00EF058F">
        <w:rPr>
          <w:sz w:val="24"/>
          <w:szCs w:val="24"/>
          <w:lang w:eastAsia="da-DK"/>
        </w:rPr>
        <w:t xml:space="preserve">skal anvendes til patienter med nedsat leverfunktion. Hos patienter med levercirrose er metabolismen forsinket, og </w:t>
      </w:r>
      <w:proofErr w:type="spellStart"/>
      <w:r w:rsidRPr="00EF058F">
        <w:rPr>
          <w:sz w:val="24"/>
          <w:szCs w:val="24"/>
          <w:lang w:eastAsia="da-DK"/>
        </w:rPr>
        <w:t>first</w:t>
      </w:r>
      <w:proofErr w:type="spellEnd"/>
      <w:r w:rsidRPr="00EF058F">
        <w:rPr>
          <w:sz w:val="24"/>
          <w:szCs w:val="24"/>
          <w:lang w:eastAsia="da-DK"/>
        </w:rPr>
        <w:t xml:space="preserve"> </w:t>
      </w:r>
      <w:proofErr w:type="spellStart"/>
      <w:r w:rsidRPr="00EF058F">
        <w:rPr>
          <w:sz w:val="24"/>
          <w:szCs w:val="24"/>
          <w:lang w:eastAsia="da-DK"/>
        </w:rPr>
        <w:t>pass</w:t>
      </w:r>
      <w:proofErr w:type="spellEnd"/>
      <w:r w:rsidRPr="00EF058F">
        <w:rPr>
          <w:sz w:val="24"/>
          <w:szCs w:val="24"/>
          <w:lang w:eastAsia="da-DK"/>
        </w:rPr>
        <w:t xml:space="preserve">-effekten er reduceret. Dette kan resultere i højere plasmaniveauer af </w:t>
      </w:r>
      <w:proofErr w:type="spellStart"/>
      <w:r w:rsidRPr="00EF058F">
        <w:rPr>
          <w:sz w:val="24"/>
          <w:szCs w:val="24"/>
          <w:lang w:eastAsia="da-DK"/>
        </w:rPr>
        <w:t>methadon</w:t>
      </w:r>
      <w:proofErr w:type="spellEnd"/>
      <w:r w:rsidRPr="00EF058F">
        <w:rPr>
          <w:sz w:val="24"/>
          <w:szCs w:val="24"/>
          <w:lang w:eastAsia="da-DK"/>
        </w:rPr>
        <w:t xml:space="preserve">. </w:t>
      </w:r>
      <w:r w:rsidR="00960AA1">
        <w:rPr>
          <w:sz w:val="24"/>
          <w:szCs w:val="24"/>
          <w:lang w:eastAsia="da-DK"/>
        </w:rPr>
        <w:t xml:space="preserve">Metadon "2care4" </w:t>
      </w:r>
      <w:r w:rsidRPr="00EF058F">
        <w:rPr>
          <w:sz w:val="24"/>
          <w:szCs w:val="24"/>
          <w:lang w:eastAsia="da-DK"/>
        </w:rPr>
        <w:t xml:space="preserve">bør administreres i en lavere dosis end den anbefalede dosis, og patientens kliniske respons bør anvendes som vejledning ved den videre dosering.  </w:t>
      </w:r>
    </w:p>
    <w:p w:rsidR="00973CD2" w:rsidRPr="00EF058F" w:rsidRDefault="00973CD2" w:rsidP="00973CD2">
      <w:pPr>
        <w:tabs>
          <w:tab w:val="left" w:pos="851"/>
        </w:tabs>
        <w:autoSpaceDE w:val="0"/>
        <w:autoSpaceDN w:val="0"/>
        <w:adjustRightInd w:val="0"/>
        <w:ind w:left="851"/>
        <w:rPr>
          <w:sz w:val="24"/>
          <w:szCs w:val="24"/>
          <w:lang w:eastAsia="da-DK"/>
        </w:rPr>
      </w:pPr>
    </w:p>
    <w:p w:rsidR="00973CD2" w:rsidRPr="00EF058F" w:rsidRDefault="00973CD2" w:rsidP="00973CD2">
      <w:pPr>
        <w:tabs>
          <w:tab w:val="left" w:pos="851"/>
        </w:tabs>
        <w:autoSpaceDE w:val="0"/>
        <w:autoSpaceDN w:val="0"/>
        <w:adjustRightInd w:val="0"/>
        <w:ind w:left="851"/>
        <w:rPr>
          <w:i/>
          <w:sz w:val="24"/>
          <w:szCs w:val="24"/>
          <w:lang w:eastAsia="da-DK"/>
        </w:rPr>
      </w:pPr>
      <w:r w:rsidRPr="00EF058F">
        <w:rPr>
          <w:i/>
          <w:sz w:val="24"/>
          <w:szCs w:val="24"/>
          <w:lang w:eastAsia="da-DK"/>
        </w:rPr>
        <w:t xml:space="preserve">Nedsat nyrefunktion </w:t>
      </w:r>
    </w:p>
    <w:p w:rsidR="00973CD2" w:rsidRPr="00EF058F" w:rsidRDefault="00973CD2" w:rsidP="00973CD2">
      <w:pPr>
        <w:tabs>
          <w:tab w:val="left" w:pos="851"/>
        </w:tabs>
        <w:autoSpaceDE w:val="0"/>
        <w:autoSpaceDN w:val="0"/>
        <w:adjustRightInd w:val="0"/>
        <w:ind w:left="851"/>
        <w:rPr>
          <w:sz w:val="24"/>
          <w:szCs w:val="24"/>
          <w:lang w:eastAsia="da-DK"/>
        </w:rPr>
      </w:pPr>
      <w:r w:rsidRPr="00EF058F">
        <w:rPr>
          <w:sz w:val="24"/>
          <w:szCs w:val="24"/>
          <w:lang w:eastAsia="da-DK"/>
        </w:rPr>
        <w:t xml:space="preserve">Der bør udvises forsigtighed, hvis </w:t>
      </w:r>
      <w:proofErr w:type="spellStart"/>
      <w:r w:rsidRPr="00EF058F">
        <w:rPr>
          <w:sz w:val="24"/>
          <w:szCs w:val="24"/>
          <w:lang w:eastAsia="da-DK"/>
        </w:rPr>
        <w:t>methadon</w:t>
      </w:r>
      <w:proofErr w:type="spellEnd"/>
      <w:r w:rsidRPr="00EF058F">
        <w:rPr>
          <w:sz w:val="24"/>
          <w:szCs w:val="24"/>
          <w:lang w:eastAsia="da-DK"/>
        </w:rPr>
        <w:t xml:space="preserve"> anvendes til patienter med nedsat nyrefunktion. Doseringsintervallet bør forlænges til mindst 32 timer, hvis GFR er 10-50 ml/min, og til mindst 36 timer, hvis GFR er lavere end 10 ml/min, hvis </w:t>
      </w:r>
      <w:proofErr w:type="spellStart"/>
      <w:r w:rsidRPr="00EF058F">
        <w:rPr>
          <w:sz w:val="24"/>
          <w:szCs w:val="24"/>
          <w:lang w:eastAsia="da-DK"/>
        </w:rPr>
        <w:t>methadon</w:t>
      </w:r>
      <w:proofErr w:type="spellEnd"/>
      <w:r w:rsidRPr="00EF058F">
        <w:rPr>
          <w:sz w:val="24"/>
          <w:szCs w:val="24"/>
          <w:lang w:eastAsia="da-DK"/>
        </w:rPr>
        <w:t xml:space="preserve"> tages én gang daglig til substitutions-/vedligeholdelsesbehandling af abstinenssymptomer.</w:t>
      </w:r>
      <w:r w:rsidRPr="00EF058F">
        <w:rPr>
          <w:i/>
          <w:sz w:val="24"/>
          <w:szCs w:val="24"/>
          <w:lang w:eastAsia="da-DK"/>
        </w:rPr>
        <w:t xml:space="preserve"> </w:t>
      </w:r>
      <w:r w:rsidRPr="00EF058F">
        <w:rPr>
          <w:sz w:val="24"/>
          <w:szCs w:val="24"/>
          <w:lang w:eastAsia="da-DK"/>
        </w:rPr>
        <w:t xml:space="preserve">Det anbefales at anvende en lavere startdosis af </w:t>
      </w:r>
      <w:proofErr w:type="spellStart"/>
      <w:r w:rsidRPr="00EF058F">
        <w:rPr>
          <w:sz w:val="24"/>
          <w:szCs w:val="24"/>
          <w:lang w:eastAsia="da-DK"/>
        </w:rPr>
        <w:t>methadon</w:t>
      </w:r>
      <w:proofErr w:type="spellEnd"/>
      <w:r w:rsidRPr="00EF058F">
        <w:rPr>
          <w:sz w:val="24"/>
          <w:szCs w:val="24"/>
          <w:lang w:eastAsia="da-DK"/>
        </w:rPr>
        <w:t xml:space="preserve"> og langsommere dosistitrering på baggrund af det kliniske respons og graden af nyreinsufficiens. </w:t>
      </w:r>
    </w:p>
    <w:p w:rsidR="00973CD2" w:rsidRPr="00EF058F" w:rsidRDefault="00973CD2" w:rsidP="00973CD2">
      <w:pPr>
        <w:tabs>
          <w:tab w:val="left" w:pos="851"/>
        </w:tabs>
        <w:autoSpaceDE w:val="0"/>
        <w:autoSpaceDN w:val="0"/>
        <w:adjustRightInd w:val="0"/>
        <w:ind w:left="851"/>
        <w:rPr>
          <w:sz w:val="24"/>
          <w:szCs w:val="24"/>
          <w:lang w:eastAsia="da-DK"/>
        </w:rPr>
      </w:pPr>
    </w:p>
    <w:p w:rsidR="00973CD2" w:rsidRPr="00EF058F" w:rsidRDefault="00973CD2" w:rsidP="00973CD2">
      <w:pPr>
        <w:keepNext/>
        <w:tabs>
          <w:tab w:val="left" w:pos="851"/>
        </w:tabs>
        <w:ind w:left="851"/>
        <w:rPr>
          <w:i/>
          <w:sz w:val="24"/>
          <w:szCs w:val="24"/>
          <w:lang w:eastAsia="da-DK"/>
        </w:rPr>
      </w:pPr>
      <w:r w:rsidRPr="00EF058F">
        <w:rPr>
          <w:sz w:val="24"/>
          <w:szCs w:val="24"/>
          <w:lang w:eastAsia="da-DK"/>
        </w:rPr>
        <w:t xml:space="preserve">Doseringsintervallet bør forlænges til mindst 8 timer, hvis den </w:t>
      </w:r>
      <w:proofErr w:type="spellStart"/>
      <w:r w:rsidRPr="00EF058F">
        <w:rPr>
          <w:sz w:val="24"/>
          <w:szCs w:val="24"/>
          <w:lang w:eastAsia="da-DK"/>
        </w:rPr>
        <w:t>glomerulære</w:t>
      </w:r>
      <w:proofErr w:type="spellEnd"/>
      <w:r w:rsidRPr="00EF058F">
        <w:rPr>
          <w:sz w:val="24"/>
          <w:szCs w:val="24"/>
          <w:lang w:eastAsia="da-DK"/>
        </w:rPr>
        <w:t xml:space="preserve"> filtrationshastighed (GFR) er 10-50 ml/min, og til mindst 12 timer, hvis GFR er lavere end 10 ml/min, hvis </w:t>
      </w:r>
      <w:proofErr w:type="spellStart"/>
      <w:r w:rsidRPr="00EF058F">
        <w:rPr>
          <w:sz w:val="24"/>
          <w:szCs w:val="24"/>
          <w:lang w:eastAsia="da-DK"/>
        </w:rPr>
        <w:t>methadon</w:t>
      </w:r>
      <w:proofErr w:type="spellEnd"/>
      <w:r w:rsidRPr="00EF058F">
        <w:rPr>
          <w:sz w:val="24"/>
          <w:szCs w:val="24"/>
          <w:lang w:eastAsia="da-DK"/>
        </w:rPr>
        <w:t xml:space="preserve"> tages flere gange daglig mod smerter. Det anbefales at anvende en lavere startdosis af </w:t>
      </w:r>
      <w:proofErr w:type="spellStart"/>
      <w:r w:rsidRPr="00EF058F">
        <w:rPr>
          <w:sz w:val="24"/>
          <w:szCs w:val="24"/>
          <w:lang w:eastAsia="da-DK"/>
        </w:rPr>
        <w:t>methadon</w:t>
      </w:r>
      <w:proofErr w:type="spellEnd"/>
      <w:r w:rsidRPr="00EF058F">
        <w:rPr>
          <w:sz w:val="24"/>
          <w:szCs w:val="24"/>
          <w:lang w:eastAsia="da-DK"/>
        </w:rPr>
        <w:t xml:space="preserve"> og langsommere dosistitrering på baggrund af det kliniske respons og graden af nyreinsufficiens.</w:t>
      </w:r>
    </w:p>
    <w:p w:rsidR="00973CD2" w:rsidRPr="00EF058F" w:rsidRDefault="00973CD2" w:rsidP="00973CD2">
      <w:pPr>
        <w:tabs>
          <w:tab w:val="left" w:pos="851"/>
        </w:tabs>
        <w:autoSpaceDE w:val="0"/>
        <w:autoSpaceDN w:val="0"/>
        <w:adjustRightInd w:val="0"/>
        <w:ind w:left="851"/>
        <w:rPr>
          <w:sz w:val="24"/>
          <w:szCs w:val="24"/>
          <w:lang w:eastAsia="da-DK"/>
        </w:rPr>
      </w:pPr>
      <w:r w:rsidRPr="00EF058F">
        <w:rPr>
          <w:sz w:val="24"/>
          <w:szCs w:val="24"/>
          <w:lang w:eastAsia="da-DK"/>
        </w:rPr>
        <w:t xml:space="preserve"> </w:t>
      </w:r>
    </w:p>
    <w:p w:rsidR="00973CD2" w:rsidRPr="00EF058F" w:rsidRDefault="00973CD2" w:rsidP="00973CD2">
      <w:pPr>
        <w:tabs>
          <w:tab w:val="left" w:pos="851"/>
        </w:tabs>
        <w:suppressAutoHyphens/>
        <w:ind w:left="851"/>
        <w:rPr>
          <w:sz w:val="24"/>
          <w:szCs w:val="24"/>
          <w:u w:val="single"/>
          <w:lang w:eastAsia="da-DK"/>
        </w:rPr>
      </w:pPr>
      <w:r w:rsidRPr="00EF058F">
        <w:rPr>
          <w:sz w:val="24"/>
          <w:szCs w:val="24"/>
          <w:u w:val="single"/>
          <w:lang w:eastAsia="da-DK"/>
        </w:rPr>
        <w:t>Vedligeholdelsesbehandling af opioidafhængighed:</w:t>
      </w:r>
    </w:p>
    <w:p w:rsidR="00973CD2" w:rsidRPr="00EF058F" w:rsidRDefault="00973CD2" w:rsidP="00973CD2">
      <w:pPr>
        <w:tabs>
          <w:tab w:val="left" w:pos="851"/>
        </w:tabs>
        <w:suppressAutoHyphens/>
        <w:ind w:left="851"/>
        <w:rPr>
          <w:sz w:val="24"/>
          <w:szCs w:val="24"/>
          <w:lang w:eastAsia="da-DK"/>
        </w:rPr>
      </w:pPr>
      <w:r w:rsidRPr="00EF058F">
        <w:rPr>
          <w:sz w:val="24"/>
          <w:szCs w:val="24"/>
          <w:lang w:eastAsia="da-DK"/>
        </w:rPr>
        <w:t xml:space="preserve">Den sædvanlige startdosis er 10 - 30 mg. Hos patienter med høj opioidtolerans er startdosen 25-40 mg. Dosen øges i trin af 10 mg ad gangen over 3 uger, sædvanligvis til 70 eller 80 mg. Efter en anbefalet stabiliseringsperiode på 4 uger, justeres dosen, indtil patienten ikke har nogen rusafhængighed og ikke udviser kliniske tegn på </w:t>
      </w:r>
      <w:proofErr w:type="spellStart"/>
      <w:r w:rsidRPr="00EF058F">
        <w:rPr>
          <w:sz w:val="24"/>
          <w:szCs w:val="24"/>
          <w:lang w:eastAsia="da-DK"/>
        </w:rPr>
        <w:t>psykomotoriske</w:t>
      </w:r>
      <w:proofErr w:type="spellEnd"/>
      <w:r w:rsidRPr="00EF058F">
        <w:rPr>
          <w:sz w:val="24"/>
          <w:szCs w:val="24"/>
          <w:lang w:eastAsia="da-DK"/>
        </w:rPr>
        <w:t xml:space="preserve"> funktionsforstyrrelser eller abstinenssymptomer. Den sædvanlige dosis er 60-120 mg </w:t>
      </w:r>
      <w:proofErr w:type="spellStart"/>
      <w:r w:rsidRPr="00EF058F">
        <w:rPr>
          <w:sz w:val="24"/>
          <w:szCs w:val="24"/>
          <w:lang w:eastAsia="da-DK"/>
        </w:rPr>
        <w:t>methadon</w:t>
      </w:r>
      <w:proofErr w:type="spellEnd"/>
      <w:r w:rsidRPr="00EF058F">
        <w:rPr>
          <w:sz w:val="24"/>
          <w:szCs w:val="24"/>
          <w:lang w:eastAsia="da-DK"/>
        </w:rPr>
        <w:t xml:space="preserve"> daglig, men nogle patienter kan have brug for højere doser. Metadon "2care4" fås også som 20 mg og 40 mg tabletter. Doseringen bør fastlægges på baggrund af en klinisk vurdering og understøttes af opfølgende kontroller af serumniveauerne. Det anbefalede serumniveau over 24 timer ved </w:t>
      </w:r>
      <w:proofErr w:type="spellStart"/>
      <w:r w:rsidRPr="00EF058F">
        <w:rPr>
          <w:sz w:val="24"/>
          <w:szCs w:val="24"/>
          <w:lang w:eastAsia="da-DK"/>
        </w:rPr>
        <w:t>steady</w:t>
      </w:r>
      <w:proofErr w:type="spellEnd"/>
      <w:r w:rsidRPr="00EF058F">
        <w:rPr>
          <w:sz w:val="24"/>
          <w:szCs w:val="24"/>
          <w:lang w:eastAsia="da-DK"/>
        </w:rPr>
        <w:t xml:space="preserve"> </w:t>
      </w:r>
      <w:proofErr w:type="spellStart"/>
      <w:r w:rsidRPr="00EF058F">
        <w:rPr>
          <w:sz w:val="24"/>
          <w:szCs w:val="24"/>
          <w:lang w:eastAsia="da-DK"/>
        </w:rPr>
        <w:t>state</w:t>
      </w:r>
      <w:proofErr w:type="spellEnd"/>
      <w:r w:rsidRPr="00EF058F">
        <w:rPr>
          <w:sz w:val="24"/>
          <w:szCs w:val="24"/>
          <w:lang w:eastAsia="da-DK"/>
        </w:rPr>
        <w:t xml:space="preserve"> er 600-1200 nmol (200-400 </w:t>
      </w:r>
      <w:proofErr w:type="spellStart"/>
      <w:r w:rsidRPr="00EF058F">
        <w:rPr>
          <w:sz w:val="24"/>
          <w:szCs w:val="24"/>
          <w:lang w:eastAsia="da-DK"/>
        </w:rPr>
        <w:t>ng</w:t>
      </w:r>
      <w:proofErr w:type="spellEnd"/>
      <w:r w:rsidRPr="00EF058F">
        <w:rPr>
          <w:sz w:val="24"/>
          <w:szCs w:val="24"/>
          <w:lang w:eastAsia="da-DK"/>
        </w:rPr>
        <w:t xml:space="preserve">/ml). Den kliniske vurdering er meget vigtig. </w:t>
      </w:r>
      <w:proofErr w:type="spellStart"/>
      <w:r w:rsidRPr="00EF058F">
        <w:rPr>
          <w:sz w:val="24"/>
          <w:szCs w:val="24"/>
          <w:lang w:eastAsia="da-DK"/>
        </w:rPr>
        <w:t>Methadon</w:t>
      </w:r>
      <w:proofErr w:type="spellEnd"/>
      <w:r w:rsidRPr="00EF058F">
        <w:rPr>
          <w:sz w:val="24"/>
          <w:szCs w:val="24"/>
          <w:lang w:eastAsia="da-DK"/>
        </w:rPr>
        <w:t xml:space="preserve"> administreres som regel én gang daglig. Ved hyppigere administration er der en risiko for akkumulation og overdosering. Doser over 150 mg/dag er meget ualmindelige og bør så vidt muligt undgås på grund af en øget risiko for QT-forlængelse, </w:t>
      </w:r>
      <w:proofErr w:type="spellStart"/>
      <w:r w:rsidRPr="00EF058F">
        <w:rPr>
          <w:sz w:val="24"/>
          <w:szCs w:val="24"/>
          <w:lang w:eastAsia="da-DK"/>
        </w:rPr>
        <w:t>torsades</w:t>
      </w:r>
      <w:proofErr w:type="spellEnd"/>
      <w:r w:rsidRPr="00EF058F">
        <w:rPr>
          <w:sz w:val="24"/>
          <w:szCs w:val="24"/>
          <w:lang w:eastAsia="da-DK"/>
        </w:rPr>
        <w:t xml:space="preserve"> de pointes og hjertestop. </w:t>
      </w:r>
    </w:p>
    <w:p w:rsidR="00973CD2" w:rsidRPr="00EF058F" w:rsidRDefault="00973CD2" w:rsidP="00973CD2">
      <w:pPr>
        <w:tabs>
          <w:tab w:val="left" w:pos="851"/>
        </w:tabs>
        <w:suppressAutoHyphens/>
        <w:ind w:left="851"/>
        <w:rPr>
          <w:sz w:val="24"/>
          <w:szCs w:val="24"/>
          <w:lang w:eastAsia="da-DK"/>
        </w:rPr>
      </w:pPr>
    </w:p>
    <w:p w:rsidR="00973CD2" w:rsidRPr="00EF058F" w:rsidRDefault="00973CD2" w:rsidP="00973CD2">
      <w:pPr>
        <w:tabs>
          <w:tab w:val="left" w:pos="851"/>
        </w:tabs>
        <w:suppressAutoHyphens/>
        <w:ind w:left="851"/>
        <w:rPr>
          <w:sz w:val="24"/>
          <w:szCs w:val="24"/>
          <w:lang w:eastAsia="da-DK"/>
        </w:rPr>
      </w:pPr>
      <w:r w:rsidRPr="00EF058F">
        <w:rPr>
          <w:sz w:val="24"/>
          <w:szCs w:val="24"/>
          <w:lang w:eastAsia="da-DK"/>
        </w:rPr>
        <w:lastRenderedPageBreak/>
        <w:t xml:space="preserve">Patienten bør observeres i forbindelse med dosisøgninger, så utilsigtede reaktioner bliver opdaget. Patientens serumniveau stiger i op til 2 timer, og det er vigtigt, at tegn på overdosering eller andre alvorlige/ubehagelige reaktioner bliver opdaget. </w:t>
      </w:r>
    </w:p>
    <w:p w:rsidR="00973CD2" w:rsidRPr="00EF058F" w:rsidRDefault="00973CD2" w:rsidP="00973CD2">
      <w:pPr>
        <w:tabs>
          <w:tab w:val="left" w:pos="851"/>
        </w:tabs>
        <w:suppressAutoHyphens/>
        <w:ind w:left="851"/>
        <w:rPr>
          <w:sz w:val="24"/>
          <w:szCs w:val="24"/>
          <w:lang w:eastAsia="da-DK"/>
        </w:rPr>
      </w:pPr>
    </w:p>
    <w:p w:rsidR="00973CD2" w:rsidRPr="00EF058F" w:rsidRDefault="00973CD2" w:rsidP="00973CD2">
      <w:pPr>
        <w:tabs>
          <w:tab w:val="left" w:pos="851"/>
        </w:tabs>
        <w:suppressAutoHyphens/>
        <w:ind w:left="851"/>
        <w:rPr>
          <w:sz w:val="24"/>
          <w:szCs w:val="24"/>
          <w:lang w:eastAsia="da-DK"/>
        </w:rPr>
      </w:pPr>
      <w:proofErr w:type="spellStart"/>
      <w:r w:rsidRPr="00EF058F">
        <w:rPr>
          <w:sz w:val="24"/>
          <w:szCs w:val="24"/>
          <w:lang w:eastAsia="da-DK"/>
        </w:rPr>
        <w:t>Methadons</w:t>
      </w:r>
      <w:proofErr w:type="spellEnd"/>
      <w:r w:rsidRPr="00EF058F">
        <w:rPr>
          <w:sz w:val="24"/>
          <w:szCs w:val="24"/>
          <w:lang w:eastAsia="da-DK"/>
        </w:rPr>
        <w:t xml:space="preserve"> farmakokinetik gennemgår </w:t>
      </w:r>
      <w:proofErr w:type="spellStart"/>
      <w:r w:rsidRPr="00EF058F">
        <w:rPr>
          <w:sz w:val="24"/>
          <w:szCs w:val="24"/>
          <w:lang w:eastAsia="da-DK"/>
        </w:rPr>
        <w:t>adaptative</w:t>
      </w:r>
      <w:proofErr w:type="spellEnd"/>
      <w:r w:rsidRPr="00EF058F">
        <w:rPr>
          <w:sz w:val="24"/>
          <w:szCs w:val="24"/>
          <w:lang w:eastAsia="da-DK"/>
        </w:rPr>
        <w:t xml:space="preserve"> forandringer ved gentagen administration af lægemidlet. Disse forandringer er blevet tilskrevet øget </w:t>
      </w:r>
      <w:proofErr w:type="spellStart"/>
      <w:r w:rsidRPr="00EF058F">
        <w:rPr>
          <w:sz w:val="24"/>
          <w:szCs w:val="24"/>
          <w:lang w:eastAsia="da-DK"/>
        </w:rPr>
        <w:t>clearance</w:t>
      </w:r>
      <w:proofErr w:type="spellEnd"/>
      <w:r w:rsidRPr="00EF058F">
        <w:rPr>
          <w:sz w:val="24"/>
          <w:szCs w:val="24"/>
          <w:lang w:eastAsia="da-DK"/>
        </w:rPr>
        <w:t>. I så tilfælde bør dosen øges én eller flere gange for at opretholde den optimale virkning.</w:t>
      </w:r>
    </w:p>
    <w:p w:rsidR="00973CD2" w:rsidRPr="00EF058F" w:rsidRDefault="00973CD2" w:rsidP="00973CD2">
      <w:pPr>
        <w:tabs>
          <w:tab w:val="left" w:pos="851"/>
        </w:tabs>
        <w:suppressAutoHyphens/>
        <w:ind w:left="851"/>
        <w:rPr>
          <w:sz w:val="24"/>
          <w:szCs w:val="24"/>
          <w:lang w:eastAsia="da-DK"/>
        </w:rPr>
      </w:pPr>
    </w:p>
    <w:p w:rsidR="00973CD2" w:rsidRPr="00EF058F" w:rsidRDefault="00973CD2" w:rsidP="00973CD2">
      <w:pPr>
        <w:tabs>
          <w:tab w:val="left" w:pos="851"/>
        </w:tabs>
        <w:suppressAutoHyphens/>
        <w:ind w:left="851"/>
        <w:rPr>
          <w:sz w:val="24"/>
          <w:szCs w:val="24"/>
          <w:lang w:eastAsia="da-DK"/>
        </w:rPr>
      </w:pPr>
      <w:r w:rsidRPr="00EF058F">
        <w:rPr>
          <w:sz w:val="24"/>
          <w:szCs w:val="24"/>
          <w:lang w:eastAsia="da-DK"/>
        </w:rPr>
        <w:t xml:space="preserve">Hvis patienten er blevet behandlet med en kombineret agonist/antagonist (f.eks. </w:t>
      </w:r>
      <w:proofErr w:type="spellStart"/>
      <w:r w:rsidRPr="00EF058F">
        <w:rPr>
          <w:sz w:val="24"/>
          <w:szCs w:val="24"/>
          <w:lang w:eastAsia="da-DK"/>
        </w:rPr>
        <w:t>buprenorphin</w:t>
      </w:r>
      <w:proofErr w:type="spellEnd"/>
      <w:r w:rsidRPr="00EF058F">
        <w:rPr>
          <w:sz w:val="24"/>
          <w:szCs w:val="24"/>
          <w:lang w:eastAsia="da-DK"/>
        </w:rPr>
        <w:t xml:space="preserve">), bør dosen reduceres gradvist, når </w:t>
      </w:r>
      <w:proofErr w:type="spellStart"/>
      <w:r w:rsidRPr="00EF058F">
        <w:rPr>
          <w:sz w:val="24"/>
          <w:szCs w:val="24"/>
          <w:lang w:eastAsia="da-DK"/>
        </w:rPr>
        <w:t>methadonbehandlingen</w:t>
      </w:r>
      <w:proofErr w:type="spellEnd"/>
      <w:r w:rsidRPr="00EF058F">
        <w:rPr>
          <w:sz w:val="24"/>
          <w:szCs w:val="24"/>
          <w:lang w:eastAsia="da-DK"/>
        </w:rPr>
        <w:t xml:space="preserve"> bliver startet. Hvis </w:t>
      </w:r>
      <w:proofErr w:type="spellStart"/>
      <w:r w:rsidRPr="00EF058F">
        <w:rPr>
          <w:sz w:val="24"/>
          <w:szCs w:val="24"/>
          <w:lang w:eastAsia="da-DK"/>
        </w:rPr>
        <w:t>methadonbehandlingen</w:t>
      </w:r>
      <w:proofErr w:type="spellEnd"/>
      <w:r w:rsidRPr="00EF058F">
        <w:rPr>
          <w:sz w:val="24"/>
          <w:szCs w:val="24"/>
          <w:lang w:eastAsia="da-DK"/>
        </w:rPr>
        <w:t xml:space="preserve"> skal seponeres, og det planlægges at skifte til </w:t>
      </w:r>
      <w:proofErr w:type="spellStart"/>
      <w:r w:rsidRPr="00EF058F">
        <w:rPr>
          <w:sz w:val="24"/>
          <w:szCs w:val="24"/>
          <w:lang w:eastAsia="da-DK"/>
        </w:rPr>
        <w:t>sublingual</w:t>
      </w:r>
      <w:proofErr w:type="spellEnd"/>
      <w:r w:rsidRPr="00EF058F">
        <w:rPr>
          <w:sz w:val="24"/>
          <w:szCs w:val="24"/>
          <w:lang w:eastAsia="da-DK"/>
        </w:rPr>
        <w:t xml:space="preserve"> </w:t>
      </w:r>
      <w:proofErr w:type="spellStart"/>
      <w:r w:rsidRPr="00EF058F">
        <w:rPr>
          <w:sz w:val="24"/>
          <w:szCs w:val="24"/>
          <w:lang w:eastAsia="da-DK"/>
        </w:rPr>
        <w:t>buprenorphin</w:t>
      </w:r>
      <w:proofErr w:type="spellEnd"/>
      <w:r w:rsidRPr="00EF058F">
        <w:rPr>
          <w:sz w:val="24"/>
          <w:szCs w:val="24"/>
          <w:lang w:eastAsia="da-DK"/>
        </w:rPr>
        <w:t xml:space="preserve"> (især i kombination med </w:t>
      </w:r>
      <w:proofErr w:type="spellStart"/>
      <w:r w:rsidRPr="00EF058F">
        <w:rPr>
          <w:sz w:val="24"/>
          <w:szCs w:val="24"/>
          <w:lang w:eastAsia="da-DK"/>
        </w:rPr>
        <w:t>naloxon</w:t>
      </w:r>
      <w:proofErr w:type="spellEnd"/>
      <w:r w:rsidRPr="00EF058F">
        <w:rPr>
          <w:sz w:val="24"/>
          <w:szCs w:val="24"/>
          <w:lang w:eastAsia="da-DK"/>
        </w:rPr>
        <w:t xml:space="preserve">), bør </w:t>
      </w:r>
      <w:proofErr w:type="spellStart"/>
      <w:r w:rsidRPr="00EF058F">
        <w:rPr>
          <w:sz w:val="24"/>
          <w:szCs w:val="24"/>
          <w:lang w:eastAsia="da-DK"/>
        </w:rPr>
        <w:t>methadondosen</w:t>
      </w:r>
      <w:proofErr w:type="spellEnd"/>
      <w:r w:rsidRPr="00EF058F">
        <w:rPr>
          <w:sz w:val="24"/>
          <w:szCs w:val="24"/>
          <w:lang w:eastAsia="da-DK"/>
        </w:rPr>
        <w:t xml:space="preserve"> først reduceres til 30 mg/dag for at undgå abstinenssymptomer, der er forårsaget af </w:t>
      </w:r>
      <w:proofErr w:type="spellStart"/>
      <w:r w:rsidRPr="00EF058F">
        <w:rPr>
          <w:sz w:val="24"/>
          <w:szCs w:val="24"/>
          <w:lang w:eastAsia="da-DK"/>
        </w:rPr>
        <w:t>buprenorphin</w:t>
      </w:r>
      <w:proofErr w:type="spellEnd"/>
      <w:r w:rsidRPr="00EF058F">
        <w:rPr>
          <w:sz w:val="24"/>
          <w:szCs w:val="24"/>
          <w:lang w:eastAsia="da-DK"/>
        </w:rPr>
        <w:t>/</w:t>
      </w:r>
      <w:proofErr w:type="spellStart"/>
      <w:r w:rsidRPr="00EF058F">
        <w:rPr>
          <w:sz w:val="24"/>
          <w:szCs w:val="24"/>
          <w:lang w:eastAsia="da-DK"/>
        </w:rPr>
        <w:t>naloxon</w:t>
      </w:r>
      <w:proofErr w:type="spellEnd"/>
      <w:r w:rsidRPr="00EF058F">
        <w:rPr>
          <w:sz w:val="24"/>
          <w:szCs w:val="24"/>
          <w:lang w:eastAsia="da-DK"/>
        </w:rPr>
        <w:t>.</w:t>
      </w:r>
    </w:p>
    <w:p w:rsidR="00973CD2" w:rsidRPr="00EF058F" w:rsidRDefault="00973CD2" w:rsidP="00973CD2">
      <w:pPr>
        <w:tabs>
          <w:tab w:val="left" w:pos="851"/>
        </w:tabs>
        <w:suppressAutoHyphens/>
        <w:ind w:left="851"/>
        <w:rPr>
          <w:sz w:val="24"/>
          <w:szCs w:val="24"/>
          <w:lang w:eastAsia="da-DK"/>
        </w:rPr>
      </w:pPr>
    </w:p>
    <w:p w:rsidR="00973CD2" w:rsidRPr="00EF058F" w:rsidRDefault="00973CD2" w:rsidP="00973CD2">
      <w:pPr>
        <w:tabs>
          <w:tab w:val="left" w:pos="851"/>
        </w:tabs>
        <w:autoSpaceDE w:val="0"/>
        <w:autoSpaceDN w:val="0"/>
        <w:adjustRightInd w:val="0"/>
        <w:ind w:left="851"/>
        <w:rPr>
          <w:i/>
          <w:sz w:val="24"/>
          <w:szCs w:val="24"/>
          <w:lang w:eastAsia="da-DK"/>
        </w:rPr>
      </w:pPr>
      <w:r w:rsidRPr="00EF058F">
        <w:rPr>
          <w:i/>
          <w:sz w:val="24"/>
          <w:szCs w:val="24"/>
          <w:lang w:eastAsia="da-DK"/>
        </w:rPr>
        <w:t>Ældre</w:t>
      </w:r>
    </w:p>
    <w:p w:rsidR="00973CD2" w:rsidRPr="00EF058F" w:rsidRDefault="00973CD2" w:rsidP="00973CD2">
      <w:pPr>
        <w:tabs>
          <w:tab w:val="left" w:pos="851"/>
        </w:tabs>
        <w:autoSpaceDE w:val="0"/>
        <w:autoSpaceDN w:val="0"/>
        <w:adjustRightInd w:val="0"/>
        <w:ind w:left="851"/>
        <w:rPr>
          <w:sz w:val="24"/>
          <w:szCs w:val="24"/>
          <w:lang w:eastAsia="da-DK"/>
        </w:rPr>
      </w:pPr>
      <w:r w:rsidRPr="00EF058F">
        <w:rPr>
          <w:sz w:val="24"/>
          <w:szCs w:val="24"/>
          <w:lang w:eastAsia="da-DK"/>
        </w:rPr>
        <w:t xml:space="preserve">Der skal udvises forsigtighed efter administration til ældre patienter. </w:t>
      </w:r>
    </w:p>
    <w:p w:rsidR="00973CD2" w:rsidRPr="00EF058F" w:rsidRDefault="00973CD2" w:rsidP="00973CD2">
      <w:pPr>
        <w:tabs>
          <w:tab w:val="left" w:pos="851"/>
        </w:tabs>
        <w:autoSpaceDE w:val="0"/>
        <w:autoSpaceDN w:val="0"/>
        <w:adjustRightInd w:val="0"/>
        <w:ind w:left="851"/>
        <w:rPr>
          <w:i/>
          <w:sz w:val="24"/>
          <w:szCs w:val="24"/>
          <w:lang w:eastAsia="da-DK"/>
        </w:rPr>
      </w:pPr>
    </w:p>
    <w:p w:rsidR="00973CD2" w:rsidRPr="00EF058F" w:rsidRDefault="00973CD2" w:rsidP="00973CD2">
      <w:pPr>
        <w:tabs>
          <w:tab w:val="left" w:pos="851"/>
        </w:tabs>
        <w:autoSpaceDE w:val="0"/>
        <w:autoSpaceDN w:val="0"/>
        <w:adjustRightInd w:val="0"/>
        <w:ind w:left="851"/>
        <w:rPr>
          <w:i/>
          <w:sz w:val="24"/>
          <w:szCs w:val="24"/>
          <w:lang w:eastAsia="da-DK"/>
        </w:rPr>
      </w:pPr>
      <w:r w:rsidRPr="00EF058F">
        <w:rPr>
          <w:i/>
          <w:sz w:val="24"/>
          <w:szCs w:val="24"/>
          <w:lang w:eastAsia="da-DK"/>
        </w:rPr>
        <w:t>Pædiatrisk population</w:t>
      </w:r>
    </w:p>
    <w:p w:rsidR="00973CD2" w:rsidRPr="00EF058F" w:rsidRDefault="00973CD2" w:rsidP="00973CD2">
      <w:pPr>
        <w:tabs>
          <w:tab w:val="left" w:pos="851"/>
        </w:tabs>
        <w:autoSpaceDE w:val="0"/>
        <w:autoSpaceDN w:val="0"/>
        <w:adjustRightInd w:val="0"/>
        <w:ind w:left="851"/>
        <w:rPr>
          <w:sz w:val="24"/>
          <w:szCs w:val="24"/>
          <w:lang w:eastAsia="da-DK"/>
        </w:rPr>
      </w:pPr>
      <w:r w:rsidRPr="00EF058F">
        <w:rPr>
          <w:sz w:val="24"/>
          <w:szCs w:val="24"/>
          <w:lang w:eastAsia="da-DK"/>
        </w:rPr>
        <w:t xml:space="preserve">Det frarådes at anvende </w:t>
      </w:r>
      <w:r>
        <w:rPr>
          <w:sz w:val="24"/>
          <w:szCs w:val="24"/>
          <w:lang w:eastAsia="da-DK"/>
        </w:rPr>
        <w:t>Metadon "2care4"</w:t>
      </w:r>
      <w:r w:rsidRPr="00EF058F">
        <w:rPr>
          <w:sz w:val="24"/>
          <w:szCs w:val="24"/>
          <w:lang w:eastAsia="da-DK"/>
        </w:rPr>
        <w:t xml:space="preserve"> til børn, idet der ikke foreligger tilstrækkelige kliniske data til at fastlægge et velegnet doseringsregime.</w:t>
      </w:r>
    </w:p>
    <w:p w:rsidR="00973CD2" w:rsidRPr="00EF058F" w:rsidRDefault="00973CD2" w:rsidP="00973CD2">
      <w:pPr>
        <w:tabs>
          <w:tab w:val="left" w:pos="851"/>
        </w:tabs>
        <w:autoSpaceDE w:val="0"/>
        <w:autoSpaceDN w:val="0"/>
        <w:adjustRightInd w:val="0"/>
        <w:ind w:left="851"/>
        <w:rPr>
          <w:sz w:val="24"/>
          <w:szCs w:val="24"/>
          <w:lang w:eastAsia="da-DK"/>
        </w:rPr>
      </w:pPr>
    </w:p>
    <w:p w:rsidR="00973CD2" w:rsidRPr="00EF058F" w:rsidRDefault="00973CD2" w:rsidP="00973CD2">
      <w:pPr>
        <w:tabs>
          <w:tab w:val="left" w:pos="851"/>
        </w:tabs>
        <w:autoSpaceDE w:val="0"/>
        <w:autoSpaceDN w:val="0"/>
        <w:adjustRightInd w:val="0"/>
        <w:ind w:left="851"/>
        <w:rPr>
          <w:i/>
          <w:sz w:val="24"/>
          <w:szCs w:val="24"/>
          <w:lang w:eastAsia="da-DK"/>
        </w:rPr>
      </w:pPr>
      <w:r w:rsidRPr="00EF058F">
        <w:rPr>
          <w:i/>
          <w:sz w:val="24"/>
          <w:szCs w:val="24"/>
          <w:lang w:eastAsia="da-DK"/>
        </w:rPr>
        <w:t>Andre tilstande</w:t>
      </w:r>
    </w:p>
    <w:p w:rsidR="00973CD2" w:rsidRPr="00EF058F" w:rsidRDefault="00973CD2" w:rsidP="00973CD2">
      <w:pPr>
        <w:tabs>
          <w:tab w:val="left" w:pos="851"/>
        </w:tabs>
        <w:autoSpaceDE w:val="0"/>
        <w:autoSpaceDN w:val="0"/>
        <w:adjustRightInd w:val="0"/>
        <w:ind w:left="851"/>
        <w:rPr>
          <w:sz w:val="24"/>
          <w:szCs w:val="24"/>
          <w:lang w:eastAsia="da-DK"/>
        </w:rPr>
      </w:pPr>
      <w:r w:rsidRPr="00EF058F">
        <w:rPr>
          <w:sz w:val="24"/>
          <w:szCs w:val="24"/>
          <w:lang w:eastAsia="da-DK"/>
        </w:rPr>
        <w:t xml:space="preserve">Patienter med </w:t>
      </w:r>
      <w:proofErr w:type="spellStart"/>
      <w:r w:rsidRPr="00EF058F">
        <w:rPr>
          <w:sz w:val="24"/>
          <w:szCs w:val="24"/>
          <w:lang w:eastAsia="da-DK"/>
        </w:rPr>
        <w:t>hypothyreoidisme</w:t>
      </w:r>
      <w:proofErr w:type="spellEnd"/>
      <w:r w:rsidRPr="00EF058F">
        <w:rPr>
          <w:sz w:val="24"/>
          <w:szCs w:val="24"/>
          <w:lang w:eastAsia="da-DK"/>
        </w:rPr>
        <w:t xml:space="preserve">, </w:t>
      </w:r>
      <w:proofErr w:type="spellStart"/>
      <w:r w:rsidRPr="00EF058F">
        <w:rPr>
          <w:sz w:val="24"/>
          <w:szCs w:val="24"/>
          <w:lang w:eastAsia="da-DK"/>
        </w:rPr>
        <w:t>myksødem</w:t>
      </w:r>
      <w:proofErr w:type="spellEnd"/>
      <w:r w:rsidRPr="00EF058F">
        <w:rPr>
          <w:sz w:val="24"/>
          <w:szCs w:val="24"/>
          <w:lang w:eastAsia="da-DK"/>
        </w:rPr>
        <w:t xml:space="preserve">, urinrørsforsnævring, astma eller nedsat lungevolumen eller prostatahypertrofi skal have en lavere startdosis.  </w:t>
      </w:r>
    </w:p>
    <w:p w:rsidR="00973CD2" w:rsidRPr="00EF058F" w:rsidRDefault="00973CD2" w:rsidP="00973CD2">
      <w:pPr>
        <w:tabs>
          <w:tab w:val="left" w:pos="851"/>
        </w:tabs>
        <w:autoSpaceDE w:val="0"/>
        <w:autoSpaceDN w:val="0"/>
        <w:adjustRightInd w:val="0"/>
        <w:ind w:left="851"/>
        <w:rPr>
          <w:sz w:val="24"/>
          <w:szCs w:val="24"/>
          <w:lang w:eastAsia="da-DK"/>
        </w:rPr>
      </w:pPr>
    </w:p>
    <w:p w:rsidR="00973CD2" w:rsidRPr="00EF058F" w:rsidRDefault="00973CD2" w:rsidP="00973CD2">
      <w:pPr>
        <w:tabs>
          <w:tab w:val="left" w:pos="851"/>
        </w:tabs>
        <w:autoSpaceDE w:val="0"/>
        <w:autoSpaceDN w:val="0"/>
        <w:adjustRightInd w:val="0"/>
        <w:ind w:left="851"/>
        <w:rPr>
          <w:i/>
          <w:sz w:val="24"/>
          <w:szCs w:val="24"/>
          <w:lang w:eastAsia="da-DK"/>
        </w:rPr>
      </w:pPr>
      <w:r w:rsidRPr="00EF058F">
        <w:rPr>
          <w:i/>
          <w:sz w:val="24"/>
          <w:szCs w:val="24"/>
          <w:lang w:eastAsia="da-DK"/>
        </w:rPr>
        <w:t>Nedsat leverfunktion</w:t>
      </w:r>
    </w:p>
    <w:p w:rsidR="00973CD2" w:rsidRPr="00EF058F" w:rsidRDefault="00973CD2" w:rsidP="00973CD2">
      <w:pPr>
        <w:tabs>
          <w:tab w:val="left" w:pos="851"/>
        </w:tabs>
        <w:autoSpaceDE w:val="0"/>
        <w:autoSpaceDN w:val="0"/>
        <w:adjustRightInd w:val="0"/>
        <w:ind w:left="851"/>
        <w:rPr>
          <w:sz w:val="24"/>
          <w:szCs w:val="24"/>
          <w:lang w:eastAsia="da-DK"/>
        </w:rPr>
      </w:pPr>
      <w:r w:rsidRPr="00EF058F">
        <w:rPr>
          <w:sz w:val="24"/>
          <w:szCs w:val="24"/>
          <w:lang w:eastAsia="da-DK"/>
        </w:rPr>
        <w:t xml:space="preserve">Kronisk viral hepatitis er almindeligt udbredt blandt misbrugere. Der bør udvises forsigtighed, hvis Metadon "2care4" skal anvendes til patienter med nedsat leverfunktion. Hos patienter med levercirrose er metabolismen forsinket, og </w:t>
      </w:r>
      <w:proofErr w:type="spellStart"/>
      <w:r w:rsidRPr="00EF058F">
        <w:rPr>
          <w:sz w:val="24"/>
          <w:szCs w:val="24"/>
          <w:lang w:eastAsia="da-DK"/>
        </w:rPr>
        <w:t>first</w:t>
      </w:r>
      <w:proofErr w:type="spellEnd"/>
      <w:r w:rsidRPr="00EF058F">
        <w:rPr>
          <w:sz w:val="24"/>
          <w:szCs w:val="24"/>
          <w:lang w:eastAsia="da-DK"/>
        </w:rPr>
        <w:t xml:space="preserve"> </w:t>
      </w:r>
      <w:proofErr w:type="spellStart"/>
      <w:r w:rsidRPr="00EF058F">
        <w:rPr>
          <w:sz w:val="24"/>
          <w:szCs w:val="24"/>
          <w:lang w:eastAsia="da-DK"/>
        </w:rPr>
        <w:t>pass</w:t>
      </w:r>
      <w:proofErr w:type="spellEnd"/>
      <w:r w:rsidRPr="00EF058F">
        <w:rPr>
          <w:sz w:val="24"/>
          <w:szCs w:val="24"/>
          <w:lang w:eastAsia="da-DK"/>
        </w:rPr>
        <w:t xml:space="preserve">-effekten er reduceret. Dette kan resultere i højere plasmaniveauer af </w:t>
      </w:r>
      <w:proofErr w:type="spellStart"/>
      <w:r w:rsidRPr="00EF058F">
        <w:rPr>
          <w:sz w:val="24"/>
          <w:szCs w:val="24"/>
          <w:lang w:eastAsia="da-DK"/>
        </w:rPr>
        <w:t>methadon</w:t>
      </w:r>
      <w:proofErr w:type="spellEnd"/>
      <w:r w:rsidRPr="00EF058F">
        <w:rPr>
          <w:sz w:val="24"/>
          <w:szCs w:val="24"/>
          <w:lang w:eastAsia="da-DK"/>
        </w:rPr>
        <w:t>. Metadon "2care4" bør administreres i en lavere dosis end den anbefalede dosis, og patientens kliniske respons bør anvendes som vejledning ved den videre dosering.</w:t>
      </w:r>
    </w:p>
    <w:p w:rsidR="00973CD2" w:rsidRPr="00EF058F" w:rsidRDefault="00973CD2" w:rsidP="00973CD2">
      <w:pPr>
        <w:tabs>
          <w:tab w:val="left" w:pos="851"/>
        </w:tabs>
        <w:autoSpaceDE w:val="0"/>
        <w:autoSpaceDN w:val="0"/>
        <w:adjustRightInd w:val="0"/>
        <w:ind w:left="851"/>
        <w:rPr>
          <w:sz w:val="24"/>
          <w:szCs w:val="24"/>
          <w:lang w:eastAsia="da-DK"/>
        </w:rPr>
      </w:pPr>
    </w:p>
    <w:p w:rsidR="00973CD2" w:rsidRPr="00EF058F" w:rsidRDefault="00973CD2" w:rsidP="00973CD2">
      <w:pPr>
        <w:tabs>
          <w:tab w:val="left" w:pos="851"/>
        </w:tabs>
        <w:autoSpaceDE w:val="0"/>
        <w:autoSpaceDN w:val="0"/>
        <w:adjustRightInd w:val="0"/>
        <w:ind w:left="851"/>
        <w:rPr>
          <w:i/>
          <w:sz w:val="24"/>
          <w:szCs w:val="24"/>
          <w:lang w:eastAsia="da-DK"/>
        </w:rPr>
      </w:pPr>
      <w:r w:rsidRPr="00EF058F">
        <w:rPr>
          <w:i/>
          <w:sz w:val="24"/>
          <w:szCs w:val="24"/>
          <w:lang w:eastAsia="da-DK"/>
        </w:rPr>
        <w:t xml:space="preserve">Nedsat nyrefunktion </w:t>
      </w:r>
    </w:p>
    <w:p w:rsidR="00973CD2" w:rsidRPr="00EF058F" w:rsidRDefault="00973CD2" w:rsidP="00973CD2">
      <w:pPr>
        <w:tabs>
          <w:tab w:val="left" w:pos="851"/>
        </w:tabs>
        <w:autoSpaceDE w:val="0"/>
        <w:autoSpaceDN w:val="0"/>
        <w:adjustRightInd w:val="0"/>
        <w:ind w:left="851"/>
        <w:rPr>
          <w:sz w:val="24"/>
          <w:szCs w:val="24"/>
          <w:lang w:eastAsia="da-DK"/>
        </w:rPr>
      </w:pPr>
      <w:r w:rsidRPr="00EF058F">
        <w:rPr>
          <w:sz w:val="24"/>
          <w:szCs w:val="24"/>
          <w:lang w:eastAsia="da-DK"/>
        </w:rPr>
        <w:t xml:space="preserve">Der bør udvises forsigtighed, hvis </w:t>
      </w:r>
      <w:proofErr w:type="spellStart"/>
      <w:r w:rsidRPr="00EF058F">
        <w:rPr>
          <w:sz w:val="24"/>
          <w:szCs w:val="24"/>
          <w:lang w:eastAsia="da-DK"/>
        </w:rPr>
        <w:t>methadon</w:t>
      </w:r>
      <w:proofErr w:type="spellEnd"/>
      <w:r w:rsidRPr="00EF058F">
        <w:rPr>
          <w:sz w:val="24"/>
          <w:szCs w:val="24"/>
          <w:lang w:eastAsia="da-DK"/>
        </w:rPr>
        <w:t xml:space="preserve"> anvendes til patienter med nedsat nyrefunktion. Doseringsintervallet bør forlænges til mindst 32 timer, hvis GFR er 10-50 ml/min, og til mindst 36 timer, hvis GFR er lavere end 10 ml/min. </w:t>
      </w:r>
    </w:p>
    <w:p w:rsidR="00973CD2" w:rsidRPr="00EF058F" w:rsidRDefault="00973CD2" w:rsidP="00973CD2">
      <w:pPr>
        <w:tabs>
          <w:tab w:val="left" w:pos="851"/>
        </w:tabs>
        <w:autoSpaceDE w:val="0"/>
        <w:autoSpaceDN w:val="0"/>
        <w:adjustRightInd w:val="0"/>
        <w:ind w:left="851"/>
        <w:rPr>
          <w:sz w:val="24"/>
          <w:szCs w:val="24"/>
          <w:lang w:eastAsia="da-DK"/>
        </w:rPr>
      </w:pPr>
    </w:p>
    <w:p w:rsidR="00973CD2" w:rsidRPr="00EF058F" w:rsidRDefault="00973CD2" w:rsidP="00973CD2">
      <w:pPr>
        <w:tabs>
          <w:tab w:val="left" w:pos="851"/>
        </w:tabs>
        <w:autoSpaceDE w:val="0"/>
        <w:autoSpaceDN w:val="0"/>
        <w:adjustRightInd w:val="0"/>
        <w:ind w:left="851"/>
        <w:rPr>
          <w:sz w:val="24"/>
          <w:szCs w:val="24"/>
          <w:lang w:eastAsia="da-DK"/>
        </w:rPr>
      </w:pPr>
      <w:r w:rsidRPr="00EF058F">
        <w:rPr>
          <w:sz w:val="24"/>
          <w:szCs w:val="24"/>
          <w:lang w:eastAsia="da-DK"/>
        </w:rPr>
        <w:t xml:space="preserve">Behandlingen bør seponeres, hvis virkningen er utilstrækkelig, eller hvis patienten ikke kan tåle behandlingen. Virkningen skal evalueres i henhold til de nationale retningslinjer. </w:t>
      </w:r>
    </w:p>
    <w:p w:rsidR="00973CD2" w:rsidRPr="00EF058F" w:rsidRDefault="00973CD2" w:rsidP="00973CD2">
      <w:pPr>
        <w:tabs>
          <w:tab w:val="left" w:pos="851"/>
        </w:tabs>
        <w:autoSpaceDE w:val="0"/>
        <w:autoSpaceDN w:val="0"/>
        <w:adjustRightInd w:val="0"/>
        <w:ind w:left="851"/>
        <w:rPr>
          <w:sz w:val="24"/>
          <w:szCs w:val="24"/>
          <w:lang w:eastAsia="da-DK"/>
        </w:rPr>
      </w:pPr>
    </w:p>
    <w:p w:rsidR="00973CD2" w:rsidRPr="00EF058F" w:rsidRDefault="00973CD2" w:rsidP="00973CD2">
      <w:pPr>
        <w:tabs>
          <w:tab w:val="left" w:pos="851"/>
        </w:tabs>
        <w:autoSpaceDE w:val="0"/>
        <w:autoSpaceDN w:val="0"/>
        <w:adjustRightInd w:val="0"/>
        <w:ind w:left="851"/>
        <w:rPr>
          <w:sz w:val="24"/>
          <w:szCs w:val="24"/>
          <w:lang w:eastAsia="da-DK"/>
        </w:rPr>
      </w:pPr>
      <w:r w:rsidRPr="00EF058F">
        <w:rPr>
          <w:sz w:val="24"/>
          <w:szCs w:val="24"/>
          <w:lang w:eastAsia="da-DK"/>
        </w:rPr>
        <w:t xml:space="preserve">Hvis behandlingen skal seponeres, skal det ske ved gradvis dosisreduktion. Dosen kan reduceres relativt hurtig i begyndelsen, men den skal reduceres langsom i slutfasen (fra 20 mg daglig og nedefter). </w:t>
      </w:r>
    </w:p>
    <w:p w:rsidR="00973CD2" w:rsidRPr="00EF058F" w:rsidRDefault="00973CD2" w:rsidP="00973CD2">
      <w:pPr>
        <w:tabs>
          <w:tab w:val="left" w:pos="851"/>
        </w:tabs>
        <w:autoSpaceDE w:val="0"/>
        <w:autoSpaceDN w:val="0"/>
        <w:adjustRightInd w:val="0"/>
        <w:ind w:left="851"/>
        <w:rPr>
          <w:sz w:val="24"/>
          <w:szCs w:val="24"/>
          <w:lang w:eastAsia="da-DK"/>
        </w:rPr>
      </w:pPr>
    </w:p>
    <w:p w:rsidR="00973CD2" w:rsidRPr="00EF058F" w:rsidRDefault="00973CD2" w:rsidP="00973CD2">
      <w:pPr>
        <w:tabs>
          <w:tab w:val="left" w:pos="851"/>
        </w:tabs>
        <w:ind w:left="851"/>
        <w:rPr>
          <w:b/>
          <w:sz w:val="24"/>
          <w:szCs w:val="24"/>
          <w:lang w:eastAsia="da-DK"/>
        </w:rPr>
      </w:pPr>
      <w:r w:rsidRPr="00EF058F">
        <w:rPr>
          <w:b/>
          <w:sz w:val="24"/>
          <w:szCs w:val="24"/>
          <w:lang w:eastAsia="da-DK"/>
        </w:rPr>
        <w:t xml:space="preserve">Administration </w:t>
      </w:r>
    </w:p>
    <w:p w:rsidR="00973CD2" w:rsidRDefault="00973CD2" w:rsidP="00973CD2">
      <w:pPr>
        <w:tabs>
          <w:tab w:val="left" w:pos="851"/>
        </w:tabs>
        <w:suppressAutoHyphens/>
        <w:ind w:left="851"/>
        <w:rPr>
          <w:sz w:val="24"/>
          <w:szCs w:val="24"/>
          <w:lang w:eastAsia="da-DK"/>
        </w:rPr>
      </w:pPr>
      <w:r w:rsidRPr="00EF058F">
        <w:rPr>
          <w:sz w:val="24"/>
          <w:szCs w:val="24"/>
          <w:lang w:eastAsia="da-DK"/>
        </w:rPr>
        <w:t xml:space="preserve">Dette lægemiddel er kun til oral anvendelse og må ikke injiceres. </w:t>
      </w:r>
    </w:p>
    <w:p w:rsidR="00960AA1" w:rsidRDefault="00960AA1" w:rsidP="00973CD2">
      <w:pPr>
        <w:tabs>
          <w:tab w:val="left" w:pos="851"/>
        </w:tabs>
        <w:suppressAutoHyphens/>
        <w:ind w:left="851"/>
        <w:rPr>
          <w:sz w:val="24"/>
          <w:szCs w:val="24"/>
          <w:lang w:eastAsia="da-DK"/>
        </w:rPr>
      </w:pPr>
    </w:p>
    <w:p w:rsidR="00960AA1" w:rsidRDefault="00960AA1" w:rsidP="00960AA1">
      <w:pPr>
        <w:tabs>
          <w:tab w:val="left" w:pos="851"/>
        </w:tabs>
        <w:suppressAutoHyphens/>
        <w:ind w:left="851"/>
        <w:rPr>
          <w:i/>
          <w:iCs/>
          <w:sz w:val="24"/>
          <w:szCs w:val="24"/>
          <w:lang w:eastAsia="da-DK"/>
        </w:rPr>
      </w:pPr>
      <w:bookmarkStart w:id="0" w:name="_Hlk132200607"/>
      <w:r>
        <w:rPr>
          <w:i/>
          <w:iCs/>
          <w:sz w:val="24"/>
          <w:szCs w:val="24"/>
          <w:lang w:eastAsia="da-DK"/>
        </w:rPr>
        <w:t xml:space="preserve">Behandlingsmål og </w:t>
      </w:r>
      <w:proofErr w:type="spellStart"/>
      <w:r>
        <w:rPr>
          <w:i/>
          <w:iCs/>
          <w:sz w:val="24"/>
          <w:szCs w:val="24"/>
          <w:lang w:eastAsia="da-DK"/>
        </w:rPr>
        <w:t>seponering</w:t>
      </w:r>
      <w:proofErr w:type="spellEnd"/>
    </w:p>
    <w:p w:rsidR="00960AA1" w:rsidRPr="00EF058F" w:rsidRDefault="00960AA1" w:rsidP="00960AA1">
      <w:pPr>
        <w:tabs>
          <w:tab w:val="left" w:pos="851"/>
        </w:tabs>
        <w:suppressAutoHyphens/>
        <w:ind w:left="851"/>
        <w:rPr>
          <w:sz w:val="24"/>
          <w:szCs w:val="24"/>
          <w:lang w:eastAsia="da-DK"/>
        </w:rPr>
      </w:pPr>
      <w:r>
        <w:rPr>
          <w:sz w:val="24"/>
          <w:szCs w:val="24"/>
          <w:lang w:eastAsia="da-DK"/>
        </w:rPr>
        <w:t xml:space="preserve">Inden behandling med Metadon "2care4" påbegyndes, skal der aftales en behandlingsstrategi, herunder behandlingsvarighed og behandlingsmål, sammen med </w:t>
      </w:r>
      <w:r>
        <w:rPr>
          <w:sz w:val="24"/>
          <w:szCs w:val="24"/>
          <w:lang w:eastAsia="da-DK"/>
        </w:rPr>
        <w:lastRenderedPageBreak/>
        <w:t xml:space="preserve">patienten i overensstemmelse med retningslinjerne for smertebehandling. Under behandlingen bør der være hyppig kontakt mellem lægen og patienten for at evaluere behovet for fortsat behandling, overveje </w:t>
      </w:r>
      <w:proofErr w:type="spellStart"/>
      <w:r>
        <w:rPr>
          <w:sz w:val="24"/>
          <w:szCs w:val="24"/>
          <w:lang w:eastAsia="da-DK"/>
        </w:rPr>
        <w:t>seponering</w:t>
      </w:r>
      <w:proofErr w:type="spellEnd"/>
      <w:r>
        <w:rPr>
          <w:sz w:val="24"/>
          <w:szCs w:val="24"/>
          <w:lang w:eastAsia="da-DK"/>
        </w:rPr>
        <w:t xml:space="preserve"> og justere doserne, hvis det er nødvendigt. Når en patient ikke længere har behov for behandling med </w:t>
      </w:r>
      <w:proofErr w:type="spellStart"/>
      <w:r>
        <w:rPr>
          <w:sz w:val="24"/>
          <w:szCs w:val="24"/>
          <w:lang w:eastAsia="da-DK"/>
        </w:rPr>
        <w:t>methadon</w:t>
      </w:r>
      <w:proofErr w:type="spellEnd"/>
      <w:r>
        <w:rPr>
          <w:sz w:val="24"/>
          <w:szCs w:val="24"/>
          <w:lang w:eastAsia="da-DK"/>
        </w:rPr>
        <w:t>, kan det være tilrådeligt at gradvist nedtrappe dosis for at forebygge abstinenssymptomer (se pkt. 4.4). I mangel af tilstrækkelig smertekontrol bør muligheden for tolerance og progression af underliggende sygdom overvejes (se pkt. 4.4).</w:t>
      </w:r>
      <w:bookmarkEnd w:id="0"/>
    </w:p>
    <w:p w:rsidR="00973CD2" w:rsidRPr="00EF058F" w:rsidRDefault="00973CD2" w:rsidP="00973CD2">
      <w:pPr>
        <w:tabs>
          <w:tab w:val="left" w:pos="851"/>
        </w:tabs>
        <w:suppressAutoHyphens/>
        <w:ind w:left="851"/>
        <w:rPr>
          <w:sz w:val="24"/>
          <w:szCs w:val="24"/>
          <w:lang w:eastAsia="da-DK"/>
        </w:rPr>
      </w:pPr>
    </w:p>
    <w:p w:rsidR="00973CD2" w:rsidRDefault="00973CD2" w:rsidP="00960AA1">
      <w:pPr>
        <w:tabs>
          <w:tab w:val="left" w:pos="851"/>
        </w:tabs>
        <w:suppressAutoHyphens/>
        <w:ind w:left="851"/>
        <w:rPr>
          <w:sz w:val="24"/>
          <w:szCs w:val="24"/>
          <w:lang w:eastAsia="da-DK"/>
        </w:rPr>
      </w:pPr>
      <w:r w:rsidRPr="00EF058F">
        <w:rPr>
          <w:sz w:val="24"/>
          <w:szCs w:val="24"/>
          <w:lang w:eastAsia="da-DK"/>
        </w:rPr>
        <w:t xml:space="preserve">Du kan finde yderligere oplysninger i den nationale vejledning for </w:t>
      </w:r>
      <w:proofErr w:type="spellStart"/>
      <w:r w:rsidRPr="00EF058F">
        <w:rPr>
          <w:sz w:val="24"/>
          <w:szCs w:val="24"/>
          <w:lang w:eastAsia="da-DK"/>
        </w:rPr>
        <w:t>methadonbehandling</w:t>
      </w:r>
      <w:proofErr w:type="spellEnd"/>
      <w:r w:rsidRPr="00EF058F">
        <w:rPr>
          <w:sz w:val="24"/>
          <w:szCs w:val="24"/>
          <w:lang w:eastAsia="da-DK"/>
        </w:rPr>
        <w:t>.</w:t>
      </w:r>
    </w:p>
    <w:p w:rsidR="00973CD2" w:rsidRPr="00C84483" w:rsidRDefault="00973CD2" w:rsidP="00973CD2">
      <w:pPr>
        <w:tabs>
          <w:tab w:val="left" w:pos="851"/>
        </w:tabs>
        <w:ind w:left="851"/>
        <w:rPr>
          <w:sz w:val="24"/>
          <w:szCs w:val="24"/>
        </w:rPr>
      </w:pPr>
    </w:p>
    <w:p w:rsidR="00973CD2" w:rsidRPr="00C84483" w:rsidRDefault="00973CD2" w:rsidP="00973CD2">
      <w:pPr>
        <w:tabs>
          <w:tab w:val="left" w:pos="851"/>
        </w:tabs>
        <w:ind w:left="851" w:hanging="851"/>
        <w:rPr>
          <w:b/>
          <w:sz w:val="24"/>
          <w:szCs w:val="24"/>
        </w:rPr>
      </w:pPr>
      <w:r w:rsidRPr="00C84483">
        <w:rPr>
          <w:b/>
          <w:sz w:val="24"/>
          <w:szCs w:val="24"/>
        </w:rPr>
        <w:t>4.3</w:t>
      </w:r>
      <w:r w:rsidRPr="00C84483">
        <w:rPr>
          <w:b/>
          <w:sz w:val="24"/>
          <w:szCs w:val="24"/>
        </w:rPr>
        <w:tab/>
        <w:t>Kontraindikationer</w:t>
      </w:r>
    </w:p>
    <w:p w:rsidR="00973CD2" w:rsidRPr="00BC6288" w:rsidRDefault="00973CD2" w:rsidP="00973CD2">
      <w:pPr>
        <w:tabs>
          <w:tab w:val="left" w:pos="851"/>
        </w:tabs>
        <w:ind w:left="851"/>
        <w:rPr>
          <w:sz w:val="24"/>
          <w:szCs w:val="24"/>
          <w:lang w:eastAsia="da-DK"/>
        </w:rPr>
      </w:pPr>
      <w:r w:rsidRPr="00BC6288">
        <w:rPr>
          <w:sz w:val="24"/>
          <w:szCs w:val="24"/>
          <w:lang w:eastAsia="da-DK"/>
        </w:rPr>
        <w:t>Overfølsomhed over for det aktive stof eller over for et eller flere af hjælpestofferne anført i pkt. 6.1.</w:t>
      </w:r>
    </w:p>
    <w:p w:rsidR="00973CD2" w:rsidRPr="00BC6288" w:rsidRDefault="00973CD2" w:rsidP="00973CD2">
      <w:pPr>
        <w:tabs>
          <w:tab w:val="left" w:pos="851"/>
        </w:tabs>
        <w:autoSpaceDE w:val="0"/>
        <w:autoSpaceDN w:val="0"/>
        <w:adjustRightInd w:val="0"/>
        <w:ind w:left="851"/>
        <w:rPr>
          <w:sz w:val="24"/>
          <w:szCs w:val="24"/>
          <w:lang w:eastAsia="da-DK"/>
        </w:rPr>
      </w:pPr>
      <w:r w:rsidRPr="00BC6288">
        <w:rPr>
          <w:sz w:val="24"/>
          <w:szCs w:val="24"/>
          <w:lang w:eastAsia="da-DK"/>
        </w:rPr>
        <w:t xml:space="preserve">Respirationsdepression. </w:t>
      </w:r>
    </w:p>
    <w:p w:rsidR="00973CD2" w:rsidRPr="00BC6288" w:rsidRDefault="00973CD2" w:rsidP="00973CD2">
      <w:pPr>
        <w:tabs>
          <w:tab w:val="left" w:pos="851"/>
        </w:tabs>
        <w:autoSpaceDE w:val="0"/>
        <w:autoSpaceDN w:val="0"/>
        <w:adjustRightInd w:val="0"/>
        <w:ind w:left="851"/>
        <w:rPr>
          <w:sz w:val="24"/>
          <w:szCs w:val="24"/>
          <w:lang w:eastAsia="da-DK"/>
        </w:rPr>
      </w:pPr>
      <w:r w:rsidRPr="00BC6288">
        <w:rPr>
          <w:sz w:val="24"/>
          <w:szCs w:val="24"/>
          <w:lang w:eastAsia="da-DK"/>
        </w:rPr>
        <w:t>Akut obstruktiv luftvejssygdom.</w:t>
      </w:r>
    </w:p>
    <w:p w:rsidR="00973CD2" w:rsidRPr="00C84483" w:rsidRDefault="00973CD2" w:rsidP="00973CD2">
      <w:pPr>
        <w:tabs>
          <w:tab w:val="left" w:pos="851"/>
        </w:tabs>
        <w:autoSpaceDE w:val="0"/>
        <w:autoSpaceDN w:val="0"/>
        <w:adjustRightInd w:val="0"/>
        <w:ind w:left="851"/>
        <w:rPr>
          <w:sz w:val="24"/>
          <w:szCs w:val="24"/>
          <w:lang w:eastAsia="da-DK"/>
        </w:rPr>
      </w:pPr>
      <w:r w:rsidRPr="00BC6288">
        <w:rPr>
          <w:sz w:val="24"/>
          <w:szCs w:val="24"/>
          <w:lang w:eastAsia="da-DK"/>
        </w:rPr>
        <w:t>Samtidig administration af MAO-</w:t>
      </w:r>
      <w:proofErr w:type="spellStart"/>
      <w:r w:rsidRPr="00BC6288">
        <w:rPr>
          <w:sz w:val="24"/>
          <w:szCs w:val="24"/>
          <w:lang w:eastAsia="da-DK"/>
        </w:rPr>
        <w:t>hæmmere</w:t>
      </w:r>
      <w:proofErr w:type="spellEnd"/>
      <w:r w:rsidRPr="00BC6288">
        <w:rPr>
          <w:sz w:val="24"/>
          <w:szCs w:val="24"/>
          <w:lang w:eastAsia="da-DK"/>
        </w:rPr>
        <w:t xml:space="preserve"> eller administration inden for to uger efter afslutning af MAO-</w:t>
      </w:r>
      <w:proofErr w:type="spellStart"/>
      <w:r w:rsidRPr="00BC6288">
        <w:rPr>
          <w:sz w:val="24"/>
          <w:szCs w:val="24"/>
          <w:lang w:eastAsia="da-DK"/>
        </w:rPr>
        <w:t>hæmmerbehandling</w:t>
      </w:r>
      <w:proofErr w:type="spellEnd"/>
      <w:r w:rsidRPr="00BC6288">
        <w:rPr>
          <w:sz w:val="24"/>
          <w:szCs w:val="24"/>
          <w:lang w:eastAsia="da-DK"/>
        </w:rPr>
        <w:t>.</w:t>
      </w:r>
    </w:p>
    <w:p w:rsidR="00973CD2" w:rsidRPr="00C84483" w:rsidRDefault="00973CD2" w:rsidP="00973CD2">
      <w:pPr>
        <w:tabs>
          <w:tab w:val="left" w:pos="851"/>
        </w:tabs>
        <w:ind w:left="851"/>
        <w:rPr>
          <w:sz w:val="24"/>
          <w:szCs w:val="24"/>
        </w:rPr>
      </w:pPr>
    </w:p>
    <w:p w:rsidR="00973CD2" w:rsidRPr="00C84483" w:rsidRDefault="00973CD2" w:rsidP="00973CD2">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73CD2" w:rsidRPr="00BC6288" w:rsidRDefault="00973CD2" w:rsidP="00973CD2">
      <w:pPr>
        <w:tabs>
          <w:tab w:val="left" w:pos="851"/>
        </w:tabs>
        <w:autoSpaceDE w:val="0"/>
        <w:autoSpaceDN w:val="0"/>
        <w:adjustRightInd w:val="0"/>
        <w:ind w:left="851"/>
        <w:rPr>
          <w:sz w:val="24"/>
          <w:szCs w:val="24"/>
          <w:lang w:eastAsia="da-DK"/>
        </w:rPr>
      </w:pPr>
      <w:r w:rsidRPr="00BC6288">
        <w:rPr>
          <w:sz w:val="24"/>
          <w:szCs w:val="24"/>
          <w:lang w:eastAsia="da-DK"/>
        </w:rPr>
        <w:t xml:space="preserve">Der er rapporteret om tilfælde af QT-forlængelse og </w:t>
      </w:r>
      <w:proofErr w:type="spellStart"/>
      <w:r w:rsidRPr="00BC6288">
        <w:rPr>
          <w:sz w:val="24"/>
          <w:szCs w:val="24"/>
          <w:lang w:eastAsia="da-DK"/>
        </w:rPr>
        <w:t>torsades</w:t>
      </w:r>
      <w:proofErr w:type="spellEnd"/>
      <w:r w:rsidRPr="00BC6288">
        <w:rPr>
          <w:sz w:val="24"/>
          <w:szCs w:val="24"/>
          <w:lang w:eastAsia="da-DK"/>
        </w:rPr>
        <w:t xml:space="preserve"> de pointes under behandling med </w:t>
      </w:r>
      <w:proofErr w:type="spellStart"/>
      <w:r w:rsidRPr="00BC6288">
        <w:rPr>
          <w:sz w:val="24"/>
          <w:szCs w:val="24"/>
          <w:lang w:eastAsia="da-DK"/>
        </w:rPr>
        <w:t>methadon</w:t>
      </w:r>
      <w:proofErr w:type="spellEnd"/>
      <w:r w:rsidRPr="00BC6288">
        <w:rPr>
          <w:sz w:val="24"/>
          <w:szCs w:val="24"/>
          <w:lang w:eastAsia="da-DK"/>
        </w:rPr>
        <w:t xml:space="preserve">, især ved brug af høje doser (&gt; 100 mg/dag). </w:t>
      </w:r>
      <w:proofErr w:type="spellStart"/>
      <w:r w:rsidRPr="00BC6288">
        <w:rPr>
          <w:sz w:val="24"/>
          <w:szCs w:val="24"/>
          <w:lang w:eastAsia="da-DK"/>
        </w:rPr>
        <w:t>Methadon</w:t>
      </w:r>
      <w:proofErr w:type="spellEnd"/>
      <w:r w:rsidRPr="00BC6288">
        <w:rPr>
          <w:sz w:val="24"/>
          <w:szCs w:val="24"/>
          <w:lang w:eastAsia="da-DK"/>
        </w:rPr>
        <w:t xml:space="preserve"> bør administreres med forsigtighed hos patienter, der har risiko for at udvikle forlænget QT-interval, f.eks. i tilfælde af:</w:t>
      </w:r>
    </w:p>
    <w:p w:rsidR="00973CD2" w:rsidRPr="00BC6288" w:rsidRDefault="00973CD2" w:rsidP="00973CD2">
      <w:pPr>
        <w:tabs>
          <w:tab w:val="left" w:pos="1134"/>
        </w:tabs>
        <w:autoSpaceDE w:val="0"/>
        <w:autoSpaceDN w:val="0"/>
        <w:adjustRightInd w:val="0"/>
        <w:ind w:left="851"/>
        <w:rPr>
          <w:sz w:val="24"/>
          <w:szCs w:val="24"/>
          <w:lang w:eastAsia="da-DK"/>
        </w:rPr>
      </w:pPr>
      <w:r w:rsidRPr="00BC6288">
        <w:rPr>
          <w:sz w:val="24"/>
          <w:szCs w:val="24"/>
          <w:lang w:eastAsia="da-DK"/>
        </w:rPr>
        <w:t>-</w:t>
      </w:r>
      <w:r w:rsidRPr="00BC6288">
        <w:rPr>
          <w:sz w:val="24"/>
          <w:szCs w:val="24"/>
          <w:lang w:eastAsia="da-DK"/>
        </w:rPr>
        <w:tab/>
        <w:t>QT-forlængelse i anamnesen</w:t>
      </w:r>
    </w:p>
    <w:p w:rsidR="00973CD2" w:rsidRPr="00BC6288" w:rsidRDefault="00973CD2" w:rsidP="00973CD2">
      <w:pPr>
        <w:tabs>
          <w:tab w:val="left" w:pos="1134"/>
        </w:tabs>
        <w:autoSpaceDE w:val="0"/>
        <w:autoSpaceDN w:val="0"/>
        <w:adjustRightInd w:val="0"/>
        <w:ind w:left="851"/>
        <w:rPr>
          <w:sz w:val="24"/>
          <w:szCs w:val="24"/>
          <w:lang w:eastAsia="da-DK"/>
        </w:rPr>
      </w:pPr>
      <w:r w:rsidRPr="00BC6288">
        <w:rPr>
          <w:sz w:val="24"/>
          <w:szCs w:val="24"/>
          <w:lang w:eastAsia="da-DK"/>
        </w:rPr>
        <w:t>-</w:t>
      </w:r>
      <w:r w:rsidRPr="00BC6288">
        <w:rPr>
          <w:sz w:val="24"/>
          <w:szCs w:val="24"/>
          <w:lang w:eastAsia="da-DK"/>
        </w:rPr>
        <w:tab/>
        <w:t xml:space="preserve">fremskreden hjertesygdom, </w:t>
      </w:r>
    </w:p>
    <w:p w:rsidR="00973CD2" w:rsidRPr="00BC6288" w:rsidRDefault="00973CD2" w:rsidP="00973CD2">
      <w:pPr>
        <w:tabs>
          <w:tab w:val="left" w:pos="1134"/>
        </w:tabs>
        <w:autoSpaceDE w:val="0"/>
        <w:autoSpaceDN w:val="0"/>
        <w:adjustRightInd w:val="0"/>
        <w:ind w:left="851"/>
        <w:rPr>
          <w:sz w:val="24"/>
          <w:szCs w:val="24"/>
          <w:lang w:eastAsia="da-DK"/>
        </w:rPr>
      </w:pPr>
      <w:r w:rsidRPr="00BC6288">
        <w:rPr>
          <w:sz w:val="24"/>
          <w:szCs w:val="24"/>
          <w:lang w:eastAsia="da-DK"/>
        </w:rPr>
        <w:t>-</w:t>
      </w:r>
      <w:r w:rsidRPr="00BC6288">
        <w:rPr>
          <w:sz w:val="24"/>
          <w:szCs w:val="24"/>
          <w:lang w:eastAsia="da-DK"/>
        </w:rPr>
        <w:tab/>
        <w:t xml:space="preserve">samtidig behandling med lægemidler, der kan forårsage QT-forlængelse, </w:t>
      </w:r>
    </w:p>
    <w:p w:rsidR="00973CD2" w:rsidRPr="00BC6288" w:rsidRDefault="00973CD2" w:rsidP="00973CD2">
      <w:pPr>
        <w:tabs>
          <w:tab w:val="left" w:pos="1134"/>
        </w:tabs>
        <w:autoSpaceDE w:val="0"/>
        <w:autoSpaceDN w:val="0"/>
        <w:adjustRightInd w:val="0"/>
        <w:ind w:left="851"/>
        <w:rPr>
          <w:sz w:val="24"/>
          <w:szCs w:val="24"/>
          <w:lang w:eastAsia="da-DK"/>
        </w:rPr>
      </w:pPr>
      <w:r w:rsidRPr="00BC6288">
        <w:rPr>
          <w:sz w:val="24"/>
          <w:szCs w:val="24"/>
          <w:lang w:eastAsia="da-DK"/>
        </w:rPr>
        <w:t>-</w:t>
      </w:r>
      <w:r w:rsidRPr="00BC6288">
        <w:rPr>
          <w:sz w:val="24"/>
          <w:szCs w:val="24"/>
          <w:lang w:eastAsia="da-DK"/>
        </w:rPr>
        <w:tab/>
        <w:t>samtidig behandling med CYP3A4-hæmmere,</w:t>
      </w:r>
    </w:p>
    <w:p w:rsidR="00973CD2" w:rsidRPr="00BC6288" w:rsidRDefault="00973CD2" w:rsidP="00973CD2">
      <w:pPr>
        <w:tabs>
          <w:tab w:val="left" w:pos="1134"/>
        </w:tabs>
        <w:autoSpaceDE w:val="0"/>
        <w:autoSpaceDN w:val="0"/>
        <w:adjustRightInd w:val="0"/>
        <w:ind w:left="851"/>
        <w:rPr>
          <w:sz w:val="24"/>
          <w:szCs w:val="24"/>
          <w:lang w:eastAsia="da-DK"/>
        </w:rPr>
      </w:pPr>
      <w:r w:rsidRPr="00BC6288">
        <w:rPr>
          <w:sz w:val="24"/>
          <w:szCs w:val="24"/>
          <w:lang w:eastAsia="da-DK"/>
        </w:rPr>
        <w:t>-</w:t>
      </w:r>
      <w:r w:rsidRPr="00BC6288">
        <w:rPr>
          <w:sz w:val="24"/>
          <w:szCs w:val="24"/>
          <w:lang w:eastAsia="da-DK"/>
        </w:rPr>
        <w:tab/>
        <w:t>iskæmisk hjertesygdom og leversygdom</w:t>
      </w:r>
    </w:p>
    <w:p w:rsidR="00973CD2" w:rsidRPr="00BC6288" w:rsidRDefault="00973CD2" w:rsidP="00973CD2">
      <w:pPr>
        <w:tabs>
          <w:tab w:val="left" w:pos="1134"/>
        </w:tabs>
        <w:autoSpaceDE w:val="0"/>
        <w:autoSpaceDN w:val="0"/>
        <w:adjustRightInd w:val="0"/>
        <w:ind w:left="851"/>
        <w:rPr>
          <w:sz w:val="24"/>
          <w:szCs w:val="24"/>
          <w:lang w:eastAsia="da-DK"/>
        </w:rPr>
      </w:pPr>
      <w:r w:rsidRPr="00BC6288">
        <w:rPr>
          <w:sz w:val="24"/>
          <w:szCs w:val="24"/>
          <w:lang w:eastAsia="da-DK"/>
        </w:rPr>
        <w:t>-</w:t>
      </w:r>
      <w:r w:rsidRPr="00BC6288">
        <w:rPr>
          <w:sz w:val="24"/>
          <w:szCs w:val="24"/>
          <w:lang w:eastAsia="da-DK"/>
        </w:rPr>
        <w:tab/>
        <w:t>elektrolytforstyrrelser (</w:t>
      </w:r>
      <w:proofErr w:type="spellStart"/>
      <w:r w:rsidRPr="00BC6288">
        <w:rPr>
          <w:sz w:val="24"/>
          <w:szCs w:val="24"/>
          <w:lang w:eastAsia="da-DK"/>
        </w:rPr>
        <w:t>hypokaliæmi</w:t>
      </w:r>
      <w:proofErr w:type="spellEnd"/>
      <w:r w:rsidRPr="00BC6288">
        <w:rPr>
          <w:sz w:val="24"/>
          <w:szCs w:val="24"/>
          <w:lang w:eastAsia="da-DK"/>
        </w:rPr>
        <w:t xml:space="preserve"> eller </w:t>
      </w:r>
      <w:proofErr w:type="spellStart"/>
      <w:r w:rsidRPr="00BC6288">
        <w:rPr>
          <w:sz w:val="24"/>
          <w:szCs w:val="24"/>
          <w:lang w:eastAsia="da-DK"/>
        </w:rPr>
        <w:t>hypomagnesiæmi</w:t>
      </w:r>
      <w:proofErr w:type="spellEnd"/>
      <w:r w:rsidRPr="00BC6288">
        <w:rPr>
          <w:sz w:val="24"/>
          <w:szCs w:val="24"/>
          <w:lang w:eastAsia="da-DK"/>
        </w:rPr>
        <w:t>)</w:t>
      </w:r>
    </w:p>
    <w:p w:rsidR="00973CD2" w:rsidRPr="00BC6288" w:rsidRDefault="00973CD2" w:rsidP="00973CD2">
      <w:pPr>
        <w:tabs>
          <w:tab w:val="left" w:pos="851"/>
        </w:tabs>
        <w:autoSpaceDE w:val="0"/>
        <w:autoSpaceDN w:val="0"/>
        <w:adjustRightInd w:val="0"/>
        <w:ind w:left="851"/>
        <w:rPr>
          <w:sz w:val="24"/>
          <w:szCs w:val="24"/>
          <w:lang w:eastAsia="da-DK"/>
        </w:rPr>
      </w:pPr>
    </w:p>
    <w:p w:rsidR="00973CD2" w:rsidRPr="00BC6288" w:rsidRDefault="00973CD2" w:rsidP="00973CD2">
      <w:pPr>
        <w:tabs>
          <w:tab w:val="left" w:pos="851"/>
        </w:tabs>
        <w:autoSpaceDE w:val="0"/>
        <w:autoSpaceDN w:val="0"/>
        <w:adjustRightInd w:val="0"/>
        <w:ind w:left="851"/>
        <w:rPr>
          <w:sz w:val="24"/>
          <w:szCs w:val="24"/>
          <w:lang w:eastAsia="da-DK"/>
        </w:rPr>
      </w:pPr>
      <w:r w:rsidRPr="00BC6288">
        <w:rPr>
          <w:sz w:val="24"/>
          <w:szCs w:val="24"/>
          <w:lang w:eastAsia="da-DK"/>
        </w:rPr>
        <w:t xml:space="preserve">Der bør gennemføres ekg-målinger hos alle patienter inden opstart af analgetisk behandling samt ved </w:t>
      </w:r>
      <w:proofErr w:type="spellStart"/>
      <w:r w:rsidRPr="00BC6288">
        <w:rPr>
          <w:sz w:val="24"/>
          <w:szCs w:val="24"/>
          <w:lang w:eastAsia="da-DK"/>
        </w:rPr>
        <w:t>steady</w:t>
      </w:r>
      <w:proofErr w:type="spellEnd"/>
      <w:r w:rsidRPr="00BC6288">
        <w:rPr>
          <w:sz w:val="24"/>
          <w:szCs w:val="24"/>
          <w:lang w:eastAsia="da-DK"/>
        </w:rPr>
        <w:t xml:space="preserve"> </w:t>
      </w:r>
      <w:proofErr w:type="spellStart"/>
      <w:r w:rsidRPr="00BC6288">
        <w:rPr>
          <w:sz w:val="24"/>
          <w:szCs w:val="24"/>
          <w:lang w:eastAsia="da-DK"/>
        </w:rPr>
        <w:t>state</w:t>
      </w:r>
      <w:proofErr w:type="spellEnd"/>
      <w:r w:rsidRPr="00BC6288">
        <w:rPr>
          <w:sz w:val="24"/>
          <w:szCs w:val="24"/>
          <w:lang w:eastAsia="da-DK"/>
        </w:rPr>
        <w:t xml:space="preserve">, hvis der er andre samtidige risikofaktorer for QT-forlængelse, og hos ældre patienter, hvis doseringen af </w:t>
      </w:r>
      <w:proofErr w:type="spellStart"/>
      <w:r w:rsidRPr="00BC6288">
        <w:rPr>
          <w:sz w:val="24"/>
          <w:szCs w:val="24"/>
          <w:lang w:eastAsia="da-DK"/>
        </w:rPr>
        <w:t>methadon</w:t>
      </w:r>
      <w:proofErr w:type="spellEnd"/>
      <w:r w:rsidRPr="00BC6288">
        <w:rPr>
          <w:sz w:val="24"/>
          <w:szCs w:val="24"/>
          <w:lang w:eastAsia="da-DK"/>
        </w:rPr>
        <w:t xml:space="preserve"> overstiger 50 mg/dag. Der bør også gennemføres ekg-målinger hos alle patienter inden opstart af behandlingen og ved </w:t>
      </w:r>
      <w:proofErr w:type="spellStart"/>
      <w:r w:rsidRPr="00BC6288">
        <w:rPr>
          <w:sz w:val="24"/>
          <w:szCs w:val="24"/>
          <w:lang w:eastAsia="da-DK"/>
        </w:rPr>
        <w:t>steady</w:t>
      </w:r>
      <w:proofErr w:type="spellEnd"/>
      <w:r w:rsidRPr="00BC6288">
        <w:rPr>
          <w:sz w:val="24"/>
          <w:szCs w:val="24"/>
          <w:lang w:eastAsia="da-DK"/>
        </w:rPr>
        <w:t xml:space="preserve"> </w:t>
      </w:r>
      <w:proofErr w:type="spellStart"/>
      <w:r w:rsidRPr="00BC6288">
        <w:rPr>
          <w:sz w:val="24"/>
          <w:szCs w:val="24"/>
          <w:lang w:eastAsia="da-DK"/>
        </w:rPr>
        <w:t>state</w:t>
      </w:r>
      <w:proofErr w:type="spellEnd"/>
      <w:r w:rsidRPr="00BC6288">
        <w:rPr>
          <w:sz w:val="24"/>
          <w:szCs w:val="24"/>
          <w:lang w:eastAsia="da-DK"/>
        </w:rPr>
        <w:t xml:space="preserve"> inden dosisøgninger, der overstiger 100 mg </w:t>
      </w:r>
      <w:proofErr w:type="spellStart"/>
      <w:r w:rsidRPr="00BC6288">
        <w:rPr>
          <w:sz w:val="24"/>
          <w:szCs w:val="24"/>
          <w:lang w:eastAsia="da-DK"/>
        </w:rPr>
        <w:t>methadon</w:t>
      </w:r>
      <w:proofErr w:type="spellEnd"/>
      <w:r w:rsidRPr="00BC6288">
        <w:rPr>
          <w:sz w:val="24"/>
          <w:szCs w:val="24"/>
          <w:lang w:eastAsia="da-DK"/>
        </w:rPr>
        <w:t xml:space="preserve">/dag. </w:t>
      </w:r>
    </w:p>
    <w:p w:rsidR="00973CD2" w:rsidRPr="00BC6288" w:rsidRDefault="00973CD2" w:rsidP="00973CD2">
      <w:pPr>
        <w:tabs>
          <w:tab w:val="left" w:pos="851"/>
        </w:tabs>
        <w:autoSpaceDE w:val="0"/>
        <w:autoSpaceDN w:val="0"/>
        <w:adjustRightInd w:val="0"/>
        <w:ind w:left="851"/>
        <w:rPr>
          <w:i/>
          <w:sz w:val="24"/>
          <w:szCs w:val="24"/>
          <w:lang w:eastAsia="da-DK"/>
        </w:rPr>
      </w:pPr>
    </w:p>
    <w:p w:rsidR="00960AA1" w:rsidRDefault="00960AA1" w:rsidP="00960AA1">
      <w:pPr>
        <w:tabs>
          <w:tab w:val="left" w:pos="851"/>
        </w:tabs>
        <w:autoSpaceDE w:val="0"/>
        <w:autoSpaceDN w:val="0"/>
        <w:adjustRightInd w:val="0"/>
        <w:ind w:left="851"/>
        <w:rPr>
          <w:sz w:val="24"/>
          <w:szCs w:val="24"/>
          <w:u w:val="single"/>
          <w:lang w:eastAsia="da-DK"/>
        </w:rPr>
      </w:pPr>
      <w:bookmarkStart w:id="1" w:name="_Hlk132200691"/>
      <w:r>
        <w:rPr>
          <w:sz w:val="24"/>
          <w:szCs w:val="24"/>
          <w:u w:val="single"/>
          <w:lang w:eastAsia="da-DK"/>
        </w:rPr>
        <w:t xml:space="preserve">Opioidbrugsforstyrrelse </w:t>
      </w:r>
      <w:bookmarkEnd w:id="1"/>
      <w:r>
        <w:rPr>
          <w:sz w:val="24"/>
          <w:szCs w:val="24"/>
          <w:u w:val="single"/>
          <w:lang w:eastAsia="da-DK"/>
        </w:rPr>
        <w:t>(misbrug og afhængighed)</w:t>
      </w:r>
    </w:p>
    <w:p w:rsidR="00960AA1" w:rsidRDefault="00960AA1" w:rsidP="00960AA1">
      <w:pPr>
        <w:tabs>
          <w:tab w:val="left" w:pos="851"/>
        </w:tabs>
        <w:autoSpaceDE w:val="0"/>
        <w:autoSpaceDN w:val="0"/>
        <w:adjustRightInd w:val="0"/>
        <w:ind w:left="851"/>
        <w:rPr>
          <w:sz w:val="24"/>
          <w:szCs w:val="24"/>
          <w:lang w:eastAsia="da-DK"/>
        </w:rPr>
      </w:pPr>
      <w:r>
        <w:rPr>
          <w:sz w:val="24"/>
          <w:szCs w:val="24"/>
          <w:lang w:eastAsia="da-DK"/>
        </w:rPr>
        <w:t>Det anbefales at monitorere patienterne nøje, især ved opstarten og i det tidlige behandlingsforløb, hvor patienterne kan udvikle tegn på stofafhængighed og/eller stofmisbrug. Regelmæssige konsultationer bør overvejes i det tidlige behandlingsforløb for at sikre god compliance og vurdere patientens potentielle stofafhængighed/-misbrug hos højrisikopatienter. Hos patienter med stofmisbrug i anamnesen bør der anvendes lavere startdoser ledsaget af regelmæssig kontrol for at sikre god compliance, inden dosis øges.</w:t>
      </w:r>
    </w:p>
    <w:p w:rsidR="00960AA1" w:rsidRDefault="00960AA1" w:rsidP="00960AA1">
      <w:pPr>
        <w:tabs>
          <w:tab w:val="left" w:pos="851"/>
        </w:tabs>
        <w:autoSpaceDE w:val="0"/>
        <w:autoSpaceDN w:val="0"/>
        <w:adjustRightInd w:val="0"/>
        <w:ind w:left="851"/>
        <w:rPr>
          <w:sz w:val="24"/>
          <w:szCs w:val="24"/>
          <w:lang w:eastAsia="da-DK"/>
        </w:rPr>
      </w:pPr>
    </w:p>
    <w:p w:rsidR="00960AA1" w:rsidRDefault="00960AA1" w:rsidP="00960AA1">
      <w:pPr>
        <w:tabs>
          <w:tab w:val="left" w:pos="851"/>
        </w:tabs>
        <w:autoSpaceDE w:val="0"/>
        <w:autoSpaceDN w:val="0"/>
        <w:adjustRightInd w:val="0"/>
        <w:ind w:left="851"/>
        <w:rPr>
          <w:sz w:val="24"/>
          <w:szCs w:val="24"/>
          <w:lang w:eastAsia="da-DK"/>
        </w:rPr>
      </w:pPr>
      <w:r>
        <w:rPr>
          <w:sz w:val="24"/>
          <w:szCs w:val="24"/>
          <w:lang w:eastAsia="da-DK"/>
        </w:rPr>
        <w:t xml:space="preserve">Som med andre opioider kan tolerance, fysisk og/eller psykologisk afhængighed udvikle sig ved gentagen administration af </w:t>
      </w:r>
      <w:proofErr w:type="spellStart"/>
      <w:r>
        <w:rPr>
          <w:sz w:val="24"/>
          <w:szCs w:val="24"/>
          <w:lang w:eastAsia="da-DK"/>
        </w:rPr>
        <w:t>methadon</w:t>
      </w:r>
      <w:proofErr w:type="spellEnd"/>
      <w:r>
        <w:rPr>
          <w:sz w:val="24"/>
          <w:szCs w:val="24"/>
          <w:lang w:eastAsia="da-DK"/>
        </w:rPr>
        <w:t>.</w:t>
      </w:r>
    </w:p>
    <w:p w:rsidR="00960AA1" w:rsidRDefault="00960AA1" w:rsidP="00960AA1">
      <w:pPr>
        <w:tabs>
          <w:tab w:val="left" w:pos="851"/>
        </w:tabs>
        <w:autoSpaceDE w:val="0"/>
        <w:autoSpaceDN w:val="0"/>
        <w:adjustRightInd w:val="0"/>
        <w:ind w:left="851"/>
        <w:rPr>
          <w:sz w:val="24"/>
          <w:szCs w:val="24"/>
          <w:lang w:eastAsia="da-DK"/>
        </w:rPr>
      </w:pPr>
    </w:p>
    <w:p w:rsidR="00960AA1" w:rsidRDefault="00960AA1" w:rsidP="00960AA1">
      <w:pPr>
        <w:tabs>
          <w:tab w:val="left" w:pos="851"/>
        </w:tabs>
        <w:autoSpaceDE w:val="0"/>
        <w:autoSpaceDN w:val="0"/>
        <w:adjustRightInd w:val="0"/>
        <w:ind w:left="851"/>
        <w:rPr>
          <w:sz w:val="24"/>
          <w:szCs w:val="24"/>
          <w:lang w:eastAsia="da-DK"/>
        </w:rPr>
      </w:pPr>
      <w:r>
        <w:rPr>
          <w:sz w:val="24"/>
          <w:szCs w:val="24"/>
          <w:lang w:eastAsia="da-DK"/>
        </w:rPr>
        <w:t>Når Metadon "2care4" anvendes til behandling af smerter, kan gentagen brug af det føre til opioidbrugsforstyrrelse (OUD). En højere dosis og længere varighed af opioidbehandlingen kan øge risikoen for at udvikle OUD.</w:t>
      </w:r>
    </w:p>
    <w:p w:rsidR="00960AA1" w:rsidRDefault="00960AA1" w:rsidP="00960AA1">
      <w:pPr>
        <w:tabs>
          <w:tab w:val="left" w:pos="851"/>
        </w:tabs>
        <w:autoSpaceDE w:val="0"/>
        <w:autoSpaceDN w:val="0"/>
        <w:adjustRightInd w:val="0"/>
        <w:ind w:left="851"/>
        <w:rPr>
          <w:sz w:val="24"/>
          <w:szCs w:val="24"/>
          <w:lang w:eastAsia="da-DK"/>
        </w:rPr>
      </w:pPr>
    </w:p>
    <w:p w:rsidR="00960AA1" w:rsidRDefault="00960AA1" w:rsidP="00960AA1">
      <w:pPr>
        <w:tabs>
          <w:tab w:val="left" w:pos="851"/>
        </w:tabs>
        <w:autoSpaceDE w:val="0"/>
        <w:autoSpaceDN w:val="0"/>
        <w:adjustRightInd w:val="0"/>
        <w:ind w:left="851"/>
        <w:rPr>
          <w:sz w:val="24"/>
          <w:szCs w:val="24"/>
          <w:lang w:eastAsia="da-DK"/>
        </w:rPr>
      </w:pPr>
      <w:r>
        <w:rPr>
          <w:sz w:val="24"/>
          <w:szCs w:val="24"/>
          <w:lang w:eastAsia="da-DK"/>
        </w:rPr>
        <w:lastRenderedPageBreak/>
        <w:t xml:space="preserve">Før behandling med Metadon "2care4" påbegyndes og under behandlingen, skal behandlingsmål og </w:t>
      </w:r>
      <w:proofErr w:type="spellStart"/>
      <w:r>
        <w:rPr>
          <w:sz w:val="24"/>
          <w:szCs w:val="24"/>
          <w:lang w:eastAsia="da-DK"/>
        </w:rPr>
        <w:t>seponeringsplan</w:t>
      </w:r>
      <w:proofErr w:type="spellEnd"/>
      <w:r>
        <w:rPr>
          <w:sz w:val="24"/>
          <w:szCs w:val="24"/>
          <w:lang w:eastAsia="da-DK"/>
        </w:rPr>
        <w:t xml:space="preserve"> aftales med patienten (se pkt. 4.2). Før og under behandlingen skal patienten også informeres om risici og tegn på OUD. Hvis disse tegn forekommer, skal patienterne rådes til at kontakte lægen.</w:t>
      </w:r>
    </w:p>
    <w:p w:rsidR="00960AA1" w:rsidRDefault="00960AA1" w:rsidP="00960AA1">
      <w:pPr>
        <w:tabs>
          <w:tab w:val="left" w:pos="851"/>
        </w:tabs>
        <w:autoSpaceDE w:val="0"/>
        <w:autoSpaceDN w:val="0"/>
        <w:adjustRightInd w:val="0"/>
        <w:ind w:left="851"/>
        <w:rPr>
          <w:sz w:val="24"/>
          <w:szCs w:val="24"/>
          <w:lang w:eastAsia="da-DK"/>
        </w:rPr>
      </w:pPr>
    </w:p>
    <w:p w:rsidR="00960AA1" w:rsidRDefault="00960AA1" w:rsidP="00960AA1">
      <w:pPr>
        <w:tabs>
          <w:tab w:val="left" w:pos="851"/>
        </w:tabs>
        <w:autoSpaceDE w:val="0"/>
        <w:autoSpaceDN w:val="0"/>
        <w:adjustRightInd w:val="0"/>
        <w:ind w:left="851"/>
        <w:rPr>
          <w:sz w:val="24"/>
          <w:szCs w:val="24"/>
          <w:lang w:eastAsia="da-DK"/>
        </w:rPr>
      </w:pPr>
      <w:r>
        <w:rPr>
          <w:sz w:val="24"/>
          <w:szCs w:val="24"/>
          <w:lang w:eastAsia="da-DK"/>
        </w:rPr>
        <w:t>Forkert brug eller forsætligt misbrug af Metadon "2care4" kan føre til overdosering og/eller død. Risikoen for at udvikle opioidbrugsforstyrrelse øges hos patienter med en personlig eller en familieanamnese (forældre eller søskende) af stofmisbrugsforstyrrelser (herunder alkoholmisbrug), hos nuværende tobaksbrugere eller hos patienter med en personlig anamnese med andre psykiske sygdomme (f.eks. større depression, angst og personlighedsforstyrrelser).</w:t>
      </w:r>
    </w:p>
    <w:p w:rsidR="00960AA1" w:rsidRDefault="00960AA1" w:rsidP="00960AA1">
      <w:pPr>
        <w:tabs>
          <w:tab w:val="left" w:pos="851"/>
        </w:tabs>
        <w:autoSpaceDE w:val="0"/>
        <w:autoSpaceDN w:val="0"/>
        <w:adjustRightInd w:val="0"/>
        <w:ind w:left="851"/>
        <w:rPr>
          <w:sz w:val="24"/>
          <w:szCs w:val="24"/>
          <w:lang w:eastAsia="da-DK"/>
        </w:rPr>
      </w:pPr>
    </w:p>
    <w:p w:rsidR="00960AA1" w:rsidRDefault="00960AA1" w:rsidP="00960AA1">
      <w:pPr>
        <w:tabs>
          <w:tab w:val="left" w:pos="851"/>
        </w:tabs>
        <w:autoSpaceDE w:val="0"/>
        <w:autoSpaceDN w:val="0"/>
        <w:adjustRightInd w:val="0"/>
        <w:ind w:left="851"/>
        <w:rPr>
          <w:sz w:val="24"/>
          <w:szCs w:val="24"/>
          <w:lang w:eastAsia="da-DK"/>
        </w:rPr>
      </w:pPr>
      <w:r>
        <w:rPr>
          <w:sz w:val="24"/>
          <w:szCs w:val="24"/>
          <w:lang w:eastAsia="da-DK"/>
        </w:rPr>
        <w:t>Patienterne skal overvåges for tegn på stofsøgende adfærd (f.eks. for tidlige anmodninger om nye recepter). Dette omfatter gennemgangen af samtidige opioider og psykoaktive stoffer (som benzodiazepiner). For patienter med tegn og symptomer på OUD bør konsultation med en specialist i afhængighed overvejes.</w:t>
      </w:r>
    </w:p>
    <w:p w:rsidR="00960AA1" w:rsidRDefault="00960AA1" w:rsidP="00960AA1">
      <w:pPr>
        <w:tabs>
          <w:tab w:val="left" w:pos="851"/>
        </w:tabs>
        <w:autoSpaceDE w:val="0"/>
        <w:autoSpaceDN w:val="0"/>
        <w:adjustRightInd w:val="0"/>
        <w:ind w:left="851"/>
        <w:rPr>
          <w:sz w:val="24"/>
          <w:szCs w:val="24"/>
          <w:lang w:eastAsia="da-DK"/>
        </w:rPr>
      </w:pPr>
    </w:p>
    <w:p w:rsidR="00960AA1" w:rsidRDefault="00960AA1" w:rsidP="00960AA1">
      <w:pPr>
        <w:tabs>
          <w:tab w:val="left" w:pos="851"/>
        </w:tabs>
        <w:autoSpaceDE w:val="0"/>
        <w:autoSpaceDN w:val="0"/>
        <w:adjustRightInd w:val="0"/>
        <w:ind w:left="851"/>
        <w:rPr>
          <w:sz w:val="24"/>
          <w:szCs w:val="24"/>
          <w:lang w:eastAsia="da-DK"/>
        </w:rPr>
      </w:pPr>
      <w:r>
        <w:rPr>
          <w:sz w:val="24"/>
          <w:szCs w:val="24"/>
          <w:lang w:eastAsia="da-DK"/>
        </w:rPr>
        <w:t xml:space="preserve">Forsigtighedsreglerne for brug af </w:t>
      </w:r>
      <w:proofErr w:type="spellStart"/>
      <w:r>
        <w:rPr>
          <w:sz w:val="24"/>
          <w:szCs w:val="24"/>
          <w:lang w:eastAsia="da-DK"/>
        </w:rPr>
        <w:t>methadon</w:t>
      </w:r>
      <w:proofErr w:type="spellEnd"/>
      <w:r>
        <w:rPr>
          <w:sz w:val="24"/>
          <w:szCs w:val="24"/>
          <w:lang w:eastAsia="da-DK"/>
        </w:rPr>
        <w:t xml:space="preserve"> er de samme som dem, der gælder for opiater generelt. </w:t>
      </w:r>
    </w:p>
    <w:p w:rsidR="00960AA1" w:rsidRDefault="00960AA1" w:rsidP="00960AA1">
      <w:pPr>
        <w:tabs>
          <w:tab w:val="left" w:pos="851"/>
        </w:tabs>
        <w:autoSpaceDE w:val="0"/>
        <w:autoSpaceDN w:val="0"/>
        <w:adjustRightInd w:val="0"/>
        <w:ind w:left="851"/>
        <w:rPr>
          <w:sz w:val="24"/>
          <w:szCs w:val="24"/>
          <w:lang w:eastAsia="da-DK"/>
        </w:rPr>
      </w:pPr>
    </w:p>
    <w:p w:rsidR="00960AA1" w:rsidRDefault="00960AA1" w:rsidP="00960AA1">
      <w:pPr>
        <w:tabs>
          <w:tab w:val="left" w:pos="851"/>
        </w:tabs>
        <w:autoSpaceDE w:val="0"/>
        <w:autoSpaceDN w:val="0"/>
        <w:adjustRightInd w:val="0"/>
        <w:ind w:left="851"/>
        <w:rPr>
          <w:i/>
          <w:iCs/>
          <w:sz w:val="24"/>
          <w:szCs w:val="24"/>
          <w:lang w:eastAsia="da-DK"/>
        </w:rPr>
      </w:pPr>
      <w:r>
        <w:rPr>
          <w:i/>
          <w:iCs/>
          <w:sz w:val="24"/>
          <w:szCs w:val="24"/>
          <w:lang w:eastAsia="da-DK"/>
        </w:rPr>
        <w:t>Søvnrelaterede vejrtrækningsforstyrrelser</w:t>
      </w:r>
    </w:p>
    <w:p w:rsidR="00960AA1" w:rsidRDefault="00960AA1" w:rsidP="00960AA1">
      <w:pPr>
        <w:tabs>
          <w:tab w:val="left" w:pos="851"/>
        </w:tabs>
        <w:autoSpaceDE w:val="0"/>
        <w:autoSpaceDN w:val="0"/>
        <w:adjustRightInd w:val="0"/>
        <w:ind w:left="851"/>
        <w:rPr>
          <w:sz w:val="24"/>
          <w:szCs w:val="24"/>
          <w:lang w:eastAsia="da-DK"/>
        </w:rPr>
      </w:pPr>
      <w:r>
        <w:rPr>
          <w:sz w:val="24"/>
          <w:szCs w:val="24"/>
          <w:lang w:eastAsia="da-DK"/>
        </w:rPr>
        <w:t xml:space="preserve">Opioider kan forårsage søvnrelaterede vejrtrækningsforstyrrelser, herunder central søvnapnø (CSA) og søvnrelateret </w:t>
      </w:r>
      <w:proofErr w:type="spellStart"/>
      <w:r>
        <w:rPr>
          <w:sz w:val="24"/>
          <w:szCs w:val="24"/>
          <w:lang w:eastAsia="da-DK"/>
        </w:rPr>
        <w:t>hypoxæmi</w:t>
      </w:r>
      <w:proofErr w:type="spellEnd"/>
      <w:r>
        <w:rPr>
          <w:sz w:val="24"/>
          <w:szCs w:val="24"/>
          <w:lang w:eastAsia="da-DK"/>
        </w:rPr>
        <w:t>. Opioidbrug øger risikoen for CSA på en dosisafhængig måde. Hos patienter, der møder op på klinikken med CSA, skal det overvejes at reducere den samlede opioiddosering.</w:t>
      </w:r>
    </w:p>
    <w:p w:rsidR="00973CD2" w:rsidRPr="00BC6288" w:rsidRDefault="00973CD2" w:rsidP="00973CD2">
      <w:pPr>
        <w:tabs>
          <w:tab w:val="left" w:pos="851"/>
        </w:tabs>
        <w:autoSpaceDE w:val="0"/>
        <w:autoSpaceDN w:val="0"/>
        <w:adjustRightInd w:val="0"/>
        <w:ind w:left="851"/>
        <w:rPr>
          <w:sz w:val="24"/>
          <w:szCs w:val="24"/>
          <w:lang w:eastAsia="da-DK"/>
        </w:rPr>
      </w:pPr>
    </w:p>
    <w:p w:rsidR="00973CD2" w:rsidRPr="00BC6288" w:rsidRDefault="00973CD2" w:rsidP="00973CD2">
      <w:pPr>
        <w:tabs>
          <w:tab w:val="left" w:pos="851"/>
        </w:tabs>
        <w:autoSpaceDE w:val="0"/>
        <w:autoSpaceDN w:val="0"/>
        <w:adjustRightInd w:val="0"/>
        <w:ind w:left="851"/>
        <w:rPr>
          <w:sz w:val="24"/>
          <w:szCs w:val="24"/>
          <w:lang w:eastAsia="da-DK"/>
        </w:rPr>
      </w:pPr>
      <w:r w:rsidRPr="00BC6288">
        <w:rPr>
          <w:sz w:val="24"/>
          <w:szCs w:val="24"/>
          <w:lang w:eastAsia="da-DK"/>
        </w:rPr>
        <w:t xml:space="preserve">Akutte astmaanfald, svær obstruktiv lungesygdom, </w:t>
      </w:r>
      <w:proofErr w:type="spellStart"/>
      <w:r w:rsidRPr="00BC6288">
        <w:rPr>
          <w:sz w:val="24"/>
          <w:szCs w:val="24"/>
          <w:lang w:eastAsia="da-DK"/>
        </w:rPr>
        <w:t>cor</w:t>
      </w:r>
      <w:proofErr w:type="spellEnd"/>
      <w:r w:rsidRPr="00BC6288">
        <w:rPr>
          <w:sz w:val="24"/>
          <w:szCs w:val="24"/>
          <w:lang w:eastAsia="da-DK"/>
        </w:rPr>
        <w:t xml:space="preserve"> </w:t>
      </w:r>
      <w:proofErr w:type="spellStart"/>
      <w:r w:rsidRPr="00BC6288">
        <w:rPr>
          <w:sz w:val="24"/>
          <w:szCs w:val="24"/>
          <w:lang w:eastAsia="da-DK"/>
        </w:rPr>
        <w:t>pulmonale</w:t>
      </w:r>
      <w:proofErr w:type="spellEnd"/>
      <w:r w:rsidRPr="00BC6288">
        <w:rPr>
          <w:sz w:val="24"/>
          <w:szCs w:val="24"/>
          <w:lang w:eastAsia="da-DK"/>
        </w:rPr>
        <w:t xml:space="preserve">, nedsat respirationsreserve, </w:t>
      </w:r>
      <w:proofErr w:type="spellStart"/>
      <w:r w:rsidRPr="00BC6288">
        <w:rPr>
          <w:sz w:val="24"/>
          <w:szCs w:val="24"/>
          <w:lang w:eastAsia="da-DK"/>
        </w:rPr>
        <w:t>hypoksi</w:t>
      </w:r>
      <w:proofErr w:type="spellEnd"/>
      <w:r w:rsidRPr="00BC6288">
        <w:rPr>
          <w:sz w:val="24"/>
          <w:szCs w:val="24"/>
          <w:lang w:eastAsia="da-DK"/>
        </w:rPr>
        <w:t xml:space="preserve"> og </w:t>
      </w:r>
      <w:proofErr w:type="spellStart"/>
      <w:r w:rsidRPr="00BC6288">
        <w:rPr>
          <w:sz w:val="24"/>
          <w:szCs w:val="24"/>
          <w:lang w:eastAsia="da-DK"/>
        </w:rPr>
        <w:t>hyperkapni</w:t>
      </w:r>
      <w:proofErr w:type="spellEnd"/>
      <w:r w:rsidRPr="00BC6288">
        <w:rPr>
          <w:sz w:val="24"/>
          <w:szCs w:val="24"/>
          <w:lang w:eastAsia="da-DK"/>
        </w:rPr>
        <w:t xml:space="preserve"> er relative kontraindikationer. Hvert tilfælde skal vurderes individuelt. </w:t>
      </w:r>
    </w:p>
    <w:p w:rsidR="00973CD2" w:rsidRPr="00BC6288" w:rsidRDefault="00973CD2" w:rsidP="00973CD2">
      <w:pPr>
        <w:tabs>
          <w:tab w:val="left" w:pos="851"/>
        </w:tabs>
        <w:autoSpaceDE w:val="0"/>
        <w:autoSpaceDN w:val="0"/>
        <w:adjustRightInd w:val="0"/>
        <w:ind w:left="851"/>
        <w:rPr>
          <w:sz w:val="24"/>
          <w:szCs w:val="24"/>
          <w:lang w:eastAsia="da-DK"/>
        </w:rPr>
      </w:pPr>
    </w:p>
    <w:p w:rsidR="00973CD2" w:rsidRPr="00BC6288" w:rsidRDefault="00973CD2" w:rsidP="00973CD2">
      <w:pPr>
        <w:tabs>
          <w:tab w:val="left" w:pos="851"/>
        </w:tabs>
        <w:autoSpaceDE w:val="0"/>
        <w:autoSpaceDN w:val="0"/>
        <w:adjustRightInd w:val="0"/>
        <w:ind w:left="851"/>
        <w:rPr>
          <w:sz w:val="24"/>
          <w:szCs w:val="24"/>
          <w:lang w:eastAsia="da-DK"/>
        </w:rPr>
      </w:pPr>
      <w:r w:rsidRPr="00BC6288">
        <w:rPr>
          <w:sz w:val="24"/>
          <w:szCs w:val="24"/>
          <w:lang w:eastAsia="da-DK"/>
        </w:rPr>
        <w:t xml:space="preserve">Samtidig administration af andre opiater, alkohol, barbiturater, benzodiazepiner og andre stærke, sederende psykoaktive lægemidler kan forstærke virkningen og bivirkningerne af </w:t>
      </w:r>
      <w:proofErr w:type="spellStart"/>
      <w:r w:rsidRPr="00BC6288">
        <w:rPr>
          <w:sz w:val="24"/>
          <w:szCs w:val="24"/>
          <w:lang w:eastAsia="da-DK"/>
        </w:rPr>
        <w:t>methadon</w:t>
      </w:r>
      <w:proofErr w:type="spellEnd"/>
      <w:r w:rsidRPr="00BC6288">
        <w:rPr>
          <w:sz w:val="24"/>
          <w:szCs w:val="24"/>
          <w:lang w:eastAsia="da-DK"/>
        </w:rPr>
        <w:t xml:space="preserve"> og bør undgås. </w:t>
      </w:r>
    </w:p>
    <w:p w:rsidR="00973CD2" w:rsidRPr="00BC6288" w:rsidRDefault="00973CD2" w:rsidP="00973CD2">
      <w:pPr>
        <w:tabs>
          <w:tab w:val="left" w:pos="851"/>
        </w:tabs>
        <w:autoSpaceDE w:val="0"/>
        <w:autoSpaceDN w:val="0"/>
        <w:adjustRightInd w:val="0"/>
        <w:ind w:left="851"/>
        <w:rPr>
          <w:sz w:val="24"/>
          <w:szCs w:val="24"/>
          <w:lang w:eastAsia="da-DK"/>
        </w:rPr>
      </w:pPr>
    </w:p>
    <w:p w:rsidR="00973CD2" w:rsidRPr="00BC6288" w:rsidRDefault="00973CD2" w:rsidP="00973CD2">
      <w:pPr>
        <w:tabs>
          <w:tab w:val="left" w:pos="851"/>
        </w:tabs>
        <w:autoSpaceDE w:val="0"/>
        <w:autoSpaceDN w:val="0"/>
        <w:adjustRightInd w:val="0"/>
        <w:ind w:left="851"/>
        <w:rPr>
          <w:sz w:val="24"/>
          <w:szCs w:val="24"/>
          <w:lang w:eastAsia="da-DK"/>
        </w:rPr>
      </w:pPr>
      <w:r w:rsidRPr="00BC6288">
        <w:rPr>
          <w:sz w:val="24"/>
          <w:szCs w:val="24"/>
          <w:lang w:eastAsia="da-DK"/>
        </w:rPr>
        <w:t xml:space="preserve">Samtidig behandling med narkotiske antagonister eller blandede agonister/antagonister bør undgås (undtagen ved behandling af overdosering), da det kan forårsage abstinenssymptomer hos patienter med fysisk afhængighed. </w:t>
      </w:r>
    </w:p>
    <w:p w:rsidR="00973CD2" w:rsidRPr="00BC6288" w:rsidRDefault="00973CD2" w:rsidP="00973CD2">
      <w:pPr>
        <w:tabs>
          <w:tab w:val="left" w:pos="851"/>
        </w:tabs>
        <w:autoSpaceDE w:val="0"/>
        <w:autoSpaceDN w:val="0"/>
        <w:adjustRightInd w:val="0"/>
        <w:ind w:left="851"/>
        <w:rPr>
          <w:sz w:val="24"/>
          <w:szCs w:val="24"/>
          <w:lang w:eastAsia="da-DK"/>
        </w:rPr>
      </w:pPr>
    </w:p>
    <w:p w:rsidR="00AC01B3" w:rsidRDefault="00AC01B3" w:rsidP="00AC01B3">
      <w:pPr>
        <w:tabs>
          <w:tab w:val="left" w:pos="851"/>
        </w:tabs>
        <w:autoSpaceDE w:val="0"/>
        <w:autoSpaceDN w:val="0"/>
        <w:adjustRightInd w:val="0"/>
        <w:ind w:left="851"/>
        <w:rPr>
          <w:sz w:val="24"/>
          <w:szCs w:val="24"/>
          <w:lang w:eastAsia="da-DK"/>
        </w:rPr>
      </w:pPr>
      <w:r w:rsidRPr="00BC6288">
        <w:rPr>
          <w:sz w:val="24"/>
          <w:szCs w:val="24"/>
          <w:lang w:eastAsia="da-DK"/>
        </w:rPr>
        <w:t>I starten af dosisøgningsperioden skal patienten monitoreres for potentielle abnorme reaktioner eller bivirkninger efter administrationen. Patienten har øgede serumniveauer i op til 2 timer, og det er vigtigt at observere for mulige overdoseringsreaktioner eller andre farlige/alvorlige reaktioner.</w:t>
      </w:r>
    </w:p>
    <w:p w:rsidR="00AC01B3" w:rsidRDefault="00AC01B3" w:rsidP="00AC01B3">
      <w:pPr>
        <w:tabs>
          <w:tab w:val="left" w:pos="851"/>
        </w:tabs>
        <w:autoSpaceDE w:val="0"/>
        <w:autoSpaceDN w:val="0"/>
        <w:adjustRightInd w:val="0"/>
        <w:ind w:left="851"/>
        <w:rPr>
          <w:sz w:val="24"/>
          <w:szCs w:val="24"/>
          <w:lang w:eastAsia="da-DK"/>
        </w:rPr>
      </w:pPr>
    </w:p>
    <w:p w:rsidR="00AC01B3" w:rsidRPr="00BC6288" w:rsidRDefault="00AC01B3" w:rsidP="00AC01B3">
      <w:pPr>
        <w:tabs>
          <w:tab w:val="left" w:pos="851"/>
        </w:tabs>
        <w:autoSpaceDE w:val="0"/>
        <w:autoSpaceDN w:val="0"/>
        <w:adjustRightInd w:val="0"/>
        <w:ind w:left="851"/>
        <w:rPr>
          <w:sz w:val="24"/>
          <w:szCs w:val="24"/>
          <w:lang w:eastAsia="da-DK"/>
        </w:rPr>
      </w:pPr>
      <w:r w:rsidRPr="00D26F3C">
        <w:rPr>
          <w:i/>
          <w:iCs/>
          <w:sz w:val="24"/>
          <w:szCs w:val="24"/>
          <w:lang w:eastAsia="da-DK"/>
        </w:rPr>
        <w:t>Binyrebarkinsufficiens:</w:t>
      </w:r>
      <w:r>
        <w:rPr>
          <w:sz w:val="24"/>
          <w:szCs w:val="24"/>
          <w:lang w:eastAsia="da-DK"/>
        </w:rPr>
        <w:t xml:space="preserve"> </w:t>
      </w:r>
      <w:proofErr w:type="spellStart"/>
      <w:r w:rsidRPr="00CF7405">
        <w:rPr>
          <w:sz w:val="24"/>
          <w:szCs w:val="24"/>
          <w:lang w:eastAsia="da-DK"/>
        </w:rPr>
        <w:t>Opioidanalgetika</w:t>
      </w:r>
      <w:proofErr w:type="spellEnd"/>
      <w:r w:rsidRPr="00CF7405">
        <w:rPr>
          <w:sz w:val="24"/>
          <w:szCs w:val="24"/>
          <w:lang w:eastAsia="da-DK"/>
        </w:rPr>
        <w:t xml:space="preserve"> kan forårsage reversibel binyrebarkinsufficiens, der kræver monitorering og substitutionsbehandling med </w:t>
      </w:r>
      <w:proofErr w:type="spellStart"/>
      <w:r w:rsidRPr="00CF7405">
        <w:rPr>
          <w:sz w:val="24"/>
          <w:szCs w:val="24"/>
          <w:lang w:eastAsia="da-DK"/>
        </w:rPr>
        <w:t>glukokortikoid</w:t>
      </w:r>
      <w:proofErr w:type="spellEnd"/>
      <w:r w:rsidRPr="00CF7405">
        <w:rPr>
          <w:sz w:val="24"/>
          <w:szCs w:val="24"/>
          <w:lang w:eastAsia="da-DK"/>
        </w:rPr>
        <w:t>. Symptomer på binyrebarkinsufficiens kan omfatte kvalme, opkastning, appetitløshed, voldsom træthed, svaghed, svimmelhed eller lavt blodtryk.</w:t>
      </w:r>
    </w:p>
    <w:p w:rsidR="00973CD2" w:rsidRPr="00BC6288" w:rsidRDefault="00973CD2" w:rsidP="00973CD2">
      <w:pPr>
        <w:tabs>
          <w:tab w:val="left" w:pos="851"/>
        </w:tabs>
        <w:autoSpaceDE w:val="0"/>
        <w:autoSpaceDN w:val="0"/>
        <w:adjustRightInd w:val="0"/>
        <w:ind w:left="851"/>
        <w:rPr>
          <w:sz w:val="24"/>
          <w:szCs w:val="24"/>
          <w:lang w:eastAsia="da-DK"/>
        </w:rPr>
      </w:pPr>
    </w:p>
    <w:p w:rsidR="00973CD2" w:rsidRPr="00BC6288" w:rsidRDefault="00973CD2" w:rsidP="00973CD2">
      <w:pPr>
        <w:tabs>
          <w:tab w:val="left" w:pos="851"/>
        </w:tabs>
        <w:autoSpaceDE w:val="0"/>
        <w:autoSpaceDN w:val="0"/>
        <w:adjustRightInd w:val="0"/>
        <w:ind w:left="851"/>
        <w:rPr>
          <w:sz w:val="24"/>
          <w:szCs w:val="24"/>
          <w:lang w:eastAsia="da-DK"/>
        </w:rPr>
      </w:pPr>
      <w:proofErr w:type="spellStart"/>
      <w:r w:rsidRPr="00BC6288">
        <w:rPr>
          <w:sz w:val="24"/>
          <w:szCs w:val="24"/>
          <w:lang w:eastAsia="da-DK"/>
        </w:rPr>
        <w:t>Methadon</w:t>
      </w:r>
      <w:proofErr w:type="spellEnd"/>
      <w:r w:rsidRPr="00BC6288">
        <w:rPr>
          <w:sz w:val="24"/>
          <w:szCs w:val="24"/>
          <w:lang w:eastAsia="da-DK"/>
        </w:rPr>
        <w:t xml:space="preserve"> bør anvendes med forsigtighed ved nedsat nyre- eller leverfunktion. Metabolismen af </w:t>
      </w:r>
      <w:proofErr w:type="spellStart"/>
      <w:r w:rsidRPr="00BC6288">
        <w:rPr>
          <w:sz w:val="24"/>
          <w:szCs w:val="24"/>
          <w:lang w:eastAsia="da-DK"/>
        </w:rPr>
        <w:t>methadon</w:t>
      </w:r>
      <w:proofErr w:type="spellEnd"/>
      <w:r w:rsidRPr="00BC6288">
        <w:rPr>
          <w:sz w:val="24"/>
          <w:szCs w:val="24"/>
          <w:lang w:eastAsia="da-DK"/>
        </w:rPr>
        <w:t xml:space="preserve"> kan være reduceret ved nedsat leverfunktion, og det kan være nødvendigt at justere dosen (se pkt. 4.2). Der skal administreres en lavere startdosis til </w:t>
      </w:r>
      <w:r w:rsidRPr="00BC6288">
        <w:rPr>
          <w:sz w:val="24"/>
          <w:szCs w:val="24"/>
          <w:lang w:eastAsia="da-DK"/>
        </w:rPr>
        <w:lastRenderedPageBreak/>
        <w:t xml:space="preserve">patienter med </w:t>
      </w:r>
      <w:proofErr w:type="spellStart"/>
      <w:r w:rsidRPr="00BC6288">
        <w:rPr>
          <w:sz w:val="24"/>
          <w:szCs w:val="24"/>
          <w:lang w:eastAsia="da-DK"/>
        </w:rPr>
        <w:t>hypothyreoidisme</w:t>
      </w:r>
      <w:proofErr w:type="spellEnd"/>
      <w:r w:rsidRPr="00BC6288">
        <w:rPr>
          <w:sz w:val="24"/>
          <w:szCs w:val="24"/>
          <w:lang w:eastAsia="da-DK"/>
        </w:rPr>
        <w:t xml:space="preserve">, </w:t>
      </w:r>
      <w:proofErr w:type="spellStart"/>
      <w:r w:rsidRPr="00BC6288">
        <w:rPr>
          <w:sz w:val="24"/>
          <w:szCs w:val="24"/>
          <w:lang w:eastAsia="da-DK"/>
        </w:rPr>
        <w:t>myksødem</w:t>
      </w:r>
      <w:proofErr w:type="spellEnd"/>
      <w:r w:rsidRPr="00BC6288">
        <w:rPr>
          <w:sz w:val="24"/>
          <w:szCs w:val="24"/>
          <w:lang w:eastAsia="da-DK"/>
        </w:rPr>
        <w:t xml:space="preserve"> (lægemidlet kan øge risikoen for respirationsdepression og langvarig CNS-depression), nedsat nyrefunktion (øget risiko for krampeanfald), nedsat leverfunktion (opioider </w:t>
      </w:r>
      <w:proofErr w:type="spellStart"/>
      <w:r w:rsidRPr="00BC6288">
        <w:rPr>
          <w:sz w:val="24"/>
          <w:szCs w:val="24"/>
          <w:lang w:eastAsia="da-DK"/>
        </w:rPr>
        <w:t>metaboliseres</w:t>
      </w:r>
      <w:proofErr w:type="spellEnd"/>
      <w:r w:rsidRPr="00BC6288">
        <w:rPr>
          <w:sz w:val="24"/>
          <w:szCs w:val="24"/>
          <w:lang w:eastAsia="da-DK"/>
        </w:rPr>
        <w:t xml:space="preserve"> i leveren), astma eller nedsat lungevolumen (lægemidlet kan hæmme vejrtrækningsrefleksen og øge modstanden i luftvejene), urinrørsforsnævring eller prostatahypertrofi (lægemidlet kan forårsage urinretention) (se pkt. 4.2). </w:t>
      </w:r>
    </w:p>
    <w:p w:rsidR="00973CD2" w:rsidRPr="00BC6288" w:rsidRDefault="00973CD2" w:rsidP="00973CD2">
      <w:pPr>
        <w:tabs>
          <w:tab w:val="left" w:pos="851"/>
        </w:tabs>
        <w:autoSpaceDE w:val="0"/>
        <w:autoSpaceDN w:val="0"/>
        <w:adjustRightInd w:val="0"/>
        <w:ind w:left="851"/>
        <w:rPr>
          <w:sz w:val="24"/>
          <w:szCs w:val="24"/>
          <w:lang w:eastAsia="da-DK"/>
        </w:rPr>
      </w:pPr>
    </w:p>
    <w:p w:rsidR="00973CD2" w:rsidRPr="00BC6288" w:rsidRDefault="00973CD2" w:rsidP="00973CD2">
      <w:pPr>
        <w:tabs>
          <w:tab w:val="left" w:pos="851"/>
        </w:tabs>
        <w:autoSpaceDE w:val="0"/>
        <w:autoSpaceDN w:val="0"/>
        <w:adjustRightInd w:val="0"/>
        <w:ind w:left="851"/>
        <w:rPr>
          <w:sz w:val="24"/>
          <w:szCs w:val="24"/>
          <w:lang w:eastAsia="da-DK"/>
        </w:rPr>
      </w:pPr>
      <w:r w:rsidRPr="00BC6288">
        <w:rPr>
          <w:sz w:val="24"/>
          <w:szCs w:val="24"/>
          <w:lang w:eastAsia="da-DK"/>
        </w:rPr>
        <w:t xml:space="preserve">Der skal udvises stor forsigtighed i tilfælde af potentielt hovedtraume eller tilstande med øget </w:t>
      </w:r>
      <w:proofErr w:type="spellStart"/>
      <w:r w:rsidRPr="00BC6288">
        <w:rPr>
          <w:sz w:val="24"/>
          <w:szCs w:val="24"/>
          <w:lang w:eastAsia="da-DK"/>
        </w:rPr>
        <w:t>intrakranielt</w:t>
      </w:r>
      <w:proofErr w:type="spellEnd"/>
      <w:r w:rsidRPr="00BC6288">
        <w:rPr>
          <w:sz w:val="24"/>
          <w:szCs w:val="24"/>
          <w:lang w:eastAsia="da-DK"/>
        </w:rPr>
        <w:t xml:space="preserve"> tryk. </w:t>
      </w:r>
      <w:proofErr w:type="spellStart"/>
      <w:r w:rsidRPr="00BC6288">
        <w:rPr>
          <w:sz w:val="24"/>
          <w:szCs w:val="24"/>
          <w:lang w:eastAsia="da-DK"/>
        </w:rPr>
        <w:t>Methadon</w:t>
      </w:r>
      <w:proofErr w:type="spellEnd"/>
      <w:r w:rsidRPr="00BC6288">
        <w:rPr>
          <w:sz w:val="24"/>
          <w:szCs w:val="24"/>
          <w:lang w:eastAsia="da-DK"/>
        </w:rPr>
        <w:t xml:space="preserve"> bør ikke anvendes til patienter med </w:t>
      </w:r>
      <w:proofErr w:type="spellStart"/>
      <w:r w:rsidRPr="00BC6288">
        <w:rPr>
          <w:sz w:val="24"/>
          <w:szCs w:val="24"/>
          <w:lang w:eastAsia="da-DK"/>
        </w:rPr>
        <w:t>intestinal</w:t>
      </w:r>
      <w:proofErr w:type="spellEnd"/>
      <w:r w:rsidRPr="00BC6288">
        <w:rPr>
          <w:sz w:val="24"/>
          <w:szCs w:val="24"/>
          <w:lang w:eastAsia="da-DK"/>
        </w:rPr>
        <w:t xml:space="preserve"> pseudo-obstruktion, akut abdomen og inflammatorisk tarmsygdom. </w:t>
      </w:r>
    </w:p>
    <w:p w:rsidR="00973CD2" w:rsidRPr="00BC6288" w:rsidRDefault="00973CD2" w:rsidP="00973CD2">
      <w:pPr>
        <w:tabs>
          <w:tab w:val="left" w:pos="851"/>
        </w:tabs>
        <w:autoSpaceDE w:val="0"/>
        <w:autoSpaceDN w:val="0"/>
        <w:adjustRightInd w:val="0"/>
        <w:ind w:left="851"/>
        <w:rPr>
          <w:sz w:val="24"/>
          <w:szCs w:val="24"/>
          <w:lang w:eastAsia="da-DK"/>
        </w:rPr>
      </w:pPr>
    </w:p>
    <w:p w:rsidR="00973CD2" w:rsidRPr="00BC6288" w:rsidRDefault="00973CD2" w:rsidP="00973CD2">
      <w:pPr>
        <w:tabs>
          <w:tab w:val="left" w:pos="851"/>
        </w:tabs>
        <w:autoSpaceDE w:val="0"/>
        <w:autoSpaceDN w:val="0"/>
        <w:adjustRightInd w:val="0"/>
        <w:ind w:left="851"/>
        <w:rPr>
          <w:sz w:val="24"/>
          <w:szCs w:val="24"/>
          <w:lang w:eastAsia="da-DK"/>
        </w:rPr>
      </w:pPr>
      <w:r w:rsidRPr="00BC6288">
        <w:rPr>
          <w:sz w:val="24"/>
          <w:szCs w:val="24"/>
          <w:lang w:eastAsia="da-DK"/>
        </w:rPr>
        <w:t xml:space="preserve">Hos patienter med nyresten eller galdesten kan det være nødvendigt at give forebyggende atropin eller andre </w:t>
      </w:r>
      <w:proofErr w:type="spellStart"/>
      <w:r w:rsidRPr="00BC6288">
        <w:rPr>
          <w:sz w:val="24"/>
          <w:szCs w:val="24"/>
          <w:lang w:eastAsia="da-DK"/>
        </w:rPr>
        <w:t>spasmolytika</w:t>
      </w:r>
      <w:proofErr w:type="spellEnd"/>
      <w:r w:rsidRPr="00BC6288">
        <w:rPr>
          <w:sz w:val="24"/>
          <w:szCs w:val="24"/>
          <w:lang w:eastAsia="da-DK"/>
        </w:rPr>
        <w:t xml:space="preserve">. </w:t>
      </w:r>
    </w:p>
    <w:p w:rsidR="00973CD2" w:rsidRPr="00BC6288" w:rsidRDefault="00973CD2" w:rsidP="00973CD2">
      <w:pPr>
        <w:tabs>
          <w:tab w:val="left" w:pos="851"/>
        </w:tabs>
        <w:autoSpaceDE w:val="0"/>
        <w:autoSpaceDN w:val="0"/>
        <w:adjustRightInd w:val="0"/>
        <w:ind w:left="851"/>
        <w:rPr>
          <w:sz w:val="24"/>
          <w:szCs w:val="24"/>
          <w:lang w:eastAsia="da-DK"/>
        </w:rPr>
      </w:pPr>
    </w:p>
    <w:p w:rsidR="00AC01B3" w:rsidRDefault="00AC01B3" w:rsidP="00AC01B3">
      <w:pPr>
        <w:tabs>
          <w:tab w:val="left" w:pos="851"/>
        </w:tabs>
        <w:suppressAutoHyphens/>
        <w:ind w:left="851"/>
        <w:rPr>
          <w:sz w:val="24"/>
          <w:szCs w:val="24"/>
          <w:lang w:eastAsia="da-DK"/>
        </w:rPr>
      </w:pPr>
      <w:r w:rsidRPr="00BC6288">
        <w:rPr>
          <w:sz w:val="24"/>
          <w:szCs w:val="24"/>
          <w:lang w:eastAsia="da-DK"/>
        </w:rPr>
        <w:t xml:space="preserve">Ældre patienter og patienter med </w:t>
      </w:r>
      <w:proofErr w:type="spellStart"/>
      <w:r w:rsidRPr="00BC6288">
        <w:rPr>
          <w:sz w:val="24"/>
          <w:szCs w:val="24"/>
          <w:lang w:eastAsia="da-DK"/>
        </w:rPr>
        <w:t>kardiovaskulær</w:t>
      </w:r>
      <w:proofErr w:type="spellEnd"/>
      <w:r w:rsidRPr="00BC6288">
        <w:rPr>
          <w:sz w:val="24"/>
          <w:szCs w:val="24"/>
          <w:lang w:eastAsia="da-DK"/>
        </w:rPr>
        <w:t xml:space="preserve"> sygdom har øget risiko for hypotension og synkope. </w:t>
      </w:r>
    </w:p>
    <w:p w:rsidR="00AC01B3" w:rsidRDefault="00AC01B3" w:rsidP="00AC01B3">
      <w:pPr>
        <w:tabs>
          <w:tab w:val="left" w:pos="851"/>
        </w:tabs>
        <w:suppressAutoHyphens/>
        <w:ind w:left="851"/>
        <w:rPr>
          <w:sz w:val="24"/>
          <w:szCs w:val="24"/>
          <w:lang w:eastAsia="da-DK"/>
        </w:rPr>
      </w:pPr>
    </w:p>
    <w:p w:rsidR="00AC01B3" w:rsidRPr="00BC6288" w:rsidRDefault="00AC01B3" w:rsidP="00AC01B3">
      <w:pPr>
        <w:tabs>
          <w:tab w:val="left" w:pos="851"/>
        </w:tabs>
        <w:suppressAutoHyphens/>
        <w:ind w:left="851"/>
        <w:rPr>
          <w:sz w:val="24"/>
          <w:szCs w:val="24"/>
          <w:lang w:eastAsia="da-DK"/>
        </w:rPr>
      </w:pPr>
      <w:r w:rsidRPr="00D26F3C">
        <w:rPr>
          <w:i/>
          <w:iCs/>
          <w:sz w:val="24"/>
          <w:szCs w:val="24"/>
          <w:lang w:eastAsia="da-DK"/>
        </w:rPr>
        <w:t xml:space="preserve">Nedsat niveau af kønshormoner og forhøjet </w:t>
      </w:r>
      <w:proofErr w:type="spellStart"/>
      <w:r w:rsidRPr="00D26F3C">
        <w:rPr>
          <w:i/>
          <w:iCs/>
          <w:sz w:val="24"/>
          <w:szCs w:val="24"/>
          <w:lang w:eastAsia="da-DK"/>
        </w:rPr>
        <w:t>prolactin</w:t>
      </w:r>
      <w:proofErr w:type="spellEnd"/>
      <w:r w:rsidRPr="00D26F3C">
        <w:rPr>
          <w:i/>
          <w:iCs/>
          <w:sz w:val="24"/>
          <w:szCs w:val="24"/>
          <w:lang w:eastAsia="da-DK"/>
        </w:rPr>
        <w:t>:</w:t>
      </w:r>
      <w:r>
        <w:rPr>
          <w:sz w:val="24"/>
          <w:szCs w:val="24"/>
          <w:lang w:eastAsia="da-DK"/>
        </w:rPr>
        <w:t xml:space="preserve"> </w:t>
      </w:r>
      <w:r w:rsidRPr="00CF7405">
        <w:rPr>
          <w:sz w:val="24"/>
          <w:szCs w:val="24"/>
          <w:lang w:eastAsia="da-DK"/>
        </w:rPr>
        <w:t xml:space="preserve">Langvarig brug af </w:t>
      </w:r>
      <w:proofErr w:type="spellStart"/>
      <w:r w:rsidRPr="00CF7405">
        <w:rPr>
          <w:sz w:val="24"/>
          <w:szCs w:val="24"/>
          <w:lang w:eastAsia="da-DK"/>
        </w:rPr>
        <w:t>opioidanalgetika</w:t>
      </w:r>
      <w:proofErr w:type="spellEnd"/>
      <w:r w:rsidRPr="00CF7405">
        <w:rPr>
          <w:sz w:val="24"/>
          <w:szCs w:val="24"/>
          <w:lang w:eastAsia="da-DK"/>
        </w:rPr>
        <w:t xml:space="preserve"> kan være forbundet med nedsatte niveauer af kønshormoner og forhøjet </w:t>
      </w:r>
      <w:proofErr w:type="spellStart"/>
      <w:r w:rsidRPr="00CF7405">
        <w:rPr>
          <w:sz w:val="24"/>
          <w:szCs w:val="24"/>
          <w:lang w:eastAsia="da-DK"/>
        </w:rPr>
        <w:t>prolactin</w:t>
      </w:r>
      <w:proofErr w:type="spellEnd"/>
      <w:r w:rsidRPr="00CF7405">
        <w:rPr>
          <w:sz w:val="24"/>
          <w:szCs w:val="24"/>
          <w:lang w:eastAsia="da-DK"/>
        </w:rPr>
        <w:t xml:space="preserve">. Symptomerne omfatter nedsat libido, impotens eller </w:t>
      </w:r>
      <w:proofErr w:type="spellStart"/>
      <w:r w:rsidRPr="00CF7405">
        <w:rPr>
          <w:sz w:val="24"/>
          <w:szCs w:val="24"/>
          <w:lang w:eastAsia="da-DK"/>
        </w:rPr>
        <w:t>amenoré</w:t>
      </w:r>
      <w:proofErr w:type="spellEnd"/>
      <w:r w:rsidRPr="00CF7405">
        <w:rPr>
          <w:sz w:val="24"/>
          <w:szCs w:val="24"/>
          <w:lang w:eastAsia="da-DK"/>
        </w:rPr>
        <w:t>.</w:t>
      </w:r>
    </w:p>
    <w:p w:rsidR="00AC01B3" w:rsidRDefault="00AC01B3" w:rsidP="00AC01B3">
      <w:pPr>
        <w:tabs>
          <w:tab w:val="left" w:pos="851"/>
        </w:tabs>
        <w:suppressAutoHyphens/>
        <w:ind w:left="851"/>
        <w:rPr>
          <w:sz w:val="24"/>
          <w:szCs w:val="24"/>
          <w:lang w:eastAsia="da-DK"/>
        </w:rPr>
      </w:pPr>
    </w:p>
    <w:p w:rsidR="00AC01B3" w:rsidRDefault="00AC01B3" w:rsidP="00AC01B3">
      <w:pPr>
        <w:tabs>
          <w:tab w:val="left" w:pos="851"/>
        </w:tabs>
        <w:suppressAutoHyphens/>
        <w:ind w:left="851"/>
        <w:rPr>
          <w:sz w:val="24"/>
          <w:szCs w:val="24"/>
          <w:lang w:eastAsia="da-DK"/>
        </w:rPr>
      </w:pPr>
      <w:r w:rsidRPr="00D26F3C">
        <w:rPr>
          <w:i/>
          <w:iCs/>
          <w:sz w:val="24"/>
          <w:szCs w:val="24"/>
          <w:lang w:eastAsia="da-DK"/>
        </w:rPr>
        <w:t>Hypoglykæmi:</w:t>
      </w:r>
      <w:r>
        <w:rPr>
          <w:sz w:val="24"/>
          <w:szCs w:val="24"/>
          <w:lang w:eastAsia="da-DK"/>
        </w:rPr>
        <w:t xml:space="preserve"> </w:t>
      </w:r>
      <w:r w:rsidRPr="00CF7405">
        <w:rPr>
          <w:sz w:val="24"/>
          <w:szCs w:val="24"/>
          <w:lang w:eastAsia="da-DK"/>
        </w:rPr>
        <w:t xml:space="preserve">Der er observeret hypoglykæmi i forbindelse med overdosering eller dosisøgning af </w:t>
      </w:r>
      <w:proofErr w:type="spellStart"/>
      <w:r w:rsidRPr="00CF7405">
        <w:rPr>
          <w:sz w:val="24"/>
          <w:szCs w:val="24"/>
          <w:lang w:eastAsia="da-DK"/>
        </w:rPr>
        <w:t>met</w:t>
      </w:r>
      <w:r w:rsidR="00960AA1">
        <w:rPr>
          <w:sz w:val="24"/>
          <w:szCs w:val="24"/>
          <w:lang w:eastAsia="da-DK"/>
        </w:rPr>
        <w:t>h</w:t>
      </w:r>
      <w:r w:rsidRPr="00CF7405">
        <w:rPr>
          <w:sz w:val="24"/>
          <w:szCs w:val="24"/>
          <w:lang w:eastAsia="da-DK"/>
        </w:rPr>
        <w:t>adon</w:t>
      </w:r>
      <w:proofErr w:type="spellEnd"/>
      <w:r w:rsidRPr="00CF7405">
        <w:rPr>
          <w:sz w:val="24"/>
          <w:szCs w:val="24"/>
          <w:lang w:eastAsia="da-DK"/>
        </w:rPr>
        <w:t xml:space="preserve">. Regelmæssig monitorering af </w:t>
      </w:r>
      <w:proofErr w:type="spellStart"/>
      <w:r w:rsidRPr="00CF7405">
        <w:rPr>
          <w:sz w:val="24"/>
          <w:szCs w:val="24"/>
          <w:lang w:eastAsia="da-DK"/>
        </w:rPr>
        <w:t>blodglucose</w:t>
      </w:r>
      <w:proofErr w:type="spellEnd"/>
      <w:r w:rsidRPr="00CF7405">
        <w:rPr>
          <w:sz w:val="24"/>
          <w:szCs w:val="24"/>
          <w:lang w:eastAsia="da-DK"/>
        </w:rPr>
        <w:t xml:space="preserve"> anbefales ved dosisøgning (se pkt. 4.8 og 4.9)</w:t>
      </w:r>
      <w:r>
        <w:rPr>
          <w:sz w:val="24"/>
          <w:szCs w:val="24"/>
          <w:lang w:eastAsia="da-DK"/>
        </w:rPr>
        <w:t>.</w:t>
      </w:r>
    </w:p>
    <w:p w:rsidR="00973CD2" w:rsidRPr="00BC6288" w:rsidRDefault="00973CD2" w:rsidP="00973CD2">
      <w:pPr>
        <w:tabs>
          <w:tab w:val="left" w:pos="851"/>
        </w:tabs>
        <w:suppressAutoHyphens/>
        <w:ind w:left="851"/>
        <w:rPr>
          <w:sz w:val="24"/>
          <w:szCs w:val="24"/>
          <w:lang w:eastAsia="da-DK"/>
        </w:rPr>
      </w:pPr>
    </w:p>
    <w:p w:rsidR="00973CD2" w:rsidRPr="00BC6288" w:rsidRDefault="00973CD2" w:rsidP="00973CD2">
      <w:pPr>
        <w:tabs>
          <w:tab w:val="left" w:pos="851"/>
        </w:tabs>
        <w:autoSpaceDE w:val="0"/>
        <w:autoSpaceDN w:val="0"/>
        <w:adjustRightInd w:val="0"/>
        <w:ind w:left="851"/>
        <w:rPr>
          <w:sz w:val="24"/>
          <w:szCs w:val="24"/>
          <w:lang w:eastAsia="da-DK"/>
        </w:rPr>
      </w:pPr>
      <w:r w:rsidRPr="00BC6288">
        <w:rPr>
          <w:sz w:val="24"/>
          <w:szCs w:val="24"/>
          <w:u w:val="single"/>
          <w:lang w:eastAsia="da-DK"/>
        </w:rPr>
        <w:t>Pædiatrisk population</w:t>
      </w:r>
    </w:p>
    <w:p w:rsidR="00973CD2" w:rsidRPr="00BC6288" w:rsidRDefault="00973CD2" w:rsidP="00973CD2">
      <w:pPr>
        <w:tabs>
          <w:tab w:val="left" w:pos="851"/>
        </w:tabs>
        <w:autoSpaceDE w:val="0"/>
        <w:autoSpaceDN w:val="0"/>
        <w:adjustRightInd w:val="0"/>
        <w:ind w:left="851"/>
        <w:rPr>
          <w:sz w:val="24"/>
          <w:szCs w:val="24"/>
          <w:lang w:eastAsia="da-DK"/>
        </w:rPr>
      </w:pPr>
      <w:r w:rsidRPr="00BC6288">
        <w:rPr>
          <w:sz w:val="24"/>
          <w:szCs w:val="24"/>
          <w:lang w:eastAsia="da-DK"/>
        </w:rPr>
        <w:t xml:space="preserve">Børn er mere følsomme end voksne, og derfor kan der opstå forgiftning med meget lave doser. Når </w:t>
      </w:r>
      <w:proofErr w:type="spellStart"/>
      <w:r w:rsidRPr="00BC6288">
        <w:rPr>
          <w:sz w:val="24"/>
          <w:szCs w:val="24"/>
          <w:lang w:eastAsia="da-DK"/>
        </w:rPr>
        <w:t>methadon</w:t>
      </w:r>
      <w:proofErr w:type="spellEnd"/>
      <w:r w:rsidRPr="00BC6288">
        <w:rPr>
          <w:sz w:val="24"/>
          <w:szCs w:val="24"/>
          <w:lang w:eastAsia="da-DK"/>
        </w:rPr>
        <w:t xml:space="preserve"> anvendes i hjemmet, skal det opbevares på et sikkert sted, der er utilgængeligt for børn, for at undgå, at børn indtager lægemidlet utilsigtet. </w:t>
      </w:r>
    </w:p>
    <w:p w:rsidR="00973CD2" w:rsidRPr="00BC6288" w:rsidRDefault="00973CD2" w:rsidP="00973CD2">
      <w:pPr>
        <w:tabs>
          <w:tab w:val="left" w:pos="851"/>
        </w:tabs>
        <w:autoSpaceDE w:val="0"/>
        <w:autoSpaceDN w:val="0"/>
        <w:adjustRightInd w:val="0"/>
        <w:ind w:left="851"/>
        <w:rPr>
          <w:sz w:val="24"/>
          <w:szCs w:val="24"/>
          <w:lang w:eastAsia="da-DK"/>
        </w:rPr>
      </w:pPr>
    </w:p>
    <w:p w:rsidR="00AC01B3" w:rsidRPr="00960AA1" w:rsidRDefault="00973CD2" w:rsidP="00960AA1">
      <w:pPr>
        <w:tabs>
          <w:tab w:val="left" w:pos="851"/>
        </w:tabs>
        <w:autoSpaceDE w:val="0"/>
        <w:autoSpaceDN w:val="0"/>
        <w:adjustRightInd w:val="0"/>
        <w:ind w:left="851"/>
        <w:rPr>
          <w:sz w:val="24"/>
          <w:szCs w:val="24"/>
          <w:lang w:eastAsia="da-DK"/>
        </w:rPr>
      </w:pPr>
      <w:r w:rsidRPr="00BC6288">
        <w:rPr>
          <w:sz w:val="24"/>
          <w:szCs w:val="24"/>
          <w:lang w:eastAsia="da-DK"/>
        </w:rPr>
        <w:t xml:space="preserve">Dette lægemiddel indeholder </w:t>
      </w:r>
      <w:proofErr w:type="spellStart"/>
      <w:r w:rsidRPr="00BC6288">
        <w:rPr>
          <w:sz w:val="24"/>
          <w:szCs w:val="24"/>
          <w:lang w:eastAsia="da-DK"/>
        </w:rPr>
        <w:t>lactose</w:t>
      </w:r>
      <w:proofErr w:type="spellEnd"/>
      <w:r w:rsidRPr="00BC6288">
        <w:rPr>
          <w:sz w:val="24"/>
          <w:szCs w:val="24"/>
          <w:lang w:eastAsia="da-DK"/>
        </w:rPr>
        <w:t xml:space="preserve">. Bør ikke anvendes til patienter med hereditær </w:t>
      </w:r>
      <w:proofErr w:type="spellStart"/>
      <w:r w:rsidRPr="00BC6288">
        <w:rPr>
          <w:sz w:val="24"/>
          <w:szCs w:val="24"/>
          <w:lang w:eastAsia="da-DK"/>
        </w:rPr>
        <w:t>galactoseintolerans</w:t>
      </w:r>
      <w:proofErr w:type="spellEnd"/>
      <w:r w:rsidRPr="00BC6288">
        <w:rPr>
          <w:sz w:val="24"/>
          <w:szCs w:val="24"/>
          <w:lang w:eastAsia="da-DK"/>
        </w:rPr>
        <w:t xml:space="preserve">, total </w:t>
      </w:r>
      <w:proofErr w:type="spellStart"/>
      <w:r w:rsidRPr="00BC6288">
        <w:rPr>
          <w:sz w:val="24"/>
          <w:szCs w:val="24"/>
          <w:lang w:eastAsia="da-DK"/>
        </w:rPr>
        <w:t>lactasemangel</w:t>
      </w:r>
      <w:proofErr w:type="spellEnd"/>
      <w:r w:rsidRPr="00BC6288">
        <w:rPr>
          <w:sz w:val="24"/>
          <w:szCs w:val="24"/>
          <w:lang w:eastAsia="da-DK"/>
        </w:rPr>
        <w:t xml:space="preserve"> eller </w:t>
      </w:r>
      <w:proofErr w:type="spellStart"/>
      <w:r w:rsidRPr="00BC6288">
        <w:rPr>
          <w:sz w:val="24"/>
          <w:szCs w:val="24"/>
          <w:lang w:eastAsia="da-DK"/>
        </w:rPr>
        <w:t>glucose</w:t>
      </w:r>
      <w:proofErr w:type="spellEnd"/>
      <w:r w:rsidRPr="00BC6288">
        <w:rPr>
          <w:sz w:val="24"/>
          <w:szCs w:val="24"/>
          <w:lang w:eastAsia="da-DK"/>
        </w:rPr>
        <w:t>/</w:t>
      </w:r>
      <w:proofErr w:type="spellStart"/>
      <w:r w:rsidRPr="00BC6288">
        <w:rPr>
          <w:sz w:val="24"/>
          <w:szCs w:val="24"/>
          <w:lang w:eastAsia="da-DK"/>
        </w:rPr>
        <w:t>galactosemalabsorption</w:t>
      </w:r>
      <w:proofErr w:type="spellEnd"/>
      <w:r w:rsidRPr="00BC6288">
        <w:rPr>
          <w:sz w:val="24"/>
          <w:szCs w:val="24"/>
          <w:lang w:eastAsia="da-DK"/>
        </w:rPr>
        <w:t>.</w:t>
      </w:r>
    </w:p>
    <w:p w:rsidR="00AC01B3" w:rsidRDefault="00AC01B3" w:rsidP="00960AA1">
      <w:pPr>
        <w:tabs>
          <w:tab w:val="left" w:pos="851"/>
        </w:tabs>
        <w:rPr>
          <w:b/>
          <w:sz w:val="24"/>
          <w:szCs w:val="24"/>
        </w:rPr>
      </w:pPr>
    </w:p>
    <w:p w:rsidR="00973CD2" w:rsidRPr="00C84483" w:rsidRDefault="00973CD2" w:rsidP="00973CD2">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73CD2" w:rsidRPr="00794FBB" w:rsidRDefault="00973CD2" w:rsidP="00973CD2">
      <w:pPr>
        <w:tabs>
          <w:tab w:val="left" w:pos="851"/>
        </w:tabs>
        <w:ind w:left="851"/>
        <w:rPr>
          <w:sz w:val="24"/>
          <w:szCs w:val="24"/>
          <w:lang w:eastAsia="da-DK"/>
        </w:rPr>
      </w:pPr>
    </w:p>
    <w:p w:rsidR="00973CD2" w:rsidRPr="00794FBB" w:rsidRDefault="00973CD2" w:rsidP="00973CD2">
      <w:pPr>
        <w:tabs>
          <w:tab w:val="left" w:pos="851"/>
        </w:tabs>
        <w:autoSpaceDE w:val="0"/>
        <w:autoSpaceDN w:val="0"/>
        <w:adjustRightInd w:val="0"/>
        <w:ind w:left="851"/>
        <w:rPr>
          <w:sz w:val="24"/>
          <w:szCs w:val="24"/>
          <w:u w:val="single"/>
          <w:lang w:eastAsia="da-DK"/>
        </w:rPr>
      </w:pPr>
      <w:proofErr w:type="spellStart"/>
      <w:r w:rsidRPr="00794FBB">
        <w:rPr>
          <w:sz w:val="24"/>
          <w:szCs w:val="24"/>
          <w:u w:val="single"/>
          <w:lang w:eastAsia="da-DK"/>
        </w:rPr>
        <w:t>Farmakokinetiske</w:t>
      </w:r>
      <w:proofErr w:type="spellEnd"/>
      <w:r w:rsidRPr="00794FBB">
        <w:rPr>
          <w:sz w:val="24"/>
          <w:szCs w:val="24"/>
          <w:u w:val="single"/>
          <w:lang w:eastAsia="da-DK"/>
        </w:rPr>
        <w:t xml:space="preserve"> interaktioner </w:t>
      </w:r>
    </w:p>
    <w:p w:rsidR="00973CD2" w:rsidRPr="00794FBB" w:rsidRDefault="00973CD2" w:rsidP="00973CD2">
      <w:pPr>
        <w:tabs>
          <w:tab w:val="left" w:pos="851"/>
        </w:tabs>
        <w:suppressAutoHyphens/>
        <w:ind w:left="851"/>
        <w:rPr>
          <w:i/>
          <w:sz w:val="24"/>
          <w:szCs w:val="24"/>
          <w:lang w:eastAsia="da-DK"/>
        </w:rPr>
      </w:pPr>
    </w:p>
    <w:p w:rsidR="00973CD2" w:rsidRDefault="00973CD2" w:rsidP="00973CD2">
      <w:pPr>
        <w:tabs>
          <w:tab w:val="left" w:pos="851"/>
        </w:tabs>
        <w:suppressAutoHyphens/>
        <w:ind w:left="851"/>
        <w:rPr>
          <w:i/>
          <w:sz w:val="24"/>
          <w:szCs w:val="24"/>
          <w:lang w:eastAsia="da-DK"/>
        </w:rPr>
      </w:pPr>
      <w:r w:rsidRPr="00794FBB">
        <w:rPr>
          <w:i/>
          <w:sz w:val="24"/>
          <w:szCs w:val="24"/>
          <w:lang w:eastAsia="da-DK"/>
        </w:rPr>
        <w:t>P-</w:t>
      </w:r>
      <w:proofErr w:type="spellStart"/>
      <w:r w:rsidRPr="00794FBB">
        <w:rPr>
          <w:i/>
          <w:sz w:val="24"/>
          <w:szCs w:val="24"/>
          <w:lang w:eastAsia="da-DK"/>
        </w:rPr>
        <w:t>glykoproteinhæmmere</w:t>
      </w:r>
      <w:proofErr w:type="spellEnd"/>
    </w:p>
    <w:p w:rsidR="00973CD2" w:rsidRPr="00794FBB" w:rsidRDefault="00973CD2" w:rsidP="00973CD2">
      <w:pPr>
        <w:tabs>
          <w:tab w:val="left" w:pos="851"/>
        </w:tabs>
        <w:suppressAutoHyphens/>
        <w:ind w:left="851"/>
        <w:rPr>
          <w:sz w:val="24"/>
          <w:szCs w:val="24"/>
          <w:lang w:eastAsia="da-DK"/>
        </w:rPr>
      </w:pPr>
      <w:proofErr w:type="spellStart"/>
      <w:r w:rsidRPr="00794FBB">
        <w:rPr>
          <w:sz w:val="24"/>
          <w:szCs w:val="24"/>
          <w:lang w:eastAsia="da-DK"/>
        </w:rPr>
        <w:t>Methadon</w:t>
      </w:r>
      <w:proofErr w:type="spellEnd"/>
      <w:r w:rsidRPr="00794FBB">
        <w:rPr>
          <w:sz w:val="24"/>
          <w:szCs w:val="24"/>
          <w:lang w:eastAsia="da-DK"/>
        </w:rPr>
        <w:t xml:space="preserve"> er et substrat for p-</w:t>
      </w:r>
      <w:proofErr w:type="spellStart"/>
      <w:r w:rsidRPr="00794FBB">
        <w:rPr>
          <w:sz w:val="24"/>
          <w:szCs w:val="24"/>
          <w:lang w:eastAsia="da-DK"/>
        </w:rPr>
        <w:t>glykoprotein</w:t>
      </w:r>
      <w:proofErr w:type="spellEnd"/>
      <w:r w:rsidRPr="00794FBB">
        <w:rPr>
          <w:sz w:val="24"/>
          <w:szCs w:val="24"/>
          <w:lang w:eastAsia="da-DK"/>
        </w:rPr>
        <w:t>; alle lægemidler, der hæmmer p-</w:t>
      </w:r>
      <w:proofErr w:type="spellStart"/>
      <w:r w:rsidRPr="00794FBB">
        <w:rPr>
          <w:sz w:val="24"/>
          <w:szCs w:val="24"/>
          <w:lang w:eastAsia="da-DK"/>
        </w:rPr>
        <w:t>glykoprotein</w:t>
      </w:r>
      <w:proofErr w:type="spellEnd"/>
      <w:r w:rsidRPr="00794FBB">
        <w:rPr>
          <w:sz w:val="24"/>
          <w:szCs w:val="24"/>
          <w:lang w:eastAsia="da-DK"/>
        </w:rPr>
        <w:t xml:space="preserve"> (f.eks. </w:t>
      </w:r>
      <w:proofErr w:type="spellStart"/>
      <w:r w:rsidRPr="00794FBB">
        <w:rPr>
          <w:sz w:val="24"/>
          <w:szCs w:val="24"/>
          <w:lang w:eastAsia="da-DK"/>
        </w:rPr>
        <w:t>kinidin</w:t>
      </w:r>
      <w:proofErr w:type="spellEnd"/>
      <w:r w:rsidRPr="00794FBB">
        <w:rPr>
          <w:sz w:val="24"/>
          <w:szCs w:val="24"/>
          <w:lang w:eastAsia="da-DK"/>
        </w:rPr>
        <w:t xml:space="preserve">, </w:t>
      </w:r>
      <w:proofErr w:type="spellStart"/>
      <w:r w:rsidRPr="00794FBB">
        <w:rPr>
          <w:sz w:val="24"/>
          <w:szCs w:val="24"/>
          <w:lang w:eastAsia="da-DK"/>
        </w:rPr>
        <w:t>verapamil</w:t>
      </w:r>
      <w:proofErr w:type="spellEnd"/>
      <w:r w:rsidRPr="00794FBB">
        <w:rPr>
          <w:sz w:val="24"/>
          <w:szCs w:val="24"/>
          <w:lang w:eastAsia="da-DK"/>
        </w:rPr>
        <w:t xml:space="preserve">, </w:t>
      </w:r>
      <w:proofErr w:type="spellStart"/>
      <w:r w:rsidRPr="00794FBB">
        <w:rPr>
          <w:sz w:val="24"/>
          <w:szCs w:val="24"/>
          <w:lang w:eastAsia="da-DK"/>
        </w:rPr>
        <w:t>ciclosporin</w:t>
      </w:r>
      <w:proofErr w:type="spellEnd"/>
      <w:r w:rsidRPr="00794FBB">
        <w:rPr>
          <w:sz w:val="24"/>
          <w:szCs w:val="24"/>
          <w:lang w:eastAsia="da-DK"/>
        </w:rPr>
        <w:t xml:space="preserve">), kan derfor øge serumkoncentrationen af </w:t>
      </w:r>
      <w:proofErr w:type="spellStart"/>
      <w:r w:rsidRPr="00794FBB">
        <w:rPr>
          <w:sz w:val="24"/>
          <w:szCs w:val="24"/>
          <w:lang w:eastAsia="da-DK"/>
        </w:rPr>
        <w:t>methadon</w:t>
      </w:r>
      <w:proofErr w:type="spellEnd"/>
      <w:r w:rsidRPr="00794FBB">
        <w:rPr>
          <w:sz w:val="24"/>
          <w:szCs w:val="24"/>
          <w:lang w:eastAsia="da-DK"/>
        </w:rPr>
        <w:t xml:space="preserve">. Den </w:t>
      </w:r>
      <w:proofErr w:type="spellStart"/>
      <w:r w:rsidRPr="00794FBB">
        <w:rPr>
          <w:sz w:val="24"/>
          <w:szCs w:val="24"/>
          <w:lang w:eastAsia="da-DK"/>
        </w:rPr>
        <w:t>farmakodynamiske</w:t>
      </w:r>
      <w:proofErr w:type="spellEnd"/>
      <w:r w:rsidRPr="00794FBB">
        <w:rPr>
          <w:sz w:val="24"/>
          <w:szCs w:val="24"/>
          <w:lang w:eastAsia="da-DK"/>
        </w:rPr>
        <w:t xml:space="preserve"> virkning af </w:t>
      </w:r>
      <w:proofErr w:type="spellStart"/>
      <w:r w:rsidRPr="00794FBB">
        <w:rPr>
          <w:sz w:val="24"/>
          <w:szCs w:val="24"/>
          <w:lang w:eastAsia="da-DK"/>
        </w:rPr>
        <w:t>methadon</w:t>
      </w:r>
      <w:proofErr w:type="spellEnd"/>
      <w:r w:rsidRPr="00794FBB">
        <w:rPr>
          <w:sz w:val="24"/>
          <w:szCs w:val="24"/>
          <w:lang w:eastAsia="da-DK"/>
        </w:rPr>
        <w:t xml:space="preserve"> kan også forøges som følge af øget passage gennem blod-hjerne-barrieren. </w:t>
      </w:r>
    </w:p>
    <w:p w:rsidR="00973CD2" w:rsidRPr="00794FBB" w:rsidRDefault="00973CD2" w:rsidP="00973CD2">
      <w:pPr>
        <w:tabs>
          <w:tab w:val="left" w:pos="851"/>
        </w:tabs>
        <w:suppressAutoHyphens/>
        <w:ind w:left="851"/>
        <w:rPr>
          <w:sz w:val="24"/>
          <w:szCs w:val="24"/>
          <w:lang w:eastAsia="da-DK"/>
        </w:rPr>
      </w:pPr>
    </w:p>
    <w:p w:rsidR="00973CD2" w:rsidRDefault="00973CD2" w:rsidP="00973CD2">
      <w:pPr>
        <w:tabs>
          <w:tab w:val="left" w:pos="851"/>
        </w:tabs>
        <w:autoSpaceDE w:val="0"/>
        <w:autoSpaceDN w:val="0"/>
        <w:adjustRightInd w:val="0"/>
        <w:ind w:left="851"/>
        <w:rPr>
          <w:i/>
          <w:sz w:val="24"/>
          <w:szCs w:val="24"/>
          <w:lang w:eastAsia="da-DK"/>
        </w:rPr>
      </w:pPr>
      <w:r w:rsidRPr="00794FBB">
        <w:rPr>
          <w:i/>
          <w:sz w:val="24"/>
          <w:szCs w:val="24"/>
          <w:lang w:eastAsia="da-DK"/>
        </w:rPr>
        <w:t>CY</w:t>
      </w:r>
      <w:r>
        <w:rPr>
          <w:i/>
          <w:sz w:val="24"/>
          <w:szCs w:val="24"/>
          <w:lang w:eastAsia="da-DK"/>
        </w:rPr>
        <w:t>P3A4-induktorer</w:t>
      </w:r>
    </w:p>
    <w:p w:rsidR="00973CD2" w:rsidRPr="00794FBB" w:rsidRDefault="00973CD2" w:rsidP="00973CD2">
      <w:pPr>
        <w:tabs>
          <w:tab w:val="left" w:pos="851"/>
        </w:tabs>
        <w:autoSpaceDE w:val="0"/>
        <w:autoSpaceDN w:val="0"/>
        <w:adjustRightInd w:val="0"/>
        <w:ind w:left="851"/>
        <w:rPr>
          <w:i/>
          <w:sz w:val="24"/>
          <w:szCs w:val="24"/>
          <w:lang w:eastAsia="da-DK"/>
        </w:rPr>
      </w:pPr>
      <w:proofErr w:type="spellStart"/>
      <w:r w:rsidRPr="00794FBB">
        <w:rPr>
          <w:sz w:val="24"/>
          <w:szCs w:val="24"/>
          <w:lang w:eastAsia="da-DK"/>
        </w:rPr>
        <w:t>Methadon</w:t>
      </w:r>
      <w:proofErr w:type="spellEnd"/>
      <w:r w:rsidRPr="00794FBB">
        <w:rPr>
          <w:sz w:val="24"/>
          <w:szCs w:val="24"/>
          <w:lang w:eastAsia="da-DK"/>
        </w:rPr>
        <w:t xml:space="preserve"> er et substrat for CYP3A4 (se pkt. 5.2). CYP3A4-induktion øger eliminationen af </w:t>
      </w:r>
      <w:proofErr w:type="spellStart"/>
      <w:r w:rsidRPr="00794FBB">
        <w:rPr>
          <w:sz w:val="24"/>
          <w:szCs w:val="24"/>
          <w:lang w:eastAsia="da-DK"/>
        </w:rPr>
        <w:t>methadon</w:t>
      </w:r>
      <w:proofErr w:type="spellEnd"/>
      <w:r w:rsidRPr="00794FBB">
        <w:rPr>
          <w:sz w:val="24"/>
          <w:szCs w:val="24"/>
          <w:lang w:eastAsia="da-DK"/>
        </w:rPr>
        <w:t xml:space="preserve"> og fører til nedsat plasmaniveau. Induktorer af dette enzym (barbiturater, </w:t>
      </w:r>
      <w:proofErr w:type="spellStart"/>
      <w:r w:rsidRPr="00794FBB">
        <w:rPr>
          <w:sz w:val="24"/>
          <w:szCs w:val="24"/>
          <w:lang w:eastAsia="da-DK"/>
        </w:rPr>
        <w:t>carbamazepin</w:t>
      </w:r>
      <w:proofErr w:type="spellEnd"/>
      <w:r w:rsidRPr="00794FBB">
        <w:rPr>
          <w:sz w:val="24"/>
          <w:szCs w:val="24"/>
          <w:lang w:eastAsia="da-DK"/>
        </w:rPr>
        <w:t xml:space="preserve">, </w:t>
      </w:r>
      <w:proofErr w:type="spellStart"/>
      <w:r w:rsidRPr="00794FBB">
        <w:rPr>
          <w:sz w:val="24"/>
          <w:szCs w:val="24"/>
          <w:lang w:eastAsia="da-DK"/>
        </w:rPr>
        <w:t>phenytoin</w:t>
      </w:r>
      <w:proofErr w:type="spellEnd"/>
      <w:r w:rsidRPr="00794FBB">
        <w:rPr>
          <w:sz w:val="24"/>
          <w:szCs w:val="24"/>
          <w:lang w:eastAsia="da-DK"/>
        </w:rPr>
        <w:t xml:space="preserve">, </w:t>
      </w:r>
      <w:proofErr w:type="spellStart"/>
      <w:r w:rsidRPr="00794FBB">
        <w:rPr>
          <w:sz w:val="24"/>
          <w:szCs w:val="24"/>
          <w:lang w:eastAsia="da-DK"/>
        </w:rPr>
        <w:t>nevirapin</w:t>
      </w:r>
      <w:proofErr w:type="spellEnd"/>
      <w:r w:rsidRPr="00794FBB">
        <w:rPr>
          <w:sz w:val="24"/>
          <w:szCs w:val="24"/>
          <w:lang w:eastAsia="da-DK"/>
        </w:rPr>
        <w:t xml:space="preserve">, </w:t>
      </w:r>
      <w:proofErr w:type="spellStart"/>
      <w:r w:rsidRPr="00794FBB">
        <w:rPr>
          <w:sz w:val="24"/>
          <w:szCs w:val="24"/>
          <w:lang w:eastAsia="da-DK"/>
        </w:rPr>
        <w:t>rifampicin</w:t>
      </w:r>
      <w:proofErr w:type="spellEnd"/>
      <w:r w:rsidRPr="00794FBB">
        <w:rPr>
          <w:sz w:val="24"/>
          <w:szCs w:val="24"/>
          <w:lang w:eastAsia="da-DK"/>
        </w:rPr>
        <w:t xml:space="preserve">, </w:t>
      </w:r>
      <w:proofErr w:type="spellStart"/>
      <w:r w:rsidRPr="00794FBB">
        <w:rPr>
          <w:sz w:val="24"/>
          <w:szCs w:val="24"/>
          <w:lang w:eastAsia="da-DK"/>
        </w:rPr>
        <w:t>efavirenz</w:t>
      </w:r>
      <w:proofErr w:type="spellEnd"/>
      <w:r w:rsidRPr="00794FBB">
        <w:rPr>
          <w:sz w:val="24"/>
          <w:szCs w:val="24"/>
          <w:lang w:eastAsia="da-DK"/>
        </w:rPr>
        <w:t xml:space="preserve">, </w:t>
      </w:r>
      <w:proofErr w:type="spellStart"/>
      <w:r w:rsidRPr="00794FBB">
        <w:rPr>
          <w:sz w:val="24"/>
          <w:szCs w:val="24"/>
          <w:lang w:eastAsia="da-DK"/>
        </w:rPr>
        <w:t>amprenavir</w:t>
      </w:r>
      <w:proofErr w:type="spellEnd"/>
      <w:r w:rsidRPr="00794FBB">
        <w:rPr>
          <w:sz w:val="24"/>
          <w:szCs w:val="24"/>
          <w:lang w:eastAsia="da-DK"/>
        </w:rPr>
        <w:t xml:space="preserve">, </w:t>
      </w:r>
      <w:proofErr w:type="spellStart"/>
      <w:r w:rsidRPr="00794FBB">
        <w:rPr>
          <w:sz w:val="24"/>
          <w:szCs w:val="24"/>
          <w:lang w:eastAsia="da-DK"/>
        </w:rPr>
        <w:t>spironolacton</w:t>
      </w:r>
      <w:proofErr w:type="spellEnd"/>
      <w:r w:rsidRPr="00794FBB">
        <w:rPr>
          <w:sz w:val="24"/>
          <w:szCs w:val="24"/>
          <w:lang w:eastAsia="da-DK"/>
        </w:rPr>
        <w:t xml:space="preserve">, </w:t>
      </w:r>
      <w:proofErr w:type="spellStart"/>
      <w:r w:rsidRPr="00794FBB">
        <w:rPr>
          <w:sz w:val="24"/>
          <w:szCs w:val="24"/>
          <w:lang w:eastAsia="da-DK"/>
        </w:rPr>
        <w:t>dexamethason</w:t>
      </w:r>
      <w:proofErr w:type="spellEnd"/>
      <w:r w:rsidRPr="00794FBB">
        <w:rPr>
          <w:sz w:val="24"/>
          <w:szCs w:val="24"/>
          <w:lang w:eastAsia="da-DK"/>
        </w:rPr>
        <w:t xml:space="preserve">, </w:t>
      </w:r>
      <w:proofErr w:type="spellStart"/>
      <w:r w:rsidRPr="00794FBB">
        <w:rPr>
          <w:i/>
          <w:sz w:val="24"/>
          <w:szCs w:val="24"/>
          <w:lang w:eastAsia="da-DK"/>
        </w:rPr>
        <w:t>Hypericum</w:t>
      </w:r>
      <w:proofErr w:type="spellEnd"/>
      <w:r w:rsidRPr="00794FBB">
        <w:rPr>
          <w:i/>
          <w:sz w:val="24"/>
          <w:szCs w:val="24"/>
          <w:lang w:eastAsia="da-DK"/>
        </w:rPr>
        <w:t xml:space="preserve"> </w:t>
      </w:r>
      <w:proofErr w:type="spellStart"/>
      <w:r w:rsidRPr="00794FBB">
        <w:rPr>
          <w:i/>
          <w:sz w:val="24"/>
          <w:szCs w:val="24"/>
          <w:lang w:eastAsia="da-DK"/>
        </w:rPr>
        <w:t>perforatum</w:t>
      </w:r>
      <w:proofErr w:type="spellEnd"/>
      <w:r w:rsidRPr="00794FBB">
        <w:rPr>
          <w:i/>
          <w:sz w:val="24"/>
          <w:szCs w:val="24"/>
          <w:lang w:eastAsia="da-DK"/>
        </w:rPr>
        <w:t xml:space="preserve"> </w:t>
      </w:r>
      <w:r w:rsidRPr="00794FBB">
        <w:rPr>
          <w:sz w:val="24"/>
          <w:szCs w:val="24"/>
          <w:lang w:eastAsia="da-DK"/>
        </w:rPr>
        <w:t>(perikon))</w:t>
      </w:r>
      <w:r w:rsidRPr="00794FBB">
        <w:rPr>
          <w:i/>
          <w:sz w:val="24"/>
          <w:szCs w:val="24"/>
          <w:lang w:eastAsia="da-DK"/>
        </w:rPr>
        <w:t xml:space="preserve"> </w:t>
      </w:r>
      <w:r w:rsidRPr="00794FBB">
        <w:rPr>
          <w:sz w:val="24"/>
          <w:szCs w:val="24"/>
          <w:lang w:eastAsia="da-DK"/>
        </w:rPr>
        <w:t xml:space="preserve">kan inducere den </w:t>
      </w:r>
      <w:proofErr w:type="spellStart"/>
      <w:r w:rsidRPr="00794FBB">
        <w:rPr>
          <w:sz w:val="24"/>
          <w:szCs w:val="24"/>
          <w:lang w:eastAsia="da-DK"/>
        </w:rPr>
        <w:t>hepatiske</w:t>
      </w:r>
      <w:proofErr w:type="spellEnd"/>
      <w:r w:rsidRPr="00794FBB">
        <w:rPr>
          <w:sz w:val="24"/>
          <w:szCs w:val="24"/>
          <w:lang w:eastAsia="da-DK"/>
        </w:rPr>
        <w:t xml:space="preserve"> metabolisme. Eksempel: Efter tre ugers behandling med 600 mg </w:t>
      </w:r>
      <w:proofErr w:type="spellStart"/>
      <w:r w:rsidRPr="00794FBB">
        <w:rPr>
          <w:sz w:val="24"/>
          <w:szCs w:val="24"/>
          <w:lang w:eastAsia="da-DK"/>
        </w:rPr>
        <w:t>efavirenz</w:t>
      </w:r>
      <w:proofErr w:type="spellEnd"/>
      <w:r w:rsidRPr="00794FBB">
        <w:rPr>
          <w:sz w:val="24"/>
          <w:szCs w:val="24"/>
          <w:lang w:eastAsia="da-DK"/>
        </w:rPr>
        <w:t xml:space="preserve"> daglig var den gennemsnitlige maksimale plasmakoncentration og AUC nedsat med henholdsvis 48 % og 57 % hos patienter i behandling med </w:t>
      </w:r>
      <w:proofErr w:type="spellStart"/>
      <w:r w:rsidRPr="00794FBB">
        <w:rPr>
          <w:sz w:val="24"/>
          <w:szCs w:val="24"/>
          <w:lang w:eastAsia="da-DK"/>
        </w:rPr>
        <w:t>methadon</w:t>
      </w:r>
      <w:proofErr w:type="spellEnd"/>
      <w:r w:rsidRPr="00794FBB">
        <w:rPr>
          <w:sz w:val="24"/>
          <w:szCs w:val="24"/>
          <w:lang w:eastAsia="da-DK"/>
        </w:rPr>
        <w:t xml:space="preserve"> (35-100 mg daglig). </w:t>
      </w:r>
    </w:p>
    <w:p w:rsidR="00973CD2" w:rsidRPr="00794FBB" w:rsidRDefault="00973CD2" w:rsidP="00973CD2">
      <w:pPr>
        <w:tabs>
          <w:tab w:val="left" w:pos="851"/>
        </w:tabs>
        <w:autoSpaceDE w:val="0"/>
        <w:autoSpaceDN w:val="0"/>
        <w:adjustRightInd w:val="0"/>
        <w:ind w:left="851"/>
        <w:rPr>
          <w:sz w:val="24"/>
          <w:szCs w:val="24"/>
          <w:lang w:eastAsia="da-DK"/>
        </w:rPr>
      </w:pPr>
    </w:p>
    <w:p w:rsidR="00AC01B3" w:rsidRPr="00794FBB" w:rsidRDefault="00AC01B3" w:rsidP="00AC01B3">
      <w:pPr>
        <w:tabs>
          <w:tab w:val="left" w:pos="851"/>
        </w:tabs>
        <w:autoSpaceDE w:val="0"/>
        <w:autoSpaceDN w:val="0"/>
        <w:adjustRightInd w:val="0"/>
        <w:ind w:left="851"/>
        <w:rPr>
          <w:sz w:val="24"/>
          <w:szCs w:val="24"/>
          <w:lang w:eastAsia="da-DK"/>
        </w:rPr>
      </w:pPr>
      <w:r w:rsidRPr="00794FBB">
        <w:rPr>
          <w:sz w:val="24"/>
          <w:szCs w:val="24"/>
          <w:lang w:eastAsia="da-DK"/>
        </w:rPr>
        <w:t xml:space="preserve">Konsekvenserne af enzyminduktion er mere udtalte, hvis induktoren administreres efter opstart af behandling med </w:t>
      </w:r>
      <w:proofErr w:type="spellStart"/>
      <w:r w:rsidRPr="00794FBB">
        <w:rPr>
          <w:sz w:val="24"/>
          <w:szCs w:val="24"/>
          <w:lang w:eastAsia="da-DK"/>
        </w:rPr>
        <w:t>methadon</w:t>
      </w:r>
      <w:proofErr w:type="spellEnd"/>
      <w:r w:rsidRPr="00794FBB">
        <w:rPr>
          <w:sz w:val="24"/>
          <w:szCs w:val="24"/>
          <w:lang w:eastAsia="da-DK"/>
        </w:rPr>
        <w:t xml:space="preserve">. Der er rapporteret om abstinenssymptomer som følge af sådanne interaktioner, og det kan derfor være nødvendigt at øge </w:t>
      </w:r>
      <w:proofErr w:type="spellStart"/>
      <w:r w:rsidRPr="00794FBB">
        <w:rPr>
          <w:sz w:val="24"/>
          <w:szCs w:val="24"/>
          <w:lang w:eastAsia="da-DK"/>
        </w:rPr>
        <w:t>methadondosen</w:t>
      </w:r>
      <w:proofErr w:type="spellEnd"/>
      <w:r w:rsidRPr="00794FBB">
        <w:rPr>
          <w:sz w:val="24"/>
          <w:szCs w:val="24"/>
          <w:lang w:eastAsia="da-DK"/>
        </w:rPr>
        <w:t xml:space="preserve">. Hvis behandlingen med en CYP3A4-induktor bliver seponeret, bør </w:t>
      </w:r>
      <w:proofErr w:type="spellStart"/>
      <w:r w:rsidRPr="00794FBB">
        <w:rPr>
          <w:sz w:val="24"/>
          <w:szCs w:val="24"/>
          <w:lang w:eastAsia="da-DK"/>
        </w:rPr>
        <w:t>methadondosen</w:t>
      </w:r>
      <w:proofErr w:type="spellEnd"/>
      <w:r w:rsidRPr="00794FBB">
        <w:rPr>
          <w:sz w:val="24"/>
          <w:szCs w:val="24"/>
          <w:lang w:eastAsia="da-DK"/>
        </w:rPr>
        <w:t xml:space="preserve"> reduceres. </w:t>
      </w:r>
    </w:p>
    <w:p w:rsidR="00AC01B3" w:rsidRDefault="00AC01B3" w:rsidP="00AC01B3">
      <w:pPr>
        <w:tabs>
          <w:tab w:val="left" w:pos="851"/>
        </w:tabs>
        <w:autoSpaceDE w:val="0"/>
        <w:autoSpaceDN w:val="0"/>
        <w:adjustRightInd w:val="0"/>
        <w:ind w:left="851"/>
        <w:rPr>
          <w:sz w:val="24"/>
          <w:szCs w:val="24"/>
          <w:lang w:eastAsia="da-DK"/>
        </w:rPr>
      </w:pPr>
    </w:p>
    <w:p w:rsidR="00AC01B3" w:rsidRPr="00D26F3C" w:rsidRDefault="00AC01B3" w:rsidP="00AC01B3">
      <w:pPr>
        <w:tabs>
          <w:tab w:val="left" w:pos="851"/>
        </w:tabs>
        <w:autoSpaceDE w:val="0"/>
        <w:autoSpaceDN w:val="0"/>
        <w:adjustRightInd w:val="0"/>
        <w:ind w:left="851"/>
        <w:rPr>
          <w:i/>
          <w:iCs/>
          <w:sz w:val="24"/>
          <w:szCs w:val="24"/>
          <w:lang w:eastAsia="da-DK"/>
        </w:rPr>
      </w:pPr>
      <w:proofErr w:type="spellStart"/>
      <w:r w:rsidRPr="00D26F3C">
        <w:rPr>
          <w:i/>
          <w:iCs/>
          <w:sz w:val="24"/>
          <w:szCs w:val="24"/>
          <w:lang w:eastAsia="da-DK"/>
        </w:rPr>
        <w:t>Serotonerge</w:t>
      </w:r>
      <w:proofErr w:type="spellEnd"/>
      <w:r w:rsidRPr="00D26F3C">
        <w:rPr>
          <w:i/>
          <w:iCs/>
          <w:sz w:val="24"/>
          <w:szCs w:val="24"/>
          <w:lang w:eastAsia="da-DK"/>
        </w:rPr>
        <w:t xml:space="preserve"> lægemidler</w:t>
      </w:r>
    </w:p>
    <w:p w:rsidR="00AC01B3" w:rsidRDefault="00AC01B3" w:rsidP="00AC01B3">
      <w:pPr>
        <w:tabs>
          <w:tab w:val="left" w:pos="851"/>
        </w:tabs>
        <w:autoSpaceDE w:val="0"/>
        <w:autoSpaceDN w:val="0"/>
        <w:adjustRightInd w:val="0"/>
        <w:ind w:left="851"/>
        <w:rPr>
          <w:sz w:val="24"/>
          <w:szCs w:val="24"/>
          <w:lang w:eastAsia="da-DK"/>
        </w:rPr>
      </w:pPr>
      <w:r w:rsidRPr="00FD7DD7">
        <w:rPr>
          <w:sz w:val="24"/>
          <w:szCs w:val="24"/>
          <w:lang w:eastAsia="da-DK"/>
        </w:rPr>
        <w:t xml:space="preserve">Der kan forekomme serotoninsyndrom ved samtidig administration af </w:t>
      </w:r>
      <w:proofErr w:type="spellStart"/>
      <w:r w:rsidRPr="00FD7DD7">
        <w:rPr>
          <w:sz w:val="24"/>
          <w:szCs w:val="24"/>
          <w:lang w:eastAsia="da-DK"/>
        </w:rPr>
        <w:t>methadon</w:t>
      </w:r>
      <w:proofErr w:type="spellEnd"/>
      <w:r w:rsidRPr="00FD7DD7">
        <w:rPr>
          <w:sz w:val="24"/>
          <w:szCs w:val="24"/>
          <w:lang w:eastAsia="da-DK"/>
        </w:rPr>
        <w:t xml:space="preserve"> og</w:t>
      </w:r>
      <w:r>
        <w:rPr>
          <w:sz w:val="24"/>
          <w:szCs w:val="24"/>
          <w:lang w:eastAsia="da-DK"/>
        </w:rPr>
        <w:t xml:space="preserve"> </w:t>
      </w:r>
      <w:proofErr w:type="spellStart"/>
      <w:r w:rsidRPr="00FD7DD7">
        <w:rPr>
          <w:sz w:val="24"/>
          <w:szCs w:val="24"/>
          <w:lang w:eastAsia="da-DK"/>
        </w:rPr>
        <w:t>pethidin</w:t>
      </w:r>
      <w:proofErr w:type="spellEnd"/>
      <w:r w:rsidRPr="00FD7DD7">
        <w:rPr>
          <w:sz w:val="24"/>
          <w:szCs w:val="24"/>
          <w:lang w:eastAsia="da-DK"/>
        </w:rPr>
        <w:t xml:space="preserve">, </w:t>
      </w:r>
      <w:proofErr w:type="spellStart"/>
      <w:r w:rsidRPr="00FD7DD7">
        <w:rPr>
          <w:sz w:val="24"/>
          <w:szCs w:val="24"/>
          <w:lang w:eastAsia="da-DK"/>
        </w:rPr>
        <w:t>monoaminooxidase</w:t>
      </w:r>
      <w:proofErr w:type="spellEnd"/>
      <w:r w:rsidRPr="00FD7DD7">
        <w:rPr>
          <w:sz w:val="24"/>
          <w:szCs w:val="24"/>
          <w:lang w:eastAsia="da-DK"/>
        </w:rPr>
        <w:t xml:space="preserve"> (MAO)-</w:t>
      </w:r>
      <w:proofErr w:type="spellStart"/>
      <w:r w:rsidRPr="00FD7DD7">
        <w:rPr>
          <w:sz w:val="24"/>
          <w:szCs w:val="24"/>
          <w:lang w:eastAsia="da-DK"/>
        </w:rPr>
        <w:t>hæmmere</w:t>
      </w:r>
      <w:proofErr w:type="spellEnd"/>
      <w:r w:rsidRPr="00FD7DD7">
        <w:rPr>
          <w:sz w:val="24"/>
          <w:szCs w:val="24"/>
          <w:lang w:eastAsia="da-DK"/>
        </w:rPr>
        <w:t xml:space="preserve"> og </w:t>
      </w:r>
      <w:proofErr w:type="spellStart"/>
      <w:r w:rsidRPr="00FD7DD7">
        <w:rPr>
          <w:sz w:val="24"/>
          <w:szCs w:val="24"/>
          <w:lang w:eastAsia="da-DK"/>
        </w:rPr>
        <w:t>serotonerge</w:t>
      </w:r>
      <w:proofErr w:type="spellEnd"/>
      <w:r w:rsidRPr="00FD7DD7">
        <w:rPr>
          <w:sz w:val="24"/>
          <w:szCs w:val="24"/>
          <w:lang w:eastAsia="da-DK"/>
        </w:rPr>
        <w:t xml:space="preserve"> præparater, såsom</w:t>
      </w:r>
      <w:r>
        <w:rPr>
          <w:sz w:val="24"/>
          <w:szCs w:val="24"/>
          <w:lang w:eastAsia="da-DK"/>
        </w:rPr>
        <w:t xml:space="preserve"> </w:t>
      </w:r>
      <w:r w:rsidRPr="00FD7DD7">
        <w:rPr>
          <w:sz w:val="24"/>
          <w:szCs w:val="24"/>
          <w:lang w:eastAsia="da-DK"/>
        </w:rPr>
        <w:t xml:space="preserve">selektive </w:t>
      </w:r>
      <w:proofErr w:type="spellStart"/>
      <w:r w:rsidRPr="00FD7DD7">
        <w:rPr>
          <w:sz w:val="24"/>
          <w:szCs w:val="24"/>
          <w:lang w:eastAsia="da-DK"/>
        </w:rPr>
        <w:t>serotoningenoptagshæmmer</w:t>
      </w:r>
      <w:proofErr w:type="spellEnd"/>
      <w:r w:rsidRPr="00FD7DD7">
        <w:rPr>
          <w:sz w:val="24"/>
          <w:szCs w:val="24"/>
          <w:lang w:eastAsia="da-DK"/>
        </w:rPr>
        <w:t xml:space="preserve"> (SSRI), serotonin-</w:t>
      </w:r>
      <w:proofErr w:type="spellStart"/>
      <w:r w:rsidRPr="00FD7DD7">
        <w:rPr>
          <w:sz w:val="24"/>
          <w:szCs w:val="24"/>
          <w:lang w:eastAsia="da-DK"/>
        </w:rPr>
        <w:t>noradrenalingenoptagshæmmer</w:t>
      </w:r>
      <w:proofErr w:type="spellEnd"/>
      <w:r w:rsidRPr="00FD7DD7">
        <w:rPr>
          <w:sz w:val="24"/>
          <w:szCs w:val="24"/>
          <w:lang w:eastAsia="da-DK"/>
        </w:rPr>
        <w:t xml:space="preserve"> (SNRI) og tricykliske </w:t>
      </w:r>
      <w:proofErr w:type="spellStart"/>
      <w:r w:rsidRPr="00FD7DD7">
        <w:rPr>
          <w:sz w:val="24"/>
          <w:szCs w:val="24"/>
          <w:lang w:eastAsia="da-DK"/>
        </w:rPr>
        <w:t>antidepressiver</w:t>
      </w:r>
      <w:proofErr w:type="spellEnd"/>
      <w:r w:rsidRPr="00FD7DD7">
        <w:rPr>
          <w:sz w:val="24"/>
          <w:szCs w:val="24"/>
          <w:lang w:eastAsia="da-DK"/>
        </w:rPr>
        <w:t xml:space="preserve"> (TCA). Symptomerne på serotoninsyndrom kan</w:t>
      </w:r>
      <w:r>
        <w:rPr>
          <w:sz w:val="24"/>
          <w:szCs w:val="24"/>
          <w:lang w:eastAsia="da-DK"/>
        </w:rPr>
        <w:t xml:space="preserve"> </w:t>
      </w:r>
      <w:r w:rsidRPr="00FD7DD7">
        <w:rPr>
          <w:sz w:val="24"/>
          <w:szCs w:val="24"/>
          <w:lang w:eastAsia="da-DK"/>
        </w:rPr>
        <w:t>omfatte ændringer i</w:t>
      </w:r>
      <w:r>
        <w:rPr>
          <w:sz w:val="24"/>
          <w:szCs w:val="24"/>
          <w:lang w:eastAsia="da-DK"/>
        </w:rPr>
        <w:t xml:space="preserve"> </w:t>
      </w:r>
      <w:r w:rsidRPr="00FD7DD7">
        <w:rPr>
          <w:sz w:val="24"/>
          <w:szCs w:val="24"/>
          <w:lang w:eastAsia="da-DK"/>
        </w:rPr>
        <w:t xml:space="preserve">mental tilstand, autonom </w:t>
      </w:r>
      <w:proofErr w:type="spellStart"/>
      <w:r w:rsidRPr="00FD7DD7">
        <w:rPr>
          <w:sz w:val="24"/>
          <w:szCs w:val="24"/>
          <w:lang w:eastAsia="da-DK"/>
        </w:rPr>
        <w:t>instabilitet</w:t>
      </w:r>
      <w:proofErr w:type="spellEnd"/>
      <w:r w:rsidRPr="00FD7DD7">
        <w:rPr>
          <w:sz w:val="24"/>
          <w:szCs w:val="24"/>
          <w:lang w:eastAsia="da-DK"/>
        </w:rPr>
        <w:t xml:space="preserve">, </w:t>
      </w:r>
      <w:proofErr w:type="spellStart"/>
      <w:r w:rsidRPr="00FD7DD7">
        <w:rPr>
          <w:sz w:val="24"/>
          <w:szCs w:val="24"/>
          <w:lang w:eastAsia="da-DK"/>
        </w:rPr>
        <w:t>neuromuskulære</w:t>
      </w:r>
      <w:proofErr w:type="spellEnd"/>
      <w:r w:rsidRPr="00FD7DD7">
        <w:rPr>
          <w:sz w:val="24"/>
          <w:szCs w:val="24"/>
          <w:lang w:eastAsia="da-DK"/>
        </w:rPr>
        <w:t xml:space="preserve"> </w:t>
      </w:r>
      <w:proofErr w:type="spellStart"/>
      <w:r w:rsidRPr="00FD7DD7">
        <w:rPr>
          <w:sz w:val="24"/>
          <w:szCs w:val="24"/>
          <w:lang w:eastAsia="da-DK"/>
        </w:rPr>
        <w:t>abnormaliteter</w:t>
      </w:r>
      <w:proofErr w:type="spellEnd"/>
      <w:r w:rsidRPr="00FD7DD7">
        <w:rPr>
          <w:sz w:val="24"/>
          <w:szCs w:val="24"/>
          <w:lang w:eastAsia="da-DK"/>
        </w:rPr>
        <w:t xml:space="preserve"> og/eller </w:t>
      </w:r>
      <w:proofErr w:type="spellStart"/>
      <w:r w:rsidRPr="00FD7DD7">
        <w:rPr>
          <w:sz w:val="24"/>
          <w:szCs w:val="24"/>
          <w:lang w:eastAsia="da-DK"/>
        </w:rPr>
        <w:t>gastrointestinale</w:t>
      </w:r>
      <w:proofErr w:type="spellEnd"/>
      <w:r w:rsidRPr="00FD7DD7">
        <w:rPr>
          <w:sz w:val="24"/>
          <w:szCs w:val="24"/>
          <w:lang w:eastAsia="da-DK"/>
        </w:rPr>
        <w:t xml:space="preserve"> symptomer.</w:t>
      </w:r>
    </w:p>
    <w:p w:rsidR="00973CD2" w:rsidRPr="00794FBB" w:rsidRDefault="00973CD2" w:rsidP="00973CD2">
      <w:pPr>
        <w:tabs>
          <w:tab w:val="left" w:pos="851"/>
        </w:tabs>
        <w:autoSpaceDE w:val="0"/>
        <w:autoSpaceDN w:val="0"/>
        <w:adjustRightInd w:val="0"/>
        <w:ind w:left="851"/>
        <w:rPr>
          <w:sz w:val="24"/>
          <w:szCs w:val="24"/>
          <w:lang w:eastAsia="da-DK"/>
        </w:rPr>
      </w:pPr>
    </w:p>
    <w:p w:rsidR="00973CD2" w:rsidRDefault="00973CD2" w:rsidP="00973CD2">
      <w:pPr>
        <w:tabs>
          <w:tab w:val="left" w:pos="851"/>
        </w:tabs>
        <w:autoSpaceDE w:val="0"/>
        <w:autoSpaceDN w:val="0"/>
        <w:adjustRightInd w:val="0"/>
        <w:ind w:left="851"/>
        <w:rPr>
          <w:i/>
          <w:sz w:val="24"/>
          <w:szCs w:val="24"/>
          <w:lang w:eastAsia="da-DK"/>
        </w:rPr>
      </w:pPr>
      <w:r>
        <w:rPr>
          <w:i/>
          <w:sz w:val="24"/>
          <w:szCs w:val="24"/>
          <w:lang w:eastAsia="da-DK"/>
        </w:rPr>
        <w:t>CYP3A4-hæmmere</w:t>
      </w:r>
    </w:p>
    <w:p w:rsidR="00973CD2" w:rsidRPr="00794FBB" w:rsidRDefault="00973CD2" w:rsidP="00973CD2">
      <w:pPr>
        <w:tabs>
          <w:tab w:val="left" w:pos="851"/>
        </w:tabs>
        <w:autoSpaceDE w:val="0"/>
        <w:autoSpaceDN w:val="0"/>
        <w:adjustRightInd w:val="0"/>
        <w:ind w:left="851"/>
        <w:rPr>
          <w:sz w:val="24"/>
          <w:szCs w:val="24"/>
          <w:lang w:eastAsia="da-DK"/>
        </w:rPr>
      </w:pPr>
      <w:proofErr w:type="spellStart"/>
      <w:r w:rsidRPr="00794FBB">
        <w:rPr>
          <w:sz w:val="24"/>
          <w:szCs w:val="24"/>
          <w:lang w:eastAsia="da-DK"/>
        </w:rPr>
        <w:t>Methadon</w:t>
      </w:r>
      <w:proofErr w:type="spellEnd"/>
      <w:r w:rsidRPr="00794FBB">
        <w:rPr>
          <w:sz w:val="24"/>
          <w:szCs w:val="24"/>
          <w:lang w:eastAsia="da-DK"/>
        </w:rPr>
        <w:t xml:space="preserve"> er et substrat for CYP3A4 (se pkt. 5.2). CYP3A4-hæmning reducerer eliminationen af </w:t>
      </w:r>
      <w:proofErr w:type="spellStart"/>
      <w:r w:rsidRPr="00794FBB">
        <w:rPr>
          <w:sz w:val="24"/>
          <w:szCs w:val="24"/>
          <w:lang w:eastAsia="da-DK"/>
        </w:rPr>
        <w:t>methadon</w:t>
      </w:r>
      <w:proofErr w:type="spellEnd"/>
      <w:r w:rsidRPr="00794FBB">
        <w:rPr>
          <w:sz w:val="24"/>
          <w:szCs w:val="24"/>
          <w:lang w:eastAsia="da-DK"/>
        </w:rPr>
        <w:t xml:space="preserve">. Samtidig administration af CYP3A4-hæmmere (f.eks. </w:t>
      </w:r>
      <w:proofErr w:type="spellStart"/>
      <w:r w:rsidRPr="00794FBB">
        <w:rPr>
          <w:sz w:val="24"/>
          <w:szCs w:val="24"/>
          <w:lang w:eastAsia="da-DK"/>
        </w:rPr>
        <w:t>cannabinoider</w:t>
      </w:r>
      <w:proofErr w:type="spellEnd"/>
      <w:r w:rsidRPr="00794FBB">
        <w:rPr>
          <w:sz w:val="24"/>
          <w:szCs w:val="24"/>
          <w:lang w:eastAsia="da-DK"/>
        </w:rPr>
        <w:t xml:space="preserve">, </w:t>
      </w:r>
      <w:proofErr w:type="spellStart"/>
      <w:r w:rsidRPr="00794FBB">
        <w:rPr>
          <w:sz w:val="24"/>
          <w:szCs w:val="24"/>
          <w:lang w:eastAsia="da-DK"/>
        </w:rPr>
        <w:t>clarithromycin</w:t>
      </w:r>
      <w:proofErr w:type="spellEnd"/>
      <w:r w:rsidRPr="00794FBB">
        <w:rPr>
          <w:sz w:val="24"/>
          <w:szCs w:val="24"/>
          <w:lang w:eastAsia="da-DK"/>
        </w:rPr>
        <w:t xml:space="preserve">, </w:t>
      </w:r>
      <w:proofErr w:type="spellStart"/>
      <w:r w:rsidRPr="00794FBB">
        <w:rPr>
          <w:sz w:val="24"/>
          <w:szCs w:val="24"/>
          <w:lang w:eastAsia="da-DK"/>
        </w:rPr>
        <w:t>delavirdin</w:t>
      </w:r>
      <w:proofErr w:type="spellEnd"/>
      <w:r w:rsidRPr="00794FBB">
        <w:rPr>
          <w:sz w:val="24"/>
          <w:szCs w:val="24"/>
          <w:lang w:eastAsia="da-DK"/>
        </w:rPr>
        <w:t xml:space="preserve">, </w:t>
      </w:r>
      <w:proofErr w:type="spellStart"/>
      <w:r w:rsidRPr="00794FBB">
        <w:rPr>
          <w:sz w:val="24"/>
          <w:szCs w:val="24"/>
          <w:lang w:eastAsia="da-DK"/>
        </w:rPr>
        <w:t>erythromycin</w:t>
      </w:r>
      <w:proofErr w:type="spellEnd"/>
      <w:r w:rsidRPr="00794FBB">
        <w:rPr>
          <w:sz w:val="24"/>
          <w:szCs w:val="24"/>
          <w:lang w:eastAsia="da-DK"/>
        </w:rPr>
        <w:t xml:space="preserve">, </w:t>
      </w:r>
      <w:proofErr w:type="spellStart"/>
      <w:r w:rsidRPr="00794FBB">
        <w:rPr>
          <w:sz w:val="24"/>
          <w:szCs w:val="24"/>
          <w:lang w:eastAsia="da-DK"/>
        </w:rPr>
        <w:t>fluconazol</w:t>
      </w:r>
      <w:proofErr w:type="spellEnd"/>
      <w:r w:rsidRPr="00794FBB">
        <w:rPr>
          <w:sz w:val="24"/>
          <w:szCs w:val="24"/>
          <w:lang w:eastAsia="da-DK"/>
        </w:rPr>
        <w:t xml:space="preserve">, </w:t>
      </w:r>
      <w:proofErr w:type="spellStart"/>
      <w:r w:rsidRPr="00794FBB">
        <w:rPr>
          <w:sz w:val="24"/>
          <w:szCs w:val="24"/>
          <w:lang w:eastAsia="da-DK"/>
        </w:rPr>
        <w:t>fluvoxamin</w:t>
      </w:r>
      <w:proofErr w:type="spellEnd"/>
      <w:r w:rsidRPr="00794FBB">
        <w:rPr>
          <w:sz w:val="24"/>
          <w:szCs w:val="24"/>
          <w:lang w:eastAsia="da-DK"/>
        </w:rPr>
        <w:t xml:space="preserve">, grapefrugtjuice, </w:t>
      </w:r>
      <w:proofErr w:type="spellStart"/>
      <w:r w:rsidRPr="00794FBB">
        <w:rPr>
          <w:sz w:val="24"/>
          <w:szCs w:val="24"/>
          <w:lang w:eastAsia="da-DK"/>
        </w:rPr>
        <w:t>itraconazol</w:t>
      </w:r>
      <w:proofErr w:type="spellEnd"/>
      <w:r w:rsidRPr="00794FBB">
        <w:rPr>
          <w:sz w:val="24"/>
          <w:szCs w:val="24"/>
          <w:lang w:eastAsia="da-DK"/>
        </w:rPr>
        <w:t xml:space="preserve">, </w:t>
      </w:r>
      <w:proofErr w:type="spellStart"/>
      <w:r w:rsidRPr="00794FBB">
        <w:rPr>
          <w:sz w:val="24"/>
          <w:szCs w:val="24"/>
          <w:lang w:eastAsia="da-DK"/>
        </w:rPr>
        <w:t>ketoconazol</w:t>
      </w:r>
      <w:proofErr w:type="spellEnd"/>
      <w:r w:rsidRPr="00794FBB">
        <w:rPr>
          <w:sz w:val="24"/>
          <w:szCs w:val="24"/>
          <w:lang w:eastAsia="da-DK"/>
        </w:rPr>
        <w:t xml:space="preserve">, </w:t>
      </w:r>
      <w:proofErr w:type="spellStart"/>
      <w:r w:rsidRPr="00794FBB">
        <w:rPr>
          <w:sz w:val="24"/>
          <w:szCs w:val="24"/>
          <w:lang w:eastAsia="da-DK"/>
        </w:rPr>
        <w:t>fluvoxamin</w:t>
      </w:r>
      <w:proofErr w:type="spellEnd"/>
      <w:r w:rsidRPr="00794FBB">
        <w:rPr>
          <w:sz w:val="24"/>
          <w:szCs w:val="24"/>
          <w:lang w:eastAsia="da-DK"/>
        </w:rPr>
        <w:t xml:space="preserve">, </w:t>
      </w:r>
      <w:proofErr w:type="spellStart"/>
      <w:r w:rsidRPr="00794FBB">
        <w:rPr>
          <w:sz w:val="24"/>
          <w:szCs w:val="24"/>
          <w:lang w:eastAsia="da-DK"/>
        </w:rPr>
        <w:t>cimetidin</w:t>
      </w:r>
      <w:proofErr w:type="spellEnd"/>
      <w:r w:rsidRPr="00794FBB">
        <w:rPr>
          <w:sz w:val="24"/>
          <w:szCs w:val="24"/>
          <w:lang w:eastAsia="da-DK"/>
        </w:rPr>
        <w:t xml:space="preserve">, </w:t>
      </w:r>
      <w:proofErr w:type="spellStart"/>
      <w:r w:rsidRPr="00794FBB">
        <w:rPr>
          <w:sz w:val="24"/>
          <w:szCs w:val="24"/>
          <w:lang w:eastAsia="da-DK"/>
        </w:rPr>
        <w:t>nefazodon</w:t>
      </w:r>
      <w:proofErr w:type="spellEnd"/>
      <w:r w:rsidRPr="00794FBB">
        <w:rPr>
          <w:sz w:val="24"/>
          <w:szCs w:val="24"/>
          <w:lang w:eastAsia="da-DK"/>
        </w:rPr>
        <w:t xml:space="preserve"> og </w:t>
      </w:r>
      <w:proofErr w:type="spellStart"/>
      <w:r w:rsidRPr="00794FBB">
        <w:rPr>
          <w:sz w:val="24"/>
          <w:szCs w:val="24"/>
          <w:lang w:eastAsia="da-DK"/>
        </w:rPr>
        <w:t>telitromycin</w:t>
      </w:r>
      <w:proofErr w:type="spellEnd"/>
      <w:r w:rsidRPr="00794FBB">
        <w:rPr>
          <w:sz w:val="24"/>
          <w:szCs w:val="24"/>
          <w:lang w:eastAsia="da-DK"/>
        </w:rPr>
        <w:t xml:space="preserve">) kan øge plasmakoncentrationen af </w:t>
      </w:r>
      <w:proofErr w:type="spellStart"/>
      <w:r w:rsidRPr="00794FBB">
        <w:rPr>
          <w:sz w:val="24"/>
          <w:szCs w:val="24"/>
          <w:lang w:eastAsia="da-DK"/>
        </w:rPr>
        <w:t>methadon</w:t>
      </w:r>
      <w:proofErr w:type="spellEnd"/>
      <w:r w:rsidRPr="00794FBB">
        <w:rPr>
          <w:sz w:val="24"/>
          <w:szCs w:val="24"/>
          <w:lang w:eastAsia="da-DK"/>
        </w:rPr>
        <w:t xml:space="preserve">. Hvis sådanne lægemidler ordineres til patienter i vedligeholdelsesbehandling med </w:t>
      </w:r>
      <w:proofErr w:type="spellStart"/>
      <w:r w:rsidRPr="00794FBB">
        <w:rPr>
          <w:sz w:val="24"/>
          <w:szCs w:val="24"/>
          <w:lang w:eastAsia="da-DK"/>
        </w:rPr>
        <w:t>methadon</w:t>
      </w:r>
      <w:proofErr w:type="spellEnd"/>
      <w:r w:rsidRPr="00794FBB">
        <w:rPr>
          <w:sz w:val="24"/>
          <w:szCs w:val="24"/>
          <w:lang w:eastAsia="da-DK"/>
        </w:rPr>
        <w:t>, skal der tages højde for risikoen for overdosering.</w:t>
      </w:r>
    </w:p>
    <w:p w:rsidR="00973CD2" w:rsidRPr="00794FBB" w:rsidRDefault="00973CD2" w:rsidP="00973CD2">
      <w:pPr>
        <w:tabs>
          <w:tab w:val="left" w:pos="851"/>
        </w:tabs>
        <w:autoSpaceDE w:val="0"/>
        <w:autoSpaceDN w:val="0"/>
        <w:adjustRightInd w:val="0"/>
        <w:ind w:left="851"/>
        <w:rPr>
          <w:sz w:val="24"/>
          <w:szCs w:val="24"/>
          <w:lang w:eastAsia="da-DK"/>
        </w:rPr>
      </w:pPr>
    </w:p>
    <w:p w:rsidR="00973CD2" w:rsidRPr="00794FBB" w:rsidRDefault="00973CD2" w:rsidP="00973CD2">
      <w:pPr>
        <w:tabs>
          <w:tab w:val="left" w:pos="851"/>
        </w:tabs>
        <w:autoSpaceDE w:val="0"/>
        <w:autoSpaceDN w:val="0"/>
        <w:adjustRightInd w:val="0"/>
        <w:ind w:left="851"/>
        <w:rPr>
          <w:sz w:val="24"/>
          <w:szCs w:val="24"/>
          <w:lang w:eastAsia="da-DK"/>
        </w:rPr>
      </w:pPr>
      <w:proofErr w:type="spellStart"/>
      <w:r w:rsidRPr="00794FBB">
        <w:rPr>
          <w:sz w:val="24"/>
          <w:szCs w:val="24"/>
          <w:lang w:eastAsia="da-DK"/>
        </w:rPr>
        <w:t>Fluoxetin</w:t>
      </w:r>
      <w:proofErr w:type="spellEnd"/>
      <w:r w:rsidRPr="00794FBB">
        <w:rPr>
          <w:sz w:val="24"/>
          <w:szCs w:val="24"/>
          <w:lang w:eastAsia="da-DK"/>
        </w:rPr>
        <w:t xml:space="preserve"> øger koncentrationen af R-</w:t>
      </w:r>
      <w:proofErr w:type="spellStart"/>
      <w:r w:rsidRPr="00794FBB">
        <w:rPr>
          <w:sz w:val="24"/>
          <w:szCs w:val="24"/>
          <w:lang w:eastAsia="da-DK"/>
        </w:rPr>
        <w:t>methadon</w:t>
      </w:r>
      <w:proofErr w:type="spellEnd"/>
      <w:r w:rsidRPr="00794FBB">
        <w:rPr>
          <w:sz w:val="24"/>
          <w:szCs w:val="24"/>
          <w:lang w:eastAsia="da-DK"/>
        </w:rPr>
        <w:t xml:space="preserve"> som følge af CYP2D6-hæmning.</w:t>
      </w:r>
    </w:p>
    <w:p w:rsidR="00973CD2" w:rsidRPr="00794FBB" w:rsidRDefault="00973CD2" w:rsidP="00973CD2">
      <w:pPr>
        <w:tabs>
          <w:tab w:val="left" w:pos="851"/>
        </w:tabs>
        <w:autoSpaceDE w:val="0"/>
        <w:autoSpaceDN w:val="0"/>
        <w:adjustRightInd w:val="0"/>
        <w:ind w:left="851"/>
        <w:rPr>
          <w:sz w:val="24"/>
          <w:szCs w:val="24"/>
          <w:lang w:eastAsia="da-DK"/>
        </w:rPr>
      </w:pPr>
    </w:p>
    <w:p w:rsidR="00973CD2" w:rsidRDefault="00973CD2" w:rsidP="00973CD2">
      <w:pPr>
        <w:tabs>
          <w:tab w:val="left" w:pos="851"/>
        </w:tabs>
        <w:autoSpaceDE w:val="0"/>
        <w:autoSpaceDN w:val="0"/>
        <w:adjustRightInd w:val="0"/>
        <w:ind w:left="851"/>
        <w:rPr>
          <w:i/>
          <w:sz w:val="24"/>
          <w:szCs w:val="24"/>
          <w:lang w:eastAsia="da-DK"/>
        </w:rPr>
      </w:pPr>
      <w:r w:rsidRPr="00794FBB">
        <w:rPr>
          <w:i/>
          <w:sz w:val="24"/>
          <w:szCs w:val="24"/>
          <w:lang w:eastAsia="da-DK"/>
        </w:rPr>
        <w:t>Lægemidler, d</w:t>
      </w:r>
      <w:r>
        <w:rPr>
          <w:i/>
          <w:sz w:val="24"/>
          <w:szCs w:val="24"/>
          <w:lang w:eastAsia="da-DK"/>
        </w:rPr>
        <w:t>er påvirker urinens surhedsgrad</w:t>
      </w:r>
    </w:p>
    <w:p w:rsidR="00973CD2" w:rsidRPr="00794FBB" w:rsidRDefault="00973CD2" w:rsidP="00973CD2">
      <w:pPr>
        <w:tabs>
          <w:tab w:val="left" w:pos="851"/>
        </w:tabs>
        <w:autoSpaceDE w:val="0"/>
        <w:autoSpaceDN w:val="0"/>
        <w:adjustRightInd w:val="0"/>
        <w:ind w:left="851"/>
        <w:rPr>
          <w:i/>
          <w:iCs/>
          <w:sz w:val="24"/>
          <w:szCs w:val="24"/>
          <w:lang w:eastAsia="da-DK"/>
        </w:rPr>
      </w:pPr>
      <w:proofErr w:type="spellStart"/>
      <w:r w:rsidRPr="00794FBB">
        <w:rPr>
          <w:sz w:val="24"/>
          <w:szCs w:val="24"/>
          <w:lang w:eastAsia="da-DK"/>
        </w:rPr>
        <w:t>Methadon</w:t>
      </w:r>
      <w:proofErr w:type="spellEnd"/>
      <w:r w:rsidRPr="00794FBB">
        <w:rPr>
          <w:sz w:val="24"/>
          <w:szCs w:val="24"/>
          <w:lang w:eastAsia="da-DK"/>
        </w:rPr>
        <w:t xml:space="preserve"> er en svag base. Stoffer, der øger urinens surhedsgrad (såsom </w:t>
      </w:r>
      <w:proofErr w:type="spellStart"/>
      <w:r w:rsidRPr="00794FBB">
        <w:rPr>
          <w:sz w:val="24"/>
          <w:szCs w:val="24"/>
          <w:lang w:eastAsia="da-DK"/>
        </w:rPr>
        <w:t>ammoniumchlorid</w:t>
      </w:r>
      <w:proofErr w:type="spellEnd"/>
      <w:r w:rsidRPr="00794FBB">
        <w:rPr>
          <w:sz w:val="24"/>
          <w:szCs w:val="24"/>
          <w:lang w:eastAsia="da-DK"/>
        </w:rPr>
        <w:t xml:space="preserve"> og </w:t>
      </w:r>
      <w:proofErr w:type="spellStart"/>
      <w:r w:rsidRPr="00794FBB">
        <w:rPr>
          <w:sz w:val="24"/>
          <w:szCs w:val="24"/>
          <w:lang w:eastAsia="da-DK"/>
        </w:rPr>
        <w:t>ascorbinsyre</w:t>
      </w:r>
      <w:proofErr w:type="spellEnd"/>
      <w:r w:rsidRPr="00794FBB">
        <w:rPr>
          <w:sz w:val="24"/>
          <w:szCs w:val="24"/>
          <w:lang w:eastAsia="da-DK"/>
        </w:rPr>
        <w:t xml:space="preserve">), kan øge den </w:t>
      </w:r>
      <w:proofErr w:type="spellStart"/>
      <w:r w:rsidRPr="00794FBB">
        <w:rPr>
          <w:sz w:val="24"/>
          <w:szCs w:val="24"/>
          <w:lang w:eastAsia="da-DK"/>
        </w:rPr>
        <w:t>renale</w:t>
      </w:r>
      <w:proofErr w:type="spellEnd"/>
      <w:r w:rsidRPr="00794FBB">
        <w:rPr>
          <w:sz w:val="24"/>
          <w:szCs w:val="24"/>
          <w:lang w:eastAsia="da-DK"/>
        </w:rPr>
        <w:t xml:space="preserve"> </w:t>
      </w:r>
      <w:proofErr w:type="spellStart"/>
      <w:r w:rsidRPr="00794FBB">
        <w:rPr>
          <w:sz w:val="24"/>
          <w:szCs w:val="24"/>
          <w:lang w:eastAsia="da-DK"/>
        </w:rPr>
        <w:t>clearance</w:t>
      </w:r>
      <w:proofErr w:type="spellEnd"/>
      <w:r w:rsidRPr="00794FBB">
        <w:rPr>
          <w:sz w:val="24"/>
          <w:szCs w:val="24"/>
          <w:lang w:eastAsia="da-DK"/>
        </w:rPr>
        <w:t xml:space="preserve"> af </w:t>
      </w:r>
      <w:proofErr w:type="spellStart"/>
      <w:r w:rsidRPr="00794FBB">
        <w:rPr>
          <w:sz w:val="24"/>
          <w:szCs w:val="24"/>
          <w:lang w:eastAsia="da-DK"/>
        </w:rPr>
        <w:t>methadon</w:t>
      </w:r>
      <w:proofErr w:type="spellEnd"/>
      <w:r w:rsidRPr="00794FBB">
        <w:rPr>
          <w:sz w:val="24"/>
          <w:szCs w:val="24"/>
          <w:lang w:eastAsia="da-DK"/>
        </w:rPr>
        <w:t xml:space="preserve">. Patienter i behandling med </w:t>
      </w:r>
      <w:proofErr w:type="spellStart"/>
      <w:r w:rsidRPr="00794FBB">
        <w:rPr>
          <w:sz w:val="24"/>
          <w:szCs w:val="24"/>
          <w:lang w:eastAsia="da-DK"/>
        </w:rPr>
        <w:t>methadon</w:t>
      </w:r>
      <w:proofErr w:type="spellEnd"/>
      <w:r w:rsidRPr="00794FBB">
        <w:rPr>
          <w:sz w:val="24"/>
          <w:szCs w:val="24"/>
          <w:lang w:eastAsia="da-DK"/>
        </w:rPr>
        <w:t xml:space="preserve"> bør rådes til at undgå produkter indeholdende </w:t>
      </w:r>
      <w:proofErr w:type="spellStart"/>
      <w:r w:rsidRPr="00794FBB">
        <w:rPr>
          <w:sz w:val="24"/>
          <w:szCs w:val="24"/>
          <w:lang w:eastAsia="da-DK"/>
        </w:rPr>
        <w:t>ammoniumchlorid</w:t>
      </w:r>
      <w:proofErr w:type="spellEnd"/>
      <w:r w:rsidRPr="00794FBB">
        <w:rPr>
          <w:sz w:val="24"/>
          <w:szCs w:val="24"/>
          <w:lang w:eastAsia="da-DK"/>
        </w:rPr>
        <w:t xml:space="preserve"> (salmiak). </w:t>
      </w:r>
    </w:p>
    <w:p w:rsidR="00973CD2" w:rsidRPr="00794FBB" w:rsidRDefault="00973CD2" w:rsidP="00973CD2">
      <w:pPr>
        <w:tabs>
          <w:tab w:val="left" w:pos="851"/>
        </w:tabs>
        <w:autoSpaceDE w:val="0"/>
        <w:autoSpaceDN w:val="0"/>
        <w:adjustRightInd w:val="0"/>
        <w:ind w:left="851"/>
        <w:rPr>
          <w:sz w:val="24"/>
          <w:szCs w:val="24"/>
          <w:lang w:eastAsia="da-DK"/>
        </w:rPr>
      </w:pPr>
    </w:p>
    <w:p w:rsidR="00973CD2" w:rsidRDefault="00973CD2" w:rsidP="00973CD2">
      <w:pPr>
        <w:tabs>
          <w:tab w:val="left" w:pos="851"/>
        </w:tabs>
        <w:autoSpaceDE w:val="0"/>
        <w:autoSpaceDN w:val="0"/>
        <w:adjustRightInd w:val="0"/>
        <w:ind w:left="851"/>
        <w:rPr>
          <w:i/>
          <w:sz w:val="24"/>
          <w:szCs w:val="24"/>
          <w:lang w:eastAsia="da-DK"/>
        </w:rPr>
      </w:pPr>
      <w:r w:rsidRPr="00794FBB">
        <w:rPr>
          <w:i/>
          <w:sz w:val="24"/>
          <w:szCs w:val="24"/>
          <w:lang w:eastAsia="da-DK"/>
        </w:rPr>
        <w:t>Samti</w:t>
      </w:r>
      <w:r>
        <w:rPr>
          <w:i/>
          <w:sz w:val="24"/>
          <w:szCs w:val="24"/>
          <w:lang w:eastAsia="da-DK"/>
        </w:rPr>
        <w:t>dig behandling af hiv-infektion</w:t>
      </w:r>
    </w:p>
    <w:p w:rsidR="00973CD2" w:rsidRPr="00794FBB" w:rsidRDefault="00973CD2" w:rsidP="00973CD2">
      <w:pPr>
        <w:tabs>
          <w:tab w:val="left" w:pos="851"/>
        </w:tabs>
        <w:autoSpaceDE w:val="0"/>
        <w:autoSpaceDN w:val="0"/>
        <w:adjustRightInd w:val="0"/>
        <w:ind w:left="851"/>
        <w:rPr>
          <w:sz w:val="24"/>
          <w:szCs w:val="24"/>
          <w:lang w:eastAsia="da-DK"/>
        </w:rPr>
      </w:pPr>
      <w:r w:rsidRPr="00794FBB">
        <w:rPr>
          <w:sz w:val="24"/>
          <w:szCs w:val="24"/>
          <w:lang w:eastAsia="da-DK"/>
        </w:rPr>
        <w:t xml:space="preserve">Visse </w:t>
      </w:r>
      <w:proofErr w:type="spellStart"/>
      <w:r w:rsidRPr="00794FBB">
        <w:rPr>
          <w:sz w:val="24"/>
          <w:szCs w:val="24"/>
          <w:lang w:eastAsia="da-DK"/>
        </w:rPr>
        <w:t>proteasehæmmere</w:t>
      </w:r>
      <w:proofErr w:type="spellEnd"/>
      <w:r w:rsidRPr="00794FBB">
        <w:rPr>
          <w:sz w:val="24"/>
          <w:szCs w:val="24"/>
          <w:lang w:eastAsia="da-DK"/>
        </w:rPr>
        <w:t xml:space="preserve"> (</w:t>
      </w:r>
      <w:proofErr w:type="spellStart"/>
      <w:r w:rsidRPr="00794FBB">
        <w:rPr>
          <w:sz w:val="24"/>
          <w:szCs w:val="24"/>
          <w:lang w:eastAsia="da-DK"/>
        </w:rPr>
        <w:t>amprenavir</w:t>
      </w:r>
      <w:proofErr w:type="spellEnd"/>
      <w:r w:rsidRPr="00794FBB">
        <w:rPr>
          <w:sz w:val="24"/>
          <w:szCs w:val="24"/>
          <w:lang w:eastAsia="da-DK"/>
        </w:rPr>
        <w:t xml:space="preserve">, </w:t>
      </w:r>
      <w:proofErr w:type="spellStart"/>
      <w:r w:rsidRPr="00794FBB">
        <w:rPr>
          <w:sz w:val="24"/>
          <w:szCs w:val="24"/>
          <w:lang w:eastAsia="da-DK"/>
        </w:rPr>
        <w:t>nelfinavir</w:t>
      </w:r>
      <w:proofErr w:type="spellEnd"/>
      <w:r w:rsidRPr="00794FBB">
        <w:rPr>
          <w:sz w:val="24"/>
          <w:szCs w:val="24"/>
          <w:lang w:eastAsia="da-DK"/>
        </w:rPr>
        <w:t xml:space="preserve">, </w:t>
      </w:r>
      <w:proofErr w:type="spellStart"/>
      <w:r w:rsidRPr="00794FBB">
        <w:rPr>
          <w:sz w:val="24"/>
          <w:szCs w:val="24"/>
          <w:lang w:eastAsia="da-DK"/>
        </w:rPr>
        <w:t>lopinavir</w:t>
      </w:r>
      <w:proofErr w:type="spellEnd"/>
      <w:r w:rsidRPr="00794FBB">
        <w:rPr>
          <w:sz w:val="24"/>
          <w:szCs w:val="24"/>
          <w:lang w:eastAsia="da-DK"/>
        </w:rPr>
        <w:t>/</w:t>
      </w:r>
      <w:proofErr w:type="spellStart"/>
      <w:r w:rsidRPr="00794FBB">
        <w:rPr>
          <w:sz w:val="24"/>
          <w:szCs w:val="24"/>
          <w:lang w:eastAsia="da-DK"/>
        </w:rPr>
        <w:t>ritonavir</w:t>
      </w:r>
      <w:proofErr w:type="spellEnd"/>
      <w:r w:rsidRPr="00794FBB">
        <w:rPr>
          <w:sz w:val="24"/>
          <w:szCs w:val="24"/>
          <w:lang w:eastAsia="da-DK"/>
        </w:rPr>
        <w:t xml:space="preserve"> og </w:t>
      </w:r>
      <w:proofErr w:type="spellStart"/>
      <w:r w:rsidRPr="00794FBB">
        <w:rPr>
          <w:sz w:val="24"/>
          <w:szCs w:val="24"/>
          <w:lang w:eastAsia="da-DK"/>
        </w:rPr>
        <w:t>ritonavir</w:t>
      </w:r>
      <w:proofErr w:type="spellEnd"/>
      <w:r w:rsidRPr="00794FBB">
        <w:rPr>
          <w:sz w:val="24"/>
          <w:szCs w:val="24"/>
          <w:lang w:eastAsia="da-DK"/>
        </w:rPr>
        <w:t>/</w:t>
      </w:r>
      <w:proofErr w:type="spellStart"/>
      <w:r w:rsidRPr="00794FBB">
        <w:rPr>
          <w:sz w:val="24"/>
          <w:szCs w:val="24"/>
          <w:lang w:eastAsia="da-DK"/>
        </w:rPr>
        <w:t>saquinavir</w:t>
      </w:r>
      <w:proofErr w:type="spellEnd"/>
      <w:r w:rsidRPr="00794FBB">
        <w:rPr>
          <w:sz w:val="24"/>
          <w:szCs w:val="24"/>
          <w:lang w:eastAsia="da-DK"/>
        </w:rPr>
        <w:t xml:space="preserve">) reducerer tilsyneladende serumniveauet af </w:t>
      </w:r>
      <w:proofErr w:type="spellStart"/>
      <w:r w:rsidRPr="00794FBB">
        <w:rPr>
          <w:sz w:val="24"/>
          <w:szCs w:val="24"/>
          <w:lang w:eastAsia="da-DK"/>
        </w:rPr>
        <w:t>methadon</w:t>
      </w:r>
      <w:proofErr w:type="spellEnd"/>
      <w:r w:rsidRPr="00794FBB">
        <w:rPr>
          <w:sz w:val="24"/>
          <w:szCs w:val="24"/>
          <w:lang w:eastAsia="da-DK"/>
        </w:rPr>
        <w:t xml:space="preserve">. Plasmaniveauet af </w:t>
      </w:r>
      <w:proofErr w:type="spellStart"/>
      <w:r w:rsidRPr="00794FBB">
        <w:rPr>
          <w:sz w:val="24"/>
          <w:szCs w:val="24"/>
          <w:lang w:eastAsia="da-DK"/>
        </w:rPr>
        <w:t>zidovudin</w:t>
      </w:r>
      <w:proofErr w:type="spellEnd"/>
      <w:r w:rsidRPr="00794FBB">
        <w:rPr>
          <w:sz w:val="24"/>
          <w:szCs w:val="24"/>
          <w:lang w:eastAsia="da-DK"/>
        </w:rPr>
        <w:t xml:space="preserve"> (en </w:t>
      </w:r>
      <w:proofErr w:type="spellStart"/>
      <w:r w:rsidRPr="00794FBB">
        <w:rPr>
          <w:sz w:val="24"/>
          <w:szCs w:val="24"/>
          <w:lang w:eastAsia="da-DK"/>
        </w:rPr>
        <w:t>nukleosidanalog</w:t>
      </w:r>
      <w:proofErr w:type="spellEnd"/>
      <w:r w:rsidRPr="00794FBB">
        <w:rPr>
          <w:sz w:val="24"/>
          <w:szCs w:val="24"/>
          <w:lang w:eastAsia="da-DK"/>
        </w:rPr>
        <w:t xml:space="preserve">) stiger ved brug af </w:t>
      </w:r>
      <w:proofErr w:type="spellStart"/>
      <w:r w:rsidRPr="00794FBB">
        <w:rPr>
          <w:sz w:val="24"/>
          <w:szCs w:val="24"/>
          <w:lang w:eastAsia="da-DK"/>
        </w:rPr>
        <w:t>methadon</w:t>
      </w:r>
      <w:proofErr w:type="spellEnd"/>
      <w:r w:rsidRPr="00794FBB">
        <w:rPr>
          <w:sz w:val="24"/>
          <w:szCs w:val="24"/>
          <w:lang w:eastAsia="da-DK"/>
        </w:rPr>
        <w:t xml:space="preserve">, både efter oral og intravenøs administration af </w:t>
      </w:r>
      <w:proofErr w:type="spellStart"/>
      <w:r w:rsidRPr="00794FBB">
        <w:rPr>
          <w:sz w:val="24"/>
          <w:szCs w:val="24"/>
          <w:lang w:eastAsia="da-DK"/>
        </w:rPr>
        <w:t>zidovudin</w:t>
      </w:r>
      <w:proofErr w:type="spellEnd"/>
      <w:r w:rsidRPr="00794FBB">
        <w:rPr>
          <w:sz w:val="24"/>
          <w:szCs w:val="24"/>
          <w:lang w:eastAsia="da-DK"/>
        </w:rPr>
        <w:t xml:space="preserve">. Stigningen er mere markant, når </w:t>
      </w:r>
      <w:proofErr w:type="spellStart"/>
      <w:r w:rsidRPr="00794FBB">
        <w:rPr>
          <w:sz w:val="24"/>
          <w:szCs w:val="24"/>
          <w:lang w:eastAsia="da-DK"/>
        </w:rPr>
        <w:t>zidovudin</w:t>
      </w:r>
      <w:proofErr w:type="spellEnd"/>
      <w:r w:rsidRPr="00794FBB">
        <w:rPr>
          <w:sz w:val="24"/>
          <w:szCs w:val="24"/>
          <w:lang w:eastAsia="da-DK"/>
        </w:rPr>
        <w:t xml:space="preserve"> gives oralt, end når det gives intravenøst. Disse observationer skyldes højst sandsynligt hæmning af </w:t>
      </w:r>
      <w:proofErr w:type="spellStart"/>
      <w:r w:rsidRPr="00794FBB">
        <w:rPr>
          <w:sz w:val="24"/>
          <w:szCs w:val="24"/>
          <w:lang w:eastAsia="da-DK"/>
        </w:rPr>
        <w:t>glukuronideringen</w:t>
      </w:r>
      <w:proofErr w:type="spellEnd"/>
      <w:r w:rsidRPr="00794FBB">
        <w:rPr>
          <w:sz w:val="24"/>
          <w:szCs w:val="24"/>
          <w:lang w:eastAsia="da-DK"/>
        </w:rPr>
        <w:t xml:space="preserve"> af </w:t>
      </w:r>
      <w:proofErr w:type="spellStart"/>
      <w:r w:rsidRPr="00794FBB">
        <w:rPr>
          <w:sz w:val="24"/>
          <w:szCs w:val="24"/>
          <w:lang w:eastAsia="da-DK"/>
        </w:rPr>
        <w:t>zidovudin</w:t>
      </w:r>
      <w:proofErr w:type="spellEnd"/>
      <w:r w:rsidRPr="00794FBB">
        <w:rPr>
          <w:sz w:val="24"/>
          <w:szCs w:val="24"/>
          <w:lang w:eastAsia="da-DK"/>
        </w:rPr>
        <w:t xml:space="preserve"> og deraf følgende nedsat elimination af </w:t>
      </w:r>
      <w:proofErr w:type="spellStart"/>
      <w:r w:rsidRPr="00794FBB">
        <w:rPr>
          <w:sz w:val="24"/>
          <w:szCs w:val="24"/>
          <w:lang w:eastAsia="da-DK"/>
        </w:rPr>
        <w:t>zidovudin</w:t>
      </w:r>
      <w:proofErr w:type="spellEnd"/>
      <w:r w:rsidRPr="00794FBB">
        <w:rPr>
          <w:sz w:val="24"/>
          <w:szCs w:val="24"/>
          <w:lang w:eastAsia="da-DK"/>
        </w:rPr>
        <w:t xml:space="preserve">. Under behandlingen med </w:t>
      </w:r>
      <w:proofErr w:type="spellStart"/>
      <w:r w:rsidRPr="00794FBB">
        <w:rPr>
          <w:sz w:val="24"/>
          <w:szCs w:val="24"/>
          <w:lang w:eastAsia="da-DK"/>
        </w:rPr>
        <w:t>methadon</w:t>
      </w:r>
      <w:proofErr w:type="spellEnd"/>
      <w:r w:rsidRPr="00794FBB">
        <w:rPr>
          <w:sz w:val="24"/>
          <w:szCs w:val="24"/>
          <w:lang w:eastAsia="da-DK"/>
        </w:rPr>
        <w:t xml:space="preserve"> skal patienterne monitoreres nøje for tegn på toksiske virkninger af </w:t>
      </w:r>
      <w:proofErr w:type="spellStart"/>
      <w:r w:rsidRPr="00794FBB">
        <w:rPr>
          <w:sz w:val="24"/>
          <w:szCs w:val="24"/>
          <w:lang w:eastAsia="da-DK"/>
        </w:rPr>
        <w:t>zidovudin</w:t>
      </w:r>
      <w:proofErr w:type="spellEnd"/>
      <w:r w:rsidRPr="00794FBB">
        <w:rPr>
          <w:sz w:val="24"/>
          <w:szCs w:val="24"/>
          <w:lang w:eastAsia="da-DK"/>
        </w:rPr>
        <w:t xml:space="preserve">, som potentielt kan nødvendiggøre dosisreduktion af </w:t>
      </w:r>
      <w:proofErr w:type="spellStart"/>
      <w:r w:rsidRPr="00794FBB">
        <w:rPr>
          <w:sz w:val="24"/>
          <w:szCs w:val="24"/>
          <w:lang w:eastAsia="da-DK"/>
        </w:rPr>
        <w:t>zidovudin</w:t>
      </w:r>
      <w:proofErr w:type="spellEnd"/>
      <w:r w:rsidRPr="00794FBB">
        <w:rPr>
          <w:sz w:val="24"/>
          <w:szCs w:val="24"/>
          <w:lang w:eastAsia="da-DK"/>
        </w:rPr>
        <w:t xml:space="preserve">. </w:t>
      </w:r>
    </w:p>
    <w:p w:rsidR="00973CD2" w:rsidRPr="00794FBB" w:rsidRDefault="00973CD2" w:rsidP="00973CD2">
      <w:pPr>
        <w:tabs>
          <w:tab w:val="left" w:pos="851"/>
        </w:tabs>
        <w:autoSpaceDE w:val="0"/>
        <w:autoSpaceDN w:val="0"/>
        <w:adjustRightInd w:val="0"/>
        <w:ind w:left="851"/>
        <w:rPr>
          <w:sz w:val="24"/>
          <w:szCs w:val="24"/>
          <w:lang w:eastAsia="da-DK"/>
        </w:rPr>
      </w:pPr>
    </w:p>
    <w:p w:rsidR="00973CD2" w:rsidRDefault="00973CD2" w:rsidP="00973CD2">
      <w:pPr>
        <w:tabs>
          <w:tab w:val="left" w:pos="851"/>
        </w:tabs>
        <w:autoSpaceDE w:val="0"/>
        <w:autoSpaceDN w:val="0"/>
        <w:adjustRightInd w:val="0"/>
        <w:ind w:left="851"/>
        <w:rPr>
          <w:i/>
          <w:sz w:val="24"/>
          <w:szCs w:val="24"/>
          <w:lang w:eastAsia="da-DK"/>
        </w:rPr>
      </w:pPr>
      <w:proofErr w:type="spellStart"/>
      <w:r w:rsidRPr="00794FBB">
        <w:rPr>
          <w:i/>
          <w:sz w:val="24"/>
          <w:szCs w:val="24"/>
          <w:lang w:eastAsia="da-DK"/>
        </w:rPr>
        <w:t>Didanosin</w:t>
      </w:r>
      <w:proofErr w:type="spellEnd"/>
      <w:r w:rsidRPr="00794FBB">
        <w:rPr>
          <w:i/>
          <w:sz w:val="24"/>
          <w:szCs w:val="24"/>
          <w:lang w:eastAsia="da-DK"/>
        </w:rPr>
        <w:t xml:space="preserve"> og </w:t>
      </w:r>
      <w:proofErr w:type="spellStart"/>
      <w:r w:rsidRPr="00794FBB">
        <w:rPr>
          <w:i/>
          <w:sz w:val="24"/>
          <w:szCs w:val="24"/>
          <w:lang w:eastAsia="da-DK"/>
        </w:rPr>
        <w:t>stavudin</w:t>
      </w:r>
      <w:proofErr w:type="spellEnd"/>
    </w:p>
    <w:p w:rsidR="00973CD2" w:rsidRPr="00794FBB" w:rsidRDefault="00973CD2" w:rsidP="00973CD2">
      <w:pPr>
        <w:tabs>
          <w:tab w:val="left" w:pos="851"/>
        </w:tabs>
        <w:autoSpaceDE w:val="0"/>
        <w:autoSpaceDN w:val="0"/>
        <w:adjustRightInd w:val="0"/>
        <w:ind w:left="851"/>
        <w:rPr>
          <w:sz w:val="24"/>
          <w:szCs w:val="24"/>
          <w:lang w:eastAsia="da-DK"/>
        </w:rPr>
      </w:pPr>
      <w:proofErr w:type="spellStart"/>
      <w:r w:rsidRPr="00794FBB">
        <w:rPr>
          <w:sz w:val="24"/>
          <w:szCs w:val="24"/>
          <w:lang w:eastAsia="da-DK"/>
        </w:rPr>
        <w:t>Methadon</w:t>
      </w:r>
      <w:proofErr w:type="spellEnd"/>
      <w:r w:rsidRPr="00794FBB">
        <w:rPr>
          <w:sz w:val="24"/>
          <w:szCs w:val="24"/>
          <w:lang w:eastAsia="da-DK"/>
        </w:rPr>
        <w:t xml:space="preserve"> forsinker absorptionen og øger </w:t>
      </w:r>
      <w:proofErr w:type="spellStart"/>
      <w:r w:rsidRPr="00794FBB">
        <w:rPr>
          <w:sz w:val="24"/>
          <w:szCs w:val="24"/>
          <w:lang w:eastAsia="da-DK"/>
        </w:rPr>
        <w:t>first</w:t>
      </w:r>
      <w:proofErr w:type="spellEnd"/>
      <w:r w:rsidRPr="00794FBB">
        <w:rPr>
          <w:sz w:val="24"/>
          <w:szCs w:val="24"/>
          <w:lang w:eastAsia="da-DK"/>
        </w:rPr>
        <w:t xml:space="preserve"> </w:t>
      </w:r>
      <w:proofErr w:type="spellStart"/>
      <w:r w:rsidRPr="00794FBB">
        <w:rPr>
          <w:sz w:val="24"/>
          <w:szCs w:val="24"/>
          <w:lang w:eastAsia="da-DK"/>
        </w:rPr>
        <w:t>pass</w:t>
      </w:r>
      <w:proofErr w:type="spellEnd"/>
      <w:r w:rsidRPr="00794FBB">
        <w:rPr>
          <w:sz w:val="24"/>
          <w:szCs w:val="24"/>
          <w:lang w:eastAsia="da-DK"/>
        </w:rPr>
        <w:t xml:space="preserve">-metabolismen af </w:t>
      </w:r>
      <w:proofErr w:type="spellStart"/>
      <w:r w:rsidRPr="00794FBB">
        <w:rPr>
          <w:sz w:val="24"/>
          <w:szCs w:val="24"/>
          <w:lang w:eastAsia="da-DK"/>
        </w:rPr>
        <w:t>stavudin</w:t>
      </w:r>
      <w:proofErr w:type="spellEnd"/>
      <w:r w:rsidRPr="00794FBB">
        <w:rPr>
          <w:sz w:val="24"/>
          <w:szCs w:val="24"/>
          <w:lang w:eastAsia="da-DK"/>
        </w:rPr>
        <w:t xml:space="preserve"> og </w:t>
      </w:r>
      <w:proofErr w:type="spellStart"/>
      <w:r w:rsidRPr="00794FBB">
        <w:rPr>
          <w:sz w:val="24"/>
          <w:szCs w:val="24"/>
          <w:lang w:eastAsia="da-DK"/>
        </w:rPr>
        <w:t>didanosin</w:t>
      </w:r>
      <w:proofErr w:type="spellEnd"/>
      <w:r w:rsidRPr="00794FBB">
        <w:rPr>
          <w:sz w:val="24"/>
          <w:szCs w:val="24"/>
          <w:lang w:eastAsia="da-DK"/>
        </w:rPr>
        <w:t xml:space="preserve">, hvilket resulterer i nedsat biotilgængelighed af </w:t>
      </w:r>
      <w:proofErr w:type="spellStart"/>
      <w:r w:rsidRPr="00794FBB">
        <w:rPr>
          <w:sz w:val="24"/>
          <w:szCs w:val="24"/>
          <w:lang w:eastAsia="da-DK"/>
        </w:rPr>
        <w:t>stavudin</w:t>
      </w:r>
      <w:proofErr w:type="spellEnd"/>
      <w:r w:rsidRPr="00794FBB">
        <w:rPr>
          <w:sz w:val="24"/>
          <w:szCs w:val="24"/>
          <w:lang w:eastAsia="da-DK"/>
        </w:rPr>
        <w:t xml:space="preserve"> og </w:t>
      </w:r>
      <w:proofErr w:type="spellStart"/>
      <w:r w:rsidRPr="00794FBB">
        <w:rPr>
          <w:sz w:val="24"/>
          <w:szCs w:val="24"/>
          <w:lang w:eastAsia="da-DK"/>
        </w:rPr>
        <w:t>didanosin</w:t>
      </w:r>
      <w:proofErr w:type="spellEnd"/>
      <w:r w:rsidRPr="00794FBB">
        <w:rPr>
          <w:sz w:val="24"/>
          <w:szCs w:val="24"/>
          <w:lang w:eastAsia="da-DK"/>
        </w:rPr>
        <w:t xml:space="preserve">. </w:t>
      </w:r>
    </w:p>
    <w:p w:rsidR="00973CD2" w:rsidRPr="00794FBB" w:rsidRDefault="00973CD2" w:rsidP="00973CD2">
      <w:pPr>
        <w:tabs>
          <w:tab w:val="left" w:pos="851"/>
        </w:tabs>
        <w:autoSpaceDE w:val="0"/>
        <w:autoSpaceDN w:val="0"/>
        <w:adjustRightInd w:val="0"/>
        <w:ind w:left="851"/>
        <w:rPr>
          <w:sz w:val="24"/>
          <w:szCs w:val="24"/>
          <w:lang w:eastAsia="da-DK"/>
        </w:rPr>
      </w:pPr>
    </w:p>
    <w:p w:rsidR="00973CD2" w:rsidRPr="00794FBB" w:rsidRDefault="00973CD2" w:rsidP="00973CD2">
      <w:pPr>
        <w:tabs>
          <w:tab w:val="left" w:pos="851"/>
        </w:tabs>
        <w:autoSpaceDE w:val="0"/>
        <w:autoSpaceDN w:val="0"/>
        <w:adjustRightInd w:val="0"/>
        <w:ind w:left="851"/>
        <w:rPr>
          <w:sz w:val="24"/>
          <w:szCs w:val="24"/>
          <w:lang w:eastAsia="da-DK"/>
        </w:rPr>
      </w:pPr>
      <w:proofErr w:type="spellStart"/>
      <w:r w:rsidRPr="00794FBB">
        <w:rPr>
          <w:sz w:val="24"/>
          <w:szCs w:val="24"/>
          <w:lang w:eastAsia="da-DK"/>
        </w:rPr>
        <w:t>Methadon</w:t>
      </w:r>
      <w:proofErr w:type="spellEnd"/>
      <w:r w:rsidRPr="00794FBB">
        <w:rPr>
          <w:sz w:val="24"/>
          <w:szCs w:val="24"/>
          <w:lang w:eastAsia="da-DK"/>
        </w:rPr>
        <w:t xml:space="preserve"> kan fordoble serumniveauet af </w:t>
      </w:r>
      <w:proofErr w:type="spellStart"/>
      <w:r w:rsidRPr="00794FBB">
        <w:rPr>
          <w:sz w:val="24"/>
          <w:szCs w:val="24"/>
          <w:lang w:eastAsia="da-DK"/>
        </w:rPr>
        <w:t>desipramin</w:t>
      </w:r>
      <w:proofErr w:type="spellEnd"/>
      <w:r w:rsidRPr="00794FBB">
        <w:rPr>
          <w:sz w:val="24"/>
          <w:szCs w:val="24"/>
          <w:lang w:eastAsia="da-DK"/>
        </w:rPr>
        <w:t xml:space="preserve">, et CYP2D6-substrat. CYP2D6-hæmning kan resultere i øgede plasmakoncentrationer af samtidigt administrerede lægemidler, der </w:t>
      </w:r>
      <w:proofErr w:type="spellStart"/>
      <w:r w:rsidRPr="00794FBB">
        <w:rPr>
          <w:sz w:val="24"/>
          <w:szCs w:val="24"/>
          <w:lang w:eastAsia="da-DK"/>
        </w:rPr>
        <w:t>metaboliseres</w:t>
      </w:r>
      <w:proofErr w:type="spellEnd"/>
      <w:r w:rsidRPr="00794FBB">
        <w:rPr>
          <w:sz w:val="24"/>
          <w:szCs w:val="24"/>
          <w:lang w:eastAsia="da-DK"/>
        </w:rPr>
        <w:t xml:space="preserve"> via dette enzym. Disse omfatter visse tricykliske </w:t>
      </w:r>
      <w:proofErr w:type="spellStart"/>
      <w:r w:rsidRPr="00794FBB">
        <w:rPr>
          <w:sz w:val="24"/>
          <w:szCs w:val="24"/>
          <w:lang w:eastAsia="da-DK"/>
        </w:rPr>
        <w:t>antidepressiva</w:t>
      </w:r>
      <w:proofErr w:type="spellEnd"/>
      <w:r w:rsidRPr="00794FBB">
        <w:rPr>
          <w:sz w:val="24"/>
          <w:szCs w:val="24"/>
          <w:lang w:eastAsia="da-DK"/>
        </w:rPr>
        <w:t xml:space="preserve"> (f.eks. </w:t>
      </w:r>
      <w:proofErr w:type="spellStart"/>
      <w:r w:rsidRPr="00794FBB">
        <w:rPr>
          <w:sz w:val="24"/>
          <w:szCs w:val="24"/>
          <w:lang w:eastAsia="da-DK"/>
        </w:rPr>
        <w:t>clomipramin</w:t>
      </w:r>
      <w:proofErr w:type="spellEnd"/>
      <w:r w:rsidRPr="00794FBB">
        <w:rPr>
          <w:sz w:val="24"/>
          <w:szCs w:val="24"/>
          <w:lang w:eastAsia="da-DK"/>
        </w:rPr>
        <w:t xml:space="preserve">, </w:t>
      </w:r>
      <w:proofErr w:type="spellStart"/>
      <w:r w:rsidRPr="00794FBB">
        <w:rPr>
          <w:sz w:val="24"/>
          <w:szCs w:val="24"/>
          <w:lang w:eastAsia="da-DK"/>
        </w:rPr>
        <w:t>nortriptylin</w:t>
      </w:r>
      <w:proofErr w:type="spellEnd"/>
      <w:r w:rsidRPr="00794FBB">
        <w:rPr>
          <w:sz w:val="24"/>
          <w:szCs w:val="24"/>
          <w:lang w:eastAsia="da-DK"/>
        </w:rPr>
        <w:t xml:space="preserve"> og </w:t>
      </w:r>
      <w:proofErr w:type="spellStart"/>
      <w:r w:rsidRPr="00794FBB">
        <w:rPr>
          <w:sz w:val="24"/>
          <w:szCs w:val="24"/>
          <w:lang w:eastAsia="da-DK"/>
        </w:rPr>
        <w:t>desipramin</w:t>
      </w:r>
      <w:proofErr w:type="spellEnd"/>
      <w:r w:rsidRPr="00794FBB">
        <w:rPr>
          <w:sz w:val="24"/>
          <w:szCs w:val="24"/>
          <w:lang w:eastAsia="da-DK"/>
        </w:rPr>
        <w:t xml:space="preserve">), </w:t>
      </w:r>
      <w:proofErr w:type="spellStart"/>
      <w:r w:rsidRPr="00794FBB">
        <w:rPr>
          <w:sz w:val="24"/>
          <w:szCs w:val="24"/>
          <w:lang w:eastAsia="da-DK"/>
        </w:rPr>
        <w:t>phentiazin-neuroleptika</w:t>
      </w:r>
      <w:proofErr w:type="spellEnd"/>
      <w:r w:rsidRPr="00794FBB">
        <w:rPr>
          <w:sz w:val="24"/>
          <w:szCs w:val="24"/>
          <w:lang w:eastAsia="da-DK"/>
        </w:rPr>
        <w:t xml:space="preserve"> (f.eks. </w:t>
      </w:r>
      <w:proofErr w:type="spellStart"/>
      <w:r w:rsidRPr="00794FBB">
        <w:rPr>
          <w:sz w:val="24"/>
          <w:szCs w:val="24"/>
          <w:lang w:eastAsia="da-DK"/>
        </w:rPr>
        <w:t>perphenazin</w:t>
      </w:r>
      <w:proofErr w:type="spellEnd"/>
      <w:r w:rsidRPr="00794FBB">
        <w:rPr>
          <w:sz w:val="24"/>
          <w:szCs w:val="24"/>
          <w:lang w:eastAsia="da-DK"/>
        </w:rPr>
        <w:t xml:space="preserve"> og </w:t>
      </w:r>
      <w:proofErr w:type="spellStart"/>
      <w:r w:rsidRPr="00794FBB">
        <w:rPr>
          <w:sz w:val="24"/>
          <w:szCs w:val="24"/>
          <w:lang w:eastAsia="da-DK"/>
        </w:rPr>
        <w:t>thioridazin</w:t>
      </w:r>
      <w:proofErr w:type="spellEnd"/>
      <w:r w:rsidRPr="00794FBB">
        <w:rPr>
          <w:sz w:val="24"/>
          <w:szCs w:val="24"/>
          <w:lang w:eastAsia="da-DK"/>
        </w:rPr>
        <w:t xml:space="preserve">), </w:t>
      </w:r>
      <w:proofErr w:type="spellStart"/>
      <w:r w:rsidRPr="00794FBB">
        <w:rPr>
          <w:sz w:val="24"/>
          <w:szCs w:val="24"/>
          <w:lang w:eastAsia="da-DK"/>
        </w:rPr>
        <w:t>risperidon</w:t>
      </w:r>
      <w:proofErr w:type="spellEnd"/>
      <w:r w:rsidRPr="00794FBB">
        <w:rPr>
          <w:sz w:val="24"/>
          <w:szCs w:val="24"/>
          <w:lang w:eastAsia="da-DK"/>
        </w:rPr>
        <w:t xml:space="preserve">, </w:t>
      </w:r>
      <w:proofErr w:type="spellStart"/>
      <w:r w:rsidRPr="00794FBB">
        <w:rPr>
          <w:sz w:val="24"/>
          <w:szCs w:val="24"/>
          <w:lang w:eastAsia="da-DK"/>
        </w:rPr>
        <w:t>atomoxetin</w:t>
      </w:r>
      <w:proofErr w:type="spellEnd"/>
      <w:r w:rsidRPr="00794FBB">
        <w:rPr>
          <w:sz w:val="24"/>
          <w:szCs w:val="24"/>
          <w:lang w:eastAsia="da-DK"/>
        </w:rPr>
        <w:t xml:space="preserve">, visse type 1c-antiarytmika (f.eks. </w:t>
      </w:r>
      <w:proofErr w:type="spellStart"/>
      <w:r w:rsidRPr="00794FBB">
        <w:rPr>
          <w:sz w:val="24"/>
          <w:szCs w:val="24"/>
          <w:lang w:eastAsia="da-DK"/>
        </w:rPr>
        <w:t>propafenon</w:t>
      </w:r>
      <w:proofErr w:type="spellEnd"/>
      <w:r w:rsidRPr="00794FBB">
        <w:rPr>
          <w:sz w:val="24"/>
          <w:szCs w:val="24"/>
          <w:lang w:eastAsia="da-DK"/>
        </w:rPr>
        <w:t xml:space="preserve"> og </w:t>
      </w:r>
      <w:proofErr w:type="spellStart"/>
      <w:r w:rsidRPr="00794FBB">
        <w:rPr>
          <w:sz w:val="24"/>
          <w:szCs w:val="24"/>
          <w:lang w:eastAsia="da-DK"/>
        </w:rPr>
        <w:t>flecainid</w:t>
      </w:r>
      <w:proofErr w:type="spellEnd"/>
      <w:r w:rsidRPr="00794FBB">
        <w:rPr>
          <w:sz w:val="24"/>
          <w:szCs w:val="24"/>
          <w:lang w:eastAsia="da-DK"/>
        </w:rPr>
        <w:t xml:space="preserve">) og </w:t>
      </w:r>
      <w:proofErr w:type="spellStart"/>
      <w:r w:rsidRPr="00794FBB">
        <w:rPr>
          <w:sz w:val="24"/>
          <w:szCs w:val="24"/>
          <w:lang w:eastAsia="da-DK"/>
        </w:rPr>
        <w:t>metoprolol</w:t>
      </w:r>
      <w:proofErr w:type="spellEnd"/>
      <w:r w:rsidRPr="00794FBB">
        <w:rPr>
          <w:sz w:val="24"/>
          <w:szCs w:val="24"/>
          <w:lang w:eastAsia="da-DK"/>
        </w:rPr>
        <w:t xml:space="preserve">. </w:t>
      </w:r>
      <w:proofErr w:type="spellStart"/>
      <w:r w:rsidRPr="00794FBB">
        <w:rPr>
          <w:sz w:val="24"/>
          <w:szCs w:val="24"/>
          <w:lang w:eastAsia="da-DK"/>
        </w:rPr>
        <w:t>Tamoxifen</w:t>
      </w:r>
      <w:proofErr w:type="spellEnd"/>
      <w:r w:rsidRPr="00794FBB">
        <w:rPr>
          <w:sz w:val="24"/>
          <w:szCs w:val="24"/>
          <w:lang w:eastAsia="da-DK"/>
        </w:rPr>
        <w:t xml:space="preserve"> er </w:t>
      </w:r>
      <w:proofErr w:type="gramStart"/>
      <w:r w:rsidRPr="00794FBB">
        <w:rPr>
          <w:sz w:val="24"/>
          <w:szCs w:val="24"/>
          <w:lang w:eastAsia="da-DK"/>
        </w:rPr>
        <w:t>et prodrug</w:t>
      </w:r>
      <w:proofErr w:type="gramEnd"/>
      <w:r w:rsidRPr="00794FBB">
        <w:rPr>
          <w:sz w:val="24"/>
          <w:szCs w:val="24"/>
          <w:lang w:eastAsia="da-DK"/>
        </w:rPr>
        <w:t xml:space="preserve">, der kræver metabolisk aktivering via CYPD6. </w:t>
      </w:r>
      <w:proofErr w:type="spellStart"/>
      <w:r w:rsidRPr="00794FBB">
        <w:rPr>
          <w:sz w:val="24"/>
          <w:szCs w:val="24"/>
          <w:lang w:eastAsia="da-DK"/>
        </w:rPr>
        <w:t>Tamoxifen</w:t>
      </w:r>
      <w:proofErr w:type="spellEnd"/>
      <w:r w:rsidRPr="00794FBB">
        <w:rPr>
          <w:sz w:val="24"/>
          <w:szCs w:val="24"/>
          <w:lang w:eastAsia="da-DK"/>
        </w:rPr>
        <w:t xml:space="preserve"> har en vigtig aktiv metabolit, </w:t>
      </w:r>
      <w:proofErr w:type="spellStart"/>
      <w:r w:rsidRPr="00794FBB">
        <w:rPr>
          <w:sz w:val="24"/>
          <w:szCs w:val="24"/>
          <w:lang w:eastAsia="da-DK"/>
        </w:rPr>
        <w:t>endoxifen</w:t>
      </w:r>
      <w:proofErr w:type="spellEnd"/>
      <w:r w:rsidRPr="00794FBB">
        <w:rPr>
          <w:sz w:val="24"/>
          <w:szCs w:val="24"/>
          <w:lang w:eastAsia="da-DK"/>
        </w:rPr>
        <w:t xml:space="preserve">, </w:t>
      </w:r>
      <w:r w:rsidRPr="00794FBB">
        <w:rPr>
          <w:sz w:val="24"/>
          <w:szCs w:val="24"/>
          <w:lang w:eastAsia="da-DK"/>
        </w:rPr>
        <w:lastRenderedPageBreak/>
        <w:t xml:space="preserve">som dannes via CYP2D6, og som bidrager væsentligt til </w:t>
      </w:r>
      <w:proofErr w:type="spellStart"/>
      <w:r w:rsidRPr="00794FBB">
        <w:rPr>
          <w:sz w:val="24"/>
          <w:szCs w:val="24"/>
          <w:lang w:eastAsia="da-DK"/>
        </w:rPr>
        <w:t>tamoxifens</w:t>
      </w:r>
      <w:proofErr w:type="spellEnd"/>
      <w:r w:rsidRPr="00794FBB">
        <w:rPr>
          <w:sz w:val="24"/>
          <w:szCs w:val="24"/>
          <w:lang w:eastAsia="da-DK"/>
        </w:rPr>
        <w:t xml:space="preserve"> virkning. CYP2D6-hæmning på grund af </w:t>
      </w:r>
      <w:proofErr w:type="spellStart"/>
      <w:r w:rsidRPr="00794FBB">
        <w:rPr>
          <w:sz w:val="24"/>
          <w:szCs w:val="24"/>
          <w:lang w:eastAsia="da-DK"/>
        </w:rPr>
        <w:t>methadon</w:t>
      </w:r>
      <w:proofErr w:type="spellEnd"/>
      <w:r w:rsidRPr="00794FBB">
        <w:rPr>
          <w:sz w:val="24"/>
          <w:szCs w:val="24"/>
          <w:lang w:eastAsia="da-DK"/>
        </w:rPr>
        <w:t xml:space="preserve"> kan forårsage nedsat plasmaniveau af </w:t>
      </w:r>
      <w:proofErr w:type="spellStart"/>
      <w:r w:rsidRPr="00794FBB">
        <w:rPr>
          <w:sz w:val="24"/>
          <w:szCs w:val="24"/>
          <w:lang w:eastAsia="da-DK"/>
        </w:rPr>
        <w:t>endoxifen</w:t>
      </w:r>
      <w:proofErr w:type="spellEnd"/>
      <w:r w:rsidRPr="00794FBB">
        <w:rPr>
          <w:sz w:val="24"/>
          <w:szCs w:val="24"/>
          <w:lang w:eastAsia="da-DK"/>
        </w:rPr>
        <w:t xml:space="preserve">. </w:t>
      </w:r>
    </w:p>
    <w:p w:rsidR="00973CD2" w:rsidRPr="00794FBB" w:rsidRDefault="00973CD2" w:rsidP="00973CD2">
      <w:pPr>
        <w:tabs>
          <w:tab w:val="left" w:pos="851"/>
        </w:tabs>
        <w:autoSpaceDE w:val="0"/>
        <w:autoSpaceDN w:val="0"/>
        <w:adjustRightInd w:val="0"/>
        <w:ind w:left="851"/>
        <w:rPr>
          <w:sz w:val="24"/>
          <w:szCs w:val="24"/>
          <w:lang w:eastAsia="da-DK"/>
        </w:rPr>
      </w:pPr>
    </w:p>
    <w:p w:rsidR="00973CD2" w:rsidRPr="00794FBB" w:rsidRDefault="00973CD2" w:rsidP="00973CD2">
      <w:pPr>
        <w:tabs>
          <w:tab w:val="left" w:pos="851"/>
        </w:tabs>
        <w:autoSpaceDE w:val="0"/>
        <w:autoSpaceDN w:val="0"/>
        <w:adjustRightInd w:val="0"/>
        <w:ind w:left="851"/>
        <w:rPr>
          <w:iCs/>
          <w:sz w:val="24"/>
          <w:szCs w:val="24"/>
          <w:u w:val="single"/>
          <w:lang w:eastAsia="da-DK"/>
        </w:rPr>
      </w:pPr>
      <w:proofErr w:type="spellStart"/>
      <w:r w:rsidRPr="00794FBB">
        <w:rPr>
          <w:sz w:val="24"/>
          <w:szCs w:val="24"/>
          <w:u w:val="single"/>
          <w:lang w:eastAsia="da-DK"/>
        </w:rPr>
        <w:t>Farmakodynamiske</w:t>
      </w:r>
      <w:proofErr w:type="spellEnd"/>
      <w:r w:rsidRPr="00794FBB">
        <w:rPr>
          <w:sz w:val="24"/>
          <w:szCs w:val="24"/>
          <w:u w:val="single"/>
          <w:lang w:eastAsia="da-DK"/>
        </w:rPr>
        <w:t xml:space="preserve"> interaktioner </w:t>
      </w:r>
    </w:p>
    <w:p w:rsidR="00973CD2" w:rsidRPr="00794FBB" w:rsidRDefault="00973CD2" w:rsidP="00973CD2">
      <w:pPr>
        <w:tabs>
          <w:tab w:val="left" w:pos="851"/>
        </w:tabs>
        <w:autoSpaceDE w:val="0"/>
        <w:autoSpaceDN w:val="0"/>
        <w:adjustRightInd w:val="0"/>
        <w:ind w:left="851"/>
        <w:rPr>
          <w:iCs/>
          <w:sz w:val="24"/>
          <w:szCs w:val="24"/>
          <w:u w:val="single"/>
          <w:lang w:eastAsia="da-DK"/>
        </w:rPr>
      </w:pPr>
    </w:p>
    <w:p w:rsidR="00973CD2" w:rsidRDefault="00973CD2" w:rsidP="00973CD2">
      <w:pPr>
        <w:tabs>
          <w:tab w:val="left" w:pos="851"/>
        </w:tabs>
        <w:autoSpaceDE w:val="0"/>
        <w:autoSpaceDN w:val="0"/>
        <w:adjustRightInd w:val="0"/>
        <w:ind w:left="851"/>
        <w:rPr>
          <w:i/>
          <w:sz w:val="24"/>
          <w:szCs w:val="24"/>
          <w:lang w:eastAsia="da-DK"/>
        </w:rPr>
      </w:pPr>
      <w:r>
        <w:rPr>
          <w:i/>
          <w:sz w:val="24"/>
          <w:szCs w:val="24"/>
          <w:lang w:eastAsia="da-DK"/>
        </w:rPr>
        <w:t>Opioidantagonister</w:t>
      </w:r>
    </w:p>
    <w:p w:rsidR="00973CD2" w:rsidRPr="00794FBB" w:rsidRDefault="00973CD2" w:rsidP="00973CD2">
      <w:pPr>
        <w:tabs>
          <w:tab w:val="left" w:pos="851"/>
        </w:tabs>
        <w:autoSpaceDE w:val="0"/>
        <w:autoSpaceDN w:val="0"/>
        <w:adjustRightInd w:val="0"/>
        <w:ind w:left="851"/>
        <w:rPr>
          <w:sz w:val="24"/>
          <w:szCs w:val="24"/>
          <w:lang w:eastAsia="da-DK"/>
        </w:rPr>
      </w:pPr>
      <w:proofErr w:type="spellStart"/>
      <w:r w:rsidRPr="00794FBB">
        <w:rPr>
          <w:sz w:val="24"/>
          <w:szCs w:val="24"/>
          <w:lang w:eastAsia="da-DK"/>
        </w:rPr>
        <w:t>Naloxon</w:t>
      </w:r>
      <w:proofErr w:type="spellEnd"/>
      <w:r w:rsidRPr="00794FBB">
        <w:rPr>
          <w:sz w:val="24"/>
          <w:szCs w:val="24"/>
          <w:lang w:eastAsia="da-DK"/>
        </w:rPr>
        <w:t xml:space="preserve"> og </w:t>
      </w:r>
      <w:proofErr w:type="spellStart"/>
      <w:r w:rsidRPr="00794FBB">
        <w:rPr>
          <w:sz w:val="24"/>
          <w:szCs w:val="24"/>
          <w:lang w:eastAsia="da-DK"/>
        </w:rPr>
        <w:t>naltrexon</w:t>
      </w:r>
      <w:proofErr w:type="spellEnd"/>
      <w:r w:rsidRPr="00794FBB">
        <w:rPr>
          <w:sz w:val="24"/>
          <w:szCs w:val="24"/>
          <w:lang w:eastAsia="da-DK"/>
        </w:rPr>
        <w:t xml:space="preserve"> modvirker virkningen af </w:t>
      </w:r>
      <w:proofErr w:type="spellStart"/>
      <w:r w:rsidRPr="00794FBB">
        <w:rPr>
          <w:sz w:val="24"/>
          <w:szCs w:val="24"/>
          <w:lang w:eastAsia="da-DK"/>
        </w:rPr>
        <w:t>methadon</w:t>
      </w:r>
      <w:proofErr w:type="spellEnd"/>
      <w:r w:rsidRPr="00794FBB">
        <w:rPr>
          <w:sz w:val="24"/>
          <w:szCs w:val="24"/>
          <w:lang w:eastAsia="da-DK"/>
        </w:rPr>
        <w:t xml:space="preserve"> og inducerer abstinenser. </w:t>
      </w:r>
    </w:p>
    <w:p w:rsidR="00973CD2" w:rsidRPr="00794FBB" w:rsidRDefault="00973CD2" w:rsidP="00973CD2">
      <w:pPr>
        <w:tabs>
          <w:tab w:val="left" w:pos="851"/>
        </w:tabs>
        <w:autoSpaceDE w:val="0"/>
        <w:autoSpaceDN w:val="0"/>
        <w:adjustRightInd w:val="0"/>
        <w:ind w:left="851"/>
        <w:rPr>
          <w:i/>
          <w:sz w:val="24"/>
          <w:szCs w:val="24"/>
          <w:lang w:eastAsia="da-DK"/>
        </w:rPr>
      </w:pPr>
    </w:p>
    <w:p w:rsidR="00973CD2" w:rsidRDefault="00973CD2" w:rsidP="00973CD2">
      <w:pPr>
        <w:tabs>
          <w:tab w:val="left" w:pos="851"/>
        </w:tabs>
        <w:autoSpaceDE w:val="0"/>
        <w:autoSpaceDN w:val="0"/>
        <w:adjustRightInd w:val="0"/>
        <w:ind w:left="851"/>
        <w:rPr>
          <w:i/>
          <w:sz w:val="24"/>
          <w:szCs w:val="24"/>
          <w:lang w:eastAsia="da-DK"/>
        </w:rPr>
      </w:pPr>
      <w:r>
        <w:rPr>
          <w:i/>
          <w:sz w:val="24"/>
          <w:szCs w:val="24"/>
          <w:lang w:eastAsia="da-DK"/>
        </w:rPr>
        <w:t>CNS-</w:t>
      </w:r>
      <w:proofErr w:type="spellStart"/>
      <w:r>
        <w:rPr>
          <w:i/>
          <w:sz w:val="24"/>
          <w:szCs w:val="24"/>
          <w:lang w:eastAsia="da-DK"/>
        </w:rPr>
        <w:t>depressiva</w:t>
      </w:r>
      <w:proofErr w:type="spellEnd"/>
    </w:p>
    <w:p w:rsidR="00973CD2" w:rsidRDefault="00973CD2" w:rsidP="00973CD2">
      <w:pPr>
        <w:tabs>
          <w:tab w:val="left" w:pos="851"/>
        </w:tabs>
        <w:autoSpaceDE w:val="0"/>
        <w:autoSpaceDN w:val="0"/>
        <w:adjustRightInd w:val="0"/>
        <w:ind w:left="851"/>
        <w:rPr>
          <w:sz w:val="24"/>
          <w:szCs w:val="24"/>
          <w:lang w:eastAsia="da-DK"/>
        </w:rPr>
      </w:pPr>
      <w:r w:rsidRPr="00794FBB">
        <w:rPr>
          <w:sz w:val="24"/>
          <w:szCs w:val="24"/>
          <w:lang w:eastAsia="da-DK"/>
        </w:rPr>
        <w:t xml:space="preserve">Lægemidler med sederende virkning på centralnervesystemet kan forårsage øget respirationsdepression, hypotension, stærk </w:t>
      </w:r>
      <w:proofErr w:type="spellStart"/>
      <w:r w:rsidRPr="00794FBB">
        <w:rPr>
          <w:sz w:val="24"/>
          <w:szCs w:val="24"/>
          <w:lang w:eastAsia="da-DK"/>
        </w:rPr>
        <w:t>sedering</w:t>
      </w:r>
      <w:proofErr w:type="spellEnd"/>
      <w:r w:rsidRPr="00794FBB">
        <w:rPr>
          <w:sz w:val="24"/>
          <w:szCs w:val="24"/>
          <w:lang w:eastAsia="da-DK"/>
        </w:rPr>
        <w:t xml:space="preserve"> eller koma, og det kan derfor være nødvendigt at reducere dosen af det ene eller begge lægemidler. </w:t>
      </w:r>
      <w:proofErr w:type="spellStart"/>
      <w:r w:rsidRPr="00794FBB">
        <w:rPr>
          <w:sz w:val="24"/>
          <w:szCs w:val="24"/>
          <w:lang w:eastAsia="da-DK"/>
        </w:rPr>
        <w:t>Methadon</w:t>
      </w:r>
      <w:proofErr w:type="spellEnd"/>
      <w:r w:rsidRPr="00794FBB">
        <w:rPr>
          <w:sz w:val="24"/>
          <w:szCs w:val="24"/>
          <w:lang w:eastAsia="da-DK"/>
        </w:rPr>
        <w:t xml:space="preserve"> elimineres langsomt, hvilket giver anledning til en langsom toleransudvikling i forbindelse med </w:t>
      </w:r>
      <w:proofErr w:type="spellStart"/>
      <w:r w:rsidRPr="00794FBB">
        <w:rPr>
          <w:sz w:val="24"/>
          <w:szCs w:val="24"/>
          <w:lang w:eastAsia="da-DK"/>
        </w:rPr>
        <w:t>methadonbehandling</w:t>
      </w:r>
      <w:proofErr w:type="spellEnd"/>
      <w:r w:rsidRPr="00794FBB">
        <w:rPr>
          <w:sz w:val="24"/>
          <w:szCs w:val="24"/>
          <w:lang w:eastAsia="da-DK"/>
        </w:rPr>
        <w:t xml:space="preserve">, og hver dosisøgning kan give anledning til symptomer på respirationsdepression efter 1-2 uger. Dosisjusteringer skal derfor foretages med forsigtighed, og dosen skal øges gradvist under tæt observation. </w:t>
      </w:r>
    </w:p>
    <w:p w:rsidR="00960AA1" w:rsidRDefault="00960AA1" w:rsidP="00973CD2">
      <w:pPr>
        <w:tabs>
          <w:tab w:val="left" w:pos="851"/>
        </w:tabs>
        <w:autoSpaceDE w:val="0"/>
        <w:autoSpaceDN w:val="0"/>
        <w:adjustRightInd w:val="0"/>
        <w:ind w:left="851"/>
        <w:rPr>
          <w:sz w:val="24"/>
          <w:szCs w:val="24"/>
          <w:lang w:eastAsia="da-DK"/>
        </w:rPr>
      </w:pPr>
    </w:p>
    <w:p w:rsidR="00960AA1" w:rsidRPr="00794FBB" w:rsidRDefault="00960AA1" w:rsidP="00960AA1">
      <w:pPr>
        <w:tabs>
          <w:tab w:val="left" w:pos="851"/>
        </w:tabs>
        <w:autoSpaceDE w:val="0"/>
        <w:autoSpaceDN w:val="0"/>
        <w:adjustRightInd w:val="0"/>
        <w:ind w:left="851"/>
        <w:rPr>
          <w:sz w:val="24"/>
          <w:szCs w:val="24"/>
          <w:lang w:eastAsia="da-DK"/>
        </w:rPr>
      </w:pPr>
      <w:bookmarkStart w:id="2" w:name="_Hlk132201177"/>
      <w:r>
        <w:rPr>
          <w:sz w:val="24"/>
          <w:szCs w:val="24"/>
          <w:lang w:eastAsia="da-DK"/>
        </w:rPr>
        <w:t xml:space="preserve">Samtidig brug af opioider og </w:t>
      </w:r>
      <w:proofErr w:type="spellStart"/>
      <w:r>
        <w:rPr>
          <w:sz w:val="24"/>
          <w:szCs w:val="24"/>
          <w:lang w:eastAsia="da-DK"/>
        </w:rPr>
        <w:t>gabapentinoider</w:t>
      </w:r>
      <w:proofErr w:type="spellEnd"/>
      <w:r>
        <w:rPr>
          <w:sz w:val="24"/>
          <w:szCs w:val="24"/>
          <w:lang w:eastAsia="da-DK"/>
        </w:rPr>
        <w:t xml:space="preserve"> (</w:t>
      </w:r>
      <w:proofErr w:type="spellStart"/>
      <w:r>
        <w:rPr>
          <w:sz w:val="24"/>
          <w:szCs w:val="24"/>
          <w:lang w:eastAsia="da-DK"/>
        </w:rPr>
        <w:t>gabapentin</w:t>
      </w:r>
      <w:proofErr w:type="spellEnd"/>
      <w:r>
        <w:rPr>
          <w:sz w:val="24"/>
          <w:szCs w:val="24"/>
          <w:lang w:eastAsia="da-DK"/>
        </w:rPr>
        <w:t xml:space="preserve"> og </w:t>
      </w:r>
      <w:proofErr w:type="spellStart"/>
      <w:r>
        <w:rPr>
          <w:sz w:val="24"/>
          <w:szCs w:val="24"/>
          <w:lang w:eastAsia="da-DK"/>
        </w:rPr>
        <w:t>pregabalin</w:t>
      </w:r>
      <w:proofErr w:type="spellEnd"/>
      <w:r>
        <w:rPr>
          <w:sz w:val="24"/>
          <w:szCs w:val="24"/>
          <w:lang w:eastAsia="da-DK"/>
        </w:rPr>
        <w:t>) øger risikoen for opioidoverdosering, respirationsundertrykkelse og død.</w:t>
      </w:r>
      <w:bookmarkEnd w:id="2"/>
    </w:p>
    <w:p w:rsidR="00973CD2" w:rsidRPr="00794FBB" w:rsidRDefault="00973CD2" w:rsidP="00973CD2">
      <w:pPr>
        <w:tabs>
          <w:tab w:val="left" w:pos="851"/>
        </w:tabs>
        <w:autoSpaceDE w:val="0"/>
        <w:autoSpaceDN w:val="0"/>
        <w:adjustRightInd w:val="0"/>
        <w:ind w:left="851"/>
        <w:rPr>
          <w:i/>
          <w:iCs/>
          <w:sz w:val="24"/>
          <w:szCs w:val="24"/>
          <w:lang w:eastAsia="da-DK"/>
        </w:rPr>
      </w:pPr>
    </w:p>
    <w:p w:rsidR="00973CD2" w:rsidRDefault="00973CD2" w:rsidP="00973CD2">
      <w:pPr>
        <w:tabs>
          <w:tab w:val="left" w:pos="851"/>
        </w:tabs>
        <w:autoSpaceDE w:val="0"/>
        <w:autoSpaceDN w:val="0"/>
        <w:adjustRightInd w:val="0"/>
        <w:ind w:left="851"/>
        <w:rPr>
          <w:i/>
          <w:sz w:val="24"/>
          <w:szCs w:val="24"/>
          <w:lang w:eastAsia="da-DK"/>
        </w:rPr>
      </w:pPr>
      <w:proofErr w:type="spellStart"/>
      <w:r>
        <w:rPr>
          <w:i/>
          <w:sz w:val="24"/>
          <w:szCs w:val="24"/>
          <w:lang w:eastAsia="da-DK"/>
        </w:rPr>
        <w:t>Motilitetshæmmende</w:t>
      </w:r>
      <w:proofErr w:type="spellEnd"/>
      <w:r>
        <w:rPr>
          <w:i/>
          <w:sz w:val="24"/>
          <w:szCs w:val="24"/>
          <w:lang w:eastAsia="da-DK"/>
        </w:rPr>
        <w:t xml:space="preserve"> midler</w:t>
      </w:r>
    </w:p>
    <w:p w:rsidR="00973CD2" w:rsidRPr="00794FBB" w:rsidRDefault="00973CD2" w:rsidP="00973CD2">
      <w:pPr>
        <w:tabs>
          <w:tab w:val="left" w:pos="851"/>
        </w:tabs>
        <w:autoSpaceDE w:val="0"/>
        <w:autoSpaceDN w:val="0"/>
        <w:adjustRightInd w:val="0"/>
        <w:ind w:left="851"/>
        <w:rPr>
          <w:sz w:val="24"/>
          <w:szCs w:val="24"/>
          <w:lang w:eastAsia="da-DK"/>
        </w:rPr>
      </w:pPr>
      <w:r w:rsidRPr="00794FBB">
        <w:rPr>
          <w:sz w:val="24"/>
          <w:szCs w:val="24"/>
          <w:lang w:eastAsia="da-DK"/>
        </w:rPr>
        <w:t xml:space="preserve">Samtidig brug af </w:t>
      </w:r>
      <w:proofErr w:type="spellStart"/>
      <w:r w:rsidRPr="00794FBB">
        <w:rPr>
          <w:sz w:val="24"/>
          <w:szCs w:val="24"/>
          <w:lang w:eastAsia="da-DK"/>
        </w:rPr>
        <w:t>methadon</w:t>
      </w:r>
      <w:proofErr w:type="spellEnd"/>
      <w:r w:rsidRPr="00794FBB">
        <w:rPr>
          <w:sz w:val="24"/>
          <w:szCs w:val="24"/>
          <w:lang w:eastAsia="da-DK"/>
        </w:rPr>
        <w:t xml:space="preserve"> og </w:t>
      </w:r>
      <w:proofErr w:type="spellStart"/>
      <w:r w:rsidRPr="00794FBB">
        <w:rPr>
          <w:sz w:val="24"/>
          <w:szCs w:val="24"/>
          <w:lang w:eastAsia="da-DK"/>
        </w:rPr>
        <w:t>motilitetshæmmende</w:t>
      </w:r>
      <w:proofErr w:type="spellEnd"/>
      <w:r w:rsidRPr="00794FBB">
        <w:rPr>
          <w:sz w:val="24"/>
          <w:szCs w:val="24"/>
          <w:lang w:eastAsia="da-DK"/>
        </w:rPr>
        <w:t xml:space="preserve"> midler (</w:t>
      </w:r>
      <w:proofErr w:type="spellStart"/>
      <w:r w:rsidRPr="00794FBB">
        <w:rPr>
          <w:sz w:val="24"/>
          <w:szCs w:val="24"/>
          <w:lang w:eastAsia="da-DK"/>
        </w:rPr>
        <w:t>loperamid</w:t>
      </w:r>
      <w:proofErr w:type="spellEnd"/>
      <w:r w:rsidRPr="00794FBB">
        <w:rPr>
          <w:sz w:val="24"/>
          <w:szCs w:val="24"/>
          <w:lang w:eastAsia="da-DK"/>
        </w:rPr>
        <w:t xml:space="preserve"> og </w:t>
      </w:r>
      <w:proofErr w:type="spellStart"/>
      <w:r w:rsidRPr="00794FBB">
        <w:rPr>
          <w:sz w:val="24"/>
          <w:szCs w:val="24"/>
          <w:lang w:eastAsia="da-DK"/>
        </w:rPr>
        <w:t>diphenoxylat</w:t>
      </w:r>
      <w:proofErr w:type="spellEnd"/>
      <w:r w:rsidRPr="00794FBB">
        <w:rPr>
          <w:sz w:val="24"/>
          <w:szCs w:val="24"/>
          <w:lang w:eastAsia="da-DK"/>
        </w:rPr>
        <w:t xml:space="preserve">) kan resultere i svær obstipation og øge de CNS-hæmmende virkninger. </w:t>
      </w:r>
      <w:proofErr w:type="spellStart"/>
      <w:r w:rsidRPr="00794FBB">
        <w:rPr>
          <w:sz w:val="24"/>
          <w:szCs w:val="24"/>
          <w:lang w:eastAsia="da-DK"/>
        </w:rPr>
        <w:t>Opioidanalgetika</w:t>
      </w:r>
      <w:proofErr w:type="spellEnd"/>
      <w:r w:rsidRPr="00794FBB">
        <w:rPr>
          <w:sz w:val="24"/>
          <w:szCs w:val="24"/>
          <w:lang w:eastAsia="da-DK"/>
        </w:rPr>
        <w:t xml:space="preserve"> i kombination med </w:t>
      </w:r>
      <w:proofErr w:type="spellStart"/>
      <w:r w:rsidRPr="00794FBB">
        <w:rPr>
          <w:sz w:val="24"/>
          <w:szCs w:val="24"/>
          <w:lang w:eastAsia="da-DK"/>
        </w:rPr>
        <w:t>antimuskarinergika</w:t>
      </w:r>
      <w:proofErr w:type="spellEnd"/>
      <w:r w:rsidRPr="00794FBB">
        <w:rPr>
          <w:sz w:val="24"/>
          <w:szCs w:val="24"/>
          <w:lang w:eastAsia="da-DK"/>
        </w:rPr>
        <w:t xml:space="preserve"> kan forårsage svær obstipation eller paralytisk </w:t>
      </w:r>
      <w:proofErr w:type="spellStart"/>
      <w:r w:rsidRPr="00794FBB">
        <w:rPr>
          <w:sz w:val="24"/>
          <w:szCs w:val="24"/>
          <w:lang w:eastAsia="da-DK"/>
        </w:rPr>
        <w:t>ileus</w:t>
      </w:r>
      <w:proofErr w:type="spellEnd"/>
      <w:r w:rsidRPr="00794FBB">
        <w:rPr>
          <w:sz w:val="24"/>
          <w:szCs w:val="24"/>
          <w:lang w:eastAsia="da-DK"/>
        </w:rPr>
        <w:t xml:space="preserve">, især ved langvarig brug. </w:t>
      </w:r>
    </w:p>
    <w:p w:rsidR="00973CD2" w:rsidRPr="00794FBB" w:rsidRDefault="00973CD2" w:rsidP="00973CD2">
      <w:pPr>
        <w:tabs>
          <w:tab w:val="left" w:pos="851"/>
        </w:tabs>
        <w:autoSpaceDE w:val="0"/>
        <w:autoSpaceDN w:val="0"/>
        <w:adjustRightInd w:val="0"/>
        <w:ind w:left="851"/>
        <w:rPr>
          <w:sz w:val="24"/>
          <w:szCs w:val="24"/>
          <w:lang w:eastAsia="da-DK"/>
        </w:rPr>
      </w:pPr>
    </w:p>
    <w:p w:rsidR="00973CD2" w:rsidRDefault="00973CD2" w:rsidP="00973CD2">
      <w:pPr>
        <w:tabs>
          <w:tab w:val="left" w:pos="851"/>
        </w:tabs>
        <w:autoSpaceDE w:val="0"/>
        <w:autoSpaceDN w:val="0"/>
        <w:adjustRightInd w:val="0"/>
        <w:ind w:left="851"/>
        <w:rPr>
          <w:i/>
          <w:sz w:val="24"/>
          <w:szCs w:val="24"/>
          <w:lang w:eastAsia="da-DK"/>
        </w:rPr>
      </w:pPr>
      <w:r>
        <w:rPr>
          <w:i/>
          <w:sz w:val="24"/>
          <w:szCs w:val="24"/>
          <w:lang w:eastAsia="da-DK"/>
        </w:rPr>
        <w:t>QT-forlængelse</w:t>
      </w:r>
    </w:p>
    <w:p w:rsidR="00973CD2" w:rsidRPr="00794FBB" w:rsidRDefault="00973CD2" w:rsidP="00973CD2">
      <w:pPr>
        <w:tabs>
          <w:tab w:val="left" w:pos="851"/>
        </w:tabs>
        <w:autoSpaceDE w:val="0"/>
        <w:autoSpaceDN w:val="0"/>
        <w:adjustRightInd w:val="0"/>
        <w:ind w:left="851"/>
        <w:rPr>
          <w:sz w:val="24"/>
          <w:szCs w:val="24"/>
          <w:lang w:eastAsia="da-DK"/>
        </w:rPr>
      </w:pPr>
      <w:proofErr w:type="spellStart"/>
      <w:r w:rsidRPr="00794FBB">
        <w:rPr>
          <w:sz w:val="24"/>
          <w:szCs w:val="24"/>
          <w:lang w:eastAsia="da-DK"/>
        </w:rPr>
        <w:t>Methadon</w:t>
      </w:r>
      <w:proofErr w:type="spellEnd"/>
      <w:r w:rsidRPr="00794FBB">
        <w:rPr>
          <w:sz w:val="24"/>
          <w:szCs w:val="24"/>
          <w:lang w:eastAsia="da-DK"/>
        </w:rPr>
        <w:t xml:space="preserve"> bør ikke kombineres med lægemidler, der kan forlænge QT-intervallet, såsom </w:t>
      </w:r>
      <w:proofErr w:type="spellStart"/>
      <w:r w:rsidRPr="00794FBB">
        <w:rPr>
          <w:sz w:val="24"/>
          <w:szCs w:val="24"/>
          <w:lang w:eastAsia="da-DK"/>
        </w:rPr>
        <w:t>antiarytmika</w:t>
      </w:r>
      <w:proofErr w:type="spellEnd"/>
      <w:r w:rsidRPr="00794FBB">
        <w:rPr>
          <w:sz w:val="24"/>
          <w:szCs w:val="24"/>
          <w:lang w:eastAsia="da-DK"/>
        </w:rPr>
        <w:t xml:space="preserve"> (</w:t>
      </w:r>
      <w:proofErr w:type="spellStart"/>
      <w:r w:rsidRPr="00794FBB">
        <w:rPr>
          <w:sz w:val="24"/>
          <w:szCs w:val="24"/>
          <w:lang w:eastAsia="da-DK"/>
        </w:rPr>
        <w:t>sotalol</w:t>
      </w:r>
      <w:proofErr w:type="spellEnd"/>
      <w:r w:rsidRPr="00794FBB">
        <w:rPr>
          <w:sz w:val="24"/>
          <w:szCs w:val="24"/>
          <w:lang w:eastAsia="da-DK"/>
        </w:rPr>
        <w:t xml:space="preserve">, </w:t>
      </w:r>
      <w:proofErr w:type="spellStart"/>
      <w:r w:rsidRPr="00794FBB">
        <w:rPr>
          <w:sz w:val="24"/>
          <w:szCs w:val="24"/>
          <w:lang w:eastAsia="da-DK"/>
        </w:rPr>
        <w:t>amiodaron</w:t>
      </w:r>
      <w:proofErr w:type="spellEnd"/>
      <w:r w:rsidRPr="00794FBB">
        <w:rPr>
          <w:sz w:val="24"/>
          <w:szCs w:val="24"/>
          <w:lang w:eastAsia="da-DK"/>
        </w:rPr>
        <w:t xml:space="preserve">, </w:t>
      </w:r>
      <w:proofErr w:type="spellStart"/>
      <w:r w:rsidRPr="00794FBB">
        <w:rPr>
          <w:sz w:val="24"/>
          <w:szCs w:val="24"/>
          <w:lang w:eastAsia="da-DK"/>
        </w:rPr>
        <w:t>flecainid</w:t>
      </w:r>
      <w:proofErr w:type="spellEnd"/>
      <w:r w:rsidRPr="00794FBB">
        <w:rPr>
          <w:sz w:val="24"/>
          <w:szCs w:val="24"/>
          <w:lang w:eastAsia="da-DK"/>
        </w:rPr>
        <w:t>), antipsykotika (</w:t>
      </w:r>
      <w:proofErr w:type="spellStart"/>
      <w:r w:rsidRPr="00794FBB">
        <w:rPr>
          <w:sz w:val="24"/>
          <w:szCs w:val="24"/>
          <w:lang w:eastAsia="da-DK"/>
        </w:rPr>
        <w:t>thioridazin</w:t>
      </w:r>
      <w:proofErr w:type="spellEnd"/>
      <w:r w:rsidRPr="00794FBB">
        <w:rPr>
          <w:sz w:val="24"/>
          <w:szCs w:val="24"/>
          <w:lang w:eastAsia="da-DK"/>
        </w:rPr>
        <w:t xml:space="preserve">, </w:t>
      </w:r>
      <w:proofErr w:type="spellStart"/>
      <w:r w:rsidRPr="00794FBB">
        <w:rPr>
          <w:sz w:val="24"/>
          <w:szCs w:val="24"/>
          <w:lang w:eastAsia="da-DK"/>
        </w:rPr>
        <w:t>haloperidol</w:t>
      </w:r>
      <w:proofErr w:type="spellEnd"/>
      <w:r w:rsidRPr="00794FBB">
        <w:rPr>
          <w:sz w:val="24"/>
          <w:szCs w:val="24"/>
          <w:lang w:eastAsia="da-DK"/>
        </w:rPr>
        <w:t xml:space="preserve">, </w:t>
      </w:r>
      <w:proofErr w:type="spellStart"/>
      <w:r w:rsidRPr="00794FBB">
        <w:rPr>
          <w:sz w:val="24"/>
          <w:szCs w:val="24"/>
          <w:lang w:eastAsia="da-DK"/>
        </w:rPr>
        <w:t>sertindol</w:t>
      </w:r>
      <w:proofErr w:type="spellEnd"/>
      <w:r w:rsidRPr="00794FBB">
        <w:rPr>
          <w:sz w:val="24"/>
          <w:szCs w:val="24"/>
          <w:lang w:eastAsia="da-DK"/>
        </w:rPr>
        <w:t xml:space="preserve">, </w:t>
      </w:r>
      <w:proofErr w:type="spellStart"/>
      <w:r w:rsidRPr="00794FBB">
        <w:rPr>
          <w:sz w:val="24"/>
          <w:szCs w:val="24"/>
          <w:lang w:eastAsia="da-DK"/>
        </w:rPr>
        <w:t>phenothiaziner</w:t>
      </w:r>
      <w:proofErr w:type="spellEnd"/>
      <w:r w:rsidRPr="00794FBB">
        <w:rPr>
          <w:sz w:val="24"/>
          <w:szCs w:val="24"/>
          <w:lang w:eastAsia="da-DK"/>
        </w:rPr>
        <w:t xml:space="preserve">), </w:t>
      </w:r>
      <w:proofErr w:type="spellStart"/>
      <w:r w:rsidRPr="00794FBB">
        <w:rPr>
          <w:sz w:val="24"/>
          <w:szCs w:val="24"/>
          <w:lang w:eastAsia="da-DK"/>
        </w:rPr>
        <w:t>antidepressiva</w:t>
      </w:r>
      <w:proofErr w:type="spellEnd"/>
      <w:r w:rsidRPr="00794FBB">
        <w:rPr>
          <w:sz w:val="24"/>
          <w:szCs w:val="24"/>
          <w:lang w:eastAsia="da-DK"/>
        </w:rPr>
        <w:t xml:space="preserve"> (</w:t>
      </w:r>
      <w:proofErr w:type="spellStart"/>
      <w:r w:rsidRPr="00794FBB">
        <w:rPr>
          <w:sz w:val="24"/>
          <w:szCs w:val="24"/>
          <w:lang w:eastAsia="da-DK"/>
        </w:rPr>
        <w:t>paroxetin</w:t>
      </w:r>
      <w:proofErr w:type="spellEnd"/>
      <w:r w:rsidRPr="00794FBB">
        <w:rPr>
          <w:sz w:val="24"/>
          <w:szCs w:val="24"/>
          <w:lang w:eastAsia="da-DK"/>
        </w:rPr>
        <w:t xml:space="preserve">, </w:t>
      </w:r>
      <w:proofErr w:type="spellStart"/>
      <w:r w:rsidRPr="00794FBB">
        <w:rPr>
          <w:sz w:val="24"/>
          <w:szCs w:val="24"/>
          <w:lang w:eastAsia="da-DK"/>
        </w:rPr>
        <w:t>sertralin</w:t>
      </w:r>
      <w:proofErr w:type="spellEnd"/>
      <w:r w:rsidRPr="00794FBB">
        <w:rPr>
          <w:sz w:val="24"/>
          <w:szCs w:val="24"/>
          <w:lang w:eastAsia="da-DK"/>
        </w:rPr>
        <w:t>) eller antibiotika (</w:t>
      </w:r>
      <w:proofErr w:type="spellStart"/>
      <w:r w:rsidRPr="00794FBB">
        <w:rPr>
          <w:sz w:val="24"/>
          <w:szCs w:val="24"/>
          <w:lang w:eastAsia="da-DK"/>
        </w:rPr>
        <w:t>erythromycin</w:t>
      </w:r>
      <w:proofErr w:type="spellEnd"/>
      <w:r w:rsidRPr="00794FBB">
        <w:rPr>
          <w:sz w:val="24"/>
          <w:szCs w:val="24"/>
          <w:lang w:eastAsia="da-DK"/>
        </w:rPr>
        <w:t xml:space="preserve">, </w:t>
      </w:r>
      <w:proofErr w:type="spellStart"/>
      <w:r w:rsidRPr="00794FBB">
        <w:rPr>
          <w:sz w:val="24"/>
          <w:szCs w:val="24"/>
          <w:lang w:eastAsia="da-DK"/>
        </w:rPr>
        <w:t>clarithromycin</w:t>
      </w:r>
      <w:proofErr w:type="spellEnd"/>
      <w:r w:rsidRPr="00794FBB">
        <w:rPr>
          <w:sz w:val="24"/>
          <w:szCs w:val="24"/>
          <w:lang w:eastAsia="da-DK"/>
        </w:rPr>
        <w:t xml:space="preserve">). </w:t>
      </w:r>
    </w:p>
    <w:p w:rsidR="00973CD2" w:rsidRPr="00794FBB" w:rsidRDefault="00973CD2" w:rsidP="00973CD2">
      <w:pPr>
        <w:tabs>
          <w:tab w:val="left" w:pos="851"/>
        </w:tabs>
        <w:autoSpaceDE w:val="0"/>
        <w:autoSpaceDN w:val="0"/>
        <w:adjustRightInd w:val="0"/>
        <w:ind w:left="851"/>
        <w:rPr>
          <w:sz w:val="24"/>
          <w:szCs w:val="24"/>
          <w:lang w:eastAsia="da-DK"/>
        </w:rPr>
      </w:pPr>
    </w:p>
    <w:p w:rsidR="00973CD2" w:rsidRDefault="00973CD2" w:rsidP="00973CD2">
      <w:pPr>
        <w:tabs>
          <w:tab w:val="left" w:pos="851"/>
        </w:tabs>
        <w:autoSpaceDE w:val="0"/>
        <w:autoSpaceDN w:val="0"/>
        <w:adjustRightInd w:val="0"/>
        <w:ind w:left="851"/>
        <w:rPr>
          <w:i/>
          <w:sz w:val="24"/>
          <w:szCs w:val="24"/>
          <w:lang w:eastAsia="da-DK"/>
        </w:rPr>
      </w:pPr>
      <w:r>
        <w:rPr>
          <w:i/>
          <w:sz w:val="24"/>
          <w:szCs w:val="24"/>
          <w:lang w:eastAsia="da-DK"/>
        </w:rPr>
        <w:t>MAO-</w:t>
      </w:r>
      <w:proofErr w:type="spellStart"/>
      <w:r>
        <w:rPr>
          <w:i/>
          <w:sz w:val="24"/>
          <w:szCs w:val="24"/>
          <w:lang w:eastAsia="da-DK"/>
        </w:rPr>
        <w:t>hæmmere</w:t>
      </w:r>
      <w:proofErr w:type="spellEnd"/>
    </w:p>
    <w:p w:rsidR="00973CD2" w:rsidRPr="00794FBB" w:rsidRDefault="00973CD2" w:rsidP="00973CD2">
      <w:pPr>
        <w:tabs>
          <w:tab w:val="left" w:pos="851"/>
        </w:tabs>
        <w:autoSpaceDE w:val="0"/>
        <w:autoSpaceDN w:val="0"/>
        <w:adjustRightInd w:val="0"/>
        <w:ind w:left="851"/>
        <w:rPr>
          <w:sz w:val="24"/>
          <w:szCs w:val="24"/>
          <w:lang w:eastAsia="da-DK"/>
        </w:rPr>
      </w:pPr>
      <w:r w:rsidRPr="00794FBB">
        <w:rPr>
          <w:sz w:val="24"/>
          <w:szCs w:val="24"/>
          <w:lang w:eastAsia="da-DK"/>
        </w:rPr>
        <w:t>Samtidig administration af MAO-</w:t>
      </w:r>
      <w:proofErr w:type="spellStart"/>
      <w:r w:rsidRPr="00794FBB">
        <w:rPr>
          <w:sz w:val="24"/>
          <w:szCs w:val="24"/>
          <w:lang w:eastAsia="da-DK"/>
        </w:rPr>
        <w:t>hæmmere</w:t>
      </w:r>
      <w:proofErr w:type="spellEnd"/>
      <w:r w:rsidRPr="00794FBB">
        <w:rPr>
          <w:sz w:val="24"/>
          <w:szCs w:val="24"/>
          <w:lang w:eastAsia="da-DK"/>
        </w:rPr>
        <w:t xml:space="preserve"> kan resultere i øget CNS-hæmning, svær hypotension og/eller apnø. </w:t>
      </w:r>
      <w:proofErr w:type="spellStart"/>
      <w:r w:rsidRPr="00794FBB">
        <w:rPr>
          <w:sz w:val="24"/>
          <w:szCs w:val="24"/>
          <w:lang w:eastAsia="da-DK"/>
        </w:rPr>
        <w:t>Methadon</w:t>
      </w:r>
      <w:proofErr w:type="spellEnd"/>
      <w:r w:rsidRPr="00794FBB">
        <w:rPr>
          <w:sz w:val="24"/>
          <w:szCs w:val="24"/>
          <w:lang w:eastAsia="da-DK"/>
        </w:rPr>
        <w:t xml:space="preserve"> bør ikke gives i kombination med MAO-</w:t>
      </w:r>
      <w:proofErr w:type="spellStart"/>
      <w:r w:rsidRPr="00794FBB">
        <w:rPr>
          <w:sz w:val="24"/>
          <w:szCs w:val="24"/>
          <w:lang w:eastAsia="da-DK"/>
        </w:rPr>
        <w:t>hæmmere</w:t>
      </w:r>
      <w:proofErr w:type="spellEnd"/>
      <w:r w:rsidRPr="00794FBB">
        <w:rPr>
          <w:sz w:val="24"/>
          <w:szCs w:val="24"/>
          <w:lang w:eastAsia="da-DK"/>
        </w:rPr>
        <w:t xml:space="preserve"> eller inden for to uger efter administration af MAO-</w:t>
      </w:r>
      <w:proofErr w:type="spellStart"/>
      <w:r w:rsidRPr="00794FBB">
        <w:rPr>
          <w:sz w:val="24"/>
          <w:szCs w:val="24"/>
          <w:lang w:eastAsia="da-DK"/>
        </w:rPr>
        <w:t>hæmmere</w:t>
      </w:r>
      <w:proofErr w:type="spellEnd"/>
      <w:r w:rsidRPr="00794FBB">
        <w:rPr>
          <w:sz w:val="24"/>
          <w:szCs w:val="24"/>
          <w:lang w:eastAsia="da-DK"/>
        </w:rPr>
        <w:t xml:space="preserve"> (se pkt. 4.3). </w:t>
      </w:r>
    </w:p>
    <w:p w:rsidR="00973CD2" w:rsidRDefault="00973CD2" w:rsidP="00973CD2">
      <w:pPr>
        <w:tabs>
          <w:tab w:val="left" w:pos="851"/>
        </w:tabs>
        <w:autoSpaceDE w:val="0"/>
        <w:autoSpaceDN w:val="0"/>
        <w:adjustRightInd w:val="0"/>
        <w:ind w:left="851"/>
        <w:rPr>
          <w:sz w:val="24"/>
          <w:szCs w:val="24"/>
          <w:lang w:eastAsia="da-DK"/>
        </w:rPr>
      </w:pPr>
    </w:p>
    <w:p w:rsidR="00960AA1" w:rsidRDefault="00960AA1" w:rsidP="00960AA1">
      <w:pPr>
        <w:tabs>
          <w:tab w:val="left" w:pos="851"/>
        </w:tabs>
        <w:autoSpaceDE w:val="0"/>
        <w:autoSpaceDN w:val="0"/>
        <w:adjustRightInd w:val="0"/>
        <w:ind w:left="851"/>
        <w:rPr>
          <w:i/>
          <w:iCs/>
          <w:sz w:val="24"/>
          <w:szCs w:val="24"/>
          <w:lang w:eastAsia="da-DK"/>
        </w:rPr>
      </w:pPr>
      <w:bookmarkStart w:id="3" w:name="_Hlk132201207"/>
      <w:proofErr w:type="spellStart"/>
      <w:r>
        <w:rPr>
          <w:i/>
          <w:iCs/>
          <w:sz w:val="24"/>
          <w:szCs w:val="24"/>
          <w:lang w:eastAsia="da-DK"/>
        </w:rPr>
        <w:t>Cannabidiol</w:t>
      </w:r>
      <w:proofErr w:type="spellEnd"/>
    </w:p>
    <w:p w:rsidR="00960AA1" w:rsidRDefault="00960AA1" w:rsidP="00960AA1">
      <w:pPr>
        <w:tabs>
          <w:tab w:val="left" w:pos="851"/>
        </w:tabs>
        <w:autoSpaceDE w:val="0"/>
        <w:autoSpaceDN w:val="0"/>
        <w:adjustRightInd w:val="0"/>
        <w:ind w:left="851"/>
        <w:rPr>
          <w:sz w:val="24"/>
          <w:szCs w:val="24"/>
          <w:lang w:eastAsia="da-DK"/>
        </w:rPr>
      </w:pPr>
      <w:r>
        <w:rPr>
          <w:sz w:val="24"/>
          <w:szCs w:val="24"/>
          <w:lang w:eastAsia="da-DK"/>
        </w:rPr>
        <w:t xml:space="preserve">Samtidig administration af </w:t>
      </w:r>
      <w:proofErr w:type="spellStart"/>
      <w:r>
        <w:rPr>
          <w:sz w:val="24"/>
          <w:szCs w:val="24"/>
          <w:lang w:eastAsia="da-DK"/>
        </w:rPr>
        <w:t>cannabidiol</w:t>
      </w:r>
      <w:proofErr w:type="spellEnd"/>
      <w:r>
        <w:rPr>
          <w:sz w:val="24"/>
          <w:szCs w:val="24"/>
          <w:lang w:eastAsia="da-DK"/>
        </w:rPr>
        <w:t xml:space="preserve"> kan føre til forhøjede plasmakoncentrationer af</w:t>
      </w:r>
    </w:p>
    <w:p w:rsidR="00960AA1" w:rsidRDefault="00960AA1" w:rsidP="00960AA1">
      <w:pPr>
        <w:tabs>
          <w:tab w:val="left" w:pos="851"/>
        </w:tabs>
        <w:autoSpaceDE w:val="0"/>
        <w:autoSpaceDN w:val="0"/>
        <w:adjustRightInd w:val="0"/>
        <w:ind w:left="851"/>
        <w:rPr>
          <w:sz w:val="24"/>
          <w:szCs w:val="24"/>
          <w:lang w:eastAsia="da-DK"/>
        </w:rPr>
      </w:pPr>
      <w:proofErr w:type="spellStart"/>
      <w:r>
        <w:rPr>
          <w:sz w:val="24"/>
          <w:szCs w:val="24"/>
          <w:lang w:eastAsia="da-DK"/>
        </w:rPr>
        <w:t>methadon</w:t>
      </w:r>
      <w:proofErr w:type="spellEnd"/>
      <w:r>
        <w:rPr>
          <w:sz w:val="24"/>
          <w:szCs w:val="24"/>
          <w:lang w:eastAsia="da-DK"/>
        </w:rPr>
        <w:t>.</w:t>
      </w:r>
      <w:bookmarkEnd w:id="3"/>
    </w:p>
    <w:p w:rsidR="00960AA1" w:rsidRPr="00794FBB" w:rsidRDefault="00960AA1" w:rsidP="00973CD2">
      <w:pPr>
        <w:tabs>
          <w:tab w:val="left" w:pos="851"/>
        </w:tabs>
        <w:autoSpaceDE w:val="0"/>
        <w:autoSpaceDN w:val="0"/>
        <w:adjustRightInd w:val="0"/>
        <w:ind w:left="851"/>
        <w:rPr>
          <w:sz w:val="24"/>
          <w:szCs w:val="24"/>
          <w:lang w:eastAsia="da-DK"/>
        </w:rPr>
      </w:pPr>
    </w:p>
    <w:p w:rsidR="00973CD2" w:rsidRPr="00C84483" w:rsidRDefault="00973CD2" w:rsidP="00973CD2">
      <w:pPr>
        <w:tabs>
          <w:tab w:val="left" w:pos="851"/>
        </w:tabs>
        <w:autoSpaceDE w:val="0"/>
        <w:autoSpaceDN w:val="0"/>
        <w:adjustRightInd w:val="0"/>
        <w:ind w:left="851"/>
        <w:rPr>
          <w:sz w:val="24"/>
          <w:szCs w:val="24"/>
          <w:lang w:eastAsia="da-DK"/>
        </w:rPr>
      </w:pPr>
      <w:proofErr w:type="spellStart"/>
      <w:r w:rsidRPr="00794FBB">
        <w:rPr>
          <w:sz w:val="24"/>
          <w:szCs w:val="24"/>
          <w:lang w:eastAsia="da-DK"/>
        </w:rPr>
        <w:t>Opioidanalgetika</w:t>
      </w:r>
      <w:proofErr w:type="spellEnd"/>
      <w:r w:rsidRPr="00794FBB">
        <w:rPr>
          <w:sz w:val="24"/>
          <w:szCs w:val="24"/>
          <w:lang w:eastAsia="da-DK"/>
        </w:rPr>
        <w:t xml:space="preserve"> forsinker ventrikeltømningen, så visse prøveresultater bliver ugyldige. Passagen af technetium Tc 99m-disofenin til tyndtarmen kan blive forhindret, og aktiviteten af plasmaamylase og </w:t>
      </w:r>
      <w:proofErr w:type="spellStart"/>
      <w:r w:rsidRPr="00794FBB">
        <w:rPr>
          <w:sz w:val="24"/>
          <w:szCs w:val="24"/>
          <w:lang w:eastAsia="da-DK"/>
        </w:rPr>
        <w:t>plasmalipase</w:t>
      </w:r>
      <w:proofErr w:type="spellEnd"/>
      <w:r w:rsidRPr="00794FBB">
        <w:rPr>
          <w:sz w:val="24"/>
          <w:szCs w:val="24"/>
          <w:lang w:eastAsia="da-DK"/>
        </w:rPr>
        <w:t xml:space="preserve"> kan stige, fordi </w:t>
      </w:r>
      <w:proofErr w:type="spellStart"/>
      <w:r w:rsidRPr="00794FBB">
        <w:rPr>
          <w:sz w:val="24"/>
          <w:szCs w:val="24"/>
          <w:lang w:eastAsia="da-DK"/>
        </w:rPr>
        <w:t>opioidanalgetika</w:t>
      </w:r>
      <w:proofErr w:type="spellEnd"/>
      <w:r w:rsidRPr="00794FBB">
        <w:rPr>
          <w:sz w:val="24"/>
          <w:szCs w:val="24"/>
          <w:lang w:eastAsia="da-DK"/>
        </w:rPr>
        <w:t xml:space="preserve"> kan forårsage forsnævring af </w:t>
      </w:r>
      <w:proofErr w:type="spellStart"/>
      <w:r w:rsidRPr="00794FBB">
        <w:rPr>
          <w:sz w:val="24"/>
          <w:szCs w:val="24"/>
          <w:lang w:eastAsia="da-DK"/>
        </w:rPr>
        <w:t>sfinkter</w:t>
      </w:r>
      <w:proofErr w:type="spellEnd"/>
      <w:r w:rsidRPr="00794FBB">
        <w:rPr>
          <w:sz w:val="24"/>
          <w:szCs w:val="24"/>
          <w:lang w:eastAsia="da-DK"/>
        </w:rPr>
        <w:t xml:space="preserve"> </w:t>
      </w:r>
      <w:proofErr w:type="spellStart"/>
      <w:r w:rsidRPr="00794FBB">
        <w:rPr>
          <w:sz w:val="24"/>
          <w:szCs w:val="24"/>
          <w:lang w:eastAsia="da-DK"/>
        </w:rPr>
        <w:t>Oddi</w:t>
      </w:r>
      <w:proofErr w:type="spellEnd"/>
      <w:r w:rsidRPr="00794FBB">
        <w:rPr>
          <w:sz w:val="24"/>
          <w:szCs w:val="24"/>
          <w:lang w:eastAsia="da-DK"/>
        </w:rPr>
        <w:t xml:space="preserve"> og øget tryk i galdegangen; disse virkninger fører til forsinket visualisering og ligner dermed obstruktion af galdegangen. Den diagnostiske værdi af bestemmelsen af disse enzymer kan være forringet i op til 24 timer efter administration af lægemidlet. Trykket i cerebrospinalvæsken (CSF) kan være øget; denne virkning er sekundær til kuldioxidretention som følge af respirationsdepression.</w:t>
      </w:r>
    </w:p>
    <w:p w:rsidR="00973CD2" w:rsidRPr="00C84483" w:rsidRDefault="00973CD2" w:rsidP="00973CD2">
      <w:pPr>
        <w:tabs>
          <w:tab w:val="left" w:pos="851"/>
        </w:tabs>
        <w:ind w:left="851"/>
        <w:rPr>
          <w:sz w:val="24"/>
          <w:szCs w:val="24"/>
        </w:rPr>
      </w:pPr>
    </w:p>
    <w:p w:rsidR="00973CD2" w:rsidRPr="00C84483" w:rsidRDefault="00973CD2" w:rsidP="00960AA1">
      <w:pPr>
        <w:keepNext/>
        <w:tabs>
          <w:tab w:val="left" w:pos="851"/>
        </w:tabs>
        <w:ind w:left="851" w:hanging="851"/>
        <w:rPr>
          <w:b/>
          <w:sz w:val="24"/>
          <w:szCs w:val="24"/>
        </w:rPr>
      </w:pPr>
      <w:r w:rsidRPr="00C84483">
        <w:rPr>
          <w:b/>
          <w:sz w:val="24"/>
          <w:szCs w:val="24"/>
        </w:rPr>
        <w:lastRenderedPageBreak/>
        <w:t>4.6</w:t>
      </w:r>
      <w:r w:rsidRPr="00C84483">
        <w:rPr>
          <w:b/>
          <w:sz w:val="24"/>
          <w:szCs w:val="24"/>
        </w:rPr>
        <w:tab/>
      </w:r>
      <w:r w:rsidR="00035DD4">
        <w:rPr>
          <w:b/>
          <w:sz w:val="24"/>
          <w:szCs w:val="24"/>
        </w:rPr>
        <w:t>Fertilitet, g</w:t>
      </w:r>
      <w:r w:rsidRPr="00C84483">
        <w:rPr>
          <w:b/>
          <w:sz w:val="24"/>
          <w:szCs w:val="24"/>
        </w:rPr>
        <w:t>raviditet og amning</w:t>
      </w:r>
    </w:p>
    <w:p w:rsidR="00973CD2" w:rsidRPr="000B3814" w:rsidRDefault="00973CD2" w:rsidP="00973CD2">
      <w:pPr>
        <w:tabs>
          <w:tab w:val="left" w:pos="851"/>
        </w:tabs>
        <w:ind w:left="851"/>
        <w:rPr>
          <w:i/>
          <w:sz w:val="24"/>
          <w:szCs w:val="24"/>
          <w:lang w:eastAsia="da-DK"/>
        </w:rPr>
      </w:pPr>
    </w:p>
    <w:p w:rsidR="00973CD2" w:rsidRPr="000B3814" w:rsidRDefault="00973CD2" w:rsidP="00973CD2">
      <w:pPr>
        <w:tabs>
          <w:tab w:val="left" w:pos="851"/>
        </w:tabs>
        <w:ind w:left="851"/>
        <w:rPr>
          <w:sz w:val="24"/>
          <w:szCs w:val="24"/>
          <w:u w:val="single"/>
          <w:lang w:eastAsia="da-DK"/>
        </w:rPr>
      </w:pPr>
      <w:r w:rsidRPr="000B3814">
        <w:rPr>
          <w:sz w:val="24"/>
          <w:szCs w:val="24"/>
          <w:u w:val="single"/>
          <w:lang w:eastAsia="da-DK"/>
        </w:rPr>
        <w:t>Graviditet</w:t>
      </w:r>
    </w:p>
    <w:p w:rsidR="00973CD2" w:rsidRDefault="00973CD2" w:rsidP="00AC01B3">
      <w:pPr>
        <w:tabs>
          <w:tab w:val="left" w:pos="851"/>
        </w:tabs>
        <w:autoSpaceDE w:val="0"/>
        <w:autoSpaceDN w:val="0"/>
        <w:adjustRightInd w:val="0"/>
        <w:ind w:left="851"/>
        <w:rPr>
          <w:sz w:val="24"/>
          <w:szCs w:val="24"/>
          <w:u w:val="single"/>
          <w:lang w:eastAsia="da-DK"/>
        </w:rPr>
      </w:pPr>
      <w:r w:rsidRPr="000B3814">
        <w:rPr>
          <w:sz w:val="24"/>
          <w:szCs w:val="24"/>
          <w:lang w:eastAsia="da-DK"/>
        </w:rPr>
        <w:t xml:space="preserve">Begrænsede data vedrørende brug af </w:t>
      </w:r>
      <w:proofErr w:type="spellStart"/>
      <w:r w:rsidRPr="000B3814">
        <w:rPr>
          <w:sz w:val="24"/>
          <w:szCs w:val="24"/>
          <w:lang w:eastAsia="da-DK"/>
        </w:rPr>
        <w:t>methadon</w:t>
      </w:r>
      <w:proofErr w:type="spellEnd"/>
      <w:r w:rsidRPr="000B3814">
        <w:rPr>
          <w:sz w:val="24"/>
          <w:szCs w:val="24"/>
          <w:lang w:eastAsia="da-DK"/>
        </w:rPr>
        <w:t xml:space="preserve"> hos gravide kvinder viser ingen øget risiko for medfødte misdannelser. Der kan ses abstinenssymptomer/respirationsdepression hos nyfødte, hvis mødre har fået kronisk behandling med </w:t>
      </w:r>
      <w:proofErr w:type="spellStart"/>
      <w:r w:rsidRPr="000B3814">
        <w:rPr>
          <w:sz w:val="24"/>
          <w:szCs w:val="24"/>
          <w:lang w:eastAsia="da-DK"/>
        </w:rPr>
        <w:t>methadon</w:t>
      </w:r>
      <w:proofErr w:type="spellEnd"/>
      <w:r w:rsidRPr="000B3814">
        <w:rPr>
          <w:sz w:val="24"/>
          <w:szCs w:val="24"/>
          <w:lang w:eastAsia="da-DK"/>
        </w:rPr>
        <w:t xml:space="preserve"> i graviditeten. En QT-forlængende virkning efter </w:t>
      </w:r>
      <w:proofErr w:type="spellStart"/>
      <w:r w:rsidRPr="000B3814">
        <w:rPr>
          <w:sz w:val="24"/>
          <w:szCs w:val="24"/>
          <w:lang w:eastAsia="da-DK"/>
        </w:rPr>
        <w:t>maternel</w:t>
      </w:r>
      <w:proofErr w:type="spellEnd"/>
      <w:r w:rsidRPr="000B3814">
        <w:rPr>
          <w:sz w:val="24"/>
          <w:szCs w:val="24"/>
          <w:lang w:eastAsia="da-DK"/>
        </w:rPr>
        <w:t xml:space="preserve"> </w:t>
      </w:r>
      <w:proofErr w:type="spellStart"/>
      <w:r w:rsidRPr="000B3814">
        <w:rPr>
          <w:sz w:val="24"/>
          <w:szCs w:val="24"/>
          <w:lang w:eastAsia="da-DK"/>
        </w:rPr>
        <w:t>methadoneksponering</w:t>
      </w:r>
      <w:proofErr w:type="spellEnd"/>
      <w:r w:rsidRPr="000B3814">
        <w:rPr>
          <w:sz w:val="24"/>
          <w:szCs w:val="24"/>
          <w:lang w:eastAsia="da-DK"/>
        </w:rPr>
        <w:t xml:space="preserve"> kan ikke udelukkes, og der før gennemføres et ekg med 12 afledninger, hvis det nyfødte barn har bradykardi, </w:t>
      </w:r>
      <w:proofErr w:type="spellStart"/>
      <w:r w:rsidRPr="000B3814">
        <w:rPr>
          <w:sz w:val="24"/>
          <w:szCs w:val="24"/>
          <w:lang w:eastAsia="da-DK"/>
        </w:rPr>
        <w:t>takykardi</w:t>
      </w:r>
      <w:proofErr w:type="spellEnd"/>
      <w:r w:rsidRPr="000B3814">
        <w:rPr>
          <w:sz w:val="24"/>
          <w:szCs w:val="24"/>
          <w:lang w:eastAsia="da-DK"/>
        </w:rPr>
        <w:t xml:space="preserve"> eller uregelmæssige hjertefrekvens. Dyreforsøg har påvist reproduktionstoksicitet (se pkt. 5.3). Det frarådes generelt at afgifte patienten, især efter 20. graviditetsuge. Vedligeholdelsesbehandling med </w:t>
      </w:r>
      <w:proofErr w:type="spellStart"/>
      <w:r w:rsidRPr="000B3814">
        <w:rPr>
          <w:sz w:val="24"/>
          <w:szCs w:val="24"/>
          <w:lang w:eastAsia="da-DK"/>
        </w:rPr>
        <w:t>methadon</w:t>
      </w:r>
      <w:proofErr w:type="spellEnd"/>
      <w:r w:rsidRPr="000B3814">
        <w:rPr>
          <w:sz w:val="24"/>
          <w:szCs w:val="24"/>
          <w:lang w:eastAsia="da-DK"/>
        </w:rPr>
        <w:t xml:space="preserve"> anbefales i stedet. Det frarådes at anvende </w:t>
      </w:r>
      <w:proofErr w:type="spellStart"/>
      <w:r w:rsidRPr="000B3814">
        <w:rPr>
          <w:sz w:val="24"/>
          <w:szCs w:val="24"/>
          <w:lang w:eastAsia="da-DK"/>
        </w:rPr>
        <w:t>methadon</w:t>
      </w:r>
      <w:proofErr w:type="spellEnd"/>
      <w:r w:rsidRPr="000B3814">
        <w:rPr>
          <w:sz w:val="24"/>
          <w:szCs w:val="24"/>
          <w:lang w:eastAsia="da-DK"/>
        </w:rPr>
        <w:t xml:space="preserve"> umiddelbart inden og efter fødslen på grund af risikoen for neonatal respirationsdepression. </w:t>
      </w:r>
    </w:p>
    <w:p w:rsidR="00973CD2" w:rsidRPr="000B3814" w:rsidRDefault="00973CD2" w:rsidP="00973CD2">
      <w:pPr>
        <w:tabs>
          <w:tab w:val="left" w:pos="851"/>
        </w:tabs>
        <w:ind w:left="851"/>
        <w:rPr>
          <w:sz w:val="24"/>
          <w:szCs w:val="24"/>
          <w:u w:val="single"/>
          <w:lang w:eastAsia="da-DK"/>
        </w:rPr>
      </w:pPr>
    </w:p>
    <w:p w:rsidR="00AC01B3" w:rsidRPr="000B3814" w:rsidRDefault="00AC01B3" w:rsidP="00AC01B3">
      <w:pPr>
        <w:tabs>
          <w:tab w:val="left" w:pos="851"/>
        </w:tabs>
        <w:ind w:left="851"/>
        <w:rPr>
          <w:sz w:val="24"/>
          <w:szCs w:val="24"/>
          <w:u w:val="single"/>
          <w:lang w:eastAsia="da-DK"/>
        </w:rPr>
      </w:pPr>
      <w:r w:rsidRPr="000B3814">
        <w:rPr>
          <w:sz w:val="24"/>
          <w:szCs w:val="24"/>
          <w:u w:val="single"/>
          <w:lang w:eastAsia="da-DK"/>
        </w:rPr>
        <w:t>Amning</w:t>
      </w:r>
    </w:p>
    <w:p w:rsidR="00973CD2" w:rsidRDefault="00AC01B3" w:rsidP="00AC01B3">
      <w:pPr>
        <w:tabs>
          <w:tab w:val="left" w:pos="851"/>
        </w:tabs>
        <w:ind w:left="851"/>
        <w:rPr>
          <w:sz w:val="24"/>
          <w:szCs w:val="24"/>
          <w:lang w:eastAsia="da-DK"/>
        </w:rPr>
      </w:pPr>
      <w:proofErr w:type="spellStart"/>
      <w:r w:rsidRPr="00FD7DD7">
        <w:rPr>
          <w:sz w:val="24"/>
          <w:szCs w:val="24"/>
          <w:lang w:eastAsia="da-DK"/>
        </w:rPr>
        <w:t>Met</w:t>
      </w:r>
      <w:r w:rsidR="00960AA1">
        <w:rPr>
          <w:sz w:val="24"/>
          <w:szCs w:val="24"/>
          <w:lang w:eastAsia="da-DK"/>
        </w:rPr>
        <w:t>h</w:t>
      </w:r>
      <w:r w:rsidRPr="00FD7DD7">
        <w:rPr>
          <w:sz w:val="24"/>
          <w:szCs w:val="24"/>
          <w:lang w:eastAsia="da-DK"/>
        </w:rPr>
        <w:t>adon</w:t>
      </w:r>
      <w:proofErr w:type="spellEnd"/>
      <w:r w:rsidRPr="00FD7DD7">
        <w:rPr>
          <w:sz w:val="24"/>
          <w:szCs w:val="24"/>
          <w:lang w:eastAsia="da-DK"/>
        </w:rPr>
        <w:t xml:space="preserve"> udskilles i modermælk i små mængder. Beslutningen om at anbefale amning bør tage hensyn til rådgivning fra en speciallæge, og det bør overvejes, om kvinden er på en</w:t>
      </w:r>
      <w:r>
        <w:rPr>
          <w:sz w:val="24"/>
          <w:szCs w:val="24"/>
          <w:lang w:eastAsia="da-DK"/>
        </w:rPr>
        <w:t xml:space="preserve"> </w:t>
      </w:r>
      <w:r w:rsidRPr="00FD7DD7">
        <w:rPr>
          <w:sz w:val="24"/>
          <w:szCs w:val="24"/>
          <w:lang w:eastAsia="da-DK"/>
        </w:rPr>
        <w:t xml:space="preserve">stabil vedligeholdelsesdosis af </w:t>
      </w:r>
      <w:proofErr w:type="spellStart"/>
      <w:r w:rsidRPr="00FD7DD7">
        <w:rPr>
          <w:sz w:val="24"/>
          <w:szCs w:val="24"/>
          <w:lang w:eastAsia="da-DK"/>
        </w:rPr>
        <w:t>met</w:t>
      </w:r>
      <w:r w:rsidR="00960AA1">
        <w:rPr>
          <w:sz w:val="24"/>
          <w:szCs w:val="24"/>
          <w:lang w:eastAsia="da-DK"/>
        </w:rPr>
        <w:t>h</w:t>
      </w:r>
      <w:r w:rsidRPr="00FD7DD7">
        <w:rPr>
          <w:sz w:val="24"/>
          <w:szCs w:val="24"/>
          <w:lang w:eastAsia="da-DK"/>
        </w:rPr>
        <w:t>adon</w:t>
      </w:r>
      <w:proofErr w:type="spellEnd"/>
      <w:r w:rsidRPr="00FD7DD7">
        <w:rPr>
          <w:sz w:val="24"/>
          <w:szCs w:val="24"/>
          <w:lang w:eastAsia="da-DK"/>
        </w:rPr>
        <w:t xml:space="preserve">, ligesom der bør tages højde for en eventuel fortsat brug af illegale stoffer. Hvis amning overvejes, bør </w:t>
      </w:r>
      <w:proofErr w:type="spellStart"/>
      <w:r w:rsidRPr="00FD7DD7">
        <w:rPr>
          <w:sz w:val="24"/>
          <w:szCs w:val="24"/>
          <w:lang w:eastAsia="da-DK"/>
        </w:rPr>
        <w:t>met</w:t>
      </w:r>
      <w:r w:rsidR="00960AA1">
        <w:rPr>
          <w:sz w:val="24"/>
          <w:szCs w:val="24"/>
          <w:lang w:eastAsia="da-DK"/>
        </w:rPr>
        <w:t>h</w:t>
      </w:r>
      <w:r w:rsidRPr="00FD7DD7">
        <w:rPr>
          <w:sz w:val="24"/>
          <w:szCs w:val="24"/>
          <w:lang w:eastAsia="da-DK"/>
        </w:rPr>
        <w:t>adondosen</w:t>
      </w:r>
      <w:proofErr w:type="spellEnd"/>
      <w:r w:rsidRPr="00FD7DD7">
        <w:rPr>
          <w:sz w:val="24"/>
          <w:szCs w:val="24"/>
          <w:lang w:eastAsia="da-DK"/>
        </w:rPr>
        <w:t xml:space="preserve"> være så lav som muligt. Den ordinerende læge bør råde ammende kvinder til at overvåge spædbarnet for sedation og åndedrætsbesvær og at søge øjeblikkelig lægehjælp, hvis dette opstår. Selvom mængden af </w:t>
      </w:r>
      <w:proofErr w:type="spellStart"/>
      <w:r w:rsidRPr="00FD7DD7">
        <w:rPr>
          <w:sz w:val="24"/>
          <w:szCs w:val="24"/>
          <w:lang w:eastAsia="da-DK"/>
        </w:rPr>
        <w:t>met</w:t>
      </w:r>
      <w:r w:rsidR="00960AA1">
        <w:rPr>
          <w:sz w:val="24"/>
          <w:szCs w:val="24"/>
          <w:lang w:eastAsia="da-DK"/>
        </w:rPr>
        <w:t>h</w:t>
      </w:r>
      <w:r w:rsidRPr="00FD7DD7">
        <w:rPr>
          <w:sz w:val="24"/>
          <w:szCs w:val="24"/>
          <w:lang w:eastAsia="da-DK"/>
        </w:rPr>
        <w:t>adon</w:t>
      </w:r>
      <w:proofErr w:type="spellEnd"/>
      <w:r w:rsidRPr="00FD7DD7">
        <w:rPr>
          <w:sz w:val="24"/>
          <w:szCs w:val="24"/>
          <w:lang w:eastAsia="da-DK"/>
        </w:rPr>
        <w:t>, der udskilles i modermælken, ikke er tilstrækkelig til at undertrykke</w:t>
      </w:r>
      <w:r>
        <w:rPr>
          <w:sz w:val="24"/>
          <w:szCs w:val="24"/>
          <w:lang w:eastAsia="da-DK"/>
        </w:rPr>
        <w:t xml:space="preserve"> </w:t>
      </w:r>
      <w:r w:rsidRPr="00FD7DD7">
        <w:rPr>
          <w:sz w:val="24"/>
          <w:szCs w:val="24"/>
          <w:lang w:eastAsia="da-DK"/>
        </w:rPr>
        <w:t>abstinenssymptomer hos ammede spædbørn fuldstændigt, kan det mindske</w:t>
      </w:r>
      <w:r>
        <w:rPr>
          <w:sz w:val="24"/>
          <w:szCs w:val="24"/>
          <w:lang w:eastAsia="da-DK"/>
        </w:rPr>
        <w:t xml:space="preserve"> </w:t>
      </w:r>
      <w:r w:rsidRPr="00FD7DD7">
        <w:rPr>
          <w:sz w:val="24"/>
          <w:szCs w:val="24"/>
          <w:lang w:eastAsia="da-DK"/>
        </w:rPr>
        <w:t xml:space="preserve">sværhedsgraden af neonatalt abstinenssyndrom. Hvis det er nødvendigt at standse amning, skal dette gøres gradvist, da abrupt </w:t>
      </w:r>
      <w:proofErr w:type="spellStart"/>
      <w:r w:rsidRPr="00FD7DD7">
        <w:rPr>
          <w:sz w:val="24"/>
          <w:szCs w:val="24"/>
          <w:lang w:eastAsia="da-DK"/>
        </w:rPr>
        <w:t>ammestop</w:t>
      </w:r>
      <w:proofErr w:type="spellEnd"/>
      <w:r w:rsidRPr="00FD7DD7">
        <w:rPr>
          <w:sz w:val="24"/>
          <w:szCs w:val="24"/>
          <w:lang w:eastAsia="da-DK"/>
        </w:rPr>
        <w:t xml:space="preserve"> kan øge abstinenssymptomer hos</w:t>
      </w:r>
      <w:r>
        <w:rPr>
          <w:sz w:val="24"/>
          <w:szCs w:val="24"/>
          <w:lang w:eastAsia="da-DK"/>
        </w:rPr>
        <w:t xml:space="preserve"> </w:t>
      </w:r>
      <w:r w:rsidRPr="00FD7DD7">
        <w:rPr>
          <w:sz w:val="24"/>
          <w:szCs w:val="24"/>
          <w:lang w:eastAsia="da-DK"/>
        </w:rPr>
        <w:t>spædbarnet.</w:t>
      </w:r>
    </w:p>
    <w:p w:rsidR="00AC01B3" w:rsidRPr="00C84483" w:rsidRDefault="00AC01B3" w:rsidP="00AC01B3">
      <w:pPr>
        <w:tabs>
          <w:tab w:val="left" w:pos="851"/>
        </w:tabs>
        <w:ind w:left="851"/>
        <w:rPr>
          <w:sz w:val="24"/>
          <w:szCs w:val="24"/>
        </w:rPr>
      </w:pPr>
    </w:p>
    <w:p w:rsidR="00973CD2" w:rsidRPr="00C84483" w:rsidRDefault="00973CD2" w:rsidP="00973CD2">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035DD4">
        <w:rPr>
          <w:b/>
          <w:sz w:val="24"/>
          <w:szCs w:val="24"/>
        </w:rPr>
        <w:t xml:space="preserve">og </w:t>
      </w:r>
      <w:r w:rsidRPr="00C84483">
        <w:rPr>
          <w:b/>
          <w:sz w:val="24"/>
          <w:szCs w:val="24"/>
        </w:rPr>
        <w:t>betjene maskiner</w:t>
      </w:r>
    </w:p>
    <w:p w:rsidR="00973CD2" w:rsidRPr="00270420" w:rsidRDefault="00973CD2" w:rsidP="00973CD2">
      <w:pPr>
        <w:tabs>
          <w:tab w:val="left" w:pos="851"/>
        </w:tabs>
        <w:ind w:left="851"/>
        <w:rPr>
          <w:sz w:val="24"/>
          <w:szCs w:val="24"/>
          <w:lang w:eastAsia="da-DK"/>
        </w:rPr>
      </w:pPr>
      <w:r w:rsidRPr="00270420">
        <w:rPr>
          <w:sz w:val="24"/>
          <w:szCs w:val="24"/>
          <w:lang w:eastAsia="da-DK"/>
        </w:rPr>
        <w:t>Mærkning.</w:t>
      </w:r>
    </w:p>
    <w:p w:rsidR="00973CD2" w:rsidRPr="00C84483" w:rsidRDefault="00973CD2" w:rsidP="00973CD2">
      <w:pPr>
        <w:tabs>
          <w:tab w:val="left" w:pos="851"/>
        </w:tabs>
        <w:suppressAutoHyphens/>
        <w:ind w:left="851"/>
        <w:rPr>
          <w:sz w:val="24"/>
          <w:szCs w:val="24"/>
          <w:lang w:eastAsia="da-DK"/>
        </w:rPr>
      </w:pPr>
      <w:proofErr w:type="spellStart"/>
      <w:r w:rsidRPr="00270420">
        <w:rPr>
          <w:sz w:val="24"/>
          <w:szCs w:val="24"/>
          <w:lang w:eastAsia="da-DK"/>
        </w:rPr>
        <w:t>Methadon</w:t>
      </w:r>
      <w:proofErr w:type="spellEnd"/>
      <w:r w:rsidRPr="00270420">
        <w:rPr>
          <w:sz w:val="24"/>
          <w:szCs w:val="24"/>
          <w:lang w:eastAsia="da-DK"/>
        </w:rPr>
        <w:t xml:space="preserve"> påvirker de </w:t>
      </w:r>
      <w:proofErr w:type="spellStart"/>
      <w:r w:rsidRPr="00270420">
        <w:rPr>
          <w:sz w:val="24"/>
          <w:szCs w:val="24"/>
          <w:lang w:eastAsia="da-DK"/>
        </w:rPr>
        <w:t>psykomotoriske</w:t>
      </w:r>
      <w:proofErr w:type="spellEnd"/>
      <w:r w:rsidRPr="00270420">
        <w:rPr>
          <w:sz w:val="24"/>
          <w:szCs w:val="24"/>
          <w:lang w:eastAsia="da-DK"/>
        </w:rPr>
        <w:t xml:space="preserve"> funktioner, indtil patienten er blevet stabiliseret på et passende niveau. Derfor bør patienten ikke føre motorkøretøj eller betjene maskiner, før der er opnået stabilisering, og der ikke har været misbrugssymptomer i de sidste seks måneder. Det er meget individuelt, hvor lang tid der går, før patienten kan føre motorkøretøj eller betjene maskiner, og det er lægen, der afgør dette. Du kan finde yderligere oplysninger i den nationale vejledning for </w:t>
      </w:r>
      <w:proofErr w:type="spellStart"/>
      <w:r w:rsidRPr="00270420">
        <w:rPr>
          <w:sz w:val="24"/>
          <w:szCs w:val="24"/>
          <w:lang w:eastAsia="da-DK"/>
        </w:rPr>
        <w:t>methadonbehandling</w:t>
      </w:r>
      <w:proofErr w:type="spellEnd"/>
      <w:r w:rsidRPr="00270420">
        <w:rPr>
          <w:sz w:val="24"/>
          <w:szCs w:val="24"/>
          <w:lang w:eastAsia="da-DK"/>
        </w:rPr>
        <w:t>.</w:t>
      </w:r>
    </w:p>
    <w:p w:rsidR="00973CD2" w:rsidRPr="00C84483" w:rsidRDefault="00973CD2" w:rsidP="00973CD2">
      <w:pPr>
        <w:tabs>
          <w:tab w:val="left" w:pos="851"/>
        </w:tabs>
        <w:ind w:left="851"/>
        <w:rPr>
          <w:sz w:val="24"/>
          <w:szCs w:val="24"/>
        </w:rPr>
      </w:pPr>
    </w:p>
    <w:p w:rsidR="00973CD2" w:rsidRPr="00C84483" w:rsidRDefault="00973CD2" w:rsidP="00973CD2">
      <w:pPr>
        <w:tabs>
          <w:tab w:val="left" w:pos="851"/>
        </w:tabs>
        <w:ind w:left="851" w:hanging="851"/>
        <w:rPr>
          <w:b/>
          <w:sz w:val="24"/>
          <w:szCs w:val="24"/>
        </w:rPr>
      </w:pPr>
      <w:r w:rsidRPr="00C84483">
        <w:rPr>
          <w:b/>
          <w:sz w:val="24"/>
          <w:szCs w:val="24"/>
        </w:rPr>
        <w:t>4.8</w:t>
      </w:r>
      <w:r w:rsidRPr="00C84483">
        <w:rPr>
          <w:b/>
          <w:sz w:val="24"/>
          <w:szCs w:val="24"/>
        </w:rPr>
        <w:tab/>
        <w:t>Bivirkninger</w:t>
      </w:r>
    </w:p>
    <w:p w:rsidR="00973CD2" w:rsidRPr="00BA3584" w:rsidRDefault="00973CD2" w:rsidP="00973CD2">
      <w:pPr>
        <w:tabs>
          <w:tab w:val="left" w:pos="851"/>
        </w:tabs>
        <w:suppressAutoHyphens/>
        <w:ind w:left="851"/>
        <w:rPr>
          <w:sz w:val="24"/>
          <w:szCs w:val="24"/>
          <w:lang w:eastAsia="da-DK"/>
        </w:rPr>
      </w:pPr>
      <w:r w:rsidRPr="00BA3584">
        <w:rPr>
          <w:sz w:val="24"/>
          <w:szCs w:val="24"/>
          <w:lang w:eastAsia="da-DK"/>
        </w:rPr>
        <w:t xml:space="preserve">Bivirkningerne ved </w:t>
      </w:r>
      <w:proofErr w:type="spellStart"/>
      <w:r w:rsidRPr="00BA3584">
        <w:rPr>
          <w:sz w:val="24"/>
          <w:szCs w:val="24"/>
          <w:lang w:eastAsia="da-DK"/>
        </w:rPr>
        <w:t>methadonbehandling</w:t>
      </w:r>
      <w:proofErr w:type="spellEnd"/>
      <w:r w:rsidRPr="00BA3584">
        <w:rPr>
          <w:sz w:val="24"/>
          <w:szCs w:val="24"/>
          <w:lang w:eastAsia="da-DK"/>
        </w:rPr>
        <w:t xml:space="preserve"> er stort set de samme som dem, der ses ved behandling med andre opioider. De mest almindelige bivirkninger er kvalme og opkastning, som ses hos cirka 20 % af patienterne. </w:t>
      </w:r>
    </w:p>
    <w:p w:rsidR="00973CD2" w:rsidRPr="00BA3584" w:rsidRDefault="00973CD2" w:rsidP="00973CD2">
      <w:pPr>
        <w:tabs>
          <w:tab w:val="left" w:pos="851"/>
        </w:tabs>
        <w:suppressAutoHyphens/>
        <w:ind w:left="851"/>
        <w:rPr>
          <w:sz w:val="24"/>
          <w:szCs w:val="24"/>
          <w:lang w:eastAsia="da-DK"/>
        </w:rPr>
      </w:pPr>
    </w:p>
    <w:p w:rsidR="00973CD2" w:rsidRPr="00BA3584" w:rsidRDefault="00973CD2" w:rsidP="00973CD2">
      <w:pPr>
        <w:tabs>
          <w:tab w:val="left" w:pos="851"/>
        </w:tabs>
        <w:suppressAutoHyphens/>
        <w:ind w:left="851"/>
        <w:rPr>
          <w:sz w:val="24"/>
          <w:szCs w:val="24"/>
          <w:lang w:eastAsia="da-DK"/>
        </w:rPr>
      </w:pPr>
      <w:r w:rsidRPr="00BA3584">
        <w:rPr>
          <w:sz w:val="24"/>
          <w:szCs w:val="24"/>
          <w:lang w:eastAsia="da-DK"/>
        </w:rPr>
        <w:t xml:space="preserve">Den mest alvorlige bivirkning er respirationsdepression, som kan opstå i stabiliseringsfasen. Der er set apnø, </w:t>
      </w:r>
      <w:proofErr w:type="spellStart"/>
      <w:r w:rsidRPr="00BA3584">
        <w:rPr>
          <w:sz w:val="24"/>
          <w:szCs w:val="24"/>
          <w:lang w:eastAsia="da-DK"/>
        </w:rPr>
        <w:t>shock</w:t>
      </w:r>
      <w:proofErr w:type="spellEnd"/>
      <w:r w:rsidRPr="00BA3584">
        <w:rPr>
          <w:sz w:val="24"/>
          <w:szCs w:val="24"/>
          <w:lang w:eastAsia="da-DK"/>
        </w:rPr>
        <w:t xml:space="preserve"> og hjertestop.</w:t>
      </w:r>
    </w:p>
    <w:p w:rsidR="00973CD2" w:rsidRPr="00BA3584" w:rsidRDefault="00973CD2" w:rsidP="00973CD2">
      <w:pPr>
        <w:tabs>
          <w:tab w:val="left" w:pos="851"/>
        </w:tabs>
        <w:suppressAutoHyphens/>
        <w:ind w:left="851"/>
        <w:rPr>
          <w:sz w:val="24"/>
          <w:szCs w:val="24"/>
          <w:lang w:eastAsia="da-DK"/>
        </w:rPr>
      </w:pPr>
    </w:p>
    <w:p w:rsidR="00973CD2" w:rsidRPr="00BA3584" w:rsidRDefault="00973CD2" w:rsidP="00973CD2">
      <w:pPr>
        <w:tabs>
          <w:tab w:val="left" w:pos="851"/>
        </w:tabs>
        <w:suppressAutoHyphens/>
        <w:ind w:left="851"/>
        <w:rPr>
          <w:sz w:val="24"/>
          <w:szCs w:val="24"/>
          <w:lang w:eastAsia="da-DK"/>
        </w:rPr>
      </w:pPr>
      <w:r w:rsidRPr="00BA3584">
        <w:rPr>
          <w:sz w:val="24"/>
          <w:szCs w:val="24"/>
          <w:lang w:eastAsia="da-DK"/>
        </w:rPr>
        <w:t>Inden for hver hyppighedskategori er bivirkningerne angivet efter faldende alvorligh</w:t>
      </w:r>
      <w:r>
        <w:rPr>
          <w:sz w:val="24"/>
          <w:szCs w:val="24"/>
          <w:lang w:eastAsia="da-DK"/>
        </w:rPr>
        <w:t>ed. Hyppighedskategorierne er: M</w:t>
      </w:r>
      <w:r w:rsidRPr="00BA3584">
        <w:rPr>
          <w:sz w:val="24"/>
          <w:szCs w:val="24"/>
          <w:lang w:eastAsia="da-DK"/>
        </w:rPr>
        <w:t>eget almindelig (</w:t>
      </w:r>
      <w:r w:rsidRPr="00BA3584">
        <w:rPr>
          <w:sz w:val="24"/>
          <w:szCs w:val="24"/>
          <w:lang w:eastAsia="da-DK"/>
        </w:rPr>
        <w:sym w:font="Symbol" w:char="F0B3"/>
      </w:r>
      <w:r w:rsidRPr="00BA3584">
        <w:rPr>
          <w:sz w:val="24"/>
          <w:szCs w:val="24"/>
          <w:lang w:eastAsia="da-DK"/>
        </w:rPr>
        <w:t xml:space="preserve"> 1/10); almindelig (</w:t>
      </w:r>
      <w:r w:rsidRPr="00BA3584">
        <w:rPr>
          <w:sz w:val="24"/>
          <w:szCs w:val="24"/>
          <w:lang w:eastAsia="da-DK"/>
        </w:rPr>
        <w:sym w:font="Symbol" w:char="F0B3"/>
      </w:r>
      <w:r w:rsidRPr="00BA3584">
        <w:rPr>
          <w:sz w:val="24"/>
          <w:szCs w:val="24"/>
          <w:lang w:eastAsia="da-DK"/>
        </w:rPr>
        <w:t>1/100 til &lt;1/10); ikke almindelig (</w:t>
      </w:r>
      <w:r w:rsidRPr="00BA3584">
        <w:rPr>
          <w:sz w:val="24"/>
          <w:szCs w:val="24"/>
          <w:lang w:eastAsia="da-DK"/>
        </w:rPr>
        <w:sym w:font="Symbol" w:char="F0B3"/>
      </w:r>
      <w:r w:rsidRPr="00BA3584">
        <w:rPr>
          <w:sz w:val="24"/>
          <w:szCs w:val="24"/>
          <w:lang w:eastAsia="da-DK"/>
        </w:rPr>
        <w:t>1/1.000 til &lt;1/100), sjælden (</w:t>
      </w:r>
      <w:r w:rsidRPr="00BA3584">
        <w:rPr>
          <w:sz w:val="24"/>
          <w:szCs w:val="24"/>
          <w:lang w:eastAsia="da-DK"/>
        </w:rPr>
        <w:sym w:font="Symbol" w:char="F0B3"/>
      </w:r>
      <w:r w:rsidRPr="00BA3584">
        <w:rPr>
          <w:sz w:val="24"/>
          <w:szCs w:val="24"/>
          <w:lang w:eastAsia="da-DK"/>
        </w:rPr>
        <w:t>1/10.000 til &lt;1/1.000);</w:t>
      </w:r>
      <w:r w:rsidRPr="00BA3584">
        <w:rPr>
          <w:b/>
          <w:sz w:val="24"/>
          <w:szCs w:val="24"/>
          <w:lang w:eastAsia="da-DK"/>
        </w:rPr>
        <w:t xml:space="preserve"> </w:t>
      </w:r>
      <w:r w:rsidRPr="00BA3584">
        <w:rPr>
          <w:sz w:val="24"/>
          <w:szCs w:val="24"/>
          <w:lang w:eastAsia="da-DK"/>
        </w:rPr>
        <w:t>meget sjælden (&lt; 1/10.000), ikke kendt (kan ikke estimeres ud fra forhåndenværende data).</w:t>
      </w:r>
    </w:p>
    <w:p w:rsidR="00973CD2" w:rsidRPr="00BA3584" w:rsidRDefault="00973CD2" w:rsidP="00973CD2">
      <w:pPr>
        <w:tabs>
          <w:tab w:val="left" w:pos="851"/>
        </w:tabs>
        <w:suppressAutoHyphens/>
        <w:ind w:left="851"/>
        <w:rPr>
          <w:sz w:val="24"/>
          <w:szCs w:val="24"/>
          <w:lang w:eastAsia="da-DK"/>
        </w:rPr>
      </w:pPr>
    </w:p>
    <w:tbl>
      <w:tblPr>
        <w:tblW w:w="890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1459"/>
        <w:gridCol w:w="1476"/>
        <w:gridCol w:w="1459"/>
        <w:gridCol w:w="1459"/>
        <w:gridCol w:w="1494"/>
      </w:tblGrid>
      <w:tr w:rsidR="00AC01B3" w:rsidRPr="00BA3584" w:rsidTr="00D26F3C">
        <w:tc>
          <w:tcPr>
            <w:tcW w:w="1559" w:type="dxa"/>
            <w:shd w:val="clear" w:color="auto" w:fill="FFFFFF"/>
          </w:tcPr>
          <w:p w:rsidR="00AC01B3" w:rsidRPr="00BA3584" w:rsidRDefault="00AC01B3" w:rsidP="00D26F3C">
            <w:pPr>
              <w:suppressAutoHyphens/>
              <w:rPr>
                <w:b/>
                <w:sz w:val="20"/>
                <w:lang w:eastAsia="da-DK"/>
              </w:rPr>
            </w:pPr>
            <w:r w:rsidRPr="00BA3584">
              <w:rPr>
                <w:b/>
                <w:sz w:val="20"/>
                <w:lang w:eastAsia="da-DK"/>
              </w:rPr>
              <w:t>Systemorgan-</w:t>
            </w:r>
          </w:p>
          <w:p w:rsidR="00AC01B3" w:rsidRPr="00BA3584" w:rsidRDefault="00AC01B3" w:rsidP="00D26F3C">
            <w:pPr>
              <w:suppressAutoHyphens/>
              <w:rPr>
                <w:b/>
                <w:sz w:val="20"/>
                <w:lang w:eastAsia="da-DK"/>
              </w:rPr>
            </w:pPr>
            <w:r w:rsidRPr="00BA3584">
              <w:rPr>
                <w:b/>
                <w:sz w:val="20"/>
                <w:lang w:eastAsia="da-DK"/>
              </w:rPr>
              <w:t>klasse</w:t>
            </w:r>
          </w:p>
          <w:p w:rsidR="00AC01B3" w:rsidRPr="00BA3584" w:rsidRDefault="00AC01B3" w:rsidP="00D26F3C">
            <w:pPr>
              <w:suppressAutoHyphens/>
              <w:rPr>
                <w:b/>
                <w:sz w:val="20"/>
                <w:lang w:eastAsia="da-DK"/>
              </w:rPr>
            </w:pPr>
          </w:p>
        </w:tc>
        <w:tc>
          <w:tcPr>
            <w:tcW w:w="1459" w:type="dxa"/>
          </w:tcPr>
          <w:p w:rsidR="00AC01B3" w:rsidRPr="00BA3584" w:rsidRDefault="00AC01B3" w:rsidP="00D26F3C">
            <w:pPr>
              <w:suppressAutoHyphens/>
              <w:rPr>
                <w:b/>
                <w:sz w:val="20"/>
                <w:lang w:eastAsia="da-DK"/>
              </w:rPr>
            </w:pPr>
            <w:r w:rsidRPr="00BA3584">
              <w:rPr>
                <w:b/>
                <w:sz w:val="20"/>
                <w:lang w:eastAsia="da-DK"/>
              </w:rPr>
              <w:t>Meget almindelig</w:t>
            </w:r>
          </w:p>
          <w:p w:rsidR="00AC01B3" w:rsidRPr="00BA3584" w:rsidRDefault="00AC01B3" w:rsidP="00D26F3C">
            <w:pPr>
              <w:suppressAutoHyphens/>
              <w:rPr>
                <w:b/>
                <w:sz w:val="20"/>
                <w:lang w:eastAsia="da-DK"/>
              </w:rPr>
            </w:pPr>
            <w:r w:rsidRPr="00BA3584">
              <w:rPr>
                <w:b/>
                <w:sz w:val="20"/>
                <w:lang w:eastAsia="da-DK"/>
              </w:rPr>
              <w:t>(</w:t>
            </w:r>
            <w:r w:rsidRPr="00BA3584">
              <w:rPr>
                <w:b/>
                <w:sz w:val="20"/>
                <w:lang w:eastAsia="da-DK"/>
              </w:rPr>
              <w:sym w:font="Symbol" w:char="F0B3"/>
            </w:r>
            <w:r w:rsidRPr="00BA3584">
              <w:rPr>
                <w:b/>
                <w:sz w:val="20"/>
                <w:lang w:eastAsia="da-DK"/>
              </w:rPr>
              <w:t xml:space="preserve"> 1/10)</w:t>
            </w:r>
          </w:p>
        </w:tc>
        <w:tc>
          <w:tcPr>
            <w:tcW w:w="1476" w:type="dxa"/>
          </w:tcPr>
          <w:p w:rsidR="00AC01B3" w:rsidRPr="00BA3584" w:rsidRDefault="00AC01B3" w:rsidP="00D26F3C">
            <w:pPr>
              <w:suppressAutoHyphens/>
              <w:rPr>
                <w:b/>
                <w:sz w:val="20"/>
                <w:lang w:eastAsia="da-DK"/>
              </w:rPr>
            </w:pPr>
            <w:r w:rsidRPr="00BA3584">
              <w:rPr>
                <w:b/>
                <w:sz w:val="20"/>
                <w:lang w:eastAsia="da-DK"/>
              </w:rPr>
              <w:t>Almindelig</w:t>
            </w:r>
          </w:p>
          <w:p w:rsidR="00AC01B3" w:rsidRPr="00BA3584" w:rsidRDefault="00AC01B3" w:rsidP="00D26F3C">
            <w:pPr>
              <w:suppressAutoHyphens/>
              <w:rPr>
                <w:b/>
                <w:sz w:val="20"/>
                <w:lang w:eastAsia="da-DK"/>
              </w:rPr>
            </w:pPr>
            <w:r w:rsidRPr="00BA3584">
              <w:rPr>
                <w:b/>
                <w:sz w:val="20"/>
                <w:lang w:eastAsia="da-DK"/>
              </w:rPr>
              <w:t>(</w:t>
            </w:r>
            <w:r w:rsidRPr="00BA3584">
              <w:rPr>
                <w:b/>
                <w:sz w:val="20"/>
                <w:lang w:eastAsia="da-DK"/>
              </w:rPr>
              <w:sym w:font="Symbol" w:char="F0B3"/>
            </w:r>
            <w:r w:rsidRPr="00BA3584">
              <w:rPr>
                <w:b/>
                <w:sz w:val="20"/>
                <w:lang w:eastAsia="da-DK"/>
              </w:rPr>
              <w:t>1/100 til &lt;1/10)</w:t>
            </w:r>
          </w:p>
        </w:tc>
        <w:tc>
          <w:tcPr>
            <w:tcW w:w="1459" w:type="dxa"/>
          </w:tcPr>
          <w:p w:rsidR="00AC01B3" w:rsidRPr="00BA3584" w:rsidRDefault="00AC01B3" w:rsidP="00D26F3C">
            <w:pPr>
              <w:suppressAutoHyphens/>
              <w:rPr>
                <w:b/>
                <w:sz w:val="20"/>
                <w:lang w:eastAsia="da-DK"/>
              </w:rPr>
            </w:pPr>
            <w:r w:rsidRPr="00BA3584">
              <w:rPr>
                <w:b/>
                <w:sz w:val="20"/>
                <w:lang w:eastAsia="da-DK"/>
              </w:rPr>
              <w:t xml:space="preserve">Ikke almindelig </w:t>
            </w:r>
            <w:r w:rsidRPr="00BA3584">
              <w:rPr>
                <w:b/>
                <w:sz w:val="20"/>
                <w:lang w:eastAsia="da-DK"/>
              </w:rPr>
              <w:lastRenderedPageBreak/>
              <w:t>(</w:t>
            </w:r>
            <w:r w:rsidRPr="00BA3584">
              <w:rPr>
                <w:b/>
                <w:sz w:val="20"/>
                <w:lang w:eastAsia="da-DK"/>
              </w:rPr>
              <w:sym w:font="Symbol" w:char="F0B3"/>
            </w:r>
            <w:r w:rsidRPr="00BA3584">
              <w:rPr>
                <w:b/>
                <w:sz w:val="20"/>
                <w:lang w:eastAsia="da-DK"/>
              </w:rPr>
              <w:t>1/1.000 til &lt;1/100)</w:t>
            </w:r>
          </w:p>
        </w:tc>
        <w:tc>
          <w:tcPr>
            <w:tcW w:w="1459" w:type="dxa"/>
          </w:tcPr>
          <w:p w:rsidR="00AC01B3" w:rsidRPr="00BA3584" w:rsidRDefault="00AC01B3" w:rsidP="00D26F3C">
            <w:pPr>
              <w:suppressAutoHyphens/>
              <w:rPr>
                <w:b/>
                <w:sz w:val="20"/>
                <w:lang w:eastAsia="da-DK"/>
              </w:rPr>
            </w:pPr>
            <w:r w:rsidRPr="00BA3584">
              <w:rPr>
                <w:b/>
                <w:sz w:val="20"/>
                <w:lang w:eastAsia="da-DK"/>
              </w:rPr>
              <w:lastRenderedPageBreak/>
              <w:t>Sjælden (</w:t>
            </w:r>
            <w:r w:rsidRPr="00BA3584">
              <w:rPr>
                <w:b/>
                <w:sz w:val="20"/>
                <w:lang w:eastAsia="da-DK"/>
              </w:rPr>
              <w:sym w:font="Symbol" w:char="F0B3"/>
            </w:r>
            <w:r w:rsidRPr="00BA3584">
              <w:rPr>
                <w:b/>
                <w:sz w:val="20"/>
                <w:lang w:eastAsia="da-DK"/>
              </w:rPr>
              <w:t>1/10.000 til &lt;1/1.000)</w:t>
            </w:r>
          </w:p>
        </w:tc>
        <w:tc>
          <w:tcPr>
            <w:tcW w:w="1494" w:type="dxa"/>
          </w:tcPr>
          <w:p w:rsidR="00AC01B3" w:rsidRPr="00BA3584" w:rsidRDefault="00AC01B3" w:rsidP="00D26F3C">
            <w:pPr>
              <w:suppressAutoHyphens/>
              <w:rPr>
                <w:b/>
                <w:sz w:val="20"/>
                <w:lang w:eastAsia="da-DK"/>
              </w:rPr>
            </w:pPr>
            <w:r w:rsidRPr="00BA3584">
              <w:rPr>
                <w:b/>
                <w:sz w:val="20"/>
                <w:lang w:eastAsia="da-DK"/>
              </w:rPr>
              <w:t xml:space="preserve">Ikke kendt (kan ikke estimeres ud </w:t>
            </w:r>
            <w:r w:rsidRPr="00BA3584">
              <w:rPr>
                <w:b/>
                <w:sz w:val="20"/>
                <w:lang w:eastAsia="da-DK"/>
              </w:rPr>
              <w:lastRenderedPageBreak/>
              <w:t xml:space="preserve">fra </w:t>
            </w:r>
            <w:proofErr w:type="spellStart"/>
            <w:r w:rsidRPr="00BA3584">
              <w:rPr>
                <w:b/>
                <w:sz w:val="20"/>
                <w:lang w:eastAsia="da-DK"/>
              </w:rPr>
              <w:t>forhånden-værende</w:t>
            </w:r>
            <w:proofErr w:type="spellEnd"/>
            <w:r w:rsidRPr="00BA3584">
              <w:rPr>
                <w:b/>
                <w:sz w:val="20"/>
                <w:lang w:eastAsia="da-DK"/>
              </w:rPr>
              <w:t xml:space="preserve"> data)</w:t>
            </w:r>
          </w:p>
        </w:tc>
      </w:tr>
      <w:tr w:rsidR="00AC01B3" w:rsidRPr="00BA3584" w:rsidTr="00D26F3C">
        <w:tc>
          <w:tcPr>
            <w:tcW w:w="1559" w:type="dxa"/>
          </w:tcPr>
          <w:p w:rsidR="00AC01B3" w:rsidRPr="00BA3584" w:rsidRDefault="00AC01B3" w:rsidP="00D26F3C">
            <w:pPr>
              <w:suppressAutoHyphens/>
              <w:rPr>
                <w:sz w:val="20"/>
                <w:lang w:eastAsia="da-DK"/>
              </w:rPr>
            </w:pPr>
            <w:r w:rsidRPr="00BA3584">
              <w:rPr>
                <w:sz w:val="20"/>
                <w:lang w:eastAsia="da-DK"/>
              </w:rPr>
              <w:lastRenderedPageBreak/>
              <w:t>Blod og lymfesystem</w:t>
            </w:r>
          </w:p>
          <w:p w:rsidR="00AC01B3" w:rsidRPr="00BA3584" w:rsidRDefault="00AC01B3" w:rsidP="00D26F3C">
            <w:pPr>
              <w:suppressAutoHyphens/>
              <w:rPr>
                <w:sz w:val="20"/>
                <w:lang w:eastAsia="da-DK"/>
              </w:rPr>
            </w:pPr>
          </w:p>
        </w:tc>
        <w:tc>
          <w:tcPr>
            <w:tcW w:w="1459" w:type="dxa"/>
          </w:tcPr>
          <w:p w:rsidR="00AC01B3" w:rsidRPr="00BA3584" w:rsidRDefault="00AC01B3" w:rsidP="00D26F3C">
            <w:pPr>
              <w:suppressAutoHyphens/>
              <w:rPr>
                <w:sz w:val="20"/>
                <w:lang w:eastAsia="da-DK"/>
              </w:rPr>
            </w:pPr>
          </w:p>
        </w:tc>
        <w:tc>
          <w:tcPr>
            <w:tcW w:w="1476" w:type="dxa"/>
          </w:tcPr>
          <w:p w:rsidR="00AC01B3" w:rsidRPr="00BA3584" w:rsidRDefault="00AC01B3" w:rsidP="00D26F3C">
            <w:pPr>
              <w:suppressAutoHyphens/>
              <w:rPr>
                <w:sz w:val="20"/>
                <w:lang w:eastAsia="da-DK"/>
              </w:rPr>
            </w:pPr>
          </w:p>
        </w:tc>
        <w:tc>
          <w:tcPr>
            <w:tcW w:w="1459" w:type="dxa"/>
          </w:tcPr>
          <w:p w:rsidR="00AC01B3" w:rsidRPr="00BA3584" w:rsidRDefault="00AC01B3" w:rsidP="00D26F3C">
            <w:pPr>
              <w:suppressAutoHyphens/>
              <w:rPr>
                <w:sz w:val="20"/>
                <w:lang w:eastAsia="da-DK"/>
              </w:rPr>
            </w:pPr>
          </w:p>
        </w:tc>
        <w:tc>
          <w:tcPr>
            <w:tcW w:w="1459" w:type="dxa"/>
          </w:tcPr>
          <w:p w:rsidR="00AC01B3" w:rsidRPr="00BA3584" w:rsidRDefault="00AC01B3" w:rsidP="00D26F3C">
            <w:pPr>
              <w:suppressAutoHyphens/>
              <w:rPr>
                <w:sz w:val="20"/>
                <w:lang w:eastAsia="da-DK"/>
              </w:rPr>
            </w:pPr>
          </w:p>
        </w:tc>
        <w:tc>
          <w:tcPr>
            <w:tcW w:w="1494" w:type="dxa"/>
          </w:tcPr>
          <w:p w:rsidR="00AC01B3" w:rsidRPr="00BA3584" w:rsidRDefault="00AC01B3" w:rsidP="00D26F3C">
            <w:pPr>
              <w:suppressAutoHyphens/>
              <w:rPr>
                <w:sz w:val="20"/>
                <w:lang w:eastAsia="da-DK"/>
              </w:rPr>
            </w:pPr>
            <w:r w:rsidRPr="00BA3584">
              <w:rPr>
                <w:sz w:val="20"/>
                <w:lang w:eastAsia="da-DK"/>
              </w:rPr>
              <w:t xml:space="preserve">Reversibel </w:t>
            </w:r>
            <w:proofErr w:type="spellStart"/>
            <w:r w:rsidRPr="00BA3584">
              <w:rPr>
                <w:sz w:val="20"/>
                <w:lang w:eastAsia="da-DK"/>
              </w:rPr>
              <w:t>trombocytopeni</w:t>
            </w:r>
            <w:proofErr w:type="spellEnd"/>
            <w:r w:rsidRPr="00BA3584">
              <w:rPr>
                <w:sz w:val="20"/>
                <w:lang w:eastAsia="da-DK"/>
              </w:rPr>
              <w:t xml:space="preserve"> er indberettet hos opioidpatienter med kronisk hepatitis. </w:t>
            </w:r>
          </w:p>
          <w:p w:rsidR="00AC01B3" w:rsidRPr="00BA3584" w:rsidRDefault="00AC01B3" w:rsidP="00D26F3C">
            <w:pPr>
              <w:suppressAutoHyphens/>
              <w:rPr>
                <w:sz w:val="20"/>
                <w:lang w:eastAsia="da-DK"/>
              </w:rPr>
            </w:pPr>
          </w:p>
        </w:tc>
      </w:tr>
      <w:tr w:rsidR="00AC01B3" w:rsidRPr="00BA3584" w:rsidTr="00D26F3C">
        <w:tc>
          <w:tcPr>
            <w:tcW w:w="1559" w:type="dxa"/>
          </w:tcPr>
          <w:p w:rsidR="00AC01B3" w:rsidRPr="00BA3584" w:rsidRDefault="00AC01B3" w:rsidP="00D26F3C">
            <w:pPr>
              <w:suppressAutoHyphens/>
              <w:rPr>
                <w:sz w:val="20"/>
                <w:lang w:eastAsia="da-DK"/>
              </w:rPr>
            </w:pPr>
            <w:r w:rsidRPr="00BA3584">
              <w:rPr>
                <w:sz w:val="20"/>
                <w:lang w:eastAsia="da-DK"/>
              </w:rPr>
              <w:t>Metabolisme og ernæring</w:t>
            </w:r>
          </w:p>
          <w:p w:rsidR="00AC01B3" w:rsidRPr="00BA3584" w:rsidRDefault="00AC01B3" w:rsidP="00D26F3C">
            <w:pPr>
              <w:suppressAutoHyphens/>
              <w:rPr>
                <w:sz w:val="20"/>
                <w:lang w:eastAsia="da-DK"/>
              </w:rPr>
            </w:pPr>
          </w:p>
        </w:tc>
        <w:tc>
          <w:tcPr>
            <w:tcW w:w="1459" w:type="dxa"/>
          </w:tcPr>
          <w:p w:rsidR="00AC01B3" w:rsidRPr="00BA3584" w:rsidRDefault="00AC01B3" w:rsidP="00D26F3C">
            <w:pPr>
              <w:suppressAutoHyphens/>
              <w:rPr>
                <w:sz w:val="20"/>
                <w:lang w:eastAsia="da-DK"/>
              </w:rPr>
            </w:pPr>
          </w:p>
        </w:tc>
        <w:tc>
          <w:tcPr>
            <w:tcW w:w="1476" w:type="dxa"/>
          </w:tcPr>
          <w:p w:rsidR="00AC01B3" w:rsidRPr="00BA3584" w:rsidRDefault="00AC01B3" w:rsidP="00D26F3C">
            <w:pPr>
              <w:suppressAutoHyphens/>
              <w:rPr>
                <w:sz w:val="20"/>
                <w:lang w:eastAsia="da-DK"/>
              </w:rPr>
            </w:pPr>
            <w:r w:rsidRPr="00BA3584">
              <w:rPr>
                <w:sz w:val="20"/>
                <w:lang w:eastAsia="da-DK"/>
              </w:rPr>
              <w:t>Væske-retention.</w:t>
            </w:r>
          </w:p>
        </w:tc>
        <w:tc>
          <w:tcPr>
            <w:tcW w:w="1459" w:type="dxa"/>
          </w:tcPr>
          <w:p w:rsidR="00AC01B3" w:rsidRPr="00BA3584" w:rsidRDefault="00AC01B3" w:rsidP="00D26F3C">
            <w:pPr>
              <w:suppressAutoHyphens/>
              <w:rPr>
                <w:sz w:val="20"/>
                <w:lang w:eastAsia="da-DK"/>
              </w:rPr>
            </w:pPr>
            <w:r w:rsidRPr="00BA3584">
              <w:rPr>
                <w:sz w:val="20"/>
                <w:lang w:eastAsia="da-DK"/>
              </w:rPr>
              <w:t>Anoreksi.</w:t>
            </w:r>
          </w:p>
        </w:tc>
        <w:tc>
          <w:tcPr>
            <w:tcW w:w="1459" w:type="dxa"/>
          </w:tcPr>
          <w:p w:rsidR="00AC01B3" w:rsidRPr="00BA3584" w:rsidRDefault="00AC01B3" w:rsidP="00D26F3C">
            <w:pPr>
              <w:suppressAutoHyphens/>
              <w:rPr>
                <w:sz w:val="20"/>
                <w:lang w:eastAsia="da-DK"/>
              </w:rPr>
            </w:pPr>
          </w:p>
        </w:tc>
        <w:tc>
          <w:tcPr>
            <w:tcW w:w="1494" w:type="dxa"/>
          </w:tcPr>
          <w:p w:rsidR="00AC01B3" w:rsidRPr="00BA3584" w:rsidRDefault="00AC01B3" w:rsidP="00D26F3C">
            <w:pPr>
              <w:suppressAutoHyphens/>
              <w:rPr>
                <w:sz w:val="20"/>
                <w:lang w:eastAsia="da-DK"/>
              </w:rPr>
            </w:pPr>
            <w:proofErr w:type="spellStart"/>
            <w:r w:rsidRPr="00BA3584">
              <w:rPr>
                <w:sz w:val="20"/>
                <w:lang w:eastAsia="da-DK"/>
              </w:rPr>
              <w:t>Hypokaliæmi</w:t>
            </w:r>
            <w:proofErr w:type="spellEnd"/>
            <w:r w:rsidRPr="00BA3584">
              <w:rPr>
                <w:sz w:val="20"/>
                <w:lang w:eastAsia="da-DK"/>
              </w:rPr>
              <w:t xml:space="preserve">, </w:t>
            </w:r>
            <w:proofErr w:type="spellStart"/>
            <w:r w:rsidRPr="00BA3584">
              <w:rPr>
                <w:sz w:val="20"/>
                <w:lang w:eastAsia="da-DK"/>
              </w:rPr>
              <w:t>hypo-magnesiæmi</w:t>
            </w:r>
            <w:proofErr w:type="spellEnd"/>
            <w:r>
              <w:rPr>
                <w:sz w:val="20"/>
                <w:lang w:eastAsia="da-DK"/>
              </w:rPr>
              <w:t>, hypoglykæmi</w:t>
            </w:r>
            <w:r w:rsidRPr="00BA3584">
              <w:rPr>
                <w:sz w:val="20"/>
                <w:lang w:eastAsia="da-DK"/>
              </w:rPr>
              <w:t>.</w:t>
            </w:r>
          </w:p>
        </w:tc>
      </w:tr>
      <w:tr w:rsidR="00AC01B3" w:rsidRPr="00BA3584" w:rsidTr="00D26F3C">
        <w:tc>
          <w:tcPr>
            <w:tcW w:w="1559" w:type="dxa"/>
          </w:tcPr>
          <w:p w:rsidR="00AC01B3" w:rsidRPr="00BA3584" w:rsidRDefault="00AC01B3" w:rsidP="00D26F3C">
            <w:pPr>
              <w:suppressAutoHyphens/>
              <w:rPr>
                <w:sz w:val="20"/>
                <w:lang w:eastAsia="da-DK"/>
              </w:rPr>
            </w:pPr>
            <w:r w:rsidRPr="00BA3584">
              <w:rPr>
                <w:sz w:val="20"/>
                <w:lang w:eastAsia="da-DK"/>
              </w:rPr>
              <w:t>Psykiske forstyrrelser</w:t>
            </w:r>
          </w:p>
          <w:p w:rsidR="00AC01B3" w:rsidRPr="00BA3584" w:rsidRDefault="00AC01B3" w:rsidP="00D26F3C">
            <w:pPr>
              <w:suppressAutoHyphens/>
              <w:rPr>
                <w:sz w:val="20"/>
                <w:lang w:eastAsia="da-DK"/>
              </w:rPr>
            </w:pPr>
          </w:p>
        </w:tc>
        <w:tc>
          <w:tcPr>
            <w:tcW w:w="1459" w:type="dxa"/>
          </w:tcPr>
          <w:p w:rsidR="00AC01B3" w:rsidRPr="00BA3584" w:rsidRDefault="00AC01B3" w:rsidP="00D26F3C">
            <w:pPr>
              <w:suppressAutoHyphens/>
              <w:rPr>
                <w:sz w:val="20"/>
                <w:lang w:eastAsia="da-DK"/>
              </w:rPr>
            </w:pPr>
          </w:p>
        </w:tc>
        <w:tc>
          <w:tcPr>
            <w:tcW w:w="1476" w:type="dxa"/>
          </w:tcPr>
          <w:p w:rsidR="00AC01B3" w:rsidRPr="00BA3584" w:rsidRDefault="00AC01B3" w:rsidP="00D26F3C">
            <w:pPr>
              <w:suppressAutoHyphens/>
              <w:rPr>
                <w:sz w:val="20"/>
                <w:lang w:eastAsia="da-DK"/>
              </w:rPr>
            </w:pPr>
            <w:r>
              <w:rPr>
                <w:sz w:val="20"/>
                <w:lang w:eastAsia="da-DK"/>
              </w:rPr>
              <w:t>Eufori, hallucinationer.</w:t>
            </w:r>
          </w:p>
        </w:tc>
        <w:tc>
          <w:tcPr>
            <w:tcW w:w="1459" w:type="dxa"/>
          </w:tcPr>
          <w:p w:rsidR="00AC01B3" w:rsidRPr="00BA3584" w:rsidRDefault="00AC01B3" w:rsidP="00D26F3C">
            <w:pPr>
              <w:suppressAutoHyphens/>
              <w:rPr>
                <w:sz w:val="20"/>
                <w:lang w:eastAsia="da-DK"/>
              </w:rPr>
            </w:pPr>
            <w:proofErr w:type="spellStart"/>
            <w:r w:rsidRPr="00BA3584">
              <w:rPr>
                <w:sz w:val="20"/>
                <w:lang w:eastAsia="da-DK"/>
              </w:rPr>
              <w:t>Dysfori</w:t>
            </w:r>
            <w:proofErr w:type="spellEnd"/>
            <w:r w:rsidRPr="00BA3584">
              <w:rPr>
                <w:sz w:val="20"/>
                <w:lang w:eastAsia="da-DK"/>
              </w:rPr>
              <w:t xml:space="preserve">, agitation, </w:t>
            </w:r>
            <w:proofErr w:type="spellStart"/>
            <w:r w:rsidRPr="00BA3584">
              <w:rPr>
                <w:sz w:val="20"/>
                <w:lang w:eastAsia="da-DK"/>
              </w:rPr>
              <w:t>insomni</w:t>
            </w:r>
            <w:proofErr w:type="spellEnd"/>
            <w:r w:rsidRPr="00BA3584">
              <w:rPr>
                <w:sz w:val="20"/>
                <w:lang w:eastAsia="da-DK"/>
              </w:rPr>
              <w:t>, desorientering, nedsat libido.</w:t>
            </w:r>
          </w:p>
        </w:tc>
        <w:tc>
          <w:tcPr>
            <w:tcW w:w="1459" w:type="dxa"/>
          </w:tcPr>
          <w:p w:rsidR="00AC01B3" w:rsidRPr="00BA3584" w:rsidRDefault="00AC01B3" w:rsidP="00D26F3C">
            <w:pPr>
              <w:suppressAutoHyphens/>
              <w:rPr>
                <w:sz w:val="20"/>
                <w:lang w:eastAsia="da-DK"/>
              </w:rPr>
            </w:pPr>
          </w:p>
        </w:tc>
        <w:tc>
          <w:tcPr>
            <w:tcW w:w="1494" w:type="dxa"/>
          </w:tcPr>
          <w:p w:rsidR="00AC01B3" w:rsidRPr="00BA3584" w:rsidRDefault="00AC01B3" w:rsidP="00D26F3C">
            <w:pPr>
              <w:suppressAutoHyphens/>
              <w:rPr>
                <w:sz w:val="20"/>
                <w:lang w:eastAsia="da-DK"/>
              </w:rPr>
            </w:pPr>
            <w:r w:rsidRPr="00BA3584">
              <w:rPr>
                <w:sz w:val="20"/>
                <w:lang w:eastAsia="da-DK"/>
              </w:rPr>
              <w:t>Afhængighed, humørændring.</w:t>
            </w:r>
          </w:p>
        </w:tc>
      </w:tr>
      <w:tr w:rsidR="00AC01B3" w:rsidRPr="00BA3584" w:rsidTr="00D26F3C">
        <w:tc>
          <w:tcPr>
            <w:tcW w:w="1559" w:type="dxa"/>
          </w:tcPr>
          <w:p w:rsidR="00AC01B3" w:rsidRPr="00BA3584" w:rsidRDefault="00AC01B3" w:rsidP="00D26F3C">
            <w:pPr>
              <w:suppressAutoHyphens/>
              <w:rPr>
                <w:sz w:val="20"/>
                <w:lang w:eastAsia="da-DK"/>
              </w:rPr>
            </w:pPr>
            <w:r w:rsidRPr="00BA3584">
              <w:rPr>
                <w:sz w:val="20"/>
                <w:lang w:eastAsia="da-DK"/>
              </w:rPr>
              <w:t>Nervesystemet</w:t>
            </w:r>
          </w:p>
          <w:p w:rsidR="00AC01B3" w:rsidRPr="00BA3584" w:rsidRDefault="00AC01B3" w:rsidP="00D26F3C">
            <w:pPr>
              <w:suppressAutoHyphens/>
              <w:rPr>
                <w:sz w:val="20"/>
                <w:lang w:eastAsia="da-DK"/>
              </w:rPr>
            </w:pPr>
          </w:p>
        </w:tc>
        <w:tc>
          <w:tcPr>
            <w:tcW w:w="1459" w:type="dxa"/>
          </w:tcPr>
          <w:p w:rsidR="00AC01B3" w:rsidRPr="00BA3584" w:rsidRDefault="00AC01B3" w:rsidP="00D26F3C">
            <w:pPr>
              <w:suppressAutoHyphens/>
              <w:rPr>
                <w:sz w:val="20"/>
                <w:lang w:eastAsia="da-DK"/>
              </w:rPr>
            </w:pPr>
          </w:p>
        </w:tc>
        <w:tc>
          <w:tcPr>
            <w:tcW w:w="1476" w:type="dxa"/>
          </w:tcPr>
          <w:p w:rsidR="00AC01B3" w:rsidRPr="00BA3584" w:rsidRDefault="00AC01B3" w:rsidP="00D26F3C">
            <w:pPr>
              <w:suppressAutoHyphens/>
              <w:rPr>
                <w:sz w:val="20"/>
                <w:lang w:eastAsia="da-DK"/>
              </w:rPr>
            </w:pPr>
            <w:proofErr w:type="spellStart"/>
            <w:r w:rsidRPr="00BA3584">
              <w:rPr>
                <w:sz w:val="20"/>
                <w:lang w:eastAsia="da-DK"/>
              </w:rPr>
              <w:t>Sedering</w:t>
            </w:r>
            <w:proofErr w:type="spellEnd"/>
            <w:r w:rsidRPr="00BA3584">
              <w:rPr>
                <w:sz w:val="20"/>
                <w:lang w:eastAsia="da-DK"/>
              </w:rPr>
              <w:t>.</w:t>
            </w:r>
          </w:p>
        </w:tc>
        <w:tc>
          <w:tcPr>
            <w:tcW w:w="1459" w:type="dxa"/>
          </w:tcPr>
          <w:p w:rsidR="00AC01B3" w:rsidRPr="00BA3584" w:rsidRDefault="00AC01B3" w:rsidP="00D26F3C">
            <w:pPr>
              <w:suppressAutoHyphens/>
              <w:rPr>
                <w:sz w:val="20"/>
                <w:lang w:eastAsia="da-DK"/>
              </w:rPr>
            </w:pPr>
            <w:r w:rsidRPr="00BA3584">
              <w:rPr>
                <w:sz w:val="20"/>
                <w:lang w:eastAsia="da-DK"/>
              </w:rPr>
              <w:t>Hovedpine, synkope.</w:t>
            </w:r>
          </w:p>
        </w:tc>
        <w:tc>
          <w:tcPr>
            <w:tcW w:w="1459" w:type="dxa"/>
          </w:tcPr>
          <w:p w:rsidR="00AC01B3" w:rsidRPr="00BA3584" w:rsidRDefault="00AC01B3" w:rsidP="00D26F3C">
            <w:pPr>
              <w:suppressAutoHyphens/>
              <w:rPr>
                <w:sz w:val="20"/>
                <w:lang w:eastAsia="da-DK"/>
              </w:rPr>
            </w:pPr>
          </w:p>
        </w:tc>
        <w:tc>
          <w:tcPr>
            <w:tcW w:w="1494" w:type="dxa"/>
          </w:tcPr>
          <w:p w:rsidR="00AC01B3" w:rsidRPr="00BA3584" w:rsidRDefault="00AC01B3" w:rsidP="00D26F3C">
            <w:pPr>
              <w:suppressAutoHyphens/>
              <w:rPr>
                <w:sz w:val="20"/>
                <w:lang w:eastAsia="da-DK"/>
              </w:rPr>
            </w:pPr>
          </w:p>
        </w:tc>
      </w:tr>
      <w:tr w:rsidR="00AC01B3" w:rsidRPr="00BA3584" w:rsidTr="00D26F3C">
        <w:tc>
          <w:tcPr>
            <w:tcW w:w="1559" w:type="dxa"/>
          </w:tcPr>
          <w:p w:rsidR="00AC01B3" w:rsidRPr="00BA3584" w:rsidRDefault="00AC01B3" w:rsidP="00D26F3C">
            <w:pPr>
              <w:suppressAutoHyphens/>
              <w:rPr>
                <w:sz w:val="20"/>
                <w:lang w:eastAsia="da-DK"/>
              </w:rPr>
            </w:pPr>
            <w:r w:rsidRPr="00BA3584">
              <w:rPr>
                <w:sz w:val="20"/>
                <w:lang w:eastAsia="da-DK"/>
              </w:rPr>
              <w:t>Øjne</w:t>
            </w:r>
          </w:p>
        </w:tc>
        <w:tc>
          <w:tcPr>
            <w:tcW w:w="1459" w:type="dxa"/>
          </w:tcPr>
          <w:p w:rsidR="00AC01B3" w:rsidRPr="00BA3584" w:rsidRDefault="00AC01B3" w:rsidP="00D26F3C">
            <w:pPr>
              <w:suppressAutoHyphens/>
              <w:rPr>
                <w:sz w:val="20"/>
                <w:lang w:eastAsia="da-DK"/>
              </w:rPr>
            </w:pPr>
          </w:p>
        </w:tc>
        <w:tc>
          <w:tcPr>
            <w:tcW w:w="1476" w:type="dxa"/>
          </w:tcPr>
          <w:p w:rsidR="00AC01B3" w:rsidRPr="00BA3584" w:rsidRDefault="00AC01B3" w:rsidP="00D26F3C">
            <w:pPr>
              <w:suppressAutoHyphens/>
              <w:rPr>
                <w:sz w:val="20"/>
                <w:lang w:eastAsia="da-DK"/>
              </w:rPr>
            </w:pPr>
            <w:r w:rsidRPr="00BA3584">
              <w:rPr>
                <w:sz w:val="20"/>
                <w:lang w:eastAsia="da-DK"/>
              </w:rPr>
              <w:t xml:space="preserve">Sløret syn, </w:t>
            </w:r>
            <w:proofErr w:type="spellStart"/>
            <w:r w:rsidRPr="00BA3584">
              <w:rPr>
                <w:sz w:val="20"/>
                <w:lang w:eastAsia="da-DK"/>
              </w:rPr>
              <w:t>miosis</w:t>
            </w:r>
            <w:proofErr w:type="spellEnd"/>
            <w:r w:rsidRPr="00BA3584">
              <w:rPr>
                <w:sz w:val="20"/>
                <w:lang w:eastAsia="da-DK"/>
              </w:rPr>
              <w:t>.</w:t>
            </w:r>
          </w:p>
        </w:tc>
        <w:tc>
          <w:tcPr>
            <w:tcW w:w="1459" w:type="dxa"/>
          </w:tcPr>
          <w:p w:rsidR="00AC01B3" w:rsidRPr="00BA3584" w:rsidRDefault="00AC01B3" w:rsidP="00D26F3C">
            <w:pPr>
              <w:suppressAutoHyphens/>
              <w:rPr>
                <w:sz w:val="20"/>
                <w:lang w:eastAsia="da-DK"/>
              </w:rPr>
            </w:pPr>
          </w:p>
        </w:tc>
        <w:tc>
          <w:tcPr>
            <w:tcW w:w="1459" w:type="dxa"/>
          </w:tcPr>
          <w:p w:rsidR="00AC01B3" w:rsidRPr="00BA3584" w:rsidRDefault="00AC01B3" w:rsidP="00D26F3C">
            <w:pPr>
              <w:suppressAutoHyphens/>
              <w:rPr>
                <w:sz w:val="20"/>
                <w:lang w:eastAsia="da-DK"/>
              </w:rPr>
            </w:pPr>
          </w:p>
        </w:tc>
        <w:tc>
          <w:tcPr>
            <w:tcW w:w="1494" w:type="dxa"/>
          </w:tcPr>
          <w:p w:rsidR="00AC01B3" w:rsidRPr="00BA3584" w:rsidRDefault="00AC01B3" w:rsidP="00D26F3C">
            <w:pPr>
              <w:suppressAutoHyphens/>
              <w:rPr>
                <w:sz w:val="20"/>
                <w:lang w:eastAsia="da-DK"/>
              </w:rPr>
            </w:pPr>
          </w:p>
        </w:tc>
      </w:tr>
      <w:tr w:rsidR="00AC01B3" w:rsidRPr="00BA3584" w:rsidTr="00D26F3C">
        <w:tc>
          <w:tcPr>
            <w:tcW w:w="1559" w:type="dxa"/>
          </w:tcPr>
          <w:p w:rsidR="00AC01B3" w:rsidRPr="00BA3584" w:rsidRDefault="00AC01B3" w:rsidP="00D26F3C">
            <w:pPr>
              <w:suppressAutoHyphens/>
              <w:rPr>
                <w:sz w:val="20"/>
                <w:lang w:eastAsia="da-DK"/>
              </w:rPr>
            </w:pPr>
            <w:r w:rsidRPr="00BA3584">
              <w:rPr>
                <w:sz w:val="20"/>
                <w:lang w:eastAsia="da-DK"/>
              </w:rPr>
              <w:t>Øre og labyrint</w:t>
            </w:r>
          </w:p>
          <w:p w:rsidR="00AC01B3" w:rsidRPr="00BA3584" w:rsidRDefault="00AC01B3" w:rsidP="00D26F3C">
            <w:pPr>
              <w:suppressAutoHyphens/>
              <w:rPr>
                <w:sz w:val="20"/>
                <w:lang w:eastAsia="da-DK"/>
              </w:rPr>
            </w:pPr>
          </w:p>
        </w:tc>
        <w:tc>
          <w:tcPr>
            <w:tcW w:w="1459" w:type="dxa"/>
          </w:tcPr>
          <w:p w:rsidR="00AC01B3" w:rsidRPr="00BA3584" w:rsidRDefault="00AC01B3" w:rsidP="00D26F3C">
            <w:pPr>
              <w:suppressAutoHyphens/>
              <w:rPr>
                <w:sz w:val="20"/>
                <w:lang w:eastAsia="da-DK"/>
              </w:rPr>
            </w:pPr>
          </w:p>
        </w:tc>
        <w:tc>
          <w:tcPr>
            <w:tcW w:w="1476" w:type="dxa"/>
          </w:tcPr>
          <w:p w:rsidR="00AC01B3" w:rsidRPr="00BA3584" w:rsidRDefault="00AC01B3" w:rsidP="00D26F3C">
            <w:pPr>
              <w:suppressAutoHyphens/>
              <w:rPr>
                <w:sz w:val="20"/>
                <w:lang w:eastAsia="da-DK"/>
              </w:rPr>
            </w:pPr>
            <w:proofErr w:type="spellStart"/>
            <w:r w:rsidRPr="00BA3584">
              <w:rPr>
                <w:sz w:val="20"/>
                <w:lang w:eastAsia="da-DK"/>
              </w:rPr>
              <w:t>Vertigo</w:t>
            </w:r>
            <w:proofErr w:type="spellEnd"/>
            <w:r w:rsidRPr="00BA3584">
              <w:rPr>
                <w:sz w:val="20"/>
                <w:lang w:eastAsia="da-DK"/>
              </w:rPr>
              <w:t>.</w:t>
            </w:r>
          </w:p>
        </w:tc>
        <w:tc>
          <w:tcPr>
            <w:tcW w:w="1459" w:type="dxa"/>
          </w:tcPr>
          <w:p w:rsidR="00AC01B3" w:rsidRPr="00BA3584" w:rsidRDefault="00AC01B3" w:rsidP="00D26F3C">
            <w:pPr>
              <w:suppressAutoHyphens/>
              <w:rPr>
                <w:sz w:val="20"/>
                <w:lang w:eastAsia="da-DK"/>
              </w:rPr>
            </w:pPr>
          </w:p>
        </w:tc>
        <w:tc>
          <w:tcPr>
            <w:tcW w:w="1459" w:type="dxa"/>
          </w:tcPr>
          <w:p w:rsidR="00AC01B3" w:rsidRPr="00BA3584" w:rsidRDefault="00AC01B3" w:rsidP="00D26F3C">
            <w:pPr>
              <w:suppressAutoHyphens/>
              <w:rPr>
                <w:sz w:val="20"/>
                <w:lang w:eastAsia="da-DK"/>
              </w:rPr>
            </w:pPr>
          </w:p>
        </w:tc>
        <w:tc>
          <w:tcPr>
            <w:tcW w:w="1494" w:type="dxa"/>
          </w:tcPr>
          <w:p w:rsidR="00AC01B3" w:rsidRPr="00BA3584" w:rsidRDefault="00AC01B3" w:rsidP="00D26F3C">
            <w:pPr>
              <w:suppressAutoHyphens/>
              <w:rPr>
                <w:sz w:val="20"/>
                <w:lang w:eastAsia="da-DK"/>
              </w:rPr>
            </w:pPr>
          </w:p>
        </w:tc>
      </w:tr>
      <w:tr w:rsidR="00AC01B3" w:rsidRPr="00BA3584" w:rsidTr="00D26F3C">
        <w:tc>
          <w:tcPr>
            <w:tcW w:w="1559" w:type="dxa"/>
          </w:tcPr>
          <w:p w:rsidR="00AC01B3" w:rsidRPr="00BA3584" w:rsidRDefault="00AC01B3" w:rsidP="00D26F3C">
            <w:pPr>
              <w:suppressAutoHyphens/>
              <w:rPr>
                <w:sz w:val="20"/>
                <w:lang w:eastAsia="da-DK"/>
              </w:rPr>
            </w:pPr>
            <w:r w:rsidRPr="00BA3584">
              <w:rPr>
                <w:sz w:val="20"/>
                <w:lang w:eastAsia="da-DK"/>
              </w:rPr>
              <w:t>Hjerte</w:t>
            </w:r>
          </w:p>
        </w:tc>
        <w:tc>
          <w:tcPr>
            <w:tcW w:w="1459" w:type="dxa"/>
          </w:tcPr>
          <w:p w:rsidR="00AC01B3" w:rsidRPr="00BA3584" w:rsidRDefault="00AC01B3" w:rsidP="00D26F3C">
            <w:pPr>
              <w:suppressAutoHyphens/>
              <w:rPr>
                <w:sz w:val="20"/>
                <w:lang w:eastAsia="da-DK"/>
              </w:rPr>
            </w:pPr>
          </w:p>
        </w:tc>
        <w:tc>
          <w:tcPr>
            <w:tcW w:w="1476" w:type="dxa"/>
          </w:tcPr>
          <w:p w:rsidR="00AC01B3" w:rsidRPr="00BA3584" w:rsidRDefault="00AC01B3" w:rsidP="00D26F3C">
            <w:pPr>
              <w:suppressAutoHyphens/>
              <w:rPr>
                <w:sz w:val="20"/>
                <w:lang w:eastAsia="da-DK"/>
              </w:rPr>
            </w:pPr>
          </w:p>
        </w:tc>
        <w:tc>
          <w:tcPr>
            <w:tcW w:w="1459" w:type="dxa"/>
          </w:tcPr>
          <w:p w:rsidR="00AC01B3" w:rsidRPr="00BA3584" w:rsidRDefault="00AC01B3" w:rsidP="00D26F3C">
            <w:pPr>
              <w:suppressAutoHyphens/>
              <w:rPr>
                <w:sz w:val="20"/>
                <w:lang w:eastAsia="da-DK"/>
              </w:rPr>
            </w:pPr>
          </w:p>
        </w:tc>
        <w:tc>
          <w:tcPr>
            <w:tcW w:w="1459" w:type="dxa"/>
          </w:tcPr>
          <w:p w:rsidR="00AC01B3" w:rsidRPr="00BA3584" w:rsidRDefault="00AC01B3" w:rsidP="00D26F3C">
            <w:pPr>
              <w:suppressAutoHyphens/>
              <w:rPr>
                <w:sz w:val="20"/>
                <w:lang w:eastAsia="da-DK"/>
              </w:rPr>
            </w:pPr>
            <w:r w:rsidRPr="00BA3584">
              <w:rPr>
                <w:sz w:val="20"/>
                <w:lang w:eastAsia="da-DK"/>
              </w:rPr>
              <w:t xml:space="preserve">Bradykardi, </w:t>
            </w:r>
            <w:proofErr w:type="spellStart"/>
            <w:r w:rsidRPr="00BA3584">
              <w:rPr>
                <w:sz w:val="20"/>
                <w:lang w:eastAsia="da-DK"/>
              </w:rPr>
              <w:t>palpitationer</w:t>
            </w:r>
            <w:proofErr w:type="spellEnd"/>
            <w:r w:rsidRPr="00BA3584">
              <w:rPr>
                <w:sz w:val="20"/>
                <w:lang w:eastAsia="da-DK"/>
              </w:rPr>
              <w:t xml:space="preserve">, tilfælde af forlænget QT-interval og </w:t>
            </w:r>
            <w:proofErr w:type="spellStart"/>
            <w:r w:rsidRPr="00BA3584">
              <w:rPr>
                <w:sz w:val="20"/>
                <w:lang w:eastAsia="da-DK"/>
              </w:rPr>
              <w:t>torsades</w:t>
            </w:r>
            <w:proofErr w:type="spellEnd"/>
            <w:r w:rsidRPr="00BA3584">
              <w:rPr>
                <w:sz w:val="20"/>
                <w:lang w:eastAsia="da-DK"/>
              </w:rPr>
              <w:t xml:space="preserve"> de pointes er rapporteret ved behandling med </w:t>
            </w:r>
            <w:proofErr w:type="spellStart"/>
            <w:r w:rsidRPr="00BA3584">
              <w:rPr>
                <w:sz w:val="20"/>
                <w:lang w:eastAsia="da-DK"/>
              </w:rPr>
              <w:t>methadon</w:t>
            </w:r>
            <w:proofErr w:type="spellEnd"/>
            <w:r w:rsidRPr="00BA3584">
              <w:rPr>
                <w:sz w:val="20"/>
                <w:lang w:eastAsia="da-DK"/>
              </w:rPr>
              <w:t>, især ved brug af høje doser.</w:t>
            </w:r>
          </w:p>
        </w:tc>
        <w:tc>
          <w:tcPr>
            <w:tcW w:w="1494" w:type="dxa"/>
          </w:tcPr>
          <w:p w:rsidR="00AC01B3" w:rsidRPr="00BA3584" w:rsidRDefault="00AC01B3" w:rsidP="00D26F3C">
            <w:pPr>
              <w:suppressAutoHyphens/>
              <w:rPr>
                <w:sz w:val="20"/>
                <w:lang w:eastAsia="da-DK"/>
              </w:rPr>
            </w:pPr>
            <w:r w:rsidRPr="00BA3584">
              <w:rPr>
                <w:sz w:val="20"/>
                <w:lang w:eastAsia="da-DK"/>
              </w:rPr>
              <w:t xml:space="preserve">Hjertestop, </w:t>
            </w:r>
            <w:proofErr w:type="spellStart"/>
            <w:r w:rsidRPr="00BA3584">
              <w:rPr>
                <w:sz w:val="20"/>
                <w:lang w:eastAsia="da-DK"/>
              </w:rPr>
              <w:t>ventrikulær</w:t>
            </w:r>
            <w:proofErr w:type="spellEnd"/>
            <w:r w:rsidRPr="00BA3584">
              <w:rPr>
                <w:sz w:val="20"/>
                <w:lang w:eastAsia="da-DK"/>
              </w:rPr>
              <w:t xml:space="preserve"> </w:t>
            </w:r>
            <w:proofErr w:type="spellStart"/>
            <w:r w:rsidRPr="00BA3584">
              <w:rPr>
                <w:sz w:val="20"/>
                <w:lang w:eastAsia="da-DK"/>
              </w:rPr>
              <w:t>arytmi</w:t>
            </w:r>
            <w:proofErr w:type="spellEnd"/>
            <w:r w:rsidRPr="00BA3584">
              <w:rPr>
                <w:sz w:val="20"/>
                <w:lang w:eastAsia="da-DK"/>
              </w:rPr>
              <w:t xml:space="preserve">, ventrikel-flimmer, </w:t>
            </w:r>
            <w:proofErr w:type="spellStart"/>
            <w:r w:rsidRPr="00BA3584">
              <w:rPr>
                <w:sz w:val="20"/>
                <w:lang w:eastAsia="da-DK"/>
              </w:rPr>
              <w:t>ventrikulær</w:t>
            </w:r>
            <w:proofErr w:type="spellEnd"/>
            <w:r w:rsidRPr="00BA3584">
              <w:rPr>
                <w:sz w:val="20"/>
                <w:lang w:eastAsia="da-DK"/>
              </w:rPr>
              <w:t xml:space="preserve"> </w:t>
            </w:r>
            <w:proofErr w:type="spellStart"/>
            <w:r w:rsidRPr="00BA3584">
              <w:rPr>
                <w:sz w:val="20"/>
                <w:lang w:eastAsia="da-DK"/>
              </w:rPr>
              <w:t>takykardi</w:t>
            </w:r>
            <w:proofErr w:type="spellEnd"/>
            <w:r w:rsidRPr="00BA3584">
              <w:rPr>
                <w:sz w:val="20"/>
                <w:lang w:eastAsia="da-DK"/>
              </w:rPr>
              <w:t>.</w:t>
            </w:r>
          </w:p>
          <w:p w:rsidR="00AC01B3" w:rsidRPr="00BA3584" w:rsidRDefault="00AC01B3" w:rsidP="00D26F3C">
            <w:pPr>
              <w:suppressAutoHyphens/>
              <w:rPr>
                <w:sz w:val="20"/>
                <w:lang w:eastAsia="da-DK"/>
              </w:rPr>
            </w:pPr>
          </w:p>
        </w:tc>
      </w:tr>
      <w:tr w:rsidR="00AC01B3" w:rsidRPr="00BA3584" w:rsidTr="00D26F3C">
        <w:tc>
          <w:tcPr>
            <w:tcW w:w="1559" w:type="dxa"/>
          </w:tcPr>
          <w:p w:rsidR="00AC01B3" w:rsidRPr="00BA3584" w:rsidRDefault="00AC01B3" w:rsidP="00D26F3C">
            <w:pPr>
              <w:suppressAutoHyphens/>
              <w:rPr>
                <w:sz w:val="20"/>
                <w:lang w:eastAsia="da-DK"/>
              </w:rPr>
            </w:pPr>
            <w:proofErr w:type="spellStart"/>
            <w:r w:rsidRPr="00BA3584">
              <w:rPr>
                <w:sz w:val="20"/>
                <w:lang w:eastAsia="da-DK"/>
              </w:rPr>
              <w:t>Vaskulære</w:t>
            </w:r>
            <w:proofErr w:type="spellEnd"/>
            <w:r w:rsidRPr="00BA3584">
              <w:rPr>
                <w:sz w:val="20"/>
                <w:lang w:eastAsia="da-DK"/>
              </w:rPr>
              <w:t xml:space="preserve"> sygdomme</w:t>
            </w:r>
          </w:p>
          <w:p w:rsidR="00AC01B3" w:rsidRPr="00BA3584" w:rsidRDefault="00AC01B3" w:rsidP="00D26F3C">
            <w:pPr>
              <w:suppressAutoHyphens/>
              <w:rPr>
                <w:sz w:val="20"/>
                <w:lang w:eastAsia="da-DK"/>
              </w:rPr>
            </w:pPr>
          </w:p>
        </w:tc>
        <w:tc>
          <w:tcPr>
            <w:tcW w:w="1459" w:type="dxa"/>
          </w:tcPr>
          <w:p w:rsidR="00AC01B3" w:rsidRPr="00BA3584" w:rsidRDefault="00AC01B3" w:rsidP="00D26F3C">
            <w:pPr>
              <w:suppressAutoHyphens/>
              <w:rPr>
                <w:sz w:val="20"/>
                <w:lang w:eastAsia="da-DK"/>
              </w:rPr>
            </w:pPr>
          </w:p>
        </w:tc>
        <w:tc>
          <w:tcPr>
            <w:tcW w:w="1476" w:type="dxa"/>
          </w:tcPr>
          <w:p w:rsidR="00AC01B3" w:rsidRPr="00BA3584" w:rsidRDefault="00AC01B3" w:rsidP="00D26F3C">
            <w:pPr>
              <w:suppressAutoHyphens/>
              <w:rPr>
                <w:sz w:val="20"/>
                <w:lang w:eastAsia="da-DK"/>
              </w:rPr>
            </w:pPr>
          </w:p>
        </w:tc>
        <w:tc>
          <w:tcPr>
            <w:tcW w:w="1459" w:type="dxa"/>
          </w:tcPr>
          <w:p w:rsidR="00AC01B3" w:rsidRPr="00BA3584" w:rsidRDefault="00AC01B3" w:rsidP="00D26F3C">
            <w:pPr>
              <w:suppressAutoHyphens/>
              <w:rPr>
                <w:sz w:val="20"/>
                <w:lang w:eastAsia="da-DK"/>
              </w:rPr>
            </w:pPr>
            <w:r w:rsidRPr="00BA3584">
              <w:rPr>
                <w:sz w:val="20"/>
                <w:lang w:eastAsia="da-DK"/>
              </w:rPr>
              <w:t>Ansigtsrødme, hypotension.</w:t>
            </w:r>
          </w:p>
        </w:tc>
        <w:tc>
          <w:tcPr>
            <w:tcW w:w="1459" w:type="dxa"/>
          </w:tcPr>
          <w:p w:rsidR="00AC01B3" w:rsidRPr="00BA3584" w:rsidRDefault="00AC01B3" w:rsidP="00D26F3C">
            <w:pPr>
              <w:suppressAutoHyphens/>
              <w:rPr>
                <w:sz w:val="20"/>
                <w:lang w:eastAsia="da-DK"/>
              </w:rPr>
            </w:pPr>
          </w:p>
        </w:tc>
        <w:tc>
          <w:tcPr>
            <w:tcW w:w="1494" w:type="dxa"/>
          </w:tcPr>
          <w:p w:rsidR="00AC01B3" w:rsidRPr="00BA3584" w:rsidRDefault="00AC01B3" w:rsidP="00D26F3C">
            <w:pPr>
              <w:suppressAutoHyphens/>
              <w:rPr>
                <w:sz w:val="20"/>
                <w:lang w:eastAsia="da-DK"/>
              </w:rPr>
            </w:pPr>
            <w:proofErr w:type="spellStart"/>
            <w:r w:rsidRPr="00BA3584">
              <w:rPr>
                <w:sz w:val="20"/>
                <w:lang w:eastAsia="da-DK"/>
              </w:rPr>
              <w:t>Postural</w:t>
            </w:r>
            <w:proofErr w:type="spellEnd"/>
            <w:r w:rsidRPr="00BA3584">
              <w:rPr>
                <w:sz w:val="20"/>
                <w:lang w:eastAsia="da-DK"/>
              </w:rPr>
              <w:t xml:space="preserve"> hypotension.</w:t>
            </w:r>
          </w:p>
        </w:tc>
      </w:tr>
      <w:tr w:rsidR="00AC01B3" w:rsidRPr="00BA3584" w:rsidTr="00D26F3C">
        <w:tc>
          <w:tcPr>
            <w:tcW w:w="1559" w:type="dxa"/>
          </w:tcPr>
          <w:p w:rsidR="00AC01B3" w:rsidRPr="00BA3584" w:rsidRDefault="00AC01B3" w:rsidP="00D26F3C">
            <w:pPr>
              <w:suppressAutoHyphens/>
              <w:rPr>
                <w:sz w:val="20"/>
                <w:lang w:eastAsia="da-DK"/>
              </w:rPr>
            </w:pPr>
            <w:r w:rsidRPr="00BA3584">
              <w:rPr>
                <w:sz w:val="20"/>
                <w:lang w:eastAsia="da-DK"/>
              </w:rPr>
              <w:t xml:space="preserve">Luftveje, thorax og </w:t>
            </w:r>
            <w:proofErr w:type="spellStart"/>
            <w:r w:rsidRPr="00BA3584">
              <w:rPr>
                <w:sz w:val="20"/>
                <w:lang w:eastAsia="da-DK"/>
              </w:rPr>
              <w:t>mediastinum</w:t>
            </w:r>
            <w:proofErr w:type="spellEnd"/>
          </w:p>
          <w:p w:rsidR="00AC01B3" w:rsidRPr="00BA3584" w:rsidRDefault="00AC01B3" w:rsidP="00D26F3C">
            <w:pPr>
              <w:suppressAutoHyphens/>
              <w:rPr>
                <w:sz w:val="20"/>
                <w:lang w:eastAsia="da-DK"/>
              </w:rPr>
            </w:pPr>
          </w:p>
        </w:tc>
        <w:tc>
          <w:tcPr>
            <w:tcW w:w="1459" w:type="dxa"/>
          </w:tcPr>
          <w:p w:rsidR="00AC01B3" w:rsidRPr="00BA3584" w:rsidRDefault="00AC01B3" w:rsidP="00D26F3C">
            <w:pPr>
              <w:suppressAutoHyphens/>
              <w:rPr>
                <w:sz w:val="20"/>
                <w:lang w:eastAsia="da-DK"/>
              </w:rPr>
            </w:pPr>
          </w:p>
        </w:tc>
        <w:tc>
          <w:tcPr>
            <w:tcW w:w="1476" w:type="dxa"/>
          </w:tcPr>
          <w:p w:rsidR="00AC01B3" w:rsidRPr="00BA3584" w:rsidRDefault="00AC01B3" w:rsidP="00D26F3C">
            <w:pPr>
              <w:suppressAutoHyphens/>
              <w:rPr>
                <w:sz w:val="20"/>
                <w:lang w:eastAsia="da-DK"/>
              </w:rPr>
            </w:pPr>
          </w:p>
        </w:tc>
        <w:tc>
          <w:tcPr>
            <w:tcW w:w="1459" w:type="dxa"/>
          </w:tcPr>
          <w:p w:rsidR="00AC01B3" w:rsidRPr="00BA3584" w:rsidRDefault="00AC01B3" w:rsidP="00D26F3C">
            <w:pPr>
              <w:suppressAutoHyphens/>
              <w:rPr>
                <w:sz w:val="20"/>
                <w:lang w:eastAsia="da-DK"/>
              </w:rPr>
            </w:pPr>
            <w:r w:rsidRPr="00BA3584">
              <w:rPr>
                <w:sz w:val="20"/>
                <w:lang w:eastAsia="da-DK"/>
              </w:rPr>
              <w:t>Lungeødem, respirations-depression.</w:t>
            </w:r>
          </w:p>
        </w:tc>
        <w:tc>
          <w:tcPr>
            <w:tcW w:w="1459" w:type="dxa"/>
          </w:tcPr>
          <w:p w:rsidR="00AC01B3" w:rsidRPr="00BA3584" w:rsidRDefault="00AC01B3" w:rsidP="00D26F3C">
            <w:pPr>
              <w:suppressAutoHyphens/>
              <w:rPr>
                <w:sz w:val="20"/>
                <w:lang w:eastAsia="da-DK"/>
              </w:rPr>
            </w:pPr>
          </w:p>
        </w:tc>
        <w:tc>
          <w:tcPr>
            <w:tcW w:w="1494" w:type="dxa"/>
          </w:tcPr>
          <w:p w:rsidR="00960AA1" w:rsidRDefault="00960AA1" w:rsidP="00960AA1">
            <w:pPr>
              <w:suppressAutoHyphens/>
              <w:rPr>
                <w:sz w:val="20"/>
                <w:lang w:eastAsia="da-DK"/>
              </w:rPr>
            </w:pPr>
            <w:r>
              <w:rPr>
                <w:sz w:val="20"/>
                <w:lang w:eastAsia="da-DK"/>
              </w:rPr>
              <w:t>Central søvn-apnøsyndrom</w:t>
            </w:r>
          </w:p>
          <w:p w:rsidR="00AC01B3" w:rsidRPr="00BA3584" w:rsidRDefault="00AC01B3" w:rsidP="00D26F3C">
            <w:pPr>
              <w:suppressAutoHyphens/>
              <w:rPr>
                <w:sz w:val="20"/>
                <w:lang w:eastAsia="da-DK"/>
              </w:rPr>
            </w:pPr>
          </w:p>
        </w:tc>
      </w:tr>
      <w:tr w:rsidR="00AC01B3" w:rsidRPr="00BA3584" w:rsidTr="00D26F3C">
        <w:tc>
          <w:tcPr>
            <w:tcW w:w="1559" w:type="dxa"/>
          </w:tcPr>
          <w:p w:rsidR="00AC01B3" w:rsidRPr="00BA3584" w:rsidRDefault="00AC01B3" w:rsidP="00D26F3C">
            <w:pPr>
              <w:suppressAutoHyphens/>
              <w:rPr>
                <w:sz w:val="20"/>
                <w:lang w:eastAsia="da-DK"/>
              </w:rPr>
            </w:pPr>
            <w:r w:rsidRPr="00BA3584">
              <w:rPr>
                <w:sz w:val="20"/>
                <w:lang w:eastAsia="da-DK"/>
              </w:rPr>
              <w:t>Mave-tarm-kanalen</w:t>
            </w:r>
          </w:p>
        </w:tc>
        <w:tc>
          <w:tcPr>
            <w:tcW w:w="1459" w:type="dxa"/>
          </w:tcPr>
          <w:p w:rsidR="00AC01B3" w:rsidRPr="00BA3584" w:rsidRDefault="00AC01B3" w:rsidP="00D26F3C">
            <w:pPr>
              <w:suppressAutoHyphens/>
              <w:rPr>
                <w:sz w:val="20"/>
                <w:lang w:eastAsia="da-DK"/>
              </w:rPr>
            </w:pPr>
            <w:r w:rsidRPr="00BA3584">
              <w:rPr>
                <w:sz w:val="20"/>
                <w:lang w:eastAsia="da-DK"/>
              </w:rPr>
              <w:t>Kvalme, opkastning.</w:t>
            </w:r>
          </w:p>
        </w:tc>
        <w:tc>
          <w:tcPr>
            <w:tcW w:w="1476" w:type="dxa"/>
          </w:tcPr>
          <w:p w:rsidR="00AC01B3" w:rsidRPr="00BA3584" w:rsidRDefault="00AC01B3" w:rsidP="00D26F3C">
            <w:pPr>
              <w:suppressAutoHyphens/>
              <w:rPr>
                <w:sz w:val="20"/>
                <w:lang w:eastAsia="da-DK"/>
              </w:rPr>
            </w:pPr>
            <w:r w:rsidRPr="00BA3584">
              <w:rPr>
                <w:sz w:val="20"/>
                <w:lang w:eastAsia="da-DK"/>
              </w:rPr>
              <w:t>Obstipation.</w:t>
            </w:r>
          </w:p>
        </w:tc>
        <w:tc>
          <w:tcPr>
            <w:tcW w:w="1459" w:type="dxa"/>
          </w:tcPr>
          <w:p w:rsidR="00AC01B3" w:rsidRPr="00BA3584" w:rsidRDefault="00AC01B3" w:rsidP="00D26F3C">
            <w:pPr>
              <w:suppressAutoHyphens/>
              <w:rPr>
                <w:sz w:val="20"/>
                <w:lang w:eastAsia="da-DK"/>
              </w:rPr>
            </w:pPr>
            <w:r w:rsidRPr="00BA3584">
              <w:rPr>
                <w:sz w:val="20"/>
                <w:lang w:eastAsia="da-DK"/>
              </w:rPr>
              <w:t xml:space="preserve">Mundtørhed, </w:t>
            </w:r>
            <w:proofErr w:type="spellStart"/>
            <w:r w:rsidRPr="00BA3584">
              <w:rPr>
                <w:sz w:val="20"/>
                <w:lang w:eastAsia="da-DK"/>
              </w:rPr>
              <w:t>glossitis</w:t>
            </w:r>
            <w:proofErr w:type="spellEnd"/>
            <w:r w:rsidRPr="00BA3584">
              <w:rPr>
                <w:sz w:val="20"/>
                <w:lang w:eastAsia="da-DK"/>
              </w:rPr>
              <w:t>.</w:t>
            </w:r>
          </w:p>
        </w:tc>
        <w:tc>
          <w:tcPr>
            <w:tcW w:w="1459" w:type="dxa"/>
          </w:tcPr>
          <w:p w:rsidR="00AC01B3" w:rsidRPr="00BA3584" w:rsidRDefault="00AC01B3" w:rsidP="00D26F3C">
            <w:pPr>
              <w:suppressAutoHyphens/>
              <w:rPr>
                <w:sz w:val="20"/>
                <w:lang w:eastAsia="da-DK"/>
              </w:rPr>
            </w:pPr>
          </w:p>
        </w:tc>
        <w:tc>
          <w:tcPr>
            <w:tcW w:w="1494" w:type="dxa"/>
          </w:tcPr>
          <w:p w:rsidR="00AC01B3" w:rsidRPr="00BA3584" w:rsidRDefault="00AC01B3" w:rsidP="00D26F3C">
            <w:pPr>
              <w:suppressAutoHyphens/>
              <w:rPr>
                <w:sz w:val="20"/>
                <w:lang w:eastAsia="da-DK"/>
              </w:rPr>
            </w:pPr>
          </w:p>
        </w:tc>
      </w:tr>
      <w:tr w:rsidR="00AC01B3" w:rsidRPr="00BA3584" w:rsidTr="00D26F3C">
        <w:tc>
          <w:tcPr>
            <w:tcW w:w="1559" w:type="dxa"/>
          </w:tcPr>
          <w:p w:rsidR="00AC01B3" w:rsidRPr="00BA3584" w:rsidRDefault="00AC01B3" w:rsidP="00D26F3C">
            <w:pPr>
              <w:suppressAutoHyphens/>
              <w:rPr>
                <w:sz w:val="20"/>
                <w:lang w:eastAsia="da-DK"/>
              </w:rPr>
            </w:pPr>
            <w:r w:rsidRPr="00BA3584">
              <w:rPr>
                <w:sz w:val="20"/>
                <w:lang w:eastAsia="da-DK"/>
              </w:rPr>
              <w:t>Lever og galdeveje</w:t>
            </w:r>
          </w:p>
          <w:p w:rsidR="00AC01B3" w:rsidRPr="00BA3584" w:rsidRDefault="00AC01B3" w:rsidP="00D26F3C">
            <w:pPr>
              <w:suppressAutoHyphens/>
              <w:rPr>
                <w:sz w:val="20"/>
                <w:lang w:eastAsia="da-DK"/>
              </w:rPr>
            </w:pPr>
          </w:p>
        </w:tc>
        <w:tc>
          <w:tcPr>
            <w:tcW w:w="1459" w:type="dxa"/>
          </w:tcPr>
          <w:p w:rsidR="00AC01B3" w:rsidRPr="00BA3584" w:rsidRDefault="00AC01B3" w:rsidP="00D26F3C">
            <w:pPr>
              <w:suppressAutoHyphens/>
              <w:rPr>
                <w:sz w:val="20"/>
                <w:lang w:eastAsia="da-DK"/>
              </w:rPr>
            </w:pPr>
          </w:p>
        </w:tc>
        <w:tc>
          <w:tcPr>
            <w:tcW w:w="1476" w:type="dxa"/>
          </w:tcPr>
          <w:p w:rsidR="00AC01B3" w:rsidRPr="00BA3584" w:rsidRDefault="00AC01B3" w:rsidP="00D26F3C">
            <w:pPr>
              <w:suppressAutoHyphens/>
              <w:rPr>
                <w:sz w:val="20"/>
                <w:lang w:eastAsia="da-DK"/>
              </w:rPr>
            </w:pPr>
          </w:p>
        </w:tc>
        <w:tc>
          <w:tcPr>
            <w:tcW w:w="1459" w:type="dxa"/>
          </w:tcPr>
          <w:p w:rsidR="00AC01B3" w:rsidRPr="00BA3584" w:rsidRDefault="00AC01B3" w:rsidP="00D26F3C">
            <w:pPr>
              <w:suppressAutoHyphens/>
              <w:rPr>
                <w:sz w:val="20"/>
                <w:lang w:eastAsia="da-DK"/>
              </w:rPr>
            </w:pPr>
            <w:r w:rsidRPr="00BA3584">
              <w:rPr>
                <w:sz w:val="20"/>
                <w:lang w:eastAsia="da-DK"/>
              </w:rPr>
              <w:t>Galdegangs-</w:t>
            </w:r>
            <w:proofErr w:type="spellStart"/>
            <w:r w:rsidRPr="00BA3584">
              <w:rPr>
                <w:sz w:val="20"/>
                <w:lang w:eastAsia="da-DK"/>
              </w:rPr>
              <w:t>dyskinesi</w:t>
            </w:r>
            <w:proofErr w:type="spellEnd"/>
            <w:r w:rsidRPr="00BA3584">
              <w:rPr>
                <w:sz w:val="20"/>
                <w:lang w:eastAsia="da-DK"/>
              </w:rPr>
              <w:t>.</w:t>
            </w:r>
          </w:p>
          <w:p w:rsidR="00AC01B3" w:rsidRPr="00BA3584" w:rsidRDefault="00AC01B3" w:rsidP="00D26F3C">
            <w:pPr>
              <w:suppressAutoHyphens/>
              <w:rPr>
                <w:sz w:val="20"/>
                <w:lang w:eastAsia="da-DK"/>
              </w:rPr>
            </w:pPr>
          </w:p>
        </w:tc>
        <w:tc>
          <w:tcPr>
            <w:tcW w:w="1459" w:type="dxa"/>
          </w:tcPr>
          <w:p w:rsidR="00AC01B3" w:rsidRPr="00BA3584" w:rsidRDefault="00AC01B3" w:rsidP="00D26F3C">
            <w:pPr>
              <w:suppressAutoHyphens/>
              <w:rPr>
                <w:sz w:val="20"/>
                <w:lang w:eastAsia="da-DK"/>
              </w:rPr>
            </w:pPr>
          </w:p>
        </w:tc>
        <w:tc>
          <w:tcPr>
            <w:tcW w:w="1494" w:type="dxa"/>
          </w:tcPr>
          <w:p w:rsidR="00AC01B3" w:rsidRPr="00BA3584" w:rsidRDefault="00AC01B3" w:rsidP="00D26F3C">
            <w:pPr>
              <w:suppressAutoHyphens/>
              <w:rPr>
                <w:sz w:val="20"/>
                <w:lang w:eastAsia="da-DK"/>
              </w:rPr>
            </w:pPr>
          </w:p>
        </w:tc>
      </w:tr>
      <w:tr w:rsidR="00AC01B3" w:rsidRPr="00BA3584" w:rsidTr="00D26F3C">
        <w:tc>
          <w:tcPr>
            <w:tcW w:w="1559" w:type="dxa"/>
          </w:tcPr>
          <w:p w:rsidR="00AC01B3" w:rsidRPr="00BA3584" w:rsidRDefault="00AC01B3" w:rsidP="00D26F3C">
            <w:pPr>
              <w:suppressAutoHyphens/>
              <w:rPr>
                <w:sz w:val="20"/>
                <w:lang w:eastAsia="da-DK"/>
              </w:rPr>
            </w:pPr>
            <w:r w:rsidRPr="00BA3584">
              <w:rPr>
                <w:sz w:val="20"/>
                <w:lang w:eastAsia="da-DK"/>
              </w:rPr>
              <w:t>Hud og subkutane væv</w:t>
            </w:r>
          </w:p>
          <w:p w:rsidR="00AC01B3" w:rsidRPr="00BA3584" w:rsidRDefault="00AC01B3" w:rsidP="00D26F3C">
            <w:pPr>
              <w:suppressAutoHyphens/>
              <w:rPr>
                <w:sz w:val="20"/>
                <w:lang w:eastAsia="da-DK"/>
              </w:rPr>
            </w:pPr>
          </w:p>
        </w:tc>
        <w:tc>
          <w:tcPr>
            <w:tcW w:w="1459" w:type="dxa"/>
          </w:tcPr>
          <w:p w:rsidR="00AC01B3" w:rsidRPr="00BA3584" w:rsidRDefault="00AC01B3" w:rsidP="00D26F3C">
            <w:pPr>
              <w:suppressAutoHyphens/>
              <w:rPr>
                <w:sz w:val="20"/>
                <w:lang w:eastAsia="da-DK"/>
              </w:rPr>
            </w:pPr>
          </w:p>
        </w:tc>
        <w:tc>
          <w:tcPr>
            <w:tcW w:w="1476" w:type="dxa"/>
          </w:tcPr>
          <w:p w:rsidR="00AC01B3" w:rsidRPr="00BA3584" w:rsidRDefault="00AC01B3" w:rsidP="00D26F3C">
            <w:pPr>
              <w:suppressAutoHyphens/>
              <w:rPr>
                <w:sz w:val="20"/>
                <w:lang w:eastAsia="da-DK"/>
              </w:rPr>
            </w:pPr>
            <w:r w:rsidRPr="00BA3584">
              <w:rPr>
                <w:sz w:val="20"/>
                <w:lang w:eastAsia="da-DK"/>
              </w:rPr>
              <w:t>Forbigående udslæt, øget svedtendens.</w:t>
            </w:r>
          </w:p>
        </w:tc>
        <w:tc>
          <w:tcPr>
            <w:tcW w:w="1459" w:type="dxa"/>
          </w:tcPr>
          <w:p w:rsidR="00AC01B3" w:rsidRPr="00BA3584" w:rsidRDefault="00AC01B3" w:rsidP="00D26F3C">
            <w:pPr>
              <w:suppressAutoHyphens/>
              <w:rPr>
                <w:sz w:val="20"/>
                <w:lang w:eastAsia="da-DK"/>
              </w:rPr>
            </w:pPr>
            <w:proofErr w:type="spellStart"/>
            <w:r w:rsidRPr="00BA3584">
              <w:rPr>
                <w:sz w:val="20"/>
                <w:lang w:eastAsia="da-DK"/>
              </w:rPr>
              <w:t>Pruritus</w:t>
            </w:r>
            <w:proofErr w:type="spellEnd"/>
            <w:r w:rsidRPr="00BA3584">
              <w:rPr>
                <w:sz w:val="20"/>
                <w:lang w:eastAsia="da-DK"/>
              </w:rPr>
              <w:t xml:space="preserve">, </w:t>
            </w:r>
            <w:proofErr w:type="spellStart"/>
            <w:r w:rsidRPr="00BA3584">
              <w:rPr>
                <w:sz w:val="20"/>
                <w:lang w:eastAsia="da-DK"/>
              </w:rPr>
              <w:t>urticaria</w:t>
            </w:r>
            <w:proofErr w:type="spellEnd"/>
            <w:r w:rsidRPr="00BA3584">
              <w:rPr>
                <w:sz w:val="20"/>
                <w:lang w:eastAsia="da-DK"/>
              </w:rPr>
              <w:t xml:space="preserve">, andet udslæt og i meget sjældne tilfælde blødende </w:t>
            </w:r>
            <w:proofErr w:type="spellStart"/>
            <w:r w:rsidRPr="00BA3584">
              <w:rPr>
                <w:sz w:val="20"/>
                <w:lang w:eastAsia="da-DK"/>
              </w:rPr>
              <w:t>urticaria</w:t>
            </w:r>
            <w:proofErr w:type="spellEnd"/>
            <w:r w:rsidRPr="00BA3584">
              <w:rPr>
                <w:sz w:val="20"/>
                <w:lang w:eastAsia="da-DK"/>
              </w:rPr>
              <w:t>.</w:t>
            </w:r>
          </w:p>
        </w:tc>
        <w:tc>
          <w:tcPr>
            <w:tcW w:w="1459" w:type="dxa"/>
          </w:tcPr>
          <w:p w:rsidR="00AC01B3" w:rsidRPr="00BA3584" w:rsidRDefault="00AC01B3" w:rsidP="00D26F3C">
            <w:pPr>
              <w:suppressAutoHyphens/>
              <w:rPr>
                <w:sz w:val="20"/>
                <w:lang w:eastAsia="da-DK"/>
              </w:rPr>
            </w:pPr>
          </w:p>
        </w:tc>
        <w:tc>
          <w:tcPr>
            <w:tcW w:w="1494" w:type="dxa"/>
          </w:tcPr>
          <w:p w:rsidR="00AC01B3" w:rsidRPr="00BA3584" w:rsidRDefault="00AC01B3" w:rsidP="00D26F3C">
            <w:pPr>
              <w:suppressAutoHyphens/>
              <w:rPr>
                <w:sz w:val="20"/>
                <w:lang w:eastAsia="da-DK"/>
              </w:rPr>
            </w:pPr>
          </w:p>
        </w:tc>
      </w:tr>
      <w:tr w:rsidR="00AC01B3" w:rsidRPr="00BA3584" w:rsidTr="00D26F3C">
        <w:tc>
          <w:tcPr>
            <w:tcW w:w="1559" w:type="dxa"/>
          </w:tcPr>
          <w:p w:rsidR="00AC01B3" w:rsidRPr="00BA3584" w:rsidRDefault="00AC01B3" w:rsidP="00D26F3C">
            <w:pPr>
              <w:suppressAutoHyphens/>
              <w:rPr>
                <w:sz w:val="20"/>
                <w:lang w:eastAsia="da-DK"/>
              </w:rPr>
            </w:pPr>
            <w:r w:rsidRPr="00BA3584">
              <w:rPr>
                <w:sz w:val="20"/>
                <w:lang w:eastAsia="da-DK"/>
              </w:rPr>
              <w:t>Nyrer og urinveje</w:t>
            </w:r>
          </w:p>
          <w:p w:rsidR="00AC01B3" w:rsidRPr="00BA3584" w:rsidRDefault="00AC01B3" w:rsidP="00D26F3C">
            <w:pPr>
              <w:suppressAutoHyphens/>
              <w:rPr>
                <w:sz w:val="20"/>
                <w:lang w:eastAsia="da-DK"/>
              </w:rPr>
            </w:pPr>
          </w:p>
        </w:tc>
        <w:tc>
          <w:tcPr>
            <w:tcW w:w="1459" w:type="dxa"/>
          </w:tcPr>
          <w:p w:rsidR="00AC01B3" w:rsidRPr="00BA3584" w:rsidRDefault="00AC01B3" w:rsidP="00D26F3C">
            <w:pPr>
              <w:suppressAutoHyphens/>
              <w:rPr>
                <w:sz w:val="20"/>
                <w:lang w:eastAsia="da-DK"/>
              </w:rPr>
            </w:pPr>
          </w:p>
        </w:tc>
        <w:tc>
          <w:tcPr>
            <w:tcW w:w="1476" w:type="dxa"/>
          </w:tcPr>
          <w:p w:rsidR="00AC01B3" w:rsidRPr="00BA3584" w:rsidRDefault="00AC01B3" w:rsidP="00D26F3C">
            <w:pPr>
              <w:suppressAutoHyphens/>
              <w:rPr>
                <w:sz w:val="20"/>
                <w:lang w:eastAsia="da-DK"/>
              </w:rPr>
            </w:pPr>
          </w:p>
        </w:tc>
        <w:tc>
          <w:tcPr>
            <w:tcW w:w="1459" w:type="dxa"/>
          </w:tcPr>
          <w:p w:rsidR="00AC01B3" w:rsidRPr="00BA3584" w:rsidRDefault="00AC01B3" w:rsidP="00D26F3C">
            <w:pPr>
              <w:suppressAutoHyphens/>
              <w:rPr>
                <w:sz w:val="20"/>
                <w:lang w:eastAsia="da-DK"/>
              </w:rPr>
            </w:pPr>
            <w:r w:rsidRPr="00BA3584">
              <w:rPr>
                <w:sz w:val="20"/>
                <w:lang w:eastAsia="da-DK"/>
              </w:rPr>
              <w:t>Urinretention og antidiuretisk virkning.</w:t>
            </w:r>
          </w:p>
        </w:tc>
        <w:tc>
          <w:tcPr>
            <w:tcW w:w="1459" w:type="dxa"/>
          </w:tcPr>
          <w:p w:rsidR="00AC01B3" w:rsidRPr="00BA3584" w:rsidRDefault="00AC01B3" w:rsidP="00D26F3C">
            <w:pPr>
              <w:suppressAutoHyphens/>
              <w:rPr>
                <w:sz w:val="20"/>
                <w:lang w:eastAsia="da-DK"/>
              </w:rPr>
            </w:pPr>
          </w:p>
        </w:tc>
        <w:tc>
          <w:tcPr>
            <w:tcW w:w="1494" w:type="dxa"/>
          </w:tcPr>
          <w:p w:rsidR="00AC01B3" w:rsidRPr="00BA3584" w:rsidRDefault="00AC01B3" w:rsidP="00D26F3C">
            <w:pPr>
              <w:suppressAutoHyphens/>
              <w:rPr>
                <w:sz w:val="20"/>
                <w:lang w:eastAsia="da-DK"/>
              </w:rPr>
            </w:pPr>
          </w:p>
        </w:tc>
      </w:tr>
      <w:tr w:rsidR="00AC01B3" w:rsidRPr="00BA3584" w:rsidTr="00D26F3C">
        <w:tc>
          <w:tcPr>
            <w:tcW w:w="1559" w:type="dxa"/>
          </w:tcPr>
          <w:p w:rsidR="00AC01B3" w:rsidRPr="00BA3584" w:rsidRDefault="00AC01B3" w:rsidP="00D26F3C">
            <w:pPr>
              <w:suppressAutoHyphens/>
              <w:rPr>
                <w:sz w:val="20"/>
                <w:lang w:eastAsia="da-DK"/>
              </w:rPr>
            </w:pPr>
            <w:r w:rsidRPr="00BA3584">
              <w:rPr>
                <w:sz w:val="20"/>
                <w:lang w:eastAsia="da-DK"/>
              </w:rPr>
              <w:t xml:space="preserve">Det reproduktive </w:t>
            </w:r>
            <w:r w:rsidRPr="00BA3584">
              <w:rPr>
                <w:sz w:val="20"/>
                <w:lang w:eastAsia="da-DK"/>
              </w:rPr>
              <w:lastRenderedPageBreak/>
              <w:t>system og mammae</w:t>
            </w:r>
          </w:p>
          <w:p w:rsidR="00AC01B3" w:rsidRPr="00BA3584" w:rsidRDefault="00AC01B3" w:rsidP="00D26F3C">
            <w:pPr>
              <w:suppressAutoHyphens/>
              <w:rPr>
                <w:sz w:val="20"/>
                <w:lang w:eastAsia="da-DK"/>
              </w:rPr>
            </w:pPr>
          </w:p>
        </w:tc>
        <w:tc>
          <w:tcPr>
            <w:tcW w:w="1459" w:type="dxa"/>
          </w:tcPr>
          <w:p w:rsidR="00AC01B3" w:rsidRPr="00BA3584" w:rsidRDefault="00AC01B3" w:rsidP="00D26F3C">
            <w:pPr>
              <w:suppressAutoHyphens/>
              <w:rPr>
                <w:sz w:val="20"/>
                <w:lang w:eastAsia="da-DK"/>
              </w:rPr>
            </w:pPr>
          </w:p>
        </w:tc>
        <w:tc>
          <w:tcPr>
            <w:tcW w:w="1476" w:type="dxa"/>
          </w:tcPr>
          <w:p w:rsidR="00AC01B3" w:rsidRPr="00BA3584" w:rsidRDefault="00AC01B3" w:rsidP="00D26F3C">
            <w:pPr>
              <w:suppressAutoHyphens/>
              <w:rPr>
                <w:sz w:val="20"/>
                <w:lang w:eastAsia="da-DK"/>
              </w:rPr>
            </w:pPr>
          </w:p>
        </w:tc>
        <w:tc>
          <w:tcPr>
            <w:tcW w:w="1459" w:type="dxa"/>
          </w:tcPr>
          <w:p w:rsidR="00AC01B3" w:rsidRPr="00BA3584" w:rsidRDefault="00AC01B3" w:rsidP="00D26F3C">
            <w:pPr>
              <w:suppressAutoHyphens/>
              <w:rPr>
                <w:sz w:val="20"/>
                <w:lang w:eastAsia="da-DK"/>
              </w:rPr>
            </w:pPr>
            <w:r w:rsidRPr="00BA3584">
              <w:rPr>
                <w:sz w:val="20"/>
                <w:lang w:eastAsia="da-DK"/>
              </w:rPr>
              <w:t xml:space="preserve">Nedsat potens og </w:t>
            </w:r>
            <w:proofErr w:type="spellStart"/>
            <w:r w:rsidRPr="00BA3584">
              <w:rPr>
                <w:sz w:val="20"/>
                <w:lang w:eastAsia="da-DK"/>
              </w:rPr>
              <w:t>amenorré</w:t>
            </w:r>
            <w:proofErr w:type="spellEnd"/>
            <w:r w:rsidRPr="00BA3584">
              <w:rPr>
                <w:sz w:val="20"/>
                <w:lang w:eastAsia="da-DK"/>
              </w:rPr>
              <w:t>.</w:t>
            </w:r>
          </w:p>
        </w:tc>
        <w:tc>
          <w:tcPr>
            <w:tcW w:w="1459" w:type="dxa"/>
          </w:tcPr>
          <w:p w:rsidR="00AC01B3" w:rsidRPr="00BA3584" w:rsidRDefault="00AC01B3" w:rsidP="00D26F3C">
            <w:pPr>
              <w:suppressAutoHyphens/>
              <w:rPr>
                <w:sz w:val="20"/>
                <w:lang w:eastAsia="da-DK"/>
              </w:rPr>
            </w:pPr>
          </w:p>
        </w:tc>
        <w:tc>
          <w:tcPr>
            <w:tcW w:w="1494" w:type="dxa"/>
          </w:tcPr>
          <w:p w:rsidR="00AC01B3" w:rsidRPr="00BA3584" w:rsidRDefault="00AC01B3" w:rsidP="00D26F3C">
            <w:pPr>
              <w:suppressAutoHyphens/>
              <w:rPr>
                <w:sz w:val="20"/>
                <w:lang w:eastAsia="da-DK"/>
              </w:rPr>
            </w:pPr>
          </w:p>
        </w:tc>
      </w:tr>
      <w:tr w:rsidR="00AC01B3" w:rsidRPr="00BA3584" w:rsidTr="00D26F3C">
        <w:tc>
          <w:tcPr>
            <w:tcW w:w="1559" w:type="dxa"/>
          </w:tcPr>
          <w:p w:rsidR="00AC01B3" w:rsidRPr="00BA3584" w:rsidRDefault="00AC01B3" w:rsidP="00D26F3C">
            <w:pPr>
              <w:suppressAutoHyphens/>
              <w:rPr>
                <w:sz w:val="20"/>
                <w:lang w:eastAsia="da-DK"/>
              </w:rPr>
            </w:pPr>
            <w:r w:rsidRPr="00BA3584">
              <w:rPr>
                <w:sz w:val="20"/>
                <w:lang w:eastAsia="da-DK"/>
              </w:rPr>
              <w:t>Almene symptomer og reaktioner på administrations</w:t>
            </w:r>
            <w:r>
              <w:rPr>
                <w:sz w:val="20"/>
                <w:lang w:eastAsia="da-DK"/>
              </w:rPr>
              <w:t>-</w:t>
            </w:r>
            <w:r w:rsidRPr="00BA3584">
              <w:rPr>
                <w:sz w:val="20"/>
                <w:lang w:eastAsia="da-DK"/>
              </w:rPr>
              <w:t>stedet</w:t>
            </w:r>
          </w:p>
          <w:p w:rsidR="00AC01B3" w:rsidRPr="00BA3584" w:rsidRDefault="00AC01B3" w:rsidP="00D26F3C">
            <w:pPr>
              <w:suppressAutoHyphens/>
              <w:rPr>
                <w:sz w:val="20"/>
                <w:lang w:eastAsia="da-DK"/>
              </w:rPr>
            </w:pPr>
          </w:p>
        </w:tc>
        <w:tc>
          <w:tcPr>
            <w:tcW w:w="1459" w:type="dxa"/>
          </w:tcPr>
          <w:p w:rsidR="00AC01B3" w:rsidRPr="00BA3584" w:rsidRDefault="00AC01B3" w:rsidP="00D26F3C">
            <w:pPr>
              <w:suppressAutoHyphens/>
              <w:rPr>
                <w:sz w:val="20"/>
                <w:lang w:eastAsia="da-DK"/>
              </w:rPr>
            </w:pPr>
          </w:p>
        </w:tc>
        <w:tc>
          <w:tcPr>
            <w:tcW w:w="1476" w:type="dxa"/>
          </w:tcPr>
          <w:p w:rsidR="00AC01B3" w:rsidRPr="00BA3584" w:rsidRDefault="00AC01B3" w:rsidP="00D26F3C">
            <w:pPr>
              <w:suppressAutoHyphens/>
              <w:rPr>
                <w:sz w:val="20"/>
                <w:lang w:eastAsia="da-DK"/>
              </w:rPr>
            </w:pPr>
            <w:r w:rsidRPr="00BA3584">
              <w:rPr>
                <w:sz w:val="20"/>
                <w:lang w:eastAsia="da-DK"/>
              </w:rPr>
              <w:t>Træthed.</w:t>
            </w:r>
          </w:p>
        </w:tc>
        <w:tc>
          <w:tcPr>
            <w:tcW w:w="1459" w:type="dxa"/>
          </w:tcPr>
          <w:p w:rsidR="00AC01B3" w:rsidRPr="00BA3584" w:rsidRDefault="00AC01B3" w:rsidP="00D26F3C">
            <w:pPr>
              <w:suppressAutoHyphens/>
              <w:rPr>
                <w:sz w:val="20"/>
                <w:lang w:val="nb-NO" w:eastAsia="da-DK"/>
              </w:rPr>
            </w:pPr>
            <w:r w:rsidRPr="00BA3584">
              <w:rPr>
                <w:sz w:val="20"/>
                <w:lang w:val="nb-NO" w:eastAsia="da-DK"/>
              </w:rPr>
              <w:t>Ødem i nedre ekstremiteter, asteni, ødem.</w:t>
            </w:r>
          </w:p>
          <w:p w:rsidR="00AC01B3" w:rsidRPr="00BA3584" w:rsidRDefault="00AC01B3" w:rsidP="00D26F3C">
            <w:pPr>
              <w:suppressAutoHyphens/>
              <w:rPr>
                <w:sz w:val="20"/>
                <w:lang w:val="nb-NO" w:eastAsia="da-DK"/>
              </w:rPr>
            </w:pPr>
          </w:p>
        </w:tc>
        <w:tc>
          <w:tcPr>
            <w:tcW w:w="1459" w:type="dxa"/>
          </w:tcPr>
          <w:p w:rsidR="00AC01B3" w:rsidRPr="00BA3584" w:rsidRDefault="00AC01B3" w:rsidP="00D26F3C">
            <w:pPr>
              <w:suppressAutoHyphens/>
              <w:rPr>
                <w:sz w:val="20"/>
                <w:lang w:val="nb-NO" w:eastAsia="da-DK"/>
              </w:rPr>
            </w:pPr>
          </w:p>
        </w:tc>
        <w:tc>
          <w:tcPr>
            <w:tcW w:w="1494" w:type="dxa"/>
          </w:tcPr>
          <w:p w:rsidR="00AC01B3" w:rsidRPr="00BA3584" w:rsidRDefault="00AC01B3" w:rsidP="00D26F3C">
            <w:pPr>
              <w:suppressAutoHyphens/>
              <w:rPr>
                <w:sz w:val="20"/>
                <w:lang w:eastAsia="da-DK"/>
              </w:rPr>
            </w:pPr>
            <w:r w:rsidRPr="00BA3584">
              <w:rPr>
                <w:sz w:val="20"/>
                <w:lang w:eastAsia="da-DK"/>
              </w:rPr>
              <w:t xml:space="preserve">Pludselig død, </w:t>
            </w:r>
            <w:proofErr w:type="spellStart"/>
            <w:r w:rsidRPr="00BA3584">
              <w:rPr>
                <w:sz w:val="20"/>
                <w:lang w:eastAsia="da-DK"/>
              </w:rPr>
              <w:t>hypotermi</w:t>
            </w:r>
            <w:proofErr w:type="spellEnd"/>
            <w:r w:rsidRPr="00BA3584">
              <w:rPr>
                <w:sz w:val="20"/>
                <w:lang w:eastAsia="da-DK"/>
              </w:rPr>
              <w:t>.</w:t>
            </w:r>
          </w:p>
        </w:tc>
      </w:tr>
      <w:tr w:rsidR="00AC01B3" w:rsidRPr="00BA3584" w:rsidTr="00D26F3C">
        <w:tc>
          <w:tcPr>
            <w:tcW w:w="1559" w:type="dxa"/>
          </w:tcPr>
          <w:p w:rsidR="00AC01B3" w:rsidRPr="00BA3584" w:rsidRDefault="00AC01B3" w:rsidP="00D26F3C">
            <w:pPr>
              <w:suppressAutoHyphens/>
              <w:rPr>
                <w:sz w:val="20"/>
                <w:lang w:eastAsia="da-DK"/>
              </w:rPr>
            </w:pPr>
            <w:r w:rsidRPr="00BA3584">
              <w:rPr>
                <w:sz w:val="20"/>
                <w:lang w:eastAsia="da-DK"/>
              </w:rPr>
              <w:t>Undersøgelser</w:t>
            </w:r>
          </w:p>
          <w:p w:rsidR="00AC01B3" w:rsidRPr="00BA3584" w:rsidRDefault="00AC01B3" w:rsidP="00D26F3C">
            <w:pPr>
              <w:suppressAutoHyphens/>
              <w:rPr>
                <w:sz w:val="20"/>
                <w:lang w:eastAsia="da-DK"/>
              </w:rPr>
            </w:pPr>
          </w:p>
        </w:tc>
        <w:tc>
          <w:tcPr>
            <w:tcW w:w="1459" w:type="dxa"/>
          </w:tcPr>
          <w:p w:rsidR="00AC01B3" w:rsidRPr="00BA3584" w:rsidRDefault="00AC01B3" w:rsidP="00D26F3C">
            <w:pPr>
              <w:suppressAutoHyphens/>
              <w:rPr>
                <w:sz w:val="20"/>
                <w:lang w:eastAsia="da-DK"/>
              </w:rPr>
            </w:pPr>
          </w:p>
        </w:tc>
        <w:tc>
          <w:tcPr>
            <w:tcW w:w="1476" w:type="dxa"/>
          </w:tcPr>
          <w:p w:rsidR="00AC01B3" w:rsidRPr="00BA3584" w:rsidRDefault="00AC01B3" w:rsidP="00D26F3C">
            <w:pPr>
              <w:suppressAutoHyphens/>
              <w:rPr>
                <w:sz w:val="20"/>
                <w:lang w:eastAsia="da-DK"/>
              </w:rPr>
            </w:pPr>
            <w:r w:rsidRPr="00BA3584">
              <w:rPr>
                <w:sz w:val="20"/>
                <w:lang w:eastAsia="da-DK"/>
              </w:rPr>
              <w:t>Vægtøgning.</w:t>
            </w:r>
          </w:p>
        </w:tc>
        <w:tc>
          <w:tcPr>
            <w:tcW w:w="1459" w:type="dxa"/>
          </w:tcPr>
          <w:p w:rsidR="00AC01B3" w:rsidRPr="00BA3584" w:rsidRDefault="00AC01B3" w:rsidP="00D26F3C">
            <w:pPr>
              <w:suppressAutoHyphens/>
              <w:rPr>
                <w:sz w:val="20"/>
                <w:lang w:eastAsia="da-DK"/>
              </w:rPr>
            </w:pPr>
          </w:p>
        </w:tc>
        <w:tc>
          <w:tcPr>
            <w:tcW w:w="1459" w:type="dxa"/>
          </w:tcPr>
          <w:p w:rsidR="00AC01B3" w:rsidRPr="00BA3584" w:rsidRDefault="00AC01B3" w:rsidP="00D26F3C">
            <w:pPr>
              <w:suppressAutoHyphens/>
              <w:rPr>
                <w:sz w:val="20"/>
                <w:lang w:eastAsia="da-DK"/>
              </w:rPr>
            </w:pPr>
          </w:p>
        </w:tc>
        <w:tc>
          <w:tcPr>
            <w:tcW w:w="1494" w:type="dxa"/>
          </w:tcPr>
          <w:p w:rsidR="00AC01B3" w:rsidRPr="00BA3584" w:rsidRDefault="00AC01B3" w:rsidP="00D26F3C">
            <w:pPr>
              <w:suppressAutoHyphens/>
              <w:rPr>
                <w:sz w:val="20"/>
                <w:lang w:eastAsia="da-DK"/>
              </w:rPr>
            </w:pPr>
          </w:p>
        </w:tc>
      </w:tr>
    </w:tbl>
    <w:p w:rsidR="00973CD2" w:rsidRPr="00BA3584" w:rsidRDefault="00973CD2" w:rsidP="00973CD2">
      <w:pPr>
        <w:tabs>
          <w:tab w:val="left" w:pos="851"/>
        </w:tabs>
        <w:ind w:left="851"/>
        <w:rPr>
          <w:sz w:val="24"/>
          <w:szCs w:val="24"/>
          <w:u w:val="single"/>
          <w:lang w:eastAsia="da-DK"/>
        </w:rPr>
      </w:pPr>
    </w:p>
    <w:p w:rsidR="00AC01B3" w:rsidRDefault="00AC01B3" w:rsidP="00AC01B3">
      <w:pPr>
        <w:autoSpaceDE w:val="0"/>
        <w:autoSpaceDN w:val="0"/>
        <w:ind w:left="851"/>
        <w:rPr>
          <w:sz w:val="24"/>
          <w:szCs w:val="24"/>
          <w:u w:val="single"/>
          <w:lang w:eastAsia="da-DK"/>
        </w:rPr>
      </w:pPr>
      <w:r>
        <w:rPr>
          <w:sz w:val="24"/>
          <w:szCs w:val="24"/>
          <w:u w:val="single"/>
          <w:lang w:eastAsia="da-DK"/>
        </w:rPr>
        <w:t>Indberetning af formodede bivirkninger</w:t>
      </w:r>
    </w:p>
    <w:p w:rsidR="00AC01B3" w:rsidRDefault="00AC01B3" w:rsidP="00AC01B3">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-forholdet for lægemidlet. Sundhedspersoner anmodes om at indberette alle formodede bivirkninger via:</w:t>
      </w:r>
    </w:p>
    <w:p w:rsidR="00AC01B3" w:rsidRDefault="00AC01B3" w:rsidP="00AC01B3">
      <w:pPr>
        <w:ind w:left="851"/>
        <w:rPr>
          <w:sz w:val="24"/>
          <w:szCs w:val="24"/>
          <w:lang w:eastAsia="da-DK"/>
        </w:rPr>
      </w:pPr>
    </w:p>
    <w:p w:rsidR="00AC01B3" w:rsidRDefault="00AC01B3" w:rsidP="00AC01B3">
      <w:pPr>
        <w:ind w:left="851"/>
        <w:rPr>
          <w:sz w:val="24"/>
          <w:szCs w:val="24"/>
          <w:lang w:eastAsia="da-DK"/>
        </w:rPr>
      </w:pPr>
      <w:r>
        <w:rPr>
          <w:sz w:val="24"/>
          <w:szCs w:val="24"/>
          <w:lang w:eastAsia="da-DK"/>
        </w:rPr>
        <w:t>Lægemiddelstyrelsen</w:t>
      </w:r>
    </w:p>
    <w:p w:rsidR="00AC01B3" w:rsidRDefault="00AC01B3" w:rsidP="00AC01B3">
      <w:pPr>
        <w:ind w:left="851"/>
        <w:rPr>
          <w:sz w:val="24"/>
          <w:szCs w:val="24"/>
          <w:lang w:eastAsia="da-DK"/>
        </w:rPr>
      </w:pPr>
      <w:r>
        <w:rPr>
          <w:sz w:val="24"/>
          <w:szCs w:val="24"/>
          <w:lang w:eastAsia="da-DK"/>
        </w:rPr>
        <w:t>Axel Heides Gade 1</w:t>
      </w:r>
    </w:p>
    <w:p w:rsidR="00AC01B3" w:rsidRDefault="00AC01B3" w:rsidP="00AC01B3">
      <w:pPr>
        <w:ind w:left="851"/>
        <w:rPr>
          <w:sz w:val="24"/>
          <w:szCs w:val="24"/>
          <w:lang w:eastAsia="da-DK"/>
        </w:rPr>
      </w:pPr>
      <w:r>
        <w:rPr>
          <w:sz w:val="24"/>
          <w:szCs w:val="24"/>
          <w:lang w:eastAsia="da-DK"/>
        </w:rPr>
        <w:t>DK-2300 København S</w:t>
      </w:r>
    </w:p>
    <w:p w:rsidR="00AC01B3" w:rsidRPr="00680925" w:rsidRDefault="00AC01B3" w:rsidP="00AC01B3">
      <w:pPr>
        <w:ind w:left="851"/>
        <w:rPr>
          <w:sz w:val="24"/>
          <w:szCs w:val="24"/>
          <w:lang w:eastAsia="da-DK"/>
        </w:rPr>
      </w:pPr>
      <w:r w:rsidRPr="00680925">
        <w:rPr>
          <w:sz w:val="24"/>
          <w:szCs w:val="24"/>
          <w:lang w:eastAsia="da-DK"/>
        </w:rPr>
        <w:t xml:space="preserve">Websted: </w:t>
      </w:r>
      <w:hyperlink r:id="rId8" w:history="1">
        <w:r w:rsidRPr="007D510F">
          <w:rPr>
            <w:rStyle w:val="Hyperlink"/>
            <w:sz w:val="24"/>
            <w:lang w:eastAsia="da-DK"/>
          </w:rPr>
          <w:t>www.meldenbivirkning.dk</w:t>
        </w:r>
      </w:hyperlink>
      <w:r>
        <w:rPr>
          <w:sz w:val="24"/>
          <w:lang w:eastAsia="da-DK"/>
        </w:rPr>
        <w:t xml:space="preserve"> </w:t>
      </w:r>
    </w:p>
    <w:p w:rsidR="00AC01B3" w:rsidRPr="00680925" w:rsidRDefault="00AC01B3" w:rsidP="00AC01B3">
      <w:pPr>
        <w:tabs>
          <w:tab w:val="left" w:pos="851"/>
        </w:tabs>
        <w:autoSpaceDE w:val="0"/>
        <w:autoSpaceDN w:val="0"/>
        <w:adjustRightInd w:val="0"/>
        <w:rPr>
          <w:sz w:val="24"/>
          <w:szCs w:val="24"/>
          <w:lang w:eastAsia="da-DK"/>
        </w:rPr>
      </w:pPr>
    </w:p>
    <w:p w:rsidR="00973CD2" w:rsidRPr="00C84483" w:rsidRDefault="00973CD2" w:rsidP="00973CD2">
      <w:pPr>
        <w:tabs>
          <w:tab w:val="left" w:pos="851"/>
        </w:tabs>
        <w:ind w:left="851" w:hanging="851"/>
        <w:rPr>
          <w:b/>
          <w:sz w:val="24"/>
          <w:szCs w:val="24"/>
        </w:rPr>
      </w:pPr>
      <w:r w:rsidRPr="00C84483">
        <w:rPr>
          <w:b/>
          <w:sz w:val="24"/>
          <w:szCs w:val="24"/>
        </w:rPr>
        <w:t>4.9</w:t>
      </w:r>
      <w:r w:rsidRPr="00C84483">
        <w:rPr>
          <w:b/>
          <w:sz w:val="24"/>
          <w:szCs w:val="24"/>
        </w:rPr>
        <w:tab/>
        <w:t>Overdosering</w:t>
      </w:r>
    </w:p>
    <w:p w:rsidR="00973CD2" w:rsidRPr="005A1DF6" w:rsidRDefault="00973CD2" w:rsidP="00973CD2">
      <w:pPr>
        <w:tabs>
          <w:tab w:val="left" w:pos="851"/>
        </w:tabs>
        <w:ind w:left="851"/>
        <w:rPr>
          <w:sz w:val="24"/>
          <w:szCs w:val="24"/>
          <w:lang w:eastAsia="da-DK"/>
        </w:rPr>
      </w:pPr>
    </w:p>
    <w:p w:rsidR="00AC01B3" w:rsidRPr="005A1DF6" w:rsidRDefault="00AC01B3" w:rsidP="00AC01B3">
      <w:pPr>
        <w:tabs>
          <w:tab w:val="left" w:pos="851"/>
        </w:tabs>
        <w:suppressAutoHyphens/>
        <w:ind w:left="851"/>
        <w:rPr>
          <w:sz w:val="24"/>
          <w:szCs w:val="24"/>
          <w:u w:val="single"/>
          <w:lang w:eastAsia="da-DK"/>
        </w:rPr>
      </w:pPr>
      <w:r w:rsidRPr="005A1DF6">
        <w:rPr>
          <w:sz w:val="24"/>
          <w:szCs w:val="24"/>
          <w:u w:val="single"/>
          <w:lang w:eastAsia="da-DK"/>
        </w:rPr>
        <w:t>Symptomer</w:t>
      </w:r>
    </w:p>
    <w:p w:rsidR="00AC01B3" w:rsidRDefault="00AC01B3" w:rsidP="00AC01B3">
      <w:pPr>
        <w:tabs>
          <w:tab w:val="left" w:pos="851"/>
        </w:tabs>
        <w:suppressAutoHyphens/>
        <w:ind w:left="851"/>
        <w:rPr>
          <w:sz w:val="24"/>
          <w:szCs w:val="24"/>
          <w:lang w:eastAsia="da-DK"/>
        </w:rPr>
      </w:pPr>
      <w:r w:rsidRPr="005A1DF6">
        <w:rPr>
          <w:sz w:val="24"/>
          <w:szCs w:val="24"/>
          <w:lang w:eastAsia="da-DK"/>
        </w:rPr>
        <w:t xml:space="preserve">Svær overdosering er kendetegnet ved respirationsdepression, ekstrem døsighed progredierende til </w:t>
      </w:r>
      <w:proofErr w:type="spellStart"/>
      <w:r w:rsidRPr="005A1DF6">
        <w:rPr>
          <w:sz w:val="24"/>
          <w:szCs w:val="24"/>
          <w:lang w:eastAsia="da-DK"/>
        </w:rPr>
        <w:t>stupor</w:t>
      </w:r>
      <w:proofErr w:type="spellEnd"/>
      <w:r w:rsidRPr="005A1DF6">
        <w:rPr>
          <w:sz w:val="24"/>
          <w:szCs w:val="24"/>
          <w:lang w:eastAsia="da-DK"/>
        </w:rPr>
        <w:t xml:space="preserve"> eller koma, maksimal pupilforsnævring, slaphed i skeletmuskulaturen, kold og fugtig hud og undertiden bradykardi og hypotension. Apnø, </w:t>
      </w:r>
      <w:proofErr w:type="spellStart"/>
      <w:r w:rsidRPr="005A1DF6">
        <w:rPr>
          <w:sz w:val="24"/>
          <w:szCs w:val="24"/>
          <w:lang w:eastAsia="da-DK"/>
        </w:rPr>
        <w:t>kardiovaskulært</w:t>
      </w:r>
      <w:proofErr w:type="spellEnd"/>
      <w:r w:rsidRPr="005A1DF6">
        <w:rPr>
          <w:sz w:val="24"/>
          <w:szCs w:val="24"/>
          <w:lang w:eastAsia="da-DK"/>
        </w:rPr>
        <w:t xml:space="preserve"> svigt, hjertestop og død kan forekomme i alvorlige tilfælde af overdosering. </w:t>
      </w:r>
      <w:r w:rsidRPr="00FD7DD7">
        <w:rPr>
          <w:sz w:val="24"/>
          <w:szCs w:val="24"/>
          <w:lang w:eastAsia="da-DK"/>
        </w:rPr>
        <w:t>Hypoglykæmi er rapporteret</w:t>
      </w:r>
      <w:r w:rsidR="00960AA1">
        <w:rPr>
          <w:sz w:val="24"/>
          <w:szCs w:val="24"/>
          <w:lang w:eastAsia="da-DK"/>
        </w:rPr>
        <w:t>.</w:t>
      </w:r>
    </w:p>
    <w:p w:rsidR="00960AA1" w:rsidRDefault="00960AA1" w:rsidP="00AC01B3">
      <w:pPr>
        <w:tabs>
          <w:tab w:val="left" w:pos="851"/>
        </w:tabs>
        <w:suppressAutoHyphens/>
        <w:ind w:left="851"/>
        <w:rPr>
          <w:sz w:val="24"/>
          <w:szCs w:val="24"/>
          <w:lang w:eastAsia="da-DK"/>
        </w:rPr>
      </w:pPr>
    </w:p>
    <w:p w:rsidR="00960AA1" w:rsidRPr="00960AA1" w:rsidRDefault="00960AA1" w:rsidP="00960AA1">
      <w:pPr>
        <w:tabs>
          <w:tab w:val="left" w:pos="851"/>
        </w:tabs>
        <w:suppressAutoHyphens/>
        <w:ind w:left="851"/>
        <w:rPr>
          <w:sz w:val="24"/>
          <w:szCs w:val="24"/>
          <w:lang w:eastAsia="da-DK"/>
        </w:rPr>
      </w:pPr>
      <w:bookmarkStart w:id="4" w:name="_Hlk132201291"/>
      <w:r>
        <w:rPr>
          <w:sz w:val="24"/>
          <w:szCs w:val="24"/>
          <w:lang w:eastAsia="da-DK"/>
        </w:rPr>
        <w:t xml:space="preserve">Der er blevet observeret toksisk </w:t>
      </w:r>
      <w:proofErr w:type="spellStart"/>
      <w:r>
        <w:rPr>
          <w:sz w:val="24"/>
          <w:szCs w:val="24"/>
          <w:lang w:eastAsia="da-DK"/>
        </w:rPr>
        <w:t>leukoencefalopati</w:t>
      </w:r>
      <w:proofErr w:type="spellEnd"/>
      <w:r>
        <w:rPr>
          <w:sz w:val="24"/>
          <w:szCs w:val="24"/>
          <w:lang w:eastAsia="da-DK"/>
        </w:rPr>
        <w:t xml:space="preserve"> med en </w:t>
      </w:r>
      <w:proofErr w:type="spellStart"/>
      <w:r>
        <w:rPr>
          <w:sz w:val="24"/>
          <w:szCs w:val="24"/>
          <w:lang w:eastAsia="da-DK"/>
        </w:rPr>
        <w:t>methadon</w:t>
      </w:r>
      <w:proofErr w:type="spellEnd"/>
      <w:r>
        <w:rPr>
          <w:sz w:val="24"/>
          <w:szCs w:val="24"/>
          <w:lang w:eastAsia="da-DK"/>
        </w:rPr>
        <w:t>-overdosering.</w:t>
      </w:r>
      <w:bookmarkEnd w:id="4"/>
    </w:p>
    <w:p w:rsidR="00973CD2" w:rsidRPr="005A1DF6" w:rsidRDefault="00973CD2" w:rsidP="00973CD2">
      <w:pPr>
        <w:tabs>
          <w:tab w:val="left" w:pos="851"/>
        </w:tabs>
        <w:suppressAutoHyphens/>
        <w:ind w:left="851"/>
        <w:rPr>
          <w:sz w:val="24"/>
          <w:szCs w:val="24"/>
          <w:lang w:eastAsia="da-DK"/>
        </w:rPr>
      </w:pPr>
    </w:p>
    <w:p w:rsidR="00973CD2" w:rsidRPr="005A1DF6" w:rsidRDefault="00973CD2" w:rsidP="00973CD2">
      <w:pPr>
        <w:tabs>
          <w:tab w:val="left" w:pos="851"/>
        </w:tabs>
        <w:suppressAutoHyphens/>
        <w:ind w:left="851"/>
        <w:rPr>
          <w:sz w:val="24"/>
          <w:szCs w:val="24"/>
          <w:u w:val="single"/>
          <w:lang w:eastAsia="da-DK"/>
        </w:rPr>
      </w:pPr>
      <w:r w:rsidRPr="005A1DF6">
        <w:rPr>
          <w:sz w:val="24"/>
          <w:szCs w:val="24"/>
          <w:u w:val="single"/>
          <w:lang w:eastAsia="da-DK"/>
        </w:rPr>
        <w:t>Behandling</w:t>
      </w:r>
    </w:p>
    <w:p w:rsidR="00973CD2" w:rsidRPr="005A1DF6" w:rsidRDefault="00973CD2" w:rsidP="00973CD2">
      <w:pPr>
        <w:tabs>
          <w:tab w:val="left" w:pos="851"/>
        </w:tabs>
        <w:suppressAutoHyphens/>
        <w:ind w:left="851"/>
        <w:rPr>
          <w:sz w:val="24"/>
          <w:szCs w:val="24"/>
          <w:lang w:eastAsia="da-DK"/>
        </w:rPr>
      </w:pPr>
      <w:r w:rsidRPr="005A1DF6">
        <w:rPr>
          <w:sz w:val="24"/>
          <w:szCs w:val="24"/>
          <w:lang w:eastAsia="da-DK"/>
        </w:rPr>
        <w:t>Luftvejene skal sikres ved hjælp af assisteret eller kontrolleret ventilation.</w:t>
      </w:r>
    </w:p>
    <w:p w:rsidR="00973CD2" w:rsidRPr="005A1DF6" w:rsidRDefault="00973CD2" w:rsidP="00973CD2">
      <w:pPr>
        <w:tabs>
          <w:tab w:val="left" w:pos="851"/>
        </w:tabs>
        <w:suppressAutoHyphens/>
        <w:ind w:left="851"/>
        <w:rPr>
          <w:sz w:val="24"/>
          <w:szCs w:val="24"/>
          <w:lang w:eastAsia="da-DK"/>
        </w:rPr>
      </w:pPr>
      <w:r w:rsidRPr="005A1DF6">
        <w:rPr>
          <w:sz w:val="24"/>
          <w:szCs w:val="24"/>
          <w:lang w:eastAsia="da-DK"/>
        </w:rPr>
        <w:t xml:space="preserve">Det kan være nødvendigt at anvende opioidantagonister, men eftersom virkningsvarigheden af </w:t>
      </w:r>
      <w:proofErr w:type="spellStart"/>
      <w:r w:rsidRPr="005A1DF6">
        <w:rPr>
          <w:sz w:val="24"/>
          <w:szCs w:val="24"/>
          <w:lang w:eastAsia="da-DK"/>
        </w:rPr>
        <w:t>methadon</w:t>
      </w:r>
      <w:proofErr w:type="spellEnd"/>
      <w:r w:rsidRPr="005A1DF6">
        <w:rPr>
          <w:sz w:val="24"/>
          <w:szCs w:val="24"/>
          <w:lang w:eastAsia="da-DK"/>
        </w:rPr>
        <w:t xml:space="preserve"> er lang (36-48 timer), og virkningsvarigheden af den mest almindeligt anvendte antagonist, </w:t>
      </w:r>
      <w:proofErr w:type="spellStart"/>
      <w:r w:rsidRPr="005A1DF6">
        <w:rPr>
          <w:sz w:val="24"/>
          <w:szCs w:val="24"/>
          <w:lang w:eastAsia="da-DK"/>
        </w:rPr>
        <w:t>naloxon</w:t>
      </w:r>
      <w:proofErr w:type="spellEnd"/>
      <w:r w:rsidRPr="005A1DF6">
        <w:rPr>
          <w:sz w:val="24"/>
          <w:szCs w:val="24"/>
          <w:lang w:eastAsia="da-DK"/>
        </w:rPr>
        <w:t xml:space="preserve">, kun er 1-3 timer, skal behandlingen gentages om nødvendigt. Der må ikke gives antagonister, medmindre der er tegn på respirationssvigt eller bevidstløshed. Hvis patienten er fysisk afhængig af narkotika, kan administration af en antagonist forårsage akutte abstinenssymptomer. Det bør om muligt undgås at anvende antagonister hos sådanne patienter, men hvis det viser sig at være nødvendigt at administrere antagonister på grund af svær respirationsdepression, skal der udvises stor forsigtighed, og antagonistdosen skal være lav, hvis der mistanke om </w:t>
      </w:r>
      <w:proofErr w:type="spellStart"/>
      <w:r w:rsidRPr="005A1DF6">
        <w:rPr>
          <w:sz w:val="24"/>
          <w:szCs w:val="24"/>
          <w:lang w:eastAsia="da-DK"/>
        </w:rPr>
        <w:t>methadonforgiftning</w:t>
      </w:r>
      <w:proofErr w:type="spellEnd"/>
      <w:r w:rsidRPr="005A1DF6">
        <w:rPr>
          <w:sz w:val="24"/>
          <w:szCs w:val="24"/>
          <w:lang w:eastAsia="da-DK"/>
        </w:rPr>
        <w:t xml:space="preserve">. </w:t>
      </w:r>
    </w:p>
    <w:p w:rsidR="00973CD2" w:rsidRPr="00C84483" w:rsidRDefault="00973CD2" w:rsidP="00973CD2">
      <w:pPr>
        <w:tabs>
          <w:tab w:val="left" w:pos="851"/>
        </w:tabs>
        <w:ind w:left="851"/>
        <w:rPr>
          <w:sz w:val="24"/>
          <w:szCs w:val="24"/>
        </w:rPr>
      </w:pPr>
    </w:p>
    <w:p w:rsidR="00973CD2" w:rsidRPr="00C84483" w:rsidRDefault="00973CD2" w:rsidP="00973CD2">
      <w:pPr>
        <w:tabs>
          <w:tab w:val="left" w:pos="851"/>
        </w:tabs>
        <w:ind w:left="851" w:hanging="851"/>
        <w:rPr>
          <w:b/>
          <w:sz w:val="24"/>
          <w:szCs w:val="24"/>
        </w:rPr>
      </w:pPr>
      <w:r w:rsidRPr="00C84483">
        <w:rPr>
          <w:b/>
          <w:sz w:val="24"/>
          <w:szCs w:val="24"/>
        </w:rPr>
        <w:t>4.10</w:t>
      </w:r>
      <w:r w:rsidRPr="00C84483">
        <w:rPr>
          <w:b/>
          <w:sz w:val="24"/>
          <w:szCs w:val="24"/>
        </w:rPr>
        <w:tab/>
        <w:t>Udlevering</w:t>
      </w:r>
    </w:p>
    <w:p w:rsidR="00973CD2" w:rsidRPr="00C84483" w:rsidRDefault="00973CD2" w:rsidP="00973CD2">
      <w:pPr>
        <w:tabs>
          <w:tab w:val="left" w:pos="851"/>
        </w:tabs>
        <w:ind w:left="851"/>
        <w:rPr>
          <w:sz w:val="24"/>
          <w:szCs w:val="24"/>
        </w:rPr>
      </w:pPr>
      <w:r>
        <w:rPr>
          <w:sz w:val="24"/>
          <w:szCs w:val="24"/>
        </w:rPr>
        <w:t>A§4 (kopieringspligtigt)</w:t>
      </w:r>
    </w:p>
    <w:p w:rsidR="00973CD2" w:rsidRPr="00C84483" w:rsidRDefault="00973CD2" w:rsidP="00973CD2">
      <w:pPr>
        <w:tabs>
          <w:tab w:val="left" w:pos="851"/>
        </w:tabs>
        <w:ind w:left="851"/>
        <w:rPr>
          <w:sz w:val="24"/>
          <w:szCs w:val="24"/>
        </w:rPr>
      </w:pPr>
    </w:p>
    <w:p w:rsidR="00973CD2" w:rsidRPr="00C84483" w:rsidRDefault="00973CD2" w:rsidP="00973CD2">
      <w:pPr>
        <w:tabs>
          <w:tab w:val="left" w:pos="851"/>
        </w:tabs>
        <w:ind w:left="851"/>
        <w:rPr>
          <w:sz w:val="24"/>
          <w:szCs w:val="24"/>
        </w:rPr>
      </w:pPr>
    </w:p>
    <w:p w:rsidR="00973CD2" w:rsidRPr="00C84483" w:rsidRDefault="00973CD2" w:rsidP="00973CD2">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73CD2" w:rsidRPr="00C84483" w:rsidRDefault="00973CD2" w:rsidP="00973CD2">
      <w:pPr>
        <w:tabs>
          <w:tab w:val="left" w:pos="851"/>
        </w:tabs>
        <w:ind w:left="851"/>
        <w:rPr>
          <w:sz w:val="24"/>
          <w:szCs w:val="24"/>
        </w:rPr>
      </w:pPr>
    </w:p>
    <w:p w:rsidR="00973CD2" w:rsidRPr="00C84483" w:rsidRDefault="00973CD2" w:rsidP="00973CD2">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973CD2" w:rsidRPr="00C84483" w:rsidRDefault="00035DD4" w:rsidP="00973CD2">
      <w:pPr>
        <w:pStyle w:val="Default"/>
        <w:tabs>
          <w:tab w:val="left" w:pos="851"/>
        </w:tabs>
        <w:ind w:left="851"/>
        <w:rPr>
          <w:sz w:val="24"/>
          <w:szCs w:val="24"/>
        </w:rPr>
      </w:pPr>
      <w:proofErr w:type="spellStart"/>
      <w:r w:rsidRPr="00C922B2">
        <w:rPr>
          <w:sz w:val="24"/>
          <w:szCs w:val="24"/>
        </w:rPr>
        <w:lastRenderedPageBreak/>
        <w:t>Farmakoterapeutisk</w:t>
      </w:r>
      <w:proofErr w:type="spellEnd"/>
      <w:r w:rsidRPr="00C922B2">
        <w:rPr>
          <w:sz w:val="24"/>
          <w:szCs w:val="24"/>
        </w:rPr>
        <w:t xml:space="preserve"> klassifikation:</w:t>
      </w:r>
      <w:r>
        <w:rPr>
          <w:sz w:val="24"/>
          <w:szCs w:val="24"/>
        </w:rPr>
        <w:t xml:space="preserve"> </w:t>
      </w:r>
      <w:r w:rsidRPr="00C5448F">
        <w:rPr>
          <w:sz w:val="24"/>
          <w:szCs w:val="24"/>
        </w:rPr>
        <w:t>Midler mod opioidafhængighed</w:t>
      </w:r>
      <w:r>
        <w:rPr>
          <w:sz w:val="24"/>
          <w:szCs w:val="24"/>
        </w:rPr>
        <w:t xml:space="preserve">, </w:t>
      </w:r>
      <w:r>
        <w:rPr>
          <w:sz w:val="24"/>
          <w:szCs w:val="24"/>
        </w:rPr>
        <w:br/>
      </w:r>
      <w:r w:rsidRPr="00C5448F">
        <w:rPr>
          <w:sz w:val="24"/>
          <w:szCs w:val="24"/>
        </w:rPr>
        <w:t>ATC-kode: N</w:t>
      </w:r>
      <w:r>
        <w:rPr>
          <w:sz w:val="24"/>
          <w:szCs w:val="24"/>
        </w:rPr>
        <w:t xml:space="preserve"> </w:t>
      </w:r>
      <w:r w:rsidRPr="00C5448F">
        <w:rPr>
          <w:sz w:val="24"/>
          <w:szCs w:val="24"/>
        </w:rPr>
        <w:t>07</w:t>
      </w:r>
      <w:r>
        <w:rPr>
          <w:sz w:val="24"/>
          <w:szCs w:val="24"/>
        </w:rPr>
        <w:t xml:space="preserve"> </w:t>
      </w:r>
      <w:r w:rsidRPr="00C5448F">
        <w:rPr>
          <w:sz w:val="24"/>
          <w:szCs w:val="24"/>
        </w:rPr>
        <w:t>BC</w:t>
      </w:r>
      <w:r>
        <w:rPr>
          <w:sz w:val="24"/>
          <w:szCs w:val="24"/>
        </w:rPr>
        <w:t xml:space="preserve"> </w:t>
      </w:r>
      <w:r w:rsidRPr="00C5448F">
        <w:rPr>
          <w:sz w:val="24"/>
          <w:szCs w:val="24"/>
        </w:rPr>
        <w:t>02</w:t>
      </w:r>
      <w:r>
        <w:rPr>
          <w:sz w:val="24"/>
          <w:szCs w:val="24"/>
        </w:rPr>
        <w:t>.</w:t>
      </w:r>
      <w:r w:rsidRPr="00C5448F">
        <w:rPr>
          <w:sz w:val="24"/>
          <w:szCs w:val="24"/>
        </w:rPr>
        <w:t xml:space="preserve"> </w:t>
      </w:r>
      <w:r>
        <w:rPr>
          <w:sz w:val="24"/>
          <w:szCs w:val="24"/>
        </w:rPr>
        <w:br/>
      </w:r>
      <w:proofErr w:type="spellStart"/>
      <w:r w:rsidR="00973CD2" w:rsidRPr="00F70DC2">
        <w:rPr>
          <w:sz w:val="24"/>
          <w:szCs w:val="24"/>
        </w:rPr>
        <w:t>Methadon</w:t>
      </w:r>
      <w:proofErr w:type="spellEnd"/>
      <w:r w:rsidR="00973CD2" w:rsidRPr="00F70DC2">
        <w:rPr>
          <w:sz w:val="24"/>
          <w:szCs w:val="24"/>
        </w:rPr>
        <w:t xml:space="preserve"> er et </w:t>
      </w:r>
      <w:r w:rsidR="00960AA1">
        <w:rPr>
          <w:sz w:val="24"/>
          <w:szCs w:val="24"/>
        </w:rPr>
        <w:t>opioid</w:t>
      </w:r>
      <w:r w:rsidR="00973CD2" w:rsidRPr="00F70DC2">
        <w:rPr>
          <w:sz w:val="24"/>
          <w:szCs w:val="24"/>
        </w:rPr>
        <w:t xml:space="preserve">, der tilhører samme gruppe som morfin. Stoffet har en agonistvirkning på opioidreceptorerne i hjernen, knoglemarven og nervesystemet med høj affinitet for µ-receptorerne og en vis affinitet for ϭ- og κ-receptorerne. </w:t>
      </w:r>
      <w:proofErr w:type="spellStart"/>
      <w:r w:rsidR="00973CD2" w:rsidRPr="00F70DC2">
        <w:rPr>
          <w:sz w:val="24"/>
          <w:szCs w:val="24"/>
        </w:rPr>
        <w:t>Methadon</w:t>
      </w:r>
      <w:proofErr w:type="spellEnd"/>
      <w:r w:rsidR="00973CD2" w:rsidRPr="00F70DC2">
        <w:rPr>
          <w:sz w:val="24"/>
          <w:szCs w:val="24"/>
        </w:rPr>
        <w:t xml:space="preserve"> virker på omtrent samme måde som morfin, men den sederende virkning er mindre udtalt. Brug af </w:t>
      </w:r>
      <w:proofErr w:type="spellStart"/>
      <w:r w:rsidR="00973CD2" w:rsidRPr="00F70DC2">
        <w:rPr>
          <w:sz w:val="24"/>
          <w:szCs w:val="24"/>
        </w:rPr>
        <w:t>methadon</w:t>
      </w:r>
      <w:proofErr w:type="spellEnd"/>
      <w:r w:rsidR="00973CD2" w:rsidRPr="00F70DC2">
        <w:rPr>
          <w:sz w:val="24"/>
          <w:szCs w:val="24"/>
        </w:rPr>
        <w:t xml:space="preserve"> kan reducere eller ophæve virkningen af andre opioider. </w:t>
      </w:r>
      <w:proofErr w:type="spellStart"/>
      <w:r w:rsidR="00973CD2" w:rsidRPr="00F70DC2">
        <w:rPr>
          <w:sz w:val="24"/>
          <w:szCs w:val="24"/>
        </w:rPr>
        <w:t>Methadon</w:t>
      </w:r>
      <w:proofErr w:type="spellEnd"/>
      <w:r w:rsidR="00973CD2" w:rsidRPr="00F70DC2">
        <w:rPr>
          <w:sz w:val="24"/>
          <w:szCs w:val="24"/>
        </w:rPr>
        <w:t xml:space="preserve"> kan gives oralt under forsigtig titrering uden at fremkalde eufori men blot en </w:t>
      </w:r>
      <w:r w:rsidR="00973CD2" w:rsidRPr="00F70DC2">
        <w:rPr>
          <w:sz w:val="24"/>
          <w:szCs w:val="24"/>
          <w:cs/>
        </w:rPr>
        <w:t>”</w:t>
      </w:r>
      <w:r w:rsidR="00973CD2" w:rsidRPr="00F70DC2">
        <w:rPr>
          <w:sz w:val="24"/>
          <w:szCs w:val="24"/>
        </w:rPr>
        <w:t>normal</w:t>
      </w:r>
      <w:r w:rsidR="00973CD2" w:rsidRPr="00F70DC2">
        <w:rPr>
          <w:sz w:val="24"/>
          <w:szCs w:val="24"/>
          <w:cs/>
        </w:rPr>
        <w:t xml:space="preserve">” </w:t>
      </w:r>
      <w:r w:rsidR="00973CD2" w:rsidRPr="00F70DC2">
        <w:rPr>
          <w:sz w:val="24"/>
          <w:szCs w:val="24"/>
        </w:rPr>
        <w:t>tilstand i 24-32 timer, hvorefter abstinenserne tiltager, medmindre der administreres en ny dosis.</w:t>
      </w:r>
    </w:p>
    <w:p w:rsidR="00973CD2" w:rsidRPr="00C84483" w:rsidRDefault="00973CD2" w:rsidP="00973CD2">
      <w:pPr>
        <w:tabs>
          <w:tab w:val="left" w:pos="851"/>
        </w:tabs>
        <w:ind w:left="851"/>
        <w:rPr>
          <w:sz w:val="24"/>
          <w:szCs w:val="24"/>
        </w:rPr>
      </w:pPr>
    </w:p>
    <w:p w:rsidR="00973CD2" w:rsidRPr="00C84483" w:rsidRDefault="00973CD2" w:rsidP="00973CD2">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973CD2" w:rsidRDefault="00973CD2" w:rsidP="00973CD2">
      <w:pPr>
        <w:numPr>
          <w:ilvl w:val="12"/>
          <w:numId w:val="0"/>
        </w:numPr>
        <w:tabs>
          <w:tab w:val="left" w:pos="851"/>
        </w:tabs>
        <w:ind w:left="851" w:right="-2"/>
        <w:rPr>
          <w:sz w:val="24"/>
          <w:szCs w:val="24"/>
          <w:u w:val="single"/>
          <w:lang w:eastAsia="da-DK"/>
        </w:rPr>
      </w:pPr>
    </w:p>
    <w:p w:rsidR="00973CD2" w:rsidRPr="00802116" w:rsidRDefault="00973CD2" w:rsidP="00973CD2">
      <w:pPr>
        <w:numPr>
          <w:ilvl w:val="12"/>
          <w:numId w:val="0"/>
        </w:numPr>
        <w:tabs>
          <w:tab w:val="left" w:pos="851"/>
        </w:tabs>
        <w:ind w:left="851" w:right="-2"/>
        <w:rPr>
          <w:iCs/>
          <w:sz w:val="24"/>
          <w:szCs w:val="24"/>
          <w:u w:val="single"/>
          <w:lang w:eastAsia="da-DK"/>
        </w:rPr>
      </w:pPr>
      <w:r w:rsidRPr="00802116">
        <w:rPr>
          <w:sz w:val="24"/>
          <w:szCs w:val="24"/>
          <w:u w:val="single"/>
          <w:lang w:eastAsia="da-DK"/>
        </w:rPr>
        <w:t>Absorption</w:t>
      </w:r>
    </w:p>
    <w:p w:rsidR="00973CD2" w:rsidRDefault="00973CD2" w:rsidP="00AC01B3">
      <w:pPr>
        <w:tabs>
          <w:tab w:val="left" w:pos="851"/>
        </w:tabs>
        <w:autoSpaceDE w:val="0"/>
        <w:autoSpaceDN w:val="0"/>
        <w:adjustRightInd w:val="0"/>
        <w:ind w:left="851"/>
        <w:rPr>
          <w:sz w:val="24"/>
          <w:szCs w:val="24"/>
          <w:lang w:eastAsia="da-DK"/>
        </w:rPr>
      </w:pPr>
      <w:r w:rsidRPr="00802116">
        <w:rPr>
          <w:sz w:val="24"/>
          <w:szCs w:val="24"/>
          <w:lang w:eastAsia="da-DK"/>
        </w:rPr>
        <w:t xml:space="preserve">Biotilgængeligheden er over 80 %. Der opnås </w:t>
      </w:r>
      <w:proofErr w:type="spellStart"/>
      <w:r w:rsidRPr="00802116">
        <w:rPr>
          <w:sz w:val="24"/>
          <w:szCs w:val="24"/>
          <w:lang w:eastAsia="da-DK"/>
        </w:rPr>
        <w:t>steady</w:t>
      </w:r>
      <w:proofErr w:type="spellEnd"/>
      <w:r w:rsidRPr="00802116">
        <w:rPr>
          <w:sz w:val="24"/>
          <w:szCs w:val="24"/>
          <w:lang w:eastAsia="da-DK"/>
        </w:rPr>
        <w:t xml:space="preserve"> state-koncentrationer i løbet af 5-7 dage. </w:t>
      </w:r>
    </w:p>
    <w:p w:rsidR="00973CD2" w:rsidRPr="00802116" w:rsidRDefault="00973CD2" w:rsidP="00973CD2">
      <w:pPr>
        <w:tabs>
          <w:tab w:val="left" w:pos="851"/>
        </w:tabs>
        <w:autoSpaceDE w:val="0"/>
        <w:autoSpaceDN w:val="0"/>
        <w:adjustRightInd w:val="0"/>
        <w:ind w:left="851"/>
        <w:rPr>
          <w:sz w:val="24"/>
          <w:szCs w:val="24"/>
          <w:lang w:eastAsia="da-DK"/>
        </w:rPr>
      </w:pPr>
    </w:p>
    <w:p w:rsidR="00973CD2" w:rsidRPr="00802116" w:rsidRDefault="00973CD2" w:rsidP="00973CD2">
      <w:pPr>
        <w:numPr>
          <w:ilvl w:val="12"/>
          <w:numId w:val="0"/>
        </w:numPr>
        <w:tabs>
          <w:tab w:val="left" w:pos="851"/>
        </w:tabs>
        <w:ind w:left="851" w:right="-2"/>
        <w:rPr>
          <w:iCs/>
          <w:sz w:val="24"/>
          <w:szCs w:val="24"/>
          <w:u w:val="single"/>
          <w:lang w:eastAsia="da-DK"/>
        </w:rPr>
      </w:pPr>
      <w:r w:rsidRPr="00802116">
        <w:rPr>
          <w:sz w:val="24"/>
          <w:szCs w:val="24"/>
          <w:u w:val="single"/>
          <w:lang w:eastAsia="da-DK"/>
        </w:rPr>
        <w:t>Fordeling</w:t>
      </w:r>
    </w:p>
    <w:p w:rsidR="00973CD2" w:rsidRPr="00802116" w:rsidRDefault="00973CD2" w:rsidP="00973CD2">
      <w:pPr>
        <w:tabs>
          <w:tab w:val="left" w:pos="851"/>
        </w:tabs>
        <w:autoSpaceDE w:val="0"/>
        <w:autoSpaceDN w:val="0"/>
        <w:adjustRightInd w:val="0"/>
        <w:ind w:left="851"/>
        <w:rPr>
          <w:iCs/>
          <w:sz w:val="24"/>
          <w:szCs w:val="24"/>
          <w:lang w:eastAsia="da-DK"/>
        </w:rPr>
      </w:pPr>
      <w:r w:rsidRPr="00802116">
        <w:rPr>
          <w:sz w:val="24"/>
          <w:szCs w:val="24"/>
          <w:lang w:eastAsia="da-DK"/>
        </w:rPr>
        <w:t xml:space="preserve">Distributionsvoluminet er 5 l/kg. </w:t>
      </w:r>
      <w:proofErr w:type="spellStart"/>
      <w:r w:rsidRPr="00802116">
        <w:rPr>
          <w:sz w:val="24"/>
          <w:szCs w:val="24"/>
          <w:lang w:eastAsia="da-DK"/>
        </w:rPr>
        <w:t>Methadon</w:t>
      </w:r>
      <w:proofErr w:type="spellEnd"/>
      <w:r w:rsidRPr="00802116">
        <w:rPr>
          <w:sz w:val="24"/>
          <w:szCs w:val="24"/>
          <w:lang w:eastAsia="da-DK"/>
        </w:rPr>
        <w:t xml:space="preserve"> bindes primær til surt alfa-1-glykoprotein, men også til albumin og andre plasma- og vævsproteiner. </w:t>
      </w:r>
      <w:proofErr w:type="spellStart"/>
      <w:r w:rsidRPr="00802116">
        <w:rPr>
          <w:sz w:val="24"/>
          <w:szCs w:val="24"/>
          <w:lang w:eastAsia="da-DK"/>
        </w:rPr>
        <w:t>Plasma:fuldblodsratioen</w:t>
      </w:r>
      <w:proofErr w:type="spellEnd"/>
      <w:r w:rsidRPr="00802116">
        <w:rPr>
          <w:sz w:val="24"/>
          <w:szCs w:val="24"/>
          <w:lang w:eastAsia="da-DK"/>
        </w:rPr>
        <w:t xml:space="preserve"> er cirka 1:3. </w:t>
      </w:r>
      <w:proofErr w:type="spellStart"/>
      <w:r w:rsidRPr="00802116">
        <w:rPr>
          <w:sz w:val="24"/>
          <w:szCs w:val="24"/>
          <w:lang w:eastAsia="da-DK"/>
        </w:rPr>
        <w:t>Methadon</w:t>
      </w:r>
      <w:proofErr w:type="spellEnd"/>
      <w:r w:rsidRPr="00802116">
        <w:rPr>
          <w:sz w:val="24"/>
          <w:szCs w:val="24"/>
          <w:lang w:eastAsia="da-DK"/>
        </w:rPr>
        <w:t xml:space="preserve"> fordeles til vævene med højere koncentrationer i leveren, lungerne og nyrerne end i blodet. </w:t>
      </w:r>
    </w:p>
    <w:p w:rsidR="00973CD2" w:rsidRPr="00802116" w:rsidRDefault="00973CD2" w:rsidP="00973CD2">
      <w:pPr>
        <w:tabs>
          <w:tab w:val="left" w:pos="851"/>
        </w:tabs>
        <w:autoSpaceDE w:val="0"/>
        <w:autoSpaceDN w:val="0"/>
        <w:adjustRightInd w:val="0"/>
        <w:ind w:left="851"/>
        <w:rPr>
          <w:sz w:val="24"/>
          <w:szCs w:val="24"/>
          <w:lang w:eastAsia="da-DK"/>
        </w:rPr>
      </w:pPr>
    </w:p>
    <w:p w:rsidR="00973CD2" w:rsidRPr="00802116" w:rsidRDefault="00973CD2" w:rsidP="00973CD2">
      <w:pPr>
        <w:numPr>
          <w:ilvl w:val="12"/>
          <w:numId w:val="0"/>
        </w:numPr>
        <w:tabs>
          <w:tab w:val="left" w:pos="851"/>
        </w:tabs>
        <w:ind w:left="851" w:right="-2"/>
        <w:rPr>
          <w:iCs/>
          <w:sz w:val="24"/>
          <w:szCs w:val="24"/>
          <w:u w:val="single"/>
          <w:lang w:eastAsia="da-DK"/>
        </w:rPr>
      </w:pPr>
      <w:r w:rsidRPr="00802116">
        <w:rPr>
          <w:sz w:val="24"/>
          <w:szCs w:val="24"/>
          <w:u w:val="single"/>
          <w:lang w:eastAsia="da-DK"/>
        </w:rPr>
        <w:t>Biotransformation</w:t>
      </w:r>
    </w:p>
    <w:p w:rsidR="00973CD2" w:rsidRPr="00802116" w:rsidRDefault="00973CD2" w:rsidP="00973CD2">
      <w:pPr>
        <w:tabs>
          <w:tab w:val="left" w:pos="851"/>
        </w:tabs>
        <w:autoSpaceDE w:val="0"/>
        <w:autoSpaceDN w:val="0"/>
        <w:adjustRightInd w:val="0"/>
        <w:ind w:left="851"/>
        <w:rPr>
          <w:sz w:val="24"/>
          <w:szCs w:val="24"/>
          <w:lang w:eastAsia="da-DK"/>
        </w:rPr>
      </w:pPr>
      <w:r w:rsidRPr="00802116">
        <w:rPr>
          <w:sz w:val="24"/>
          <w:szCs w:val="24"/>
          <w:lang w:eastAsia="da-DK"/>
        </w:rPr>
        <w:t>Katalyseres primært via CYP3A4, men CYP2D6 og CYP2B6 bidrager også i mindre omfang. Metabolismen består primært af N-</w:t>
      </w:r>
      <w:proofErr w:type="spellStart"/>
      <w:r w:rsidRPr="00802116">
        <w:rPr>
          <w:sz w:val="24"/>
          <w:szCs w:val="24"/>
          <w:lang w:eastAsia="da-DK"/>
        </w:rPr>
        <w:t>demethylering</w:t>
      </w:r>
      <w:proofErr w:type="spellEnd"/>
      <w:r w:rsidRPr="00802116">
        <w:rPr>
          <w:sz w:val="24"/>
          <w:szCs w:val="24"/>
          <w:lang w:eastAsia="da-DK"/>
        </w:rPr>
        <w:t xml:space="preserve">, som frembringer de vigtigste metabolitter: 2-ethylidin-1,5-dimethyl-3,3-diphenylpyrrolidin (EDDP) og 2-ethyl-5-methyl-3,3-diphenyl-1-pyrrolidin (EMDP), som begge er inaktive. </w:t>
      </w:r>
      <w:proofErr w:type="spellStart"/>
      <w:r w:rsidRPr="00802116">
        <w:rPr>
          <w:sz w:val="24"/>
          <w:szCs w:val="24"/>
          <w:lang w:eastAsia="da-DK"/>
        </w:rPr>
        <w:t>Hydroxylering</w:t>
      </w:r>
      <w:proofErr w:type="spellEnd"/>
      <w:r w:rsidRPr="00802116">
        <w:rPr>
          <w:sz w:val="24"/>
          <w:szCs w:val="24"/>
          <w:lang w:eastAsia="da-DK"/>
        </w:rPr>
        <w:t xml:space="preserve"> til </w:t>
      </w:r>
      <w:proofErr w:type="spellStart"/>
      <w:r w:rsidRPr="00802116">
        <w:rPr>
          <w:sz w:val="24"/>
          <w:szCs w:val="24"/>
          <w:lang w:eastAsia="da-DK"/>
        </w:rPr>
        <w:t>methanol</w:t>
      </w:r>
      <w:proofErr w:type="spellEnd"/>
      <w:r w:rsidRPr="00802116">
        <w:rPr>
          <w:sz w:val="24"/>
          <w:szCs w:val="24"/>
          <w:lang w:eastAsia="da-DK"/>
        </w:rPr>
        <w:t xml:space="preserve"> efterfulgt af N-</w:t>
      </w:r>
      <w:proofErr w:type="spellStart"/>
      <w:r w:rsidRPr="00802116">
        <w:rPr>
          <w:sz w:val="24"/>
          <w:szCs w:val="24"/>
          <w:lang w:eastAsia="da-DK"/>
        </w:rPr>
        <w:t>demethylering</w:t>
      </w:r>
      <w:proofErr w:type="spellEnd"/>
      <w:r w:rsidRPr="00802116">
        <w:rPr>
          <w:sz w:val="24"/>
          <w:szCs w:val="24"/>
          <w:lang w:eastAsia="da-DK"/>
        </w:rPr>
        <w:t xml:space="preserve"> til </w:t>
      </w:r>
      <w:proofErr w:type="spellStart"/>
      <w:r w:rsidRPr="00802116">
        <w:rPr>
          <w:sz w:val="24"/>
          <w:szCs w:val="24"/>
          <w:lang w:eastAsia="da-DK"/>
        </w:rPr>
        <w:t>normetadol</w:t>
      </w:r>
      <w:proofErr w:type="spellEnd"/>
      <w:r w:rsidRPr="00802116">
        <w:rPr>
          <w:sz w:val="24"/>
          <w:szCs w:val="24"/>
          <w:lang w:eastAsia="da-DK"/>
        </w:rPr>
        <w:t xml:space="preserve"> sker også i en vis grad. Der sker også andre metaboliske reaktioner, og der er mindst otte kendte metabolitter. </w:t>
      </w:r>
    </w:p>
    <w:p w:rsidR="00973CD2" w:rsidRPr="00802116" w:rsidRDefault="00973CD2" w:rsidP="00973CD2">
      <w:pPr>
        <w:tabs>
          <w:tab w:val="left" w:pos="851"/>
        </w:tabs>
        <w:autoSpaceDE w:val="0"/>
        <w:autoSpaceDN w:val="0"/>
        <w:adjustRightInd w:val="0"/>
        <w:ind w:left="851"/>
        <w:rPr>
          <w:sz w:val="24"/>
          <w:szCs w:val="24"/>
          <w:lang w:eastAsia="da-DK"/>
        </w:rPr>
      </w:pPr>
    </w:p>
    <w:p w:rsidR="00973CD2" w:rsidRPr="00802116" w:rsidRDefault="00973CD2" w:rsidP="00973CD2">
      <w:pPr>
        <w:numPr>
          <w:ilvl w:val="12"/>
          <w:numId w:val="0"/>
        </w:numPr>
        <w:tabs>
          <w:tab w:val="left" w:pos="851"/>
        </w:tabs>
        <w:ind w:left="851" w:right="-2"/>
        <w:rPr>
          <w:iCs/>
          <w:sz w:val="24"/>
          <w:szCs w:val="24"/>
          <w:u w:val="single"/>
          <w:lang w:eastAsia="da-DK"/>
        </w:rPr>
      </w:pPr>
      <w:r w:rsidRPr="00802116">
        <w:rPr>
          <w:sz w:val="24"/>
          <w:szCs w:val="24"/>
          <w:u w:val="single"/>
          <w:lang w:eastAsia="da-DK"/>
        </w:rPr>
        <w:t>Elimination</w:t>
      </w:r>
    </w:p>
    <w:p w:rsidR="00973CD2" w:rsidRPr="00802116" w:rsidRDefault="00973CD2" w:rsidP="00973CD2">
      <w:pPr>
        <w:tabs>
          <w:tab w:val="left" w:pos="851"/>
        </w:tabs>
        <w:autoSpaceDE w:val="0"/>
        <w:autoSpaceDN w:val="0"/>
        <w:adjustRightInd w:val="0"/>
        <w:ind w:left="851"/>
        <w:rPr>
          <w:sz w:val="24"/>
          <w:szCs w:val="24"/>
          <w:lang w:eastAsia="da-DK"/>
        </w:rPr>
      </w:pPr>
      <w:r w:rsidRPr="00802116">
        <w:rPr>
          <w:sz w:val="24"/>
          <w:szCs w:val="24"/>
          <w:lang w:eastAsia="da-DK"/>
        </w:rPr>
        <w:t xml:space="preserve">Eliminationshalveringstid: enkeltdosis 10-25 timer. Gentagen dosering: 13-55 timer. </w:t>
      </w:r>
      <w:proofErr w:type="spellStart"/>
      <w:r w:rsidRPr="00802116">
        <w:rPr>
          <w:sz w:val="24"/>
          <w:szCs w:val="24"/>
          <w:lang w:eastAsia="da-DK"/>
        </w:rPr>
        <w:t>Plasmaclearance</w:t>
      </w:r>
      <w:proofErr w:type="spellEnd"/>
      <w:r w:rsidRPr="00802116">
        <w:rPr>
          <w:sz w:val="24"/>
          <w:szCs w:val="24"/>
          <w:lang w:eastAsia="da-DK"/>
        </w:rPr>
        <w:t xml:space="preserve"> er cirka 2 ml/min/kg. Cirka 20-60 % af dosen elimineres via urinen i løbet af 96 timer (cirka 33 % i </w:t>
      </w:r>
      <w:proofErr w:type="spellStart"/>
      <w:r w:rsidRPr="00802116">
        <w:rPr>
          <w:sz w:val="24"/>
          <w:szCs w:val="24"/>
          <w:lang w:eastAsia="da-DK"/>
        </w:rPr>
        <w:t>uomdannet</w:t>
      </w:r>
      <w:proofErr w:type="spellEnd"/>
      <w:r w:rsidRPr="00802116">
        <w:rPr>
          <w:sz w:val="24"/>
          <w:szCs w:val="24"/>
          <w:lang w:eastAsia="da-DK"/>
        </w:rPr>
        <w:t xml:space="preserve"> form, cirka 43 % som EDDP og cirka 5-10 % som EMDP). Eliminationen af </w:t>
      </w:r>
      <w:proofErr w:type="spellStart"/>
      <w:r w:rsidRPr="00802116">
        <w:rPr>
          <w:sz w:val="24"/>
          <w:szCs w:val="24"/>
          <w:lang w:eastAsia="da-DK"/>
        </w:rPr>
        <w:t>uomdannet</w:t>
      </w:r>
      <w:proofErr w:type="spellEnd"/>
      <w:r w:rsidRPr="00802116">
        <w:rPr>
          <w:sz w:val="24"/>
          <w:szCs w:val="24"/>
          <w:lang w:eastAsia="da-DK"/>
        </w:rPr>
        <w:t xml:space="preserve"> </w:t>
      </w:r>
      <w:proofErr w:type="spellStart"/>
      <w:r w:rsidRPr="00802116">
        <w:rPr>
          <w:sz w:val="24"/>
          <w:szCs w:val="24"/>
          <w:lang w:eastAsia="da-DK"/>
        </w:rPr>
        <w:t>methadon</w:t>
      </w:r>
      <w:proofErr w:type="spellEnd"/>
      <w:r w:rsidRPr="00802116">
        <w:rPr>
          <w:sz w:val="24"/>
          <w:szCs w:val="24"/>
          <w:lang w:eastAsia="da-DK"/>
        </w:rPr>
        <w:t xml:space="preserve"> i urin er pH-afhængig og stiger i takt med stigende urinsurhedsgrad. Cirka 30 % af dosen elimineres via fæces, men denne andel er som regel lavere ved højere doser. Cirka 75 % af det eliminerede stof findes i </w:t>
      </w:r>
      <w:proofErr w:type="spellStart"/>
      <w:r w:rsidRPr="00802116">
        <w:rPr>
          <w:sz w:val="24"/>
          <w:szCs w:val="24"/>
          <w:lang w:eastAsia="da-DK"/>
        </w:rPr>
        <w:t>uomdannet</w:t>
      </w:r>
      <w:proofErr w:type="spellEnd"/>
      <w:r w:rsidRPr="00802116">
        <w:rPr>
          <w:sz w:val="24"/>
          <w:szCs w:val="24"/>
          <w:lang w:eastAsia="da-DK"/>
        </w:rPr>
        <w:t xml:space="preserve"> form. </w:t>
      </w:r>
      <w:r w:rsidRPr="00802116">
        <w:rPr>
          <w:i/>
          <w:sz w:val="24"/>
          <w:szCs w:val="24"/>
          <w:lang w:eastAsia="da-DK"/>
        </w:rPr>
        <w:t xml:space="preserve"> </w:t>
      </w:r>
    </w:p>
    <w:p w:rsidR="00973CD2" w:rsidRPr="00802116" w:rsidRDefault="00035DD4" w:rsidP="00E7711F">
      <w:pPr>
        <w:tabs>
          <w:tab w:val="left" w:pos="851"/>
        </w:tabs>
        <w:autoSpaceDE w:val="0"/>
        <w:autoSpaceDN w:val="0"/>
        <w:adjustRightInd w:val="0"/>
        <w:ind w:left="851"/>
        <w:rPr>
          <w:sz w:val="24"/>
          <w:szCs w:val="24"/>
          <w:u w:val="single"/>
          <w:lang w:eastAsia="da-DK"/>
        </w:rPr>
      </w:pPr>
      <w:r>
        <w:rPr>
          <w:sz w:val="24"/>
          <w:szCs w:val="24"/>
          <w:u w:val="single"/>
          <w:lang w:eastAsia="da-DK"/>
        </w:rPr>
        <w:br/>
      </w:r>
      <w:r w:rsidR="00973CD2" w:rsidRPr="00802116">
        <w:rPr>
          <w:sz w:val="24"/>
          <w:szCs w:val="24"/>
          <w:u w:val="single"/>
          <w:lang w:eastAsia="da-DK"/>
        </w:rPr>
        <w:t>Særlige populationer</w:t>
      </w:r>
    </w:p>
    <w:p w:rsidR="00973CD2" w:rsidRPr="00802116" w:rsidRDefault="00973CD2" w:rsidP="00973CD2">
      <w:pPr>
        <w:tabs>
          <w:tab w:val="left" w:pos="851"/>
        </w:tabs>
        <w:autoSpaceDE w:val="0"/>
        <w:autoSpaceDN w:val="0"/>
        <w:adjustRightInd w:val="0"/>
        <w:ind w:left="851"/>
        <w:rPr>
          <w:sz w:val="24"/>
          <w:szCs w:val="24"/>
          <w:lang w:eastAsia="da-DK"/>
        </w:rPr>
      </w:pPr>
      <w:r w:rsidRPr="00802116">
        <w:rPr>
          <w:sz w:val="24"/>
          <w:szCs w:val="24"/>
          <w:lang w:eastAsia="da-DK"/>
        </w:rPr>
        <w:t xml:space="preserve">Der er ingen betydelige forskelle i farmakokinetikken hos mænd og kvinder. Hos ældre (&gt; 65 år) er eliminationen af </w:t>
      </w:r>
      <w:proofErr w:type="spellStart"/>
      <w:r w:rsidRPr="00802116">
        <w:rPr>
          <w:sz w:val="24"/>
          <w:szCs w:val="24"/>
          <w:lang w:eastAsia="da-DK"/>
        </w:rPr>
        <w:t>met</w:t>
      </w:r>
      <w:r>
        <w:rPr>
          <w:sz w:val="24"/>
          <w:szCs w:val="24"/>
          <w:lang w:eastAsia="da-DK"/>
        </w:rPr>
        <w:t>hadon</w:t>
      </w:r>
      <w:proofErr w:type="spellEnd"/>
      <w:r>
        <w:rPr>
          <w:sz w:val="24"/>
          <w:szCs w:val="24"/>
          <w:lang w:eastAsia="da-DK"/>
        </w:rPr>
        <w:t xml:space="preserve"> kun nedsat i en vis grad.</w:t>
      </w:r>
    </w:p>
    <w:p w:rsidR="00973CD2" w:rsidRPr="00802116" w:rsidRDefault="00973CD2" w:rsidP="00973CD2">
      <w:pPr>
        <w:tabs>
          <w:tab w:val="left" w:pos="851"/>
        </w:tabs>
        <w:autoSpaceDE w:val="0"/>
        <w:autoSpaceDN w:val="0"/>
        <w:adjustRightInd w:val="0"/>
        <w:ind w:left="851"/>
        <w:rPr>
          <w:sz w:val="24"/>
          <w:szCs w:val="24"/>
          <w:lang w:eastAsia="da-DK"/>
        </w:rPr>
      </w:pPr>
    </w:p>
    <w:p w:rsidR="00973CD2" w:rsidRPr="00802116" w:rsidRDefault="00973CD2" w:rsidP="00973CD2">
      <w:pPr>
        <w:tabs>
          <w:tab w:val="left" w:pos="851"/>
        </w:tabs>
        <w:suppressAutoHyphens/>
        <w:ind w:left="851"/>
        <w:rPr>
          <w:sz w:val="24"/>
          <w:szCs w:val="24"/>
          <w:lang w:eastAsia="da-DK"/>
        </w:rPr>
      </w:pPr>
      <w:r w:rsidRPr="00802116">
        <w:rPr>
          <w:sz w:val="24"/>
          <w:szCs w:val="24"/>
          <w:lang w:eastAsia="da-DK"/>
        </w:rPr>
        <w:t xml:space="preserve">På grund af øget eksponering bør der udvises forsigtighed ved behandling af patienter med nedsat nyre- eller leverfunktion (se pkt. 4.2 og 4.4). </w:t>
      </w:r>
    </w:p>
    <w:p w:rsidR="00973CD2" w:rsidRPr="00C84483" w:rsidRDefault="00973CD2" w:rsidP="00973CD2">
      <w:pPr>
        <w:tabs>
          <w:tab w:val="left" w:pos="851"/>
        </w:tabs>
        <w:ind w:left="851"/>
        <w:rPr>
          <w:sz w:val="24"/>
          <w:szCs w:val="24"/>
        </w:rPr>
      </w:pPr>
    </w:p>
    <w:p w:rsidR="00973CD2" w:rsidRPr="00C84483" w:rsidRDefault="00973CD2" w:rsidP="00973CD2">
      <w:pPr>
        <w:tabs>
          <w:tab w:val="left" w:pos="851"/>
        </w:tabs>
        <w:ind w:left="851" w:hanging="851"/>
        <w:rPr>
          <w:b/>
          <w:sz w:val="24"/>
          <w:szCs w:val="24"/>
        </w:rPr>
      </w:pPr>
      <w:r w:rsidRPr="00C84483">
        <w:rPr>
          <w:b/>
          <w:sz w:val="24"/>
          <w:szCs w:val="24"/>
        </w:rPr>
        <w:t>5.3</w:t>
      </w:r>
      <w:r w:rsidRPr="00C84483">
        <w:rPr>
          <w:b/>
          <w:sz w:val="24"/>
          <w:szCs w:val="24"/>
        </w:rPr>
        <w:tab/>
      </w:r>
      <w:r w:rsidR="00035DD4">
        <w:rPr>
          <w:b/>
          <w:sz w:val="24"/>
          <w:szCs w:val="24"/>
        </w:rPr>
        <w:t>Non-</w:t>
      </w:r>
      <w:r w:rsidRPr="00C84483">
        <w:rPr>
          <w:b/>
          <w:sz w:val="24"/>
          <w:szCs w:val="24"/>
        </w:rPr>
        <w:t>kliniske sikkerhedsdata</w:t>
      </w:r>
    </w:p>
    <w:p w:rsidR="00973CD2" w:rsidRPr="00C84483" w:rsidRDefault="00973CD2" w:rsidP="00973CD2">
      <w:pPr>
        <w:tabs>
          <w:tab w:val="left" w:pos="851"/>
        </w:tabs>
        <w:suppressAutoHyphens/>
        <w:ind w:left="851"/>
        <w:rPr>
          <w:sz w:val="24"/>
          <w:szCs w:val="24"/>
          <w:lang w:eastAsia="da-DK"/>
        </w:rPr>
      </w:pPr>
      <w:proofErr w:type="spellStart"/>
      <w:r w:rsidRPr="0095546F">
        <w:rPr>
          <w:sz w:val="24"/>
          <w:szCs w:val="24"/>
          <w:lang w:eastAsia="da-DK"/>
        </w:rPr>
        <w:t>Methadon</w:t>
      </w:r>
      <w:proofErr w:type="spellEnd"/>
      <w:r w:rsidRPr="0095546F">
        <w:rPr>
          <w:sz w:val="24"/>
          <w:szCs w:val="24"/>
          <w:lang w:eastAsia="da-DK"/>
        </w:rPr>
        <w:t xml:space="preserve"> i høje doser forårsagede misdannelser hos murmeldyr, hamstre og mus. De fleste af rapporterne omhandlede </w:t>
      </w:r>
      <w:proofErr w:type="spellStart"/>
      <w:r w:rsidRPr="0095546F">
        <w:rPr>
          <w:sz w:val="24"/>
          <w:szCs w:val="24"/>
          <w:lang w:eastAsia="da-DK"/>
        </w:rPr>
        <w:t>eksencefali</w:t>
      </w:r>
      <w:proofErr w:type="spellEnd"/>
      <w:r w:rsidRPr="0095546F">
        <w:rPr>
          <w:sz w:val="24"/>
          <w:szCs w:val="24"/>
          <w:lang w:eastAsia="da-DK"/>
        </w:rPr>
        <w:t xml:space="preserve"> og defekter i centralnervesystemet. Der blev undertiden set </w:t>
      </w:r>
      <w:proofErr w:type="spellStart"/>
      <w:r w:rsidRPr="0095546F">
        <w:rPr>
          <w:sz w:val="24"/>
          <w:szCs w:val="24"/>
          <w:lang w:eastAsia="da-DK"/>
        </w:rPr>
        <w:t>rachischisis</w:t>
      </w:r>
      <w:proofErr w:type="spellEnd"/>
      <w:r w:rsidRPr="0095546F">
        <w:rPr>
          <w:sz w:val="24"/>
          <w:szCs w:val="24"/>
          <w:lang w:eastAsia="da-DK"/>
        </w:rPr>
        <w:t xml:space="preserve"> i </w:t>
      </w:r>
      <w:proofErr w:type="spellStart"/>
      <w:r w:rsidRPr="0095546F">
        <w:rPr>
          <w:sz w:val="24"/>
          <w:szCs w:val="24"/>
          <w:lang w:eastAsia="da-DK"/>
        </w:rPr>
        <w:t>cervikalregionen</w:t>
      </w:r>
      <w:proofErr w:type="spellEnd"/>
      <w:r w:rsidRPr="0095546F">
        <w:rPr>
          <w:sz w:val="24"/>
          <w:szCs w:val="24"/>
          <w:lang w:eastAsia="da-DK"/>
        </w:rPr>
        <w:t xml:space="preserve"> hos mus. Der blev set manglende lukning af neuralrøret i kyllingeembryoer. </w:t>
      </w:r>
      <w:proofErr w:type="spellStart"/>
      <w:r w:rsidRPr="0095546F">
        <w:rPr>
          <w:sz w:val="24"/>
          <w:szCs w:val="24"/>
          <w:lang w:eastAsia="da-DK"/>
        </w:rPr>
        <w:t>Methadon</w:t>
      </w:r>
      <w:proofErr w:type="spellEnd"/>
      <w:r w:rsidRPr="0095546F">
        <w:rPr>
          <w:sz w:val="24"/>
          <w:szCs w:val="24"/>
          <w:lang w:eastAsia="da-DK"/>
        </w:rPr>
        <w:t xml:space="preserve"> var ikke </w:t>
      </w:r>
      <w:proofErr w:type="spellStart"/>
      <w:r w:rsidRPr="0095546F">
        <w:rPr>
          <w:sz w:val="24"/>
          <w:szCs w:val="24"/>
          <w:lang w:eastAsia="da-DK"/>
        </w:rPr>
        <w:t>teratogent</w:t>
      </w:r>
      <w:proofErr w:type="spellEnd"/>
      <w:r w:rsidRPr="0095546F">
        <w:rPr>
          <w:sz w:val="24"/>
          <w:szCs w:val="24"/>
          <w:lang w:eastAsia="da-DK"/>
        </w:rPr>
        <w:t xml:space="preserve"> hos rotter og kaniner. Der </w:t>
      </w:r>
      <w:r w:rsidRPr="0095546F">
        <w:rPr>
          <w:sz w:val="24"/>
          <w:szCs w:val="24"/>
          <w:lang w:eastAsia="da-DK"/>
        </w:rPr>
        <w:lastRenderedPageBreak/>
        <w:t xml:space="preserve">blev desuden set et nedsat antal unger hos rotter og øget mortalitet, væksthæmning, neurologiske adfærdsmæssige virkninger og nedsat hjernevægt hos ungerne. Der blev set reduceret </w:t>
      </w:r>
      <w:proofErr w:type="spellStart"/>
      <w:r w:rsidRPr="0095546F">
        <w:rPr>
          <w:sz w:val="24"/>
          <w:szCs w:val="24"/>
          <w:lang w:eastAsia="da-DK"/>
        </w:rPr>
        <w:t>ossifikation</w:t>
      </w:r>
      <w:proofErr w:type="spellEnd"/>
      <w:r w:rsidRPr="0095546F">
        <w:rPr>
          <w:sz w:val="24"/>
          <w:szCs w:val="24"/>
          <w:lang w:eastAsia="da-DK"/>
        </w:rPr>
        <w:t xml:space="preserve"> af fingre/tæer, </w:t>
      </w:r>
      <w:proofErr w:type="spellStart"/>
      <w:r w:rsidRPr="0095546F">
        <w:rPr>
          <w:sz w:val="24"/>
          <w:szCs w:val="24"/>
          <w:lang w:eastAsia="da-DK"/>
        </w:rPr>
        <w:t>sternum</w:t>
      </w:r>
      <w:proofErr w:type="spellEnd"/>
      <w:r w:rsidRPr="0095546F">
        <w:rPr>
          <w:sz w:val="24"/>
          <w:szCs w:val="24"/>
          <w:lang w:eastAsia="da-DK"/>
        </w:rPr>
        <w:t xml:space="preserve"> og kranium hos mus, og antallet af fostre pr. kuld var nedsat. Der er ikke udført </w:t>
      </w:r>
      <w:proofErr w:type="spellStart"/>
      <w:r w:rsidRPr="0095546F">
        <w:rPr>
          <w:sz w:val="24"/>
          <w:szCs w:val="24"/>
          <w:lang w:eastAsia="da-DK"/>
        </w:rPr>
        <w:t>karcinogenicitetsstudier</w:t>
      </w:r>
      <w:proofErr w:type="spellEnd"/>
      <w:r w:rsidRPr="0095546F">
        <w:rPr>
          <w:sz w:val="24"/>
          <w:szCs w:val="24"/>
          <w:lang w:eastAsia="da-DK"/>
        </w:rPr>
        <w:t>.</w:t>
      </w:r>
    </w:p>
    <w:p w:rsidR="00973CD2" w:rsidRPr="00C84483" w:rsidRDefault="00973CD2" w:rsidP="00973CD2">
      <w:pPr>
        <w:tabs>
          <w:tab w:val="left" w:pos="851"/>
        </w:tabs>
        <w:ind w:left="851"/>
        <w:rPr>
          <w:sz w:val="24"/>
          <w:szCs w:val="24"/>
        </w:rPr>
      </w:pPr>
    </w:p>
    <w:p w:rsidR="00973CD2" w:rsidRPr="00C84483" w:rsidRDefault="00973CD2" w:rsidP="00973CD2">
      <w:pPr>
        <w:tabs>
          <w:tab w:val="left" w:pos="851"/>
        </w:tabs>
        <w:ind w:left="851"/>
        <w:rPr>
          <w:sz w:val="24"/>
          <w:szCs w:val="24"/>
        </w:rPr>
      </w:pPr>
    </w:p>
    <w:p w:rsidR="00973CD2" w:rsidRPr="00C84483" w:rsidRDefault="00973CD2" w:rsidP="00973CD2">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73CD2" w:rsidRPr="00BA09F1" w:rsidRDefault="00973CD2" w:rsidP="00973CD2">
      <w:pPr>
        <w:tabs>
          <w:tab w:val="left" w:pos="851"/>
        </w:tabs>
        <w:ind w:left="851"/>
        <w:rPr>
          <w:sz w:val="24"/>
          <w:szCs w:val="24"/>
        </w:rPr>
      </w:pPr>
    </w:p>
    <w:p w:rsidR="00973CD2" w:rsidRPr="00C84483" w:rsidRDefault="00973CD2" w:rsidP="00973CD2">
      <w:pPr>
        <w:tabs>
          <w:tab w:val="left" w:pos="851"/>
        </w:tabs>
        <w:ind w:left="851" w:hanging="851"/>
        <w:rPr>
          <w:b/>
          <w:sz w:val="24"/>
          <w:szCs w:val="24"/>
        </w:rPr>
      </w:pPr>
      <w:r w:rsidRPr="00C84483">
        <w:rPr>
          <w:b/>
          <w:sz w:val="24"/>
          <w:szCs w:val="24"/>
        </w:rPr>
        <w:t>6.1</w:t>
      </w:r>
      <w:r w:rsidRPr="00C84483">
        <w:rPr>
          <w:b/>
          <w:sz w:val="24"/>
          <w:szCs w:val="24"/>
        </w:rPr>
        <w:tab/>
        <w:t>Hjælpestoffer</w:t>
      </w:r>
    </w:p>
    <w:p w:rsidR="00973CD2" w:rsidRPr="003C2913" w:rsidRDefault="00973CD2" w:rsidP="00973CD2">
      <w:pPr>
        <w:tabs>
          <w:tab w:val="left" w:pos="851"/>
        </w:tabs>
        <w:ind w:left="851"/>
        <w:rPr>
          <w:sz w:val="24"/>
          <w:szCs w:val="24"/>
          <w:lang w:eastAsia="da-DK"/>
        </w:rPr>
      </w:pPr>
      <w:proofErr w:type="spellStart"/>
      <w:r w:rsidRPr="003C2913">
        <w:rPr>
          <w:sz w:val="24"/>
          <w:szCs w:val="24"/>
          <w:lang w:eastAsia="da-DK"/>
        </w:rPr>
        <w:t>Lactosemonohydrat</w:t>
      </w:r>
      <w:proofErr w:type="spellEnd"/>
    </w:p>
    <w:p w:rsidR="00973CD2" w:rsidRPr="003C2913" w:rsidRDefault="00973CD2" w:rsidP="00973CD2">
      <w:pPr>
        <w:tabs>
          <w:tab w:val="left" w:pos="851"/>
        </w:tabs>
        <w:ind w:left="851"/>
        <w:rPr>
          <w:sz w:val="24"/>
          <w:szCs w:val="24"/>
          <w:lang w:eastAsia="da-DK"/>
        </w:rPr>
      </w:pPr>
      <w:proofErr w:type="spellStart"/>
      <w:r w:rsidRPr="003C2913">
        <w:rPr>
          <w:sz w:val="24"/>
          <w:szCs w:val="24"/>
          <w:lang w:eastAsia="da-DK"/>
        </w:rPr>
        <w:t>Pregelatineret</w:t>
      </w:r>
      <w:proofErr w:type="spellEnd"/>
      <w:r w:rsidRPr="003C2913">
        <w:rPr>
          <w:sz w:val="24"/>
          <w:szCs w:val="24"/>
          <w:lang w:eastAsia="da-DK"/>
        </w:rPr>
        <w:t xml:space="preserve"> majsstivelse </w:t>
      </w:r>
    </w:p>
    <w:p w:rsidR="00973CD2" w:rsidRPr="003C2913" w:rsidRDefault="00973CD2" w:rsidP="00973CD2">
      <w:pPr>
        <w:tabs>
          <w:tab w:val="left" w:pos="851"/>
        </w:tabs>
        <w:ind w:left="851"/>
        <w:rPr>
          <w:sz w:val="24"/>
          <w:szCs w:val="24"/>
          <w:lang w:eastAsia="da-DK"/>
        </w:rPr>
      </w:pPr>
      <w:proofErr w:type="spellStart"/>
      <w:r w:rsidRPr="003C2913">
        <w:rPr>
          <w:sz w:val="24"/>
          <w:szCs w:val="24"/>
          <w:lang w:eastAsia="da-DK"/>
        </w:rPr>
        <w:t>Magnesiumstearat</w:t>
      </w:r>
      <w:proofErr w:type="spellEnd"/>
    </w:p>
    <w:p w:rsidR="00973CD2" w:rsidRPr="00C84483" w:rsidRDefault="00973CD2" w:rsidP="00973CD2">
      <w:pPr>
        <w:tabs>
          <w:tab w:val="left" w:pos="851"/>
        </w:tabs>
        <w:ind w:left="851"/>
        <w:rPr>
          <w:sz w:val="24"/>
          <w:szCs w:val="24"/>
        </w:rPr>
      </w:pPr>
    </w:p>
    <w:p w:rsidR="00973CD2" w:rsidRPr="00C84483" w:rsidRDefault="00973CD2" w:rsidP="00973CD2">
      <w:pPr>
        <w:tabs>
          <w:tab w:val="left" w:pos="851"/>
        </w:tabs>
        <w:ind w:left="851" w:hanging="851"/>
        <w:rPr>
          <w:b/>
          <w:sz w:val="24"/>
          <w:szCs w:val="24"/>
        </w:rPr>
      </w:pPr>
      <w:r w:rsidRPr="00C84483">
        <w:rPr>
          <w:b/>
          <w:sz w:val="24"/>
          <w:szCs w:val="24"/>
        </w:rPr>
        <w:t>6.2</w:t>
      </w:r>
      <w:r w:rsidRPr="00C84483">
        <w:rPr>
          <w:b/>
          <w:sz w:val="24"/>
          <w:szCs w:val="24"/>
        </w:rPr>
        <w:tab/>
        <w:t>Uforligeligheder</w:t>
      </w:r>
    </w:p>
    <w:p w:rsidR="00973CD2" w:rsidRPr="00C84483" w:rsidRDefault="00973CD2" w:rsidP="00973CD2">
      <w:pPr>
        <w:tabs>
          <w:tab w:val="left" w:pos="851"/>
        </w:tabs>
        <w:ind w:left="851"/>
        <w:rPr>
          <w:sz w:val="24"/>
          <w:szCs w:val="24"/>
        </w:rPr>
      </w:pPr>
      <w:r>
        <w:rPr>
          <w:sz w:val="24"/>
          <w:szCs w:val="24"/>
        </w:rPr>
        <w:t>Ikke relevant.</w:t>
      </w:r>
    </w:p>
    <w:p w:rsidR="00973CD2" w:rsidRPr="00C84483" w:rsidRDefault="00973CD2" w:rsidP="00973CD2">
      <w:pPr>
        <w:tabs>
          <w:tab w:val="left" w:pos="851"/>
        </w:tabs>
        <w:ind w:left="851"/>
        <w:rPr>
          <w:sz w:val="24"/>
          <w:szCs w:val="24"/>
        </w:rPr>
      </w:pPr>
    </w:p>
    <w:p w:rsidR="00973CD2" w:rsidRPr="00C84483" w:rsidRDefault="00973CD2" w:rsidP="00973CD2">
      <w:pPr>
        <w:tabs>
          <w:tab w:val="left" w:pos="851"/>
        </w:tabs>
        <w:ind w:left="851" w:hanging="851"/>
        <w:rPr>
          <w:b/>
          <w:sz w:val="24"/>
          <w:szCs w:val="24"/>
        </w:rPr>
      </w:pPr>
      <w:r w:rsidRPr="00C84483">
        <w:rPr>
          <w:b/>
          <w:sz w:val="24"/>
          <w:szCs w:val="24"/>
        </w:rPr>
        <w:t>6.3</w:t>
      </w:r>
      <w:r w:rsidRPr="00C84483">
        <w:rPr>
          <w:b/>
          <w:sz w:val="24"/>
          <w:szCs w:val="24"/>
        </w:rPr>
        <w:tab/>
        <w:t>Opbevaringstid</w:t>
      </w:r>
    </w:p>
    <w:p w:rsidR="00973CD2" w:rsidRPr="00C84483" w:rsidRDefault="00973CD2" w:rsidP="00973CD2">
      <w:pPr>
        <w:tabs>
          <w:tab w:val="left" w:pos="851"/>
        </w:tabs>
        <w:ind w:left="851" w:hanging="851"/>
        <w:rPr>
          <w:sz w:val="24"/>
          <w:szCs w:val="24"/>
        </w:rPr>
      </w:pPr>
      <w:r w:rsidRPr="00C84483">
        <w:rPr>
          <w:sz w:val="24"/>
          <w:szCs w:val="24"/>
        </w:rPr>
        <w:tab/>
      </w:r>
      <w:r>
        <w:rPr>
          <w:sz w:val="24"/>
          <w:szCs w:val="24"/>
        </w:rPr>
        <w:t>6</w:t>
      </w:r>
      <w:r w:rsidR="009F3219">
        <w:rPr>
          <w:sz w:val="24"/>
          <w:szCs w:val="24"/>
        </w:rPr>
        <w:t>0</w:t>
      </w:r>
      <w:r>
        <w:rPr>
          <w:sz w:val="24"/>
          <w:szCs w:val="24"/>
        </w:rPr>
        <w:t xml:space="preserve"> måneder.</w:t>
      </w:r>
    </w:p>
    <w:p w:rsidR="00973CD2" w:rsidRPr="00C84483" w:rsidRDefault="00973CD2" w:rsidP="00973CD2">
      <w:pPr>
        <w:tabs>
          <w:tab w:val="left" w:pos="851"/>
        </w:tabs>
        <w:ind w:left="851"/>
        <w:rPr>
          <w:sz w:val="24"/>
          <w:szCs w:val="24"/>
        </w:rPr>
      </w:pPr>
    </w:p>
    <w:p w:rsidR="00973CD2" w:rsidRPr="00C84483" w:rsidRDefault="00973CD2" w:rsidP="00973CD2">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73CD2" w:rsidRPr="00C84483" w:rsidRDefault="00973CD2" w:rsidP="00973CD2">
      <w:pPr>
        <w:tabs>
          <w:tab w:val="left" w:pos="851"/>
        </w:tabs>
        <w:ind w:left="851"/>
        <w:rPr>
          <w:sz w:val="24"/>
          <w:szCs w:val="24"/>
          <w:lang w:eastAsia="da-DK"/>
        </w:rPr>
      </w:pPr>
      <w:r w:rsidRPr="003C2913">
        <w:rPr>
          <w:sz w:val="24"/>
          <w:szCs w:val="24"/>
          <w:lang w:eastAsia="da-DK"/>
        </w:rPr>
        <w:t>Må ikke opbevares ved temperaturer over 30 °C.</w:t>
      </w:r>
    </w:p>
    <w:p w:rsidR="00973CD2" w:rsidRPr="00C84483" w:rsidRDefault="00973CD2" w:rsidP="00973CD2">
      <w:pPr>
        <w:tabs>
          <w:tab w:val="left" w:pos="851"/>
        </w:tabs>
        <w:ind w:left="851"/>
        <w:rPr>
          <w:sz w:val="24"/>
          <w:szCs w:val="24"/>
        </w:rPr>
      </w:pPr>
    </w:p>
    <w:p w:rsidR="00973CD2" w:rsidRPr="00C84483" w:rsidRDefault="00973CD2" w:rsidP="00973CD2">
      <w:pPr>
        <w:tabs>
          <w:tab w:val="left" w:pos="851"/>
        </w:tabs>
        <w:ind w:left="851" w:hanging="851"/>
        <w:rPr>
          <w:b/>
          <w:sz w:val="24"/>
          <w:szCs w:val="24"/>
        </w:rPr>
      </w:pPr>
      <w:r w:rsidRPr="00C84483">
        <w:rPr>
          <w:b/>
          <w:sz w:val="24"/>
          <w:szCs w:val="24"/>
        </w:rPr>
        <w:t>6.5</w:t>
      </w:r>
      <w:r w:rsidRPr="00C84483">
        <w:rPr>
          <w:b/>
          <w:sz w:val="24"/>
          <w:szCs w:val="24"/>
        </w:rPr>
        <w:tab/>
        <w:t>Emballagetyp</w:t>
      </w:r>
      <w:r w:rsidR="00035DD4">
        <w:rPr>
          <w:b/>
          <w:sz w:val="24"/>
          <w:szCs w:val="24"/>
        </w:rPr>
        <w:t>e</w:t>
      </w:r>
      <w:r w:rsidRPr="00C84483">
        <w:rPr>
          <w:b/>
          <w:sz w:val="24"/>
          <w:szCs w:val="24"/>
        </w:rPr>
        <w:t xml:space="preserve"> og pakningsstørrelser</w:t>
      </w:r>
    </w:p>
    <w:p w:rsidR="00973CD2" w:rsidRDefault="00973CD2" w:rsidP="00973CD2">
      <w:pPr>
        <w:tabs>
          <w:tab w:val="left" w:pos="851"/>
        </w:tabs>
        <w:ind w:left="851"/>
        <w:rPr>
          <w:sz w:val="24"/>
          <w:szCs w:val="24"/>
          <w:lang w:eastAsia="da-DK"/>
        </w:rPr>
      </w:pPr>
    </w:p>
    <w:p w:rsidR="00973CD2" w:rsidRPr="0059030F" w:rsidRDefault="00973CD2" w:rsidP="00973CD2">
      <w:pPr>
        <w:tabs>
          <w:tab w:val="left" w:pos="851"/>
        </w:tabs>
        <w:ind w:left="851"/>
        <w:rPr>
          <w:sz w:val="24"/>
          <w:szCs w:val="24"/>
          <w:u w:val="single"/>
          <w:lang w:eastAsia="da-DK"/>
        </w:rPr>
      </w:pPr>
      <w:r w:rsidRPr="0059030F">
        <w:rPr>
          <w:sz w:val="24"/>
          <w:szCs w:val="24"/>
          <w:u w:val="single"/>
          <w:lang w:eastAsia="da-DK"/>
        </w:rPr>
        <w:t>Al/PVC/PVDC-blister</w:t>
      </w:r>
    </w:p>
    <w:p w:rsidR="00973CD2" w:rsidRDefault="00973CD2" w:rsidP="00973CD2">
      <w:pPr>
        <w:tabs>
          <w:tab w:val="left" w:pos="851"/>
        </w:tabs>
        <w:ind w:left="851"/>
        <w:rPr>
          <w:sz w:val="24"/>
          <w:szCs w:val="24"/>
          <w:lang w:eastAsia="da-DK"/>
        </w:rPr>
      </w:pPr>
      <w:r w:rsidRPr="0059030F">
        <w:rPr>
          <w:sz w:val="24"/>
          <w:szCs w:val="24"/>
          <w:lang w:eastAsia="da-DK"/>
        </w:rPr>
        <w:t>Pakningsstørrelser</w:t>
      </w:r>
      <w:r>
        <w:rPr>
          <w:sz w:val="24"/>
          <w:szCs w:val="24"/>
          <w:lang w:eastAsia="da-DK"/>
        </w:rPr>
        <w:t xml:space="preserve">: </w:t>
      </w:r>
      <w:r w:rsidRPr="0059030F">
        <w:rPr>
          <w:sz w:val="24"/>
          <w:szCs w:val="24"/>
          <w:lang w:eastAsia="da-DK"/>
        </w:rPr>
        <w:t xml:space="preserve">10, 15, 20, 25, 30, 35, 40, 45, 50, 55, 60, 65, 70, 75, 80, 85, 90, 95 </w:t>
      </w:r>
      <w:r>
        <w:rPr>
          <w:sz w:val="24"/>
          <w:szCs w:val="24"/>
          <w:lang w:eastAsia="da-DK"/>
        </w:rPr>
        <w:t>og 100 stk.</w:t>
      </w:r>
    </w:p>
    <w:p w:rsidR="00973CD2" w:rsidRDefault="00973CD2" w:rsidP="00973CD2">
      <w:pPr>
        <w:tabs>
          <w:tab w:val="left" w:pos="851"/>
        </w:tabs>
        <w:ind w:left="851"/>
        <w:rPr>
          <w:sz w:val="24"/>
          <w:szCs w:val="24"/>
          <w:lang w:eastAsia="da-DK"/>
        </w:rPr>
      </w:pPr>
    </w:p>
    <w:p w:rsidR="00973CD2" w:rsidRPr="0059030F" w:rsidRDefault="00973CD2" w:rsidP="00973CD2">
      <w:pPr>
        <w:tabs>
          <w:tab w:val="left" w:pos="851"/>
        </w:tabs>
        <w:ind w:left="851"/>
        <w:rPr>
          <w:sz w:val="24"/>
          <w:szCs w:val="24"/>
          <w:u w:val="single"/>
          <w:lang w:eastAsia="da-DK"/>
        </w:rPr>
      </w:pPr>
      <w:r w:rsidRPr="0059030F">
        <w:rPr>
          <w:sz w:val="24"/>
          <w:szCs w:val="24"/>
          <w:u w:val="single"/>
          <w:lang w:eastAsia="da-DK"/>
        </w:rPr>
        <w:t xml:space="preserve">Hvid HDPE-beholder med PP </w:t>
      </w:r>
      <w:proofErr w:type="spellStart"/>
      <w:r w:rsidRPr="0059030F">
        <w:rPr>
          <w:sz w:val="24"/>
          <w:szCs w:val="24"/>
          <w:u w:val="single"/>
          <w:lang w:eastAsia="da-DK"/>
        </w:rPr>
        <w:t>Random</w:t>
      </w:r>
      <w:proofErr w:type="spellEnd"/>
      <w:r w:rsidRPr="0059030F">
        <w:rPr>
          <w:sz w:val="24"/>
          <w:szCs w:val="24"/>
          <w:u w:val="single"/>
          <w:lang w:eastAsia="da-DK"/>
        </w:rPr>
        <w:t xml:space="preserve"> </w:t>
      </w:r>
      <w:proofErr w:type="spellStart"/>
      <w:r w:rsidRPr="0059030F">
        <w:rPr>
          <w:sz w:val="24"/>
          <w:szCs w:val="24"/>
          <w:u w:val="single"/>
          <w:lang w:eastAsia="da-DK"/>
        </w:rPr>
        <w:t>Copolymer</w:t>
      </w:r>
      <w:proofErr w:type="spellEnd"/>
      <w:r w:rsidRPr="0059030F">
        <w:rPr>
          <w:sz w:val="24"/>
          <w:szCs w:val="24"/>
          <w:u w:val="single"/>
          <w:lang w:eastAsia="da-DK"/>
        </w:rPr>
        <w:t xml:space="preserve"> børnesikret låg</w:t>
      </w:r>
    </w:p>
    <w:p w:rsidR="00973CD2" w:rsidRPr="0059030F" w:rsidRDefault="00973CD2" w:rsidP="00973CD2">
      <w:pPr>
        <w:tabs>
          <w:tab w:val="left" w:pos="851"/>
        </w:tabs>
        <w:ind w:left="851"/>
        <w:rPr>
          <w:sz w:val="24"/>
          <w:szCs w:val="24"/>
          <w:lang w:eastAsia="da-DK"/>
        </w:rPr>
      </w:pPr>
      <w:r w:rsidRPr="0059030F">
        <w:rPr>
          <w:sz w:val="24"/>
          <w:szCs w:val="24"/>
          <w:lang w:eastAsia="da-DK"/>
        </w:rPr>
        <w:t>Pakningsstørrelser</w:t>
      </w:r>
      <w:r>
        <w:rPr>
          <w:sz w:val="24"/>
          <w:szCs w:val="24"/>
          <w:lang w:eastAsia="da-DK"/>
        </w:rPr>
        <w:t>: 25, 100 og 200 stk.</w:t>
      </w:r>
    </w:p>
    <w:p w:rsidR="00973CD2" w:rsidRPr="0059030F" w:rsidRDefault="00973CD2" w:rsidP="00973CD2">
      <w:pPr>
        <w:tabs>
          <w:tab w:val="left" w:pos="851"/>
        </w:tabs>
        <w:ind w:left="851"/>
        <w:rPr>
          <w:sz w:val="24"/>
          <w:szCs w:val="24"/>
          <w:lang w:eastAsia="da-DK"/>
        </w:rPr>
      </w:pPr>
    </w:p>
    <w:p w:rsidR="00973CD2" w:rsidRPr="0059030F" w:rsidRDefault="00973CD2" w:rsidP="00973CD2">
      <w:pPr>
        <w:tabs>
          <w:tab w:val="left" w:pos="851"/>
        </w:tabs>
        <w:ind w:left="851"/>
        <w:rPr>
          <w:sz w:val="24"/>
          <w:szCs w:val="24"/>
          <w:lang w:eastAsia="da-DK"/>
        </w:rPr>
      </w:pPr>
      <w:r w:rsidRPr="0059030F">
        <w:rPr>
          <w:sz w:val="24"/>
          <w:szCs w:val="24"/>
          <w:lang w:eastAsia="da-DK"/>
        </w:rPr>
        <w:t>Ikke alle pakningsstørrelser er nødvendigvis markedsført.</w:t>
      </w:r>
    </w:p>
    <w:p w:rsidR="00973CD2" w:rsidRPr="00C84483" w:rsidRDefault="00973CD2" w:rsidP="00973CD2">
      <w:pPr>
        <w:tabs>
          <w:tab w:val="left" w:pos="851"/>
        </w:tabs>
        <w:rPr>
          <w:sz w:val="24"/>
          <w:szCs w:val="24"/>
        </w:rPr>
      </w:pPr>
    </w:p>
    <w:p w:rsidR="00973CD2" w:rsidRPr="00C84483" w:rsidRDefault="00973CD2" w:rsidP="00973CD2">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035DD4" w:rsidRPr="00035DD4">
        <w:rPr>
          <w:b/>
          <w:sz w:val="24"/>
          <w:szCs w:val="24"/>
        </w:rPr>
        <w:t xml:space="preserve">bortskaffelse </w:t>
      </w:r>
      <w:r w:rsidRPr="00C84483">
        <w:rPr>
          <w:b/>
          <w:sz w:val="24"/>
          <w:szCs w:val="24"/>
        </w:rPr>
        <w:t>og anden håndtering</w:t>
      </w:r>
    </w:p>
    <w:p w:rsidR="00973CD2" w:rsidRPr="00C84483" w:rsidRDefault="00973CD2" w:rsidP="00973CD2">
      <w:pPr>
        <w:tabs>
          <w:tab w:val="left" w:pos="851"/>
        </w:tabs>
        <w:ind w:left="851"/>
        <w:rPr>
          <w:sz w:val="24"/>
          <w:szCs w:val="24"/>
        </w:rPr>
      </w:pPr>
      <w:r w:rsidRPr="00F70DC2">
        <w:rPr>
          <w:sz w:val="24"/>
          <w:szCs w:val="24"/>
        </w:rPr>
        <w:t>Ikke anvendt lægemiddel samt affald heraf skal bortskaffes i henhold til lokale retningslinjer.</w:t>
      </w:r>
    </w:p>
    <w:p w:rsidR="00973CD2" w:rsidRPr="00C84483" w:rsidRDefault="00973CD2" w:rsidP="00973CD2">
      <w:pPr>
        <w:tabs>
          <w:tab w:val="left" w:pos="851"/>
        </w:tabs>
        <w:ind w:left="851"/>
        <w:jc w:val="both"/>
        <w:rPr>
          <w:sz w:val="24"/>
          <w:szCs w:val="24"/>
        </w:rPr>
      </w:pPr>
    </w:p>
    <w:p w:rsidR="00973CD2" w:rsidRPr="00C84483" w:rsidRDefault="00973CD2" w:rsidP="00AC01B3">
      <w:pPr>
        <w:keepNext/>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73CD2" w:rsidRPr="00F70DC2" w:rsidRDefault="00973CD2" w:rsidP="00973CD2">
      <w:pPr>
        <w:tabs>
          <w:tab w:val="left" w:pos="851"/>
        </w:tabs>
        <w:ind w:left="851"/>
        <w:rPr>
          <w:sz w:val="24"/>
          <w:szCs w:val="24"/>
        </w:rPr>
      </w:pPr>
      <w:r w:rsidRPr="00F70DC2">
        <w:rPr>
          <w:sz w:val="24"/>
          <w:szCs w:val="24"/>
        </w:rPr>
        <w:t xml:space="preserve">2care4 </w:t>
      </w:r>
      <w:proofErr w:type="spellStart"/>
      <w:r w:rsidRPr="00F70DC2">
        <w:rPr>
          <w:sz w:val="24"/>
          <w:szCs w:val="24"/>
        </w:rPr>
        <w:t>Generics</w:t>
      </w:r>
      <w:proofErr w:type="spellEnd"/>
      <w:r w:rsidRPr="00F70DC2">
        <w:rPr>
          <w:sz w:val="24"/>
          <w:szCs w:val="24"/>
        </w:rPr>
        <w:t xml:space="preserve"> ApS</w:t>
      </w:r>
    </w:p>
    <w:p w:rsidR="00C81E0E" w:rsidRDefault="00C81E0E" w:rsidP="00973CD2">
      <w:pPr>
        <w:tabs>
          <w:tab w:val="left" w:pos="851"/>
        </w:tabs>
        <w:ind w:left="851"/>
        <w:rPr>
          <w:sz w:val="24"/>
          <w:szCs w:val="24"/>
        </w:rPr>
      </w:pPr>
      <w:r w:rsidRPr="00C81E0E">
        <w:rPr>
          <w:sz w:val="24"/>
          <w:szCs w:val="24"/>
        </w:rPr>
        <w:t>Stenhuggervej 12-14</w:t>
      </w:r>
    </w:p>
    <w:p w:rsidR="00973CD2" w:rsidRPr="00C84483" w:rsidRDefault="00973CD2" w:rsidP="00973CD2">
      <w:pPr>
        <w:tabs>
          <w:tab w:val="left" w:pos="851"/>
        </w:tabs>
        <w:ind w:left="851"/>
        <w:rPr>
          <w:sz w:val="24"/>
          <w:szCs w:val="24"/>
        </w:rPr>
      </w:pPr>
      <w:r w:rsidRPr="00F70DC2">
        <w:rPr>
          <w:sz w:val="24"/>
          <w:szCs w:val="24"/>
        </w:rPr>
        <w:t>6710 Esbjerg V</w:t>
      </w:r>
    </w:p>
    <w:p w:rsidR="00973CD2" w:rsidRPr="00C84483" w:rsidRDefault="00973CD2" w:rsidP="00973CD2">
      <w:pPr>
        <w:tabs>
          <w:tab w:val="left" w:pos="851"/>
        </w:tabs>
        <w:ind w:left="851"/>
        <w:rPr>
          <w:sz w:val="24"/>
          <w:szCs w:val="24"/>
        </w:rPr>
      </w:pPr>
    </w:p>
    <w:p w:rsidR="00973CD2" w:rsidRPr="00C84483" w:rsidRDefault="00973CD2" w:rsidP="00973CD2">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035DD4">
        <w:rPr>
          <w:b/>
          <w:sz w:val="24"/>
          <w:szCs w:val="24"/>
        </w:rPr>
        <w:t>-</w:t>
      </w:r>
      <w:r w:rsidRPr="00C84483">
        <w:rPr>
          <w:b/>
          <w:sz w:val="24"/>
          <w:szCs w:val="24"/>
        </w:rPr>
        <w:t>NUMRE)</w:t>
      </w:r>
    </w:p>
    <w:p w:rsidR="00973CD2" w:rsidRDefault="00973CD2" w:rsidP="00973CD2">
      <w:pPr>
        <w:tabs>
          <w:tab w:val="left" w:pos="851"/>
          <w:tab w:val="left" w:pos="1560"/>
        </w:tabs>
        <w:ind w:left="851"/>
        <w:rPr>
          <w:sz w:val="24"/>
          <w:szCs w:val="24"/>
        </w:rPr>
      </w:pPr>
      <w:r>
        <w:rPr>
          <w:sz w:val="24"/>
          <w:szCs w:val="24"/>
        </w:rPr>
        <w:t>5 mg:</w:t>
      </w:r>
      <w:r>
        <w:rPr>
          <w:sz w:val="24"/>
          <w:szCs w:val="24"/>
        </w:rPr>
        <w:tab/>
        <w:t>59902</w:t>
      </w:r>
    </w:p>
    <w:p w:rsidR="00973CD2" w:rsidRPr="00C84483" w:rsidRDefault="00973CD2" w:rsidP="00973CD2">
      <w:pPr>
        <w:tabs>
          <w:tab w:val="left" w:pos="851"/>
          <w:tab w:val="left" w:pos="1560"/>
        </w:tabs>
        <w:ind w:left="851"/>
        <w:rPr>
          <w:sz w:val="24"/>
          <w:szCs w:val="24"/>
        </w:rPr>
      </w:pPr>
      <w:r>
        <w:rPr>
          <w:sz w:val="24"/>
          <w:szCs w:val="24"/>
        </w:rPr>
        <w:t>10 mg:</w:t>
      </w:r>
      <w:r>
        <w:rPr>
          <w:sz w:val="24"/>
          <w:szCs w:val="24"/>
        </w:rPr>
        <w:tab/>
        <w:t>59903</w:t>
      </w:r>
    </w:p>
    <w:p w:rsidR="00973CD2" w:rsidRPr="00C84483" w:rsidRDefault="00973CD2" w:rsidP="00973CD2">
      <w:pPr>
        <w:tabs>
          <w:tab w:val="left" w:pos="851"/>
        </w:tabs>
        <w:ind w:left="851"/>
        <w:jc w:val="both"/>
        <w:rPr>
          <w:sz w:val="24"/>
          <w:szCs w:val="24"/>
        </w:rPr>
      </w:pPr>
    </w:p>
    <w:p w:rsidR="00973CD2" w:rsidRPr="00C84483" w:rsidRDefault="00973CD2" w:rsidP="00973CD2">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73CD2" w:rsidRPr="00C84483" w:rsidRDefault="00973CD2" w:rsidP="00973CD2">
      <w:pPr>
        <w:tabs>
          <w:tab w:val="left" w:pos="851"/>
        </w:tabs>
        <w:ind w:left="851"/>
        <w:rPr>
          <w:sz w:val="24"/>
          <w:szCs w:val="24"/>
        </w:rPr>
      </w:pPr>
      <w:r>
        <w:rPr>
          <w:sz w:val="24"/>
          <w:szCs w:val="24"/>
        </w:rPr>
        <w:t>22. august 2018</w:t>
      </w:r>
    </w:p>
    <w:p w:rsidR="00973CD2" w:rsidRPr="00C84483" w:rsidRDefault="00973CD2" w:rsidP="00973CD2">
      <w:pPr>
        <w:tabs>
          <w:tab w:val="left" w:pos="851"/>
        </w:tabs>
        <w:ind w:left="851"/>
        <w:rPr>
          <w:sz w:val="24"/>
          <w:szCs w:val="24"/>
        </w:rPr>
      </w:pPr>
    </w:p>
    <w:p w:rsidR="00973CD2" w:rsidRPr="00C84483" w:rsidRDefault="00973CD2" w:rsidP="00973CD2">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E7711F" w:rsidRDefault="00E7711F" w:rsidP="00E7711F">
      <w:pPr>
        <w:tabs>
          <w:tab w:val="left" w:pos="851"/>
        </w:tabs>
        <w:ind w:left="851"/>
        <w:rPr>
          <w:sz w:val="24"/>
          <w:szCs w:val="24"/>
        </w:rPr>
      </w:pPr>
      <w:r>
        <w:rPr>
          <w:sz w:val="24"/>
          <w:szCs w:val="24"/>
        </w:rPr>
        <w:t>12</w:t>
      </w:r>
      <w:r w:rsidR="00035DD4">
        <w:rPr>
          <w:sz w:val="24"/>
          <w:szCs w:val="24"/>
        </w:rPr>
        <w:t xml:space="preserve">. </w:t>
      </w:r>
      <w:r>
        <w:rPr>
          <w:sz w:val="24"/>
          <w:szCs w:val="24"/>
        </w:rPr>
        <w:t>juli</w:t>
      </w:r>
      <w:r w:rsidR="00035DD4">
        <w:rPr>
          <w:sz w:val="24"/>
          <w:szCs w:val="24"/>
        </w:rPr>
        <w:t xml:space="preserve"> 202</w:t>
      </w:r>
      <w:r>
        <w:rPr>
          <w:sz w:val="24"/>
          <w:szCs w:val="24"/>
        </w:rPr>
        <w:t>4</w:t>
      </w:r>
      <w:bookmarkStart w:id="5" w:name="_GoBack"/>
      <w:bookmarkEnd w:id="5"/>
    </w:p>
    <w:sectPr w:rsidR="009260DE" w:rsidRPr="00E7711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3CD2" w:rsidRDefault="00973CD2">
      <w:r>
        <w:separator/>
      </w:r>
    </w:p>
  </w:endnote>
  <w:endnote w:type="continuationSeparator" w:id="0">
    <w:p w:rsidR="00973CD2" w:rsidRDefault="00973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26481">
      <w:rPr>
        <w:i/>
        <w:noProof/>
        <w:sz w:val="18"/>
        <w:szCs w:val="18"/>
      </w:rPr>
      <w:t>Metadon 2care4, tabletter 5 mg og 10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3CD2" w:rsidRDefault="00973CD2">
      <w:r>
        <w:separator/>
      </w:r>
    </w:p>
  </w:footnote>
  <w:footnote w:type="continuationSeparator" w:id="0">
    <w:p w:rsidR="00973CD2" w:rsidRDefault="00973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CD2"/>
    <w:rsid w:val="000259B9"/>
    <w:rsid w:val="00035DD4"/>
    <w:rsid w:val="00041491"/>
    <w:rsid w:val="00050D16"/>
    <w:rsid w:val="00074F2A"/>
    <w:rsid w:val="000A1CA8"/>
    <w:rsid w:val="000A466B"/>
    <w:rsid w:val="000B058C"/>
    <w:rsid w:val="000E4EE6"/>
    <w:rsid w:val="000F10B8"/>
    <w:rsid w:val="001454E2"/>
    <w:rsid w:val="00175F17"/>
    <w:rsid w:val="00205FDD"/>
    <w:rsid w:val="00206CE8"/>
    <w:rsid w:val="0021526C"/>
    <w:rsid w:val="0027616B"/>
    <w:rsid w:val="00283A2B"/>
    <w:rsid w:val="002B30AD"/>
    <w:rsid w:val="002C2C01"/>
    <w:rsid w:val="003227A2"/>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9287A"/>
    <w:rsid w:val="007B6649"/>
    <w:rsid w:val="0081546F"/>
    <w:rsid w:val="0082576E"/>
    <w:rsid w:val="008E6DA2"/>
    <w:rsid w:val="00907F75"/>
    <w:rsid w:val="009260DE"/>
    <w:rsid w:val="0093258A"/>
    <w:rsid w:val="00960AA1"/>
    <w:rsid w:val="00973CD2"/>
    <w:rsid w:val="009C7BA3"/>
    <w:rsid w:val="009D1F5A"/>
    <w:rsid w:val="009D3F99"/>
    <w:rsid w:val="009F3219"/>
    <w:rsid w:val="00A2304D"/>
    <w:rsid w:val="00A26481"/>
    <w:rsid w:val="00AC01B3"/>
    <w:rsid w:val="00B003BF"/>
    <w:rsid w:val="00B373D7"/>
    <w:rsid w:val="00C36276"/>
    <w:rsid w:val="00C42586"/>
    <w:rsid w:val="00C4287D"/>
    <w:rsid w:val="00C60CCD"/>
    <w:rsid w:val="00C81E0E"/>
    <w:rsid w:val="00C84483"/>
    <w:rsid w:val="00C95551"/>
    <w:rsid w:val="00CB20D7"/>
    <w:rsid w:val="00CF7EB6"/>
    <w:rsid w:val="00D020B0"/>
    <w:rsid w:val="00D11748"/>
    <w:rsid w:val="00D366CF"/>
    <w:rsid w:val="00DE1CC0"/>
    <w:rsid w:val="00E108AA"/>
    <w:rsid w:val="00E31812"/>
    <w:rsid w:val="00E3749A"/>
    <w:rsid w:val="00E7437F"/>
    <w:rsid w:val="00E7711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0981F7"/>
  <w15:chartTrackingRefBased/>
  <w15:docId w15:val="{A76FF9FF-1E0F-4E8F-9EC4-4A6B0218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973CD2"/>
    <w:pPr>
      <w:autoSpaceDE w:val="0"/>
      <w:autoSpaceDN w:val="0"/>
      <w:adjustRightInd w:val="0"/>
    </w:pPr>
  </w:style>
  <w:style w:type="character" w:styleId="Hyperlink">
    <w:name w:val="Hyperlink"/>
    <w:basedOn w:val="Standardskrifttypeiafsnit"/>
    <w:uiPriority w:val="99"/>
    <w:unhideWhenUsed/>
    <w:rsid w:val="00C81E0E"/>
    <w:rPr>
      <w:color w:val="0563C1" w:themeColor="hyperlink"/>
      <w:u w:val="single"/>
    </w:rPr>
  </w:style>
  <w:style w:type="character" w:styleId="Ulstomtale">
    <w:name w:val="Unresolved Mention"/>
    <w:basedOn w:val="Standardskrifttypeiafsnit"/>
    <w:uiPriority w:val="99"/>
    <w:semiHidden/>
    <w:unhideWhenUsed/>
    <w:rsid w:val="00C81E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76845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52090721">
      <w:bodyDiv w:val="1"/>
      <w:marLeft w:val="0"/>
      <w:marRight w:val="0"/>
      <w:marTop w:val="0"/>
      <w:marBottom w:val="0"/>
      <w:divBdr>
        <w:top w:val="none" w:sz="0" w:space="0" w:color="auto"/>
        <w:left w:val="none" w:sz="0" w:space="0" w:color="auto"/>
        <w:bottom w:val="none" w:sz="0" w:space="0" w:color="auto"/>
        <w:right w:val="none" w:sz="0" w:space="0" w:color="auto"/>
      </w:divBdr>
    </w:div>
    <w:div w:id="458499705">
      <w:bodyDiv w:val="1"/>
      <w:marLeft w:val="0"/>
      <w:marRight w:val="0"/>
      <w:marTop w:val="0"/>
      <w:marBottom w:val="0"/>
      <w:divBdr>
        <w:top w:val="none" w:sz="0" w:space="0" w:color="auto"/>
        <w:left w:val="none" w:sz="0" w:space="0" w:color="auto"/>
        <w:bottom w:val="none" w:sz="0" w:space="0" w:color="auto"/>
        <w:right w:val="none" w:sz="0" w:space="0" w:color="auto"/>
      </w:divBdr>
    </w:div>
    <w:div w:id="554124381">
      <w:bodyDiv w:val="1"/>
      <w:marLeft w:val="0"/>
      <w:marRight w:val="0"/>
      <w:marTop w:val="0"/>
      <w:marBottom w:val="0"/>
      <w:divBdr>
        <w:top w:val="none" w:sz="0" w:space="0" w:color="auto"/>
        <w:left w:val="none" w:sz="0" w:space="0" w:color="auto"/>
        <w:bottom w:val="none" w:sz="0" w:space="0" w:color="auto"/>
        <w:right w:val="none" w:sz="0" w:space="0" w:color="auto"/>
      </w:divBdr>
    </w:div>
    <w:div w:id="1390957167">
      <w:bodyDiv w:val="1"/>
      <w:marLeft w:val="0"/>
      <w:marRight w:val="0"/>
      <w:marTop w:val="0"/>
      <w:marBottom w:val="0"/>
      <w:divBdr>
        <w:top w:val="none" w:sz="0" w:space="0" w:color="auto"/>
        <w:left w:val="none" w:sz="0" w:space="0" w:color="auto"/>
        <w:bottom w:val="none" w:sz="0" w:space="0" w:color="auto"/>
        <w:right w:val="none" w:sz="0" w:space="0" w:color="auto"/>
      </w:divBdr>
    </w:div>
    <w:div w:id="2010786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14</Pages>
  <Words>4484</Words>
  <Characters>30164</Characters>
  <Application>Microsoft Office Word</Application>
  <DocSecurity>0</DocSecurity>
  <Lines>251</Lines>
  <Paragraphs>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2023070479_x000d_
SPC pkt. 3, 4.2, 4.4, 4.5, 4.6, 4.8, 4.9 og 5.1</dc:description>
  <cp:lastModifiedBy>Victoria Alexsandra Ringgaard</cp:lastModifiedBy>
  <cp:revision>3</cp:revision>
  <cp:lastPrinted>2012-08-22T08:53:00Z</cp:lastPrinted>
  <dcterms:created xsi:type="dcterms:W3CDTF">2024-07-10T09:09:00Z</dcterms:created>
  <dcterms:modified xsi:type="dcterms:W3CDTF">2024-07-10T09:20:00Z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