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F9765E" w:rsidRDefault="0021526C" w:rsidP="00F9765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F9765E">
      <w:pPr>
        <w:pStyle w:val="Titel"/>
        <w:tabs>
          <w:tab w:val="right" w:pos="9356"/>
        </w:tabs>
        <w:jc w:val="left"/>
        <w:rPr>
          <w:b w:val="0"/>
          <w:szCs w:val="24"/>
          <w:lang w:eastAsia="en-US"/>
        </w:rPr>
      </w:pPr>
      <w:r w:rsidRPr="00C84483">
        <w:rPr>
          <w:b w:val="0"/>
          <w:szCs w:val="24"/>
          <w:lang w:eastAsia="en-US"/>
        </w:rPr>
        <w:tab/>
      </w:r>
      <w:r w:rsidR="00F9765E">
        <w:rPr>
          <w:szCs w:val="24"/>
          <w:lang w:eastAsia="en-US"/>
        </w:rPr>
        <w:t>4</w:t>
      </w:r>
      <w:r w:rsidR="00A76FBE">
        <w:rPr>
          <w:szCs w:val="24"/>
        </w:rPr>
        <w:t xml:space="preserve">. </w:t>
      </w:r>
      <w:r w:rsidR="00F9765E">
        <w:rPr>
          <w:szCs w:val="24"/>
        </w:rPr>
        <w:t>februar</w:t>
      </w:r>
      <w:r w:rsidR="00A5237A">
        <w:rPr>
          <w:szCs w:val="24"/>
        </w:rPr>
        <w:t xml:space="preserve"> 202</w:t>
      </w:r>
      <w:r w:rsidR="00F9765E">
        <w:rPr>
          <w:szCs w:val="24"/>
        </w:rPr>
        <w:t>5</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41C89" w:rsidP="009260DE">
      <w:pPr>
        <w:jc w:val="center"/>
        <w:rPr>
          <w:b/>
          <w:sz w:val="24"/>
          <w:szCs w:val="24"/>
        </w:rPr>
      </w:pPr>
      <w:proofErr w:type="spellStart"/>
      <w:r>
        <w:rPr>
          <w:b/>
          <w:sz w:val="24"/>
          <w:szCs w:val="24"/>
        </w:rPr>
        <w:t>Metformin</w:t>
      </w:r>
      <w:proofErr w:type="spellEnd"/>
      <w:r>
        <w:rPr>
          <w:b/>
          <w:sz w:val="24"/>
          <w:szCs w:val="24"/>
        </w:rPr>
        <w:t xml:space="preserve"> "</w:t>
      </w:r>
      <w:proofErr w:type="spellStart"/>
      <w:r>
        <w:rPr>
          <w:b/>
          <w:sz w:val="24"/>
          <w:szCs w:val="24"/>
        </w:rPr>
        <w:t>PharmConsul</w:t>
      </w:r>
      <w:proofErr w:type="spellEnd"/>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51466" w:rsidP="009260DE">
      <w:pPr>
        <w:tabs>
          <w:tab w:val="left" w:pos="851"/>
        </w:tabs>
        <w:ind w:left="851"/>
        <w:rPr>
          <w:sz w:val="24"/>
          <w:szCs w:val="24"/>
        </w:rPr>
      </w:pPr>
      <w:r>
        <w:rPr>
          <w:sz w:val="24"/>
          <w:szCs w:val="24"/>
        </w:rPr>
        <w:t>31787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E270D" w:rsidP="009260DE">
      <w:pPr>
        <w:tabs>
          <w:tab w:val="left" w:pos="851"/>
        </w:tabs>
        <w:ind w:left="851"/>
        <w:rPr>
          <w:sz w:val="24"/>
          <w:szCs w:val="24"/>
        </w:rPr>
      </w:pPr>
      <w:proofErr w:type="spellStart"/>
      <w:r>
        <w:rPr>
          <w:sz w:val="24"/>
          <w:szCs w:val="24"/>
        </w:rPr>
        <w:t>Metformin</w:t>
      </w:r>
      <w:proofErr w:type="spellEnd"/>
      <w:r>
        <w:rPr>
          <w:sz w:val="24"/>
          <w:szCs w:val="24"/>
        </w:rPr>
        <w:t xml:space="preserve"> "</w:t>
      </w:r>
      <w:proofErr w:type="spellStart"/>
      <w:r>
        <w:rPr>
          <w:sz w:val="24"/>
          <w:szCs w:val="24"/>
        </w:rPr>
        <w:t>PharmConsul</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E270D" w:rsidRDefault="001E270D" w:rsidP="001E270D">
      <w:pPr>
        <w:tabs>
          <w:tab w:val="left" w:pos="851"/>
        </w:tabs>
        <w:ind w:left="851"/>
        <w:rPr>
          <w:bCs/>
          <w:sz w:val="24"/>
          <w:szCs w:val="24"/>
        </w:rPr>
      </w:pPr>
      <w:bookmarkStart w:id="1" w:name="_Hlk52717161"/>
    </w:p>
    <w:p w:rsidR="001E270D" w:rsidRPr="001E270D" w:rsidRDefault="001E270D" w:rsidP="001E270D">
      <w:pPr>
        <w:tabs>
          <w:tab w:val="left" w:pos="851"/>
        </w:tabs>
        <w:ind w:left="851"/>
        <w:rPr>
          <w:bCs/>
          <w:sz w:val="24"/>
          <w:szCs w:val="24"/>
          <w:u w:val="single"/>
        </w:rPr>
      </w:pPr>
      <w:r w:rsidRPr="001E270D">
        <w:rPr>
          <w:bCs/>
          <w:sz w:val="24"/>
          <w:szCs w:val="24"/>
          <w:u w:val="single"/>
        </w:rPr>
        <w:t>500 mg</w:t>
      </w:r>
    </w:p>
    <w:p w:rsidR="001E270D" w:rsidRPr="001E270D" w:rsidRDefault="001E270D" w:rsidP="001E270D">
      <w:pPr>
        <w:tabs>
          <w:tab w:val="left" w:pos="851"/>
        </w:tabs>
        <w:ind w:left="851"/>
        <w:rPr>
          <w:bCs/>
          <w:sz w:val="24"/>
          <w:szCs w:val="24"/>
        </w:rPr>
      </w:pPr>
      <w:r w:rsidRPr="001E270D">
        <w:rPr>
          <w:bCs/>
          <w:sz w:val="24"/>
          <w:szCs w:val="24"/>
        </w:rPr>
        <w:t xml:space="preserve">Hver filmovertrukne tablet indeholder 500 mg </w:t>
      </w:r>
      <w:proofErr w:type="spellStart"/>
      <w:r w:rsidRPr="001E270D">
        <w:rPr>
          <w:bCs/>
          <w:sz w:val="24"/>
          <w:szCs w:val="24"/>
        </w:rPr>
        <w:t>metforminhydrochlorid</w:t>
      </w:r>
      <w:proofErr w:type="spellEnd"/>
      <w:r w:rsidRPr="001E270D">
        <w:rPr>
          <w:bCs/>
          <w:sz w:val="24"/>
          <w:szCs w:val="24"/>
        </w:rPr>
        <w:t xml:space="preserve">, svarende til 390 mg </w:t>
      </w:r>
      <w:proofErr w:type="spellStart"/>
      <w:r w:rsidRPr="001E270D">
        <w:rPr>
          <w:bCs/>
          <w:sz w:val="24"/>
          <w:szCs w:val="24"/>
        </w:rPr>
        <w:t>metforminbase</w:t>
      </w:r>
      <w:proofErr w:type="spellEnd"/>
    </w:p>
    <w:bookmarkEnd w:id="1"/>
    <w:p w:rsidR="001E270D" w:rsidRPr="001E270D" w:rsidRDefault="001E270D" w:rsidP="001E270D">
      <w:pPr>
        <w:tabs>
          <w:tab w:val="left" w:pos="851"/>
        </w:tabs>
        <w:ind w:left="851"/>
        <w:rPr>
          <w:bCs/>
          <w:sz w:val="24"/>
          <w:szCs w:val="24"/>
        </w:rPr>
      </w:pPr>
    </w:p>
    <w:p w:rsidR="001E270D" w:rsidRPr="001E270D" w:rsidRDefault="001E270D" w:rsidP="001E270D">
      <w:pPr>
        <w:tabs>
          <w:tab w:val="left" w:pos="851"/>
        </w:tabs>
        <w:ind w:left="851"/>
        <w:rPr>
          <w:bCs/>
          <w:sz w:val="24"/>
          <w:szCs w:val="24"/>
          <w:u w:val="single"/>
        </w:rPr>
      </w:pPr>
      <w:bookmarkStart w:id="2" w:name="_Hlk52717151"/>
      <w:r w:rsidRPr="001E270D">
        <w:rPr>
          <w:bCs/>
          <w:sz w:val="24"/>
          <w:szCs w:val="24"/>
          <w:u w:val="single"/>
        </w:rPr>
        <w:t>850 mg</w:t>
      </w:r>
    </w:p>
    <w:p w:rsidR="001E270D" w:rsidRPr="001E270D" w:rsidRDefault="001E270D" w:rsidP="001E270D">
      <w:pPr>
        <w:tabs>
          <w:tab w:val="left" w:pos="851"/>
        </w:tabs>
        <w:ind w:left="851"/>
        <w:rPr>
          <w:bCs/>
          <w:sz w:val="24"/>
          <w:szCs w:val="24"/>
        </w:rPr>
      </w:pPr>
      <w:r w:rsidRPr="001E270D">
        <w:rPr>
          <w:bCs/>
          <w:sz w:val="24"/>
          <w:szCs w:val="24"/>
        </w:rPr>
        <w:t xml:space="preserve">Hver filmovertrukne tablet indeholder 850 mg </w:t>
      </w:r>
      <w:proofErr w:type="spellStart"/>
      <w:r w:rsidRPr="001E270D">
        <w:rPr>
          <w:bCs/>
          <w:sz w:val="24"/>
          <w:szCs w:val="24"/>
        </w:rPr>
        <w:t>metforminhydrochlorid</w:t>
      </w:r>
      <w:proofErr w:type="spellEnd"/>
      <w:r w:rsidRPr="001E270D">
        <w:rPr>
          <w:bCs/>
          <w:sz w:val="24"/>
          <w:szCs w:val="24"/>
        </w:rPr>
        <w:t xml:space="preserve">, svarende til 663 mg </w:t>
      </w:r>
      <w:proofErr w:type="spellStart"/>
      <w:r w:rsidRPr="001E270D">
        <w:rPr>
          <w:bCs/>
          <w:sz w:val="24"/>
          <w:szCs w:val="24"/>
        </w:rPr>
        <w:t>metforminbase</w:t>
      </w:r>
      <w:proofErr w:type="spellEnd"/>
    </w:p>
    <w:bookmarkEnd w:id="2"/>
    <w:p w:rsidR="001E270D" w:rsidRPr="001E270D" w:rsidRDefault="001E270D" w:rsidP="001E270D">
      <w:pPr>
        <w:tabs>
          <w:tab w:val="left" w:pos="851"/>
        </w:tabs>
        <w:ind w:left="851"/>
        <w:rPr>
          <w:bCs/>
          <w:sz w:val="24"/>
          <w:szCs w:val="24"/>
        </w:rPr>
      </w:pPr>
    </w:p>
    <w:p w:rsidR="001E270D" w:rsidRPr="001E270D" w:rsidRDefault="001E270D" w:rsidP="001E270D">
      <w:pPr>
        <w:tabs>
          <w:tab w:val="left" w:pos="851"/>
        </w:tabs>
        <w:ind w:left="851"/>
        <w:rPr>
          <w:bCs/>
          <w:sz w:val="24"/>
          <w:szCs w:val="24"/>
          <w:u w:val="single"/>
        </w:rPr>
      </w:pPr>
      <w:bookmarkStart w:id="3" w:name="_Hlk52717139"/>
      <w:r w:rsidRPr="001E270D">
        <w:rPr>
          <w:bCs/>
          <w:sz w:val="24"/>
          <w:szCs w:val="24"/>
          <w:u w:val="single"/>
        </w:rPr>
        <w:t>1000 mg</w:t>
      </w:r>
    </w:p>
    <w:p w:rsidR="001E270D" w:rsidRPr="001E270D" w:rsidRDefault="001E270D" w:rsidP="001E270D">
      <w:pPr>
        <w:tabs>
          <w:tab w:val="left" w:pos="851"/>
        </w:tabs>
        <w:ind w:left="851"/>
        <w:rPr>
          <w:bCs/>
          <w:sz w:val="24"/>
          <w:szCs w:val="24"/>
        </w:rPr>
      </w:pPr>
      <w:r w:rsidRPr="001E270D">
        <w:rPr>
          <w:bCs/>
          <w:sz w:val="24"/>
          <w:szCs w:val="24"/>
        </w:rPr>
        <w:t xml:space="preserve">Hver filmovertrukne tablet indeholder 1000 mg </w:t>
      </w:r>
      <w:proofErr w:type="spellStart"/>
      <w:r w:rsidRPr="001E270D">
        <w:rPr>
          <w:bCs/>
          <w:sz w:val="24"/>
          <w:szCs w:val="24"/>
        </w:rPr>
        <w:t>metforminhydrochlorid</w:t>
      </w:r>
      <w:proofErr w:type="spellEnd"/>
      <w:r w:rsidRPr="001E270D">
        <w:rPr>
          <w:bCs/>
          <w:sz w:val="24"/>
          <w:szCs w:val="24"/>
        </w:rPr>
        <w:t xml:space="preserve">, svarende til 780 mg </w:t>
      </w:r>
      <w:proofErr w:type="spellStart"/>
      <w:r w:rsidRPr="001E270D">
        <w:rPr>
          <w:bCs/>
          <w:sz w:val="24"/>
          <w:szCs w:val="24"/>
        </w:rPr>
        <w:t>metforminbase</w:t>
      </w:r>
      <w:proofErr w:type="spellEnd"/>
    </w:p>
    <w:bookmarkEnd w:id="3"/>
    <w:p w:rsidR="001E270D" w:rsidRPr="001E270D" w:rsidRDefault="001E270D" w:rsidP="001E270D">
      <w:pPr>
        <w:tabs>
          <w:tab w:val="left" w:pos="851"/>
        </w:tabs>
        <w:ind w:left="851"/>
        <w:rPr>
          <w:bCs/>
          <w:sz w:val="24"/>
          <w:szCs w:val="24"/>
        </w:rPr>
      </w:pPr>
    </w:p>
    <w:p w:rsidR="001E270D" w:rsidRPr="001E270D" w:rsidRDefault="001E270D" w:rsidP="001E270D">
      <w:pPr>
        <w:tabs>
          <w:tab w:val="left" w:pos="851"/>
        </w:tabs>
        <w:ind w:left="851"/>
        <w:rPr>
          <w:sz w:val="24"/>
          <w:szCs w:val="24"/>
        </w:rPr>
      </w:pPr>
      <w:r w:rsidRPr="001E270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E270D" w:rsidRPr="001E270D" w:rsidRDefault="001E270D" w:rsidP="001E270D">
      <w:pPr>
        <w:tabs>
          <w:tab w:val="left" w:pos="851"/>
        </w:tabs>
        <w:ind w:left="851"/>
        <w:rPr>
          <w:sz w:val="24"/>
          <w:szCs w:val="24"/>
        </w:rPr>
      </w:pPr>
      <w:r w:rsidRPr="001E270D">
        <w:rPr>
          <w:sz w:val="24"/>
          <w:szCs w:val="24"/>
        </w:rPr>
        <w:t>Filmovertrukne tabletter (tablet)</w:t>
      </w:r>
    </w:p>
    <w:p w:rsidR="001E270D" w:rsidRPr="001E270D" w:rsidRDefault="001E270D" w:rsidP="001E270D">
      <w:pPr>
        <w:tabs>
          <w:tab w:val="left" w:pos="851"/>
        </w:tabs>
        <w:ind w:left="851"/>
        <w:rPr>
          <w:sz w:val="24"/>
          <w:szCs w:val="24"/>
        </w:rPr>
      </w:pPr>
    </w:p>
    <w:p w:rsidR="009A6737" w:rsidRPr="009A6737" w:rsidRDefault="001E270D" w:rsidP="001E270D">
      <w:pPr>
        <w:tabs>
          <w:tab w:val="left" w:pos="851"/>
        </w:tabs>
        <w:ind w:left="851"/>
        <w:rPr>
          <w:bCs/>
          <w:sz w:val="24"/>
          <w:szCs w:val="24"/>
          <w:u w:val="single"/>
        </w:rPr>
      </w:pPr>
      <w:r w:rsidRPr="009A6737">
        <w:rPr>
          <w:bCs/>
          <w:sz w:val="24"/>
          <w:szCs w:val="24"/>
          <w:u w:val="single"/>
        </w:rPr>
        <w:t>500 mg</w:t>
      </w:r>
    </w:p>
    <w:p w:rsidR="001E270D" w:rsidRPr="001E270D" w:rsidRDefault="001E270D" w:rsidP="001E270D">
      <w:pPr>
        <w:tabs>
          <w:tab w:val="left" w:pos="851"/>
        </w:tabs>
        <w:ind w:left="851"/>
        <w:rPr>
          <w:bCs/>
          <w:sz w:val="24"/>
          <w:szCs w:val="24"/>
        </w:rPr>
      </w:pPr>
      <w:r w:rsidRPr="001E270D">
        <w:rPr>
          <w:bCs/>
          <w:sz w:val="24"/>
          <w:szCs w:val="24"/>
        </w:rPr>
        <w:t>Hvide til råhvide, runde, biokonvekse</w:t>
      </w:r>
      <w:r w:rsidR="009A6737">
        <w:rPr>
          <w:bCs/>
          <w:sz w:val="24"/>
          <w:szCs w:val="24"/>
        </w:rPr>
        <w:t>,</w:t>
      </w:r>
      <w:r w:rsidRPr="001E270D">
        <w:rPr>
          <w:bCs/>
          <w:sz w:val="24"/>
          <w:szCs w:val="24"/>
        </w:rPr>
        <w:t xml:space="preserve"> filmovertrukne tabletter 10,90 mm i diameter, med "G” og ”</w:t>
      </w:r>
      <w:r w:rsidR="00117ECE">
        <w:rPr>
          <w:bCs/>
          <w:sz w:val="24"/>
          <w:szCs w:val="24"/>
        </w:rPr>
        <w:t>5</w:t>
      </w:r>
      <w:r w:rsidRPr="001E270D">
        <w:rPr>
          <w:bCs/>
          <w:sz w:val="24"/>
          <w:szCs w:val="24"/>
        </w:rPr>
        <w:t>0” præget på den ene side og blank på den anden.</w:t>
      </w:r>
    </w:p>
    <w:p w:rsidR="001E270D" w:rsidRPr="001E270D" w:rsidRDefault="001E270D" w:rsidP="001E270D">
      <w:pPr>
        <w:tabs>
          <w:tab w:val="left" w:pos="851"/>
        </w:tabs>
        <w:ind w:left="851"/>
        <w:rPr>
          <w:bCs/>
          <w:sz w:val="24"/>
          <w:szCs w:val="24"/>
        </w:rPr>
      </w:pPr>
    </w:p>
    <w:p w:rsidR="009A6737" w:rsidRPr="009A6737" w:rsidRDefault="001E270D" w:rsidP="001E270D">
      <w:pPr>
        <w:tabs>
          <w:tab w:val="left" w:pos="851"/>
        </w:tabs>
        <w:ind w:left="851"/>
        <w:rPr>
          <w:bCs/>
          <w:sz w:val="24"/>
          <w:szCs w:val="24"/>
          <w:u w:val="single"/>
        </w:rPr>
      </w:pPr>
      <w:r w:rsidRPr="009A6737">
        <w:rPr>
          <w:bCs/>
          <w:sz w:val="24"/>
          <w:szCs w:val="24"/>
          <w:u w:val="single"/>
        </w:rPr>
        <w:t>850 mg</w:t>
      </w:r>
    </w:p>
    <w:p w:rsidR="001E270D" w:rsidRPr="001E270D" w:rsidRDefault="001E270D" w:rsidP="001E270D">
      <w:pPr>
        <w:tabs>
          <w:tab w:val="left" w:pos="851"/>
        </w:tabs>
        <w:ind w:left="851"/>
        <w:rPr>
          <w:bCs/>
          <w:sz w:val="24"/>
          <w:szCs w:val="24"/>
        </w:rPr>
      </w:pPr>
      <w:r w:rsidRPr="001E270D">
        <w:rPr>
          <w:bCs/>
          <w:sz w:val="24"/>
          <w:szCs w:val="24"/>
        </w:rPr>
        <w:t>Hvide til råhvide, runde, biokonvekse</w:t>
      </w:r>
      <w:r w:rsidR="009A6737">
        <w:rPr>
          <w:bCs/>
          <w:sz w:val="24"/>
          <w:szCs w:val="24"/>
        </w:rPr>
        <w:t>,</w:t>
      </w:r>
      <w:r w:rsidRPr="001E270D">
        <w:rPr>
          <w:bCs/>
          <w:sz w:val="24"/>
          <w:szCs w:val="24"/>
        </w:rPr>
        <w:t xml:space="preserve"> filmovertrukne tabletter 12,70 mm i diameter, med ”G” og ”</w:t>
      </w:r>
      <w:r w:rsidR="00117ECE">
        <w:rPr>
          <w:bCs/>
          <w:sz w:val="24"/>
          <w:szCs w:val="24"/>
        </w:rPr>
        <w:t>5</w:t>
      </w:r>
      <w:r w:rsidRPr="001E270D">
        <w:rPr>
          <w:bCs/>
          <w:sz w:val="24"/>
          <w:szCs w:val="24"/>
        </w:rPr>
        <w:t>1” præget på den ene side og blank på den anden.</w:t>
      </w:r>
    </w:p>
    <w:p w:rsidR="009A6737" w:rsidRDefault="009A6737">
      <w:pPr>
        <w:rPr>
          <w:bCs/>
          <w:sz w:val="24"/>
          <w:szCs w:val="24"/>
        </w:rPr>
      </w:pPr>
      <w:r>
        <w:rPr>
          <w:bCs/>
          <w:sz w:val="24"/>
          <w:szCs w:val="24"/>
        </w:rPr>
        <w:br w:type="page"/>
      </w:r>
    </w:p>
    <w:p w:rsidR="001E270D" w:rsidRPr="001E270D" w:rsidRDefault="001E270D" w:rsidP="001E270D">
      <w:pPr>
        <w:tabs>
          <w:tab w:val="left" w:pos="851"/>
        </w:tabs>
        <w:ind w:left="851"/>
        <w:rPr>
          <w:bCs/>
          <w:sz w:val="24"/>
          <w:szCs w:val="24"/>
        </w:rPr>
      </w:pPr>
    </w:p>
    <w:p w:rsidR="009A6737" w:rsidRPr="009A6737" w:rsidRDefault="001E270D" w:rsidP="001E270D">
      <w:pPr>
        <w:tabs>
          <w:tab w:val="left" w:pos="851"/>
        </w:tabs>
        <w:ind w:left="851"/>
        <w:rPr>
          <w:bCs/>
          <w:sz w:val="24"/>
          <w:szCs w:val="24"/>
          <w:u w:val="single"/>
        </w:rPr>
      </w:pPr>
      <w:r w:rsidRPr="009A6737">
        <w:rPr>
          <w:bCs/>
          <w:sz w:val="24"/>
          <w:szCs w:val="24"/>
          <w:u w:val="single"/>
        </w:rPr>
        <w:t>1000 mg</w:t>
      </w:r>
    </w:p>
    <w:p w:rsidR="001E270D" w:rsidRPr="001E270D" w:rsidRDefault="001E270D" w:rsidP="001E270D">
      <w:pPr>
        <w:tabs>
          <w:tab w:val="left" w:pos="851"/>
        </w:tabs>
        <w:ind w:left="851"/>
        <w:rPr>
          <w:bCs/>
          <w:sz w:val="24"/>
          <w:szCs w:val="24"/>
        </w:rPr>
      </w:pPr>
      <w:r w:rsidRPr="001E270D">
        <w:rPr>
          <w:bCs/>
          <w:sz w:val="24"/>
          <w:szCs w:val="24"/>
        </w:rPr>
        <w:t>Hvide til råhvide ovale, biokonvekse</w:t>
      </w:r>
      <w:r w:rsidR="009A6737">
        <w:rPr>
          <w:bCs/>
          <w:sz w:val="24"/>
          <w:szCs w:val="24"/>
        </w:rPr>
        <w:t>,</w:t>
      </w:r>
      <w:r w:rsidRPr="001E270D">
        <w:rPr>
          <w:bCs/>
          <w:sz w:val="24"/>
          <w:szCs w:val="24"/>
        </w:rPr>
        <w:t xml:space="preserve"> filmovertrukne tabletter med en længde på 18,90 mm og en bredde på 10,40 mm, præget med ”G” og ”</w:t>
      </w:r>
      <w:r w:rsidR="00117ECE">
        <w:rPr>
          <w:bCs/>
          <w:sz w:val="24"/>
          <w:szCs w:val="24"/>
        </w:rPr>
        <w:t>5</w:t>
      </w:r>
      <w:r w:rsidRPr="001E270D">
        <w:rPr>
          <w:bCs/>
          <w:sz w:val="24"/>
          <w:szCs w:val="24"/>
        </w:rPr>
        <w:t>2” på hver side af delekærven på den ene side og blank på den anden side. Tabletten kan deles i lige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65D7C" w:rsidRPr="00265D7C" w:rsidRDefault="00265D7C" w:rsidP="00265D7C">
      <w:pPr>
        <w:tabs>
          <w:tab w:val="left" w:pos="851"/>
        </w:tabs>
        <w:ind w:left="851"/>
        <w:rPr>
          <w:bCs/>
          <w:sz w:val="24"/>
          <w:szCs w:val="24"/>
        </w:rPr>
      </w:pPr>
      <w:r w:rsidRPr="00265D7C">
        <w:rPr>
          <w:bCs/>
          <w:sz w:val="24"/>
          <w:szCs w:val="24"/>
        </w:rPr>
        <w:t xml:space="preserve">Behandling af type 2 diabetes mellitus, specielt hos overvægtige patienter, når diætstyring og motion alene ikke resulterer i tilstrækkelig </w:t>
      </w:r>
      <w:proofErr w:type="spellStart"/>
      <w:r w:rsidRPr="00265D7C">
        <w:rPr>
          <w:bCs/>
          <w:sz w:val="24"/>
          <w:szCs w:val="24"/>
        </w:rPr>
        <w:t>glyæmisk</w:t>
      </w:r>
      <w:proofErr w:type="spellEnd"/>
      <w:r w:rsidRPr="00265D7C">
        <w:rPr>
          <w:bCs/>
          <w:sz w:val="24"/>
          <w:szCs w:val="24"/>
        </w:rPr>
        <w:t xml:space="preserve"> kontrol. </w:t>
      </w:r>
    </w:p>
    <w:p w:rsidR="00265D7C" w:rsidRPr="00265D7C" w:rsidRDefault="00265D7C" w:rsidP="00265D7C">
      <w:pPr>
        <w:numPr>
          <w:ilvl w:val="0"/>
          <w:numId w:val="6"/>
        </w:numPr>
        <w:tabs>
          <w:tab w:val="left" w:pos="851"/>
        </w:tabs>
        <w:ind w:left="1134" w:hanging="283"/>
        <w:rPr>
          <w:bCs/>
          <w:sz w:val="24"/>
          <w:szCs w:val="24"/>
        </w:rPr>
      </w:pPr>
      <w:r w:rsidRPr="00265D7C">
        <w:rPr>
          <w:bCs/>
          <w:sz w:val="24"/>
          <w:szCs w:val="24"/>
        </w:rPr>
        <w:t xml:space="preserve">Til voksne kan </w:t>
      </w:r>
      <w:proofErr w:type="spellStart"/>
      <w:r w:rsidRPr="00265D7C">
        <w:rPr>
          <w:bCs/>
          <w:sz w:val="24"/>
          <w:szCs w:val="24"/>
        </w:rPr>
        <w:t>metformin</w:t>
      </w:r>
      <w:proofErr w:type="spellEnd"/>
      <w:r w:rsidRPr="00265D7C">
        <w:rPr>
          <w:bCs/>
          <w:sz w:val="24"/>
          <w:szCs w:val="24"/>
        </w:rPr>
        <w:t xml:space="preserve"> bruges som enkelbehandling eller i kombination med andre orale anti-diabetiske stoffer eller med insulin. </w:t>
      </w:r>
    </w:p>
    <w:p w:rsidR="00265D7C" w:rsidRPr="00265D7C" w:rsidRDefault="00265D7C" w:rsidP="00265D7C">
      <w:pPr>
        <w:numPr>
          <w:ilvl w:val="0"/>
          <w:numId w:val="6"/>
        </w:numPr>
        <w:tabs>
          <w:tab w:val="left" w:pos="851"/>
        </w:tabs>
        <w:ind w:left="1134" w:hanging="283"/>
        <w:rPr>
          <w:bCs/>
          <w:sz w:val="24"/>
          <w:szCs w:val="24"/>
        </w:rPr>
      </w:pPr>
      <w:r w:rsidRPr="00265D7C">
        <w:rPr>
          <w:bCs/>
          <w:sz w:val="24"/>
          <w:szCs w:val="24"/>
        </w:rPr>
        <w:t xml:space="preserve">Til børn fra 10-årsalderen og til unge kan </w:t>
      </w:r>
      <w:proofErr w:type="spellStart"/>
      <w:r w:rsidRPr="00265D7C">
        <w:rPr>
          <w:bCs/>
          <w:sz w:val="24"/>
          <w:szCs w:val="24"/>
        </w:rPr>
        <w:t>metaformin</w:t>
      </w:r>
      <w:proofErr w:type="spellEnd"/>
      <w:r w:rsidRPr="00265D7C">
        <w:rPr>
          <w:bCs/>
          <w:sz w:val="24"/>
          <w:szCs w:val="24"/>
        </w:rPr>
        <w:t xml:space="preserve"> bruges som enkelbehandling eller i kombination med insulin. </w:t>
      </w:r>
    </w:p>
    <w:p w:rsidR="00265D7C" w:rsidRPr="00265D7C" w:rsidRDefault="00265D7C" w:rsidP="00265D7C">
      <w:pPr>
        <w:tabs>
          <w:tab w:val="left" w:pos="851"/>
        </w:tabs>
        <w:ind w:left="851"/>
        <w:rPr>
          <w:bCs/>
          <w:sz w:val="24"/>
          <w:szCs w:val="24"/>
        </w:rPr>
      </w:pPr>
    </w:p>
    <w:p w:rsidR="00265D7C" w:rsidRPr="00265D7C" w:rsidRDefault="00265D7C" w:rsidP="00265D7C">
      <w:pPr>
        <w:tabs>
          <w:tab w:val="left" w:pos="851"/>
        </w:tabs>
        <w:ind w:left="851"/>
        <w:rPr>
          <w:bCs/>
          <w:sz w:val="24"/>
          <w:szCs w:val="24"/>
        </w:rPr>
      </w:pPr>
      <w:r w:rsidRPr="00265D7C">
        <w:rPr>
          <w:bCs/>
          <w:sz w:val="24"/>
          <w:szCs w:val="24"/>
        </w:rPr>
        <w:t xml:space="preserve">Der er påvist en reduktion i diabetiske komplikationer hos overvægtige voksne type 2 diabetikere i behandling med </w:t>
      </w:r>
      <w:proofErr w:type="spellStart"/>
      <w:r w:rsidRPr="00265D7C">
        <w:rPr>
          <w:bCs/>
          <w:sz w:val="24"/>
          <w:szCs w:val="24"/>
        </w:rPr>
        <w:t>metformin</w:t>
      </w:r>
      <w:proofErr w:type="spellEnd"/>
      <w:r w:rsidRPr="00265D7C">
        <w:rPr>
          <w:bCs/>
          <w:sz w:val="24"/>
          <w:szCs w:val="24"/>
        </w:rPr>
        <w:t xml:space="preserve"> som førstelinjebehandling efter diætsvigt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w:t>
      </w:r>
      <w:r w:rsidR="00117ECE">
        <w:rPr>
          <w:b/>
          <w:sz w:val="24"/>
          <w:szCs w:val="24"/>
        </w:rPr>
        <w:t xml:space="preserve"> administration</w:t>
      </w:r>
    </w:p>
    <w:p w:rsidR="00265D7C" w:rsidRPr="00265D7C" w:rsidRDefault="00265D7C" w:rsidP="00265D7C">
      <w:pPr>
        <w:tabs>
          <w:tab w:val="left" w:pos="851"/>
        </w:tabs>
        <w:ind w:left="851"/>
        <w:rPr>
          <w:bCs/>
          <w:sz w:val="24"/>
          <w:szCs w:val="24"/>
          <w:u w:val="single"/>
        </w:rPr>
      </w:pPr>
    </w:p>
    <w:p w:rsidR="00265D7C" w:rsidRPr="00265D7C" w:rsidRDefault="00265D7C" w:rsidP="00265D7C">
      <w:pPr>
        <w:tabs>
          <w:tab w:val="left" w:pos="851"/>
        </w:tabs>
        <w:ind w:left="851"/>
        <w:rPr>
          <w:b/>
          <w:bCs/>
          <w:sz w:val="24"/>
          <w:szCs w:val="24"/>
        </w:rPr>
      </w:pPr>
      <w:r w:rsidRPr="00265D7C">
        <w:rPr>
          <w:b/>
          <w:bCs/>
          <w:sz w:val="24"/>
          <w:szCs w:val="24"/>
        </w:rPr>
        <w:t>Dosering</w:t>
      </w:r>
    </w:p>
    <w:p w:rsidR="00265D7C" w:rsidRPr="00265D7C" w:rsidRDefault="00265D7C" w:rsidP="00265D7C">
      <w:pPr>
        <w:tabs>
          <w:tab w:val="left" w:pos="851"/>
        </w:tabs>
        <w:ind w:left="851"/>
        <w:rPr>
          <w:bCs/>
          <w:sz w:val="24"/>
          <w:szCs w:val="24"/>
          <w:u w:val="single"/>
        </w:rPr>
      </w:pPr>
    </w:p>
    <w:p w:rsidR="00265D7C" w:rsidRPr="00265D7C" w:rsidRDefault="00265D7C" w:rsidP="00265D7C">
      <w:pPr>
        <w:tabs>
          <w:tab w:val="left" w:pos="851"/>
        </w:tabs>
        <w:ind w:left="851"/>
        <w:rPr>
          <w:bCs/>
          <w:sz w:val="24"/>
          <w:szCs w:val="24"/>
          <w:u w:val="single"/>
        </w:rPr>
      </w:pPr>
      <w:r w:rsidRPr="00265D7C">
        <w:rPr>
          <w:bCs/>
          <w:sz w:val="24"/>
          <w:szCs w:val="24"/>
          <w:u w:val="single"/>
        </w:rPr>
        <w:t>Voksne med normal nyrefunktion (GFR ≥ 90ml/min)</w:t>
      </w:r>
    </w:p>
    <w:p w:rsidR="00265D7C" w:rsidRDefault="00265D7C" w:rsidP="00265D7C">
      <w:pPr>
        <w:tabs>
          <w:tab w:val="left" w:pos="851"/>
        </w:tabs>
        <w:ind w:left="851"/>
        <w:rPr>
          <w:bCs/>
          <w:i/>
          <w:sz w:val="24"/>
          <w:szCs w:val="24"/>
        </w:rPr>
      </w:pPr>
    </w:p>
    <w:p w:rsidR="00265D7C" w:rsidRPr="00265D7C" w:rsidRDefault="00265D7C" w:rsidP="00265D7C">
      <w:pPr>
        <w:tabs>
          <w:tab w:val="left" w:pos="851"/>
        </w:tabs>
        <w:ind w:left="851"/>
        <w:rPr>
          <w:bCs/>
          <w:i/>
          <w:sz w:val="24"/>
          <w:szCs w:val="24"/>
        </w:rPr>
      </w:pPr>
      <w:r w:rsidRPr="00265D7C">
        <w:rPr>
          <w:bCs/>
          <w:i/>
          <w:sz w:val="24"/>
          <w:szCs w:val="24"/>
        </w:rPr>
        <w:t>Monoterapi og kombination med andre antidiabetiske midler</w:t>
      </w:r>
    </w:p>
    <w:p w:rsidR="00265D7C" w:rsidRPr="00265D7C" w:rsidRDefault="00265D7C" w:rsidP="00265D7C">
      <w:pPr>
        <w:tabs>
          <w:tab w:val="left" w:pos="851"/>
        </w:tabs>
        <w:ind w:left="851"/>
        <w:rPr>
          <w:bCs/>
          <w:sz w:val="24"/>
          <w:szCs w:val="24"/>
        </w:rPr>
      </w:pPr>
      <w:r w:rsidRPr="00265D7C">
        <w:rPr>
          <w:bCs/>
          <w:sz w:val="24"/>
          <w:szCs w:val="24"/>
        </w:rPr>
        <w:t xml:space="preserve">Den normale startdosis er 500 mg eller 850 mg </w:t>
      </w:r>
      <w:proofErr w:type="spellStart"/>
      <w:r w:rsidRPr="00265D7C">
        <w:rPr>
          <w:bCs/>
          <w:sz w:val="24"/>
          <w:szCs w:val="24"/>
        </w:rPr>
        <w:t>metforminhydrochlorid</w:t>
      </w:r>
      <w:proofErr w:type="spellEnd"/>
      <w:r w:rsidRPr="00265D7C">
        <w:rPr>
          <w:bCs/>
          <w:sz w:val="24"/>
          <w:szCs w:val="24"/>
        </w:rPr>
        <w:t xml:space="preserve"> 2 eller 3 gange </w:t>
      </w:r>
      <w:r w:rsidR="006D622A">
        <w:rPr>
          <w:bCs/>
          <w:sz w:val="24"/>
          <w:szCs w:val="24"/>
        </w:rPr>
        <w:t>daglig</w:t>
      </w:r>
      <w:r w:rsidRPr="00265D7C">
        <w:rPr>
          <w:bCs/>
          <w:sz w:val="24"/>
          <w:szCs w:val="24"/>
        </w:rPr>
        <w:t>, taget i forbindelse med eller efter måltider.</w:t>
      </w:r>
    </w:p>
    <w:p w:rsidR="00265D7C" w:rsidRPr="00265D7C" w:rsidRDefault="00265D7C" w:rsidP="00265D7C">
      <w:pPr>
        <w:tabs>
          <w:tab w:val="left" w:pos="851"/>
        </w:tabs>
        <w:ind w:left="851"/>
        <w:rPr>
          <w:bCs/>
          <w:sz w:val="24"/>
          <w:szCs w:val="24"/>
        </w:rPr>
      </w:pPr>
    </w:p>
    <w:p w:rsidR="00265D7C" w:rsidRPr="00265D7C" w:rsidRDefault="00265D7C" w:rsidP="00265D7C">
      <w:pPr>
        <w:tabs>
          <w:tab w:val="left" w:pos="851"/>
        </w:tabs>
        <w:ind w:left="851"/>
        <w:rPr>
          <w:bCs/>
          <w:sz w:val="24"/>
          <w:szCs w:val="24"/>
        </w:rPr>
      </w:pPr>
      <w:r w:rsidRPr="00265D7C">
        <w:rPr>
          <w:bCs/>
          <w:sz w:val="24"/>
          <w:szCs w:val="24"/>
        </w:rPr>
        <w:t xml:space="preserve">Efter 10 til 15 dage bør dosis justeres baseret på blodsukkermålinger. En lille stigning i dosis kan forbedre </w:t>
      </w:r>
      <w:r w:rsidRPr="00265D7C">
        <w:rPr>
          <w:sz w:val="24"/>
          <w:szCs w:val="24"/>
        </w:rPr>
        <w:t xml:space="preserve">den </w:t>
      </w:r>
      <w:proofErr w:type="spellStart"/>
      <w:r w:rsidRPr="00265D7C">
        <w:rPr>
          <w:sz w:val="24"/>
          <w:szCs w:val="24"/>
        </w:rPr>
        <w:t>gastrointestinale</w:t>
      </w:r>
      <w:proofErr w:type="spellEnd"/>
      <w:r w:rsidRPr="00265D7C">
        <w:rPr>
          <w:sz w:val="24"/>
          <w:szCs w:val="24"/>
        </w:rPr>
        <w:t xml:space="preserve"> tolerance</w:t>
      </w:r>
      <w:r w:rsidRPr="00265D7C">
        <w:rPr>
          <w:bCs/>
          <w:sz w:val="24"/>
          <w:szCs w:val="24"/>
        </w:rPr>
        <w:t>.</w:t>
      </w:r>
    </w:p>
    <w:p w:rsidR="00265D7C" w:rsidRPr="00265D7C" w:rsidRDefault="00265D7C" w:rsidP="00265D7C">
      <w:pPr>
        <w:tabs>
          <w:tab w:val="left" w:pos="851"/>
        </w:tabs>
        <w:ind w:left="851"/>
        <w:rPr>
          <w:bCs/>
          <w:sz w:val="24"/>
          <w:szCs w:val="24"/>
        </w:rPr>
      </w:pPr>
    </w:p>
    <w:p w:rsidR="00265D7C" w:rsidRPr="00265D7C" w:rsidRDefault="00265D7C" w:rsidP="00265D7C">
      <w:pPr>
        <w:tabs>
          <w:tab w:val="left" w:pos="851"/>
        </w:tabs>
        <w:ind w:left="851"/>
        <w:rPr>
          <w:bCs/>
          <w:sz w:val="24"/>
          <w:szCs w:val="24"/>
        </w:rPr>
      </w:pPr>
      <w:r w:rsidRPr="00265D7C">
        <w:rPr>
          <w:bCs/>
          <w:sz w:val="24"/>
          <w:szCs w:val="24"/>
        </w:rPr>
        <w:t xml:space="preserve">I patienter som får en høj dosis af </w:t>
      </w:r>
      <w:proofErr w:type="spellStart"/>
      <w:r w:rsidRPr="00265D7C">
        <w:rPr>
          <w:bCs/>
          <w:sz w:val="24"/>
          <w:szCs w:val="24"/>
        </w:rPr>
        <w:t>metforminhydrochlorid</w:t>
      </w:r>
      <w:proofErr w:type="spellEnd"/>
      <w:r w:rsidRPr="00265D7C">
        <w:rPr>
          <w:bCs/>
          <w:sz w:val="24"/>
          <w:szCs w:val="24"/>
        </w:rPr>
        <w:t xml:space="preserve"> (2 til 3 gram om dagen) kan to </w:t>
      </w:r>
      <w:proofErr w:type="spellStart"/>
      <w:r w:rsidRPr="00265D7C">
        <w:rPr>
          <w:bCs/>
          <w:sz w:val="24"/>
          <w:szCs w:val="24"/>
        </w:rPr>
        <w:t>metformin</w:t>
      </w:r>
      <w:proofErr w:type="spellEnd"/>
      <w:r w:rsidRPr="00265D7C">
        <w:rPr>
          <w:bCs/>
          <w:sz w:val="24"/>
          <w:szCs w:val="24"/>
        </w:rPr>
        <w:t xml:space="preserve"> 500 mg tabletter erstattes af én </w:t>
      </w:r>
      <w:proofErr w:type="spellStart"/>
      <w:r w:rsidRPr="00265D7C">
        <w:rPr>
          <w:bCs/>
          <w:sz w:val="24"/>
          <w:szCs w:val="24"/>
        </w:rPr>
        <w:t>metformin</w:t>
      </w:r>
      <w:proofErr w:type="spellEnd"/>
      <w:r w:rsidRPr="00265D7C">
        <w:rPr>
          <w:bCs/>
          <w:sz w:val="24"/>
          <w:szCs w:val="24"/>
        </w:rPr>
        <w:t xml:space="preserve"> 1000 mg tablet. </w:t>
      </w:r>
    </w:p>
    <w:p w:rsidR="00265D7C" w:rsidRPr="00265D7C" w:rsidRDefault="00265D7C" w:rsidP="00265D7C">
      <w:pPr>
        <w:tabs>
          <w:tab w:val="left" w:pos="851"/>
        </w:tabs>
        <w:ind w:left="851"/>
        <w:rPr>
          <w:bCs/>
          <w:sz w:val="24"/>
          <w:szCs w:val="24"/>
        </w:rPr>
      </w:pPr>
    </w:p>
    <w:p w:rsidR="00265D7C" w:rsidRPr="00265D7C" w:rsidRDefault="00265D7C" w:rsidP="00265D7C">
      <w:pPr>
        <w:tabs>
          <w:tab w:val="left" w:pos="851"/>
        </w:tabs>
        <w:ind w:left="851"/>
        <w:rPr>
          <w:bCs/>
          <w:sz w:val="24"/>
          <w:szCs w:val="24"/>
        </w:rPr>
      </w:pPr>
      <w:r w:rsidRPr="00265D7C">
        <w:rPr>
          <w:bCs/>
          <w:sz w:val="24"/>
          <w:szCs w:val="24"/>
        </w:rPr>
        <w:t xml:space="preserve">Den maksimale anbefalede dosis af </w:t>
      </w:r>
      <w:proofErr w:type="spellStart"/>
      <w:r w:rsidRPr="00265D7C">
        <w:rPr>
          <w:bCs/>
          <w:sz w:val="24"/>
          <w:szCs w:val="24"/>
        </w:rPr>
        <w:t>metforminhydrochlorid</w:t>
      </w:r>
      <w:proofErr w:type="spellEnd"/>
      <w:r w:rsidRPr="00265D7C">
        <w:rPr>
          <w:bCs/>
          <w:sz w:val="24"/>
          <w:szCs w:val="24"/>
        </w:rPr>
        <w:t xml:space="preserve"> er 3 gram </w:t>
      </w:r>
      <w:r w:rsidR="006D622A">
        <w:rPr>
          <w:bCs/>
          <w:sz w:val="24"/>
          <w:szCs w:val="24"/>
        </w:rPr>
        <w:t>daglig</w:t>
      </w:r>
      <w:r w:rsidRPr="00265D7C">
        <w:rPr>
          <w:bCs/>
          <w:sz w:val="24"/>
          <w:szCs w:val="24"/>
        </w:rPr>
        <w:t xml:space="preserve"> fordelt på 3 doser. </w:t>
      </w:r>
    </w:p>
    <w:p w:rsidR="00265D7C" w:rsidRPr="00265D7C" w:rsidRDefault="00265D7C" w:rsidP="00265D7C">
      <w:pPr>
        <w:tabs>
          <w:tab w:val="left" w:pos="851"/>
        </w:tabs>
        <w:ind w:left="851"/>
        <w:rPr>
          <w:bCs/>
          <w:sz w:val="24"/>
          <w:szCs w:val="24"/>
        </w:rPr>
      </w:pPr>
      <w:r w:rsidRPr="00265D7C">
        <w:rPr>
          <w:bCs/>
          <w:sz w:val="24"/>
          <w:szCs w:val="24"/>
        </w:rPr>
        <w:t xml:space="preserve">Hvis der ønskes skift fra et andet oralt antidiabetisk middel: Seponer det andet middel og påbegynd </w:t>
      </w:r>
      <w:proofErr w:type="spellStart"/>
      <w:r w:rsidRPr="00265D7C">
        <w:rPr>
          <w:bCs/>
          <w:sz w:val="24"/>
          <w:szCs w:val="24"/>
        </w:rPr>
        <w:t>metforminbehandlingen</w:t>
      </w:r>
      <w:proofErr w:type="spellEnd"/>
      <w:r w:rsidRPr="00265D7C">
        <w:rPr>
          <w:bCs/>
          <w:sz w:val="24"/>
          <w:szCs w:val="24"/>
        </w:rPr>
        <w:t xml:space="preserve"> jf. den ovenfor beskrevne dosis.</w:t>
      </w:r>
    </w:p>
    <w:p w:rsidR="00265D7C" w:rsidRPr="00265D7C" w:rsidRDefault="00265D7C" w:rsidP="00265D7C">
      <w:pPr>
        <w:tabs>
          <w:tab w:val="left" w:pos="851"/>
        </w:tabs>
        <w:ind w:left="851"/>
        <w:rPr>
          <w:bCs/>
          <w:sz w:val="24"/>
          <w:szCs w:val="24"/>
        </w:rPr>
      </w:pPr>
    </w:p>
    <w:p w:rsidR="00265D7C" w:rsidRPr="00265D7C" w:rsidRDefault="00265D7C" w:rsidP="00265D7C">
      <w:pPr>
        <w:tabs>
          <w:tab w:val="left" w:pos="851"/>
        </w:tabs>
        <w:ind w:left="851"/>
        <w:rPr>
          <w:bCs/>
          <w:i/>
          <w:sz w:val="24"/>
          <w:szCs w:val="24"/>
        </w:rPr>
      </w:pPr>
      <w:r w:rsidRPr="00265D7C">
        <w:rPr>
          <w:bCs/>
          <w:i/>
          <w:sz w:val="24"/>
          <w:szCs w:val="24"/>
        </w:rPr>
        <w:t>Kombination med insulin</w:t>
      </w:r>
    </w:p>
    <w:p w:rsidR="00265D7C" w:rsidRPr="00265D7C" w:rsidRDefault="00265D7C" w:rsidP="00265D7C">
      <w:pPr>
        <w:tabs>
          <w:tab w:val="left" w:pos="851"/>
        </w:tabs>
        <w:ind w:left="851"/>
        <w:rPr>
          <w:bCs/>
          <w:sz w:val="24"/>
          <w:szCs w:val="24"/>
        </w:rPr>
      </w:pPr>
      <w:proofErr w:type="spellStart"/>
      <w:r w:rsidRPr="00265D7C">
        <w:rPr>
          <w:bCs/>
          <w:sz w:val="24"/>
          <w:szCs w:val="24"/>
        </w:rPr>
        <w:t>Metformin</w:t>
      </w:r>
      <w:proofErr w:type="spellEnd"/>
      <w:r w:rsidRPr="00265D7C">
        <w:rPr>
          <w:bCs/>
          <w:sz w:val="24"/>
          <w:szCs w:val="24"/>
        </w:rPr>
        <w:t xml:space="preserve"> og insulin kan </w:t>
      </w:r>
      <w:r w:rsidRPr="00265D7C">
        <w:rPr>
          <w:sz w:val="24"/>
          <w:szCs w:val="24"/>
        </w:rPr>
        <w:t xml:space="preserve">anvendes som kombinationsbehandling </w:t>
      </w:r>
      <w:r w:rsidRPr="00265D7C">
        <w:rPr>
          <w:bCs/>
          <w:sz w:val="24"/>
          <w:szCs w:val="24"/>
        </w:rPr>
        <w:t xml:space="preserve">for at opnå bedre blodsukkerkontrol. </w:t>
      </w:r>
      <w:proofErr w:type="spellStart"/>
      <w:r w:rsidRPr="00265D7C">
        <w:rPr>
          <w:bCs/>
          <w:sz w:val="24"/>
          <w:szCs w:val="24"/>
        </w:rPr>
        <w:t>Metforminhydrochlorid</w:t>
      </w:r>
      <w:proofErr w:type="spellEnd"/>
      <w:r w:rsidRPr="00265D7C">
        <w:rPr>
          <w:bCs/>
          <w:sz w:val="24"/>
          <w:szCs w:val="24"/>
        </w:rPr>
        <w:t xml:space="preserve"> gives i en typisk startdosis på 500 mg eller 850 mg 2 eller 3 gange </w:t>
      </w:r>
      <w:r w:rsidR="006D622A">
        <w:rPr>
          <w:bCs/>
          <w:sz w:val="24"/>
          <w:szCs w:val="24"/>
        </w:rPr>
        <w:t>daglig</w:t>
      </w:r>
      <w:r w:rsidRPr="00265D7C">
        <w:rPr>
          <w:bCs/>
          <w:sz w:val="24"/>
          <w:szCs w:val="24"/>
        </w:rPr>
        <w:t xml:space="preserve">, mens insulindosis justeres efter blodsukkermålinger. </w:t>
      </w:r>
    </w:p>
    <w:p w:rsidR="00265D7C" w:rsidRPr="00265D7C" w:rsidRDefault="00265D7C" w:rsidP="00265D7C">
      <w:pPr>
        <w:tabs>
          <w:tab w:val="left" w:pos="851"/>
        </w:tabs>
        <w:ind w:left="851"/>
        <w:rPr>
          <w:bCs/>
          <w:i/>
          <w:sz w:val="24"/>
          <w:szCs w:val="24"/>
        </w:rPr>
      </w:pPr>
    </w:p>
    <w:p w:rsidR="00265D7C" w:rsidRPr="00265D7C" w:rsidRDefault="00265D7C" w:rsidP="00265D7C">
      <w:pPr>
        <w:tabs>
          <w:tab w:val="left" w:pos="851"/>
        </w:tabs>
        <w:ind w:left="851"/>
        <w:rPr>
          <w:bCs/>
          <w:sz w:val="24"/>
          <w:szCs w:val="24"/>
          <w:u w:val="single"/>
        </w:rPr>
      </w:pPr>
      <w:r w:rsidRPr="00265D7C">
        <w:rPr>
          <w:bCs/>
          <w:sz w:val="24"/>
          <w:szCs w:val="24"/>
          <w:u w:val="single"/>
        </w:rPr>
        <w:t>Ældre</w:t>
      </w:r>
    </w:p>
    <w:p w:rsidR="00265D7C" w:rsidRPr="00265D7C" w:rsidRDefault="00265D7C" w:rsidP="00265D7C">
      <w:pPr>
        <w:tabs>
          <w:tab w:val="left" w:pos="851"/>
        </w:tabs>
        <w:ind w:left="851"/>
        <w:rPr>
          <w:bCs/>
          <w:sz w:val="24"/>
          <w:szCs w:val="24"/>
        </w:rPr>
      </w:pPr>
      <w:r w:rsidRPr="00265D7C">
        <w:rPr>
          <w:bCs/>
          <w:sz w:val="24"/>
          <w:szCs w:val="24"/>
        </w:rPr>
        <w:t xml:space="preserve">På grund af risiko for nedsat nyrefunktion hos ældre patienter, bør </w:t>
      </w:r>
      <w:proofErr w:type="spellStart"/>
      <w:r w:rsidRPr="00265D7C">
        <w:rPr>
          <w:bCs/>
          <w:sz w:val="24"/>
          <w:szCs w:val="24"/>
        </w:rPr>
        <w:t>metformindosen</w:t>
      </w:r>
      <w:proofErr w:type="spellEnd"/>
      <w:r w:rsidRPr="00265D7C">
        <w:rPr>
          <w:bCs/>
          <w:sz w:val="24"/>
          <w:szCs w:val="24"/>
        </w:rPr>
        <w:t xml:space="preserve"> justeres på baggrund af nyrefunktionen. Regelmæssig vurdering af nyrefunktionen er nødvendig (se pkt. 4.4).</w:t>
      </w:r>
    </w:p>
    <w:p w:rsidR="00265D7C" w:rsidRPr="00265D7C" w:rsidRDefault="00265D7C" w:rsidP="00265D7C">
      <w:pPr>
        <w:tabs>
          <w:tab w:val="left" w:pos="851"/>
        </w:tabs>
        <w:ind w:left="851"/>
        <w:rPr>
          <w:bCs/>
          <w:i/>
          <w:sz w:val="24"/>
          <w:szCs w:val="24"/>
        </w:rPr>
      </w:pPr>
    </w:p>
    <w:p w:rsidR="00265D7C" w:rsidRPr="00265D7C" w:rsidRDefault="00265D7C" w:rsidP="00265D7C">
      <w:pPr>
        <w:tabs>
          <w:tab w:val="left" w:pos="851"/>
        </w:tabs>
        <w:ind w:left="851"/>
        <w:rPr>
          <w:bCs/>
          <w:sz w:val="24"/>
          <w:szCs w:val="24"/>
          <w:u w:val="single"/>
        </w:rPr>
      </w:pPr>
      <w:r w:rsidRPr="00265D7C">
        <w:rPr>
          <w:bCs/>
          <w:sz w:val="24"/>
          <w:szCs w:val="24"/>
          <w:u w:val="single"/>
        </w:rPr>
        <w:t>Nedsat nyrefunktion</w:t>
      </w:r>
    </w:p>
    <w:p w:rsidR="00265D7C" w:rsidRPr="00265D7C" w:rsidRDefault="00265D7C" w:rsidP="00265D7C">
      <w:pPr>
        <w:tabs>
          <w:tab w:val="left" w:pos="851"/>
        </w:tabs>
        <w:ind w:left="851"/>
        <w:rPr>
          <w:bCs/>
          <w:sz w:val="24"/>
          <w:szCs w:val="24"/>
        </w:rPr>
      </w:pPr>
      <w:r w:rsidRPr="00265D7C">
        <w:rPr>
          <w:bCs/>
          <w:sz w:val="24"/>
          <w:szCs w:val="24"/>
        </w:rPr>
        <w:t xml:space="preserve">GFR skal bestemmes </w:t>
      </w:r>
      <w:r w:rsidRPr="00265D7C">
        <w:rPr>
          <w:sz w:val="24"/>
          <w:szCs w:val="24"/>
        </w:rPr>
        <w:t xml:space="preserve">inden behandling med </w:t>
      </w:r>
      <w:proofErr w:type="spellStart"/>
      <w:r w:rsidRPr="00265D7C">
        <w:rPr>
          <w:sz w:val="24"/>
          <w:szCs w:val="24"/>
        </w:rPr>
        <w:t>metforminholdige</w:t>
      </w:r>
      <w:proofErr w:type="spellEnd"/>
      <w:r w:rsidRPr="00265D7C">
        <w:rPr>
          <w:sz w:val="24"/>
          <w:szCs w:val="24"/>
        </w:rPr>
        <w:t xml:space="preserve"> præparater iværksættes, og </w:t>
      </w:r>
      <w:r w:rsidRPr="00265D7C">
        <w:rPr>
          <w:bCs/>
          <w:sz w:val="24"/>
          <w:szCs w:val="24"/>
        </w:rPr>
        <w:t>mindst årligt derefter. Hos patienter med øget risiko for yderligere nedsættelse af nyrefunktionen og for ældre, bør nyrefunktionen vurderes oftere, f.eks. hver 3.-6. måned.</w:t>
      </w:r>
    </w:p>
    <w:p w:rsidR="00265D7C" w:rsidRPr="00265D7C" w:rsidRDefault="00265D7C" w:rsidP="00265D7C">
      <w:pPr>
        <w:tabs>
          <w:tab w:val="left" w:pos="851"/>
        </w:tabs>
        <w:ind w:left="851"/>
        <w:rPr>
          <w:bCs/>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2719"/>
        <w:gridCol w:w="3880"/>
      </w:tblGrid>
      <w:tr w:rsidR="00265D7C" w:rsidRPr="00265D7C" w:rsidTr="00224168">
        <w:trPr>
          <w:trHeight w:val="1038"/>
        </w:trPr>
        <w:tc>
          <w:tcPr>
            <w:tcW w:w="1203"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0"/>
              <w:rPr>
                <w:b/>
                <w:bCs/>
                <w:sz w:val="24"/>
                <w:szCs w:val="24"/>
              </w:rPr>
            </w:pPr>
            <w:r w:rsidRPr="00265D7C">
              <w:rPr>
                <w:b/>
                <w:bCs/>
                <w:sz w:val="24"/>
                <w:szCs w:val="24"/>
              </w:rPr>
              <w:t>GFR (ml/min)</w:t>
            </w:r>
          </w:p>
        </w:tc>
        <w:tc>
          <w:tcPr>
            <w:tcW w:w="2719"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75"/>
              <w:rPr>
                <w:b/>
                <w:bCs/>
                <w:sz w:val="24"/>
                <w:szCs w:val="24"/>
              </w:rPr>
            </w:pPr>
            <w:r w:rsidRPr="00265D7C">
              <w:rPr>
                <w:b/>
                <w:bCs/>
                <w:sz w:val="24"/>
                <w:szCs w:val="24"/>
              </w:rPr>
              <w:t>Maksimal total daglig dosis (skal deles i 2-3 daglige doser)</w:t>
            </w:r>
          </w:p>
        </w:tc>
        <w:tc>
          <w:tcPr>
            <w:tcW w:w="3880" w:type="dxa"/>
            <w:tcBorders>
              <w:top w:val="single" w:sz="4" w:space="0" w:color="000000"/>
              <w:left w:val="single" w:sz="4" w:space="0" w:color="000000"/>
              <w:bottom w:val="single" w:sz="4" w:space="0" w:color="000000"/>
              <w:right w:val="single" w:sz="4" w:space="0" w:color="000000"/>
            </w:tcBorders>
          </w:tcPr>
          <w:p w:rsidR="00265D7C" w:rsidRPr="00265D7C" w:rsidRDefault="00265D7C" w:rsidP="00224168">
            <w:pPr>
              <w:ind w:left="190"/>
              <w:rPr>
                <w:b/>
                <w:bCs/>
                <w:sz w:val="24"/>
                <w:szCs w:val="24"/>
              </w:rPr>
            </w:pPr>
            <w:r w:rsidRPr="00265D7C">
              <w:rPr>
                <w:b/>
                <w:bCs/>
                <w:sz w:val="24"/>
                <w:szCs w:val="24"/>
              </w:rPr>
              <w:t>Yderligere overvejelser</w:t>
            </w:r>
          </w:p>
          <w:p w:rsidR="00265D7C" w:rsidRPr="00265D7C" w:rsidRDefault="00265D7C" w:rsidP="00224168">
            <w:pPr>
              <w:ind w:left="190"/>
              <w:rPr>
                <w:b/>
                <w:bCs/>
                <w:sz w:val="24"/>
                <w:szCs w:val="24"/>
              </w:rPr>
            </w:pPr>
          </w:p>
        </w:tc>
      </w:tr>
      <w:tr w:rsidR="00265D7C" w:rsidRPr="00265D7C" w:rsidTr="00224168">
        <w:tc>
          <w:tcPr>
            <w:tcW w:w="1203"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0"/>
              <w:rPr>
                <w:bCs/>
                <w:sz w:val="24"/>
                <w:szCs w:val="24"/>
              </w:rPr>
            </w:pPr>
            <w:r w:rsidRPr="00265D7C">
              <w:rPr>
                <w:bCs/>
                <w:sz w:val="24"/>
                <w:szCs w:val="24"/>
              </w:rPr>
              <w:t>60-89</w:t>
            </w:r>
          </w:p>
        </w:tc>
        <w:tc>
          <w:tcPr>
            <w:tcW w:w="2719"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75"/>
              <w:rPr>
                <w:bCs/>
                <w:sz w:val="24"/>
                <w:szCs w:val="24"/>
              </w:rPr>
            </w:pPr>
            <w:r w:rsidRPr="00265D7C">
              <w:rPr>
                <w:bCs/>
                <w:sz w:val="24"/>
                <w:szCs w:val="24"/>
              </w:rPr>
              <w:t>3000 mg</w:t>
            </w:r>
          </w:p>
        </w:tc>
        <w:tc>
          <w:tcPr>
            <w:tcW w:w="3880"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90"/>
              <w:rPr>
                <w:bCs/>
                <w:sz w:val="24"/>
                <w:szCs w:val="24"/>
              </w:rPr>
            </w:pPr>
            <w:r w:rsidRPr="00265D7C">
              <w:rPr>
                <w:bCs/>
                <w:sz w:val="24"/>
                <w:szCs w:val="24"/>
              </w:rPr>
              <w:t>Ved forværring af nyrefunktionen bør en dosisreduktion overvejes.</w:t>
            </w:r>
          </w:p>
        </w:tc>
      </w:tr>
      <w:tr w:rsidR="00265D7C" w:rsidRPr="00265D7C" w:rsidTr="00224168">
        <w:tc>
          <w:tcPr>
            <w:tcW w:w="1203"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0"/>
              <w:rPr>
                <w:bCs/>
                <w:sz w:val="24"/>
                <w:szCs w:val="24"/>
              </w:rPr>
            </w:pPr>
            <w:r w:rsidRPr="00265D7C">
              <w:rPr>
                <w:bCs/>
                <w:sz w:val="24"/>
                <w:szCs w:val="24"/>
              </w:rPr>
              <w:t>45-59</w:t>
            </w:r>
          </w:p>
        </w:tc>
        <w:tc>
          <w:tcPr>
            <w:tcW w:w="2719"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75"/>
              <w:rPr>
                <w:bCs/>
                <w:sz w:val="24"/>
                <w:szCs w:val="24"/>
              </w:rPr>
            </w:pPr>
            <w:r w:rsidRPr="00265D7C">
              <w:rPr>
                <w:bCs/>
                <w:sz w:val="24"/>
                <w:szCs w:val="24"/>
              </w:rPr>
              <w:t>2000 mg</w:t>
            </w:r>
          </w:p>
        </w:tc>
        <w:tc>
          <w:tcPr>
            <w:tcW w:w="3880" w:type="dxa"/>
            <w:vMerge w:val="restart"/>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90"/>
              <w:rPr>
                <w:bCs/>
                <w:sz w:val="24"/>
                <w:szCs w:val="24"/>
              </w:rPr>
            </w:pPr>
            <w:r w:rsidRPr="00265D7C">
              <w:rPr>
                <w:bCs/>
                <w:sz w:val="24"/>
                <w:szCs w:val="24"/>
              </w:rPr>
              <w:t xml:space="preserve">Faktorer, som kan øge risikoen for </w:t>
            </w:r>
            <w:proofErr w:type="spellStart"/>
            <w:r w:rsidRPr="00265D7C">
              <w:rPr>
                <w:bCs/>
                <w:sz w:val="24"/>
                <w:szCs w:val="24"/>
              </w:rPr>
              <w:t>laktatacidose</w:t>
            </w:r>
            <w:proofErr w:type="spellEnd"/>
            <w:r w:rsidRPr="00265D7C">
              <w:rPr>
                <w:bCs/>
                <w:sz w:val="24"/>
                <w:szCs w:val="24"/>
              </w:rPr>
              <w:t xml:space="preserve"> (se pkt. 4.4), skal vurderes </w:t>
            </w:r>
            <w:r w:rsidRPr="00265D7C">
              <w:rPr>
                <w:sz w:val="24"/>
                <w:szCs w:val="24"/>
              </w:rPr>
              <w:t xml:space="preserve">inden påbegyndelse af </w:t>
            </w:r>
            <w:proofErr w:type="spellStart"/>
            <w:r w:rsidRPr="00265D7C">
              <w:rPr>
                <w:sz w:val="24"/>
                <w:szCs w:val="24"/>
              </w:rPr>
              <w:t>metforminbehandling</w:t>
            </w:r>
            <w:proofErr w:type="spellEnd"/>
            <w:r w:rsidRPr="00265D7C">
              <w:rPr>
                <w:sz w:val="24"/>
                <w:szCs w:val="24"/>
              </w:rPr>
              <w:t>.</w:t>
            </w:r>
            <w:r w:rsidRPr="00265D7C">
              <w:rPr>
                <w:bCs/>
                <w:sz w:val="24"/>
                <w:szCs w:val="24"/>
              </w:rPr>
              <w:t xml:space="preserve"> Startdosis er højest halvdelen af den maksimale dosis. </w:t>
            </w:r>
          </w:p>
        </w:tc>
      </w:tr>
      <w:tr w:rsidR="00265D7C" w:rsidRPr="00265D7C" w:rsidTr="00224168">
        <w:tc>
          <w:tcPr>
            <w:tcW w:w="1203"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0"/>
              <w:rPr>
                <w:bCs/>
                <w:sz w:val="24"/>
                <w:szCs w:val="24"/>
              </w:rPr>
            </w:pPr>
            <w:r w:rsidRPr="00265D7C">
              <w:rPr>
                <w:bCs/>
                <w:sz w:val="24"/>
                <w:szCs w:val="24"/>
              </w:rPr>
              <w:t>30-44</w:t>
            </w:r>
          </w:p>
        </w:tc>
        <w:tc>
          <w:tcPr>
            <w:tcW w:w="2719"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75"/>
              <w:rPr>
                <w:bCs/>
                <w:sz w:val="24"/>
                <w:szCs w:val="24"/>
              </w:rPr>
            </w:pPr>
            <w:r w:rsidRPr="00265D7C">
              <w:rPr>
                <w:bCs/>
                <w:sz w:val="24"/>
                <w:szCs w:val="24"/>
              </w:rPr>
              <w:t>1000 mg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5D7C" w:rsidRPr="00265D7C" w:rsidRDefault="00265D7C" w:rsidP="00224168">
            <w:pPr>
              <w:ind w:left="190"/>
              <w:rPr>
                <w:bCs/>
                <w:sz w:val="24"/>
                <w:szCs w:val="24"/>
              </w:rPr>
            </w:pPr>
          </w:p>
        </w:tc>
      </w:tr>
      <w:tr w:rsidR="00265D7C" w:rsidRPr="00265D7C" w:rsidTr="00224168">
        <w:tc>
          <w:tcPr>
            <w:tcW w:w="1203"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0"/>
              <w:rPr>
                <w:bCs/>
                <w:sz w:val="24"/>
                <w:szCs w:val="24"/>
              </w:rPr>
            </w:pPr>
            <w:r w:rsidRPr="00265D7C">
              <w:rPr>
                <w:bCs/>
                <w:sz w:val="24"/>
                <w:szCs w:val="24"/>
              </w:rPr>
              <w:t xml:space="preserve">&lt;30 </w:t>
            </w:r>
          </w:p>
        </w:tc>
        <w:tc>
          <w:tcPr>
            <w:tcW w:w="2719"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75"/>
              <w:rPr>
                <w:bCs/>
                <w:sz w:val="24"/>
                <w:szCs w:val="24"/>
              </w:rPr>
            </w:pPr>
            <w:r w:rsidRPr="00265D7C">
              <w:rPr>
                <w:bCs/>
                <w:sz w:val="24"/>
                <w:szCs w:val="24"/>
              </w:rPr>
              <w:t>-</w:t>
            </w:r>
          </w:p>
        </w:tc>
        <w:tc>
          <w:tcPr>
            <w:tcW w:w="3880" w:type="dxa"/>
            <w:tcBorders>
              <w:top w:val="single" w:sz="4" w:space="0" w:color="000000"/>
              <w:left w:val="single" w:sz="4" w:space="0" w:color="000000"/>
              <w:bottom w:val="single" w:sz="4" w:space="0" w:color="000000"/>
              <w:right w:val="single" w:sz="4" w:space="0" w:color="000000"/>
            </w:tcBorders>
            <w:hideMark/>
          </w:tcPr>
          <w:p w:rsidR="00265D7C" w:rsidRPr="00265D7C" w:rsidRDefault="00265D7C" w:rsidP="00224168">
            <w:pPr>
              <w:ind w:left="190"/>
              <w:rPr>
                <w:bCs/>
                <w:sz w:val="24"/>
                <w:szCs w:val="24"/>
              </w:rPr>
            </w:pPr>
            <w:proofErr w:type="spellStart"/>
            <w:r w:rsidRPr="00265D7C">
              <w:rPr>
                <w:bCs/>
                <w:sz w:val="24"/>
                <w:szCs w:val="24"/>
              </w:rPr>
              <w:t>Metformin</w:t>
            </w:r>
            <w:proofErr w:type="spellEnd"/>
            <w:r w:rsidRPr="00265D7C">
              <w:rPr>
                <w:bCs/>
                <w:sz w:val="24"/>
                <w:szCs w:val="24"/>
              </w:rPr>
              <w:t xml:space="preserve"> </w:t>
            </w:r>
            <w:r w:rsidRPr="00265D7C">
              <w:rPr>
                <w:sz w:val="24"/>
                <w:szCs w:val="24"/>
              </w:rPr>
              <w:t>er kontraindiceret.</w:t>
            </w:r>
          </w:p>
        </w:tc>
      </w:tr>
    </w:tbl>
    <w:p w:rsidR="00265D7C" w:rsidRPr="00265D7C" w:rsidRDefault="00265D7C" w:rsidP="00265D7C">
      <w:pPr>
        <w:tabs>
          <w:tab w:val="left" w:pos="851"/>
        </w:tabs>
        <w:ind w:left="851"/>
        <w:rPr>
          <w:b/>
          <w:bCs/>
          <w:sz w:val="24"/>
          <w:szCs w:val="24"/>
        </w:rPr>
      </w:pPr>
    </w:p>
    <w:p w:rsidR="00265D7C" w:rsidRPr="00224168" w:rsidRDefault="00265D7C" w:rsidP="00265D7C">
      <w:pPr>
        <w:tabs>
          <w:tab w:val="left" w:pos="851"/>
        </w:tabs>
        <w:ind w:left="851"/>
        <w:rPr>
          <w:bCs/>
          <w:sz w:val="24"/>
          <w:szCs w:val="24"/>
          <w:u w:val="single"/>
        </w:rPr>
      </w:pPr>
      <w:r w:rsidRPr="00224168">
        <w:rPr>
          <w:bCs/>
          <w:sz w:val="24"/>
          <w:szCs w:val="24"/>
          <w:u w:val="single"/>
        </w:rPr>
        <w:t>Børn</w:t>
      </w:r>
    </w:p>
    <w:p w:rsidR="00224168" w:rsidRDefault="00224168" w:rsidP="00265D7C">
      <w:pPr>
        <w:tabs>
          <w:tab w:val="left" w:pos="851"/>
        </w:tabs>
        <w:ind w:left="851"/>
        <w:rPr>
          <w:bCs/>
          <w:i/>
          <w:sz w:val="24"/>
          <w:szCs w:val="24"/>
        </w:rPr>
      </w:pPr>
    </w:p>
    <w:p w:rsidR="00265D7C" w:rsidRPr="00265D7C" w:rsidRDefault="00265D7C" w:rsidP="00265D7C">
      <w:pPr>
        <w:tabs>
          <w:tab w:val="left" w:pos="851"/>
        </w:tabs>
        <w:ind w:left="851"/>
        <w:rPr>
          <w:bCs/>
          <w:i/>
          <w:sz w:val="24"/>
          <w:szCs w:val="24"/>
        </w:rPr>
      </w:pPr>
      <w:r w:rsidRPr="00265D7C">
        <w:rPr>
          <w:bCs/>
          <w:i/>
          <w:sz w:val="24"/>
          <w:szCs w:val="24"/>
        </w:rPr>
        <w:t>Monoterapi og kombination med insulin</w:t>
      </w:r>
    </w:p>
    <w:p w:rsidR="00265D7C" w:rsidRPr="00265D7C" w:rsidRDefault="00265D7C" w:rsidP="00224168">
      <w:pPr>
        <w:numPr>
          <w:ilvl w:val="0"/>
          <w:numId w:val="6"/>
        </w:numPr>
        <w:tabs>
          <w:tab w:val="left" w:pos="851"/>
        </w:tabs>
        <w:ind w:left="1134" w:hanging="283"/>
        <w:rPr>
          <w:bCs/>
          <w:sz w:val="24"/>
          <w:szCs w:val="24"/>
        </w:rPr>
      </w:pPr>
      <w:proofErr w:type="spellStart"/>
      <w:r w:rsidRPr="00265D7C">
        <w:rPr>
          <w:bCs/>
          <w:sz w:val="24"/>
          <w:szCs w:val="24"/>
        </w:rPr>
        <w:t>Metformin</w:t>
      </w:r>
      <w:proofErr w:type="spellEnd"/>
      <w:r w:rsidRPr="00265D7C">
        <w:rPr>
          <w:bCs/>
          <w:sz w:val="24"/>
          <w:szCs w:val="24"/>
        </w:rPr>
        <w:t xml:space="preserve"> kan bruges til børn fra 10 år og til unge. </w:t>
      </w:r>
    </w:p>
    <w:p w:rsidR="00265D7C" w:rsidRPr="00265D7C" w:rsidRDefault="00265D7C" w:rsidP="00224168">
      <w:pPr>
        <w:numPr>
          <w:ilvl w:val="0"/>
          <w:numId w:val="6"/>
        </w:numPr>
        <w:tabs>
          <w:tab w:val="left" w:pos="851"/>
        </w:tabs>
        <w:ind w:left="1134" w:hanging="283"/>
        <w:rPr>
          <w:bCs/>
          <w:sz w:val="24"/>
          <w:szCs w:val="24"/>
        </w:rPr>
      </w:pPr>
      <w:r w:rsidRPr="00265D7C">
        <w:rPr>
          <w:bCs/>
          <w:sz w:val="24"/>
          <w:szCs w:val="24"/>
        </w:rPr>
        <w:t xml:space="preserve">Den normale startdosis er 500 mg eller 850 mg </w:t>
      </w:r>
      <w:proofErr w:type="spellStart"/>
      <w:r w:rsidRPr="00265D7C">
        <w:rPr>
          <w:bCs/>
          <w:sz w:val="24"/>
          <w:szCs w:val="24"/>
        </w:rPr>
        <w:t>metforminhydrochlorid</w:t>
      </w:r>
      <w:proofErr w:type="spellEnd"/>
      <w:r w:rsidRPr="00265D7C">
        <w:rPr>
          <w:bCs/>
          <w:sz w:val="24"/>
          <w:szCs w:val="24"/>
        </w:rPr>
        <w:t xml:space="preserve"> én gang </w:t>
      </w:r>
      <w:r w:rsidR="006D622A">
        <w:rPr>
          <w:bCs/>
          <w:sz w:val="24"/>
          <w:szCs w:val="24"/>
        </w:rPr>
        <w:t>daglig</w:t>
      </w:r>
      <w:r w:rsidRPr="00265D7C">
        <w:rPr>
          <w:bCs/>
          <w:sz w:val="24"/>
          <w:szCs w:val="24"/>
        </w:rPr>
        <w:t xml:space="preserve"> i forbindelse med eller efter et måltid.</w:t>
      </w:r>
    </w:p>
    <w:p w:rsidR="00265D7C" w:rsidRPr="00265D7C" w:rsidRDefault="00265D7C" w:rsidP="00265D7C">
      <w:pPr>
        <w:tabs>
          <w:tab w:val="left" w:pos="851"/>
        </w:tabs>
        <w:ind w:left="851"/>
        <w:rPr>
          <w:bCs/>
          <w:sz w:val="24"/>
          <w:szCs w:val="24"/>
        </w:rPr>
      </w:pPr>
    </w:p>
    <w:p w:rsidR="00265D7C" w:rsidRPr="00265D7C" w:rsidRDefault="00265D7C" w:rsidP="00265D7C">
      <w:pPr>
        <w:tabs>
          <w:tab w:val="left" w:pos="851"/>
        </w:tabs>
        <w:ind w:left="851"/>
        <w:rPr>
          <w:bCs/>
          <w:sz w:val="24"/>
          <w:szCs w:val="24"/>
        </w:rPr>
      </w:pPr>
      <w:r w:rsidRPr="00265D7C">
        <w:rPr>
          <w:bCs/>
          <w:sz w:val="24"/>
          <w:szCs w:val="24"/>
        </w:rPr>
        <w:t xml:space="preserve">Efter 10 til 15 dage skal dosis justeres baseret på blodsukkermålinger. En langsom øgning af dosis kan forbedre </w:t>
      </w:r>
      <w:r w:rsidRPr="00265D7C">
        <w:rPr>
          <w:sz w:val="24"/>
          <w:szCs w:val="24"/>
        </w:rPr>
        <w:t xml:space="preserve">den </w:t>
      </w:r>
      <w:proofErr w:type="spellStart"/>
      <w:r w:rsidRPr="00265D7C">
        <w:rPr>
          <w:sz w:val="24"/>
          <w:szCs w:val="24"/>
        </w:rPr>
        <w:t>gastrointestinale</w:t>
      </w:r>
      <w:proofErr w:type="spellEnd"/>
      <w:r w:rsidRPr="00265D7C">
        <w:rPr>
          <w:sz w:val="24"/>
          <w:szCs w:val="24"/>
        </w:rPr>
        <w:t xml:space="preserve"> </w:t>
      </w:r>
      <w:proofErr w:type="spellStart"/>
      <w:r w:rsidRPr="00265D7C">
        <w:rPr>
          <w:sz w:val="24"/>
          <w:szCs w:val="24"/>
        </w:rPr>
        <w:t>tolerabilitet</w:t>
      </w:r>
      <w:proofErr w:type="spellEnd"/>
      <w:r w:rsidRPr="00265D7C">
        <w:rPr>
          <w:bCs/>
          <w:sz w:val="24"/>
          <w:szCs w:val="24"/>
        </w:rPr>
        <w:t xml:space="preserve">. Den maksimale anbefalede dosis </w:t>
      </w:r>
      <w:proofErr w:type="spellStart"/>
      <w:r w:rsidRPr="00265D7C">
        <w:rPr>
          <w:sz w:val="24"/>
          <w:szCs w:val="24"/>
        </w:rPr>
        <w:t>metforminhydrochlorid</w:t>
      </w:r>
      <w:proofErr w:type="spellEnd"/>
      <w:r w:rsidRPr="00265D7C">
        <w:rPr>
          <w:bCs/>
          <w:sz w:val="24"/>
          <w:szCs w:val="24"/>
        </w:rPr>
        <w:t xml:space="preserve"> er 2 gram </w:t>
      </w:r>
      <w:r w:rsidR="006D622A">
        <w:rPr>
          <w:bCs/>
          <w:sz w:val="24"/>
          <w:szCs w:val="24"/>
        </w:rPr>
        <w:t>daglig</w:t>
      </w:r>
      <w:r w:rsidRPr="00265D7C">
        <w:rPr>
          <w:bCs/>
          <w:sz w:val="24"/>
          <w:szCs w:val="24"/>
        </w:rPr>
        <w:t xml:space="preserve">, fordelt på 2 eller 3 doser.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37615" w:rsidRPr="00237615" w:rsidRDefault="00237615" w:rsidP="00237615">
      <w:pPr>
        <w:numPr>
          <w:ilvl w:val="0"/>
          <w:numId w:val="7"/>
        </w:numPr>
        <w:tabs>
          <w:tab w:val="left" w:pos="851"/>
        </w:tabs>
        <w:ind w:left="1134" w:hanging="283"/>
        <w:rPr>
          <w:bCs/>
          <w:sz w:val="24"/>
          <w:szCs w:val="24"/>
        </w:rPr>
      </w:pPr>
      <w:r w:rsidRPr="00237615">
        <w:rPr>
          <w:bCs/>
          <w:sz w:val="24"/>
          <w:szCs w:val="24"/>
        </w:rPr>
        <w:t xml:space="preserve">Overfølsomhed over for det aktive stof eller over for et eller flere af hjælpestofferne anført i pkt. 6.1. Enhver type af akut metabolisk </w:t>
      </w:r>
      <w:proofErr w:type="spellStart"/>
      <w:r w:rsidRPr="00237615">
        <w:rPr>
          <w:bCs/>
          <w:sz w:val="24"/>
          <w:szCs w:val="24"/>
        </w:rPr>
        <w:t>acidose</w:t>
      </w:r>
      <w:proofErr w:type="spellEnd"/>
      <w:r w:rsidRPr="00237615">
        <w:rPr>
          <w:bCs/>
          <w:sz w:val="24"/>
          <w:szCs w:val="24"/>
        </w:rPr>
        <w:t xml:space="preserve"> (såsom </w:t>
      </w:r>
      <w:proofErr w:type="spellStart"/>
      <w:r w:rsidRPr="00237615">
        <w:rPr>
          <w:bCs/>
          <w:sz w:val="24"/>
          <w:szCs w:val="24"/>
        </w:rPr>
        <w:t>laktatacidose</w:t>
      </w:r>
      <w:proofErr w:type="spellEnd"/>
      <w:r w:rsidRPr="00237615">
        <w:rPr>
          <w:bCs/>
          <w:sz w:val="24"/>
          <w:szCs w:val="24"/>
        </w:rPr>
        <w:t xml:space="preserve">, diabetisk </w:t>
      </w:r>
      <w:proofErr w:type="spellStart"/>
      <w:r w:rsidRPr="00237615">
        <w:rPr>
          <w:bCs/>
          <w:sz w:val="24"/>
          <w:szCs w:val="24"/>
        </w:rPr>
        <w:t>ketoacidose</w:t>
      </w:r>
      <w:proofErr w:type="spellEnd"/>
      <w:r w:rsidRPr="00237615">
        <w:rPr>
          <w:bCs/>
          <w:sz w:val="24"/>
          <w:szCs w:val="24"/>
        </w:rPr>
        <w:t>).</w:t>
      </w:r>
    </w:p>
    <w:p w:rsidR="00237615" w:rsidRPr="00237615" w:rsidRDefault="00237615" w:rsidP="00237615">
      <w:pPr>
        <w:numPr>
          <w:ilvl w:val="0"/>
          <w:numId w:val="7"/>
        </w:numPr>
        <w:tabs>
          <w:tab w:val="left" w:pos="851"/>
        </w:tabs>
        <w:ind w:left="1134" w:hanging="283"/>
        <w:rPr>
          <w:bCs/>
          <w:sz w:val="24"/>
          <w:szCs w:val="24"/>
        </w:rPr>
      </w:pPr>
      <w:r w:rsidRPr="00237615">
        <w:rPr>
          <w:bCs/>
          <w:sz w:val="24"/>
          <w:szCs w:val="24"/>
        </w:rPr>
        <w:t>Diabetisk prækoma.</w:t>
      </w:r>
    </w:p>
    <w:p w:rsidR="00237615" w:rsidRPr="00237615" w:rsidRDefault="00237615" w:rsidP="00237615">
      <w:pPr>
        <w:numPr>
          <w:ilvl w:val="0"/>
          <w:numId w:val="7"/>
        </w:numPr>
        <w:tabs>
          <w:tab w:val="left" w:pos="851"/>
        </w:tabs>
        <w:ind w:left="1134" w:hanging="283"/>
        <w:rPr>
          <w:bCs/>
          <w:sz w:val="24"/>
          <w:szCs w:val="24"/>
        </w:rPr>
      </w:pPr>
      <w:r w:rsidRPr="00237615">
        <w:rPr>
          <w:bCs/>
          <w:sz w:val="24"/>
          <w:szCs w:val="24"/>
        </w:rPr>
        <w:t>Alvorligt nyresvigt (GFR &lt; 30ml/min)</w:t>
      </w:r>
    </w:p>
    <w:p w:rsidR="00237615" w:rsidRPr="00237615" w:rsidRDefault="00237615" w:rsidP="00237615">
      <w:pPr>
        <w:numPr>
          <w:ilvl w:val="0"/>
          <w:numId w:val="7"/>
        </w:numPr>
        <w:tabs>
          <w:tab w:val="left" w:pos="851"/>
        </w:tabs>
        <w:ind w:left="1134" w:hanging="283"/>
        <w:rPr>
          <w:bCs/>
          <w:sz w:val="24"/>
          <w:szCs w:val="24"/>
        </w:rPr>
      </w:pPr>
      <w:r w:rsidRPr="00237615">
        <w:rPr>
          <w:bCs/>
          <w:sz w:val="24"/>
          <w:szCs w:val="24"/>
        </w:rPr>
        <w:t xml:space="preserve">Akutte tilstande der kan påvirke nyrefunktionen, såsom: dehydrering, alvorlig infektion, </w:t>
      </w:r>
      <w:proofErr w:type="spellStart"/>
      <w:r w:rsidR="00A814F1">
        <w:rPr>
          <w:bCs/>
          <w:sz w:val="24"/>
          <w:szCs w:val="24"/>
        </w:rPr>
        <w:t>shock</w:t>
      </w:r>
      <w:proofErr w:type="spellEnd"/>
      <w:r w:rsidRPr="00237615">
        <w:rPr>
          <w:bCs/>
          <w:sz w:val="24"/>
          <w:szCs w:val="24"/>
        </w:rPr>
        <w:t xml:space="preserve">. </w:t>
      </w:r>
    </w:p>
    <w:p w:rsidR="00237615" w:rsidRPr="00237615" w:rsidRDefault="00237615" w:rsidP="00237615">
      <w:pPr>
        <w:numPr>
          <w:ilvl w:val="0"/>
          <w:numId w:val="7"/>
        </w:numPr>
        <w:tabs>
          <w:tab w:val="left" w:pos="851"/>
        </w:tabs>
        <w:ind w:left="1134" w:hanging="283"/>
        <w:rPr>
          <w:bCs/>
          <w:sz w:val="24"/>
          <w:szCs w:val="24"/>
        </w:rPr>
      </w:pPr>
      <w:r w:rsidRPr="00237615">
        <w:rPr>
          <w:bCs/>
          <w:sz w:val="24"/>
          <w:szCs w:val="24"/>
        </w:rPr>
        <w:t xml:space="preserve">Sygdom, som kan forårsage </w:t>
      </w:r>
      <w:proofErr w:type="spellStart"/>
      <w:r w:rsidRPr="00237615">
        <w:rPr>
          <w:bCs/>
          <w:sz w:val="24"/>
          <w:szCs w:val="24"/>
        </w:rPr>
        <w:t>vævshypoxi</w:t>
      </w:r>
      <w:proofErr w:type="spellEnd"/>
      <w:r w:rsidRPr="00237615">
        <w:rPr>
          <w:bCs/>
          <w:sz w:val="24"/>
          <w:szCs w:val="24"/>
        </w:rPr>
        <w:t xml:space="preserve"> (specielt akut sygdom eller forværring af kronisk sygdom) såsom: </w:t>
      </w:r>
      <w:proofErr w:type="spellStart"/>
      <w:r w:rsidRPr="00237615">
        <w:rPr>
          <w:bCs/>
          <w:sz w:val="24"/>
          <w:szCs w:val="24"/>
        </w:rPr>
        <w:t>dekompenseret</w:t>
      </w:r>
      <w:proofErr w:type="spellEnd"/>
      <w:r w:rsidRPr="00237615">
        <w:rPr>
          <w:bCs/>
          <w:sz w:val="24"/>
          <w:szCs w:val="24"/>
        </w:rPr>
        <w:t xml:space="preserve"> hjertesvigt, respirationssvigt, nyligt myokardieinfarkt, </w:t>
      </w:r>
      <w:proofErr w:type="spellStart"/>
      <w:r w:rsidR="00A814F1">
        <w:rPr>
          <w:bCs/>
          <w:sz w:val="24"/>
          <w:szCs w:val="24"/>
        </w:rPr>
        <w:t>shock</w:t>
      </w:r>
      <w:proofErr w:type="spellEnd"/>
      <w:r w:rsidRPr="00237615">
        <w:rPr>
          <w:bCs/>
          <w:sz w:val="24"/>
          <w:szCs w:val="24"/>
        </w:rPr>
        <w:t xml:space="preserve">. </w:t>
      </w:r>
    </w:p>
    <w:p w:rsidR="00237615" w:rsidRPr="00237615" w:rsidRDefault="00237615" w:rsidP="00237615">
      <w:pPr>
        <w:numPr>
          <w:ilvl w:val="0"/>
          <w:numId w:val="7"/>
        </w:numPr>
        <w:tabs>
          <w:tab w:val="left" w:pos="851"/>
        </w:tabs>
        <w:ind w:left="1134" w:hanging="283"/>
        <w:rPr>
          <w:bCs/>
          <w:sz w:val="24"/>
          <w:szCs w:val="24"/>
        </w:rPr>
      </w:pPr>
      <w:r w:rsidRPr="00237615">
        <w:rPr>
          <w:bCs/>
          <w:sz w:val="24"/>
          <w:szCs w:val="24"/>
        </w:rPr>
        <w:t>Leverinsufficiens, akut alkoholforgiftning, alkoholisme.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37615" w:rsidRPr="00237615" w:rsidRDefault="00237615" w:rsidP="00237615">
      <w:pPr>
        <w:tabs>
          <w:tab w:val="left" w:pos="851"/>
        </w:tabs>
        <w:ind w:left="851"/>
        <w:rPr>
          <w:bCs/>
          <w:sz w:val="24"/>
          <w:szCs w:val="24"/>
          <w:u w:val="single"/>
        </w:rPr>
      </w:pPr>
    </w:p>
    <w:p w:rsidR="00237615" w:rsidRPr="00237615" w:rsidRDefault="00237615" w:rsidP="00237615">
      <w:pPr>
        <w:tabs>
          <w:tab w:val="left" w:pos="851"/>
        </w:tabs>
        <w:ind w:left="851"/>
        <w:rPr>
          <w:bCs/>
          <w:sz w:val="24"/>
          <w:szCs w:val="24"/>
          <w:u w:val="single"/>
        </w:rPr>
      </w:pPr>
      <w:proofErr w:type="spellStart"/>
      <w:r w:rsidRPr="00237615">
        <w:rPr>
          <w:bCs/>
          <w:sz w:val="24"/>
          <w:szCs w:val="24"/>
          <w:u w:val="single"/>
        </w:rPr>
        <w:t>Laktatacidose</w:t>
      </w:r>
      <w:proofErr w:type="spellEnd"/>
    </w:p>
    <w:p w:rsidR="00237615" w:rsidRPr="00237615" w:rsidRDefault="00237615" w:rsidP="00237615">
      <w:pPr>
        <w:tabs>
          <w:tab w:val="left" w:pos="851"/>
        </w:tabs>
        <w:ind w:left="851"/>
        <w:rPr>
          <w:bCs/>
          <w:sz w:val="24"/>
          <w:szCs w:val="24"/>
        </w:rPr>
      </w:pPr>
      <w:proofErr w:type="spellStart"/>
      <w:r w:rsidRPr="00237615">
        <w:rPr>
          <w:bCs/>
          <w:sz w:val="24"/>
          <w:szCs w:val="24"/>
        </w:rPr>
        <w:t>Laktatacidose</w:t>
      </w:r>
      <w:proofErr w:type="spellEnd"/>
      <w:r w:rsidRPr="00237615">
        <w:rPr>
          <w:bCs/>
          <w:sz w:val="24"/>
          <w:szCs w:val="24"/>
        </w:rPr>
        <w:t xml:space="preserve"> er en meget sjælden, men alvorlig komplikation, som oftest indtræder ved akut forværring af nyrefunktionen eller </w:t>
      </w:r>
      <w:proofErr w:type="spellStart"/>
      <w:r w:rsidRPr="00237615">
        <w:rPr>
          <w:bCs/>
          <w:sz w:val="24"/>
          <w:szCs w:val="24"/>
        </w:rPr>
        <w:t>kardiopulmonal</w:t>
      </w:r>
      <w:proofErr w:type="spellEnd"/>
      <w:r w:rsidRPr="00237615">
        <w:rPr>
          <w:bCs/>
          <w:sz w:val="24"/>
          <w:szCs w:val="24"/>
        </w:rPr>
        <w:t xml:space="preserve"> sygdom eller sepsis. Ved akut forværring af nyrefunktionen </w:t>
      </w:r>
      <w:r w:rsidRPr="00237615">
        <w:rPr>
          <w:sz w:val="24"/>
          <w:szCs w:val="24"/>
        </w:rPr>
        <w:t xml:space="preserve">akkumuleres </w:t>
      </w:r>
      <w:proofErr w:type="spellStart"/>
      <w:r w:rsidRPr="00237615">
        <w:rPr>
          <w:sz w:val="24"/>
          <w:szCs w:val="24"/>
        </w:rPr>
        <w:t>metformin</w:t>
      </w:r>
      <w:proofErr w:type="spellEnd"/>
      <w:r w:rsidRPr="00237615">
        <w:rPr>
          <w:bCs/>
          <w:sz w:val="24"/>
          <w:szCs w:val="24"/>
        </w:rPr>
        <w:t xml:space="preserve">, hvilket øger risikoen for </w:t>
      </w:r>
      <w:proofErr w:type="spellStart"/>
      <w:r w:rsidRPr="00237615">
        <w:rPr>
          <w:bCs/>
          <w:sz w:val="24"/>
          <w:szCs w:val="24"/>
        </w:rPr>
        <w:t>laktatacidose</w:t>
      </w:r>
      <w:proofErr w:type="spellEnd"/>
      <w:r w:rsidRPr="00237615">
        <w:rPr>
          <w:bCs/>
          <w:sz w:val="24"/>
          <w:szCs w:val="24"/>
        </w:rPr>
        <w:t xml:space="preserve">. </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rPr>
      </w:pPr>
      <w:r w:rsidRPr="00237615">
        <w:rPr>
          <w:sz w:val="24"/>
          <w:szCs w:val="24"/>
        </w:rPr>
        <w:t>Patienterne skal informeres om, at i</w:t>
      </w:r>
      <w:r w:rsidRPr="00237615">
        <w:rPr>
          <w:bCs/>
          <w:sz w:val="24"/>
          <w:szCs w:val="24"/>
        </w:rPr>
        <w:t xml:space="preserve"> tilfælde af dehydrering (voldsom diarré eller opkast, feber eller reduceret væskeindtag), skal behandlingen med </w:t>
      </w:r>
      <w:proofErr w:type="spellStart"/>
      <w:r w:rsidRPr="00237615">
        <w:rPr>
          <w:bCs/>
          <w:sz w:val="24"/>
          <w:szCs w:val="24"/>
        </w:rPr>
        <w:t>metformin</w:t>
      </w:r>
      <w:proofErr w:type="spellEnd"/>
      <w:r w:rsidRPr="00237615">
        <w:rPr>
          <w:bCs/>
          <w:sz w:val="24"/>
          <w:szCs w:val="24"/>
        </w:rPr>
        <w:t xml:space="preserve"> midlertidigt afbrydes og det anbefales at kontakte en læge. </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rPr>
      </w:pPr>
      <w:r w:rsidRPr="00237615">
        <w:rPr>
          <w:bCs/>
          <w:sz w:val="24"/>
          <w:szCs w:val="24"/>
        </w:rPr>
        <w:t xml:space="preserve">Lægemidler som kan medføre akut svækkelse af nyrefunktionen (såsom </w:t>
      </w:r>
      <w:proofErr w:type="spellStart"/>
      <w:r w:rsidRPr="00237615">
        <w:rPr>
          <w:bCs/>
          <w:sz w:val="24"/>
          <w:szCs w:val="24"/>
        </w:rPr>
        <w:t>antihypertensiva</w:t>
      </w:r>
      <w:proofErr w:type="spellEnd"/>
      <w:r w:rsidRPr="00237615">
        <w:rPr>
          <w:bCs/>
          <w:sz w:val="24"/>
          <w:szCs w:val="24"/>
        </w:rPr>
        <w:t xml:space="preserve">, </w:t>
      </w:r>
      <w:proofErr w:type="spellStart"/>
      <w:r w:rsidRPr="00237615">
        <w:rPr>
          <w:bCs/>
          <w:sz w:val="24"/>
          <w:szCs w:val="24"/>
        </w:rPr>
        <w:t>diuretika</w:t>
      </w:r>
      <w:proofErr w:type="spellEnd"/>
      <w:r w:rsidRPr="00237615">
        <w:rPr>
          <w:bCs/>
          <w:sz w:val="24"/>
          <w:szCs w:val="24"/>
        </w:rPr>
        <w:t xml:space="preserve"> og </w:t>
      </w:r>
      <w:proofErr w:type="spellStart"/>
      <w:r w:rsidRPr="00237615">
        <w:rPr>
          <w:bCs/>
          <w:sz w:val="24"/>
          <w:szCs w:val="24"/>
        </w:rPr>
        <w:t>NSAID’er</w:t>
      </w:r>
      <w:proofErr w:type="spellEnd"/>
      <w:r w:rsidRPr="00237615">
        <w:rPr>
          <w:bCs/>
          <w:sz w:val="24"/>
          <w:szCs w:val="24"/>
        </w:rPr>
        <w:t xml:space="preserve">) bør påbegyndes med varsomhed hos </w:t>
      </w:r>
      <w:proofErr w:type="spellStart"/>
      <w:r w:rsidRPr="00237615">
        <w:rPr>
          <w:bCs/>
          <w:sz w:val="24"/>
          <w:szCs w:val="24"/>
        </w:rPr>
        <w:t>metformin</w:t>
      </w:r>
      <w:proofErr w:type="spellEnd"/>
      <w:r w:rsidRPr="00237615">
        <w:rPr>
          <w:bCs/>
          <w:sz w:val="24"/>
          <w:szCs w:val="24"/>
        </w:rPr>
        <w:t xml:space="preserve">-behandlede patienter. Andre risikofaktorer for </w:t>
      </w:r>
      <w:proofErr w:type="spellStart"/>
      <w:r w:rsidRPr="00237615">
        <w:rPr>
          <w:bCs/>
          <w:sz w:val="24"/>
          <w:szCs w:val="24"/>
        </w:rPr>
        <w:t>laktatacidose</w:t>
      </w:r>
      <w:proofErr w:type="spellEnd"/>
      <w:r w:rsidRPr="00237615">
        <w:rPr>
          <w:bCs/>
          <w:sz w:val="24"/>
          <w:szCs w:val="24"/>
        </w:rPr>
        <w:t xml:space="preserve"> er overdrevent alkoholindtag, leversvigt, ukontrolleret diabetes, </w:t>
      </w:r>
      <w:proofErr w:type="spellStart"/>
      <w:r w:rsidRPr="00237615">
        <w:rPr>
          <w:bCs/>
          <w:sz w:val="24"/>
          <w:szCs w:val="24"/>
        </w:rPr>
        <w:t>ketose</w:t>
      </w:r>
      <w:proofErr w:type="spellEnd"/>
      <w:r w:rsidRPr="00237615">
        <w:rPr>
          <w:bCs/>
          <w:sz w:val="24"/>
          <w:szCs w:val="24"/>
        </w:rPr>
        <w:t xml:space="preserve">, langvarig faste og enhver tilstand forbundet med </w:t>
      </w:r>
      <w:proofErr w:type="spellStart"/>
      <w:r w:rsidRPr="00237615">
        <w:rPr>
          <w:bCs/>
          <w:sz w:val="24"/>
          <w:szCs w:val="24"/>
        </w:rPr>
        <w:t>hypoxi</w:t>
      </w:r>
      <w:proofErr w:type="spellEnd"/>
      <w:r w:rsidRPr="00237615">
        <w:rPr>
          <w:bCs/>
          <w:sz w:val="24"/>
          <w:szCs w:val="24"/>
        </w:rPr>
        <w:t xml:space="preserve"> samt samtidig brug af lægemidler, som kan forårsage </w:t>
      </w:r>
      <w:proofErr w:type="spellStart"/>
      <w:r w:rsidRPr="00237615">
        <w:rPr>
          <w:bCs/>
          <w:sz w:val="24"/>
          <w:szCs w:val="24"/>
        </w:rPr>
        <w:t>laktatacidose</w:t>
      </w:r>
      <w:proofErr w:type="spellEnd"/>
      <w:r w:rsidRPr="00237615">
        <w:rPr>
          <w:bCs/>
          <w:sz w:val="24"/>
          <w:szCs w:val="24"/>
        </w:rPr>
        <w:t>. (se pkt. 4.3 og 4.5).</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rPr>
      </w:pPr>
      <w:r w:rsidRPr="00237615">
        <w:rPr>
          <w:bCs/>
          <w:sz w:val="24"/>
          <w:szCs w:val="24"/>
        </w:rPr>
        <w:t xml:space="preserve">Patienter og/eller omsorgspersoner skal informeres om risikoen for </w:t>
      </w:r>
      <w:proofErr w:type="spellStart"/>
      <w:r w:rsidRPr="00237615">
        <w:rPr>
          <w:bCs/>
          <w:sz w:val="24"/>
          <w:szCs w:val="24"/>
        </w:rPr>
        <w:t>laktatacidose</w:t>
      </w:r>
      <w:proofErr w:type="spellEnd"/>
      <w:r w:rsidRPr="00237615">
        <w:rPr>
          <w:bCs/>
          <w:sz w:val="24"/>
          <w:szCs w:val="24"/>
        </w:rPr>
        <w:t xml:space="preserve">. </w:t>
      </w:r>
      <w:proofErr w:type="spellStart"/>
      <w:r w:rsidRPr="00237615">
        <w:rPr>
          <w:bCs/>
          <w:sz w:val="24"/>
          <w:szCs w:val="24"/>
        </w:rPr>
        <w:t>Laktatacidose</w:t>
      </w:r>
      <w:proofErr w:type="spellEnd"/>
      <w:r w:rsidRPr="00237615">
        <w:rPr>
          <w:bCs/>
          <w:sz w:val="24"/>
          <w:szCs w:val="24"/>
        </w:rPr>
        <w:t xml:space="preserve"> er karakteriseret af </w:t>
      </w:r>
      <w:proofErr w:type="spellStart"/>
      <w:r w:rsidRPr="00237615">
        <w:rPr>
          <w:bCs/>
          <w:sz w:val="24"/>
          <w:szCs w:val="24"/>
        </w:rPr>
        <w:t>acidotisk</w:t>
      </w:r>
      <w:proofErr w:type="spellEnd"/>
      <w:r w:rsidRPr="00237615">
        <w:rPr>
          <w:bCs/>
          <w:sz w:val="24"/>
          <w:szCs w:val="24"/>
        </w:rPr>
        <w:t xml:space="preserve"> dyspnø, mavesmerter, muskelkramper, asteni og </w:t>
      </w:r>
      <w:proofErr w:type="spellStart"/>
      <w:r w:rsidRPr="00237615">
        <w:rPr>
          <w:bCs/>
          <w:sz w:val="24"/>
          <w:szCs w:val="24"/>
        </w:rPr>
        <w:t>hypotermi</w:t>
      </w:r>
      <w:proofErr w:type="spellEnd"/>
      <w:r w:rsidRPr="00237615">
        <w:rPr>
          <w:bCs/>
          <w:sz w:val="24"/>
          <w:szCs w:val="24"/>
        </w:rPr>
        <w:t xml:space="preserve"> efterfulgt af koma. Hvis patienten oplever nogle af disse symptomer, bør vedkommende afbryde </w:t>
      </w:r>
      <w:proofErr w:type="spellStart"/>
      <w:r w:rsidRPr="00237615">
        <w:rPr>
          <w:bCs/>
          <w:sz w:val="24"/>
          <w:szCs w:val="24"/>
        </w:rPr>
        <w:t>metforminbehandlingen</w:t>
      </w:r>
      <w:proofErr w:type="spellEnd"/>
      <w:r w:rsidRPr="00237615">
        <w:rPr>
          <w:bCs/>
          <w:sz w:val="24"/>
          <w:szCs w:val="24"/>
        </w:rPr>
        <w:t xml:space="preserve"> og søge akut lægehjælp. Diagnostiske laboratoriefund er nedsat pH i blodet (&lt; 7,35), øget laktatniveauer i plasma (&gt; 5 mmol/l) samt øget anion-</w:t>
      </w:r>
      <w:proofErr w:type="spellStart"/>
      <w:r w:rsidRPr="00237615">
        <w:rPr>
          <w:bCs/>
          <w:sz w:val="24"/>
          <w:szCs w:val="24"/>
        </w:rPr>
        <w:t>gap</w:t>
      </w:r>
      <w:proofErr w:type="spellEnd"/>
      <w:r w:rsidRPr="00237615">
        <w:rPr>
          <w:bCs/>
          <w:sz w:val="24"/>
          <w:szCs w:val="24"/>
        </w:rPr>
        <w:t xml:space="preserve"> og laktat/pyruvat-ratio. </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u w:val="single"/>
        </w:rPr>
      </w:pPr>
      <w:r w:rsidRPr="00237615">
        <w:rPr>
          <w:bCs/>
          <w:sz w:val="24"/>
          <w:szCs w:val="24"/>
          <w:u w:val="single"/>
        </w:rPr>
        <w:t>Nyrefunktion</w:t>
      </w:r>
    </w:p>
    <w:p w:rsidR="00237615" w:rsidRPr="00237615" w:rsidRDefault="00237615" w:rsidP="00237615">
      <w:pPr>
        <w:tabs>
          <w:tab w:val="left" w:pos="851"/>
        </w:tabs>
        <w:ind w:left="851"/>
        <w:rPr>
          <w:bCs/>
          <w:sz w:val="24"/>
          <w:szCs w:val="24"/>
        </w:rPr>
      </w:pPr>
      <w:r w:rsidRPr="00237615">
        <w:rPr>
          <w:bCs/>
          <w:sz w:val="24"/>
          <w:szCs w:val="24"/>
        </w:rPr>
        <w:t xml:space="preserve">GFR skal vurderes før behandlingen igangsættes og regelmæssigt </w:t>
      </w:r>
      <w:r w:rsidR="00F9765E" w:rsidRPr="00237615">
        <w:rPr>
          <w:bCs/>
          <w:sz w:val="24"/>
          <w:szCs w:val="24"/>
        </w:rPr>
        <w:t>derefter</w:t>
      </w:r>
      <w:r w:rsidR="00F9765E">
        <w:rPr>
          <w:bCs/>
          <w:sz w:val="24"/>
          <w:szCs w:val="24"/>
        </w:rPr>
        <w:t xml:space="preserve">, se </w:t>
      </w:r>
      <w:proofErr w:type="spellStart"/>
      <w:r w:rsidR="00F9765E">
        <w:rPr>
          <w:bCs/>
          <w:sz w:val="24"/>
          <w:szCs w:val="24"/>
        </w:rPr>
        <w:t>pkt</w:t>
      </w:r>
      <w:proofErr w:type="spellEnd"/>
      <w:r w:rsidR="00F9765E">
        <w:rPr>
          <w:bCs/>
          <w:sz w:val="24"/>
          <w:szCs w:val="24"/>
        </w:rPr>
        <w:t xml:space="preserve"> 4.2</w:t>
      </w:r>
      <w:r w:rsidR="00F9765E" w:rsidRPr="00237615">
        <w:rPr>
          <w:bCs/>
          <w:sz w:val="24"/>
          <w:szCs w:val="24"/>
        </w:rPr>
        <w:t xml:space="preserve">. </w:t>
      </w:r>
      <w:proofErr w:type="spellStart"/>
      <w:r w:rsidR="00F9765E" w:rsidRPr="00237615">
        <w:rPr>
          <w:bCs/>
          <w:sz w:val="24"/>
          <w:szCs w:val="24"/>
        </w:rPr>
        <w:t>Metformin</w:t>
      </w:r>
      <w:proofErr w:type="spellEnd"/>
      <w:r w:rsidR="00F9765E" w:rsidRPr="00237615">
        <w:rPr>
          <w:bCs/>
          <w:sz w:val="24"/>
          <w:szCs w:val="24"/>
        </w:rPr>
        <w:t xml:space="preserve"> </w:t>
      </w:r>
      <w:r w:rsidR="00F9765E" w:rsidRPr="00237615">
        <w:rPr>
          <w:sz w:val="24"/>
          <w:szCs w:val="24"/>
        </w:rPr>
        <w:t xml:space="preserve">kontraindiceret hos </w:t>
      </w:r>
      <w:r w:rsidR="00F9765E" w:rsidRPr="00237615">
        <w:rPr>
          <w:bCs/>
          <w:sz w:val="24"/>
          <w:szCs w:val="24"/>
        </w:rPr>
        <w:t>patienter med</w:t>
      </w:r>
      <w:r w:rsidRPr="00237615">
        <w:rPr>
          <w:bCs/>
          <w:sz w:val="24"/>
          <w:szCs w:val="24"/>
        </w:rPr>
        <w:t xml:space="preserve"> GFR &lt; 30 ml/min og behandlingen skal midlertidigt afbrydes ved</w:t>
      </w:r>
      <w:r w:rsidRPr="00237615">
        <w:rPr>
          <w:sz w:val="24"/>
          <w:szCs w:val="24"/>
        </w:rPr>
        <w:t xml:space="preserve"> tilstedeværelse af </w:t>
      </w:r>
      <w:r w:rsidRPr="00237615">
        <w:rPr>
          <w:bCs/>
          <w:sz w:val="24"/>
          <w:szCs w:val="24"/>
        </w:rPr>
        <w:t>tilstande som påvirker nyrefunktionen, se pkt. 4.3.</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u w:val="single"/>
        </w:rPr>
      </w:pPr>
      <w:r w:rsidRPr="00237615">
        <w:rPr>
          <w:bCs/>
          <w:sz w:val="24"/>
          <w:szCs w:val="24"/>
          <w:u w:val="single"/>
        </w:rPr>
        <w:t>Hjertefunktion</w:t>
      </w:r>
    </w:p>
    <w:p w:rsidR="00237615" w:rsidRPr="00237615" w:rsidRDefault="00237615" w:rsidP="00237615">
      <w:pPr>
        <w:tabs>
          <w:tab w:val="left" w:pos="851"/>
        </w:tabs>
        <w:ind w:left="851"/>
        <w:rPr>
          <w:bCs/>
          <w:sz w:val="24"/>
          <w:szCs w:val="24"/>
        </w:rPr>
      </w:pPr>
      <w:r w:rsidRPr="00237615">
        <w:rPr>
          <w:bCs/>
          <w:sz w:val="24"/>
          <w:szCs w:val="24"/>
        </w:rPr>
        <w:t xml:space="preserve">Patienter med hjertesvigt har øget risiko for </w:t>
      </w:r>
      <w:proofErr w:type="spellStart"/>
      <w:r w:rsidRPr="00237615">
        <w:rPr>
          <w:bCs/>
          <w:sz w:val="24"/>
          <w:szCs w:val="24"/>
        </w:rPr>
        <w:t>hypoxi</w:t>
      </w:r>
      <w:proofErr w:type="spellEnd"/>
      <w:r w:rsidRPr="00237615">
        <w:rPr>
          <w:bCs/>
          <w:sz w:val="24"/>
          <w:szCs w:val="24"/>
        </w:rPr>
        <w:t xml:space="preserve"> og nyresvigt. Hos patienter med stabilt kronisk hjertesvigt kan </w:t>
      </w:r>
      <w:proofErr w:type="spellStart"/>
      <w:r w:rsidRPr="00237615">
        <w:rPr>
          <w:bCs/>
          <w:sz w:val="24"/>
          <w:szCs w:val="24"/>
        </w:rPr>
        <w:t>metformin</w:t>
      </w:r>
      <w:proofErr w:type="spellEnd"/>
      <w:r w:rsidRPr="00237615">
        <w:rPr>
          <w:bCs/>
          <w:sz w:val="24"/>
          <w:szCs w:val="24"/>
        </w:rPr>
        <w:t xml:space="preserve"> bruges med regelmæssig overvågning af hjerte- og nyrefunktion. </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rPr>
      </w:pPr>
      <w:proofErr w:type="spellStart"/>
      <w:r w:rsidRPr="00237615">
        <w:rPr>
          <w:bCs/>
          <w:sz w:val="24"/>
          <w:szCs w:val="24"/>
        </w:rPr>
        <w:t>Metformin</w:t>
      </w:r>
      <w:proofErr w:type="spellEnd"/>
      <w:r w:rsidRPr="00237615">
        <w:rPr>
          <w:bCs/>
          <w:sz w:val="24"/>
          <w:szCs w:val="24"/>
        </w:rPr>
        <w:t xml:space="preserve"> </w:t>
      </w:r>
      <w:r w:rsidRPr="00237615">
        <w:rPr>
          <w:sz w:val="24"/>
          <w:szCs w:val="24"/>
        </w:rPr>
        <w:t>er kontraindiceret hos</w:t>
      </w:r>
      <w:r w:rsidRPr="00237615">
        <w:rPr>
          <w:bCs/>
          <w:sz w:val="24"/>
          <w:szCs w:val="24"/>
        </w:rPr>
        <w:t xml:space="preserve"> patienter med akut og ustabilt hjertesvigt (se pkt. 4.3). </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u w:val="single"/>
        </w:rPr>
      </w:pPr>
      <w:r w:rsidRPr="00237615">
        <w:rPr>
          <w:bCs/>
          <w:sz w:val="24"/>
          <w:szCs w:val="24"/>
          <w:u w:val="single"/>
        </w:rPr>
        <w:t xml:space="preserve">Administration af </w:t>
      </w:r>
      <w:proofErr w:type="spellStart"/>
      <w:r w:rsidRPr="00237615">
        <w:rPr>
          <w:bCs/>
          <w:sz w:val="24"/>
          <w:szCs w:val="24"/>
          <w:u w:val="single"/>
        </w:rPr>
        <w:t>iodholdige</w:t>
      </w:r>
      <w:proofErr w:type="spellEnd"/>
      <w:r w:rsidRPr="00237615">
        <w:rPr>
          <w:bCs/>
          <w:sz w:val="24"/>
          <w:szCs w:val="24"/>
          <w:u w:val="single"/>
        </w:rPr>
        <w:t xml:space="preserve"> kontrastmidler</w:t>
      </w:r>
    </w:p>
    <w:p w:rsidR="00237615" w:rsidRPr="00237615" w:rsidRDefault="00237615" w:rsidP="00237615">
      <w:pPr>
        <w:tabs>
          <w:tab w:val="left" w:pos="851"/>
        </w:tabs>
        <w:ind w:left="851"/>
        <w:rPr>
          <w:bCs/>
          <w:sz w:val="24"/>
          <w:szCs w:val="24"/>
        </w:rPr>
      </w:pPr>
      <w:proofErr w:type="spellStart"/>
      <w:r w:rsidRPr="00237615">
        <w:rPr>
          <w:bCs/>
          <w:sz w:val="24"/>
          <w:szCs w:val="24"/>
        </w:rPr>
        <w:t>Intravaskulær</w:t>
      </w:r>
      <w:proofErr w:type="spellEnd"/>
      <w:r w:rsidRPr="00237615">
        <w:rPr>
          <w:bCs/>
          <w:sz w:val="24"/>
          <w:szCs w:val="24"/>
        </w:rPr>
        <w:t xml:space="preserve"> administration af </w:t>
      </w:r>
      <w:proofErr w:type="spellStart"/>
      <w:r w:rsidRPr="00237615">
        <w:rPr>
          <w:bCs/>
          <w:sz w:val="24"/>
          <w:szCs w:val="24"/>
        </w:rPr>
        <w:t>iodholdige</w:t>
      </w:r>
      <w:proofErr w:type="spellEnd"/>
      <w:r w:rsidRPr="00237615">
        <w:rPr>
          <w:bCs/>
          <w:sz w:val="24"/>
          <w:szCs w:val="24"/>
        </w:rPr>
        <w:t xml:space="preserve"> kontrastmidler kan føre til kontrastinduceret </w:t>
      </w:r>
      <w:proofErr w:type="spellStart"/>
      <w:proofErr w:type="gramStart"/>
      <w:r w:rsidRPr="00237615">
        <w:rPr>
          <w:bCs/>
          <w:sz w:val="24"/>
          <w:szCs w:val="24"/>
        </w:rPr>
        <w:t>nefropati,resulterende</w:t>
      </w:r>
      <w:proofErr w:type="spellEnd"/>
      <w:proofErr w:type="gramEnd"/>
      <w:r w:rsidRPr="00237615">
        <w:rPr>
          <w:bCs/>
          <w:sz w:val="24"/>
          <w:szCs w:val="24"/>
        </w:rPr>
        <w:t xml:space="preserve"> i akkumulation af </w:t>
      </w:r>
      <w:proofErr w:type="spellStart"/>
      <w:r w:rsidRPr="00237615">
        <w:rPr>
          <w:bCs/>
          <w:sz w:val="24"/>
          <w:szCs w:val="24"/>
        </w:rPr>
        <w:t>metformin</w:t>
      </w:r>
      <w:proofErr w:type="spellEnd"/>
      <w:r w:rsidRPr="00237615">
        <w:rPr>
          <w:bCs/>
          <w:sz w:val="24"/>
          <w:szCs w:val="24"/>
        </w:rPr>
        <w:t xml:space="preserve"> og øget risiko for </w:t>
      </w:r>
      <w:proofErr w:type="spellStart"/>
      <w:r w:rsidRPr="00237615">
        <w:rPr>
          <w:bCs/>
          <w:sz w:val="24"/>
          <w:szCs w:val="24"/>
        </w:rPr>
        <w:t>laktatacidose</w:t>
      </w:r>
      <w:proofErr w:type="spellEnd"/>
      <w:r w:rsidRPr="00237615">
        <w:rPr>
          <w:bCs/>
          <w:sz w:val="24"/>
          <w:szCs w:val="24"/>
        </w:rPr>
        <w:t xml:space="preserve">. </w:t>
      </w:r>
      <w:proofErr w:type="spellStart"/>
      <w:r w:rsidRPr="00237615">
        <w:rPr>
          <w:bCs/>
          <w:sz w:val="24"/>
          <w:szCs w:val="24"/>
        </w:rPr>
        <w:t>Metforminbehandlingen</w:t>
      </w:r>
      <w:proofErr w:type="spellEnd"/>
      <w:r w:rsidRPr="00237615">
        <w:rPr>
          <w:bCs/>
          <w:sz w:val="24"/>
          <w:szCs w:val="24"/>
        </w:rPr>
        <w:t xml:space="preserve"> skal afbrydes før eller ved begyndelsen af en </w:t>
      </w:r>
      <w:r w:rsidRPr="00237615">
        <w:rPr>
          <w:sz w:val="24"/>
          <w:szCs w:val="24"/>
        </w:rPr>
        <w:t>billeddiagnostisk procedure</w:t>
      </w:r>
      <w:r w:rsidRPr="00237615">
        <w:rPr>
          <w:bCs/>
          <w:sz w:val="24"/>
          <w:szCs w:val="24"/>
        </w:rPr>
        <w:t xml:space="preserve"> og ikke startes op igen før mindst 48 timer efter, forudsat at nyrefunktionen er blevet genvurderet og fundet stabil, se pkt. 4.2 og 4.5. </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u w:val="single"/>
        </w:rPr>
      </w:pPr>
      <w:r w:rsidRPr="00237615">
        <w:rPr>
          <w:bCs/>
          <w:sz w:val="24"/>
          <w:szCs w:val="24"/>
          <w:u w:val="single"/>
        </w:rPr>
        <w:t>Kirurgi</w:t>
      </w:r>
    </w:p>
    <w:p w:rsidR="00237615" w:rsidRPr="00237615" w:rsidRDefault="00237615" w:rsidP="00237615">
      <w:pPr>
        <w:tabs>
          <w:tab w:val="left" w:pos="851"/>
        </w:tabs>
        <w:ind w:left="851"/>
        <w:rPr>
          <w:bCs/>
          <w:sz w:val="24"/>
          <w:szCs w:val="24"/>
        </w:rPr>
      </w:pPr>
      <w:proofErr w:type="spellStart"/>
      <w:r w:rsidRPr="00237615">
        <w:rPr>
          <w:bCs/>
          <w:sz w:val="24"/>
          <w:szCs w:val="24"/>
        </w:rPr>
        <w:t>Metforminbehandlingen</w:t>
      </w:r>
      <w:proofErr w:type="spellEnd"/>
      <w:r w:rsidRPr="00237615">
        <w:rPr>
          <w:bCs/>
          <w:sz w:val="24"/>
          <w:szCs w:val="24"/>
        </w:rPr>
        <w:t xml:space="preserve"> skal afbrydes ved operation under generel, rygmarvs- eller </w:t>
      </w:r>
      <w:proofErr w:type="spellStart"/>
      <w:r w:rsidRPr="00237615">
        <w:rPr>
          <w:bCs/>
          <w:sz w:val="24"/>
          <w:szCs w:val="24"/>
        </w:rPr>
        <w:t>epiduralbedøvelse</w:t>
      </w:r>
      <w:proofErr w:type="spellEnd"/>
      <w:r w:rsidRPr="00237615">
        <w:rPr>
          <w:bCs/>
          <w:sz w:val="24"/>
          <w:szCs w:val="24"/>
        </w:rPr>
        <w:t xml:space="preserve">. Behandlingen må først genstartes tidligst 48 timer efter operationen eller ved genoptagelsen af mundtlig indtagelse af føde, under forudsætning af at nyrefunktionen er evalueret og fundet stabil. </w:t>
      </w:r>
    </w:p>
    <w:p w:rsidR="00237615" w:rsidRPr="00237615" w:rsidRDefault="00237615" w:rsidP="00237615">
      <w:pPr>
        <w:tabs>
          <w:tab w:val="left" w:pos="851"/>
        </w:tabs>
        <w:ind w:left="851"/>
        <w:rPr>
          <w:sz w:val="24"/>
          <w:szCs w:val="24"/>
        </w:rPr>
      </w:pPr>
    </w:p>
    <w:p w:rsidR="00237615" w:rsidRPr="00237615" w:rsidRDefault="00237615" w:rsidP="00237615">
      <w:pPr>
        <w:tabs>
          <w:tab w:val="left" w:pos="851"/>
        </w:tabs>
        <w:ind w:left="851"/>
        <w:rPr>
          <w:sz w:val="24"/>
          <w:szCs w:val="24"/>
          <w:u w:val="single"/>
        </w:rPr>
      </w:pPr>
      <w:r w:rsidRPr="00237615">
        <w:rPr>
          <w:sz w:val="24"/>
          <w:szCs w:val="24"/>
          <w:u w:val="single"/>
        </w:rPr>
        <w:t>Pædiatrisk population</w:t>
      </w:r>
    </w:p>
    <w:p w:rsidR="00237615" w:rsidRPr="00237615" w:rsidRDefault="00237615" w:rsidP="00237615">
      <w:pPr>
        <w:tabs>
          <w:tab w:val="left" w:pos="851"/>
        </w:tabs>
        <w:ind w:left="851"/>
        <w:rPr>
          <w:bCs/>
          <w:sz w:val="24"/>
          <w:szCs w:val="24"/>
        </w:rPr>
      </w:pPr>
      <w:r w:rsidRPr="00237615">
        <w:rPr>
          <w:bCs/>
          <w:sz w:val="24"/>
          <w:szCs w:val="24"/>
        </w:rPr>
        <w:t xml:space="preserve">Diagnosen type 2-diabetes mellitus skal bekræftes før behandling med </w:t>
      </w:r>
      <w:proofErr w:type="spellStart"/>
      <w:r w:rsidRPr="00237615">
        <w:rPr>
          <w:bCs/>
          <w:sz w:val="24"/>
          <w:szCs w:val="24"/>
        </w:rPr>
        <w:t>metformin</w:t>
      </w:r>
      <w:proofErr w:type="spellEnd"/>
      <w:r w:rsidRPr="00237615">
        <w:rPr>
          <w:bCs/>
          <w:sz w:val="24"/>
          <w:szCs w:val="24"/>
        </w:rPr>
        <w:t xml:space="preserve"> igangsættes. </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rPr>
      </w:pPr>
      <w:r w:rsidRPr="00237615">
        <w:rPr>
          <w:bCs/>
          <w:sz w:val="24"/>
          <w:szCs w:val="24"/>
        </w:rPr>
        <w:t xml:space="preserve">Der er ikke påvist en indvirkning på vækst og pubertet ved brug af </w:t>
      </w:r>
      <w:proofErr w:type="spellStart"/>
      <w:r w:rsidRPr="00237615">
        <w:rPr>
          <w:bCs/>
          <w:sz w:val="24"/>
          <w:szCs w:val="24"/>
        </w:rPr>
        <w:t>metformin</w:t>
      </w:r>
      <w:proofErr w:type="spellEnd"/>
      <w:r w:rsidRPr="00237615">
        <w:rPr>
          <w:bCs/>
          <w:sz w:val="24"/>
          <w:szCs w:val="24"/>
        </w:rPr>
        <w:t xml:space="preserve"> i kliniske forsøg af 1-års varighed, </w:t>
      </w:r>
      <w:r w:rsidRPr="00237615">
        <w:rPr>
          <w:sz w:val="24"/>
          <w:szCs w:val="24"/>
        </w:rPr>
        <w:t>men der eksisterer ingen langtidsdata for disse specifikke parametre</w:t>
      </w:r>
      <w:r w:rsidRPr="00237615">
        <w:rPr>
          <w:bCs/>
          <w:sz w:val="24"/>
          <w:szCs w:val="24"/>
        </w:rPr>
        <w:t xml:space="preserve">. Derfor </w:t>
      </w:r>
      <w:r w:rsidRPr="00237615">
        <w:rPr>
          <w:sz w:val="24"/>
          <w:szCs w:val="24"/>
        </w:rPr>
        <w:t xml:space="preserve">er det vigtigt med tæt opfølgning på eventuel påvirkning af de nævnte parametre ved behandling af børn med </w:t>
      </w:r>
      <w:proofErr w:type="spellStart"/>
      <w:r w:rsidRPr="00237615">
        <w:rPr>
          <w:sz w:val="24"/>
          <w:szCs w:val="24"/>
        </w:rPr>
        <w:t>metformin</w:t>
      </w:r>
      <w:proofErr w:type="spellEnd"/>
      <w:r w:rsidRPr="00237615">
        <w:rPr>
          <w:sz w:val="24"/>
          <w:szCs w:val="24"/>
        </w:rPr>
        <w:t>, især hos børn i præpuberteten.</w:t>
      </w:r>
    </w:p>
    <w:p w:rsidR="00237615" w:rsidRPr="00237615" w:rsidRDefault="00237615" w:rsidP="00237615">
      <w:pPr>
        <w:tabs>
          <w:tab w:val="left" w:pos="851"/>
        </w:tabs>
        <w:ind w:left="851"/>
        <w:rPr>
          <w:bCs/>
          <w:sz w:val="24"/>
          <w:szCs w:val="24"/>
        </w:rPr>
      </w:pPr>
    </w:p>
    <w:p w:rsidR="00237615" w:rsidRPr="00237615" w:rsidRDefault="00237615" w:rsidP="00237615">
      <w:pPr>
        <w:tabs>
          <w:tab w:val="left" w:pos="851"/>
        </w:tabs>
        <w:ind w:left="851"/>
        <w:rPr>
          <w:bCs/>
          <w:sz w:val="24"/>
          <w:szCs w:val="24"/>
          <w:u w:val="single"/>
        </w:rPr>
      </w:pPr>
      <w:r w:rsidRPr="00237615">
        <w:rPr>
          <w:bCs/>
          <w:sz w:val="24"/>
          <w:szCs w:val="24"/>
          <w:u w:val="single"/>
        </w:rPr>
        <w:t>Børn mellem 10 og 12 år</w:t>
      </w:r>
    </w:p>
    <w:p w:rsidR="00237615" w:rsidRPr="00237615" w:rsidRDefault="00237615" w:rsidP="00237615">
      <w:pPr>
        <w:tabs>
          <w:tab w:val="left" w:pos="851"/>
        </w:tabs>
        <w:ind w:left="851"/>
        <w:rPr>
          <w:bCs/>
          <w:sz w:val="24"/>
          <w:szCs w:val="24"/>
        </w:rPr>
      </w:pPr>
      <w:r w:rsidRPr="00237615">
        <w:rPr>
          <w:bCs/>
          <w:sz w:val="24"/>
          <w:szCs w:val="24"/>
        </w:rPr>
        <w:t xml:space="preserve">Kun 15 testpersoner mellem 10 og 12 år var en del af de kontrollerede </w:t>
      </w:r>
      <w:proofErr w:type="spellStart"/>
      <w:r w:rsidRPr="00237615">
        <w:rPr>
          <w:bCs/>
          <w:sz w:val="24"/>
          <w:szCs w:val="24"/>
        </w:rPr>
        <w:t>klinske</w:t>
      </w:r>
      <w:proofErr w:type="spellEnd"/>
      <w:r w:rsidRPr="00237615">
        <w:rPr>
          <w:bCs/>
          <w:sz w:val="24"/>
          <w:szCs w:val="24"/>
        </w:rPr>
        <w:t xml:space="preserve"> forsøg udført på børn og unge. Selvom effekten og sikkerheden </w:t>
      </w:r>
      <w:r w:rsidRPr="00237615">
        <w:rPr>
          <w:sz w:val="24"/>
          <w:szCs w:val="24"/>
        </w:rPr>
        <w:t xml:space="preserve">ved behandling med </w:t>
      </w:r>
      <w:proofErr w:type="spellStart"/>
      <w:r w:rsidRPr="00237615">
        <w:rPr>
          <w:sz w:val="24"/>
          <w:szCs w:val="24"/>
        </w:rPr>
        <w:t>metformin</w:t>
      </w:r>
      <w:proofErr w:type="spellEnd"/>
      <w:r w:rsidRPr="00237615">
        <w:rPr>
          <w:sz w:val="24"/>
          <w:szCs w:val="24"/>
        </w:rPr>
        <w:t xml:space="preserve"> </w:t>
      </w:r>
      <w:r w:rsidRPr="00237615">
        <w:rPr>
          <w:bCs/>
          <w:sz w:val="24"/>
          <w:szCs w:val="24"/>
        </w:rPr>
        <w:t xml:space="preserve">ikke var anderledes hos disse børn end hos ældre børn og unge, skal der udvises særlig forsigtighed, ved behandling af børn mellem 10 og 12 år. </w:t>
      </w:r>
    </w:p>
    <w:p w:rsidR="00237615" w:rsidRPr="00237615" w:rsidRDefault="00237615" w:rsidP="00237615">
      <w:pPr>
        <w:tabs>
          <w:tab w:val="left" w:pos="851"/>
        </w:tabs>
        <w:ind w:left="851"/>
        <w:rPr>
          <w:bCs/>
          <w:sz w:val="24"/>
          <w:szCs w:val="24"/>
        </w:rPr>
      </w:pPr>
    </w:p>
    <w:p w:rsidR="00F9765E" w:rsidRPr="00237615" w:rsidRDefault="00F9765E" w:rsidP="00F9765E">
      <w:pPr>
        <w:tabs>
          <w:tab w:val="left" w:pos="851"/>
        </w:tabs>
        <w:ind w:left="851"/>
        <w:rPr>
          <w:bCs/>
          <w:sz w:val="24"/>
          <w:szCs w:val="24"/>
          <w:u w:val="single"/>
        </w:rPr>
      </w:pPr>
      <w:r w:rsidRPr="00237615">
        <w:rPr>
          <w:bCs/>
          <w:sz w:val="24"/>
          <w:szCs w:val="24"/>
          <w:u w:val="single"/>
        </w:rPr>
        <w:t>Andre forholdsregler</w:t>
      </w:r>
    </w:p>
    <w:p w:rsidR="00F9765E" w:rsidRDefault="00F9765E" w:rsidP="00F9765E">
      <w:pPr>
        <w:tabs>
          <w:tab w:val="left" w:pos="851"/>
        </w:tabs>
        <w:ind w:left="851"/>
        <w:rPr>
          <w:bCs/>
          <w:sz w:val="24"/>
          <w:szCs w:val="24"/>
        </w:rPr>
      </w:pPr>
      <w:r w:rsidRPr="00237615">
        <w:rPr>
          <w:bCs/>
          <w:sz w:val="24"/>
          <w:szCs w:val="24"/>
        </w:rPr>
        <w:t>Alle patienter bør fortsætte deres diæt med jævn fordeling af kulhydratindtagelse i løbet af dagen. Overvægtige patienter bør fortsætte deres kaloriebegrænsede diæt.</w:t>
      </w:r>
    </w:p>
    <w:p w:rsidR="00F9765E" w:rsidRDefault="00F9765E" w:rsidP="00F9765E">
      <w:pPr>
        <w:tabs>
          <w:tab w:val="left" w:pos="851"/>
        </w:tabs>
        <w:ind w:left="851"/>
        <w:rPr>
          <w:bCs/>
          <w:sz w:val="24"/>
          <w:szCs w:val="24"/>
        </w:rPr>
      </w:pPr>
    </w:p>
    <w:p w:rsidR="00F9765E" w:rsidRPr="00192FAC" w:rsidRDefault="00F9765E" w:rsidP="00F9765E">
      <w:pPr>
        <w:ind w:left="851"/>
        <w:rPr>
          <w:rFonts w:eastAsia="SimSun"/>
          <w:sz w:val="24"/>
          <w:szCs w:val="24"/>
        </w:rPr>
      </w:pPr>
      <w:r w:rsidRPr="009E1630">
        <w:rPr>
          <w:sz w:val="24"/>
          <w:szCs w:val="24"/>
        </w:rPr>
        <w:t>De sædvanlige laboratorieprøver for diabetesmonitorering bør udføres regelmæssigt.</w:t>
      </w:r>
    </w:p>
    <w:p w:rsidR="00F9765E" w:rsidRDefault="00F9765E" w:rsidP="00F9765E">
      <w:pPr>
        <w:tabs>
          <w:tab w:val="left" w:pos="851"/>
        </w:tabs>
        <w:ind w:left="851"/>
        <w:rPr>
          <w:bCs/>
          <w:sz w:val="24"/>
          <w:szCs w:val="24"/>
        </w:rPr>
      </w:pPr>
    </w:p>
    <w:p w:rsidR="00F9765E" w:rsidRPr="00237615" w:rsidRDefault="00F9765E" w:rsidP="00F9765E">
      <w:pPr>
        <w:tabs>
          <w:tab w:val="left" w:pos="851"/>
        </w:tabs>
        <w:ind w:left="851"/>
        <w:rPr>
          <w:bCs/>
          <w:sz w:val="24"/>
          <w:szCs w:val="24"/>
        </w:rPr>
      </w:pPr>
      <w:proofErr w:type="spellStart"/>
      <w:r w:rsidRPr="00564910">
        <w:rPr>
          <w:bCs/>
          <w:sz w:val="24"/>
          <w:szCs w:val="24"/>
        </w:rPr>
        <w:t>Metformin</w:t>
      </w:r>
      <w:proofErr w:type="spellEnd"/>
      <w:r w:rsidRPr="00564910">
        <w:rPr>
          <w:bCs/>
          <w:sz w:val="24"/>
          <w:szCs w:val="24"/>
        </w:rPr>
        <w:t xml:space="preserve"> kan nedsætte koncentrationen af B12-vitamin i blodet. Risikoen for lavt B12-vitaminniveau øges med stigende </w:t>
      </w:r>
      <w:proofErr w:type="spellStart"/>
      <w:r w:rsidRPr="00564910">
        <w:rPr>
          <w:bCs/>
          <w:sz w:val="24"/>
          <w:szCs w:val="24"/>
        </w:rPr>
        <w:t>metformindoser</w:t>
      </w:r>
      <w:proofErr w:type="spellEnd"/>
      <w:r w:rsidRPr="00564910">
        <w:rPr>
          <w:bCs/>
          <w:sz w:val="24"/>
          <w:szCs w:val="24"/>
        </w:rPr>
        <w:t xml:space="preserve">, behandlingsvarighed og/eller hos patienter med risikofaktorer, der er kendt for at forårsage B12-vitaminmangel. Ved mistanke om B12-vitaminmangel (såsom anæmi eller </w:t>
      </w:r>
      <w:proofErr w:type="spellStart"/>
      <w:r w:rsidRPr="00564910">
        <w:rPr>
          <w:bCs/>
          <w:sz w:val="24"/>
          <w:szCs w:val="24"/>
        </w:rPr>
        <w:t>neuropati</w:t>
      </w:r>
      <w:proofErr w:type="spellEnd"/>
      <w:r w:rsidRPr="00564910">
        <w:rPr>
          <w:bCs/>
          <w:sz w:val="24"/>
          <w:szCs w:val="24"/>
        </w:rPr>
        <w:t xml:space="preserve">), bør koncentrationen af B12-vitamin i blodet undersøges. Periodisk overvågning af B12-vitamin kan være nødvendigt hos patienter i risiko for B12-vitaminmangel. </w:t>
      </w:r>
      <w:proofErr w:type="spellStart"/>
      <w:r w:rsidRPr="00564910">
        <w:rPr>
          <w:bCs/>
          <w:sz w:val="24"/>
          <w:szCs w:val="24"/>
        </w:rPr>
        <w:t>Metforminbehandling</w:t>
      </w:r>
      <w:proofErr w:type="spellEnd"/>
      <w:r w:rsidRPr="00564910">
        <w:rPr>
          <w:bCs/>
          <w:sz w:val="24"/>
          <w:szCs w:val="24"/>
        </w:rPr>
        <w:t xml:space="preserve"> bør fortsættes så længe, som det tolereres og ikke er kontraindiceret, og passende behandling af B12-vitaminmangel bør gives i henhold til gældende klinisk vejledning.</w:t>
      </w:r>
      <w:r w:rsidRPr="00237615">
        <w:rPr>
          <w:bCs/>
          <w:sz w:val="24"/>
          <w:szCs w:val="24"/>
        </w:rPr>
        <w:t xml:space="preserve"> </w:t>
      </w:r>
    </w:p>
    <w:p w:rsidR="00F9765E" w:rsidRPr="00237615" w:rsidRDefault="00F9765E" w:rsidP="00F9765E">
      <w:pPr>
        <w:tabs>
          <w:tab w:val="left" w:pos="851"/>
        </w:tabs>
        <w:ind w:left="851"/>
        <w:rPr>
          <w:bCs/>
          <w:sz w:val="24"/>
          <w:szCs w:val="24"/>
        </w:rPr>
      </w:pPr>
      <w:r w:rsidRPr="00237615">
        <w:rPr>
          <w:bCs/>
          <w:sz w:val="24"/>
          <w:szCs w:val="24"/>
        </w:rPr>
        <w:t xml:space="preserve">De sædvanlige </w:t>
      </w:r>
      <w:r w:rsidRPr="00237615">
        <w:rPr>
          <w:sz w:val="24"/>
          <w:szCs w:val="24"/>
        </w:rPr>
        <w:t xml:space="preserve">laboratorieprøver for diabetesmonitorering </w:t>
      </w:r>
      <w:r w:rsidRPr="00237615">
        <w:rPr>
          <w:bCs/>
          <w:sz w:val="24"/>
          <w:szCs w:val="24"/>
        </w:rPr>
        <w:t xml:space="preserve">bør udføres regelmæssigt. </w:t>
      </w:r>
    </w:p>
    <w:p w:rsidR="00F9765E" w:rsidRPr="00237615" w:rsidRDefault="00F9765E" w:rsidP="00F9765E">
      <w:pPr>
        <w:tabs>
          <w:tab w:val="left" w:pos="851"/>
        </w:tabs>
        <w:ind w:left="851"/>
        <w:rPr>
          <w:bCs/>
          <w:sz w:val="24"/>
          <w:szCs w:val="24"/>
        </w:rPr>
      </w:pPr>
      <w:proofErr w:type="spellStart"/>
      <w:r w:rsidRPr="00237615">
        <w:rPr>
          <w:bCs/>
          <w:sz w:val="24"/>
          <w:szCs w:val="24"/>
        </w:rPr>
        <w:t>Metformin</w:t>
      </w:r>
      <w:proofErr w:type="spellEnd"/>
      <w:r w:rsidRPr="00237615">
        <w:rPr>
          <w:bCs/>
          <w:sz w:val="24"/>
          <w:szCs w:val="24"/>
        </w:rPr>
        <w:t xml:space="preserve"> alene forårsager ikke hypoglykæmi, men vær opmærksom, når det bruges i kombination med insulin eller anden orale </w:t>
      </w:r>
      <w:proofErr w:type="spellStart"/>
      <w:r w:rsidRPr="00237615">
        <w:rPr>
          <w:bCs/>
          <w:sz w:val="24"/>
          <w:szCs w:val="24"/>
        </w:rPr>
        <w:t>antidiabetika</w:t>
      </w:r>
      <w:proofErr w:type="spellEnd"/>
      <w:r w:rsidRPr="00237615">
        <w:rPr>
          <w:bCs/>
          <w:sz w:val="24"/>
          <w:szCs w:val="24"/>
        </w:rPr>
        <w:t xml:space="preserve"> (F.eks. </w:t>
      </w:r>
      <w:proofErr w:type="spellStart"/>
      <w:r w:rsidRPr="00237615">
        <w:rPr>
          <w:bCs/>
          <w:sz w:val="24"/>
          <w:szCs w:val="24"/>
        </w:rPr>
        <w:t>sulfonylurinstoffer</w:t>
      </w:r>
      <w:proofErr w:type="spellEnd"/>
      <w:r w:rsidRPr="00237615">
        <w:rPr>
          <w:bCs/>
          <w:sz w:val="24"/>
          <w:szCs w:val="24"/>
        </w:rPr>
        <w:t xml:space="preserve"> eller </w:t>
      </w:r>
      <w:proofErr w:type="spellStart"/>
      <w:r w:rsidRPr="00237615">
        <w:rPr>
          <w:bCs/>
          <w:sz w:val="24"/>
          <w:szCs w:val="24"/>
        </w:rPr>
        <w:t>meglitinider</w:t>
      </w:r>
      <w:proofErr w:type="spellEnd"/>
      <w:r w:rsidRPr="00237615">
        <w:rPr>
          <w:bCs/>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06150" w:rsidRPr="00206150" w:rsidRDefault="00206150" w:rsidP="00206150">
      <w:pPr>
        <w:tabs>
          <w:tab w:val="left" w:pos="851"/>
        </w:tabs>
        <w:ind w:left="851"/>
        <w:rPr>
          <w:bCs/>
          <w:i/>
          <w:sz w:val="24"/>
          <w:szCs w:val="24"/>
          <w:u w:val="single"/>
        </w:rPr>
      </w:pPr>
    </w:p>
    <w:p w:rsidR="00206150" w:rsidRPr="00206150" w:rsidRDefault="00206150" w:rsidP="00206150">
      <w:pPr>
        <w:tabs>
          <w:tab w:val="left" w:pos="851"/>
        </w:tabs>
        <w:ind w:left="851"/>
        <w:rPr>
          <w:bCs/>
          <w:iCs/>
          <w:sz w:val="24"/>
          <w:szCs w:val="24"/>
          <w:u w:val="single"/>
        </w:rPr>
      </w:pPr>
      <w:r w:rsidRPr="00206150">
        <w:rPr>
          <w:bCs/>
          <w:iCs/>
          <w:sz w:val="24"/>
          <w:szCs w:val="24"/>
          <w:u w:val="single"/>
        </w:rPr>
        <w:t>Samtidig brug frarådes</w:t>
      </w:r>
    </w:p>
    <w:p w:rsidR="00206150" w:rsidRPr="00206150" w:rsidRDefault="00206150" w:rsidP="00206150">
      <w:pPr>
        <w:tabs>
          <w:tab w:val="left" w:pos="851"/>
        </w:tabs>
        <w:ind w:left="851"/>
        <w:rPr>
          <w:bCs/>
          <w:i/>
          <w:sz w:val="24"/>
          <w:szCs w:val="24"/>
        </w:rPr>
      </w:pPr>
    </w:p>
    <w:p w:rsidR="00206150" w:rsidRPr="00206150" w:rsidRDefault="00206150" w:rsidP="00206150">
      <w:pPr>
        <w:tabs>
          <w:tab w:val="left" w:pos="851"/>
        </w:tabs>
        <w:ind w:left="851"/>
        <w:rPr>
          <w:bCs/>
          <w:i/>
          <w:sz w:val="24"/>
          <w:szCs w:val="24"/>
        </w:rPr>
      </w:pPr>
      <w:r w:rsidRPr="00206150">
        <w:rPr>
          <w:bCs/>
          <w:i/>
          <w:sz w:val="24"/>
          <w:szCs w:val="24"/>
        </w:rPr>
        <w:t>Alkohol</w:t>
      </w:r>
    </w:p>
    <w:p w:rsidR="00206150" w:rsidRPr="00206150" w:rsidRDefault="00206150" w:rsidP="00206150">
      <w:pPr>
        <w:tabs>
          <w:tab w:val="left" w:pos="851"/>
        </w:tabs>
        <w:ind w:left="851"/>
        <w:rPr>
          <w:bCs/>
          <w:sz w:val="24"/>
          <w:szCs w:val="24"/>
        </w:rPr>
      </w:pPr>
      <w:r w:rsidRPr="00206150">
        <w:rPr>
          <w:bCs/>
          <w:sz w:val="24"/>
          <w:szCs w:val="24"/>
        </w:rPr>
        <w:t xml:space="preserve">Alkoholforgiftning forbindes med en forhøjet risiko for </w:t>
      </w:r>
      <w:proofErr w:type="spellStart"/>
      <w:r w:rsidRPr="00206150">
        <w:rPr>
          <w:bCs/>
          <w:sz w:val="24"/>
          <w:szCs w:val="24"/>
        </w:rPr>
        <w:t>laktatacidose</w:t>
      </w:r>
      <w:proofErr w:type="spellEnd"/>
      <w:r w:rsidRPr="00206150">
        <w:rPr>
          <w:bCs/>
          <w:sz w:val="24"/>
          <w:szCs w:val="24"/>
        </w:rPr>
        <w:t xml:space="preserve">, specielt i tilfælde af faste, fejlernæring eller leversvigt. </w:t>
      </w:r>
    </w:p>
    <w:p w:rsidR="00206150" w:rsidRPr="00206150" w:rsidRDefault="00206150" w:rsidP="00206150">
      <w:pPr>
        <w:tabs>
          <w:tab w:val="left" w:pos="851"/>
        </w:tabs>
        <w:ind w:left="851"/>
        <w:rPr>
          <w:bCs/>
          <w:i/>
          <w:sz w:val="24"/>
          <w:szCs w:val="24"/>
        </w:rPr>
      </w:pPr>
    </w:p>
    <w:p w:rsidR="00206150" w:rsidRPr="00206150" w:rsidRDefault="00206150" w:rsidP="00206150">
      <w:pPr>
        <w:tabs>
          <w:tab w:val="left" w:pos="851"/>
        </w:tabs>
        <w:ind w:left="851"/>
        <w:rPr>
          <w:bCs/>
          <w:i/>
          <w:sz w:val="24"/>
          <w:szCs w:val="24"/>
        </w:rPr>
      </w:pPr>
      <w:proofErr w:type="spellStart"/>
      <w:r w:rsidRPr="00206150">
        <w:rPr>
          <w:bCs/>
          <w:i/>
          <w:sz w:val="24"/>
          <w:szCs w:val="24"/>
        </w:rPr>
        <w:t>Iodholdige</w:t>
      </w:r>
      <w:proofErr w:type="spellEnd"/>
      <w:r w:rsidRPr="00206150">
        <w:rPr>
          <w:bCs/>
          <w:i/>
          <w:sz w:val="24"/>
          <w:szCs w:val="24"/>
        </w:rPr>
        <w:t xml:space="preserve"> kontraststoffer</w:t>
      </w:r>
    </w:p>
    <w:p w:rsidR="00206150" w:rsidRPr="00206150" w:rsidRDefault="00206150" w:rsidP="00206150">
      <w:pPr>
        <w:tabs>
          <w:tab w:val="left" w:pos="851"/>
        </w:tabs>
        <w:ind w:left="851"/>
        <w:rPr>
          <w:bCs/>
          <w:sz w:val="24"/>
          <w:szCs w:val="24"/>
        </w:rPr>
      </w:pPr>
      <w:proofErr w:type="spellStart"/>
      <w:r w:rsidRPr="00206150">
        <w:rPr>
          <w:bCs/>
          <w:sz w:val="24"/>
          <w:szCs w:val="24"/>
        </w:rPr>
        <w:t>Metforminbehandlingen</w:t>
      </w:r>
      <w:proofErr w:type="spellEnd"/>
      <w:r w:rsidRPr="00206150">
        <w:rPr>
          <w:bCs/>
          <w:sz w:val="24"/>
          <w:szCs w:val="24"/>
        </w:rPr>
        <w:t xml:space="preserve"> skal afbrydes før eller ved begyndelsen af en </w:t>
      </w:r>
      <w:r w:rsidRPr="00206150">
        <w:rPr>
          <w:sz w:val="24"/>
          <w:szCs w:val="24"/>
        </w:rPr>
        <w:t>billeddiagnostisk procedure</w:t>
      </w:r>
      <w:r w:rsidRPr="00206150">
        <w:rPr>
          <w:bCs/>
          <w:sz w:val="24"/>
          <w:szCs w:val="24"/>
        </w:rPr>
        <w:t xml:space="preserve"> og må ikke genoptages før mindst 48 timer efter, forudsat at nyrefunktionen er blevet undersøgt og fundet stabil, se pkt. 4.2 og 4.4. </w:t>
      </w:r>
    </w:p>
    <w:p w:rsidR="00206150" w:rsidRPr="00206150" w:rsidRDefault="00206150" w:rsidP="00206150">
      <w:pPr>
        <w:tabs>
          <w:tab w:val="left" w:pos="851"/>
        </w:tabs>
        <w:ind w:left="851"/>
        <w:rPr>
          <w:bCs/>
          <w:sz w:val="24"/>
          <w:szCs w:val="24"/>
        </w:rPr>
      </w:pPr>
    </w:p>
    <w:p w:rsidR="00206150" w:rsidRPr="00206150" w:rsidRDefault="00206150" w:rsidP="00206150">
      <w:pPr>
        <w:tabs>
          <w:tab w:val="left" w:pos="851"/>
        </w:tabs>
        <w:ind w:left="851"/>
        <w:rPr>
          <w:bCs/>
          <w:sz w:val="24"/>
          <w:szCs w:val="24"/>
          <w:u w:val="single"/>
        </w:rPr>
      </w:pPr>
      <w:r w:rsidRPr="00206150">
        <w:rPr>
          <w:bCs/>
          <w:sz w:val="24"/>
          <w:szCs w:val="24"/>
          <w:u w:val="single"/>
        </w:rPr>
        <w:t>Kombinationer, som kræver forsigtighed</w:t>
      </w:r>
    </w:p>
    <w:p w:rsidR="00206150" w:rsidRPr="00206150" w:rsidRDefault="00206150" w:rsidP="00206150">
      <w:pPr>
        <w:tabs>
          <w:tab w:val="left" w:pos="851"/>
        </w:tabs>
        <w:ind w:left="851"/>
        <w:rPr>
          <w:bCs/>
          <w:sz w:val="24"/>
          <w:szCs w:val="24"/>
        </w:rPr>
      </w:pPr>
      <w:r w:rsidRPr="00206150">
        <w:rPr>
          <w:bCs/>
          <w:sz w:val="24"/>
          <w:szCs w:val="24"/>
        </w:rPr>
        <w:t xml:space="preserve">Nogle lægemidler kan påvirke nyrefunktionen negativt, hvilket kan øge risikoen for </w:t>
      </w:r>
      <w:proofErr w:type="spellStart"/>
      <w:r w:rsidRPr="00206150">
        <w:rPr>
          <w:bCs/>
          <w:sz w:val="24"/>
          <w:szCs w:val="24"/>
        </w:rPr>
        <w:t>laktatacidose</w:t>
      </w:r>
      <w:proofErr w:type="spellEnd"/>
      <w:r w:rsidRPr="00206150">
        <w:rPr>
          <w:bCs/>
          <w:sz w:val="24"/>
          <w:szCs w:val="24"/>
        </w:rPr>
        <w:t xml:space="preserve">, f.eks. </w:t>
      </w:r>
      <w:proofErr w:type="spellStart"/>
      <w:r w:rsidRPr="00206150">
        <w:rPr>
          <w:bCs/>
          <w:sz w:val="24"/>
          <w:szCs w:val="24"/>
        </w:rPr>
        <w:t>NSAID’er</w:t>
      </w:r>
      <w:proofErr w:type="spellEnd"/>
      <w:r w:rsidRPr="00206150">
        <w:rPr>
          <w:bCs/>
          <w:sz w:val="24"/>
          <w:szCs w:val="24"/>
        </w:rPr>
        <w:t xml:space="preserve">, herunder selektive </w:t>
      </w:r>
      <w:proofErr w:type="spellStart"/>
      <w:r w:rsidRPr="00206150">
        <w:rPr>
          <w:bCs/>
          <w:sz w:val="24"/>
          <w:szCs w:val="24"/>
        </w:rPr>
        <w:t>cyclo</w:t>
      </w:r>
      <w:proofErr w:type="spellEnd"/>
      <w:r w:rsidRPr="00206150">
        <w:rPr>
          <w:bCs/>
          <w:sz w:val="24"/>
          <w:szCs w:val="24"/>
        </w:rPr>
        <w:t>-oxygenase (COX) II-</w:t>
      </w:r>
      <w:proofErr w:type="spellStart"/>
      <w:r w:rsidRPr="00206150">
        <w:rPr>
          <w:bCs/>
          <w:sz w:val="24"/>
          <w:szCs w:val="24"/>
        </w:rPr>
        <w:t>hæmmere</w:t>
      </w:r>
      <w:proofErr w:type="spellEnd"/>
      <w:r w:rsidRPr="00206150">
        <w:rPr>
          <w:bCs/>
          <w:sz w:val="24"/>
          <w:szCs w:val="24"/>
        </w:rPr>
        <w:t>, ACE-</w:t>
      </w:r>
      <w:proofErr w:type="spellStart"/>
      <w:r w:rsidRPr="00206150">
        <w:rPr>
          <w:bCs/>
          <w:sz w:val="24"/>
          <w:szCs w:val="24"/>
        </w:rPr>
        <w:t>hæmmere</w:t>
      </w:r>
      <w:proofErr w:type="spellEnd"/>
      <w:r w:rsidRPr="00206150">
        <w:rPr>
          <w:bCs/>
          <w:sz w:val="24"/>
          <w:szCs w:val="24"/>
        </w:rPr>
        <w:t xml:space="preserve">, </w:t>
      </w:r>
      <w:proofErr w:type="spellStart"/>
      <w:r w:rsidRPr="00206150">
        <w:rPr>
          <w:bCs/>
          <w:sz w:val="24"/>
          <w:szCs w:val="24"/>
        </w:rPr>
        <w:t>angiotensin</w:t>
      </w:r>
      <w:proofErr w:type="spellEnd"/>
      <w:r w:rsidRPr="00206150">
        <w:rPr>
          <w:bCs/>
          <w:sz w:val="24"/>
          <w:szCs w:val="24"/>
        </w:rPr>
        <w:t xml:space="preserve"> II-receptorantagonister og </w:t>
      </w:r>
      <w:proofErr w:type="spellStart"/>
      <w:r w:rsidRPr="00206150">
        <w:rPr>
          <w:bCs/>
          <w:sz w:val="24"/>
          <w:szCs w:val="24"/>
        </w:rPr>
        <w:t>diuretika</w:t>
      </w:r>
      <w:proofErr w:type="spellEnd"/>
      <w:r w:rsidRPr="00206150">
        <w:rPr>
          <w:bCs/>
          <w:sz w:val="24"/>
          <w:szCs w:val="24"/>
        </w:rPr>
        <w:t>, specielt loop-</w:t>
      </w:r>
      <w:proofErr w:type="spellStart"/>
      <w:r w:rsidRPr="00206150">
        <w:rPr>
          <w:bCs/>
          <w:sz w:val="24"/>
          <w:szCs w:val="24"/>
        </w:rPr>
        <w:t>diuretika</w:t>
      </w:r>
      <w:proofErr w:type="spellEnd"/>
      <w:r w:rsidRPr="00206150">
        <w:rPr>
          <w:bCs/>
          <w:sz w:val="24"/>
          <w:szCs w:val="24"/>
        </w:rPr>
        <w:t xml:space="preserve">. Ved opstart eller under behandling med sådanne produkter sammen med </w:t>
      </w:r>
      <w:proofErr w:type="spellStart"/>
      <w:r w:rsidRPr="00206150">
        <w:rPr>
          <w:bCs/>
          <w:sz w:val="24"/>
          <w:szCs w:val="24"/>
        </w:rPr>
        <w:t>metformin</w:t>
      </w:r>
      <w:proofErr w:type="spellEnd"/>
      <w:r w:rsidRPr="00206150">
        <w:rPr>
          <w:bCs/>
          <w:sz w:val="24"/>
          <w:szCs w:val="24"/>
        </w:rPr>
        <w:t xml:space="preserve">, skal nyrefunktionen overvåges nøje. </w:t>
      </w:r>
    </w:p>
    <w:p w:rsidR="00206150" w:rsidRPr="00206150" w:rsidRDefault="00206150" w:rsidP="00206150">
      <w:pPr>
        <w:tabs>
          <w:tab w:val="left" w:pos="851"/>
        </w:tabs>
        <w:ind w:left="851"/>
        <w:rPr>
          <w:bCs/>
          <w:sz w:val="24"/>
          <w:szCs w:val="24"/>
        </w:rPr>
      </w:pPr>
    </w:p>
    <w:p w:rsidR="00206150" w:rsidRPr="00206150" w:rsidRDefault="00206150" w:rsidP="00206150">
      <w:pPr>
        <w:tabs>
          <w:tab w:val="left" w:pos="851"/>
        </w:tabs>
        <w:ind w:left="851"/>
        <w:rPr>
          <w:bCs/>
          <w:i/>
          <w:sz w:val="24"/>
          <w:szCs w:val="24"/>
        </w:rPr>
      </w:pPr>
      <w:r w:rsidRPr="00206150">
        <w:rPr>
          <w:bCs/>
          <w:i/>
          <w:sz w:val="24"/>
          <w:szCs w:val="24"/>
        </w:rPr>
        <w:t xml:space="preserve">Lægemidler med </w:t>
      </w:r>
      <w:proofErr w:type="spellStart"/>
      <w:r w:rsidRPr="00206150">
        <w:rPr>
          <w:bCs/>
          <w:i/>
          <w:sz w:val="24"/>
          <w:szCs w:val="24"/>
        </w:rPr>
        <w:t>hyperglykæmisk</w:t>
      </w:r>
      <w:proofErr w:type="spellEnd"/>
      <w:r w:rsidRPr="00206150">
        <w:rPr>
          <w:bCs/>
          <w:i/>
          <w:sz w:val="24"/>
          <w:szCs w:val="24"/>
        </w:rPr>
        <w:t xml:space="preserve"> aktivitet (for eks. </w:t>
      </w:r>
      <w:proofErr w:type="spellStart"/>
      <w:r w:rsidRPr="00206150">
        <w:rPr>
          <w:bCs/>
          <w:i/>
          <w:sz w:val="24"/>
          <w:szCs w:val="24"/>
        </w:rPr>
        <w:t>glukokorticoider</w:t>
      </w:r>
      <w:proofErr w:type="spellEnd"/>
      <w:r w:rsidRPr="00206150">
        <w:rPr>
          <w:bCs/>
          <w:i/>
          <w:sz w:val="24"/>
          <w:szCs w:val="24"/>
        </w:rPr>
        <w:t xml:space="preserve"> (systemiske og lokale) og </w:t>
      </w:r>
      <w:proofErr w:type="spellStart"/>
      <w:r w:rsidRPr="00206150">
        <w:rPr>
          <w:bCs/>
          <w:i/>
          <w:sz w:val="24"/>
          <w:szCs w:val="24"/>
        </w:rPr>
        <w:t>sympatomimetika</w:t>
      </w:r>
      <w:proofErr w:type="spellEnd"/>
      <w:r w:rsidRPr="00206150">
        <w:rPr>
          <w:bCs/>
          <w:i/>
          <w:sz w:val="24"/>
          <w:szCs w:val="24"/>
        </w:rPr>
        <w:t>.</w:t>
      </w:r>
    </w:p>
    <w:p w:rsidR="00206150" w:rsidRPr="00206150" w:rsidRDefault="00206150" w:rsidP="00206150">
      <w:pPr>
        <w:tabs>
          <w:tab w:val="left" w:pos="851"/>
        </w:tabs>
        <w:ind w:left="851"/>
        <w:rPr>
          <w:bCs/>
          <w:sz w:val="24"/>
          <w:szCs w:val="24"/>
        </w:rPr>
      </w:pPr>
      <w:r w:rsidRPr="00206150">
        <w:rPr>
          <w:bCs/>
          <w:sz w:val="24"/>
          <w:szCs w:val="24"/>
        </w:rPr>
        <w:t xml:space="preserve">Oftere kontrol af blodsukkeret kan være nødvendigt, specielt i begyndelsen af behandlingen. Eventuelt kan </w:t>
      </w:r>
      <w:proofErr w:type="spellStart"/>
      <w:r w:rsidRPr="00206150">
        <w:rPr>
          <w:bCs/>
          <w:sz w:val="24"/>
          <w:szCs w:val="24"/>
        </w:rPr>
        <w:t>metformindosen</w:t>
      </w:r>
      <w:proofErr w:type="spellEnd"/>
      <w:r w:rsidRPr="00206150">
        <w:rPr>
          <w:bCs/>
          <w:sz w:val="24"/>
          <w:szCs w:val="24"/>
        </w:rPr>
        <w:t xml:space="preserve"> justeres under behandlingen med det andet lægemiddel og så igen, når behandlingen er slut. </w:t>
      </w:r>
    </w:p>
    <w:p w:rsidR="00206150" w:rsidRPr="00206150" w:rsidRDefault="00206150" w:rsidP="00206150">
      <w:pPr>
        <w:tabs>
          <w:tab w:val="left" w:pos="851"/>
        </w:tabs>
        <w:ind w:left="851"/>
        <w:rPr>
          <w:b/>
          <w:bCs/>
          <w:sz w:val="24"/>
          <w:szCs w:val="24"/>
        </w:rPr>
      </w:pPr>
    </w:p>
    <w:p w:rsidR="00206150" w:rsidRPr="00206150" w:rsidRDefault="00206150" w:rsidP="00206150">
      <w:pPr>
        <w:tabs>
          <w:tab w:val="left" w:pos="851"/>
        </w:tabs>
        <w:ind w:left="851"/>
        <w:rPr>
          <w:bCs/>
          <w:i/>
          <w:sz w:val="24"/>
          <w:szCs w:val="24"/>
        </w:rPr>
      </w:pPr>
      <w:r w:rsidRPr="00206150">
        <w:rPr>
          <w:bCs/>
          <w:i/>
          <w:sz w:val="24"/>
          <w:szCs w:val="24"/>
        </w:rPr>
        <w:t xml:space="preserve">Organiske </w:t>
      </w:r>
      <w:proofErr w:type="spellStart"/>
      <w:r w:rsidRPr="00206150">
        <w:rPr>
          <w:bCs/>
          <w:i/>
          <w:sz w:val="24"/>
          <w:szCs w:val="24"/>
        </w:rPr>
        <w:t>kationstransportører</w:t>
      </w:r>
      <w:proofErr w:type="spellEnd"/>
      <w:r w:rsidRPr="00206150">
        <w:rPr>
          <w:bCs/>
          <w:i/>
          <w:sz w:val="24"/>
          <w:szCs w:val="24"/>
        </w:rPr>
        <w:t xml:space="preserve"> (OCT)</w:t>
      </w:r>
    </w:p>
    <w:p w:rsidR="00206150" w:rsidRPr="00206150" w:rsidRDefault="00206150" w:rsidP="00206150">
      <w:pPr>
        <w:tabs>
          <w:tab w:val="left" w:pos="851"/>
        </w:tabs>
        <w:ind w:left="851"/>
        <w:rPr>
          <w:bCs/>
          <w:sz w:val="24"/>
          <w:szCs w:val="24"/>
        </w:rPr>
      </w:pPr>
      <w:proofErr w:type="spellStart"/>
      <w:r w:rsidRPr="00206150">
        <w:rPr>
          <w:bCs/>
          <w:sz w:val="24"/>
          <w:szCs w:val="24"/>
        </w:rPr>
        <w:t>Metformin</w:t>
      </w:r>
      <w:proofErr w:type="spellEnd"/>
      <w:r w:rsidRPr="00206150">
        <w:rPr>
          <w:bCs/>
          <w:sz w:val="24"/>
          <w:szCs w:val="24"/>
        </w:rPr>
        <w:t xml:space="preserve"> er et substrat for begge transportører OCT</w:t>
      </w:r>
      <w:r w:rsidRPr="00206150">
        <w:rPr>
          <w:bCs/>
          <w:sz w:val="24"/>
          <w:szCs w:val="24"/>
          <w:vertAlign w:val="subscript"/>
        </w:rPr>
        <w:t>1</w:t>
      </w:r>
      <w:r w:rsidRPr="00206150">
        <w:rPr>
          <w:bCs/>
          <w:sz w:val="24"/>
          <w:szCs w:val="24"/>
        </w:rPr>
        <w:t xml:space="preserve"> og OCT</w:t>
      </w:r>
      <w:r w:rsidRPr="00206150">
        <w:rPr>
          <w:bCs/>
          <w:sz w:val="24"/>
          <w:szCs w:val="24"/>
          <w:vertAlign w:val="subscript"/>
        </w:rPr>
        <w:t>2</w:t>
      </w:r>
      <w:r w:rsidRPr="00206150">
        <w:rPr>
          <w:bCs/>
          <w:sz w:val="24"/>
          <w:szCs w:val="24"/>
        </w:rPr>
        <w:t xml:space="preserve">. </w:t>
      </w:r>
    </w:p>
    <w:p w:rsidR="00206150" w:rsidRPr="00206150" w:rsidRDefault="00206150" w:rsidP="00206150">
      <w:pPr>
        <w:tabs>
          <w:tab w:val="left" w:pos="851"/>
        </w:tabs>
        <w:ind w:left="851"/>
        <w:rPr>
          <w:bCs/>
          <w:sz w:val="24"/>
          <w:szCs w:val="24"/>
        </w:rPr>
      </w:pPr>
    </w:p>
    <w:p w:rsidR="00206150" w:rsidRPr="00F04304" w:rsidRDefault="00206150" w:rsidP="00206150">
      <w:pPr>
        <w:tabs>
          <w:tab w:val="left" w:pos="851"/>
        </w:tabs>
        <w:ind w:left="851"/>
        <w:rPr>
          <w:bCs/>
          <w:sz w:val="24"/>
          <w:szCs w:val="24"/>
          <w:u w:val="single"/>
        </w:rPr>
      </w:pPr>
      <w:r w:rsidRPr="00F04304">
        <w:rPr>
          <w:sz w:val="24"/>
          <w:szCs w:val="24"/>
          <w:u w:val="single"/>
        </w:rPr>
        <w:t xml:space="preserve">Samtidig administration af </w:t>
      </w:r>
      <w:proofErr w:type="spellStart"/>
      <w:r w:rsidRPr="00F04304">
        <w:rPr>
          <w:bCs/>
          <w:sz w:val="24"/>
          <w:szCs w:val="24"/>
          <w:u w:val="single"/>
        </w:rPr>
        <w:t>metformin</w:t>
      </w:r>
      <w:proofErr w:type="spellEnd"/>
      <w:r w:rsidRPr="00F04304">
        <w:rPr>
          <w:bCs/>
          <w:sz w:val="24"/>
          <w:szCs w:val="24"/>
          <w:u w:val="single"/>
        </w:rPr>
        <w:t xml:space="preserve"> med</w:t>
      </w:r>
    </w:p>
    <w:p w:rsidR="00206150" w:rsidRPr="00206150" w:rsidRDefault="00206150" w:rsidP="00206150">
      <w:pPr>
        <w:numPr>
          <w:ilvl w:val="0"/>
          <w:numId w:val="6"/>
        </w:numPr>
        <w:tabs>
          <w:tab w:val="left" w:pos="851"/>
        </w:tabs>
        <w:ind w:left="1134" w:hanging="283"/>
        <w:rPr>
          <w:bCs/>
          <w:sz w:val="24"/>
          <w:szCs w:val="24"/>
        </w:rPr>
      </w:pPr>
      <w:proofErr w:type="spellStart"/>
      <w:r w:rsidRPr="00206150">
        <w:rPr>
          <w:bCs/>
          <w:sz w:val="24"/>
          <w:szCs w:val="24"/>
        </w:rPr>
        <w:t>Hæmmere</w:t>
      </w:r>
      <w:proofErr w:type="spellEnd"/>
      <w:r w:rsidRPr="00206150">
        <w:rPr>
          <w:bCs/>
          <w:sz w:val="24"/>
          <w:szCs w:val="24"/>
        </w:rPr>
        <w:t xml:space="preserve"> af OCT</w:t>
      </w:r>
      <w:r w:rsidRPr="00206150">
        <w:rPr>
          <w:bCs/>
          <w:sz w:val="24"/>
          <w:szCs w:val="24"/>
          <w:vertAlign w:val="subscript"/>
        </w:rPr>
        <w:t>1</w:t>
      </w:r>
      <w:r w:rsidRPr="00206150">
        <w:rPr>
          <w:bCs/>
          <w:sz w:val="24"/>
          <w:szCs w:val="24"/>
        </w:rPr>
        <w:t xml:space="preserve"> (såsom </w:t>
      </w:r>
      <w:proofErr w:type="spellStart"/>
      <w:r w:rsidRPr="00206150">
        <w:rPr>
          <w:bCs/>
          <w:sz w:val="24"/>
          <w:szCs w:val="24"/>
        </w:rPr>
        <w:t>verapamil</w:t>
      </w:r>
      <w:proofErr w:type="spellEnd"/>
      <w:r w:rsidRPr="00206150">
        <w:rPr>
          <w:bCs/>
          <w:sz w:val="24"/>
          <w:szCs w:val="24"/>
        </w:rPr>
        <w:t xml:space="preserve">) kan nedsætte virkningen </w:t>
      </w:r>
      <w:proofErr w:type="gramStart"/>
      <w:r w:rsidRPr="00206150">
        <w:rPr>
          <w:bCs/>
          <w:sz w:val="24"/>
          <w:szCs w:val="24"/>
        </w:rPr>
        <w:t xml:space="preserve">af  </w:t>
      </w:r>
      <w:proofErr w:type="spellStart"/>
      <w:r w:rsidRPr="00206150">
        <w:rPr>
          <w:bCs/>
          <w:sz w:val="24"/>
          <w:szCs w:val="24"/>
        </w:rPr>
        <w:t>metformin</w:t>
      </w:r>
      <w:proofErr w:type="spellEnd"/>
      <w:proofErr w:type="gramEnd"/>
      <w:r w:rsidRPr="00206150">
        <w:rPr>
          <w:bCs/>
          <w:sz w:val="24"/>
          <w:szCs w:val="24"/>
        </w:rPr>
        <w:t>.</w:t>
      </w:r>
    </w:p>
    <w:p w:rsidR="00206150" w:rsidRPr="00206150" w:rsidRDefault="00206150" w:rsidP="00206150">
      <w:pPr>
        <w:numPr>
          <w:ilvl w:val="0"/>
          <w:numId w:val="6"/>
        </w:numPr>
        <w:tabs>
          <w:tab w:val="left" w:pos="851"/>
        </w:tabs>
        <w:ind w:left="1134" w:hanging="283"/>
        <w:rPr>
          <w:bCs/>
          <w:sz w:val="24"/>
          <w:szCs w:val="24"/>
        </w:rPr>
      </w:pPr>
      <w:r w:rsidRPr="00206150">
        <w:rPr>
          <w:bCs/>
          <w:sz w:val="24"/>
          <w:szCs w:val="24"/>
        </w:rPr>
        <w:t>Induktorer af OCT</w:t>
      </w:r>
      <w:r w:rsidRPr="00206150">
        <w:rPr>
          <w:bCs/>
          <w:sz w:val="24"/>
          <w:szCs w:val="24"/>
          <w:vertAlign w:val="subscript"/>
        </w:rPr>
        <w:t>1</w:t>
      </w:r>
      <w:r w:rsidRPr="00206150">
        <w:rPr>
          <w:bCs/>
          <w:sz w:val="24"/>
          <w:szCs w:val="24"/>
        </w:rPr>
        <w:t xml:space="preserve"> (såsom </w:t>
      </w:r>
      <w:proofErr w:type="spellStart"/>
      <w:r w:rsidRPr="00206150">
        <w:rPr>
          <w:bCs/>
          <w:sz w:val="24"/>
          <w:szCs w:val="24"/>
        </w:rPr>
        <w:t>riampicin</w:t>
      </w:r>
      <w:proofErr w:type="spellEnd"/>
      <w:r w:rsidRPr="00206150">
        <w:rPr>
          <w:bCs/>
          <w:sz w:val="24"/>
          <w:szCs w:val="24"/>
        </w:rPr>
        <w:t xml:space="preserve">) kan øge den </w:t>
      </w:r>
      <w:proofErr w:type="spellStart"/>
      <w:r w:rsidRPr="00206150">
        <w:rPr>
          <w:bCs/>
          <w:sz w:val="24"/>
          <w:szCs w:val="24"/>
        </w:rPr>
        <w:t>gastrointestinale</w:t>
      </w:r>
      <w:proofErr w:type="spellEnd"/>
      <w:r w:rsidRPr="00206150">
        <w:rPr>
          <w:bCs/>
          <w:sz w:val="24"/>
          <w:szCs w:val="24"/>
        </w:rPr>
        <w:t xml:space="preserve"> absorption af </w:t>
      </w:r>
      <w:proofErr w:type="spellStart"/>
      <w:r w:rsidRPr="00206150">
        <w:rPr>
          <w:bCs/>
          <w:sz w:val="24"/>
          <w:szCs w:val="24"/>
        </w:rPr>
        <w:t>metformin</w:t>
      </w:r>
      <w:proofErr w:type="spellEnd"/>
      <w:r w:rsidRPr="00206150">
        <w:rPr>
          <w:bCs/>
          <w:sz w:val="24"/>
          <w:szCs w:val="24"/>
        </w:rPr>
        <w:t xml:space="preserve"> samt dets virkning. </w:t>
      </w:r>
    </w:p>
    <w:p w:rsidR="00206150" w:rsidRPr="00206150" w:rsidRDefault="00206150" w:rsidP="00206150">
      <w:pPr>
        <w:numPr>
          <w:ilvl w:val="0"/>
          <w:numId w:val="6"/>
        </w:numPr>
        <w:tabs>
          <w:tab w:val="left" w:pos="851"/>
        </w:tabs>
        <w:ind w:left="1134" w:hanging="283"/>
        <w:rPr>
          <w:bCs/>
          <w:sz w:val="24"/>
          <w:szCs w:val="24"/>
        </w:rPr>
      </w:pPr>
      <w:proofErr w:type="spellStart"/>
      <w:r w:rsidRPr="00206150">
        <w:rPr>
          <w:bCs/>
          <w:sz w:val="24"/>
          <w:szCs w:val="24"/>
        </w:rPr>
        <w:t>Hæmmere</w:t>
      </w:r>
      <w:proofErr w:type="spellEnd"/>
      <w:r w:rsidRPr="00206150">
        <w:rPr>
          <w:bCs/>
          <w:sz w:val="24"/>
          <w:szCs w:val="24"/>
        </w:rPr>
        <w:t xml:space="preserve"> af OCT</w:t>
      </w:r>
      <w:r w:rsidRPr="00206150">
        <w:rPr>
          <w:bCs/>
          <w:sz w:val="24"/>
          <w:szCs w:val="24"/>
          <w:vertAlign w:val="subscript"/>
        </w:rPr>
        <w:t xml:space="preserve">2 </w:t>
      </w:r>
      <w:r w:rsidRPr="00206150">
        <w:rPr>
          <w:bCs/>
          <w:sz w:val="24"/>
          <w:szCs w:val="24"/>
        </w:rPr>
        <w:t xml:space="preserve">(såsom </w:t>
      </w:r>
      <w:proofErr w:type="spellStart"/>
      <w:r w:rsidRPr="00206150">
        <w:rPr>
          <w:bCs/>
          <w:sz w:val="24"/>
          <w:szCs w:val="24"/>
        </w:rPr>
        <w:t>cimetidin</w:t>
      </w:r>
      <w:proofErr w:type="spellEnd"/>
      <w:r w:rsidRPr="00206150">
        <w:rPr>
          <w:bCs/>
          <w:sz w:val="24"/>
          <w:szCs w:val="24"/>
        </w:rPr>
        <w:t xml:space="preserve">, </w:t>
      </w:r>
      <w:proofErr w:type="spellStart"/>
      <w:r w:rsidRPr="00206150">
        <w:rPr>
          <w:bCs/>
          <w:sz w:val="24"/>
          <w:szCs w:val="24"/>
        </w:rPr>
        <w:t>dolutegravir</w:t>
      </w:r>
      <w:proofErr w:type="spellEnd"/>
      <w:r w:rsidRPr="00206150">
        <w:rPr>
          <w:bCs/>
          <w:sz w:val="24"/>
          <w:szCs w:val="24"/>
        </w:rPr>
        <w:t xml:space="preserve">, </w:t>
      </w:r>
      <w:proofErr w:type="spellStart"/>
      <w:r w:rsidRPr="00206150">
        <w:rPr>
          <w:bCs/>
          <w:sz w:val="24"/>
          <w:szCs w:val="24"/>
        </w:rPr>
        <w:t>ranolazine</w:t>
      </w:r>
      <w:proofErr w:type="spellEnd"/>
      <w:r w:rsidRPr="00206150">
        <w:rPr>
          <w:bCs/>
          <w:sz w:val="24"/>
          <w:szCs w:val="24"/>
        </w:rPr>
        <w:t xml:space="preserve">, </w:t>
      </w:r>
      <w:proofErr w:type="spellStart"/>
      <w:r w:rsidRPr="00206150">
        <w:rPr>
          <w:bCs/>
          <w:sz w:val="24"/>
          <w:szCs w:val="24"/>
        </w:rPr>
        <w:t>trimethoprime</w:t>
      </w:r>
      <w:proofErr w:type="spellEnd"/>
      <w:r w:rsidRPr="00206150">
        <w:rPr>
          <w:bCs/>
          <w:sz w:val="24"/>
          <w:szCs w:val="24"/>
        </w:rPr>
        <w:t xml:space="preserve">, </w:t>
      </w:r>
      <w:proofErr w:type="spellStart"/>
      <w:r w:rsidRPr="00206150">
        <w:rPr>
          <w:bCs/>
          <w:sz w:val="24"/>
          <w:szCs w:val="24"/>
        </w:rPr>
        <w:t>vandetanib</w:t>
      </w:r>
      <w:proofErr w:type="spellEnd"/>
      <w:r w:rsidRPr="00206150">
        <w:rPr>
          <w:bCs/>
          <w:sz w:val="24"/>
          <w:szCs w:val="24"/>
        </w:rPr>
        <w:t xml:space="preserve">, </w:t>
      </w:r>
      <w:proofErr w:type="spellStart"/>
      <w:r w:rsidRPr="00206150">
        <w:rPr>
          <w:bCs/>
          <w:sz w:val="24"/>
          <w:szCs w:val="24"/>
        </w:rPr>
        <w:t>isavuconazole</w:t>
      </w:r>
      <w:proofErr w:type="spellEnd"/>
      <w:r w:rsidRPr="00206150">
        <w:rPr>
          <w:bCs/>
          <w:sz w:val="24"/>
          <w:szCs w:val="24"/>
        </w:rPr>
        <w:t xml:space="preserve">) kan nedsætte nyreudskillelsen af </w:t>
      </w:r>
      <w:proofErr w:type="spellStart"/>
      <w:r w:rsidRPr="00206150">
        <w:rPr>
          <w:bCs/>
          <w:sz w:val="24"/>
          <w:szCs w:val="24"/>
        </w:rPr>
        <w:t>metformin</w:t>
      </w:r>
      <w:proofErr w:type="spellEnd"/>
      <w:r w:rsidRPr="00206150">
        <w:rPr>
          <w:bCs/>
          <w:sz w:val="24"/>
          <w:szCs w:val="24"/>
        </w:rPr>
        <w:t xml:space="preserve"> og derved føre til en stigning i plasmaets </w:t>
      </w:r>
      <w:proofErr w:type="spellStart"/>
      <w:r w:rsidRPr="00206150">
        <w:rPr>
          <w:bCs/>
          <w:sz w:val="24"/>
          <w:szCs w:val="24"/>
        </w:rPr>
        <w:t>metforminkoncentration</w:t>
      </w:r>
      <w:proofErr w:type="spellEnd"/>
      <w:r w:rsidRPr="00206150">
        <w:rPr>
          <w:bCs/>
          <w:sz w:val="24"/>
          <w:szCs w:val="24"/>
        </w:rPr>
        <w:t xml:space="preserve">. </w:t>
      </w:r>
    </w:p>
    <w:p w:rsidR="00206150" w:rsidRPr="00206150" w:rsidRDefault="00206150" w:rsidP="00206150">
      <w:pPr>
        <w:numPr>
          <w:ilvl w:val="0"/>
          <w:numId w:val="6"/>
        </w:numPr>
        <w:tabs>
          <w:tab w:val="left" w:pos="851"/>
        </w:tabs>
        <w:ind w:left="1134" w:hanging="283"/>
        <w:rPr>
          <w:bCs/>
          <w:sz w:val="24"/>
          <w:szCs w:val="24"/>
        </w:rPr>
      </w:pPr>
      <w:proofErr w:type="spellStart"/>
      <w:r w:rsidRPr="00206150">
        <w:rPr>
          <w:bCs/>
          <w:sz w:val="24"/>
          <w:szCs w:val="24"/>
        </w:rPr>
        <w:t>Hæmmere</w:t>
      </w:r>
      <w:proofErr w:type="spellEnd"/>
      <w:r w:rsidRPr="00206150">
        <w:rPr>
          <w:bCs/>
          <w:sz w:val="24"/>
          <w:szCs w:val="24"/>
        </w:rPr>
        <w:t xml:space="preserve"> af både OCT</w:t>
      </w:r>
      <w:r w:rsidRPr="00206150">
        <w:rPr>
          <w:bCs/>
          <w:sz w:val="24"/>
          <w:szCs w:val="24"/>
          <w:vertAlign w:val="subscript"/>
        </w:rPr>
        <w:t xml:space="preserve">1 </w:t>
      </w:r>
      <w:r w:rsidRPr="00206150">
        <w:rPr>
          <w:bCs/>
          <w:sz w:val="24"/>
          <w:szCs w:val="24"/>
        </w:rPr>
        <w:t>og OCT</w:t>
      </w:r>
      <w:r w:rsidRPr="00206150">
        <w:rPr>
          <w:bCs/>
          <w:sz w:val="24"/>
          <w:szCs w:val="24"/>
          <w:vertAlign w:val="subscript"/>
        </w:rPr>
        <w:t>2</w:t>
      </w:r>
      <w:r w:rsidRPr="00206150">
        <w:rPr>
          <w:bCs/>
          <w:sz w:val="24"/>
          <w:szCs w:val="24"/>
        </w:rPr>
        <w:t xml:space="preserve"> (såsom </w:t>
      </w:r>
      <w:proofErr w:type="spellStart"/>
      <w:r w:rsidRPr="00206150">
        <w:rPr>
          <w:bCs/>
          <w:sz w:val="24"/>
          <w:szCs w:val="24"/>
        </w:rPr>
        <w:t>crizotinib</w:t>
      </w:r>
      <w:proofErr w:type="spellEnd"/>
      <w:r w:rsidRPr="00206150">
        <w:rPr>
          <w:bCs/>
          <w:sz w:val="24"/>
          <w:szCs w:val="24"/>
        </w:rPr>
        <w:t xml:space="preserve">, </w:t>
      </w:r>
      <w:proofErr w:type="spellStart"/>
      <w:r w:rsidRPr="00206150">
        <w:rPr>
          <w:bCs/>
          <w:sz w:val="24"/>
          <w:szCs w:val="24"/>
        </w:rPr>
        <w:t>olaparib</w:t>
      </w:r>
      <w:proofErr w:type="spellEnd"/>
      <w:r w:rsidRPr="00206150">
        <w:rPr>
          <w:bCs/>
          <w:sz w:val="24"/>
          <w:szCs w:val="24"/>
        </w:rPr>
        <w:t xml:space="preserve">) kan ændre </w:t>
      </w:r>
      <w:proofErr w:type="spellStart"/>
      <w:r w:rsidRPr="00206150">
        <w:rPr>
          <w:bCs/>
          <w:sz w:val="24"/>
          <w:szCs w:val="24"/>
        </w:rPr>
        <w:t>metformins</w:t>
      </w:r>
      <w:proofErr w:type="spellEnd"/>
      <w:r w:rsidRPr="00206150">
        <w:rPr>
          <w:bCs/>
          <w:sz w:val="24"/>
          <w:szCs w:val="24"/>
        </w:rPr>
        <w:t xml:space="preserve"> effektivitet og udskillelse via nyrerne. </w:t>
      </w:r>
    </w:p>
    <w:p w:rsidR="00206150" w:rsidRPr="00206150" w:rsidRDefault="00206150" w:rsidP="00206150">
      <w:pPr>
        <w:tabs>
          <w:tab w:val="left" w:pos="851"/>
        </w:tabs>
        <w:ind w:left="851"/>
        <w:rPr>
          <w:bCs/>
          <w:sz w:val="24"/>
          <w:szCs w:val="24"/>
        </w:rPr>
      </w:pPr>
    </w:p>
    <w:p w:rsidR="00206150" w:rsidRPr="00206150" w:rsidRDefault="00206150" w:rsidP="00206150">
      <w:pPr>
        <w:tabs>
          <w:tab w:val="left" w:pos="851"/>
        </w:tabs>
        <w:ind w:left="851"/>
        <w:rPr>
          <w:bCs/>
          <w:sz w:val="24"/>
          <w:szCs w:val="24"/>
        </w:rPr>
      </w:pPr>
      <w:r w:rsidRPr="00206150">
        <w:rPr>
          <w:bCs/>
          <w:sz w:val="24"/>
          <w:szCs w:val="24"/>
        </w:rPr>
        <w:t xml:space="preserve">Derfor anbefales det at være forsigtig, specielt når det gælder patienter med nyresvigt, når disse lægemidler gives samtidig med </w:t>
      </w:r>
      <w:proofErr w:type="spellStart"/>
      <w:r w:rsidRPr="00206150">
        <w:rPr>
          <w:bCs/>
          <w:sz w:val="24"/>
          <w:szCs w:val="24"/>
        </w:rPr>
        <w:t>metformin</w:t>
      </w:r>
      <w:proofErr w:type="spellEnd"/>
      <w:r w:rsidRPr="00206150">
        <w:rPr>
          <w:bCs/>
          <w:sz w:val="24"/>
          <w:szCs w:val="24"/>
        </w:rPr>
        <w:t xml:space="preserve">, da </w:t>
      </w:r>
      <w:proofErr w:type="spellStart"/>
      <w:r w:rsidRPr="00206150">
        <w:rPr>
          <w:bCs/>
          <w:sz w:val="24"/>
          <w:szCs w:val="24"/>
        </w:rPr>
        <w:t>metforminkoncentrationen</w:t>
      </w:r>
      <w:proofErr w:type="spellEnd"/>
      <w:r w:rsidRPr="00206150">
        <w:rPr>
          <w:bCs/>
          <w:sz w:val="24"/>
          <w:szCs w:val="24"/>
        </w:rPr>
        <w:t xml:space="preserve"> i plasma kan stige. Hvis det er nødvendigt kan man overveje at justere dosen af </w:t>
      </w:r>
      <w:proofErr w:type="spellStart"/>
      <w:r w:rsidRPr="00206150">
        <w:rPr>
          <w:bCs/>
          <w:sz w:val="24"/>
          <w:szCs w:val="24"/>
        </w:rPr>
        <w:t>metformin</w:t>
      </w:r>
      <w:proofErr w:type="spellEnd"/>
      <w:r w:rsidRPr="00206150">
        <w:rPr>
          <w:bCs/>
          <w:sz w:val="24"/>
          <w:szCs w:val="24"/>
        </w:rPr>
        <w:t>, da OCT-</w:t>
      </w:r>
      <w:proofErr w:type="spellStart"/>
      <w:r w:rsidRPr="00206150">
        <w:rPr>
          <w:bCs/>
          <w:sz w:val="24"/>
          <w:szCs w:val="24"/>
        </w:rPr>
        <w:t>hæmmere</w:t>
      </w:r>
      <w:proofErr w:type="spellEnd"/>
      <w:r w:rsidRPr="00206150">
        <w:rPr>
          <w:bCs/>
          <w:sz w:val="24"/>
          <w:szCs w:val="24"/>
        </w:rPr>
        <w:t xml:space="preserve">/induktorer kan ændre virkningen af </w:t>
      </w:r>
      <w:proofErr w:type="spellStart"/>
      <w:r w:rsidRPr="00206150">
        <w:rPr>
          <w:bCs/>
          <w:sz w:val="24"/>
          <w:szCs w:val="24"/>
        </w:rPr>
        <w:t>metformin</w:t>
      </w:r>
      <w:proofErr w:type="spellEnd"/>
      <w:r w:rsidRPr="00206150">
        <w:rPr>
          <w:bCs/>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117ECE">
        <w:rPr>
          <w:b/>
          <w:sz w:val="24"/>
          <w:szCs w:val="24"/>
        </w:rPr>
        <w:t>Fertilitet, g</w:t>
      </w:r>
      <w:r w:rsidRPr="00C84483">
        <w:rPr>
          <w:b/>
          <w:sz w:val="24"/>
          <w:szCs w:val="24"/>
        </w:rPr>
        <w:t>raviditet og amning</w:t>
      </w:r>
    </w:p>
    <w:p w:rsidR="00F04304" w:rsidRPr="00F04304" w:rsidRDefault="00F04304" w:rsidP="00F04304">
      <w:pPr>
        <w:tabs>
          <w:tab w:val="left" w:pos="851"/>
        </w:tabs>
        <w:ind w:left="851"/>
        <w:rPr>
          <w:bCs/>
          <w:sz w:val="24"/>
          <w:szCs w:val="24"/>
          <w:u w:val="single"/>
        </w:rPr>
      </w:pPr>
    </w:p>
    <w:p w:rsidR="00F04304" w:rsidRPr="00F04304" w:rsidRDefault="00F04304" w:rsidP="00F04304">
      <w:pPr>
        <w:tabs>
          <w:tab w:val="left" w:pos="851"/>
        </w:tabs>
        <w:ind w:left="851"/>
        <w:rPr>
          <w:bCs/>
          <w:sz w:val="24"/>
          <w:szCs w:val="24"/>
          <w:u w:val="single"/>
        </w:rPr>
      </w:pPr>
      <w:r w:rsidRPr="00F04304">
        <w:rPr>
          <w:bCs/>
          <w:sz w:val="24"/>
          <w:szCs w:val="24"/>
          <w:u w:val="single"/>
        </w:rPr>
        <w:t>Graviditet</w:t>
      </w:r>
    </w:p>
    <w:p w:rsidR="00F9765E" w:rsidRDefault="00F9765E" w:rsidP="00F9765E">
      <w:pPr>
        <w:tabs>
          <w:tab w:val="left" w:pos="851"/>
        </w:tabs>
        <w:ind w:left="851"/>
        <w:rPr>
          <w:bCs/>
          <w:sz w:val="24"/>
          <w:szCs w:val="24"/>
          <w:lang w:val="cs-CZ"/>
        </w:rPr>
      </w:pPr>
      <w:r w:rsidRPr="00564910">
        <w:rPr>
          <w:bCs/>
          <w:sz w:val="24"/>
          <w:szCs w:val="24"/>
          <w:lang w:val="cs-CZ"/>
        </w:rPr>
        <w:t>Ukontrolleret hyperglykæmi i den perikonceptionelle fase og under graviditeten er forbundet med en øget risiko for medfødte misdannelser, spontan abort, graviditetsinduceret hypertension, præeklampsi og perinatal mortalitet. Det er vigtigt at opretholde blodsukkerniveauer så tæt på de normale niveauer som muligt under graviditeten for at mindske risikoen for bivirkninger hos moderen og barnet relateret til hyperglykæmi.</w:t>
      </w:r>
    </w:p>
    <w:p w:rsidR="00F9765E" w:rsidRPr="00564910" w:rsidRDefault="00F9765E" w:rsidP="00F9765E">
      <w:pPr>
        <w:tabs>
          <w:tab w:val="left" w:pos="851"/>
        </w:tabs>
        <w:ind w:left="851"/>
        <w:rPr>
          <w:bCs/>
          <w:sz w:val="24"/>
          <w:szCs w:val="24"/>
          <w:lang w:val="cs-CZ"/>
        </w:rPr>
      </w:pPr>
    </w:p>
    <w:p w:rsidR="00F9765E" w:rsidRDefault="00F9765E" w:rsidP="00F9765E">
      <w:pPr>
        <w:tabs>
          <w:tab w:val="left" w:pos="851"/>
        </w:tabs>
        <w:ind w:left="851"/>
        <w:rPr>
          <w:bCs/>
          <w:sz w:val="24"/>
          <w:szCs w:val="24"/>
          <w:lang w:val="cs-CZ"/>
        </w:rPr>
      </w:pPr>
      <w:r w:rsidRPr="00564910">
        <w:rPr>
          <w:bCs/>
          <w:sz w:val="24"/>
          <w:szCs w:val="24"/>
          <w:lang w:val="cs-CZ"/>
        </w:rPr>
        <w:t>Metformin passerer placenta i koncentrationer, der kan være på niveau med koncentrationerne hos moderen.</w:t>
      </w:r>
    </w:p>
    <w:p w:rsidR="00F9765E" w:rsidRPr="00564910" w:rsidRDefault="00F9765E" w:rsidP="00F9765E">
      <w:pPr>
        <w:tabs>
          <w:tab w:val="left" w:pos="851"/>
        </w:tabs>
        <w:ind w:left="851"/>
        <w:rPr>
          <w:bCs/>
          <w:sz w:val="24"/>
          <w:szCs w:val="24"/>
          <w:lang w:val="cs-CZ"/>
        </w:rPr>
      </w:pPr>
    </w:p>
    <w:p w:rsidR="00F9765E" w:rsidRDefault="00F9765E" w:rsidP="00F9765E">
      <w:pPr>
        <w:tabs>
          <w:tab w:val="left" w:pos="851"/>
        </w:tabs>
        <w:ind w:left="851"/>
        <w:rPr>
          <w:bCs/>
          <w:sz w:val="24"/>
          <w:szCs w:val="24"/>
          <w:lang w:val="cs-CZ"/>
        </w:rPr>
      </w:pPr>
      <w:r w:rsidRPr="00564910">
        <w:rPr>
          <w:bCs/>
          <w:sz w:val="24"/>
          <w:szCs w:val="24"/>
          <w:lang w:val="cs-CZ"/>
        </w:rPr>
        <w:t>En stor mængde data om gravide kvinder (flere end 1.000 eksponerede graviditetsudfald) fra et registerbaseret kohortestudie og offentliggjorte data (metaanalyser, kliniske studier og registre) indikerer ikke en øget risiko for medfødte misdannelser eller føtal/neonatal toksicitet efter eksponering for metformin i den perikonceptionelle fase og/eller under graviditeten.</w:t>
      </w:r>
    </w:p>
    <w:p w:rsidR="00F9765E" w:rsidRPr="00564910" w:rsidRDefault="00F9765E" w:rsidP="00F9765E">
      <w:pPr>
        <w:tabs>
          <w:tab w:val="left" w:pos="851"/>
        </w:tabs>
        <w:ind w:left="851"/>
        <w:rPr>
          <w:bCs/>
          <w:sz w:val="24"/>
          <w:szCs w:val="24"/>
          <w:lang w:val="cs-CZ"/>
        </w:rPr>
      </w:pPr>
    </w:p>
    <w:p w:rsidR="00F9765E" w:rsidRDefault="00F9765E" w:rsidP="00F9765E">
      <w:pPr>
        <w:tabs>
          <w:tab w:val="left" w:pos="851"/>
        </w:tabs>
        <w:ind w:left="851"/>
        <w:rPr>
          <w:bCs/>
          <w:sz w:val="24"/>
          <w:szCs w:val="24"/>
          <w:lang w:val="cs-CZ"/>
        </w:rPr>
      </w:pPr>
      <w:r w:rsidRPr="00564910">
        <w:rPr>
          <w:bCs/>
          <w:sz w:val="24"/>
          <w:szCs w:val="24"/>
          <w:lang w:val="cs-CZ"/>
        </w:rPr>
        <w:t>Der er begrænset og utilstrækkelig evidens på metformins effekt på langsigtede vægtresultater hos børn eksponeret in utero. Metformin synes ikke at have betydning for motorisk eller social udvikling hos børn op til 4-års alderen, der har været eksponeret under graviditeten, selvom langsigtede data er begrænsede.</w:t>
      </w:r>
    </w:p>
    <w:p w:rsidR="00F9765E" w:rsidRPr="00564910" w:rsidRDefault="00F9765E" w:rsidP="00F9765E">
      <w:pPr>
        <w:tabs>
          <w:tab w:val="left" w:pos="851"/>
        </w:tabs>
        <w:ind w:left="851"/>
        <w:rPr>
          <w:bCs/>
          <w:sz w:val="24"/>
          <w:szCs w:val="24"/>
          <w:lang w:val="cs-CZ"/>
        </w:rPr>
      </w:pPr>
    </w:p>
    <w:p w:rsidR="00F9765E" w:rsidRPr="00F04304" w:rsidRDefault="00F9765E" w:rsidP="00F9765E">
      <w:pPr>
        <w:tabs>
          <w:tab w:val="left" w:pos="851"/>
        </w:tabs>
        <w:ind w:left="851"/>
        <w:rPr>
          <w:bCs/>
          <w:sz w:val="24"/>
          <w:szCs w:val="24"/>
        </w:rPr>
      </w:pPr>
      <w:r w:rsidRPr="00564910">
        <w:rPr>
          <w:bCs/>
          <w:sz w:val="24"/>
          <w:szCs w:val="24"/>
          <w:lang w:val="cs-CZ"/>
        </w:rPr>
        <w:t>Hvis klinisk nødvendigt kan anvendelse af metformin overvejes under graviditet og i den perikonceptionelle fase som et tillæg eller alternativ til insulin.</w:t>
      </w:r>
    </w:p>
    <w:p w:rsidR="00F04304" w:rsidRDefault="00F04304" w:rsidP="00F04304">
      <w:pPr>
        <w:tabs>
          <w:tab w:val="left" w:pos="851"/>
        </w:tabs>
        <w:ind w:left="851"/>
        <w:rPr>
          <w:bCs/>
          <w:sz w:val="24"/>
          <w:szCs w:val="24"/>
        </w:rPr>
      </w:pPr>
    </w:p>
    <w:p w:rsidR="00F9765E" w:rsidRDefault="00F9765E" w:rsidP="00F04304">
      <w:pPr>
        <w:tabs>
          <w:tab w:val="left" w:pos="851"/>
        </w:tabs>
        <w:ind w:left="851"/>
        <w:rPr>
          <w:bCs/>
          <w:sz w:val="24"/>
          <w:szCs w:val="24"/>
        </w:rPr>
      </w:pPr>
    </w:p>
    <w:p w:rsidR="00F9765E" w:rsidRPr="00F04304" w:rsidRDefault="00F9765E" w:rsidP="00F04304">
      <w:pPr>
        <w:tabs>
          <w:tab w:val="left" w:pos="851"/>
        </w:tabs>
        <w:ind w:left="851"/>
        <w:rPr>
          <w:bCs/>
          <w:sz w:val="24"/>
          <w:szCs w:val="24"/>
        </w:rPr>
      </w:pPr>
    </w:p>
    <w:p w:rsidR="00F04304" w:rsidRPr="00F04304" w:rsidRDefault="00F04304" w:rsidP="00F04304">
      <w:pPr>
        <w:tabs>
          <w:tab w:val="left" w:pos="851"/>
        </w:tabs>
        <w:ind w:left="851"/>
        <w:rPr>
          <w:bCs/>
          <w:sz w:val="24"/>
          <w:szCs w:val="24"/>
          <w:u w:val="single"/>
        </w:rPr>
      </w:pPr>
      <w:r w:rsidRPr="00F04304">
        <w:rPr>
          <w:bCs/>
          <w:sz w:val="24"/>
          <w:szCs w:val="24"/>
          <w:u w:val="single"/>
        </w:rPr>
        <w:t>Amning</w:t>
      </w:r>
    </w:p>
    <w:p w:rsidR="00F04304" w:rsidRPr="00F04304" w:rsidRDefault="00F04304" w:rsidP="00F04304">
      <w:pPr>
        <w:tabs>
          <w:tab w:val="left" w:pos="851"/>
        </w:tabs>
        <w:ind w:left="851"/>
        <w:rPr>
          <w:bCs/>
          <w:sz w:val="24"/>
          <w:szCs w:val="24"/>
        </w:rPr>
      </w:pPr>
      <w:proofErr w:type="spellStart"/>
      <w:r w:rsidRPr="00F04304">
        <w:rPr>
          <w:bCs/>
          <w:sz w:val="24"/>
          <w:szCs w:val="24"/>
        </w:rPr>
        <w:t>Metformin</w:t>
      </w:r>
      <w:proofErr w:type="spellEnd"/>
      <w:r w:rsidRPr="00F04304">
        <w:rPr>
          <w:bCs/>
          <w:sz w:val="24"/>
          <w:szCs w:val="24"/>
        </w:rPr>
        <w:t xml:space="preserve"> udskilles i modermælken. Der er ikke observeret bivirkninger hos ammede nyfødte/spædbørn.</w:t>
      </w:r>
    </w:p>
    <w:p w:rsidR="00F04304" w:rsidRPr="00F04304" w:rsidRDefault="00F04304" w:rsidP="00F04304">
      <w:pPr>
        <w:tabs>
          <w:tab w:val="left" w:pos="851"/>
        </w:tabs>
        <w:ind w:left="851"/>
        <w:rPr>
          <w:bCs/>
          <w:sz w:val="24"/>
          <w:szCs w:val="24"/>
        </w:rPr>
      </w:pPr>
    </w:p>
    <w:p w:rsidR="00F04304" w:rsidRPr="00F04304" w:rsidRDefault="00F04304" w:rsidP="00F04304">
      <w:pPr>
        <w:tabs>
          <w:tab w:val="left" w:pos="851"/>
        </w:tabs>
        <w:ind w:left="851"/>
        <w:rPr>
          <w:bCs/>
          <w:sz w:val="24"/>
          <w:szCs w:val="24"/>
        </w:rPr>
      </w:pPr>
      <w:r w:rsidRPr="00F04304">
        <w:rPr>
          <w:bCs/>
          <w:sz w:val="24"/>
          <w:szCs w:val="24"/>
        </w:rPr>
        <w:t xml:space="preserve">Alligevel anbefales det ikke at amme mens man behandles med </w:t>
      </w:r>
      <w:proofErr w:type="spellStart"/>
      <w:r w:rsidRPr="00F04304">
        <w:rPr>
          <w:bCs/>
          <w:sz w:val="24"/>
          <w:szCs w:val="24"/>
        </w:rPr>
        <w:t>metformin</w:t>
      </w:r>
      <w:proofErr w:type="spellEnd"/>
      <w:r w:rsidRPr="00F04304">
        <w:rPr>
          <w:bCs/>
          <w:sz w:val="24"/>
          <w:szCs w:val="24"/>
        </w:rPr>
        <w:t xml:space="preserve">, da de tilgængelige data er begrænsede. Beslutningen om hvorvidt man vil amme eller ej bør træffes med tanke på fordelene ved amning for barnet i forhold til den potentielle risiko for bivirkninger hos barnet. </w:t>
      </w:r>
    </w:p>
    <w:p w:rsidR="00F04304" w:rsidRPr="00F04304" w:rsidRDefault="00F04304" w:rsidP="00F04304">
      <w:pPr>
        <w:tabs>
          <w:tab w:val="left" w:pos="851"/>
        </w:tabs>
        <w:ind w:left="851"/>
        <w:rPr>
          <w:bCs/>
          <w:sz w:val="24"/>
          <w:szCs w:val="24"/>
        </w:rPr>
      </w:pPr>
    </w:p>
    <w:p w:rsidR="00F04304" w:rsidRPr="00F04304" w:rsidRDefault="00F04304" w:rsidP="00F04304">
      <w:pPr>
        <w:tabs>
          <w:tab w:val="left" w:pos="851"/>
        </w:tabs>
        <w:ind w:left="851"/>
        <w:rPr>
          <w:bCs/>
          <w:sz w:val="24"/>
          <w:szCs w:val="24"/>
          <w:u w:val="single"/>
        </w:rPr>
      </w:pPr>
      <w:r w:rsidRPr="00F04304">
        <w:rPr>
          <w:bCs/>
          <w:sz w:val="24"/>
          <w:szCs w:val="24"/>
          <w:u w:val="single"/>
        </w:rPr>
        <w:t>Fertilitet</w:t>
      </w:r>
    </w:p>
    <w:p w:rsidR="00F04304" w:rsidRPr="00F04304" w:rsidRDefault="00F04304" w:rsidP="00F04304">
      <w:pPr>
        <w:tabs>
          <w:tab w:val="left" w:pos="851"/>
        </w:tabs>
        <w:ind w:left="851"/>
        <w:rPr>
          <w:bCs/>
          <w:sz w:val="24"/>
          <w:szCs w:val="24"/>
        </w:rPr>
      </w:pPr>
      <w:r w:rsidRPr="00F04304">
        <w:rPr>
          <w:bCs/>
          <w:sz w:val="24"/>
          <w:szCs w:val="24"/>
        </w:rPr>
        <w:t xml:space="preserve">Fertiliteten var upåvirket hos rotter (både hankøn og hunkøn) ved </w:t>
      </w:r>
      <w:proofErr w:type="spellStart"/>
      <w:r w:rsidRPr="00F04304">
        <w:rPr>
          <w:bCs/>
          <w:sz w:val="24"/>
          <w:szCs w:val="24"/>
        </w:rPr>
        <w:t>metforminbehandling</w:t>
      </w:r>
      <w:proofErr w:type="spellEnd"/>
      <w:r w:rsidRPr="00F04304">
        <w:rPr>
          <w:bCs/>
          <w:sz w:val="24"/>
          <w:szCs w:val="24"/>
        </w:rPr>
        <w:t xml:space="preserve"> i doser op til 600mg/kg/dag, hvilket er ca. tre gange den maksimale anbefalede daglige dosis for mennesker, </w:t>
      </w:r>
      <w:r w:rsidRPr="00F04304">
        <w:rPr>
          <w:sz w:val="24"/>
          <w:szCs w:val="24"/>
        </w:rPr>
        <w:t>baseret på sammenligning af arealet af legemsoverfladen</w:t>
      </w:r>
      <w:r w:rsidRPr="00F04304">
        <w:rPr>
          <w:bCs/>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17ECE">
        <w:rPr>
          <w:b/>
          <w:sz w:val="24"/>
          <w:szCs w:val="24"/>
        </w:rPr>
        <w:t>og</w:t>
      </w:r>
      <w:r w:rsidRPr="00C84483">
        <w:rPr>
          <w:b/>
          <w:sz w:val="24"/>
          <w:szCs w:val="24"/>
        </w:rPr>
        <w:t xml:space="preserve"> betjene maskiner</w:t>
      </w:r>
    </w:p>
    <w:p w:rsidR="00712A91" w:rsidRPr="00712A91" w:rsidRDefault="00712A91" w:rsidP="00712A91">
      <w:pPr>
        <w:tabs>
          <w:tab w:val="left" w:pos="851"/>
        </w:tabs>
        <w:ind w:left="851"/>
        <w:rPr>
          <w:bCs/>
          <w:sz w:val="24"/>
          <w:szCs w:val="24"/>
        </w:rPr>
      </w:pPr>
      <w:r w:rsidRPr="00712A91">
        <w:rPr>
          <w:bCs/>
          <w:sz w:val="24"/>
          <w:szCs w:val="24"/>
        </w:rPr>
        <w:t>Ikke mærkning.</w:t>
      </w:r>
    </w:p>
    <w:p w:rsidR="00712A91" w:rsidRPr="00712A91" w:rsidRDefault="00712A91" w:rsidP="00712A91">
      <w:pPr>
        <w:tabs>
          <w:tab w:val="left" w:pos="851"/>
        </w:tabs>
        <w:ind w:left="851"/>
        <w:rPr>
          <w:bCs/>
          <w:sz w:val="24"/>
          <w:szCs w:val="24"/>
        </w:rPr>
      </w:pPr>
      <w:proofErr w:type="spellStart"/>
      <w:r w:rsidRPr="00712A91">
        <w:rPr>
          <w:bCs/>
          <w:sz w:val="24"/>
          <w:szCs w:val="24"/>
        </w:rPr>
        <w:t>Metformin</w:t>
      </w:r>
      <w:proofErr w:type="spellEnd"/>
      <w:r w:rsidRPr="00712A91">
        <w:rPr>
          <w:bCs/>
          <w:sz w:val="24"/>
          <w:szCs w:val="24"/>
        </w:rPr>
        <w:t xml:space="preserve"> monoterapi forårsager ikke hypoglykæmi og påvirker derfor ikke evnen til at </w:t>
      </w:r>
      <w:r w:rsidRPr="00712A91">
        <w:rPr>
          <w:sz w:val="24"/>
          <w:szCs w:val="24"/>
        </w:rPr>
        <w:t>føre motorkøretøj eller betjene maskiner.</w:t>
      </w:r>
    </w:p>
    <w:p w:rsidR="00712A91" w:rsidRPr="00712A91" w:rsidRDefault="00712A91" w:rsidP="00712A91">
      <w:pPr>
        <w:tabs>
          <w:tab w:val="left" w:pos="851"/>
        </w:tabs>
        <w:ind w:left="851"/>
        <w:rPr>
          <w:bCs/>
          <w:sz w:val="24"/>
          <w:szCs w:val="24"/>
        </w:rPr>
      </w:pPr>
    </w:p>
    <w:p w:rsidR="00712A91" w:rsidRPr="00712A91" w:rsidRDefault="00712A91" w:rsidP="00712A91">
      <w:pPr>
        <w:tabs>
          <w:tab w:val="left" w:pos="851"/>
        </w:tabs>
        <w:ind w:left="851"/>
        <w:rPr>
          <w:bCs/>
          <w:sz w:val="24"/>
          <w:szCs w:val="24"/>
        </w:rPr>
      </w:pPr>
      <w:r w:rsidRPr="00712A91">
        <w:rPr>
          <w:bCs/>
          <w:sz w:val="24"/>
          <w:szCs w:val="24"/>
        </w:rPr>
        <w:t xml:space="preserve">Patienter bør dog advares om risikoen for hypoglykæmi, når </w:t>
      </w:r>
      <w:proofErr w:type="spellStart"/>
      <w:r w:rsidRPr="00712A91">
        <w:rPr>
          <w:bCs/>
          <w:sz w:val="24"/>
          <w:szCs w:val="24"/>
        </w:rPr>
        <w:t>metformin</w:t>
      </w:r>
      <w:proofErr w:type="spellEnd"/>
      <w:r w:rsidRPr="00712A91">
        <w:rPr>
          <w:bCs/>
          <w:sz w:val="24"/>
          <w:szCs w:val="24"/>
        </w:rPr>
        <w:t xml:space="preserve"> tages i kombination med andre antidiabetiske midler (f.eks. </w:t>
      </w:r>
      <w:proofErr w:type="spellStart"/>
      <w:r w:rsidRPr="00712A91">
        <w:rPr>
          <w:bCs/>
          <w:sz w:val="24"/>
          <w:szCs w:val="24"/>
        </w:rPr>
        <w:t>sulfonylurinstoffer</w:t>
      </w:r>
      <w:proofErr w:type="spellEnd"/>
      <w:r w:rsidRPr="00712A91">
        <w:rPr>
          <w:bCs/>
          <w:sz w:val="24"/>
          <w:szCs w:val="24"/>
        </w:rPr>
        <w:t xml:space="preserve">, insulin eller </w:t>
      </w:r>
      <w:proofErr w:type="spellStart"/>
      <w:r w:rsidRPr="00712A91">
        <w:rPr>
          <w:bCs/>
          <w:sz w:val="24"/>
          <w:szCs w:val="24"/>
        </w:rPr>
        <w:t>meglitinider</w:t>
      </w:r>
      <w:proofErr w:type="spellEnd"/>
      <w:r w:rsidRPr="00712A91">
        <w:rPr>
          <w:bCs/>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37284" w:rsidRPr="00837284" w:rsidRDefault="00837284" w:rsidP="00837284">
      <w:pPr>
        <w:pStyle w:val="Sidehoved"/>
        <w:tabs>
          <w:tab w:val="left" w:pos="851"/>
        </w:tabs>
        <w:ind w:left="851"/>
        <w:rPr>
          <w:bCs/>
          <w:szCs w:val="24"/>
        </w:rPr>
      </w:pPr>
      <w:r w:rsidRPr="00837284">
        <w:rPr>
          <w:bCs/>
          <w:szCs w:val="24"/>
        </w:rPr>
        <w:t xml:space="preserve">Ved behandlingens begyndelse er nogle af de mest almindelige bivirkninger kvalme, opkast, diarré, mavesmerter og appetitløshed, som forsvinder spontant i de fleste tilfælde. For at undgå disse bivirkninger, anbefales det at tage </w:t>
      </w:r>
      <w:proofErr w:type="spellStart"/>
      <w:r w:rsidRPr="00837284">
        <w:rPr>
          <w:bCs/>
          <w:szCs w:val="24"/>
        </w:rPr>
        <w:t>metformin</w:t>
      </w:r>
      <w:proofErr w:type="spellEnd"/>
      <w:r w:rsidRPr="00837284">
        <w:rPr>
          <w:bCs/>
          <w:szCs w:val="24"/>
        </w:rPr>
        <w:t xml:space="preserve"> i 2 eller 3 daglige doser og langsomt øge doserne. </w:t>
      </w:r>
    </w:p>
    <w:p w:rsidR="00837284" w:rsidRPr="00837284" w:rsidRDefault="00837284" w:rsidP="00837284">
      <w:pPr>
        <w:pStyle w:val="Sidehoved"/>
        <w:tabs>
          <w:tab w:val="left" w:pos="851"/>
        </w:tabs>
        <w:ind w:left="851"/>
        <w:rPr>
          <w:bCs/>
          <w:szCs w:val="24"/>
        </w:rPr>
      </w:pPr>
    </w:p>
    <w:p w:rsidR="00837284" w:rsidRPr="007F54B7" w:rsidRDefault="00837284" w:rsidP="00837284">
      <w:pPr>
        <w:pStyle w:val="Sidehoved"/>
        <w:tabs>
          <w:tab w:val="left" w:pos="851"/>
        </w:tabs>
        <w:ind w:left="851"/>
        <w:rPr>
          <w:bCs/>
          <w:szCs w:val="24"/>
          <w:u w:val="single"/>
        </w:rPr>
      </w:pPr>
      <w:r w:rsidRPr="007F54B7">
        <w:rPr>
          <w:bCs/>
          <w:szCs w:val="24"/>
          <w:u w:val="single"/>
        </w:rPr>
        <w:t xml:space="preserve">Følgende bivirkninger kan opstå ved behandlingen med </w:t>
      </w:r>
      <w:proofErr w:type="spellStart"/>
      <w:r w:rsidRPr="007F54B7">
        <w:rPr>
          <w:bCs/>
          <w:szCs w:val="24"/>
          <w:u w:val="single"/>
        </w:rPr>
        <w:t>metformin</w:t>
      </w:r>
      <w:proofErr w:type="spellEnd"/>
    </w:p>
    <w:p w:rsidR="00837284" w:rsidRPr="00837284" w:rsidRDefault="00837284" w:rsidP="00837284">
      <w:pPr>
        <w:pStyle w:val="Sidehoved"/>
        <w:tabs>
          <w:tab w:val="left" w:pos="851"/>
        </w:tabs>
        <w:ind w:left="851"/>
        <w:rPr>
          <w:bCs/>
          <w:szCs w:val="24"/>
        </w:rPr>
      </w:pPr>
      <w:r w:rsidRPr="00837284">
        <w:rPr>
          <w:bCs/>
          <w:szCs w:val="24"/>
        </w:rPr>
        <w:t xml:space="preserve">Hyppighed defineres som følger: Meget </w:t>
      </w:r>
      <w:proofErr w:type="gramStart"/>
      <w:r w:rsidRPr="00837284">
        <w:rPr>
          <w:bCs/>
          <w:szCs w:val="24"/>
        </w:rPr>
        <w:t>almindelig  (</w:t>
      </w:r>
      <w:proofErr w:type="gramEnd"/>
      <w:r w:rsidRPr="00837284">
        <w:rPr>
          <w:bCs/>
          <w:szCs w:val="24"/>
        </w:rPr>
        <w:t>≥1/10); almindelig (≥1/100 til&lt;1/10); ikke almindelig (≥1/1.000 til&lt;1/100); sjælden (≥1/10.000 til &lt;1/1.000); meget sjælden (&lt;1/10.000).</w:t>
      </w:r>
    </w:p>
    <w:p w:rsidR="00837284" w:rsidRPr="00837284" w:rsidRDefault="00837284" w:rsidP="00837284">
      <w:pPr>
        <w:pStyle w:val="Sidehoved"/>
        <w:tabs>
          <w:tab w:val="left" w:pos="851"/>
        </w:tabs>
        <w:ind w:left="851"/>
        <w:rPr>
          <w:bCs/>
          <w:szCs w:val="24"/>
        </w:rPr>
      </w:pPr>
      <w:r w:rsidRPr="00837284">
        <w:rPr>
          <w:bCs/>
          <w:szCs w:val="24"/>
        </w:rPr>
        <w:t xml:space="preserve">I hver hyppighedsgruppering præsenteres bivirkningerne </w:t>
      </w:r>
      <w:r w:rsidRPr="00837284">
        <w:rPr>
          <w:szCs w:val="24"/>
        </w:rPr>
        <w:t>efter, hvor alvorlige de er. De alvorligste bivirkninger er anført først.</w:t>
      </w:r>
    </w:p>
    <w:p w:rsidR="00837284" w:rsidRPr="00837284" w:rsidRDefault="00837284" w:rsidP="00837284">
      <w:pPr>
        <w:pStyle w:val="Sidehoved"/>
        <w:tabs>
          <w:tab w:val="left" w:pos="851"/>
        </w:tabs>
        <w:ind w:left="851"/>
        <w:rPr>
          <w:bCs/>
          <w:szCs w:val="24"/>
        </w:rPr>
      </w:pPr>
    </w:p>
    <w:p w:rsidR="00837284" w:rsidRPr="00837284" w:rsidRDefault="00837284" w:rsidP="00837284">
      <w:pPr>
        <w:pStyle w:val="Sidehoved"/>
        <w:tabs>
          <w:tab w:val="left" w:pos="851"/>
        </w:tabs>
        <w:ind w:left="851"/>
        <w:rPr>
          <w:bCs/>
          <w:szCs w:val="24"/>
          <w:u w:val="single"/>
        </w:rPr>
      </w:pPr>
      <w:r w:rsidRPr="00837284">
        <w:rPr>
          <w:bCs/>
          <w:szCs w:val="24"/>
          <w:u w:val="single"/>
        </w:rPr>
        <w:t>Metabolisme og ernæring</w:t>
      </w:r>
    </w:p>
    <w:p w:rsidR="00F9765E" w:rsidRDefault="00F9765E" w:rsidP="00F9765E">
      <w:pPr>
        <w:pStyle w:val="Sidehoved"/>
        <w:tabs>
          <w:tab w:val="left" w:pos="851"/>
        </w:tabs>
        <w:ind w:left="851"/>
        <w:rPr>
          <w:bCs/>
          <w:i/>
          <w:szCs w:val="24"/>
        </w:rPr>
      </w:pPr>
      <w:r>
        <w:rPr>
          <w:bCs/>
          <w:i/>
          <w:szCs w:val="24"/>
        </w:rPr>
        <w:t>Almindelig</w:t>
      </w:r>
    </w:p>
    <w:p w:rsidR="00F9765E" w:rsidRPr="00192FAC" w:rsidRDefault="00F9765E" w:rsidP="00F9765E">
      <w:pPr>
        <w:pStyle w:val="Sidehoved"/>
        <w:numPr>
          <w:ilvl w:val="0"/>
          <w:numId w:val="8"/>
        </w:numPr>
        <w:tabs>
          <w:tab w:val="clear" w:pos="4819"/>
          <w:tab w:val="left" w:pos="1134"/>
        </w:tabs>
        <w:ind w:left="1134" w:hanging="283"/>
        <w:rPr>
          <w:bCs/>
          <w:iCs/>
          <w:szCs w:val="24"/>
        </w:rPr>
      </w:pPr>
      <w:r w:rsidRPr="00564910">
        <w:rPr>
          <w:bCs/>
          <w:iCs/>
          <w:szCs w:val="24"/>
        </w:rPr>
        <w:t>Fald i B12-vitaminniveau eller B12-vitaminmangel (se pkt. 4.4)</w:t>
      </w:r>
      <w:r>
        <w:rPr>
          <w:bCs/>
          <w:iCs/>
          <w:szCs w:val="24"/>
        </w:rPr>
        <w:t>.</w:t>
      </w:r>
    </w:p>
    <w:p w:rsidR="00F9765E" w:rsidRDefault="00F9765E" w:rsidP="00F9765E">
      <w:pPr>
        <w:pStyle w:val="Sidehoved"/>
        <w:tabs>
          <w:tab w:val="left" w:pos="851"/>
        </w:tabs>
        <w:ind w:left="851"/>
        <w:rPr>
          <w:bCs/>
          <w:i/>
          <w:szCs w:val="24"/>
        </w:rPr>
      </w:pPr>
    </w:p>
    <w:p w:rsidR="00F9765E" w:rsidRPr="00837284" w:rsidRDefault="00F9765E" w:rsidP="00F9765E">
      <w:pPr>
        <w:pStyle w:val="Sidehoved"/>
        <w:tabs>
          <w:tab w:val="left" w:pos="851"/>
        </w:tabs>
        <w:ind w:left="851"/>
        <w:rPr>
          <w:bCs/>
          <w:i/>
          <w:szCs w:val="24"/>
        </w:rPr>
      </w:pPr>
      <w:r w:rsidRPr="00837284">
        <w:rPr>
          <w:bCs/>
          <w:i/>
          <w:szCs w:val="24"/>
        </w:rPr>
        <w:t>Meget sjælden</w:t>
      </w:r>
    </w:p>
    <w:p w:rsidR="00F9765E" w:rsidRDefault="00F9765E" w:rsidP="00F9765E">
      <w:pPr>
        <w:pStyle w:val="Sidehoved"/>
        <w:numPr>
          <w:ilvl w:val="0"/>
          <w:numId w:val="8"/>
        </w:numPr>
        <w:tabs>
          <w:tab w:val="clear" w:pos="4819"/>
          <w:tab w:val="left" w:pos="1134"/>
        </w:tabs>
        <w:ind w:left="1134" w:hanging="283"/>
        <w:rPr>
          <w:bCs/>
          <w:szCs w:val="24"/>
        </w:rPr>
      </w:pPr>
      <w:proofErr w:type="spellStart"/>
      <w:r w:rsidRPr="00837284">
        <w:rPr>
          <w:bCs/>
          <w:szCs w:val="24"/>
        </w:rPr>
        <w:t>Laktatacidose</w:t>
      </w:r>
      <w:proofErr w:type="spellEnd"/>
      <w:r w:rsidRPr="00837284">
        <w:rPr>
          <w:bCs/>
          <w:szCs w:val="24"/>
        </w:rPr>
        <w:t xml:space="preserve"> (se pkt. 4.4).</w:t>
      </w:r>
    </w:p>
    <w:p w:rsidR="00837284" w:rsidRPr="00837284" w:rsidRDefault="00837284" w:rsidP="00837284">
      <w:pPr>
        <w:pStyle w:val="Sidehoved"/>
        <w:tabs>
          <w:tab w:val="left" w:pos="851"/>
        </w:tabs>
        <w:ind w:left="851"/>
        <w:rPr>
          <w:bCs/>
          <w:szCs w:val="24"/>
        </w:rPr>
      </w:pPr>
    </w:p>
    <w:p w:rsidR="00837284" w:rsidRPr="00837284" w:rsidRDefault="00837284" w:rsidP="00837284">
      <w:pPr>
        <w:pStyle w:val="Sidehoved"/>
        <w:tabs>
          <w:tab w:val="left" w:pos="851"/>
        </w:tabs>
        <w:ind w:left="851"/>
        <w:rPr>
          <w:bCs/>
          <w:szCs w:val="24"/>
          <w:u w:val="single"/>
        </w:rPr>
      </w:pPr>
      <w:r w:rsidRPr="00837284">
        <w:rPr>
          <w:bCs/>
          <w:szCs w:val="24"/>
          <w:u w:val="single"/>
        </w:rPr>
        <w:t>Nervesystemet</w:t>
      </w:r>
    </w:p>
    <w:p w:rsidR="00837284" w:rsidRPr="00837284" w:rsidRDefault="00837284" w:rsidP="00837284">
      <w:pPr>
        <w:pStyle w:val="Sidehoved"/>
        <w:tabs>
          <w:tab w:val="left" w:pos="851"/>
        </w:tabs>
        <w:ind w:left="851"/>
        <w:rPr>
          <w:bCs/>
          <w:i/>
          <w:szCs w:val="24"/>
        </w:rPr>
      </w:pPr>
      <w:r w:rsidRPr="00837284">
        <w:rPr>
          <w:bCs/>
          <w:i/>
          <w:szCs w:val="24"/>
        </w:rPr>
        <w:t>Almindelig</w:t>
      </w:r>
    </w:p>
    <w:p w:rsidR="00837284" w:rsidRPr="00837284" w:rsidRDefault="00837284" w:rsidP="007F54B7">
      <w:pPr>
        <w:pStyle w:val="Sidehoved"/>
        <w:numPr>
          <w:ilvl w:val="0"/>
          <w:numId w:val="9"/>
        </w:numPr>
        <w:tabs>
          <w:tab w:val="left" w:pos="1134"/>
        </w:tabs>
        <w:ind w:left="1134" w:hanging="283"/>
        <w:rPr>
          <w:bCs/>
          <w:szCs w:val="24"/>
        </w:rPr>
      </w:pPr>
      <w:r w:rsidRPr="00837284">
        <w:rPr>
          <w:bCs/>
          <w:szCs w:val="24"/>
        </w:rPr>
        <w:t>Smagsforstyrrelser</w:t>
      </w:r>
      <w:r w:rsidR="00E21260">
        <w:rPr>
          <w:bCs/>
          <w:szCs w:val="24"/>
        </w:rPr>
        <w:t>.</w:t>
      </w:r>
    </w:p>
    <w:p w:rsidR="00837284" w:rsidRPr="00837284" w:rsidRDefault="00837284" w:rsidP="00837284">
      <w:pPr>
        <w:pStyle w:val="Sidehoved"/>
        <w:tabs>
          <w:tab w:val="left" w:pos="851"/>
        </w:tabs>
        <w:ind w:left="851"/>
        <w:rPr>
          <w:bCs/>
          <w:szCs w:val="24"/>
        </w:rPr>
      </w:pPr>
    </w:p>
    <w:p w:rsidR="00837284" w:rsidRPr="00E21260" w:rsidRDefault="00837284" w:rsidP="00837284">
      <w:pPr>
        <w:pStyle w:val="Sidehoved"/>
        <w:tabs>
          <w:tab w:val="left" w:pos="851"/>
        </w:tabs>
        <w:ind w:left="851"/>
        <w:rPr>
          <w:bCs/>
          <w:szCs w:val="24"/>
          <w:u w:val="single"/>
        </w:rPr>
      </w:pPr>
      <w:r w:rsidRPr="00E21260">
        <w:rPr>
          <w:szCs w:val="24"/>
          <w:u w:val="single"/>
        </w:rPr>
        <w:t>Mave-tarm-kanalen</w:t>
      </w:r>
    </w:p>
    <w:p w:rsidR="00837284" w:rsidRPr="00837284" w:rsidRDefault="00837284" w:rsidP="00837284">
      <w:pPr>
        <w:pStyle w:val="Sidehoved"/>
        <w:tabs>
          <w:tab w:val="left" w:pos="851"/>
        </w:tabs>
        <w:ind w:left="851"/>
        <w:rPr>
          <w:bCs/>
          <w:i/>
          <w:szCs w:val="24"/>
        </w:rPr>
      </w:pPr>
      <w:r w:rsidRPr="00837284">
        <w:rPr>
          <w:bCs/>
          <w:i/>
          <w:szCs w:val="24"/>
        </w:rPr>
        <w:t>Meget almindelig</w:t>
      </w:r>
    </w:p>
    <w:p w:rsidR="00837284" w:rsidRPr="00837284" w:rsidRDefault="00837284" w:rsidP="007F54B7">
      <w:pPr>
        <w:pStyle w:val="Sidehoved"/>
        <w:numPr>
          <w:ilvl w:val="0"/>
          <w:numId w:val="9"/>
        </w:numPr>
        <w:tabs>
          <w:tab w:val="left" w:pos="1134"/>
        </w:tabs>
        <w:ind w:left="1134" w:hanging="283"/>
        <w:rPr>
          <w:bCs/>
          <w:szCs w:val="24"/>
        </w:rPr>
      </w:pPr>
      <w:r w:rsidRPr="00837284">
        <w:rPr>
          <w:bCs/>
          <w:szCs w:val="24"/>
        </w:rPr>
        <w:t xml:space="preserve">Fordøjelsesproblemer såsom kvalme, opkast, diarré, mavesmerter og appetitløshed. Disse bivirkninger opstår hyppigst i begyndelsen af behandlingen og forsvinder i fleste tilfælde af sig selv. For at forebygge dem anbefales det, at </w:t>
      </w:r>
      <w:proofErr w:type="spellStart"/>
      <w:r w:rsidRPr="00837284">
        <w:rPr>
          <w:bCs/>
          <w:szCs w:val="24"/>
        </w:rPr>
        <w:t>metformin</w:t>
      </w:r>
      <w:proofErr w:type="spellEnd"/>
      <w:r w:rsidRPr="00837284">
        <w:rPr>
          <w:bCs/>
          <w:szCs w:val="24"/>
        </w:rPr>
        <w:t xml:space="preserve"> tages i 2 eller 3 daglige doser i forbindelse med eller efter et måltid. En langsom optrapning af dosis kan også forbedre den </w:t>
      </w:r>
      <w:proofErr w:type="spellStart"/>
      <w:r w:rsidRPr="00837284">
        <w:rPr>
          <w:bCs/>
          <w:szCs w:val="24"/>
        </w:rPr>
        <w:t>gastrointestinale</w:t>
      </w:r>
      <w:proofErr w:type="spellEnd"/>
      <w:r w:rsidRPr="00837284">
        <w:rPr>
          <w:bCs/>
          <w:szCs w:val="24"/>
        </w:rPr>
        <w:t xml:space="preserve"> </w:t>
      </w:r>
      <w:proofErr w:type="spellStart"/>
      <w:r w:rsidRPr="00837284">
        <w:rPr>
          <w:bCs/>
          <w:szCs w:val="24"/>
        </w:rPr>
        <w:t>tolerabilitet</w:t>
      </w:r>
      <w:proofErr w:type="spellEnd"/>
      <w:r w:rsidRPr="00837284">
        <w:rPr>
          <w:bCs/>
          <w:szCs w:val="24"/>
        </w:rPr>
        <w:t>.</w:t>
      </w:r>
    </w:p>
    <w:p w:rsidR="00837284" w:rsidRPr="00837284" w:rsidRDefault="00837284" w:rsidP="00837284">
      <w:pPr>
        <w:pStyle w:val="Sidehoved"/>
        <w:tabs>
          <w:tab w:val="left" w:pos="851"/>
        </w:tabs>
        <w:ind w:left="851"/>
        <w:rPr>
          <w:bCs/>
          <w:szCs w:val="24"/>
        </w:rPr>
      </w:pPr>
    </w:p>
    <w:p w:rsidR="00837284" w:rsidRPr="00837284" w:rsidRDefault="00837284" w:rsidP="00837284">
      <w:pPr>
        <w:pStyle w:val="Sidehoved"/>
        <w:tabs>
          <w:tab w:val="left" w:pos="851"/>
        </w:tabs>
        <w:ind w:left="851"/>
        <w:rPr>
          <w:bCs/>
          <w:szCs w:val="24"/>
          <w:u w:val="single"/>
        </w:rPr>
      </w:pPr>
      <w:r w:rsidRPr="00837284">
        <w:rPr>
          <w:bCs/>
          <w:szCs w:val="24"/>
          <w:u w:val="single"/>
        </w:rPr>
        <w:t>Lever og galdeveje</w:t>
      </w:r>
    </w:p>
    <w:p w:rsidR="00837284" w:rsidRPr="00837284" w:rsidRDefault="00837284" w:rsidP="00837284">
      <w:pPr>
        <w:pStyle w:val="Sidehoved"/>
        <w:tabs>
          <w:tab w:val="left" w:pos="851"/>
        </w:tabs>
        <w:ind w:left="851"/>
        <w:rPr>
          <w:bCs/>
          <w:i/>
          <w:szCs w:val="24"/>
        </w:rPr>
      </w:pPr>
      <w:r w:rsidRPr="00837284">
        <w:rPr>
          <w:bCs/>
          <w:i/>
          <w:szCs w:val="24"/>
        </w:rPr>
        <w:t>Meget sjælden</w:t>
      </w:r>
    </w:p>
    <w:p w:rsidR="00837284" w:rsidRPr="00837284" w:rsidRDefault="00837284" w:rsidP="007F54B7">
      <w:pPr>
        <w:pStyle w:val="Sidehoved"/>
        <w:numPr>
          <w:ilvl w:val="0"/>
          <w:numId w:val="9"/>
        </w:numPr>
        <w:tabs>
          <w:tab w:val="left" w:pos="1134"/>
        </w:tabs>
        <w:ind w:left="1134" w:hanging="283"/>
        <w:rPr>
          <w:bCs/>
          <w:szCs w:val="24"/>
        </w:rPr>
      </w:pPr>
      <w:r w:rsidRPr="00837284">
        <w:rPr>
          <w:bCs/>
          <w:szCs w:val="24"/>
        </w:rPr>
        <w:t xml:space="preserve">Isolerede rapporter om anormale leverfunktionsprøver eller leverbetændelse, som forsvandt efter afbrydelse af </w:t>
      </w:r>
      <w:proofErr w:type="spellStart"/>
      <w:r w:rsidRPr="00837284">
        <w:rPr>
          <w:bCs/>
          <w:szCs w:val="24"/>
        </w:rPr>
        <w:t>metforminbehandlingen</w:t>
      </w:r>
      <w:proofErr w:type="spellEnd"/>
      <w:r w:rsidRPr="00837284">
        <w:rPr>
          <w:bCs/>
          <w:szCs w:val="24"/>
        </w:rPr>
        <w:t xml:space="preserve">. </w:t>
      </w:r>
    </w:p>
    <w:p w:rsidR="00837284" w:rsidRPr="00837284" w:rsidRDefault="00837284" w:rsidP="00837284">
      <w:pPr>
        <w:pStyle w:val="Sidehoved"/>
        <w:tabs>
          <w:tab w:val="left" w:pos="851"/>
        </w:tabs>
        <w:ind w:left="851"/>
        <w:rPr>
          <w:bCs/>
          <w:szCs w:val="24"/>
        </w:rPr>
      </w:pPr>
    </w:p>
    <w:p w:rsidR="00837284" w:rsidRPr="00837284" w:rsidRDefault="00837284" w:rsidP="00837284">
      <w:pPr>
        <w:pStyle w:val="Sidehoved"/>
        <w:tabs>
          <w:tab w:val="left" w:pos="851"/>
        </w:tabs>
        <w:ind w:left="851"/>
        <w:rPr>
          <w:bCs/>
          <w:szCs w:val="24"/>
          <w:u w:val="single"/>
        </w:rPr>
      </w:pPr>
      <w:r w:rsidRPr="00837284">
        <w:rPr>
          <w:bCs/>
          <w:szCs w:val="24"/>
          <w:u w:val="single"/>
        </w:rPr>
        <w:t>Hud og subkutane væv</w:t>
      </w:r>
    </w:p>
    <w:p w:rsidR="00837284" w:rsidRPr="00837284" w:rsidRDefault="00837284" w:rsidP="00837284">
      <w:pPr>
        <w:pStyle w:val="Sidehoved"/>
        <w:tabs>
          <w:tab w:val="left" w:pos="851"/>
        </w:tabs>
        <w:ind w:left="851"/>
        <w:rPr>
          <w:bCs/>
          <w:i/>
          <w:szCs w:val="24"/>
        </w:rPr>
      </w:pPr>
      <w:r w:rsidRPr="00837284">
        <w:rPr>
          <w:bCs/>
          <w:i/>
          <w:szCs w:val="24"/>
        </w:rPr>
        <w:t>Meget sjældne</w:t>
      </w:r>
    </w:p>
    <w:p w:rsidR="00837284" w:rsidRPr="00837284" w:rsidRDefault="00837284" w:rsidP="007F54B7">
      <w:pPr>
        <w:pStyle w:val="Sidehoved"/>
        <w:numPr>
          <w:ilvl w:val="0"/>
          <w:numId w:val="9"/>
        </w:numPr>
        <w:tabs>
          <w:tab w:val="left" w:pos="1134"/>
        </w:tabs>
        <w:ind w:left="1134" w:hanging="283"/>
        <w:rPr>
          <w:bCs/>
          <w:szCs w:val="24"/>
        </w:rPr>
      </w:pPr>
      <w:r w:rsidRPr="00837284">
        <w:rPr>
          <w:bCs/>
          <w:szCs w:val="24"/>
        </w:rPr>
        <w:t xml:space="preserve">Hudreaktioner såsom </w:t>
      </w:r>
      <w:proofErr w:type="spellStart"/>
      <w:r w:rsidRPr="00837284">
        <w:rPr>
          <w:bCs/>
          <w:szCs w:val="24"/>
        </w:rPr>
        <w:t>erytem</w:t>
      </w:r>
      <w:proofErr w:type="spellEnd"/>
      <w:r w:rsidRPr="00837284">
        <w:rPr>
          <w:bCs/>
          <w:szCs w:val="24"/>
        </w:rPr>
        <w:t xml:space="preserve">, </w:t>
      </w:r>
      <w:proofErr w:type="spellStart"/>
      <w:r w:rsidRPr="00837284">
        <w:rPr>
          <w:bCs/>
          <w:szCs w:val="24"/>
        </w:rPr>
        <w:t>pruritus</w:t>
      </w:r>
      <w:proofErr w:type="spellEnd"/>
      <w:r w:rsidRPr="00837284">
        <w:rPr>
          <w:bCs/>
          <w:szCs w:val="24"/>
        </w:rPr>
        <w:t xml:space="preserve"> og nældefeber </w:t>
      </w:r>
    </w:p>
    <w:p w:rsidR="00837284" w:rsidRPr="00837284" w:rsidRDefault="00837284" w:rsidP="00837284">
      <w:pPr>
        <w:pStyle w:val="Sidehoved"/>
        <w:tabs>
          <w:tab w:val="left" w:pos="851"/>
        </w:tabs>
        <w:ind w:left="851"/>
        <w:rPr>
          <w:bCs/>
          <w:szCs w:val="24"/>
          <w:u w:val="single"/>
        </w:rPr>
      </w:pPr>
    </w:p>
    <w:p w:rsidR="00837284" w:rsidRPr="00837284" w:rsidRDefault="00837284" w:rsidP="00837284">
      <w:pPr>
        <w:pStyle w:val="Sidehoved"/>
        <w:tabs>
          <w:tab w:val="left" w:pos="851"/>
        </w:tabs>
        <w:ind w:left="851"/>
        <w:rPr>
          <w:b/>
          <w:bCs/>
          <w:szCs w:val="24"/>
          <w:u w:val="single"/>
        </w:rPr>
      </w:pPr>
      <w:r w:rsidRPr="00837284">
        <w:rPr>
          <w:szCs w:val="24"/>
          <w:u w:val="single"/>
        </w:rPr>
        <w:t>Pædiatrisk population</w:t>
      </w:r>
      <w:r w:rsidRPr="00837284">
        <w:rPr>
          <w:b/>
          <w:bCs/>
          <w:szCs w:val="24"/>
          <w:u w:val="single"/>
        </w:rPr>
        <w:t xml:space="preserve"> </w:t>
      </w:r>
    </w:p>
    <w:p w:rsidR="00837284" w:rsidRPr="00837284" w:rsidRDefault="00837284" w:rsidP="00837284">
      <w:pPr>
        <w:pStyle w:val="Sidehoved"/>
        <w:tabs>
          <w:tab w:val="left" w:pos="851"/>
        </w:tabs>
        <w:ind w:left="851"/>
        <w:rPr>
          <w:bCs/>
          <w:szCs w:val="24"/>
        </w:rPr>
      </w:pPr>
      <w:r w:rsidRPr="00837284">
        <w:rPr>
          <w:bCs/>
          <w:szCs w:val="24"/>
        </w:rPr>
        <w:t>Ifølge udgivne data og data efter markedsføringen samt kontrollerede kliniske forsøg svarede de rapporterede bivirkninger hos en begrænset, pædiatrisk population på 10-16 år, der modtog behandling i et år, i art og sværhedsgrad til de rapporterede bivirkninger hos voksne</w:t>
      </w:r>
    </w:p>
    <w:p w:rsidR="00837284" w:rsidRPr="00837284" w:rsidRDefault="00837284" w:rsidP="00837284">
      <w:pPr>
        <w:pStyle w:val="Sidehoved"/>
        <w:tabs>
          <w:tab w:val="left" w:pos="851"/>
        </w:tabs>
        <w:ind w:left="851"/>
        <w:rPr>
          <w:bCs/>
          <w:szCs w:val="24"/>
          <w:u w:val="single"/>
        </w:rPr>
      </w:pPr>
    </w:p>
    <w:p w:rsidR="00837284" w:rsidRPr="00837284" w:rsidRDefault="00837284" w:rsidP="00837284">
      <w:pPr>
        <w:pStyle w:val="Sidehoved"/>
        <w:tabs>
          <w:tab w:val="left" w:pos="851"/>
        </w:tabs>
        <w:ind w:left="851"/>
        <w:rPr>
          <w:bCs/>
          <w:szCs w:val="24"/>
          <w:u w:val="single"/>
        </w:rPr>
      </w:pPr>
      <w:r w:rsidRPr="00837284">
        <w:rPr>
          <w:bCs/>
          <w:szCs w:val="24"/>
          <w:u w:val="single"/>
        </w:rPr>
        <w:t>Rapportering af formodede bivirkninger</w:t>
      </w:r>
    </w:p>
    <w:p w:rsidR="00837284" w:rsidRPr="00837284" w:rsidRDefault="00837284" w:rsidP="00837284">
      <w:pPr>
        <w:pStyle w:val="Sidehoved"/>
        <w:ind w:left="851"/>
        <w:rPr>
          <w:szCs w:val="24"/>
        </w:rPr>
      </w:pPr>
      <w:r w:rsidRPr="00837284">
        <w:rPr>
          <w:szCs w:val="24"/>
        </w:rPr>
        <w:t>Når lægemidlet er godkendt, er indberetning af formodede bivirkninger vigtig. Det muliggør løbende overvågning af benefit/</w:t>
      </w:r>
      <w:proofErr w:type="spellStart"/>
      <w:r w:rsidRPr="00837284">
        <w:rPr>
          <w:szCs w:val="24"/>
        </w:rPr>
        <w:t>risk</w:t>
      </w:r>
      <w:proofErr w:type="spellEnd"/>
      <w:r w:rsidRPr="00837284">
        <w:rPr>
          <w:szCs w:val="24"/>
        </w:rPr>
        <w:t xml:space="preserve">-forholdet for lægemidlet. </w:t>
      </w:r>
      <w:r w:rsidR="00E21260">
        <w:rPr>
          <w:szCs w:val="24"/>
        </w:rPr>
        <w:t>Sundhedspersoner</w:t>
      </w:r>
      <w:r w:rsidRPr="00837284">
        <w:rPr>
          <w:szCs w:val="24"/>
        </w:rPr>
        <w:t xml:space="preserve"> anmodes om at indberette alle formodede bivirkninger via:</w:t>
      </w:r>
    </w:p>
    <w:p w:rsidR="00837284" w:rsidRPr="00837284" w:rsidRDefault="00837284" w:rsidP="00837284">
      <w:pPr>
        <w:pStyle w:val="Sidehoved"/>
        <w:ind w:left="851"/>
        <w:rPr>
          <w:szCs w:val="24"/>
        </w:rPr>
      </w:pPr>
    </w:p>
    <w:p w:rsidR="00837284" w:rsidRPr="00837284" w:rsidRDefault="00837284" w:rsidP="00837284">
      <w:pPr>
        <w:pStyle w:val="Sidehoved"/>
        <w:ind w:left="851"/>
        <w:rPr>
          <w:szCs w:val="24"/>
        </w:rPr>
      </w:pPr>
      <w:r w:rsidRPr="00837284">
        <w:rPr>
          <w:szCs w:val="24"/>
        </w:rPr>
        <w:t>Lægemiddelstyrelsen</w:t>
      </w:r>
    </w:p>
    <w:p w:rsidR="00837284" w:rsidRPr="00837284" w:rsidRDefault="00837284" w:rsidP="00837284">
      <w:pPr>
        <w:pStyle w:val="Sidehoved"/>
        <w:ind w:left="851"/>
        <w:rPr>
          <w:szCs w:val="24"/>
        </w:rPr>
      </w:pPr>
      <w:r w:rsidRPr="00837284">
        <w:rPr>
          <w:szCs w:val="24"/>
        </w:rPr>
        <w:t>Axel Heides Gade 1</w:t>
      </w:r>
    </w:p>
    <w:p w:rsidR="00837284" w:rsidRPr="00837284" w:rsidRDefault="00837284" w:rsidP="00837284">
      <w:pPr>
        <w:pStyle w:val="Sidehoved"/>
        <w:ind w:left="851"/>
        <w:rPr>
          <w:szCs w:val="24"/>
        </w:rPr>
      </w:pPr>
      <w:r w:rsidRPr="00837284">
        <w:rPr>
          <w:szCs w:val="24"/>
        </w:rPr>
        <w:t>DK-2300 København S</w:t>
      </w:r>
    </w:p>
    <w:p w:rsidR="00837284" w:rsidRPr="00837284" w:rsidRDefault="00837284" w:rsidP="00837284">
      <w:pPr>
        <w:pStyle w:val="Sidehoved"/>
        <w:ind w:left="851"/>
        <w:rPr>
          <w:szCs w:val="24"/>
        </w:rPr>
      </w:pPr>
      <w:r w:rsidRPr="00837284">
        <w:rPr>
          <w:szCs w:val="24"/>
        </w:rPr>
        <w:t xml:space="preserve">Websted: </w:t>
      </w:r>
      <w:r w:rsidRPr="00E21260">
        <w:rPr>
          <w:szCs w:val="24"/>
        </w:rPr>
        <w:t>www.meldenbivirkning.dk</w:t>
      </w:r>
      <w:r w:rsidRPr="00837284">
        <w:rPr>
          <w:szCs w:val="24"/>
        </w:rPr>
        <w:t xml:space="preserve"> </w:t>
      </w:r>
    </w:p>
    <w:p w:rsidR="00837284" w:rsidRPr="00837284" w:rsidRDefault="00837284" w:rsidP="00837284">
      <w:pPr>
        <w:pStyle w:val="Sidehoved"/>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21260" w:rsidRPr="00E21260" w:rsidRDefault="00E21260" w:rsidP="00E21260">
      <w:pPr>
        <w:tabs>
          <w:tab w:val="left" w:pos="851"/>
        </w:tabs>
        <w:ind w:left="851"/>
        <w:rPr>
          <w:bCs/>
          <w:sz w:val="24"/>
          <w:szCs w:val="24"/>
        </w:rPr>
      </w:pPr>
      <w:r w:rsidRPr="00E21260">
        <w:rPr>
          <w:bCs/>
          <w:sz w:val="24"/>
          <w:szCs w:val="24"/>
        </w:rPr>
        <w:t xml:space="preserve">Hypoglykæmi er ikke set med </w:t>
      </w:r>
      <w:proofErr w:type="spellStart"/>
      <w:r w:rsidRPr="00E21260">
        <w:rPr>
          <w:bCs/>
          <w:sz w:val="24"/>
          <w:szCs w:val="24"/>
        </w:rPr>
        <w:t>metforminhydrochloriddoser</w:t>
      </w:r>
      <w:proofErr w:type="spellEnd"/>
      <w:r w:rsidRPr="00E21260">
        <w:rPr>
          <w:bCs/>
          <w:sz w:val="24"/>
          <w:szCs w:val="24"/>
        </w:rPr>
        <w:t xml:space="preserve"> på op til 85 gram, selvom </w:t>
      </w:r>
      <w:proofErr w:type="spellStart"/>
      <w:r w:rsidRPr="00E21260">
        <w:rPr>
          <w:bCs/>
          <w:sz w:val="24"/>
          <w:szCs w:val="24"/>
        </w:rPr>
        <w:t>laktatacidose</w:t>
      </w:r>
      <w:proofErr w:type="spellEnd"/>
      <w:r w:rsidRPr="00E21260">
        <w:rPr>
          <w:bCs/>
          <w:sz w:val="24"/>
          <w:szCs w:val="24"/>
        </w:rPr>
        <w:t xml:space="preserve"> er optrådt under sådanne omstændigheder. Høj overdosis af </w:t>
      </w:r>
      <w:proofErr w:type="spellStart"/>
      <w:r w:rsidRPr="00E21260">
        <w:rPr>
          <w:bCs/>
          <w:sz w:val="24"/>
          <w:szCs w:val="24"/>
        </w:rPr>
        <w:t>metformin</w:t>
      </w:r>
      <w:proofErr w:type="spellEnd"/>
      <w:r w:rsidRPr="00E21260">
        <w:rPr>
          <w:bCs/>
          <w:sz w:val="24"/>
          <w:szCs w:val="24"/>
        </w:rPr>
        <w:t xml:space="preserve"> eller samtidige risici kan medføre </w:t>
      </w:r>
      <w:proofErr w:type="spellStart"/>
      <w:r w:rsidRPr="00E21260">
        <w:rPr>
          <w:bCs/>
          <w:sz w:val="24"/>
          <w:szCs w:val="24"/>
        </w:rPr>
        <w:t>laktatacidose</w:t>
      </w:r>
      <w:proofErr w:type="spellEnd"/>
      <w:r w:rsidRPr="00E21260">
        <w:rPr>
          <w:bCs/>
          <w:sz w:val="24"/>
          <w:szCs w:val="24"/>
        </w:rPr>
        <w:t xml:space="preserve">. </w:t>
      </w:r>
      <w:proofErr w:type="spellStart"/>
      <w:r w:rsidRPr="00E21260">
        <w:rPr>
          <w:bCs/>
          <w:sz w:val="24"/>
          <w:szCs w:val="24"/>
        </w:rPr>
        <w:t>Laktatacidose</w:t>
      </w:r>
      <w:proofErr w:type="spellEnd"/>
      <w:r w:rsidRPr="00E21260">
        <w:rPr>
          <w:bCs/>
          <w:sz w:val="24"/>
          <w:szCs w:val="24"/>
        </w:rPr>
        <w:t xml:space="preserve"> er en medicinsk nødsituation og skal behandles på et hospital. Den mest effektive metode til at fjerne laktat og </w:t>
      </w:r>
      <w:proofErr w:type="spellStart"/>
      <w:r w:rsidRPr="00E21260">
        <w:rPr>
          <w:bCs/>
          <w:sz w:val="24"/>
          <w:szCs w:val="24"/>
        </w:rPr>
        <w:t>metformin</w:t>
      </w:r>
      <w:proofErr w:type="spellEnd"/>
      <w:r w:rsidRPr="00E21260">
        <w:rPr>
          <w:bCs/>
          <w:sz w:val="24"/>
          <w:szCs w:val="24"/>
        </w:rPr>
        <w:t xml:space="preserve"> er hæmodialyse.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21260"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42405" w:rsidRDefault="00142405" w:rsidP="00142405">
      <w:pPr>
        <w:tabs>
          <w:tab w:val="left" w:pos="851"/>
        </w:tabs>
        <w:ind w:left="851"/>
        <w:rPr>
          <w:bCs/>
          <w:sz w:val="24"/>
          <w:szCs w:val="24"/>
        </w:rPr>
      </w:pPr>
    </w:p>
    <w:p w:rsidR="00117ECE" w:rsidRPr="00FA32B1" w:rsidRDefault="00117ECE" w:rsidP="00117ECE">
      <w:pPr>
        <w:tabs>
          <w:tab w:val="left" w:pos="851"/>
        </w:tabs>
        <w:ind w:left="851"/>
        <w:rPr>
          <w:bCs/>
          <w:sz w:val="24"/>
          <w:szCs w:val="24"/>
        </w:rPr>
      </w:pPr>
      <w:proofErr w:type="spellStart"/>
      <w:r>
        <w:rPr>
          <w:bCs/>
          <w:sz w:val="24"/>
          <w:szCs w:val="24"/>
        </w:rPr>
        <w:t>Farmakoterapeutisk</w:t>
      </w:r>
      <w:proofErr w:type="spellEnd"/>
      <w:r>
        <w:rPr>
          <w:bCs/>
          <w:sz w:val="24"/>
          <w:szCs w:val="24"/>
        </w:rPr>
        <w:t xml:space="preserve"> klassifikation: </w:t>
      </w:r>
      <w:r w:rsidRPr="00FA32B1">
        <w:rPr>
          <w:sz w:val="24"/>
          <w:szCs w:val="24"/>
        </w:rPr>
        <w:t>Blod-</w:t>
      </w:r>
      <w:proofErr w:type="spellStart"/>
      <w:r w:rsidRPr="00FA32B1">
        <w:rPr>
          <w:sz w:val="24"/>
          <w:szCs w:val="24"/>
        </w:rPr>
        <w:t>glucosesænkende</w:t>
      </w:r>
      <w:proofErr w:type="spellEnd"/>
      <w:r w:rsidRPr="00FA32B1">
        <w:rPr>
          <w:sz w:val="24"/>
          <w:szCs w:val="24"/>
        </w:rPr>
        <w:t xml:space="preserve"> midler ekskl</w:t>
      </w:r>
      <w:r>
        <w:rPr>
          <w:sz w:val="24"/>
          <w:szCs w:val="24"/>
        </w:rPr>
        <w:t>usive</w:t>
      </w:r>
      <w:r w:rsidRPr="00FA32B1">
        <w:rPr>
          <w:sz w:val="24"/>
          <w:szCs w:val="24"/>
        </w:rPr>
        <w:t xml:space="preserve"> </w:t>
      </w:r>
      <w:proofErr w:type="spellStart"/>
      <w:r w:rsidRPr="00FA32B1">
        <w:rPr>
          <w:sz w:val="24"/>
          <w:szCs w:val="24"/>
        </w:rPr>
        <w:t>insuliner</w:t>
      </w:r>
      <w:proofErr w:type="spellEnd"/>
      <w:r w:rsidRPr="00FA32B1">
        <w:rPr>
          <w:sz w:val="24"/>
          <w:szCs w:val="24"/>
        </w:rPr>
        <w:t xml:space="preserve">, </w:t>
      </w:r>
      <w:proofErr w:type="spellStart"/>
      <w:r w:rsidRPr="00FA32B1">
        <w:rPr>
          <w:sz w:val="24"/>
          <w:szCs w:val="24"/>
        </w:rPr>
        <w:t>biguanider</w:t>
      </w:r>
      <w:proofErr w:type="spellEnd"/>
      <w:r w:rsidRPr="00FA32B1">
        <w:rPr>
          <w:sz w:val="24"/>
          <w:szCs w:val="24"/>
        </w:rPr>
        <w:t>.</w:t>
      </w:r>
    </w:p>
    <w:p w:rsidR="00117ECE" w:rsidRDefault="00117ECE" w:rsidP="00142405">
      <w:pPr>
        <w:tabs>
          <w:tab w:val="left" w:pos="851"/>
        </w:tabs>
        <w:ind w:left="851"/>
        <w:rPr>
          <w:bCs/>
          <w:sz w:val="24"/>
          <w:szCs w:val="24"/>
        </w:rPr>
      </w:pPr>
      <w:r w:rsidRPr="00FA32B1">
        <w:rPr>
          <w:bCs/>
          <w:sz w:val="24"/>
          <w:szCs w:val="24"/>
        </w:rPr>
        <w:t>ATC-kode: A</w:t>
      </w:r>
      <w:r>
        <w:rPr>
          <w:bCs/>
          <w:sz w:val="24"/>
          <w:szCs w:val="24"/>
        </w:rPr>
        <w:t xml:space="preserve"> </w:t>
      </w:r>
      <w:r w:rsidRPr="00FA32B1">
        <w:rPr>
          <w:bCs/>
          <w:sz w:val="24"/>
          <w:szCs w:val="24"/>
        </w:rPr>
        <w:t>10</w:t>
      </w:r>
      <w:r>
        <w:rPr>
          <w:bCs/>
          <w:sz w:val="24"/>
          <w:szCs w:val="24"/>
        </w:rPr>
        <w:t xml:space="preserve"> </w:t>
      </w:r>
      <w:r w:rsidRPr="00FA32B1">
        <w:rPr>
          <w:bCs/>
          <w:sz w:val="24"/>
          <w:szCs w:val="24"/>
        </w:rPr>
        <w:t>BA</w:t>
      </w:r>
      <w:r>
        <w:rPr>
          <w:bCs/>
          <w:sz w:val="24"/>
          <w:szCs w:val="24"/>
        </w:rPr>
        <w:t xml:space="preserve"> </w:t>
      </w:r>
      <w:r w:rsidRPr="00FA32B1">
        <w:rPr>
          <w:bCs/>
          <w:sz w:val="24"/>
          <w:szCs w:val="24"/>
        </w:rPr>
        <w:t>02.</w:t>
      </w:r>
    </w:p>
    <w:p w:rsidR="00117ECE" w:rsidRPr="00142405" w:rsidRDefault="00117ECE" w:rsidP="00142405">
      <w:pPr>
        <w:tabs>
          <w:tab w:val="left" w:pos="851"/>
        </w:tabs>
        <w:ind w:left="851"/>
        <w:rPr>
          <w:bCs/>
          <w:sz w:val="24"/>
          <w:szCs w:val="24"/>
        </w:rPr>
      </w:pPr>
    </w:p>
    <w:p w:rsidR="00F9765E" w:rsidRPr="00142405" w:rsidRDefault="00F9765E" w:rsidP="00F9765E">
      <w:pPr>
        <w:tabs>
          <w:tab w:val="left" w:pos="851"/>
        </w:tabs>
        <w:ind w:left="851"/>
        <w:rPr>
          <w:bCs/>
          <w:sz w:val="24"/>
          <w:szCs w:val="24"/>
          <w:u w:val="single"/>
        </w:rPr>
      </w:pPr>
      <w:r w:rsidRPr="00142405">
        <w:rPr>
          <w:bCs/>
          <w:sz w:val="24"/>
          <w:szCs w:val="24"/>
          <w:u w:val="single"/>
        </w:rPr>
        <w:t>Virkningsmekanisme</w:t>
      </w:r>
    </w:p>
    <w:p w:rsidR="00F9765E" w:rsidRDefault="00F9765E" w:rsidP="00F9765E">
      <w:pPr>
        <w:tabs>
          <w:tab w:val="left" w:pos="851"/>
        </w:tabs>
        <w:ind w:left="851"/>
        <w:rPr>
          <w:bCs/>
          <w:sz w:val="24"/>
          <w:szCs w:val="24"/>
        </w:rPr>
      </w:pPr>
      <w:proofErr w:type="spellStart"/>
      <w:r w:rsidRPr="00142405">
        <w:rPr>
          <w:bCs/>
          <w:sz w:val="24"/>
          <w:szCs w:val="24"/>
        </w:rPr>
        <w:t>Metformin</w:t>
      </w:r>
      <w:proofErr w:type="spellEnd"/>
      <w:r w:rsidRPr="00142405">
        <w:rPr>
          <w:bCs/>
          <w:sz w:val="24"/>
          <w:szCs w:val="24"/>
        </w:rPr>
        <w:t xml:space="preserve"> er en </w:t>
      </w:r>
      <w:proofErr w:type="spellStart"/>
      <w:r w:rsidRPr="00142405">
        <w:rPr>
          <w:bCs/>
          <w:sz w:val="24"/>
          <w:szCs w:val="24"/>
        </w:rPr>
        <w:t>biguanid</w:t>
      </w:r>
      <w:proofErr w:type="spellEnd"/>
      <w:r w:rsidRPr="00142405">
        <w:rPr>
          <w:bCs/>
          <w:sz w:val="24"/>
          <w:szCs w:val="24"/>
        </w:rPr>
        <w:t xml:space="preserve"> med </w:t>
      </w:r>
      <w:proofErr w:type="spellStart"/>
      <w:r w:rsidRPr="00142405">
        <w:rPr>
          <w:bCs/>
          <w:sz w:val="24"/>
          <w:szCs w:val="24"/>
        </w:rPr>
        <w:t>antihyperglyæmisk</w:t>
      </w:r>
      <w:r>
        <w:rPr>
          <w:bCs/>
          <w:sz w:val="24"/>
          <w:szCs w:val="24"/>
        </w:rPr>
        <w:t>e</w:t>
      </w:r>
      <w:proofErr w:type="spellEnd"/>
      <w:r w:rsidRPr="00142405">
        <w:rPr>
          <w:bCs/>
          <w:sz w:val="24"/>
          <w:szCs w:val="24"/>
        </w:rPr>
        <w:t xml:space="preserve"> </w:t>
      </w:r>
      <w:r w:rsidRPr="003D06E3">
        <w:rPr>
          <w:bCs/>
          <w:sz w:val="24"/>
          <w:szCs w:val="24"/>
        </w:rPr>
        <w:t xml:space="preserve">virkninger på både basal og </w:t>
      </w:r>
      <w:proofErr w:type="spellStart"/>
      <w:r w:rsidRPr="003D06E3">
        <w:rPr>
          <w:bCs/>
          <w:sz w:val="24"/>
          <w:szCs w:val="24"/>
        </w:rPr>
        <w:t>postprandial</w:t>
      </w:r>
      <w:proofErr w:type="spellEnd"/>
      <w:r w:rsidRPr="003D06E3">
        <w:rPr>
          <w:bCs/>
          <w:sz w:val="24"/>
          <w:szCs w:val="24"/>
        </w:rPr>
        <w:t xml:space="preserve"> </w:t>
      </w:r>
      <w:proofErr w:type="spellStart"/>
      <w:proofErr w:type="gramStart"/>
      <w:r w:rsidRPr="003D06E3">
        <w:rPr>
          <w:bCs/>
          <w:sz w:val="24"/>
          <w:szCs w:val="24"/>
        </w:rPr>
        <w:t>hyperglykæmi</w:t>
      </w:r>
      <w:proofErr w:type="spellEnd"/>
      <w:r>
        <w:rPr>
          <w:bCs/>
          <w:sz w:val="24"/>
          <w:szCs w:val="24"/>
        </w:rPr>
        <w:t xml:space="preserve"> </w:t>
      </w:r>
      <w:r w:rsidRPr="00142405">
        <w:rPr>
          <w:bCs/>
          <w:sz w:val="24"/>
          <w:szCs w:val="24"/>
        </w:rPr>
        <w:t>.</w:t>
      </w:r>
      <w:proofErr w:type="gramEnd"/>
      <w:r w:rsidRPr="00142405">
        <w:rPr>
          <w:bCs/>
          <w:sz w:val="24"/>
          <w:szCs w:val="24"/>
        </w:rPr>
        <w:t xml:space="preserve"> Det stimulerer ikke insulinsekretionen og medfører derfor ikke hypoglykæmi. </w:t>
      </w:r>
      <w:proofErr w:type="spellStart"/>
      <w:r w:rsidRPr="00564910">
        <w:rPr>
          <w:bCs/>
          <w:sz w:val="24"/>
          <w:szCs w:val="24"/>
        </w:rPr>
        <w:t>Metformin</w:t>
      </w:r>
      <w:proofErr w:type="spellEnd"/>
      <w:r w:rsidRPr="00564910">
        <w:rPr>
          <w:bCs/>
          <w:sz w:val="24"/>
          <w:szCs w:val="24"/>
        </w:rPr>
        <w:t xml:space="preserve"> nedsætter basal </w:t>
      </w:r>
      <w:proofErr w:type="spellStart"/>
      <w:r w:rsidRPr="00564910">
        <w:rPr>
          <w:bCs/>
          <w:sz w:val="24"/>
          <w:szCs w:val="24"/>
        </w:rPr>
        <w:t>hyperinsulinæmi</w:t>
      </w:r>
      <w:proofErr w:type="spellEnd"/>
      <w:r w:rsidRPr="00564910">
        <w:rPr>
          <w:bCs/>
          <w:sz w:val="24"/>
          <w:szCs w:val="24"/>
        </w:rPr>
        <w:t xml:space="preserve"> og i kombination med insulin nedsætter det behovet for insulin.</w:t>
      </w:r>
    </w:p>
    <w:p w:rsidR="00F9765E" w:rsidRDefault="00F9765E" w:rsidP="00F9765E">
      <w:pPr>
        <w:tabs>
          <w:tab w:val="left" w:pos="851"/>
        </w:tabs>
        <w:ind w:left="851"/>
        <w:rPr>
          <w:bCs/>
          <w:sz w:val="24"/>
          <w:szCs w:val="24"/>
        </w:rPr>
      </w:pPr>
    </w:p>
    <w:p w:rsidR="00F9765E" w:rsidRPr="00564910" w:rsidRDefault="00F9765E" w:rsidP="00F9765E">
      <w:pPr>
        <w:tabs>
          <w:tab w:val="left" w:pos="851"/>
        </w:tabs>
        <w:ind w:left="851"/>
        <w:rPr>
          <w:bCs/>
          <w:sz w:val="24"/>
          <w:szCs w:val="24"/>
          <w:lang w:val="cs-CZ"/>
        </w:rPr>
      </w:pPr>
      <w:r w:rsidRPr="00564910">
        <w:rPr>
          <w:bCs/>
          <w:sz w:val="24"/>
          <w:szCs w:val="24"/>
          <w:lang w:val="cs-CZ"/>
        </w:rPr>
        <w:t>Metformin udøver dets antihyperglykæmiske virkning via flere mekanismer:</w:t>
      </w:r>
    </w:p>
    <w:p w:rsidR="00F9765E" w:rsidRPr="00192FAC" w:rsidRDefault="00F9765E" w:rsidP="00F9765E">
      <w:pPr>
        <w:pStyle w:val="Listeafsnit"/>
        <w:numPr>
          <w:ilvl w:val="0"/>
          <w:numId w:val="10"/>
        </w:numPr>
        <w:tabs>
          <w:tab w:val="left" w:pos="851"/>
        </w:tabs>
        <w:rPr>
          <w:bCs/>
          <w:sz w:val="24"/>
          <w:szCs w:val="24"/>
          <w:lang w:val="cs-CZ"/>
        </w:rPr>
      </w:pPr>
      <w:r w:rsidRPr="00192FAC">
        <w:rPr>
          <w:bCs/>
          <w:sz w:val="24"/>
          <w:szCs w:val="24"/>
          <w:lang w:val="cs-CZ"/>
        </w:rPr>
        <w:t>Metformin reducerer hepatisk glucoseproduktion.</w:t>
      </w:r>
    </w:p>
    <w:p w:rsidR="00F9765E" w:rsidRPr="00192FAC" w:rsidRDefault="00F9765E" w:rsidP="00F9765E">
      <w:pPr>
        <w:pStyle w:val="Listeafsnit"/>
        <w:numPr>
          <w:ilvl w:val="0"/>
          <w:numId w:val="10"/>
        </w:numPr>
        <w:tabs>
          <w:tab w:val="left" w:pos="851"/>
        </w:tabs>
        <w:rPr>
          <w:bCs/>
          <w:sz w:val="24"/>
          <w:szCs w:val="24"/>
          <w:lang w:val="cs-CZ"/>
        </w:rPr>
      </w:pPr>
      <w:r w:rsidRPr="00192FAC">
        <w:rPr>
          <w:bCs/>
          <w:sz w:val="24"/>
          <w:szCs w:val="24"/>
          <w:lang w:val="cs-CZ"/>
        </w:rPr>
        <w:t>Metformin faciliterer perifer glucoseoptagelse og –udnyttelse, delvist ved øgning af insulins effekt.</w:t>
      </w:r>
    </w:p>
    <w:p w:rsidR="00F9765E" w:rsidRPr="00192FAC" w:rsidRDefault="00F9765E" w:rsidP="00F9765E">
      <w:pPr>
        <w:pStyle w:val="Listeafsnit"/>
        <w:numPr>
          <w:ilvl w:val="0"/>
          <w:numId w:val="10"/>
        </w:numPr>
        <w:tabs>
          <w:tab w:val="left" w:pos="851"/>
        </w:tabs>
        <w:rPr>
          <w:bCs/>
          <w:sz w:val="24"/>
          <w:szCs w:val="24"/>
          <w:lang w:val="cs-CZ"/>
        </w:rPr>
      </w:pPr>
      <w:r w:rsidRPr="00192FAC">
        <w:rPr>
          <w:bCs/>
          <w:sz w:val="24"/>
          <w:szCs w:val="24"/>
          <w:lang w:val="cs-CZ"/>
        </w:rPr>
        <w:t>Metformin ændrer glucoseomsætningen i tarmen: Optagelse fra cirkulationen øges, og absorptionen fra mad nedsættes. Yderligere mekanismer relateret til tarmen omfatter øget frigivelse af GLP-1 og reduktion af resorption af galdesyre. Metformin ændrer tarmens mikrobiom.</w:t>
      </w:r>
    </w:p>
    <w:p w:rsidR="00F9765E" w:rsidRDefault="00F9765E" w:rsidP="00F9765E">
      <w:pPr>
        <w:tabs>
          <w:tab w:val="left" w:pos="851"/>
        </w:tabs>
        <w:ind w:left="851"/>
        <w:rPr>
          <w:bCs/>
          <w:sz w:val="24"/>
          <w:szCs w:val="24"/>
        </w:rPr>
      </w:pPr>
    </w:p>
    <w:p w:rsidR="00F9765E" w:rsidRDefault="00F9765E" w:rsidP="00F9765E">
      <w:pPr>
        <w:tabs>
          <w:tab w:val="left" w:pos="851"/>
        </w:tabs>
        <w:ind w:left="851"/>
        <w:rPr>
          <w:bCs/>
          <w:sz w:val="24"/>
          <w:szCs w:val="24"/>
          <w:lang w:val="cs-CZ"/>
        </w:rPr>
      </w:pPr>
      <w:r w:rsidRPr="00564910">
        <w:rPr>
          <w:bCs/>
          <w:sz w:val="24"/>
          <w:szCs w:val="24"/>
          <w:lang w:val="cs-CZ"/>
        </w:rPr>
        <w:t>Metformin kan forbedre lipidprofilen hos individer med hyperlipidæmi.</w:t>
      </w:r>
    </w:p>
    <w:p w:rsidR="00F9765E" w:rsidRPr="00564910" w:rsidRDefault="00F9765E" w:rsidP="00F9765E">
      <w:pPr>
        <w:tabs>
          <w:tab w:val="left" w:pos="851"/>
        </w:tabs>
        <w:ind w:left="851"/>
        <w:rPr>
          <w:bCs/>
          <w:sz w:val="24"/>
          <w:szCs w:val="24"/>
          <w:lang w:val="cs-CZ"/>
        </w:rPr>
      </w:pPr>
    </w:p>
    <w:p w:rsidR="00F9765E" w:rsidRPr="00564910" w:rsidRDefault="00F9765E" w:rsidP="00F9765E">
      <w:pPr>
        <w:tabs>
          <w:tab w:val="left" w:pos="851"/>
        </w:tabs>
        <w:ind w:left="851"/>
        <w:rPr>
          <w:bCs/>
          <w:sz w:val="24"/>
          <w:szCs w:val="24"/>
          <w:lang w:val="cs-CZ"/>
        </w:rPr>
      </w:pPr>
      <w:r w:rsidRPr="00564910">
        <w:rPr>
          <w:bCs/>
          <w:sz w:val="24"/>
          <w:szCs w:val="24"/>
          <w:lang w:val="cs-CZ"/>
        </w:rPr>
        <w:t>I kliniske studier blev brug af metformin associeret med enten stabil kropsvægt eller et moderat vægttab.</w:t>
      </w:r>
    </w:p>
    <w:p w:rsidR="00F9765E" w:rsidRPr="00142405" w:rsidRDefault="00F9765E" w:rsidP="00F9765E">
      <w:pPr>
        <w:tabs>
          <w:tab w:val="left" w:pos="851"/>
        </w:tabs>
        <w:ind w:left="851"/>
        <w:rPr>
          <w:bCs/>
          <w:sz w:val="24"/>
          <w:szCs w:val="24"/>
        </w:rPr>
      </w:pPr>
    </w:p>
    <w:p w:rsidR="00F9765E" w:rsidRPr="00142405" w:rsidRDefault="00F9765E" w:rsidP="00F9765E">
      <w:pPr>
        <w:tabs>
          <w:tab w:val="left" w:pos="851"/>
        </w:tabs>
        <w:ind w:left="851"/>
        <w:rPr>
          <w:bCs/>
          <w:sz w:val="24"/>
          <w:szCs w:val="24"/>
        </w:rPr>
      </w:pPr>
      <w:proofErr w:type="spellStart"/>
      <w:r w:rsidRPr="00142405">
        <w:rPr>
          <w:bCs/>
          <w:sz w:val="24"/>
          <w:szCs w:val="24"/>
        </w:rPr>
        <w:t>Metformin</w:t>
      </w:r>
      <w:proofErr w:type="spellEnd"/>
      <w:r>
        <w:rPr>
          <w:bCs/>
          <w:sz w:val="24"/>
          <w:szCs w:val="24"/>
        </w:rPr>
        <w:t xml:space="preserve"> </w:t>
      </w:r>
      <w:r w:rsidRPr="00564910">
        <w:rPr>
          <w:bCs/>
          <w:sz w:val="24"/>
          <w:szCs w:val="24"/>
        </w:rPr>
        <w:t xml:space="preserve">er en </w:t>
      </w:r>
      <w:proofErr w:type="spellStart"/>
      <w:r w:rsidRPr="00564910">
        <w:rPr>
          <w:bCs/>
          <w:sz w:val="24"/>
          <w:szCs w:val="24"/>
        </w:rPr>
        <w:t>adenosin</w:t>
      </w:r>
      <w:proofErr w:type="spellEnd"/>
      <w:r w:rsidRPr="00564910">
        <w:rPr>
          <w:bCs/>
          <w:sz w:val="24"/>
          <w:szCs w:val="24"/>
        </w:rPr>
        <w:t xml:space="preserve"> </w:t>
      </w:r>
      <w:proofErr w:type="spellStart"/>
      <w:r w:rsidRPr="00564910">
        <w:rPr>
          <w:bCs/>
          <w:sz w:val="24"/>
          <w:szCs w:val="24"/>
        </w:rPr>
        <w:t>monophosphat</w:t>
      </w:r>
      <w:proofErr w:type="spellEnd"/>
      <w:r w:rsidRPr="00564910">
        <w:rPr>
          <w:bCs/>
          <w:sz w:val="24"/>
          <w:szCs w:val="24"/>
        </w:rPr>
        <w:t>-protein-</w:t>
      </w:r>
      <w:proofErr w:type="spellStart"/>
      <w:r w:rsidRPr="00564910">
        <w:rPr>
          <w:bCs/>
          <w:sz w:val="24"/>
          <w:szCs w:val="24"/>
        </w:rPr>
        <w:t>kinase</w:t>
      </w:r>
      <w:proofErr w:type="spellEnd"/>
      <w:r w:rsidRPr="00564910">
        <w:rPr>
          <w:bCs/>
          <w:sz w:val="24"/>
          <w:szCs w:val="24"/>
        </w:rPr>
        <w:t xml:space="preserve"> </w:t>
      </w:r>
      <w:proofErr w:type="spellStart"/>
      <w:r w:rsidRPr="00564910">
        <w:rPr>
          <w:bCs/>
          <w:sz w:val="24"/>
          <w:szCs w:val="24"/>
        </w:rPr>
        <w:t>aktivator</w:t>
      </w:r>
      <w:proofErr w:type="spellEnd"/>
      <w:r w:rsidRPr="00564910">
        <w:rPr>
          <w:bCs/>
          <w:sz w:val="24"/>
          <w:szCs w:val="24"/>
        </w:rPr>
        <w:t xml:space="preserve"> (AMPK) og</w:t>
      </w:r>
      <w:r w:rsidRPr="00142405">
        <w:rPr>
          <w:bCs/>
          <w:sz w:val="24"/>
          <w:szCs w:val="24"/>
        </w:rPr>
        <w:t xml:space="preserve"> øger transportkapaciteten i alle kendte typer membranglukosetransportere (</w:t>
      </w:r>
      <w:proofErr w:type="spellStart"/>
      <w:r w:rsidRPr="00142405">
        <w:rPr>
          <w:bCs/>
          <w:sz w:val="24"/>
          <w:szCs w:val="24"/>
        </w:rPr>
        <w:t>GLUT’er</w:t>
      </w:r>
      <w:proofErr w:type="spellEnd"/>
      <w:r w:rsidRPr="00142405">
        <w:rPr>
          <w:bCs/>
          <w:sz w:val="24"/>
          <w:szCs w:val="24"/>
        </w:rPr>
        <w:t>).</w:t>
      </w:r>
    </w:p>
    <w:p w:rsidR="00142405" w:rsidRPr="00142405" w:rsidRDefault="00142405" w:rsidP="00F9765E">
      <w:pPr>
        <w:tabs>
          <w:tab w:val="left" w:pos="851"/>
        </w:tabs>
        <w:rPr>
          <w:bCs/>
          <w:sz w:val="24"/>
          <w:szCs w:val="24"/>
        </w:rPr>
      </w:pPr>
    </w:p>
    <w:p w:rsidR="00142405" w:rsidRPr="00142405" w:rsidRDefault="00142405" w:rsidP="00142405">
      <w:pPr>
        <w:tabs>
          <w:tab w:val="left" w:pos="851"/>
        </w:tabs>
        <w:ind w:left="851"/>
        <w:rPr>
          <w:bCs/>
          <w:sz w:val="24"/>
          <w:szCs w:val="24"/>
          <w:u w:val="single"/>
        </w:rPr>
      </w:pPr>
      <w:r w:rsidRPr="00142405">
        <w:rPr>
          <w:bCs/>
          <w:sz w:val="24"/>
          <w:szCs w:val="24"/>
          <w:u w:val="single"/>
        </w:rPr>
        <w:t>Klinisk effektivitet</w:t>
      </w:r>
    </w:p>
    <w:p w:rsidR="00142405" w:rsidRPr="00142405" w:rsidRDefault="00142405" w:rsidP="00142405">
      <w:pPr>
        <w:tabs>
          <w:tab w:val="left" w:pos="851"/>
        </w:tabs>
        <w:ind w:left="851"/>
        <w:rPr>
          <w:bCs/>
          <w:sz w:val="24"/>
          <w:szCs w:val="24"/>
        </w:rPr>
      </w:pPr>
      <w:r w:rsidRPr="00142405">
        <w:rPr>
          <w:bCs/>
          <w:sz w:val="24"/>
          <w:szCs w:val="24"/>
        </w:rPr>
        <w:t xml:space="preserve">Det </w:t>
      </w:r>
      <w:proofErr w:type="spellStart"/>
      <w:r w:rsidRPr="00142405">
        <w:rPr>
          <w:bCs/>
          <w:sz w:val="24"/>
          <w:szCs w:val="24"/>
        </w:rPr>
        <w:t>prospektive</w:t>
      </w:r>
      <w:proofErr w:type="spellEnd"/>
      <w:r w:rsidRPr="00142405">
        <w:rPr>
          <w:bCs/>
          <w:sz w:val="24"/>
          <w:szCs w:val="24"/>
        </w:rPr>
        <w:t xml:space="preserve">, randomiserede forsøg (UKPDS) har fastslået den langsigtede fordel ved intensiv blodsukkerkontrol hos voksne patienter med type 2 diabetes. </w:t>
      </w:r>
    </w:p>
    <w:p w:rsidR="00142405" w:rsidRPr="00142405" w:rsidRDefault="00142405" w:rsidP="00142405">
      <w:pPr>
        <w:tabs>
          <w:tab w:val="left" w:pos="851"/>
        </w:tabs>
        <w:ind w:left="851"/>
        <w:rPr>
          <w:bCs/>
          <w:sz w:val="24"/>
          <w:szCs w:val="24"/>
        </w:rPr>
      </w:pPr>
    </w:p>
    <w:p w:rsidR="00142405" w:rsidRPr="00142405" w:rsidRDefault="00142405" w:rsidP="00142405">
      <w:pPr>
        <w:tabs>
          <w:tab w:val="left" w:pos="851"/>
        </w:tabs>
        <w:ind w:left="851"/>
        <w:rPr>
          <w:bCs/>
          <w:sz w:val="24"/>
          <w:szCs w:val="24"/>
        </w:rPr>
      </w:pPr>
      <w:r w:rsidRPr="00142405">
        <w:rPr>
          <w:bCs/>
          <w:sz w:val="24"/>
          <w:szCs w:val="24"/>
        </w:rPr>
        <w:t xml:space="preserve">Analyse af resultaterne for overvægtige patienter behandlet med </w:t>
      </w:r>
      <w:proofErr w:type="spellStart"/>
      <w:r w:rsidRPr="00142405">
        <w:rPr>
          <w:bCs/>
          <w:sz w:val="24"/>
          <w:szCs w:val="24"/>
        </w:rPr>
        <w:t>metformin</w:t>
      </w:r>
      <w:proofErr w:type="spellEnd"/>
      <w:r w:rsidRPr="00142405">
        <w:rPr>
          <w:bCs/>
          <w:sz w:val="24"/>
          <w:szCs w:val="24"/>
        </w:rPr>
        <w:t xml:space="preserve"> efter svigt af diæt alene viste:</w:t>
      </w:r>
    </w:p>
    <w:p w:rsidR="00142405" w:rsidRPr="00142405" w:rsidRDefault="00142405" w:rsidP="00142405">
      <w:pPr>
        <w:numPr>
          <w:ilvl w:val="0"/>
          <w:numId w:val="9"/>
        </w:numPr>
        <w:tabs>
          <w:tab w:val="left" w:pos="851"/>
        </w:tabs>
        <w:ind w:left="1134" w:hanging="283"/>
        <w:rPr>
          <w:bCs/>
          <w:sz w:val="24"/>
          <w:szCs w:val="24"/>
        </w:rPr>
      </w:pPr>
      <w:r w:rsidRPr="00142405">
        <w:rPr>
          <w:bCs/>
          <w:sz w:val="24"/>
          <w:szCs w:val="24"/>
        </w:rPr>
        <w:t xml:space="preserve">En signifikant reduktion af den absolutte risiko for diabetes-relaterede komplikationer i </w:t>
      </w:r>
      <w:proofErr w:type="spellStart"/>
      <w:r w:rsidRPr="00142405">
        <w:rPr>
          <w:bCs/>
          <w:sz w:val="24"/>
          <w:szCs w:val="24"/>
        </w:rPr>
        <w:t>metformingruppen</w:t>
      </w:r>
      <w:proofErr w:type="spellEnd"/>
      <w:r w:rsidRPr="00142405">
        <w:rPr>
          <w:bCs/>
          <w:sz w:val="24"/>
          <w:szCs w:val="24"/>
        </w:rPr>
        <w:t xml:space="preserve"> (29,8 hændelser/1000 </w:t>
      </w:r>
      <w:proofErr w:type="spellStart"/>
      <w:r w:rsidRPr="00142405">
        <w:rPr>
          <w:bCs/>
          <w:sz w:val="24"/>
          <w:szCs w:val="24"/>
        </w:rPr>
        <w:t>patientår</w:t>
      </w:r>
      <w:proofErr w:type="spellEnd"/>
      <w:r w:rsidRPr="00142405">
        <w:rPr>
          <w:bCs/>
          <w:sz w:val="24"/>
          <w:szCs w:val="24"/>
        </w:rPr>
        <w:t xml:space="preserve">) i forhold til diæt alene (43,3 hændelser/1000 </w:t>
      </w:r>
      <w:proofErr w:type="spellStart"/>
      <w:r w:rsidRPr="00142405">
        <w:rPr>
          <w:bCs/>
          <w:sz w:val="24"/>
          <w:szCs w:val="24"/>
        </w:rPr>
        <w:t>patientår</w:t>
      </w:r>
      <w:proofErr w:type="spellEnd"/>
      <w:r w:rsidRPr="00142405">
        <w:rPr>
          <w:bCs/>
          <w:sz w:val="24"/>
          <w:szCs w:val="24"/>
        </w:rPr>
        <w:t xml:space="preserve">), p=0,0023 og i forhold til de kombinerede </w:t>
      </w:r>
      <w:proofErr w:type="spellStart"/>
      <w:r w:rsidRPr="00142405">
        <w:rPr>
          <w:bCs/>
          <w:sz w:val="24"/>
          <w:szCs w:val="24"/>
        </w:rPr>
        <w:t>sulfonylurinstof</w:t>
      </w:r>
      <w:proofErr w:type="spellEnd"/>
      <w:r w:rsidRPr="00142405">
        <w:rPr>
          <w:bCs/>
          <w:sz w:val="24"/>
          <w:szCs w:val="24"/>
        </w:rPr>
        <w:t xml:space="preserve">- og insulingrupper (40,1 hændelser/1000 </w:t>
      </w:r>
      <w:proofErr w:type="spellStart"/>
      <w:r w:rsidRPr="00142405">
        <w:rPr>
          <w:bCs/>
          <w:sz w:val="24"/>
          <w:szCs w:val="24"/>
        </w:rPr>
        <w:t>patientår</w:t>
      </w:r>
      <w:proofErr w:type="spellEnd"/>
      <w:r w:rsidRPr="00142405">
        <w:rPr>
          <w:bCs/>
          <w:sz w:val="24"/>
          <w:szCs w:val="24"/>
        </w:rPr>
        <w:t>), p=0,0034;</w:t>
      </w:r>
    </w:p>
    <w:p w:rsidR="00142405" w:rsidRPr="00142405" w:rsidRDefault="00142405" w:rsidP="00142405">
      <w:pPr>
        <w:numPr>
          <w:ilvl w:val="0"/>
          <w:numId w:val="9"/>
        </w:numPr>
        <w:tabs>
          <w:tab w:val="left" w:pos="851"/>
        </w:tabs>
        <w:ind w:left="1134" w:hanging="283"/>
        <w:rPr>
          <w:bCs/>
          <w:sz w:val="24"/>
          <w:szCs w:val="24"/>
        </w:rPr>
      </w:pPr>
      <w:r w:rsidRPr="00142405">
        <w:rPr>
          <w:bCs/>
          <w:sz w:val="24"/>
          <w:szCs w:val="24"/>
        </w:rPr>
        <w:t xml:space="preserve">En signifikant reduktion af den absolutte risiko for diabetes-relaterede dødsfald: </w:t>
      </w:r>
      <w:proofErr w:type="spellStart"/>
      <w:r w:rsidRPr="00142405">
        <w:rPr>
          <w:bCs/>
          <w:sz w:val="24"/>
          <w:szCs w:val="24"/>
        </w:rPr>
        <w:t>metformin</w:t>
      </w:r>
      <w:proofErr w:type="spellEnd"/>
      <w:r w:rsidRPr="00142405">
        <w:rPr>
          <w:bCs/>
          <w:sz w:val="24"/>
          <w:szCs w:val="24"/>
        </w:rPr>
        <w:t xml:space="preserve"> 7,5 hændelser/1000 </w:t>
      </w:r>
      <w:proofErr w:type="spellStart"/>
      <w:r w:rsidRPr="00142405">
        <w:rPr>
          <w:bCs/>
          <w:sz w:val="24"/>
          <w:szCs w:val="24"/>
        </w:rPr>
        <w:t>patientår</w:t>
      </w:r>
      <w:proofErr w:type="spellEnd"/>
      <w:r w:rsidRPr="00142405">
        <w:rPr>
          <w:bCs/>
          <w:sz w:val="24"/>
          <w:szCs w:val="24"/>
        </w:rPr>
        <w:t xml:space="preserve">, diæt alene 12,7 hændelser/1000 </w:t>
      </w:r>
      <w:proofErr w:type="spellStart"/>
      <w:r w:rsidRPr="00142405">
        <w:rPr>
          <w:bCs/>
          <w:sz w:val="24"/>
          <w:szCs w:val="24"/>
        </w:rPr>
        <w:t>patientår</w:t>
      </w:r>
      <w:proofErr w:type="spellEnd"/>
      <w:r w:rsidRPr="00142405">
        <w:rPr>
          <w:bCs/>
          <w:sz w:val="24"/>
          <w:szCs w:val="24"/>
        </w:rPr>
        <w:t>, 0=0,017;</w:t>
      </w:r>
    </w:p>
    <w:p w:rsidR="00142405" w:rsidRPr="00142405" w:rsidRDefault="00142405" w:rsidP="00142405">
      <w:pPr>
        <w:numPr>
          <w:ilvl w:val="0"/>
          <w:numId w:val="9"/>
        </w:numPr>
        <w:tabs>
          <w:tab w:val="left" w:pos="851"/>
        </w:tabs>
        <w:ind w:left="1134" w:hanging="283"/>
        <w:rPr>
          <w:bCs/>
          <w:sz w:val="24"/>
          <w:szCs w:val="24"/>
        </w:rPr>
      </w:pPr>
      <w:r w:rsidRPr="00142405">
        <w:rPr>
          <w:bCs/>
          <w:sz w:val="24"/>
          <w:szCs w:val="24"/>
        </w:rPr>
        <w:t xml:space="preserve">En signifikant reduktion af den absolutte risiko for dødelighed generelt: </w:t>
      </w:r>
      <w:proofErr w:type="spellStart"/>
      <w:r w:rsidRPr="00142405">
        <w:rPr>
          <w:bCs/>
          <w:sz w:val="24"/>
          <w:szCs w:val="24"/>
        </w:rPr>
        <w:t>metformin</w:t>
      </w:r>
      <w:proofErr w:type="spellEnd"/>
      <w:r w:rsidRPr="00142405">
        <w:rPr>
          <w:bCs/>
          <w:sz w:val="24"/>
          <w:szCs w:val="24"/>
        </w:rPr>
        <w:t xml:space="preserve"> 13,5 hændelser/1000 </w:t>
      </w:r>
      <w:proofErr w:type="spellStart"/>
      <w:r w:rsidRPr="00142405">
        <w:rPr>
          <w:bCs/>
          <w:sz w:val="24"/>
          <w:szCs w:val="24"/>
        </w:rPr>
        <w:t>patientår</w:t>
      </w:r>
      <w:proofErr w:type="spellEnd"/>
      <w:r w:rsidRPr="00142405">
        <w:rPr>
          <w:bCs/>
          <w:sz w:val="24"/>
          <w:szCs w:val="24"/>
        </w:rPr>
        <w:t xml:space="preserve"> i forhold til diæt alene 20,6 hændelser/1000 </w:t>
      </w:r>
      <w:proofErr w:type="spellStart"/>
      <w:r w:rsidRPr="00142405">
        <w:rPr>
          <w:bCs/>
          <w:sz w:val="24"/>
          <w:szCs w:val="24"/>
        </w:rPr>
        <w:t>patientår</w:t>
      </w:r>
      <w:proofErr w:type="spellEnd"/>
      <w:r w:rsidRPr="00142405">
        <w:rPr>
          <w:bCs/>
          <w:sz w:val="24"/>
          <w:szCs w:val="24"/>
        </w:rPr>
        <w:t xml:space="preserve"> (p=0,011) og i forhold til de kombinerede </w:t>
      </w:r>
      <w:proofErr w:type="spellStart"/>
      <w:r w:rsidRPr="00142405">
        <w:rPr>
          <w:bCs/>
          <w:sz w:val="24"/>
          <w:szCs w:val="24"/>
        </w:rPr>
        <w:t>sulfonylurinstof</w:t>
      </w:r>
      <w:proofErr w:type="spellEnd"/>
      <w:r w:rsidRPr="00142405">
        <w:rPr>
          <w:bCs/>
          <w:sz w:val="24"/>
          <w:szCs w:val="24"/>
        </w:rPr>
        <w:t xml:space="preserve">- og insulinmonoterapigrupper 18,9 hændelser/1000 </w:t>
      </w:r>
      <w:proofErr w:type="spellStart"/>
      <w:r w:rsidRPr="00142405">
        <w:rPr>
          <w:bCs/>
          <w:sz w:val="24"/>
          <w:szCs w:val="24"/>
        </w:rPr>
        <w:t>patientår</w:t>
      </w:r>
      <w:proofErr w:type="spellEnd"/>
      <w:r w:rsidRPr="00142405">
        <w:rPr>
          <w:bCs/>
          <w:sz w:val="24"/>
          <w:szCs w:val="24"/>
        </w:rPr>
        <w:t xml:space="preserve"> (p=0,021);</w:t>
      </w:r>
    </w:p>
    <w:p w:rsidR="00142405" w:rsidRPr="00142405" w:rsidRDefault="00142405" w:rsidP="00142405">
      <w:pPr>
        <w:numPr>
          <w:ilvl w:val="0"/>
          <w:numId w:val="9"/>
        </w:numPr>
        <w:tabs>
          <w:tab w:val="left" w:pos="851"/>
        </w:tabs>
        <w:ind w:left="1134" w:hanging="283"/>
        <w:rPr>
          <w:bCs/>
          <w:sz w:val="24"/>
          <w:szCs w:val="24"/>
        </w:rPr>
      </w:pPr>
      <w:r w:rsidRPr="00142405">
        <w:rPr>
          <w:bCs/>
          <w:sz w:val="24"/>
          <w:szCs w:val="24"/>
        </w:rPr>
        <w:t xml:space="preserve">En signifikant reduktion af den absolutte risiko for myokardieinfarkt: </w:t>
      </w:r>
      <w:proofErr w:type="spellStart"/>
      <w:r w:rsidRPr="00142405">
        <w:rPr>
          <w:bCs/>
          <w:sz w:val="24"/>
          <w:szCs w:val="24"/>
        </w:rPr>
        <w:t>metformin</w:t>
      </w:r>
      <w:proofErr w:type="spellEnd"/>
      <w:r w:rsidRPr="00142405">
        <w:rPr>
          <w:bCs/>
          <w:sz w:val="24"/>
          <w:szCs w:val="24"/>
        </w:rPr>
        <w:t xml:space="preserve"> 11 hændelser/1000 </w:t>
      </w:r>
      <w:proofErr w:type="spellStart"/>
      <w:r w:rsidRPr="00142405">
        <w:rPr>
          <w:bCs/>
          <w:sz w:val="24"/>
          <w:szCs w:val="24"/>
        </w:rPr>
        <w:t>patientår</w:t>
      </w:r>
      <w:proofErr w:type="spellEnd"/>
      <w:r w:rsidRPr="00142405">
        <w:rPr>
          <w:bCs/>
          <w:sz w:val="24"/>
          <w:szCs w:val="24"/>
        </w:rPr>
        <w:t xml:space="preserve">, diæt alene 18 hændelser/1000 </w:t>
      </w:r>
      <w:proofErr w:type="spellStart"/>
      <w:r w:rsidRPr="00142405">
        <w:rPr>
          <w:bCs/>
          <w:sz w:val="24"/>
          <w:szCs w:val="24"/>
        </w:rPr>
        <w:t>patientår</w:t>
      </w:r>
      <w:proofErr w:type="spellEnd"/>
      <w:r w:rsidRPr="00142405">
        <w:rPr>
          <w:bCs/>
          <w:sz w:val="24"/>
          <w:szCs w:val="24"/>
        </w:rPr>
        <w:t xml:space="preserve"> (p=0,01).</w:t>
      </w:r>
    </w:p>
    <w:p w:rsidR="00142405" w:rsidRPr="00142405" w:rsidRDefault="00142405" w:rsidP="00142405">
      <w:pPr>
        <w:tabs>
          <w:tab w:val="left" w:pos="851"/>
        </w:tabs>
        <w:ind w:left="1134" w:hanging="283"/>
        <w:rPr>
          <w:bCs/>
          <w:sz w:val="24"/>
          <w:szCs w:val="24"/>
        </w:rPr>
      </w:pPr>
    </w:p>
    <w:p w:rsidR="00142405" w:rsidRPr="00142405" w:rsidRDefault="00142405" w:rsidP="00142405">
      <w:pPr>
        <w:tabs>
          <w:tab w:val="left" w:pos="851"/>
        </w:tabs>
        <w:ind w:left="851"/>
        <w:rPr>
          <w:bCs/>
          <w:sz w:val="24"/>
          <w:szCs w:val="24"/>
        </w:rPr>
      </w:pPr>
      <w:r w:rsidRPr="00142405">
        <w:rPr>
          <w:bCs/>
          <w:sz w:val="24"/>
          <w:szCs w:val="24"/>
        </w:rPr>
        <w:t xml:space="preserve">Fordele vedrørende kliniske resultater er ikke blevet påvist for </w:t>
      </w:r>
      <w:proofErr w:type="spellStart"/>
      <w:r w:rsidRPr="00142405">
        <w:rPr>
          <w:bCs/>
          <w:sz w:val="24"/>
          <w:szCs w:val="24"/>
        </w:rPr>
        <w:t>metformin</w:t>
      </w:r>
      <w:proofErr w:type="spellEnd"/>
      <w:r w:rsidRPr="00142405">
        <w:rPr>
          <w:bCs/>
          <w:sz w:val="24"/>
          <w:szCs w:val="24"/>
        </w:rPr>
        <w:t xml:space="preserve"> brugt som </w:t>
      </w:r>
      <w:proofErr w:type="spellStart"/>
      <w:r w:rsidRPr="00142405">
        <w:rPr>
          <w:bCs/>
          <w:sz w:val="24"/>
          <w:szCs w:val="24"/>
        </w:rPr>
        <w:t>andenlinjebehandling</w:t>
      </w:r>
      <w:proofErr w:type="spellEnd"/>
      <w:r w:rsidRPr="00142405">
        <w:rPr>
          <w:bCs/>
          <w:sz w:val="24"/>
          <w:szCs w:val="24"/>
        </w:rPr>
        <w:t xml:space="preserve"> i kombination med et </w:t>
      </w:r>
      <w:proofErr w:type="spellStart"/>
      <w:r w:rsidRPr="00142405">
        <w:rPr>
          <w:bCs/>
          <w:sz w:val="24"/>
          <w:szCs w:val="24"/>
        </w:rPr>
        <w:t>sulfonylurinstof</w:t>
      </w:r>
      <w:proofErr w:type="spellEnd"/>
      <w:r w:rsidRPr="00142405">
        <w:rPr>
          <w:bCs/>
          <w:sz w:val="24"/>
          <w:szCs w:val="24"/>
        </w:rPr>
        <w:t xml:space="preserve">. </w:t>
      </w:r>
    </w:p>
    <w:p w:rsidR="00142405" w:rsidRPr="00142405" w:rsidRDefault="00142405" w:rsidP="00142405">
      <w:pPr>
        <w:tabs>
          <w:tab w:val="left" w:pos="851"/>
        </w:tabs>
        <w:ind w:left="851"/>
        <w:rPr>
          <w:bCs/>
          <w:sz w:val="24"/>
          <w:szCs w:val="24"/>
        </w:rPr>
      </w:pPr>
    </w:p>
    <w:p w:rsidR="00142405" w:rsidRPr="00142405" w:rsidRDefault="00142405" w:rsidP="00142405">
      <w:pPr>
        <w:tabs>
          <w:tab w:val="left" w:pos="851"/>
        </w:tabs>
        <w:ind w:left="851"/>
        <w:rPr>
          <w:bCs/>
          <w:sz w:val="24"/>
          <w:szCs w:val="24"/>
        </w:rPr>
      </w:pPr>
      <w:r w:rsidRPr="00142405">
        <w:rPr>
          <w:bCs/>
          <w:sz w:val="24"/>
          <w:szCs w:val="24"/>
        </w:rPr>
        <w:t xml:space="preserve">I type 1 diabetes, er kombinationen af </w:t>
      </w:r>
      <w:proofErr w:type="spellStart"/>
      <w:r w:rsidRPr="00142405">
        <w:rPr>
          <w:bCs/>
          <w:sz w:val="24"/>
          <w:szCs w:val="24"/>
        </w:rPr>
        <w:t>metformin</w:t>
      </w:r>
      <w:proofErr w:type="spellEnd"/>
      <w:r w:rsidRPr="00142405">
        <w:rPr>
          <w:bCs/>
          <w:sz w:val="24"/>
          <w:szCs w:val="24"/>
        </w:rPr>
        <w:t xml:space="preserve"> og insulin blevet brugt hos udvalgte patienter, men de kliniske fordele ved denne kombination er ikke formelt påvist. </w:t>
      </w:r>
    </w:p>
    <w:p w:rsidR="00142405" w:rsidRPr="00142405" w:rsidRDefault="00142405" w:rsidP="00142405">
      <w:pPr>
        <w:tabs>
          <w:tab w:val="left" w:pos="851"/>
        </w:tabs>
        <w:ind w:left="851"/>
        <w:rPr>
          <w:b/>
          <w:bCs/>
          <w:sz w:val="24"/>
          <w:szCs w:val="24"/>
        </w:rPr>
      </w:pPr>
    </w:p>
    <w:p w:rsidR="00142405" w:rsidRPr="00142405" w:rsidRDefault="00142405" w:rsidP="00142405">
      <w:pPr>
        <w:tabs>
          <w:tab w:val="left" w:pos="851"/>
        </w:tabs>
        <w:ind w:left="851"/>
        <w:rPr>
          <w:bCs/>
          <w:sz w:val="24"/>
          <w:szCs w:val="24"/>
          <w:u w:val="single"/>
        </w:rPr>
      </w:pPr>
      <w:r w:rsidRPr="00142405">
        <w:rPr>
          <w:bCs/>
          <w:sz w:val="24"/>
          <w:szCs w:val="24"/>
          <w:u w:val="single"/>
        </w:rPr>
        <w:t xml:space="preserve">Pædiatrisk population </w:t>
      </w:r>
    </w:p>
    <w:p w:rsidR="00142405" w:rsidRPr="00142405" w:rsidRDefault="00142405" w:rsidP="00142405">
      <w:pPr>
        <w:tabs>
          <w:tab w:val="left" w:pos="851"/>
        </w:tabs>
        <w:ind w:left="851"/>
        <w:rPr>
          <w:bCs/>
          <w:sz w:val="24"/>
          <w:szCs w:val="24"/>
        </w:rPr>
      </w:pPr>
      <w:r w:rsidRPr="00142405">
        <w:rPr>
          <w:bCs/>
          <w:sz w:val="24"/>
          <w:szCs w:val="24"/>
        </w:rPr>
        <w:t xml:space="preserve">Kontrollerede kliniske </w:t>
      </w:r>
      <w:proofErr w:type="gramStart"/>
      <w:r w:rsidRPr="00142405">
        <w:rPr>
          <w:bCs/>
          <w:sz w:val="24"/>
          <w:szCs w:val="24"/>
        </w:rPr>
        <w:t>forsøg  et</w:t>
      </w:r>
      <w:proofErr w:type="gramEnd"/>
      <w:r w:rsidRPr="00142405">
        <w:rPr>
          <w:bCs/>
          <w:sz w:val="24"/>
          <w:szCs w:val="24"/>
        </w:rPr>
        <w:t xml:space="preserve"> begrænset antal børn mellem 10 og 16 år, behandlet i 1 år, demonstrerede </w:t>
      </w:r>
      <w:r w:rsidRPr="00142405">
        <w:rPr>
          <w:sz w:val="24"/>
          <w:szCs w:val="24"/>
        </w:rPr>
        <w:t xml:space="preserve">et respons mht. </w:t>
      </w:r>
      <w:proofErr w:type="spellStart"/>
      <w:r w:rsidRPr="00142405">
        <w:rPr>
          <w:sz w:val="24"/>
          <w:szCs w:val="24"/>
        </w:rPr>
        <w:t>glykæmisk</w:t>
      </w:r>
      <w:proofErr w:type="spellEnd"/>
      <w:r w:rsidRPr="00142405">
        <w:rPr>
          <w:sz w:val="24"/>
          <w:szCs w:val="24"/>
        </w:rPr>
        <w:t xml:space="preserve"> kontrol svarende til responset hos voksne.</w:t>
      </w:r>
    </w:p>
    <w:p w:rsidR="00142405" w:rsidRDefault="00142405" w:rsidP="00142405">
      <w:pPr>
        <w:tabs>
          <w:tab w:val="left" w:pos="851"/>
        </w:tabs>
        <w:ind w:left="851"/>
        <w:rPr>
          <w:sz w:val="24"/>
          <w:szCs w:val="24"/>
        </w:rPr>
      </w:pPr>
    </w:p>
    <w:p w:rsidR="00F9765E" w:rsidRPr="00142405" w:rsidRDefault="00F9765E" w:rsidP="0014240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C3B09" w:rsidRPr="004C3B09" w:rsidRDefault="004C3B09" w:rsidP="004C3B09">
      <w:pPr>
        <w:tabs>
          <w:tab w:val="left" w:pos="851"/>
        </w:tabs>
        <w:ind w:left="851"/>
        <w:rPr>
          <w:bCs/>
          <w:sz w:val="24"/>
          <w:szCs w:val="24"/>
          <w:u w:val="single"/>
        </w:rPr>
      </w:pPr>
    </w:p>
    <w:p w:rsidR="004C3B09" w:rsidRPr="004C3B09" w:rsidRDefault="004C3B09" w:rsidP="004C3B09">
      <w:pPr>
        <w:tabs>
          <w:tab w:val="left" w:pos="851"/>
        </w:tabs>
        <w:ind w:left="851"/>
        <w:rPr>
          <w:bCs/>
          <w:sz w:val="24"/>
          <w:szCs w:val="24"/>
          <w:u w:val="single"/>
        </w:rPr>
      </w:pPr>
      <w:r w:rsidRPr="004C3B09">
        <w:rPr>
          <w:bCs/>
          <w:sz w:val="24"/>
          <w:szCs w:val="24"/>
          <w:u w:val="single"/>
        </w:rPr>
        <w:t>Absorption</w:t>
      </w:r>
    </w:p>
    <w:p w:rsidR="00F9765E" w:rsidRPr="004C3B09" w:rsidRDefault="00F9765E" w:rsidP="00F9765E">
      <w:pPr>
        <w:tabs>
          <w:tab w:val="left" w:pos="851"/>
        </w:tabs>
        <w:ind w:left="851"/>
        <w:rPr>
          <w:bCs/>
          <w:sz w:val="24"/>
          <w:szCs w:val="24"/>
        </w:rPr>
      </w:pPr>
      <w:r w:rsidRPr="004C3B09">
        <w:rPr>
          <w:bCs/>
          <w:sz w:val="24"/>
          <w:szCs w:val="24"/>
        </w:rPr>
        <w:t xml:space="preserve">Efter en oral dosis </w:t>
      </w:r>
      <w:proofErr w:type="spellStart"/>
      <w:r w:rsidRPr="003D06E3">
        <w:rPr>
          <w:bCs/>
          <w:sz w:val="24"/>
          <w:szCs w:val="24"/>
        </w:rPr>
        <w:t>metforminhydrochlorid</w:t>
      </w:r>
      <w:proofErr w:type="spellEnd"/>
      <w:r w:rsidRPr="003D06E3">
        <w:rPr>
          <w:bCs/>
          <w:sz w:val="24"/>
          <w:szCs w:val="24"/>
        </w:rPr>
        <w:t xml:space="preserve"> i tabletform opnås </w:t>
      </w:r>
      <w:r w:rsidRPr="004C3B09">
        <w:rPr>
          <w:bCs/>
          <w:sz w:val="24"/>
          <w:szCs w:val="24"/>
        </w:rPr>
        <w:t>maksimale plasmakoncentration (</w:t>
      </w:r>
      <w:proofErr w:type="spellStart"/>
      <w:r w:rsidRPr="004C3B09">
        <w:rPr>
          <w:bCs/>
          <w:sz w:val="24"/>
          <w:szCs w:val="24"/>
        </w:rPr>
        <w:t>C</w:t>
      </w:r>
      <w:r w:rsidRPr="004C3B09">
        <w:rPr>
          <w:bCs/>
          <w:sz w:val="24"/>
          <w:szCs w:val="24"/>
          <w:vertAlign w:val="subscript"/>
        </w:rPr>
        <w:t>max</w:t>
      </w:r>
      <w:proofErr w:type="spellEnd"/>
      <w:r w:rsidRPr="004C3B09">
        <w:rPr>
          <w:bCs/>
          <w:sz w:val="24"/>
          <w:szCs w:val="24"/>
        </w:rPr>
        <w:t>) efter ca. 2,5 time (</w:t>
      </w:r>
      <w:proofErr w:type="spellStart"/>
      <w:r w:rsidRPr="004C3B09">
        <w:rPr>
          <w:bCs/>
          <w:sz w:val="24"/>
          <w:szCs w:val="24"/>
        </w:rPr>
        <w:t>t</w:t>
      </w:r>
      <w:r w:rsidRPr="004C3B09">
        <w:rPr>
          <w:bCs/>
          <w:sz w:val="24"/>
          <w:szCs w:val="24"/>
          <w:vertAlign w:val="subscript"/>
        </w:rPr>
        <w:t>max</w:t>
      </w:r>
      <w:proofErr w:type="spellEnd"/>
      <w:r w:rsidRPr="004C3B09">
        <w:rPr>
          <w:bCs/>
          <w:sz w:val="24"/>
          <w:szCs w:val="24"/>
        </w:rPr>
        <w:t xml:space="preserve">). Den absolutte biotilgængelighed for en 500 mg eller 850 mg </w:t>
      </w:r>
      <w:proofErr w:type="spellStart"/>
      <w:r w:rsidRPr="004C3B09">
        <w:rPr>
          <w:bCs/>
          <w:sz w:val="24"/>
          <w:szCs w:val="24"/>
        </w:rPr>
        <w:t>metformin</w:t>
      </w:r>
      <w:proofErr w:type="spellEnd"/>
      <w:r w:rsidRPr="004C3B09">
        <w:rPr>
          <w:bCs/>
          <w:sz w:val="24"/>
          <w:szCs w:val="24"/>
        </w:rPr>
        <w:t>-</w:t>
      </w:r>
      <w:proofErr w:type="spellStart"/>
      <w:r w:rsidRPr="004C3B09">
        <w:rPr>
          <w:bCs/>
          <w:sz w:val="24"/>
          <w:szCs w:val="24"/>
        </w:rPr>
        <w:t>hydrochlorid</w:t>
      </w:r>
      <w:proofErr w:type="spellEnd"/>
      <w:r w:rsidRPr="004C3B09">
        <w:rPr>
          <w:bCs/>
          <w:sz w:val="24"/>
          <w:szCs w:val="24"/>
        </w:rPr>
        <w:t>-tablet er ca. 50-60% hos raske forsøgspersoner. Efter en oral dosis var den ikke-absorberede del fundet i fæces 20-30%.</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bCs/>
          <w:sz w:val="24"/>
          <w:szCs w:val="24"/>
        </w:rPr>
      </w:pPr>
      <w:r w:rsidRPr="004C3B09">
        <w:rPr>
          <w:bCs/>
          <w:sz w:val="24"/>
          <w:szCs w:val="24"/>
        </w:rPr>
        <w:t xml:space="preserve">Efter oralt indtag er </w:t>
      </w:r>
      <w:proofErr w:type="spellStart"/>
      <w:r w:rsidRPr="004C3B09">
        <w:rPr>
          <w:bCs/>
          <w:sz w:val="24"/>
          <w:szCs w:val="24"/>
        </w:rPr>
        <w:t>metforminabsorptionen</w:t>
      </w:r>
      <w:proofErr w:type="spellEnd"/>
      <w:r w:rsidRPr="004C3B09">
        <w:rPr>
          <w:bCs/>
          <w:sz w:val="24"/>
          <w:szCs w:val="24"/>
        </w:rPr>
        <w:t xml:space="preserve"> </w:t>
      </w:r>
      <w:proofErr w:type="spellStart"/>
      <w:r w:rsidRPr="004C3B09">
        <w:rPr>
          <w:bCs/>
          <w:sz w:val="24"/>
          <w:szCs w:val="24"/>
        </w:rPr>
        <w:t>mætbar</w:t>
      </w:r>
      <w:proofErr w:type="spellEnd"/>
      <w:r w:rsidRPr="004C3B09">
        <w:rPr>
          <w:bCs/>
          <w:sz w:val="24"/>
          <w:szCs w:val="24"/>
        </w:rPr>
        <w:t xml:space="preserve"> og ufuldstændig. Det antages at farmakokinetikken for </w:t>
      </w:r>
      <w:proofErr w:type="spellStart"/>
      <w:r w:rsidRPr="004C3B09">
        <w:rPr>
          <w:bCs/>
          <w:sz w:val="24"/>
          <w:szCs w:val="24"/>
        </w:rPr>
        <w:t>metforminabsorption</w:t>
      </w:r>
      <w:proofErr w:type="spellEnd"/>
      <w:r w:rsidRPr="004C3B09">
        <w:rPr>
          <w:bCs/>
          <w:sz w:val="24"/>
          <w:szCs w:val="24"/>
        </w:rPr>
        <w:t xml:space="preserve"> er non-lineær. </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bCs/>
          <w:sz w:val="24"/>
          <w:szCs w:val="24"/>
        </w:rPr>
      </w:pPr>
      <w:r w:rsidRPr="004C3B09">
        <w:rPr>
          <w:bCs/>
          <w:sz w:val="24"/>
          <w:szCs w:val="24"/>
        </w:rPr>
        <w:t xml:space="preserve">Ved de anbefalede </w:t>
      </w:r>
      <w:proofErr w:type="spellStart"/>
      <w:r w:rsidRPr="004C3B09">
        <w:rPr>
          <w:bCs/>
          <w:sz w:val="24"/>
          <w:szCs w:val="24"/>
        </w:rPr>
        <w:t>metformindoser</w:t>
      </w:r>
      <w:proofErr w:type="spellEnd"/>
      <w:r w:rsidRPr="004C3B09">
        <w:rPr>
          <w:bCs/>
          <w:sz w:val="24"/>
          <w:szCs w:val="24"/>
        </w:rPr>
        <w:t xml:space="preserve"> og doseringsskemaer </w:t>
      </w:r>
      <w:r w:rsidRPr="004C3B09">
        <w:rPr>
          <w:sz w:val="24"/>
          <w:szCs w:val="24"/>
        </w:rPr>
        <w:t xml:space="preserve">opnås der </w:t>
      </w:r>
      <w:proofErr w:type="spellStart"/>
      <w:r w:rsidRPr="004C3B09">
        <w:rPr>
          <w:sz w:val="24"/>
          <w:szCs w:val="24"/>
        </w:rPr>
        <w:t>steady</w:t>
      </w:r>
      <w:proofErr w:type="spellEnd"/>
      <w:r w:rsidRPr="004C3B09">
        <w:rPr>
          <w:sz w:val="24"/>
          <w:szCs w:val="24"/>
        </w:rPr>
        <w:t xml:space="preserve"> </w:t>
      </w:r>
      <w:proofErr w:type="spellStart"/>
      <w:r w:rsidRPr="004C3B09">
        <w:rPr>
          <w:sz w:val="24"/>
          <w:szCs w:val="24"/>
        </w:rPr>
        <w:t>state</w:t>
      </w:r>
      <w:proofErr w:type="spellEnd"/>
      <w:r w:rsidRPr="004C3B09">
        <w:rPr>
          <w:sz w:val="24"/>
          <w:szCs w:val="24"/>
        </w:rPr>
        <w:t xml:space="preserve">-plasmakoncentrationer, som generelt er mindre end 1 mikrogram/ml, inden for </w:t>
      </w:r>
      <w:r w:rsidRPr="004C3B09">
        <w:rPr>
          <w:bCs/>
          <w:sz w:val="24"/>
          <w:szCs w:val="24"/>
        </w:rPr>
        <w:t xml:space="preserve">24 til 48 timer. I kontrollerede kliniske forsøg oversteg de maksimale </w:t>
      </w:r>
      <w:proofErr w:type="spellStart"/>
      <w:r w:rsidRPr="004C3B09">
        <w:rPr>
          <w:bCs/>
          <w:sz w:val="24"/>
          <w:szCs w:val="24"/>
        </w:rPr>
        <w:t>metforminplasmaniveauer</w:t>
      </w:r>
      <w:proofErr w:type="spellEnd"/>
      <w:r w:rsidRPr="004C3B09">
        <w:rPr>
          <w:bCs/>
          <w:sz w:val="24"/>
          <w:szCs w:val="24"/>
        </w:rPr>
        <w:t xml:space="preserve"> (</w:t>
      </w:r>
      <w:proofErr w:type="spellStart"/>
      <w:r w:rsidRPr="004C3B09">
        <w:rPr>
          <w:bCs/>
          <w:sz w:val="24"/>
          <w:szCs w:val="24"/>
        </w:rPr>
        <w:t>C</w:t>
      </w:r>
      <w:r w:rsidRPr="004C3B09">
        <w:rPr>
          <w:bCs/>
          <w:sz w:val="24"/>
          <w:szCs w:val="24"/>
          <w:vertAlign w:val="subscript"/>
        </w:rPr>
        <w:t>max</w:t>
      </w:r>
      <w:proofErr w:type="spellEnd"/>
      <w:r w:rsidRPr="004C3B09">
        <w:rPr>
          <w:bCs/>
          <w:sz w:val="24"/>
          <w:szCs w:val="24"/>
        </w:rPr>
        <w:t>) ikke 5 mikrogram/ml, selv ved maksimale doser.</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bCs/>
          <w:sz w:val="24"/>
          <w:szCs w:val="24"/>
        </w:rPr>
      </w:pPr>
      <w:r w:rsidRPr="004C3B09">
        <w:rPr>
          <w:bCs/>
          <w:sz w:val="24"/>
          <w:szCs w:val="24"/>
        </w:rPr>
        <w:t xml:space="preserve">Mad forringer omfanget og forsinker absorptionen af </w:t>
      </w:r>
      <w:proofErr w:type="spellStart"/>
      <w:r w:rsidRPr="004C3B09">
        <w:rPr>
          <w:bCs/>
          <w:sz w:val="24"/>
          <w:szCs w:val="24"/>
        </w:rPr>
        <w:t>metformin</w:t>
      </w:r>
      <w:proofErr w:type="spellEnd"/>
      <w:r w:rsidRPr="004C3B09">
        <w:rPr>
          <w:bCs/>
          <w:sz w:val="24"/>
          <w:szCs w:val="24"/>
        </w:rPr>
        <w:t xml:space="preserve">. Efter oralt indtag af en 850 mg tablet blev der observeret en 40% lavere peak-plasmakoncentration, et 25% fald i AUC (areal under kurven) og en 35 minutters forlængelse af tiden før peak-plasmakoncentrationen. Den kliniske relevans af disse fund er ukendt. </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bCs/>
          <w:sz w:val="24"/>
          <w:szCs w:val="24"/>
          <w:u w:val="single"/>
        </w:rPr>
      </w:pPr>
      <w:r w:rsidRPr="004C3B09">
        <w:rPr>
          <w:bCs/>
          <w:sz w:val="24"/>
          <w:szCs w:val="24"/>
          <w:u w:val="single"/>
        </w:rPr>
        <w:t>Distribution</w:t>
      </w:r>
    </w:p>
    <w:p w:rsidR="004C3B09" w:rsidRPr="004C3B09" w:rsidRDefault="004C3B09" w:rsidP="004C3B09">
      <w:pPr>
        <w:tabs>
          <w:tab w:val="left" w:pos="851"/>
        </w:tabs>
        <w:ind w:left="851"/>
        <w:rPr>
          <w:bCs/>
          <w:sz w:val="24"/>
          <w:szCs w:val="24"/>
        </w:rPr>
      </w:pPr>
      <w:r w:rsidRPr="004C3B09">
        <w:rPr>
          <w:bCs/>
          <w:sz w:val="24"/>
          <w:szCs w:val="24"/>
        </w:rPr>
        <w:t xml:space="preserve">Plasmaproteinbindingen er ubetydelig. </w:t>
      </w:r>
      <w:proofErr w:type="spellStart"/>
      <w:r w:rsidRPr="004C3B09">
        <w:rPr>
          <w:bCs/>
          <w:sz w:val="24"/>
          <w:szCs w:val="24"/>
        </w:rPr>
        <w:t>Metformin</w:t>
      </w:r>
      <w:proofErr w:type="spellEnd"/>
      <w:r w:rsidRPr="004C3B09">
        <w:rPr>
          <w:bCs/>
          <w:sz w:val="24"/>
          <w:szCs w:val="24"/>
        </w:rPr>
        <w:t xml:space="preserve"> fordeles i erytrocytter. Blod-peak er lavere end plasma-peak og optræder ca. samtidig. De røde blodlegemer repræsenterer formentlig et sekundært fordelingsrum. (</w:t>
      </w:r>
      <w:proofErr w:type="spellStart"/>
      <w:r w:rsidRPr="004C3B09">
        <w:rPr>
          <w:bCs/>
          <w:sz w:val="24"/>
          <w:szCs w:val="24"/>
        </w:rPr>
        <w:t>V</w:t>
      </w:r>
      <w:r w:rsidRPr="004C3B09">
        <w:rPr>
          <w:bCs/>
          <w:sz w:val="24"/>
          <w:szCs w:val="24"/>
          <w:vertAlign w:val="subscript"/>
        </w:rPr>
        <w:t>d</w:t>
      </w:r>
      <w:proofErr w:type="spellEnd"/>
      <w:r w:rsidRPr="004C3B09">
        <w:rPr>
          <w:bCs/>
          <w:sz w:val="24"/>
          <w:szCs w:val="24"/>
        </w:rPr>
        <w:t>) lå mellem 64 og 276 l.</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sz w:val="24"/>
          <w:szCs w:val="24"/>
          <w:u w:val="single"/>
        </w:rPr>
      </w:pPr>
      <w:r w:rsidRPr="004C3B09">
        <w:rPr>
          <w:sz w:val="24"/>
          <w:szCs w:val="24"/>
          <w:u w:val="single"/>
        </w:rPr>
        <w:t>Biotransformation</w:t>
      </w:r>
    </w:p>
    <w:p w:rsidR="004C3B09" w:rsidRPr="004C3B09" w:rsidRDefault="004C3B09" w:rsidP="004C3B09">
      <w:pPr>
        <w:tabs>
          <w:tab w:val="left" w:pos="851"/>
        </w:tabs>
        <w:ind w:left="851"/>
        <w:rPr>
          <w:bCs/>
          <w:sz w:val="24"/>
          <w:szCs w:val="24"/>
        </w:rPr>
      </w:pPr>
      <w:proofErr w:type="spellStart"/>
      <w:r w:rsidRPr="004C3B09">
        <w:rPr>
          <w:bCs/>
          <w:sz w:val="24"/>
          <w:szCs w:val="24"/>
        </w:rPr>
        <w:t>Metformin</w:t>
      </w:r>
      <w:proofErr w:type="spellEnd"/>
      <w:r w:rsidRPr="004C3B09">
        <w:rPr>
          <w:bCs/>
          <w:sz w:val="24"/>
          <w:szCs w:val="24"/>
        </w:rPr>
        <w:t xml:space="preserve"> udskilles uændret i urinen. Ingen nedbrydning er observeret hos mennesker. </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bCs/>
          <w:sz w:val="24"/>
          <w:szCs w:val="24"/>
          <w:u w:val="single"/>
        </w:rPr>
      </w:pPr>
      <w:r w:rsidRPr="004C3B09">
        <w:rPr>
          <w:bCs/>
          <w:sz w:val="24"/>
          <w:szCs w:val="24"/>
          <w:u w:val="single"/>
        </w:rPr>
        <w:t>Elimination</w:t>
      </w:r>
    </w:p>
    <w:p w:rsidR="004C3B09" w:rsidRPr="004C3B09" w:rsidRDefault="004C3B09" w:rsidP="004C3B09">
      <w:pPr>
        <w:tabs>
          <w:tab w:val="left" w:pos="851"/>
        </w:tabs>
        <w:ind w:left="851"/>
        <w:rPr>
          <w:bCs/>
          <w:sz w:val="24"/>
          <w:szCs w:val="24"/>
        </w:rPr>
      </w:pPr>
      <w:proofErr w:type="spellStart"/>
      <w:r w:rsidRPr="004C3B09">
        <w:rPr>
          <w:bCs/>
          <w:sz w:val="24"/>
          <w:szCs w:val="24"/>
        </w:rPr>
        <w:t>Renal</w:t>
      </w:r>
      <w:proofErr w:type="spellEnd"/>
      <w:r w:rsidRPr="004C3B09">
        <w:rPr>
          <w:bCs/>
          <w:sz w:val="24"/>
          <w:szCs w:val="24"/>
        </w:rPr>
        <w:t xml:space="preserve"> </w:t>
      </w:r>
      <w:proofErr w:type="spellStart"/>
      <w:r w:rsidRPr="004C3B09">
        <w:rPr>
          <w:bCs/>
          <w:sz w:val="24"/>
          <w:szCs w:val="24"/>
        </w:rPr>
        <w:t>clearance</w:t>
      </w:r>
      <w:proofErr w:type="spellEnd"/>
      <w:r w:rsidRPr="004C3B09">
        <w:rPr>
          <w:bCs/>
          <w:sz w:val="24"/>
          <w:szCs w:val="24"/>
        </w:rPr>
        <w:t xml:space="preserve"> for </w:t>
      </w:r>
      <w:proofErr w:type="spellStart"/>
      <w:r w:rsidRPr="004C3B09">
        <w:rPr>
          <w:bCs/>
          <w:sz w:val="24"/>
          <w:szCs w:val="24"/>
        </w:rPr>
        <w:t>metformin</w:t>
      </w:r>
      <w:proofErr w:type="spellEnd"/>
      <w:r w:rsidRPr="004C3B09">
        <w:rPr>
          <w:bCs/>
          <w:sz w:val="24"/>
          <w:szCs w:val="24"/>
        </w:rPr>
        <w:t xml:space="preserve"> er &gt; 400 ml/min, hvilket indikerer, at </w:t>
      </w:r>
      <w:proofErr w:type="spellStart"/>
      <w:r w:rsidRPr="004C3B09">
        <w:rPr>
          <w:bCs/>
          <w:sz w:val="24"/>
          <w:szCs w:val="24"/>
        </w:rPr>
        <w:t>metformin</w:t>
      </w:r>
      <w:proofErr w:type="spellEnd"/>
      <w:r w:rsidRPr="004C3B09">
        <w:rPr>
          <w:bCs/>
          <w:sz w:val="24"/>
          <w:szCs w:val="24"/>
        </w:rPr>
        <w:t xml:space="preserve"> elimineres via </w:t>
      </w:r>
      <w:proofErr w:type="spellStart"/>
      <w:r w:rsidRPr="004C3B09">
        <w:rPr>
          <w:bCs/>
          <w:sz w:val="24"/>
          <w:szCs w:val="24"/>
        </w:rPr>
        <w:t>glomerulær</w:t>
      </w:r>
      <w:proofErr w:type="spellEnd"/>
      <w:r w:rsidRPr="004C3B09">
        <w:rPr>
          <w:bCs/>
          <w:sz w:val="24"/>
          <w:szCs w:val="24"/>
        </w:rPr>
        <w:t xml:space="preserve"> filtrering og </w:t>
      </w:r>
      <w:proofErr w:type="spellStart"/>
      <w:r w:rsidRPr="004C3B09">
        <w:rPr>
          <w:bCs/>
          <w:sz w:val="24"/>
          <w:szCs w:val="24"/>
        </w:rPr>
        <w:t>tubulær</w:t>
      </w:r>
      <w:proofErr w:type="spellEnd"/>
      <w:r w:rsidRPr="004C3B09">
        <w:rPr>
          <w:bCs/>
          <w:sz w:val="24"/>
          <w:szCs w:val="24"/>
        </w:rPr>
        <w:t xml:space="preserve"> udskillelse. Ved en oral dosis, er den </w:t>
      </w:r>
      <w:proofErr w:type="spellStart"/>
      <w:r w:rsidRPr="004C3B09">
        <w:rPr>
          <w:sz w:val="24"/>
          <w:szCs w:val="24"/>
        </w:rPr>
        <w:t>den</w:t>
      </w:r>
      <w:proofErr w:type="spellEnd"/>
      <w:r w:rsidRPr="004C3B09">
        <w:rPr>
          <w:sz w:val="24"/>
          <w:szCs w:val="24"/>
        </w:rPr>
        <w:t xml:space="preserve"> tilsyneladende terminale eliminationshalveringstid </w:t>
      </w:r>
      <w:r w:rsidRPr="004C3B09">
        <w:rPr>
          <w:bCs/>
          <w:sz w:val="24"/>
          <w:szCs w:val="24"/>
        </w:rPr>
        <w:t xml:space="preserve">ca. 6,5 timer. </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bCs/>
          <w:sz w:val="24"/>
          <w:szCs w:val="24"/>
        </w:rPr>
      </w:pPr>
      <w:r w:rsidRPr="004C3B09">
        <w:rPr>
          <w:bCs/>
          <w:sz w:val="24"/>
          <w:szCs w:val="24"/>
        </w:rPr>
        <w:t xml:space="preserve">Når nyrefunktionen er nedsat, falder </w:t>
      </w:r>
      <w:proofErr w:type="spellStart"/>
      <w:proofErr w:type="gramStart"/>
      <w:r w:rsidRPr="004C3B09">
        <w:rPr>
          <w:bCs/>
          <w:sz w:val="24"/>
          <w:szCs w:val="24"/>
        </w:rPr>
        <w:t>renal</w:t>
      </w:r>
      <w:proofErr w:type="spellEnd"/>
      <w:r w:rsidRPr="004C3B09">
        <w:rPr>
          <w:bCs/>
          <w:sz w:val="24"/>
          <w:szCs w:val="24"/>
        </w:rPr>
        <w:t xml:space="preserve"> </w:t>
      </w:r>
      <w:r w:rsidRPr="004C3B09">
        <w:rPr>
          <w:sz w:val="24"/>
          <w:szCs w:val="24"/>
        </w:rPr>
        <w:t xml:space="preserve"> ligefremt</w:t>
      </w:r>
      <w:proofErr w:type="gramEnd"/>
      <w:r w:rsidRPr="004C3B09">
        <w:rPr>
          <w:sz w:val="24"/>
          <w:szCs w:val="24"/>
        </w:rPr>
        <w:t xml:space="preserve"> proportionalt med </w:t>
      </w:r>
      <w:proofErr w:type="spellStart"/>
      <w:r w:rsidRPr="004C3B09">
        <w:rPr>
          <w:sz w:val="24"/>
          <w:szCs w:val="24"/>
        </w:rPr>
        <w:t>renal</w:t>
      </w:r>
      <w:proofErr w:type="spellEnd"/>
      <w:r w:rsidRPr="004C3B09">
        <w:rPr>
          <w:sz w:val="24"/>
          <w:szCs w:val="24"/>
        </w:rPr>
        <w:t xml:space="preserve"> </w:t>
      </w:r>
      <w:proofErr w:type="spellStart"/>
      <w:r w:rsidRPr="004C3B09">
        <w:rPr>
          <w:sz w:val="24"/>
          <w:szCs w:val="24"/>
        </w:rPr>
        <w:t>clearance</w:t>
      </w:r>
      <w:proofErr w:type="spellEnd"/>
      <w:r w:rsidRPr="004C3B09">
        <w:rPr>
          <w:sz w:val="24"/>
          <w:szCs w:val="24"/>
        </w:rPr>
        <w:t xml:space="preserve"> for </w:t>
      </w:r>
      <w:proofErr w:type="spellStart"/>
      <w:r w:rsidRPr="004C3B09">
        <w:rPr>
          <w:sz w:val="24"/>
          <w:szCs w:val="24"/>
        </w:rPr>
        <w:t>kreatinin</w:t>
      </w:r>
      <w:proofErr w:type="spellEnd"/>
      <w:r w:rsidRPr="004C3B09">
        <w:rPr>
          <w:sz w:val="24"/>
          <w:szCs w:val="24"/>
        </w:rPr>
        <w:t xml:space="preserve">. </w:t>
      </w:r>
      <w:r w:rsidRPr="004C3B09">
        <w:rPr>
          <w:bCs/>
          <w:sz w:val="24"/>
          <w:szCs w:val="24"/>
        </w:rPr>
        <w:t xml:space="preserve">Eliminationshalveringstiden forlænges dermed, hvilket fører til øgede niveauer af </w:t>
      </w:r>
      <w:proofErr w:type="spellStart"/>
      <w:r w:rsidRPr="004C3B09">
        <w:rPr>
          <w:bCs/>
          <w:sz w:val="24"/>
          <w:szCs w:val="24"/>
        </w:rPr>
        <w:t>metformin</w:t>
      </w:r>
      <w:proofErr w:type="spellEnd"/>
      <w:r w:rsidRPr="004C3B09">
        <w:rPr>
          <w:bCs/>
          <w:sz w:val="24"/>
          <w:szCs w:val="24"/>
        </w:rPr>
        <w:t xml:space="preserve"> i plasma. </w:t>
      </w:r>
    </w:p>
    <w:p w:rsidR="004C3B09" w:rsidRPr="004C3B09" w:rsidRDefault="004C3B09" w:rsidP="004C3B09">
      <w:pPr>
        <w:tabs>
          <w:tab w:val="left" w:pos="851"/>
        </w:tabs>
        <w:ind w:left="851"/>
        <w:rPr>
          <w:bCs/>
          <w:sz w:val="24"/>
          <w:szCs w:val="24"/>
          <w:u w:val="single"/>
        </w:rPr>
      </w:pPr>
    </w:p>
    <w:p w:rsidR="004C3B09" w:rsidRPr="004C3B09" w:rsidRDefault="004C3B09" w:rsidP="004C3B09">
      <w:pPr>
        <w:tabs>
          <w:tab w:val="left" w:pos="851"/>
        </w:tabs>
        <w:ind w:left="851"/>
        <w:rPr>
          <w:bCs/>
          <w:sz w:val="24"/>
          <w:szCs w:val="24"/>
          <w:u w:val="single"/>
        </w:rPr>
      </w:pPr>
      <w:r w:rsidRPr="004C3B09">
        <w:rPr>
          <w:bCs/>
          <w:sz w:val="24"/>
          <w:szCs w:val="24"/>
          <w:u w:val="single"/>
        </w:rPr>
        <w:t>Karakteristika hos specifikke patientgrupper</w:t>
      </w:r>
    </w:p>
    <w:p w:rsidR="004C3B09" w:rsidRPr="004C3B09" w:rsidRDefault="004C3B09" w:rsidP="004C3B09">
      <w:pPr>
        <w:tabs>
          <w:tab w:val="left" w:pos="851"/>
        </w:tabs>
        <w:ind w:left="851"/>
        <w:rPr>
          <w:bCs/>
          <w:sz w:val="24"/>
          <w:szCs w:val="24"/>
          <w:u w:val="single"/>
        </w:rPr>
      </w:pPr>
    </w:p>
    <w:p w:rsidR="004C3B09" w:rsidRPr="009C5065" w:rsidRDefault="004C3B09" w:rsidP="004C3B09">
      <w:pPr>
        <w:tabs>
          <w:tab w:val="left" w:pos="851"/>
        </w:tabs>
        <w:ind w:left="851"/>
        <w:rPr>
          <w:bCs/>
          <w:i/>
          <w:sz w:val="24"/>
          <w:szCs w:val="24"/>
        </w:rPr>
      </w:pPr>
      <w:r w:rsidRPr="009C5065">
        <w:rPr>
          <w:i/>
          <w:sz w:val="24"/>
          <w:szCs w:val="24"/>
        </w:rPr>
        <w:t>Nedsat nyrefunktion</w:t>
      </w:r>
      <w:r w:rsidRPr="009C5065">
        <w:rPr>
          <w:bCs/>
          <w:i/>
          <w:sz w:val="24"/>
          <w:szCs w:val="24"/>
        </w:rPr>
        <w:t xml:space="preserve"> </w:t>
      </w:r>
    </w:p>
    <w:p w:rsidR="004C3B09" w:rsidRPr="004C3B09" w:rsidRDefault="004C3B09" w:rsidP="004C3B09">
      <w:pPr>
        <w:tabs>
          <w:tab w:val="left" w:pos="851"/>
        </w:tabs>
        <w:ind w:left="851"/>
        <w:rPr>
          <w:bCs/>
          <w:sz w:val="24"/>
          <w:szCs w:val="24"/>
        </w:rPr>
      </w:pPr>
      <w:r w:rsidRPr="004C3B09">
        <w:rPr>
          <w:bCs/>
          <w:sz w:val="24"/>
          <w:szCs w:val="24"/>
        </w:rPr>
        <w:t xml:space="preserve">De tilgængelige data hos personer med moderat nyreinsufficiens er få, og der kunne ikke laves pålidelig beregning af den systemiske eksponering for </w:t>
      </w:r>
      <w:proofErr w:type="spellStart"/>
      <w:r w:rsidRPr="004C3B09">
        <w:rPr>
          <w:bCs/>
          <w:sz w:val="24"/>
          <w:szCs w:val="24"/>
        </w:rPr>
        <w:t>metformin</w:t>
      </w:r>
      <w:proofErr w:type="spellEnd"/>
      <w:r w:rsidRPr="004C3B09">
        <w:rPr>
          <w:bCs/>
          <w:sz w:val="24"/>
          <w:szCs w:val="24"/>
        </w:rPr>
        <w:t xml:space="preserve"> hos denne undergruppe sammenlignet med personer med normal nyrefunktion. Derfor bør dosistilpasningen laves efter overvejelser om </w:t>
      </w:r>
      <w:proofErr w:type="spellStart"/>
      <w:r w:rsidRPr="004C3B09">
        <w:rPr>
          <w:bCs/>
          <w:sz w:val="24"/>
          <w:szCs w:val="24"/>
        </w:rPr>
        <w:t>klinsk</w:t>
      </w:r>
      <w:proofErr w:type="spellEnd"/>
      <w:r w:rsidRPr="004C3B09">
        <w:rPr>
          <w:bCs/>
          <w:sz w:val="24"/>
          <w:szCs w:val="24"/>
        </w:rPr>
        <w:t xml:space="preserve"> effekt/tolerance (se pkt. 4.2). </w:t>
      </w:r>
    </w:p>
    <w:p w:rsidR="004C3B09" w:rsidRPr="004C3B09" w:rsidRDefault="004C3B09" w:rsidP="004C3B09">
      <w:pPr>
        <w:tabs>
          <w:tab w:val="left" w:pos="851"/>
        </w:tabs>
        <w:ind w:left="851"/>
        <w:rPr>
          <w:bCs/>
          <w:sz w:val="24"/>
          <w:szCs w:val="24"/>
        </w:rPr>
      </w:pPr>
    </w:p>
    <w:p w:rsidR="004C3B09" w:rsidRPr="009C5065" w:rsidRDefault="004C3B09" w:rsidP="004C3B09">
      <w:pPr>
        <w:tabs>
          <w:tab w:val="left" w:pos="851"/>
        </w:tabs>
        <w:ind w:left="851"/>
        <w:rPr>
          <w:i/>
          <w:sz w:val="24"/>
          <w:szCs w:val="24"/>
        </w:rPr>
      </w:pPr>
      <w:r w:rsidRPr="009C5065">
        <w:rPr>
          <w:i/>
          <w:sz w:val="24"/>
          <w:szCs w:val="24"/>
        </w:rPr>
        <w:t>Pædiatrisk population:</w:t>
      </w:r>
    </w:p>
    <w:p w:rsidR="004C3B09" w:rsidRPr="004C3B09" w:rsidRDefault="004C3B09" w:rsidP="004C3B09">
      <w:pPr>
        <w:tabs>
          <w:tab w:val="left" w:pos="851"/>
        </w:tabs>
        <w:ind w:left="851"/>
        <w:rPr>
          <w:bCs/>
          <w:sz w:val="24"/>
          <w:szCs w:val="24"/>
          <w:u w:val="single"/>
        </w:rPr>
      </w:pPr>
    </w:p>
    <w:p w:rsidR="00F9765E" w:rsidRPr="004C3B09" w:rsidRDefault="00F9765E" w:rsidP="00F9765E">
      <w:pPr>
        <w:tabs>
          <w:tab w:val="left" w:pos="851"/>
        </w:tabs>
        <w:ind w:left="851"/>
        <w:rPr>
          <w:bCs/>
          <w:sz w:val="24"/>
          <w:szCs w:val="24"/>
        </w:rPr>
      </w:pPr>
      <w:r w:rsidRPr="004C3B09">
        <w:rPr>
          <w:bCs/>
          <w:sz w:val="24"/>
          <w:szCs w:val="24"/>
        </w:rPr>
        <w:t>Enkeldosisfor</w:t>
      </w:r>
      <w:r>
        <w:rPr>
          <w:bCs/>
          <w:sz w:val="24"/>
          <w:szCs w:val="24"/>
        </w:rPr>
        <w:t>s</w:t>
      </w:r>
      <w:r w:rsidRPr="004C3B09">
        <w:rPr>
          <w:bCs/>
          <w:sz w:val="24"/>
          <w:szCs w:val="24"/>
        </w:rPr>
        <w:t xml:space="preserve">øg: Efter en enkelt dosis af </w:t>
      </w:r>
      <w:proofErr w:type="spellStart"/>
      <w:r w:rsidRPr="004C3B09">
        <w:rPr>
          <w:bCs/>
          <w:sz w:val="24"/>
          <w:szCs w:val="24"/>
        </w:rPr>
        <w:t>metformin</w:t>
      </w:r>
      <w:r>
        <w:rPr>
          <w:bCs/>
          <w:sz w:val="24"/>
          <w:szCs w:val="24"/>
        </w:rPr>
        <w:t>hydrochlorid</w:t>
      </w:r>
      <w:proofErr w:type="spellEnd"/>
      <w:r w:rsidRPr="004C3B09">
        <w:rPr>
          <w:bCs/>
          <w:sz w:val="24"/>
          <w:szCs w:val="24"/>
        </w:rPr>
        <w:t xml:space="preserve"> 500 mg udviste pædiatriske patienter samme </w:t>
      </w:r>
      <w:proofErr w:type="spellStart"/>
      <w:r w:rsidRPr="004C3B09">
        <w:rPr>
          <w:bCs/>
          <w:sz w:val="24"/>
          <w:szCs w:val="24"/>
        </w:rPr>
        <w:t>farmakokinestiske</w:t>
      </w:r>
      <w:proofErr w:type="spellEnd"/>
      <w:r w:rsidRPr="004C3B09">
        <w:rPr>
          <w:bCs/>
          <w:sz w:val="24"/>
          <w:szCs w:val="24"/>
        </w:rPr>
        <w:t xml:space="preserve"> profiler som dem, der kunne observeres hos raske voksne. </w:t>
      </w:r>
    </w:p>
    <w:p w:rsidR="004C3B09" w:rsidRPr="004C3B09" w:rsidRDefault="004C3B09" w:rsidP="004C3B09">
      <w:pPr>
        <w:tabs>
          <w:tab w:val="left" w:pos="851"/>
        </w:tabs>
        <w:ind w:left="851"/>
        <w:rPr>
          <w:bCs/>
          <w:sz w:val="24"/>
          <w:szCs w:val="24"/>
        </w:rPr>
      </w:pPr>
    </w:p>
    <w:p w:rsidR="004C3B09" w:rsidRPr="004C3B09" w:rsidRDefault="004C3B09" w:rsidP="004C3B09">
      <w:pPr>
        <w:tabs>
          <w:tab w:val="left" w:pos="851"/>
        </w:tabs>
        <w:ind w:left="851"/>
        <w:rPr>
          <w:bCs/>
          <w:sz w:val="24"/>
          <w:szCs w:val="24"/>
        </w:rPr>
      </w:pPr>
      <w:r w:rsidRPr="004C3B09">
        <w:rPr>
          <w:bCs/>
          <w:sz w:val="24"/>
          <w:szCs w:val="24"/>
        </w:rPr>
        <w:t>Flerdosisforsøg: Data er begrænset til ét studie. Efter gentagne dosering af 500 mg to gange daglig i 7 dage hos børn og unge, var peak-plasmakoncentrationen (</w:t>
      </w:r>
      <w:proofErr w:type="spellStart"/>
      <w:r w:rsidRPr="004C3B09">
        <w:rPr>
          <w:bCs/>
          <w:sz w:val="24"/>
          <w:szCs w:val="24"/>
        </w:rPr>
        <w:t>C</w:t>
      </w:r>
      <w:r w:rsidRPr="004C3B09">
        <w:rPr>
          <w:bCs/>
          <w:sz w:val="24"/>
          <w:szCs w:val="24"/>
          <w:vertAlign w:val="subscript"/>
        </w:rPr>
        <w:t>max</w:t>
      </w:r>
      <w:proofErr w:type="spellEnd"/>
      <w:r w:rsidRPr="004C3B09">
        <w:rPr>
          <w:bCs/>
          <w:sz w:val="24"/>
          <w:szCs w:val="24"/>
        </w:rPr>
        <w:t>) og den systemiske eksponering (AUC</w:t>
      </w:r>
      <w:r w:rsidRPr="004C3B09">
        <w:rPr>
          <w:bCs/>
          <w:sz w:val="24"/>
          <w:szCs w:val="24"/>
          <w:vertAlign w:val="subscript"/>
        </w:rPr>
        <w:t>0-t</w:t>
      </w:r>
      <w:r w:rsidRPr="004C3B09">
        <w:rPr>
          <w:bCs/>
          <w:sz w:val="24"/>
          <w:szCs w:val="24"/>
        </w:rPr>
        <w:t xml:space="preserve">) reduceret med hhv. ca. 33 % og 40 % sammenlignet med diabetiske voksne, som fik gentagne doser af 500 mg to gange daglig i 14 dage. Da dosen bliver individuelt titreret baseret på </w:t>
      </w:r>
      <w:proofErr w:type="spellStart"/>
      <w:r w:rsidRPr="004C3B09">
        <w:rPr>
          <w:bCs/>
          <w:sz w:val="24"/>
          <w:szCs w:val="24"/>
        </w:rPr>
        <w:t>glykæmisk</w:t>
      </w:r>
      <w:proofErr w:type="spellEnd"/>
      <w:r w:rsidRPr="004C3B09">
        <w:rPr>
          <w:bCs/>
          <w:sz w:val="24"/>
          <w:szCs w:val="24"/>
        </w:rPr>
        <w:t xml:space="preserve"> kontrol, har dette begrænset klinisk relevans.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117ECE">
        <w:rPr>
          <w:b/>
          <w:sz w:val="24"/>
          <w:szCs w:val="24"/>
        </w:rPr>
        <w:t>Non-</w:t>
      </w:r>
      <w:r w:rsidRPr="00C84483">
        <w:rPr>
          <w:b/>
          <w:sz w:val="24"/>
          <w:szCs w:val="24"/>
        </w:rPr>
        <w:t>kliniske sikkerhedsdata</w:t>
      </w:r>
    </w:p>
    <w:p w:rsidR="009C5065" w:rsidRPr="009C5065" w:rsidRDefault="00F9765E" w:rsidP="009C5065">
      <w:pPr>
        <w:tabs>
          <w:tab w:val="left" w:pos="851"/>
        </w:tabs>
        <w:ind w:left="851"/>
        <w:rPr>
          <w:sz w:val="24"/>
          <w:szCs w:val="24"/>
        </w:rPr>
      </w:pPr>
      <w:r>
        <w:rPr>
          <w:sz w:val="24"/>
          <w:szCs w:val="24"/>
        </w:rPr>
        <w:t>Non-</w:t>
      </w:r>
      <w:r w:rsidR="009C5065" w:rsidRPr="009C5065">
        <w:rPr>
          <w:sz w:val="24"/>
          <w:szCs w:val="24"/>
        </w:rPr>
        <w:t xml:space="preserve">kliniske data viser ingen særlig risiko for mennesker baseret på konventionelle studier af sikkerhedsfarmakologi, toksicitet efter gentagne doser, genotoksicitet, </w:t>
      </w:r>
      <w:proofErr w:type="spellStart"/>
      <w:r w:rsidR="009C5065" w:rsidRPr="009C5065">
        <w:rPr>
          <w:sz w:val="24"/>
          <w:szCs w:val="24"/>
        </w:rPr>
        <w:t>karcinogenicitet</w:t>
      </w:r>
      <w:proofErr w:type="spellEnd"/>
      <w:r w:rsidR="009C5065" w:rsidRPr="009C5065">
        <w:rPr>
          <w:sz w:val="24"/>
          <w:szCs w:val="24"/>
        </w:rPr>
        <w:t xml:space="preserve"> og reproduktionstoksicitet.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CB1346" w:rsidRPr="00CB1346" w:rsidRDefault="00CB1346" w:rsidP="00CB1346">
      <w:pPr>
        <w:tabs>
          <w:tab w:val="left" w:pos="851"/>
        </w:tabs>
        <w:ind w:left="851"/>
        <w:rPr>
          <w:bCs/>
          <w:sz w:val="24"/>
          <w:szCs w:val="24"/>
          <w:u w:val="single"/>
        </w:rPr>
      </w:pPr>
      <w:bookmarkStart w:id="4" w:name="_Hlk2694284"/>
    </w:p>
    <w:p w:rsidR="00CB1346" w:rsidRPr="00CB1346" w:rsidRDefault="00CB1346" w:rsidP="00CB1346">
      <w:pPr>
        <w:tabs>
          <w:tab w:val="left" w:pos="851"/>
        </w:tabs>
        <w:ind w:left="851"/>
        <w:rPr>
          <w:bCs/>
          <w:sz w:val="24"/>
          <w:szCs w:val="24"/>
          <w:u w:val="single"/>
        </w:rPr>
      </w:pPr>
      <w:r w:rsidRPr="00CB1346">
        <w:rPr>
          <w:bCs/>
          <w:sz w:val="24"/>
          <w:szCs w:val="24"/>
          <w:u w:val="single"/>
        </w:rPr>
        <w:t>Tabletkerne</w:t>
      </w:r>
    </w:p>
    <w:p w:rsidR="00CB1346" w:rsidRPr="00CB1346" w:rsidRDefault="00CB1346" w:rsidP="00CB1346">
      <w:pPr>
        <w:tabs>
          <w:tab w:val="left" w:pos="851"/>
        </w:tabs>
        <w:ind w:left="851"/>
        <w:rPr>
          <w:sz w:val="24"/>
          <w:szCs w:val="24"/>
        </w:rPr>
      </w:pPr>
      <w:proofErr w:type="spellStart"/>
      <w:r w:rsidRPr="00CB1346">
        <w:rPr>
          <w:sz w:val="24"/>
          <w:szCs w:val="24"/>
        </w:rPr>
        <w:t>Povidon</w:t>
      </w:r>
      <w:proofErr w:type="spellEnd"/>
    </w:p>
    <w:p w:rsidR="00CB1346" w:rsidRPr="00CB1346" w:rsidRDefault="00CB1346" w:rsidP="00CB1346">
      <w:pPr>
        <w:tabs>
          <w:tab w:val="left" w:pos="851"/>
        </w:tabs>
        <w:ind w:left="851"/>
        <w:rPr>
          <w:sz w:val="24"/>
          <w:szCs w:val="24"/>
        </w:rPr>
      </w:pPr>
      <w:proofErr w:type="spellStart"/>
      <w:r w:rsidRPr="00CB1346">
        <w:rPr>
          <w:sz w:val="24"/>
          <w:szCs w:val="24"/>
        </w:rPr>
        <w:t>Pregelatineret</w:t>
      </w:r>
      <w:proofErr w:type="spellEnd"/>
      <w:r w:rsidRPr="00CB1346">
        <w:rPr>
          <w:sz w:val="24"/>
          <w:szCs w:val="24"/>
        </w:rPr>
        <w:t xml:space="preserve"> majsstivelse </w:t>
      </w:r>
    </w:p>
    <w:p w:rsidR="00CB1346" w:rsidRPr="00CB1346" w:rsidRDefault="00CB1346" w:rsidP="00CB1346">
      <w:pPr>
        <w:tabs>
          <w:tab w:val="left" w:pos="851"/>
        </w:tabs>
        <w:ind w:left="851"/>
        <w:rPr>
          <w:sz w:val="24"/>
          <w:szCs w:val="24"/>
        </w:rPr>
      </w:pPr>
      <w:proofErr w:type="spellStart"/>
      <w:r w:rsidRPr="00CB1346">
        <w:rPr>
          <w:sz w:val="24"/>
          <w:szCs w:val="24"/>
        </w:rPr>
        <w:t>Magnesiumstearat</w:t>
      </w:r>
      <w:proofErr w:type="spellEnd"/>
    </w:p>
    <w:p w:rsidR="00CB1346" w:rsidRPr="00CB1346" w:rsidRDefault="00CB1346" w:rsidP="00CB1346">
      <w:pPr>
        <w:tabs>
          <w:tab w:val="left" w:pos="851"/>
        </w:tabs>
        <w:ind w:left="851"/>
        <w:rPr>
          <w:b/>
          <w:sz w:val="24"/>
          <w:szCs w:val="24"/>
        </w:rPr>
      </w:pPr>
    </w:p>
    <w:p w:rsidR="00CB1346" w:rsidRPr="00CB1346" w:rsidRDefault="00CB1346" w:rsidP="00CB1346">
      <w:pPr>
        <w:tabs>
          <w:tab w:val="left" w:pos="851"/>
        </w:tabs>
        <w:ind w:left="851"/>
        <w:rPr>
          <w:bCs/>
          <w:sz w:val="24"/>
          <w:szCs w:val="24"/>
          <w:u w:val="single"/>
        </w:rPr>
      </w:pPr>
      <w:r w:rsidRPr="00CB1346">
        <w:rPr>
          <w:bCs/>
          <w:sz w:val="24"/>
          <w:szCs w:val="24"/>
          <w:u w:val="single"/>
        </w:rPr>
        <w:t>Filmovertræk</w:t>
      </w:r>
    </w:p>
    <w:p w:rsidR="00CB1346" w:rsidRPr="00A5237A" w:rsidRDefault="00CB1346" w:rsidP="00CB1346">
      <w:pPr>
        <w:tabs>
          <w:tab w:val="left" w:pos="851"/>
        </w:tabs>
        <w:ind w:left="851"/>
        <w:rPr>
          <w:sz w:val="24"/>
          <w:szCs w:val="24"/>
        </w:rPr>
      </w:pPr>
      <w:proofErr w:type="spellStart"/>
      <w:r w:rsidRPr="00A5237A">
        <w:rPr>
          <w:sz w:val="24"/>
          <w:szCs w:val="24"/>
        </w:rPr>
        <w:t>Hypromellose</w:t>
      </w:r>
      <w:proofErr w:type="spellEnd"/>
      <w:r w:rsidRPr="00A5237A">
        <w:rPr>
          <w:sz w:val="24"/>
          <w:szCs w:val="24"/>
        </w:rPr>
        <w:t xml:space="preserve"> (E464)</w:t>
      </w:r>
    </w:p>
    <w:p w:rsidR="00CB1346" w:rsidRPr="00A5237A" w:rsidRDefault="00CB1346" w:rsidP="00CB1346">
      <w:pPr>
        <w:tabs>
          <w:tab w:val="left" w:pos="851"/>
        </w:tabs>
        <w:ind w:left="851"/>
        <w:rPr>
          <w:sz w:val="24"/>
          <w:szCs w:val="24"/>
        </w:rPr>
      </w:pPr>
      <w:r w:rsidRPr="00A5237A">
        <w:rPr>
          <w:sz w:val="24"/>
          <w:szCs w:val="24"/>
        </w:rPr>
        <w:t>Titandioxid (E171)</w:t>
      </w:r>
    </w:p>
    <w:p w:rsidR="00CB1346" w:rsidRPr="00A5237A" w:rsidRDefault="00CB1346" w:rsidP="00CB1346">
      <w:pPr>
        <w:tabs>
          <w:tab w:val="left" w:pos="851"/>
        </w:tabs>
        <w:ind w:left="851"/>
        <w:rPr>
          <w:sz w:val="24"/>
          <w:szCs w:val="24"/>
        </w:rPr>
      </w:pPr>
      <w:proofErr w:type="spellStart"/>
      <w:r w:rsidRPr="00A5237A">
        <w:rPr>
          <w:sz w:val="24"/>
          <w:szCs w:val="24"/>
        </w:rPr>
        <w:t>Macrogol</w:t>
      </w:r>
      <w:proofErr w:type="spellEnd"/>
      <w:r w:rsidRPr="00A5237A">
        <w:rPr>
          <w:sz w:val="24"/>
          <w:szCs w:val="24"/>
        </w:rPr>
        <w:t xml:space="preserve"> (E1521)</w:t>
      </w:r>
      <w:bookmarkEnd w:id="4"/>
    </w:p>
    <w:p w:rsidR="009260DE" w:rsidRPr="00A5237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07328B"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C5065">
      <w:pPr>
        <w:tabs>
          <w:tab w:val="left" w:pos="851"/>
          <w:tab w:val="left" w:pos="3280"/>
        </w:tabs>
        <w:ind w:left="851" w:hanging="851"/>
        <w:rPr>
          <w:sz w:val="24"/>
          <w:szCs w:val="24"/>
        </w:rPr>
      </w:pPr>
      <w:r w:rsidRPr="00C84483">
        <w:rPr>
          <w:sz w:val="24"/>
          <w:szCs w:val="24"/>
        </w:rPr>
        <w:tab/>
      </w:r>
      <w:r w:rsidR="0007328B">
        <w:rPr>
          <w:sz w:val="24"/>
          <w:szCs w:val="24"/>
        </w:rPr>
        <w:t>3 år.</w:t>
      </w:r>
      <w:r w:rsidR="009C5065">
        <w:rPr>
          <w:sz w:val="24"/>
          <w:szCs w:val="24"/>
        </w:rPr>
        <w:tab/>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7328B" w:rsidRPr="0007328B" w:rsidRDefault="0007328B" w:rsidP="0007328B">
      <w:pPr>
        <w:tabs>
          <w:tab w:val="left" w:pos="851"/>
        </w:tabs>
        <w:ind w:left="851"/>
        <w:rPr>
          <w:sz w:val="24"/>
          <w:szCs w:val="24"/>
        </w:rPr>
      </w:pPr>
      <w:r w:rsidRPr="0007328B">
        <w:rPr>
          <w:sz w:val="24"/>
          <w:szCs w:val="24"/>
        </w:rPr>
        <w:t xml:space="preserve">Dette lægemiddel kræver ingen særlige forholdsregler vedrørende opbevaringen.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7328B" w:rsidRPr="0007328B" w:rsidRDefault="0007328B" w:rsidP="0007328B">
      <w:pPr>
        <w:tabs>
          <w:tab w:val="left" w:pos="851"/>
        </w:tabs>
        <w:ind w:left="851"/>
        <w:rPr>
          <w:bCs/>
          <w:sz w:val="24"/>
          <w:szCs w:val="24"/>
        </w:rPr>
      </w:pPr>
    </w:p>
    <w:p w:rsidR="0007328B" w:rsidRPr="0007328B" w:rsidRDefault="0007328B" w:rsidP="0007328B">
      <w:pPr>
        <w:tabs>
          <w:tab w:val="left" w:pos="851"/>
        </w:tabs>
        <w:ind w:left="851"/>
        <w:rPr>
          <w:sz w:val="24"/>
          <w:szCs w:val="24"/>
        </w:rPr>
      </w:pPr>
      <w:r w:rsidRPr="0007328B">
        <w:rPr>
          <w:sz w:val="24"/>
          <w:szCs w:val="24"/>
          <w:u w:val="single"/>
        </w:rPr>
        <w:t>500 mg</w:t>
      </w:r>
    </w:p>
    <w:p w:rsidR="00733BE1" w:rsidRDefault="00733BE1" w:rsidP="0007328B">
      <w:pPr>
        <w:tabs>
          <w:tab w:val="left" w:pos="851"/>
        </w:tabs>
        <w:ind w:left="851"/>
        <w:rPr>
          <w:i/>
          <w:sz w:val="24"/>
          <w:szCs w:val="24"/>
        </w:rPr>
      </w:pPr>
      <w:bookmarkStart w:id="5" w:name="_Hlk52717442"/>
    </w:p>
    <w:p w:rsidR="0007328B" w:rsidRPr="00733BE1" w:rsidRDefault="0007328B" w:rsidP="0007328B">
      <w:pPr>
        <w:tabs>
          <w:tab w:val="left" w:pos="851"/>
        </w:tabs>
        <w:ind w:left="851"/>
        <w:rPr>
          <w:i/>
          <w:sz w:val="24"/>
          <w:szCs w:val="24"/>
        </w:rPr>
      </w:pPr>
      <w:r w:rsidRPr="00733BE1">
        <w:rPr>
          <w:i/>
          <w:sz w:val="24"/>
          <w:szCs w:val="24"/>
        </w:rPr>
        <w:t>Blisterpakning</w:t>
      </w:r>
      <w:bookmarkEnd w:id="5"/>
      <w:r w:rsidRPr="00733BE1">
        <w:rPr>
          <w:i/>
          <w:sz w:val="24"/>
          <w:szCs w:val="24"/>
        </w:rPr>
        <w:t xml:space="preserve"> (PVC-</w:t>
      </w:r>
      <w:proofErr w:type="spellStart"/>
      <w:r w:rsidRPr="00733BE1">
        <w:rPr>
          <w:i/>
          <w:sz w:val="24"/>
          <w:szCs w:val="24"/>
        </w:rPr>
        <w:t>aluminum</w:t>
      </w:r>
      <w:proofErr w:type="spellEnd"/>
      <w:r w:rsidRPr="00733BE1">
        <w:rPr>
          <w:i/>
          <w:sz w:val="24"/>
          <w:szCs w:val="24"/>
        </w:rPr>
        <w:t>)</w:t>
      </w:r>
    </w:p>
    <w:p w:rsidR="00A76FBE" w:rsidRDefault="00A76FBE" w:rsidP="00A76FBE">
      <w:pPr>
        <w:tabs>
          <w:tab w:val="left" w:pos="851"/>
        </w:tabs>
        <w:ind w:left="851"/>
        <w:rPr>
          <w:sz w:val="24"/>
          <w:szCs w:val="24"/>
        </w:rPr>
      </w:pPr>
      <w:r>
        <w:rPr>
          <w:sz w:val="24"/>
          <w:szCs w:val="24"/>
        </w:rPr>
        <w:t>Pakningsstørrelser: 20 tabletter.</w:t>
      </w:r>
    </w:p>
    <w:p w:rsidR="00A76FBE" w:rsidRDefault="00A76FBE" w:rsidP="00A76FBE">
      <w:pPr>
        <w:tabs>
          <w:tab w:val="left" w:pos="851"/>
        </w:tabs>
        <w:ind w:left="851"/>
        <w:rPr>
          <w:sz w:val="24"/>
          <w:szCs w:val="24"/>
        </w:rPr>
      </w:pPr>
      <w:r>
        <w:rPr>
          <w:sz w:val="24"/>
          <w:szCs w:val="24"/>
        </w:rPr>
        <w:t>Pakningsstørrelser: 30 tabletter.</w:t>
      </w:r>
    </w:p>
    <w:p w:rsidR="00A76FBE" w:rsidRDefault="00A76FBE" w:rsidP="00A76FBE">
      <w:pPr>
        <w:tabs>
          <w:tab w:val="left" w:pos="851"/>
        </w:tabs>
        <w:ind w:left="851"/>
        <w:rPr>
          <w:sz w:val="24"/>
          <w:szCs w:val="24"/>
        </w:rPr>
      </w:pPr>
      <w:r>
        <w:rPr>
          <w:sz w:val="24"/>
          <w:szCs w:val="24"/>
        </w:rPr>
        <w:t>Pakningsstørrelser: 120 tabletter.</w:t>
      </w:r>
    </w:p>
    <w:p w:rsidR="00A76FBE" w:rsidRDefault="00A76FBE" w:rsidP="00A76FBE">
      <w:pPr>
        <w:tabs>
          <w:tab w:val="left" w:pos="851"/>
        </w:tabs>
        <w:ind w:left="851"/>
        <w:rPr>
          <w:sz w:val="24"/>
          <w:szCs w:val="24"/>
        </w:rPr>
      </w:pPr>
      <w:r>
        <w:rPr>
          <w:sz w:val="24"/>
          <w:szCs w:val="24"/>
        </w:rPr>
        <w:t>Pakningsstørrelser: 180 tabletter.</w:t>
      </w:r>
    </w:p>
    <w:p w:rsidR="0007328B" w:rsidRPr="0007328B" w:rsidRDefault="0007328B" w:rsidP="0007328B">
      <w:pPr>
        <w:tabs>
          <w:tab w:val="left" w:pos="851"/>
        </w:tabs>
        <w:ind w:left="851"/>
        <w:rPr>
          <w:sz w:val="24"/>
          <w:szCs w:val="24"/>
        </w:rPr>
      </w:pPr>
    </w:p>
    <w:p w:rsidR="0007328B" w:rsidRPr="00733BE1" w:rsidRDefault="0007328B" w:rsidP="0007328B">
      <w:pPr>
        <w:tabs>
          <w:tab w:val="left" w:pos="851"/>
        </w:tabs>
        <w:ind w:left="851"/>
        <w:rPr>
          <w:i/>
          <w:sz w:val="24"/>
          <w:szCs w:val="24"/>
        </w:rPr>
      </w:pPr>
      <w:r w:rsidRPr="00733BE1">
        <w:rPr>
          <w:i/>
          <w:sz w:val="24"/>
          <w:szCs w:val="24"/>
        </w:rPr>
        <w:t>HDPE-beholder (high-</w:t>
      </w:r>
      <w:proofErr w:type="spellStart"/>
      <w:r w:rsidRPr="00733BE1">
        <w:rPr>
          <w:i/>
          <w:sz w:val="24"/>
          <w:szCs w:val="24"/>
        </w:rPr>
        <w:t>density</w:t>
      </w:r>
      <w:proofErr w:type="spellEnd"/>
      <w:r w:rsidRPr="00733BE1">
        <w:rPr>
          <w:i/>
          <w:sz w:val="24"/>
          <w:szCs w:val="24"/>
        </w:rPr>
        <w:t xml:space="preserve"> </w:t>
      </w:r>
      <w:proofErr w:type="spellStart"/>
      <w:r w:rsidRPr="00733BE1">
        <w:rPr>
          <w:i/>
          <w:sz w:val="24"/>
          <w:szCs w:val="24"/>
        </w:rPr>
        <w:t>polyethylen</w:t>
      </w:r>
      <w:proofErr w:type="spellEnd"/>
      <w:r w:rsidRPr="00733BE1">
        <w:rPr>
          <w:i/>
          <w:sz w:val="24"/>
          <w:szCs w:val="24"/>
        </w:rPr>
        <w:t>) med børnesikre</w:t>
      </w:r>
      <w:r w:rsidR="00B56CED">
        <w:rPr>
          <w:i/>
          <w:sz w:val="24"/>
          <w:szCs w:val="24"/>
        </w:rPr>
        <w:t>t</w:t>
      </w:r>
      <w:r w:rsidRPr="00733BE1">
        <w:rPr>
          <w:i/>
          <w:sz w:val="24"/>
          <w:szCs w:val="24"/>
        </w:rPr>
        <w:t xml:space="preserve"> låg (polypropylen)</w:t>
      </w:r>
    </w:p>
    <w:p w:rsidR="0007328B" w:rsidRPr="0007328B" w:rsidRDefault="0007328B" w:rsidP="0007328B">
      <w:pPr>
        <w:tabs>
          <w:tab w:val="left" w:pos="851"/>
        </w:tabs>
        <w:ind w:left="851"/>
        <w:rPr>
          <w:sz w:val="24"/>
          <w:szCs w:val="24"/>
        </w:rPr>
      </w:pPr>
      <w:r w:rsidRPr="0007328B">
        <w:rPr>
          <w:sz w:val="24"/>
          <w:szCs w:val="24"/>
        </w:rPr>
        <w:t>Pakningsstørrelser: 60 tabletter.</w:t>
      </w:r>
    </w:p>
    <w:p w:rsidR="0007328B" w:rsidRPr="0007328B" w:rsidRDefault="0007328B" w:rsidP="0007328B">
      <w:pPr>
        <w:tabs>
          <w:tab w:val="left" w:pos="851"/>
        </w:tabs>
        <w:ind w:left="851"/>
        <w:rPr>
          <w:sz w:val="24"/>
          <w:szCs w:val="24"/>
        </w:rPr>
      </w:pPr>
    </w:p>
    <w:p w:rsidR="0007328B" w:rsidRPr="00733BE1" w:rsidRDefault="0007328B" w:rsidP="0007328B">
      <w:pPr>
        <w:tabs>
          <w:tab w:val="left" w:pos="851"/>
        </w:tabs>
        <w:ind w:left="851"/>
        <w:rPr>
          <w:i/>
          <w:sz w:val="24"/>
          <w:szCs w:val="24"/>
        </w:rPr>
      </w:pPr>
      <w:bookmarkStart w:id="6" w:name="_Hlk52717737"/>
      <w:r w:rsidRPr="00733BE1">
        <w:rPr>
          <w:i/>
          <w:sz w:val="24"/>
          <w:szCs w:val="24"/>
        </w:rPr>
        <w:t>HDPE-beholder (high-</w:t>
      </w:r>
      <w:proofErr w:type="spellStart"/>
      <w:r w:rsidRPr="00733BE1">
        <w:rPr>
          <w:i/>
          <w:sz w:val="24"/>
          <w:szCs w:val="24"/>
        </w:rPr>
        <w:t>density</w:t>
      </w:r>
      <w:proofErr w:type="spellEnd"/>
      <w:r w:rsidRPr="00733BE1">
        <w:rPr>
          <w:i/>
          <w:sz w:val="24"/>
          <w:szCs w:val="24"/>
        </w:rPr>
        <w:t xml:space="preserve"> </w:t>
      </w:r>
      <w:proofErr w:type="spellStart"/>
      <w:r w:rsidRPr="00733BE1">
        <w:rPr>
          <w:i/>
          <w:sz w:val="24"/>
          <w:szCs w:val="24"/>
        </w:rPr>
        <w:t>polyethylen</w:t>
      </w:r>
      <w:proofErr w:type="spellEnd"/>
      <w:r w:rsidRPr="00733BE1">
        <w:rPr>
          <w:i/>
          <w:sz w:val="24"/>
          <w:szCs w:val="24"/>
        </w:rPr>
        <w:t>) med kontinuerlig</w:t>
      </w:r>
      <w:r w:rsidR="00B56CED">
        <w:rPr>
          <w:i/>
          <w:sz w:val="24"/>
          <w:szCs w:val="24"/>
        </w:rPr>
        <w:t>t</w:t>
      </w:r>
      <w:r w:rsidRPr="00733BE1">
        <w:rPr>
          <w:i/>
          <w:sz w:val="24"/>
          <w:szCs w:val="24"/>
        </w:rPr>
        <w:t xml:space="preserve"> </w:t>
      </w:r>
      <w:proofErr w:type="spellStart"/>
      <w:r w:rsidRPr="00733BE1">
        <w:rPr>
          <w:i/>
          <w:sz w:val="24"/>
          <w:szCs w:val="24"/>
        </w:rPr>
        <w:t>trådlåg</w:t>
      </w:r>
      <w:proofErr w:type="spellEnd"/>
      <w:r w:rsidRPr="00733BE1">
        <w:rPr>
          <w:i/>
          <w:sz w:val="24"/>
          <w:szCs w:val="24"/>
        </w:rPr>
        <w:t xml:space="preserve"> (polypropylen)</w:t>
      </w:r>
      <w:bookmarkEnd w:id="6"/>
    </w:p>
    <w:p w:rsidR="0007328B" w:rsidRPr="0007328B" w:rsidRDefault="0007328B" w:rsidP="0007328B">
      <w:pPr>
        <w:tabs>
          <w:tab w:val="left" w:pos="851"/>
        </w:tabs>
        <w:ind w:left="851"/>
        <w:rPr>
          <w:sz w:val="24"/>
          <w:szCs w:val="24"/>
        </w:rPr>
      </w:pPr>
      <w:r w:rsidRPr="0007328B">
        <w:rPr>
          <w:sz w:val="24"/>
          <w:szCs w:val="24"/>
        </w:rPr>
        <w:t>Pakningsstørrelser: 1000 tabletter</w:t>
      </w:r>
      <w:r w:rsidR="00B56CED">
        <w:rPr>
          <w:sz w:val="24"/>
          <w:szCs w:val="24"/>
        </w:rPr>
        <w:t>.</w:t>
      </w:r>
    </w:p>
    <w:p w:rsidR="0007328B" w:rsidRPr="0007328B" w:rsidRDefault="0007328B" w:rsidP="0007328B">
      <w:pPr>
        <w:tabs>
          <w:tab w:val="left" w:pos="851"/>
        </w:tabs>
        <w:ind w:left="851"/>
        <w:rPr>
          <w:sz w:val="24"/>
          <w:szCs w:val="24"/>
        </w:rPr>
      </w:pPr>
    </w:p>
    <w:p w:rsidR="0007328B" w:rsidRPr="0007328B" w:rsidRDefault="0007328B" w:rsidP="0007328B">
      <w:pPr>
        <w:tabs>
          <w:tab w:val="left" w:pos="851"/>
        </w:tabs>
        <w:ind w:left="851"/>
        <w:rPr>
          <w:sz w:val="24"/>
          <w:szCs w:val="24"/>
        </w:rPr>
      </w:pPr>
      <w:r w:rsidRPr="0007328B">
        <w:rPr>
          <w:sz w:val="24"/>
          <w:szCs w:val="24"/>
          <w:u w:val="single"/>
        </w:rPr>
        <w:t>850 mg</w:t>
      </w:r>
    </w:p>
    <w:p w:rsidR="00733BE1" w:rsidRDefault="00733BE1" w:rsidP="0007328B">
      <w:pPr>
        <w:tabs>
          <w:tab w:val="left" w:pos="851"/>
        </w:tabs>
        <w:ind w:left="851"/>
        <w:rPr>
          <w:i/>
          <w:sz w:val="24"/>
          <w:szCs w:val="24"/>
        </w:rPr>
      </w:pPr>
    </w:p>
    <w:p w:rsidR="0007328B" w:rsidRPr="00733BE1" w:rsidRDefault="0007328B" w:rsidP="0007328B">
      <w:pPr>
        <w:tabs>
          <w:tab w:val="left" w:pos="851"/>
        </w:tabs>
        <w:ind w:left="851"/>
        <w:rPr>
          <w:i/>
          <w:sz w:val="24"/>
          <w:szCs w:val="24"/>
        </w:rPr>
      </w:pPr>
      <w:r w:rsidRPr="00733BE1">
        <w:rPr>
          <w:i/>
          <w:sz w:val="24"/>
          <w:szCs w:val="24"/>
        </w:rPr>
        <w:t>Blisterpakning (PVC-</w:t>
      </w:r>
      <w:proofErr w:type="spellStart"/>
      <w:r w:rsidRPr="00733BE1">
        <w:rPr>
          <w:i/>
          <w:sz w:val="24"/>
          <w:szCs w:val="24"/>
        </w:rPr>
        <w:t>aluminum</w:t>
      </w:r>
      <w:proofErr w:type="spellEnd"/>
      <w:r w:rsidRPr="00733BE1">
        <w:rPr>
          <w:i/>
          <w:sz w:val="24"/>
          <w:szCs w:val="24"/>
        </w:rPr>
        <w:t>)</w:t>
      </w:r>
    </w:p>
    <w:p w:rsidR="00A76FBE" w:rsidRDefault="00A76FBE" w:rsidP="00A76FBE">
      <w:pPr>
        <w:tabs>
          <w:tab w:val="left" w:pos="851"/>
        </w:tabs>
        <w:ind w:left="851"/>
        <w:rPr>
          <w:sz w:val="24"/>
          <w:szCs w:val="24"/>
        </w:rPr>
      </w:pPr>
      <w:r>
        <w:rPr>
          <w:sz w:val="24"/>
          <w:szCs w:val="24"/>
        </w:rPr>
        <w:t>Pakningsstørrelser: 20 tabletter.</w:t>
      </w:r>
    </w:p>
    <w:p w:rsidR="00A76FBE" w:rsidRDefault="00A76FBE" w:rsidP="00A76FBE">
      <w:pPr>
        <w:tabs>
          <w:tab w:val="left" w:pos="851"/>
        </w:tabs>
        <w:ind w:left="851"/>
        <w:rPr>
          <w:sz w:val="24"/>
          <w:szCs w:val="24"/>
        </w:rPr>
      </w:pPr>
      <w:r>
        <w:rPr>
          <w:sz w:val="24"/>
          <w:szCs w:val="24"/>
        </w:rPr>
        <w:t>Pakningsstørrelser: 30 tabletter.</w:t>
      </w:r>
    </w:p>
    <w:p w:rsidR="00A76FBE" w:rsidRDefault="00A76FBE" w:rsidP="00A76FBE">
      <w:pPr>
        <w:tabs>
          <w:tab w:val="left" w:pos="851"/>
        </w:tabs>
        <w:ind w:left="851"/>
        <w:rPr>
          <w:sz w:val="24"/>
          <w:szCs w:val="24"/>
        </w:rPr>
      </w:pPr>
      <w:r>
        <w:rPr>
          <w:sz w:val="24"/>
          <w:szCs w:val="24"/>
        </w:rPr>
        <w:t>Pakningsstørrelser: 120 tabletter.</w:t>
      </w:r>
    </w:p>
    <w:p w:rsidR="00A76FBE" w:rsidRDefault="00A76FBE" w:rsidP="00A76FBE">
      <w:pPr>
        <w:tabs>
          <w:tab w:val="left" w:pos="851"/>
        </w:tabs>
        <w:ind w:left="851"/>
        <w:rPr>
          <w:sz w:val="24"/>
          <w:szCs w:val="24"/>
        </w:rPr>
      </w:pPr>
      <w:r>
        <w:rPr>
          <w:sz w:val="24"/>
          <w:szCs w:val="24"/>
        </w:rPr>
        <w:t>Pakningsstørrelser: 180 tabletter.</w:t>
      </w:r>
    </w:p>
    <w:p w:rsidR="008272E4" w:rsidRDefault="008272E4" w:rsidP="0007328B">
      <w:pPr>
        <w:tabs>
          <w:tab w:val="left" w:pos="851"/>
        </w:tabs>
        <w:ind w:left="851"/>
        <w:rPr>
          <w:sz w:val="24"/>
          <w:szCs w:val="24"/>
        </w:rPr>
      </w:pPr>
    </w:p>
    <w:p w:rsidR="008272E4" w:rsidRPr="00647918" w:rsidRDefault="008272E4" w:rsidP="008272E4">
      <w:pPr>
        <w:tabs>
          <w:tab w:val="left" w:pos="851"/>
        </w:tabs>
        <w:ind w:left="851"/>
        <w:rPr>
          <w:i/>
          <w:iCs/>
          <w:sz w:val="24"/>
          <w:szCs w:val="24"/>
        </w:rPr>
      </w:pPr>
      <w:r w:rsidRPr="00647918">
        <w:rPr>
          <w:i/>
          <w:iCs/>
          <w:sz w:val="24"/>
          <w:szCs w:val="24"/>
        </w:rPr>
        <w:t>HDPE-beholder (high-</w:t>
      </w:r>
      <w:proofErr w:type="spellStart"/>
      <w:r w:rsidRPr="00647918">
        <w:rPr>
          <w:i/>
          <w:iCs/>
          <w:sz w:val="24"/>
          <w:szCs w:val="24"/>
        </w:rPr>
        <w:t>density</w:t>
      </w:r>
      <w:proofErr w:type="spellEnd"/>
      <w:r w:rsidRPr="00647918">
        <w:rPr>
          <w:i/>
          <w:iCs/>
          <w:sz w:val="24"/>
          <w:szCs w:val="24"/>
        </w:rPr>
        <w:t xml:space="preserve"> </w:t>
      </w:r>
      <w:proofErr w:type="spellStart"/>
      <w:r w:rsidRPr="00647918">
        <w:rPr>
          <w:i/>
          <w:iCs/>
          <w:sz w:val="24"/>
          <w:szCs w:val="24"/>
        </w:rPr>
        <w:t>polyethylen</w:t>
      </w:r>
      <w:proofErr w:type="spellEnd"/>
      <w:r w:rsidRPr="00647918">
        <w:rPr>
          <w:i/>
          <w:iCs/>
          <w:sz w:val="24"/>
          <w:szCs w:val="24"/>
        </w:rPr>
        <w:t xml:space="preserve">) med </w:t>
      </w:r>
      <w:proofErr w:type="spellStart"/>
      <w:r w:rsidRPr="00647918">
        <w:rPr>
          <w:i/>
          <w:iCs/>
          <w:sz w:val="24"/>
          <w:szCs w:val="24"/>
        </w:rPr>
        <w:t>b¢rnesikret</w:t>
      </w:r>
      <w:proofErr w:type="spellEnd"/>
      <w:r w:rsidRPr="00647918">
        <w:rPr>
          <w:i/>
          <w:iCs/>
          <w:sz w:val="24"/>
          <w:szCs w:val="24"/>
        </w:rPr>
        <w:t xml:space="preserve"> lag (polypropylen)</w:t>
      </w:r>
    </w:p>
    <w:p w:rsidR="008272E4" w:rsidRPr="0007328B" w:rsidRDefault="008272E4" w:rsidP="008272E4">
      <w:pPr>
        <w:tabs>
          <w:tab w:val="left" w:pos="851"/>
        </w:tabs>
        <w:ind w:left="851"/>
        <w:rPr>
          <w:sz w:val="24"/>
          <w:szCs w:val="24"/>
        </w:rPr>
      </w:pPr>
      <w:proofErr w:type="spellStart"/>
      <w:r w:rsidRPr="003416F6">
        <w:rPr>
          <w:sz w:val="24"/>
          <w:szCs w:val="24"/>
        </w:rPr>
        <w:t>Pakningsst¢rrelser</w:t>
      </w:r>
      <w:proofErr w:type="spellEnd"/>
      <w:r w:rsidRPr="003416F6">
        <w:rPr>
          <w:sz w:val="24"/>
          <w:szCs w:val="24"/>
        </w:rPr>
        <w:t>: 50 tabletter.</w:t>
      </w:r>
    </w:p>
    <w:p w:rsidR="0007328B" w:rsidRPr="0007328B" w:rsidRDefault="0007328B" w:rsidP="0007328B">
      <w:pPr>
        <w:tabs>
          <w:tab w:val="left" w:pos="851"/>
        </w:tabs>
        <w:ind w:left="851"/>
        <w:rPr>
          <w:sz w:val="24"/>
          <w:szCs w:val="24"/>
        </w:rPr>
      </w:pPr>
    </w:p>
    <w:p w:rsidR="0007328B" w:rsidRPr="00733BE1" w:rsidRDefault="0007328B" w:rsidP="0007328B">
      <w:pPr>
        <w:tabs>
          <w:tab w:val="left" w:pos="851"/>
        </w:tabs>
        <w:ind w:left="851"/>
        <w:rPr>
          <w:i/>
          <w:sz w:val="24"/>
          <w:szCs w:val="24"/>
        </w:rPr>
      </w:pPr>
      <w:r w:rsidRPr="00733BE1">
        <w:rPr>
          <w:i/>
          <w:sz w:val="24"/>
          <w:szCs w:val="24"/>
        </w:rPr>
        <w:t>HDPE-beholder (high-</w:t>
      </w:r>
      <w:proofErr w:type="spellStart"/>
      <w:r w:rsidRPr="00733BE1">
        <w:rPr>
          <w:i/>
          <w:sz w:val="24"/>
          <w:szCs w:val="24"/>
        </w:rPr>
        <w:t>density</w:t>
      </w:r>
      <w:proofErr w:type="spellEnd"/>
      <w:r w:rsidRPr="00733BE1">
        <w:rPr>
          <w:i/>
          <w:sz w:val="24"/>
          <w:szCs w:val="24"/>
        </w:rPr>
        <w:t xml:space="preserve"> </w:t>
      </w:r>
      <w:proofErr w:type="spellStart"/>
      <w:r w:rsidRPr="00733BE1">
        <w:rPr>
          <w:i/>
          <w:sz w:val="24"/>
          <w:szCs w:val="24"/>
        </w:rPr>
        <w:t>polyethylen</w:t>
      </w:r>
      <w:proofErr w:type="spellEnd"/>
      <w:r w:rsidRPr="00733BE1">
        <w:rPr>
          <w:i/>
          <w:sz w:val="24"/>
          <w:szCs w:val="24"/>
        </w:rPr>
        <w:t>) med børnesikre</w:t>
      </w:r>
      <w:r w:rsidR="00B56CED">
        <w:rPr>
          <w:i/>
          <w:sz w:val="24"/>
          <w:szCs w:val="24"/>
        </w:rPr>
        <w:t>t</w:t>
      </w:r>
      <w:r w:rsidRPr="00733BE1">
        <w:rPr>
          <w:i/>
          <w:sz w:val="24"/>
          <w:szCs w:val="24"/>
        </w:rPr>
        <w:t xml:space="preserve"> låg (polypropylen)</w:t>
      </w:r>
    </w:p>
    <w:p w:rsidR="0007328B" w:rsidRPr="0007328B" w:rsidRDefault="0007328B" w:rsidP="0007328B">
      <w:pPr>
        <w:tabs>
          <w:tab w:val="left" w:pos="851"/>
        </w:tabs>
        <w:ind w:left="851"/>
        <w:rPr>
          <w:sz w:val="24"/>
          <w:szCs w:val="24"/>
        </w:rPr>
      </w:pPr>
      <w:r w:rsidRPr="0007328B">
        <w:rPr>
          <w:sz w:val="24"/>
          <w:szCs w:val="24"/>
        </w:rPr>
        <w:t>Pakningsstørrelser: 60 tabletter</w:t>
      </w:r>
      <w:r w:rsidR="00F64EDB">
        <w:rPr>
          <w:sz w:val="24"/>
          <w:szCs w:val="24"/>
        </w:rPr>
        <w:t>.</w:t>
      </w:r>
    </w:p>
    <w:p w:rsidR="0007328B" w:rsidRPr="0007328B" w:rsidRDefault="0007328B" w:rsidP="0007328B">
      <w:pPr>
        <w:tabs>
          <w:tab w:val="left" w:pos="851"/>
        </w:tabs>
        <w:ind w:left="851"/>
        <w:rPr>
          <w:sz w:val="24"/>
          <w:szCs w:val="24"/>
        </w:rPr>
      </w:pPr>
    </w:p>
    <w:p w:rsidR="0007328B" w:rsidRPr="00733BE1" w:rsidRDefault="0007328B" w:rsidP="0007328B">
      <w:pPr>
        <w:tabs>
          <w:tab w:val="left" w:pos="851"/>
        </w:tabs>
        <w:ind w:left="851"/>
        <w:rPr>
          <w:i/>
          <w:sz w:val="24"/>
          <w:szCs w:val="24"/>
        </w:rPr>
      </w:pPr>
      <w:r w:rsidRPr="00733BE1">
        <w:rPr>
          <w:i/>
          <w:sz w:val="24"/>
          <w:szCs w:val="24"/>
        </w:rPr>
        <w:t>HDPE-beholder</w:t>
      </w:r>
      <w:r w:rsidR="00F64EDB">
        <w:rPr>
          <w:i/>
          <w:sz w:val="24"/>
          <w:szCs w:val="24"/>
        </w:rPr>
        <w:t xml:space="preserve"> </w:t>
      </w:r>
      <w:r w:rsidRPr="00733BE1">
        <w:rPr>
          <w:i/>
          <w:sz w:val="24"/>
          <w:szCs w:val="24"/>
        </w:rPr>
        <w:t>(high-</w:t>
      </w:r>
      <w:proofErr w:type="spellStart"/>
      <w:r w:rsidRPr="00733BE1">
        <w:rPr>
          <w:i/>
          <w:sz w:val="24"/>
          <w:szCs w:val="24"/>
        </w:rPr>
        <w:t>density</w:t>
      </w:r>
      <w:proofErr w:type="spellEnd"/>
      <w:r w:rsidRPr="00733BE1">
        <w:rPr>
          <w:i/>
          <w:sz w:val="24"/>
          <w:szCs w:val="24"/>
        </w:rPr>
        <w:t xml:space="preserve"> </w:t>
      </w:r>
      <w:proofErr w:type="spellStart"/>
      <w:r w:rsidRPr="00733BE1">
        <w:rPr>
          <w:i/>
          <w:sz w:val="24"/>
          <w:szCs w:val="24"/>
        </w:rPr>
        <w:t>polyethylen</w:t>
      </w:r>
      <w:proofErr w:type="spellEnd"/>
      <w:r w:rsidRPr="00733BE1">
        <w:rPr>
          <w:i/>
          <w:sz w:val="24"/>
          <w:szCs w:val="24"/>
        </w:rPr>
        <w:t>) med kontinuerlig</w:t>
      </w:r>
      <w:r w:rsidR="00B56CED">
        <w:rPr>
          <w:i/>
          <w:sz w:val="24"/>
          <w:szCs w:val="24"/>
        </w:rPr>
        <w:t>t</w:t>
      </w:r>
      <w:r w:rsidRPr="00733BE1">
        <w:rPr>
          <w:i/>
          <w:sz w:val="24"/>
          <w:szCs w:val="24"/>
        </w:rPr>
        <w:t xml:space="preserve"> </w:t>
      </w:r>
      <w:proofErr w:type="spellStart"/>
      <w:r w:rsidRPr="00733BE1">
        <w:rPr>
          <w:i/>
          <w:sz w:val="24"/>
          <w:szCs w:val="24"/>
        </w:rPr>
        <w:t>trådlåg</w:t>
      </w:r>
      <w:proofErr w:type="spellEnd"/>
      <w:r w:rsidRPr="00733BE1">
        <w:rPr>
          <w:i/>
          <w:sz w:val="24"/>
          <w:szCs w:val="24"/>
        </w:rPr>
        <w:t xml:space="preserve"> (polypropylen</w:t>
      </w:r>
      <w:r w:rsidR="00B56CED">
        <w:rPr>
          <w:i/>
          <w:sz w:val="24"/>
          <w:szCs w:val="24"/>
        </w:rPr>
        <w:t>)</w:t>
      </w:r>
    </w:p>
    <w:p w:rsidR="0007328B" w:rsidRPr="0007328B" w:rsidRDefault="0007328B" w:rsidP="0007328B">
      <w:pPr>
        <w:tabs>
          <w:tab w:val="left" w:pos="851"/>
        </w:tabs>
        <w:ind w:left="851"/>
        <w:rPr>
          <w:sz w:val="24"/>
          <w:szCs w:val="24"/>
        </w:rPr>
      </w:pPr>
      <w:r w:rsidRPr="0007328B">
        <w:rPr>
          <w:sz w:val="24"/>
          <w:szCs w:val="24"/>
        </w:rPr>
        <w:t>Pakningsstørrelser: 1000 tabletter.</w:t>
      </w:r>
    </w:p>
    <w:p w:rsidR="0007328B" w:rsidRPr="0007328B" w:rsidRDefault="0007328B" w:rsidP="0007328B">
      <w:pPr>
        <w:tabs>
          <w:tab w:val="left" w:pos="851"/>
        </w:tabs>
        <w:ind w:left="851"/>
        <w:rPr>
          <w:sz w:val="24"/>
          <w:szCs w:val="24"/>
        </w:rPr>
      </w:pPr>
    </w:p>
    <w:p w:rsidR="0007328B" w:rsidRPr="0007328B" w:rsidRDefault="0007328B" w:rsidP="0007328B">
      <w:pPr>
        <w:tabs>
          <w:tab w:val="left" w:pos="851"/>
        </w:tabs>
        <w:ind w:left="851"/>
        <w:rPr>
          <w:sz w:val="24"/>
          <w:szCs w:val="24"/>
        </w:rPr>
      </w:pPr>
      <w:r w:rsidRPr="0007328B">
        <w:rPr>
          <w:sz w:val="24"/>
          <w:szCs w:val="24"/>
          <w:u w:val="single"/>
        </w:rPr>
        <w:t>1000 mg</w:t>
      </w:r>
    </w:p>
    <w:p w:rsidR="00733BE1" w:rsidRDefault="00733BE1" w:rsidP="0007328B">
      <w:pPr>
        <w:tabs>
          <w:tab w:val="left" w:pos="851"/>
        </w:tabs>
        <w:ind w:left="851"/>
        <w:rPr>
          <w:i/>
          <w:sz w:val="24"/>
          <w:szCs w:val="24"/>
        </w:rPr>
      </w:pPr>
    </w:p>
    <w:p w:rsidR="0007328B" w:rsidRPr="00733BE1" w:rsidRDefault="0007328B" w:rsidP="0007328B">
      <w:pPr>
        <w:tabs>
          <w:tab w:val="left" w:pos="851"/>
        </w:tabs>
        <w:ind w:left="851"/>
        <w:rPr>
          <w:i/>
          <w:sz w:val="24"/>
          <w:szCs w:val="24"/>
        </w:rPr>
      </w:pPr>
      <w:r w:rsidRPr="00733BE1">
        <w:rPr>
          <w:i/>
          <w:sz w:val="24"/>
          <w:szCs w:val="24"/>
        </w:rPr>
        <w:t>B</w:t>
      </w:r>
      <w:bookmarkStart w:id="7" w:name="_Hlk52717543"/>
      <w:r w:rsidRPr="00733BE1">
        <w:rPr>
          <w:i/>
          <w:sz w:val="24"/>
          <w:szCs w:val="24"/>
        </w:rPr>
        <w:t>listerpakning</w:t>
      </w:r>
      <w:bookmarkEnd w:id="7"/>
      <w:r w:rsidRPr="00733BE1">
        <w:rPr>
          <w:i/>
          <w:sz w:val="24"/>
          <w:szCs w:val="24"/>
        </w:rPr>
        <w:t xml:space="preserve"> (PVC-</w:t>
      </w:r>
      <w:proofErr w:type="spellStart"/>
      <w:r w:rsidRPr="00733BE1">
        <w:rPr>
          <w:i/>
          <w:sz w:val="24"/>
          <w:szCs w:val="24"/>
        </w:rPr>
        <w:t>aluminum</w:t>
      </w:r>
      <w:proofErr w:type="spellEnd"/>
      <w:r w:rsidRPr="00733BE1">
        <w:rPr>
          <w:i/>
          <w:sz w:val="24"/>
          <w:szCs w:val="24"/>
        </w:rPr>
        <w:t>)</w:t>
      </w:r>
    </w:p>
    <w:p w:rsidR="00A76FBE" w:rsidRPr="0007328B" w:rsidRDefault="0007328B" w:rsidP="00CE3B26">
      <w:pPr>
        <w:tabs>
          <w:tab w:val="left" w:pos="851"/>
        </w:tabs>
        <w:ind w:left="851"/>
        <w:rPr>
          <w:sz w:val="24"/>
          <w:szCs w:val="24"/>
        </w:rPr>
      </w:pPr>
      <w:r w:rsidRPr="0007328B">
        <w:rPr>
          <w:sz w:val="24"/>
          <w:szCs w:val="24"/>
        </w:rPr>
        <w:t>Pakningsstørrelser: 30 tabletter.</w:t>
      </w:r>
    </w:p>
    <w:p w:rsidR="0007328B" w:rsidRPr="0007328B" w:rsidRDefault="0007328B" w:rsidP="0007328B">
      <w:pPr>
        <w:tabs>
          <w:tab w:val="left" w:pos="851"/>
        </w:tabs>
        <w:ind w:left="851"/>
        <w:rPr>
          <w:sz w:val="24"/>
          <w:szCs w:val="24"/>
        </w:rPr>
      </w:pPr>
    </w:p>
    <w:p w:rsidR="0007328B" w:rsidRPr="00733BE1" w:rsidRDefault="0007328B" w:rsidP="0007328B">
      <w:pPr>
        <w:tabs>
          <w:tab w:val="left" w:pos="851"/>
        </w:tabs>
        <w:ind w:left="851"/>
        <w:rPr>
          <w:i/>
          <w:sz w:val="24"/>
          <w:szCs w:val="24"/>
        </w:rPr>
      </w:pPr>
      <w:r w:rsidRPr="00733BE1">
        <w:rPr>
          <w:i/>
          <w:sz w:val="24"/>
          <w:szCs w:val="24"/>
        </w:rPr>
        <w:t>HDPE-beholder (high-</w:t>
      </w:r>
      <w:proofErr w:type="spellStart"/>
      <w:r w:rsidRPr="00733BE1">
        <w:rPr>
          <w:i/>
          <w:sz w:val="24"/>
          <w:szCs w:val="24"/>
        </w:rPr>
        <w:t>density</w:t>
      </w:r>
      <w:proofErr w:type="spellEnd"/>
      <w:r w:rsidRPr="00733BE1">
        <w:rPr>
          <w:i/>
          <w:sz w:val="24"/>
          <w:szCs w:val="24"/>
        </w:rPr>
        <w:t xml:space="preserve"> </w:t>
      </w:r>
      <w:proofErr w:type="spellStart"/>
      <w:r w:rsidRPr="00733BE1">
        <w:rPr>
          <w:i/>
          <w:sz w:val="24"/>
          <w:szCs w:val="24"/>
        </w:rPr>
        <w:t>polyethylen</w:t>
      </w:r>
      <w:proofErr w:type="spellEnd"/>
      <w:r w:rsidRPr="00733BE1">
        <w:rPr>
          <w:i/>
          <w:sz w:val="24"/>
          <w:szCs w:val="24"/>
        </w:rPr>
        <w:t>) med børnesikre</w:t>
      </w:r>
      <w:r w:rsidR="00F64EDB">
        <w:rPr>
          <w:i/>
          <w:sz w:val="24"/>
          <w:szCs w:val="24"/>
        </w:rPr>
        <w:t>t</w:t>
      </w:r>
      <w:r w:rsidRPr="00733BE1">
        <w:rPr>
          <w:i/>
          <w:sz w:val="24"/>
          <w:szCs w:val="24"/>
        </w:rPr>
        <w:t xml:space="preserve"> låg (polypropylen).</w:t>
      </w:r>
    </w:p>
    <w:p w:rsidR="0007328B" w:rsidRPr="0007328B" w:rsidRDefault="0007328B" w:rsidP="0007328B">
      <w:pPr>
        <w:tabs>
          <w:tab w:val="left" w:pos="851"/>
        </w:tabs>
        <w:ind w:left="851"/>
        <w:rPr>
          <w:sz w:val="24"/>
          <w:szCs w:val="24"/>
        </w:rPr>
      </w:pPr>
      <w:r w:rsidRPr="0007328B">
        <w:rPr>
          <w:sz w:val="24"/>
          <w:szCs w:val="24"/>
        </w:rPr>
        <w:t>Pakningsstørrelser: 60 tabletter.</w:t>
      </w:r>
    </w:p>
    <w:p w:rsidR="0007328B" w:rsidRPr="0007328B" w:rsidRDefault="0007328B" w:rsidP="0007328B">
      <w:pPr>
        <w:tabs>
          <w:tab w:val="left" w:pos="851"/>
        </w:tabs>
        <w:ind w:left="851"/>
        <w:rPr>
          <w:sz w:val="24"/>
          <w:szCs w:val="24"/>
        </w:rPr>
      </w:pPr>
    </w:p>
    <w:p w:rsidR="0007328B" w:rsidRPr="00733BE1" w:rsidRDefault="0007328B" w:rsidP="0007328B">
      <w:pPr>
        <w:tabs>
          <w:tab w:val="left" w:pos="851"/>
        </w:tabs>
        <w:ind w:left="851"/>
        <w:rPr>
          <w:i/>
          <w:sz w:val="24"/>
          <w:szCs w:val="24"/>
        </w:rPr>
      </w:pPr>
      <w:r w:rsidRPr="00733BE1">
        <w:rPr>
          <w:i/>
          <w:sz w:val="24"/>
          <w:szCs w:val="24"/>
        </w:rPr>
        <w:t>HDPE-beholder (high-</w:t>
      </w:r>
      <w:proofErr w:type="spellStart"/>
      <w:r w:rsidRPr="00733BE1">
        <w:rPr>
          <w:i/>
          <w:sz w:val="24"/>
          <w:szCs w:val="24"/>
        </w:rPr>
        <w:t>density</w:t>
      </w:r>
      <w:proofErr w:type="spellEnd"/>
      <w:r w:rsidRPr="00733BE1">
        <w:rPr>
          <w:i/>
          <w:sz w:val="24"/>
          <w:szCs w:val="24"/>
        </w:rPr>
        <w:t xml:space="preserve"> </w:t>
      </w:r>
      <w:proofErr w:type="spellStart"/>
      <w:r w:rsidRPr="00733BE1">
        <w:rPr>
          <w:i/>
          <w:sz w:val="24"/>
          <w:szCs w:val="24"/>
        </w:rPr>
        <w:t>polyethylen</w:t>
      </w:r>
      <w:proofErr w:type="spellEnd"/>
      <w:r w:rsidRPr="00733BE1">
        <w:rPr>
          <w:i/>
          <w:sz w:val="24"/>
          <w:szCs w:val="24"/>
        </w:rPr>
        <w:t>) med kontinuerlig</w:t>
      </w:r>
      <w:r w:rsidR="00F64EDB">
        <w:rPr>
          <w:i/>
          <w:sz w:val="24"/>
          <w:szCs w:val="24"/>
        </w:rPr>
        <w:t>t</w:t>
      </w:r>
      <w:r w:rsidRPr="00733BE1">
        <w:rPr>
          <w:i/>
          <w:sz w:val="24"/>
          <w:szCs w:val="24"/>
        </w:rPr>
        <w:t xml:space="preserve"> </w:t>
      </w:r>
      <w:proofErr w:type="spellStart"/>
      <w:r w:rsidRPr="00733BE1">
        <w:rPr>
          <w:i/>
          <w:sz w:val="24"/>
          <w:szCs w:val="24"/>
        </w:rPr>
        <w:t>trådlåg</w:t>
      </w:r>
      <w:proofErr w:type="spellEnd"/>
      <w:r w:rsidRPr="00733BE1">
        <w:rPr>
          <w:i/>
          <w:sz w:val="24"/>
          <w:szCs w:val="24"/>
        </w:rPr>
        <w:t xml:space="preserve"> (polypropylen)</w:t>
      </w:r>
    </w:p>
    <w:p w:rsidR="0007328B" w:rsidRPr="0007328B" w:rsidRDefault="0007328B" w:rsidP="0007328B">
      <w:pPr>
        <w:tabs>
          <w:tab w:val="left" w:pos="851"/>
        </w:tabs>
        <w:ind w:left="851"/>
        <w:rPr>
          <w:sz w:val="24"/>
          <w:szCs w:val="24"/>
        </w:rPr>
      </w:pPr>
      <w:r w:rsidRPr="0007328B">
        <w:rPr>
          <w:sz w:val="24"/>
          <w:szCs w:val="24"/>
        </w:rPr>
        <w:t>Pakningsstørrelser: 1000 tabletter.</w:t>
      </w:r>
    </w:p>
    <w:p w:rsidR="0007328B" w:rsidRPr="0007328B" w:rsidRDefault="0007328B" w:rsidP="0007328B">
      <w:pPr>
        <w:tabs>
          <w:tab w:val="left" w:pos="851"/>
        </w:tabs>
        <w:ind w:left="851"/>
        <w:rPr>
          <w:sz w:val="24"/>
          <w:szCs w:val="24"/>
        </w:rPr>
      </w:pPr>
    </w:p>
    <w:p w:rsidR="0007328B" w:rsidRPr="0007328B" w:rsidRDefault="0007328B" w:rsidP="0007328B">
      <w:pPr>
        <w:tabs>
          <w:tab w:val="left" w:pos="851"/>
        </w:tabs>
        <w:ind w:left="851"/>
        <w:rPr>
          <w:sz w:val="24"/>
          <w:szCs w:val="24"/>
        </w:rPr>
      </w:pPr>
      <w:r w:rsidRPr="0007328B">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17ECE">
        <w:rPr>
          <w:b/>
          <w:sz w:val="24"/>
          <w:szCs w:val="24"/>
        </w:rPr>
        <w:t>bortskaffelse</w:t>
      </w:r>
      <w:r w:rsidRPr="00C84483">
        <w:rPr>
          <w:b/>
          <w:sz w:val="24"/>
          <w:szCs w:val="24"/>
        </w:rPr>
        <w:t xml:space="preserve"> og anden håndtering</w:t>
      </w:r>
    </w:p>
    <w:p w:rsidR="009260DE" w:rsidRDefault="00BC39E1" w:rsidP="00A76FBE">
      <w:pPr>
        <w:tabs>
          <w:tab w:val="left" w:pos="851"/>
        </w:tabs>
        <w:ind w:left="851"/>
        <w:rPr>
          <w:sz w:val="24"/>
          <w:szCs w:val="24"/>
        </w:rPr>
      </w:pPr>
      <w:r w:rsidRPr="00BC39E1">
        <w:rPr>
          <w:sz w:val="24"/>
          <w:szCs w:val="24"/>
        </w:rPr>
        <w:t>Ikke anvendt lægemiddel samt affald heraf skal bortskaffes i henhold til lokale retningslinjer</w:t>
      </w:r>
      <w:r w:rsidR="00A76FBE">
        <w:rPr>
          <w:sz w:val="24"/>
          <w:szCs w:val="24"/>
        </w:rPr>
        <w:t>.</w:t>
      </w:r>
    </w:p>
    <w:p w:rsidR="00A76FBE" w:rsidRPr="00C84483" w:rsidRDefault="00A76FBE" w:rsidP="00A76FBE">
      <w:pPr>
        <w:tabs>
          <w:tab w:val="left" w:pos="851"/>
        </w:tabs>
        <w:ind w:left="851"/>
        <w:rPr>
          <w:sz w:val="24"/>
          <w:szCs w:val="24"/>
        </w:rPr>
      </w:pPr>
    </w:p>
    <w:p w:rsidR="009260DE" w:rsidRPr="00C84483" w:rsidRDefault="009260DE" w:rsidP="00BC39E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C39E1" w:rsidRPr="00BC39E1" w:rsidRDefault="00BC39E1" w:rsidP="00BC39E1">
      <w:pPr>
        <w:tabs>
          <w:tab w:val="left" w:pos="851"/>
        </w:tabs>
        <w:ind w:left="851"/>
        <w:rPr>
          <w:sz w:val="24"/>
          <w:szCs w:val="24"/>
        </w:rPr>
      </w:pPr>
      <w:proofErr w:type="spellStart"/>
      <w:r w:rsidRPr="00BC39E1">
        <w:rPr>
          <w:sz w:val="24"/>
          <w:szCs w:val="24"/>
        </w:rPr>
        <w:t>PharmConsul</w:t>
      </w:r>
      <w:proofErr w:type="spellEnd"/>
      <w:r w:rsidRPr="00BC39E1">
        <w:rPr>
          <w:sz w:val="24"/>
          <w:szCs w:val="24"/>
        </w:rPr>
        <w:t xml:space="preserve"> </w:t>
      </w:r>
      <w:proofErr w:type="spellStart"/>
      <w:r w:rsidRPr="00BC39E1">
        <w:rPr>
          <w:sz w:val="24"/>
          <w:szCs w:val="24"/>
        </w:rPr>
        <w:t>s.r.o</w:t>
      </w:r>
      <w:proofErr w:type="spellEnd"/>
    </w:p>
    <w:p w:rsidR="00BC39E1" w:rsidRPr="00BC39E1" w:rsidRDefault="00BC39E1" w:rsidP="00BC39E1">
      <w:pPr>
        <w:tabs>
          <w:tab w:val="left" w:pos="851"/>
        </w:tabs>
        <w:ind w:left="851"/>
        <w:rPr>
          <w:sz w:val="24"/>
          <w:szCs w:val="24"/>
        </w:rPr>
      </w:pPr>
      <w:proofErr w:type="spellStart"/>
      <w:r w:rsidRPr="00BC39E1">
        <w:rPr>
          <w:sz w:val="24"/>
          <w:szCs w:val="24"/>
        </w:rPr>
        <w:t>Krcmarovska</w:t>
      </w:r>
      <w:proofErr w:type="spellEnd"/>
      <w:r w:rsidRPr="00BC39E1">
        <w:rPr>
          <w:sz w:val="24"/>
          <w:szCs w:val="24"/>
        </w:rPr>
        <w:t xml:space="preserve"> 223/33</w:t>
      </w:r>
    </w:p>
    <w:p w:rsidR="00BC39E1" w:rsidRPr="00BC39E1" w:rsidRDefault="00BC39E1" w:rsidP="00BC39E1">
      <w:pPr>
        <w:tabs>
          <w:tab w:val="left" w:pos="851"/>
        </w:tabs>
        <w:ind w:left="851"/>
        <w:rPr>
          <w:sz w:val="24"/>
          <w:szCs w:val="24"/>
        </w:rPr>
      </w:pPr>
      <w:proofErr w:type="spellStart"/>
      <w:r w:rsidRPr="00BC39E1">
        <w:rPr>
          <w:sz w:val="24"/>
          <w:szCs w:val="24"/>
        </w:rPr>
        <w:t>Miskovice</w:t>
      </w:r>
      <w:proofErr w:type="spellEnd"/>
    </w:p>
    <w:p w:rsidR="00BC39E1" w:rsidRPr="00BC39E1" w:rsidRDefault="00BC39E1" w:rsidP="00BC39E1">
      <w:pPr>
        <w:tabs>
          <w:tab w:val="left" w:pos="851"/>
        </w:tabs>
        <w:ind w:left="851"/>
        <w:rPr>
          <w:sz w:val="24"/>
          <w:szCs w:val="24"/>
        </w:rPr>
      </w:pPr>
      <w:r w:rsidRPr="00BC39E1">
        <w:rPr>
          <w:sz w:val="24"/>
          <w:szCs w:val="24"/>
        </w:rPr>
        <w:t>196 00 Prag</w:t>
      </w:r>
    </w:p>
    <w:p w:rsidR="00BC39E1" w:rsidRPr="00BC39E1" w:rsidRDefault="00BC39E1" w:rsidP="00BC39E1">
      <w:pPr>
        <w:tabs>
          <w:tab w:val="left" w:pos="851"/>
        </w:tabs>
        <w:ind w:left="851"/>
        <w:rPr>
          <w:sz w:val="24"/>
          <w:szCs w:val="24"/>
        </w:rPr>
      </w:pPr>
      <w:r w:rsidRPr="00BC39E1">
        <w:rPr>
          <w:sz w:val="24"/>
          <w:szCs w:val="24"/>
        </w:rPr>
        <w:t>Tjekkiet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17ECE">
        <w:rPr>
          <w:b/>
          <w:sz w:val="24"/>
          <w:szCs w:val="24"/>
        </w:rPr>
        <w:t>-</w:t>
      </w:r>
      <w:r w:rsidRPr="00C84483">
        <w:rPr>
          <w:b/>
          <w:sz w:val="24"/>
          <w:szCs w:val="24"/>
        </w:rPr>
        <w:t>NUMRE)</w:t>
      </w:r>
    </w:p>
    <w:p w:rsidR="009260DE" w:rsidRDefault="00C94637" w:rsidP="00C94637">
      <w:pPr>
        <w:tabs>
          <w:tab w:val="left" w:pos="851"/>
          <w:tab w:val="left" w:pos="1843"/>
        </w:tabs>
        <w:ind w:left="851"/>
        <w:rPr>
          <w:sz w:val="24"/>
          <w:szCs w:val="24"/>
        </w:rPr>
      </w:pPr>
      <w:r>
        <w:rPr>
          <w:sz w:val="24"/>
          <w:szCs w:val="24"/>
        </w:rPr>
        <w:t>500 mg:</w:t>
      </w:r>
      <w:r>
        <w:rPr>
          <w:sz w:val="24"/>
          <w:szCs w:val="24"/>
        </w:rPr>
        <w:tab/>
        <w:t>63371</w:t>
      </w:r>
    </w:p>
    <w:p w:rsidR="00C94637" w:rsidRDefault="00C94637" w:rsidP="00C94637">
      <w:pPr>
        <w:tabs>
          <w:tab w:val="left" w:pos="851"/>
          <w:tab w:val="left" w:pos="1843"/>
        </w:tabs>
        <w:ind w:left="851"/>
        <w:rPr>
          <w:sz w:val="24"/>
          <w:szCs w:val="24"/>
        </w:rPr>
      </w:pPr>
      <w:r>
        <w:rPr>
          <w:sz w:val="24"/>
          <w:szCs w:val="24"/>
        </w:rPr>
        <w:t>850 mg:</w:t>
      </w:r>
      <w:r>
        <w:rPr>
          <w:sz w:val="24"/>
          <w:szCs w:val="24"/>
        </w:rPr>
        <w:tab/>
        <w:t>63372</w:t>
      </w:r>
    </w:p>
    <w:p w:rsidR="00C94637" w:rsidRPr="00C84483" w:rsidRDefault="00C94637" w:rsidP="00C94637">
      <w:pPr>
        <w:tabs>
          <w:tab w:val="left" w:pos="851"/>
          <w:tab w:val="left" w:pos="1843"/>
        </w:tabs>
        <w:ind w:left="851"/>
        <w:rPr>
          <w:sz w:val="24"/>
          <w:szCs w:val="24"/>
        </w:rPr>
      </w:pPr>
      <w:r>
        <w:rPr>
          <w:sz w:val="24"/>
          <w:szCs w:val="24"/>
        </w:rPr>
        <w:t>1000 mg:</w:t>
      </w:r>
      <w:r>
        <w:rPr>
          <w:sz w:val="24"/>
          <w:szCs w:val="24"/>
        </w:rPr>
        <w:tab/>
        <w:t>63373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5237A" w:rsidP="009260DE">
      <w:pPr>
        <w:tabs>
          <w:tab w:val="left" w:pos="851"/>
        </w:tabs>
        <w:ind w:left="851"/>
        <w:rPr>
          <w:sz w:val="24"/>
          <w:szCs w:val="24"/>
        </w:rPr>
      </w:pPr>
      <w:r>
        <w:rPr>
          <w:sz w:val="24"/>
          <w:szCs w:val="24"/>
        </w:rPr>
        <w:t>20. oktober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9765E" w:rsidP="009260DE">
      <w:pPr>
        <w:tabs>
          <w:tab w:val="left" w:pos="851"/>
        </w:tabs>
        <w:ind w:left="851"/>
        <w:rPr>
          <w:sz w:val="24"/>
          <w:szCs w:val="24"/>
        </w:rPr>
      </w:pPr>
      <w:r>
        <w:rPr>
          <w:sz w:val="24"/>
          <w:szCs w:val="24"/>
        </w:rPr>
        <w:t>4.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413" w:rsidRDefault="005A1413">
      <w:r>
        <w:separator/>
      </w:r>
    </w:p>
  </w:endnote>
  <w:endnote w:type="continuationSeparator" w:id="0">
    <w:p w:rsidR="005A1413" w:rsidRDefault="005A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5237A">
      <w:rPr>
        <w:i/>
        <w:noProof/>
        <w:sz w:val="18"/>
        <w:szCs w:val="18"/>
      </w:rPr>
      <w:t>Metformin PharmConsul, filmovertrukne tabletter 500 mg, 850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413" w:rsidRDefault="005A1413">
      <w:r>
        <w:separator/>
      </w:r>
    </w:p>
  </w:footnote>
  <w:footnote w:type="continuationSeparator" w:id="0">
    <w:p w:rsidR="005A1413" w:rsidRDefault="005A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6F04"/>
    <w:multiLevelType w:val="hybridMultilevel"/>
    <w:tmpl w:val="9BE63350"/>
    <w:lvl w:ilvl="0" w:tplc="0A3C029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6EB1BCE"/>
    <w:multiLevelType w:val="hybridMultilevel"/>
    <w:tmpl w:val="FE86148E"/>
    <w:lvl w:ilvl="0" w:tplc="D0307AFE">
      <w:start w:val="4"/>
      <w:numFmt w:val="bullet"/>
      <w:lvlText w:val=""/>
      <w:lvlJc w:val="left"/>
      <w:pPr>
        <w:ind w:left="2203" w:hanging="360"/>
      </w:pPr>
      <w:rPr>
        <w:rFonts w:ascii="Symbol" w:eastAsia="Times New Roman" w:hAnsi="Symbol" w:cs="Times New Roman" w:hint="default"/>
      </w:rPr>
    </w:lvl>
    <w:lvl w:ilvl="1" w:tplc="04060003">
      <w:start w:val="1"/>
      <w:numFmt w:val="bullet"/>
      <w:lvlText w:val="o"/>
      <w:lvlJc w:val="left"/>
      <w:pPr>
        <w:ind w:left="2923" w:hanging="360"/>
      </w:pPr>
      <w:rPr>
        <w:rFonts w:ascii="Courier New" w:hAnsi="Courier New" w:cs="Courier New" w:hint="default"/>
      </w:rPr>
    </w:lvl>
    <w:lvl w:ilvl="2" w:tplc="04060005">
      <w:start w:val="1"/>
      <w:numFmt w:val="bullet"/>
      <w:lvlText w:val=""/>
      <w:lvlJc w:val="left"/>
      <w:pPr>
        <w:ind w:left="3643" w:hanging="360"/>
      </w:pPr>
      <w:rPr>
        <w:rFonts w:ascii="Wingdings" w:hAnsi="Wingdings" w:hint="default"/>
      </w:rPr>
    </w:lvl>
    <w:lvl w:ilvl="3" w:tplc="04060001">
      <w:start w:val="1"/>
      <w:numFmt w:val="bullet"/>
      <w:lvlText w:val=""/>
      <w:lvlJc w:val="left"/>
      <w:pPr>
        <w:ind w:left="4363" w:hanging="360"/>
      </w:pPr>
      <w:rPr>
        <w:rFonts w:ascii="Symbol" w:hAnsi="Symbol" w:hint="default"/>
      </w:rPr>
    </w:lvl>
    <w:lvl w:ilvl="4" w:tplc="04060003">
      <w:start w:val="1"/>
      <w:numFmt w:val="bullet"/>
      <w:lvlText w:val="o"/>
      <w:lvlJc w:val="left"/>
      <w:pPr>
        <w:ind w:left="5083" w:hanging="360"/>
      </w:pPr>
      <w:rPr>
        <w:rFonts w:ascii="Courier New" w:hAnsi="Courier New" w:cs="Courier New" w:hint="default"/>
      </w:rPr>
    </w:lvl>
    <w:lvl w:ilvl="5" w:tplc="04060005">
      <w:start w:val="1"/>
      <w:numFmt w:val="bullet"/>
      <w:lvlText w:val=""/>
      <w:lvlJc w:val="left"/>
      <w:pPr>
        <w:ind w:left="5803" w:hanging="360"/>
      </w:pPr>
      <w:rPr>
        <w:rFonts w:ascii="Wingdings" w:hAnsi="Wingdings" w:hint="default"/>
      </w:rPr>
    </w:lvl>
    <w:lvl w:ilvl="6" w:tplc="04060001">
      <w:start w:val="1"/>
      <w:numFmt w:val="bullet"/>
      <w:lvlText w:val=""/>
      <w:lvlJc w:val="left"/>
      <w:pPr>
        <w:ind w:left="6523" w:hanging="360"/>
      </w:pPr>
      <w:rPr>
        <w:rFonts w:ascii="Symbol" w:hAnsi="Symbol" w:hint="default"/>
      </w:rPr>
    </w:lvl>
    <w:lvl w:ilvl="7" w:tplc="04060003">
      <w:start w:val="1"/>
      <w:numFmt w:val="bullet"/>
      <w:lvlText w:val="o"/>
      <w:lvlJc w:val="left"/>
      <w:pPr>
        <w:ind w:left="7243" w:hanging="360"/>
      </w:pPr>
      <w:rPr>
        <w:rFonts w:ascii="Courier New" w:hAnsi="Courier New" w:cs="Courier New" w:hint="default"/>
      </w:rPr>
    </w:lvl>
    <w:lvl w:ilvl="8" w:tplc="04060005">
      <w:start w:val="1"/>
      <w:numFmt w:val="bullet"/>
      <w:lvlText w:val=""/>
      <w:lvlJc w:val="left"/>
      <w:pPr>
        <w:ind w:left="7963" w:hanging="360"/>
      </w:pPr>
      <w:rPr>
        <w:rFonts w:ascii="Wingdings" w:hAnsi="Wingdings" w:hint="default"/>
      </w:rPr>
    </w:lvl>
  </w:abstractNum>
  <w:abstractNum w:abstractNumId="5" w15:restartNumberingAfterBreak="0">
    <w:nsid w:val="3FC6594B"/>
    <w:multiLevelType w:val="hybridMultilevel"/>
    <w:tmpl w:val="9DECD7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92F5BC3"/>
    <w:multiLevelType w:val="hybridMultilevel"/>
    <w:tmpl w:val="345C318A"/>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B407C8"/>
    <w:multiLevelType w:val="hybridMultilevel"/>
    <w:tmpl w:val="4D04F26C"/>
    <w:lvl w:ilvl="0" w:tplc="08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start w:val="1"/>
      <w:numFmt w:val="bullet"/>
      <w:lvlText w:val=""/>
      <w:lvlJc w:val="left"/>
      <w:pPr>
        <w:ind w:left="6021" w:hanging="360"/>
      </w:pPr>
      <w:rPr>
        <w:rFonts w:ascii="Wingdings" w:hAnsi="Wingdings" w:hint="default"/>
      </w:rPr>
    </w:lvl>
    <w:lvl w:ilvl="6" w:tplc="08090001">
      <w:start w:val="1"/>
      <w:numFmt w:val="bullet"/>
      <w:lvlText w:val=""/>
      <w:lvlJc w:val="left"/>
      <w:pPr>
        <w:ind w:left="6741" w:hanging="360"/>
      </w:pPr>
      <w:rPr>
        <w:rFonts w:ascii="Symbol" w:hAnsi="Symbol" w:hint="default"/>
      </w:rPr>
    </w:lvl>
    <w:lvl w:ilvl="7" w:tplc="08090003">
      <w:start w:val="1"/>
      <w:numFmt w:val="bullet"/>
      <w:lvlText w:val="o"/>
      <w:lvlJc w:val="left"/>
      <w:pPr>
        <w:ind w:left="7461" w:hanging="360"/>
      </w:pPr>
      <w:rPr>
        <w:rFonts w:ascii="Courier New" w:hAnsi="Courier New" w:cs="Courier New" w:hint="default"/>
      </w:rPr>
    </w:lvl>
    <w:lvl w:ilvl="8" w:tplc="08090005">
      <w:start w:val="1"/>
      <w:numFmt w:val="bullet"/>
      <w:lvlText w:val=""/>
      <w:lvlJc w:val="left"/>
      <w:pPr>
        <w:ind w:left="818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89"/>
    <w:rsid w:val="000259B9"/>
    <w:rsid w:val="00041491"/>
    <w:rsid w:val="00050D16"/>
    <w:rsid w:val="0007328B"/>
    <w:rsid w:val="00074F2A"/>
    <w:rsid w:val="000A1CA8"/>
    <w:rsid w:val="000A466B"/>
    <w:rsid w:val="000B058C"/>
    <w:rsid w:val="000D4FDF"/>
    <w:rsid w:val="000E4EE6"/>
    <w:rsid w:val="00117ECE"/>
    <w:rsid w:val="00142405"/>
    <w:rsid w:val="001454E2"/>
    <w:rsid w:val="001659FF"/>
    <w:rsid w:val="001E270D"/>
    <w:rsid w:val="00206150"/>
    <w:rsid w:val="00206CE8"/>
    <w:rsid w:val="0021526C"/>
    <w:rsid w:val="00224168"/>
    <w:rsid w:val="00237615"/>
    <w:rsid w:val="00243D6D"/>
    <w:rsid w:val="00265D7C"/>
    <w:rsid w:val="00283A2B"/>
    <w:rsid w:val="002B30AD"/>
    <w:rsid w:val="002C2C01"/>
    <w:rsid w:val="003A29AE"/>
    <w:rsid w:val="003A32D7"/>
    <w:rsid w:val="003B4074"/>
    <w:rsid w:val="003C769A"/>
    <w:rsid w:val="003D621E"/>
    <w:rsid w:val="003F1838"/>
    <w:rsid w:val="00423865"/>
    <w:rsid w:val="0045746C"/>
    <w:rsid w:val="0049104B"/>
    <w:rsid w:val="004C3B09"/>
    <w:rsid w:val="004E3B12"/>
    <w:rsid w:val="00532310"/>
    <w:rsid w:val="00565F0F"/>
    <w:rsid w:val="00594A86"/>
    <w:rsid w:val="00596D86"/>
    <w:rsid w:val="005A1413"/>
    <w:rsid w:val="005A6A23"/>
    <w:rsid w:val="00602068"/>
    <w:rsid w:val="00637F5A"/>
    <w:rsid w:val="006560B1"/>
    <w:rsid w:val="006756DD"/>
    <w:rsid w:val="006D622A"/>
    <w:rsid w:val="00712A91"/>
    <w:rsid w:val="00733BE1"/>
    <w:rsid w:val="00737275"/>
    <w:rsid w:val="00740EEC"/>
    <w:rsid w:val="0078011A"/>
    <w:rsid w:val="00782AF4"/>
    <w:rsid w:val="00790EE7"/>
    <w:rsid w:val="007B6649"/>
    <w:rsid w:val="007F54B7"/>
    <w:rsid w:val="0082576E"/>
    <w:rsid w:val="008272E4"/>
    <w:rsid w:val="00837284"/>
    <w:rsid w:val="00851466"/>
    <w:rsid w:val="008921EB"/>
    <w:rsid w:val="00907F75"/>
    <w:rsid w:val="009260DE"/>
    <w:rsid w:val="0093258A"/>
    <w:rsid w:val="009A6737"/>
    <w:rsid w:val="009C5065"/>
    <w:rsid w:val="009C7BA3"/>
    <w:rsid w:val="009D1F5A"/>
    <w:rsid w:val="00A5237A"/>
    <w:rsid w:val="00A76FBE"/>
    <w:rsid w:val="00A814F1"/>
    <w:rsid w:val="00B003BF"/>
    <w:rsid w:val="00B373D7"/>
    <w:rsid w:val="00B56CED"/>
    <w:rsid w:val="00BC39E1"/>
    <w:rsid w:val="00C22024"/>
    <w:rsid w:val="00C36276"/>
    <w:rsid w:val="00C42586"/>
    <w:rsid w:val="00C5274D"/>
    <w:rsid w:val="00C60CCD"/>
    <w:rsid w:val="00C84483"/>
    <w:rsid w:val="00C94637"/>
    <w:rsid w:val="00C95551"/>
    <w:rsid w:val="00CB1346"/>
    <w:rsid w:val="00CB20D7"/>
    <w:rsid w:val="00CE3B26"/>
    <w:rsid w:val="00D020B0"/>
    <w:rsid w:val="00D11748"/>
    <w:rsid w:val="00D34F55"/>
    <w:rsid w:val="00D366CF"/>
    <w:rsid w:val="00E108AA"/>
    <w:rsid w:val="00E21260"/>
    <w:rsid w:val="00E3749A"/>
    <w:rsid w:val="00E41C89"/>
    <w:rsid w:val="00E7437F"/>
    <w:rsid w:val="00E865B8"/>
    <w:rsid w:val="00EC0B9B"/>
    <w:rsid w:val="00ED5E9F"/>
    <w:rsid w:val="00F04304"/>
    <w:rsid w:val="00F64EDB"/>
    <w:rsid w:val="00F66D4F"/>
    <w:rsid w:val="00F9765E"/>
    <w:rsid w:val="00FA32B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9EFA0"/>
  <w15:chartTrackingRefBased/>
  <w15:docId w15:val="{446D15FE-2F0B-4388-A1E7-0319ADCB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837284"/>
    <w:rPr>
      <w:color w:val="0563C1" w:themeColor="hyperlink"/>
      <w:u w:val="single"/>
    </w:rPr>
  </w:style>
  <w:style w:type="character" w:styleId="Ulstomtale">
    <w:name w:val="Unresolved Mention"/>
    <w:basedOn w:val="Standardskrifttypeiafsnit"/>
    <w:uiPriority w:val="99"/>
    <w:semiHidden/>
    <w:unhideWhenUsed/>
    <w:rsid w:val="00837284"/>
    <w:rPr>
      <w:color w:val="605E5C"/>
      <w:shd w:val="clear" w:color="auto" w:fill="E1DFDD"/>
    </w:rPr>
  </w:style>
  <w:style w:type="paragraph" w:styleId="Listeafsnit">
    <w:name w:val="List Paragraph"/>
    <w:basedOn w:val="Normal"/>
    <w:uiPriority w:val="34"/>
    <w:qFormat/>
    <w:rsid w:val="00F9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356">
      <w:bodyDiv w:val="1"/>
      <w:marLeft w:val="0"/>
      <w:marRight w:val="0"/>
      <w:marTop w:val="0"/>
      <w:marBottom w:val="0"/>
      <w:divBdr>
        <w:top w:val="none" w:sz="0" w:space="0" w:color="auto"/>
        <w:left w:val="none" w:sz="0" w:space="0" w:color="auto"/>
        <w:bottom w:val="none" w:sz="0" w:space="0" w:color="auto"/>
        <w:right w:val="none" w:sz="0" w:space="0" w:color="auto"/>
      </w:divBdr>
    </w:div>
    <w:div w:id="1536878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818582">
      <w:bodyDiv w:val="1"/>
      <w:marLeft w:val="0"/>
      <w:marRight w:val="0"/>
      <w:marTop w:val="0"/>
      <w:marBottom w:val="0"/>
      <w:divBdr>
        <w:top w:val="none" w:sz="0" w:space="0" w:color="auto"/>
        <w:left w:val="none" w:sz="0" w:space="0" w:color="auto"/>
        <w:bottom w:val="none" w:sz="0" w:space="0" w:color="auto"/>
        <w:right w:val="none" w:sz="0" w:space="0" w:color="auto"/>
      </w:divBdr>
    </w:div>
    <w:div w:id="315964044">
      <w:bodyDiv w:val="1"/>
      <w:marLeft w:val="0"/>
      <w:marRight w:val="0"/>
      <w:marTop w:val="0"/>
      <w:marBottom w:val="0"/>
      <w:divBdr>
        <w:top w:val="none" w:sz="0" w:space="0" w:color="auto"/>
        <w:left w:val="none" w:sz="0" w:space="0" w:color="auto"/>
        <w:bottom w:val="none" w:sz="0" w:space="0" w:color="auto"/>
        <w:right w:val="none" w:sz="0" w:space="0" w:color="auto"/>
      </w:divBdr>
    </w:div>
    <w:div w:id="333071650">
      <w:bodyDiv w:val="1"/>
      <w:marLeft w:val="0"/>
      <w:marRight w:val="0"/>
      <w:marTop w:val="0"/>
      <w:marBottom w:val="0"/>
      <w:divBdr>
        <w:top w:val="none" w:sz="0" w:space="0" w:color="auto"/>
        <w:left w:val="none" w:sz="0" w:space="0" w:color="auto"/>
        <w:bottom w:val="none" w:sz="0" w:space="0" w:color="auto"/>
        <w:right w:val="none" w:sz="0" w:space="0" w:color="auto"/>
      </w:divBdr>
    </w:div>
    <w:div w:id="363285975">
      <w:bodyDiv w:val="1"/>
      <w:marLeft w:val="0"/>
      <w:marRight w:val="0"/>
      <w:marTop w:val="0"/>
      <w:marBottom w:val="0"/>
      <w:divBdr>
        <w:top w:val="none" w:sz="0" w:space="0" w:color="auto"/>
        <w:left w:val="none" w:sz="0" w:space="0" w:color="auto"/>
        <w:bottom w:val="none" w:sz="0" w:space="0" w:color="auto"/>
        <w:right w:val="none" w:sz="0" w:space="0" w:color="auto"/>
      </w:divBdr>
    </w:div>
    <w:div w:id="392318017">
      <w:bodyDiv w:val="1"/>
      <w:marLeft w:val="0"/>
      <w:marRight w:val="0"/>
      <w:marTop w:val="0"/>
      <w:marBottom w:val="0"/>
      <w:divBdr>
        <w:top w:val="none" w:sz="0" w:space="0" w:color="auto"/>
        <w:left w:val="none" w:sz="0" w:space="0" w:color="auto"/>
        <w:bottom w:val="none" w:sz="0" w:space="0" w:color="auto"/>
        <w:right w:val="none" w:sz="0" w:space="0" w:color="auto"/>
      </w:divBdr>
    </w:div>
    <w:div w:id="417482079">
      <w:bodyDiv w:val="1"/>
      <w:marLeft w:val="0"/>
      <w:marRight w:val="0"/>
      <w:marTop w:val="0"/>
      <w:marBottom w:val="0"/>
      <w:divBdr>
        <w:top w:val="none" w:sz="0" w:space="0" w:color="auto"/>
        <w:left w:val="none" w:sz="0" w:space="0" w:color="auto"/>
        <w:bottom w:val="none" w:sz="0" w:space="0" w:color="auto"/>
        <w:right w:val="none" w:sz="0" w:space="0" w:color="auto"/>
      </w:divBdr>
    </w:div>
    <w:div w:id="464545821">
      <w:bodyDiv w:val="1"/>
      <w:marLeft w:val="0"/>
      <w:marRight w:val="0"/>
      <w:marTop w:val="0"/>
      <w:marBottom w:val="0"/>
      <w:divBdr>
        <w:top w:val="none" w:sz="0" w:space="0" w:color="auto"/>
        <w:left w:val="none" w:sz="0" w:space="0" w:color="auto"/>
        <w:bottom w:val="none" w:sz="0" w:space="0" w:color="auto"/>
        <w:right w:val="none" w:sz="0" w:space="0" w:color="auto"/>
      </w:divBdr>
    </w:div>
    <w:div w:id="471750718">
      <w:bodyDiv w:val="1"/>
      <w:marLeft w:val="0"/>
      <w:marRight w:val="0"/>
      <w:marTop w:val="0"/>
      <w:marBottom w:val="0"/>
      <w:divBdr>
        <w:top w:val="none" w:sz="0" w:space="0" w:color="auto"/>
        <w:left w:val="none" w:sz="0" w:space="0" w:color="auto"/>
        <w:bottom w:val="none" w:sz="0" w:space="0" w:color="auto"/>
        <w:right w:val="none" w:sz="0" w:space="0" w:color="auto"/>
      </w:divBdr>
    </w:div>
    <w:div w:id="511534398">
      <w:bodyDiv w:val="1"/>
      <w:marLeft w:val="0"/>
      <w:marRight w:val="0"/>
      <w:marTop w:val="0"/>
      <w:marBottom w:val="0"/>
      <w:divBdr>
        <w:top w:val="none" w:sz="0" w:space="0" w:color="auto"/>
        <w:left w:val="none" w:sz="0" w:space="0" w:color="auto"/>
        <w:bottom w:val="none" w:sz="0" w:space="0" w:color="auto"/>
        <w:right w:val="none" w:sz="0" w:space="0" w:color="auto"/>
      </w:divBdr>
    </w:div>
    <w:div w:id="557863618">
      <w:bodyDiv w:val="1"/>
      <w:marLeft w:val="0"/>
      <w:marRight w:val="0"/>
      <w:marTop w:val="0"/>
      <w:marBottom w:val="0"/>
      <w:divBdr>
        <w:top w:val="none" w:sz="0" w:space="0" w:color="auto"/>
        <w:left w:val="none" w:sz="0" w:space="0" w:color="auto"/>
        <w:bottom w:val="none" w:sz="0" w:space="0" w:color="auto"/>
        <w:right w:val="none" w:sz="0" w:space="0" w:color="auto"/>
      </w:divBdr>
    </w:div>
    <w:div w:id="595600576">
      <w:bodyDiv w:val="1"/>
      <w:marLeft w:val="0"/>
      <w:marRight w:val="0"/>
      <w:marTop w:val="0"/>
      <w:marBottom w:val="0"/>
      <w:divBdr>
        <w:top w:val="none" w:sz="0" w:space="0" w:color="auto"/>
        <w:left w:val="none" w:sz="0" w:space="0" w:color="auto"/>
        <w:bottom w:val="none" w:sz="0" w:space="0" w:color="auto"/>
        <w:right w:val="none" w:sz="0" w:space="0" w:color="auto"/>
      </w:divBdr>
    </w:div>
    <w:div w:id="623511456">
      <w:bodyDiv w:val="1"/>
      <w:marLeft w:val="0"/>
      <w:marRight w:val="0"/>
      <w:marTop w:val="0"/>
      <w:marBottom w:val="0"/>
      <w:divBdr>
        <w:top w:val="none" w:sz="0" w:space="0" w:color="auto"/>
        <w:left w:val="none" w:sz="0" w:space="0" w:color="auto"/>
        <w:bottom w:val="none" w:sz="0" w:space="0" w:color="auto"/>
        <w:right w:val="none" w:sz="0" w:space="0" w:color="auto"/>
      </w:divBdr>
    </w:div>
    <w:div w:id="696658508">
      <w:bodyDiv w:val="1"/>
      <w:marLeft w:val="0"/>
      <w:marRight w:val="0"/>
      <w:marTop w:val="0"/>
      <w:marBottom w:val="0"/>
      <w:divBdr>
        <w:top w:val="none" w:sz="0" w:space="0" w:color="auto"/>
        <w:left w:val="none" w:sz="0" w:space="0" w:color="auto"/>
        <w:bottom w:val="none" w:sz="0" w:space="0" w:color="auto"/>
        <w:right w:val="none" w:sz="0" w:space="0" w:color="auto"/>
      </w:divBdr>
    </w:div>
    <w:div w:id="733772814">
      <w:bodyDiv w:val="1"/>
      <w:marLeft w:val="0"/>
      <w:marRight w:val="0"/>
      <w:marTop w:val="0"/>
      <w:marBottom w:val="0"/>
      <w:divBdr>
        <w:top w:val="none" w:sz="0" w:space="0" w:color="auto"/>
        <w:left w:val="none" w:sz="0" w:space="0" w:color="auto"/>
        <w:bottom w:val="none" w:sz="0" w:space="0" w:color="auto"/>
        <w:right w:val="none" w:sz="0" w:space="0" w:color="auto"/>
      </w:divBdr>
    </w:div>
    <w:div w:id="810176137">
      <w:bodyDiv w:val="1"/>
      <w:marLeft w:val="0"/>
      <w:marRight w:val="0"/>
      <w:marTop w:val="0"/>
      <w:marBottom w:val="0"/>
      <w:divBdr>
        <w:top w:val="none" w:sz="0" w:space="0" w:color="auto"/>
        <w:left w:val="none" w:sz="0" w:space="0" w:color="auto"/>
        <w:bottom w:val="none" w:sz="0" w:space="0" w:color="auto"/>
        <w:right w:val="none" w:sz="0" w:space="0" w:color="auto"/>
      </w:divBdr>
    </w:div>
    <w:div w:id="821166889">
      <w:bodyDiv w:val="1"/>
      <w:marLeft w:val="0"/>
      <w:marRight w:val="0"/>
      <w:marTop w:val="0"/>
      <w:marBottom w:val="0"/>
      <w:divBdr>
        <w:top w:val="none" w:sz="0" w:space="0" w:color="auto"/>
        <w:left w:val="none" w:sz="0" w:space="0" w:color="auto"/>
        <w:bottom w:val="none" w:sz="0" w:space="0" w:color="auto"/>
        <w:right w:val="none" w:sz="0" w:space="0" w:color="auto"/>
      </w:divBdr>
    </w:div>
    <w:div w:id="861020080">
      <w:bodyDiv w:val="1"/>
      <w:marLeft w:val="0"/>
      <w:marRight w:val="0"/>
      <w:marTop w:val="0"/>
      <w:marBottom w:val="0"/>
      <w:divBdr>
        <w:top w:val="none" w:sz="0" w:space="0" w:color="auto"/>
        <w:left w:val="none" w:sz="0" w:space="0" w:color="auto"/>
        <w:bottom w:val="none" w:sz="0" w:space="0" w:color="auto"/>
        <w:right w:val="none" w:sz="0" w:space="0" w:color="auto"/>
      </w:divBdr>
    </w:div>
    <w:div w:id="1010445344">
      <w:bodyDiv w:val="1"/>
      <w:marLeft w:val="0"/>
      <w:marRight w:val="0"/>
      <w:marTop w:val="0"/>
      <w:marBottom w:val="0"/>
      <w:divBdr>
        <w:top w:val="none" w:sz="0" w:space="0" w:color="auto"/>
        <w:left w:val="none" w:sz="0" w:space="0" w:color="auto"/>
        <w:bottom w:val="none" w:sz="0" w:space="0" w:color="auto"/>
        <w:right w:val="none" w:sz="0" w:space="0" w:color="auto"/>
      </w:divBdr>
    </w:div>
    <w:div w:id="1092698994">
      <w:bodyDiv w:val="1"/>
      <w:marLeft w:val="0"/>
      <w:marRight w:val="0"/>
      <w:marTop w:val="0"/>
      <w:marBottom w:val="0"/>
      <w:divBdr>
        <w:top w:val="none" w:sz="0" w:space="0" w:color="auto"/>
        <w:left w:val="none" w:sz="0" w:space="0" w:color="auto"/>
        <w:bottom w:val="none" w:sz="0" w:space="0" w:color="auto"/>
        <w:right w:val="none" w:sz="0" w:space="0" w:color="auto"/>
      </w:divBdr>
    </w:div>
    <w:div w:id="1105274279">
      <w:bodyDiv w:val="1"/>
      <w:marLeft w:val="0"/>
      <w:marRight w:val="0"/>
      <w:marTop w:val="0"/>
      <w:marBottom w:val="0"/>
      <w:divBdr>
        <w:top w:val="none" w:sz="0" w:space="0" w:color="auto"/>
        <w:left w:val="none" w:sz="0" w:space="0" w:color="auto"/>
        <w:bottom w:val="none" w:sz="0" w:space="0" w:color="auto"/>
        <w:right w:val="none" w:sz="0" w:space="0" w:color="auto"/>
      </w:divBdr>
    </w:div>
    <w:div w:id="1333141801">
      <w:bodyDiv w:val="1"/>
      <w:marLeft w:val="0"/>
      <w:marRight w:val="0"/>
      <w:marTop w:val="0"/>
      <w:marBottom w:val="0"/>
      <w:divBdr>
        <w:top w:val="none" w:sz="0" w:space="0" w:color="auto"/>
        <w:left w:val="none" w:sz="0" w:space="0" w:color="auto"/>
        <w:bottom w:val="none" w:sz="0" w:space="0" w:color="auto"/>
        <w:right w:val="none" w:sz="0" w:space="0" w:color="auto"/>
      </w:divBdr>
    </w:div>
    <w:div w:id="1378431622">
      <w:bodyDiv w:val="1"/>
      <w:marLeft w:val="0"/>
      <w:marRight w:val="0"/>
      <w:marTop w:val="0"/>
      <w:marBottom w:val="0"/>
      <w:divBdr>
        <w:top w:val="none" w:sz="0" w:space="0" w:color="auto"/>
        <w:left w:val="none" w:sz="0" w:space="0" w:color="auto"/>
        <w:bottom w:val="none" w:sz="0" w:space="0" w:color="auto"/>
        <w:right w:val="none" w:sz="0" w:space="0" w:color="auto"/>
      </w:divBdr>
    </w:div>
    <w:div w:id="1413164836">
      <w:bodyDiv w:val="1"/>
      <w:marLeft w:val="0"/>
      <w:marRight w:val="0"/>
      <w:marTop w:val="0"/>
      <w:marBottom w:val="0"/>
      <w:divBdr>
        <w:top w:val="none" w:sz="0" w:space="0" w:color="auto"/>
        <w:left w:val="none" w:sz="0" w:space="0" w:color="auto"/>
        <w:bottom w:val="none" w:sz="0" w:space="0" w:color="auto"/>
        <w:right w:val="none" w:sz="0" w:space="0" w:color="auto"/>
      </w:divBdr>
    </w:div>
    <w:div w:id="1484077322">
      <w:bodyDiv w:val="1"/>
      <w:marLeft w:val="0"/>
      <w:marRight w:val="0"/>
      <w:marTop w:val="0"/>
      <w:marBottom w:val="0"/>
      <w:divBdr>
        <w:top w:val="none" w:sz="0" w:space="0" w:color="auto"/>
        <w:left w:val="none" w:sz="0" w:space="0" w:color="auto"/>
        <w:bottom w:val="none" w:sz="0" w:space="0" w:color="auto"/>
        <w:right w:val="none" w:sz="0" w:space="0" w:color="auto"/>
      </w:divBdr>
    </w:div>
    <w:div w:id="1497499057">
      <w:bodyDiv w:val="1"/>
      <w:marLeft w:val="0"/>
      <w:marRight w:val="0"/>
      <w:marTop w:val="0"/>
      <w:marBottom w:val="0"/>
      <w:divBdr>
        <w:top w:val="none" w:sz="0" w:space="0" w:color="auto"/>
        <w:left w:val="none" w:sz="0" w:space="0" w:color="auto"/>
        <w:bottom w:val="none" w:sz="0" w:space="0" w:color="auto"/>
        <w:right w:val="none" w:sz="0" w:space="0" w:color="auto"/>
      </w:divBdr>
    </w:div>
    <w:div w:id="1539665249">
      <w:bodyDiv w:val="1"/>
      <w:marLeft w:val="0"/>
      <w:marRight w:val="0"/>
      <w:marTop w:val="0"/>
      <w:marBottom w:val="0"/>
      <w:divBdr>
        <w:top w:val="none" w:sz="0" w:space="0" w:color="auto"/>
        <w:left w:val="none" w:sz="0" w:space="0" w:color="auto"/>
        <w:bottom w:val="none" w:sz="0" w:space="0" w:color="auto"/>
        <w:right w:val="none" w:sz="0" w:space="0" w:color="auto"/>
      </w:divBdr>
    </w:div>
    <w:div w:id="1552182194">
      <w:bodyDiv w:val="1"/>
      <w:marLeft w:val="0"/>
      <w:marRight w:val="0"/>
      <w:marTop w:val="0"/>
      <w:marBottom w:val="0"/>
      <w:divBdr>
        <w:top w:val="none" w:sz="0" w:space="0" w:color="auto"/>
        <w:left w:val="none" w:sz="0" w:space="0" w:color="auto"/>
        <w:bottom w:val="none" w:sz="0" w:space="0" w:color="auto"/>
        <w:right w:val="none" w:sz="0" w:space="0" w:color="auto"/>
      </w:divBdr>
    </w:div>
    <w:div w:id="1574508305">
      <w:bodyDiv w:val="1"/>
      <w:marLeft w:val="0"/>
      <w:marRight w:val="0"/>
      <w:marTop w:val="0"/>
      <w:marBottom w:val="0"/>
      <w:divBdr>
        <w:top w:val="none" w:sz="0" w:space="0" w:color="auto"/>
        <w:left w:val="none" w:sz="0" w:space="0" w:color="auto"/>
        <w:bottom w:val="none" w:sz="0" w:space="0" w:color="auto"/>
        <w:right w:val="none" w:sz="0" w:space="0" w:color="auto"/>
      </w:divBdr>
    </w:div>
    <w:div w:id="1627858396">
      <w:bodyDiv w:val="1"/>
      <w:marLeft w:val="0"/>
      <w:marRight w:val="0"/>
      <w:marTop w:val="0"/>
      <w:marBottom w:val="0"/>
      <w:divBdr>
        <w:top w:val="none" w:sz="0" w:space="0" w:color="auto"/>
        <w:left w:val="none" w:sz="0" w:space="0" w:color="auto"/>
        <w:bottom w:val="none" w:sz="0" w:space="0" w:color="auto"/>
        <w:right w:val="none" w:sz="0" w:space="0" w:color="auto"/>
      </w:divBdr>
    </w:div>
    <w:div w:id="1726106000">
      <w:bodyDiv w:val="1"/>
      <w:marLeft w:val="0"/>
      <w:marRight w:val="0"/>
      <w:marTop w:val="0"/>
      <w:marBottom w:val="0"/>
      <w:divBdr>
        <w:top w:val="none" w:sz="0" w:space="0" w:color="auto"/>
        <w:left w:val="none" w:sz="0" w:space="0" w:color="auto"/>
        <w:bottom w:val="none" w:sz="0" w:space="0" w:color="auto"/>
        <w:right w:val="none" w:sz="0" w:space="0" w:color="auto"/>
      </w:divBdr>
    </w:div>
    <w:div w:id="1833450290">
      <w:bodyDiv w:val="1"/>
      <w:marLeft w:val="0"/>
      <w:marRight w:val="0"/>
      <w:marTop w:val="0"/>
      <w:marBottom w:val="0"/>
      <w:divBdr>
        <w:top w:val="none" w:sz="0" w:space="0" w:color="auto"/>
        <w:left w:val="none" w:sz="0" w:space="0" w:color="auto"/>
        <w:bottom w:val="none" w:sz="0" w:space="0" w:color="auto"/>
        <w:right w:val="none" w:sz="0" w:space="0" w:color="auto"/>
      </w:divBdr>
    </w:div>
    <w:div w:id="1859998027">
      <w:bodyDiv w:val="1"/>
      <w:marLeft w:val="0"/>
      <w:marRight w:val="0"/>
      <w:marTop w:val="0"/>
      <w:marBottom w:val="0"/>
      <w:divBdr>
        <w:top w:val="none" w:sz="0" w:space="0" w:color="auto"/>
        <w:left w:val="none" w:sz="0" w:space="0" w:color="auto"/>
        <w:bottom w:val="none" w:sz="0" w:space="0" w:color="auto"/>
        <w:right w:val="none" w:sz="0" w:space="0" w:color="auto"/>
      </w:divBdr>
    </w:div>
    <w:div w:id="1872456186">
      <w:bodyDiv w:val="1"/>
      <w:marLeft w:val="0"/>
      <w:marRight w:val="0"/>
      <w:marTop w:val="0"/>
      <w:marBottom w:val="0"/>
      <w:divBdr>
        <w:top w:val="none" w:sz="0" w:space="0" w:color="auto"/>
        <w:left w:val="none" w:sz="0" w:space="0" w:color="auto"/>
        <w:bottom w:val="none" w:sz="0" w:space="0" w:color="auto"/>
        <w:right w:val="none" w:sz="0" w:space="0" w:color="auto"/>
      </w:divBdr>
    </w:div>
    <w:div w:id="1875920590">
      <w:bodyDiv w:val="1"/>
      <w:marLeft w:val="0"/>
      <w:marRight w:val="0"/>
      <w:marTop w:val="0"/>
      <w:marBottom w:val="0"/>
      <w:divBdr>
        <w:top w:val="none" w:sz="0" w:space="0" w:color="auto"/>
        <w:left w:val="none" w:sz="0" w:space="0" w:color="auto"/>
        <w:bottom w:val="none" w:sz="0" w:space="0" w:color="auto"/>
        <w:right w:val="none" w:sz="0" w:space="0" w:color="auto"/>
      </w:divBdr>
    </w:div>
    <w:div w:id="1886018612">
      <w:bodyDiv w:val="1"/>
      <w:marLeft w:val="0"/>
      <w:marRight w:val="0"/>
      <w:marTop w:val="0"/>
      <w:marBottom w:val="0"/>
      <w:divBdr>
        <w:top w:val="none" w:sz="0" w:space="0" w:color="auto"/>
        <w:left w:val="none" w:sz="0" w:space="0" w:color="auto"/>
        <w:bottom w:val="none" w:sz="0" w:space="0" w:color="auto"/>
        <w:right w:val="none" w:sz="0" w:space="0" w:color="auto"/>
      </w:divBdr>
    </w:div>
    <w:div w:id="1891990422">
      <w:bodyDiv w:val="1"/>
      <w:marLeft w:val="0"/>
      <w:marRight w:val="0"/>
      <w:marTop w:val="0"/>
      <w:marBottom w:val="0"/>
      <w:divBdr>
        <w:top w:val="none" w:sz="0" w:space="0" w:color="auto"/>
        <w:left w:val="none" w:sz="0" w:space="0" w:color="auto"/>
        <w:bottom w:val="none" w:sz="0" w:space="0" w:color="auto"/>
        <w:right w:val="none" w:sz="0" w:space="0" w:color="auto"/>
      </w:divBdr>
    </w:div>
    <w:div w:id="1892183090">
      <w:bodyDiv w:val="1"/>
      <w:marLeft w:val="0"/>
      <w:marRight w:val="0"/>
      <w:marTop w:val="0"/>
      <w:marBottom w:val="0"/>
      <w:divBdr>
        <w:top w:val="none" w:sz="0" w:space="0" w:color="auto"/>
        <w:left w:val="none" w:sz="0" w:space="0" w:color="auto"/>
        <w:bottom w:val="none" w:sz="0" w:space="0" w:color="auto"/>
        <w:right w:val="none" w:sz="0" w:space="0" w:color="auto"/>
      </w:divBdr>
    </w:div>
    <w:div w:id="1940483937">
      <w:bodyDiv w:val="1"/>
      <w:marLeft w:val="0"/>
      <w:marRight w:val="0"/>
      <w:marTop w:val="0"/>
      <w:marBottom w:val="0"/>
      <w:divBdr>
        <w:top w:val="none" w:sz="0" w:space="0" w:color="auto"/>
        <w:left w:val="none" w:sz="0" w:space="0" w:color="auto"/>
        <w:bottom w:val="none" w:sz="0" w:space="0" w:color="auto"/>
        <w:right w:val="none" w:sz="0" w:space="0" w:color="auto"/>
      </w:divBdr>
    </w:div>
    <w:div w:id="1972051630">
      <w:bodyDiv w:val="1"/>
      <w:marLeft w:val="0"/>
      <w:marRight w:val="0"/>
      <w:marTop w:val="0"/>
      <w:marBottom w:val="0"/>
      <w:divBdr>
        <w:top w:val="none" w:sz="0" w:space="0" w:color="auto"/>
        <w:left w:val="none" w:sz="0" w:space="0" w:color="auto"/>
        <w:bottom w:val="none" w:sz="0" w:space="0" w:color="auto"/>
        <w:right w:val="none" w:sz="0" w:space="0" w:color="auto"/>
      </w:divBdr>
    </w:div>
    <w:div w:id="2049261907">
      <w:bodyDiv w:val="1"/>
      <w:marLeft w:val="0"/>
      <w:marRight w:val="0"/>
      <w:marTop w:val="0"/>
      <w:marBottom w:val="0"/>
      <w:divBdr>
        <w:top w:val="none" w:sz="0" w:space="0" w:color="auto"/>
        <w:left w:val="none" w:sz="0" w:space="0" w:color="auto"/>
        <w:bottom w:val="none" w:sz="0" w:space="0" w:color="auto"/>
        <w:right w:val="none" w:sz="0" w:space="0" w:color="auto"/>
      </w:divBdr>
    </w:div>
    <w:div w:id="21103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3296</Words>
  <Characters>22238</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2024082349_x000d_
SPC opdat. pkt. 4.4, 4.6, 4.8, 5.1, 5.2</dc:description>
  <cp:lastModifiedBy>Marianne Ott Jensen</cp:lastModifiedBy>
  <cp:revision>3</cp:revision>
  <cp:lastPrinted>2020-10-20T14:09:00Z</cp:lastPrinted>
  <dcterms:created xsi:type="dcterms:W3CDTF">2025-01-31T11:44:00Z</dcterms:created>
  <dcterms:modified xsi:type="dcterms:W3CDTF">2025-01-31T11:52:00Z</dcterms:modified>
</cp:coreProperties>
</file>