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12584">
        <w:rPr>
          <w:szCs w:val="24"/>
        </w:rPr>
        <w:t>28. juni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F47FC3" w:rsidP="009260DE">
      <w:pPr>
        <w:jc w:val="center"/>
        <w:rPr>
          <w:b/>
          <w:sz w:val="24"/>
          <w:szCs w:val="24"/>
        </w:rPr>
      </w:pPr>
      <w:r>
        <w:rPr>
          <w:b/>
          <w:sz w:val="24"/>
          <w:szCs w:val="24"/>
        </w:rPr>
        <w:t>Metformin "Strides", depottabletter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F47FC3" w:rsidP="009260DE">
      <w:pPr>
        <w:tabs>
          <w:tab w:val="left" w:pos="851"/>
        </w:tabs>
        <w:ind w:left="851"/>
        <w:rPr>
          <w:sz w:val="24"/>
          <w:szCs w:val="24"/>
        </w:rPr>
      </w:pPr>
      <w:r>
        <w:rPr>
          <w:sz w:val="24"/>
          <w:szCs w:val="24"/>
        </w:rPr>
        <w:t>32958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F47FC3" w:rsidP="009260DE">
      <w:pPr>
        <w:tabs>
          <w:tab w:val="left" w:pos="851"/>
        </w:tabs>
        <w:ind w:left="851"/>
        <w:rPr>
          <w:sz w:val="24"/>
          <w:szCs w:val="24"/>
        </w:rPr>
      </w:pPr>
      <w:r>
        <w:rPr>
          <w:sz w:val="24"/>
          <w:szCs w:val="24"/>
        </w:rPr>
        <w:t>Metformin "Strides"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47FC3" w:rsidRPr="00F47FC3" w:rsidRDefault="00F47FC3" w:rsidP="00F47FC3">
      <w:pPr>
        <w:tabs>
          <w:tab w:val="left" w:pos="851"/>
        </w:tabs>
        <w:ind w:left="851"/>
        <w:rPr>
          <w:sz w:val="24"/>
          <w:szCs w:val="24"/>
        </w:rPr>
      </w:pPr>
      <w:r w:rsidRPr="00F47FC3">
        <w:rPr>
          <w:sz w:val="24"/>
          <w:szCs w:val="24"/>
        </w:rPr>
        <w:t>Hver depottablet indeholder 500 mg metforminhydrochlorid svarende til 390 mg metforminbase.</w:t>
      </w:r>
      <w:r w:rsidRPr="00F47FC3">
        <w:rPr>
          <w:sz w:val="24"/>
          <w:szCs w:val="24"/>
        </w:rPr>
        <w:br/>
        <w:t>Hver depottablet indeholder 750 mg metforminhydrochlorid svarende til 585 mg metforminbase.</w:t>
      </w:r>
      <w:r w:rsidRPr="00F47FC3">
        <w:rPr>
          <w:sz w:val="24"/>
          <w:szCs w:val="24"/>
        </w:rPr>
        <w:br/>
        <w:t>Hver depottablet indeholder 1000 mg metforminhydrochlorid svarende til 780 mg metforminbase.</w:t>
      </w:r>
    </w:p>
    <w:p w:rsidR="009260DE" w:rsidRDefault="009260DE" w:rsidP="009260DE">
      <w:pPr>
        <w:tabs>
          <w:tab w:val="left" w:pos="851"/>
        </w:tabs>
        <w:ind w:left="851"/>
        <w:rPr>
          <w:sz w:val="24"/>
          <w:szCs w:val="24"/>
        </w:rPr>
      </w:pPr>
    </w:p>
    <w:p w:rsidR="00F47FC3" w:rsidRPr="00F47FC3" w:rsidRDefault="00F47FC3" w:rsidP="00F47FC3">
      <w:pPr>
        <w:tabs>
          <w:tab w:val="left" w:pos="851"/>
        </w:tabs>
        <w:ind w:left="851"/>
        <w:rPr>
          <w:sz w:val="24"/>
          <w:szCs w:val="24"/>
        </w:rPr>
      </w:pPr>
      <w:r w:rsidRPr="00F47FC3">
        <w:rPr>
          <w:sz w:val="24"/>
          <w:szCs w:val="24"/>
        </w:rPr>
        <w:t>Alle hjælpestoffer er anført under pkt. 6.1.</w:t>
      </w:r>
    </w:p>
    <w:p w:rsidR="00F47FC3" w:rsidRPr="00C84483" w:rsidRDefault="00F47FC3"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F47FC3" w:rsidRPr="00F47FC3" w:rsidRDefault="00F47FC3" w:rsidP="00F47FC3">
      <w:pPr>
        <w:tabs>
          <w:tab w:val="left" w:pos="851"/>
        </w:tabs>
        <w:ind w:left="851"/>
        <w:rPr>
          <w:sz w:val="24"/>
          <w:szCs w:val="24"/>
        </w:rPr>
      </w:pPr>
      <w:r w:rsidRPr="00F47FC3">
        <w:rPr>
          <w:sz w:val="24"/>
          <w:szCs w:val="24"/>
        </w:rPr>
        <w:t>Depottablet</w:t>
      </w:r>
      <w:r>
        <w:rPr>
          <w:sz w:val="24"/>
          <w:szCs w:val="24"/>
        </w:rPr>
        <w:t>ter</w:t>
      </w:r>
    </w:p>
    <w:p w:rsidR="00F47FC3" w:rsidRPr="00F47FC3" w:rsidRDefault="00F47FC3" w:rsidP="00F47FC3">
      <w:pPr>
        <w:tabs>
          <w:tab w:val="left" w:pos="851"/>
        </w:tabs>
        <w:ind w:left="851"/>
        <w:rPr>
          <w:sz w:val="24"/>
          <w:szCs w:val="24"/>
        </w:rPr>
      </w:pPr>
    </w:p>
    <w:p w:rsidR="00F47FC3" w:rsidRPr="00121B22" w:rsidRDefault="00985D77" w:rsidP="00F47FC3">
      <w:pPr>
        <w:tabs>
          <w:tab w:val="left" w:pos="851"/>
        </w:tabs>
        <w:ind w:left="851"/>
        <w:rPr>
          <w:sz w:val="24"/>
          <w:szCs w:val="24"/>
          <w:u w:val="single"/>
        </w:rPr>
      </w:pPr>
      <w:r>
        <w:rPr>
          <w:sz w:val="24"/>
          <w:szCs w:val="24"/>
          <w:u w:val="single"/>
        </w:rPr>
        <w:t>Metformin "Strides"</w:t>
      </w:r>
      <w:r w:rsidR="00F47FC3" w:rsidRPr="00121B22">
        <w:rPr>
          <w:sz w:val="24"/>
          <w:szCs w:val="24"/>
          <w:u w:val="single"/>
        </w:rPr>
        <w:t xml:space="preserve"> 500 mg depottabletter</w:t>
      </w:r>
    </w:p>
    <w:p w:rsidR="00F47FC3" w:rsidRPr="00F47FC3" w:rsidRDefault="00F47FC3" w:rsidP="00F47FC3">
      <w:pPr>
        <w:tabs>
          <w:tab w:val="left" w:pos="851"/>
        </w:tabs>
        <w:ind w:left="851"/>
        <w:rPr>
          <w:sz w:val="24"/>
          <w:szCs w:val="24"/>
        </w:rPr>
      </w:pPr>
      <w:r>
        <w:rPr>
          <w:sz w:val="24"/>
          <w:szCs w:val="24"/>
        </w:rPr>
        <w:t>H</w:t>
      </w:r>
      <w:r w:rsidRPr="00F47FC3">
        <w:rPr>
          <w:sz w:val="24"/>
          <w:szCs w:val="24"/>
        </w:rPr>
        <w:t>vide til råhvide, kapselformerede ikke overtrukne tabletter, 16,50 mm lange, 8,20 mm brede, præget med ”XR500” på den ene side og glatte på den anden side.</w:t>
      </w:r>
    </w:p>
    <w:p w:rsidR="00F47FC3" w:rsidRPr="00F47FC3" w:rsidRDefault="00F47FC3" w:rsidP="00F47FC3">
      <w:pPr>
        <w:tabs>
          <w:tab w:val="left" w:pos="851"/>
        </w:tabs>
        <w:ind w:left="851"/>
        <w:rPr>
          <w:sz w:val="24"/>
          <w:szCs w:val="24"/>
        </w:rPr>
      </w:pPr>
    </w:p>
    <w:p w:rsidR="00F47FC3" w:rsidRPr="00121B22" w:rsidRDefault="00985D77" w:rsidP="00F47FC3">
      <w:pPr>
        <w:tabs>
          <w:tab w:val="left" w:pos="851"/>
        </w:tabs>
        <w:ind w:left="851"/>
        <w:rPr>
          <w:sz w:val="24"/>
          <w:szCs w:val="24"/>
          <w:u w:val="single"/>
        </w:rPr>
      </w:pPr>
      <w:r>
        <w:rPr>
          <w:sz w:val="24"/>
          <w:szCs w:val="24"/>
          <w:u w:val="single"/>
        </w:rPr>
        <w:t>Metformin "Strides"</w:t>
      </w:r>
      <w:r w:rsidR="00F47FC3" w:rsidRPr="00121B22">
        <w:rPr>
          <w:sz w:val="24"/>
          <w:szCs w:val="24"/>
          <w:u w:val="single"/>
        </w:rPr>
        <w:t xml:space="preserve"> 750 mg depottabletter</w:t>
      </w:r>
    </w:p>
    <w:p w:rsidR="00F47FC3" w:rsidRPr="00F47FC3" w:rsidRDefault="00F47FC3" w:rsidP="00F47FC3">
      <w:pPr>
        <w:tabs>
          <w:tab w:val="left" w:pos="851"/>
        </w:tabs>
        <w:ind w:left="851"/>
        <w:rPr>
          <w:sz w:val="24"/>
          <w:szCs w:val="24"/>
        </w:rPr>
      </w:pPr>
      <w:r>
        <w:rPr>
          <w:sz w:val="24"/>
          <w:szCs w:val="24"/>
        </w:rPr>
        <w:t>H</w:t>
      </w:r>
      <w:r w:rsidRPr="00F47FC3">
        <w:rPr>
          <w:sz w:val="24"/>
          <w:szCs w:val="24"/>
        </w:rPr>
        <w:t>vide til råhvide, kapselformerede ikke overtrukne tabletter, 19,60 mm lange, 9,30 mm brede, præget med ”XR750” på den ene side og glatte på den anden side.</w:t>
      </w:r>
    </w:p>
    <w:p w:rsidR="00F47FC3" w:rsidRPr="00F47FC3" w:rsidRDefault="00F47FC3" w:rsidP="00F47FC3">
      <w:pPr>
        <w:tabs>
          <w:tab w:val="left" w:pos="851"/>
        </w:tabs>
        <w:ind w:left="851"/>
        <w:rPr>
          <w:sz w:val="24"/>
          <w:szCs w:val="24"/>
        </w:rPr>
      </w:pPr>
    </w:p>
    <w:p w:rsidR="00F47FC3" w:rsidRPr="00121B22" w:rsidRDefault="00985D77" w:rsidP="00F47FC3">
      <w:pPr>
        <w:tabs>
          <w:tab w:val="left" w:pos="851"/>
        </w:tabs>
        <w:ind w:left="851"/>
        <w:rPr>
          <w:sz w:val="24"/>
          <w:szCs w:val="24"/>
          <w:u w:val="single"/>
        </w:rPr>
      </w:pPr>
      <w:r>
        <w:rPr>
          <w:sz w:val="24"/>
          <w:szCs w:val="24"/>
          <w:u w:val="single"/>
        </w:rPr>
        <w:t>Metformin "Strides"</w:t>
      </w:r>
      <w:r w:rsidR="00F47FC3" w:rsidRPr="00121B22">
        <w:rPr>
          <w:sz w:val="24"/>
          <w:szCs w:val="24"/>
          <w:u w:val="single"/>
        </w:rPr>
        <w:t xml:space="preserve"> 1000 mg depottabletter</w:t>
      </w:r>
    </w:p>
    <w:p w:rsidR="00F47FC3" w:rsidRPr="00F47FC3" w:rsidRDefault="00F47FC3" w:rsidP="00F47FC3">
      <w:pPr>
        <w:tabs>
          <w:tab w:val="left" w:pos="851"/>
        </w:tabs>
        <w:ind w:left="851"/>
        <w:rPr>
          <w:sz w:val="24"/>
          <w:szCs w:val="24"/>
        </w:rPr>
      </w:pPr>
      <w:r>
        <w:rPr>
          <w:sz w:val="24"/>
          <w:szCs w:val="24"/>
        </w:rPr>
        <w:t>H</w:t>
      </w:r>
      <w:r w:rsidRPr="00F47FC3">
        <w:rPr>
          <w:sz w:val="24"/>
          <w:szCs w:val="24"/>
        </w:rPr>
        <w:t>vide til råhvide, kapselformerede ikke overtrukne tabletter, 21,10 mm lange, 10,10 mm brede, præget med ”XR1000” på den ene side og glatte på den anden side.</w:t>
      </w:r>
    </w:p>
    <w:p w:rsidR="009260DE" w:rsidRDefault="009260DE" w:rsidP="009260DE">
      <w:pPr>
        <w:tabs>
          <w:tab w:val="left" w:pos="851"/>
        </w:tabs>
        <w:ind w:left="851"/>
        <w:rPr>
          <w:sz w:val="24"/>
          <w:szCs w:val="24"/>
        </w:rPr>
      </w:pPr>
    </w:p>
    <w:p w:rsidR="00121B22" w:rsidRDefault="00121B22">
      <w:pPr>
        <w:rPr>
          <w:sz w:val="24"/>
          <w:szCs w:val="24"/>
        </w:rPr>
      </w:pPr>
      <w:r>
        <w:rPr>
          <w:sz w:val="24"/>
          <w:szCs w:val="24"/>
        </w:rPr>
        <w:br w:type="page"/>
      </w:r>
    </w:p>
    <w:p w:rsidR="00F47FC3" w:rsidRPr="00C84483" w:rsidRDefault="00F47FC3"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21B22" w:rsidRPr="00121B22" w:rsidRDefault="00121B22" w:rsidP="00121B22">
      <w:pPr>
        <w:tabs>
          <w:tab w:val="left" w:pos="851"/>
        </w:tabs>
        <w:ind w:left="851"/>
        <w:rPr>
          <w:bCs/>
          <w:sz w:val="24"/>
          <w:szCs w:val="24"/>
        </w:rPr>
      </w:pPr>
      <w:r w:rsidRPr="00121B22">
        <w:rPr>
          <w:bCs/>
          <w:sz w:val="24"/>
          <w:szCs w:val="24"/>
        </w:rPr>
        <w:t>Behandling af type 2 diabetes mellitus i voksne, særligt hos overvægtige patienter, når diætkontrol og</w:t>
      </w:r>
      <w:r>
        <w:rPr>
          <w:bCs/>
          <w:sz w:val="24"/>
          <w:szCs w:val="24"/>
        </w:rPr>
        <w:t xml:space="preserve"> </w:t>
      </w:r>
      <w:r w:rsidRPr="00121B22">
        <w:rPr>
          <w:bCs/>
          <w:sz w:val="24"/>
          <w:szCs w:val="24"/>
        </w:rPr>
        <w:t xml:space="preserve">motion alene ikke resulterer i tilstrækkelig glykæmisk kontrol. Metformin depottabletter kan anvendes </w:t>
      </w:r>
      <w:r>
        <w:rPr>
          <w:bCs/>
          <w:sz w:val="24"/>
          <w:szCs w:val="24"/>
        </w:rPr>
        <w:t xml:space="preserve"> </w:t>
      </w:r>
      <w:r w:rsidRPr="00121B22">
        <w:rPr>
          <w:bCs/>
          <w:sz w:val="24"/>
          <w:szCs w:val="24"/>
        </w:rPr>
        <w:t>som monoterapi eller i kombination med andre orale antidiabetika eller med insulin.</w:t>
      </w:r>
    </w:p>
    <w:p w:rsidR="00121B22" w:rsidRPr="00121B22" w:rsidRDefault="00121B22" w:rsidP="00121B22">
      <w:pPr>
        <w:tabs>
          <w:tab w:val="left" w:pos="851"/>
        </w:tabs>
        <w:ind w:left="851"/>
        <w:rPr>
          <w:bCs/>
          <w:sz w:val="24"/>
          <w:szCs w:val="24"/>
        </w:rPr>
      </w:pPr>
    </w:p>
    <w:p w:rsidR="00121B22" w:rsidRPr="00121B22" w:rsidRDefault="00121B22" w:rsidP="00121B22">
      <w:pPr>
        <w:tabs>
          <w:tab w:val="left" w:pos="851"/>
        </w:tabs>
        <w:ind w:left="851"/>
        <w:rPr>
          <w:bCs/>
          <w:sz w:val="24"/>
          <w:szCs w:val="24"/>
        </w:rPr>
      </w:pPr>
      <w:r w:rsidRPr="00121B22">
        <w:rPr>
          <w:bCs/>
          <w:sz w:val="24"/>
          <w:szCs w:val="24"/>
        </w:rPr>
        <w:t xml:space="preserve">For studieresultater med hensyn til effekt på glykæmisk kontrol og diabeteskomplikationer, </w:t>
      </w:r>
    </w:p>
    <w:p w:rsidR="00121B22" w:rsidRPr="00121B22" w:rsidRDefault="00121B22" w:rsidP="00121B22">
      <w:pPr>
        <w:tabs>
          <w:tab w:val="left" w:pos="851"/>
        </w:tabs>
        <w:ind w:left="851"/>
        <w:rPr>
          <w:bCs/>
          <w:sz w:val="24"/>
          <w:szCs w:val="24"/>
        </w:rPr>
      </w:pPr>
      <w:r w:rsidRPr="00121B22">
        <w:rPr>
          <w:bCs/>
          <w:sz w:val="24"/>
          <w:szCs w:val="24"/>
        </w:rPr>
        <w:t xml:space="preserve">se </w:t>
      </w:r>
      <w:r>
        <w:rPr>
          <w:bCs/>
          <w:sz w:val="24"/>
          <w:szCs w:val="24"/>
        </w:rPr>
        <w:t>pkt.</w:t>
      </w:r>
      <w:r w:rsidRPr="00121B22">
        <w:rPr>
          <w:bCs/>
          <w:sz w:val="24"/>
          <w:szCs w:val="24"/>
        </w:rPr>
        <w:t xml:space="preserve">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121B22" w:rsidRDefault="00121B22" w:rsidP="00121B22">
      <w:pPr>
        <w:tabs>
          <w:tab w:val="left" w:pos="851"/>
        </w:tabs>
        <w:ind w:left="851"/>
        <w:rPr>
          <w:sz w:val="24"/>
          <w:szCs w:val="24"/>
          <w:u w:val="single"/>
        </w:rPr>
      </w:pPr>
    </w:p>
    <w:p w:rsidR="00121B22" w:rsidRPr="00121B22" w:rsidRDefault="00121B22" w:rsidP="00121B22">
      <w:pPr>
        <w:tabs>
          <w:tab w:val="left" w:pos="851"/>
        </w:tabs>
        <w:ind w:left="851"/>
        <w:rPr>
          <w:b/>
          <w:sz w:val="24"/>
          <w:szCs w:val="24"/>
        </w:rPr>
      </w:pPr>
      <w:r w:rsidRPr="00121B22">
        <w:rPr>
          <w:b/>
          <w:sz w:val="24"/>
          <w:szCs w:val="24"/>
        </w:rPr>
        <w:t>Dosering</w:t>
      </w:r>
    </w:p>
    <w:p w:rsidR="00121B22" w:rsidRPr="00121B22" w:rsidRDefault="00121B22" w:rsidP="00121B22">
      <w:pPr>
        <w:tabs>
          <w:tab w:val="left" w:pos="851"/>
        </w:tabs>
        <w:ind w:left="851"/>
        <w:rPr>
          <w:sz w:val="24"/>
          <w:szCs w:val="24"/>
          <w:u w:val="single"/>
        </w:rPr>
      </w:pPr>
    </w:p>
    <w:p w:rsidR="00121B22" w:rsidRPr="00985D77" w:rsidRDefault="00121B22" w:rsidP="00121B22">
      <w:pPr>
        <w:tabs>
          <w:tab w:val="left" w:pos="851"/>
        </w:tabs>
        <w:ind w:left="851"/>
        <w:rPr>
          <w:sz w:val="24"/>
          <w:szCs w:val="24"/>
          <w:u w:val="single"/>
        </w:rPr>
      </w:pPr>
      <w:r w:rsidRPr="00985D77">
        <w:rPr>
          <w:iCs/>
          <w:sz w:val="24"/>
          <w:szCs w:val="24"/>
          <w:u w:val="single"/>
        </w:rPr>
        <w:t>Voksne med normal nyrefunktion (GFR ≥ 90 ml/min)</w:t>
      </w:r>
      <w:r w:rsidRPr="00985D77">
        <w:rPr>
          <w:sz w:val="24"/>
          <w:szCs w:val="24"/>
          <w:u w:val="single"/>
        </w:rPr>
        <w:t xml:space="preserve">. </w:t>
      </w:r>
    </w:p>
    <w:p w:rsidR="00121B22" w:rsidRPr="00121B22" w:rsidRDefault="00121B22" w:rsidP="00121B22">
      <w:pPr>
        <w:tabs>
          <w:tab w:val="left" w:pos="851"/>
        </w:tabs>
        <w:ind w:left="851"/>
        <w:rPr>
          <w:i/>
          <w:sz w:val="24"/>
          <w:szCs w:val="24"/>
          <w:u w:val="single"/>
        </w:rPr>
      </w:pPr>
    </w:p>
    <w:p w:rsidR="00121B22" w:rsidRPr="00121B22" w:rsidRDefault="00121B22" w:rsidP="00121B22">
      <w:pPr>
        <w:tabs>
          <w:tab w:val="left" w:pos="851"/>
        </w:tabs>
        <w:ind w:left="851"/>
        <w:rPr>
          <w:i/>
          <w:sz w:val="24"/>
          <w:szCs w:val="24"/>
        </w:rPr>
      </w:pPr>
      <w:r w:rsidRPr="00121B22">
        <w:rPr>
          <w:i/>
          <w:sz w:val="24"/>
          <w:szCs w:val="24"/>
        </w:rPr>
        <w:t xml:space="preserve">Monoterapi og kombination med andre orale antidiabetika. </w:t>
      </w:r>
    </w:p>
    <w:p w:rsidR="00121B22" w:rsidRPr="00121B22" w:rsidRDefault="00121B22" w:rsidP="00121B22">
      <w:pPr>
        <w:tabs>
          <w:tab w:val="left" w:pos="851"/>
        </w:tabs>
        <w:ind w:left="851"/>
        <w:rPr>
          <w:iCs/>
          <w:sz w:val="24"/>
          <w:szCs w:val="24"/>
        </w:rPr>
      </w:pPr>
      <w:r w:rsidRPr="00121B22">
        <w:rPr>
          <w:iCs/>
          <w:sz w:val="24"/>
          <w:szCs w:val="24"/>
        </w:rPr>
        <w:t xml:space="preserve">Den normale startdosis er én </w:t>
      </w:r>
      <w:r w:rsidR="00985D77">
        <w:rPr>
          <w:iCs/>
          <w:sz w:val="24"/>
          <w:szCs w:val="24"/>
        </w:rPr>
        <w:t>Metformin "Strides"</w:t>
      </w:r>
      <w:r w:rsidRPr="00121B22">
        <w:rPr>
          <w:iCs/>
          <w:sz w:val="24"/>
          <w:szCs w:val="24"/>
        </w:rPr>
        <w:t xml:space="preserve"> 500 mg depottablet én gang dagligt taget sammen med aftensmåltidet.</w:t>
      </w:r>
    </w:p>
    <w:p w:rsidR="00121B22" w:rsidRPr="00121B22" w:rsidRDefault="00121B22" w:rsidP="00121B22">
      <w:pPr>
        <w:tabs>
          <w:tab w:val="left" w:pos="851"/>
        </w:tabs>
        <w:ind w:left="851"/>
        <w:rPr>
          <w:sz w:val="24"/>
          <w:szCs w:val="24"/>
        </w:rPr>
      </w:pPr>
    </w:p>
    <w:p w:rsidR="00121B22" w:rsidRPr="00121B22" w:rsidRDefault="00121B22" w:rsidP="00121B22">
      <w:pPr>
        <w:tabs>
          <w:tab w:val="left" w:pos="851"/>
        </w:tabs>
        <w:ind w:left="851"/>
        <w:rPr>
          <w:iCs/>
          <w:sz w:val="24"/>
          <w:szCs w:val="24"/>
        </w:rPr>
      </w:pPr>
      <w:r w:rsidRPr="00121B22">
        <w:rPr>
          <w:iCs/>
          <w:sz w:val="24"/>
          <w:szCs w:val="24"/>
        </w:rPr>
        <w:t xml:space="preserve">Efter 10 til 15 dage bør dosis justeres på baggrund af blodsukkermålinger. En langsom øgning af dosis kan forbedre den gastroinstestinale tolerabilitet. Den maksimale anbefalede dosis er 4 tabletter </w:t>
      </w:r>
      <w:r w:rsidR="00985D77">
        <w:rPr>
          <w:iCs/>
          <w:sz w:val="24"/>
          <w:szCs w:val="24"/>
        </w:rPr>
        <w:t>Metformin "Strides"</w:t>
      </w:r>
      <w:r w:rsidRPr="00121B22">
        <w:rPr>
          <w:iCs/>
          <w:sz w:val="24"/>
          <w:szCs w:val="24"/>
        </w:rPr>
        <w:t xml:space="preserve"> 500 mg dagligt med et aftensmåltid. </w:t>
      </w:r>
    </w:p>
    <w:p w:rsidR="00121B22" w:rsidRPr="00121B22" w:rsidRDefault="00121B22" w:rsidP="00121B22">
      <w:pPr>
        <w:tabs>
          <w:tab w:val="left" w:pos="851"/>
        </w:tabs>
        <w:ind w:left="851"/>
        <w:rPr>
          <w:iCs/>
          <w:sz w:val="24"/>
          <w:szCs w:val="24"/>
        </w:rPr>
      </w:pPr>
    </w:p>
    <w:p w:rsidR="00121B22" w:rsidRPr="00121B22" w:rsidRDefault="00121B22" w:rsidP="00121B22">
      <w:pPr>
        <w:tabs>
          <w:tab w:val="left" w:pos="851"/>
        </w:tabs>
        <w:ind w:left="851"/>
        <w:rPr>
          <w:iCs/>
          <w:sz w:val="24"/>
          <w:szCs w:val="24"/>
        </w:rPr>
      </w:pPr>
      <w:r w:rsidRPr="00121B22">
        <w:rPr>
          <w:iCs/>
          <w:sz w:val="24"/>
          <w:szCs w:val="24"/>
        </w:rPr>
        <w:t>Dosisøgninger bør forestages gradvist med 500 mg hver 10.-15. dag op til et maksimum på 2000 mg en gang da</w:t>
      </w:r>
      <w:r w:rsidR="00985D77">
        <w:rPr>
          <w:iCs/>
          <w:sz w:val="24"/>
          <w:szCs w:val="24"/>
        </w:rPr>
        <w:t>g</w:t>
      </w:r>
      <w:r w:rsidRPr="00121B22">
        <w:rPr>
          <w:iCs/>
          <w:sz w:val="24"/>
          <w:szCs w:val="24"/>
        </w:rPr>
        <w:t xml:space="preserve">ligt sammen med aftensmåltidet. Hvis blodsukkerkontrol ikke er opnået med 2000 mg en gang dagligt, bør 1000 mg to gange dagligt overvejes, hvor begge doser skal indtages med føde samtidig med morgen- og aftensmåltidet. Hvis blodsukkerkontrol fortsat ikke er opnået, bør patienterne overføres til behandling med standard metformin-tabletter med en maksimal daglig dosis på 3000 mg. </w:t>
      </w:r>
    </w:p>
    <w:p w:rsidR="00121B22" w:rsidRPr="00121B22" w:rsidRDefault="00121B22" w:rsidP="00121B22">
      <w:pPr>
        <w:tabs>
          <w:tab w:val="left" w:pos="851"/>
        </w:tabs>
        <w:ind w:left="851"/>
        <w:rPr>
          <w:iCs/>
          <w:sz w:val="24"/>
          <w:szCs w:val="24"/>
        </w:rPr>
      </w:pPr>
    </w:p>
    <w:p w:rsidR="00121B22" w:rsidRPr="00121B22" w:rsidRDefault="00121B22" w:rsidP="00121B22">
      <w:pPr>
        <w:tabs>
          <w:tab w:val="left" w:pos="851"/>
        </w:tabs>
        <w:ind w:left="851"/>
        <w:rPr>
          <w:iCs/>
          <w:sz w:val="24"/>
          <w:szCs w:val="24"/>
        </w:rPr>
      </w:pPr>
      <w:r w:rsidRPr="00121B22">
        <w:rPr>
          <w:iCs/>
          <w:sz w:val="24"/>
          <w:szCs w:val="24"/>
        </w:rPr>
        <w:t xml:space="preserve">Hos patienter, som allerede behandles med metformintabletter, bør startdosis af </w:t>
      </w:r>
      <w:r w:rsidR="00985D77">
        <w:rPr>
          <w:iCs/>
          <w:sz w:val="24"/>
          <w:szCs w:val="24"/>
        </w:rPr>
        <w:t>Metformin "Strides"</w:t>
      </w:r>
      <w:r w:rsidRPr="00121B22">
        <w:rPr>
          <w:iCs/>
          <w:sz w:val="24"/>
          <w:szCs w:val="24"/>
        </w:rPr>
        <w:t xml:space="preserve"> modsvare den dalige dosis af metformin tabletter med umiddelbar frigivelse. Hos patienter som behandles med metformin i en dosis over 2000 mg dagligt, anbefales det ikke at skifte til </w:t>
      </w:r>
      <w:r w:rsidR="00985D77">
        <w:rPr>
          <w:iCs/>
          <w:sz w:val="24"/>
          <w:szCs w:val="24"/>
        </w:rPr>
        <w:t>Metformin "Strides"</w:t>
      </w:r>
      <w:r w:rsidRPr="00121B22">
        <w:rPr>
          <w:iCs/>
          <w:sz w:val="24"/>
          <w:szCs w:val="24"/>
        </w:rPr>
        <w:t>.</w:t>
      </w:r>
    </w:p>
    <w:p w:rsidR="00121B22" w:rsidRPr="00121B22" w:rsidRDefault="00121B22" w:rsidP="00121B22">
      <w:pPr>
        <w:tabs>
          <w:tab w:val="left" w:pos="851"/>
        </w:tabs>
        <w:ind w:left="851"/>
        <w:rPr>
          <w:iCs/>
          <w:sz w:val="24"/>
          <w:szCs w:val="24"/>
        </w:rPr>
      </w:pPr>
    </w:p>
    <w:p w:rsidR="00121B22" w:rsidRPr="00121B22" w:rsidRDefault="00985D77" w:rsidP="00121B22">
      <w:pPr>
        <w:tabs>
          <w:tab w:val="left" w:pos="851"/>
        </w:tabs>
        <w:ind w:left="851"/>
        <w:rPr>
          <w:iCs/>
          <w:sz w:val="24"/>
          <w:szCs w:val="24"/>
        </w:rPr>
      </w:pPr>
      <w:r>
        <w:rPr>
          <w:iCs/>
          <w:sz w:val="24"/>
          <w:szCs w:val="24"/>
        </w:rPr>
        <w:t>Metformin "Strides"</w:t>
      </w:r>
      <w:r w:rsidR="00121B22" w:rsidRPr="00121B22">
        <w:rPr>
          <w:iCs/>
          <w:sz w:val="24"/>
          <w:szCs w:val="24"/>
        </w:rPr>
        <w:t xml:space="preserve"> 750 mg og 1000 mg depottabletter er beregnet som vedligeholdelsesterapi for patienter, der allerede behandles med metformintabletter (forlænget eller uimiddelbar frigivelse).</w:t>
      </w:r>
    </w:p>
    <w:p w:rsidR="00121B22" w:rsidRPr="00121B22" w:rsidRDefault="00121B22" w:rsidP="00121B22">
      <w:pPr>
        <w:tabs>
          <w:tab w:val="left" w:pos="851"/>
        </w:tabs>
        <w:ind w:left="851"/>
        <w:rPr>
          <w:iCs/>
          <w:sz w:val="24"/>
          <w:szCs w:val="24"/>
        </w:rPr>
      </w:pPr>
    </w:p>
    <w:p w:rsidR="00121B22" w:rsidRPr="00121B22" w:rsidRDefault="00121B22" w:rsidP="00121B22">
      <w:pPr>
        <w:tabs>
          <w:tab w:val="left" w:pos="851"/>
        </w:tabs>
        <w:ind w:left="851"/>
        <w:rPr>
          <w:iCs/>
          <w:sz w:val="24"/>
          <w:szCs w:val="24"/>
        </w:rPr>
      </w:pPr>
      <w:r w:rsidRPr="00121B22">
        <w:rPr>
          <w:iCs/>
          <w:sz w:val="24"/>
          <w:szCs w:val="24"/>
        </w:rPr>
        <w:t xml:space="preserve">Dosis af </w:t>
      </w:r>
      <w:r w:rsidR="00985D77">
        <w:rPr>
          <w:iCs/>
          <w:sz w:val="24"/>
          <w:szCs w:val="24"/>
        </w:rPr>
        <w:t>Metformin "Strides"</w:t>
      </w:r>
      <w:r w:rsidRPr="00121B22">
        <w:rPr>
          <w:iCs/>
          <w:sz w:val="24"/>
          <w:szCs w:val="24"/>
        </w:rPr>
        <w:t xml:space="preserve"> 750 mg og 1000 mg depottabletter bør modsvare den daglige dosis af metformin-tabletter (forlænget eller uimiddelbar frigivelse) op til en maksimal dosis på henholdsvis 1500 mg eller 2000 mg, indtaget sammen med aftensmåltidet.  Efter 10 til 15 dage anbefales det, at kontrollere, at dosis af </w:t>
      </w:r>
      <w:r w:rsidR="00985D77">
        <w:rPr>
          <w:iCs/>
          <w:sz w:val="24"/>
          <w:szCs w:val="24"/>
        </w:rPr>
        <w:t>Metformin "Strides"</w:t>
      </w:r>
      <w:r w:rsidRPr="00121B22">
        <w:rPr>
          <w:iCs/>
          <w:sz w:val="24"/>
          <w:szCs w:val="24"/>
        </w:rPr>
        <w:t xml:space="preserve"> 750 mg eller 1000 mg, er tilstrækkelig på basis af blodsukkermålinger.</w:t>
      </w:r>
    </w:p>
    <w:p w:rsidR="00985D77" w:rsidRDefault="00985D77">
      <w:pPr>
        <w:rPr>
          <w:i/>
          <w:sz w:val="24"/>
          <w:szCs w:val="24"/>
        </w:rPr>
      </w:pPr>
      <w:r>
        <w:rPr>
          <w:i/>
          <w:sz w:val="24"/>
          <w:szCs w:val="24"/>
        </w:rPr>
        <w:br w:type="page"/>
      </w:r>
    </w:p>
    <w:p w:rsidR="00121B22" w:rsidRPr="00121B22" w:rsidRDefault="00121B22" w:rsidP="00121B22">
      <w:pPr>
        <w:tabs>
          <w:tab w:val="left" w:pos="851"/>
        </w:tabs>
        <w:ind w:left="851"/>
        <w:rPr>
          <w:i/>
          <w:sz w:val="24"/>
          <w:szCs w:val="24"/>
        </w:rPr>
      </w:pPr>
    </w:p>
    <w:p w:rsidR="00985D77" w:rsidRDefault="00121B22" w:rsidP="00121B22">
      <w:pPr>
        <w:tabs>
          <w:tab w:val="left" w:pos="851"/>
        </w:tabs>
        <w:ind w:left="851"/>
        <w:rPr>
          <w:i/>
          <w:sz w:val="24"/>
          <w:szCs w:val="24"/>
        </w:rPr>
      </w:pPr>
      <w:r w:rsidRPr="00121B22">
        <w:rPr>
          <w:i/>
          <w:sz w:val="24"/>
          <w:szCs w:val="24"/>
        </w:rPr>
        <w:t>I tilfælde af overførsel fra et andet oralt antidiabetesmiddel</w:t>
      </w:r>
    </w:p>
    <w:p w:rsidR="00121B22" w:rsidRPr="00121B22" w:rsidRDefault="00121B22" w:rsidP="00121B22">
      <w:pPr>
        <w:tabs>
          <w:tab w:val="left" w:pos="851"/>
        </w:tabs>
        <w:ind w:left="851"/>
        <w:rPr>
          <w:b/>
          <w:bCs/>
          <w:iCs/>
          <w:sz w:val="24"/>
          <w:szCs w:val="24"/>
        </w:rPr>
      </w:pPr>
      <w:r w:rsidRPr="00121B22">
        <w:rPr>
          <w:iCs/>
          <w:sz w:val="24"/>
          <w:szCs w:val="24"/>
        </w:rPr>
        <w:t xml:space="preserve">Det andet middel bør seponeres og titrering bør starte med Meformin Strides 500 mg depottabletter, som anført ovenfor, før der skiftes til </w:t>
      </w:r>
      <w:r w:rsidR="00985D77">
        <w:rPr>
          <w:iCs/>
          <w:sz w:val="24"/>
          <w:szCs w:val="24"/>
        </w:rPr>
        <w:t>Metformin "Strides"</w:t>
      </w:r>
      <w:r w:rsidRPr="00121B22">
        <w:rPr>
          <w:iCs/>
          <w:sz w:val="24"/>
          <w:szCs w:val="24"/>
        </w:rPr>
        <w:t xml:space="preserve"> 750 mg eller </w:t>
      </w:r>
      <w:r w:rsidR="00985D77">
        <w:rPr>
          <w:iCs/>
          <w:sz w:val="24"/>
          <w:szCs w:val="24"/>
        </w:rPr>
        <w:t>Metformin "Strides"</w:t>
      </w:r>
      <w:r w:rsidRPr="00121B22">
        <w:rPr>
          <w:iCs/>
          <w:sz w:val="24"/>
          <w:szCs w:val="24"/>
        </w:rPr>
        <w:t xml:space="preserve"> 1000 mg.</w:t>
      </w:r>
    </w:p>
    <w:p w:rsidR="00121B22" w:rsidRPr="00121B22" w:rsidRDefault="00121B22" w:rsidP="00121B22">
      <w:pPr>
        <w:tabs>
          <w:tab w:val="left" w:pos="851"/>
        </w:tabs>
        <w:ind w:left="851"/>
        <w:rPr>
          <w:iCs/>
          <w:sz w:val="24"/>
          <w:szCs w:val="24"/>
        </w:rPr>
      </w:pPr>
    </w:p>
    <w:p w:rsidR="00121B22" w:rsidRPr="00121B22" w:rsidRDefault="00121B22" w:rsidP="00121B22">
      <w:pPr>
        <w:tabs>
          <w:tab w:val="left" w:pos="851"/>
        </w:tabs>
        <w:ind w:left="851"/>
        <w:rPr>
          <w:i/>
          <w:sz w:val="24"/>
          <w:szCs w:val="24"/>
        </w:rPr>
      </w:pPr>
      <w:r w:rsidRPr="00121B22">
        <w:rPr>
          <w:i/>
          <w:sz w:val="24"/>
          <w:szCs w:val="24"/>
        </w:rPr>
        <w:t>Kombination med insulin</w:t>
      </w:r>
    </w:p>
    <w:p w:rsidR="00121B22" w:rsidRPr="00121B22" w:rsidRDefault="00121B22" w:rsidP="00121B22">
      <w:pPr>
        <w:tabs>
          <w:tab w:val="left" w:pos="851"/>
        </w:tabs>
        <w:ind w:left="851"/>
        <w:rPr>
          <w:iCs/>
          <w:sz w:val="24"/>
          <w:szCs w:val="24"/>
        </w:rPr>
      </w:pPr>
      <w:r w:rsidRPr="00121B22">
        <w:rPr>
          <w:iCs/>
          <w:sz w:val="24"/>
          <w:szCs w:val="24"/>
        </w:rPr>
        <w:t xml:space="preserve">Metformin og insulin kan anvendes i kombinationsterapi for at opnå bedre blodsukkerkontrol. Den sædvanlige startdosis af metformin er én 500 mg depottablet én gang dagligt, taget med aftensmåltidet mens insulindosis justeres på basis af bloksukkermålinger. Efter titrering bør det overvejes at skifte til </w:t>
      </w:r>
      <w:r w:rsidR="00985D77">
        <w:rPr>
          <w:iCs/>
          <w:sz w:val="24"/>
          <w:szCs w:val="24"/>
        </w:rPr>
        <w:t>Metformin "Strides"</w:t>
      </w:r>
      <w:r w:rsidRPr="00121B22">
        <w:rPr>
          <w:iCs/>
          <w:sz w:val="24"/>
          <w:szCs w:val="24"/>
        </w:rPr>
        <w:t xml:space="preserve"> 1000 mg depottabletter.</w:t>
      </w:r>
    </w:p>
    <w:p w:rsidR="00121B22" w:rsidRPr="00121B22" w:rsidRDefault="00121B22" w:rsidP="00121B22">
      <w:pPr>
        <w:tabs>
          <w:tab w:val="left" w:pos="851"/>
        </w:tabs>
        <w:ind w:left="851"/>
        <w:rPr>
          <w:iCs/>
          <w:sz w:val="24"/>
          <w:szCs w:val="24"/>
        </w:rPr>
      </w:pPr>
    </w:p>
    <w:p w:rsidR="00121B22" w:rsidRPr="00121B22" w:rsidRDefault="00121B22" w:rsidP="00121B22">
      <w:pPr>
        <w:tabs>
          <w:tab w:val="left" w:pos="851"/>
        </w:tabs>
        <w:ind w:left="851"/>
        <w:rPr>
          <w:iCs/>
          <w:sz w:val="24"/>
          <w:szCs w:val="24"/>
        </w:rPr>
      </w:pPr>
      <w:r w:rsidRPr="00121B22">
        <w:rPr>
          <w:iCs/>
          <w:sz w:val="24"/>
          <w:szCs w:val="24"/>
        </w:rPr>
        <w:t xml:space="preserve">For patienter, der allerede er i kombinationsterapi med metformin og insulin, bør dosis af </w:t>
      </w:r>
      <w:r w:rsidR="00985D77">
        <w:rPr>
          <w:iCs/>
          <w:sz w:val="24"/>
          <w:szCs w:val="24"/>
        </w:rPr>
        <w:t>Metformin "Strides"</w:t>
      </w:r>
      <w:r w:rsidRPr="00121B22">
        <w:rPr>
          <w:iCs/>
          <w:sz w:val="24"/>
          <w:szCs w:val="24"/>
        </w:rPr>
        <w:t xml:space="preserve"> 750 mg eller 1000 mg depottabletter modsvare den allerede anvendte daglige dosis af metformintabletter op til et maksimum på henholdsvis 1500 mg eller 2000 mg indtaget sammen med aftensmåltidet, mens insulindosis justeres på basis af blodsukkermålinger. </w:t>
      </w:r>
    </w:p>
    <w:p w:rsidR="00121B22" w:rsidRPr="00121B22" w:rsidRDefault="00121B22" w:rsidP="00121B22">
      <w:pPr>
        <w:tabs>
          <w:tab w:val="left" w:pos="851"/>
        </w:tabs>
        <w:ind w:left="851"/>
        <w:rPr>
          <w:iCs/>
          <w:sz w:val="24"/>
          <w:szCs w:val="24"/>
        </w:rPr>
      </w:pPr>
    </w:p>
    <w:p w:rsidR="00121B22" w:rsidRPr="00985D77" w:rsidRDefault="00121B22" w:rsidP="00121B22">
      <w:pPr>
        <w:tabs>
          <w:tab w:val="left" w:pos="851"/>
        </w:tabs>
        <w:ind w:left="851"/>
        <w:rPr>
          <w:sz w:val="24"/>
          <w:szCs w:val="24"/>
          <w:u w:val="single"/>
        </w:rPr>
      </w:pPr>
      <w:r w:rsidRPr="00985D77">
        <w:rPr>
          <w:sz w:val="24"/>
          <w:szCs w:val="24"/>
          <w:u w:val="single"/>
        </w:rPr>
        <w:t>Nedsat nyrefunktion</w:t>
      </w:r>
    </w:p>
    <w:p w:rsidR="00121B22" w:rsidRPr="00121B22" w:rsidRDefault="00121B22" w:rsidP="00121B22">
      <w:pPr>
        <w:tabs>
          <w:tab w:val="left" w:pos="851"/>
        </w:tabs>
        <w:ind w:left="851"/>
        <w:rPr>
          <w:iCs/>
          <w:sz w:val="24"/>
          <w:szCs w:val="24"/>
        </w:rPr>
      </w:pPr>
      <w:r w:rsidRPr="00121B22">
        <w:rPr>
          <w:iCs/>
          <w:sz w:val="24"/>
          <w:szCs w:val="24"/>
        </w:rPr>
        <w:t xml:space="preserve">GFR bør vurderes før start af behandling med </w:t>
      </w:r>
      <w:r w:rsidR="00985D77">
        <w:rPr>
          <w:iCs/>
          <w:sz w:val="24"/>
          <w:szCs w:val="24"/>
        </w:rPr>
        <w:t>Metformin "Strides"</w:t>
      </w:r>
      <w:r w:rsidRPr="00121B22">
        <w:rPr>
          <w:iCs/>
          <w:sz w:val="24"/>
          <w:szCs w:val="24"/>
        </w:rPr>
        <w:t xml:space="preserve"> og mindst årligt derefter. Hos patienter med forhøjet risiko for yderligere udvikling af nedsat nyrefunktion og hos ældre bør nyrefunktionen vurderes oftere, f.eks. hver 3.- 6. måned. </w:t>
      </w:r>
    </w:p>
    <w:p w:rsidR="00121B22" w:rsidRPr="00121B22" w:rsidRDefault="00121B22" w:rsidP="00121B22">
      <w:pPr>
        <w:tabs>
          <w:tab w:val="left" w:pos="851"/>
        </w:tabs>
        <w:ind w:left="851"/>
        <w:rPr>
          <w:i/>
          <w:sz w:val="24"/>
          <w:szCs w:val="24"/>
          <w:u w:val="single"/>
        </w:rPr>
      </w:pPr>
    </w:p>
    <w:tbl>
      <w:tblPr>
        <w:tblStyle w:val="Tabel-Gitter"/>
        <w:tblW w:w="9055" w:type="dxa"/>
        <w:tblInd w:w="846" w:type="dxa"/>
        <w:tblLook w:val="04A0" w:firstRow="1" w:lastRow="0" w:firstColumn="1" w:lastColumn="0" w:noHBand="0" w:noVBand="1"/>
      </w:tblPr>
      <w:tblGrid>
        <w:gridCol w:w="3018"/>
        <w:gridCol w:w="3018"/>
        <w:gridCol w:w="3019"/>
      </w:tblGrid>
      <w:tr w:rsidR="00121B22" w:rsidRPr="00985D77" w:rsidTr="00985D77">
        <w:tc>
          <w:tcPr>
            <w:tcW w:w="3018" w:type="dxa"/>
            <w:tcBorders>
              <w:top w:val="single" w:sz="4" w:space="0" w:color="auto"/>
              <w:left w:val="single" w:sz="4" w:space="0" w:color="auto"/>
              <w:bottom w:val="single" w:sz="4" w:space="0" w:color="auto"/>
              <w:right w:val="single" w:sz="4" w:space="0" w:color="auto"/>
            </w:tcBorders>
            <w:hideMark/>
          </w:tcPr>
          <w:p w:rsidR="00121B22" w:rsidRPr="00985D77" w:rsidRDefault="00121B22" w:rsidP="00121B22">
            <w:pPr>
              <w:tabs>
                <w:tab w:val="left" w:pos="851"/>
              </w:tabs>
              <w:ind w:left="851"/>
              <w:rPr>
                <w:iCs/>
                <w:sz w:val="22"/>
                <w:szCs w:val="22"/>
              </w:rPr>
            </w:pPr>
            <w:r w:rsidRPr="00985D77">
              <w:rPr>
                <w:iCs/>
                <w:sz w:val="22"/>
                <w:szCs w:val="22"/>
              </w:rPr>
              <w:t>GFR ml/min</w:t>
            </w:r>
          </w:p>
        </w:tc>
        <w:tc>
          <w:tcPr>
            <w:tcW w:w="3018" w:type="dxa"/>
            <w:tcBorders>
              <w:top w:val="single" w:sz="4" w:space="0" w:color="auto"/>
              <w:left w:val="single" w:sz="4" w:space="0" w:color="auto"/>
              <w:bottom w:val="single" w:sz="4" w:space="0" w:color="auto"/>
              <w:right w:val="single" w:sz="4" w:space="0" w:color="auto"/>
            </w:tcBorders>
            <w:hideMark/>
          </w:tcPr>
          <w:p w:rsidR="00121B22" w:rsidRPr="00985D77" w:rsidRDefault="00121B22" w:rsidP="00121B22">
            <w:pPr>
              <w:tabs>
                <w:tab w:val="left" w:pos="851"/>
              </w:tabs>
              <w:ind w:left="851"/>
              <w:rPr>
                <w:iCs/>
                <w:sz w:val="22"/>
                <w:szCs w:val="22"/>
              </w:rPr>
            </w:pPr>
            <w:r w:rsidRPr="00985D77">
              <w:rPr>
                <w:iCs/>
                <w:sz w:val="22"/>
                <w:szCs w:val="22"/>
              </w:rPr>
              <w:t>Total maksimal daglig dosis</w:t>
            </w:r>
          </w:p>
        </w:tc>
        <w:tc>
          <w:tcPr>
            <w:tcW w:w="3019" w:type="dxa"/>
            <w:tcBorders>
              <w:top w:val="single" w:sz="4" w:space="0" w:color="auto"/>
              <w:left w:val="single" w:sz="4" w:space="0" w:color="auto"/>
              <w:bottom w:val="single" w:sz="4" w:space="0" w:color="auto"/>
              <w:right w:val="single" w:sz="4" w:space="0" w:color="auto"/>
            </w:tcBorders>
            <w:hideMark/>
          </w:tcPr>
          <w:p w:rsidR="00121B22" w:rsidRPr="00985D77" w:rsidRDefault="00121B22" w:rsidP="00985D77">
            <w:pPr>
              <w:ind w:left="88"/>
              <w:rPr>
                <w:iCs/>
                <w:sz w:val="22"/>
                <w:szCs w:val="22"/>
              </w:rPr>
            </w:pPr>
            <w:r w:rsidRPr="00985D77">
              <w:rPr>
                <w:iCs/>
                <w:sz w:val="22"/>
                <w:szCs w:val="22"/>
              </w:rPr>
              <w:t>Yderligere overvejelser</w:t>
            </w:r>
          </w:p>
        </w:tc>
      </w:tr>
      <w:tr w:rsidR="00121B22" w:rsidRPr="00985D77" w:rsidTr="00985D77">
        <w:tc>
          <w:tcPr>
            <w:tcW w:w="3018" w:type="dxa"/>
            <w:tcBorders>
              <w:top w:val="single" w:sz="4" w:space="0" w:color="auto"/>
              <w:left w:val="single" w:sz="4" w:space="0" w:color="auto"/>
              <w:bottom w:val="single" w:sz="4" w:space="0" w:color="auto"/>
              <w:right w:val="single" w:sz="4" w:space="0" w:color="auto"/>
            </w:tcBorders>
            <w:vAlign w:val="center"/>
            <w:hideMark/>
          </w:tcPr>
          <w:p w:rsidR="00121B22" w:rsidRPr="00985D77" w:rsidRDefault="00121B22" w:rsidP="00121B22">
            <w:pPr>
              <w:tabs>
                <w:tab w:val="left" w:pos="851"/>
              </w:tabs>
              <w:ind w:left="851"/>
              <w:rPr>
                <w:iCs/>
                <w:sz w:val="22"/>
                <w:szCs w:val="22"/>
              </w:rPr>
            </w:pPr>
            <w:r w:rsidRPr="00985D77">
              <w:rPr>
                <w:iCs/>
                <w:sz w:val="22"/>
                <w:szCs w:val="22"/>
              </w:rPr>
              <w:t>60-89</w:t>
            </w:r>
          </w:p>
        </w:tc>
        <w:tc>
          <w:tcPr>
            <w:tcW w:w="3018" w:type="dxa"/>
            <w:tcBorders>
              <w:top w:val="single" w:sz="4" w:space="0" w:color="auto"/>
              <w:left w:val="single" w:sz="4" w:space="0" w:color="auto"/>
              <w:bottom w:val="single" w:sz="4" w:space="0" w:color="auto"/>
              <w:right w:val="single" w:sz="4" w:space="0" w:color="auto"/>
            </w:tcBorders>
            <w:vAlign w:val="center"/>
            <w:hideMark/>
          </w:tcPr>
          <w:p w:rsidR="00121B22" w:rsidRPr="00985D77" w:rsidRDefault="00121B22" w:rsidP="00121B22">
            <w:pPr>
              <w:tabs>
                <w:tab w:val="left" w:pos="851"/>
              </w:tabs>
              <w:ind w:left="851"/>
              <w:rPr>
                <w:iCs/>
                <w:sz w:val="22"/>
                <w:szCs w:val="22"/>
              </w:rPr>
            </w:pPr>
            <w:r w:rsidRPr="00985D77">
              <w:rPr>
                <w:iCs/>
                <w:sz w:val="22"/>
                <w:szCs w:val="22"/>
              </w:rPr>
              <w:t>2000 mg</w:t>
            </w:r>
          </w:p>
        </w:tc>
        <w:tc>
          <w:tcPr>
            <w:tcW w:w="3019" w:type="dxa"/>
            <w:tcBorders>
              <w:top w:val="single" w:sz="4" w:space="0" w:color="auto"/>
              <w:left w:val="single" w:sz="4" w:space="0" w:color="auto"/>
              <w:bottom w:val="single" w:sz="4" w:space="0" w:color="auto"/>
              <w:right w:val="single" w:sz="4" w:space="0" w:color="auto"/>
            </w:tcBorders>
            <w:hideMark/>
          </w:tcPr>
          <w:p w:rsidR="00121B22" w:rsidRPr="00985D77" w:rsidRDefault="00121B22" w:rsidP="00985D77">
            <w:pPr>
              <w:ind w:left="88"/>
              <w:rPr>
                <w:iCs/>
                <w:sz w:val="22"/>
                <w:szCs w:val="22"/>
                <w:lang w:val="da-DK"/>
              </w:rPr>
            </w:pPr>
            <w:r w:rsidRPr="00985D77">
              <w:rPr>
                <w:iCs/>
                <w:sz w:val="22"/>
                <w:szCs w:val="22"/>
                <w:lang w:val="da-DK"/>
              </w:rPr>
              <w:t>Dosisreduktion kan overvejes i forhold til en tiltagende nedsættelse af nyrefunktionen.</w:t>
            </w:r>
          </w:p>
        </w:tc>
      </w:tr>
      <w:tr w:rsidR="00121B22" w:rsidRPr="00985D77" w:rsidTr="00985D77">
        <w:tc>
          <w:tcPr>
            <w:tcW w:w="3018" w:type="dxa"/>
            <w:tcBorders>
              <w:top w:val="single" w:sz="4" w:space="0" w:color="auto"/>
              <w:left w:val="single" w:sz="4" w:space="0" w:color="auto"/>
              <w:bottom w:val="single" w:sz="4" w:space="0" w:color="auto"/>
              <w:right w:val="single" w:sz="4" w:space="0" w:color="auto"/>
            </w:tcBorders>
            <w:vAlign w:val="center"/>
          </w:tcPr>
          <w:p w:rsidR="00121B22" w:rsidRPr="00985D77" w:rsidRDefault="00121B22" w:rsidP="00121B22">
            <w:pPr>
              <w:tabs>
                <w:tab w:val="left" w:pos="851"/>
              </w:tabs>
              <w:ind w:left="851"/>
              <w:rPr>
                <w:iCs/>
                <w:sz w:val="22"/>
                <w:szCs w:val="22"/>
              </w:rPr>
            </w:pPr>
            <w:r w:rsidRPr="00985D77">
              <w:rPr>
                <w:iCs/>
                <w:sz w:val="22"/>
                <w:szCs w:val="22"/>
              </w:rPr>
              <w:t>45-59</w:t>
            </w:r>
          </w:p>
          <w:p w:rsidR="00121B22" w:rsidRPr="00985D77" w:rsidRDefault="00121B22" w:rsidP="00121B22">
            <w:pPr>
              <w:tabs>
                <w:tab w:val="left" w:pos="851"/>
              </w:tabs>
              <w:ind w:left="851"/>
              <w:rPr>
                <w:iCs/>
                <w:sz w:val="22"/>
                <w:szCs w:val="22"/>
              </w:rPr>
            </w:pPr>
          </w:p>
          <w:p w:rsidR="00121B22" w:rsidRPr="00985D77" w:rsidRDefault="00121B22" w:rsidP="00121B22">
            <w:pPr>
              <w:tabs>
                <w:tab w:val="left" w:pos="851"/>
              </w:tabs>
              <w:ind w:left="851"/>
              <w:rPr>
                <w:iCs/>
                <w:sz w:val="22"/>
                <w:szCs w:val="22"/>
              </w:rPr>
            </w:pPr>
            <w:r w:rsidRPr="00985D77">
              <w:rPr>
                <w:iCs/>
                <w:sz w:val="22"/>
                <w:szCs w:val="22"/>
              </w:rPr>
              <w:t>30-44</w:t>
            </w:r>
          </w:p>
        </w:tc>
        <w:tc>
          <w:tcPr>
            <w:tcW w:w="3018" w:type="dxa"/>
            <w:tcBorders>
              <w:top w:val="single" w:sz="4" w:space="0" w:color="auto"/>
              <w:left w:val="single" w:sz="4" w:space="0" w:color="auto"/>
              <w:bottom w:val="single" w:sz="4" w:space="0" w:color="auto"/>
              <w:right w:val="single" w:sz="4" w:space="0" w:color="auto"/>
            </w:tcBorders>
            <w:vAlign w:val="center"/>
          </w:tcPr>
          <w:p w:rsidR="00121B22" w:rsidRPr="00985D77" w:rsidRDefault="00121B22" w:rsidP="00121B22">
            <w:pPr>
              <w:tabs>
                <w:tab w:val="left" w:pos="851"/>
              </w:tabs>
              <w:ind w:left="851"/>
              <w:rPr>
                <w:iCs/>
                <w:sz w:val="22"/>
                <w:szCs w:val="22"/>
              </w:rPr>
            </w:pPr>
            <w:r w:rsidRPr="00985D77">
              <w:rPr>
                <w:iCs/>
                <w:sz w:val="22"/>
                <w:szCs w:val="22"/>
              </w:rPr>
              <w:t>2000 mg</w:t>
            </w:r>
          </w:p>
          <w:p w:rsidR="00121B22" w:rsidRPr="00985D77" w:rsidRDefault="00121B22" w:rsidP="00121B22">
            <w:pPr>
              <w:tabs>
                <w:tab w:val="left" w:pos="851"/>
              </w:tabs>
              <w:ind w:left="851"/>
              <w:rPr>
                <w:iCs/>
                <w:sz w:val="22"/>
                <w:szCs w:val="22"/>
              </w:rPr>
            </w:pPr>
          </w:p>
          <w:p w:rsidR="00121B22" w:rsidRPr="00985D77" w:rsidRDefault="00121B22" w:rsidP="00121B22">
            <w:pPr>
              <w:tabs>
                <w:tab w:val="left" w:pos="851"/>
              </w:tabs>
              <w:ind w:left="851"/>
              <w:rPr>
                <w:iCs/>
                <w:sz w:val="22"/>
                <w:szCs w:val="22"/>
              </w:rPr>
            </w:pPr>
            <w:r w:rsidRPr="00985D77">
              <w:rPr>
                <w:iCs/>
                <w:sz w:val="22"/>
                <w:szCs w:val="22"/>
              </w:rPr>
              <w:t>1000 mg</w:t>
            </w:r>
          </w:p>
        </w:tc>
        <w:tc>
          <w:tcPr>
            <w:tcW w:w="3019" w:type="dxa"/>
            <w:tcBorders>
              <w:top w:val="single" w:sz="4" w:space="0" w:color="auto"/>
              <w:left w:val="single" w:sz="4" w:space="0" w:color="auto"/>
              <w:bottom w:val="single" w:sz="4" w:space="0" w:color="auto"/>
              <w:right w:val="single" w:sz="4" w:space="0" w:color="auto"/>
            </w:tcBorders>
            <w:hideMark/>
          </w:tcPr>
          <w:p w:rsidR="00121B22" w:rsidRPr="00985D77" w:rsidRDefault="00121B22" w:rsidP="00985D77">
            <w:pPr>
              <w:ind w:left="88"/>
              <w:rPr>
                <w:iCs/>
                <w:sz w:val="22"/>
                <w:szCs w:val="22"/>
                <w:lang w:val="da-DK"/>
              </w:rPr>
            </w:pPr>
            <w:r w:rsidRPr="00985D77">
              <w:rPr>
                <w:iCs/>
                <w:sz w:val="22"/>
                <w:szCs w:val="22"/>
                <w:lang w:val="da-DK"/>
              </w:rPr>
              <w:t xml:space="preserve">Faktorer, som kan øge risikoen for laktatacidose (se pkt. 4.4), bør gennemgås, inden påbegyndelse af metforminbehandling overvejes. </w:t>
            </w:r>
            <w:r w:rsidRPr="00985D77">
              <w:rPr>
                <w:iCs/>
                <w:sz w:val="22"/>
                <w:szCs w:val="22"/>
                <w:lang w:val="da-DK"/>
              </w:rPr>
              <w:br/>
              <w:t>Startdosis er højst halvdelen af den maksimale dosis.</w:t>
            </w:r>
          </w:p>
        </w:tc>
      </w:tr>
      <w:tr w:rsidR="00121B22" w:rsidRPr="00985D77" w:rsidTr="00985D77">
        <w:tc>
          <w:tcPr>
            <w:tcW w:w="3018" w:type="dxa"/>
            <w:tcBorders>
              <w:top w:val="single" w:sz="4" w:space="0" w:color="auto"/>
              <w:left w:val="single" w:sz="4" w:space="0" w:color="auto"/>
              <w:bottom w:val="single" w:sz="4" w:space="0" w:color="auto"/>
              <w:right w:val="single" w:sz="4" w:space="0" w:color="auto"/>
            </w:tcBorders>
            <w:vAlign w:val="center"/>
            <w:hideMark/>
          </w:tcPr>
          <w:p w:rsidR="00121B22" w:rsidRPr="00985D77" w:rsidRDefault="00121B22" w:rsidP="00121B22">
            <w:pPr>
              <w:tabs>
                <w:tab w:val="left" w:pos="851"/>
              </w:tabs>
              <w:ind w:left="851"/>
              <w:rPr>
                <w:iCs/>
                <w:sz w:val="22"/>
                <w:szCs w:val="22"/>
                <w:u w:val="single"/>
              </w:rPr>
            </w:pPr>
            <w:r w:rsidRPr="00985D77">
              <w:rPr>
                <w:iCs/>
                <w:sz w:val="22"/>
                <w:szCs w:val="22"/>
              </w:rPr>
              <w:t>&lt; 30</w:t>
            </w:r>
          </w:p>
        </w:tc>
        <w:tc>
          <w:tcPr>
            <w:tcW w:w="3018" w:type="dxa"/>
            <w:tcBorders>
              <w:top w:val="single" w:sz="4" w:space="0" w:color="auto"/>
              <w:left w:val="single" w:sz="4" w:space="0" w:color="auto"/>
              <w:bottom w:val="single" w:sz="4" w:space="0" w:color="auto"/>
              <w:right w:val="single" w:sz="4" w:space="0" w:color="auto"/>
            </w:tcBorders>
            <w:vAlign w:val="center"/>
            <w:hideMark/>
          </w:tcPr>
          <w:p w:rsidR="00121B22" w:rsidRPr="00005704" w:rsidRDefault="00121B22" w:rsidP="00121B22">
            <w:pPr>
              <w:tabs>
                <w:tab w:val="left" w:pos="851"/>
              </w:tabs>
              <w:ind w:left="851"/>
              <w:rPr>
                <w:iCs/>
                <w:sz w:val="22"/>
                <w:szCs w:val="22"/>
              </w:rPr>
            </w:pPr>
            <w:r w:rsidRPr="00005704">
              <w:rPr>
                <w:iCs/>
                <w:sz w:val="22"/>
                <w:szCs w:val="22"/>
              </w:rPr>
              <w:t>-</w:t>
            </w:r>
          </w:p>
        </w:tc>
        <w:tc>
          <w:tcPr>
            <w:tcW w:w="3019" w:type="dxa"/>
            <w:tcBorders>
              <w:top w:val="single" w:sz="4" w:space="0" w:color="auto"/>
              <w:left w:val="single" w:sz="4" w:space="0" w:color="auto"/>
              <w:bottom w:val="single" w:sz="4" w:space="0" w:color="auto"/>
              <w:right w:val="single" w:sz="4" w:space="0" w:color="auto"/>
            </w:tcBorders>
            <w:hideMark/>
          </w:tcPr>
          <w:p w:rsidR="00121B22" w:rsidRPr="00985D77" w:rsidRDefault="00121B22" w:rsidP="00985D77">
            <w:pPr>
              <w:ind w:left="88"/>
              <w:rPr>
                <w:iCs/>
                <w:sz w:val="22"/>
                <w:szCs w:val="22"/>
              </w:rPr>
            </w:pPr>
            <w:r w:rsidRPr="00985D77">
              <w:rPr>
                <w:iCs/>
                <w:sz w:val="22"/>
                <w:szCs w:val="22"/>
              </w:rPr>
              <w:t>Metformin er kontraindiceret.</w:t>
            </w:r>
          </w:p>
        </w:tc>
      </w:tr>
    </w:tbl>
    <w:p w:rsidR="00121B22" w:rsidRPr="00121B22" w:rsidRDefault="00121B22" w:rsidP="00121B22">
      <w:pPr>
        <w:tabs>
          <w:tab w:val="left" w:pos="851"/>
        </w:tabs>
        <w:ind w:left="851"/>
        <w:rPr>
          <w:iCs/>
          <w:sz w:val="24"/>
          <w:szCs w:val="24"/>
          <w:u w:val="single"/>
        </w:rPr>
      </w:pPr>
    </w:p>
    <w:p w:rsidR="00121B22" w:rsidRPr="00985D77" w:rsidRDefault="00121B22" w:rsidP="00121B22">
      <w:pPr>
        <w:tabs>
          <w:tab w:val="left" w:pos="851"/>
        </w:tabs>
        <w:ind w:left="851"/>
        <w:rPr>
          <w:sz w:val="24"/>
          <w:szCs w:val="24"/>
          <w:u w:val="single"/>
        </w:rPr>
      </w:pPr>
      <w:r w:rsidRPr="00985D77">
        <w:rPr>
          <w:sz w:val="24"/>
          <w:szCs w:val="24"/>
          <w:u w:val="single"/>
        </w:rPr>
        <w:t>Ældre</w:t>
      </w:r>
    </w:p>
    <w:p w:rsidR="00121B22" w:rsidRPr="00121B22" w:rsidRDefault="00121B22" w:rsidP="00121B22">
      <w:pPr>
        <w:tabs>
          <w:tab w:val="left" w:pos="851"/>
        </w:tabs>
        <w:ind w:left="851"/>
        <w:rPr>
          <w:iCs/>
          <w:sz w:val="24"/>
          <w:szCs w:val="24"/>
        </w:rPr>
      </w:pPr>
      <w:r w:rsidRPr="00121B22">
        <w:rPr>
          <w:iCs/>
          <w:sz w:val="24"/>
          <w:szCs w:val="24"/>
        </w:rPr>
        <w:t>På grund af den potentielle risiko for nedsat nyrefunktion i ældre patienter, bør metformindosis justeres på baggrund af nyrefunktionen. Det er nødvendigt med regelmæssigt vurdering af nyrefunktionen (se pkt. 4.4.).</w:t>
      </w:r>
    </w:p>
    <w:p w:rsidR="00121B22" w:rsidRPr="00121B22" w:rsidRDefault="00121B22" w:rsidP="00121B22">
      <w:pPr>
        <w:tabs>
          <w:tab w:val="left" w:pos="851"/>
        </w:tabs>
        <w:ind w:left="851"/>
        <w:rPr>
          <w:iCs/>
          <w:sz w:val="24"/>
          <w:szCs w:val="24"/>
        </w:rPr>
      </w:pPr>
    </w:p>
    <w:p w:rsidR="00121B22" w:rsidRPr="00985D77" w:rsidRDefault="00121B22" w:rsidP="00121B22">
      <w:pPr>
        <w:tabs>
          <w:tab w:val="left" w:pos="851"/>
        </w:tabs>
        <w:ind w:left="851"/>
        <w:rPr>
          <w:sz w:val="24"/>
          <w:szCs w:val="24"/>
          <w:u w:val="single"/>
        </w:rPr>
      </w:pPr>
      <w:r w:rsidRPr="00985D77">
        <w:rPr>
          <w:sz w:val="24"/>
          <w:szCs w:val="24"/>
          <w:u w:val="single"/>
        </w:rPr>
        <w:t>Pædiatrisk population</w:t>
      </w:r>
    </w:p>
    <w:p w:rsidR="00121B22" w:rsidRPr="00121B22" w:rsidRDefault="00121B22" w:rsidP="00121B22">
      <w:pPr>
        <w:tabs>
          <w:tab w:val="left" w:pos="851"/>
        </w:tabs>
        <w:ind w:left="851"/>
        <w:rPr>
          <w:iCs/>
          <w:sz w:val="24"/>
          <w:szCs w:val="24"/>
        </w:rPr>
      </w:pPr>
      <w:r w:rsidRPr="00121B22">
        <w:rPr>
          <w:iCs/>
          <w:sz w:val="24"/>
          <w:szCs w:val="24"/>
        </w:rPr>
        <w:t xml:space="preserve">Da der ikke foreligger data, bør </w:t>
      </w:r>
      <w:r w:rsidR="00985D77">
        <w:rPr>
          <w:iCs/>
          <w:sz w:val="24"/>
          <w:szCs w:val="24"/>
        </w:rPr>
        <w:t>Metformin "Strides"</w:t>
      </w:r>
      <w:r w:rsidRPr="00121B22">
        <w:rPr>
          <w:iCs/>
          <w:sz w:val="24"/>
          <w:szCs w:val="24"/>
        </w:rPr>
        <w:t xml:space="preserve"> ikke anvendes i børn.</w:t>
      </w:r>
    </w:p>
    <w:p w:rsidR="00121B22" w:rsidRPr="00121B22" w:rsidRDefault="00121B22" w:rsidP="00121B22">
      <w:pPr>
        <w:tabs>
          <w:tab w:val="left" w:pos="851"/>
        </w:tabs>
        <w:ind w:left="851"/>
        <w:rPr>
          <w:iCs/>
          <w:sz w:val="24"/>
          <w:szCs w:val="24"/>
        </w:rPr>
      </w:pPr>
    </w:p>
    <w:p w:rsidR="00121B22" w:rsidRPr="00985D77" w:rsidRDefault="00121B22" w:rsidP="00121B22">
      <w:pPr>
        <w:tabs>
          <w:tab w:val="left" w:pos="851"/>
        </w:tabs>
        <w:ind w:left="851"/>
        <w:rPr>
          <w:b/>
          <w:sz w:val="24"/>
          <w:szCs w:val="24"/>
        </w:rPr>
      </w:pPr>
      <w:r w:rsidRPr="00985D77">
        <w:rPr>
          <w:b/>
          <w:sz w:val="24"/>
          <w:szCs w:val="24"/>
        </w:rPr>
        <w:t>Administration</w:t>
      </w:r>
    </w:p>
    <w:p w:rsidR="00121B22" w:rsidRPr="00121B22" w:rsidRDefault="00121B22" w:rsidP="00121B22">
      <w:pPr>
        <w:tabs>
          <w:tab w:val="left" w:pos="851"/>
        </w:tabs>
        <w:ind w:left="851"/>
        <w:rPr>
          <w:sz w:val="24"/>
          <w:szCs w:val="24"/>
        </w:rPr>
      </w:pPr>
      <w:r w:rsidRPr="00121B22">
        <w:rPr>
          <w:sz w:val="24"/>
          <w:szCs w:val="24"/>
        </w:rPr>
        <w:t xml:space="preserve">Tabletterne bør ikke tykkes, deles eller knuses og skal tages hele med et glas vand. </w:t>
      </w:r>
    </w:p>
    <w:p w:rsidR="00E65772" w:rsidRDefault="00E65772">
      <w:pPr>
        <w:rPr>
          <w:sz w:val="24"/>
          <w:szCs w:val="24"/>
        </w:rPr>
      </w:pPr>
      <w:r>
        <w:rPr>
          <w:sz w:val="24"/>
          <w:szCs w:val="24"/>
        </w:rPr>
        <w:br w:type="page"/>
      </w:r>
    </w:p>
    <w:p w:rsidR="00121B22" w:rsidRPr="00121B22" w:rsidRDefault="00121B22" w:rsidP="00121B2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E65772" w:rsidRPr="00E65772" w:rsidRDefault="00E65772" w:rsidP="00E65772">
      <w:pPr>
        <w:numPr>
          <w:ilvl w:val="0"/>
          <w:numId w:val="6"/>
        </w:numPr>
        <w:tabs>
          <w:tab w:val="left" w:pos="851"/>
        </w:tabs>
        <w:ind w:left="1134" w:hanging="283"/>
        <w:rPr>
          <w:sz w:val="24"/>
          <w:szCs w:val="24"/>
        </w:rPr>
      </w:pPr>
      <w:r w:rsidRPr="00E65772">
        <w:rPr>
          <w:sz w:val="24"/>
          <w:szCs w:val="24"/>
        </w:rPr>
        <w:t>Overfølsomhed over for det aktive stof eller over for et eller flere af hjælpestofferne anført i pkt. 6.1.</w:t>
      </w:r>
    </w:p>
    <w:p w:rsidR="00E65772" w:rsidRPr="00E65772" w:rsidRDefault="00E65772" w:rsidP="00E65772">
      <w:pPr>
        <w:numPr>
          <w:ilvl w:val="0"/>
          <w:numId w:val="6"/>
        </w:numPr>
        <w:tabs>
          <w:tab w:val="left" w:pos="851"/>
        </w:tabs>
        <w:ind w:left="1134" w:hanging="283"/>
        <w:rPr>
          <w:sz w:val="24"/>
          <w:szCs w:val="24"/>
        </w:rPr>
      </w:pPr>
      <w:r w:rsidRPr="00E65772">
        <w:rPr>
          <w:sz w:val="24"/>
          <w:szCs w:val="24"/>
        </w:rPr>
        <w:t>Enhver type af akut metabolisk acidose (såsom laktatacidose, diabetisk ketoacidose)</w:t>
      </w:r>
    </w:p>
    <w:p w:rsidR="00E65772" w:rsidRPr="00E65772" w:rsidRDefault="00E65772" w:rsidP="00E65772">
      <w:pPr>
        <w:numPr>
          <w:ilvl w:val="0"/>
          <w:numId w:val="6"/>
        </w:numPr>
        <w:tabs>
          <w:tab w:val="left" w:pos="851"/>
        </w:tabs>
        <w:ind w:left="1134" w:hanging="283"/>
        <w:rPr>
          <w:sz w:val="24"/>
          <w:szCs w:val="24"/>
        </w:rPr>
      </w:pPr>
      <w:r w:rsidRPr="00E65772">
        <w:rPr>
          <w:sz w:val="24"/>
          <w:szCs w:val="24"/>
        </w:rPr>
        <w:t>Diabetisk prækoma</w:t>
      </w:r>
    </w:p>
    <w:p w:rsidR="00E65772" w:rsidRPr="00E65772" w:rsidRDefault="00E65772" w:rsidP="00E65772">
      <w:pPr>
        <w:numPr>
          <w:ilvl w:val="0"/>
          <w:numId w:val="6"/>
        </w:numPr>
        <w:tabs>
          <w:tab w:val="left" w:pos="851"/>
        </w:tabs>
        <w:ind w:left="1134" w:hanging="283"/>
        <w:rPr>
          <w:sz w:val="24"/>
          <w:szCs w:val="24"/>
        </w:rPr>
      </w:pPr>
      <w:r w:rsidRPr="00E65772">
        <w:rPr>
          <w:sz w:val="24"/>
          <w:szCs w:val="24"/>
        </w:rPr>
        <w:t>Svær nyreinsufficiens (GFR &lt; 30 ml/min)</w:t>
      </w:r>
    </w:p>
    <w:p w:rsidR="00E65772" w:rsidRPr="00E65772" w:rsidRDefault="00E65772" w:rsidP="00E65772">
      <w:pPr>
        <w:numPr>
          <w:ilvl w:val="0"/>
          <w:numId w:val="6"/>
        </w:numPr>
        <w:tabs>
          <w:tab w:val="left" w:pos="851"/>
        </w:tabs>
        <w:ind w:left="1134" w:hanging="283"/>
        <w:rPr>
          <w:sz w:val="24"/>
          <w:szCs w:val="24"/>
        </w:rPr>
      </w:pPr>
      <w:r w:rsidRPr="00E65772">
        <w:rPr>
          <w:sz w:val="24"/>
          <w:szCs w:val="24"/>
        </w:rPr>
        <w:t>Akutte tilstande, der kan påvirke nyrefunktionen, såsom</w:t>
      </w:r>
    </w:p>
    <w:p w:rsidR="00E65772" w:rsidRPr="00E65772" w:rsidRDefault="00E65772" w:rsidP="00E65772">
      <w:pPr>
        <w:numPr>
          <w:ilvl w:val="1"/>
          <w:numId w:val="7"/>
        </w:numPr>
        <w:tabs>
          <w:tab w:val="left" w:pos="851"/>
        </w:tabs>
        <w:ind w:hanging="306"/>
        <w:rPr>
          <w:sz w:val="24"/>
          <w:szCs w:val="24"/>
        </w:rPr>
      </w:pPr>
      <w:r w:rsidRPr="00E65772">
        <w:rPr>
          <w:sz w:val="24"/>
          <w:szCs w:val="24"/>
        </w:rPr>
        <w:t>dehydrering</w:t>
      </w:r>
    </w:p>
    <w:p w:rsidR="00E65772" w:rsidRPr="00E65772" w:rsidRDefault="00E65772" w:rsidP="00E65772">
      <w:pPr>
        <w:numPr>
          <w:ilvl w:val="1"/>
          <w:numId w:val="7"/>
        </w:numPr>
        <w:tabs>
          <w:tab w:val="left" w:pos="851"/>
        </w:tabs>
        <w:ind w:hanging="306"/>
        <w:rPr>
          <w:sz w:val="24"/>
          <w:szCs w:val="24"/>
        </w:rPr>
      </w:pPr>
      <w:r w:rsidRPr="00E65772">
        <w:rPr>
          <w:sz w:val="24"/>
          <w:szCs w:val="24"/>
        </w:rPr>
        <w:t>svær infektion,</w:t>
      </w:r>
    </w:p>
    <w:p w:rsidR="00E65772" w:rsidRPr="00E65772" w:rsidRDefault="00E65772" w:rsidP="00E65772">
      <w:pPr>
        <w:numPr>
          <w:ilvl w:val="1"/>
          <w:numId w:val="7"/>
        </w:numPr>
        <w:tabs>
          <w:tab w:val="left" w:pos="851"/>
        </w:tabs>
        <w:ind w:hanging="306"/>
        <w:rPr>
          <w:sz w:val="24"/>
          <w:szCs w:val="24"/>
        </w:rPr>
      </w:pPr>
      <w:r>
        <w:rPr>
          <w:sz w:val="24"/>
          <w:szCs w:val="24"/>
        </w:rPr>
        <w:t>s</w:t>
      </w:r>
      <w:r w:rsidRPr="00E65772">
        <w:rPr>
          <w:sz w:val="24"/>
          <w:szCs w:val="24"/>
        </w:rPr>
        <w:t>hock.</w:t>
      </w:r>
    </w:p>
    <w:p w:rsidR="00E65772" w:rsidRPr="00E65772" w:rsidRDefault="00E65772" w:rsidP="00E65772">
      <w:pPr>
        <w:numPr>
          <w:ilvl w:val="0"/>
          <w:numId w:val="7"/>
        </w:numPr>
        <w:tabs>
          <w:tab w:val="left" w:pos="851"/>
        </w:tabs>
        <w:ind w:left="1134" w:hanging="283"/>
        <w:rPr>
          <w:sz w:val="24"/>
          <w:szCs w:val="24"/>
        </w:rPr>
      </w:pPr>
      <w:r w:rsidRPr="00E65772">
        <w:rPr>
          <w:sz w:val="24"/>
          <w:szCs w:val="24"/>
        </w:rPr>
        <w:t>Sygdom, der kan forårsage vævshypoksi (særlig akut sygdom eller forværring af kronisk sygdom, såsom:</w:t>
      </w:r>
    </w:p>
    <w:p w:rsidR="00E65772" w:rsidRPr="00E65772" w:rsidRDefault="00E65772" w:rsidP="00E65772">
      <w:pPr>
        <w:numPr>
          <w:ilvl w:val="1"/>
          <w:numId w:val="7"/>
        </w:numPr>
        <w:tabs>
          <w:tab w:val="left" w:pos="851"/>
        </w:tabs>
        <w:rPr>
          <w:sz w:val="24"/>
          <w:szCs w:val="24"/>
        </w:rPr>
      </w:pPr>
      <w:r w:rsidRPr="00E65772">
        <w:rPr>
          <w:sz w:val="24"/>
          <w:szCs w:val="24"/>
        </w:rPr>
        <w:t>dekompenseret hjertesvigt,</w:t>
      </w:r>
    </w:p>
    <w:p w:rsidR="00E65772" w:rsidRPr="00E65772" w:rsidRDefault="00E65772" w:rsidP="00E65772">
      <w:pPr>
        <w:numPr>
          <w:ilvl w:val="1"/>
          <w:numId w:val="7"/>
        </w:numPr>
        <w:tabs>
          <w:tab w:val="left" w:pos="851"/>
        </w:tabs>
        <w:rPr>
          <w:sz w:val="24"/>
          <w:szCs w:val="24"/>
        </w:rPr>
      </w:pPr>
      <w:r w:rsidRPr="00E65772">
        <w:rPr>
          <w:sz w:val="24"/>
          <w:szCs w:val="24"/>
        </w:rPr>
        <w:t>respirationssvigt,</w:t>
      </w:r>
    </w:p>
    <w:p w:rsidR="00E65772" w:rsidRPr="00E65772" w:rsidRDefault="00E65772" w:rsidP="00E65772">
      <w:pPr>
        <w:numPr>
          <w:ilvl w:val="1"/>
          <w:numId w:val="7"/>
        </w:numPr>
        <w:tabs>
          <w:tab w:val="left" w:pos="851"/>
        </w:tabs>
        <w:rPr>
          <w:sz w:val="24"/>
          <w:szCs w:val="24"/>
        </w:rPr>
      </w:pPr>
      <w:r w:rsidRPr="00E65772">
        <w:rPr>
          <w:sz w:val="24"/>
          <w:szCs w:val="24"/>
        </w:rPr>
        <w:t>nyligt myokardieinfarkt,</w:t>
      </w:r>
    </w:p>
    <w:p w:rsidR="00E65772" w:rsidRPr="00E65772" w:rsidRDefault="00E65772" w:rsidP="00E65772">
      <w:pPr>
        <w:numPr>
          <w:ilvl w:val="1"/>
          <w:numId w:val="7"/>
        </w:numPr>
        <w:tabs>
          <w:tab w:val="left" w:pos="851"/>
        </w:tabs>
        <w:rPr>
          <w:sz w:val="24"/>
          <w:szCs w:val="24"/>
        </w:rPr>
      </w:pPr>
      <w:r>
        <w:rPr>
          <w:sz w:val="24"/>
          <w:szCs w:val="24"/>
        </w:rPr>
        <w:t>s</w:t>
      </w:r>
      <w:r w:rsidRPr="00E65772">
        <w:rPr>
          <w:sz w:val="24"/>
          <w:szCs w:val="24"/>
        </w:rPr>
        <w:t>ho</w:t>
      </w:r>
      <w:r>
        <w:rPr>
          <w:sz w:val="24"/>
          <w:szCs w:val="24"/>
        </w:rPr>
        <w:t>c</w:t>
      </w:r>
      <w:r w:rsidRPr="00E65772">
        <w:rPr>
          <w:sz w:val="24"/>
          <w:szCs w:val="24"/>
        </w:rPr>
        <w:t>k.</w:t>
      </w:r>
    </w:p>
    <w:p w:rsidR="00E65772" w:rsidRPr="00E65772" w:rsidRDefault="00E65772" w:rsidP="00E65772">
      <w:pPr>
        <w:numPr>
          <w:ilvl w:val="0"/>
          <w:numId w:val="7"/>
        </w:numPr>
        <w:tabs>
          <w:tab w:val="left" w:pos="851"/>
        </w:tabs>
        <w:ind w:left="1134" w:hanging="283"/>
        <w:rPr>
          <w:sz w:val="24"/>
          <w:szCs w:val="24"/>
        </w:rPr>
      </w:pPr>
      <w:r w:rsidRPr="00E65772">
        <w:rPr>
          <w:sz w:val="24"/>
          <w:szCs w:val="24"/>
        </w:rPr>
        <w:t>Leverinsufficiens, akut alkoholforgiftning, alkoholisme.</w:t>
      </w:r>
    </w:p>
    <w:p w:rsidR="00E65772" w:rsidRPr="00E65772" w:rsidRDefault="00E65772" w:rsidP="00E6577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65772" w:rsidRDefault="00E65772" w:rsidP="00E65772">
      <w:pPr>
        <w:suppressAutoHyphens/>
        <w:ind w:left="851"/>
        <w:rPr>
          <w:sz w:val="22"/>
        </w:rPr>
      </w:pPr>
    </w:p>
    <w:p w:rsidR="00E65772" w:rsidRDefault="00E65772" w:rsidP="00E65772">
      <w:pPr>
        <w:autoSpaceDE w:val="0"/>
        <w:autoSpaceDN w:val="0"/>
        <w:adjustRightInd w:val="0"/>
        <w:ind w:left="851"/>
        <w:rPr>
          <w:rFonts w:ascii="TimesNewRomanPSMT" w:hAnsi="TimesNewRomanPSMT" w:cs="TimesNewRomanPSMT"/>
          <w:szCs w:val="22"/>
          <w:u w:val="single"/>
          <w:lang w:eastAsia="en-GB"/>
        </w:rPr>
      </w:pPr>
      <w:r>
        <w:rPr>
          <w:rFonts w:ascii="TimesNewRomanPSMT" w:hAnsi="TimesNewRomanPSMT" w:cs="TimesNewRomanPSMT"/>
          <w:szCs w:val="22"/>
          <w:u w:val="single"/>
          <w:lang w:eastAsia="en-GB"/>
        </w:rPr>
        <w:t>Laktatacidose</w:t>
      </w:r>
    </w:p>
    <w:p w:rsidR="00E65772" w:rsidRDefault="00E65772" w:rsidP="00E65772">
      <w:pPr>
        <w:autoSpaceDE w:val="0"/>
        <w:autoSpaceDN w:val="0"/>
        <w:adjustRightInd w:val="0"/>
        <w:ind w:left="851"/>
        <w:rPr>
          <w:rFonts w:ascii="TimesNewRomanPSMT" w:hAnsi="TimesNewRomanPSMT" w:cs="TimesNewRomanPSMT"/>
          <w:szCs w:val="22"/>
          <w:lang w:eastAsia="en-GB"/>
        </w:rPr>
      </w:pPr>
      <w:r>
        <w:rPr>
          <w:rFonts w:ascii="TimesNewRomanPSMT" w:hAnsi="TimesNewRomanPSMT" w:cs="TimesNewRomanPSMT"/>
          <w:szCs w:val="22"/>
          <w:lang w:eastAsia="en-GB"/>
        </w:rPr>
        <w:t>Laktatacidose er en meget sjælden, men alvorlig metabolisk komplikation, som oftest indtræder ved akut forværring af nyrefunktionen, kardiopulmonal sygdom eller sepsis. Ved akut forværring af nyrefunktionen akkumuleres metformin, hvilket øger risikoen for laktatacidose.</w:t>
      </w:r>
    </w:p>
    <w:p w:rsidR="00E65772" w:rsidRDefault="00E65772" w:rsidP="00E65772">
      <w:pPr>
        <w:autoSpaceDE w:val="0"/>
        <w:autoSpaceDN w:val="0"/>
        <w:adjustRightInd w:val="0"/>
        <w:ind w:left="851"/>
        <w:rPr>
          <w:rFonts w:ascii="TimesNewRomanPSMT" w:hAnsi="TimesNewRomanPSMT" w:cs="TimesNewRomanPSMT"/>
          <w:szCs w:val="22"/>
          <w:lang w:eastAsia="en-GB"/>
        </w:rPr>
      </w:pPr>
    </w:p>
    <w:p w:rsidR="00E65772" w:rsidRDefault="00E65772" w:rsidP="00E65772">
      <w:pPr>
        <w:autoSpaceDE w:val="0"/>
        <w:autoSpaceDN w:val="0"/>
        <w:adjustRightInd w:val="0"/>
        <w:ind w:left="851"/>
        <w:rPr>
          <w:rFonts w:ascii="TimesNewRomanPSMT" w:hAnsi="TimesNewRomanPSMT" w:cs="TimesNewRomanPSMT"/>
          <w:szCs w:val="22"/>
          <w:lang w:eastAsia="en-GB"/>
        </w:rPr>
      </w:pPr>
      <w:r>
        <w:rPr>
          <w:rFonts w:ascii="TimesNewRomanPSMT" w:hAnsi="TimesNewRomanPSMT" w:cs="TimesNewRomanPSMT"/>
          <w:szCs w:val="22"/>
          <w:lang w:eastAsia="en-GB"/>
        </w:rPr>
        <w:t>I tilfælde af dehydrering (alvorlig diarré eller opkastning, feber eller nedsat væskeindtagelse) bør metformin-behandlingen afbrydes midlertidigt og det anbefales at kontakte sundhedspersonalet.</w:t>
      </w:r>
    </w:p>
    <w:p w:rsidR="00E65772" w:rsidRDefault="00E65772" w:rsidP="00E65772">
      <w:pPr>
        <w:autoSpaceDE w:val="0"/>
        <w:autoSpaceDN w:val="0"/>
        <w:adjustRightInd w:val="0"/>
        <w:ind w:left="851"/>
        <w:rPr>
          <w:rFonts w:ascii="TimesNewRomanPSMT" w:hAnsi="TimesNewRomanPSMT" w:cs="TimesNewRomanPSMT"/>
          <w:szCs w:val="22"/>
          <w:lang w:eastAsia="en-GB"/>
        </w:rPr>
      </w:pPr>
    </w:p>
    <w:p w:rsidR="00E65772" w:rsidRDefault="00E65772" w:rsidP="00E65772">
      <w:pPr>
        <w:autoSpaceDE w:val="0"/>
        <w:autoSpaceDN w:val="0"/>
        <w:adjustRightInd w:val="0"/>
        <w:ind w:left="851"/>
        <w:rPr>
          <w:rFonts w:ascii="TimesNewRomanPSMT" w:hAnsi="TimesNewRomanPSMT" w:cs="TimesNewRomanPSMT"/>
          <w:szCs w:val="22"/>
          <w:lang w:eastAsia="en-GB"/>
        </w:rPr>
      </w:pPr>
      <w:r>
        <w:rPr>
          <w:rFonts w:ascii="TimesNewRomanPSMT" w:hAnsi="TimesNewRomanPSMT" w:cs="TimesNewRomanPSMT"/>
          <w:szCs w:val="22"/>
          <w:lang w:eastAsia="en-GB"/>
        </w:rPr>
        <w:t>For patienter i behandling med metformin, bør udvises forsigtighed ved start af behandling med lægemidler, som kan medføre akut nedsættelse af nyrefunktionen (såsom antihypertensiva, diuretika og ikke-steroide anti-inflammatoriske stoffer (NSAID’er)). Andre risikofaktorer for laktatacidose omfatter stort alkoholforbrug, leverinsufficiens, utilstrækkeligt kontrolleret diabetes, ketose, langvarig faste og enhver tilstand forbundet med hypoksi samt samtidig brug af lægemidler, der kan forårsage laktatacidose (se pkt. 4.3 og 4.5).</w:t>
      </w:r>
    </w:p>
    <w:p w:rsidR="00E65772" w:rsidRDefault="00E65772" w:rsidP="00E65772">
      <w:pPr>
        <w:autoSpaceDE w:val="0"/>
        <w:autoSpaceDN w:val="0"/>
        <w:adjustRightInd w:val="0"/>
        <w:ind w:left="851"/>
        <w:rPr>
          <w:rFonts w:ascii="TimesNewRomanPSMT" w:hAnsi="TimesNewRomanPSMT" w:cs="TimesNewRomanPSMT"/>
          <w:szCs w:val="22"/>
          <w:lang w:eastAsia="en-GB"/>
        </w:rPr>
      </w:pPr>
    </w:p>
    <w:p w:rsidR="00E65772" w:rsidRDefault="00E65772" w:rsidP="00E65772">
      <w:pPr>
        <w:autoSpaceDE w:val="0"/>
        <w:autoSpaceDN w:val="0"/>
        <w:adjustRightInd w:val="0"/>
        <w:ind w:left="851"/>
        <w:rPr>
          <w:rFonts w:ascii="TimesNewRomanPSMT" w:hAnsi="TimesNewRomanPSMT" w:cs="TimesNewRomanPSMT"/>
          <w:szCs w:val="22"/>
          <w:lang w:eastAsia="en-GB"/>
        </w:rPr>
      </w:pPr>
      <w:r>
        <w:rPr>
          <w:rFonts w:ascii="TimesNewRomanPSMT" w:hAnsi="TimesNewRomanPSMT" w:cs="TimesNewRomanPSMT"/>
          <w:szCs w:val="22"/>
          <w:lang w:eastAsia="en-GB"/>
        </w:rPr>
        <w:t>Patienter og/eller deres omsorgspersoner skal informeres om risikoen for laktatacidose. Laktatacidose er kendetegnet ved acidotisk dyspnø, abdominalsmerter, muskelkramper, asteni og hypotermi efterfulgt af koma. Ved mistænkte symptomer, skal patienten stoppe med at tage metformin og øjeblikkeligt søge lægehjælp. Diagnostiske laboratoriefund er nedsat pH i blodet (&lt; 7,35), forhøjet laktatniveau i blodet (&gt; 5 mmol/l) samt øget anion gap og laktat/pyruvat-ratio.</w:t>
      </w:r>
    </w:p>
    <w:p w:rsidR="00E65772" w:rsidRDefault="00E65772" w:rsidP="00E65772">
      <w:pPr>
        <w:autoSpaceDE w:val="0"/>
        <w:autoSpaceDN w:val="0"/>
        <w:adjustRightInd w:val="0"/>
        <w:ind w:left="851"/>
        <w:rPr>
          <w:rFonts w:ascii="TimesNewRomanPSMT" w:hAnsi="TimesNewRomanPSMT" w:cs="TimesNewRomanPSMT"/>
          <w:szCs w:val="22"/>
          <w:lang w:eastAsia="en-GB"/>
        </w:rPr>
      </w:pPr>
    </w:p>
    <w:p w:rsidR="00E65772" w:rsidRDefault="00E65772" w:rsidP="00E65772">
      <w:pPr>
        <w:autoSpaceDE w:val="0"/>
        <w:autoSpaceDN w:val="0"/>
        <w:adjustRightInd w:val="0"/>
        <w:ind w:left="851"/>
        <w:rPr>
          <w:rFonts w:ascii="TimesNewRomanPSMT" w:hAnsi="TimesNewRomanPSMT" w:cs="TimesNewRomanPSMT"/>
          <w:szCs w:val="22"/>
          <w:u w:val="single"/>
          <w:lang w:eastAsia="en-GB"/>
        </w:rPr>
      </w:pPr>
      <w:r>
        <w:rPr>
          <w:rFonts w:ascii="TimesNewRomanPSMT" w:hAnsi="TimesNewRomanPSMT" w:cs="TimesNewRomanPSMT"/>
          <w:szCs w:val="22"/>
          <w:u w:val="single"/>
          <w:lang w:eastAsia="en-GB"/>
        </w:rPr>
        <w:t>Nyrefunktion</w:t>
      </w:r>
    </w:p>
    <w:p w:rsidR="00E65772" w:rsidRDefault="00E65772" w:rsidP="00E65772">
      <w:pPr>
        <w:autoSpaceDE w:val="0"/>
        <w:autoSpaceDN w:val="0"/>
        <w:adjustRightInd w:val="0"/>
        <w:ind w:left="851"/>
        <w:rPr>
          <w:rFonts w:ascii="TimesNewRomanPSMT" w:hAnsi="TimesNewRomanPSMT" w:cs="TimesNewRomanPSMT"/>
          <w:szCs w:val="22"/>
          <w:lang w:eastAsia="en-GB"/>
        </w:rPr>
      </w:pPr>
      <w:r>
        <w:rPr>
          <w:rFonts w:ascii="TimesNewRomanPSMT" w:hAnsi="TimesNewRomanPSMT" w:cs="TimesNewRomanPSMT"/>
          <w:szCs w:val="22"/>
          <w:lang w:eastAsia="en-GB"/>
        </w:rPr>
        <w:t>GFR bør vurderes inden behandlingsstart og regelmæssigt derefter, se pkt. 4.2. Metformin er kontraindiceret i patienter med GFR &lt; 30 ml/min, og behandlingen bør afbrydes midlertidigt ved tilstedeværelse af tilstande, der påvirker nyrefunktionen (se pkt. 4.3).</w:t>
      </w:r>
    </w:p>
    <w:p w:rsidR="00E65772" w:rsidRDefault="00E65772">
      <w:pPr>
        <w:rPr>
          <w:rFonts w:ascii="TimesNewRomanPSMT" w:hAnsi="TimesNewRomanPSMT" w:cs="TimesNewRomanPSMT"/>
          <w:szCs w:val="22"/>
          <w:lang w:eastAsia="en-GB"/>
        </w:rPr>
      </w:pPr>
      <w:r>
        <w:rPr>
          <w:rFonts w:ascii="TimesNewRomanPSMT" w:hAnsi="TimesNewRomanPSMT" w:cs="TimesNewRomanPSMT"/>
          <w:szCs w:val="22"/>
          <w:lang w:eastAsia="en-GB"/>
        </w:rPr>
        <w:br w:type="page"/>
      </w:r>
    </w:p>
    <w:p w:rsidR="00E65772" w:rsidRDefault="00E65772" w:rsidP="00E65772">
      <w:pPr>
        <w:autoSpaceDE w:val="0"/>
        <w:autoSpaceDN w:val="0"/>
        <w:adjustRightInd w:val="0"/>
        <w:ind w:left="851"/>
        <w:rPr>
          <w:rFonts w:ascii="TimesNewRomanPSMT" w:hAnsi="TimesNewRomanPSMT" w:cs="TimesNewRomanPSMT"/>
          <w:szCs w:val="22"/>
          <w:lang w:eastAsia="en-GB"/>
        </w:rPr>
      </w:pPr>
    </w:p>
    <w:p w:rsidR="00E65772" w:rsidRDefault="00E65772" w:rsidP="00E65772">
      <w:pPr>
        <w:autoSpaceDE w:val="0"/>
        <w:autoSpaceDN w:val="0"/>
        <w:adjustRightInd w:val="0"/>
        <w:ind w:left="851"/>
        <w:rPr>
          <w:rFonts w:ascii="TimesNewRomanPSMT" w:hAnsi="TimesNewRomanPSMT" w:cs="TimesNewRomanPSMT"/>
          <w:szCs w:val="22"/>
          <w:u w:val="single"/>
          <w:lang w:eastAsia="en-GB"/>
        </w:rPr>
      </w:pPr>
      <w:r>
        <w:rPr>
          <w:rFonts w:ascii="TimesNewRomanPSMT" w:hAnsi="TimesNewRomanPSMT" w:cs="TimesNewRomanPSMT"/>
          <w:szCs w:val="22"/>
          <w:u w:val="single"/>
          <w:lang w:eastAsia="en-GB"/>
        </w:rPr>
        <w:t>Hjertefunktion</w:t>
      </w:r>
    </w:p>
    <w:p w:rsidR="00E65772" w:rsidRDefault="00E65772" w:rsidP="00E65772">
      <w:pPr>
        <w:autoSpaceDE w:val="0"/>
        <w:autoSpaceDN w:val="0"/>
        <w:adjustRightInd w:val="0"/>
        <w:ind w:left="851"/>
        <w:rPr>
          <w:rFonts w:ascii="TimesNewRomanPSMT" w:hAnsi="TimesNewRomanPSMT" w:cs="TimesNewRomanPSMT"/>
          <w:szCs w:val="22"/>
          <w:lang w:eastAsia="en-GB"/>
        </w:rPr>
      </w:pPr>
      <w:r>
        <w:rPr>
          <w:rFonts w:ascii="TimesNewRomanPSMT" w:hAnsi="TimesNewRomanPSMT" w:cs="TimesNewRomanPSMT"/>
          <w:szCs w:val="22"/>
          <w:lang w:eastAsia="en-GB"/>
        </w:rPr>
        <w:t>Patienter med hjertesvigt har større risiko for hypoksi og nyreinsufficiens. I patienter med stabilt kronisk hjertesvigt kan metformin anvendes med regelmæssig monitorering af hjerte- og nyrefunktionen.</w:t>
      </w:r>
    </w:p>
    <w:p w:rsidR="00E65772" w:rsidRDefault="00E65772" w:rsidP="00E65772">
      <w:pPr>
        <w:autoSpaceDE w:val="0"/>
        <w:autoSpaceDN w:val="0"/>
        <w:adjustRightInd w:val="0"/>
        <w:ind w:left="851"/>
        <w:rPr>
          <w:rFonts w:ascii="TimesNewRomanPSMT" w:hAnsi="TimesNewRomanPSMT" w:cs="TimesNewRomanPSMT"/>
          <w:szCs w:val="22"/>
          <w:lang w:eastAsia="en-GB"/>
        </w:rPr>
      </w:pPr>
    </w:p>
    <w:p w:rsidR="00E65772" w:rsidRDefault="00E65772" w:rsidP="00E65772">
      <w:pPr>
        <w:autoSpaceDE w:val="0"/>
        <w:autoSpaceDN w:val="0"/>
        <w:adjustRightInd w:val="0"/>
        <w:ind w:left="851"/>
        <w:rPr>
          <w:rFonts w:ascii="TimesNewRomanPSMT" w:hAnsi="TimesNewRomanPSMT" w:cs="TimesNewRomanPSMT"/>
          <w:szCs w:val="22"/>
          <w:lang w:eastAsia="en-GB"/>
        </w:rPr>
      </w:pPr>
      <w:r>
        <w:rPr>
          <w:rFonts w:ascii="TimesNewRomanPSMT" w:hAnsi="TimesNewRomanPSMT" w:cs="TimesNewRomanPSMT"/>
          <w:szCs w:val="22"/>
          <w:lang w:eastAsia="en-GB"/>
        </w:rPr>
        <w:t>For patienter med akut eller ustabilt hjertesvigt er metformin kontraindiceret (se pkt. 4.3).</w:t>
      </w:r>
    </w:p>
    <w:p w:rsidR="00E65772" w:rsidRDefault="00E65772" w:rsidP="00E65772">
      <w:pPr>
        <w:autoSpaceDE w:val="0"/>
        <w:autoSpaceDN w:val="0"/>
        <w:adjustRightInd w:val="0"/>
        <w:ind w:left="851"/>
        <w:rPr>
          <w:rFonts w:ascii="TimesNewRomanPSMT" w:hAnsi="TimesNewRomanPSMT" w:cs="TimesNewRomanPSMT"/>
          <w:szCs w:val="22"/>
          <w:lang w:eastAsia="en-GB"/>
        </w:rPr>
      </w:pPr>
    </w:p>
    <w:p w:rsidR="00E65772" w:rsidRDefault="00E65772" w:rsidP="00E65772">
      <w:pPr>
        <w:autoSpaceDE w:val="0"/>
        <w:autoSpaceDN w:val="0"/>
        <w:adjustRightInd w:val="0"/>
        <w:ind w:left="851"/>
        <w:rPr>
          <w:rFonts w:ascii="TimesNewRomanPSMT" w:hAnsi="TimesNewRomanPSMT" w:cs="TimesNewRomanPSMT"/>
          <w:szCs w:val="22"/>
          <w:u w:val="single"/>
          <w:lang w:eastAsia="en-GB"/>
        </w:rPr>
      </w:pPr>
      <w:r>
        <w:rPr>
          <w:rFonts w:ascii="TimesNewRomanPSMT" w:hAnsi="TimesNewRomanPSMT" w:cs="TimesNewRomanPSMT"/>
          <w:szCs w:val="22"/>
          <w:u w:val="single"/>
          <w:lang w:eastAsia="en-GB"/>
        </w:rPr>
        <w:t>Administration af iodholdige kontrastmidler</w:t>
      </w:r>
    </w:p>
    <w:p w:rsidR="00E65772" w:rsidRDefault="00E65772" w:rsidP="00E65772">
      <w:pPr>
        <w:autoSpaceDE w:val="0"/>
        <w:autoSpaceDN w:val="0"/>
        <w:adjustRightInd w:val="0"/>
        <w:ind w:left="851"/>
        <w:rPr>
          <w:rFonts w:ascii="TimesNewRomanPSMT" w:hAnsi="TimesNewRomanPSMT" w:cs="TimesNewRomanPSMT"/>
          <w:szCs w:val="22"/>
          <w:lang w:eastAsia="en-GB"/>
        </w:rPr>
      </w:pPr>
      <w:r>
        <w:rPr>
          <w:rFonts w:ascii="TimesNewRomanPSMT" w:hAnsi="TimesNewRomanPSMT" w:cs="TimesNewRomanPSMT"/>
          <w:szCs w:val="22"/>
          <w:lang w:eastAsia="en-GB"/>
        </w:rPr>
        <w:t>Intravaskulær administration af iodholdige kontraststoffer kan medføre kontrastindiceret nefropati, resulterende i akkumulation af metformin og en øget risiko for laktatacidose. Behandling med metformin bør afbrydes forud for eller på tidspunktet for en billeddiagnostisk procedure og først genoptages efter mindst 48 timer, forudsat at nyrefunktionen er blevet revurderet og fundet stabil, se pkt. 4.2 og 4.5.</w:t>
      </w:r>
    </w:p>
    <w:p w:rsidR="00E65772" w:rsidRDefault="00E65772" w:rsidP="00E65772">
      <w:pPr>
        <w:autoSpaceDE w:val="0"/>
        <w:autoSpaceDN w:val="0"/>
        <w:adjustRightInd w:val="0"/>
        <w:ind w:left="851"/>
        <w:rPr>
          <w:rFonts w:ascii="TimesNewRomanPSMT" w:hAnsi="TimesNewRomanPSMT" w:cs="TimesNewRomanPSMT"/>
          <w:szCs w:val="22"/>
          <w:lang w:eastAsia="en-GB"/>
        </w:rPr>
      </w:pPr>
    </w:p>
    <w:p w:rsidR="00E65772" w:rsidRDefault="00E65772" w:rsidP="00E65772">
      <w:pPr>
        <w:autoSpaceDE w:val="0"/>
        <w:autoSpaceDN w:val="0"/>
        <w:adjustRightInd w:val="0"/>
        <w:ind w:left="851"/>
        <w:rPr>
          <w:rFonts w:ascii="TimesNewRomanPSMT" w:hAnsi="TimesNewRomanPSMT" w:cs="TimesNewRomanPSMT"/>
          <w:szCs w:val="22"/>
          <w:u w:val="single"/>
          <w:lang w:eastAsia="en-GB"/>
        </w:rPr>
      </w:pPr>
      <w:r>
        <w:rPr>
          <w:rFonts w:ascii="TimesNewRomanPSMT" w:hAnsi="TimesNewRomanPSMT" w:cs="TimesNewRomanPSMT"/>
          <w:szCs w:val="22"/>
          <w:u w:val="single"/>
          <w:lang w:eastAsia="en-GB"/>
        </w:rPr>
        <w:t>Kirurgi</w:t>
      </w:r>
    </w:p>
    <w:p w:rsidR="00E65772" w:rsidRDefault="00E65772" w:rsidP="00E65772">
      <w:pPr>
        <w:autoSpaceDE w:val="0"/>
        <w:autoSpaceDN w:val="0"/>
        <w:adjustRightInd w:val="0"/>
        <w:ind w:left="851"/>
        <w:rPr>
          <w:rFonts w:ascii="TimesNewRomanPSMT" w:hAnsi="TimesNewRomanPSMT" w:cs="TimesNewRomanPSMT"/>
          <w:szCs w:val="22"/>
          <w:lang w:eastAsia="en-GB"/>
        </w:rPr>
      </w:pPr>
      <w:r>
        <w:rPr>
          <w:rFonts w:ascii="TimesNewRomanPSMT" w:hAnsi="TimesNewRomanPSMT" w:cs="TimesNewRomanPSMT"/>
          <w:szCs w:val="22"/>
          <w:lang w:eastAsia="en-GB"/>
        </w:rPr>
        <w:t>Behandling med metformin skal afbrydes på tidspunktet for kirurgi under generel, spinal eller epidural anæstesi. Behandling må tidligst genoptages 48 timer efter kirurgi eller genoptagelse af oral ernæring og under forudsætning af, at nyrefunktionen er blevet revurderet og fundet stabil.</w:t>
      </w:r>
    </w:p>
    <w:p w:rsidR="00E65772" w:rsidRDefault="00E65772" w:rsidP="00E65772">
      <w:pPr>
        <w:autoSpaceDE w:val="0"/>
        <w:autoSpaceDN w:val="0"/>
        <w:adjustRightInd w:val="0"/>
        <w:ind w:left="851"/>
        <w:rPr>
          <w:rFonts w:ascii="TimesNewRomanPSMT" w:hAnsi="TimesNewRomanPSMT" w:cs="TimesNewRomanPSMT"/>
          <w:szCs w:val="22"/>
          <w:lang w:eastAsia="en-GB"/>
        </w:rPr>
      </w:pPr>
    </w:p>
    <w:p w:rsidR="00E65772" w:rsidRDefault="00E65772" w:rsidP="00E65772">
      <w:pPr>
        <w:autoSpaceDE w:val="0"/>
        <w:autoSpaceDN w:val="0"/>
        <w:adjustRightInd w:val="0"/>
        <w:ind w:left="851"/>
        <w:rPr>
          <w:rFonts w:ascii="TimesNewRomanPSMT" w:hAnsi="TimesNewRomanPSMT" w:cs="TimesNewRomanPSMT"/>
          <w:szCs w:val="22"/>
          <w:u w:val="single"/>
          <w:lang w:eastAsia="en-GB"/>
        </w:rPr>
      </w:pPr>
      <w:r>
        <w:rPr>
          <w:rFonts w:ascii="TimesNewRomanPSMT" w:hAnsi="TimesNewRomanPSMT" w:cs="TimesNewRomanPSMT"/>
          <w:szCs w:val="22"/>
          <w:u w:val="single"/>
          <w:lang w:eastAsia="en-GB"/>
        </w:rPr>
        <w:t>Andre forholdsregler</w:t>
      </w:r>
    </w:p>
    <w:p w:rsidR="00E65772" w:rsidRDefault="00E65772" w:rsidP="00E65772">
      <w:pPr>
        <w:autoSpaceDE w:val="0"/>
        <w:autoSpaceDN w:val="0"/>
        <w:adjustRightInd w:val="0"/>
        <w:ind w:left="851"/>
        <w:rPr>
          <w:rFonts w:ascii="TimesNewRomanPSMT" w:hAnsi="TimesNewRomanPSMT" w:cs="TimesNewRomanPSMT"/>
          <w:szCs w:val="22"/>
          <w:lang w:eastAsia="en-GB"/>
        </w:rPr>
      </w:pPr>
      <w:r>
        <w:rPr>
          <w:rFonts w:ascii="TimesNewRomanPSMT" w:hAnsi="TimesNewRomanPSMT" w:cs="TimesNewRomanPSMT"/>
          <w:szCs w:val="22"/>
          <w:lang w:eastAsia="en-GB"/>
        </w:rPr>
        <w:t>Alle patienter bør fortsætte deres diæt med en regelmæssig fordeling af kulhydratindtagelse i løbet af dagen. Overvægtige patienter bør fortsætte deres energibegrænsede diæt.</w:t>
      </w:r>
    </w:p>
    <w:p w:rsidR="00E65772" w:rsidRDefault="00E65772" w:rsidP="00E65772">
      <w:pPr>
        <w:autoSpaceDE w:val="0"/>
        <w:autoSpaceDN w:val="0"/>
        <w:adjustRightInd w:val="0"/>
        <w:ind w:left="851"/>
        <w:rPr>
          <w:rFonts w:ascii="TimesNewRomanPSMT" w:hAnsi="TimesNewRomanPSMT" w:cs="TimesNewRomanPSMT"/>
          <w:szCs w:val="22"/>
          <w:lang w:eastAsia="en-GB"/>
        </w:rPr>
      </w:pPr>
    </w:p>
    <w:p w:rsidR="00E65772" w:rsidRDefault="00E65772" w:rsidP="00E65772">
      <w:pPr>
        <w:autoSpaceDE w:val="0"/>
        <w:autoSpaceDN w:val="0"/>
        <w:adjustRightInd w:val="0"/>
        <w:ind w:left="851"/>
        <w:rPr>
          <w:rFonts w:ascii="TimesNewRomanPSMT" w:hAnsi="TimesNewRomanPSMT" w:cs="TimesNewRomanPSMT"/>
          <w:szCs w:val="22"/>
          <w:lang w:eastAsia="en-GB"/>
        </w:rPr>
      </w:pPr>
      <w:r>
        <w:rPr>
          <w:rFonts w:ascii="TimesNewRomanPSMT" w:hAnsi="TimesNewRomanPSMT" w:cs="TimesNewRomanPSMT"/>
          <w:szCs w:val="22"/>
          <w:lang w:eastAsia="en-GB"/>
        </w:rPr>
        <w:t>De sædvanlige laboratorieprøver for diabetesmonitorering bør udføres regelmæssigt.</w:t>
      </w:r>
    </w:p>
    <w:p w:rsidR="00E65772" w:rsidRDefault="00E65772" w:rsidP="00E65772">
      <w:pPr>
        <w:autoSpaceDE w:val="0"/>
        <w:autoSpaceDN w:val="0"/>
        <w:adjustRightInd w:val="0"/>
        <w:ind w:left="851"/>
        <w:rPr>
          <w:rFonts w:ascii="TimesNewRomanPSMT" w:hAnsi="TimesNewRomanPSMT" w:cs="TimesNewRomanPSMT"/>
          <w:szCs w:val="22"/>
          <w:lang w:eastAsia="en-GB"/>
        </w:rPr>
      </w:pPr>
    </w:p>
    <w:p w:rsidR="00E65772" w:rsidRDefault="00E65772" w:rsidP="00E65772">
      <w:pPr>
        <w:autoSpaceDE w:val="0"/>
        <w:autoSpaceDN w:val="0"/>
        <w:adjustRightInd w:val="0"/>
        <w:ind w:left="851"/>
        <w:rPr>
          <w:rFonts w:ascii="TimesNewRomanPSMT" w:hAnsi="TimesNewRomanPSMT" w:cs="TimesNewRomanPSMT"/>
          <w:szCs w:val="22"/>
          <w:lang w:eastAsia="en-GB"/>
        </w:rPr>
      </w:pPr>
      <w:r>
        <w:rPr>
          <w:rFonts w:ascii="TimesNewRomanPSMT" w:hAnsi="TimesNewRomanPSMT" w:cs="TimesNewRomanPSMT"/>
          <w:szCs w:val="22"/>
          <w:lang w:eastAsia="en-GB"/>
        </w:rPr>
        <w:t>Metformin alene forårsager ikke hypoglykæmi, men der rådes til forsigtighed, når det anvendes i kombination med insulin eller andre orale antidiabetika (f.eks. sulfonylurinstoffer eller meglitinider).</w:t>
      </w:r>
    </w:p>
    <w:p w:rsidR="00E65772" w:rsidRDefault="00E65772" w:rsidP="00E65772">
      <w:pPr>
        <w:autoSpaceDE w:val="0"/>
        <w:autoSpaceDN w:val="0"/>
        <w:adjustRightInd w:val="0"/>
        <w:ind w:left="851"/>
        <w:rPr>
          <w:rFonts w:ascii="TimesNewRomanPSMT" w:hAnsi="TimesNewRomanPSMT" w:cs="TimesNewRomanPSMT"/>
          <w:szCs w:val="22"/>
          <w:lang w:eastAsia="en-GB"/>
        </w:rPr>
      </w:pPr>
    </w:p>
    <w:p w:rsidR="00E65772" w:rsidRDefault="00E65772" w:rsidP="00E65772">
      <w:pPr>
        <w:autoSpaceDE w:val="0"/>
        <w:autoSpaceDN w:val="0"/>
        <w:adjustRightInd w:val="0"/>
        <w:ind w:left="851"/>
        <w:rPr>
          <w:rFonts w:ascii="TimesNewRomanPSMT" w:hAnsi="TimesNewRomanPSMT" w:cs="TimesNewRomanPSMT"/>
          <w:szCs w:val="22"/>
          <w:lang w:eastAsia="en-GB"/>
        </w:rPr>
      </w:pPr>
      <w:r>
        <w:rPr>
          <w:rFonts w:ascii="TimesNewRomanPSMT" w:hAnsi="TimesNewRomanPSMT" w:cs="TimesNewRomanPSMT"/>
          <w:szCs w:val="22"/>
          <w:lang w:eastAsia="en-GB"/>
        </w:rPr>
        <w:t>Tabletskallerne kan forefindes i afføringen. Det anbefales, at patienterne informeres om, at dette er normalt.</w:t>
      </w:r>
    </w:p>
    <w:p w:rsidR="00E65772" w:rsidRDefault="00E65772" w:rsidP="00E65772"/>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65772" w:rsidRDefault="00E65772" w:rsidP="005E4840">
      <w:pPr>
        <w:ind w:left="851"/>
        <w:rPr>
          <w:sz w:val="22"/>
        </w:rPr>
      </w:pPr>
    </w:p>
    <w:p w:rsidR="00E65772" w:rsidRDefault="00E65772" w:rsidP="005E4840">
      <w:pPr>
        <w:ind w:left="851"/>
        <w:rPr>
          <w:u w:val="single"/>
        </w:rPr>
      </w:pPr>
      <w:r>
        <w:rPr>
          <w:u w:val="single"/>
        </w:rPr>
        <w:t xml:space="preserve">Samtidig brug frarådes </w:t>
      </w:r>
    </w:p>
    <w:p w:rsidR="00E65772" w:rsidRDefault="00E65772" w:rsidP="005E4840">
      <w:pPr>
        <w:ind w:left="851"/>
      </w:pPr>
      <w:r>
        <w:tab/>
      </w:r>
    </w:p>
    <w:p w:rsidR="00E65772" w:rsidRPr="005E4840" w:rsidRDefault="00E65772" w:rsidP="005E4840">
      <w:pPr>
        <w:ind w:left="851"/>
        <w:rPr>
          <w:i/>
          <w:iCs/>
        </w:rPr>
      </w:pPr>
      <w:r w:rsidRPr="005E4840">
        <w:rPr>
          <w:i/>
          <w:iCs/>
        </w:rPr>
        <w:t>Alkohol</w:t>
      </w:r>
    </w:p>
    <w:p w:rsidR="00E65772" w:rsidRDefault="00E65772" w:rsidP="005E4840">
      <w:pPr>
        <w:ind w:left="851"/>
      </w:pPr>
      <w:r>
        <w:t>Alkoholintoksikation er forbundet med en øget risiko for laktatacidose, især i tilfælde af faste, fejlernæring eller leverinsufficiens.</w:t>
      </w:r>
    </w:p>
    <w:p w:rsidR="00E65772" w:rsidRDefault="00E65772" w:rsidP="005E4840">
      <w:pPr>
        <w:ind w:left="851"/>
      </w:pPr>
    </w:p>
    <w:p w:rsidR="00E65772" w:rsidRPr="005E4840" w:rsidRDefault="00E65772" w:rsidP="005E4840">
      <w:pPr>
        <w:ind w:left="851"/>
        <w:rPr>
          <w:i/>
          <w:iCs/>
        </w:rPr>
      </w:pPr>
      <w:r w:rsidRPr="005E4840">
        <w:rPr>
          <w:i/>
          <w:iCs/>
        </w:rPr>
        <w:t xml:space="preserve">Iodholdige kontraststoffer </w:t>
      </w:r>
    </w:p>
    <w:p w:rsidR="00E65772" w:rsidRDefault="00E65772" w:rsidP="005E4840">
      <w:pPr>
        <w:ind w:left="851"/>
      </w:pPr>
      <w:r>
        <w:t>Behandling med metformin skal afbrydes forud for eller på tidspunktet for billeddiagnostiske procedurer og først genoptages mindst 48 timer herefter, forudsat at nyrefunktionen er blevet revurderet og fundet stabil, se pkt. 4.2 og 4.4.</w:t>
      </w:r>
    </w:p>
    <w:p w:rsidR="00E65772" w:rsidRDefault="00E65772" w:rsidP="005E4840">
      <w:pPr>
        <w:ind w:left="851"/>
      </w:pPr>
    </w:p>
    <w:p w:rsidR="00E65772" w:rsidRDefault="00E65772" w:rsidP="005E4840">
      <w:pPr>
        <w:ind w:left="851"/>
        <w:rPr>
          <w:u w:val="single"/>
        </w:rPr>
      </w:pPr>
      <w:r>
        <w:rPr>
          <w:u w:val="single"/>
        </w:rPr>
        <w:t xml:space="preserve">Kombinationer, der kræver forsigtighed </w:t>
      </w:r>
    </w:p>
    <w:p w:rsidR="00E65772" w:rsidRDefault="00E65772" w:rsidP="005E4840">
      <w:pPr>
        <w:ind w:left="851"/>
      </w:pPr>
      <w:r>
        <w:t>Nogle lægemidler kan påvirke nyrefunktionen negativt og kan øge risikoen for lactacidose, f.eks NSAID'er, herunder selektive cyclooxygenase (COX) II-hæmmere, ACE-hæmmere, angiotensin II-receptorantagonister og diuretika, især loop-diuretika. Ved start eller under behandling med sådanne produkter i kombination med metformin, er nøje overvågning af nyrefunktionen nødvendig.</w:t>
      </w:r>
    </w:p>
    <w:p w:rsidR="00E65772" w:rsidRDefault="00E65772" w:rsidP="005E4840">
      <w:pPr>
        <w:ind w:left="851"/>
      </w:pPr>
    </w:p>
    <w:p w:rsidR="00E65772" w:rsidRDefault="00E65772" w:rsidP="005E4840">
      <w:pPr>
        <w:ind w:left="851"/>
      </w:pPr>
      <w:r>
        <w:t>Lægemidler med indbygget hyperglykæmisk virkning (såsom glukokortikoider (systemiske og lokale) og sympatomimetika). Det kan være nødvendigt at udføre hyppigere blodsukkermonitorering, især i begyndelsen af behandlingen. Om nødvendigt justeres doseringen af metformin under behandlingen med de respektive lægemidler og ved deres seponering.</w:t>
      </w:r>
    </w:p>
    <w:p w:rsidR="00E65772" w:rsidRDefault="00E65772" w:rsidP="005E4840">
      <w:pPr>
        <w:ind w:left="851"/>
      </w:pPr>
    </w:p>
    <w:p w:rsidR="00E65772" w:rsidRDefault="00E65772" w:rsidP="005E4840">
      <w:pPr>
        <w:ind w:left="851"/>
        <w:rPr>
          <w:i/>
          <w:iCs/>
        </w:rPr>
      </w:pPr>
      <w:r>
        <w:rPr>
          <w:i/>
          <w:iCs/>
        </w:rPr>
        <w:t>Organiske kationtransportører (OCT)</w:t>
      </w:r>
    </w:p>
    <w:p w:rsidR="00E65772" w:rsidRDefault="00E65772" w:rsidP="005E4840">
      <w:pPr>
        <w:ind w:left="851"/>
      </w:pPr>
      <w:r>
        <w:t>Metformin er et substrat af de to transportører OCT1 and OCT2.</w:t>
      </w:r>
    </w:p>
    <w:p w:rsidR="00E65772" w:rsidRDefault="00E65772" w:rsidP="005E4840">
      <w:pPr>
        <w:ind w:left="851"/>
      </w:pPr>
      <w:r>
        <w:t>Samtidig administration af metformin med</w:t>
      </w:r>
    </w:p>
    <w:p w:rsidR="00E65772" w:rsidRDefault="00E65772" w:rsidP="005E4840">
      <w:pPr>
        <w:pStyle w:val="Listeafsnit"/>
        <w:numPr>
          <w:ilvl w:val="2"/>
          <w:numId w:val="8"/>
        </w:numPr>
        <w:ind w:left="1134" w:hanging="283"/>
      </w:pPr>
      <w:r>
        <w:t>OCT1-hæmmere (såsom verapamil) kan nedsætte virkningen af metformin.</w:t>
      </w:r>
    </w:p>
    <w:p w:rsidR="00E65772" w:rsidRDefault="00E65772" w:rsidP="005E4840">
      <w:pPr>
        <w:pStyle w:val="Listeafsnit"/>
        <w:numPr>
          <w:ilvl w:val="2"/>
          <w:numId w:val="8"/>
        </w:numPr>
        <w:ind w:left="1134" w:hanging="283"/>
        <w:jc w:val="both"/>
      </w:pPr>
      <w:r>
        <w:t>OCT1-induktorer (såsom rifampicin) kan øge den gastrointestinale absorption og virkningen af metformin.</w:t>
      </w:r>
    </w:p>
    <w:p w:rsidR="00E65772" w:rsidRDefault="00E65772" w:rsidP="005E4840">
      <w:pPr>
        <w:pStyle w:val="Listeafsnit"/>
        <w:numPr>
          <w:ilvl w:val="2"/>
          <w:numId w:val="8"/>
        </w:numPr>
        <w:ind w:left="1134" w:hanging="283"/>
      </w:pPr>
      <w:r>
        <w:t>OCT2-hæmmere (såsom cimetidin, dolutegravir, ranolazin, trimethoprim, vandetanib, isavuconazol) kan nedsætte nyrernes udskillelse af metformin og muligt medføre øgede plasmakoncentrationer af metformin.</w:t>
      </w:r>
    </w:p>
    <w:p w:rsidR="00E65772" w:rsidRDefault="00E65772" w:rsidP="005E4840">
      <w:pPr>
        <w:pStyle w:val="Listeafsnit"/>
        <w:numPr>
          <w:ilvl w:val="2"/>
          <w:numId w:val="8"/>
        </w:numPr>
        <w:ind w:left="1134" w:hanging="283"/>
      </w:pPr>
      <w:r>
        <w:t>Hæmmere af både OCT1 og OCT2 (såsom crizotinib og olaparib) kan ændre effektiviteten og nyrernes udskillelse af metformin.</w:t>
      </w:r>
    </w:p>
    <w:p w:rsidR="00E65772" w:rsidRDefault="00E65772" w:rsidP="005E4840">
      <w:pPr>
        <w:ind w:left="851"/>
      </w:pPr>
      <w:r>
        <w:t>Der bør derfor udvises forsigtighed, især i patienter med nedsat nyrefunktion, når disse lægemidler administreres sammen med metformin, da plasmakoncentrationerne af metformin kan forøges. Hvis nødvendigt kan dosisjustering af metformin overvejes, da OCT-hæmmere/-induktorer kan ændre virkningen af metformin.</w:t>
      </w:r>
    </w:p>
    <w:p w:rsidR="009260DE" w:rsidRPr="00C84483" w:rsidRDefault="009260DE" w:rsidP="005E484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u w:val="single"/>
        </w:rPr>
      </w:pPr>
      <w:r w:rsidRPr="00207FEA">
        <w:rPr>
          <w:sz w:val="24"/>
          <w:szCs w:val="24"/>
          <w:u w:val="single"/>
        </w:rPr>
        <w:t>Graviditet</w:t>
      </w:r>
    </w:p>
    <w:p w:rsidR="00207FEA" w:rsidRPr="00207FEA" w:rsidRDefault="00207FEA" w:rsidP="00207FEA">
      <w:pPr>
        <w:tabs>
          <w:tab w:val="left" w:pos="851"/>
        </w:tabs>
        <w:ind w:left="851"/>
        <w:rPr>
          <w:sz w:val="24"/>
          <w:szCs w:val="24"/>
        </w:rPr>
      </w:pPr>
      <w:r w:rsidRPr="00207FEA">
        <w:rPr>
          <w:sz w:val="24"/>
          <w:szCs w:val="24"/>
        </w:rPr>
        <w:t xml:space="preserve">Ukontrolleret diabetes under graviditeten (svangerskabsdiabetes eller permanent diabetes) er forbundet med en øget risiko for medfødte misdannelser og perinatal mortalitet. </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De begrænsede data, der er indsamlet i forbindelse med brug af metformin i gravide kvinder, viser ingen øget risiko for medfødte misdannelser. Der er ikke påvist skadelige virkninger for graviditet, embryonal eller fosterudvikling, fødslen eller den postnatale udvikling i forbindelse med dyreforsøg. (Se pkt. 5.3).</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Når patienten planlægger at blive gravid og under graviditet, anbefales det, at diabetes ikke behandles med metformin, men med insulin til at fastholde blodsukkerniveauer, der er så nær de normale som muligt for at nedsætte risikoen for føtale misdannelser.</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u w:val="single"/>
        </w:rPr>
      </w:pPr>
      <w:r w:rsidRPr="00207FEA">
        <w:rPr>
          <w:sz w:val="24"/>
          <w:szCs w:val="24"/>
          <w:u w:val="single"/>
        </w:rPr>
        <w:t>Amning</w:t>
      </w:r>
    </w:p>
    <w:p w:rsidR="00207FEA" w:rsidRPr="00207FEA" w:rsidRDefault="00207FEA" w:rsidP="00207FEA">
      <w:pPr>
        <w:tabs>
          <w:tab w:val="left" w:pos="851"/>
        </w:tabs>
        <w:ind w:left="851"/>
        <w:rPr>
          <w:sz w:val="24"/>
          <w:szCs w:val="24"/>
        </w:rPr>
      </w:pPr>
      <w:r w:rsidRPr="00207FEA">
        <w:rPr>
          <w:sz w:val="24"/>
          <w:szCs w:val="24"/>
        </w:rPr>
        <w:t xml:space="preserve">Metformin udskilles i modermælken. Der er ikke set nogen bivirkninger i ammede nyfødte/spædbørn. Da der kun foreligger begrænsede data, frarådes det dog at amme under behandlingen med metformin. Det bør besluttes, om amningen skal afbrydes på baggrund af en opvejning af fordelene ved amning og den mulige risiko for bivirkninger i barnet. </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u w:val="single"/>
        </w:rPr>
      </w:pPr>
      <w:r w:rsidRPr="00207FEA">
        <w:rPr>
          <w:sz w:val="24"/>
          <w:szCs w:val="24"/>
          <w:u w:val="single"/>
        </w:rPr>
        <w:t>Fertilitet</w:t>
      </w:r>
    </w:p>
    <w:p w:rsidR="00207FEA" w:rsidRPr="00207FEA" w:rsidRDefault="00207FEA" w:rsidP="00207FEA">
      <w:pPr>
        <w:tabs>
          <w:tab w:val="left" w:pos="851"/>
        </w:tabs>
        <w:ind w:left="851"/>
        <w:rPr>
          <w:sz w:val="24"/>
          <w:szCs w:val="24"/>
        </w:rPr>
      </w:pPr>
      <w:r w:rsidRPr="00207FEA">
        <w:rPr>
          <w:sz w:val="24"/>
          <w:szCs w:val="24"/>
        </w:rPr>
        <w:t>Fertiliteten hos han- og hunrotter påvirkes ikke af metformin, når det gives i doser op til 600 mg/kg/dag, hvilket er tre gange den maximale anbefalede humane døgndosis baseret på kropsoverflade sammenligninger.</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Nogle kliniske undersøgelser indikerer, at metformin kan øge ægløsningen hos kvinder med polycystick ovariesyndrom (PCOS). Der er dog ikke evidens til dato for, at metformin øger antallet af levendefødsler hos kvinder med PCOS.</w:t>
      </w:r>
    </w:p>
    <w:p w:rsidR="00207FEA" w:rsidRPr="00207FEA" w:rsidRDefault="00207FEA" w:rsidP="00207FE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207FEA" w:rsidRPr="00207FEA" w:rsidRDefault="00207FEA" w:rsidP="00207FEA">
      <w:pPr>
        <w:tabs>
          <w:tab w:val="left" w:pos="851"/>
        </w:tabs>
        <w:ind w:left="851"/>
        <w:rPr>
          <w:sz w:val="24"/>
          <w:szCs w:val="24"/>
        </w:rPr>
      </w:pPr>
      <w:r w:rsidRPr="00207FEA">
        <w:rPr>
          <w:sz w:val="24"/>
          <w:szCs w:val="24"/>
        </w:rPr>
        <w:t>Ikke mærkning.</w:t>
      </w:r>
    </w:p>
    <w:p w:rsidR="00207FEA" w:rsidRPr="00207FEA" w:rsidRDefault="00207FEA" w:rsidP="00207FEA">
      <w:pPr>
        <w:tabs>
          <w:tab w:val="left" w:pos="851"/>
        </w:tabs>
        <w:ind w:left="851"/>
        <w:rPr>
          <w:sz w:val="24"/>
          <w:szCs w:val="24"/>
        </w:rPr>
      </w:pPr>
      <w:r w:rsidRPr="00207FEA">
        <w:rPr>
          <w:sz w:val="24"/>
          <w:szCs w:val="24"/>
        </w:rPr>
        <w:t>Monoterapi med metformin forårsager ikke hypoglykæmi og påvirker derfor ikke evnen til at føre motorkøretøj eller betjene maskiner. Patienterne bør dog advares om risikoen for hypoglykæmi, når metformin bruges i kombination med andre antidiabetika (f.eks. sulfonylurinstoffer, insulin eller meglitinider).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207FEA" w:rsidRPr="00207FEA" w:rsidRDefault="00207FEA" w:rsidP="00207FEA">
      <w:pPr>
        <w:tabs>
          <w:tab w:val="left" w:pos="851"/>
        </w:tabs>
        <w:ind w:left="851"/>
        <w:rPr>
          <w:sz w:val="24"/>
          <w:szCs w:val="24"/>
        </w:rPr>
      </w:pPr>
      <w:r w:rsidRPr="00207FEA">
        <w:rPr>
          <w:sz w:val="24"/>
          <w:szCs w:val="24"/>
        </w:rPr>
        <w:t>I data efter markedsføringsgodkendelse og i kontrollerede kliniske studier var bivirkningsrapporteringen i patienter, som blev behandlet med metformindepottabletter af lignende karakter og alvorlighed som de, der er rapporteret hos patienter, som behandles med metformintabletter med umiddelbar frigivelse.</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 xml:space="preserve">De mest almindelige bivirkninger ved behandlingsstart er kvalme, opkastning, diarre, abdominalsmerter og appetitløshed, som forsvinder spontant i de fleste tilfælde. </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 xml:space="preserve">Følgende bivirkninger kan forekomme under behandling med metformin. </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u w:val="single"/>
        </w:rPr>
      </w:pPr>
      <w:r w:rsidRPr="00207FEA">
        <w:rPr>
          <w:sz w:val="24"/>
          <w:szCs w:val="24"/>
          <w:u w:val="single"/>
        </w:rPr>
        <w:t xml:space="preserve">Frekvenserne er defineret på følgende måde: </w:t>
      </w:r>
    </w:p>
    <w:p w:rsidR="00207FEA" w:rsidRPr="00207FEA" w:rsidRDefault="00207FEA" w:rsidP="00207FEA">
      <w:pPr>
        <w:tabs>
          <w:tab w:val="left" w:pos="851"/>
        </w:tabs>
        <w:ind w:left="851"/>
        <w:rPr>
          <w:sz w:val="24"/>
          <w:szCs w:val="24"/>
        </w:rPr>
      </w:pPr>
      <w:r w:rsidRPr="00207FEA">
        <w:rPr>
          <w:sz w:val="24"/>
          <w:szCs w:val="24"/>
        </w:rPr>
        <w:t>Meget almindelig (≥1/10), almindelig (≥1/100 til &lt;1/10), ikke almindelig (≥1/1.000 til &lt;1/100), sjælden (≥1/10.000 til &lt;1/1.000), meget sjælden (&lt;1/10.000).</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 xml:space="preserve">Indenfor hver frekvensgruppe præsenteres bivirkningerne efter faldende alvorlighedsgrad. </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u w:val="single"/>
        </w:rPr>
      </w:pPr>
      <w:r w:rsidRPr="00207FEA">
        <w:rPr>
          <w:sz w:val="24"/>
          <w:szCs w:val="24"/>
          <w:u w:val="single"/>
        </w:rPr>
        <w:t>Metabolisme og ernæring</w:t>
      </w:r>
    </w:p>
    <w:p w:rsidR="00207FEA" w:rsidRPr="00207FEA" w:rsidRDefault="00207FEA" w:rsidP="00207FEA">
      <w:pPr>
        <w:tabs>
          <w:tab w:val="left" w:pos="851"/>
        </w:tabs>
        <w:ind w:left="851"/>
        <w:rPr>
          <w:sz w:val="24"/>
          <w:szCs w:val="24"/>
        </w:rPr>
      </w:pPr>
      <w:r w:rsidRPr="00207FEA">
        <w:rPr>
          <w:i/>
          <w:iCs/>
          <w:sz w:val="24"/>
          <w:szCs w:val="24"/>
        </w:rPr>
        <w:t>Meget sjælden:</w:t>
      </w:r>
      <w:r w:rsidRPr="00207FEA">
        <w:rPr>
          <w:sz w:val="24"/>
          <w:szCs w:val="24"/>
        </w:rPr>
        <w:t xml:space="preserve"> Laktatacidose (se pkt. 4.4.)</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Ved langtidsbehandling med metformin ses nedsat absorption af B12-vitamin, hvilket medfører nedsat serumniveau. Denne ætiologi bør overvejes hos patienter med megaloblastær anæmi.</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u w:val="single"/>
        </w:rPr>
      </w:pPr>
      <w:r w:rsidRPr="00207FEA">
        <w:rPr>
          <w:sz w:val="24"/>
          <w:szCs w:val="24"/>
          <w:u w:val="single"/>
        </w:rPr>
        <w:t>Nervestystemet</w:t>
      </w:r>
    </w:p>
    <w:p w:rsidR="00207FEA" w:rsidRPr="00207FEA" w:rsidRDefault="00207FEA" w:rsidP="00207FEA">
      <w:pPr>
        <w:tabs>
          <w:tab w:val="left" w:pos="851"/>
        </w:tabs>
        <w:ind w:left="851"/>
        <w:rPr>
          <w:sz w:val="24"/>
          <w:szCs w:val="24"/>
        </w:rPr>
      </w:pPr>
      <w:r w:rsidRPr="00207FEA">
        <w:rPr>
          <w:i/>
          <w:iCs/>
          <w:sz w:val="24"/>
          <w:szCs w:val="24"/>
        </w:rPr>
        <w:t>Almindelig</w:t>
      </w:r>
      <w:r w:rsidRPr="00207FEA">
        <w:rPr>
          <w:sz w:val="24"/>
          <w:szCs w:val="24"/>
        </w:rPr>
        <w:t>: Smagsforstyrrelser.</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u w:val="single"/>
        </w:rPr>
      </w:pPr>
      <w:r w:rsidRPr="00207FEA">
        <w:rPr>
          <w:sz w:val="24"/>
          <w:szCs w:val="24"/>
          <w:u w:val="single"/>
        </w:rPr>
        <w:t>Mave-tarm-kanalen</w:t>
      </w:r>
    </w:p>
    <w:p w:rsidR="00207FEA" w:rsidRPr="00207FEA" w:rsidRDefault="00207FEA" w:rsidP="00207FEA">
      <w:pPr>
        <w:tabs>
          <w:tab w:val="left" w:pos="851"/>
        </w:tabs>
        <w:ind w:left="851"/>
        <w:rPr>
          <w:sz w:val="24"/>
          <w:szCs w:val="24"/>
        </w:rPr>
      </w:pPr>
      <w:r w:rsidRPr="00207FEA">
        <w:rPr>
          <w:i/>
          <w:iCs/>
          <w:sz w:val="24"/>
          <w:szCs w:val="24"/>
        </w:rPr>
        <w:t>Meget almindelig:</w:t>
      </w:r>
      <w:r w:rsidRPr="00207FEA">
        <w:rPr>
          <w:sz w:val="24"/>
          <w:szCs w:val="24"/>
        </w:rPr>
        <w:t xml:space="preserve"> Gastrointestinale forstyrrelser såsom kvalme, opkastning, diarré, abdominalsmerter og appetitløshed. Disse bivirkninger optræder hyppigst ved behandlingsstart og forsvinder spontant i de fleste tilfælde. Langsom øgning af dosis kan også forbedre den gastrointestinale tolerabilitet.</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u w:val="single"/>
        </w:rPr>
      </w:pPr>
      <w:r w:rsidRPr="00207FEA">
        <w:rPr>
          <w:sz w:val="24"/>
          <w:szCs w:val="24"/>
          <w:u w:val="single"/>
        </w:rPr>
        <w:t>Lever og galdeveje</w:t>
      </w:r>
    </w:p>
    <w:p w:rsidR="00207FEA" w:rsidRPr="00207FEA" w:rsidRDefault="00207FEA" w:rsidP="00207FEA">
      <w:pPr>
        <w:tabs>
          <w:tab w:val="left" w:pos="851"/>
        </w:tabs>
        <w:ind w:left="851"/>
        <w:rPr>
          <w:sz w:val="24"/>
          <w:szCs w:val="24"/>
        </w:rPr>
      </w:pPr>
      <w:r w:rsidRPr="00207FEA">
        <w:rPr>
          <w:i/>
          <w:iCs/>
          <w:sz w:val="24"/>
          <w:szCs w:val="24"/>
        </w:rPr>
        <w:t xml:space="preserve">Meget sjælden: </w:t>
      </w:r>
      <w:r w:rsidRPr="00207FEA">
        <w:rPr>
          <w:sz w:val="24"/>
          <w:szCs w:val="24"/>
        </w:rPr>
        <w:t>Der er enkeltstående rapporter om abnormalitet i leverfunktionstests eller hepatitis, som aftager ved seponering af behandlingen med metformin.</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u w:val="single"/>
        </w:rPr>
      </w:pPr>
      <w:r w:rsidRPr="00207FEA">
        <w:rPr>
          <w:sz w:val="24"/>
          <w:szCs w:val="24"/>
          <w:u w:val="single"/>
        </w:rPr>
        <w:t>Hud og subkutane væv</w:t>
      </w:r>
    </w:p>
    <w:p w:rsidR="00207FEA" w:rsidRPr="00207FEA" w:rsidRDefault="00207FEA" w:rsidP="00207FEA">
      <w:pPr>
        <w:tabs>
          <w:tab w:val="left" w:pos="851"/>
        </w:tabs>
        <w:ind w:left="851"/>
        <w:rPr>
          <w:i/>
          <w:iCs/>
          <w:sz w:val="24"/>
          <w:szCs w:val="24"/>
        </w:rPr>
      </w:pPr>
      <w:r w:rsidRPr="00207FEA">
        <w:rPr>
          <w:i/>
          <w:iCs/>
          <w:sz w:val="24"/>
          <w:szCs w:val="24"/>
        </w:rPr>
        <w:t>Meget sjælden:</w:t>
      </w:r>
      <w:r w:rsidRPr="00207FEA">
        <w:rPr>
          <w:sz w:val="24"/>
          <w:szCs w:val="24"/>
        </w:rPr>
        <w:t xml:space="preserve"> Hudreaktioner som erytem, pruritus og urticaria.</w:t>
      </w:r>
    </w:p>
    <w:p w:rsidR="00207FEA" w:rsidRPr="00207FEA" w:rsidRDefault="00207FEA" w:rsidP="00207FEA">
      <w:pPr>
        <w:tabs>
          <w:tab w:val="left" w:pos="851"/>
        </w:tabs>
        <w:ind w:left="851"/>
        <w:rPr>
          <w:i/>
          <w:sz w:val="24"/>
          <w:szCs w:val="24"/>
        </w:rPr>
      </w:pPr>
    </w:p>
    <w:p w:rsidR="00207FEA" w:rsidRPr="00207FEA" w:rsidRDefault="00207FEA" w:rsidP="00207FEA">
      <w:pPr>
        <w:tabs>
          <w:tab w:val="left" w:pos="851"/>
        </w:tabs>
        <w:ind w:left="851"/>
        <w:rPr>
          <w:sz w:val="24"/>
          <w:szCs w:val="24"/>
          <w:u w:val="single"/>
        </w:rPr>
      </w:pPr>
      <w:r w:rsidRPr="00207FEA">
        <w:rPr>
          <w:sz w:val="24"/>
          <w:szCs w:val="24"/>
          <w:u w:val="single"/>
        </w:rPr>
        <w:t>Indberetning af formodede bivirkninger</w:t>
      </w:r>
    </w:p>
    <w:p w:rsidR="00207FEA" w:rsidRPr="00207FEA" w:rsidRDefault="00207FEA" w:rsidP="00207FEA">
      <w:pPr>
        <w:tabs>
          <w:tab w:val="left" w:pos="851"/>
        </w:tabs>
        <w:ind w:left="851"/>
        <w:rPr>
          <w:sz w:val="24"/>
          <w:szCs w:val="24"/>
        </w:rPr>
      </w:pPr>
      <w:r w:rsidRPr="00207FEA">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Lægemiddelstyrelsen</w:t>
      </w:r>
    </w:p>
    <w:p w:rsidR="00207FEA" w:rsidRPr="00207FEA" w:rsidRDefault="00207FEA" w:rsidP="00207FEA">
      <w:pPr>
        <w:tabs>
          <w:tab w:val="left" w:pos="851"/>
        </w:tabs>
        <w:ind w:left="851"/>
        <w:rPr>
          <w:sz w:val="24"/>
          <w:szCs w:val="24"/>
        </w:rPr>
      </w:pPr>
      <w:r w:rsidRPr="00207FEA">
        <w:rPr>
          <w:sz w:val="24"/>
          <w:szCs w:val="24"/>
        </w:rPr>
        <w:t>Axel Heides Gade 1</w:t>
      </w:r>
    </w:p>
    <w:p w:rsidR="00207FEA" w:rsidRPr="00207FEA" w:rsidRDefault="00207FEA" w:rsidP="00207FEA">
      <w:pPr>
        <w:tabs>
          <w:tab w:val="left" w:pos="851"/>
        </w:tabs>
        <w:ind w:left="851"/>
        <w:rPr>
          <w:sz w:val="24"/>
          <w:szCs w:val="24"/>
        </w:rPr>
      </w:pPr>
      <w:r w:rsidRPr="00207FEA">
        <w:rPr>
          <w:sz w:val="24"/>
          <w:szCs w:val="24"/>
        </w:rPr>
        <w:t>DK-2300 København S</w:t>
      </w:r>
    </w:p>
    <w:p w:rsidR="00207FEA" w:rsidRPr="00207FEA" w:rsidRDefault="00207FEA" w:rsidP="00207FEA">
      <w:pPr>
        <w:tabs>
          <w:tab w:val="left" w:pos="851"/>
        </w:tabs>
        <w:ind w:left="851"/>
        <w:rPr>
          <w:sz w:val="24"/>
          <w:szCs w:val="24"/>
        </w:rPr>
      </w:pPr>
      <w:r w:rsidRPr="00207FEA">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207FEA" w:rsidRPr="00207FEA" w:rsidRDefault="00207FEA" w:rsidP="00207FEA">
      <w:pPr>
        <w:ind w:left="851"/>
        <w:rPr>
          <w:noProof/>
          <w:sz w:val="24"/>
          <w:szCs w:val="24"/>
        </w:rPr>
      </w:pPr>
      <w:r w:rsidRPr="00207FEA">
        <w:rPr>
          <w:noProof/>
          <w:sz w:val="24"/>
          <w:szCs w:val="24"/>
        </w:rPr>
        <w:t>Der er ikke konstateret hypoglykæmi med metforminhydrochlorid doser på op til 85 g, selvom der er opstået laktatacidose under sådanne omstændigheder. Store overdoser af metformin eller samtidige risici kan medføre laktatacidose. Laktatacidose er en akut situation og skal behandles på et hospital. Den mest effektive metode til fjernelse af laktat og metformin er hæmodialyse.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207FEA"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207FEA" w:rsidRPr="00207FEA" w:rsidRDefault="00207FEA" w:rsidP="00207FEA">
      <w:pPr>
        <w:tabs>
          <w:tab w:val="left" w:pos="851"/>
        </w:tabs>
        <w:ind w:left="851"/>
        <w:rPr>
          <w:bCs/>
          <w:sz w:val="24"/>
          <w:szCs w:val="24"/>
        </w:rPr>
      </w:pPr>
      <w:r w:rsidRPr="00207FEA">
        <w:rPr>
          <w:bCs/>
          <w:sz w:val="24"/>
          <w:szCs w:val="24"/>
        </w:rPr>
        <w:t>Farmakoterapeutisk klassifikation: Blodglucose sænkende midler, ekskl. insuliner,</w:t>
      </w:r>
    </w:p>
    <w:p w:rsidR="00207FEA" w:rsidRPr="00207FEA" w:rsidRDefault="00207FEA" w:rsidP="00207FEA">
      <w:pPr>
        <w:tabs>
          <w:tab w:val="left" w:pos="851"/>
        </w:tabs>
        <w:ind w:left="851"/>
        <w:rPr>
          <w:bCs/>
          <w:sz w:val="24"/>
          <w:szCs w:val="24"/>
        </w:rPr>
      </w:pPr>
      <w:r w:rsidRPr="00207FEA">
        <w:rPr>
          <w:bCs/>
          <w:sz w:val="24"/>
          <w:szCs w:val="24"/>
        </w:rPr>
        <w:t>ATC-kode: A10BA02.</w:t>
      </w:r>
    </w:p>
    <w:p w:rsidR="00207FEA" w:rsidRPr="00207FEA" w:rsidRDefault="00207FEA" w:rsidP="00207FEA">
      <w:pPr>
        <w:tabs>
          <w:tab w:val="left" w:pos="851"/>
        </w:tabs>
        <w:ind w:left="851"/>
        <w:rPr>
          <w:bCs/>
          <w:sz w:val="24"/>
          <w:szCs w:val="24"/>
        </w:rPr>
      </w:pPr>
    </w:p>
    <w:p w:rsidR="00207FEA" w:rsidRPr="00207FEA" w:rsidRDefault="00207FEA" w:rsidP="00207FEA">
      <w:pPr>
        <w:tabs>
          <w:tab w:val="left" w:pos="851"/>
        </w:tabs>
        <w:ind w:left="851"/>
        <w:rPr>
          <w:bCs/>
          <w:sz w:val="24"/>
          <w:szCs w:val="24"/>
        </w:rPr>
      </w:pPr>
      <w:r w:rsidRPr="00207FEA">
        <w:rPr>
          <w:bCs/>
          <w:sz w:val="24"/>
          <w:szCs w:val="24"/>
        </w:rPr>
        <w:t xml:space="preserve">Metformin er et biguanid med antihyperglykæmisk effekt, der sænker både den basale og den postprandiale plasmaglukose. Det stimulerer ikke insulinsekretionen og medfører derfor ikke hypoglykæmi. </w:t>
      </w:r>
    </w:p>
    <w:p w:rsidR="00207FEA" w:rsidRPr="00207FEA" w:rsidRDefault="00207FEA" w:rsidP="00207FEA">
      <w:pPr>
        <w:tabs>
          <w:tab w:val="left" w:pos="851"/>
        </w:tabs>
        <w:ind w:left="851"/>
        <w:rPr>
          <w:bCs/>
          <w:sz w:val="24"/>
          <w:szCs w:val="24"/>
        </w:rPr>
      </w:pPr>
    </w:p>
    <w:p w:rsidR="00207FEA" w:rsidRPr="00207FEA" w:rsidRDefault="00207FEA" w:rsidP="00207FEA">
      <w:pPr>
        <w:tabs>
          <w:tab w:val="left" w:pos="851"/>
        </w:tabs>
        <w:ind w:left="851"/>
        <w:rPr>
          <w:bCs/>
          <w:sz w:val="24"/>
          <w:szCs w:val="24"/>
          <w:u w:val="single"/>
        </w:rPr>
      </w:pPr>
      <w:r w:rsidRPr="00207FEA">
        <w:rPr>
          <w:bCs/>
          <w:sz w:val="24"/>
          <w:szCs w:val="24"/>
          <w:u w:val="single"/>
        </w:rPr>
        <w:t>Virkningsmekanisme</w:t>
      </w:r>
    </w:p>
    <w:p w:rsidR="00207FEA" w:rsidRPr="00207FEA" w:rsidRDefault="00207FEA" w:rsidP="00207FEA">
      <w:pPr>
        <w:tabs>
          <w:tab w:val="left" w:pos="851"/>
        </w:tabs>
        <w:ind w:left="851"/>
        <w:rPr>
          <w:bCs/>
          <w:sz w:val="24"/>
          <w:szCs w:val="24"/>
        </w:rPr>
      </w:pPr>
      <w:r w:rsidRPr="00207FEA">
        <w:rPr>
          <w:bCs/>
          <w:sz w:val="24"/>
          <w:szCs w:val="24"/>
        </w:rPr>
        <w:t xml:space="preserve">Metformin kan virke via 3 mekanismer: </w:t>
      </w:r>
    </w:p>
    <w:p w:rsidR="00207FEA" w:rsidRPr="00207FEA" w:rsidRDefault="00207FEA" w:rsidP="00207FEA">
      <w:pPr>
        <w:numPr>
          <w:ilvl w:val="0"/>
          <w:numId w:val="9"/>
        </w:numPr>
        <w:tabs>
          <w:tab w:val="left" w:pos="851"/>
        </w:tabs>
        <w:ind w:left="1276" w:hanging="425"/>
        <w:rPr>
          <w:bCs/>
          <w:sz w:val="24"/>
          <w:szCs w:val="24"/>
        </w:rPr>
      </w:pPr>
      <w:r w:rsidRPr="00207FEA">
        <w:rPr>
          <w:bCs/>
          <w:sz w:val="24"/>
          <w:szCs w:val="24"/>
        </w:rPr>
        <w:t>reduktion af den hepatiske glukoseproduktion ved hæmning af glukoneogenesen og glykogenolysen;</w:t>
      </w:r>
    </w:p>
    <w:p w:rsidR="00207FEA" w:rsidRPr="00207FEA" w:rsidRDefault="00207FEA" w:rsidP="00207FEA">
      <w:pPr>
        <w:numPr>
          <w:ilvl w:val="0"/>
          <w:numId w:val="9"/>
        </w:numPr>
        <w:tabs>
          <w:tab w:val="left" w:pos="851"/>
        </w:tabs>
        <w:ind w:left="1276" w:hanging="425"/>
        <w:rPr>
          <w:bCs/>
          <w:sz w:val="24"/>
          <w:szCs w:val="24"/>
        </w:rPr>
      </w:pPr>
      <w:r w:rsidRPr="00207FEA">
        <w:rPr>
          <w:bCs/>
          <w:sz w:val="24"/>
          <w:szCs w:val="24"/>
        </w:rPr>
        <w:t>i muskler ved øgning af følsomheden over for insulin, hvorved der opnås forbedring af den perifere glukoseoptagelse og -udnyttelse;</w:t>
      </w:r>
    </w:p>
    <w:p w:rsidR="00207FEA" w:rsidRPr="00207FEA" w:rsidRDefault="00207FEA" w:rsidP="00207FEA">
      <w:pPr>
        <w:numPr>
          <w:ilvl w:val="0"/>
          <w:numId w:val="9"/>
        </w:numPr>
        <w:tabs>
          <w:tab w:val="left" w:pos="851"/>
        </w:tabs>
        <w:ind w:left="1276" w:hanging="425"/>
        <w:rPr>
          <w:bCs/>
          <w:sz w:val="24"/>
          <w:szCs w:val="24"/>
        </w:rPr>
      </w:pPr>
      <w:r w:rsidRPr="00207FEA">
        <w:rPr>
          <w:bCs/>
          <w:sz w:val="24"/>
          <w:szCs w:val="24"/>
        </w:rPr>
        <w:t xml:space="preserve">og forsinkelse af den intestinale glukoseabsorption. </w:t>
      </w:r>
    </w:p>
    <w:p w:rsidR="00207FEA" w:rsidRPr="00207FEA" w:rsidRDefault="00207FEA" w:rsidP="00207FEA">
      <w:pPr>
        <w:tabs>
          <w:tab w:val="left" w:pos="851"/>
        </w:tabs>
        <w:ind w:left="851"/>
        <w:rPr>
          <w:bCs/>
          <w:sz w:val="24"/>
          <w:szCs w:val="24"/>
        </w:rPr>
      </w:pPr>
    </w:p>
    <w:p w:rsidR="00207FEA" w:rsidRPr="00207FEA" w:rsidRDefault="00207FEA" w:rsidP="00207FEA">
      <w:pPr>
        <w:tabs>
          <w:tab w:val="left" w:pos="851"/>
        </w:tabs>
        <w:ind w:left="851"/>
        <w:rPr>
          <w:bCs/>
          <w:sz w:val="24"/>
          <w:szCs w:val="24"/>
        </w:rPr>
      </w:pPr>
      <w:r w:rsidRPr="00207FEA">
        <w:rPr>
          <w:bCs/>
          <w:sz w:val="24"/>
          <w:szCs w:val="24"/>
        </w:rPr>
        <w:t xml:space="preserve">Metformin stimulerer den intracellulære glykogensyntese ved at indvirke på glykogensyntase. </w:t>
      </w:r>
    </w:p>
    <w:p w:rsidR="00207FEA" w:rsidRPr="00207FEA" w:rsidRDefault="00207FEA" w:rsidP="00207FEA">
      <w:pPr>
        <w:tabs>
          <w:tab w:val="left" w:pos="851"/>
        </w:tabs>
        <w:ind w:left="851"/>
        <w:rPr>
          <w:bCs/>
          <w:sz w:val="24"/>
          <w:szCs w:val="24"/>
        </w:rPr>
      </w:pPr>
    </w:p>
    <w:p w:rsidR="00207FEA" w:rsidRPr="00207FEA" w:rsidRDefault="00207FEA" w:rsidP="00207FEA">
      <w:pPr>
        <w:tabs>
          <w:tab w:val="left" w:pos="851"/>
        </w:tabs>
        <w:ind w:left="851"/>
        <w:rPr>
          <w:bCs/>
          <w:sz w:val="24"/>
          <w:szCs w:val="24"/>
        </w:rPr>
      </w:pPr>
      <w:r w:rsidRPr="00207FEA">
        <w:rPr>
          <w:bCs/>
          <w:sz w:val="24"/>
          <w:szCs w:val="24"/>
        </w:rPr>
        <w:t>Metformin øger transportkapaciteten for alle typer membranglukosetransportere (GLUT).</w:t>
      </w:r>
    </w:p>
    <w:p w:rsidR="00207FEA" w:rsidRPr="00207FEA" w:rsidRDefault="00207FEA" w:rsidP="00207FEA">
      <w:pPr>
        <w:tabs>
          <w:tab w:val="left" w:pos="851"/>
        </w:tabs>
        <w:ind w:left="851"/>
        <w:rPr>
          <w:bCs/>
          <w:sz w:val="24"/>
          <w:szCs w:val="24"/>
        </w:rPr>
      </w:pPr>
    </w:p>
    <w:p w:rsidR="00207FEA" w:rsidRPr="00207FEA" w:rsidRDefault="00207FEA" w:rsidP="00207FEA">
      <w:pPr>
        <w:tabs>
          <w:tab w:val="left" w:pos="851"/>
        </w:tabs>
        <w:ind w:left="851"/>
        <w:rPr>
          <w:bCs/>
          <w:sz w:val="24"/>
          <w:szCs w:val="24"/>
          <w:u w:val="single"/>
        </w:rPr>
      </w:pPr>
      <w:r w:rsidRPr="00207FEA">
        <w:rPr>
          <w:bCs/>
          <w:sz w:val="24"/>
          <w:szCs w:val="24"/>
          <w:u w:val="single"/>
        </w:rPr>
        <w:t>Farmakodynamisk virkning</w:t>
      </w:r>
    </w:p>
    <w:p w:rsidR="00207FEA" w:rsidRPr="00207FEA" w:rsidRDefault="00207FEA" w:rsidP="00207FEA">
      <w:pPr>
        <w:tabs>
          <w:tab w:val="left" w:pos="851"/>
        </w:tabs>
        <w:ind w:left="851"/>
        <w:rPr>
          <w:bCs/>
          <w:sz w:val="24"/>
          <w:szCs w:val="24"/>
        </w:rPr>
      </w:pPr>
      <w:r w:rsidRPr="00207FEA">
        <w:rPr>
          <w:bCs/>
          <w:sz w:val="24"/>
          <w:szCs w:val="24"/>
        </w:rPr>
        <w:t>I kliniske studier er den hovedsagelige ikke-glykæmiske effekt af metformin enten stabil kropsvægt eller beskedent vægttab.</w:t>
      </w:r>
    </w:p>
    <w:p w:rsidR="00207FEA" w:rsidRPr="00207FEA" w:rsidRDefault="00207FEA" w:rsidP="00207FEA">
      <w:pPr>
        <w:tabs>
          <w:tab w:val="left" w:pos="851"/>
        </w:tabs>
        <w:ind w:left="851"/>
        <w:rPr>
          <w:bCs/>
          <w:sz w:val="24"/>
          <w:szCs w:val="24"/>
        </w:rPr>
      </w:pPr>
    </w:p>
    <w:p w:rsidR="00207FEA" w:rsidRPr="00207FEA" w:rsidRDefault="00207FEA" w:rsidP="00207FEA">
      <w:pPr>
        <w:tabs>
          <w:tab w:val="left" w:pos="851"/>
        </w:tabs>
        <w:ind w:left="851"/>
        <w:rPr>
          <w:bCs/>
          <w:sz w:val="24"/>
          <w:szCs w:val="24"/>
        </w:rPr>
      </w:pPr>
      <w:r w:rsidRPr="00207FEA">
        <w:rPr>
          <w:bCs/>
          <w:sz w:val="24"/>
          <w:szCs w:val="24"/>
        </w:rPr>
        <w:t>Hos mennesker har metformin gavnlige indvirkninger på lipidmetabolismen uafhængigt af dets indvirkning på glykæmi. Dette er blevet påvist via behandlingsdoser i kontrollerede mellemlange eller lange kliniske forsøg: Metformin med udmiddelbar frigivelse reducerer de totale kolesterol-, LDL-kolesterol- og triglyceridniveauer. En lignende effekt er ikke blevet påvist med depotformuleringen sandsynligvis på grund af administrationen om aftenen, og en øgning af triglycerider kan forekomme.</w:t>
      </w:r>
    </w:p>
    <w:p w:rsidR="00207FEA" w:rsidRPr="00207FEA" w:rsidRDefault="00207FEA" w:rsidP="00207FEA">
      <w:pPr>
        <w:tabs>
          <w:tab w:val="left" w:pos="851"/>
        </w:tabs>
        <w:ind w:left="851"/>
        <w:rPr>
          <w:bCs/>
          <w:sz w:val="24"/>
          <w:szCs w:val="24"/>
        </w:rPr>
      </w:pPr>
    </w:p>
    <w:p w:rsidR="00207FEA" w:rsidRPr="00207FEA" w:rsidRDefault="00207FEA" w:rsidP="00207FEA">
      <w:pPr>
        <w:tabs>
          <w:tab w:val="left" w:pos="851"/>
        </w:tabs>
        <w:ind w:left="851"/>
        <w:rPr>
          <w:bCs/>
          <w:sz w:val="24"/>
          <w:szCs w:val="24"/>
          <w:u w:val="single"/>
        </w:rPr>
      </w:pPr>
      <w:r w:rsidRPr="00207FEA">
        <w:rPr>
          <w:bCs/>
          <w:sz w:val="24"/>
          <w:szCs w:val="24"/>
          <w:u w:val="single"/>
        </w:rPr>
        <w:t>Klinisk virkning og sikkerhed</w:t>
      </w:r>
    </w:p>
    <w:p w:rsidR="00207FEA" w:rsidRPr="00207FEA" w:rsidRDefault="00207FEA" w:rsidP="00207FEA">
      <w:pPr>
        <w:tabs>
          <w:tab w:val="left" w:pos="851"/>
        </w:tabs>
        <w:ind w:left="851"/>
        <w:rPr>
          <w:bCs/>
          <w:sz w:val="24"/>
          <w:szCs w:val="24"/>
        </w:rPr>
      </w:pPr>
      <w:r w:rsidRPr="00207FEA">
        <w:rPr>
          <w:bCs/>
          <w:sz w:val="24"/>
          <w:szCs w:val="24"/>
        </w:rPr>
        <w:t xml:space="preserve">Det prospektive, randomiserede forsøg UKPDS (UK Prospective Diabetes Study) har fastslået den langsigtede fordel med intensiv blodsukkerstyring hos overvægtige type 2-diabetes patienter, behandlet med metfomin med umiddelbar frigivelse som førstvalgsbehanding, hvis diætomlægning ikke har været tilstrækkelig. </w:t>
      </w:r>
    </w:p>
    <w:p w:rsidR="00207FEA" w:rsidRPr="00207FEA" w:rsidRDefault="00207FEA" w:rsidP="00207FEA">
      <w:pPr>
        <w:tabs>
          <w:tab w:val="left" w:pos="851"/>
        </w:tabs>
        <w:ind w:left="851"/>
        <w:rPr>
          <w:bCs/>
          <w:sz w:val="24"/>
          <w:szCs w:val="24"/>
        </w:rPr>
      </w:pPr>
      <w:r w:rsidRPr="00207FEA">
        <w:rPr>
          <w:bCs/>
          <w:sz w:val="24"/>
          <w:szCs w:val="24"/>
        </w:rPr>
        <w:t>Analysen af resultaterne for overvægtige patienter, der blev behandlet med metformin efter at diæt alene havde vist sig utilstrækkelig, viste;</w:t>
      </w:r>
    </w:p>
    <w:p w:rsidR="00207FEA" w:rsidRDefault="00207FEA" w:rsidP="00207FEA">
      <w:pPr>
        <w:numPr>
          <w:ilvl w:val="2"/>
          <w:numId w:val="10"/>
        </w:numPr>
        <w:tabs>
          <w:tab w:val="left" w:pos="851"/>
        </w:tabs>
        <w:ind w:left="1134" w:hanging="283"/>
        <w:rPr>
          <w:bCs/>
          <w:sz w:val="24"/>
          <w:szCs w:val="24"/>
        </w:rPr>
      </w:pPr>
      <w:r w:rsidRPr="00207FEA">
        <w:rPr>
          <w:bCs/>
          <w:sz w:val="24"/>
          <w:szCs w:val="24"/>
        </w:rPr>
        <w:t>en signifikant reduktion af den absolutte risiko for alle diabetes-relaterede komplikationer i metformin-gruppen (29,8 hændelser/1.000 patientår) i forhold til diæt alene (43,3 hændelser/1.000 patientår), p=0,0023, samt i forhold til de kombinerede sulfonylurinstof- og insulinmonoterapigrupper (40,1 hændelser/1.000 patientår), p=0,0034;</w:t>
      </w:r>
    </w:p>
    <w:p w:rsidR="00207FEA" w:rsidRPr="00207FEA" w:rsidRDefault="00207FEA" w:rsidP="00207FEA">
      <w:pPr>
        <w:numPr>
          <w:ilvl w:val="2"/>
          <w:numId w:val="10"/>
        </w:numPr>
        <w:tabs>
          <w:tab w:val="left" w:pos="851"/>
        </w:tabs>
        <w:ind w:left="1134" w:hanging="283"/>
        <w:rPr>
          <w:bCs/>
          <w:sz w:val="24"/>
          <w:szCs w:val="24"/>
        </w:rPr>
      </w:pPr>
      <w:r w:rsidRPr="00207FEA">
        <w:rPr>
          <w:bCs/>
          <w:sz w:val="24"/>
          <w:szCs w:val="24"/>
        </w:rPr>
        <w:t xml:space="preserve">en signifikant reduktion af den absolutte risiko for diabetes-relateret mortalitet: metformin 7,5 hændelser/1.000 patientår, diæt alene 12,7 hændelser/1.000 patientår, p=0,017; </w:t>
      </w:r>
    </w:p>
    <w:p w:rsidR="00207FEA" w:rsidRPr="00207FEA" w:rsidRDefault="00207FEA" w:rsidP="00207FEA">
      <w:pPr>
        <w:numPr>
          <w:ilvl w:val="2"/>
          <w:numId w:val="10"/>
        </w:numPr>
        <w:tabs>
          <w:tab w:val="left" w:pos="851"/>
        </w:tabs>
        <w:ind w:left="1134" w:hanging="283"/>
        <w:rPr>
          <w:bCs/>
          <w:sz w:val="24"/>
          <w:szCs w:val="24"/>
        </w:rPr>
      </w:pPr>
      <w:r w:rsidRPr="00207FEA">
        <w:rPr>
          <w:bCs/>
          <w:sz w:val="24"/>
          <w:szCs w:val="24"/>
        </w:rPr>
        <w:t xml:space="preserve">en signifikant reduktion af den absolutte risiko for mortalitet generelt: metformin 13,5 hændelser/1.000 patientår i forhold til diæt alene 20,6 hændelser/1.000 patientår (p=0,011) samt i forhold til de kombinerede sulfonylurinstof- og insulinmonoterapigrupper 18,9 hændelser/1.000 patientår (p=0,021); </w:t>
      </w:r>
    </w:p>
    <w:p w:rsidR="00207FEA" w:rsidRPr="00207FEA" w:rsidRDefault="00207FEA" w:rsidP="00207FEA">
      <w:pPr>
        <w:numPr>
          <w:ilvl w:val="2"/>
          <w:numId w:val="10"/>
        </w:numPr>
        <w:tabs>
          <w:tab w:val="left" w:pos="851"/>
        </w:tabs>
        <w:ind w:left="1134" w:hanging="283"/>
        <w:rPr>
          <w:bCs/>
          <w:sz w:val="24"/>
          <w:szCs w:val="24"/>
        </w:rPr>
      </w:pPr>
      <w:r w:rsidRPr="00207FEA">
        <w:rPr>
          <w:bCs/>
          <w:sz w:val="24"/>
          <w:szCs w:val="24"/>
        </w:rPr>
        <w:t xml:space="preserve">en signifikant reduktion af den absolutte risiko for myokardieinfarkt: metformin 11 hændelser/1.000 patientår, diæt alene 18 hændelser/1.000 patientår (p=0,01) </w:t>
      </w:r>
    </w:p>
    <w:p w:rsidR="00207FEA" w:rsidRPr="00207FEA" w:rsidRDefault="00207FEA" w:rsidP="00207FEA">
      <w:pPr>
        <w:tabs>
          <w:tab w:val="left" w:pos="851"/>
        </w:tabs>
        <w:ind w:left="851"/>
        <w:rPr>
          <w:bCs/>
          <w:sz w:val="24"/>
          <w:szCs w:val="24"/>
        </w:rPr>
      </w:pPr>
      <w:r w:rsidRPr="00207FEA">
        <w:rPr>
          <w:bCs/>
          <w:sz w:val="24"/>
          <w:szCs w:val="24"/>
        </w:rPr>
        <w:tab/>
      </w:r>
    </w:p>
    <w:p w:rsidR="00207FEA" w:rsidRPr="00207FEA" w:rsidRDefault="00207FEA" w:rsidP="00207FEA">
      <w:pPr>
        <w:tabs>
          <w:tab w:val="left" w:pos="851"/>
        </w:tabs>
        <w:ind w:left="851"/>
        <w:rPr>
          <w:bCs/>
          <w:sz w:val="24"/>
          <w:szCs w:val="24"/>
        </w:rPr>
      </w:pPr>
      <w:r w:rsidRPr="00207FEA">
        <w:rPr>
          <w:bCs/>
          <w:sz w:val="24"/>
          <w:szCs w:val="24"/>
        </w:rPr>
        <w:t xml:space="preserve">Der er ikke påvist nogen fordel i forhold til kliniske resultater for metformin som andetvalgsbehandling i kombination med et sulfonylurinstof. </w:t>
      </w:r>
    </w:p>
    <w:p w:rsidR="00207FEA" w:rsidRPr="00207FEA" w:rsidRDefault="00207FEA" w:rsidP="00207FEA">
      <w:pPr>
        <w:tabs>
          <w:tab w:val="left" w:pos="851"/>
        </w:tabs>
        <w:ind w:left="851"/>
        <w:rPr>
          <w:bCs/>
          <w:sz w:val="24"/>
          <w:szCs w:val="24"/>
        </w:rPr>
      </w:pPr>
      <w:r w:rsidRPr="00207FEA">
        <w:rPr>
          <w:bCs/>
          <w:sz w:val="24"/>
          <w:szCs w:val="24"/>
        </w:rPr>
        <w:tab/>
      </w:r>
    </w:p>
    <w:p w:rsidR="00207FEA" w:rsidRPr="00207FEA" w:rsidRDefault="00207FEA" w:rsidP="00207FEA">
      <w:pPr>
        <w:tabs>
          <w:tab w:val="left" w:pos="851"/>
        </w:tabs>
        <w:ind w:left="851"/>
        <w:rPr>
          <w:bCs/>
          <w:sz w:val="24"/>
          <w:szCs w:val="24"/>
        </w:rPr>
      </w:pPr>
      <w:r w:rsidRPr="00207FEA">
        <w:rPr>
          <w:bCs/>
          <w:sz w:val="24"/>
          <w:szCs w:val="24"/>
        </w:rPr>
        <w:t xml:space="preserve">Kombinationen af metformin og insulin er blevet brugt hos udvalgte patienter med type 1-diabetes, men den kliniske fordel af denne kombination er ikke formelt påvist.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u w:val="single"/>
        </w:rPr>
      </w:pPr>
      <w:r w:rsidRPr="00207FEA">
        <w:rPr>
          <w:sz w:val="24"/>
          <w:szCs w:val="24"/>
          <w:u w:val="single"/>
        </w:rPr>
        <w:t>Absorption</w:t>
      </w:r>
    </w:p>
    <w:p w:rsidR="00207FEA" w:rsidRPr="00207FEA" w:rsidRDefault="00207FEA" w:rsidP="00207FEA">
      <w:pPr>
        <w:tabs>
          <w:tab w:val="left" w:pos="851"/>
        </w:tabs>
        <w:ind w:left="851"/>
        <w:rPr>
          <w:sz w:val="24"/>
          <w:szCs w:val="24"/>
        </w:rPr>
      </w:pPr>
      <w:r w:rsidRPr="00207FEA">
        <w:rPr>
          <w:sz w:val="24"/>
          <w:szCs w:val="24"/>
        </w:rPr>
        <w:t>Efter en oral dosis af depottabletten, er absorptionen af metformin signifikant forsinket sammenlignet med tabletten med den umiddelbare frigivelse med et T</w:t>
      </w:r>
      <w:r w:rsidRPr="00207FEA">
        <w:rPr>
          <w:sz w:val="24"/>
          <w:szCs w:val="24"/>
          <w:vertAlign w:val="subscript"/>
        </w:rPr>
        <w:t>max</w:t>
      </w:r>
      <w:r w:rsidRPr="00207FEA">
        <w:rPr>
          <w:sz w:val="24"/>
          <w:szCs w:val="24"/>
        </w:rPr>
        <w:t xml:space="preserve"> efter 7 timer (T</w:t>
      </w:r>
      <w:r w:rsidRPr="00207FEA">
        <w:rPr>
          <w:sz w:val="24"/>
          <w:szCs w:val="24"/>
          <w:vertAlign w:val="subscript"/>
        </w:rPr>
        <w:t xml:space="preserve">max </w:t>
      </w:r>
      <w:r w:rsidRPr="00207FEA">
        <w:rPr>
          <w:sz w:val="24"/>
          <w:szCs w:val="24"/>
        </w:rPr>
        <w:t>for tabletten med den umiddelbare frigivelse er 2,5 timer).</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Ved steady state, er C</w:t>
      </w:r>
      <w:r w:rsidRPr="00207FEA">
        <w:rPr>
          <w:sz w:val="24"/>
          <w:szCs w:val="24"/>
          <w:vertAlign w:val="subscript"/>
        </w:rPr>
        <w:t xml:space="preserve">max </w:t>
      </w:r>
      <w:r w:rsidRPr="00207FEA">
        <w:rPr>
          <w:sz w:val="24"/>
          <w:szCs w:val="24"/>
        </w:rPr>
        <w:t>og AUC ikke proportionalt forhøjet i forhold til den administrerede dosis, svarende til formuleringer med umiddelbar frigivelse. AUC efter en oral engangsadministration af 2000 mg metformin depottabletter svarer til den, som er observeret ved administration af 1000 mg metformintabletter med umiddelbar frigivelse 2 gange dagligt.</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Den intraindividuelle variabilitet af C</w:t>
      </w:r>
      <w:r w:rsidRPr="00207FEA">
        <w:rPr>
          <w:sz w:val="24"/>
          <w:szCs w:val="24"/>
          <w:vertAlign w:val="subscript"/>
        </w:rPr>
        <w:t xml:space="preserve">max </w:t>
      </w:r>
      <w:r w:rsidRPr="00207FEA">
        <w:rPr>
          <w:sz w:val="24"/>
          <w:szCs w:val="24"/>
        </w:rPr>
        <w:t>og AUC for metformin depottabletter er sammenlignelig med den, som er observeret for metformin tabletter med umiddelbar frigivelse.</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Når depottabletterne administreres under faste, reduceres AUC med 30% (hverken T</w:t>
      </w:r>
      <w:r w:rsidRPr="00207FEA">
        <w:rPr>
          <w:sz w:val="24"/>
          <w:szCs w:val="24"/>
          <w:vertAlign w:val="subscript"/>
        </w:rPr>
        <w:t xml:space="preserve">max eller </w:t>
      </w:r>
      <w:r w:rsidRPr="00207FEA">
        <w:rPr>
          <w:sz w:val="24"/>
          <w:szCs w:val="24"/>
        </w:rPr>
        <w:t>C</w:t>
      </w:r>
      <w:r w:rsidRPr="00207FEA">
        <w:rPr>
          <w:sz w:val="24"/>
          <w:szCs w:val="24"/>
          <w:vertAlign w:val="subscript"/>
        </w:rPr>
        <w:t xml:space="preserve">max </w:t>
      </w:r>
      <w:r w:rsidRPr="00207FEA">
        <w:rPr>
          <w:sz w:val="24"/>
          <w:szCs w:val="24"/>
        </w:rPr>
        <w:t>påvirkes).</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Den gennemsnitlige absorption af metformin fra depotformuleringen er næsten uforandret af måltiders sammensætning.</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Der er ikke observeret nogen akkumulering efter gentaget administration af op til 2000 mg af metformin som depottabletter.</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Efter en enkelt peroral administration af en Metformin 1000 mg depottablet, efter fødeindtag, opnås en gennemsnitlig plasmakoncentration på 1214 ng/ml med en mediantid på 5 timer (interval på 4-10 timer).</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Metformin 1000 mg depottabletter viste sig at være bioækvivalente med Metformin 500 mg depottabletter i en dosis på 1000 mg med hensyn til C</w:t>
      </w:r>
      <w:r w:rsidRPr="00207FEA">
        <w:rPr>
          <w:sz w:val="24"/>
          <w:szCs w:val="24"/>
          <w:vertAlign w:val="subscript"/>
        </w:rPr>
        <w:t xml:space="preserve">max </w:t>
      </w:r>
      <w:r w:rsidRPr="00207FEA">
        <w:rPr>
          <w:sz w:val="24"/>
          <w:szCs w:val="24"/>
        </w:rPr>
        <w:t>og AUC hos raske forsøgspersoner under såvel faste som fødeindtag.</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Når en 1000 mg depottablet bliver administreret efter fødeindtag stiger AUC med 77% (C</w:t>
      </w:r>
      <w:r w:rsidRPr="00207FEA">
        <w:rPr>
          <w:sz w:val="24"/>
          <w:szCs w:val="24"/>
          <w:vertAlign w:val="subscript"/>
        </w:rPr>
        <w:t xml:space="preserve">max </w:t>
      </w:r>
      <w:r w:rsidRPr="00207FEA">
        <w:rPr>
          <w:sz w:val="24"/>
          <w:szCs w:val="24"/>
        </w:rPr>
        <w:t>stiger med 26% og T</w:t>
      </w:r>
      <w:r w:rsidRPr="00207FEA">
        <w:rPr>
          <w:sz w:val="24"/>
          <w:szCs w:val="24"/>
          <w:vertAlign w:val="subscript"/>
        </w:rPr>
        <w:t xml:space="preserve">max </w:t>
      </w:r>
      <w:r w:rsidRPr="00207FEA">
        <w:rPr>
          <w:sz w:val="24"/>
          <w:szCs w:val="24"/>
        </w:rPr>
        <w:t>forlænges lidt, med ca. 1 time)</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u w:val="single"/>
        </w:rPr>
      </w:pPr>
      <w:r w:rsidRPr="00207FEA">
        <w:rPr>
          <w:sz w:val="24"/>
          <w:szCs w:val="24"/>
          <w:u w:val="single"/>
        </w:rPr>
        <w:t>Fordeling</w:t>
      </w:r>
    </w:p>
    <w:p w:rsidR="00207FEA" w:rsidRPr="00207FEA" w:rsidRDefault="00207FEA" w:rsidP="00207FEA">
      <w:pPr>
        <w:tabs>
          <w:tab w:val="left" w:pos="851"/>
        </w:tabs>
        <w:ind w:left="851"/>
        <w:rPr>
          <w:sz w:val="24"/>
          <w:szCs w:val="24"/>
        </w:rPr>
      </w:pPr>
      <w:r w:rsidRPr="00207FEA">
        <w:rPr>
          <w:sz w:val="24"/>
          <w:szCs w:val="24"/>
        </w:rPr>
        <w:t>Plasmaproteinbindingen er ubetydelig. Metformin fordeles i erytrocytter. Blod-peak er lavere end plasma-peak og optræder på omtrent samme tidspunkt. De røde blodlegemer udgør sandsynligvis et sekundært fordelingsrum. Det gennemsnitlige fordelingsvolumen (Vd) lå mellem 63 og 276 l.</w:t>
      </w:r>
    </w:p>
    <w:p w:rsidR="00207FEA" w:rsidRPr="00207FEA" w:rsidRDefault="00207FEA" w:rsidP="00207FEA">
      <w:pPr>
        <w:tabs>
          <w:tab w:val="left" w:pos="851"/>
        </w:tabs>
        <w:ind w:left="851"/>
        <w:rPr>
          <w:sz w:val="24"/>
          <w:szCs w:val="24"/>
          <w:u w:val="single"/>
        </w:rPr>
      </w:pPr>
    </w:p>
    <w:p w:rsidR="00207FEA" w:rsidRPr="00207FEA" w:rsidRDefault="00207FEA" w:rsidP="00207FEA">
      <w:pPr>
        <w:tabs>
          <w:tab w:val="left" w:pos="851"/>
        </w:tabs>
        <w:ind w:left="851"/>
        <w:rPr>
          <w:sz w:val="24"/>
          <w:szCs w:val="24"/>
          <w:u w:val="single"/>
        </w:rPr>
      </w:pPr>
      <w:r w:rsidRPr="00207FEA">
        <w:rPr>
          <w:sz w:val="24"/>
          <w:szCs w:val="24"/>
          <w:u w:val="single"/>
        </w:rPr>
        <w:t>Biotransformation</w:t>
      </w:r>
    </w:p>
    <w:p w:rsidR="00207FEA" w:rsidRPr="00207FEA" w:rsidRDefault="00207FEA" w:rsidP="00207FEA">
      <w:pPr>
        <w:tabs>
          <w:tab w:val="left" w:pos="851"/>
        </w:tabs>
        <w:ind w:left="851"/>
        <w:rPr>
          <w:sz w:val="24"/>
          <w:szCs w:val="24"/>
        </w:rPr>
      </w:pPr>
      <w:r w:rsidRPr="00207FEA">
        <w:rPr>
          <w:sz w:val="24"/>
          <w:szCs w:val="24"/>
        </w:rPr>
        <w:t xml:space="preserve">Metformin udskilles i uændret form i urinen. Der er ikke identificeret metabolitter hos mennesker. </w:t>
      </w:r>
    </w:p>
    <w:p w:rsidR="00207FEA" w:rsidRPr="00207FEA" w:rsidRDefault="00207FEA" w:rsidP="00207FEA">
      <w:pPr>
        <w:tabs>
          <w:tab w:val="left" w:pos="851"/>
        </w:tabs>
        <w:ind w:left="851"/>
        <w:rPr>
          <w:sz w:val="24"/>
          <w:szCs w:val="24"/>
          <w:u w:val="single"/>
        </w:rPr>
      </w:pPr>
    </w:p>
    <w:p w:rsidR="00207FEA" w:rsidRPr="00207FEA" w:rsidRDefault="00207FEA" w:rsidP="00207FEA">
      <w:pPr>
        <w:tabs>
          <w:tab w:val="left" w:pos="851"/>
        </w:tabs>
        <w:ind w:left="851"/>
        <w:rPr>
          <w:sz w:val="24"/>
          <w:szCs w:val="24"/>
          <w:u w:val="single"/>
        </w:rPr>
      </w:pPr>
      <w:r w:rsidRPr="00207FEA">
        <w:rPr>
          <w:sz w:val="24"/>
          <w:szCs w:val="24"/>
          <w:u w:val="single"/>
        </w:rPr>
        <w:t xml:space="preserve">Elimination </w:t>
      </w:r>
    </w:p>
    <w:p w:rsidR="00207FEA" w:rsidRPr="00207FEA" w:rsidRDefault="00207FEA" w:rsidP="00207FEA">
      <w:pPr>
        <w:tabs>
          <w:tab w:val="left" w:pos="851"/>
        </w:tabs>
        <w:ind w:left="851"/>
        <w:rPr>
          <w:sz w:val="24"/>
          <w:szCs w:val="24"/>
        </w:rPr>
      </w:pPr>
      <w:r w:rsidRPr="00207FEA">
        <w:rPr>
          <w:sz w:val="24"/>
          <w:szCs w:val="24"/>
        </w:rPr>
        <w:t xml:space="preserve">Renal clearance for metformin er &gt; 400 ml/min, hvilket indikerer, at metformin elimineres ved glomerulær filtration og tubulær sekretion. Efter en oral dosis er den gennemsnitlige eliminationshalveringstid ca. 6,5 timer. </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Når nyrefunktionen er nedsat, mindskes renal clearance ligefrem proportionalt med renal clearance for kreatinin. Eliminationshalveringstiden forlænges dermed, hvilket medfører øgede metforminniveauer i plasma.</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u w:val="single"/>
        </w:rPr>
      </w:pPr>
      <w:r w:rsidRPr="00207FEA">
        <w:rPr>
          <w:sz w:val="24"/>
          <w:szCs w:val="24"/>
          <w:u w:val="single"/>
        </w:rPr>
        <w:t>Karakteristika hos specifikke patientgrupper</w:t>
      </w:r>
    </w:p>
    <w:p w:rsidR="00207FEA" w:rsidRPr="00207FEA" w:rsidRDefault="00207FEA" w:rsidP="00207FEA">
      <w:pPr>
        <w:tabs>
          <w:tab w:val="left" w:pos="851"/>
        </w:tabs>
        <w:ind w:left="851"/>
        <w:rPr>
          <w:sz w:val="24"/>
          <w:szCs w:val="24"/>
        </w:rPr>
      </w:pPr>
      <w:r w:rsidRPr="00207FEA">
        <w:rPr>
          <w:sz w:val="24"/>
          <w:szCs w:val="24"/>
        </w:rPr>
        <w:t>Nedsat nyrefunktion</w:t>
      </w:r>
    </w:p>
    <w:p w:rsidR="00207FEA" w:rsidRPr="00207FEA" w:rsidRDefault="00207FEA" w:rsidP="00207FEA">
      <w:pPr>
        <w:tabs>
          <w:tab w:val="left" w:pos="851"/>
        </w:tabs>
        <w:ind w:left="851"/>
        <w:rPr>
          <w:sz w:val="24"/>
          <w:szCs w:val="24"/>
        </w:rPr>
      </w:pPr>
      <w:r w:rsidRPr="00207FEA">
        <w:rPr>
          <w:sz w:val="24"/>
          <w:szCs w:val="24"/>
        </w:rPr>
        <w:t>De foreliggende data hos patienter med moderat nyreinsufficiens er få, og der kunne ikke foretages en pålidelig beregning af den systemiske eksponering for metformin hos denne delgruppe sammenlignet med patienter med normal nyrefunktion. Dosistilpasningen skal derfor foretages ud fra betragtninger af klinisk virkning/tolerabilitet (se pkt. 4.2).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207FEA" w:rsidRPr="00207FEA" w:rsidRDefault="00207FEA" w:rsidP="00207FEA">
      <w:pPr>
        <w:tabs>
          <w:tab w:val="left" w:pos="851"/>
        </w:tabs>
        <w:ind w:left="851"/>
        <w:rPr>
          <w:sz w:val="24"/>
          <w:szCs w:val="24"/>
        </w:rPr>
      </w:pPr>
      <w:r w:rsidRPr="00207FEA">
        <w:rPr>
          <w:sz w:val="24"/>
          <w:szCs w:val="24"/>
        </w:rPr>
        <w:t>Non-kliniske data påviser ingen speciel risiko for mennesker vurderet ud fra konventionelle studier af sikkerhedsfarmakologi, toksicitet efter gentagne doser, genotoksicitet, karcinogent potentiale samt reproduktionstoksicitet.</w:t>
      </w:r>
    </w:p>
    <w:p w:rsidR="009260DE" w:rsidRPr="00C84483" w:rsidRDefault="009260DE" w:rsidP="009260DE">
      <w:pPr>
        <w:tabs>
          <w:tab w:val="left" w:pos="851"/>
        </w:tabs>
        <w:ind w:left="851"/>
        <w:rPr>
          <w:sz w:val="24"/>
          <w:szCs w:val="24"/>
        </w:rPr>
      </w:pPr>
    </w:p>
    <w:p w:rsidR="00207FEA" w:rsidRDefault="00207FE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07FEA" w:rsidRPr="00207FEA" w:rsidRDefault="00207FEA" w:rsidP="00207FEA">
      <w:pPr>
        <w:tabs>
          <w:tab w:val="left" w:pos="851"/>
        </w:tabs>
        <w:ind w:left="851"/>
        <w:rPr>
          <w:bCs/>
          <w:sz w:val="24"/>
          <w:szCs w:val="24"/>
        </w:rPr>
      </w:pPr>
      <w:r w:rsidRPr="00207FEA">
        <w:rPr>
          <w:bCs/>
          <w:sz w:val="24"/>
          <w:szCs w:val="24"/>
        </w:rPr>
        <w:t>Magnesiumstearat</w:t>
      </w:r>
    </w:p>
    <w:p w:rsidR="00207FEA" w:rsidRPr="00207FEA" w:rsidRDefault="00207FEA" w:rsidP="00207FEA">
      <w:pPr>
        <w:tabs>
          <w:tab w:val="left" w:pos="851"/>
        </w:tabs>
        <w:ind w:left="851"/>
        <w:rPr>
          <w:bCs/>
          <w:sz w:val="24"/>
          <w:szCs w:val="24"/>
        </w:rPr>
      </w:pPr>
      <w:r w:rsidRPr="00207FEA">
        <w:rPr>
          <w:bCs/>
          <w:sz w:val="24"/>
          <w:szCs w:val="24"/>
        </w:rPr>
        <w:t xml:space="preserve">Silica, kolloid vandfri </w:t>
      </w:r>
    </w:p>
    <w:p w:rsidR="00207FEA" w:rsidRPr="00207FEA" w:rsidRDefault="00207FEA" w:rsidP="00207FEA">
      <w:pPr>
        <w:tabs>
          <w:tab w:val="left" w:pos="851"/>
        </w:tabs>
        <w:ind w:left="851"/>
        <w:rPr>
          <w:bCs/>
          <w:sz w:val="24"/>
          <w:szCs w:val="24"/>
        </w:rPr>
      </w:pPr>
      <w:r w:rsidRPr="00207FEA">
        <w:rPr>
          <w:bCs/>
          <w:sz w:val="24"/>
          <w:szCs w:val="24"/>
        </w:rPr>
        <w:t xml:space="preserve">Povidon K30 </w:t>
      </w:r>
    </w:p>
    <w:p w:rsidR="00207FEA" w:rsidRPr="00207FEA" w:rsidRDefault="00207FEA" w:rsidP="00207FEA">
      <w:pPr>
        <w:tabs>
          <w:tab w:val="left" w:pos="851"/>
        </w:tabs>
        <w:ind w:left="851"/>
        <w:rPr>
          <w:bCs/>
          <w:sz w:val="24"/>
          <w:szCs w:val="24"/>
        </w:rPr>
      </w:pPr>
      <w:r w:rsidRPr="00207FEA">
        <w:rPr>
          <w:bCs/>
          <w:sz w:val="24"/>
          <w:szCs w:val="24"/>
        </w:rPr>
        <w:t>Hypromellose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207FEA" w:rsidRPr="00207FEA" w:rsidRDefault="00207FEA" w:rsidP="00207FEA">
      <w:pPr>
        <w:tabs>
          <w:tab w:val="left" w:pos="851"/>
        </w:tabs>
        <w:ind w:left="851"/>
        <w:rPr>
          <w:sz w:val="24"/>
          <w:szCs w:val="24"/>
        </w:rPr>
      </w:pPr>
      <w:r w:rsidRPr="00207FEA">
        <w:rPr>
          <w:sz w:val="24"/>
          <w:szCs w:val="24"/>
        </w:rPr>
        <w:t>Ikke relevant</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89346F" w:rsidRDefault="00207FEA" w:rsidP="0089346F">
      <w:pPr>
        <w:tabs>
          <w:tab w:val="left" w:pos="851"/>
        </w:tabs>
        <w:ind w:left="851"/>
        <w:rPr>
          <w:rFonts w:eastAsia="MS Mincho" w:hAnsi="MS Mincho"/>
          <w:noProof/>
          <w:sz w:val="24"/>
          <w:szCs w:val="24"/>
        </w:rPr>
      </w:pPr>
      <w:r>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07FEA" w:rsidRPr="00207FEA" w:rsidRDefault="00207FEA" w:rsidP="00207FEA">
      <w:pPr>
        <w:tabs>
          <w:tab w:val="left" w:pos="851"/>
        </w:tabs>
        <w:ind w:left="851"/>
        <w:rPr>
          <w:sz w:val="24"/>
          <w:szCs w:val="24"/>
        </w:rPr>
      </w:pPr>
      <w:r w:rsidRPr="00207FEA">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07FEA" w:rsidRDefault="00207FEA" w:rsidP="00207FEA">
      <w:pPr>
        <w:tabs>
          <w:tab w:val="left" w:pos="851"/>
        </w:tabs>
        <w:ind w:left="851"/>
        <w:rPr>
          <w:sz w:val="24"/>
          <w:szCs w:val="24"/>
        </w:rPr>
      </w:pPr>
      <w:r>
        <w:rPr>
          <w:sz w:val="24"/>
          <w:szCs w:val="24"/>
        </w:rPr>
        <w:t>B</w:t>
      </w:r>
      <w:r w:rsidRPr="00207FEA">
        <w:rPr>
          <w:sz w:val="24"/>
          <w:szCs w:val="24"/>
        </w:rPr>
        <w:t xml:space="preserve">listerpakning </w:t>
      </w:r>
      <w:r>
        <w:rPr>
          <w:sz w:val="24"/>
          <w:szCs w:val="24"/>
        </w:rPr>
        <w:t xml:space="preserve">af </w:t>
      </w:r>
      <w:r w:rsidRPr="00207FEA">
        <w:rPr>
          <w:sz w:val="24"/>
          <w:szCs w:val="24"/>
        </w:rPr>
        <w:t>aluminiumsfolie og PVC.</w:t>
      </w:r>
    </w:p>
    <w:p w:rsid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Pr>
          <w:sz w:val="24"/>
          <w:szCs w:val="24"/>
        </w:rPr>
        <w:t xml:space="preserve">Pakningsstørrelser: </w:t>
      </w:r>
      <w:r w:rsidRPr="00207FEA">
        <w:rPr>
          <w:sz w:val="24"/>
          <w:szCs w:val="24"/>
        </w:rPr>
        <w:t>28, 30, 56</w:t>
      </w:r>
      <w:r>
        <w:rPr>
          <w:sz w:val="24"/>
          <w:szCs w:val="24"/>
        </w:rPr>
        <w:t xml:space="preserve"> og</w:t>
      </w:r>
      <w:r w:rsidRPr="00207FEA">
        <w:rPr>
          <w:sz w:val="24"/>
          <w:szCs w:val="24"/>
        </w:rPr>
        <w:t xml:space="preserve"> 60 tab</w:t>
      </w:r>
      <w:r>
        <w:rPr>
          <w:sz w:val="24"/>
          <w:szCs w:val="24"/>
        </w:rPr>
        <w:t>letter.</w:t>
      </w:r>
    </w:p>
    <w:p w:rsidR="00207FEA" w:rsidRPr="00207FEA" w:rsidRDefault="00207FEA" w:rsidP="00207FEA">
      <w:pPr>
        <w:tabs>
          <w:tab w:val="left" w:pos="851"/>
        </w:tabs>
        <w:ind w:left="851"/>
        <w:rPr>
          <w:sz w:val="24"/>
          <w:szCs w:val="24"/>
        </w:rPr>
      </w:pPr>
      <w:r w:rsidRPr="00207FEA">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207FEA" w:rsidRPr="00207FEA" w:rsidRDefault="00207FEA" w:rsidP="00207FEA">
      <w:pPr>
        <w:tabs>
          <w:tab w:val="left" w:pos="851"/>
        </w:tabs>
        <w:ind w:left="851"/>
        <w:rPr>
          <w:sz w:val="24"/>
          <w:szCs w:val="24"/>
        </w:rPr>
      </w:pPr>
      <w:r w:rsidRPr="00207FEA">
        <w:rPr>
          <w:sz w:val="24"/>
          <w:szCs w:val="24"/>
        </w:rPr>
        <w:t>Ingen særlige forholdsregler.</w:t>
      </w:r>
    </w:p>
    <w:p w:rsidR="00207FEA" w:rsidRPr="00207FEA" w:rsidRDefault="00207FEA" w:rsidP="00207FEA">
      <w:pPr>
        <w:tabs>
          <w:tab w:val="left" w:pos="851"/>
        </w:tabs>
        <w:ind w:left="851"/>
        <w:rPr>
          <w:sz w:val="24"/>
          <w:szCs w:val="24"/>
        </w:rPr>
      </w:pPr>
    </w:p>
    <w:p w:rsidR="00207FEA" w:rsidRPr="00207FEA" w:rsidRDefault="00207FEA" w:rsidP="00207FEA">
      <w:pPr>
        <w:tabs>
          <w:tab w:val="left" w:pos="851"/>
        </w:tabs>
        <w:ind w:left="851"/>
        <w:rPr>
          <w:sz w:val="24"/>
          <w:szCs w:val="24"/>
        </w:rPr>
      </w:pPr>
      <w:r w:rsidRPr="00207FEA">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07FEA" w:rsidRPr="00F12584" w:rsidRDefault="00207FEA" w:rsidP="00207FEA">
      <w:pPr>
        <w:tabs>
          <w:tab w:val="left" w:pos="851"/>
        </w:tabs>
        <w:ind w:left="851"/>
        <w:rPr>
          <w:sz w:val="24"/>
          <w:szCs w:val="24"/>
        </w:rPr>
      </w:pPr>
      <w:r w:rsidRPr="00F12584">
        <w:rPr>
          <w:sz w:val="24"/>
          <w:szCs w:val="24"/>
        </w:rPr>
        <w:t>Strides Pharma (Cyprus) Limited</w:t>
      </w:r>
    </w:p>
    <w:p w:rsidR="003626B2" w:rsidRDefault="00207FEA" w:rsidP="00207FEA">
      <w:pPr>
        <w:tabs>
          <w:tab w:val="left" w:pos="851"/>
        </w:tabs>
        <w:ind w:left="851"/>
        <w:rPr>
          <w:sz w:val="24"/>
          <w:szCs w:val="24"/>
          <w:lang w:val="en-US"/>
        </w:rPr>
      </w:pPr>
      <w:r w:rsidRPr="00207FEA">
        <w:rPr>
          <w:sz w:val="24"/>
          <w:szCs w:val="24"/>
          <w:lang w:val="en-US"/>
        </w:rPr>
        <w:t>Themistokli Dervi</w:t>
      </w:r>
    </w:p>
    <w:p w:rsidR="00207FEA" w:rsidRPr="00F12584" w:rsidRDefault="00207FEA" w:rsidP="00207FEA">
      <w:pPr>
        <w:tabs>
          <w:tab w:val="left" w:pos="851"/>
        </w:tabs>
        <w:ind w:left="851"/>
        <w:rPr>
          <w:sz w:val="24"/>
          <w:szCs w:val="24"/>
          <w:lang w:val="en-US"/>
        </w:rPr>
      </w:pPr>
      <w:r w:rsidRPr="00F12584">
        <w:rPr>
          <w:sz w:val="24"/>
          <w:szCs w:val="24"/>
          <w:lang w:val="en-US"/>
        </w:rPr>
        <w:t>3</w:t>
      </w:r>
      <w:r w:rsidR="003626B2" w:rsidRPr="00F12584">
        <w:rPr>
          <w:sz w:val="24"/>
          <w:szCs w:val="24"/>
          <w:lang w:val="en-US"/>
        </w:rPr>
        <w:t xml:space="preserve"> </w:t>
      </w:r>
      <w:r w:rsidRPr="00F12584">
        <w:rPr>
          <w:sz w:val="24"/>
          <w:szCs w:val="24"/>
          <w:lang w:val="en-US"/>
        </w:rPr>
        <w:t>Julia House, 1st Floor</w:t>
      </w:r>
    </w:p>
    <w:p w:rsidR="00207FEA" w:rsidRPr="00207FEA" w:rsidRDefault="00207FEA" w:rsidP="00207FEA">
      <w:pPr>
        <w:tabs>
          <w:tab w:val="left" w:pos="851"/>
        </w:tabs>
        <w:ind w:left="851"/>
        <w:rPr>
          <w:sz w:val="24"/>
          <w:szCs w:val="24"/>
        </w:rPr>
      </w:pPr>
      <w:r w:rsidRPr="00207FEA">
        <w:rPr>
          <w:sz w:val="24"/>
          <w:szCs w:val="24"/>
        </w:rPr>
        <w:t>1066 Nicosia</w:t>
      </w:r>
    </w:p>
    <w:p w:rsidR="00207FEA" w:rsidRPr="00207FEA" w:rsidRDefault="00207FEA" w:rsidP="00207FEA">
      <w:pPr>
        <w:tabs>
          <w:tab w:val="left" w:pos="851"/>
        </w:tabs>
        <w:ind w:left="851"/>
        <w:rPr>
          <w:sz w:val="24"/>
          <w:szCs w:val="24"/>
        </w:rPr>
      </w:pPr>
      <w:r w:rsidRPr="00207FEA">
        <w:rPr>
          <w:sz w:val="24"/>
          <w:szCs w:val="24"/>
        </w:rPr>
        <w:t>Cypern</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Default="003626B2" w:rsidP="003626B2">
      <w:pPr>
        <w:tabs>
          <w:tab w:val="left" w:pos="851"/>
          <w:tab w:val="left" w:pos="1843"/>
        </w:tabs>
        <w:ind w:left="851"/>
        <w:rPr>
          <w:sz w:val="24"/>
          <w:szCs w:val="24"/>
        </w:rPr>
      </w:pPr>
      <w:r>
        <w:rPr>
          <w:sz w:val="24"/>
          <w:szCs w:val="24"/>
        </w:rPr>
        <w:t>500 mg:</w:t>
      </w:r>
      <w:r>
        <w:rPr>
          <w:sz w:val="24"/>
          <w:szCs w:val="24"/>
        </w:rPr>
        <w:tab/>
        <w:t>67642</w:t>
      </w:r>
    </w:p>
    <w:p w:rsidR="003626B2" w:rsidRDefault="003626B2" w:rsidP="003626B2">
      <w:pPr>
        <w:tabs>
          <w:tab w:val="left" w:pos="851"/>
          <w:tab w:val="left" w:pos="1843"/>
        </w:tabs>
        <w:ind w:left="851"/>
        <w:rPr>
          <w:sz w:val="24"/>
          <w:szCs w:val="24"/>
        </w:rPr>
      </w:pPr>
      <w:r>
        <w:rPr>
          <w:sz w:val="24"/>
          <w:szCs w:val="24"/>
        </w:rPr>
        <w:t>750 mg:</w:t>
      </w:r>
      <w:r>
        <w:rPr>
          <w:sz w:val="24"/>
          <w:szCs w:val="24"/>
        </w:rPr>
        <w:tab/>
        <w:t>67643</w:t>
      </w:r>
    </w:p>
    <w:p w:rsidR="003626B2" w:rsidRPr="00C84483" w:rsidRDefault="003626B2" w:rsidP="003626B2">
      <w:pPr>
        <w:tabs>
          <w:tab w:val="left" w:pos="851"/>
          <w:tab w:val="left" w:pos="1843"/>
        </w:tabs>
        <w:ind w:left="851"/>
        <w:rPr>
          <w:sz w:val="24"/>
          <w:szCs w:val="24"/>
        </w:rPr>
      </w:pPr>
      <w:r>
        <w:rPr>
          <w:sz w:val="24"/>
          <w:szCs w:val="24"/>
        </w:rPr>
        <w:t>1000 mg:</w:t>
      </w:r>
      <w:r>
        <w:rPr>
          <w:sz w:val="24"/>
          <w:szCs w:val="24"/>
        </w:rPr>
        <w:tab/>
        <w:t>67644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F12584" w:rsidP="009260DE">
      <w:pPr>
        <w:tabs>
          <w:tab w:val="left" w:pos="851"/>
        </w:tabs>
        <w:ind w:left="851"/>
        <w:rPr>
          <w:sz w:val="24"/>
          <w:szCs w:val="24"/>
        </w:rPr>
      </w:pPr>
      <w:r>
        <w:rPr>
          <w:sz w:val="24"/>
          <w:szCs w:val="24"/>
        </w:rPr>
        <w:t>28. juni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3626B2"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FC3" w:rsidRDefault="00F47FC3">
      <w:r>
        <w:separator/>
      </w:r>
    </w:p>
  </w:endnote>
  <w:endnote w:type="continuationSeparator" w:id="0">
    <w:p w:rsidR="00F47FC3" w:rsidRDefault="00F4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21B22">
      <w:rPr>
        <w:i/>
        <w:noProof/>
        <w:sz w:val="18"/>
        <w:szCs w:val="18"/>
      </w:rPr>
      <w:t>Metformin Strides, depottabletter 500 mg, 750 mg og 1000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FC3" w:rsidRDefault="00F47FC3">
      <w:r>
        <w:separator/>
      </w:r>
    </w:p>
  </w:footnote>
  <w:footnote w:type="continuationSeparator" w:id="0">
    <w:p w:rsidR="00F47FC3" w:rsidRDefault="00F47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884A23"/>
    <w:multiLevelType w:val="hybridMultilevel"/>
    <w:tmpl w:val="3C04EF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30E1A63"/>
    <w:multiLevelType w:val="hybridMultilevel"/>
    <w:tmpl w:val="609CBF9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4AF012F"/>
    <w:multiLevelType w:val="hybridMultilevel"/>
    <w:tmpl w:val="F636398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F521D0C"/>
    <w:multiLevelType w:val="hybridMultilevel"/>
    <w:tmpl w:val="9300CE5A"/>
    <w:lvl w:ilvl="0" w:tplc="FFFFFFFF">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F2F68790">
      <w:numFmt w:val="bullet"/>
      <w:lvlText w:val="•"/>
      <w:lvlJc w:val="left"/>
      <w:pPr>
        <w:ind w:left="2520" w:hanging="720"/>
      </w:pPr>
      <w:rPr>
        <w:rFonts w:ascii="Times New Roman" w:eastAsia="Times New Roman" w:hAnsi="Times New Roman" w:cs="Times New Roman"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6EA74738"/>
    <w:multiLevelType w:val="hybridMultilevel"/>
    <w:tmpl w:val="81CAC126"/>
    <w:lvl w:ilvl="0" w:tplc="7A5445B4">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10" w15:restartNumberingAfterBreak="0">
    <w:nsid w:val="73D9177A"/>
    <w:multiLevelType w:val="hybridMultilevel"/>
    <w:tmpl w:val="A088095C"/>
    <w:lvl w:ilvl="0" w:tplc="233279AE">
      <w:start w:val="1000"/>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FC3"/>
    <w:rsid w:val="00005704"/>
    <w:rsid w:val="000259B9"/>
    <w:rsid w:val="00041491"/>
    <w:rsid w:val="00050D16"/>
    <w:rsid w:val="000730CA"/>
    <w:rsid w:val="00074F2A"/>
    <w:rsid w:val="000A1CA8"/>
    <w:rsid w:val="000A466B"/>
    <w:rsid w:val="000B058C"/>
    <w:rsid w:val="000D68B0"/>
    <w:rsid w:val="000E4EE6"/>
    <w:rsid w:val="00121B22"/>
    <w:rsid w:val="001454E2"/>
    <w:rsid w:val="00206CE8"/>
    <w:rsid w:val="00207FEA"/>
    <w:rsid w:val="0021526C"/>
    <w:rsid w:val="00283A2B"/>
    <w:rsid w:val="002B30AD"/>
    <w:rsid w:val="002C1EC0"/>
    <w:rsid w:val="002C2C01"/>
    <w:rsid w:val="003626B2"/>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E4840"/>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85D77"/>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65772"/>
    <w:rsid w:val="00E7437F"/>
    <w:rsid w:val="00E865B8"/>
    <w:rsid w:val="00EC0B9B"/>
    <w:rsid w:val="00ED5E9F"/>
    <w:rsid w:val="00F12584"/>
    <w:rsid w:val="00F47FC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67B81"/>
  <w15:chartTrackingRefBased/>
  <w15:docId w15:val="{CBD8D57C-43EF-422E-9C0A-05B18474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121B2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772"/>
    <w:pPr>
      <w:ind w:left="720"/>
      <w:contextualSpacing/>
    </w:pPr>
    <w:rPr>
      <w:sz w:val="22"/>
    </w:rPr>
  </w:style>
  <w:style w:type="character" w:styleId="Hyperlink">
    <w:name w:val="Hyperlink"/>
    <w:basedOn w:val="Standardskrifttypeiafsnit"/>
    <w:uiPriority w:val="99"/>
    <w:unhideWhenUsed/>
    <w:rsid w:val="00207FEA"/>
    <w:rPr>
      <w:color w:val="0563C1" w:themeColor="hyperlink"/>
      <w:u w:val="single"/>
    </w:rPr>
  </w:style>
  <w:style w:type="character" w:styleId="Ulstomtale">
    <w:name w:val="Unresolved Mention"/>
    <w:basedOn w:val="Standardskrifttypeiafsnit"/>
    <w:uiPriority w:val="99"/>
    <w:semiHidden/>
    <w:unhideWhenUsed/>
    <w:rsid w:val="00207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59376">
      <w:bodyDiv w:val="1"/>
      <w:marLeft w:val="0"/>
      <w:marRight w:val="0"/>
      <w:marTop w:val="0"/>
      <w:marBottom w:val="0"/>
      <w:divBdr>
        <w:top w:val="none" w:sz="0" w:space="0" w:color="auto"/>
        <w:left w:val="none" w:sz="0" w:space="0" w:color="auto"/>
        <w:bottom w:val="none" w:sz="0" w:space="0" w:color="auto"/>
        <w:right w:val="none" w:sz="0" w:space="0" w:color="auto"/>
      </w:divBdr>
    </w:div>
    <w:div w:id="80028245">
      <w:bodyDiv w:val="1"/>
      <w:marLeft w:val="0"/>
      <w:marRight w:val="0"/>
      <w:marTop w:val="0"/>
      <w:marBottom w:val="0"/>
      <w:divBdr>
        <w:top w:val="none" w:sz="0" w:space="0" w:color="auto"/>
        <w:left w:val="none" w:sz="0" w:space="0" w:color="auto"/>
        <w:bottom w:val="none" w:sz="0" w:space="0" w:color="auto"/>
        <w:right w:val="none" w:sz="0" w:space="0" w:color="auto"/>
      </w:divBdr>
    </w:div>
    <w:div w:id="130486018">
      <w:bodyDiv w:val="1"/>
      <w:marLeft w:val="0"/>
      <w:marRight w:val="0"/>
      <w:marTop w:val="0"/>
      <w:marBottom w:val="0"/>
      <w:divBdr>
        <w:top w:val="none" w:sz="0" w:space="0" w:color="auto"/>
        <w:left w:val="none" w:sz="0" w:space="0" w:color="auto"/>
        <w:bottom w:val="none" w:sz="0" w:space="0" w:color="auto"/>
        <w:right w:val="none" w:sz="0" w:space="0" w:color="auto"/>
      </w:divBdr>
    </w:div>
    <w:div w:id="140774940">
      <w:bodyDiv w:val="1"/>
      <w:marLeft w:val="0"/>
      <w:marRight w:val="0"/>
      <w:marTop w:val="0"/>
      <w:marBottom w:val="0"/>
      <w:divBdr>
        <w:top w:val="none" w:sz="0" w:space="0" w:color="auto"/>
        <w:left w:val="none" w:sz="0" w:space="0" w:color="auto"/>
        <w:bottom w:val="none" w:sz="0" w:space="0" w:color="auto"/>
        <w:right w:val="none" w:sz="0" w:space="0" w:color="auto"/>
      </w:divBdr>
    </w:div>
    <w:div w:id="140847840">
      <w:bodyDiv w:val="1"/>
      <w:marLeft w:val="0"/>
      <w:marRight w:val="0"/>
      <w:marTop w:val="0"/>
      <w:marBottom w:val="0"/>
      <w:divBdr>
        <w:top w:val="none" w:sz="0" w:space="0" w:color="auto"/>
        <w:left w:val="none" w:sz="0" w:space="0" w:color="auto"/>
        <w:bottom w:val="none" w:sz="0" w:space="0" w:color="auto"/>
        <w:right w:val="none" w:sz="0" w:space="0" w:color="auto"/>
      </w:divBdr>
    </w:div>
    <w:div w:id="14929439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1692821">
      <w:bodyDiv w:val="1"/>
      <w:marLeft w:val="0"/>
      <w:marRight w:val="0"/>
      <w:marTop w:val="0"/>
      <w:marBottom w:val="0"/>
      <w:divBdr>
        <w:top w:val="none" w:sz="0" w:space="0" w:color="auto"/>
        <w:left w:val="none" w:sz="0" w:space="0" w:color="auto"/>
        <w:bottom w:val="none" w:sz="0" w:space="0" w:color="auto"/>
        <w:right w:val="none" w:sz="0" w:space="0" w:color="auto"/>
      </w:divBdr>
    </w:div>
    <w:div w:id="222176628">
      <w:bodyDiv w:val="1"/>
      <w:marLeft w:val="0"/>
      <w:marRight w:val="0"/>
      <w:marTop w:val="0"/>
      <w:marBottom w:val="0"/>
      <w:divBdr>
        <w:top w:val="none" w:sz="0" w:space="0" w:color="auto"/>
        <w:left w:val="none" w:sz="0" w:space="0" w:color="auto"/>
        <w:bottom w:val="none" w:sz="0" w:space="0" w:color="auto"/>
        <w:right w:val="none" w:sz="0" w:space="0" w:color="auto"/>
      </w:divBdr>
    </w:div>
    <w:div w:id="225918017">
      <w:bodyDiv w:val="1"/>
      <w:marLeft w:val="0"/>
      <w:marRight w:val="0"/>
      <w:marTop w:val="0"/>
      <w:marBottom w:val="0"/>
      <w:divBdr>
        <w:top w:val="none" w:sz="0" w:space="0" w:color="auto"/>
        <w:left w:val="none" w:sz="0" w:space="0" w:color="auto"/>
        <w:bottom w:val="none" w:sz="0" w:space="0" w:color="auto"/>
        <w:right w:val="none" w:sz="0" w:space="0" w:color="auto"/>
      </w:divBdr>
    </w:div>
    <w:div w:id="358312474">
      <w:bodyDiv w:val="1"/>
      <w:marLeft w:val="0"/>
      <w:marRight w:val="0"/>
      <w:marTop w:val="0"/>
      <w:marBottom w:val="0"/>
      <w:divBdr>
        <w:top w:val="none" w:sz="0" w:space="0" w:color="auto"/>
        <w:left w:val="none" w:sz="0" w:space="0" w:color="auto"/>
        <w:bottom w:val="none" w:sz="0" w:space="0" w:color="auto"/>
        <w:right w:val="none" w:sz="0" w:space="0" w:color="auto"/>
      </w:divBdr>
      <w:divsChild>
        <w:div w:id="682047222">
          <w:marLeft w:val="0"/>
          <w:marRight w:val="0"/>
          <w:marTop w:val="0"/>
          <w:marBottom w:val="0"/>
          <w:divBdr>
            <w:top w:val="none" w:sz="0" w:space="0" w:color="auto"/>
            <w:left w:val="none" w:sz="0" w:space="0" w:color="auto"/>
            <w:bottom w:val="none" w:sz="0" w:space="0" w:color="auto"/>
            <w:right w:val="none" w:sz="0" w:space="0" w:color="auto"/>
          </w:divBdr>
          <w:divsChild>
            <w:div w:id="1480879788">
              <w:marLeft w:val="0"/>
              <w:marRight w:val="0"/>
              <w:marTop w:val="0"/>
              <w:marBottom w:val="0"/>
              <w:divBdr>
                <w:top w:val="none" w:sz="0" w:space="0" w:color="auto"/>
                <w:left w:val="none" w:sz="0" w:space="0" w:color="auto"/>
                <w:bottom w:val="none" w:sz="0" w:space="0" w:color="auto"/>
                <w:right w:val="none" w:sz="0" w:space="0" w:color="auto"/>
              </w:divBdr>
            </w:div>
            <w:div w:id="16472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2778">
      <w:bodyDiv w:val="1"/>
      <w:marLeft w:val="0"/>
      <w:marRight w:val="0"/>
      <w:marTop w:val="0"/>
      <w:marBottom w:val="0"/>
      <w:divBdr>
        <w:top w:val="none" w:sz="0" w:space="0" w:color="auto"/>
        <w:left w:val="none" w:sz="0" w:space="0" w:color="auto"/>
        <w:bottom w:val="none" w:sz="0" w:space="0" w:color="auto"/>
        <w:right w:val="none" w:sz="0" w:space="0" w:color="auto"/>
      </w:divBdr>
    </w:div>
    <w:div w:id="550116278">
      <w:bodyDiv w:val="1"/>
      <w:marLeft w:val="0"/>
      <w:marRight w:val="0"/>
      <w:marTop w:val="0"/>
      <w:marBottom w:val="0"/>
      <w:divBdr>
        <w:top w:val="none" w:sz="0" w:space="0" w:color="auto"/>
        <w:left w:val="none" w:sz="0" w:space="0" w:color="auto"/>
        <w:bottom w:val="none" w:sz="0" w:space="0" w:color="auto"/>
        <w:right w:val="none" w:sz="0" w:space="0" w:color="auto"/>
      </w:divBdr>
    </w:div>
    <w:div w:id="599417372">
      <w:bodyDiv w:val="1"/>
      <w:marLeft w:val="0"/>
      <w:marRight w:val="0"/>
      <w:marTop w:val="0"/>
      <w:marBottom w:val="0"/>
      <w:divBdr>
        <w:top w:val="none" w:sz="0" w:space="0" w:color="auto"/>
        <w:left w:val="none" w:sz="0" w:space="0" w:color="auto"/>
        <w:bottom w:val="none" w:sz="0" w:space="0" w:color="auto"/>
        <w:right w:val="none" w:sz="0" w:space="0" w:color="auto"/>
      </w:divBdr>
    </w:div>
    <w:div w:id="624315697">
      <w:bodyDiv w:val="1"/>
      <w:marLeft w:val="0"/>
      <w:marRight w:val="0"/>
      <w:marTop w:val="0"/>
      <w:marBottom w:val="0"/>
      <w:divBdr>
        <w:top w:val="none" w:sz="0" w:space="0" w:color="auto"/>
        <w:left w:val="none" w:sz="0" w:space="0" w:color="auto"/>
        <w:bottom w:val="none" w:sz="0" w:space="0" w:color="auto"/>
        <w:right w:val="none" w:sz="0" w:space="0" w:color="auto"/>
      </w:divBdr>
    </w:div>
    <w:div w:id="656954523">
      <w:bodyDiv w:val="1"/>
      <w:marLeft w:val="0"/>
      <w:marRight w:val="0"/>
      <w:marTop w:val="0"/>
      <w:marBottom w:val="0"/>
      <w:divBdr>
        <w:top w:val="none" w:sz="0" w:space="0" w:color="auto"/>
        <w:left w:val="none" w:sz="0" w:space="0" w:color="auto"/>
        <w:bottom w:val="none" w:sz="0" w:space="0" w:color="auto"/>
        <w:right w:val="none" w:sz="0" w:space="0" w:color="auto"/>
      </w:divBdr>
      <w:divsChild>
        <w:div w:id="2118058846">
          <w:marLeft w:val="0"/>
          <w:marRight w:val="0"/>
          <w:marTop w:val="0"/>
          <w:marBottom w:val="0"/>
          <w:divBdr>
            <w:top w:val="none" w:sz="0" w:space="0" w:color="auto"/>
            <w:left w:val="none" w:sz="0" w:space="0" w:color="auto"/>
            <w:bottom w:val="none" w:sz="0" w:space="0" w:color="auto"/>
            <w:right w:val="none" w:sz="0" w:space="0" w:color="auto"/>
          </w:divBdr>
          <w:divsChild>
            <w:div w:id="680551624">
              <w:marLeft w:val="0"/>
              <w:marRight w:val="0"/>
              <w:marTop w:val="0"/>
              <w:marBottom w:val="0"/>
              <w:divBdr>
                <w:top w:val="none" w:sz="0" w:space="0" w:color="auto"/>
                <w:left w:val="none" w:sz="0" w:space="0" w:color="auto"/>
                <w:bottom w:val="none" w:sz="0" w:space="0" w:color="auto"/>
                <w:right w:val="none" w:sz="0" w:space="0" w:color="auto"/>
              </w:divBdr>
            </w:div>
            <w:div w:id="121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41316">
      <w:bodyDiv w:val="1"/>
      <w:marLeft w:val="0"/>
      <w:marRight w:val="0"/>
      <w:marTop w:val="0"/>
      <w:marBottom w:val="0"/>
      <w:divBdr>
        <w:top w:val="none" w:sz="0" w:space="0" w:color="auto"/>
        <w:left w:val="none" w:sz="0" w:space="0" w:color="auto"/>
        <w:bottom w:val="none" w:sz="0" w:space="0" w:color="auto"/>
        <w:right w:val="none" w:sz="0" w:space="0" w:color="auto"/>
      </w:divBdr>
    </w:div>
    <w:div w:id="792478004">
      <w:bodyDiv w:val="1"/>
      <w:marLeft w:val="0"/>
      <w:marRight w:val="0"/>
      <w:marTop w:val="0"/>
      <w:marBottom w:val="0"/>
      <w:divBdr>
        <w:top w:val="none" w:sz="0" w:space="0" w:color="auto"/>
        <w:left w:val="none" w:sz="0" w:space="0" w:color="auto"/>
        <w:bottom w:val="none" w:sz="0" w:space="0" w:color="auto"/>
        <w:right w:val="none" w:sz="0" w:space="0" w:color="auto"/>
      </w:divBdr>
    </w:div>
    <w:div w:id="855730415">
      <w:bodyDiv w:val="1"/>
      <w:marLeft w:val="0"/>
      <w:marRight w:val="0"/>
      <w:marTop w:val="0"/>
      <w:marBottom w:val="0"/>
      <w:divBdr>
        <w:top w:val="none" w:sz="0" w:space="0" w:color="auto"/>
        <w:left w:val="none" w:sz="0" w:space="0" w:color="auto"/>
        <w:bottom w:val="none" w:sz="0" w:space="0" w:color="auto"/>
        <w:right w:val="none" w:sz="0" w:space="0" w:color="auto"/>
      </w:divBdr>
    </w:div>
    <w:div w:id="891380148">
      <w:bodyDiv w:val="1"/>
      <w:marLeft w:val="0"/>
      <w:marRight w:val="0"/>
      <w:marTop w:val="0"/>
      <w:marBottom w:val="0"/>
      <w:divBdr>
        <w:top w:val="none" w:sz="0" w:space="0" w:color="auto"/>
        <w:left w:val="none" w:sz="0" w:space="0" w:color="auto"/>
        <w:bottom w:val="none" w:sz="0" w:space="0" w:color="auto"/>
        <w:right w:val="none" w:sz="0" w:space="0" w:color="auto"/>
      </w:divBdr>
    </w:div>
    <w:div w:id="1005597546">
      <w:bodyDiv w:val="1"/>
      <w:marLeft w:val="0"/>
      <w:marRight w:val="0"/>
      <w:marTop w:val="0"/>
      <w:marBottom w:val="0"/>
      <w:divBdr>
        <w:top w:val="none" w:sz="0" w:space="0" w:color="auto"/>
        <w:left w:val="none" w:sz="0" w:space="0" w:color="auto"/>
        <w:bottom w:val="none" w:sz="0" w:space="0" w:color="auto"/>
        <w:right w:val="none" w:sz="0" w:space="0" w:color="auto"/>
      </w:divBdr>
    </w:div>
    <w:div w:id="1007713698">
      <w:bodyDiv w:val="1"/>
      <w:marLeft w:val="0"/>
      <w:marRight w:val="0"/>
      <w:marTop w:val="0"/>
      <w:marBottom w:val="0"/>
      <w:divBdr>
        <w:top w:val="none" w:sz="0" w:space="0" w:color="auto"/>
        <w:left w:val="none" w:sz="0" w:space="0" w:color="auto"/>
        <w:bottom w:val="none" w:sz="0" w:space="0" w:color="auto"/>
        <w:right w:val="none" w:sz="0" w:space="0" w:color="auto"/>
      </w:divBdr>
    </w:div>
    <w:div w:id="1028684114">
      <w:bodyDiv w:val="1"/>
      <w:marLeft w:val="0"/>
      <w:marRight w:val="0"/>
      <w:marTop w:val="0"/>
      <w:marBottom w:val="0"/>
      <w:divBdr>
        <w:top w:val="none" w:sz="0" w:space="0" w:color="auto"/>
        <w:left w:val="none" w:sz="0" w:space="0" w:color="auto"/>
        <w:bottom w:val="none" w:sz="0" w:space="0" w:color="auto"/>
        <w:right w:val="none" w:sz="0" w:space="0" w:color="auto"/>
      </w:divBdr>
    </w:div>
    <w:div w:id="1059204131">
      <w:bodyDiv w:val="1"/>
      <w:marLeft w:val="0"/>
      <w:marRight w:val="0"/>
      <w:marTop w:val="0"/>
      <w:marBottom w:val="0"/>
      <w:divBdr>
        <w:top w:val="none" w:sz="0" w:space="0" w:color="auto"/>
        <w:left w:val="none" w:sz="0" w:space="0" w:color="auto"/>
        <w:bottom w:val="none" w:sz="0" w:space="0" w:color="auto"/>
        <w:right w:val="none" w:sz="0" w:space="0" w:color="auto"/>
      </w:divBdr>
    </w:div>
    <w:div w:id="1090274440">
      <w:bodyDiv w:val="1"/>
      <w:marLeft w:val="0"/>
      <w:marRight w:val="0"/>
      <w:marTop w:val="0"/>
      <w:marBottom w:val="0"/>
      <w:divBdr>
        <w:top w:val="none" w:sz="0" w:space="0" w:color="auto"/>
        <w:left w:val="none" w:sz="0" w:space="0" w:color="auto"/>
        <w:bottom w:val="none" w:sz="0" w:space="0" w:color="auto"/>
        <w:right w:val="none" w:sz="0" w:space="0" w:color="auto"/>
      </w:divBdr>
      <w:divsChild>
        <w:div w:id="818419198">
          <w:marLeft w:val="0"/>
          <w:marRight w:val="0"/>
          <w:marTop w:val="0"/>
          <w:marBottom w:val="0"/>
          <w:divBdr>
            <w:top w:val="none" w:sz="0" w:space="0" w:color="auto"/>
            <w:left w:val="none" w:sz="0" w:space="0" w:color="auto"/>
            <w:bottom w:val="none" w:sz="0" w:space="0" w:color="auto"/>
            <w:right w:val="none" w:sz="0" w:space="0" w:color="auto"/>
          </w:divBdr>
          <w:divsChild>
            <w:div w:id="1515071915">
              <w:marLeft w:val="0"/>
              <w:marRight w:val="0"/>
              <w:marTop w:val="0"/>
              <w:marBottom w:val="0"/>
              <w:divBdr>
                <w:top w:val="none" w:sz="0" w:space="0" w:color="auto"/>
                <w:left w:val="none" w:sz="0" w:space="0" w:color="auto"/>
                <w:bottom w:val="none" w:sz="0" w:space="0" w:color="auto"/>
                <w:right w:val="none" w:sz="0" w:space="0" w:color="auto"/>
              </w:divBdr>
            </w:div>
            <w:div w:id="7037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195">
      <w:bodyDiv w:val="1"/>
      <w:marLeft w:val="0"/>
      <w:marRight w:val="0"/>
      <w:marTop w:val="0"/>
      <w:marBottom w:val="0"/>
      <w:divBdr>
        <w:top w:val="none" w:sz="0" w:space="0" w:color="auto"/>
        <w:left w:val="none" w:sz="0" w:space="0" w:color="auto"/>
        <w:bottom w:val="none" w:sz="0" w:space="0" w:color="auto"/>
        <w:right w:val="none" w:sz="0" w:space="0" w:color="auto"/>
      </w:divBdr>
    </w:div>
    <w:div w:id="1189949353">
      <w:bodyDiv w:val="1"/>
      <w:marLeft w:val="0"/>
      <w:marRight w:val="0"/>
      <w:marTop w:val="0"/>
      <w:marBottom w:val="0"/>
      <w:divBdr>
        <w:top w:val="none" w:sz="0" w:space="0" w:color="auto"/>
        <w:left w:val="none" w:sz="0" w:space="0" w:color="auto"/>
        <w:bottom w:val="none" w:sz="0" w:space="0" w:color="auto"/>
        <w:right w:val="none" w:sz="0" w:space="0" w:color="auto"/>
      </w:divBdr>
    </w:div>
    <w:div w:id="1222516411">
      <w:bodyDiv w:val="1"/>
      <w:marLeft w:val="0"/>
      <w:marRight w:val="0"/>
      <w:marTop w:val="0"/>
      <w:marBottom w:val="0"/>
      <w:divBdr>
        <w:top w:val="none" w:sz="0" w:space="0" w:color="auto"/>
        <w:left w:val="none" w:sz="0" w:space="0" w:color="auto"/>
        <w:bottom w:val="none" w:sz="0" w:space="0" w:color="auto"/>
        <w:right w:val="none" w:sz="0" w:space="0" w:color="auto"/>
      </w:divBdr>
    </w:div>
    <w:div w:id="1267693235">
      <w:bodyDiv w:val="1"/>
      <w:marLeft w:val="0"/>
      <w:marRight w:val="0"/>
      <w:marTop w:val="0"/>
      <w:marBottom w:val="0"/>
      <w:divBdr>
        <w:top w:val="none" w:sz="0" w:space="0" w:color="auto"/>
        <w:left w:val="none" w:sz="0" w:space="0" w:color="auto"/>
        <w:bottom w:val="none" w:sz="0" w:space="0" w:color="auto"/>
        <w:right w:val="none" w:sz="0" w:space="0" w:color="auto"/>
      </w:divBdr>
      <w:divsChild>
        <w:div w:id="1436755435">
          <w:marLeft w:val="0"/>
          <w:marRight w:val="0"/>
          <w:marTop w:val="0"/>
          <w:marBottom w:val="0"/>
          <w:divBdr>
            <w:top w:val="none" w:sz="0" w:space="0" w:color="auto"/>
            <w:left w:val="none" w:sz="0" w:space="0" w:color="auto"/>
            <w:bottom w:val="none" w:sz="0" w:space="0" w:color="auto"/>
            <w:right w:val="none" w:sz="0" w:space="0" w:color="auto"/>
          </w:divBdr>
          <w:divsChild>
            <w:div w:id="1666783876">
              <w:marLeft w:val="0"/>
              <w:marRight w:val="0"/>
              <w:marTop w:val="0"/>
              <w:marBottom w:val="0"/>
              <w:divBdr>
                <w:top w:val="none" w:sz="0" w:space="0" w:color="auto"/>
                <w:left w:val="none" w:sz="0" w:space="0" w:color="auto"/>
                <w:bottom w:val="none" w:sz="0" w:space="0" w:color="auto"/>
                <w:right w:val="none" w:sz="0" w:space="0" w:color="auto"/>
              </w:divBdr>
            </w:div>
            <w:div w:id="14550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7676">
      <w:bodyDiv w:val="1"/>
      <w:marLeft w:val="0"/>
      <w:marRight w:val="0"/>
      <w:marTop w:val="0"/>
      <w:marBottom w:val="0"/>
      <w:divBdr>
        <w:top w:val="none" w:sz="0" w:space="0" w:color="auto"/>
        <w:left w:val="none" w:sz="0" w:space="0" w:color="auto"/>
        <w:bottom w:val="none" w:sz="0" w:space="0" w:color="auto"/>
        <w:right w:val="none" w:sz="0" w:space="0" w:color="auto"/>
      </w:divBdr>
    </w:div>
    <w:div w:id="1435134372">
      <w:bodyDiv w:val="1"/>
      <w:marLeft w:val="0"/>
      <w:marRight w:val="0"/>
      <w:marTop w:val="0"/>
      <w:marBottom w:val="0"/>
      <w:divBdr>
        <w:top w:val="none" w:sz="0" w:space="0" w:color="auto"/>
        <w:left w:val="none" w:sz="0" w:space="0" w:color="auto"/>
        <w:bottom w:val="none" w:sz="0" w:space="0" w:color="auto"/>
        <w:right w:val="none" w:sz="0" w:space="0" w:color="auto"/>
      </w:divBdr>
    </w:div>
    <w:div w:id="1501965213">
      <w:bodyDiv w:val="1"/>
      <w:marLeft w:val="0"/>
      <w:marRight w:val="0"/>
      <w:marTop w:val="0"/>
      <w:marBottom w:val="0"/>
      <w:divBdr>
        <w:top w:val="none" w:sz="0" w:space="0" w:color="auto"/>
        <w:left w:val="none" w:sz="0" w:space="0" w:color="auto"/>
        <w:bottom w:val="none" w:sz="0" w:space="0" w:color="auto"/>
        <w:right w:val="none" w:sz="0" w:space="0" w:color="auto"/>
      </w:divBdr>
    </w:div>
    <w:div w:id="1573807622">
      <w:bodyDiv w:val="1"/>
      <w:marLeft w:val="0"/>
      <w:marRight w:val="0"/>
      <w:marTop w:val="0"/>
      <w:marBottom w:val="0"/>
      <w:divBdr>
        <w:top w:val="none" w:sz="0" w:space="0" w:color="auto"/>
        <w:left w:val="none" w:sz="0" w:space="0" w:color="auto"/>
        <w:bottom w:val="none" w:sz="0" w:space="0" w:color="auto"/>
        <w:right w:val="none" w:sz="0" w:space="0" w:color="auto"/>
      </w:divBdr>
    </w:div>
    <w:div w:id="1577397396">
      <w:bodyDiv w:val="1"/>
      <w:marLeft w:val="0"/>
      <w:marRight w:val="0"/>
      <w:marTop w:val="0"/>
      <w:marBottom w:val="0"/>
      <w:divBdr>
        <w:top w:val="none" w:sz="0" w:space="0" w:color="auto"/>
        <w:left w:val="none" w:sz="0" w:space="0" w:color="auto"/>
        <w:bottom w:val="none" w:sz="0" w:space="0" w:color="auto"/>
        <w:right w:val="none" w:sz="0" w:space="0" w:color="auto"/>
      </w:divBdr>
    </w:div>
    <w:div w:id="1768502551">
      <w:bodyDiv w:val="1"/>
      <w:marLeft w:val="0"/>
      <w:marRight w:val="0"/>
      <w:marTop w:val="0"/>
      <w:marBottom w:val="0"/>
      <w:divBdr>
        <w:top w:val="none" w:sz="0" w:space="0" w:color="auto"/>
        <w:left w:val="none" w:sz="0" w:space="0" w:color="auto"/>
        <w:bottom w:val="none" w:sz="0" w:space="0" w:color="auto"/>
        <w:right w:val="none" w:sz="0" w:space="0" w:color="auto"/>
      </w:divBdr>
    </w:div>
    <w:div w:id="1795901714">
      <w:bodyDiv w:val="1"/>
      <w:marLeft w:val="0"/>
      <w:marRight w:val="0"/>
      <w:marTop w:val="0"/>
      <w:marBottom w:val="0"/>
      <w:divBdr>
        <w:top w:val="none" w:sz="0" w:space="0" w:color="auto"/>
        <w:left w:val="none" w:sz="0" w:space="0" w:color="auto"/>
        <w:bottom w:val="none" w:sz="0" w:space="0" w:color="auto"/>
        <w:right w:val="none" w:sz="0" w:space="0" w:color="auto"/>
      </w:divBdr>
    </w:div>
    <w:div w:id="1903759594">
      <w:bodyDiv w:val="1"/>
      <w:marLeft w:val="0"/>
      <w:marRight w:val="0"/>
      <w:marTop w:val="0"/>
      <w:marBottom w:val="0"/>
      <w:divBdr>
        <w:top w:val="none" w:sz="0" w:space="0" w:color="auto"/>
        <w:left w:val="none" w:sz="0" w:space="0" w:color="auto"/>
        <w:bottom w:val="none" w:sz="0" w:space="0" w:color="auto"/>
        <w:right w:val="none" w:sz="0" w:space="0" w:color="auto"/>
      </w:divBdr>
    </w:div>
    <w:div w:id="1992172857">
      <w:bodyDiv w:val="1"/>
      <w:marLeft w:val="0"/>
      <w:marRight w:val="0"/>
      <w:marTop w:val="0"/>
      <w:marBottom w:val="0"/>
      <w:divBdr>
        <w:top w:val="none" w:sz="0" w:space="0" w:color="auto"/>
        <w:left w:val="none" w:sz="0" w:space="0" w:color="auto"/>
        <w:bottom w:val="none" w:sz="0" w:space="0" w:color="auto"/>
        <w:right w:val="none" w:sz="0" w:space="0" w:color="auto"/>
      </w:divBdr>
      <w:divsChild>
        <w:div w:id="454760036">
          <w:marLeft w:val="0"/>
          <w:marRight w:val="0"/>
          <w:marTop w:val="0"/>
          <w:marBottom w:val="0"/>
          <w:divBdr>
            <w:top w:val="none" w:sz="0" w:space="0" w:color="auto"/>
            <w:left w:val="none" w:sz="0" w:space="0" w:color="auto"/>
            <w:bottom w:val="none" w:sz="0" w:space="0" w:color="auto"/>
            <w:right w:val="none" w:sz="0" w:space="0" w:color="auto"/>
          </w:divBdr>
          <w:divsChild>
            <w:div w:id="322857635">
              <w:marLeft w:val="0"/>
              <w:marRight w:val="0"/>
              <w:marTop w:val="0"/>
              <w:marBottom w:val="0"/>
              <w:divBdr>
                <w:top w:val="none" w:sz="0" w:space="0" w:color="auto"/>
                <w:left w:val="none" w:sz="0" w:space="0" w:color="auto"/>
                <w:bottom w:val="none" w:sz="0" w:space="0" w:color="auto"/>
                <w:right w:val="none" w:sz="0" w:space="0" w:color="auto"/>
              </w:divBdr>
            </w:div>
            <w:div w:id="5819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9811">
      <w:bodyDiv w:val="1"/>
      <w:marLeft w:val="0"/>
      <w:marRight w:val="0"/>
      <w:marTop w:val="0"/>
      <w:marBottom w:val="0"/>
      <w:divBdr>
        <w:top w:val="none" w:sz="0" w:space="0" w:color="auto"/>
        <w:left w:val="none" w:sz="0" w:space="0" w:color="auto"/>
        <w:bottom w:val="none" w:sz="0" w:space="0" w:color="auto"/>
        <w:right w:val="none" w:sz="0" w:space="0" w:color="auto"/>
      </w:divBdr>
      <w:divsChild>
        <w:div w:id="1391807113">
          <w:marLeft w:val="0"/>
          <w:marRight w:val="0"/>
          <w:marTop w:val="0"/>
          <w:marBottom w:val="0"/>
          <w:divBdr>
            <w:top w:val="none" w:sz="0" w:space="0" w:color="auto"/>
            <w:left w:val="none" w:sz="0" w:space="0" w:color="auto"/>
            <w:bottom w:val="none" w:sz="0" w:space="0" w:color="auto"/>
            <w:right w:val="none" w:sz="0" w:space="0" w:color="auto"/>
          </w:divBdr>
          <w:divsChild>
            <w:div w:id="19282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1017">
      <w:bodyDiv w:val="1"/>
      <w:marLeft w:val="0"/>
      <w:marRight w:val="0"/>
      <w:marTop w:val="0"/>
      <w:marBottom w:val="0"/>
      <w:divBdr>
        <w:top w:val="none" w:sz="0" w:space="0" w:color="auto"/>
        <w:left w:val="none" w:sz="0" w:space="0" w:color="auto"/>
        <w:bottom w:val="none" w:sz="0" w:space="0" w:color="auto"/>
        <w:right w:val="none" w:sz="0" w:space="0" w:color="auto"/>
      </w:divBdr>
    </w:div>
    <w:div w:id="2138251353">
      <w:bodyDiv w:val="1"/>
      <w:marLeft w:val="0"/>
      <w:marRight w:val="0"/>
      <w:marTop w:val="0"/>
      <w:marBottom w:val="0"/>
      <w:divBdr>
        <w:top w:val="none" w:sz="0" w:space="0" w:color="auto"/>
        <w:left w:val="none" w:sz="0" w:space="0" w:color="auto"/>
        <w:bottom w:val="none" w:sz="0" w:space="0" w:color="auto"/>
        <w:right w:val="none" w:sz="0" w:space="0" w:color="auto"/>
      </w:divBdr>
    </w:div>
    <w:div w:id="21441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102</TotalTime>
  <Pages>11</Pages>
  <Words>3136</Words>
  <Characters>20878</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2022040678 mt</dc:description>
  <cp:lastModifiedBy>Hanne Thy Iversen</cp:lastModifiedBy>
  <cp:revision>5</cp:revision>
  <cp:lastPrinted>2012-08-22T08:53:00Z</cp:lastPrinted>
  <dcterms:created xsi:type="dcterms:W3CDTF">2024-06-24T09:03:00Z</dcterms:created>
  <dcterms:modified xsi:type="dcterms:W3CDTF">2024-06-28T09:35:00Z</dcterms:modified>
</cp:coreProperties>
</file>