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40" w:rsidRPr="008F49E1" w:rsidRDefault="008F2C40" w:rsidP="008F2C40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1B12408" wp14:editId="73C0101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F2C40" w:rsidRPr="00C84483" w:rsidRDefault="008F2C40" w:rsidP="008F2C40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A19C9">
        <w:rPr>
          <w:szCs w:val="24"/>
        </w:rPr>
        <w:t>24. maj 2023</w:t>
      </w:r>
    </w:p>
    <w:p w:rsidR="008F2C40" w:rsidRPr="00C84483" w:rsidRDefault="008F2C40" w:rsidP="008F2C40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B619BC" w:rsidRDefault="00B619BC" w:rsidP="008F2C40">
      <w:pPr>
        <w:pStyle w:val="Titel"/>
        <w:jc w:val="left"/>
        <w:rPr>
          <w:b w:val="0"/>
          <w:szCs w:val="24"/>
        </w:rPr>
      </w:pPr>
    </w:p>
    <w:p w:rsidR="009D7F91" w:rsidRPr="00C84483" w:rsidRDefault="009D7F91" w:rsidP="008F2C40">
      <w:pPr>
        <w:pStyle w:val="Titel"/>
        <w:jc w:val="left"/>
        <w:rPr>
          <w:b w:val="0"/>
          <w:szCs w:val="24"/>
        </w:rPr>
      </w:pPr>
    </w:p>
    <w:p w:rsidR="008F2C40" w:rsidRPr="001C5007" w:rsidRDefault="008F2C40" w:rsidP="008F2C40">
      <w:pPr>
        <w:jc w:val="center"/>
        <w:rPr>
          <w:b/>
          <w:sz w:val="24"/>
          <w:szCs w:val="24"/>
        </w:rPr>
      </w:pPr>
      <w:r w:rsidRPr="001C5007">
        <w:rPr>
          <w:b/>
          <w:sz w:val="24"/>
          <w:szCs w:val="24"/>
        </w:rPr>
        <w:t>PRODUKTRESUMÉ</w:t>
      </w:r>
    </w:p>
    <w:p w:rsidR="008F2C40" w:rsidRPr="001C5007" w:rsidRDefault="008F2C40" w:rsidP="008F2C40">
      <w:pPr>
        <w:jc w:val="center"/>
        <w:rPr>
          <w:b/>
          <w:sz w:val="24"/>
          <w:szCs w:val="24"/>
        </w:rPr>
      </w:pPr>
    </w:p>
    <w:p w:rsidR="008F2C40" w:rsidRPr="001C5007" w:rsidRDefault="008F2C40" w:rsidP="008F2C40">
      <w:pPr>
        <w:jc w:val="center"/>
        <w:rPr>
          <w:b/>
          <w:sz w:val="24"/>
          <w:szCs w:val="24"/>
        </w:rPr>
      </w:pPr>
      <w:r w:rsidRPr="001C5007">
        <w:rPr>
          <w:b/>
          <w:sz w:val="24"/>
          <w:szCs w:val="24"/>
        </w:rPr>
        <w:t>for</w:t>
      </w:r>
    </w:p>
    <w:p w:rsidR="008F2C40" w:rsidRPr="001C5007" w:rsidRDefault="008F2C40" w:rsidP="008F2C40">
      <w:pPr>
        <w:jc w:val="center"/>
        <w:rPr>
          <w:b/>
          <w:sz w:val="24"/>
          <w:szCs w:val="24"/>
        </w:rPr>
      </w:pPr>
    </w:p>
    <w:p w:rsidR="008F2C40" w:rsidRPr="001C5007" w:rsidRDefault="008F2C40" w:rsidP="008F2C40">
      <w:pPr>
        <w:jc w:val="center"/>
        <w:rPr>
          <w:b/>
          <w:sz w:val="24"/>
          <w:szCs w:val="24"/>
        </w:rPr>
      </w:pPr>
      <w:proofErr w:type="spellStart"/>
      <w:r w:rsidRPr="001C5007">
        <w:rPr>
          <w:b/>
          <w:sz w:val="24"/>
          <w:szCs w:val="24"/>
        </w:rPr>
        <w:t>Methenamine</w:t>
      </w:r>
      <w:proofErr w:type="spellEnd"/>
      <w:r w:rsidRPr="001C500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</w:t>
      </w:r>
      <w:r w:rsidRPr="001C5007">
        <w:rPr>
          <w:b/>
          <w:sz w:val="24"/>
          <w:szCs w:val="24"/>
        </w:rPr>
        <w:t>ippurate</w:t>
      </w:r>
      <w:proofErr w:type="spellEnd"/>
      <w:r w:rsidRPr="001C50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"EQL Pharma"</w:t>
      </w:r>
      <w:r w:rsidRPr="001C5007">
        <w:rPr>
          <w:b/>
          <w:sz w:val="24"/>
          <w:szCs w:val="24"/>
        </w:rPr>
        <w:t>, tabletter</w:t>
      </w:r>
    </w:p>
    <w:p w:rsidR="008F2C40" w:rsidRPr="001C5007" w:rsidRDefault="008F2C40" w:rsidP="008F2C40">
      <w:pPr>
        <w:jc w:val="both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jc w:val="both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0.</w:t>
      </w:r>
      <w:r w:rsidRPr="000A02D9">
        <w:rPr>
          <w:b/>
          <w:sz w:val="24"/>
          <w:szCs w:val="24"/>
        </w:rPr>
        <w:tab/>
        <w:t>D.SP.NR.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A02D9">
        <w:rPr>
          <w:sz w:val="24"/>
          <w:szCs w:val="24"/>
        </w:rPr>
        <w:t>31031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1.</w:t>
      </w:r>
      <w:r w:rsidRPr="000A02D9">
        <w:rPr>
          <w:b/>
          <w:sz w:val="24"/>
          <w:szCs w:val="24"/>
        </w:rPr>
        <w:tab/>
        <w:t>LÆGEMIDLETS NAVN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0A02D9">
        <w:rPr>
          <w:sz w:val="24"/>
          <w:szCs w:val="24"/>
        </w:rPr>
        <w:t>ippurate</w:t>
      </w:r>
      <w:proofErr w:type="spellEnd"/>
      <w:r w:rsidRPr="000A02D9">
        <w:rPr>
          <w:sz w:val="24"/>
          <w:szCs w:val="24"/>
        </w:rPr>
        <w:t xml:space="preserve"> "EQL Pharma"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2.</w:t>
      </w:r>
      <w:r w:rsidRPr="000A02D9">
        <w:rPr>
          <w:b/>
          <w:sz w:val="24"/>
          <w:szCs w:val="24"/>
        </w:rPr>
        <w:tab/>
        <w:t>KVALITATIV OG KVANTITATIV SAMMENSÆTNING</w:t>
      </w:r>
    </w:p>
    <w:p w:rsidR="008F2C40" w:rsidRPr="000A02D9" w:rsidRDefault="008F2C40" w:rsidP="00200226">
      <w:pPr>
        <w:suppressAutoHyphens/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En tablet indeholder </w:t>
      </w:r>
      <w:proofErr w:type="spellStart"/>
      <w:r w:rsidRPr="000A02D9">
        <w:rPr>
          <w:sz w:val="24"/>
          <w:szCs w:val="24"/>
        </w:rPr>
        <w:t>methenaminhippurat</w:t>
      </w:r>
      <w:proofErr w:type="spellEnd"/>
      <w:r w:rsidRPr="000A02D9">
        <w:rPr>
          <w:sz w:val="24"/>
          <w:szCs w:val="24"/>
        </w:rPr>
        <w:t xml:space="preserve"> 1 g.</w:t>
      </w:r>
    </w:p>
    <w:p w:rsidR="00200226" w:rsidRDefault="00200226" w:rsidP="00200226">
      <w:pPr>
        <w:ind w:left="851"/>
        <w:rPr>
          <w:sz w:val="24"/>
          <w:szCs w:val="24"/>
        </w:rPr>
      </w:pP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Alle hjælpestoffer er anført under pkt. 6.1.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3.</w:t>
      </w:r>
      <w:r w:rsidRPr="000A02D9">
        <w:rPr>
          <w:b/>
          <w:sz w:val="24"/>
          <w:szCs w:val="24"/>
        </w:rPr>
        <w:tab/>
        <w:t>LÆGEMIDDELFORM</w:t>
      </w:r>
    </w:p>
    <w:p w:rsidR="008F2C40" w:rsidRPr="000A02D9" w:rsidRDefault="008F2C40" w:rsidP="008F2C40">
      <w:pPr>
        <w:suppressAutoHyphens/>
        <w:ind w:left="851"/>
        <w:rPr>
          <w:spacing w:val="-3"/>
          <w:sz w:val="24"/>
          <w:szCs w:val="24"/>
        </w:rPr>
      </w:pPr>
      <w:r w:rsidRPr="000A02D9">
        <w:rPr>
          <w:spacing w:val="-3"/>
          <w:sz w:val="24"/>
          <w:szCs w:val="24"/>
        </w:rPr>
        <w:t>Tablett</w:t>
      </w:r>
      <w:r>
        <w:rPr>
          <w:spacing w:val="-3"/>
          <w:sz w:val="24"/>
          <w:szCs w:val="24"/>
        </w:rPr>
        <w:t>er</w:t>
      </w:r>
    </w:p>
    <w:p w:rsidR="008F2C40" w:rsidRPr="000A02D9" w:rsidRDefault="008F2C40" w:rsidP="008F2C40">
      <w:pPr>
        <w:suppressAutoHyphens/>
        <w:ind w:left="851"/>
        <w:rPr>
          <w:sz w:val="24"/>
          <w:szCs w:val="24"/>
        </w:rPr>
      </w:pPr>
      <w:r w:rsidRPr="000A02D9">
        <w:rPr>
          <w:sz w:val="24"/>
          <w:szCs w:val="24"/>
        </w:rPr>
        <w:t>Hvide til offwhite, kapselformede, ikke</w:t>
      </w:r>
      <w:r>
        <w:rPr>
          <w:sz w:val="24"/>
          <w:szCs w:val="24"/>
        </w:rPr>
        <w:t>-</w:t>
      </w:r>
      <w:r w:rsidRPr="000A02D9">
        <w:rPr>
          <w:sz w:val="24"/>
          <w:szCs w:val="24"/>
        </w:rPr>
        <w:t>filmovertrukne tabletter.</w:t>
      </w:r>
    </w:p>
    <w:p w:rsidR="008F2C40" w:rsidRPr="000A02D9" w:rsidRDefault="008F2C40" w:rsidP="008F2C40">
      <w:pPr>
        <w:suppressAutoHyphens/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Dimension 18,9 </w:t>
      </w:r>
      <w:r>
        <w:rPr>
          <w:sz w:val="24"/>
          <w:szCs w:val="24"/>
        </w:rPr>
        <w:t>×</w:t>
      </w:r>
      <w:r w:rsidRPr="000A02D9">
        <w:rPr>
          <w:sz w:val="24"/>
          <w:szCs w:val="24"/>
        </w:rPr>
        <w:t xml:space="preserve"> 7,9 mm.</w:t>
      </w:r>
    </w:p>
    <w:p w:rsidR="008F2C40" w:rsidRPr="000A02D9" w:rsidRDefault="008F2C40" w:rsidP="008F2C40">
      <w:pPr>
        <w:suppressAutoHyphens/>
        <w:ind w:left="851"/>
        <w:rPr>
          <w:sz w:val="24"/>
          <w:szCs w:val="24"/>
        </w:rPr>
      </w:pPr>
      <w:r w:rsidRPr="000A02D9">
        <w:rPr>
          <w:sz w:val="24"/>
          <w:szCs w:val="24"/>
        </w:rPr>
        <w:t>Tabletten kan deles i to lige store doser.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</w:t>
      </w:r>
      <w:r w:rsidRPr="000A02D9">
        <w:rPr>
          <w:b/>
          <w:sz w:val="24"/>
          <w:szCs w:val="24"/>
        </w:rPr>
        <w:tab/>
        <w:t>KLINISKE OPLYSNINGER</w:t>
      </w: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  <w:u w:val="single"/>
        </w:rPr>
      </w:pPr>
      <w:r w:rsidRPr="000A02D9">
        <w:rPr>
          <w:b/>
          <w:sz w:val="24"/>
          <w:szCs w:val="24"/>
        </w:rPr>
        <w:t>4.1</w:t>
      </w:r>
      <w:r w:rsidRPr="000A02D9">
        <w:rPr>
          <w:b/>
          <w:sz w:val="24"/>
          <w:szCs w:val="24"/>
        </w:rPr>
        <w:tab/>
        <w:t>Terapeutiske indikationer</w:t>
      </w:r>
    </w:p>
    <w:p w:rsidR="008F2C40" w:rsidRPr="000A02D9" w:rsidRDefault="008F2C40" w:rsidP="008F2C40">
      <w:pPr>
        <w:suppressAutoHyphens/>
        <w:ind w:left="851"/>
        <w:rPr>
          <w:sz w:val="24"/>
          <w:szCs w:val="24"/>
        </w:rPr>
      </w:pP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 xml:space="preserve"> er angivet ved profylakse af ukomplicerede nedre urinvejsinfektioner:</w:t>
      </w:r>
    </w:p>
    <w:p w:rsidR="008F2C40" w:rsidRPr="000A02D9" w:rsidRDefault="008F2C40" w:rsidP="008F2C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Som langvarig profylaktisk terapi efter indledende behandling med passende kemoterapeutisk middel af tilbagevendende urininfektioner.</w:t>
      </w:r>
    </w:p>
    <w:p w:rsidR="008F2C40" w:rsidRPr="000A02D9" w:rsidRDefault="008F2C40" w:rsidP="008F2C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Som langsigtet terapi til forebyggelse af tilbagevendende blærebetændelse.</w:t>
      </w:r>
    </w:p>
    <w:p w:rsidR="008F2C40" w:rsidRPr="000A02D9" w:rsidRDefault="008F2C40" w:rsidP="008F2C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At tilvejebringe profylakse hos patienter med indbyggede katetre, urinsamler osv. Og for at reducere forekomsten af kateterblokering.</w:t>
      </w:r>
    </w:p>
    <w:p w:rsidR="008F2C40" w:rsidRPr="000A02D9" w:rsidRDefault="008F2C40" w:rsidP="008F2C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At tilvejebringe profylakse mod indførelsen af infektion i urinvejene under instrumentelle procedurer.</w:t>
      </w:r>
    </w:p>
    <w:p w:rsidR="008F2C40" w:rsidRPr="000A02D9" w:rsidRDefault="008F2C40" w:rsidP="008F2C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 xml:space="preserve">Asymptomatisk </w:t>
      </w:r>
      <w:proofErr w:type="spellStart"/>
      <w:r w:rsidRPr="000A02D9">
        <w:rPr>
          <w:sz w:val="24"/>
          <w:szCs w:val="24"/>
        </w:rPr>
        <w:t>bakteriuri</w:t>
      </w:r>
      <w:proofErr w:type="spellEnd"/>
      <w:r w:rsidRPr="000A02D9">
        <w:rPr>
          <w:sz w:val="24"/>
          <w:szCs w:val="24"/>
        </w:rPr>
        <w:t>.</w:t>
      </w:r>
    </w:p>
    <w:p w:rsidR="009D7F91" w:rsidRDefault="009D7F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8F2C40" w:rsidRDefault="008F2C40" w:rsidP="008F2C40">
      <w:pPr>
        <w:ind w:left="851" w:hanging="851"/>
        <w:rPr>
          <w:noProof/>
          <w:sz w:val="24"/>
          <w:szCs w:val="24"/>
          <w:u w:val="single"/>
        </w:rPr>
      </w:pPr>
    </w:p>
    <w:p w:rsidR="008F2C40" w:rsidRPr="000A02D9" w:rsidRDefault="008F2C40" w:rsidP="00200226">
      <w:pPr>
        <w:ind w:left="851"/>
        <w:rPr>
          <w:noProof/>
          <w:sz w:val="24"/>
          <w:szCs w:val="24"/>
          <w:u w:val="single"/>
        </w:rPr>
      </w:pPr>
      <w:r w:rsidRPr="000A02D9">
        <w:rPr>
          <w:noProof/>
          <w:sz w:val="24"/>
          <w:szCs w:val="24"/>
          <w:u w:val="single"/>
        </w:rPr>
        <w:t>Dosering</w:t>
      </w:r>
    </w:p>
    <w:p w:rsidR="008F2C40" w:rsidRPr="000A02D9" w:rsidRDefault="008F2C40" w:rsidP="00200226">
      <w:pPr>
        <w:pStyle w:val="Formatere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851"/>
        <w:rPr>
          <w:rFonts w:ascii="Times New Roman" w:hAnsi="Times New Roman" w:cs="Times New Roman"/>
          <w:color w:val="222222"/>
          <w:sz w:val="24"/>
          <w:szCs w:val="24"/>
          <w:lang w:val="da-DK"/>
        </w:rPr>
      </w:pP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i/>
          <w:sz w:val="24"/>
          <w:szCs w:val="24"/>
        </w:rPr>
        <w:t>Voksne:</w:t>
      </w:r>
      <w:r w:rsidRPr="000A02D9">
        <w:rPr>
          <w:sz w:val="24"/>
          <w:szCs w:val="24"/>
        </w:rPr>
        <w:t xml:space="preserve"> 1 g 2 gange om dagen.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Hos patienter med katetre kan dosen øges til 1 g 3 gange dagligt.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i/>
          <w:sz w:val="24"/>
          <w:szCs w:val="24"/>
        </w:rPr>
        <w:t>Børn 6-12 år:</w:t>
      </w:r>
      <w:r w:rsidRPr="000A02D9">
        <w:rPr>
          <w:sz w:val="24"/>
          <w:szCs w:val="24"/>
        </w:rPr>
        <w:t xml:space="preserve"> 0,5 g 2 gange dagligt.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i/>
          <w:sz w:val="24"/>
          <w:szCs w:val="24"/>
        </w:rPr>
        <w:t>Børn over 12 år:</w:t>
      </w:r>
      <w:r w:rsidRPr="000A02D9">
        <w:rPr>
          <w:sz w:val="24"/>
          <w:szCs w:val="24"/>
        </w:rPr>
        <w:t xml:space="preserve"> 1 g 2 gange dagligt.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I tilfælde af alkalisk urin-pH kan der være behov for forsyning af forsurende middel.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</w:p>
    <w:p w:rsidR="008F2C40" w:rsidRPr="000A02D9" w:rsidRDefault="008F2C40" w:rsidP="00200226">
      <w:pPr>
        <w:ind w:left="851"/>
        <w:rPr>
          <w:sz w:val="24"/>
          <w:szCs w:val="24"/>
          <w:u w:val="single"/>
        </w:rPr>
      </w:pPr>
      <w:r w:rsidRPr="000A02D9">
        <w:rPr>
          <w:sz w:val="24"/>
          <w:szCs w:val="24"/>
          <w:u w:val="single"/>
        </w:rPr>
        <w:t>Administration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Til oral administration.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Tabletterne kan halveres eller knuses og tages med vand, hvis patienten ikke er i stand til at sluge hele tabletter</w:t>
      </w:r>
      <w:r>
        <w:rPr>
          <w:sz w:val="24"/>
          <w:szCs w:val="24"/>
        </w:rPr>
        <w:t>.</w:t>
      </w:r>
    </w:p>
    <w:p w:rsidR="008F2C40" w:rsidRPr="000A02D9" w:rsidRDefault="008F2C40" w:rsidP="00200226">
      <w:pPr>
        <w:ind w:left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4.3</w:t>
      </w:r>
      <w:r w:rsidRPr="000A02D9">
        <w:rPr>
          <w:b/>
          <w:sz w:val="24"/>
          <w:szCs w:val="24"/>
        </w:rPr>
        <w:tab/>
        <w:t>Kontraindikationer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 xml:space="preserve"> er kontraindiceret hos patienter med:</w:t>
      </w:r>
    </w:p>
    <w:p w:rsidR="008F2C40" w:rsidRPr="000A02D9" w:rsidRDefault="008F2C40" w:rsidP="008F2C4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Overfølsomhed over</w:t>
      </w:r>
      <w:r>
        <w:rPr>
          <w:sz w:val="24"/>
          <w:szCs w:val="24"/>
        </w:rPr>
        <w:t xml:space="preserve"> </w:t>
      </w:r>
      <w:r w:rsidRPr="000A02D9">
        <w:rPr>
          <w:sz w:val="24"/>
          <w:szCs w:val="24"/>
        </w:rPr>
        <w:t xml:space="preserve">for det aktive stof eller over for et eller flere af hjælpestofferne, der er anført i </w:t>
      </w:r>
      <w:r>
        <w:rPr>
          <w:sz w:val="24"/>
          <w:szCs w:val="24"/>
        </w:rPr>
        <w:t>pkt.</w:t>
      </w:r>
      <w:r w:rsidRPr="000A02D9">
        <w:rPr>
          <w:sz w:val="24"/>
          <w:szCs w:val="24"/>
        </w:rPr>
        <w:t xml:space="preserve"> 6.1.</w:t>
      </w:r>
    </w:p>
    <w:p w:rsidR="008F2C40" w:rsidRPr="000A02D9" w:rsidRDefault="008F2C40" w:rsidP="008F2C4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Intolerance eller allergiske reaktioner på formalin.</w:t>
      </w:r>
    </w:p>
    <w:p w:rsidR="008F2C40" w:rsidRPr="000A02D9" w:rsidRDefault="008F2C40" w:rsidP="008F2C4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Nyresvigt, alvorlig dehydrering og gigt.</w:t>
      </w:r>
    </w:p>
    <w:p w:rsidR="008F2C40" w:rsidRPr="000A02D9" w:rsidRDefault="008F2C40" w:rsidP="008F2C4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Nedsat leverfunktion.</w:t>
      </w:r>
    </w:p>
    <w:p w:rsidR="008F2C40" w:rsidRPr="000A02D9" w:rsidRDefault="008F2C40" w:rsidP="008F2C4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 xml:space="preserve">Metabolisk </w:t>
      </w:r>
      <w:proofErr w:type="spellStart"/>
      <w:r w:rsidRPr="000A02D9">
        <w:rPr>
          <w:sz w:val="24"/>
          <w:szCs w:val="24"/>
        </w:rPr>
        <w:t>acidose</w:t>
      </w:r>
      <w:proofErr w:type="spellEnd"/>
      <w:r w:rsidRPr="000A02D9">
        <w:rPr>
          <w:sz w:val="24"/>
          <w:szCs w:val="24"/>
        </w:rPr>
        <w:t>.</w:t>
      </w:r>
    </w:p>
    <w:p w:rsidR="008F2C40" w:rsidRPr="000A02D9" w:rsidRDefault="008F2C40" w:rsidP="008F2C4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0A02D9">
        <w:rPr>
          <w:sz w:val="24"/>
          <w:szCs w:val="24"/>
        </w:rPr>
        <w:t>Nyreinfektion.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/>
        <w:rPr>
          <w:sz w:val="24"/>
          <w:szCs w:val="24"/>
        </w:rPr>
      </w:pP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 xml:space="preserve"> bør ikke gives samtidig med sulfonamider på grund af muligheden for </w:t>
      </w:r>
      <w:proofErr w:type="spellStart"/>
      <w:r w:rsidRPr="000A02D9">
        <w:rPr>
          <w:sz w:val="24"/>
          <w:szCs w:val="24"/>
        </w:rPr>
        <w:t>krystalluri</w:t>
      </w:r>
      <w:proofErr w:type="spellEnd"/>
      <w:r w:rsidRPr="000A02D9">
        <w:rPr>
          <w:sz w:val="24"/>
          <w:szCs w:val="24"/>
        </w:rPr>
        <w:t>.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Alkaliske midler reducerer virkningen af </w:t>
      </w:r>
      <w:proofErr w:type="spellStart"/>
      <w:r w:rsidRPr="000A02D9">
        <w:rPr>
          <w:sz w:val="24"/>
          <w:szCs w:val="24"/>
        </w:rPr>
        <w:t>methenamin</w:t>
      </w:r>
      <w:proofErr w:type="spellEnd"/>
      <w:r w:rsidRPr="000A02D9">
        <w:rPr>
          <w:sz w:val="24"/>
          <w:szCs w:val="24"/>
        </w:rPr>
        <w:t xml:space="preserve"> og bør undgås, </w:t>
      </w:r>
      <w:proofErr w:type="spellStart"/>
      <w:r w:rsidRPr="000A02D9">
        <w:rPr>
          <w:sz w:val="24"/>
          <w:szCs w:val="24"/>
        </w:rPr>
        <w:t>antacida</w:t>
      </w:r>
      <w:proofErr w:type="spellEnd"/>
      <w:r w:rsidRPr="000A02D9">
        <w:rPr>
          <w:sz w:val="24"/>
          <w:szCs w:val="24"/>
        </w:rPr>
        <w:t xml:space="preserve"> kan forårsage en forøgelse af urin-pH og dermed mindske effekten af </w:t>
      </w: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>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4.4</w:t>
      </w:r>
      <w:r w:rsidRPr="000A02D9">
        <w:rPr>
          <w:b/>
          <w:sz w:val="24"/>
          <w:szCs w:val="24"/>
        </w:rPr>
        <w:tab/>
        <w:t>Særlige advarsler og forsigtighedsregler vedrørende brugen</w:t>
      </w:r>
    </w:p>
    <w:p w:rsidR="008F2C40" w:rsidRDefault="008F2C40" w:rsidP="008F2C40">
      <w:pPr>
        <w:ind w:left="851"/>
        <w:rPr>
          <w:sz w:val="24"/>
          <w:szCs w:val="24"/>
        </w:rPr>
      </w:pPr>
    </w:p>
    <w:p w:rsidR="009D7F91" w:rsidRDefault="009D7F91" w:rsidP="009D7F91">
      <w:pPr>
        <w:ind w:left="851"/>
        <w:rPr>
          <w:sz w:val="24"/>
          <w:szCs w:val="24"/>
        </w:rPr>
      </w:pPr>
      <w:r w:rsidRPr="006974FD">
        <w:rPr>
          <w:sz w:val="24"/>
          <w:szCs w:val="24"/>
          <w:u w:val="single"/>
        </w:rPr>
        <w:t>Natrium</w:t>
      </w:r>
    </w:p>
    <w:p w:rsidR="009D7F91" w:rsidRPr="000A02D9" w:rsidRDefault="009D7F91" w:rsidP="009D7F91">
      <w:pPr>
        <w:ind w:left="851"/>
        <w:rPr>
          <w:sz w:val="24"/>
          <w:szCs w:val="24"/>
        </w:rPr>
      </w:pPr>
      <w:r w:rsidRPr="00292D5C">
        <w:rPr>
          <w:sz w:val="24"/>
          <w:szCs w:val="24"/>
        </w:rPr>
        <w:t>Dette lægemiddel indeholder mindre end 1 mmol</w:t>
      </w:r>
      <w:r>
        <w:rPr>
          <w:sz w:val="24"/>
          <w:szCs w:val="24"/>
        </w:rPr>
        <w:t xml:space="preserve"> </w:t>
      </w:r>
      <w:r w:rsidRPr="00292D5C">
        <w:rPr>
          <w:sz w:val="24"/>
          <w:szCs w:val="24"/>
        </w:rPr>
        <w:t>(23 mg) natrium pr.</w:t>
      </w:r>
      <w:r>
        <w:rPr>
          <w:sz w:val="24"/>
          <w:szCs w:val="24"/>
        </w:rPr>
        <w:t xml:space="preserve"> tablet</w:t>
      </w:r>
      <w:r w:rsidRPr="00292D5C">
        <w:rPr>
          <w:sz w:val="24"/>
          <w:szCs w:val="24"/>
        </w:rPr>
        <w:t>, dvs. det er i det væsentlige natriumfrit.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4.5</w:t>
      </w:r>
      <w:r w:rsidRPr="000A02D9">
        <w:rPr>
          <w:b/>
          <w:sz w:val="24"/>
          <w:szCs w:val="24"/>
        </w:rPr>
        <w:tab/>
        <w:t>Interaktion med andre lægemidler og andre former for interaktion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Alkaliske midler reducerer virkningen af </w:t>
      </w:r>
      <w:proofErr w:type="spellStart"/>
      <w:r w:rsidRPr="000A02D9">
        <w:rPr>
          <w:sz w:val="24"/>
          <w:szCs w:val="24"/>
        </w:rPr>
        <w:t>methenamin</w:t>
      </w:r>
      <w:proofErr w:type="spellEnd"/>
      <w:r w:rsidRPr="000A02D9">
        <w:rPr>
          <w:sz w:val="24"/>
          <w:szCs w:val="24"/>
        </w:rPr>
        <w:t xml:space="preserve"> og bør undgås, </w:t>
      </w:r>
      <w:proofErr w:type="spellStart"/>
      <w:r w:rsidRPr="000A02D9">
        <w:rPr>
          <w:sz w:val="24"/>
          <w:szCs w:val="24"/>
        </w:rPr>
        <w:t>antacida</w:t>
      </w:r>
      <w:proofErr w:type="spellEnd"/>
      <w:r w:rsidRPr="000A02D9">
        <w:rPr>
          <w:sz w:val="24"/>
          <w:szCs w:val="24"/>
        </w:rPr>
        <w:t xml:space="preserve"> kan forårsage en forøgelse af urin-pH og dermed mindske effekten af </w:t>
      </w: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>.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Samtidig brug med sulfonamider øger risikoen for </w:t>
      </w:r>
      <w:proofErr w:type="spellStart"/>
      <w:r w:rsidRPr="000A02D9">
        <w:rPr>
          <w:sz w:val="24"/>
          <w:szCs w:val="24"/>
        </w:rPr>
        <w:t>krystalluri</w:t>
      </w:r>
      <w:proofErr w:type="spellEnd"/>
      <w:r w:rsidRPr="000A02D9">
        <w:rPr>
          <w:sz w:val="24"/>
          <w:szCs w:val="24"/>
        </w:rPr>
        <w:t>.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Afhængigt af analyseproceduren kan </w:t>
      </w:r>
      <w:proofErr w:type="spellStart"/>
      <w:r w:rsidRPr="000A02D9">
        <w:rPr>
          <w:sz w:val="24"/>
          <w:szCs w:val="24"/>
        </w:rPr>
        <w:t>methenamin</w:t>
      </w:r>
      <w:proofErr w:type="spellEnd"/>
      <w:r w:rsidRPr="000A02D9">
        <w:rPr>
          <w:sz w:val="24"/>
          <w:szCs w:val="24"/>
        </w:rPr>
        <w:t xml:space="preserve"> påvirke bestemmelsen af steroid, </w:t>
      </w:r>
      <w:proofErr w:type="spellStart"/>
      <w:r w:rsidRPr="000A02D9">
        <w:rPr>
          <w:sz w:val="24"/>
          <w:szCs w:val="24"/>
        </w:rPr>
        <w:t>catecholamin</w:t>
      </w:r>
      <w:proofErr w:type="spellEnd"/>
      <w:r w:rsidRPr="000A02D9">
        <w:rPr>
          <w:sz w:val="24"/>
          <w:szCs w:val="24"/>
        </w:rPr>
        <w:t xml:space="preserve"> og 5-hydroxyindoleddikesyre, hvilket fører til ukorrekte resultater.</w:t>
      </w:r>
    </w:p>
    <w:p w:rsidR="00200226" w:rsidRDefault="002002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F2C40" w:rsidRDefault="008F2C40" w:rsidP="008F2C40">
      <w:pPr>
        <w:ind w:left="851" w:hanging="851"/>
        <w:rPr>
          <w:noProof/>
          <w:sz w:val="24"/>
          <w:szCs w:val="24"/>
          <w:u w:val="single"/>
        </w:rPr>
      </w:pPr>
    </w:p>
    <w:p w:rsidR="008F2C40" w:rsidRPr="000A02D9" w:rsidRDefault="008F2C40" w:rsidP="008F2C40">
      <w:pPr>
        <w:ind w:left="851"/>
        <w:rPr>
          <w:noProof/>
          <w:sz w:val="24"/>
          <w:szCs w:val="24"/>
          <w:u w:val="single"/>
        </w:rPr>
      </w:pPr>
      <w:r w:rsidRPr="000A02D9">
        <w:rPr>
          <w:noProof/>
          <w:sz w:val="24"/>
          <w:szCs w:val="24"/>
          <w:u w:val="single"/>
        </w:rPr>
        <w:t>Graviditet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En moderat mængde data om gravide kvinder (mellem 300-1000 graviditeter) har ikke vist tegn på misdannelser eller foster / neonatal toksicitet. Dyreforsøg indikerer ikke reproduktionstoksicitet (se pkt. 5.3). Brug af </w:t>
      </w: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 xml:space="preserve"> kan overvejes under graviditet, hvis det er nødvendigt.</w:t>
      </w:r>
    </w:p>
    <w:p w:rsidR="008F2C40" w:rsidRPr="000A02D9" w:rsidRDefault="008F2C40" w:rsidP="008F2C40">
      <w:pPr>
        <w:ind w:left="851"/>
        <w:rPr>
          <w:noProof/>
          <w:sz w:val="24"/>
          <w:szCs w:val="24"/>
        </w:rPr>
      </w:pPr>
    </w:p>
    <w:p w:rsidR="008F2C40" w:rsidRPr="000A02D9" w:rsidRDefault="008F2C40" w:rsidP="008F2C40">
      <w:pPr>
        <w:ind w:left="851"/>
        <w:rPr>
          <w:sz w:val="24"/>
          <w:szCs w:val="24"/>
          <w:u w:val="single"/>
        </w:rPr>
      </w:pPr>
      <w:r w:rsidRPr="000A02D9">
        <w:rPr>
          <w:sz w:val="24"/>
          <w:szCs w:val="24"/>
          <w:u w:val="single"/>
        </w:rPr>
        <w:t>Amning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proofErr w:type="spellStart"/>
      <w:r w:rsidRPr="000A02D9">
        <w:rPr>
          <w:sz w:val="24"/>
          <w:szCs w:val="24"/>
        </w:rPr>
        <w:t>Methenaminhippurat</w:t>
      </w:r>
      <w:proofErr w:type="spellEnd"/>
      <w:r w:rsidRPr="000A02D9">
        <w:rPr>
          <w:sz w:val="24"/>
          <w:szCs w:val="24"/>
        </w:rPr>
        <w:t xml:space="preserve"> udskilles i modermælk, men </w:t>
      </w:r>
      <w:r>
        <w:rPr>
          <w:sz w:val="24"/>
          <w:szCs w:val="24"/>
        </w:rPr>
        <w:t>ved</w:t>
      </w:r>
      <w:r w:rsidRPr="000A02D9">
        <w:rPr>
          <w:sz w:val="24"/>
          <w:szCs w:val="24"/>
        </w:rPr>
        <w:t xml:space="preserve"> terapeutiske doser af </w:t>
      </w: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 xml:space="preserve"> forventes ingen virkninger på ammende nyfødte / spædbørn.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</w:p>
    <w:p w:rsidR="008F2C40" w:rsidRPr="000A02D9" w:rsidRDefault="008F2C40" w:rsidP="008F2C40">
      <w:pPr>
        <w:ind w:left="851"/>
        <w:rPr>
          <w:sz w:val="24"/>
          <w:szCs w:val="24"/>
          <w:u w:val="single"/>
        </w:rPr>
      </w:pPr>
      <w:r w:rsidRPr="000A02D9">
        <w:rPr>
          <w:sz w:val="24"/>
          <w:szCs w:val="24"/>
          <w:u w:val="single"/>
        </w:rPr>
        <w:t>Fertilitet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 xml:space="preserve">Der er ingen menneskelige studier vedrørende frugtbarhed og </w:t>
      </w:r>
      <w:proofErr w:type="spellStart"/>
      <w:r w:rsidRPr="000A02D9">
        <w:rPr>
          <w:sz w:val="24"/>
          <w:szCs w:val="24"/>
        </w:rPr>
        <w:t>methenaminhippurat</w:t>
      </w:r>
      <w:proofErr w:type="spellEnd"/>
      <w:r w:rsidRPr="000A02D9">
        <w:rPr>
          <w:sz w:val="24"/>
          <w:szCs w:val="24"/>
        </w:rPr>
        <w:t>.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Dyreforsøg indikerer ikke direkte eller indirekte skadelige virkninger med hensyn til reproduktionstoksicitet</w:t>
      </w:r>
      <w:r>
        <w:rPr>
          <w:sz w:val="24"/>
          <w:szCs w:val="24"/>
        </w:rPr>
        <w:t>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F2C40" w:rsidRDefault="008F2C40" w:rsidP="008F2C40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proofErr w:type="spellStart"/>
      <w:r w:rsidRPr="000A02D9">
        <w:rPr>
          <w:sz w:val="24"/>
          <w:szCs w:val="24"/>
        </w:rPr>
        <w:t>Methenamine</w:t>
      </w:r>
      <w:proofErr w:type="spellEnd"/>
      <w:r w:rsidRPr="000A02D9">
        <w:rPr>
          <w:sz w:val="24"/>
          <w:szCs w:val="24"/>
        </w:rPr>
        <w:t xml:space="preserve"> </w:t>
      </w:r>
      <w:proofErr w:type="spellStart"/>
      <w:r w:rsidRPr="000A02D9">
        <w:rPr>
          <w:sz w:val="24"/>
          <w:szCs w:val="24"/>
        </w:rPr>
        <w:t>hippurate</w:t>
      </w:r>
      <w:proofErr w:type="spellEnd"/>
      <w:r w:rsidRPr="000A02D9">
        <w:rPr>
          <w:sz w:val="24"/>
          <w:szCs w:val="24"/>
        </w:rPr>
        <w:t xml:space="preserve"> </w:t>
      </w:r>
      <w:r>
        <w:rPr>
          <w:sz w:val="24"/>
          <w:szCs w:val="24"/>
        </w:rPr>
        <w:t>"EQL Pharma"</w:t>
      </w:r>
      <w:r w:rsidRPr="000A02D9">
        <w:rPr>
          <w:sz w:val="24"/>
          <w:szCs w:val="24"/>
        </w:rPr>
        <w:t xml:space="preserve"> påvirker ikke eller kun i ubetydelig grad evnen til at føre motorkøretøj </w:t>
      </w:r>
      <w:r w:rsidRPr="000A02D9">
        <w:rPr>
          <w:noProof/>
          <w:sz w:val="24"/>
          <w:szCs w:val="24"/>
        </w:rPr>
        <w:t>eller</w:t>
      </w:r>
      <w:r w:rsidRPr="000A02D9">
        <w:rPr>
          <w:sz w:val="24"/>
          <w:szCs w:val="24"/>
        </w:rPr>
        <w:t xml:space="preserve"> betjene maskiner.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4.8</w:t>
      </w:r>
      <w:r w:rsidRPr="000A02D9">
        <w:rPr>
          <w:b/>
          <w:sz w:val="24"/>
          <w:szCs w:val="24"/>
        </w:rPr>
        <w:tab/>
        <w:t>Bivirkninger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87471">
        <w:rPr>
          <w:sz w:val="24"/>
          <w:szCs w:val="24"/>
        </w:rPr>
        <w:t>Bivirkninger inddeles efter hyppighed på følgende måde: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Meget almindelig (≥ 1/10)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Almindelig (≥1 / 100 til &lt;1/10)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Ikke almindelig (≥1 / 1000 til &lt;1/100)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Sjælden (≥ 1/10 000 til &lt;1/1000)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Meget sjælden (&lt;1/10 000)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Ikke kendt (kan ikke estimeres ud fra de tilgængelige data).</w:t>
      </w:r>
    </w:p>
    <w:p w:rsidR="008F2C40" w:rsidRPr="00D87471" w:rsidRDefault="008F2C40" w:rsidP="008F2C40">
      <w:pPr>
        <w:ind w:left="851" w:hanging="851"/>
        <w:rPr>
          <w:sz w:val="24"/>
          <w:szCs w:val="24"/>
        </w:rPr>
      </w:pPr>
    </w:p>
    <w:tbl>
      <w:tblPr>
        <w:tblW w:w="875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</w:tblGrid>
      <w:tr w:rsidR="008F2C40" w:rsidRPr="00D87471" w:rsidTr="003B4BC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b/>
                <w:noProof/>
                <w:sz w:val="24"/>
                <w:szCs w:val="24"/>
                <w:lang w:val="en-GB"/>
              </w:rPr>
            </w:pPr>
            <w:r w:rsidRPr="00D87471">
              <w:rPr>
                <w:b/>
                <w:noProof/>
                <w:sz w:val="24"/>
                <w:szCs w:val="24"/>
                <w:lang w:val="en-GB"/>
              </w:rPr>
              <w:t>Systemorganklasse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b/>
                <w:noProof/>
                <w:sz w:val="24"/>
                <w:szCs w:val="24"/>
                <w:lang w:val="en-GB"/>
              </w:rPr>
            </w:pPr>
            <w:r w:rsidRPr="00D87471">
              <w:rPr>
                <w:b/>
                <w:noProof/>
                <w:sz w:val="24"/>
                <w:szCs w:val="24"/>
                <w:lang w:val="en-GB"/>
              </w:rPr>
              <w:t>Hyppighed</w:t>
            </w:r>
          </w:p>
        </w:tc>
      </w:tr>
      <w:tr w:rsidR="008F2C40" w:rsidRPr="00D87471" w:rsidTr="003B4BC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lang w:val="en-GB"/>
              </w:rPr>
            </w:pPr>
            <w:r w:rsidRPr="00D87471">
              <w:rPr>
                <w:i/>
                <w:noProof/>
                <w:sz w:val="24"/>
                <w:szCs w:val="24"/>
                <w:lang w:val="en-GB"/>
              </w:rPr>
              <w:t>Almindelig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lang w:val="en-GB"/>
              </w:rPr>
            </w:pPr>
            <w:r w:rsidRPr="00D87471">
              <w:rPr>
                <w:i/>
                <w:noProof/>
                <w:sz w:val="24"/>
                <w:szCs w:val="24"/>
                <w:lang w:val="en-GB"/>
              </w:rPr>
              <w:t>Sjælden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lang w:val="en-GB"/>
              </w:rPr>
            </w:pPr>
            <w:r w:rsidRPr="00D87471">
              <w:rPr>
                <w:i/>
                <w:noProof/>
                <w:sz w:val="24"/>
                <w:szCs w:val="24"/>
                <w:lang w:val="en-GB"/>
              </w:rPr>
              <w:t>Ikke kendt</w:t>
            </w:r>
          </w:p>
        </w:tc>
      </w:tr>
      <w:tr w:rsidR="008F2C40" w:rsidRPr="00D87471" w:rsidTr="003B4BC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lang w:val="en-GB"/>
              </w:rPr>
            </w:pPr>
            <w:r w:rsidRPr="00D87471">
              <w:rPr>
                <w:i/>
                <w:noProof/>
                <w:sz w:val="24"/>
                <w:szCs w:val="24"/>
                <w:lang w:val="en-GB"/>
              </w:rPr>
              <w:t>Gastrointestinale lidelser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lang w:val="en-GB"/>
              </w:rPr>
            </w:pPr>
            <w:r w:rsidRPr="00D87471">
              <w:rPr>
                <w:sz w:val="24"/>
                <w:szCs w:val="24"/>
              </w:rPr>
              <w:t>Kvalme, opkastning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40" w:rsidRPr="00D87471" w:rsidRDefault="008F2C40" w:rsidP="003B4BCE">
            <w:pPr>
              <w:rPr>
                <w:i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noProof/>
                <w:sz w:val="24"/>
                <w:szCs w:val="24"/>
                <w:lang w:val="en-GB"/>
              </w:rPr>
            </w:pPr>
            <w:r w:rsidRPr="00D87471">
              <w:rPr>
                <w:noProof/>
                <w:sz w:val="24"/>
                <w:szCs w:val="24"/>
                <w:lang w:val="en-GB"/>
              </w:rPr>
              <w:t>Diarré,</w:t>
            </w:r>
          </w:p>
          <w:p w:rsidR="008F2C40" w:rsidRPr="00D87471" w:rsidRDefault="008F2C40" w:rsidP="003B4BCE">
            <w:pPr>
              <w:rPr>
                <w:noProof/>
                <w:sz w:val="24"/>
                <w:szCs w:val="24"/>
                <w:lang w:val="en-GB"/>
              </w:rPr>
            </w:pPr>
            <w:r w:rsidRPr="00D87471">
              <w:rPr>
                <w:noProof/>
                <w:sz w:val="24"/>
                <w:szCs w:val="24"/>
                <w:lang w:val="en-GB"/>
              </w:rPr>
              <w:t>mavesmerter</w:t>
            </w:r>
          </w:p>
        </w:tc>
      </w:tr>
      <w:tr w:rsidR="008F2C40" w:rsidRPr="00D87471" w:rsidTr="003B4BC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40" w:rsidRPr="00D87471" w:rsidRDefault="008F2C40" w:rsidP="00D87471">
            <w:pPr>
              <w:rPr>
                <w:i/>
                <w:sz w:val="24"/>
                <w:szCs w:val="24"/>
                <w:lang w:val="sv-SE"/>
              </w:rPr>
            </w:pPr>
            <w:r w:rsidRPr="00D87471">
              <w:rPr>
                <w:i/>
                <w:sz w:val="24"/>
                <w:szCs w:val="24"/>
              </w:rPr>
              <w:t>Dermatologiske lidelser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sz w:val="24"/>
                <w:szCs w:val="24"/>
                <w:lang w:val="sv-SE"/>
              </w:rPr>
            </w:pPr>
            <w:r w:rsidRPr="00D87471">
              <w:rPr>
                <w:sz w:val="24"/>
                <w:szCs w:val="24"/>
              </w:rPr>
              <w:t>Udslæt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40" w:rsidRPr="00D87471" w:rsidRDefault="008F2C40" w:rsidP="003B4BCE">
            <w:pPr>
              <w:rPr>
                <w:noProof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noProof/>
                <w:sz w:val="24"/>
                <w:szCs w:val="24"/>
                <w:lang w:val="en-GB"/>
              </w:rPr>
            </w:pPr>
            <w:r w:rsidRPr="00D87471">
              <w:rPr>
                <w:noProof/>
                <w:sz w:val="24"/>
                <w:szCs w:val="24"/>
                <w:lang w:val="en-GB"/>
              </w:rPr>
              <w:t>Pruritus</w:t>
            </w:r>
          </w:p>
        </w:tc>
      </w:tr>
      <w:tr w:rsidR="008F2C40" w:rsidRPr="00D87471" w:rsidTr="003B4BC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i/>
                <w:sz w:val="24"/>
                <w:szCs w:val="24"/>
              </w:rPr>
            </w:pPr>
            <w:r w:rsidRPr="00D87471">
              <w:rPr>
                <w:i/>
                <w:sz w:val="24"/>
                <w:szCs w:val="24"/>
              </w:rPr>
              <w:t>Lidelser i nyrer og urinveje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noProof/>
                <w:sz w:val="24"/>
                <w:szCs w:val="24"/>
                <w:lang w:val="en-GB"/>
              </w:rPr>
            </w:pPr>
            <w:r w:rsidRPr="00D87471">
              <w:rPr>
                <w:sz w:val="24"/>
                <w:szCs w:val="24"/>
              </w:rPr>
              <w:t>Blæreirritation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40" w:rsidRPr="00D87471" w:rsidRDefault="008F2C40" w:rsidP="003B4BCE">
            <w:pPr>
              <w:rPr>
                <w:noProof/>
                <w:sz w:val="24"/>
                <w:szCs w:val="24"/>
                <w:lang w:val="en-GB"/>
              </w:rPr>
            </w:pPr>
            <w:r w:rsidRPr="00D87471">
              <w:rPr>
                <w:sz w:val="24"/>
                <w:szCs w:val="24"/>
              </w:rPr>
              <w:t>Hæmaturi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40" w:rsidRPr="00D87471" w:rsidRDefault="008F2C40" w:rsidP="003B4BC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2C40" w:rsidRPr="00D87471" w:rsidRDefault="008F2C40" w:rsidP="008F2C40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color w:val="222222"/>
          <w:sz w:val="24"/>
          <w:szCs w:val="24"/>
        </w:rPr>
        <w:t xml:space="preserve">Lejlighedsvis kan superinfektion med gær forekomme. Ved høj dosering kan der forekomme kemisk cystitis, der fører til </w:t>
      </w:r>
      <w:proofErr w:type="spellStart"/>
      <w:r w:rsidRPr="00D87471">
        <w:rPr>
          <w:color w:val="222222"/>
          <w:sz w:val="24"/>
          <w:szCs w:val="24"/>
        </w:rPr>
        <w:t>dysuri</w:t>
      </w:r>
      <w:proofErr w:type="spellEnd"/>
      <w:r w:rsidRPr="00D87471">
        <w:rPr>
          <w:color w:val="222222"/>
          <w:sz w:val="24"/>
          <w:szCs w:val="24"/>
        </w:rPr>
        <w:t>.</w:t>
      </w:r>
    </w:p>
    <w:p w:rsidR="008F2C40" w:rsidRPr="00D87471" w:rsidRDefault="008F2C40" w:rsidP="008F2C40">
      <w:pPr>
        <w:ind w:left="851"/>
        <w:rPr>
          <w:i/>
          <w:noProof/>
          <w:sz w:val="24"/>
          <w:szCs w:val="24"/>
        </w:rPr>
      </w:pP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87471">
        <w:rPr>
          <w:noProof/>
          <w:sz w:val="24"/>
          <w:szCs w:val="24"/>
          <w:u w:val="single"/>
        </w:rPr>
        <w:t>Indberetning af formodede bivirkninger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Når lægemidlet er godkendt, er indberetning af formodede bivirkninger vigtig.</w:t>
      </w:r>
      <w:r w:rsidRPr="00D87471">
        <w:rPr>
          <w:sz w:val="24"/>
          <w:szCs w:val="24"/>
        </w:rPr>
        <w:t xml:space="preserve"> </w:t>
      </w:r>
      <w:r w:rsidRPr="00D87471">
        <w:rPr>
          <w:noProof/>
          <w:sz w:val="24"/>
          <w:szCs w:val="24"/>
        </w:rPr>
        <w:t>Det muliggør løbende overvågning af benefit/risk-forholdet for lægemidlet.</w:t>
      </w:r>
      <w:r w:rsidRPr="00D87471">
        <w:rPr>
          <w:sz w:val="24"/>
          <w:szCs w:val="24"/>
        </w:rPr>
        <w:t xml:space="preserve"> </w:t>
      </w:r>
      <w:r w:rsidR="005F61B3" w:rsidRPr="00D87471">
        <w:rPr>
          <w:noProof/>
          <w:sz w:val="24"/>
          <w:szCs w:val="24"/>
        </w:rPr>
        <w:t>S</w:t>
      </w:r>
      <w:r w:rsidRPr="00D87471">
        <w:rPr>
          <w:noProof/>
          <w:sz w:val="24"/>
          <w:szCs w:val="24"/>
        </w:rPr>
        <w:t>undhedsperson</w:t>
      </w:r>
      <w:r w:rsidR="005F61B3" w:rsidRPr="00D87471">
        <w:rPr>
          <w:noProof/>
          <w:sz w:val="24"/>
          <w:szCs w:val="24"/>
        </w:rPr>
        <w:t>er</w:t>
      </w:r>
      <w:r w:rsidRPr="00D87471">
        <w:rPr>
          <w:noProof/>
          <w:sz w:val="24"/>
          <w:szCs w:val="24"/>
        </w:rPr>
        <w:t xml:space="preserve"> anmodes om at indberette alle formodede bivirkninger via: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Lægemiddelstyrelsen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Axel Heides Gade 1</w:t>
      </w:r>
    </w:p>
    <w:p w:rsidR="008F2C40" w:rsidRPr="00D87471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87471">
        <w:rPr>
          <w:noProof/>
          <w:sz w:val="24"/>
          <w:szCs w:val="24"/>
        </w:rPr>
        <w:t>DK-2300 København S</w:t>
      </w:r>
    </w:p>
    <w:p w:rsidR="008F2C40" w:rsidRPr="00B619BC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B619BC">
        <w:rPr>
          <w:noProof/>
          <w:sz w:val="24"/>
          <w:szCs w:val="24"/>
        </w:rPr>
        <w:lastRenderedPageBreak/>
        <w:t xml:space="preserve">Websted: </w:t>
      </w:r>
      <w:hyperlink r:id="rId8" w:history="1">
        <w:r w:rsidRPr="00B619BC">
          <w:rPr>
            <w:rStyle w:val="Hyperlink"/>
            <w:noProof/>
            <w:sz w:val="24"/>
            <w:szCs w:val="24"/>
          </w:rPr>
          <w:t>www.meldenbivirkning.dk</w:t>
        </w:r>
      </w:hyperlink>
    </w:p>
    <w:p w:rsidR="008F2C40" w:rsidRPr="00B619BC" w:rsidRDefault="008F2C40" w:rsidP="008F2C4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4.9</w:t>
      </w:r>
      <w:r w:rsidRPr="000A02D9">
        <w:rPr>
          <w:b/>
          <w:sz w:val="24"/>
          <w:szCs w:val="24"/>
        </w:rPr>
        <w:tab/>
        <w:t>Overdosering</w:t>
      </w:r>
    </w:p>
    <w:p w:rsidR="008F2C40" w:rsidRPr="000A02D9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0A02D9">
        <w:rPr>
          <w:i/>
          <w:noProof/>
          <w:sz w:val="24"/>
          <w:szCs w:val="24"/>
        </w:rPr>
        <w:t>Toksicitet:</w:t>
      </w:r>
      <w:r w:rsidRPr="000A02D9">
        <w:rPr>
          <w:noProof/>
          <w:sz w:val="24"/>
          <w:szCs w:val="24"/>
        </w:rPr>
        <w:t xml:space="preserve"> 8 g til et 2½ årigt barn resulterede i moderat forgiftning.</w:t>
      </w:r>
    </w:p>
    <w:p w:rsidR="008F2C40" w:rsidRDefault="008F2C40" w:rsidP="008F2C40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</w:p>
    <w:p w:rsidR="008F2C40" w:rsidRPr="000A02D9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0A02D9">
        <w:rPr>
          <w:i/>
          <w:noProof/>
          <w:sz w:val="24"/>
          <w:szCs w:val="24"/>
        </w:rPr>
        <w:t>Symptomer</w:t>
      </w:r>
      <w:r w:rsidRPr="000A02D9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K</w:t>
      </w:r>
      <w:r w:rsidRPr="000A02D9">
        <w:rPr>
          <w:noProof/>
          <w:sz w:val="24"/>
          <w:szCs w:val="24"/>
        </w:rPr>
        <w:t>valme, opkastning, svimmelhed, tinnitus og metabolisk acidose kan forekomme. Irriterende virkning på urinvejen med albuminuri og hæmaturi.</w:t>
      </w:r>
    </w:p>
    <w:p w:rsidR="008F2C40" w:rsidRDefault="008F2C40" w:rsidP="008F2C40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</w:p>
    <w:p w:rsidR="008F2C40" w:rsidRPr="000A02D9" w:rsidRDefault="008F2C40" w:rsidP="008F2C40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0A02D9">
        <w:rPr>
          <w:i/>
          <w:noProof/>
          <w:sz w:val="24"/>
          <w:szCs w:val="24"/>
        </w:rPr>
        <w:t>Behandling</w:t>
      </w:r>
      <w:r w:rsidRPr="000A02D9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B</w:t>
      </w:r>
      <w:r w:rsidRPr="000A02D9">
        <w:rPr>
          <w:noProof/>
          <w:sz w:val="24"/>
          <w:szCs w:val="24"/>
        </w:rPr>
        <w:t>ehandlingen er symptomatisk og støttende, brugen af en anti-emetik og drikker rigelige mængder vand. Blære symptomer kan behandles ved forbrug af rigelige mængder vand og 2-3 teskefulde bikarbonat af sodavand</w:t>
      </w:r>
      <w:r>
        <w:rPr>
          <w:noProof/>
          <w:sz w:val="24"/>
          <w:szCs w:val="24"/>
        </w:rPr>
        <w:t>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4.10</w:t>
      </w:r>
      <w:r w:rsidRPr="000A02D9">
        <w:rPr>
          <w:b/>
          <w:sz w:val="24"/>
          <w:szCs w:val="24"/>
        </w:rPr>
        <w:tab/>
        <w:t>Udlevering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B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  <w:bookmarkStart w:id="0" w:name="_GoBack"/>
      <w:bookmarkEnd w:id="0"/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A19C9" w:rsidRPr="00C84483" w:rsidRDefault="009A19C9" w:rsidP="009A19C9">
      <w:pPr>
        <w:tabs>
          <w:tab w:val="left" w:pos="851"/>
        </w:tabs>
        <w:ind w:left="851"/>
        <w:rPr>
          <w:sz w:val="24"/>
          <w:szCs w:val="24"/>
        </w:rPr>
      </w:pPr>
    </w:p>
    <w:p w:rsidR="009A19C9" w:rsidRPr="00C84483" w:rsidRDefault="009A19C9" w:rsidP="009A19C9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A19C9" w:rsidRPr="009A19C9" w:rsidRDefault="009A19C9" w:rsidP="009A19C9">
      <w:pPr>
        <w:ind w:left="851"/>
        <w:rPr>
          <w:sz w:val="24"/>
          <w:szCs w:val="24"/>
        </w:rPr>
      </w:pPr>
      <w:proofErr w:type="spellStart"/>
      <w:r w:rsidRPr="009A19C9">
        <w:rPr>
          <w:sz w:val="24"/>
          <w:szCs w:val="24"/>
        </w:rPr>
        <w:t>Farmakoterapeutisk</w:t>
      </w:r>
      <w:proofErr w:type="spellEnd"/>
      <w:r w:rsidRPr="009A19C9">
        <w:rPr>
          <w:sz w:val="24"/>
          <w:szCs w:val="24"/>
        </w:rPr>
        <w:t xml:space="preserve"> klassifikation: Antibakterielle midler til systemisk brug, ATC-kode: J01XX05.</w:t>
      </w:r>
    </w:p>
    <w:p w:rsidR="009A19C9" w:rsidRPr="009A19C9" w:rsidRDefault="009A19C9" w:rsidP="009A19C9">
      <w:pPr>
        <w:ind w:left="851"/>
        <w:rPr>
          <w:sz w:val="24"/>
          <w:szCs w:val="24"/>
        </w:rPr>
      </w:pP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  <w:u w:val="single"/>
        </w:rPr>
      </w:pPr>
      <w:r w:rsidRPr="000A02D9">
        <w:rPr>
          <w:bCs/>
          <w:noProof/>
          <w:sz w:val="24"/>
          <w:szCs w:val="24"/>
          <w:u w:val="single"/>
        </w:rPr>
        <w:t>Virkningsmekanisme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proofErr w:type="spellStart"/>
      <w:r w:rsidRPr="000A02D9">
        <w:rPr>
          <w:color w:val="222222"/>
          <w:sz w:val="24"/>
          <w:szCs w:val="24"/>
          <w:lang w:eastAsia="sv-SE"/>
        </w:rPr>
        <w:t>Methenamine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 </w:t>
      </w:r>
      <w:proofErr w:type="spellStart"/>
      <w:r w:rsidRPr="000A02D9">
        <w:rPr>
          <w:color w:val="222222"/>
          <w:sz w:val="24"/>
          <w:szCs w:val="24"/>
          <w:lang w:eastAsia="sv-SE"/>
        </w:rPr>
        <w:t>hippurate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 </w:t>
      </w:r>
      <w:r>
        <w:rPr>
          <w:color w:val="222222"/>
          <w:sz w:val="24"/>
          <w:szCs w:val="24"/>
          <w:lang w:eastAsia="sv-SE"/>
        </w:rPr>
        <w:t>"EQL Pharma"</w:t>
      </w:r>
      <w:r w:rsidRPr="000A02D9">
        <w:rPr>
          <w:color w:val="222222"/>
          <w:sz w:val="24"/>
          <w:szCs w:val="24"/>
          <w:lang w:eastAsia="sv-SE"/>
        </w:rPr>
        <w:t xml:space="preserve"> indeholder </w:t>
      </w:r>
      <w:proofErr w:type="spellStart"/>
      <w:r w:rsidRPr="000A02D9">
        <w:rPr>
          <w:color w:val="222222"/>
          <w:sz w:val="24"/>
          <w:szCs w:val="24"/>
          <w:lang w:eastAsia="sv-SE"/>
        </w:rPr>
        <w:t>methenaminhippurat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, et salt af </w:t>
      </w:r>
      <w:proofErr w:type="spellStart"/>
      <w:r w:rsidRPr="000A02D9">
        <w:rPr>
          <w:color w:val="222222"/>
          <w:sz w:val="24"/>
          <w:szCs w:val="24"/>
          <w:lang w:eastAsia="sv-SE"/>
        </w:rPr>
        <w:t>methenamin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 og </w:t>
      </w:r>
      <w:proofErr w:type="spellStart"/>
      <w:r w:rsidRPr="000A02D9">
        <w:rPr>
          <w:color w:val="222222"/>
          <w:sz w:val="24"/>
          <w:szCs w:val="24"/>
          <w:lang w:eastAsia="sv-SE"/>
        </w:rPr>
        <w:t>hippursyre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, som absorberes og udskilles hurtigt. I surt miljø hydrolyseres </w:t>
      </w:r>
      <w:proofErr w:type="spellStart"/>
      <w:r w:rsidRPr="000A02D9">
        <w:rPr>
          <w:color w:val="222222"/>
          <w:sz w:val="24"/>
          <w:szCs w:val="24"/>
          <w:lang w:eastAsia="sv-SE"/>
        </w:rPr>
        <w:t>methenamin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 til formaldehyd, som sammen med </w:t>
      </w:r>
      <w:proofErr w:type="spellStart"/>
      <w:r w:rsidRPr="000A02D9">
        <w:rPr>
          <w:color w:val="222222"/>
          <w:sz w:val="24"/>
          <w:szCs w:val="24"/>
          <w:lang w:eastAsia="sv-SE"/>
        </w:rPr>
        <w:t>hippursyre</w:t>
      </w:r>
      <w:proofErr w:type="spellEnd"/>
      <w:r w:rsidRPr="000A02D9">
        <w:rPr>
          <w:color w:val="222222"/>
          <w:sz w:val="24"/>
          <w:szCs w:val="24"/>
          <w:lang w:eastAsia="sv-SE"/>
        </w:rPr>
        <w:t xml:space="preserve"> medierer den antibakterielle virkning i urinen. Bakteriologiske undersøgelser har vist, at urinen har en antibakteriel virkning allerede 30 minutter efter indtagelse af lægemidlet.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  <w:u w:val="single"/>
        </w:rPr>
      </w:pPr>
      <w:r w:rsidRPr="000A02D9">
        <w:rPr>
          <w:bCs/>
          <w:noProof/>
          <w:sz w:val="24"/>
          <w:szCs w:val="24"/>
          <w:u w:val="single"/>
        </w:rPr>
        <w:t>Farmakodynamisk virkning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 xml:space="preserve">Methenamine hippurate </w:t>
      </w:r>
      <w:r>
        <w:rPr>
          <w:bCs/>
          <w:noProof/>
          <w:sz w:val="24"/>
          <w:szCs w:val="24"/>
        </w:rPr>
        <w:t>"EQL Pharma"</w:t>
      </w:r>
      <w:r w:rsidRPr="000A02D9">
        <w:rPr>
          <w:bCs/>
          <w:noProof/>
          <w:sz w:val="24"/>
          <w:szCs w:val="24"/>
        </w:rPr>
        <w:t xml:space="preserve"> er aktiv mod mikroorganismer, som normalt forårsager urinvejsinfektion, f.eks. Eschericha coli og Aerobacter aerogenes. Stoffet har nedsat virkning på urinstofnedbrydende bakterier, f.eks. Pseudomonas og nogle stammer af Proteus. Urea-nedbrydende bakterier hydrolyserer urinstof til ammoniumhydroxid, hvilket er grundlæggende og øger pH på urin. Dette resulterer i reduceret hydrolyse af methenamin til formaldehyd.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5.2</w:t>
      </w:r>
      <w:r w:rsidRPr="000A02D9">
        <w:rPr>
          <w:b/>
          <w:sz w:val="24"/>
          <w:szCs w:val="24"/>
        </w:rPr>
        <w:tab/>
      </w:r>
      <w:proofErr w:type="spellStart"/>
      <w:r w:rsidRPr="000A02D9">
        <w:rPr>
          <w:b/>
          <w:sz w:val="24"/>
          <w:szCs w:val="24"/>
        </w:rPr>
        <w:t>Farmakokinetiske</w:t>
      </w:r>
      <w:proofErr w:type="spellEnd"/>
      <w:r w:rsidRPr="000A02D9">
        <w:rPr>
          <w:b/>
          <w:sz w:val="24"/>
          <w:szCs w:val="24"/>
        </w:rPr>
        <w:t xml:space="preserve"> egenskaber</w:t>
      </w:r>
    </w:p>
    <w:p w:rsidR="008F2C40" w:rsidRDefault="008F2C40" w:rsidP="008F2C40">
      <w:pPr>
        <w:ind w:left="851" w:hanging="851"/>
        <w:rPr>
          <w:sz w:val="24"/>
          <w:szCs w:val="24"/>
          <w:u w:val="single"/>
        </w:rPr>
      </w:pPr>
    </w:p>
    <w:p w:rsidR="008F2C40" w:rsidRPr="000A02D9" w:rsidRDefault="008F2C40" w:rsidP="008F2C40">
      <w:pPr>
        <w:ind w:left="851"/>
        <w:rPr>
          <w:sz w:val="24"/>
          <w:szCs w:val="24"/>
          <w:u w:val="single"/>
        </w:rPr>
      </w:pPr>
      <w:r w:rsidRPr="000A02D9">
        <w:rPr>
          <w:sz w:val="24"/>
          <w:szCs w:val="24"/>
          <w:u w:val="single"/>
        </w:rPr>
        <w:t>Absorption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 xml:space="preserve">Methenamine hippurate </w:t>
      </w:r>
      <w:r>
        <w:rPr>
          <w:bCs/>
          <w:noProof/>
          <w:sz w:val="24"/>
          <w:szCs w:val="24"/>
        </w:rPr>
        <w:t>"EQL Pharma"</w:t>
      </w:r>
      <w:r w:rsidRPr="000A02D9">
        <w:rPr>
          <w:bCs/>
          <w:noProof/>
          <w:sz w:val="24"/>
          <w:szCs w:val="24"/>
        </w:rPr>
        <w:t xml:space="preserve"> absorberes let fra mave-tarmkanalen og udskilles via nyren.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</w:p>
    <w:p w:rsidR="008F2C40" w:rsidRPr="000A02D9" w:rsidRDefault="008F2C40" w:rsidP="008F2C40">
      <w:pPr>
        <w:ind w:left="851"/>
        <w:rPr>
          <w:sz w:val="24"/>
          <w:szCs w:val="24"/>
          <w:u w:val="single"/>
        </w:rPr>
      </w:pPr>
      <w:r w:rsidRPr="000A02D9">
        <w:rPr>
          <w:noProof/>
          <w:sz w:val="24"/>
          <w:szCs w:val="24"/>
          <w:u w:val="single"/>
        </w:rPr>
        <w:t>Fordeling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 xml:space="preserve">Plasmakoncentrationer af methenaminhippurat når maksimalt 1-2 timer efter en enkelt dosis og falder med en halveringstid på ca. 4 timer. Den antibakterielle virkning bemærkes 30 minutter efter administration af lægemidlet som nævnt i </w:t>
      </w:r>
      <w:r>
        <w:rPr>
          <w:bCs/>
          <w:noProof/>
          <w:sz w:val="24"/>
          <w:szCs w:val="24"/>
        </w:rPr>
        <w:t>pkt.</w:t>
      </w:r>
      <w:r w:rsidRPr="000A02D9">
        <w:rPr>
          <w:bCs/>
          <w:noProof/>
          <w:sz w:val="24"/>
          <w:szCs w:val="24"/>
        </w:rPr>
        <w:t xml:space="preserve"> 5.1. Methenamin genfundet i urinen svarer til ca. 80% af den givne dosis</w:t>
      </w:r>
      <w:r>
        <w:rPr>
          <w:bCs/>
          <w:noProof/>
          <w:sz w:val="24"/>
          <w:szCs w:val="24"/>
        </w:rPr>
        <w:t>.</w:t>
      </w:r>
    </w:p>
    <w:p w:rsidR="00D87471" w:rsidRDefault="00D874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F2C40" w:rsidRPr="000A02D9" w:rsidRDefault="008F2C40" w:rsidP="008F2C40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0A02D9">
        <w:rPr>
          <w:sz w:val="24"/>
          <w:szCs w:val="24"/>
        </w:rPr>
        <w:t>Prækliniske data viser ingen speciel risiko for mennesker.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6.</w:t>
      </w:r>
      <w:r w:rsidRPr="000A02D9">
        <w:rPr>
          <w:b/>
          <w:sz w:val="24"/>
          <w:szCs w:val="24"/>
        </w:rPr>
        <w:tab/>
        <w:t>FARMACEUTISKE OPLYSNINGER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6.1</w:t>
      </w:r>
      <w:r w:rsidRPr="000A02D9">
        <w:rPr>
          <w:b/>
          <w:sz w:val="24"/>
          <w:szCs w:val="24"/>
        </w:rPr>
        <w:tab/>
        <w:t>Hjælpestoffer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>Kolloid silica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>Povidon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>Magnesiumstearat</w:t>
      </w:r>
    </w:p>
    <w:p w:rsidR="008F2C40" w:rsidRPr="000A02D9" w:rsidRDefault="008F2C40" w:rsidP="008F2C40">
      <w:pPr>
        <w:suppressAutoHyphens/>
        <w:ind w:left="851"/>
        <w:rPr>
          <w:bCs/>
          <w:noProof/>
          <w:sz w:val="24"/>
          <w:szCs w:val="24"/>
        </w:rPr>
      </w:pPr>
      <w:r w:rsidRPr="000A02D9">
        <w:rPr>
          <w:bCs/>
          <w:noProof/>
          <w:sz w:val="24"/>
          <w:szCs w:val="24"/>
        </w:rPr>
        <w:t>Croscarmellosenatrium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6.2</w:t>
      </w:r>
      <w:r w:rsidRPr="000A02D9">
        <w:rPr>
          <w:b/>
          <w:sz w:val="24"/>
          <w:szCs w:val="24"/>
        </w:rPr>
        <w:tab/>
        <w:t>Uforligeligheder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Ikke relevant.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6.3</w:t>
      </w:r>
      <w:r w:rsidRPr="000A02D9">
        <w:rPr>
          <w:b/>
          <w:sz w:val="24"/>
          <w:szCs w:val="24"/>
        </w:rPr>
        <w:tab/>
        <w:t>Opbevaringstid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  <w:r w:rsidRPr="000A02D9">
        <w:rPr>
          <w:sz w:val="24"/>
          <w:szCs w:val="24"/>
        </w:rPr>
        <w:tab/>
      </w:r>
      <w:r w:rsidR="009A19C9">
        <w:rPr>
          <w:sz w:val="24"/>
          <w:szCs w:val="24"/>
        </w:rPr>
        <w:t>3</w:t>
      </w:r>
      <w:r w:rsidRPr="000A02D9">
        <w:rPr>
          <w:sz w:val="24"/>
          <w:szCs w:val="24"/>
        </w:rPr>
        <w:t xml:space="preserve"> år</w:t>
      </w:r>
      <w:r>
        <w:rPr>
          <w:sz w:val="24"/>
          <w:szCs w:val="24"/>
        </w:rPr>
        <w:t>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6.4</w:t>
      </w:r>
      <w:r w:rsidRPr="000A02D9">
        <w:rPr>
          <w:b/>
          <w:sz w:val="24"/>
          <w:szCs w:val="24"/>
        </w:rPr>
        <w:tab/>
        <w:t>Særlige opbevaringsforhold</w:t>
      </w:r>
    </w:p>
    <w:p w:rsidR="008F2C40" w:rsidRPr="000A02D9" w:rsidRDefault="008F2C40" w:rsidP="008F2C40">
      <w:pPr>
        <w:ind w:left="851"/>
        <w:rPr>
          <w:noProof/>
          <w:sz w:val="24"/>
          <w:szCs w:val="24"/>
        </w:rPr>
      </w:pPr>
      <w:r w:rsidRPr="000A02D9">
        <w:rPr>
          <w:noProof/>
          <w:sz w:val="24"/>
          <w:szCs w:val="24"/>
        </w:rPr>
        <w:t xml:space="preserve">Opbevares i original yderpakning for </w:t>
      </w:r>
      <w:r>
        <w:rPr>
          <w:noProof/>
          <w:sz w:val="24"/>
          <w:szCs w:val="24"/>
        </w:rPr>
        <w:t xml:space="preserve">at </w:t>
      </w:r>
      <w:r w:rsidRPr="000A02D9">
        <w:rPr>
          <w:noProof/>
          <w:sz w:val="24"/>
          <w:szCs w:val="24"/>
        </w:rPr>
        <w:t>beskytte mo</w:t>
      </w:r>
      <w:r>
        <w:rPr>
          <w:noProof/>
          <w:sz w:val="24"/>
          <w:szCs w:val="24"/>
        </w:rPr>
        <w:t>d</w:t>
      </w:r>
      <w:r w:rsidRPr="000A02D9">
        <w:rPr>
          <w:noProof/>
          <w:sz w:val="24"/>
          <w:szCs w:val="24"/>
        </w:rPr>
        <w:t xml:space="preserve"> fugt.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8F2C40" w:rsidRPr="000A02D9" w:rsidRDefault="008F2C40" w:rsidP="008F2C40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F</w:t>
      </w:r>
      <w:r w:rsidRPr="000A02D9">
        <w:rPr>
          <w:noProof/>
          <w:sz w:val="24"/>
          <w:szCs w:val="24"/>
        </w:rPr>
        <w:t>arvede glasflasker med en hvid uigennemtrængelig polypropylen skruehætte.</w:t>
      </w:r>
    </w:p>
    <w:p w:rsidR="008F2C40" w:rsidRPr="000A02D9" w:rsidRDefault="008F2C40" w:rsidP="008F2C40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Pakningsstørrelser: </w:t>
      </w:r>
      <w:r w:rsidRPr="000A02D9">
        <w:rPr>
          <w:noProof/>
          <w:sz w:val="24"/>
          <w:szCs w:val="24"/>
        </w:rPr>
        <w:t>20, 21, 60, 100 og 105 tabletter</w:t>
      </w:r>
      <w:r>
        <w:rPr>
          <w:noProof/>
          <w:sz w:val="24"/>
          <w:szCs w:val="24"/>
        </w:rPr>
        <w:t>.</w:t>
      </w:r>
      <w:r w:rsidRPr="000A02D9">
        <w:rPr>
          <w:noProof/>
          <w:sz w:val="24"/>
          <w:szCs w:val="24"/>
        </w:rPr>
        <w:t xml:space="preserve"> </w:t>
      </w:r>
    </w:p>
    <w:p w:rsidR="008F2C40" w:rsidRPr="000A02D9" w:rsidRDefault="008F2C40" w:rsidP="008F2C40">
      <w:pPr>
        <w:suppressAutoHyphens/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suppressAutoHyphens/>
        <w:ind w:left="851"/>
        <w:rPr>
          <w:sz w:val="24"/>
          <w:szCs w:val="24"/>
        </w:rPr>
      </w:pPr>
      <w:r w:rsidRPr="000A02D9">
        <w:rPr>
          <w:sz w:val="24"/>
          <w:szCs w:val="24"/>
        </w:rPr>
        <w:t>Ikke alle pakningsstørrelser er nødvendigvis markedsført.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Ikke anvendt lægemiddel samt affald heraf skal bortskaffes i henhold til lokale retningslinjer.</w:t>
      </w:r>
    </w:p>
    <w:p w:rsidR="008F2C40" w:rsidRPr="000A02D9" w:rsidRDefault="008F2C40" w:rsidP="008F2C40">
      <w:pPr>
        <w:ind w:left="851" w:hanging="851"/>
        <w:jc w:val="both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7.</w:t>
      </w:r>
      <w:r w:rsidRPr="000A02D9">
        <w:rPr>
          <w:b/>
          <w:sz w:val="24"/>
          <w:szCs w:val="24"/>
        </w:rPr>
        <w:tab/>
        <w:t>INDEHAVER AF MARKEDSFØRINGSTILLADELSEN</w:t>
      </w:r>
    </w:p>
    <w:p w:rsidR="008F2C40" w:rsidRPr="000A02D9" w:rsidRDefault="008F2C40" w:rsidP="008F2C40">
      <w:pPr>
        <w:ind w:left="851"/>
        <w:rPr>
          <w:spacing w:val="-3"/>
          <w:sz w:val="24"/>
          <w:szCs w:val="24"/>
        </w:rPr>
      </w:pPr>
      <w:r w:rsidRPr="000A02D9">
        <w:rPr>
          <w:spacing w:val="-3"/>
          <w:sz w:val="24"/>
          <w:szCs w:val="24"/>
        </w:rPr>
        <w:t>EQL Pharma AB</w:t>
      </w:r>
    </w:p>
    <w:p w:rsidR="008F2C40" w:rsidRPr="000A02D9" w:rsidRDefault="008F2C40" w:rsidP="008F2C40">
      <w:pPr>
        <w:ind w:left="851"/>
        <w:rPr>
          <w:spacing w:val="-3"/>
          <w:sz w:val="24"/>
          <w:szCs w:val="24"/>
        </w:rPr>
      </w:pPr>
      <w:proofErr w:type="spellStart"/>
      <w:r w:rsidRPr="000A02D9">
        <w:rPr>
          <w:spacing w:val="-3"/>
          <w:sz w:val="24"/>
          <w:szCs w:val="24"/>
        </w:rPr>
        <w:t>Stortorget</w:t>
      </w:r>
      <w:proofErr w:type="spellEnd"/>
      <w:r w:rsidRPr="000A02D9">
        <w:rPr>
          <w:spacing w:val="-3"/>
          <w:sz w:val="24"/>
          <w:szCs w:val="24"/>
        </w:rPr>
        <w:t xml:space="preserve"> 1</w:t>
      </w:r>
    </w:p>
    <w:p w:rsidR="008F2C40" w:rsidRPr="000A02D9" w:rsidRDefault="008F2C40" w:rsidP="008F2C40">
      <w:pPr>
        <w:ind w:left="851"/>
        <w:rPr>
          <w:snapToGrid w:val="0"/>
          <w:sz w:val="24"/>
          <w:szCs w:val="24"/>
        </w:rPr>
      </w:pPr>
      <w:r w:rsidRPr="000A02D9">
        <w:rPr>
          <w:spacing w:val="-3"/>
          <w:sz w:val="24"/>
          <w:szCs w:val="24"/>
        </w:rPr>
        <w:t>222 23 Lund</w:t>
      </w:r>
    </w:p>
    <w:p w:rsidR="008F2C40" w:rsidRPr="000A02D9" w:rsidRDefault="008F2C40" w:rsidP="008F2C40">
      <w:pPr>
        <w:ind w:left="851"/>
        <w:rPr>
          <w:spacing w:val="-3"/>
          <w:sz w:val="24"/>
          <w:szCs w:val="24"/>
        </w:rPr>
      </w:pPr>
      <w:r w:rsidRPr="000A02D9">
        <w:rPr>
          <w:spacing w:val="-3"/>
          <w:sz w:val="24"/>
          <w:szCs w:val="24"/>
        </w:rPr>
        <w:t>Sverige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9A19C9" w:rsidRPr="00C84483" w:rsidRDefault="009A19C9" w:rsidP="009A19C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 w:rsidRPr="000A02D9">
        <w:rPr>
          <w:sz w:val="24"/>
          <w:szCs w:val="24"/>
        </w:rPr>
        <w:t>60583</w:t>
      </w:r>
    </w:p>
    <w:p w:rsidR="008F2C40" w:rsidRPr="000A02D9" w:rsidRDefault="008F2C40" w:rsidP="008F2C40">
      <w:pPr>
        <w:ind w:left="851" w:hanging="851"/>
        <w:jc w:val="both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9.</w:t>
      </w:r>
      <w:r w:rsidRPr="000A02D9">
        <w:rPr>
          <w:b/>
          <w:sz w:val="24"/>
          <w:szCs w:val="24"/>
        </w:rPr>
        <w:tab/>
        <w:t>DATO FOR FØRSTE MARKEDSFØRINGSTILLADELSE</w:t>
      </w:r>
    </w:p>
    <w:p w:rsidR="008F2C40" w:rsidRPr="000A02D9" w:rsidRDefault="008F2C40" w:rsidP="008F2C40">
      <w:pPr>
        <w:ind w:left="851"/>
        <w:rPr>
          <w:sz w:val="24"/>
          <w:szCs w:val="24"/>
        </w:rPr>
      </w:pPr>
      <w:r>
        <w:rPr>
          <w:sz w:val="24"/>
          <w:szCs w:val="24"/>
        </w:rPr>
        <w:t>29. april 2019</w:t>
      </w:r>
    </w:p>
    <w:p w:rsidR="008F2C40" w:rsidRPr="000A02D9" w:rsidRDefault="008F2C40" w:rsidP="008F2C40">
      <w:pPr>
        <w:ind w:left="851" w:hanging="851"/>
        <w:rPr>
          <w:sz w:val="24"/>
          <w:szCs w:val="24"/>
        </w:rPr>
      </w:pPr>
    </w:p>
    <w:p w:rsidR="008F2C40" w:rsidRPr="000A02D9" w:rsidRDefault="008F2C40" w:rsidP="008F2C40">
      <w:pPr>
        <w:ind w:left="851" w:hanging="851"/>
        <w:rPr>
          <w:b/>
          <w:sz w:val="24"/>
          <w:szCs w:val="24"/>
        </w:rPr>
      </w:pPr>
      <w:r w:rsidRPr="000A02D9">
        <w:rPr>
          <w:b/>
          <w:sz w:val="24"/>
          <w:szCs w:val="24"/>
        </w:rPr>
        <w:t>10.</w:t>
      </w:r>
      <w:r w:rsidRPr="000A02D9">
        <w:rPr>
          <w:b/>
          <w:sz w:val="24"/>
          <w:szCs w:val="24"/>
        </w:rPr>
        <w:tab/>
        <w:t>DATO FOR ÆNDRING AF TEKSTEN</w:t>
      </w:r>
    </w:p>
    <w:p w:rsidR="009260DE" w:rsidRPr="008F2C40" w:rsidRDefault="009A19C9" w:rsidP="005F61B3">
      <w:pPr>
        <w:ind w:firstLine="851"/>
      </w:pPr>
      <w:r>
        <w:rPr>
          <w:sz w:val="24"/>
          <w:szCs w:val="24"/>
        </w:rPr>
        <w:t>24. maj 2023</w:t>
      </w:r>
    </w:p>
    <w:sectPr w:rsidR="009260DE" w:rsidRPr="008F2C4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40" w:rsidRDefault="008F2C40">
      <w:r>
        <w:separator/>
      </w:r>
    </w:p>
  </w:endnote>
  <w:endnote w:type="continuationSeparator" w:id="0">
    <w:p w:rsidR="008F2C40" w:rsidRDefault="008F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87471">
      <w:rPr>
        <w:i/>
        <w:noProof/>
        <w:sz w:val="18"/>
        <w:szCs w:val="18"/>
      </w:rPr>
      <w:t>Methenamine hippurate EQL Pharma, tabletter 1 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40" w:rsidRDefault="008F2C40">
      <w:r>
        <w:separator/>
      </w:r>
    </w:p>
  </w:footnote>
  <w:footnote w:type="continuationSeparator" w:id="0">
    <w:p w:rsidR="008F2C40" w:rsidRDefault="008F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1DA243B"/>
    <w:multiLevelType w:val="hybridMultilevel"/>
    <w:tmpl w:val="2D0A4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BF45E7E"/>
    <w:multiLevelType w:val="hybridMultilevel"/>
    <w:tmpl w:val="AF3896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40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0226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41757"/>
    <w:rsid w:val="0045746C"/>
    <w:rsid w:val="0049104B"/>
    <w:rsid w:val="004E3B12"/>
    <w:rsid w:val="00532310"/>
    <w:rsid w:val="00560ECC"/>
    <w:rsid w:val="00565F0F"/>
    <w:rsid w:val="00594A86"/>
    <w:rsid w:val="00596D86"/>
    <w:rsid w:val="005F61B3"/>
    <w:rsid w:val="00637F5A"/>
    <w:rsid w:val="006560B1"/>
    <w:rsid w:val="006756DD"/>
    <w:rsid w:val="00726DB9"/>
    <w:rsid w:val="00737275"/>
    <w:rsid w:val="00740EEC"/>
    <w:rsid w:val="0078011A"/>
    <w:rsid w:val="00782AF4"/>
    <w:rsid w:val="00790EE7"/>
    <w:rsid w:val="007B6649"/>
    <w:rsid w:val="0081546F"/>
    <w:rsid w:val="0082576E"/>
    <w:rsid w:val="00845846"/>
    <w:rsid w:val="008F2C40"/>
    <w:rsid w:val="00907F75"/>
    <w:rsid w:val="009260DE"/>
    <w:rsid w:val="0093258A"/>
    <w:rsid w:val="009A19C9"/>
    <w:rsid w:val="009C7BA3"/>
    <w:rsid w:val="009D1F5A"/>
    <w:rsid w:val="009D7F91"/>
    <w:rsid w:val="00A53874"/>
    <w:rsid w:val="00B003BF"/>
    <w:rsid w:val="00B373D7"/>
    <w:rsid w:val="00B619BC"/>
    <w:rsid w:val="00C36276"/>
    <w:rsid w:val="00C42586"/>
    <w:rsid w:val="00C60CCD"/>
    <w:rsid w:val="00C84483"/>
    <w:rsid w:val="00C95551"/>
    <w:rsid w:val="00CB20D7"/>
    <w:rsid w:val="00CB7A7C"/>
    <w:rsid w:val="00D020B0"/>
    <w:rsid w:val="00D11748"/>
    <w:rsid w:val="00D366CF"/>
    <w:rsid w:val="00D87471"/>
    <w:rsid w:val="00E108AA"/>
    <w:rsid w:val="00E31812"/>
    <w:rsid w:val="00E3749A"/>
    <w:rsid w:val="00E7437F"/>
    <w:rsid w:val="00E865B8"/>
    <w:rsid w:val="00EC0B9B"/>
    <w:rsid w:val="00ED5E9F"/>
    <w:rsid w:val="00EF17FA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B27E3"/>
  <w15:chartTrackingRefBased/>
  <w15:docId w15:val="{82889933-1C62-4D2A-8A06-8882049F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F2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sv-SE" w:eastAsia="sv-S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F2C40"/>
    <w:rPr>
      <w:rFonts w:ascii="Courier New" w:hAnsi="Courier New" w:cs="Courier New"/>
      <w:lang w:val="sv-SE" w:eastAsia="sv-SE"/>
    </w:rPr>
  </w:style>
  <w:style w:type="character" w:styleId="Hyperlink">
    <w:name w:val="Hyperlink"/>
    <w:uiPriority w:val="99"/>
    <w:semiHidden/>
    <w:unhideWhenUsed/>
    <w:rsid w:val="008F2C4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F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74</TotalTime>
  <Pages>5</Pages>
  <Words>1018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2022080959, var. 7, holdbarhed ændret fra 2 til 3 år</dc:description>
  <cp:lastModifiedBy>Gitte Jørgensen</cp:lastModifiedBy>
  <cp:revision>5</cp:revision>
  <cp:lastPrinted>2012-08-22T08:53:00Z</cp:lastPrinted>
  <dcterms:created xsi:type="dcterms:W3CDTF">2023-05-24T09:22:00Z</dcterms:created>
  <dcterms:modified xsi:type="dcterms:W3CDTF">2023-05-24T10:37:00Z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