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969B1" w14:textId="77777777" w:rsidR="00A64E46" w:rsidRPr="00F74DF7" w:rsidRDefault="00A64E46" w:rsidP="00A64E46">
      <w:pPr>
        <w:rPr>
          <w:b/>
          <w:szCs w:val="24"/>
        </w:rPr>
      </w:pPr>
      <w:r w:rsidRPr="00F74DF7">
        <w:rPr>
          <w:noProof/>
          <w:sz w:val="24"/>
          <w:szCs w:val="24"/>
          <w:lang w:eastAsia="da-DK"/>
        </w:rPr>
        <w:drawing>
          <wp:anchor distT="0" distB="0" distL="114300" distR="114300" simplePos="0" relativeHeight="251659264" behindDoc="0" locked="0" layoutInCell="1" allowOverlap="1" wp14:anchorId="18471967" wp14:editId="7AA634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F74DF7">
        <w:rPr>
          <w:sz w:val="24"/>
          <w:szCs w:val="24"/>
        </w:rPr>
        <w:br w:type="textWrapping" w:clear="all"/>
      </w:r>
    </w:p>
    <w:p w14:paraId="720850FD" w14:textId="6474DBCF" w:rsidR="00A64E46" w:rsidRPr="00C661BE" w:rsidRDefault="00A64E46" w:rsidP="00A64E46">
      <w:pPr>
        <w:pStyle w:val="Titel"/>
        <w:tabs>
          <w:tab w:val="right" w:pos="9356"/>
        </w:tabs>
        <w:jc w:val="left"/>
        <w:rPr>
          <w:b w:val="0"/>
          <w:szCs w:val="24"/>
          <w:lang w:eastAsia="en-US"/>
        </w:rPr>
      </w:pPr>
      <w:r w:rsidRPr="00F74DF7">
        <w:rPr>
          <w:b w:val="0"/>
          <w:szCs w:val="24"/>
          <w:lang w:eastAsia="en-US"/>
        </w:rPr>
        <w:tab/>
      </w:r>
      <w:r w:rsidR="00B82E3E">
        <w:rPr>
          <w:szCs w:val="24"/>
          <w:lang w:eastAsia="en-US"/>
        </w:rPr>
        <w:t>3</w:t>
      </w:r>
      <w:r w:rsidR="00DC65CB">
        <w:rPr>
          <w:szCs w:val="24"/>
          <w:lang w:eastAsia="en-US"/>
        </w:rPr>
        <w:t xml:space="preserve">. </w:t>
      </w:r>
      <w:r w:rsidR="00B82E3E">
        <w:rPr>
          <w:szCs w:val="24"/>
          <w:lang w:eastAsia="en-US"/>
        </w:rPr>
        <w:t>februar</w:t>
      </w:r>
      <w:r w:rsidR="00DC65CB">
        <w:rPr>
          <w:szCs w:val="24"/>
          <w:lang w:eastAsia="en-US"/>
        </w:rPr>
        <w:t xml:space="preserve"> 202</w:t>
      </w:r>
      <w:r w:rsidR="00B82E3E">
        <w:rPr>
          <w:szCs w:val="24"/>
          <w:lang w:eastAsia="en-US"/>
        </w:rPr>
        <w:t>5</w:t>
      </w:r>
    </w:p>
    <w:p w14:paraId="4417E1C3" w14:textId="33E59756" w:rsidR="00A64E46" w:rsidRPr="00C661BE" w:rsidRDefault="00A64E46" w:rsidP="00A64E46">
      <w:pPr>
        <w:pStyle w:val="Titel"/>
        <w:tabs>
          <w:tab w:val="left" w:pos="8222"/>
        </w:tabs>
        <w:jc w:val="left"/>
        <w:rPr>
          <w:b w:val="0"/>
          <w:szCs w:val="24"/>
        </w:rPr>
      </w:pPr>
    </w:p>
    <w:p w14:paraId="2D93A7EC" w14:textId="72AD7922" w:rsidR="00A64E46" w:rsidRDefault="00A64E46" w:rsidP="00A64E46">
      <w:pPr>
        <w:pStyle w:val="Titel"/>
        <w:jc w:val="left"/>
        <w:rPr>
          <w:b w:val="0"/>
          <w:szCs w:val="24"/>
        </w:rPr>
      </w:pPr>
    </w:p>
    <w:p w14:paraId="74B6F844" w14:textId="77777777" w:rsidR="00255371" w:rsidRPr="00C661BE" w:rsidRDefault="00255371" w:rsidP="00A64E46">
      <w:pPr>
        <w:pStyle w:val="Titel"/>
        <w:jc w:val="left"/>
        <w:rPr>
          <w:b w:val="0"/>
          <w:szCs w:val="24"/>
        </w:rPr>
      </w:pPr>
    </w:p>
    <w:p w14:paraId="149DC80D" w14:textId="77777777" w:rsidR="00A64E46" w:rsidRPr="00C661BE" w:rsidRDefault="00A64E46" w:rsidP="00A64E46">
      <w:pPr>
        <w:jc w:val="center"/>
        <w:rPr>
          <w:b/>
          <w:sz w:val="24"/>
          <w:szCs w:val="24"/>
        </w:rPr>
      </w:pPr>
      <w:r w:rsidRPr="00C661BE">
        <w:rPr>
          <w:b/>
          <w:sz w:val="24"/>
          <w:szCs w:val="24"/>
        </w:rPr>
        <w:t>PRODUKTRESUMÉ</w:t>
      </w:r>
    </w:p>
    <w:p w14:paraId="041060DC" w14:textId="77777777" w:rsidR="00A64E46" w:rsidRPr="00C661BE" w:rsidRDefault="00A64E46" w:rsidP="00A64E46">
      <w:pPr>
        <w:jc w:val="center"/>
        <w:rPr>
          <w:b/>
          <w:sz w:val="24"/>
          <w:szCs w:val="24"/>
        </w:rPr>
      </w:pPr>
    </w:p>
    <w:p w14:paraId="03608C00" w14:textId="77777777" w:rsidR="00A64E46" w:rsidRPr="002E5E96" w:rsidRDefault="00A64E46" w:rsidP="003F0B65">
      <w:pPr>
        <w:tabs>
          <w:tab w:val="left" w:pos="190"/>
          <w:tab w:val="left" w:pos="555"/>
          <w:tab w:val="center" w:pos="4819"/>
        </w:tabs>
        <w:rPr>
          <w:b/>
          <w:sz w:val="24"/>
          <w:szCs w:val="24"/>
        </w:rPr>
      </w:pPr>
      <w:r w:rsidRPr="00C661BE">
        <w:rPr>
          <w:b/>
          <w:sz w:val="24"/>
          <w:szCs w:val="24"/>
        </w:rPr>
        <w:tab/>
      </w:r>
      <w:r w:rsidR="003F0B65" w:rsidRPr="00C661BE">
        <w:rPr>
          <w:b/>
          <w:sz w:val="24"/>
          <w:szCs w:val="24"/>
        </w:rPr>
        <w:tab/>
      </w:r>
      <w:r w:rsidRPr="00C661BE">
        <w:rPr>
          <w:b/>
          <w:sz w:val="24"/>
          <w:szCs w:val="24"/>
        </w:rPr>
        <w:tab/>
      </w:r>
      <w:r w:rsidRPr="002E5E96">
        <w:rPr>
          <w:b/>
          <w:sz w:val="24"/>
          <w:szCs w:val="24"/>
        </w:rPr>
        <w:t>for</w:t>
      </w:r>
    </w:p>
    <w:p w14:paraId="29E798B2" w14:textId="77777777" w:rsidR="00A64E46" w:rsidRPr="002E5E96" w:rsidRDefault="00A64E46" w:rsidP="00A64E46">
      <w:pPr>
        <w:jc w:val="center"/>
        <w:rPr>
          <w:b/>
          <w:sz w:val="24"/>
          <w:szCs w:val="24"/>
        </w:rPr>
      </w:pPr>
    </w:p>
    <w:p w14:paraId="34D99D16" w14:textId="77777777" w:rsidR="00A64E46" w:rsidRPr="002E5E96" w:rsidRDefault="00A64E46" w:rsidP="00A64E46">
      <w:pPr>
        <w:jc w:val="center"/>
        <w:rPr>
          <w:b/>
          <w:sz w:val="24"/>
          <w:szCs w:val="24"/>
        </w:rPr>
      </w:pPr>
      <w:proofErr w:type="spellStart"/>
      <w:r w:rsidRPr="002E5E96">
        <w:rPr>
          <w:b/>
          <w:sz w:val="24"/>
          <w:szCs w:val="24"/>
        </w:rPr>
        <w:t>Methotrexate</w:t>
      </w:r>
      <w:proofErr w:type="spellEnd"/>
      <w:r w:rsidRPr="002E5E96">
        <w:rPr>
          <w:b/>
          <w:sz w:val="24"/>
          <w:szCs w:val="24"/>
        </w:rPr>
        <w:t xml:space="preserve"> "</w:t>
      </w:r>
      <w:proofErr w:type="spellStart"/>
      <w:r w:rsidRPr="002E5E96">
        <w:rPr>
          <w:b/>
          <w:sz w:val="24"/>
          <w:szCs w:val="24"/>
        </w:rPr>
        <w:t>Accord</w:t>
      </w:r>
      <w:proofErr w:type="spellEnd"/>
      <w:r w:rsidRPr="002E5E96">
        <w:rPr>
          <w:b/>
          <w:sz w:val="24"/>
          <w:szCs w:val="24"/>
        </w:rPr>
        <w:t>", tabletter</w:t>
      </w:r>
    </w:p>
    <w:p w14:paraId="1B6C2638" w14:textId="77777777" w:rsidR="00A64E46" w:rsidRPr="002E5E96" w:rsidRDefault="00A64E46" w:rsidP="00A64E46">
      <w:pPr>
        <w:jc w:val="both"/>
        <w:rPr>
          <w:sz w:val="24"/>
          <w:szCs w:val="24"/>
        </w:rPr>
      </w:pPr>
    </w:p>
    <w:p w14:paraId="1F02E1ED" w14:textId="77777777" w:rsidR="00A64E46" w:rsidRPr="002E5E96" w:rsidRDefault="00A64E46" w:rsidP="00A64E46">
      <w:pPr>
        <w:ind w:left="851" w:hanging="851"/>
        <w:jc w:val="both"/>
        <w:rPr>
          <w:sz w:val="24"/>
          <w:szCs w:val="24"/>
        </w:rPr>
      </w:pPr>
    </w:p>
    <w:p w14:paraId="4CA201AF" w14:textId="77777777" w:rsidR="00A64E46" w:rsidRPr="002E5E96" w:rsidRDefault="00A64E46" w:rsidP="00A64E46">
      <w:pPr>
        <w:tabs>
          <w:tab w:val="left" w:pos="851"/>
        </w:tabs>
        <w:ind w:left="851" w:hanging="851"/>
        <w:rPr>
          <w:b/>
          <w:sz w:val="24"/>
          <w:szCs w:val="24"/>
        </w:rPr>
      </w:pPr>
      <w:r w:rsidRPr="002E5E96">
        <w:rPr>
          <w:b/>
          <w:sz w:val="24"/>
          <w:szCs w:val="24"/>
        </w:rPr>
        <w:t>0.</w:t>
      </w:r>
      <w:r w:rsidRPr="002E5E96">
        <w:rPr>
          <w:b/>
          <w:sz w:val="24"/>
          <w:szCs w:val="24"/>
        </w:rPr>
        <w:tab/>
        <w:t>D.SP.NR.</w:t>
      </w:r>
    </w:p>
    <w:p w14:paraId="7E278670" w14:textId="77777777" w:rsidR="00A64E46" w:rsidRPr="00F74DF7" w:rsidRDefault="00A64E46" w:rsidP="00A64E46">
      <w:pPr>
        <w:tabs>
          <w:tab w:val="left" w:pos="851"/>
        </w:tabs>
        <w:ind w:left="851" w:hanging="851"/>
        <w:rPr>
          <w:sz w:val="24"/>
          <w:szCs w:val="24"/>
        </w:rPr>
      </w:pPr>
      <w:r w:rsidRPr="002E5E96">
        <w:rPr>
          <w:sz w:val="24"/>
          <w:szCs w:val="24"/>
        </w:rPr>
        <w:tab/>
      </w:r>
      <w:r w:rsidRPr="00F74DF7">
        <w:rPr>
          <w:sz w:val="24"/>
          <w:szCs w:val="24"/>
        </w:rPr>
        <w:t>30580</w:t>
      </w:r>
    </w:p>
    <w:p w14:paraId="4D5D7E28" w14:textId="77777777" w:rsidR="00A64E46" w:rsidRPr="00F74DF7" w:rsidRDefault="00A64E46" w:rsidP="00A64E46">
      <w:pPr>
        <w:tabs>
          <w:tab w:val="left" w:pos="851"/>
        </w:tabs>
        <w:ind w:left="851" w:hanging="851"/>
        <w:rPr>
          <w:sz w:val="24"/>
          <w:szCs w:val="24"/>
        </w:rPr>
      </w:pPr>
    </w:p>
    <w:p w14:paraId="16BDADF5" w14:textId="77777777" w:rsidR="00A64E46" w:rsidRPr="00F74DF7" w:rsidRDefault="00A64E46" w:rsidP="00A64E46">
      <w:pPr>
        <w:tabs>
          <w:tab w:val="left" w:pos="851"/>
        </w:tabs>
        <w:ind w:left="851" w:hanging="851"/>
        <w:rPr>
          <w:b/>
          <w:sz w:val="24"/>
          <w:szCs w:val="24"/>
        </w:rPr>
      </w:pPr>
      <w:r w:rsidRPr="00F74DF7">
        <w:rPr>
          <w:b/>
          <w:sz w:val="24"/>
          <w:szCs w:val="24"/>
        </w:rPr>
        <w:t>1.</w:t>
      </w:r>
      <w:r w:rsidRPr="00F74DF7">
        <w:rPr>
          <w:b/>
          <w:sz w:val="24"/>
          <w:szCs w:val="24"/>
        </w:rPr>
        <w:tab/>
        <w:t>LÆGEMIDLETS NAVN</w:t>
      </w:r>
    </w:p>
    <w:p w14:paraId="05C7594A" w14:textId="77777777" w:rsidR="00A64E46" w:rsidRPr="00F74DF7" w:rsidRDefault="00A64E46" w:rsidP="00A64E46">
      <w:pPr>
        <w:tabs>
          <w:tab w:val="left" w:pos="851"/>
        </w:tabs>
        <w:ind w:left="851" w:hanging="851"/>
        <w:rPr>
          <w:sz w:val="24"/>
          <w:szCs w:val="24"/>
        </w:rPr>
      </w:pPr>
      <w:r w:rsidRPr="00F74DF7">
        <w:rPr>
          <w:sz w:val="24"/>
          <w:szCs w:val="24"/>
        </w:rPr>
        <w:tab/>
      </w:r>
      <w:proofErr w:type="spellStart"/>
      <w:r w:rsidRPr="00F74DF7">
        <w:rPr>
          <w:sz w:val="24"/>
          <w:szCs w:val="24"/>
        </w:rPr>
        <w:t>Methotrexate</w:t>
      </w:r>
      <w:proofErr w:type="spellEnd"/>
      <w:r w:rsidRPr="00F74DF7">
        <w:rPr>
          <w:sz w:val="24"/>
          <w:szCs w:val="24"/>
        </w:rPr>
        <w:t xml:space="preserve"> "</w:t>
      </w:r>
      <w:proofErr w:type="spellStart"/>
      <w:r w:rsidRPr="00F74DF7">
        <w:rPr>
          <w:sz w:val="24"/>
          <w:szCs w:val="24"/>
        </w:rPr>
        <w:t>Accord</w:t>
      </w:r>
      <w:proofErr w:type="spellEnd"/>
      <w:r w:rsidRPr="00F74DF7">
        <w:rPr>
          <w:sz w:val="24"/>
          <w:szCs w:val="24"/>
        </w:rPr>
        <w:t>"</w:t>
      </w:r>
    </w:p>
    <w:p w14:paraId="4BB911B9" w14:textId="77777777" w:rsidR="00A64E46" w:rsidRPr="00F74DF7" w:rsidRDefault="00A64E46" w:rsidP="00A64E46">
      <w:pPr>
        <w:tabs>
          <w:tab w:val="left" w:pos="851"/>
        </w:tabs>
        <w:ind w:left="851" w:hanging="851"/>
        <w:rPr>
          <w:sz w:val="24"/>
          <w:szCs w:val="24"/>
        </w:rPr>
      </w:pPr>
    </w:p>
    <w:p w14:paraId="15E9B5A2" w14:textId="77777777" w:rsidR="00A64E46" w:rsidRPr="00F74DF7" w:rsidRDefault="00A64E46" w:rsidP="00A64E46">
      <w:pPr>
        <w:tabs>
          <w:tab w:val="left" w:pos="851"/>
        </w:tabs>
        <w:ind w:left="851" w:hanging="851"/>
        <w:rPr>
          <w:b/>
          <w:sz w:val="24"/>
          <w:szCs w:val="24"/>
        </w:rPr>
      </w:pPr>
      <w:r w:rsidRPr="00F74DF7">
        <w:rPr>
          <w:b/>
          <w:sz w:val="24"/>
          <w:szCs w:val="24"/>
        </w:rPr>
        <w:t>2.</w:t>
      </w:r>
      <w:r w:rsidRPr="00F74DF7">
        <w:rPr>
          <w:b/>
          <w:sz w:val="24"/>
          <w:szCs w:val="24"/>
        </w:rPr>
        <w:tab/>
        <w:t>KVALITATIV OG KVANTITATIV SAMMENSÆTNING</w:t>
      </w:r>
    </w:p>
    <w:p w14:paraId="41E9D002" w14:textId="77777777" w:rsidR="00A64E46" w:rsidRPr="00F74DF7" w:rsidRDefault="00A64E46" w:rsidP="00A64E46">
      <w:pPr>
        <w:widowControl w:val="0"/>
        <w:autoSpaceDE w:val="0"/>
        <w:autoSpaceDN w:val="0"/>
        <w:adjustRightInd w:val="0"/>
        <w:ind w:left="851" w:right="-20"/>
        <w:rPr>
          <w:sz w:val="24"/>
          <w:szCs w:val="24"/>
        </w:rPr>
      </w:pPr>
      <w:r w:rsidRPr="00F74DF7">
        <w:rPr>
          <w:sz w:val="24"/>
          <w:szCs w:val="24"/>
        </w:rPr>
        <w:t xml:space="preserve">Hver tablet indeholder 2,5 mg </w:t>
      </w:r>
      <w:proofErr w:type="spellStart"/>
      <w:r w:rsidRPr="00F74DF7">
        <w:rPr>
          <w:sz w:val="24"/>
          <w:szCs w:val="24"/>
        </w:rPr>
        <w:t>methotrexat</w:t>
      </w:r>
      <w:proofErr w:type="spellEnd"/>
      <w:r w:rsidRPr="00F74DF7">
        <w:rPr>
          <w:sz w:val="24"/>
          <w:szCs w:val="24"/>
        </w:rPr>
        <w:t>.</w:t>
      </w:r>
    </w:p>
    <w:p w14:paraId="41DDB37E" w14:textId="77777777" w:rsidR="00A64E46" w:rsidRPr="00F74DF7" w:rsidRDefault="00A64E46" w:rsidP="00A64E46">
      <w:pPr>
        <w:widowControl w:val="0"/>
        <w:autoSpaceDE w:val="0"/>
        <w:autoSpaceDN w:val="0"/>
        <w:adjustRightInd w:val="0"/>
        <w:ind w:left="851" w:right="-20"/>
        <w:rPr>
          <w:sz w:val="24"/>
          <w:szCs w:val="24"/>
        </w:rPr>
      </w:pPr>
    </w:p>
    <w:p w14:paraId="713BCFA6" w14:textId="77777777" w:rsidR="00A64E46" w:rsidRPr="00F74DF7" w:rsidRDefault="00A64E46" w:rsidP="00A64E46">
      <w:pPr>
        <w:ind w:left="851"/>
        <w:rPr>
          <w:sz w:val="24"/>
          <w:szCs w:val="24"/>
        </w:rPr>
      </w:pPr>
      <w:r w:rsidRPr="00F74DF7">
        <w:rPr>
          <w:sz w:val="24"/>
          <w:szCs w:val="24"/>
          <w:u w:val="single"/>
        </w:rPr>
        <w:t>Hjælpestof, som behandleren skal være opmærksom på:</w:t>
      </w:r>
    </w:p>
    <w:p w14:paraId="1E99FC35" w14:textId="77777777" w:rsidR="00A64E46" w:rsidRPr="00F74DF7" w:rsidRDefault="00A64E46" w:rsidP="00A64E46">
      <w:pPr>
        <w:widowControl w:val="0"/>
        <w:autoSpaceDE w:val="0"/>
        <w:autoSpaceDN w:val="0"/>
        <w:adjustRightInd w:val="0"/>
        <w:ind w:left="851" w:right="-20"/>
        <w:rPr>
          <w:sz w:val="24"/>
          <w:szCs w:val="24"/>
        </w:rPr>
      </w:pPr>
      <w:r w:rsidRPr="00F74DF7">
        <w:rPr>
          <w:sz w:val="24"/>
          <w:szCs w:val="24"/>
        </w:rPr>
        <w:t xml:space="preserve">Hver tablet indeholder 12,5 mg </w:t>
      </w:r>
      <w:proofErr w:type="spellStart"/>
      <w:r w:rsidRPr="00F74DF7">
        <w:rPr>
          <w:sz w:val="24"/>
          <w:szCs w:val="24"/>
        </w:rPr>
        <w:t>lactosemonohydrat</w:t>
      </w:r>
      <w:proofErr w:type="spellEnd"/>
      <w:r w:rsidRPr="00F74DF7">
        <w:rPr>
          <w:sz w:val="24"/>
          <w:szCs w:val="24"/>
        </w:rPr>
        <w:t>.</w:t>
      </w:r>
    </w:p>
    <w:p w14:paraId="146D3C1F" w14:textId="77777777" w:rsidR="00A64E46" w:rsidRPr="00F74DF7" w:rsidRDefault="00A64E46" w:rsidP="00A64E46">
      <w:pPr>
        <w:widowControl w:val="0"/>
        <w:autoSpaceDE w:val="0"/>
        <w:autoSpaceDN w:val="0"/>
        <w:adjustRightInd w:val="0"/>
        <w:ind w:left="851" w:right="-20"/>
        <w:rPr>
          <w:spacing w:val="-1"/>
          <w:sz w:val="24"/>
          <w:szCs w:val="24"/>
        </w:rPr>
      </w:pPr>
    </w:p>
    <w:p w14:paraId="3DA833F3" w14:textId="77777777" w:rsidR="00A64E46" w:rsidRPr="00F74DF7" w:rsidRDefault="00A64E46" w:rsidP="00A64E46">
      <w:pPr>
        <w:widowControl w:val="0"/>
        <w:autoSpaceDE w:val="0"/>
        <w:autoSpaceDN w:val="0"/>
        <w:adjustRightInd w:val="0"/>
        <w:ind w:left="851" w:right="-20"/>
        <w:rPr>
          <w:sz w:val="24"/>
          <w:szCs w:val="24"/>
        </w:rPr>
      </w:pPr>
      <w:r w:rsidRPr="00F74DF7">
        <w:rPr>
          <w:sz w:val="24"/>
          <w:szCs w:val="24"/>
        </w:rPr>
        <w:t>Alle hjælpestoffer er anført under pkt. 6.1.</w:t>
      </w:r>
    </w:p>
    <w:p w14:paraId="78DDBE13" w14:textId="77777777" w:rsidR="00A64E46" w:rsidRPr="00F74DF7" w:rsidRDefault="00A64E46" w:rsidP="00A64E46">
      <w:pPr>
        <w:tabs>
          <w:tab w:val="left" w:pos="851"/>
        </w:tabs>
        <w:ind w:left="851" w:hanging="851"/>
        <w:rPr>
          <w:sz w:val="24"/>
          <w:szCs w:val="24"/>
        </w:rPr>
      </w:pPr>
    </w:p>
    <w:p w14:paraId="6DD1E612" w14:textId="77777777" w:rsidR="00A64E46" w:rsidRPr="00F74DF7" w:rsidRDefault="00A64E46" w:rsidP="00A64E46">
      <w:pPr>
        <w:tabs>
          <w:tab w:val="left" w:pos="851"/>
        </w:tabs>
        <w:ind w:left="851" w:hanging="851"/>
        <w:rPr>
          <w:b/>
          <w:sz w:val="24"/>
          <w:szCs w:val="24"/>
        </w:rPr>
      </w:pPr>
      <w:r w:rsidRPr="00F74DF7">
        <w:rPr>
          <w:b/>
          <w:sz w:val="24"/>
          <w:szCs w:val="24"/>
        </w:rPr>
        <w:t>3.</w:t>
      </w:r>
      <w:r w:rsidRPr="00F74DF7">
        <w:rPr>
          <w:b/>
          <w:sz w:val="24"/>
          <w:szCs w:val="24"/>
        </w:rPr>
        <w:tab/>
        <w:t>LÆGEMIDDELFORM</w:t>
      </w:r>
    </w:p>
    <w:p w14:paraId="28743474" w14:textId="77777777" w:rsidR="00A64E46" w:rsidRPr="00F74DF7" w:rsidRDefault="00A64E46" w:rsidP="00A64E46">
      <w:pPr>
        <w:widowControl w:val="0"/>
        <w:autoSpaceDE w:val="0"/>
        <w:autoSpaceDN w:val="0"/>
        <w:adjustRightInd w:val="0"/>
        <w:ind w:left="851" w:right="-20"/>
        <w:rPr>
          <w:sz w:val="24"/>
          <w:szCs w:val="24"/>
        </w:rPr>
      </w:pPr>
      <w:r w:rsidRPr="00F74DF7">
        <w:rPr>
          <w:sz w:val="24"/>
          <w:szCs w:val="24"/>
        </w:rPr>
        <w:t>Tabletter</w:t>
      </w:r>
    </w:p>
    <w:p w14:paraId="0D0D1FFC" w14:textId="77777777" w:rsidR="00A64E46" w:rsidRPr="00F74DF7" w:rsidRDefault="00A64E46" w:rsidP="00A64E46">
      <w:pPr>
        <w:widowControl w:val="0"/>
        <w:tabs>
          <w:tab w:val="left" w:pos="3700"/>
          <w:tab w:val="left" w:pos="4120"/>
        </w:tabs>
        <w:autoSpaceDE w:val="0"/>
        <w:autoSpaceDN w:val="0"/>
        <w:adjustRightInd w:val="0"/>
        <w:ind w:left="851" w:right="-20" w:hanging="851"/>
        <w:rPr>
          <w:sz w:val="24"/>
          <w:szCs w:val="24"/>
        </w:rPr>
      </w:pPr>
      <w:r w:rsidRPr="00F74DF7">
        <w:rPr>
          <w:sz w:val="24"/>
          <w:szCs w:val="24"/>
        </w:rPr>
        <w:tab/>
      </w:r>
      <w:proofErr w:type="spellStart"/>
      <w:r w:rsidRPr="00F74DF7">
        <w:rPr>
          <w:sz w:val="24"/>
          <w:szCs w:val="24"/>
        </w:rPr>
        <w:t>Methotrexat</w:t>
      </w:r>
      <w:proofErr w:type="spellEnd"/>
      <w:r w:rsidRPr="00F74DF7">
        <w:rPr>
          <w:sz w:val="24"/>
          <w:szCs w:val="24"/>
        </w:rPr>
        <w:t xml:space="preserve"> 2,5 mg: Gule, runde, </w:t>
      </w:r>
      <w:proofErr w:type="spellStart"/>
      <w:r w:rsidRPr="00F74DF7">
        <w:rPr>
          <w:sz w:val="24"/>
          <w:szCs w:val="24"/>
        </w:rPr>
        <w:t>bikonvekse</w:t>
      </w:r>
      <w:proofErr w:type="spellEnd"/>
      <w:r w:rsidRPr="00F74DF7">
        <w:rPr>
          <w:sz w:val="24"/>
          <w:szCs w:val="24"/>
        </w:rPr>
        <w:t>, ikke-filmovertrukne tabletter med 4,50 ± 0,20 mm i diameter på begge sider.</w:t>
      </w:r>
    </w:p>
    <w:p w14:paraId="4B90B1DB" w14:textId="77777777" w:rsidR="00A64E46" w:rsidRPr="00F74DF7" w:rsidRDefault="00A64E46" w:rsidP="00A64E46">
      <w:pPr>
        <w:tabs>
          <w:tab w:val="left" w:pos="851"/>
        </w:tabs>
        <w:ind w:left="851" w:hanging="851"/>
        <w:rPr>
          <w:sz w:val="24"/>
          <w:szCs w:val="24"/>
        </w:rPr>
      </w:pPr>
    </w:p>
    <w:p w14:paraId="0903F7F4" w14:textId="77777777" w:rsidR="00A64E46" w:rsidRPr="00F74DF7" w:rsidRDefault="00A64E46" w:rsidP="00A64E46">
      <w:pPr>
        <w:tabs>
          <w:tab w:val="left" w:pos="851"/>
        </w:tabs>
        <w:ind w:left="851" w:hanging="851"/>
        <w:rPr>
          <w:sz w:val="24"/>
          <w:szCs w:val="24"/>
        </w:rPr>
      </w:pPr>
    </w:p>
    <w:p w14:paraId="784BF380" w14:textId="77777777" w:rsidR="00A64E46" w:rsidRPr="00F74DF7" w:rsidRDefault="00A64E46" w:rsidP="00A64E46">
      <w:pPr>
        <w:tabs>
          <w:tab w:val="left" w:pos="851"/>
        </w:tabs>
        <w:ind w:left="851" w:hanging="851"/>
        <w:rPr>
          <w:b/>
          <w:sz w:val="24"/>
          <w:szCs w:val="24"/>
        </w:rPr>
      </w:pPr>
      <w:r w:rsidRPr="00F74DF7">
        <w:rPr>
          <w:b/>
          <w:sz w:val="24"/>
          <w:szCs w:val="24"/>
        </w:rPr>
        <w:t>4.</w:t>
      </w:r>
      <w:r w:rsidRPr="00F74DF7">
        <w:rPr>
          <w:b/>
          <w:sz w:val="24"/>
          <w:szCs w:val="24"/>
        </w:rPr>
        <w:tab/>
        <w:t>KLINISKE OPLYSNINGER</w:t>
      </w:r>
    </w:p>
    <w:p w14:paraId="14C9679E" w14:textId="77777777" w:rsidR="00A64E46" w:rsidRPr="00F74DF7" w:rsidRDefault="00A64E46" w:rsidP="00A64E46">
      <w:pPr>
        <w:tabs>
          <w:tab w:val="left" w:pos="851"/>
        </w:tabs>
        <w:ind w:left="851" w:hanging="851"/>
        <w:rPr>
          <w:b/>
          <w:sz w:val="24"/>
          <w:szCs w:val="24"/>
        </w:rPr>
      </w:pPr>
    </w:p>
    <w:p w14:paraId="0D98E474" w14:textId="77777777" w:rsidR="00A64E46" w:rsidRPr="00F74DF7" w:rsidRDefault="00A64E46" w:rsidP="00A64E46">
      <w:pPr>
        <w:tabs>
          <w:tab w:val="left" w:pos="851"/>
        </w:tabs>
        <w:ind w:left="851" w:hanging="851"/>
        <w:rPr>
          <w:b/>
          <w:sz w:val="24"/>
          <w:szCs w:val="24"/>
          <w:u w:val="single"/>
        </w:rPr>
      </w:pPr>
      <w:r w:rsidRPr="00F74DF7">
        <w:rPr>
          <w:b/>
          <w:sz w:val="24"/>
          <w:szCs w:val="24"/>
        </w:rPr>
        <w:t>4.1</w:t>
      </w:r>
      <w:r w:rsidRPr="00F74DF7">
        <w:rPr>
          <w:b/>
          <w:sz w:val="24"/>
          <w:szCs w:val="24"/>
        </w:rPr>
        <w:tab/>
        <w:t>Terapeutiske indikationer</w:t>
      </w:r>
    </w:p>
    <w:p w14:paraId="3D80F7A1" w14:textId="77777777" w:rsidR="00A64E46" w:rsidRPr="00F74DF7" w:rsidRDefault="00A64E46" w:rsidP="00A64E46">
      <w:pPr>
        <w:autoSpaceDE w:val="0"/>
        <w:autoSpaceDN w:val="0"/>
        <w:adjustRightInd w:val="0"/>
        <w:ind w:left="851"/>
        <w:rPr>
          <w:sz w:val="24"/>
          <w:szCs w:val="24"/>
        </w:rPr>
      </w:pPr>
      <w:proofErr w:type="spellStart"/>
      <w:r w:rsidRPr="00F74DF7">
        <w:rPr>
          <w:sz w:val="24"/>
          <w:szCs w:val="24"/>
        </w:rPr>
        <w:t>Methotrexate</w:t>
      </w:r>
      <w:proofErr w:type="spellEnd"/>
      <w:r w:rsidRPr="00F74DF7">
        <w:rPr>
          <w:sz w:val="24"/>
          <w:szCs w:val="24"/>
        </w:rPr>
        <w:t xml:space="preserve"> "</w:t>
      </w:r>
      <w:proofErr w:type="spellStart"/>
      <w:r w:rsidRPr="00F74DF7">
        <w:rPr>
          <w:sz w:val="24"/>
          <w:szCs w:val="24"/>
        </w:rPr>
        <w:t>Accord</w:t>
      </w:r>
      <w:proofErr w:type="spellEnd"/>
      <w:r w:rsidRPr="00F74DF7">
        <w:rPr>
          <w:sz w:val="24"/>
          <w:szCs w:val="24"/>
        </w:rPr>
        <w:t xml:space="preserve">" tablet er indiceret til behandling af: </w:t>
      </w:r>
    </w:p>
    <w:p w14:paraId="17A8ABE4" w14:textId="77777777" w:rsidR="00A75BC4" w:rsidRPr="00A75BC4" w:rsidRDefault="00A75BC4" w:rsidP="00A75BC4">
      <w:pPr>
        <w:autoSpaceDE w:val="0"/>
        <w:autoSpaceDN w:val="0"/>
        <w:adjustRightInd w:val="0"/>
        <w:ind w:left="1276" w:hanging="425"/>
        <w:rPr>
          <w:sz w:val="24"/>
          <w:szCs w:val="24"/>
        </w:rPr>
      </w:pPr>
    </w:p>
    <w:p w14:paraId="3CD6F97C" w14:textId="77777777" w:rsidR="00A75BC4" w:rsidRPr="00A75BC4" w:rsidRDefault="00A75BC4" w:rsidP="00A75BC4">
      <w:pPr>
        <w:numPr>
          <w:ilvl w:val="0"/>
          <w:numId w:val="11"/>
        </w:numPr>
        <w:autoSpaceDE w:val="0"/>
        <w:autoSpaceDN w:val="0"/>
        <w:adjustRightInd w:val="0"/>
        <w:ind w:left="1276" w:hanging="425"/>
        <w:rPr>
          <w:sz w:val="24"/>
          <w:szCs w:val="24"/>
        </w:rPr>
      </w:pPr>
      <w:r w:rsidRPr="00A75BC4">
        <w:rPr>
          <w:sz w:val="24"/>
          <w:szCs w:val="24"/>
        </w:rPr>
        <w:t xml:space="preserve">Aktiv </w:t>
      </w:r>
      <w:proofErr w:type="spellStart"/>
      <w:r w:rsidRPr="00A75BC4">
        <w:rPr>
          <w:sz w:val="24"/>
          <w:szCs w:val="24"/>
        </w:rPr>
        <w:t>reumatoid</w:t>
      </w:r>
      <w:proofErr w:type="spellEnd"/>
      <w:r w:rsidRPr="00A75BC4">
        <w:rPr>
          <w:sz w:val="24"/>
          <w:szCs w:val="24"/>
        </w:rPr>
        <w:t xml:space="preserve"> </w:t>
      </w:r>
      <w:proofErr w:type="spellStart"/>
      <w:r w:rsidRPr="00A75BC4">
        <w:rPr>
          <w:sz w:val="24"/>
          <w:szCs w:val="24"/>
        </w:rPr>
        <w:t>arthritis</w:t>
      </w:r>
      <w:proofErr w:type="spellEnd"/>
      <w:r w:rsidRPr="00A75BC4">
        <w:rPr>
          <w:sz w:val="24"/>
          <w:szCs w:val="24"/>
        </w:rPr>
        <w:t xml:space="preserve"> hos voksne patienter.</w:t>
      </w:r>
    </w:p>
    <w:p w14:paraId="1E2DD19B" w14:textId="77777777" w:rsidR="00A75BC4" w:rsidRPr="00A75BC4" w:rsidRDefault="00A75BC4" w:rsidP="00A75BC4">
      <w:pPr>
        <w:numPr>
          <w:ilvl w:val="0"/>
          <w:numId w:val="11"/>
        </w:numPr>
        <w:autoSpaceDE w:val="0"/>
        <w:autoSpaceDN w:val="0"/>
        <w:adjustRightInd w:val="0"/>
        <w:ind w:left="1276" w:hanging="425"/>
        <w:rPr>
          <w:sz w:val="24"/>
          <w:szCs w:val="24"/>
        </w:rPr>
      </w:pPr>
      <w:r w:rsidRPr="00A75BC4">
        <w:rPr>
          <w:sz w:val="24"/>
          <w:szCs w:val="24"/>
        </w:rPr>
        <w:t xml:space="preserve">Svære former for psoriasis </w:t>
      </w:r>
      <w:proofErr w:type="spellStart"/>
      <w:r w:rsidRPr="00A75BC4">
        <w:rPr>
          <w:sz w:val="24"/>
          <w:szCs w:val="24"/>
        </w:rPr>
        <w:t>vulgaris</w:t>
      </w:r>
      <w:proofErr w:type="spellEnd"/>
      <w:r w:rsidRPr="00A75BC4">
        <w:rPr>
          <w:sz w:val="24"/>
          <w:szCs w:val="24"/>
        </w:rPr>
        <w:t xml:space="preserve">, især af </w:t>
      </w:r>
      <w:proofErr w:type="spellStart"/>
      <w:r w:rsidRPr="00A75BC4">
        <w:rPr>
          <w:sz w:val="24"/>
          <w:szCs w:val="24"/>
        </w:rPr>
        <w:t>plaque</w:t>
      </w:r>
      <w:proofErr w:type="spellEnd"/>
      <w:r w:rsidRPr="00A75BC4">
        <w:rPr>
          <w:sz w:val="24"/>
          <w:szCs w:val="24"/>
        </w:rPr>
        <w:t xml:space="preserve">-typen, som ikke kan behandles tilstrækkeligt med konventionel terapi og aktiv </w:t>
      </w:r>
      <w:proofErr w:type="spellStart"/>
      <w:r w:rsidRPr="00A75BC4">
        <w:rPr>
          <w:sz w:val="24"/>
          <w:szCs w:val="24"/>
        </w:rPr>
        <w:t>psoriasisartrit</w:t>
      </w:r>
      <w:proofErr w:type="spellEnd"/>
      <w:r w:rsidRPr="00A75BC4">
        <w:rPr>
          <w:sz w:val="24"/>
          <w:szCs w:val="24"/>
        </w:rPr>
        <w:t xml:space="preserve"> hos voksne.</w:t>
      </w:r>
    </w:p>
    <w:p w14:paraId="435B23C8" w14:textId="20952AEC" w:rsidR="00A64E46" w:rsidRPr="00B82E3E" w:rsidRDefault="00A75BC4" w:rsidP="00A64E46">
      <w:pPr>
        <w:numPr>
          <w:ilvl w:val="0"/>
          <w:numId w:val="11"/>
        </w:numPr>
        <w:autoSpaceDE w:val="0"/>
        <w:autoSpaceDN w:val="0"/>
        <w:adjustRightInd w:val="0"/>
        <w:ind w:left="1276" w:hanging="425"/>
        <w:rPr>
          <w:sz w:val="24"/>
          <w:szCs w:val="24"/>
        </w:rPr>
      </w:pPr>
      <w:r w:rsidRPr="00A75BC4">
        <w:rPr>
          <w:sz w:val="24"/>
          <w:szCs w:val="24"/>
        </w:rPr>
        <w:t>Vedligeholdelsesbehandling ved akut lymfatisk leukæmi (ALL) hos voksne, unge og børn i alderen 3 år og derover.</w:t>
      </w:r>
    </w:p>
    <w:p w14:paraId="1A789590" w14:textId="77777777" w:rsidR="00A64E46" w:rsidRPr="00F74DF7" w:rsidRDefault="00A64E46" w:rsidP="00A64E46">
      <w:pPr>
        <w:tabs>
          <w:tab w:val="left" w:pos="851"/>
        </w:tabs>
        <w:ind w:left="851" w:hanging="851"/>
        <w:rPr>
          <w:sz w:val="24"/>
          <w:szCs w:val="24"/>
        </w:rPr>
      </w:pPr>
    </w:p>
    <w:p w14:paraId="1F0E69FD" w14:textId="338B3202" w:rsidR="00A64E46" w:rsidRPr="00F74DF7" w:rsidRDefault="00A64E46" w:rsidP="00A64E46">
      <w:pPr>
        <w:tabs>
          <w:tab w:val="left" w:pos="851"/>
        </w:tabs>
        <w:ind w:left="851" w:hanging="851"/>
        <w:rPr>
          <w:b/>
          <w:sz w:val="24"/>
          <w:szCs w:val="24"/>
        </w:rPr>
      </w:pPr>
      <w:r w:rsidRPr="00F74DF7">
        <w:rPr>
          <w:b/>
          <w:sz w:val="24"/>
          <w:szCs w:val="24"/>
        </w:rPr>
        <w:t>4.2</w:t>
      </w:r>
      <w:r w:rsidRPr="00F74DF7">
        <w:rPr>
          <w:b/>
          <w:sz w:val="24"/>
          <w:szCs w:val="24"/>
        </w:rPr>
        <w:tab/>
        <w:t xml:space="preserve">Dosering og </w:t>
      </w:r>
      <w:r w:rsidR="00DC65CB">
        <w:rPr>
          <w:b/>
          <w:sz w:val="24"/>
          <w:szCs w:val="24"/>
        </w:rPr>
        <w:t>administration</w:t>
      </w:r>
    </w:p>
    <w:p w14:paraId="0704DCFD" w14:textId="77777777" w:rsidR="00A75BC4" w:rsidRPr="00A75BC4" w:rsidRDefault="00A75BC4" w:rsidP="00A75BC4">
      <w:pPr>
        <w:widowControl w:val="0"/>
        <w:tabs>
          <w:tab w:val="left" w:pos="3293"/>
        </w:tabs>
        <w:autoSpaceDE w:val="0"/>
        <w:autoSpaceDN w:val="0"/>
        <w:adjustRightInd w:val="0"/>
        <w:ind w:left="851" w:hanging="851"/>
        <w:rPr>
          <w:sz w:val="24"/>
          <w:szCs w:val="24"/>
        </w:rPr>
      </w:pPr>
    </w:p>
    <w:p w14:paraId="609E93B9" w14:textId="77777777" w:rsidR="00A75BC4" w:rsidRPr="00A75BC4" w:rsidRDefault="00A75BC4" w:rsidP="00A75BC4">
      <w:pPr>
        <w:autoSpaceDE w:val="0"/>
        <w:autoSpaceDN w:val="0"/>
        <w:adjustRightInd w:val="0"/>
        <w:ind w:left="851"/>
        <w:rPr>
          <w:sz w:val="24"/>
          <w:szCs w:val="24"/>
        </w:rPr>
      </w:pPr>
      <w:proofErr w:type="spellStart"/>
      <w:r w:rsidRPr="00A75BC4">
        <w:rPr>
          <w:sz w:val="24"/>
          <w:szCs w:val="24"/>
        </w:rPr>
        <w:t>Methotrexat</w:t>
      </w:r>
      <w:proofErr w:type="spellEnd"/>
      <w:r w:rsidRPr="00A75BC4">
        <w:rPr>
          <w:sz w:val="24"/>
          <w:szCs w:val="24"/>
        </w:rPr>
        <w:t xml:space="preserve"> bør kun ordineres af læger med ekspertise i brugen af </w:t>
      </w:r>
      <w:proofErr w:type="spellStart"/>
      <w:r w:rsidRPr="00A75BC4">
        <w:rPr>
          <w:sz w:val="24"/>
          <w:szCs w:val="24"/>
        </w:rPr>
        <w:t>methotrexat</w:t>
      </w:r>
      <w:proofErr w:type="spellEnd"/>
      <w:r w:rsidRPr="00A75BC4">
        <w:rPr>
          <w:sz w:val="24"/>
          <w:szCs w:val="24"/>
        </w:rPr>
        <w:t xml:space="preserve"> og med fuld forståelse for de risici, der er forbundet med </w:t>
      </w:r>
      <w:proofErr w:type="spellStart"/>
      <w:r w:rsidRPr="00A75BC4">
        <w:rPr>
          <w:sz w:val="24"/>
          <w:szCs w:val="24"/>
        </w:rPr>
        <w:t>methotrexat</w:t>
      </w:r>
      <w:proofErr w:type="spellEnd"/>
      <w:r w:rsidRPr="00A75BC4">
        <w:rPr>
          <w:sz w:val="24"/>
          <w:szCs w:val="24"/>
        </w:rPr>
        <w:t xml:space="preserve">-behandling. </w:t>
      </w:r>
    </w:p>
    <w:p w14:paraId="3E961ACA" w14:textId="77777777" w:rsidR="00A75BC4" w:rsidRPr="00A75BC4" w:rsidRDefault="00A75BC4" w:rsidP="00A75BC4">
      <w:pPr>
        <w:autoSpaceDE w:val="0"/>
        <w:autoSpaceDN w:val="0"/>
        <w:adjustRightInd w:val="0"/>
        <w:ind w:left="851"/>
        <w:rPr>
          <w:sz w:val="24"/>
          <w:szCs w:val="24"/>
        </w:rPr>
      </w:pPr>
    </w:p>
    <w:p w14:paraId="1F8E9785" w14:textId="77777777" w:rsidR="00A75BC4" w:rsidRPr="00A75BC4" w:rsidRDefault="00A75BC4" w:rsidP="00A75BC4">
      <w:pPr>
        <w:autoSpaceDE w:val="0"/>
        <w:autoSpaceDN w:val="0"/>
        <w:adjustRightInd w:val="0"/>
        <w:ind w:left="851"/>
        <w:rPr>
          <w:sz w:val="24"/>
          <w:szCs w:val="24"/>
          <w:u w:val="single"/>
        </w:rPr>
      </w:pPr>
      <w:r w:rsidRPr="00A75BC4">
        <w:rPr>
          <w:sz w:val="24"/>
          <w:szCs w:val="24"/>
          <w:u w:val="single"/>
        </w:rPr>
        <w:t>Dosering</w:t>
      </w:r>
    </w:p>
    <w:p w14:paraId="3C577E84" w14:textId="77777777" w:rsidR="00A75BC4" w:rsidRPr="00A75BC4" w:rsidRDefault="00A75BC4" w:rsidP="00A75BC4">
      <w:pPr>
        <w:autoSpaceDE w:val="0"/>
        <w:autoSpaceDN w:val="0"/>
        <w:adjustRightInd w:val="0"/>
        <w:ind w:left="851"/>
        <w:rPr>
          <w:sz w:val="24"/>
          <w:szCs w:val="24"/>
        </w:rPr>
      </w:pPr>
    </w:p>
    <w:p w14:paraId="039D6673" w14:textId="77777777" w:rsidR="00A75BC4" w:rsidRPr="00A75BC4" w:rsidRDefault="00A75BC4" w:rsidP="00A75BC4">
      <w:pPr>
        <w:autoSpaceDE w:val="0"/>
        <w:autoSpaceDN w:val="0"/>
        <w:adjustRightInd w:val="0"/>
        <w:ind w:left="851"/>
        <w:rPr>
          <w:i/>
          <w:iCs/>
          <w:sz w:val="24"/>
          <w:szCs w:val="24"/>
        </w:rPr>
      </w:pPr>
      <w:r w:rsidRPr="00A75BC4">
        <w:rPr>
          <w:i/>
          <w:iCs/>
          <w:sz w:val="24"/>
          <w:szCs w:val="24"/>
        </w:rPr>
        <w:t xml:space="preserve">Ved reumatologiske og dermatologiske sygdomme </w:t>
      </w:r>
    </w:p>
    <w:p w14:paraId="486FEABF" w14:textId="77777777" w:rsidR="00A75BC4" w:rsidRPr="00A75BC4" w:rsidRDefault="00A75BC4" w:rsidP="00A75BC4">
      <w:pPr>
        <w:pBdr>
          <w:top w:val="single" w:sz="12" w:space="1" w:color="auto"/>
          <w:left w:val="single" w:sz="12" w:space="4" w:color="auto"/>
          <w:bottom w:val="single" w:sz="12" w:space="1" w:color="auto"/>
          <w:right w:val="single" w:sz="12" w:space="4" w:color="auto"/>
        </w:pBdr>
        <w:autoSpaceDE w:val="0"/>
        <w:autoSpaceDN w:val="0"/>
        <w:adjustRightInd w:val="0"/>
        <w:ind w:left="851"/>
        <w:rPr>
          <w:b/>
          <w:sz w:val="24"/>
          <w:szCs w:val="24"/>
        </w:rPr>
      </w:pPr>
      <w:r w:rsidRPr="00A75BC4">
        <w:rPr>
          <w:b/>
          <w:sz w:val="24"/>
          <w:szCs w:val="24"/>
        </w:rPr>
        <w:t xml:space="preserve">Vigtig advarsel om doseringen af </w:t>
      </w:r>
      <w:proofErr w:type="spellStart"/>
      <w:r w:rsidRPr="00A75BC4">
        <w:rPr>
          <w:b/>
          <w:sz w:val="24"/>
          <w:szCs w:val="24"/>
        </w:rPr>
        <w:t>methotrexat</w:t>
      </w:r>
      <w:proofErr w:type="spellEnd"/>
      <w:r w:rsidRPr="00A75BC4">
        <w:rPr>
          <w:b/>
          <w:sz w:val="24"/>
          <w:szCs w:val="24"/>
        </w:rPr>
        <w:t>:</w:t>
      </w:r>
    </w:p>
    <w:p w14:paraId="088D783B" w14:textId="77777777" w:rsidR="00A75BC4" w:rsidRPr="00A75BC4" w:rsidRDefault="00A75BC4" w:rsidP="00A75BC4">
      <w:pPr>
        <w:pBdr>
          <w:top w:val="single" w:sz="12" w:space="1" w:color="auto"/>
          <w:left w:val="single" w:sz="12" w:space="4" w:color="auto"/>
          <w:bottom w:val="single" w:sz="12" w:space="1" w:color="auto"/>
          <w:right w:val="single" w:sz="12" w:space="4" w:color="auto"/>
        </w:pBdr>
        <w:autoSpaceDE w:val="0"/>
        <w:autoSpaceDN w:val="0"/>
        <w:adjustRightInd w:val="0"/>
        <w:ind w:left="851"/>
        <w:rPr>
          <w:b/>
          <w:sz w:val="24"/>
          <w:szCs w:val="24"/>
        </w:rPr>
      </w:pPr>
      <w:r w:rsidRPr="00A75BC4">
        <w:rPr>
          <w:sz w:val="24"/>
          <w:szCs w:val="24"/>
        </w:rPr>
        <w:t xml:space="preserve">Ved behandling af reumatologiske og dermatologiske sygdomme må </w:t>
      </w:r>
      <w:proofErr w:type="spellStart"/>
      <w:r w:rsidRPr="00A75BC4">
        <w:rPr>
          <w:sz w:val="24"/>
          <w:szCs w:val="24"/>
        </w:rPr>
        <w:t>Methotrexate</w:t>
      </w:r>
      <w:proofErr w:type="spellEnd"/>
      <w:r w:rsidRPr="00A75BC4">
        <w:rPr>
          <w:sz w:val="24"/>
          <w:szCs w:val="24"/>
        </w:rPr>
        <w:t xml:space="preserve"> "</w:t>
      </w:r>
      <w:proofErr w:type="spellStart"/>
      <w:r w:rsidRPr="00A75BC4">
        <w:rPr>
          <w:sz w:val="24"/>
          <w:szCs w:val="24"/>
        </w:rPr>
        <w:t>Accord</w:t>
      </w:r>
      <w:proofErr w:type="spellEnd"/>
      <w:r w:rsidRPr="00A75BC4">
        <w:rPr>
          <w:sz w:val="24"/>
          <w:szCs w:val="24"/>
        </w:rPr>
        <w:t>"</w:t>
      </w:r>
      <w:r w:rsidRPr="00A75BC4">
        <w:rPr>
          <w:b/>
          <w:sz w:val="24"/>
          <w:szCs w:val="24"/>
        </w:rPr>
        <w:t xml:space="preserve"> kun tages én gang om ugen.</w:t>
      </w:r>
    </w:p>
    <w:p w14:paraId="364A36EB" w14:textId="77777777" w:rsidR="00A75BC4" w:rsidRPr="00A75BC4" w:rsidRDefault="00A75BC4" w:rsidP="00A75BC4">
      <w:pPr>
        <w:pBdr>
          <w:top w:val="single" w:sz="12" w:space="1" w:color="auto"/>
          <w:left w:val="single" w:sz="12" w:space="4" w:color="auto"/>
          <w:bottom w:val="single" w:sz="12" w:space="1" w:color="auto"/>
          <w:right w:val="single" w:sz="12" w:space="4" w:color="auto"/>
        </w:pBdr>
        <w:autoSpaceDE w:val="0"/>
        <w:autoSpaceDN w:val="0"/>
        <w:adjustRightInd w:val="0"/>
        <w:ind w:left="851"/>
        <w:rPr>
          <w:b/>
          <w:sz w:val="24"/>
          <w:szCs w:val="24"/>
        </w:rPr>
      </w:pPr>
      <w:r w:rsidRPr="00A75BC4">
        <w:rPr>
          <w:sz w:val="24"/>
          <w:szCs w:val="24"/>
        </w:rPr>
        <w:t xml:space="preserve">Doseringsfejl ved anvendelse af </w:t>
      </w:r>
      <w:proofErr w:type="spellStart"/>
      <w:r w:rsidRPr="00A75BC4">
        <w:rPr>
          <w:sz w:val="24"/>
          <w:szCs w:val="24"/>
        </w:rPr>
        <w:t>Methotrexate</w:t>
      </w:r>
      <w:proofErr w:type="spellEnd"/>
      <w:r w:rsidRPr="00A75BC4">
        <w:rPr>
          <w:sz w:val="24"/>
          <w:szCs w:val="24"/>
        </w:rPr>
        <w:t xml:space="preserve"> "</w:t>
      </w:r>
      <w:proofErr w:type="spellStart"/>
      <w:r w:rsidRPr="00A75BC4">
        <w:rPr>
          <w:sz w:val="24"/>
          <w:szCs w:val="24"/>
        </w:rPr>
        <w:t>Accord</w:t>
      </w:r>
      <w:proofErr w:type="spellEnd"/>
      <w:r w:rsidRPr="00A75BC4">
        <w:rPr>
          <w:sz w:val="24"/>
          <w:szCs w:val="24"/>
        </w:rPr>
        <w:t>" kan medføre alvorlige bivirkninger, herunder dødsfald. Læs dette punkt i produktresuméet meget omhyggeligt.</w:t>
      </w:r>
    </w:p>
    <w:p w14:paraId="582993C9" w14:textId="77777777" w:rsidR="00A75BC4" w:rsidRPr="00A75BC4" w:rsidRDefault="00A75BC4" w:rsidP="00A75BC4">
      <w:pPr>
        <w:autoSpaceDE w:val="0"/>
        <w:autoSpaceDN w:val="0"/>
        <w:adjustRightInd w:val="0"/>
        <w:ind w:left="851"/>
        <w:rPr>
          <w:sz w:val="24"/>
          <w:szCs w:val="24"/>
        </w:rPr>
      </w:pPr>
    </w:p>
    <w:p w14:paraId="4E176B9F" w14:textId="77777777" w:rsidR="00A75BC4" w:rsidRPr="00A75BC4" w:rsidRDefault="00A75BC4" w:rsidP="00A75BC4">
      <w:pPr>
        <w:autoSpaceDE w:val="0"/>
        <w:autoSpaceDN w:val="0"/>
        <w:adjustRightInd w:val="0"/>
        <w:ind w:left="851"/>
        <w:rPr>
          <w:sz w:val="24"/>
          <w:szCs w:val="24"/>
        </w:rPr>
      </w:pPr>
      <w:r w:rsidRPr="00A75BC4">
        <w:rPr>
          <w:sz w:val="24"/>
          <w:szCs w:val="24"/>
        </w:rPr>
        <w:t>Den ordinerende læge skal sikre sig, at patienten eller dennes omsorgsperson vil være i stand til at overholde doseringsregimet med én ugentlig dosis.</w:t>
      </w:r>
    </w:p>
    <w:p w14:paraId="73889849" w14:textId="77777777" w:rsidR="00A75BC4" w:rsidRPr="00A75BC4" w:rsidRDefault="00A75BC4" w:rsidP="00A75BC4">
      <w:pPr>
        <w:autoSpaceDE w:val="0"/>
        <w:autoSpaceDN w:val="0"/>
        <w:adjustRightInd w:val="0"/>
        <w:ind w:left="851"/>
        <w:rPr>
          <w:sz w:val="24"/>
          <w:szCs w:val="24"/>
        </w:rPr>
      </w:pPr>
    </w:p>
    <w:p w14:paraId="5A472D71" w14:textId="77777777" w:rsidR="00A75BC4" w:rsidRPr="00A75BC4" w:rsidRDefault="00A75BC4" w:rsidP="00A75BC4">
      <w:pPr>
        <w:autoSpaceDE w:val="0"/>
        <w:autoSpaceDN w:val="0"/>
        <w:adjustRightInd w:val="0"/>
        <w:ind w:left="851"/>
        <w:rPr>
          <w:sz w:val="24"/>
          <w:szCs w:val="24"/>
        </w:rPr>
      </w:pPr>
      <w:proofErr w:type="spellStart"/>
      <w:r w:rsidRPr="00A75BC4">
        <w:rPr>
          <w:sz w:val="24"/>
          <w:szCs w:val="24"/>
        </w:rPr>
        <w:t>Methotrexate</w:t>
      </w:r>
      <w:proofErr w:type="spellEnd"/>
      <w:r w:rsidRPr="00A75BC4">
        <w:rPr>
          <w:sz w:val="24"/>
          <w:szCs w:val="24"/>
        </w:rPr>
        <w:t xml:space="preserve"> "</w:t>
      </w:r>
      <w:proofErr w:type="spellStart"/>
      <w:r w:rsidRPr="00A75BC4">
        <w:rPr>
          <w:sz w:val="24"/>
          <w:szCs w:val="24"/>
        </w:rPr>
        <w:t>Accord</w:t>
      </w:r>
      <w:proofErr w:type="spellEnd"/>
      <w:r w:rsidRPr="00A75BC4">
        <w:rPr>
          <w:sz w:val="24"/>
          <w:szCs w:val="24"/>
        </w:rPr>
        <w:t>" gives én gang om ugen.</w:t>
      </w:r>
    </w:p>
    <w:p w14:paraId="77A72AE1" w14:textId="77777777" w:rsidR="00A75BC4" w:rsidRPr="00A75BC4" w:rsidRDefault="00A75BC4" w:rsidP="00A75BC4">
      <w:pPr>
        <w:autoSpaceDE w:val="0"/>
        <w:autoSpaceDN w:val="0"/>
        <w:adjustRightInd w:val="0"/>
        <w:ind w:left="851"/>
        <w:rPr>
          <w:sz w:val="24"/>
          <w:szCs w:val="24"/>
        </w:rPr>
      </w:pPr>
    </w:p>
    <w:p w14:paraId="6324E9FB" w14:textId="77777777" w:rsidR="00A75BC4" w:rsidRPr="00A75BC4" w:rsidRDefault="00A75BC4" w:rsidP="00A75BC4">
      <w:pPr>
        <w:autoSpaceDE w:val="0"/>
        <w:autoSpaceDN w:val="0"/>
        <w:adjustRightInd w:val="0"/>
        <w:ind w:left="851"/>
        <w:rPr>
          <w:sz w:val="24"/>
          <w:szCs w:val="24"/>
        </w:rPr>
      </w:pPr>
      <w:r w:rsidRPr="00A75BC4">
        <w:rPr>
          <w:sz w:val="24"/>
          <w:szCs w:val="24"/>
        </w:rPr>
        <w:t xml:space="preserve">Det skal præciseres tydeligt over for patienten, at </w:t>
      </w:r>
      <w:proofErr w:type="spellStart"/>
      <w:r w:rsidRPr="00A75BC4">
        <w:rPr>
          <w:sz w:val="24"/>
          <w:szCs w:val="24"/>
        </w:rPr>
        <w:t>methotrexat</w:t>
      </w:r>
      <w:proofErr w:type="spellEnd"/>
      <w:r w:rsidRPr="00A75BC4">
        <w:rPr>
          <w:sz w:val="24"/>
          <w:szCs w:val="24"/>
        </w:rPr>
        <w:t xml:space="preserve"> kun tages </w:t>
      </w:r>
      <w:r w:rsidRPr="00A75BC4">
        <w:rPr>
          <w:b/>
          <w:sz w:val="24"/>
          <w:szCs w:val="24"/>
        </w:rPr>
        <w:t>én gang om ugen</w:t>
      </w:r>
      <w:r w:rsidRPr="00A75BC4">
        <w:rPr>
          <w:sz w:val="24"/>
          <w:szCs w:val="24"/>
        </w:rPr>
        <w:t>.</w:t>
      </w:r>
    </w:p>
    <w:p w14:paraId="1A311FEC" w14:textId="77777777" w:rsidR="00A75BC4" w:rsidRPr="00A75BC4" w:rsidRDefault="00A75BC4" w:rsidP="00A75BC4">
      <w:pPr>
        <w:autoSpaceDE w:val="0"/>
        <w:autoSpaceDN w:val="0"/>
        <w:adjustRightInd w:val="0"/>
        <w:ind w:left="851"/>
        <w:rPr>
          <w:sz w:val="24"/>
          <w:szCs w:val="24"/>
        </w:rPr>
      </w:pPr>
    </w:p>
    <w:p w14:paraId="69A25D20" w14:textId="77777777" w:rsidR="00A75BC4" w:rsidRPr="00A75BC4" w:rsidRDefault="00A75BC4" w:rsidP="00A75BC4">
      <w:pPr>
        <w:autoSpaceDE w:val="0"/>
        <w:autoSpaceDN w:val="0"/>
        <w:adjustRightInd w:val="0"/>
        <w:ind w:left="851"/>
        <w:rPr>
          <w:sz w:val="24"/>
          <w:szCs w:val="24"/>
        </w:rPr>
      </w:pPr>
      <w:r w:rsidRPr="00A75BC4">
        <w:rPr>
          <w:sz w:val="24"/>
          <w:szCs w:val="24"/>
        </w:rPr>
        <w:t xml:space="preserve">Den ordinerende læge skal angive administrationsdagen på recepten.  </w:t>
      </w:r>
    </w:p>
    <w:p w14:paraId="14DB7DE7" w14:textId="77777777" w:rsidR="00A75BC4" w:rsidRPr="00A75BC4" w:rsidRDefault="00A75BC4" w:rsidP="00A75BC4">
      <w:pPr>
        <w:autoSpaceDE w:val="0"/>
        <w:autoSpaceDN w:val="0"/>
        <w:adjustRightInd w:val="0"/>
        <w:ind w:left="851"/>
        <w:rPr>
          <w:sz w:val="24"/>
          <w:szCs w:val="24"/>
        </w:rPr>
      </w:pPr>
    </w:p>
    <w:p w14:paraId="4379C243" w14:textId="77777777" w:rsidR="00A75BC4" w:rsidRPr="00A75BC4" w:rsidRDefault="00A75BC4" w:rsidP="00A75BC4">
      <w:pPr>
        <w:pStyle w:val="Default"/>
        <w:ind w:left="851"/>
      </w:pPr>
      <w:r w:rsidRPr="00A75BC4">
        <w:t xml:space="preserve">Dosis og behandlingsvarighed fastlægges individuelt på grundlag af patientens kliniske tilstand og tolerance over for </w:t>
      </w:r>
      <w:proofErr w:type="spellStart"/>
      <w:r w:rsidRPr="00A75BC4">
        <w:t>methotrexat</w:t>
      </w:r>
      <w:proofErr w:type="spellEnd"/>
      <w:r w:rsidRPr="00A75BC4">
        <w:t xml:space="preserve">. Behandling af aktiv </w:t>
      </w:r>
      <w:proofErr w:type="spellStart"/>
      <w:r w:rsidRPr="00A75BC4">
        <w:t>reumatoid</w:t>
      </w:r>
      <w:proofErr w:type="spellEnd"/>
      <w:r w:rsidRPr="00A75BC4">
        <w:t xml:space="preserve"> artritis, svær psoriasis og svær psoriasisartritis udgør en langvarig behandling. </w:t>
      </w:r>
    </w:p>
    <w:p w14:paraId="311E58C9" w14:textId="77777777" w:rsidR="00A75BC4" w:rsidRPr="00A75BC4" w:rsidRDefault="00A75BC4" w:rsidP="00A75BC4">
      <w:pPr>
        <w:pStyle w:val="Default"/>
        <w:ind w:left="851"/>
      </w:pPr>
    </w:p>
    <w:p w14:paraId="7440E5B1" w14:textId="77777777" w:rsidR="00A75BC4" w:rsidRPr="00A75BC4" w:rsidRDefault="00A75BC4" w:rsidP="00A75BC4">
      <w:pPr>
        <w:pStyle w:val="Default"/>
        <w:ind w:left="851"/>
      </w:pPr>
      <w:r w:rsidRPr="00A75BC4">
        <w:t xml:space="preserve">En ugentlig dosis på 25 mg bør ikke overskrides. Doser over 20 mg om ugen kan være forbundet med betydeligt øget toksicitet, navnlig knoglemarvsdepression. </w:t>
      </w:r>
    </w:p>
    <w:p w14:paraId="78B8ACDC" w14:textId="77777777" w:rsidR="00A75BC4" w:rsidRPr="00A75BC4" w:rsidRDefault="00A75BC4" w:rsidP="00A75BC4">
      <w:pPr>
        <w:autoSpaceDE w:val="0"/>
        <w:autoSpaceDN w:val="0"/>
        <w:adjustRightInd w:val="0"/>
        <w:ind w:left="851"/>
        <w:rPr>
          <w:sz w:val="24"/>
          <w:szCs w:val="24"/>
        </w:rPr>
      </w:pPr>
      <w:r w:rsidRPr="00A75BC4">
        <w:rPr>
          <w:sz w:val="24"/>
          <w:szCs w:val="24"/>
        </w:rPr>
        <w:t xml:space="preserve">Samtidigt tilskud af </w:t>
      </w:r>
      <w:proofErr w:type="spellStart"/>
      <w:r w:rsidRPr="00A75BC4">
        <w:rPr>
          <w:sz w:val="24"/>
          <w:szCs w:val="24"/>
        </w:rPr>
        <w:t>folsyre</w:t>
      </w:r>
      <w:proofErr w:type="spellEnd"/>
      <w:r w:rsidRPr="00A75BC4">
        <w:rPr>
          <w:sz w:val="24"/>
          <w:szCs w:val="24"/>
        </w:rPr>
        <w:t xml:space="preserve"> 5 mg to gange ugentligt er indiceret (dog ikke på administrationsdagen). </w:t>
      </w:r>
    </w:p>
    <w:p w14:paraId="5FCC73F9" w14:textId="77777777" w:rsidR="00A75BC4" w:rsidRPr="00A75BC4" w:rsidRDefault="00A75BC4" w:rsidP="00A75BC4">
      <w:pPr>
        <w:autoSpaceDE w:val="0"/>
        <w:autoSpaceDN w:val="0"/>
        <w:adjustRightInd w:val="0"/>
        <w:ind w:left="851"/>
        <w:rPr>
          <w:sz w:val="24"/>
          <w:szCs w:val="24"/>
        </w:rPr>
      </w:pPr>
    </w:p>
    <w:p w14:paraId="418A01A1" w14:textId="77777777" w:rsidR="00A75BC4" w:rsidRPr="00A75BC4" w:rsidRDefault="00A75BC4" w:rsidP="00A75BC4">
      <w:pPr>
        <w:pStyle w:val="Default"/>
        <w:ind w:left="851"/>
      </w:pPr>
      <w:r w:rsidRPr="00A75BC4">
        <w:rPr>
          <w:i/>
          <w:iCs/>
        </w:rPr>
        <w:t xml:space="preserve">Dosering ved </w:t>
      </w:r>
      <w:proofErr w:type="spellStart"/>
      <w:r w:rsidRPr="00A75BC4">
        <w:rPr>
          <w:i/>
          <w:iCs/>
        </w:rPr>
        <w:t>reumatoid</w:t>
      </w:r>
      <w:proofErr w:type="spellEnd"/>
      <w:r w:rsidRPr="00A75BC4">
        <w:rPr>
          <w:i/>
          <w:iCs/>
        </w:rPr>
        <w:t xml:space="preserve"> artritis hos voksne </w:t>
      </w:r>
    </w:p>
    <w:p w14:paraId="666D6616" w14:textId="77777777" w:rsidR="00A75BC4" w:rsidRPr="00A75BC4" w:rsidRDefault="00A75BC4" w:rsidP="00A75BC4">
      <w:pPr>
        <w:pStyle w:val="Default"/>
        <w:ind w:left="851"/>
      </w:pPr>
      <w:r w:rsidRPr="00A75BC4">
        <w:t xml:space="preserve">Den anbefalede initialdosis er 7,5 til 15 mg </w:t>
      </w:r>
      <w:proofErr w:type="spellStart"/>
      <w:r w:rsidRPr="00A75BC4">
        <w:t>methotrexat</w:t>
      </w:r>
      <w:proofErr w:type="spellEnd"/>
      <w:r w:rsidRPr="00A75BC4">
        <w:t xml:space="preserve"> én gang om ugen. Alt efter sygdommens aktivitet hos den enkelte patient og patientens tolerance kan dosis gradvis øges med 2,5 mg om ugen. </w:t>
      </w:r>
    </w:p>
    <w:p w14:paraId="0DF249B7" w14:textId="77777777" w:rsidR="00A75BC4" w:rsidRPr="00A75BC4" w:rsidRDefault="00A75BC4" w:rsidP="00A75BC4">
      <w:pPr>
        <w:pStyle w:val="Default"/>
        <w:ind w:left="851"/>
      </w:pPr>
      <w:r w:rsidRPr="00A75BC4">
        <w:t xml:space="preserve">Respons på behandlingen kan forventes efter ca. 4-8 uger. </w:t>
      </w:r>
    </w:p>
    <w:p w14:paraId="23029E4A" w14:textId="77777777" w:rsidR="00A75BC4" w:rsidRPr="00A75BC4" w:rsidRDefault="00A75BC4" w:rsidP="00A75BC4">
      <w:pPr>
        <w:pStyle w:val="Default"/>
        <w:ind w:left="851"/>
      </w:pPr>
      <w:r w:rsidRPr="00A75BC4">
        <w:t xml:space="preserve">Når det ønskede behandlingsresultat er opnået, bør dosis gradvis nedsættes til den lavest mulige effektive vedligeholdelsesdosis. </w:t>
      </w:r>
    </w:p>
    <w:p w14:paraId="367F4830" w14:textId="77777777" w:rsidR="00A75BC4" w:rsidRPr="00A75BC4" w:rsidRDefault="00A75BC4" w:rsidP="00A75BC4">
      <w:pPr>
        <w:autoSpaceDE w:val="0"/>
        <w:autoSpaceDN w:val="0"/>
        <w:adjustRightInd w:val="0"/>
        <w:ind w:left="851"/>
        <w:rPr>
          <w:sz w:val="24"/>
          <w:szCs w:val="24"/>
        </w:rPr>
      </w:pPr>
      <w:r w:rsidRPr="00A75BC4">
        <w:rPr>
          <w:sz w:val="24"/>
          <w:szCs w:val="24"/>
        </w:rPr>
        <w:t xml:space="preserve">Symptomerne kan vende tilbage efter </w:t>
      </w:r>
      <w:proofErr w:type="spellStart"/>
      <w:r w:rsidRPr="00A75BC4">
        <w:rPr>
          <w:sz w:val="24"/>
          <w:szCs w:val="24"/>
        </w:rPr>
        <w:t>seponering</w:t>
      </w:r>
      <w:proofErr w:type="spellEnd"/>
      <w:r w:rsidRPr="00A75BC4">
        <w:rPr>
          <w:sz w:val="24"/>
          <w:szCs w:val="24"/>
        </w:rPr>
        <w:t xml:space="preserve"> af behandlingen.</w:t>
      </w:r>
    </w:p>
    <w:p w14:paraId="4C0121F8" w14:textId="77777777" w:rsidR="00A75BC4" w:rsidRPr="00A75BC4" w:rsidRDefault="00A75BC4" w:rsidP="00A75BC4">
      <w:pPr>
        <w:autoSpaceDE w:val="0"/>
        <w:autoSpaceDN w:val="0"/>
        <w:adjustRightInd w:val="0"/>
        <w:ind w:left="851"/>
        <w:rPr>
          <w:sz w:val="24"/>
          <w:szCs w:val="24"/>
        </w:rPr>
      </w:pPr>
    </w:p>
    <w:p w14:paraId="6280FA56" w14:textId="77777777" w:rsidR="00A75BC4" w:rsidRPr="00A75BC4" w:rsidRDefault="00A75BC4" w:rsidP="00A75BC4">
      <w:pPr>
        <w:pStyle w:val="Default"/>
        <w:ind w:left="851"/>
      </w:pPr>
      <w:r w:rsidRPr="00A75BC4">
        <w:rPr>
          <w:i/>
          <w:iCs/>
        </w:rPr>
        <w:t xml:space="preserve">Dosering til voksne med svære former af psoriasis og voksne med psoriasisartritis </w:t>
      </w:r>
    </w:p>
    <w:p w14:paraId="0910ADE1" w14:textId="77777777" w:rsidR="00A75BC4" w:rsidRPr="00A75BC4" w:rsidRDefault="00A75BC4" w:rsidP="00A75BC4">
      <w:pPr>
        <w:pStyle w:val="Default"/>
        <w:ind w:left="851"/>
      </w:pPr>
      <w:r w:rsidRPr="00A75BC4">
        <w:t xml:space="preserve">Det anbefales at administrere en testdosis på 2,5-5 mg én uge før initiering af behandlingen for at opdage tidligt optrædende bivirkninger. Hvis relevante laboratorieprøver er normale en uge senere, kan behandling initieres. Den anbefalede initialdosis er 7,5 mg </w:t>
      </w:r>
      <w:proofErr w:type="spellStart"/>
      <w:r w:rsidRPr="00A75BC4">
        <w:t>methotrexat</w:t>
      </w:r>
      <w:proofErr w:type="spellEnd"/>
      <w:r w:rsidRPr="00A75BC4">
        <w:t xml:space="preserve"> én gang om ugen. Dosis bør øges gradvis, men bør normalt ikke overstige 25 mg </w:t>
      </w:r>
      <w:proofErr w:type="spellStart"/>
      <w:r w:rsidRPr="00A75BC4">
        <w:t>methotrexat</w:t>
      </w:r>
      <w:proofErr w:type="spellEnd"/>
      <w:r w:rsidRPr="00A75BC4">
        <w:t xml:space="preserve"> om ugen. Den sædvanlige dosis er 10-25 mg én gang om ugen. Doser på over 20 mg om ugen kan være forbundet med betydeligt øget toksicitet, navnlig knoglemarvsdepression. </w:t>
      </w:r>
    </w:p>
    <w:p w14:paraId="5FEB5525" w14:textId="77777777" w:rsidR="00A75BC4" w:rsidRPr="00A75BC4" w:rsidRDefault="00A75BC4" w:rsidP="00A75BC4">
      <w:pPr>
        <w:autoSpaceDE w:val="0"/>
        <w:autoSpaceDN w:val="0"/>
        <w:adjustRightInd w:val="0"/>
        <w:ind w:left="851"/>
        <w:rPr>
          <w:sz w:val="24"/>
          <w:szCs w:val="24"/>
        </w:rPr>
      </w:pPr>
      <w:r w:rsidRPr="00A75BC4">
        <w:rPr>
          <w:sz w:val="24"/>
          <w:szCs w:val="24"/>
        </w:rPr>
        <w:t xml:space="preserve">Respons på behandlingen kan sædvanligvis forventes efter ca. 4-8 uger. Når det ønskede behandlingsresultat er opnået, bør dosis gradvis nedsættes til den lavest mulige effektive vedligeholdelsesdosis. </w:t>
      </w:r>
    </w:p>
    <w:p w14:paraId="622E666C" w14:textId="77777777" w:rsidR="00A75BC4" w:rsidRPr="00A75BC4" w:rsidRDefault="00A75BC4" w:rsidP="00A75BC4">
      <w:pPr>
        <w:autoSpaceDE w:val="0"/>
        <w:autoSpaceDN w:val="0"/>
        <w:adjustRightInd w:val="0"/>
        <w:ind w:left="851"/>
        <w:rPr>
          <w:sz w:val="24"/>
          <w:szCs w:val="24"/>
        </w:rPr>
      </w:pPr>
    </w:p>
    <w:p w14:paraId="291C3259" w14:textId="77777777" w:rsidR="00A75BC4" w:rsidRPr="00A75BC4" w:rsidRDefault="00A75BC4" w:rsidP="00A75BC4">
      <w:pPr>
        <w:pStyle w:val="Default"/>
        <w:ind w:left="851"/>
        <w:rPr>
          <w:u w:val="single"/>
        </w:rPr>
      </w:pPr>
      <w:r w:rsidRPr="00A75BC4">
        <w:rPr>
          <w:u w:val="single"/>
        </w:rPr>
        <w:t xml:space="preserve">Onkologi </w:t>
      </w:r>
    </w:p>
    <w:p w14:paraId="39C45680" w14:textId="77777777" w:rsidR="00A75BC4" w:rsidRPr="00A75BC4" w:rsidRDefault="00A75BC4" w:rsidP="00A75BC4">
      <w:pPr>
        <w:autoSpaceDE w:val="0"/>
        <w:autoSpaceDN w:val="0"/>
        <w:adjustRightInd w:val="0"/>
        <w:ind w:left="851"/>
        <w:rPr>
          <w:i/>
          <w:iCs/>
          <w:sz w:val="24"/>
          <w:szCs w:val="24"/>
        </w:rPr>
      </w:pPr>
      <w:r w:rsidRPr="00A75BC4">
        <w:rPr>
          <w:i/>
          <w:iCs/>
          <w:sz w:val="24"/>
          <w:szCs w:val="24"/>
        </w:rPr>
        <w:t>Dosering ved akut lymfatisk leukæmi</w:t>
      </w:r>
    </w:p>
    <w:p w14:paraId="3C3741FE" w14:textId="77777777" w:rsidR="00A75BC4" w:rsidRPr="00A75BC4" w:rsidRDefault="00A75BC4" w:rsidP="00A75BC4">
      <w:pPr>
        <w:autoSpaceDE w:val="0"/>
        <w:autoSpaceDN w:val="0"/>
        <w:adjustRightInd w:val="0"/>
        <w:ind w:left="851"/>
        <w:rPr>
          <w:sz w:val="24"/>
          <w:szCs w:val="24"/>
        </w:rPr>
      </w:pPr>
    </w:p>
    <w:p w14:paraId="2EEB90C8" w14:textId="77777777" w:rsidR="00A75BC4" w:rsidRPr="00A75BC4" w:rsidRDefault="00A75BC4" w:rsidP="00A75BC4">
      <w:pPr>
        <w:autoSpaceDE w:val="0"/>
        <w:autoSpaceDN w:val="0"/>
        <w:adjustRightInd w:val="0"/>
        <w:ind w:left="851"/>
        <w:rPr>
          <w:sz w:val="24"/>
          <w:szCs w:val="24"/>
        </w:rPr>
      </w:pPr>
      <w:proofErr w:type="spellStart"/>
      <w:r w:rsidRPr="00A75BC4">
        <w:rPr>
          <w:sz w:val="24"/>
          <w:szCs w:val="24"/>
        </w:rPr>
        <w:t>Methotrexat</w:t>
      </w:r>
      <w:proofErr w:type="spellEnd"/>
      <w:r w:rsidRPr="00A75BC4">
        <w:rPr>
          <w:sz w:val="24"/>
          <w:szCs w:val="24"/>
        </w:rPr>
        <w:t xml:space="preserve"> i lave doser anvendes til vedligeholdelsesbehandling ved akut lymfatisk leukæmi (ALL) hos børn i alderen 3 år og derover, unge og voksne med komplekse protokoller i kombination med andre </w:t>
      </w:r>
      <w:proofErr w:type="spellStart"/>
      <w:r w:rsidRPr="00A75BC4">
        <w:rPr>
          <w:sz w:val="24"/>
          <w:szCs w:val="24"/>
        </w:rPr>
        <w:t>cytostatika</w:t>
      </w:r>
      <w:proofErr w:type="spellEnd"/>
      <w:r w:rsidRPr="00A75BC4">
        <w:rPr>
          <w:sz w:val="24"/>
          <w:szCs w:val="24"/>
        </w:rPr>
        <w:t>. Behandlingen bør følge de nuværende behandlingsprotokoller.</w:t>
      </w:r>
    </w:p>
    <w:p w14:paraId="1E1E0487" w14:textId="77777777" w:rsidR="00A75BC4" w:rsidRPr="00A75BC4" w:rsidRDefault="00A75BC4" w:rsidP="00A75BC4">
      <w:pPr>
        <w:autoSpaceDE w:val="0"/>
        <w:autoSpaceDN w:val="0"/>
        <w:adjustRightInd w:val="0"/>
        <w:ind w:left="851"/>
        <w:rPr>
          <w:sz w:val="24"/>
          <w:szCs w:val="24"/>
        </w:rPr>
      </w:pPr>
    </w:p>
    <w:p w14:paraId="00A0678B" w14:textId="77777777" w:rsidR="00A75BC4" w:rsidRPr="00A75BC4" w:rsidRDefault="00A75BC4" w:rsidP="00A75BC4">
      <w:pPr>
        <w:autoSpaceDE w:val="0"/>
        <w:autoSpaceDN w:val="0"/>
        <w:adjustRightInd w:val="0"/>
        <w:ind w:left="851"/>
        <w:rPr>
          <w:sz w:val="24"/>
          <w:szCs w:val="24"/>
        </w:rPr>
      </w:pPr>
      <w:r w:rsidRPr="00A75BC4">
        <w:rPr>
          <w:sz w:val="24"/>
          <w:szCs w:val="24"/>
        </w:rPr>
        <w:t xml:space="preserve">Fælles accepterede enkeltdoser ligger i området fra 20-40 mg/m² kropsoverfladeareal </w:t>
      </w:r>
      <w:r w:rsidRPr="00A75BC4">
        <w:rPr>
          <w:b/>
          <w:sz w:val="24"/>
          <w:szCs w:val="24"/>
        </w:rPr>
        <w:t>én</w:t>
      </w:r>
      <w:r w:rsidRPr="00A75BC4">
        <w:rPr>
          <w:sz w:val="24"/>
          <w:szCs w:val="24"/>
        </w:rPr>
        <w:t xml:space="preserve"> </w:t>
      </w:r>
      <w:r w:rsidRPr="00A75BC4">
        <w:rPr>
          <w:b/>
          <w:sz w:val="24"/>
          <w:szCs w:val="24"/>
        </w:rPr>
        <w:t>gang om ugen</w:t>
      </w:r>
      <w:r w:rsidRPr="00A75BC4">
        <w:rPr>
          <w:sz w:val="24"/>
          <w:szCs w:val="24"/>
        </w:rPr>
        <w:t>.</w:t>
      </w:r>
    </w:p>
    <w:p w14:paraId="24B0F153" w14:textId="77777777" w:rsidR="00A75BC4" w:rsidRPr="00A75BC4" w:rsidRDefault="00A75BC4" w:rsidP="00A75BC4">
      <w:pPr>
        <w:autoSpaceDE w:val="0"/>
        <w:autoSpaceDN w:val="0"/>
        <w:adjustRightInd w:val="0"/>
        <w:ind w:left="851"/>
        <w:rPr>
          <w:sz w:val="24"/>
          <w:szCs w:val="24"/>
        </w:rPr>
      </w:pPr>
    </w:p>
    <w:p w14:paraId="3326CEFA" w14:textId="77777777" w:rsidR="00A75BC4" w:rsidRPr="00A75BC4" w:rsidRDefault="00A75BC4" w:rsidP="00A75BC4">
      <w:pPr>
        <w:autoSpaceDE w:val="0"/>
        <w:autoSpaceDN w:val="0"/>
        <w:adjustRightInd w:val="0"/>
        <w:ind w:left="851"/>
        <w:rPr>
          <w:sz w:val="24"/>
          <w:szCs w:val="24"/>
        </w:rPr>
      </w:pPr>
      <w:r w:rsidRPr="00A75BC4">
        <w:rPr>
          <w:sz w:val="24"/>
          <w:szCs w:val="24"/>
        </w:rPr>
        <w:t xml:space="preserve">Hvis </w:t>
      </w:r>
      <w:proofErr w:type="spellStart"/>
      <w:r w:rsidRPr="00A75BC4">
        <w:rPr>
          <w:sz w:val="24"/>
          <w:szCs w:val="24"/>
        </w:rPr>
        <w:t>methotrexat</w:t>
      </w:r>
      <w:proofErr w:type="spellEnd"/>
      <w:r w:rsidRPr="00A75BC4">
        <w:rPr>
          <w:sz w:val="24"/>
          <w:szCs w:val="24"/>
        </w:rPr>
        <w:t xml:space="preserve"> administreres i kombination med kemoterapibehandlinger, skal dosis tage hensyn til de øvrige lægemiddelkomponenters eventuelle overlappende toksicitet.</w:t>
      </w:r>
    </w:p>
    <w:p w14:paraId="72DF1948" w14:textId="77777777" w:rsidR="00A75BC4" w:rsidRPr="00A75BC4" w:rsidRDefault="00A75BC4" w:rsidP="00A75BC4">
      <w:pPr>
        <w:autoSpaceDE w:val="0"/>
        <w:autoSpaceDN w:val="0"/>
        <w:adjustRightInd w:val="0"/>
        <w:ind w:left="851"/>
        <w:rPr>
          <w:sz w:val="24"/>
          <w:szCs w:val="24"/>
        </w:rPr>
      </w:pPr>
    </w:p>
    <w:p w14:paraId="73D9DA26" w14:textId="77777777" w:rsidR="00A75BC4" w:rsidRPr="00A75BC4" w:rsidRDefault="00A75BC4" w:rsidP="00A75BC4">
      <w:pPr>
        <w:autoSpaceDE w:val="0"/>
        <w:autoSpaceDN w:val="0"/>
        <w:adjustRightInd w:val="0"/>
        <w:ind w:left="851"/>
        <w:rPr>
          <w:sz w:val="24"/>
          <w:szCs w:val="24"/>
        </w:rPr>
      </w:pPr>
      <w:r w:rsidRPr="00A75BC4">
        <w:rPr>
          <w:sz w:val="24"/>
          <w:szCs w:val="24"/>
        </w:rPr>
        <w:t>Højere doser bør gives parenteralt.</w:t>
      </w:r>
    </w:p>
    <w:p w14:paraId="0792D720" w14:textId="77777777" w:rsidR="00A75BC4" w:rsidRPr="00A75BC4" w:rsidRDefault="00A75BC4" w:rsidP="00A75BC4">
      <w:pPr>
        <w:autoSpaceDE w:val="0"/>
        <w:autoSpaceDN w:val="0"/>
        <w:adjustRightInd w:val="0"/>
        <w:ind w:left="851"/>
        <w:rPr>
          <w:sz w:val="24"/>
          <w:szCs w:val="24"/>
        </w:rPr>
      </w:pPr>
    </w:p>
    <w:p w14:paraId="275388B8" w14:textId="77777777" w:rsidR="00A75BC4" w:rsidRPr="00A75BC4" w:rsidRDefault="00A75BC4" w:rsidP="00A75BC4">
      <w:pPr>
        <w:autoSpaceDE w:val="0"/>
        <w:autoSpaceDN w:val="0"/>
        <w:adjustRightInd w:val="0"/>
        <w:ind w:left="851"/>
        <w:rPr>
          <w:iCs/>
          <w:sz w:val="24"/>
          <w:szCs w:val="24"/>
          <w:u w:val="single"/>
        </w:rPr>
      </w:pPr>
      <w:r w:rsidRPr="00A75BC4">
        <w:rPr>
          <w:iCs/>
          <w:sz w:val="24"/>
          <w:szCs w:val="24"/>
          <w:u w:val="single"/>
        </w:rPr>
        <w:t>Pædiatrisk population</w:t>
      </w:r>
    </w:p>
    <w:p w14:paraId="4AB0C71F" w14:textId="77777777" w:rsidR="00A75BC4" w:rsidRPr="00A75BC4" w:rsidRDefault="00A75BC4" w:rsidP="00A75BC4">
      <w:pPr>
        <w:autoSpaceDE w:val="0"/>
        <w:autoSpaceDN w:val="0"/>
        <w:adjustRightInd w:val="0"/>
        <w:ind w:left="851"/>
        <w:rPr>
          <w:sz w:val="24"/>
          <w:szCs w:val="24"/>
        </w:rPr>
      </w:pPr>
      <w:proofErr w:type="spellStart"/>
      <w:r w:rsidRPr="00A75BC4">
        <w:rPr>
          <w:sz w:val="24"/>
          <w:szCs w:val="24"/>
        </w:rPr>
        <w:t>Methotrexat</w:t>
      </w:r>
      <w:proofErr w:type="spellEnd"/>
      <w:r w:rsidRPr="00A75BC4">
        <w:rPr>
          <w:sz w:val="24"/>
          <w:szCs w:val="24"/>
        </w:rPr>
        <w:t xml:space="preserve"> skal bruges med forsigtighed hos pædiatriske patienter. Behandlingen bør følge de aktuelle offentliggjorte behandlingsprotokoller for børn (se pkt. 4.4).</w:t>
      </w:r>
    </w:p>
    <w:p w14:paraId="7AD3C6A7" w14:textId="77777777" w:rsidR="00A75BC4" w:rsidRPr="00A75BC4" w:rsidRDefault="00A75BC4" w:rsidP="00A75BC4">
      <w:pPr>
        <w:autoSpaceDE w:val="0"/>
        <w:autoSpaceDN w:val="0"/>
        <w:adjustRightInd w:val="0"/>
        <w:ind w:left="851"/>
        <w:rPr>
          <w:sz w:val="24"/>
          <w:szCs w:val="24"/>
        </w:rPr>
      </w:pPr>
    </w:p>
    <w:p w14:paraId="2978DF11" w14:textId="77777777" w:rsidR="00A75BC4" w:rsidRPr="00A75BC4" w:rsidRDefault="00A75BC4" w:rsidP="00A75BC4">
      <w:pPr>
        <w:autoSpaceDE w:val="0"/>
        <w:autoSpaceDN w:val="0"/>
        <w:adjustRightInd w:val="0"/>
        <w:ind w:left="851"/>
        <w:rPr>
          <w:sz w:val="24"/>
          <w:szCs w:val="24"/>
        </w:rPr>
      </w:pPr>
      <w:r w:rsidRPr="00A75BC4">
        <w:rPr>
          <w:sz w:val="24"/>
          <w:szCs w:val="24"/>
        </w:rPr>
        <w:t>Doser er normalt baseret på patientens BSA og vedligeholdelsesbehandling er en langsigtet behandling.</w:t>
      </w:r>
    </w:p>
    <w:p w14:paraId="1D126652" w14:textId="77777777" w:rsidR="00A75BC4" w:rsidRPr="00A75BC4" w:rsidRDefault="00A75BC4" w:rsidP="00A75BC4">
      <w:pPr>
        <w:autoSpaceDE w:val="0"/>
        <w:autoSpaceDN w:val="0"/>
        <w:adjustRightInd w:val="0"/>
        <w:ind w:left="851"/>
        <w:rPr>
          <w:sz w:val="24"/>
          <w:szCs w:val="24"/>
        </w:rPr>
      </w:pPr>
    </w:p>
    <w:p w14:paraId="65EC14C7" w14:textId="77777777" w:rsidR="00A75BC4" w:rsidRPr="00A75BC4" w:rsidRDefault="00A75BC4" w:rsidP="00A75BC4">
      <w:pPr>
        <w:autoSpaceDE w:val="0"/>
        <w:autoSpaceDN w:val="0"/>
        <w:adjustRightInd w:val="0"/>
        <w:ind w:left="851"/>
        <w:rPr>
          <w:sz w:val="24"/>
          <w:szCs w:val="24"/>
          <w:u w:val="single"/>
        </w:rPr>
      </w:pPr>
      <w:r w:rsidRPr="00A75BC4">
        <w:rPr>
          <w:sz w:val="24"/>
          <w:szCs w:val="24"/>
          <w:u w:val="single"/>
        </w:rPr>
        <w:t>Særlige populationer</w:t>
      </w:r>
    </w:p>
    <w:p w14:paraId="2CE610F4" w14:textId="77777777" w:rsidR="00A75BC4" w:rsidRPr="00A75BC4" w:rsidRDefault="00A75BC4" w:rsidP="00A75BC4">
      <w:pPr>
        <w:autoSpaceDE w:val="0"/>
        <w:autoSpaceDN w:val="0"/>
        <w:adjustRightInd w:val="0"/>
        <w:ind w:left="851"/>
        <w:rPr>
          <w:i/>
          <w:iCs/>
          <w:sz w:val="24"/>
          <w:szCs w:val="24"/>
        </w:rPr>
      </w:pPr>
      <w:r w:rsidRPr="00A75BC4">
        <w:rPr>
          <w:i/>
          <w:iCs/>
          <w:sz w:val="24"/>
          <w:szCs w:val="24"/>
        </w:rPr>
        <w:t>Nedsat nyrefunktion</w:t>
      </w:r>
    </w:p>
    <w:p w14:paraId="11252162" w14:textId="77777777" w:rsidR="00A75BC4" w:rsidRPr="00A75BC4" w:rsidRDefault="00A75BC4" w:rsidP="00A75BC4">
      <w:pPr>
        <w:autoSpaceDE w:val="0"/>
        <w:autoSpaceDN w:val="0"/>
        <w:adjustRightInd w:val="0"/>
        <w:ind w:left="851"/>
        <w:rPr>
          <w:sz w:val="24"/>
          <w:szCs w:val="24"/>
        </w:rPr>
      </w:pPr>
    </w:p>
    <w:p w14:paraId="587E5DAE" w14:textId="77777777" w:rsidR="00A75BC4" w:rsidRPr="00A75BC4" w:rsidRDefault="00A75BC4" w:rsidP="00A75BC4">
      <w:pPr>
        <w:autoSpaceDE w:val="0"/>
        <w:autoSpaceDN w:val="0"/>
        <w:adjustRightInd w:val="0"/>
        <w:ind w:left="851"/>
        <w:rPr>
          <w:sz w:val="24"/>
          <w:szCs w:val="24"/>
        </w:rPr>
      </w:pPr>
      <w:proofErr w:type="spellStart"/>
      <w:r w:rsidRPr="00A75BC4">
        <w:rPr>
          <w:sz w:val="24"/>
          <w:szCs w:val="24"/>
        </w:rPr>
        <w:t>Methotrexat</w:t>
      </w:r>
      <w:proofErr w:type="spellEnd"/>
      <w:r w:rsidRPr="00A75BC4">
        <w:rPr>
          <w:sz w:val="24"/>
          <w:szCs w:val="24"/>
        </w:rPr>
        <w:t xml:space="preserve"> bør anvendes med forsigtighed hos patienter med nedsat nyrefunktion (se pkt. 4.4). Dosis bør justeres som følger for patienter med </w:t>
      </w:r>
      <w:proofErr w:type="spellStart"/>
      <w:r w:rsidRPr="00A75BC4">
        <w:rPr>
          <w:sz w:val="24"/>
          <w:szCs w:val="24"/>
        </w:rPr>
        <w:t>reumatoid</w:t>
      </w:r>
      <w:proofErr w:type="spellEnd"/>
      <w:r w:rsidRPr="00A75BC4">
        <w:rPr>
          <w:sz w:val="24"/>
          <w:szCs w:val="24"/>
        </w:rPr>
        <w:t xml:space="preserve"> </w:t>
      </w:r>
      <w:proofErr w:type="spellStart"/>
      <w:r w:rsidRPr="00A75BC4">
        <w:rPr>
          <w:sz w:val="24"/>
          <w:szCs w:val="24"/>
        </w:rPr>
        <w:t>arthritis</w:t>
      </w:r>
      <w:proofErr w:type="spellEnd"/>
      <w:r w:rsidRPr="00A75BC4">
        <w:rPr>
          <w:sz w:val="24"/>
          <w:szCs w:val="24"/>
        </w:rPr>
        <w:t>, psoriasis og psoriasisartritis. Ved onkologisk indikation bør anbefalinger i offentliggjorte protokoller også være gældende:</w:t>
      </w:r>
    </w:p>
    <w:p w14:paraId="02DCB514" w14:textId="77777777" w:rsidR="00A75BC4" w:rsidRPr="00A75BC4" w:rsidRDefault="00A75BC4" w:rsidP="00A75BC4">
      <w:pPr>
        <w:autoSpaceDE w:val="0"/>
        <w:autoSpaceDN w:val="0"/>
        <w:adjustRightInd w:val="0"/>
        <w:ind w:left="851" w:hanging="851"/>
        <w:rPr>
          <w:sz w:val="24"/>
          <w:szCs w:val="24"/>
        </w:rPr>
      </w:pPr>
    </w:p>
    <w:p w14:paraId="681B8413" w14:textId="77777777" w:rsidR="00A75BC4" w:rsidRPr="00A75BC4" w:rsidRDefault="00A75BC4" w:rsidP="00A75BC4">
      <w:pPr>
        <w:autoSpaceDE w:val="0"/>
        <w:autoSpaceDN w:val="0"/>
        <w:adjustRightInd w:val="0"/>
        <w:ind w:left="851"/>
        <w:rPr>
          <w:sz w:val="24"/>
          <w:szCs w:val="24"/>
        </w:rPr>
      </w:pPr>
      <w:proofErr w:type="spellStart"/>
      <w:r w:rsidRPr="00A75BC4">
        <w:rPr>
          <w:sz w:val="24"/>
          <w:szCs w:val="24"/>
        </w:rPr>
        <w:t>Kreatininclearance</w:t>
      </w:r>
      <w:proofErr w:type="spellEnd"/>
      <w:r w:rsidRPr="00A75BC4">
        <w:rPr>
          <w:sz w:val="24"/>
          <w:szCs w:val="24"/>
        </w:rPr>
        <w:t xml:space="preserve"> (ml/min.)</w:t>
      </w:r>
      <w:r w:rsidRPr="00A75BC4">
        <w:rPr>
          <w:sz w:val="24"/>
          <w:szCs w:val="24"/>
        </w:rPr>
        <w:tab/>
        <w:t>Dosis</w:t>
      </w:r>
    </w:p>
    <w:p w14:paraId="02A6B582" w14:textId="77777777" w:rsidR="00A75BC4" w:rsidRPr="00A75BC4" w:rsidRDefault="00A75BC4" w:rsidP="00A75BC4">
      <w:pPr>
        <w:autoSpaceDE w:val="0"/>
        <w:autoSpaceDN w:val="0"/>
        <w:adjustRightInd w:val="0"/>
        <w:ind w:left="851"/>
        <w:rPr>
          <w:sz w:val="24"/>
          <w:szCs w:val="24"/>
        </w:rPr>
      </w:pPr>
      <w:r w:rsidRPr="00A75BC4">
        <w:rPr>
          <w:sz w:val="24"/>
          <w:szCs w:val="24"/>
        </w:rPr>
        <w:t>&gt; 60</w:t>
      </w:r>
      <w:r w:rsidRPr="00A75BC4">
        <w:rPr>
          <w:sz w:val="24"/>
          <w:szCs w:val="24"/>
        </w:rPr>
        <w:tab/>
      </w:r>
      <w:r w:rsidRPr="00A75BC4">
        <w:rPr>
          <w:sz w:val="24"/>
          <w:szCs w:val="24"/>
        </w:rPr>
        <w:tab/>
      </w:r>
      <w:r w:rsidRPr="00A75BC4">
        <w:rPr>
          <w:sz w:val="24"/>
          <w:szCs w:val="24"/>
        </w:rPr>
        <w:tab/>
        <w:t>100 %</w:t>
      </w:r>
    </w:p>
    <w:p w14:paraId="508DF638" w14:textId="77777777" w:rsidR="00A75BC4" w:rsidRPr="00A75BC4" w:rsidRDefault="00A75BC4" w:rsidP="00A75BC4">
      <w:pPr>
        <w:autoSpaceDE w:val="0"/>
        <w:autoSpaceDN w:val="0"/>
        <w:adjustRightInd w:val="0"/>
        <w:ind w:left="851"/>
        <w:rPr>
          <w:sz w:val="24"/>
          <w:szCs w:val="24"/>
        </w:rPr>
      </w:pPr>
      <w:r w:rsidRPr="00A75BC4">
        <w:rPr>
          <w:sz w:val="24"/>
          <w:szCs w:val="24"/>
        </w:rPr>
        <w:t>30 – 59</w:t>
      </w:r>
      <w:r w:rsidRPr="00A75BC4">
        <w:rPr>
          <w:sz w:val="24"/>
          <w:szCs w:val="24"/>
        </w:rPr>
        <w:tab/>
      </w:r>
      <w:r w:rsidRPr="00A75BC4">
        <w:rPr>
          <w:sz w:val="24"/>
          <w:szCs w:val="24"/>
        </w:rPr>
        <w:tab/>
        <w:t>50 %</w:t>
      </w:r>
    </w:p>
    <w:p w14:paraId="712BB2D0" w14:textId="77777777" w:rsidR="00A75BC4" w:rsidRPr="00A75BC4" w:rsidRDefault="00A75BC4" w:rsidP="00A75BC4">
      <w:pPr>
        <w:autoSpaceDE w:val="0"/>
        <w:autoSpaceDN w:val="0"/>
        <w:adjustRightInd w:val="0"/>
        <w:ind w:left="851"/>
        <w:rPr>
          <w:sz w:val="24"/>
          <w:szCs w:val="24"/>
        </w:rPr>
      </w:pPr>
      <w:r w:rsidRPr="00A75BC4">
        <w:rPr>
          <w:sz w:val="24"/>
          <w:szCs w:val="24"/>
        </w:rPr>
        <w:t>&lt; 30</w:t>
      </w:r>
      <w:r w:rsidRPr="00A75BC4">
        <w:rPr>
          <w:sz w:val="24"/>
          <w:szCs w:val="24"/>
        </w:rPr>
        <w:tab/>
      </w:r>
      <w:r w:rsidRPr="00A75BC4">
        <w:rPr>
          <w:sz w:val="24"/>
          <w:szCs w:val="24"/>
        </w:rPr>
        <w:tab/>
      </w:r>
      <w:r w:rsidRPr="00A75BC4">
        <w:rPr>
          <w:sz w:val="24"/>
          <w:szCs w:val="24"/>
        </w:rPr>
        <w:tab/>
      </w:r>
      <w:proofErr w:type="spellStart"/>
      <w:r w:rsidRPr="00A75BC4">
        <w:rPr>
          <w:sz w:val="24"/>
          <w:szCs w:val="24"/>
        </w:rPr>
        <w:t>Methotrexat</w:t>
      </w:r>
      <w:proofErr w:type="spellEnd"/>
      <w:r w:rsidRPr="00A75BC4">
        <w:rPr>
          <w:sz w:val="24"/>
          <w:szCs w:val="24"/>
        </w:rPr>
        <w:t xml:space="preserve"> må ikke anvendes</w:t>
      </w:r>
    </w:p>
    <w:p w14:paraId="3477B8B2" w14:textId="77777777" w:rsidR="00A75BC4" w:rsidRPr="00A75BC4" w:rsidRDefault="00A75BC4" w:rsidP="00A75BC4">
      <w:pPr>
        <w:autoSpaceDE w:val="0"/>
        <w:autoSpaceDN w:val="0"/>
        <w:adjustRightInd w:val="0"/>
        <w:ind w:left="851"/>
        <w:rPr>
          <w:sz w:val="24"/>
          <w:szCs w:val="24"/>
        </w:rPr>
      </w:pPr>
    </w:p>
    <w:p w14:paraId="6FF54420" w14:textId="77777777" w:rsidR="00A75BC4" w:rsidRPr="00A75BC4" w:rsidRDefault="00A75BC4" w:rsidP="00A75BC4">
      <w:pPr>
        <w:autoSpaceDE w:val="0"/>
        <w:autoSpaceDN w:val="0"/>
        <w:adjustRightInd w:val="0"/>
        <w:ind w:left="851"/>
        <w:rPr>
          <w:sz w:val="24"/>
          <w:szCs w:val="24"/>
          <w:u w:val="single"/>
        </w:rPr>
      </w:pPr>
      <w:r w:rsidRPr="00A75BC4">
        <w:rPr>
          <w:sz w:val="24"/>
          <w:szCs w:val="24"/>
          <w:u w:val="single"/>
        </w:rPr>
        <w:t>Nedsat leverfunktion</w:t>
      </w:r>
    </w:p>
    <w:p w14:paraId="2F437A0F" w14:textId="77777777" w:rsidR="00A75BC4" w:rsidRPr="00A75BC4" w:rsidRDefault="00A75BC4" w:rsidP="00A75BC4">
      <w:pPr>
        <w:autoSpaceDE w:val="0"/>
        <w:autoSpaceDN w:val="0"/>
        <w:adjustRightInd w:val="0"/>
        <w:ind w:left="851"/>
        <w:rPr>
          <w:sz w:val="24"/>
          <w:szCs w:val="24"/>
        </w:rPr>
      </w:pPr>
    </w:p>
    <w:p w14:paraId="4AAE63CC" w14:textId="77777777" w:rsidR="00A75BC4" w:rsidRPr="00A75BC4" w:rsidRDefault="00A75BC4" w:rsidP="00A75BC4">
      <w:pPr>
        <w:autoSpaceDE w:val="0"/>
        <w:autoSpaceDN w:val="0"/>
        <w:adjustRightInd w:val="0"/>
        <w:ind w:left="851"/>
        <w:rPr>
          <w:sz w:val="24"/>
          <w:szCs w:val="24"/>
        </w:rPr>
      </w:pPr>
      <w:proofErr w:type="spellStart"/>
      <w:r w:rsidRPr="00A75BC4">
        <w:rPr>
          <w:sz w:val="24"/>
          <w:szCs w:val="24"/>
        </w:rPr>
        <w:t>Methotrexat</w:t>
      </w:r>
      <w:proofErr w:type="spellEnd"/>
      <w:r w:rsidRPr="00A75BC4">
        <w:rPr>
          <w:sz w:val="24"/>
          <w:szCs w:val="24"/>
        </w:rPr>
        <w:t xml:space="preserve"> bør kun administreres med størst mulige forsigtighed, hvis overhovedet, til patienter med signifikant eksisterende eller tidligere leversygdom, især hvis sygdommen skyldes alkohol. Hvis bilirubinniveauer er &gt; 5 mg/dl (85,5 </w:t>
      </w:r>
      <w:proofErr w:type="spellStart"/>
      <w:r w:rsidRPr="00A75BC4">
        <w:rPr>
          <w:sz w:val="24"/>
          <w:szCs w:val="24"/>
        </w:rPr>
        <w:t>μmol</w:t>
      </w:r>
      <w:proofErr w:type="spellEnd"/>
      <w:r w:rsidRPr="00A75BC4">
        <w:rPr>
          <w:sz w:val="24"/>
          <w:szCs w:val="24"/>
        </w:rPr>
        <w:t xml:space="preserve">/l), er </w:t>
      </w:r>
      <w:proofErr w:type="spellStart"/>
      <w:r w:rsidRPr="00A75BC4">
        <w:rPr>
          <w:sz w:val="24"/>
          <w:szCs w:val="24"/>
        </w:rPr>
        <w:t>methotrexat</w:t>
      </w:r>
      <w:proofErr w:type="spellEnd"/>
      <w:r w:rsidRPr="00A75BC4">
        <w:rPr>
          <w:sz w:val="24"/>
          <w:szCs w:val="24"/>
        </w:rPr>
        <w:t xml:space="preserve"> kontraindiceret (se pkt. 4.3 og 4.4).</w:t>
      </w:r>
    </w:p>
    <w:p w14:paraId="1F37547D" w14:textId="77777777" w:rsidR="00A75BC4" w:rsidRPr="00A75BC4" w:rsidRDefault="00A75BC4" w:rsidP="00A75BC4">
      <w:pPr>
        <w:autoSpaceDE w:val="0"/>
        <w:autoSpaceDN w:val="0"/>
        <w:adjustRightInd w:val="0"/>
        <w:ind w:left="851"/>
        <w:rPr>
          <w:sz w:val="24"/>
          <w:szCs w:val="24"/>
        </w:rPr>
      </w:pPr>
    </w:p>
    <w:p w14:paraId="28B10EE9" w14:textId="77777777" w:rsidR="00A75BC4" w:rsidRPr="00A75BC4" w:rsidRDefault="00A75BC4" w:rsidP="00A75BC4">
      <w:pPr>
        <w:pStyle w:val="Default"/>
        <w:ind w:left="851"/>
      </w:pPr>
      <w:r w:rsidRPr="00A75BC4">
        <w:rPr>
          <w:i/>
          <w:iCs/>
        </w:rPr>
        <w:t xml:space="preserve">Pædiatrisk population </w:t>
      </w:r>
    </w:p>
    <w:p w14:paraId="2B95CFC5" w14:textId="77777777" w:rsidR="00A75BC4" w:rsidRPr="00A75BC4" w:rsidRDefault="00A75BC4" w:rsidP="00A75BC4">
      <w:pPr>
        <w:pStyle w:val="Default"/>
        <w:ind w:left="851"/>
      </w:pPr>
      <w:r w:rsidRPr="00A75BC4">
        <w:t xml:space="preserve">Anvendelse til børn under 3 år frarådes, da der ikke foreligger tilstrækkelige data om virkning og sikkerhed hos denne patientgruppe. </w:t>
      </w:r>
    </w:p>
    <w:p w14:paraId="2D508B37" w14:textId="77777777" w:rsidR="00A75BC4" w:rsidRPr="00A75BC4" w:rsidRDefault="00A75BC4" w:rsidP="00A75BC4">
      <w:pPr>
        <w:pStyle w:val="Default"/>
        <w:ind w:left="851"/>
      </w:pPr>
    </w:p>
    <w:p w14:paraId="05F97DDF" w14:textId="77777777" w:rsidR="00A75BC4" w:rsidRPr="00A75BC4" w:rsidRDefault="00A75BC4" w:rsidP="00A75BC4">
      <w:pPr>
        <w:pStyle w:val="Default"/>
        <w:ind w:left="851"/>
      </w:pPr>
      <w:r w:rsidRPr="00A75BC4">
        <w:rPr>
          <w:i/>
          <w:iCs/>
        </w:rPr>
        <w:t xml:space="preserve">Ældre </w:t>
      </w:r>
    </w:p>
    <w:p w14:paraId="4F5E9307" w14:textId="77777777" w:rsidR="00A75BC4" w:rsidRPr="00A75BC4" w:rsidRDefault="00A75BC4" w:rsidP="00A75BC4">
      <w:pPr>
        <w:pStyle w:val="Default"/>
        <w:ind w:left="851"/>
      </w:pPr>
      <w:r w:rsidRPr="00A75BC4">
        <w:t xml:space="preserve">Dosisreduktion bør overvejes hos ældre (65 år og derover) på grund af nedsat lever- og nyrefunktion samt lave </w:t>
      </w:r>
      <w:proofErr w:type="spellStart"/>
      <w:r w:rsidRPr="00A75BC4">
        <w:t>folsyrereserver</w:t>
      </w:r>
      <w:proofErr w:type="spellEnd"/>
      <w:r w:rsidRPr="00A75BC4">
        <w:t xml:space="preserve">, som optræder med stigende alder. Derudover anbefales tæt overvågning for eventuelle tidlige symptomer på toksicitet (se pkt. 4.4, 4.5, 4.8 og 5.2). </w:t>
      </w:r>
    </w:p>
    <w:p w14:paraId="7A3B442A" w14:textId="77777777" w:rsidR="00A75BC4" w:rsidRPr="00A75BC4" w:rsidRDefault="00A75BC4" w:rsidP="00A75BC4">
      <w:pPr>
        <w:pStyle w:val="Default"/>
        <w:ind w:left="851"/>
      </w:pPr>
    </w:p>
    <w:p w14:paraId="4EB2EA2E" w14:textId="77777777" w:rsidR="00A75BC4" w:rsidRPr="00A75BC4" w:rsidRDefault="00A75BC4" w:rsidP="00A75BC4">
      <w:pPr>
        <w:pStyle w:val="Default"/>
        <w:ind w:left="851"/>
      </w:pPr>
      <w:r w:rsidRPr="00A75BC4">
        <w:rPr>
          <w:i/>
          <w:iCs/>
        </w:rPr>
        <w:lastRenderedPageBreak/>
        <w:t>Patienter med patologisk væskeansamling (</w:t>
      </w:r>
      <w:proofErr w:type="spellStart"/>
      <w:r w:rsidRPr="00A75BC4">
        <w:rPr>
          <w:i/>
          <w:iCs/>
        </w:rPr>
        <w:t>pleuraeffusion</w:t>
      </w:r>
      <w:proofErr w:type="spellEnd"/>
      <w:r w:rsidRPr="00A75BC4">
        <w:rPr>
          <w:i/>
          <w:iCs/>
        </w:rPr>
        <w:t xml:space="preserve">, </w:t>
      </w:r>
      <w:proofErr w:type="spellStart"/>
      <w:r w:rsidRPr="00A75BC4">
        <w:rPr>
          <w:i/>
          <w:iCs/>
        </w:rPr>
        <w:t>ascites</w:t>
      </w:r>
      <w:proofErr w:type="spellEnd"/>
      <w:r w:rsidRPr="00A75BC4">
        <w:rPr>
          <w:i/>
          <w:iCs/>
        </w:rPr>
        <w:t xml:space="preserve">) </w:t>
      </w:r>
    </w:p>
    <w:p w14:paraId="40CEC858" w14:textId="77777777" w:rsidR="00A75BC4" w:rsidRPr="00A75BC4" w:rsidRDefault="00A75BC4" w:rsidP="00A75BC4">
      <w:pPr>
        <w:autoSpaceDE w:val="0"/>
        <w:autoSpaceDN w:val="0"/>
        <w:adjustRightInd w:val="0"/>
        <w:ind w:left="851"/>
        <w:rPr>
          <w:sz w:val="24"/>
          <w:szCs w:val="24"/>
        </w:rPr>
      </w:pPr>
      <w:r w:rsidRPr="00A75BC4">
        <w:rPr>
          <w:sz w:val="24"/>
          <w:szCs w:val="24"/>
        </w:rPr>
        <w:t xml:space="preserve">Da </w:t>
      </w:r>
      <w:proofErr w:type="spellStart"/>
      <w:r w:rsidRPr="00A75BC4">
        <w:rPr>
          <w:sz w:val="24"/>
          <w:szCs w:val="24"/>
        </w:rPr>
        <w:t>methotrexats</w:t>
      </w:r>
      <w:proofErr w:type="spellEnd"/>
      <w:r w:rsidRPr="00A75BC4">
        <w:rPr>
          <w:sz w:val="24"/>
          <w:szCs w:val="24"/>
        </w:rPr>
        <w:t xml:space="preserve"> halveringstid kan være fire gange forlænget hos patienter med patologisk væskeansamling, kan dosisreduktion og undertiden </w:t>
      </w:r>
      <w:proofErr w:type="spellStart"/>
      <w:r w:rsidRPr="00A75BC4">
        <w:rPr>
          <w:sz w:val="24"/>
          <w:szCs w:val="24"/>
        </w:rPr>
        <w:t>seponering</w:t>
      </w:r>
      <w:proofErr w:type="spellEnd"/>
      <w:r w:rsidRPr="00A75BC4">
        <w:rPr>
          <w:sz w:val="24"/>
          <w:szCs w:val="24"/>
        </w:rPr>
        <w:t xml:space="preserve"> af </w:t>
      </w:r>
      <w:proofErr w:type="spellStart"/>
      <w:r w:rsidRPr="00A75BC4">
        <w:rPr>
          <w:sz w:val="24"/>
          <w:szCs w:val="24"/>
        </w:rPr>
        <w:t>methotrexat</w:t>
      </w:r>
      <w:proofErr w:type="spellEnd"/>
      <w:r w:rsidRPr="00A75BC4">
        <w:rPr>
          <w:sz w:val="24"/>
          <w:szCs w:val="24"/>
        </w:rPr>
        <w:t xml:space="preserve"> være nødvendigt (se pkt. 4.4 og 5.2). Det skal fastlægges i hvert enkelt tilfælde, hvor meget dosis skal reduceres.</w:t>
      </w:r>
    </w:p>
    <w:p w14:paraId="57E8A572" w14:textId="77777777" w:rsidR="00A75BC4" w:rsidRPr="00A75BC4" w:rsidRDefault="00A75BC4" w:rsidP="00A75BC4">
      <w:pPr>
        <w:autoSpaceDE w:val="0"/>
        <w:autoSpaceDN w:val="0"/>
        <w:adjustRightInd w:val="0"/>
        <w:ind w:left="851"/>
        <w:rPr>
          <w:sz w:val="24"/>
          <w:szCs w:val="24"/>
        </w:rPr>
      </w:pPr>
    </w:p>
    <w:p w14:paraId="131FD937" w14:textId="77777777" w:rsidR="00A75BC4" w:rsidRPr="00A75BC4" w:rsidRDefault="00A75BC4" w:rsidP="00A75BC4">
      <w:pPr>
        <w:autoSpaceDE w:val="0"/>
        <w:autoSpaceDN w:val="0"/>
        <w:adjustRightInd w:val="0"/>
        <w:ind w:left="851"/>
        <w:rPr>
          <w:sz w:val="24"/>
          <w:szCs w:val="24"/>
          <w:u w:val="single"/>
        </w:rPr>
      </w:pPr>
      <w:r w:rsidRPr="00A75BC4">
        <w:rPr>
          <w:sz w:val="24"/>
          <w:szCs w:val="24"/>
          <w:u w:val="single"/>
        </w:rPr>
        <w:t>Administration</w:t>
      </w:r>
    </w:p>
    <w:p w14:paraId="47DCBB71" w14:textId="77777777" w:rsidR="00A75BC4" w:rsidRPr="00A75BC4" w:rsidRDefault="00A75BC4" w:rsidP="00A75BC4">
      <w:pPr>
        <w:autoSpaceDE w:val="0"/>
        <w:autoSpaceDN w:val="0"/>
        <w:adjustRightInd w:val="0"/>
        <w:ind w:left="851"/>
        <w:rPr>
          <w:sz w:val="24"/>
          <w:szCs w:val="24"/>
        </w:rPr>
      </w:pPr>
      <w:r w:rsidRPr="00A75BC4">
        <w:rPr>
          <w:sz w:val="24"/>
          <w:szCs w:val="24"/>
        </w:rPr>
        <w:t>Oral</w:t>
      </w:r>
    </w:p>
    <w:p w14:paraId="7A0FBB2F" w14:textId="77777777" w:rsidR="00A75BC4" w:rsidRPr="00A75BC4" w:rsidRDefault="00A75BC4" w:rsidP="00A75BC4">
      <w:pPr>
        <w:autoSpaceDE w:val="0"/>
        <w:autoSpaceDN w:val="0"/>
        <w:adjustRightInd w:val="0"/>
        <w:ind w:left="851"/>
        <w:rPr>
          <w:sz w:val="24"/>
          <w:szCs w:val="24"/>
        </w:rPr>
      </w:pPr>
    </w:p>
    <w:p w14:paraId="488CF1CF" w14:textId="77777777" w:rsidR="00A75BC4" w:rsidRPr="00A75BC4" w:rsidRDefault="00A75BC4" w:rsidP="00A75BC4">
      <w:pPr>
        <w:autoSpaceDE w:val="0"/>
        <w:autoSpaceDN w:val="0"/>
        <w:adjustRightInd w:val="0"/>
        <w:ind w:left="851"/>
        <w:rPr>
          <w:sz w:val="24"/>
          <w:szCs w:val="24"/>
        </w:rPr>
      </w:pPr>
      <w:r w:rsidRPr="00A75BC4">
        <w:rPr>
          <w:sz w:val="24"/>
          <w:szCs w:val="24"/>
        </w:rPr>
        <w:t>Lægemidlet kan indtages sammen med eller uden føde.</w:t>
      </w:r>
    </w:p>
    <w:p w14:paraId="6225763A" w14:textId="77777777" w:rsidR="00A64E46" w:rsidRPr="00F74DF7" w:rsidRDefault="00A64E46" w:rsidP="00A64E46">
      <w:pPr>
        <w:tabs>
          <w:tab w:val="left" w:pos="851"/>
        </w:tabs>
        <w:ind w:left="851" w:hanging="851"/>
        <w:rPr>
          <w:sz w:val="24"/>
          <w:szCs w:val="24"/>
        </w:rPr>
      </w:pPr>
    </w:p>
    <w:p w14:paraId="52357BB7" w14:textId="77777777" w:rsidR="00A64E46" w:rsidRPr="00F74DF7" w:rsidRDefault="00A64E46" w:rsidP="00A64E46">
      <w:pPr>
        <w:tabs>
          <w:tab w:val="left" w:pos="851"/>
        </w:tabs>
        <w:ind w:left="851" w:hanging="851"/>
        <w:rPr>
          <w:b/>
          <w:sz w:val="24"/>
          <w:szCs w:val="24"/>
        </w:rPr>
      </w:pPr>
      <w:r w:rsidRPr="00F74DF7">
        <w:rPr>
          <w:b/>
          <w:sz w:val="24"/>
          <w:szCs w:val="24"/>
        </w:rPr>
        <w:t>4.3</w:t>
      </w:r>
      <w:r w:rsidRPr="00F74DF7">
        <w:rPr>
          <w:b/>
          <w:sz w:val="24"/>
          <w:szCs w:val="24"/>
        </w:rPr>
        <w:tab/>
        <w:t>Kontraindikationer</w:t>
      </w:r>
    </w:p>
    <w:p w14:paraId="68D803DA" w14:textId="77777777" w:rsidR="00A75BC4" w:rsidRPr="00A75BC4" w:rsidRDefault="00A75BC4" w:rsidP="00A75BC4">
      <w:pPr>
        <w:tabs>
          <w:tab w:val="left" w:pos="851"/>
        </w:tabs>
        <w:ind w:left="1276" w:hanging="425"/>
        <w:rPr>
          <w:b/>
          <w:sz w:val="24"/>
          <w:szCs w:val="24"/>
        </w:rPr>
      </w:pPr>
    </w:p>
    <w:p w14:paraId="4218C35F" w14:textId="77777777" w:rsidR="00A75BC4" w:rsidRPr="00A75BC4" w:rsidRDefault="00A75BC4" w:rsidP="00A75BC4">
      <w:pPr>
        <w:widowControl w:val="0"/>
        <w:numPr>
          <w:ilvl w:val="0"/>
          <w:numId w:val="12"/>
        </w:numPr>
        <w:autoSpaceDE w:val="0"/>
        <w:autoSpaceDN w:val="0"/>
        <w:adjustRightInd w:val="0"/>
        <w:ind w:left="1276" w:hanging="425"/>
        <w:rPr>
          <w:sz w:val="24"/>
          <w:szCs w:val="24"/>
        </w:rPr>
      </w:pPr>
      <w:r w:rsidRPr="00A75BC4">
        <w:rPr>
          <w:sz w:val="24"/>
          <w:szCs w:val="24"/>
        </w:rPr>
        <w:t>Overfølsomhed over for det aktive stof eller over for et eller flere af hjælpestofferne anført i pkt. 6.1.</w:t>
      </w:r>
    </w:p>
    <w:p w14:paraId="4B0BF30C" w14:textId="77777777" w:rsidR="00A75BC4" w:rsidRPr="00A75BC4" w:rsidRDefault="00A75BC4" w:rsidP="00A75BC4">
      <w:pPr>
        <w:widowControl w:val="0"/>
        <w:numPr>
          <w:ilvl w:val="0"/>
          <w:numId w:val="12"/>
        </w:numPr>
        <w:autoSpaceDE w:val="0"/>
        <w:autoSpaceDN w:val="0"/>
        <w:adjustRightInd w:val="0"/>
        <w:ind w:left="1276" w:hanging="425"/>
        <w:rPr>
          <w:sz w:val="24"/>
          <w:szCs w:val="24"/>
        </w:rPr>
      </w:pPr>
      <w:r w:rsidRPr="00A75BC4">
        <w:rPr>
          <w:sz w:val="24"/>
          <w:szCs w:val="24"/>
        </w:rPr>
        <w:t xml:space="preserve">Leverinsufficiens (bilirubinniveauer er &gt; 5 mg/dl [85,5 </w:t>
      </w:r>
      <w:proofErr w:type="spellStart"/>
      <w:r w:rsidRPr="00A75BC4">
        <w:rPr>
          <w:sz w:val="24"/>
          <w:szCs w:val="24"/>
        </w:rPr>
        <w:t>μmol</w:t>
      </w:r>
      <w:proofErr w:type="spellEnd"/>
      <w:r w:rsidRPr="00A75BC4">
        <w:rPr>
          <w:sz w:val="24"/>
          <w:szCs w:val="24"/>
        </w:rPr>
        <w:t>/l], se pkt. 4.2)</w:t>
      </w:r>
    </w:p>
    <w:p w14:paraId="2477DD8A" w14:textId="77777777" w:rsidR="00A75BC4" w:rsidRPr="00A75BC4" w:rsidRDefault="00A75BC4" w:rsidP="00A75BC4">
      <w:pPr>
        <w:widowControl w:val="0"/>
        <w:numPr>
          <w:ilvl w:val="0"/>
          <w:numId w:val="12"/>
        </w:numPr>
        <w:autoSpaceDE w:val="0"/>
        <w:autoSpaceDN w:val="0"/>
        <w:adjustRightInd w:val="0"/>
        <w:ind w:left="1276" w:hanging="425"/>
        <w:rPr>
          <w:sz w:val="24"/>
          <w:szCs w:val="24"/>
        </w:rPr>
      </w:pPr>
      <w:r w:rsidRPr="00A75BC4">
        <w:rPr>
          <w:sz w:val="24"/>
          <w:szCs w:val="24"/>
        </w:rPr>
        <w:t>Alkoholmisbrug</w:t>
      </w:r>
    </w:p>
    <w:p w14:paraId="257ACA3B" w14:textId="77777777" w:rsidR="00A75BC4" w:rsidRPr="00A75BC4" w:rsidRDefault="00A75BC4" w:rsidP="00A75BC4">
      <w:pPr>
        <w:numPr>
          <w:ilvl w:val="0"/>
          <w:numId w:val="12"/>
        </w:numPr>
        <w:autoSpaceDE w:val="0"/>
        <w:autoSpaceDN w:val="0"/>
        <w:adjustRightInd w:val="0"/>
        <w:ind w:left="1276" w:hanging="425"/>
        <w:rPr>
          <w:sz w:val="24"/>
          <w:szCs w:val="24"/>
        </w:rPr>
      </w:pPr>
      <w:r w:rsidRPr="00A75BC4">
        <w:rPr>
          <w:sz w:val="24"/>
          <w:szCs w:val="24"/>
        </w:rPr>
        <w:t>Svær nyreinsufficiens (</w:t>
      </w:r>
      <w:proofErr w:type="spellStart"/>
      <w:r w:rsidRPr="00A75BC4">
        <w:rPr>
          <w:sz w:val="24"/>
          <w:szCs w:val="24"/>
        </w:rPr>
        <w:t>kreatininclearance</w:t>
      </w:r>
      <w:proofErr w:type="spellEnd"/>
      <w:r w:rsidRPr="00A75BC4">
        <w:rPr>
          <w:sz w:val="24"/>
          <w:szCs w:val="24"/>
        </w:rPr>
        <w:t xml:space="preserve"> mindre end 30 ml/min, se pkt. 4.2).</w:t>
      </w:r>
    </w:p>
    <w:p w14:paraId="72ACFDC4" w14:textId="77777777" w:rsidR="00A75BC4" w:rsidRPr="00A75BC4" w:rsidRDefault="00A75BC4" w:rsidP="00A75BC4">
      <w:pPr>
        <w:widowControl w:val="0"/>
        <w:numPr>
          <w:ilvl w:val="0"/>
          <w:numId w:val="12"/>
        </w:numPr>
        <w:autoSpaceDE w:val="0"/>
        <w:autoSpaceDN w:val="0"/>
        <w:adjustRightInd w:val="0"/>
        <w:ind w:left="1276" w:hanging="425"/>
        <w:rPr>
          <w:sz w:val="24"/>
          <w:szCs w:val="24"/>
        </w:rPr>
      </w:pPr>
      <w:r w:rsidRPr="00A75BC4">
        <w:rPr>
          <w:sz w:val="24"/>
          <w:szCs w:val="24"/>
        </w:rPr>
        <w:t xml:space="preserve">Præeksisterende blodsygdom såsom </w:t>
      </w:r>
      <w:proofErr w:type="spellStart"/>
      <w:r w:rsidRPr="00A75BC4">
        <w:rPr>
          <w:sz w:val="24"/>
          <w:szCs w:val="24"/>
        </w:rPr>
        <w:t>knoglemarvshypoplasi</w:t>
      </w:r>
      <w:proofErr w:type="spellEnd"/>
      <w:r w:rsidRPr="00A75BC4">
        <w:rPr>
          <w:sz w:val="24"/>
          <w:szCs w:val="24"/>
        </w:rPr>
        <w:t xml:space="preserve">, </w:t>
      </w:r>
      <w:proofErr w:type="spellStart"/>
      <w:r w:rsidRPr="00A75BC4">
        <w:rPr>
          <w:sz w:val="24"/>
          <w:szCs w:val="24"/>
        </w:rPr>
        <w:t>leukopeni</w:t>
      </w:r>
      <w:proofErr w:type="spellEnd"/>
      <w:r w:rsidRPr="00A75BC4">
        <w:rPr>
          <w:sz w:val="24"/>
          <w:szCs w:val="24"/>
        </w:rPr>
        <w:t xml:space="preserve">, </w:t>
      </w:r>
      <w:proofErr w:type="spellStart"/>
      <w:r w:rsidRPr="00A75BC4">
        <w:rPr>
          <w:sz w:val="24"/>
          <w:szCs w:val="24"/>
        </w:rPr>
        <w:t>trombocytopeni</w:t>
      </w:r>
      <w:proofErr w:type="spellEnd"/>
      <w:r w:rsidRPr="00A75BC4">
        <w:rPr>
          <w:sz w:val="24"/>
          <w:szCs w:val="24"/>
        </w:rPr>
        <w:t xml:space="preserve"> eller signifikant anæmi</w:t>
      </w:r>
    </w:p>
    <w:p w14:paraId="71903B37" w14:textId="77777777" w:rsidR="00A75BC4" w:rsidRPr="00A75BC4" w:rsidRDefault="00A75BC4" w:rsidP="00A75BC4">
      <w:pPr>
        <w:widowControl w:val="0"/>
        <w:numPr>
          <w:ilvl w:val="0"/>
          <w:numId w:val="12"/>
        </w:numPr>
        <w:autoSpaceDE w:val="0"/>
        <w:autoSpaceDN w:val="0"/>
        <w:adjustRightInd w:val="0"/>
        <w:ind w:left="1276" w:hanging="425"/>
        <w:rPr>
          <w:sz w:val="24"/>
          <w:szCs w:val="24"/>
        </w:rPr>
      </w:pPr>
      <w:r w:rsidRPr="00A75BC4">
        <w:rPr>
          <w:sz w:val="24"/>
          <w:szCs w:val="24"/>
        </w:rPr>
        <w:t>Immundefekt</w:t>
      </w:r>
    </w:p>
    <w:p w14:paraId="453CA64A" w14:textId="77777777" w:rsidR="00A75BC4" w:rsidRPr="00A75BC4" w:rsidRDefault="00A75BC4" w:rsidP="00A75BC4">
      <w:pPr>
        <w:widowControl w:val="0"/>
        <w:numPr>
          <w:ilvl w:val="0"/>
          <w:numId w:val="12"/>
        </w:numPr>
        <w:autoSpaceDE w:val="0"/>
        <w:autoSpaceDN w:val="0"/>
        <w:adjustRightInd w:val="0"/>
        <w:ind w:left="1276" w:hanging="425"/>
        <w:rPr>
          <w:sz w:val="24"/>
          <w:szCs w:val="24"/>
        </w:rPr>
      </w:pPr>
      <w:r w:rsidRPr="00A75BC4">
        <w:rPr>
          <w:sz w:val="24"/>
          <w:szCs w:val="24"/>
        </w:rPr>
        <w:t>Alvorlige akutte eller kroniske infektioner, såsom tuberkulose og hiv</w:t>
      </w:r>
    </w:p>
    <w:p w14:paraId="42C441B8" w14:textId="77777777" w:rsidR="00A75BC4" w:rsidRPr="00A75BC4" w:rsidRDefault="00A75BC4" w:rsidP="00A75BC4">
      <w:pPr>
        <w:pStyle w:val="Default"/>
        <w:numPr>
          <w:ilvl w:val="0"/>
          <w:numId w:val="12"/>
        </w:numPr>
        <w:ind w:left="1276" w:hanging="425"/>
      </w:pPr>
      <w:proofErr w:type="spellStart"/>
      <w:r w:rsidRPr="00A75BC4">
        <w:t>Stomatitis</w:t>
      </w:r>
      <w:proofErr w:type="spellEnd"/>
      <w:r w:rsidRPr="00A75BC4">
        <w:t xml:space="preserve">, sår i mundhulen og kendte aktive </w:t>
      </w:r>
      <w:proofErr w:type="spellStart"/>
      <w:r w:rsidRPr="00A75BC4">
        <w:t>gastrointestinale</w:t>
      </w:r>
      <w:proofErr w:type="spellEnd"/>
      <w:r w:rsidRPr="00A75BC4">
        <w:t xml:space="preserve"> </w:t>
      </w:r>
      <w:proofErr w:type="spellStart"/>
      <w:r w:rsidRPr="00A75BC4">
        <w:t>ulcera</w:t>
      </w:r>
      <w:proofErr w:type="spellEnd"/>
      <w:r w:rsidRPr="00A75BC4">
        <w:t xml:space="preserve"> </w:t>
      </w:r>
    </w:p>
    <w:p w14:paraId="7E1A0BB4" w14:textId="77777777" w:rsidR="00A75BC4" w:rsidRPr="00A75BC4" w:rsidRDefault="00A75BC4" w:rsidP="00A75BC4">
      <w:pPr>
        <w:widowControl w:val="0"/>
        <w:numPr>
          <w:ilvl w:val="0"/>
          <w:numId w:val="12"/>
        </w:numPr>
        <w:autoSpaceDE w:val="0"/>
        <w:autoSpaceDN w:val="0"/>
        <w:adjustRightInd w:val="0"/>
        <w:ind w:left="1276" w:hanging="425"/>
        <w:rPr>
          <w:sz w:val="24"/>
          <w:szCs w:val="24"/>
        </w:rPr>
      </w:pPr>
      <w:r w:rsidRPr="00A75BC4">
        <w:rPr>
          <w:sz w:val="24"/>
          <w:szCs w:val="24"/>
        </w:rPr>
        <w:t>Amning (se pkt. 4.6).</w:t>
      </w:r>
    </w:p>
    <w:p w14:paraId="483FECC1" w14:textId="77777777" w:rsidR="00A75BC4" w:rsidRPr="00A75BC4" w:rsidRDefault="00A75BC4" w:rsidP="00A75BC4">
      <w:pPr>
        <w:widowControl w:val="0"/>
        <w:numPr>
          <w:ilvl w:val="0"/>
          <w:numId w:val="12"/>
        </w:numPr>
        <w:autoSpaceDE w:val="0"/>
        <w:autoSpaceDN w:val="0"/>
        <w:adjustRightInd w:val="0"/>
        <w:ind w:left="1276" w:hanging="425"/>
        <w:rPr>
          <w:sz w:val="24"/>
          <w:szCs w:val="24"/>
        </w:rPr>
      </w:pPr>
      <w:r w:rsidRPr="00A75BC4">
        <w:rPr>
          <w:sz w:val="24"/>
          <w:szCs w:val="24"/>
        </w:rPr>
        <w:t>Samtidig vaccination med levende vacciner.</w:t>
      </w:r>
    </w:p>
    <w:p w14:paraId="576A8566" w14:textId="77777777" w:rsidR="00A75BC4" w:rsidRPr="00A75BC4" w:rsidRDefault="00A75BC4" w:rsidP="00A75BC4">
      <w:pPr>
        <w:widowControl w:val="0"/>
        <w:autoSpaceDE w:val="0"/>
        <w:autoSpaceDN w:val="0"/>
        <w:adjustRightInd w:val="0"/>
        <w:ind w:left="1276" w:hanging="425"/>
        <w:rPr>
          <w:sz w:val="24"/>
          <w:szCs w:val="24"/>
        </w:rPr>
      </w:pPr>
    </w:p>
    <w:p w14:paraId="2C8C795D" w14:textId="77777777" w:rsidR="00A75BC4" w:rsidRPr="00A75BC4" w:rsidRDefault="00A75BC4" w:rsidP="00A75BC4">
      <w:pPr>
        <w:pStyle w:val="Default"/>
        <w:ind w:left="1276" w:hanging="425"/>
      </w:pPr>
      <w:r w:rsidRPr="00A75BC4">
        <w:t xml:space="preserve">For ikke-onkologiske indikationer endvidere </w:t>
      </w:r>
    </w:p>
    <w:p w14:paraId="2418C06D" w14:textId="77777777" w:rsidR="00A75BC4" w:rsidRPr="00A75BC4" w:rsidRDefault="00A75BC4" w:rsidP="00A75BC4">
      <w:pPr>
        <w:pStyle w:val="Default"/>
        <w:numPr>
          <w:ilvl w:val="0"/>
          <w:numId w:val="13"/>
        </w:numPr>
        <w:ind w:left="1276" w:hanging="425"/>
      </w:pPr>
      <w:r w:rsidRPr="00A75BC4">
        <w:t xml:space="preserve">Graviditet (se pkt. 4.6) </w:t>
      </w:r>
    </w:p>
    <w:p w14:paraId="649ACEB1" w14:textId="77777777" w:rsidR="00A64E46" w:rsidRPr="00F74DF7" w:rsidRDefault="00A64E46" w:rsidP="00A64E46">
      <w:pPr>
        <w:tabs>
          <w:tab w:val="left" w:pos="851"/>
        </w:tabs>
        <w:ind w:left="851" w:hanging="851"/>
        <w:rPr>
          <w:sz w:val="24"/>
          <w:szCs w:val="24"/>
        </w:rPr>
      </w:pPr>
    </w:p>
    <w:p w14:paraId="21F845E0" w14:textId="77777777" w:rsidR="00A64E46" w:rsidRPr="00F74DF7" w:rsidRDefault="00A64E46" w:rsidP="00A64E46">
      <w:pPr>
        <w:tabs>
          <w:tab w:val="left" w:pos="851"/>
        </w:tabs>
        <w:ind w:left="851" w:hanging="851"/>
        <w:rPr>
          <w:b/>
          <w:sz w:val="24"/>
          <w:szCs w:val="24"/>
        </w:rPr>
      </w:pPr>
      <w:r w:rsidRPr="00F74DF7">
        <w:rPr>
          <w:b/>
          <w:sz w:val="24"/>
          <w:szCs w:val="24"/>
        </w:rPr>
        <w:t>4.4</w:t>
      </w:r>
      <w:r w:rsidRPr="00F74DF7">
        <w:rPr>
          <w:b/>
          <w:sz w:val="24"/>
          <w:szCs w:val="24"/>
        </w:rPr>
        <w:tab/>
        <w:t>Særlige advarsler og forsigtighedsregler vedrørende brugen</w:t>
      </w:r>
    </w:p>
    <w:p w14:paraId="4C9D7997" w14:textId="77777777" w:rsidR="00D74B46" w:rsidRPr="00D74B46" w:rsidRDefault="00D74B46" w:rsidP="006A625D">
      <w:pPr>
        <w:ind w:left="851"/>
        <w:rPr>
          <w:b/>
          <w:sz w:val="24"/>
          <w:szCs w:val="24"/>
        </w:rPr>
      </w:pPr>
    </w:p>
    <w:p w14:paraId="504E802E" w14:textId="77777777" w:rsidR="00D74B46" w:rsidRPr="00D74B46" w:rsidRDefault="00D74B46" w:rsidP="006A625D">
      <w:pPr>
        <w:pStyle w:val="Default"/>
        <w:ind w:left="851"/>
      </w:pPr>
      <w:r w:rsidRPr="00D74B46">
        <w:t xml:space="preserve">Den ordinerende læge skal angive administrationsdagen på recepten. </w:t>
      </w:r>
    </w:p>
    <w:p w14:paraId="6E9834E2" w14:textId="77777777" w:rsidR="00D74B46" w:rsidRPr="00D74B46" w:rsidRDefault="00D74B46" w:rsidP="006A625D">
      <w:pPr>
        <w:pStyle w:val="Default"/>
        <w:ind w:left="851"/>
      </w:pPr>
      <w:r w:rsidRPr="00D74B46">
        <w:t xml:space="preserve">Den ordinerende læge skal sikre sig, at patienter forstår, at </w:t>
      </w:r>
      <w:proofErr w:type="spellStart"/>
      <w:r w:rsidRPr="00D74B46">
        <w:t>Methotrexate</w:t>
      </w:r>
      <w:proofErr w:type="spellEnd"/>
      <w:r w:rsidRPr="00D74B46">
        <w:t xml:space="preserve"> "</w:t>
      </w:r>
      <w:proofErr w:type="spellStart"/>
      <w:r w:rsidRPr="00D74B46">
        <w:t>Accord</w:t>
      </w:r>
      <w:proofErr w:type="spellEnd"/>
      <w:r w:rsidRPr="00D74B46">
        <w:t>" kun skal tages én gang om ugen. Patienterne skal instrueres i vigtigheden af at overholde doseringen én gang om ugen.</w:t>
      </w:r>
    </w:p>
    <w:p w14:paraId="6031A993" w14:textId="77777777" w:rsidR="00D74B46" w:rsidRPr="00D74B46" w:rsidRDefault="00D74B46" w:rsidP="006A625D">
      <w:pPr>
        <w:widowControl w:val="0"/>
        <w:autoSpaceDE w:val="0"/>
        <w:autoSpaceDN w:val="0"/>
        <w:adjustRightInd w:val="0"/>
        <w:ind w:left="851"/>
        <w:rPr>
          <w:sz w:val="24"/>
          <w:szCs w:val="24"/>
        </w:rPr>
      </w:pPr>
    </w:p>
    <w:p w14:paraId="6C4366C2" w14:textId="77777777" w:rsidR="00D74B46" w:rsidRPr="00D74B46" w:rsidRDefault="00D74B46" w:rsidP="006A625D">
      <w:pPr>
        <w:pStyle w:val="Default"/>
        <w:ind w:left="851"/>
      </w:pPr>
      <w:r w:rsidRPr="00D74B46">
        <w:t xml:space="preserve">Under behandlingen skal patienterne monitoreres på passende vis, så tegn på mulige toksiske virkninger og bivirkninger opdages og vurderes så hurtigt som muligt. </w:t>
      </w:r>
    </w:p>
    <w:p w14:paraId="70CA1211" w14:textId="77777777" w:rsidR="00D74B46" w:rsidRPr="00D74B46" w:rsidRDefault="00D74B46" w:rsidP="006A625D">
      <w:pPr>
        <w:pStyle w:val="Default"/>
        <w:ind w:left="851"/>
      </w:pPr>
      <w:proofErr w:type="spellStart"/>
      <w:r w:rsidRPr="00D74B46">
        <w:t>Methotrexat</w:t>
      </w:r>
      <w:proofErr w:type="spellEnd"/>
      <w:r w:rsidRPr="00D74B46">
        <w:t xml:space="preserve"> bør derfor kun administreres under supervision af læger med kendskab til og erfaring i behandling med antimetabolitter. </w:t>
      </w:r>
    </w:p>
    <w:p w14:paraId="1323FE1B" w14:textId="77777777" w:rsidR="00D74B46" w:rsidRPr="00D74B46" w:rsidRDefault="00D74B46" w:rsidP="006A625D">
      <w:pPr>
        <w:pStyle w:val="Default"/>
        <w:ind w:left="851"/>
        <w:rPr>
          <w:color w:val="auto"/>
        </w:rPr>
      </w:pPr>
      <w:r w:rsidRPr="00D74B46">
        <w:t xml:space="preserve">Særlig tæt overvågning er indiceret efter forudgående stråleterapi (navnlig af </w:t>
      </w:r>
      <w:proofErr w:type="spellStart"/>
      <w:r w:rsidRPr="00D74B46">
        <w:t>pelvis</w:t>
      </w:r>
      <w:proofErr w:type="spellEnd"/>
      <w:r w:rsidRPr="00D74B46">
        <w:t xml:space="preserve">), nedsat funktion af det </w:t>
      </w:r>
      <w:proofErr w:type="spellStart"/>
      <w:r w:rsidRPr="00D74B46">
        <w:t>hæmatopoietiske</w:t>
      </w:r>
      <w:proofErr w:type="spellEnd"/>
      <w:r w:rsidRPr="00D74B46">
        <w:t xml:space="preserve"> system (f.eks. efter forudgående strålebehandling eller kemoterapi), påvirket almentilstand og høj alder samt hos meget unge børn. </w:t>
      </w:r>
      <w:r w:rsidRPr="00D74B46">
        <w:rPr>
          <w:color w:val="auto"/>
        </w:rPr>
        <w:t xml:space="preserve">På grund af risikoen for svære eller endog dødelige toksiske reaktioner skal lægen oplyse patienterne grundigt om de mulige risici (herunder tidlige tegn og symptomer på toksicitet) og de anbefalede sikkerhedsforanstaltninger. Patienterne skal oplyses om straks at kontakte lægen, hvis de får symptomer på overdosering, og at overvågning (herunder jævnlige laboratorieprøver) er nødvendig ved symptomer på overdosering. </w:t>
      </w:r>
    </w:p>
    <w:p w14:paraId="66D802E2" w14:textId="77777777" w:rsidR="00D74B46" w:rsidRPr="00D74B46" w:rsidRDefault="00D74B46" w:rsidP="006A625D">
      <w:pPr>
        <w:pStyle w:val="Default"/>
        <w:ind w:left="851"/>
        <w:rPr>
          <w:color w:val="auto"/>
        </w:rPr>
      </w:pPr>
      <w:r w:rsidRPr="00D74B46">
        <w:rPr>
          <w:color w:val="auto"/>
        </w:rPr>
        <w:t xml:space="preserve">Doser over 20 mg (10 ml) om ugen kan være forbundet med betydeligt øget toksicitet, navnlig knoglemarvsdepression. </w:t>
      </w:r>
    </w:p>
    <w:p w14:paraId="07F39755" w14:textId="77777777" w:rsidR="00D74B46" w:rsidRPr="00D74B46" w:rsidRDefault="00D74B46" w:rsidP="006A625D">
      <w:pPr>
        <w:pStyle w:val="Default"/>
        <w:ind w:left="851"/>
        <w:rPr>
          <w:color w:val="auto"/>
        </w:rPr>
      </w:pPr>
      <w:r w:rsidRPr="00D74B46">
        <w:rPr>
          <w:color w:val="auto"/>
        </w:rPr>
        <w:lastRenderedPageBreak/>
        <w:t xml:space="preserve">Ved nedsat nyrefunktion skal der udvises særlig forsigtighed på grund af den langsommere udskillelse af </w:t>
      </w:r>
      <w:proofErr w:type="spellStart"/>
      <w:r w:rsidRPr="00D74B46">
        <w:rPr>
          <w:color w:val="auto"/>
        </w:rPr>
        <w:t>methotrexat</w:t>
      </w:r>
      <w:proofErr w:type="spellEnd"/>
      <w:r w:rsidRPr="00D74B46">
        <w:rPr>
          <w:color w:val="auto"/>
        </w:rPr>
        <w:t xml:space="preserve">, og </w:t>
      </w:r>
      <w:proofErr w:type="spellStart"/>
      <w:r w:rsidRPr="00D74B46">
        <w:rPr>
          <w:color w:val="auto"/>
        </w:rPr>
        <w:t>methotrexat</w:t>
      </w:r>
      <w:proofErr w:type="spellEnd"/>
      <w:r w:rsidRPr="00D74B46">
        <w:rPr>
          <w:color w:val="auto"/>
        </w:rPr>
        <w:t xml:space="preserve"> bør kun anvendes i lave doser (se pkt. 4.2). </w:t>
      </w:r>
    </w:p>
    <w:p w14:paraId="27015BB1" w14:textId="77777777" w:rsidR="00D74B46" w:rsidRPr="00D74B46" w:rsidRDefault="00D74B46" w:rsidP="006A625D">
      <w:pPr>
        <w:widowControl w:val="0"/>
        <w:autoSpaceDE w:val="0"/>
        <w:autoSpaceDN w:val="0"/>
        <w:adjustRightInd w:val="0"/>
        <w:ind w:left="851"/>
        <w:rPr>
          <w:sz w:val="24"/>
          <w:szCs w:val="24"/>
        </w:rPr>
      </w:pPr>
      <w:r w:rsidRPr="00D74B46">
        <w:rPr>
          <w:sz w:val="24"/>
          <w:szCs w:val="24"/>
        </w:rPr>
        <w:t xml:space="preserve">Hvis </w:t>
      </w:r>
      <w:proofErr w:type="spellStart"/>
      <w:r w:rsidRPr="00D74B46">
        <w:rPr>
          <w:sz w:val="24"/>
          <w:szCs w:val="24"/>
        </w:rPr>
        <w:t>methotrexat</w:t>
      </w:r>
      <w:proofErr w:type="spellEnd"/>
      <w:r w:rsidRPr="00D74B46">
        <w:rPr>
          <w:sz w:val="24"/>
          <w:szCs w:val="24"/>
        </w:rPr>
        <w:t xml:space="preserve"> overhovedet anvendes hos patienter med signifikant leversygdom, skal det ske med stor forsigtighed, især ved alkoholforårsaget leversygdom.</w:t>
      </w:r>
    </w:p>
    <w:p w14:paraId="7A275789" w14:textId="77777777" w:rsidR="00D74B46" w:rsidRPr="00D74B46" w:rsidRDefault="00D74B46" w:rsidP="006A625D">
      <w:pPr>
        <w:widowControl w:val="0"/>
        <w:autoSpaceDE w:val="0"/>
        <w:autoSpaceDN w:val="0"/>
        <w:adjustRightInd w:val="0"/>
        <w:ind w:left="851"/>
        <w:rPr>
          <w:sz w:val="24"/>
          <w:szCs w:val="24"/>
        </w:rPr>
      </w:pPr>
    </w:p>
    <w:p w14:paraId="5256127D" w14:textId="77777777" w:rsidR="00D74B46" w:rsidRPr="00D74B46" w:rsidRDefault="00D74B46" w:rsidP="006A625D">
      <w:pPr>
        <w:pStyle w:val="Default"/>
        <w:ind w:left="851"/>
        <w:rPr>
          <w:u w:val="single"/>
        </w:rPr>
      </w:pPr>
      <w:r w:rsidRPr="00D74B46">
        <w:rPr>
          <w:u w:val="single"/>
        </w:rPr>
        <w:t xml:space="preserve">Fertilitet </w:t>
      </w:r>
    </w:p>
    <w:p w14:paraId="4B1018A8" w14:textId="77777777" w:rsidR="00D74B46" w:rsidRPr="00D74B46" w:rsidRDefault="00D74B46" w:rsidP="006A625D">
      <w:pPr>
        <w:pStyle w:val="Default"/>
        <w:ind w:left="851"/>
      </w:pPr>
      <w:r w:rsidRPr="00D74B46">
        <w:t xml:space="preserve">Der er indberetninger om, at </w:t>
      </w:r>
      <w:proofErr w:type="spellStart"/>
      <w:r w:rsidRPr="00D74B46">
        <w:t>methotrexat</w:t>
      </w:r>
      <w:proofErr w:type="spellEnd"/>
      <w:r w:rsidRPr="00D74B46">
        <w:t xml:space="preserve"> hos mennesker forårsager nedsat fertilitet, </w:t>
      </w:r>
      <w:proofErr w:type="spellStart"/>
      <w:r w:rsidRPr="00D74B46">
        <w:t>oligospermi</w:t>
      </w:r>
      <w:proofErr w:type="spellEnd"/>
      <w:r w:rsidRPr="00D74B46">
        <w:t xml:space="preserve">, menstruationsforstyrrelser og </w:t>
      </w:r>
      <w:proofErr w:type="spellStart"/>
      <w:r w:rsidRPr="00D74B46">
        <w:t>amenoré</w:t>
      </w:r>
      <w:proofErr w:type="spellEnd"/>
      <w:r w:rsidRPr="00D74B46">
        <w:t xml:space="preserve"> under behandlingen og i en kort periode efter </w:t>
      </w:r>
      <w:proofErr w:type="spellStart"/>
      <w:r w:rsidRPr="00D74B46">
        <w:t>seponering</w:t>
      </w:r>
      <w:proofErr w:type="spellEnd"/>
      <w:r w:rsidRPr="00D74B46">
        <w:t xml:space="preserve">, hvilket påvirker </w:t>
      </w:r>
      <w:proofErr w:type="spellStart"/>
      <w:r w:rsidRPr="00D74B46">
        <w:t>spermatogenese</w:t>
      </w:r>
      <w:proofErr w:type="spellEnd"/>
      <w:r w:rsidRPr="00D74B46">
        <w:t xml:space="preserve"> og </w:t>
      </w:r>
      <w:proofErr w:type="spellStart"/>
      <w:r w:rsidRPr="00D74B46">
        <w:t>oogenese</w:t>
      </w:r>
      <w:proofErr w:type="spellEnd"/>
      <w:r w:rsidRPr="00D74B46">
        <w:t xml:space="preserve"> i administrationsperioden - virkninger, som synes at være reversible ved </w:t>
      </w:r>
      <w:proofErr w:type="spellStart"/>
      <w:r w:rsidRPr="00D74B46">
        <w:t>seponering</w:t>
      </w:r>
      <w:proofErr w:type="spellEnd"/>
      <w:r w:rsidRPr="00D74B46">
        <w:t xml:space="preserve"> af behandlingen. </w:t>
      </w:r>
    </w:p>
    <w:p w14:paraId="438EB74D" w14:textId="77777777" w:rsidR="00D74B46" w:rsidRPr="00D74B46" w:rsidRDefault="00D74B46" w:rsidP="006A625D">
      <w:pPr>
        <w:pStyle w:val="Default"/>
        <w:ind w:left="851"/>
      </w:pPr>
    </w:p>
    <w:p w14:paraId="551AEFBF" w14:textId="77777777" w:rsidR="00D74B46" w:rsidRPr="00D74B46" w:rsidRDefault="00D74B46" w:rsidP="006A625D">
      <w:pPr>
        <w:pStyle w:val="Default"/>
        <w:ind w:left="851"/>
        <w:rPr>
          <w:u w:val="single"/>
        </w:rPr>
      </w:pPr>
      <w:proofErr w:type="spellStart"/>
      <w:r w:rsidRPr="00D74B46">
        <w:rPr>
          <w:u w:val="single"/>
        </w:rPr>
        <w:t>Teratogenicitet</w:t>
      </w:r>
      <w:proofErr w:type="spellEnd"/>
      <w:r w:rsidRPr="00D74B46">
        <w:rPr>
          <w:u w:val="single"/>
        </w:rPr>
        <w:t xml:space="preserve"> - Reproduktiv risiko </w:t>
      </w:r>
    </w:p>
    <w:p w14:paraId="056C4603" w14:textId="77777777" w:rsidR="00D74B46" w:rsidRPr="00D74B46" w:rsidRDefault="00D74B46" w:rsidP="006A625D">
      <w:pPr>
        <w:pStyle w:val="Default"/>
        <w:ind w:left="851"/>
      </w:pPr>
      <w:proofErr w:type="spellStart"/>
      <w:r w:rsidRPr="00D74B46">
        <w:t>Methotrexat</w:t>
      </w:r>
      <w:proofErr w:type="spellEnd"/>
      <w:r w:rsidRPr="00D74B46">
        <w:t xml:space="preserve"> medfører embryotoksicitet, abort og </w:t>
      </w:r>
      <w:proofErr w:type="spellStart"/>
      <w:r w:rsidRPr="00D74B46">
        <w:t>føtale</w:t>
      </w:r>
      <w:proofErr w:type="spellEnd"/>
      <w:r w:rsidRPr="00D74B46">
        <w:t xml:space="preserve"> misdannelser hos mennesker. De mulige virkninger på reproduktion, graviditetstab og medfødte misdannelser skal derfor drøftes med kvindelige patienter i den fertile alder (se pkt. 4.6). </w:t>
      </w:r>
    </w:p>
    <w:p w14:paraId="25C6897A" w14:textId="77777777" w:rsidR="00D74B46" w:rsidRPr="00D74B46" w:rsidRDefault="00D74B46" w:rsidP="006A625D">
      <w:pPr>
        <w:pStyle w:val="Default"/>
        <w:ind w:left="851"/>
      </w:pPr>
      <w:r w:rsidRPr="00D74B46">
        <w:t xml:space="preserve">I ikke-onkologiske indikationer skal fraværet af graviditet bekræftes, før </w:t>
      </w:r>
      <w:proofErr w:type="spellStart"/>
      <w:r w:rsidRPr="00D74B46">
        <w:t>Methotrexate</w:t>
      </w:r>
      <w:proofErr w:type="spellEnd"/>
      <w:r w:rsidRPr="00D74B46">
        <w:t xml:space="preserve"> ”</w:t>
      </w:r>
      <w:proofErr w:type="spellStart"/>
      <w:r w:rsidRPr="00D74B46">
        <w:t>Accord</w:t>
      </w:r>
      <w:proofErr w:type="spellEnd"/>
      <w:r w:rsidRPr="00D74B46">
        <w:t xml:space="preserve">” anvendes. Hvis fertile kvinder behandles, skal der anvendes effektiv antikonception under behandlingen og mindst seks måneder efter afsluttet behandling. </w:t>
      </w:r>
    </w:p>
    <w:p w14:paraId="4C94E37D" w14:textId="77777777" w:rsidR="00D74B46" w:rsidRPr="00D74B46" w:rsidRDefault="00D74B46" w:rsidP="006A625D">
      <w:pPr>
        <w:pStyle w:val="Default"/>
        <w:ind w:left="851"/>
      </w:pPr>
    </w:p>
    <w:p w14:paraId="06E807E8" w14:textId="77777777" w:rsidR="00D74B46" w:rsidRPr="00D74B46" w:rsidRDefault="00D74B46" w:rsidP="006A625D">
      <w:pPr>
        <w:pStyle w:val="Default"/>
        <w:ind w:left="851"/>
      </w:pPr>
      <w:r w:rsidRPr="00D74B46">
        <w:t xml:space="preserve">For rådgivning om prævention til mænd se punkt 4.6. </w:t>
      </w:r>
    </w:p>
    <w:p w14:paraId="0E840C6D" w14:textId="77777777" w:rsidR="00D74B46" w:rsidRPr="00D74B46" w:rsidRDefault="00D74B46" w:rsidP="006A625D">
      <w:pPr>
        <w:pStyle w:val="Default"/>
        <w:ind w:left="851"/>
      </w:pPr>
    </w:p>
    <w:p w14:paraId="7ADD6D76" w14:textId="77777777" w:rsidR="00D74B46" w:rsidRPr="00D74B46" w:rsidRDefault="00D74B46" w:rsidP="006A625D">
      <w:pPr>
        <w:pStyle w:val="Default"/>
        <w:ind w:left="851"/>
        <w:rPr>
          <w:u w:val="single"/>
        </w:rPr>
      </w:pPr>
      <w:r w:rsidRPr="00D74B46">
        <w:rPr>
          <w:u w:val="single"/>
        </w:rPr>
        <w:t xml:space="preserve">Anbefalede undersøgelser og sikkerhedsforanstaltninger </w:t>
      </w:r>
    </w:p>
    <w:p w14:paraId="1BBD4D18" w14:textId="77777777" w:rsidR="00D74B46" w:rsidRPr="00D74B46" w:rsidRDefault="00D74B46" w:rsidP="006A625D">
      <w:pPr>
        <w:pStyle w:val="Default"/>
        <w:ind w:left="851"/>
        <w:rPr>
          <w:i/>
          <w:iCs/>
        </w:rPr>
      </w:pPr>
    </w:p>
    <w:p w14:paraId="484343B2" w14:textId="77777777" w:rsidR="00D74B46" w:rsidRPr="00D74B46" w:rsidRDefault="00D74B46" w:rsidP="006A625D">
      <w:pPr>
        <w:pStyle w:val="Default"/>
        <w:ind w:left="851"/>
      </w:pPr>
      <w:r w:rsidRPr="00D74B46">
        <w:rPr>
          <w:i/>
          <w:iCs/>
        </w:rPr>
        <w:t xml:space="preserve">Før behandling initieres eller genoptages efter en restitutionsperiode </w:t>
      </w:r>
    </w:p>
    <w:p w14:paraId="5788E36C" w14:textId="77777777" w:rsidR="00D74B46" w:rsidRPr="00D74B46" w:rsidRDefault="00D74B46" w:rsidP="006A625D">
      <w:pPr>
        <w:pStyle w:val="Default"/>
        <w:ind w:left="851"/>
      </w:pPr>
      <w:r w:rsidRPr="00D74B46">
        <w:t xml:space="preserve">Der skal udføres komplet blodtælling med </w:t>
      </w:r>
      <w:proofErr w:type="spellStart"/>
      <w:r w:rsidRPr="00D74B46">
        <w:t>differentialtælling</w:t>
      </w:r>
      <w:proofErr w:type="spellEnd"/>
      <w:r w:rsidRPr="00D74B46">
        <w:t xml:space="preserve"> og </w:t>
      </w:r>
      <w:proofErr w:type="spellStart"/>
      <w:r w:rsidRPr="00D74B46">
        <w:t>trombocyttælling</w:t>
      </w:r>
      <w:proofErr w:type="spellEnd"/>
      <w:r w:rsidRPr="00D74B46">
        <w:t xml:space="preserve">, monitorering af leverenzymer, bilirubin, serumalbumin og nyrefunktion samt røntgen af thorax. Tuberkulose og hepatitis B og C skal udelukkes, hvis det er klinisk indiceret. </w:t>
      </w:r>
    </w:p>
    <w:p w14:paraId="39898552" w14:textId="77777777" w:rsidR="00D74B46" w:rsidRPr="00D74B46" w:rsidRDefault="00D74B46" w:rsidP="006A625D">
      <w:pPr>
        <w:pStyle w:val="Default"/>
        <w:ind w:left="851"/>
        <w:rPr>
          <w:i/>
          <w:iCs/>
        </w:rPr>
      </w:pPr>
    </w:p>
    <w:p w14:paraId="6BCC6185" w14:textId="77777777" w:rsidR="00D74B46" w:rsidRPr="00D74B46" w:rsidRDefault="00D74B46" w:rsidP="006A625D">
      <w:pPr>
        <w:pStyle w:val="Default"/>
        <w:ind w:left="851"/>
      </w:pPr>
      <w:r w:rsidRPr="00D74B46">
        <w:rPr>
          <w:i/>
          <w:iCs/>
        </w:rPr>
        <w:t xml:space="preserve">Under behandlingen </w:t>
      </w:r>
    </w:p>
    <w:p w14:paraId="1AC61724" w14:textId="77777777" w:rsidR="00D74B46" w:rsidRPr="00D74B46" w:rsidRDefault="00D74B46" w:rsidP="006A625D">
      <w:pPr>
        <w:pStyle w:val="Default"/>
        <w:ind w:left="851"/>
      </w:pPr>
      <w:r w:rsidRPr="00D74B46">
        <w:t xml:space="preserve">Nedenstående undersøgelser skal udføres ugentligt de første to uger, derefter hver anden uge i en måned; derefter – afhængigt af leukocyttal og stabiliteten af patientens tilstand – mindst én gang om måneden de næste seks måneder, og derefter mindst hver tredje måned. </w:t>
      </w:r>
    </w:p>
    <w:p w14:paraId="3C72823E" w14:textId="77777777" w:rsidR="00D74B46" w:rsidRPr="00D74B46" w:rsidRDefault="00D74B46" w:rsidP="006A625D">
      <w:pPr>
        <w:pStyle w:val="Default"/>
        <w:ind w:left="851"/>
      </w:pPr>
    </w:p>
    <w:p w14:paraId="0FFB46EA" w14:textId="77777777" w:rsidR="00D74B46" w:rsidRPr="00D74B46" w:rsidRDefault="00D74B46" w:rsidP="006A625D">
      <w:pPr>
        <w:pStyle w:val="Default"/>
        <w:ind w:left="851"/>
      </w:pPr>
      <w:r w:rsidRPr="00D74B46">
        <w:t xml:space="preserve">Ved dosisstigning bør hyppigere monitorering overvejes. Navnlig ældre patienter bør monitoreres for tidlige tegn på toksicitet med korte mellemrum (se pkt. 4.2). </w:t>
      </w:r>
    </w:p>
    <w:p w14:paraId="35DC2FF0" w14:textId="77777777" w:rsidR="00D74B46" w:rsidRPr="00D74B46" w:rsidRDefault="00D74B46" w:rsidP="006A625D">
      <w:pPr>
        <w:pStyle w:val="Default"/>
        <w:ind w:left="851"/>
      </w:pPr>
    </w:p>
    <w:p w14:paraId="5B27D51D" w14:textId="77777777" w:rsidR="00D74B46" w:rsidRPr="00D74B46" w:rsidRDefault="00D74B46" w:rsidP="006A625D">
      <w:pPr>
        <w:pStyle w:val="Default"/>
        <w:numPr>
          <w:ilvl w:val="0"/>
          <w:numId w:val="14"/>
        </w:numPr>
        <w:ind w:left="1418" w:hanging="567"/>
      </w:pPr>
      <w:r w:rsidRPr="00D74B46">
        <w:t xml:space="preserve">Undersøgelse af mund og svælg for </w:t>
      </w:r>
      <w:r w:rsidRPr="00D74B46">
        <w:rPr>
          <w:i/>
          <w:iCs/>
        </w:rPr>
        <w:t>slimhindeforandringer</w:t>
      </w:r>
      <w:r w:rsidRPr="00D74B46">
        <w:t xml:space="preserve">. </w:t>
      </w:r>
    </w:p>
    <w:p w14:paraId="2227ABF4" w14:textId="77777777" w:rsidR="00D74B46" w:rsidRPr="00D74B46" w:rsidRDefault="00D74B46" w:rsidP="006A625D">
      <w:pPr>
        <w:pStyle w:val="Default"/>
        <w:ind w:left="1418" w:hanging="567"/>
      </w:pPr>
    </w:p>
    <w:p w14:paraId="0D9DF7E5" w14:textId="77777777" w:rsidR="00F84BB2" w:rsidRPr="00F84BB2" w:rsidRDefault="00F84BB2" w:rsidP="00F84BB2">
      <w:pPr>
        <w:pStyle w:val="Default"/>
        <w:numPr>
          <w:ilvl w:val="0"/>
          <w:numId w:val="14"/>
        </w:numPr>
        <w:ind w:left="1418" w:hanging="567"/>
      </w:pPr>
      <w:r w:rsidRPr="00D74B46">
        <w:rPr>
          <w:i/>
          <w:iCs/>
        </w:rPr>
        <w:t xml:space="preserve">Komplet blodtælling </w:t>
      </w:r>
      <w:r w:rsidRPr="00D74B46">
        <w:t xml:space="preserve">med </w:t>
      </w:r>
      <w:proofErr w:type="spellStart"/>
      <w:r w:rsidRPr="00D74B46">
        <w:t>differentialtælling</w:t>
      </w:r>
      <w:proofErr w:type="spellEnd"/>
      <w:r w:rsidRPr="00D74B46">
        <w:t xml:space="preserve"> og </w:t>
      </w:r>
      <w:proofErr w:type="spellStart"/>
      <w:r w:rsidRPr="00D74B46">
        <w:t>trombocyttælling</w:t>
      </w:r>
      <w:proofErr w:type="spellEnd"/>
      <w:r w:rsidRPr="00D74B46">
        <w:t xml:space="preserve">. </w:t>
      </w:r>
      <w:proofErr w:type="spellStart"/>
      <w:r w:rsidRPr="00D74B46">
        <w:t>Methotrexat</w:t>
      </w:r>
      <w:proofErr w:type="spellEnd"/>
      <w:r w:rsidRPr="00D74B46">
        <w:t xml:space="preserve">-induceret suppression af </w:t>
      </w:r>
      <w:proofErr w:type="spellStart"/>
      <w:r w:rsidRPr="00D74B46">
        <w:t>hæmatopoiesen</w:t>
      </w:r>
      <w:proofErr w:type="spellEnd"/>
      <w:r w:rsidRPr="00D74B46">
        <w:t xml:space="preserve"> kan opstå pludseligt og ved tilsyneladende sikre doser. Ethvert alvorligt fald i leukocyt- eller </w:t>
      </w:r>
      <w:proofErr w:type="spellStart"/>
      <w:r w:rsidRPr="00D74B46">
        <w:t>trombocyttal</w:t>
      </w:r>
      <w:proofErr w:type="spellEnd"/>
      <w:r w:rsidRPr="00D74B46">
        <w:t xml:space="preserve"> er indikation for øjeblikkelig </w:t>
      </w:r>
      <w:proofErr w:type="spellStart"/>
      <w:r w:rsidRPr="00D74B46">
        <w:t>behandlingsseponering</w:t>
      </w:r>
      <w:proofErr w:type="spellEnd"/>
      <w:r w:rsidRPr="00D74B46">
        <w:t xml:space="preserve"> og passende understøttende behandling. Patienterne skal opfordres til at fortælle lægen om alle tegn og symptomer, der tyder på infektion. Blodtal og </w:t>
      </w:r>
      <w:proofErr w:type="spellStart"/>
      <w:r w:rsidRPr="00D74B46">
        <w:t>trombocyttal</w:t>
      </w:r>
      <w:proofErr w:type="spellEnd"/>
      <w:r w:rsidRPr="00D74B46">
        <w:t xml:space="preserve"> skal monitoreres tæt hos patienter, der samtidig </w:t>
      </w:r>
      <w:r w:rsidRPr="00F84BB2">
        <w:t xml:space="preserve">anvender </w:t>
      </w:r>
      <w:proofErr w:type="spellStart"/>
      <w:r w:rsidRPr="00F84BB2">
        <w:t>hæmatotoksiske</w:t>
      </w:r>
      <w:proofErr w:type="spellEnd"/>
      <w:r w:rsidRPr="00F84BB2">
        <w:t xml:space="preserve"> lægemidler (f.eks. </w:t>
      </w:r>
      <w:proofErr w:type="spellStart"/>
      <w:r w:rsidRPr="00F84BB2">
        <w:t>leflunomid</w:t>
      </w:r>
      <w:proofErr w:type="spellEnd"/>
      <w:r w:rsidRPr="00F84BB2">
        <w:t xml:space="preserve">). </w:t>
      </w:r>
    </w:p>
    <w:p w14:paraId="003BB63B" w14:textId="77777777" w:rsidR="00F84BB2" w:rsidRPr="00F84BB2" w:rsidRDefault="00F84BB2" w:rsidP="00F84BB2">
      <w:pPr>
        <w:pStyle w:val="Default"/>
        <w:ind w:left="1418" w:hanging="567"/>
      </w:pPr>
    </w:p>
    <w:p w14:paraId="0DCAA517" w14:textId="77777777" w:rsidR="00F84BB2" w:rsidRPr="00F84BB2" w:rsidRDefault="00F84BB2" w:rsidP="00F84BB2">
      <w:pPr>
        <w:pStyle w:val="Default"/>
        <w:numPr>
          <w:ilvl w:val="0"/>
          <w:numId w:val="14"/>
        </w:numPr>
        <w:ind w:left="1418" w:hanging="720"/>
      </w:pPr>
      <w:r w:rsidRPr="00F84BB2">
        <w:rPr>
          <w:i/>
          <w:iCs/>
        </w:rPr>
        <w:t xml:space="preserve">Leverfunktionsprøver </w:t>
      </w:r>
      <w:r w:rsidRPr="00F84BB2">
        <w:t xml:space="preserve">– Behandlingen skal ikke påbegyndes eller skal seponeres, hvis der konstateres vedvarende eller signifikante </w:t>
      </w:r>
      <w:proofErr w:type="spellStart"/>
      <w:r w:rsidRPr="00F84BB2">
        <w:t>abnormaliteter</w:t>
      </w:r>
      <w:proofErr w:type="spellEnd"/>
      <w:r w:rsidRPr="00F84BB2">
        <w:t xml:space="preserve"> i leverfunktionstests, andre non-invasive undersøgelser af leverfibrose eller leverbiopsier.</w:t>
      </w:r>
    </w:p>
    <w:p w14:paraId="322C2AEA" w14:textId="77777777" w:rsidR="00F84BB2" w:rsidRPr="00F84BB2" w:rsidRDefault="00F84BB2" w:rsidP="00F84BB2">
      <w:pPr>
        <w:pStyle w:val="Default"/>
        <w:ind w:left="1571"/>
      </w:pPr>
    </w:p>
    <w:p w14:paraId="637726C2" w14:textId="77777777" w:rsidR="00F84BB2" w:rsidRPr="00F84BB2" w:rsidRDefault="00F84BB2" w:rsidP="00F84BB2">
      <w:pPr>
        <w:ind w:left="1418"/>
      </w:pPr>
      <w:r w:rsidRPr="00F84BB2">
        <w:lastRenderedPageBreak/>
        <w:t xml:space="preserve">Midlertidigt forhøjede </w:t>
      </w:r>
      <w:proofErr w:type="spellStart"/>
      <w:r w:rsidRPr="00F84BB2">
        <w:t>transaminaser</w:t>
      </w:r>
      <w:proofErr w:type="spellEnd"/>
      <w:r w:rsidRPr="00F84BB2">
        <w:t xml:space="preserve"> til to eller tre gange den øvre normalgrænse er rapporteret hos patienter med en hyppighed på 13-20 %. En vedvarende stigning i leverenzymer og/eller fald i serumalbumin kan være tegn på alvorlig </w:t>
      </w:r>
      <w:proofErr w:type="spellStart"/>
      <w:r w:rsidRPr="00F84BB2">
        <w:t>hepatotoksicitet</w:t>
      </w:r>
      <w:proofErr w:type="spellEnd"/>
      <w:r w:rsidRPr="00F84BB2">
        <w:t>. I tilfælde af en vedvarende stigning i leverenzymer bør det overvejes at reducere dosis eller seponere behandlingen.</w:t>
      </w:r>
    </w:p>
    <w:p w14:paraId="6D16C507" w14:textId="77777777" w:rsidR="00F84BB2" w:rsidRPr="00F84BB2" w:rsidRDefault="00F84BB2" w:rsidP="00F84BB2">
      <w:pPr>
        <w:ind w:left="1418" w:firstLine="1418"/>
      </w:pPr>
    </w:p>
    <w:p w14:paraId="1D91949B" w14:textId="77777777" w:rsidR="00F84BB2" w:rsidRPr="00F84BB2" w:rsidRDefault="00F84BB2" w:rsidP="00F84BB2">
      <w:pPr>
        <w:ind w:left="1418"/>
      </w:pPr>
      <w:r w:rsidRPr="00F84BB2">
        <w:t xml:space="preserve">Histologiske forandringer, fibrose og – mere sjældent - levercirrose </w:t>
      </w:r>
      <w:proofErr w:type="spellStart"/>
      <w:r w:rsidRPr="00F84BB2">
        <w:t>forudgås</w:t>
      </w:r>
      <w:proofErr w:type="spellEnd"/>
      <w:r w:rsidRPr="00F84BB2">
        <w:t xml:space="preserve"> muligvis ikke af unormale leverfunktionstests. Der er tilfælde af cirrose, hvor </w:t>
      </w:r>
      <w:proofErr w:type="spellStart"/>
      <w:r w:rsidRPr="00F84BB2">
        <w:t>transaminaserne</w:t>
      </w:r>
      <w:proofErr w:type="spellEnd"/>
      <w:r w:rsidRPr="00F84BB2">
        <w:t xml:space="preserve"> er normale. Derfor bør non-invasive diagnostiske metoder til monitorering af levertilstand overvejes som supplement til leverfunktionstests. Leverbiopsi bør overvejes på individuel basis, idet patientens </w:t>
      </w:r>
      <w:proofErr w:type="spellStart"/>
      <w:r w:rsidRPr="00F84BB2">
        <w:t>komorbiditeter</w:t>
      </w:r>
      <w:proofErr w:type="spellEnd"/>
      <w:r w:rsidRPr="00F84BB2">
        <w:t xml:space="preserve">, anamnese og risiciene ved biopsi tages i betragtning. Risikofaktorer for </w:t>
      </w:r>
      <w:proofErr w:type="spellStart"/>
      <w:r w:rsidRPr="00F84BB2">
        <w:t>hepatotoksicitet</w:t>
      </w:r>
      <w:proofErr w:type="spellEnd"/>
      <w:r w:rsidRPr="00F84BB2">
        <w:t xml:space="preserve"> inkluderer tidligere overforbrug af alkohol, vedvarende stigning i leverenzymer, tidligere leversygdom, arvelig leversygdom i familien, diabetes mellitus, fedme og tidligere kontakt med </w:t>
      </w:r>
      <w:proofErr w:type="spellStart"/>
      <w:r w:rsidRPr="00F84BB2">
        <w:t>hepatotoksiske</w:t>
      </w:r>
      <w:proofErr w:type="spellEnd"/>
      <w:r w:rsidRPr="00F84BB2">
        <w:t xml:space="preserve"> stoffer eller kemikalier og længerevarende </w:t>
      </w:r>
      <w:proofErr w:type="spellStart"/>
      <w:r w:rsidRPr="00F84BB2">
        <w:t>methotrexatbehandling</w:t>
      </w:r>
      <w:proofErr w:type="spellEnd"/>
      <w:r w:rsidRPr="00F84BB2">
        <w:t>.</w:t>
      </w:r>
    </w:p>
    <w:p w14:paraId="74FEC9E9" w14:textId="77777777" w:rsidR="00F84BB2" w:rsidRPr="00F84BB2" w:rsidRDefault="00F84BB2" w:rsidP="00F84BB2">
      <w:pPr>
        <w:ind w:left="1418" w:firstLine="1418"/>
      </w:pPr>
    </w:p>
    <w:p w14:paraId="6D94D40C" w14:textId="77777777" w:rsidR="00F84BB2" w:rsidRPr="00F84BB2" w:rsidRDefault="00F84BB2" w:rsidP="00F84BB2">
      <w:pPr>
        <w:ind w:left="1418"/>
      </w:pPr>
      <w:r w:rsidRPr="00F84BB2">
        <w:t xml:space="preserve">Der bør ikke gives andre </w:t>
      </w:r>
      <w:proofErr w:type="spellStart"/>
      <w:r w:rsidRPr="00F84BB2">
        <w:t>hepatotoksiske</w:t>
      </w:r>
      <w:proofErr w:type="spellEnd"/>
      <w:r w:rsidRPr="00F84BB2">
        <w:t xml:space="preserve"> lægemidler under behandlingen med </w:t>
      </w:r>
      <w:proofErr w:type="spellStart"/>
      <w:r w:rsidRPr="00F84BB2">
        <w:t>methotrexat</w:t>
      </w:r>
      <w:proofErr w:type="spellEnd"/>
      <w:r w:rsidRPr="00F84BB2">
        <w:t xml:space="preserve">, medmindre det er strengt nødvendigt. Indtagelse af alkohol bør undgås (se afsnit 4.3 og 4.5). Der bør foretages nærmere monitorering af leverenzymer hos patienter, der samtidig tager andre </w:t>
      </w:r>
      <w:proofErr w:type="spellStart"/>
      <w:r w:rsidRPr="00F84BB2">
        <w:t>hepatotoksiske</w:t>
      </w:r>
      <w:proofErr w:type="spellEnd"/>
      <w:r w:rsidRPr="00F84BB2">
        <w:t xml:space="preserve"> lægemidler.</w:t>
      </w:r>
    </w:p>
    <w:p w14:paraId="0197B97D" w14:textId="77777777" w:rsidR="00F84BB2" w:rsidRPr="00F84BB2" w:rsidRDefault="00F84BB2" w:rsidP="00F84BB2">
      <w:pPr>
        <w:ind w:left="1418" w:firstLine="1418"/>
      </w:pPr>
    </w:p>
    <w:p w14:paraId="34B39DE5" w14:textId="77777777" w:rsidR="00F84BB2" w:rsidRPr="006510A0" w:rsidRDefault="00F84BB2" w:rsidP="00F84BB2">
      <w:pPr>
        <w:ind w:left="1418"/>
      </w:pPr>
      <w:r w:rsidRPr="00F84BB2">
        <w:t xml:space="preserve">Der bør udvises særlig forsigtighed hos patienter med insulinafhængig diabetes mellitus, da der under </w:t>
      </w:r>
      <w:proofErr w:type="spellStart"/>
      <w:r w:rsidRPr="00F84BB2">
        <w:t>methotrexatbehandling</w:t>
      </w:r>
      <w:proofErr w:type="spellEnd"/>
      <w:r w:rsidRPr="00F84BB2">
        <w:t xml:space="preserve"> i isolerede tilfælde er opstået levercirrose uden forhøjelse af </w:t>
      </w:r>
      <w:proofErr w:type="spellStart"/>
      <w:r w:rsidRPr="00F84BB2">
        <w:t>transaminaser</w:t>
      </w:r>
      <w:proofErr w:type="spellEnd"/>
      <w:r w:rsidRPr="00F84BB2">
        <w:t xml:space="preserve">. </w:t>
      </w:r>
    </w:p>
    <w:p w14:paraId="69BD177B" w14:textId="77777777" w:rsidR="00F84BB2" w:rsidRPr="00D74B46" w:rsidRDefault="00F84BB2" w:rsidP="00F84BB2">
      <w:pPr>
        <w:pStyle w:val="Default"/>
        <w:ind w:left="1418" w:hanging="567"/>
        <w:rPr>
          <w:color w:val="auto"/>
        </w:rPr>
      </w:pPr>
    </w:p>
    <w:p w14:paraId="163AC55B" w14:textId="77777777" w:rsidR="00F84BB2" w:rsidRPr="00D74B46" w:rsidRDefault="00F84BB2" w:rsidP="00F84BB2">
      <w:pPr>
        <w:pStyle w:val="Default"/>
        <w:numPr>
          <w:ilvl w:val="0"/>
          <w:numId w:val="14"/>
        </w:numPr>
        <w:ind w:left="1418" w:hanging="567"/>
        <w:rPr>
          <w:color w:val="auto"/>
        </w:rPr>
      </w:pPr>
      <w:r w:rsidRPr="00D74B46">
        <w:rPr>
          <w:i/>
          <w:iCs/>
          <w:color w:val="auto"/>
        </w:rPr>
        <w:t xml:space="preserve">Nyrefunktionen </w:t>
      </w:r>
      <w:r w:rsidRPr="00D74B46">
        <w:rPr>
          <w:color w:val="auto"/>
        </w:rPr>
        <w:t xml:space="preserve">bør monitoreres ved nyrefunktionsprøver og urinanalyser. Hvis </w:t>
      </w:r>
      <w:proofErr w:type="spellStart"/>
      <w:r w:rsidRPr="00D74B46">
        <w:rPr>
          <w:color w:val="auto"/>
        </w:rPr>
        <w:t>serumkreatinin</w:t>
      </w:r>
      <w:proofErr w:type="spellEnd"/>
      <w:r w:rsidRPr="00D74B46">
        <w:rPr>
          <w:color w:val="auto"/>
        </w:rPr>
        <w:t xml:space="preserve"> er forhøjet, bør dosis nedsættes. </w:t>
      </w:r>
      <w:proofErr w:type="spellStart"/>
      <w:r w:rsidRPr="00D74B46">
        <w:rPr>
          <w:color w:val="auto"/>
        </w:rPr>
        <w:t>Methotrexat</w:t>
      </w:r>
      <w:proofErr w:type="spellEnd"/>
      <w:r w:rsidRPr="00D74B46">
        <w:rPr>
          <w:color w:val="auto"/>
        </w:rPr>
        <w:t xml:space="preserve"> bør ikke anvendes ved </w:t>
      </w:r>
      <w:proofErr w:type="spellStart"/>
      <w:r w:rsidRPr="00D74B46">
        <w:rPr>
          <w:color w:val="auto"/>
        </w:rPr>
        <w:t>kreatininclearance</w:t>
      </w:r>
      <w:proofErr w:type="spellEnd"/>
      <w:r w:rsidRPr="00D74B46">
        <w:rPr>
          <w:color w:val="auto"/>
        </w:rPr>
        <w:t xml:space="preserve"> under 30 ml/min (se pkt. 4.2 og 4.3). </w:t>
      </w:r>
    </w:p>
    <w:p w14:paraId="662B9FBA" w14:textId="77777777" w:rsidR="00D74B46" w:rsidRPr="00D74B46" w:rsidRDefault="00D74B46" w:rsidP="006A625D">
      <w:pPr>
        <w:pStyle w:val="Default"/>
        <w:ind w:left="1418" w:hanging="567"/>
        <w:rPr>
          <w:color w:val="auto"/>
        </w:rPr>
      </w:pPr>
    </w:p>
    <w:p w14:paraId="329B906B" w14:textId="77777777" w:rsidR="00D74B46" w:rsidRPr="00D74B46" w:rsidRDefault="00D74B46" w:rsidP="006A625D">
      <w:pPr>
        <w:pStyle w:val="Default"/>
        <w:ind w:left="1418"/>
        <w:rPr>
          <w:color w:val="auto"/>
        </w:rPr>
      </w:pPr>
      <w:r w:rsidRPr="00D74B46">
        <w:rPr>
          <w:color w:val="auto"/>
        </w:rPr>
        <w:t xml:space="preserve">Behandling med moderat høje og høje doser </w:t>
      </w:r>
      <w:proofErr w:type="spellStart"/>
      <w:r w:rsidRPr="00D74B46">
        <w:rPr>
          <w:color w:val="auto"/>
        </w:rPr>
        <w:t>methotrexat</w:t>
      </w:r>
      <w:proofErr w:type="spellEnd"/>
      <w:r w:rsidRPr="00D74B46">
        <w:rPr>
          <w:color w:val="auto"/>
        </w:rPr>
        <w:t xml:space="preserve"> bør ikke initieres, hvis urinens pH er under 7,0. </w:t>
      </w:r>
      <w:proofErr w:type="spellStart"/>
      <w:r w:rsidRPr="00D74B46">
        <w:rPr>
          <w:color w:val="auto"/>
        </w:rPr>
        <w:t>Alkalinisering</w:t>
      </w:r>
      <w:proofErr w:type="spellEnd"/>
      <w:r w:rsidRPr="00D74B46">
        <w:rPr>
          <w:color w:val="auto"/>
        </w:rPr>
        <w:t xml:space="preserve"> af urinen skal testes ved gentagen pH-måling (mindst 6,8) i mindst 24 timer efter initiering af </w:t>
      </w:r>
      <w:proofErr w:type="spellStart"/>
      <w:r w:rsidRPr="00D74B46">
        <w:rPr>
          <w:color w:val="auto"/>
        </w:rPr>
        <w:t>methotrexat</w:t>
      </w:r>
      <w:proofErr w:type="spellEnd"/>
      <w:r w:rsidRPr="00D74B46">
        <w:rPr>
          <w:color w:val="auto"/>
        </w:rPr>
        <w:t>.</w:t>
      </w:r>
    </w:p>
    <w:p w14:paraId="1500174A" w14:textId="77777777" w:rsidR="00D74B46" w:rsidRPr="00D74B46" w:rsidRDefault="00D74B46" w:rsidP="006A625D">
      <w:pPr>
        <w:pStyle w:val="Default"/>
        <w:ind w:left="1418" w:hanging="567"/>
        <w:rPr>
          <w:color w:val="auto"/>
        </w:rPr>
      </w:pPr>
    </w:p>
    <w:p w14:paraId="3F8A311F" w14:textId="77777777" w:rsidR="00D74B46" w:rsidRPr="00D74B46" w:rsidRDefault="00D74B46" w:rsidP="006A625D">
      <w:pPr>
        <w:pStyle w:val="Default"/>
        <w:numPr>
          <w:ilvl w:val="0"/>
          <w:numId w:val="14"/>
        </w:numPr>
        <w:ind w:left="1418" w:hanging="567"/>
        <w:rPr>
          <w:color w:val="auto"/>
        </w:rPr>
      </w:pPr>
      <w:r w:rsidRPr="00D74B46">
        <w:rPr>
          <w:i/>
          <w:iCs/>
          <w:color w:val="auto"/>
        </w:rPr>
        <w:t xml:space="preserve">Undersøgelse af luftveje </w:t>
      </w:r>
      <w:r w:rsidRPr="00D74B46">
        <w:rPr>
          <w:color w:val="auto"/>
        </w:rPr>
        <w:t xml:space="preserve">– patienten skal overvåges for symptomer på lungefunktionsforstyrrelser, og om nødvendigt skal der udføres en lungefunktionsprøve. Lungerelaterede symptomer (navnlig tør, uproduktiv hoste) eller udvikling af </w:t>
      </w:r>
      <w:proofErr w:type="gramStart"/>
      <w:r w:rsidRPr="00D74B46">
        <w:rPr>
          <w:color w:val="auto"/>
        </w:rPr>
        <w:t>uspecifik pneumonitis</w:t>
      </w:r>
      <w:proofErr w:type="gramEnd"/>
      <w:r w:rsidRPr="00D74B46">
        <w:rPr>
          <w:color w:val="auto"/>
        </w:rPr>
        <w:t xml:space="preserve"> under </w:t>
      </w:r>
      <w:proofErr w:type="spellStart"/>
      <w:r w:rsidRPr="00D74B46">
        <w:rPr>
          <w:color w:val="auto"/>
        </w:rPr>
        <w:t>methotrexat</w:t>
      </w:r>
      <w:proofErr w:type="spellEnd"/>
      <w:r w:rsidRPr="00D74B46">
        <w:rPr>
          <w:color w:val="auto"/>
        </w:rPr>
        <w:t xml:space="preserve">-behandling kan være tegn på potentielt farlig beskadigelse og kan nødvendiggøre behandlingsafbrydelse og nøje overvågning. Ved </w:t>
      </w:r>
      <w:proofErr w:type="spellStart"/>
      <w:r w:rsidRPr="00D74B46">
        <w:rPr>
          <w:color w:val="auto"/>
        </w:rPr>
        <w:t>methotrexat</w:t>
      </w:r>
      <w:proofErr w:type="spellEnd"/>
      <w:r w:rsidRPr="00D74B46">
        <w:rPr>
          <w:color w:val="auto"/>
        </w:rPr>
        <w:t xml:space="preserve">-induceret lungesygdom er der typisk feber, hoste, dyspnø eller </w:t>
      </w:r>
      <w:proofErr w:type="spellStart"/>
      <w:r w:rsidRPr="00D74B46">
        <w:rPr>
          <w:color w:val="auto"/>
        </w:rPr>
        <w:t>hypoxæmi</w:t>
      </w:r>
      <w:proofErr w:type="spellEnd"/>
      <w:r w:rsidRPr="00D74B46">
        <w:rPr>
          <w:color w:val="auto"/>
        </w:rPr>
        <w:t xml:space="preserve">, skønt det kliniske billede varierer. Der skal tages røntgen af thorax for at udelukke infektion. Akut eller kronisk </w:t>
      </w:r>
      <w:proofErr w:type="spellStart"/>
      <w:r w:rsidRPr="00D74B46">
        <w:rPr>
          <w:color w:val="auto"/>
        </w:rPr>
        <w:t>interstitiel</w:t>
      </w:r>
      <w:proofErr w:type="spellEnd"/>
      <w:r w:rsidRPr="00D74B46">
        <w:rPr>
          <w:color w:val="auto"/>
        </w:rPr>
        <w:t xml:space="preserve"> pneumoni kan forekomme, ofte ledsaget af </w:t>
      </w:r>
      <w:proofErr w:type="spellStart"/>
      <w:r w:rsidRPr="00D74B46">
        <w:rPr>
          <w:color w:val="auto"/>
        </w:rPr>
        <w:t>eosinofili</w:t>
      </w:r>
      <w:proofErr w:type="spellEnd"/>
      <w:r w:rsidRPr="00D74B46">
        <w:rPr>
          <w:color w:val="auto"/>
        </w:rPr>
        <w:t xml:space="preserve">, og dødelige tilfælde er beskrevet. Patienterne skal oplyses om risikoen for pneumoni og rådes til straks at kontakte lægen i tilfælde af vedholdende hoste eller vedholdende dyspnø. </w:t>
      </w:r>
    </w:p>
    <w:p w14:paraId="338B57CA" w14:textId="77777777" w:rsidR="00D74B46" w:rsidRPr="00D74B46" w:rsidRDefault="00D74B46" w:rsidP="006A625D">
      <w:pPr>
        <w:pStyle w:val="Default"/>
        <w:ind w:left="1418"/>
        <w:rPr>
          <w:color w:val="auto"/>
        </w:rPr>
      </w:pPr>
    </w:p>
    <w:p w14:paraId="03B3BEF2" w14:textId="77777777" w:rsidR="00D74B46" w:rsidRPr="00D74B46" w:rsidRDefault="00D74B46" w:rsidP="006A625D">
      <w:pPr>
        <w:pStyle w:val="Default"/>
        <w:ind w:left="1418"/>
        <w:rPr>
          <w:color w:val="auto"/>
        </w:rPr>
      </w:pPr>
      <w:r w:rsidRPr="00D74B46">
        <w:rPr>
          <w:color w:val="auto"/>
        </w:rPr>
        <w:t xml:space="preserve">Derudover er der indberettet tilfælde af </w:t>
      </w:r>
      <w:proofErr w:type="spellStart"/>
      <w:r w:rsidRPr="00D74B46">
        <w:rPr>
          <w:color w:val="auto"/>
        </w:rPr>
        <w:t>pulmonal</w:t>
      </w:r>
      <w:proofErr w:type="spellEnd"/>
      <w:r w:rsidRPr="00D74B46">
        <w:rPr>
          <w:color w:val="auto"/>
        </w:rPr>
        <w:t xml:space="preserve"> alveolær blødning ved anvendelse af </w:t>
      </w:r>
      <w:proofErr w:type="spellStart"/>
      <w:r w:rsidRPr="00D74B46">
        <w:rPr>
          <w:color w:val="auto"/>
        </w:rPr>
        <w:t>methotrexat</w:t>
      </w:r>
      <w:proofErr w:type="spellEnd"/>
      <w:r w:rsidRPr="00D74B46">
        <w:rPr>
          <w:color w:val="auto"/>
        </w:rPr>
        <w:t xml:space="preserve"> i reumatologiske og relaterede indikationer. Denne bivirkning kan også være forbundet med </w:t>
      </w:r>
      <w:proofErr w:type="spellStart"/>
      <w:r w:rsidRPr="00D74B46">
        <w:rPr>
          <w:color w:val="auto"/>
        </w:rPr>
        <w:t>vaskulitis</w:t>
      </w:r>
      <w:proofErr w:type="spellEnd"/>
      <w:r w:rsidRPr="00D74B46">
        <w:rPr>
          <w:color w:val="auto"/>
        </w:rPr>
        <w:t xml:space="preserve"> og andre </w:t>
      </w:r>
      <w:proofErr w:type="spellStart"/>
      <w:r w:rsidRPr="00D74B46">
        <w:rPr>
          <w:color w:val="auto"/>
        </w:rPr>
        <w:t>komorbiditeter</w:t>
      </w:r>
      <w:proofErr w:type="spellEnd"/>
      <w:r w:rsidRPr="00D74B46">
        <w:rPr>
          <w:color w:val="auto"/>
        </w:rPr>
        <w:t xml:space="preserve">. Hvis der er mistanke om </w:t>
      </w:r>
      <w:proofErr w:type="spellStart"/>
      <w:r w:rsidRPr="00D74B46">
        <w:rPr>
          <w:color w:val="auto"/>
        </w:rPr>
        <w:t>pulmonal</w:t>
      </w:r>
      <w:proofErr w:type="spellEnd"/>
      <w:r w:rsidRPr="00D74B46">
        <w:rPr>
          <w:color w:val="auto"/>
        </w:rPr>
        <w:t xml:space="preserve"> alveolær blødning, skal dette øjeblikkeligt undersøges med henblik på at stille en diagnose. </w:t>
      </w:r>
    </w:p>
    <w:p w14:paraId="21B1063C" w14:textId="77777777" w:rsidR="00D74B46" w:rsidRPr="00D74B46" w:rsidRDefault="00D74B46" w:rsidP="006A625D">
      <w:pPr>
        <w:pStyle w:val="Default"/>
        <w:ind w:left="1418"/>
        <w:rPr>
          <w:color w:val="auto"/>
        </w:rPr>
      </w:pPr>
    </w:p>
    <w:p w14:paraId="1F48E7BE" w14:textId="77777777" w:rsidR="00D74B46" w:rsidRPr="00D74B46" w:rsidRDefault="00D74B46" w:rsidP="006A625D">
      <w:pPr>
        <w:pStyle w:val="Default"/>
        <w:ind w:left="1418"/>
        <w:rPr>
          <w:color w:val="auto"/>
        </w:rPr>
      </w:pPr>
      <w:r w:rsidRPr="00D74B46">
        <w:rPr>
          <w:color w:val="auto"/>
        </w:rPr>
        <w:lastRenderedPageBreak/>
        <w:t xml:space="preserve">Ved lungesymptomer bør </w:t>
      </w:r>
      <w:proofErr w:type="spellStart"/>
      <w:r w:rsidRPr="00D74B46">
        <w:rPr>
          <w:color w:val="auto"/>
        </w:rPr>
        <w:t>methotrexat</w:t>
      </w:r>
      <w:proofErr w:type="spellEnd"/>
      <w:r w:rsidRPr="00D74B46">
        <w:rPr>
          <w:color w:val="auto"/>
        </w:rPr>
        <w:t xml:space="preserve"> seponeres og en undersøgelse (herunder røntgen af thorax) straks iværksættes for at udelukke infektion og tumorer. Ved mistanke om </w:t>
      </w:r>
      <w:proofErr w:type="spellStart"/>
      <w:r w:rsidRPr="00D74B46">
        <w:rPr>
          <w:color w:val="auto"/>
        </w:rPr>
        <w:t>methotrexat</w:t>
      </w:r>
      <w:proofErr w:type="spellEnd"/>
      <w:r w:rsidRPr="00D74B46">
        <w:rPr>
          <w:color w:val="auto"/>
        </w:rPr>
        <w:t xml:space="preserve">-induceret lungesygdom bør </w:t>
      </w:r>
      <w:proofErr w:type="spellStart"/>
      <w:r w:rsidRPr="00D74B46">
        <w:rPr>
          <w:color w:val="auto"/>
        </w:rPr>
        <w:t>kortikosteroider</w:t>
      </w:r>
      <w:proofErr w:type="spellEnd"/>
      <w:r w:rsidRPr="00D74B46">
        <w:rPr>
          <w:color w:val="auto"/>
        </w:rPr>
        <w:t xml:space="preserve"> initieres, og behandlingen med </w:t>
      </w:r>
      <w:proofErr w:type="spellStart"/>
      <w:r w:rsidRPr="00D74B46">
        <w:rPr>
          <w:color w:val="auto"/>
        </w:rPr>
        <w:t>methotrexat</w:t>
      </w:r>
      <w:proofErr w:type="spellEnd"/>
      <w:r w:rsidRPr="00D74B46">
        <w:rPr>
          <w:color w:val="auto"/>
        </w:rPr>
        <w:t xml:space="preserve"> bør ikke genoptages. </w:t>
      </w:r>
    </w:p>
    <w:p w14:paraId="4AEF237D" w14:textId="77777777" w:rsidR="00D74B46" w:rsidRPr="00D74B46" w:rsidRDefault="00D74B46" w:rsidP="006A625D">
      <w:pPr>
        <w:pStyle w:val="Default"/>
        <w:ind w:left="1418"/>
        <w:rPr>
          <w:color w:val="auto"/>
        </w:rPr>
      </w:pPr>
    </w:p>
    <w:p w14:paraId="5331467B" w14:textId="77777777" w:rsidR="00D74B46" w:rsidRPr="00D74B46" w:rsidRDefault="00D74B46" w:rsidP="006A625D">
      <w:pPr>
        <w:pStyle w:val="Default"/>
        <w:ind w:left="1418"/>
        <w:rPr>
          <w:color w:val="auto"/>
        </w:rPr>
      </w:pPr>
      <w:r w:rsidRPr="00D74B46">
        <w:rPr>
          <w:color w:val="auto"/>
        </w:rPr>
        <w:t xml:space="preserve">Lungesymptomer kræver hurtig diagnosticering og </w:t>
      </w:r>
      <w:proofErr w:type="spellStart"/>
      <w:r w:rsidRPr="00D74B46">
        <w:rPr>
          <w:color w:val="auto"/>
        </w:rPr>
        <w:t>seponering</w:t>
      </w:r>
      <w:proofErr w:type="spellEnd"/>
      <w:r w:rsidRPr="00D74B46">
        <w:rPr>
          <w:color w:val="auto"/>
        </w:rPr>
        <w:t xml:space="preserve"> af </w:t>
      </w:r>
      <w:proofErr w:type="spellStart"/>
      <w:r w:rsidRPr="00D74B46">
        <w:rPr>
          <w:color w:val="auto"/>
        </w:rPr>
        <w:t>methotrexat</w:t>
      </w:r>
      <w:proofErr w:type="spellEnd"/>
      <w:r w:rsidRPr="00D74B46">
        <w:rPr>
          <w:color w:val="auto"/>
        </w:rPr>
        <w:t xml:space="preserve">. </w:t>
      </w:r>
      <w:proofErr w:type="spellStart"/>
      <w:r w:rsidRPr="00D74B46">
        <w:rPr>
          <w:color w:val="auto"/>
        </w:rPr>
        <w:t>Methotrexat</w:t>
      </w:r>
      <w:proofErr w:type="spellEnd"/>
      <w:r w:rsidRPr="00D74B46">
        <w:rPr>
          <w:color w:val="auto"/>
        </w:rPr>
        <w:t xml:space="preserve">-inducerede lungesygdomme såsom pneumonitis kan optræde akut og på ethvert tidspunkt under behandlingen, er ikke altid fuldstændigt reversible og er iagttaget ved alle doser (herunder lave doser på 7,5 mg (3,75 ml) pr. uge). </w:t>
      </w:r>
    </w:p>
    <w:p w14:paraId="2469AEE2" w14:textId="77777777" w:rsidR="00D74B46" w:rsidRPr="00D74B46" w:rsidRDefault="00D74B46" w:rsidP="006A625D">
      <w:pPr>
        <w:pStyle w:val="Default"/>
        <w:ind w:left="1418"/>
        <w:rPr>
          <w:color w:val="auto"/>
        </w:rPr>
      </w:pPr>
    </w:p>
    <w:p w14:paraId="0566D18C" w14:textId="77777777" w:rsidR="00D74B46" w:rsidRPr="00D74B46" w:rsidRDefault="00D74B46" w:rsidP="006A625D">
      <w:pPr>
        <w:pStyle w:val="Default"/>
        <w:ind w:left="1418"/>
        <w:rPr>
          <w:color w:val="auto"/>
        </w:rPr>
      </w:pPr>
      <w:r w:rsidRPr="00D74B46">
        <w:rPr>
          <w:color w:val="auto"/>
        </w:rPr>
        <w:t xml:space="preserve">Under behandling med </w:t>
      </w:r>
      <w:proofErr w:type="spellStart"/>
      <w:r w:rsidRPr="00D74B46">
        <w:rPr>
          <w:color w:val="auto"/>
        </w:rPr>
        <w:t>methotrexat</w:t>
      </w:r>
      <w:proofErr w:type="spellEnd"/>
      <w:r w:rsidRPr="00D74B46">
        <w:rPr>
          <w:color w:val="auto"/>
        </w:rPr>
        <w:t xml:space="preserve"> kan der forekomme opportunistiske infektioner, herunder </w:t>
      </w:r>
      <w:proofErr w:type="spellStart"/>
      <w:r w:rsidRPr="00D74B46">
        <w:rPr>
          <w:i/>
          <w:iCs/>
          <w:color w:val="auto"/>
        </w:rPr>
        <w:t>Pneumocystis</w:t>
      </w:r>
      <w:proofErr w:type="spellEnd"/>
      <w:r w:rsidRPr="00D74B46">
        <w:rPr>
          <w:i/>
          <w:iCs/>
          <w:color w:val="auto"/>
        </w:rPr>
        <w:t xml:space="preserve"> </w:t>
      </w:r>
      <w:proofErr w:type="spellStart"/>
      <w:r w:rsidRPr="00D74B46">
        <w:rPr>
          <w:i/>
          <w:iCs/>
          <w:color w:val="auto"/>
        </w:rPr>
        <w:t>jiroveci</w:t>
      </w:r>
      <w:proofErr w:type="spellEnd"/>
      <w:r w:rsidRPr="00D74B46">
        <w:rPr>
          <w:color w:val="auto"/>
        </w:rPr>
        <w:t xml:space="preserve">-pneumoni, som også kan have dødeligt udfald. Hvis patienten udvikler lungesymptomer, skal muligheden for </w:t>
      </w:r>
      <w:proofErr w:type="spellStart"/>
      <w:r w:rsidRPr="00D74B46">
        <w:rPr>
          <w:i/>
          <w:iCs/>
          <w:color w:val="auto"/>
        </w:rPr>
        <w:t>Pneumocystis</w:t>
      </w:r>
      <w:proofErr w:type="spellEnd"/>
      <w:r w:rsidRPr="00D74B46">
        <w:rPr>
          <w:i/>
          <w:iCs/>
          <w:color w:val="auto"/>
        </w:rPr>
        <w:t xml:space="preserve"> </w:t>
      </w:r>
      <w:proofErr w:type="spellStart"/>
      <w:r w:rsidRPr="00D74B46">
        <w:rPr>
          <w:i/>
          <w:iCs/>
          <w:color w:val="auto"/>
        </w:rPr>
        <w:t>jiroveci</w:t>
      </w:r>
      <w:proofErr w:type="spellEnd"/>
      <w:r w:rsidRPr="00D74B46">
        <w:rPr>
          <w:color w:val="auto"/>
        </w:rPr>
        <w:t xml:space="preserve">-pneumoni overvejes. </w:t>
      </w:r>
    </w:p>
    <w:p w14:paraId="5481993C" w14:textId="77777777" w:rsidR="00D74B46" w:rsidRPr="00D74B46" w:rsidRDefault="00D74B46" w:rsidP="006A625D">
      <w:pPr>
        <w:pStyle w:val="Default"/>
        <w:ind w:left="1418"/>
        <w:rPr>
          <w:color w:val="auto"/>
        </w:rPr>
      </w:pPr>
    </w:p>
    <w:p w14:paraId="0AE0878A" w14:textId="77777777" w:rsidR="00D74B46" w:rsidRPr="00D74B46" w:rsidRDefault="00D74B46" w:rsidP="006A625D">
      <w:pPr>
        <w:pStyle w:val="Default"/>
        <w:ind w:left="1418"/>
        <w:rPr>
          <w:color w:val="auto"/>
        </w:rPr>
      </w:pPr>
      <w:r w:rsidRPr="00D74B46">
        <w:rPr>
          <w:color w:val="auto"/>
        </w:rPr>
        <w:t xml:space="preserve">Der skal udvises særlig forsigtighed ved nedsat lungefunktion. </w:t>
      </w:r>
    </w:p>
    <w:p w14:paraId="62BC6C75" w14:textId="77777777" w:rsidR="00D74B46" w:rsidRPr="00D74B46" w:rsidRDefault="00D74B46" w:rsidP="006A625D">
      <w:pPr>
        <w:pStyle w:val="Default"/>
        <w:ind w:left="1418"/>
        <w:rPr>
          <w:color w:val="auto"/>
        </w:rPr>
      </w:pPr>
    </w:p>
    <w:p w14:paraId="7199AE9A" w14:textId="77777777" w:rsidR="00D74B46" w:rsidRPr="00D74B46" w:rsidRDefault="00D74B46" w:rsidP="006A625D">
      <w:pPr>
        <w:pStyle w:val="Default"/>
        <w:ind w:left="1418"/>
        <w:rPr>
          <w:color w:val="auto"/>
        </w:rPr>
      </w:pPr>
      <w:r w:rsidRPr="00D74B46">
        <w:rPr>
          <w:color w:val="auto"/>
        </w:rPr>
        <w:t xml:space="preserve">Særlig forsigtighed er desuden påkrævet ved inaktive kroniske infektioner (f.eks. herpes </w:t>
      </w:r>
      <w:proofErr w:type="spellStart"/>
      <w:r w:rsidRPr="00D74B46">
        <w:rPr>
          <w:color w:val="auto"/>
        </w:rPr>
        <w:t>zoster</w:t>
      </w:r>
      <w:proofErr w:type="spellEnd"/>
      <w:r w:rsidRPr="00D74B46">
        <w:rPr>
          <w:color w:val="auto"/>
        </w:rPr>
        <w:t xml:space="preserve">, tuberkulose, hepatitis B eller C), da disse infektioner muligvis kan blive aktiveret. </w:t>
      </w:r>
    </w:p>
    <w:p w14:paraId="2FCC2B94" w14:textId="77777777" w:rsidR="00D74B46" w:rsidRPr="00D74B46" w:rsidRDefault="00D74B46" w:rsidP="006A625D">
      <w:pPr>
        <w:pStyle w:val="Default"/>
        <w:ind w:left="1418"/>
        <w:rPr>
          <w:i/>
          <w:iCs/>
          <w:color w:val="auto"/>
        </w:rPr>
      </w:pPr>
    </w:p>
    <w:p w14:paraId="46B09A51" w14:textId="77777777" w:rsidR="00D74B46" w:rsidRPr="00D74B46" w:rsidRDefault="00D74B46" w:rsidP="006A625D">
      <w:pPr>
        <w:pStyle w:val="Default"/>
        <w:ind w:left="1418"/>
        <w:rPr>
          <w:color w:val="auto"/>
        </w:rPr>
      </w:pPr>
      <w:r w:rsidRPr="00D74B46">
        <w:rPr>
          <w:i/>
          <w:iCs/>
          <w:color w:val="auto"/>
        </w:rPr>
        <w:t xml:space="preserve">Nyrefunktionsnedsættelse og patienter med risiko for nyrefunktionsnedsættelse </w:t>
      </w:r>
    </w:p>
    <w:p w14:paraId="001CEF32" w14:textId="77777777" w:rsidR="00D74B46" w:rsidRPr="00D74B46" w:rsidRDefault="00D74B46" w:rsidP="006A625D">
      <w:pPr>
        <w:pStyle w:val="Default"/>
        <w:ind w:left="1418"/>
        <w:rPr>
          <w:color w:val="auto"/>
        </w:rPr>
      </w:pPr>
      <w:r w:rsidRPr="00D74B46">
        <w:rPr>
          <w:color w:val="auto"/>
        </w:rPr>
        <w:t xml:space="preserve">Da </w:t>
      </w:r>
      <w:proofErr w:type="spellStart"/>
      <w:r w:rsidRPr="00D74B46">
        <w:rPr>
          <w:color w:val="auto"/>
        </w:rPr>
        <w:t>methotrexat</w:t>
      </w:r>
      <w:proofErr w:type="spellEnd"/>
      <w:r w:rsidRPr="00D74B46">
        <w:rPr>
          <w:color w:val="auto"/>
        </w:rPr>
        <w:t xml:space="preserve"> hovedsagelig udskilles via nyrerne, kan der ved nyreinsufficiens forventes højere koncentrationer, som kan medføre svære bivirkninger. </w:t>
      </w:r>
    </w:p>
    <w:p w14:paraId="7110F580" w14:textId="77777777" w:rsidR="00D74B46" w:rsidRPr="00D74B46" w:rsidRDefault="00D74B46" w:rsidP="006A625D">
      <w:pPr>
        <w:pStyle w:val="Default"/>
        <w:ind w:left="1418"/>
        <w:rPr>
          <w:color w:val="auto"/>
        </w:rPr>
      </w:pPr>
      <w:r w:rsidRPr="00D74B46">
        <w:rPr>
          <w:color w:val="auto"/>
        </w:rPr>
        <w:t xml:space="preserve">Hvis der er risiko for nyrefunktionsnedsættelse (f.eks. hos ældre), skal der monitoreres hyppigere. Dette gælder navnlig ved samtidig administration af lægemidler, som har indvirkning på udskillelsen af </w:t>
      </w:r>
      <w:proofErr w:type="spellStart"/>
      <w:r w:rsidRPr="00D74B46">
        <w:rPr>
          <w:color w:val="auto"/>
        </w:rPr>
        <w:t>methotrexat</w:t>
      </w:r>
      <w:proofErr w:type="spellEnd"/>
      <w:r w:rsidRPr="00D74B46">
        <w:rPr>
          <w:color w:val="auto"/>
        </w:rPr>
        <w:t xml:space="preserve"> eller forårsager nyreskade (f.eks. NSAID), eller som potentielt kan hæmme </w:t>
      </w:r>
      <w:proofErr w:type="spellStart"/>
      <w:r w:rsidRPr="00D74B46">
        <w:rPr>
          <w:color w:val="auto"/>
        </w:rPr>
        <w:t>hæmatopoiesen</w:t>
      </w:r>
      <w:proofErr w:type="spellEnd"/>
      <w:r w:rsidRPr="00D74B46">
        <w:rPr>
          <w:color w:val="auto"/>
        </w:rPr>
        <w:t xml:space="preserve">. </w:t>
      </w:r>
    </w:p>
    <w:p w14:paraId="32A73360" w14:textId="77777777" w:rsidR="00D74B46" w:rsidRPr="00D74B46" w:rsidRDefault="00D74B46" w:rsidP="006A625D">
      <w:pPr>
        <w:pStyle w:val="Default"/>
        <w:ind w:left="1418"/>
        <w:rPr>
          <w:color w:val="auto"/>
        </w:rPr>
      </w:pPr>
      <w:r w:rsidRPr="00D74B46">
        <w:rPr>
          <w:color w:val="auto"/>
        </w:rPr>
        <w:t xml:space="preserve">Hvis der foreligger risikofaktorer såsom nyrefunktionsforstyrrelser, herunder let nedsat nyrefunktion, frarådes samtidig anvendelse af NSAID. Dehydrering kan ligeledes forstærke toksiciteten af </w:t>
      </w:r>
      <w:proofErr w:type="spellStart"/>
      <w:r w:rsidRPr="00D74B46">
        <w:rPr>
          <w:color w:val="auto"/>
        </w:rPr>
        <w:t>methotrexat</w:t>
      </w:r>
      <w:proofErr w:type="spellEnd"/>
      <w:r w:rsidRPr="00D74B46">
        <w:rPr>
          <w:color w:val="auto"/>
        </w:rPr>
        <w:t xml:space="preserve">. </w:t>
      </w:r>
    </w:p>
    <w:p w14:paraId="536AC61C" w14:textId="77777777" w:rsidR="00D74B46" w:rsidRPr="00D74B46" w:rsidRDefault="00D74B46" w:rsidP="006A625D">
      <w:pPr>
        <w:pStyle w:val="Default"/>
        <w:ind w:left="1418"/>
        <w:rPr>
          <w:color w:val="auto"/>
        </w:rPr>
      </w:pPr>
      <w:r w:rsidRPr="00D74B46">
        <w:rPr>
          <w:color w:val="auto"/>
        </w:rPr>
        <w:t xml:space="preserve">(Se monitorering af nyrefunktionen) </w:t>
      </w:r>
    </w:p>
    <w:p w14:paraId="423F1104" w14:textId="77777777" w:rsidR="00D74B46" w:rsidRPr="00D74B46" w:rsidRDefault="00D74B46" w:rsidP="006A625D">
      <w:pPr>
        <w:pStyle w:val="Default"/>
        <w:ind w:left="851"/>
        <w:rPr>
          <w:i/>
          <w:iCs/>
          <w:color w:val="auto"/>
        </w:rPr>
      </w:pPr>
    </w:p>
    <w:p w14:paraId="087C8F10" w14:textId="77777777" w:rsidR="00D74B46" w:rsidRPr="00D74B46" w:rsidRDefault="00D74B46" w:rsidP="006A625D">
      <w:pPr>
        <w:pStyle w:val="Default"/>
        <w:ind w:left="851"/>
        <w:rPr>
          <w:color w:val="auto"/>
        </w:rPr>
      </w:pPr>
      <w:r w:rsidRPr="00D74B46">
        <w:rPr>
          <w:i/>
          <w:iCs/>
          <w:color w:val="auto"/>
        </w:rPr>
        <w:t xml:space="preserve">Immunsystem </w:t>
      </w:r>
    </w:p>
    <w:p w14:paraId="2D890CAA" w14:textId="77777777" w:rsidR="00D74B46" w:rsidRPr="00D74B46" w:rsidRDefault="00D74B46" w:rsidP="006A625D">
      <w:pPr>
        <w:pStyle w:val="Default"/>
        <w:ind w:left="851"/>
        <w:rPr>
          <w:color w:val="auto"/>
        </w:rPr>
      </w:pPr>
      <w:r w:rsidRPr="00D74B46">
        <w:rPr>
          <w:color w:val="auto"/>
        </w:rPr>
        <w:t xml:space="preserve">På grund af sin virkning på immunsystemet kan </w:t>
      </w:r>
      <w:proofErr w:type="spellStart"/>
      <w:r w:rsidRPr="00D74B46">
        <w:rPr>
          <w:color w:val="auto"/>
        </w:rPr>
        <w:t>methotrexat</w:t>
      </w:r>
      <w:proofErr w:type="spellEnd"/>
      <w:r w:rsidRPr="00D74B46">
        <w:rPr>
          <w:color w:val="auto"/>
        </w:rPr>
        <w:t xml:space="preserve"> nedsætte responsen på vaccinationer og påvirke resultaterne af immunologiske analyser. Der bør ikke vaccineres med levende vaccine under behandlingen. </w:t>
      </w:r>
    </w:p>
    <w:p w14:paraId="7DB7A3E8" w14:textId="77777777" w:rsidR="00D74B46" w:rsidRPr="00D74B46" w:rsidRDefault="00D74B46" w:rsidP="006A625D">
      <w:pPr>
        <w:pStyle w:val="Default"/>
        <w:ind w:left="851"/>
        <w:rPr>
          <w:i/>
          <w:iCs/>
          <w:color w:val="auto"/>
        </w:rPr>
      </w:pPr>
    </w:p>
    <w:p w14:paraId="0917E66F" w14:textId="77777777" w:rsidR="00D74B46" w:rsidRPr="00D74B46" w:rsidRDefault="00D74B46" w:rsidP="006A625D">
      <w:pPr>
        <w:pStyle w:val="Default"/>
        <w:ind w:left="851"/>
        <w:rPr>
          <w:color w:val="auto"/>
        </w:rPr>
      </w:pPr>
      <w:r w:rsidRPr="00D74B46">
        <w:rPr>
          <w:i/>
          <w:iCs/>
          <w:color w:val="auto"/>
        </w:rPr>
        <w:t xml:space="preserve">Malignt </w:t>
      </w:r>
      <w:proofErr w:type="spellStart"/>
      <w:r w:rsidRPr="00D74B46">
        <w:rPr>
          <w:i/>
          <w:iCs/>
          <w:color w:val="auto"/>
        </w:rPr>
        <w:t>lymfom</w:t>
      </w:r>
      <w:proofErr w:type="spellEnd"/>
      <w:r w:rsidRPr="00D74B46">
        <w:rPr>
          <w:i/>
          <w:iCs/>
          <w:color w:val="auto"/>
        </w:rPr>
        <w:t xml:space="preserve"> </w:t>
      </w:r>
    </w:p>
    <w:p w14:paraId="74EFDA35" w14:textId="77777777" w:rsidR="00D74B46" w:rsidRPr="00D74B46" w:rsidRDefault="00D74B46" w:rsidP="006A625D">
      <w:pPr>
        <w:pStyle w:val="Default"/>
        <w:ind w:left="851"/>
        <w:rPr>
          <w:color w:val="auto"/>
        </w:rPr>
      </w:pPr>
      <w:r w:rsidRPr="00D74B46">
        <w:rPr>
          <w:color w:val="auto"/>
        </w:rPr>
        <w:t xml:space="preserve">Malignt </w:t>
      </w:r>
      <w:proofErr w:type="spellStart"/>
      <w:r w:rsidRPr="00D74B46">
        <w:rPr>
          <w:color w:val="auto"/>
        </w:rPr>
        <w:t>lymfom</w:t>
      </w:r>
      <w:proofErr w:type="spellEnd"/>
      <w:r w:rsidRPr="00D74B46">
        <w:rPr>
          <w:color w:val="auto"/>
        </w:rPr>
        <w:t xml:space="preserve"> kan optræde hos patienter, der får </w:t>
      </w:r>
      <w:proofErr w:type="spellStart"/>
      <w:r w:rsidRPr="00D74B46">
        <w:rPr>
          <w:color w:val="auto"/>
        </w:rPr>
        <w:t>methotrexat</w:t>
      </w:r>
      <w:proofErr w:type="spellEnd"/>
      <w:r w:rsidRPr="00D74B46">
        <w:rPr>
          <w:color w:val="auto"/>
        </w:rPr>
        <w:t xml:space="preserve"> i lav dosis; i sådanne tilfælde skal behandlingen seponeres. Hvis </w:t>
      </w:r>
      <w:proofErr w:type="spellStart"/>
      <w:r w:rsidRPr="00D74B46">
        <w:rPr>
          <w:color w:val="auto"/>
        </w:rPr>
        <w:t>lymfomet</w:t>
      </w:r>
      <w:proofErr w:type="spellEnd"/>
      <w:r w:rsidRPr="00D74B46">
        <w:rPr>
          <w:color w:val="auto"/>
        </w:rPr>
        <w:t xml:space="preserve"> ikke svinder spontant, skal </w:t>
      </w:r>
      <w:proofErr w:type="spellStart"/>
      <w:r w:rsidRPr="00D74B46">
        <w:rPr>
          <w:color w:val="auto"/>
        </w:rPr>
        <w:t>cytotoksisk</w:t>
      </w:r>
      <w:proofErr w:type="spellEnd"/>
      <w:r w:rsidRPr="00D74B46">
        <w:rPr>
          <w:color w:val="auto"/>
        </w:rPr>
        <w:t xml:space="preserve"> behandling initieres. </w:t>
      </w:r>
    </w:p>
    <w:p w14:paraId="309311B3" w14:textId="77777777" w:rsidR="00D74B46" w:rsidRPr="00D74B46" w:rsidRDefault="00D74B46" w:rsidP="006A625D">
      <w:pPr>
        <w:pStyle w:val="Default"/>
        <w:ind w:left="851"/>
        <w:rPr>
          <w:i/>
          <w:iCs/>
          <w:color w:val="auto"/>
        </w:rPr>
      </w:pPr>
    </w:p>
    <w:p w14:paraId="151ACFFB" w14:textId="77777777" w:rsidR="00D74B46" w:rsidRPr="00D74B46" w:rsidRDefault="00D74B46" w:rsidP="006A625D">
      <w:pPr>
        <w:pStyle w:val="Default"/>
        <w:ind w:left="851"/>
        <w:rPr>
          <w:color w:val="auto"/>
        </w:rPr>
      </w:pPr>
      <w:proofErr w:type="spellStart"/>
      <w:r w:rsidRPr="00D74B46">
        <w:rPr>
          <w:i/>
          <w:iCs/>
          <w:color w:val="auto"/>
        </w:rPr>
        <w:t>Pleuraeffusion</w:t>
      </w:r>
      <w:proofErr w:type="spellEnd"/>
      <w:r w:rsidRPr="00D74B46">
        <w:rPr>
          <w:i/>
          <w:iCs/>
          <w:color w:val="auto"/>
        </w:rPr>
        <w:t xml:space="preserve"> eller </w:t>
      </w:r>
      <w:proofErr w:type="spellStart"/>
      <w:r w:rsidRPr="00D74B46">
        <w:rPr>
          <w:i/>
          <w:iCs/>
          <w:color w:val="auto"/>
        </w:rPr>
        <w:t>ascites</w:t>
      </w:r>
      <w:proofErr w:type="spellEnd"/>
      <w:r w:rsidRPr="00D74B46">
        <w:rPr>
          <w:i/>
          <w:iCs/>
          <w:color w:val="auto"/>
        </w:rPr>
        <w:t xml:space="preserve"> </w:t>
      </w:r>
    </w:p>
    <w:p w14:paraId="40A97C64" w14:textId="77777777" w:rsidR="00D74B46" w:rsidRPr="00D74B46" w:rsidRDefault="00D74B46" w:rsidP="006A625D">
      <w:pPr>
        <w:pStyle w:val="Default"/>
        <w:ind w:left="851"/>
        <w:rPr>
          <w:color w:val="auto"/>
        </w:rPr>
      </w:pPr>
      <w:proofErr w:type="spellStart"/>
      <w:r w:rsidRPr="00D74B46">
        <w:rPr>
          <w:color w:val="auto"/>
        </w:rPr>
        <w:t>Pleuraeffusion</w:t>
      </w:r>
      <w:proofErr w:type="spellEnd"/>
      <w:r w:rsidRPr="00D74B46">
        <w:rPr>
          <w:color w:val="auto"/>
        </w:rPr>
        <w:t xml:space="preserve"> og </w:t>
      </w:r>
      <w:proofErr w:type="spellStart"/>
      <w:r w:rsidRPr="00D74B46">
        <w:rPr>
          <w:color w:val="auto"/>
        </w:rPr>
        <w:t>ascites</w:t>
      </w:r>
      <w:proofErr w:type="spellEnd"/>
      <w:r w:rsidRPr="00D74B46">
        <w:rPr>
          <w:color w:val="auto"/>
        </w:rPr>
        <w:t xml:space="preserve"> skal dræneres før initiering af behandling med </w:t>
      </w:r>
      <w:proofErr w:type="spellStart"/>
      <w:r w:rsidRPr="00D74B46">
        <w:rPr>
          <w:color w:val="auto"/>
        </w:rPr>
        <w:t>methotrexat</w:t>
      </w:r>
      <w:proofErr w:type="spellEnd"/>
      <w:r w:rsidRPr="00D74B46">
        <w:rPr>
          <w:color w:val="auto"/>
        </w:rPr>
        <w:t xml:space="preserve"> (se pkt. 4.2). </w:t>
      </w:r>
    </w:p>
    <w:p w14:paraId="4115E89C" w14:textId="77777777" w:rsidR="00D74B46" w:rsidRPr="00D74B46" w:rsidRDefault="00D74B46" w:rsidP="006A625D">
      <w:pPr>
        <w:pStyle w:val="Default"/>
        <w:ind w:left="851"/>
        <w:rPr>
          <w:i/>
          <w:iCs/>
          <w:color w:val="auto"/>
        </w:rPr>
      </w:pPr>
    </w:p>
    <w:p w14:paraId="0089922D" w14:textId="77777777" w:rsidR="00D74B46" w:rsidRPr="00D74B46" w:rsidRDefault="00D74B46" w:rsidP="006A625D">
      <w:pPr>
        <w:pStyle w:val="Default"/>
        <w:ind w:left="851"/>
        <w:rPr>
          <w:color w:val="auto"/>
        </w:rPr>
      </w:pPr>
      <w:r w:rsidRPr="00D74B46">
        <w:rPr>
          <w:i/>
          <w:iCs/>
          <w:color w:val="auto"/>
        </w:rPr>
        <w:t xml:space="preserve">Tilstande, der medfører dehydrering, såsom opkastning, diarré eller </w:t>
      </w:r>
      <w:proofErr w:type="spellStart"/>
      <w:r w:rsidRPr="00D74B46">
        <w:rPr>
          <w:i/>
          <w:iCs/>
          <w:color w:val="auto"/>
        </w:rPr>
        <w:t>stomatitis</w:t>
      </w:r>
      <w:proofErr w:type="spellEnd"/>
      <w:r w:rsidRPr="00D74B46">
        <w:rPr>
          <w:i/>
          <w:iCs/>
          <w:color w:val="auto"/>
        </w:rPr>
        <w:t xml:space="preserve"> </w:t>
      </w:r>
    </w:p>
    <w:p w14:paraId="38B9723C" w14:textId="77777777" w:rsidR="00D74B46" w:rsidRPr="00D74B46" w:rsidRDefault="00D74B46" w:rsidP="006A625D">
      <w:pPr>
        <w:pStyle w:val="Default"/>
        <w:ind w:left="851"/>
        <w:rPr>
          <w:color w:val="auto"/>
        </w:rPr>
      </w:pPr>
      <w:r w:rsidRPr="00D74B46">
        <w:rPr>
          <w:color w:val="auto"/>
        </w:rPr>
        <w:t xml:space="preserve">Tilstande, der medfører dehydrering, såsom opkastning, diarré eller </w:t>
      </w:r>
      <w:proofErr w:type="spellStart"/>
      <w:r w:rsidRPr="00D74B46">
        <w:rPr>
          <w:color w:val="auto"/>
        </w:rPr>
        <w:t>stomatitis</w:t>
      </w:r>
      <w:proofErr w:type="spellEnd"/>
      <w:r w:rsidRPr="00D74B46">
        <w:rPr>
          <w:color w:val="auto"/>
        </w:rPr>
        <w:t xml:space="preserve">, kan øge toksiciteten pga. øget koncentration af det aktive stof. I så fald skal behandlingen med </w:t>
      </w:r>
      <w:proofErr w:type="spellStart"/>
      <w:r w:rsidRPr="00D74B46">
        <w:rPr>
          <w:color w:val="auto"/>
        </w:rPr>
        <w:t>methotrexat</w:t>
      </w:r>
      <w:proofErr w:type="spellEnd"/>
      <w:r w:rsidRPr="00D74B46">
        <w:rPr>
          <w:color w:val="auto"/>
        </w:rPr>
        <w:t xml:space="preserve"> afbrydes, indtil symptomerne er forsvundet. </w:t>
      </w:r>
    </w:p>
    <w:p w14:paraId="3D602FE1" w14:textId="77777777" w:rsidR="00D74B46" w:rsidRPr="00D74B46" w:rsidRDefault="00D74B46" w:rsidP="006A625D">
      <w:pPr>
        <w:pStyle w:val="Default"/>
        <w:ind w:left="851"/>
        <w:rPr>
          <w:color w:val="auto"/>
        </w:rPr>
      </w:pPr>
    </w:p>
    <w:p w14:paraId="2E19A601" w14:textId="77777777" w:rsidR="00D74B46" w:rsidRPr="00D74B46" w:rsidRDefault="00D74B46" w:rsidP="006A625D">
      <w:pPr>
        <w:pStyle w:val="Default"/>
        <w:ind w:left="851"/>
        <w:rPr>
          <w:color w:val="auto"/>
        </w:rPr>
      </w:pPr>
      <w:r w:rsidRPr="00D74B46">
        <w:rPr>
          <w:color w:val="auto"/>
        </w:rPr>
        <w:t xml:space="preserve">Det er vigtigt at klarlægge en eventuel stigning i koncentrationen af det aktive stof inden for 48 timer, da </w:t>
      </w:r>
      <w:proofErr w:type="spellStart"/>
      <w:r w:rsidRPr="00D74B46">
        <w:rPr>
          <w:color w:val="auto"/>
        </w:rPr>
        <w:t>methotrexat</w:t>
      </w:r>
      <w:proofErr w:type="spellEnd"/>
      <w:r w:rsidRPr="00D74B46">
        <w:rPr>
          <w:color w:val="auto"/>
        </w:rPr>
        <w:t xml:space="preserve"> ellers kan forårsage irreversibel toksicitet. </w:t>
      </w:r>
    </w:p>
    <w:p w14:paraId="290230FB" w14:textId="77777777" w:rsidR="00D74B46" w:rsidRPr="00D74B46" w:rsidRDefault="00D74B46" w:rsidP="006A625D">
      <w:pPr>
        <w:pStyle w:val="Default"/>
        <w:ind w:left="851"/>
        <w:rPr>
          <w:color w:val="auto"/>
        </w:rPr>
      </w:pPr>
    </w:p>
    <w:p w14:paraId="541DE500" w14:textId="77777777" w:rsidR="00D74B46" w:rsidRPr="00D74B46" w:rsidRDefault="00D74B46" w:rsidP="006A625D">
      <w:pPr>
        <w:pStyle w:val="Default"/>
        <w:ind w:left="851"/>
        <w:rPr>
          <w:color w:val="auto"/>
        </w:rPr>
      </w:pPr>
      <w:r w:rsidRPr="00D74B46">
        <w:rPr>
          <w:color w:val="auto"/>
        </w:rPr>
        <w:t xml:space="preserve">Diarré og </w:t>
      </w:r>
      <w:proofErr w:type="spellStart"/>
      <w:r w:rsidRPr="00D74B46">
        <w:rPr>
          <w:color w:val="auto"/>
        </w:rPr>
        <w:t>ulcerativ</w:t>
      </w:r>
      <w:proofErr w:type="spellEnd"/>
      <w:r w:rsidRPr="00D74B46">
        <w:rPr>
          <w:color w:val="auto"/>
        </w:rPr>
        <w:t xml:space="preserve"> </w:t>
      </w:r>
      <w:proofErr w:type="spellStart"/>
      <w:r w:rsidRPr="00D74B46">
        <w:rPr>
          <w:color w:val="auto"/>
        </w:rPr>
        <w:t>stomatitis</w:t>
      </w:r>
      <w:proofErr w:type="spellEnd"/>
      <w:r w:rsidRPr="00D74B46">
        <w:rPr>
          <w:color w:val="auto"/>
        </w:rPr>
        <w:t xml:space="preserve"> kan være tegn på toksiske virkninger og nødvendiggøre </w:t>
      </w:r>
      <w:proofErr w:type="spellStart"/>
      <w:r w:rsidRPr="00D74B46">
        <w:rPr>
          <w:color w:val="auto"/>
        </w:rPr>
        <w:t>behandlingsseponering</w:t>
      </w:r>
      <w:proofErr w:type="spellEnd"/>
      <w:r w:rsidRPr="00D74B46">
        <w:rPr>
          <w:color w:val="auto"/>
        </w:rPr>
        <w:t xml:space="preserve">, da der ellers kan opstå </w:t>
      </w:r>
      <w:proofErr w:type="spellStart"/>
      <w:r w:rsidRPr="00D74B46">
        <w:rPr>
          <w:color w:val="auto"/>
        </w:rPr>
        <w:t>hæmoragisk</w:t>
      </w:r>
      <w:proofErr w:type="spellEnd"/>
      <w:r w:rsidRPr="00D74B46">
        <w:rPr>
          <w:color w:val="auto"/>
        </w:rPr>
        <w:t xml:space="preserve"> </w:t>
      </w:r>
      <w:proofErr w:type="spellStart"/>
      <w:r w:rsidRPr="00D74B46">
        <w:rPr>
          <w:color w:val="auto"/>
        </w:rPr>
        <w:t>enteritis</w:t>
      </w:r>
      <w:proofErr w:type="spellEnd"/>
      <w:r w:rsidRPr="00D74B46">
        <w:rPr>
          <w:color w:val="auto"/>
        </w:rPr>
        <w:t xml:space="preserve"> og død som følge af </w:t>
      </w:r>
      <w:proofErr w:type="spellStart"/>
      <w:r w:rsidRPr="00D74B46">
        <w:rPr>
          <w:color w:val="auto"/>
        </w:rPr>
        <w:t>intestinal</w:t>
      </w:r>
      <w:proofErr w:type="spellEnd"/>
      <w:r w:rsidRPr="00D74B46">
        <w:rPr>
          <w:color w:val="auto"/>
        </w:rPr>
        <w:t xml:space="preserve"> perforation. Hvis der optræder </w:t>
      </w:r>
      <w:proofErr w:type="spellStart"/>
      <w:r w:rsidRPr="00D74B46">
        <w:rPr>
          <w:color w:val="auto"/>
        </w:rPr>
        <w:t>hæmatemese</w:t>
      </w:r>
      <w:proofErr w:type="spellEnd"/>
      <w:r w:rsidRPr="00D74B46">
        <w:rPr>
          <w:color w:val="auto"/>
        </w:rPr>
        <w:t xml:space="preserve">, </w:t>
      </w:r>
      <w:proofErr w:type="spellStart"/>
      <w:r w:rsidRPr="00D74B46">
        <w:rPr>
          <w:color w:val="auto"/>
        </w:rPr>
        <w:t>melæna</w:t>
      </w:r>
      <w:proofErr w:type="spellEnd"/>
      <w:r w:rsidRPr="00D74B46">
        <w:rPr>
          <w:color w:val="auto"/>
        </w:rPr>
        <w:t xml:space="preserve"> eller blod i afføringen skal behandlingen seponeres. </w:t>
      </w:r>
    </w:p>
    <w:p w14:paraId="19E70659" w14:textId="77777777" w:rsidR="00D74B46" w:rsidRPr="00D74B46" w:rsidRDefault="00D74B46" w:rsidP="006A625D">
      <w:pPr>
        <w:pStyle w:val="Default"/>
        <w:ind w:left="851"/>
        <w:rPr>
          <w:color w:val="auto"/>
        </w:rPr>
      </w:pPr>
    </w:p>
    <w:p w14:paraId="4EEB3389" w14:textId="77777777" w:rsidR="00D74B46" w:rsidRPr="00D74B46" w:rsidRDefault="00D74B46" w:rsidP="006A625D">
      <w:pPr>
        <w:pStyle w:val="Default"/>
        <w:ind w:left="851"/>
        <w:rPr>
          <w:color w:val="auto"/>
        </w:rPr>
      </w:pPr>
      <w:r w:rsidRPr="00D74B46">
        <w:rPr>
          <w:i/>
          <w:iCs/>
          <w:color w:val="auto"/>
        </w:rPr>
        <w:t xml:space="preserve">Tilskud af </w:t>
      </w:r>
      <w:proofErr w:type="spellStart"/>
      <w:r w:rsidRPr="00D74B46">
        <w:rPr>
          <w:i/>
          <w:iCs/>
          <w:color w:val="auto"/>
        </w:rPr>
        <w:t>folsyre</w:t>
      </w:r>
      <w:proofErr w:type="spellEnd"/>
      <w:r w:rsidRPr="00D74B46">
        <w:rPr>
          <w:i/>
          <w:iCs/>
          <w:color w:val="auto"/>
        </w:rPr>
        <w:t xml:space="preserve"> </w:t>
      </w:r>
    </w:p>
    <w:p w14:paraId="3024F93E" w14:textId="77777777" w:rsidR="00D74B46" w:rsidRPr="00D74B46" w:rsidRDefault="00D74B46" w:rsidP="006A625D">
      <w:pPr>
        <w:pStyle w:val="Default"/>
        <w:ind w:left="851"/>
        <w:rPr>
          <w:color w:val="auto"/>
        </w:rPr>
      </w:pPr>
      <w:r w:rsidRPr="00D74B46">
        <w:rPr>
          <w:color w:val="auto"/>
        </w:rPr>
        <w:t xml:space="preserve">Ved akut toksicitet af </w:t>
      </w:r>
      <w:proofErr w:type="spellStart"/>
      <w:r w:rsidRPr="00D74B46">
        <w:rPr>
          <w:color w:val="auto"/>
        </w:rPr>
        <w:t>methotrexat</w:t>
      </w:r>
      <w:proofErr w:type="spellEnd"/>
      <w:r w:rsidRPr="00D74B46">
        <w:rPr>
          <w:color w:val="auto"/>
        </w:rPr>
        <w:t xml:space="preserve"> kan behandling med </w:t>
      </w:r>
      <w:proofErr w:type="spellStart"/>
      <w:r w:rsidRPr="00D74B46">
        <w:rPr>
          <w:color w:val="auto"/>
        </w:rPr>
        <w:t>folinsyre</w:t>
      </w:r>
      <w:proofErr w:type="spellEnd"/>
      <w:r w:rsidRPr="00D74B46">
        <w:rPr>
          <w:color w:val="auto"/>
        </w:rPr>
        <w:t xml:space="preserve"> være nødvendig. Hos patienter med </w:t>
      </w:r>
      <w:proofErr w:type="spellStart"/>
      <w:r w:rsidRPr="00D74B46">
        <w:rPr>
          <w:color w:val="auto"/>
        </w:rPr>
        <w:t>reumatoid</w:t>
      </w:r>
      <w:proofErr w:type="spellEnd"/>
      <w:r w:rsidRPr="00D74B46">
        <w:rPr>
          <w:color w:val="auto"/>
        </w:rPr>
        <w:t xml:space="preserve"> artritis eller psoriasis kan tilskud af </w:t>
      </w:r>
      <w:proofErr w:type="spellStart"/>
      <w:r w:rsidRPr="00D74B46">
        <w:rPr>
          <w:color w:val="auto"/>
        </w:rPr>
        <w:t>folsyre</w:t>
      </w:r>
      <w:proofErr w:type="spellEnd"/>
      <w:r w:rsidRPr="00D74B46">
        <w:rPr>
          <w:color w:val="auto"/>
        </w:rPr>
        <w:t xml:space="preserve"> eller </w:t>
      </w:r>
      <w:proofErr w:type="spellStart"/>
      <w:r w:rsidRPr="00D74B46">
        <w:rPr>
          <w:color w:val="auto"/>
        </w:rPr>
        <w:t>folinsyre</w:t>
      </w:r>
      <w:proofErr w:type="spellEnd"/>
      <w:r w:rsidRPr="00D74B46">
        <w:rPr>
          <w:color w:val="auto"/>
        </w:rPr>
        <w:t xml:space="preserve"> nedsætte </w:t>
      </w:r>
      <w:proofErr w:type="spellStart"/>
      <w:r w:rsidRPr="00D74B46">
        <w:rPr>
          <w:color w:val="auto"/>
        </w:rPr>
        <w:t>methotrexats</w:t>
      </w:r>
      <w:proofErr w:type="spellEnd"/>
      <w:r w:rsidRPr="00D74B46">
        <w:rPr>
          <w:color w:val="auto"/>
        </w:rPr>
        <w:t xml:space="preserve"> toksicitet såsom </w:t>
      </w:r>
      <w:proofErr w:type="spellStart"/>
      <w:r w:rsidRPr="00D74B46">
        <w:rPr>
          <w:color w:val="auto"/>
        </w:rPr>
        <w:t>gastrointestinale</w:t>
      </w:r>
      <w:proofErr w:type="spellEnd"/>
      <w:r w:rsidRPr="00D74B46">
        <w:rPr>
          <w:color w:val="auto"/>
        </w:rPr>
        <w:t xml:space="preserve"> symptomer, </w:t>
      </w:r>
      <w:proofErr w:type="spellStart"/>
      <w:r w:rsidRPr="00D74B46">
        <w:rPr>
          <w:color w:val="auto"/>
        </w:rPr>
        <w:t>stomatitis</w:t>
      </w:r>
      <w:proofErr w:type="spellEnd"/>
      <w:r w:rsidRPr="00D74B46">
        <w:rPr>
          <w:color w:val="auto"/>
        </w:rPr>
        <w:t xml:space="preserve">, </w:t>
      </w:r>
      <w:proofErr w:type="spellStart"/>
      <w:r w:rsidRPr="00D74B46">
        <w:rPr>
          <w:color w:val="auto"/>
        </w:rPr>
        <w:t>alopeci</w:t>
      </w:r>
      <w:proofErr w:type="spellEnd"/>
      <w:r w:rsidRPr="00D74B46">
        <w:rPr>
          <w:color w:val="auto"/>
        </w:rPr>
        <w:t xml:space="preserve"> og forhøjede leverenzymer. </w:t>
      </w:r>
    </w:p>
    <w:p w14:paraId="157A9DA3" w14:textId="77777777" w:rsidR="00D74B46" w:rsidRPr="00D74B46" w:rsidRDefault="00D74B46" w:rsidP="006A625D">
      <w:pPr>
        <w:pStyle w:val="Default"/>
        <w:ind w:left="851"/>
        <w:rPr>
          <w:color w:val="auto"/>
        </w:rPr>
      </w:pPr>
      <w:r w:rsidRPr="00D74B46">
        <w:rPr>
          <w:color w:val="auto"/>
        </w:rPr>
        <w:t xml:space="preserve">Det anbefales at kontrollere patientens vitamin B12-niveau før initiering af tilskud af </w:t>
      </w:r>
      <w:proofErr w:type="spellStart"/>
      <w:r w:rsidRPr="00D74B46">
        <w:rPr>
          <w:color w:val="auto"/>
        </w:rPr>
        <w:t>folsyre</w:t>
      </w:r>
      <w:proofErr w:type="spellEnd"/>
      <w:r w:rsidRPr="00D74B46">
        <w:rPr>
          <w:color w:val="auto"/>
        </w:rPr>
        <w:t xml:space="preserve">, navnlig hos patienter over 50 år, da indtagelse af </w:t>
      </w:r>
      <w:proofErr w:type="spellStart"/>
      <w:r w:rsidRPr="00D74B46">
        <w:rPr>
          <w:color w:val="auto"/>
        </w:rPr>
        <w:t>folsyre</w:t>
      </w:r>
      <w:proofErr w:type="spellEnd"/>
      <w:r w:rsidRPr="00D74B46">
        <w:rPr>
          <w:color w:val="auto"/>
        </w:rPr>
        <w:t xml:space="preserve"> kan maskere vitamin B12-mangel. </w:t>
      </w:r>
    </w:p>
    <w:p w14:paraId="1BFE2F17" w14:textId="77777777" w:rsidR="00D74B46" w:rsidRPr="00D74B46" w:rsidRDefault="00D74B46" w:rsidP="006A625D">
      <w:pPr>
        <w:pStyle w:val="Default"/>
        <w:ind w:left="851"/>
        <w:rPr>
          <w:i/>
          <w:iCs/>
          <w:color w:val="auto"/>
        </w:rPr>
      </w:pPr>
    </w:p>
    <w:p w14:paraId="016133AA" w14:textId="77777777" w:rsidR="00D74B46" w:rsidRPr="00D74B46" w:rsidRDefault="00D74B46" w:rsidP="006A625D">
      <w:pPr>
        <w:pStyle w:val="Default"/>
        <w:ind w:left="851"/>
        <w:rPr>
          <w:color w:val="auto"/>
        </w:rPr>
      </w:pPr>
      <w:r w:rsidRPr="00D74B46">
        <w:rPr>
          <w:i/>
          <w:iCs/>
          <w:color w:val="auto"/>
        </w:rPr>
        <w:t xml:space="preserve">Vitaminprodukter </w:t>
      </w:r>
    </w:p>
    <w:p w14:paraId="0907BDFA" w14:textId="159C6A11" w:rsidR="00D74B46" w:rsidRDefault="00D74B46" w:rsidP="006A625D">
      <w:pPr>
        <w:pStyle w:val="Default"/>
        <w:ind w:left="851"/>
        <w:rPr>
          <w:color w:val="auto"/>
        </w:rPr>
      </w:pPr>
      <w:r w:rsidRPr="00D74B46">
        <w:rPr>
          <w:color w:val="auto"/>
        </w:rPr>
        <w:t xml:space="preserve">Vitaminpræparater og andre produkter indeholdende </w:t>
      </w:r>
      <w:proofErr w:type="spellStart"/>
      <w:r w:rsidRPr="00D74B46">
        <w:rPr>
          <w:color w:val="auto"/>
        </w:rPr>
        <w:t>folsyre</w:t>
      </w:r>
      <w:proofErr w:type="spellEnd"/>
      <w:r w:rsidRPr="00D74B46">
        <w:rPr>
          <w:color w:val="auto"/>
        </w:rPr>
        <w:t xml:space="preserve">, </w:t>
      </w:r>
      <w:proofErr w:type="spellStart"/>
      <w:r w:rsidRPr="00D74B46">
        <w:rPr>
          <w:color w:val="auto"/>
        </w:rPr>
        <w:t>folinsyre</w:t>
      </w:r>
      <w:proofErr w:type="spellEnd"/>
      <w:r w:rsidRPr="00D74B46">
        <w:rPr>
          <w:color w:val="auto"/>
        </w:rPr>
        <w:t xml:space="preserve"> eller derivater heraf kan nedsætte virkningen af </w:t>
      </w:r>
      <w:proofErr w:type="spellStart"/>
      <w:r w:rsidRPr="00D74B46">
        <w:rPr>
          <w:color w:val="auto"/>
        </w:rPr>
        <w:t>methotrexat</w:t>
      </w:r>
      <w:proofErr w:type="spellEnd"/>
      <w:r w:rsidRPr="00D74B46">
        <w:rPr>
          <w:color w:val="auto"/>
        </w:rPr>
        <w:t xml:space="preserve"> (se pkt. 4.2 og 4.5). </w:t>
      </w:r>
    </w:p>
    <w:p w14:paraId="2C9DC8D9" w14:textId="3C2EE8ED" w:rsidR="00B82E3E" w:rsidRDefault="00B82E3E" w:rsidP="006A625D">
      <w:pPr>
        <w:pStyle w:val="Default"/>
        <w:ind w:left="851"/>
        <w:rPr>
          <w:color w:val="auto"/>
        </w:rPr>
      </w:pPr>
    </w:p>
    <w:p w14:paraId="4EC143F2" w14:textId="77777777" w:rsidR="00B82E3E" w:rsidRDefault="00B82E3E" w:rsidP="00B82E3E">
      <w:pPr>
        <w:widowControl w:val="0"/>
        <w:autoSpaceDE w:val="0"/>
        <w:autoSpaceDN w:val="0"/>
        <w:adjustRightInd w:val="0"/>
        <w:ind w:left="851"/>
      </w:pPr>
      <w:r>
        <w:t xml:space="preserve">Fotosensitivitet </w:t>
      </w:r>
    </w:p>
    <w:p w14:paraId="6EAA997F" w14:textId="67587341" w:rsidR="00B82E3E" w:rsidRPr="00D74B46" w:rsidRDefault="00B82E3E" w:rsidP="00B82E3E">
      <w:pPr>
        <w:pStyle w:val="Default"/>
        <w:ind w:left="851"/>
        <w:rPr>
          <w:color w:val="auto"/>
        </w:rPr>
      </w:pPr>
      <w:r>
        <w:t xml:space="preserve">Der er observeret fotosensitivitet manifesteret ved en overdreven solforbrændingsreaktion hos nogle personer, der tager </w:t>
      </w:r>
      <w:proofErr w:type="spellStart"/>
      <w:r>
        <w:t>methotrexat</w:t>
      </w:r>
      <w:proofErr w:type="spellEnd"/>
      <w:r>
        <w:t xml:space="preserve"> (se pkt. 4.8). Eksponering for intenst sollys eller UV-stråler bør undgås, medmindre det er medicinsk indiceret. Patienterne bør anvende tilstrækkelig solbeskyttelse for at beskytte sig mod intenst sollys.</w:t>
      </w:r>
    </w:p>
    <w:p w14:paraId="41772D45" w14:textId="55C0B0F7" w:rsidR="00D74B46" w:rsidRPr="00D74B46" w:rsidRDefault="00D74B46" w:rsidP="00B82E3E">
      <w:pPr>
        <w:pStyle w:val="Default"/>
        <w:rPr>
          <w:color w:val="auto"/>
        </w:rPr>
      </w:pPr>
    </w:p>
    <w:p w14:paraId="14109748" w14:textId="77777777" w:rsidR="00D74B46" w:rsidRPr="00D74B46" w:rsidRDefault="00D74B46" w:rsidP="006A625D">
      <w:pPr>
        <w:pStyle w:val="Default"/>
        <w:ind w:left="851"/>
        <w:rPr>
          <w:color w:val="auto"/>
        </w:rPr>
      </w:pPr>
      <w:r w:rsidRPr="00D74B46">
        <w:rPr>
          <w:color w:val="auto"/>
        </w:rPr>
        <w:t xml:space="preserve">Stråleinduceret </w:t>
      </w:r>
      <w:proofErr w:type="spellStart"/>
      <w:r w:rsidRPr="00D74B46">
        <w:rPr>
          <w:color w:val="auto"/>
        </w:rPr>
        <w:t>dermatitis</w:t>
      </w:r>
      <w:proofErr w:type="spellEnd"/>
      <w:r w:rsidRPr="00D74B46">
        <w:rPr>
          <w:color w:val="auto"/>
        </w:rPr>
        <w:t xml:space="preserve"> og solforbrænding kan komme igen under behandling med </w:t>
      </w:r>
      <w:proofErr w:type="spellStart"/>
      <w:r w:rsidRPr="00D74B46">
        <w:rPr>
          <w:color w:val="auto"/>
        </w:rPr>
        <w:t>methotrexat</w:t>
      </w:r>
      <w:proofErr w:type="spellEnd"/>
      <w:r w:rsidRPr="00D74B46">
        <w:rPr>
          <w:color w:val="auto"/>
        </w:rPr>
        <w:t xml:space="preserve"> (</w:t>
      </w:r>
      <w:proofErr w:type="spellStart"/>
      <w:r w:rsidRPr="00D74B46">
        <w:rPr>
          <w:i/>
          <w:iCs/>
          <w:color w:val="auto"/>
        </w:rPr>
        <w:t>recall</w:t>
      </w:r>
      <w:proofErr w:type="spellEnd"/>
      <w:r w:rsidRPr="00D74B46">
        <w:rPr>
          <w:i/>
          <w:iCs/>
          <w:color w:val="auto"/>
        </w:rPr>
        <w:t xml:space="preserve"> </w:t>
      </w:r>
      <w:proofErr w:type="spellStart"/>
      <w:r w:rsidRPr="00D74B46">
        <w:rPr>
          <w:i/>
          <w:iCs/>
          <w:color w:val="auto"/>
        </w:rPr>
        <w:t>reaction</w:t>
      </w:r>
      <w:proofErr w:type="spellEnd"/>
      <w:r w:rsidRPr="00D74B46">
        <w:rPr>
          <w:color w:val="auto"/>
        </w:rPr>
        <w:t xml:space="preserve">). Psoriasislæsioner kan forværres under UV-bestråling og samtidig behandling med </w:t>
      </w:r>
      <w:proofErr w:type="spellStart"/>
      <w:r w:rsidRPr="00D74B46">
        <w:rPr>
          <w:color w:val="auto"/>
        </w:rPr>
        <w:t>methotrexat</w:t>
      </w:r>
      <w:proofErr w:type="spellEnd"/>
      <w:r w:rsidRPr="00D74B46">
        <w:rPr>
          <w:color w:val="auto"/>
        </w:rPr>
        <w:t xml:space="preserve">. </w:t>
      </w:r>
    </w:p>
    <w:p w14:paraId="5B8873D4" w14:textId="77777777" w:rsidR="00D74B46" w:rsidRPr="00D74B46" w:rsidRDefault="00D74B46" w:rsidP="006A625D">
      <w:pPr>
        <w:pStyle w:val="Default"/>
        <w:ind w:left="851"/>
        <w:rPr>
          <w:i/>
          <w:iCs/>
          <w:color w:val="auto"/>
        </w:rPr>
      </w:pPr>
    </w:p>
    <w:p w14:paraId="1CD08195" w14:textId="77777777" w:rsidR="00D74B46" w:rsidRPr="00D74B46" w:rsidRDefault="00D74B46" w:rsidP="006A625D">
      <w:pPr>
        <w:pStyle w:val="Default"/>
        <w:ind w:left="851"/>
        <w:rPr>
          <w:color w:val="auto"/>
        </w:rPr>
      </w:pPr>
      <w:r w:rsidRPr="00D74B46">
        <w:rPr>
          <w:i/>
          <w:iCs/>
          <w:color w:val="auto"/>
        </w:rPr>
        <w:t xml:space="preserve">Hudtoksicitet </w:t>
      </w:r>
    </w:p>
    <w:p w14:paraId="0607E462" w14:textId="77777777" w:rsidR="00D74B46" w:rsidRPr="00D74B46" w:rsidRDefault="00D74B46" w:rsidP="006A625D">
      <w:pPr>
        <w:pStyle w:val="Default"/>
        <w:ind w:left="851"/>
        <w:rPr>
          <w:color w:val="auto"/>
        </w:rPr>
      </w:pPr>
      <w:r w:rsidRPr="00D74B46">
        <w:rPr>
          <w:color w:val="auto"/>
        </w:rPr>
        <w:t xml:space="preserve">Der er beskrevet svære, undertiden dødelige dermatologiske reaktioner, herunder toksisk </w:t>
      </w:r>
      <w:proofErr w:type="spellStart"/>
      <w:r w:rsidRPr="00D74B46">
        <w:rPr>
          <w:color w:val="auto"/>
        </w:rPr>
        <w:t>epidermal</w:t>
      </w:r>
      <w:proofErr w:type="spellEnd"/>
      <w:r w:rsidRPr="00D74B46">
        <w:rPr>
          <w:color w:val="auto"/>
        </w:rPr>
        <w:t xml:space="preserve"> </w:t>
      </w:r>
      <w:proofErr w:type="spellStart"/>
      <w:r w:rsidRPr="00D74B46">
        <w:rPr>
          <w:color w:val="auto"/>
        </w:rPr>
        <w:t>nekrolyse</w:t>
      </w:r>
      <w:proofErr w:type="spellEnd"/>
      <w:r w:rsidRPr="00D74B46">
        <w:rPr>
          <w:color w:val="auto"/>
        </w:rPr>
        <w:t xml:space="preserve"> (</w:t>
      </w:r>
      <w:proofErr w:type="spellStart"/>
      <w:r w:rsidRPr="00D74B46">
        <w:rPr>
          <w:color w:val="auto"/>
        </w:rPr>
        <w:t>Lyells</w:t>
      </w:r>
      <w:proofErr w:type="spellEnd"/>
      <w:r w:rsidRPr="00D74B46">
        <w:rPr>
          <w:color w:val="auto"/>
        </w:rPr>
        <w:t xml:space="preserve"> syndrom) og Stevens-Johnsons syndrom, efter enkeltdoser eller gentagne doser af </w:t>
      </w:r>
      <w:proofErr w:type="spellStart"/>
      <w:r w:rsidRPr="00D74B46">
        <w:rPr>
          <w:color w:val="auto"/>
        </w:rPr>
        <w:t>methotrexat</w:t>
      </w:r>
      <w:proofErr w:type="spellEnd"/>
      <w:r w:rsidRPr="00D74B46">
        <w:rPr>
          <w:color w:val="auto"/>
        </w:rPr>
        <w:t xml:space="preserve">. </w:t>
      </w:r>
    </w:p>
    <w:p w14:paraId="77D1405E" w14:textId="77777777" w:rsidR="00D74B46" w:rsidRPr="00D74B46" w:rsidRDefault="00D74B46" w:rsidP="006A625D">
      <w:pPr>
        <w:pStyle w:val="Default"/>
        <w:ind w:left="851"/>
        <w:rPr>
          <w:i/>
          <w:iCs/>
          <w:color w:val="auto"/>
        </w:rPr>
      </w:pPr>
    </w:p>
    <w:p w14:paraId="435FEDB3" w14:textId="77777777" w:rsidR="00F84BB2" w:rsidRPr="00D74B46" w:rsidRDefault="00F84BB2" w:rsidP="00F84BB2">
      <w:pPr>
        <w:pStyle w:val="Default"/>
        <w:ind w:left="851"/>
        <w:rPr>
          <w:color w:val="auto"/>
        </w:rPr>
      </w:pPr>
      <w:r w:rsidRPr="00D74B46">
        <w:rPr>
          <w:i/>
          <w:iCs/>
          <w:color w:val="auto"/>
        </w:rPr>
        <w:t>Encefalopati/</w:t>
      </w:r>
      <w:proofErr w:type="spellStart"/>
      <w:r w:rsidRPr="00D74B46">
        <w:rPr>
          <w:i/>
          <w:iCs/>
          <w:color w:val="auto"/>
        </w:rPr>
        <w:t>leukoencefalopati</w:t>
      </w:r>
      <w:proofErr w:type="spellEnd"/>
      <w:r w:rsidRPr="00D74B46">
        <w:rPr>
          <w:i/>
          <w:iCs/>
          <w:color w:val="auto"/>
        </w:rPr>
        <w:t xml:space="preserve"> </w:t>
      </w:r>
    </w:p>
    <w:p w14:paraId="522EC2DE" w14:textId="77777777" w:rsidR="00F84BB2" w:rsidRPr="00D74B46" w:rsidRDefault="00F84BB2" w:rsidP="00F84BB2">
      <w:pPr>
        <w:widowControl w:val="0"/>
        <w:autoSpaceDE w:val="0"/>
        <w:autoSpaceDN w:val="0"/>
        <w:adjustRightInd w:val="0"/>
        <w:ind w:left="851"/>
        <w:rPr>
          <w:sz w:val="24"/>
          <w:szCs w:val="24"/>
        </w:rPr>
      </w:pPr>
      <w:r w:rsidRPr="00D74B46">
        <w:rPr>
          <w:sz w:val="24"/>
          <w:szCs w:val="24"/>
        </w:rPr>
        <w:t>Da der er forekommet tilfælde af encefalopati/</w:t>
      </w:r>
      <w:proofErr w:type="spellStart"/>
      <w:r w:rsidRPr="00D74B46">
        <w:rPr>
          <w:sz w:val="24"/>
          <w:szCs w:val="24"/>
        </w:rPr>
        <w:t>leukoencefalopati</w:t>
      </w:r>
      <w:proofErr w:type="spellEnd"/>
      <w:r w:rsidRPr="00D74B46">
        <w:rPr>
          <w:sz w:val="24"/>
          <w:szCs w:val="24"/>
        </w:rPr>
        <w:t xml:space="preserve"> hos kræftpatienter, der er behandlet med </w:t>
      </w:r>
      <w:proofErr w:type="spellStart"/>
      <w:r w:rsidRPr="00D74B46">
        <w:rPr>
          <w:sz w:val="24"/>
          <w:szCs w:val="24"/>
        </w:rPr>
        <w:t>methotrexat</w:t>
      </w:r>
      <w:proofErr w:type="spellEnd"/>
      <w:r w:rsidRPr="00D74B46">
        <w:rPr>
          <w:sz w:val="24"/>
          <w:szCs w:val="24"/>
        </w:rPr>
        <w:t>, kan dette ikke udelukkes for patienter med andre indikationer end cancer.</w:t>
      </w:r>
    </w:p>
    <w:p w14:paraId="66F6AC7E" w14:textId="77777777" w:rsidR="00F84BB2" w:rsidRDefault="00F84BB2" w:rsidP="00F84BB2">
      <w:pPr>
        <w:widowControl w:val="0"/>
        <w:autoSpaceDE w:val="0"/>
        <w:autoSpaceDN w:val="0"/>
        <w:adjustRightInd w:val="0"/>
        <w:ind w:left="851" w:hanging="851"/>
        <w:rPr>
          <w:sz w:val="24"/>
          <w:szCs w:val="24"/>
        </w:rPr>
      </w:pPr>
    </w:p>
    <w:p w14:paraId="2044428E" w14:textId="77777777" w:rsidR="00F84BB2" w:rsidRPr="00F84BB2" w:rsidRDefault="00F84BB2" w:rsidP="00F84BB2">
      <w:pPr>
        <w:keepNext/>
        <w:widowControl w:val="0"/>
        <w:autoSpaceDE w:val="0"/>
        <w:autoSpaceDN w:val="0"/>
        <w:adjustRightInd w:val="0"/>
        <w:ind w:left="851"/>
        <w:rPr>
          <w:i/>
          <w:iCs/>
          <w:sz w:val="24"/>
          <w:szCs w:val="24"/>
        </w:rPr>
      </w:pPr>
      <w:r w:rsidRPr="00F84BB2">
        <w:rPr>
          <w:i/>
          <w:iCs/>
          <w:sz w:val="24"/>
          <w:szCs w:val="24"/>
        </w:rPr>
        <w:t xml:space="preserve">Progressiv multifokal </w:t>
      </w:r>
      <w:proofErr w:type="spellStart"/>
      <w:r w:rsidRPr="00F84BB2">
        <w:rPr>
          <w:i/>
          <w:iCs/>
          <w:sz w:val="24"/>
          <w:szCs w:val="24"/>
        </w:rPr>
        <w:t>leukoencefalopati</w:t>
      </w:r>
      <w:proofErr w:type="spellEnd"/>
      <w:r w:rsidRPr="00F84BB2">
        <w:rPr>
          <w:i/>
          <w:iCs/>
          <w:sz w:val="24"/>
          <w:szCs w:val="24"/>
        </w:rPr>
        <w:t xml:space="preserve"> (PML)</w:t>
      </w:r>
    </w:p>
    <w:p w14:paraId="75BA00D3" w14:textId="77777777" w:rsidR="00F84BB2" w:rsidRPr="00D74B46" w:rsidRDefault="00F84BB2" w:rsidP="00F84BB2">
      <w:pPr>
        <w:keepNext/>
        <w:widowControl w:val="0"/>
        <w:autoSpaceDE w:val="0"/>
        <w:autoSpaceDN w:val="0"/>
        <w:adjustRightInd w:val="0"/>
        <w:ind w:left="851"/>
        <w:rPr>
          <w:sz w:val="24"/>
          <w:szCs w:val="24"/>
        </w:rPr>
      </w:pPr>
      <w:r w:rsidRPr="00F84BB2">
        <w:rPr>
          <w:sz w:val="24"/>
          <w:szCs w:val="24"/>
        </w:rPr>
        <w:t xml:space="preserve">Der er indberettet tilfælde af progressiv multifokal </w:t>
      </w:r>
      <w:proofErr w:type="spellStart"/>
      <w:r w:rsidRPr="00F84BB2">
        <w:rPr>
          <w:sz w:val="24"/>
          <w:szCs w:val="24"/>
        </w:rPr>
        <w:t>leukoencefalopati</w:t>
      </w:r>
      <w:proofErr w:type="spellEnd"/>
      <w:r w:rsidRPr="00F84BB2">
        <w:rPr>
          <w:sz w:val="24"/>
          <w:szCs w:val="24"/>
        </w:rPr>
        <w:t xml:space="preserve"> (PML) hos patienter, der får </w:t>
      </w:r>
      <w:proofErr w:type="spellStart"/>
      <w:r w:rsidRPr="00F84BB2">
        <w:rPr>
          <w:sz w:val="24"/>
          <w:szCs w:val="24"/>
        </w:rPr>
        <w:t>methotrexat</w:t>
      </w:r>
      <w:proofErr w:type="spellEnd"/>
      <w:r w:rsidRPr="00F84BB2">
        <w:rPr>
          <w:sz w:val="24"/>
          <w:szCs w:val="24"/>
        </w:rPr>
        <w:t xml:space="preserve">, hovedsagelig i kombination med andre immunsuppressive lægemidler. PML kan være dødeligt og bør overvejes ved </w:t>
      </w:r>
      <w:proofErr w:type="spellStart"/>
      <w:r w:rsidRPr="00F84BB2">
        <w:rPr>
          <w:sz w:val="24"/>
          <w:szCs w:val="24"/>
        </w:rPr>
        <w:t>differentialdiagnosticering</w:t>
      </w:r>
      <w:proofErr w:type="spellEnd"/>
      <w:r w:rsidRPr="00F84BB2">
        <w:rPr>
          <w:sz w:val="24"/>
          <w:szCs w:val="24"/>
        </w:rPr>
        <w:t xml:space="preserve"> af immunsvækkede patienter med nye eller forværrede neurologiske symptomer.</w:t>
      </w:r>
    </w:p>
    <w:p w14:paraId="7BBE842D" w14:textId="77777777" w:rsidR="00F84BB2" w:rsidRPr="004054A8" w:rsidRDefault="00F84BB2" w:rsidP="00F84BB2">
      <w:pPr>
        <w:widowControl w:val="0"/>
        <w:autoSpaceDE w:val="0"/>
        <w:autoSpaceDN w:val="0"/>
        <w:adjustRightInd w:val="0"/>
        <w:ind w:left="851" w:hanging="851"/>
        <w:rPr>
          <w:sz w:val="24"/>
          <w:szCs w:val="24"/>
        </w:rPr>
      </w:pPr>
    </w:p>
    <w:p w14:paraId="56E1B758" w14:textId="77777777" w:rsidR="00F84BB2" w:rsidRPr="00D74B46" w:rsidRDefault="00F84BB2" w:rsidP="00F84BB2">
      <w:pPr>
        <w:autoSpaceDE w:val="0"/>
        <w:autoSpaceDN w:val="0"/>
        <w:adjustRightInd w:val="0"/>
        <w:ind w:left="851"/>
        <w:rPr>
          <w:sz w:val="24"/>
          <w:szCs w:val="24"/>
        </w:rPr>
      </w:pPr>
      <w:r w:rsidRPr="00D74B46">
        <w:rPr>
          <w:sz w:val="24"/>
          <w:szCs w:val="24"/>
        </w:rPr>
        <w:t xml:space="preserve">Tabletterne indeholder laktose. Bør ikke anvendes til patienter med hereditær </w:t>
      </w:r>
      <w:proofErr w:type="spellStart"/>
      <w:r w:rsidRPr="00D74B46">
        <w:rPr>
          <w:sz w:val="24"/>
          <w:szCs w:val="24"/>
        </w:rPr>
        <w:t>galactoseintolerans</w:t>
      </w:r>
      <w:proofErr w:type="spellEnd"/>
      <w:r w:rsidRPr="00D74B46">
        <w:rPr>
          <w:sz w:val="24"/>
          <w:szCs w:val="24"/>
        </w:rPr>
        <w:t xml:space="preserve">, total </w:t>
      </w:r>
      <w:proofErr w:type="spellStart"/>
      <w:r w:rsidRPr="00D74B46">
        <w:rPr>
          <w:sz w:val="24"/>
          <w:szCs w:val="24"/>
        </w:rPr>
        <w:t>lactasemangel</w:t>
      </w:r>
      <w:proofErr w:type="spellEnd"/>
      <w:r w:rsidRPr="00D74B46">
        <w:rPr>
          <w:sz w:val="24"/>
          <w:szCs w:val="24"/>
        </w:rPr>
        <w:t xml:space="preserve"> eller </w:t>
      </w:r>
      <w:proofErr w:type="spellStart"/>
      <w:r w:rsidRPr="00D74B46">
        <w:rPr>
          <w:sz w:val="24"/>
          <w:szCs w:val="24"/>
        </w:rPr>
        <w:t>glucose</w:t>
      </w:r>
      <w:proofErr w:type="spellEnd"/>
      <w:r w:rsidRPr="00D74B46">
        <w:rPr>
          <w:sz w:val="24"/>
          <w:szCs w:val="24"/>
        </w:rPr>
        <w:t>/</w:t>
      </w:r>
      <w:proofErr w:type="spellStart"/>
      <w:r w:rsidRPr="00D74B46">
        <w:rPr>
          <w:sz w:val="24"/>
          <w:szCs w:val="24"/>
        </w:rPr>
        <w:t>galactosemalabsorption</w:t>
      </w:r>
      <w:proofErr w:type="spellEnd"/>
      <w:r w:rsidRPr="00D74B46">
        <w:rPr>
          <w:sz w:val="24"/>
          <w:szCs w:val="24"/>
        </w:rPr>
        <w:t>.</w:t>
      </w:r>
    </w:p>
    <w:p w14:paraId="0A37AB54" w14:textId="77777777" w:rsidR="00A64E46" w:rsidRPr="00F74DF7" w:rsidRDefault="00A64E46" w:rsidP="006A625D">
      <w:pPr>
        <w:tabs>
          <w:tab w:val="left" w:pos="851"/>
        </w:tabs>
        <w:ind w:left="851" w:hanging="851"/>
        <w:rPr>
          <w:sz w:val="24"/>
          <w:szCs w:val="24"/>
        </w:rPr>
      </w:pPr>
    </w:p>
    <w:p w14:paraId="14B46B18" w14:textId="77777777" w:rsidR="00A64E46" w:rsidRPr="00F74DF7" w:rsidRDefault="00A64E46" w:rsidP="00F84BB2">
      <w:pPr>
        <w:keepNext/>
        <w:tabs>
          <w:tab w:val="left" w:pos="851"/>
        </w:tabs>
        <w:ind w:left="851" w:hanging="851"/>
        <w:rPr>
          <w:b/>
          <w:sz w:val="24"/>
          <w:szCs w:val="24"/>
        </w:rPr>
      </w:pPr>
      <w:r w:rsidRPr="00F74DF7">
        <w:rPr>
          <w:b/>
          <w:sz w:val="24"/>
          <w:szCs w:val="24"/>
        </w:rPr>
        <w:lastRenderedPageBreak/>
        <w:t>4.5</w:t>
      </w:r>
      <w:r w:rsidRPr="00F74DF7">
        <w:rPr>
          <w:b/>
          <w:sz w:val="24"/>
          <w:szCs w:val="24"/>
        </w:rPr>
        <w:tab/>
        <w:t>Interaktion med andre lægemidler og andre former for interaktion</w:t>
      </w:r>
    </w:p>
    <w:p w14:paraId="687D2652" w14:textId="77777777" w:rsidR="006A625D" w:rsidRPr="006A625D" w:rsidRDefault="006A625D" w:rsidP="006A625D">
      <w:pPr>
        <w:pStyle w:val="Default"/>
        <w:ind w:left="851"/>
      </w:pPr>
      <w:r w:rsidRPr="006A625D">
        <w:t xml:space="preserve">Risikoen for interaktion mellem NSAID og </w:t>
      </w:r>
      <w:proofErr w:type="spellStart"/>
      <w:r w:rsidRPr="006A625D">
        <w:t>methotrexat</w:t>
      </w:r>
      <w:proofErr w:type="spellEnd"/>
      <w:r w:rsidRPr="006A625D">
        <w:t xml:space="preserve"> bør tages i betragtning ved behandling med </w:t>
      </w:r>
      <w:proofErr w:type="spellStart"/>
      <w:r w:rsidRPr="006A625D">
        <w:t>methotrexat</w:t>
      </w:r>
      <w:proofErr w:type="spellEnd"/>
      <w:r w:rsidRPr="006A625D">
        <w:t xml:space="preserve"> i lav dosering, navnlig hos patienter med nedsat nyrefunktion. Hvis samtidig behandling er nødvendig, skal blodtal og nyrefunktion monitoreres. Der skal udvises forsigtighed, hvis NSAID og </w:t>
      </w:r>
      <w:proofErr w:type="spellStart"/>
      <w:r w:rsidRPr="006A625D">
        <w:t>methotrexat</w:t>
      </w:r>
      <w:proofErr w:type="spellEnd"/>
      <w:r w:rsidRPr="006A625D">
        <w:t xml:space="preserve"> administreres inden for 24 timer, da </w:t>
      </w:r>
      <w:proofErr w:type="spellStart"/>
      <w:r w:rsidRPr="006A625D">
        <w:t>methotrexats</w:t>
      </w:r>
      <w:proofErr w:type="spellEnd"/>
      <w:r w:rsidRPr="006A625D">
        <w:t xml:space="preserve"> plasmaniveau kan stige med øget toksicitet som resultat. I dyrestudier medførte administration af NSAID, herunder af salicylsyre, nedsat </w:t>
      </w:r>
      <w:proofErr w:type="spellStart"/>
      <w:r w:rsidRPr="006A625D">
        <w:t>tubulær</w:t>
      </w:r>
      <w:proofErr w:type="spellEnd"/>
      <w:r w:rsidRPr="006A625D">
        <w:t xml:space="preserve"> sekretion af </w:t>
      </w:r>
      <w:proofErr w:type="spellStart"/>
      <w:r w:rsidRPr="006A625D">
        <w:t>methotrexat</w:t>
      </w:r>
      <w:proofErr w:type="spellEnd"/>
      <w:r w:rsidRPr="006A625D">
        <w:t xml:space="preserve"> og potenserede derved dets toksiske virkninger. I kliniske forsøg, hvor NSAID og salicylsyre blev administreret som </w:t>
      </w:r>
      <w:proofErr w:type="spellStart"/>
      <w:r w:rsidRPr="006A625D">
        <w:t>adjuverende</w:t>
      </w:r>
      <w:proofErr w:type="spellEnd"/>
      <w:r w:rsidRPr="006A625D">
        <w:t xml:space="preserve"> terapi ved </w:t>
      </w:r>
      <w:proofErr w:type="spellStart"/>
      <w:r w:rsidRPr="006A625D">
        <w:t>reumatoid</w:t>
      </w:r>
      <w:proofErr w:type="spellEnd"/>
      <w:r w:rsidRPr="006A625D">
        <w:t xml:space="preserve"> artritis, sås derimod ingen stigning i bivirkninger. Sådanne lægemidler kan fortsat anvendes under behandling af </w:t>
      </w:r>
      <w:proofErr w:type="spellStart"/>
      <w:r w:rsidRPr="006A625D">
        <w:t>reumatoid</w:t>
      </w:r>
      <w:proofErr w:type="spellEnd"/>
      <w:r w:rsidRPr="006A625D">
        <w:t xml:space="preserve"> artritis med </w:t>
      </w:r>
      <w:proofErr w:type="spellStart"/>
      <w:r w:rsidRPr="006A625D">
        <w:t>methotrexat</w:t>
      </w:r>
      <w:proofErr w:type="spellEnd"/>
      <w:r w:rsidRPr="006A625D">
        <w:t xml:space="preserve"> i lav dosering, men kun under tæt klinisk monitorering. </w:t>
      </w:r>
    </w:p>
    <w:p w14:paraId="2434173E" w14:textId="77777777" w:rsidR="006A625D" w:rsidRPr="006A625D" w:rsidRDefault="006A625D" w:rsidP="006A625D">
      <w:pPr>
        <w:pStyle w:val="Default"/>
        <w:ind w:left="851"/>
      </w:pPr>
    </w:p>
    <w:p w14:paraId="7D6C7E3C" w14:textId="77777777" w:rsidR="006A625D" w:rsidRPr="006A625D" w:rsidRDefault="006A625D" w:rsidP="006A625D">
      <w:pPr>
        <w:pStyle w:val="Default"/>
        <w:ind w:left="851"/>
      </w:pPr>
      <w:r w:rsidRPr="006A625D">
        <w:t xml:space="preserve">Patienter, der under behandling med </w:t>
      </w:r>
      <w:proofErr w:type="spellStart"/>
      <w:r w:rsidRPr="006A625D">
        <w:t>methotrexat</w:t>
      </w:r>
      <w:proofErr w:type="spellEnd"/>
      <w:r w:rsidRPr="006A625D">
        <w:t xml:space="preserve"> får potentielt </w:t>
      </w:r>
      <w:proofErr w:type="spellStart"/>
      <w:r w:rsidRPr="006A625D">
        <w:t>hepatotoksiske</w:t>
      </w:r>
      <w:proofErr w:type="spellEnd"/>
      <w:r w:rsidRPr="006A625D">
        <w:t xml:space="preserve"> lægemidler (f.eks. </w:t>
      </w:r>
      <w:proofErr w:type="spellStart"/>
      <w:r w:rsidRPr="006A625D">
        <w:t>leflunomid</w:t>
      </w:r>
      <w:proofErr w:type="spellEnd"/>
      <w:r w:rsidRPr="006A625D">
        <w:t xml:space="preserve">, </w:t>
      </w:r>
      <w:proofErr w:type="spellStart"/>
      <w:r w:rsidRPr="006A625D">
        <w:t>azathioprin</w:t>
      </w:r>
      <w:proofErr w:type="spellEnd"/>
      <w:r w:rsidRPr="006A625D">
        <w:t xml:space="preserve">, </w:t>
      </w:r>
      <w:proofErr w:type="spellStart"/>
      <w:r w:rsidRPr="006A625D">
        <w:t>sulfasalazin</w:t>
      </w:r>
      <w:proofErr w:type="spellEnd"/>
      <w:r w:rsidRPr="006A625D">
        <w:t xml:space="preserve"> eller </w:t>
      </w:r>
      <w:proofErr w:type="spellStart"/>
      <w:r w:rsidRPr="006A625D">
        <w:t>retinoider</w:t>
      </w:r>
      <w:proofErr w:type="spellEnd"/>
      <w:r w:rsidRPr="006A625D">
        <w:t xml:space="preserve">), skal overvåges tæt for øget </w:t>
      </w:r>
      <w:proofErr w:type="spellStart"/>
      <w:r w:rsidRPr="006A625D">
        <w:t>hepatotoksicitet</w:t>
      </w:r>
      <w:proofErr w:type="spellEnd"/>
      <w:r w:rsidRPr="006A625D">
        <w:t xml:space="preserve">. Alkoholindtagelse bør undgås under behandling med </w:t>
      </w:r>
      <w:proofErr w:type="spellStart"/>
      <w:r w:rsidRPr="006A625D">
        <w:t>methotrexat</w:t>
      </w:r>
      <w:proofErr w:type="spellEnd"/>
      <w:r w:rsidRPr="006A625D">
        <w:t xml:space="preserve"> (se pkt. 4.4). Regelmæssig alkoholindtagelse og administration af andre </w:t>
      </w:r>
      <w:proofErr w:type="spellStart"/>
      <w:r w:rsidRPr="006A625D">
        <w:t>hepatotoksiske</w:t>
      </w:r>
      <w:proofErr w:type="spellEnd"/>
      <w:r w:rsidRPr="006A625D">
        <w:t xml:space="preserve"> lægemidler øger risikoen for </w:t>
      </w:r>
      <w:proofErr w:type="spellStart"/>
      <w:r w:rsidRPr="006A625D">
        <w:t>hepatotoksiske</w:t>
      </w:r>
      <w:proofErr w:type="spellEnd"/>
      <w:r w:rsidRPr="006A625D">
        <w:t xml:space="preserve"> reaktioner på </w:t>
      </w:r>
      <w:proofErr w:type="spellStart"/>
      <w:r w:rsidRPr="006A625D">
        <w:t>methotrexat</w:t>
      </w:r>
      <w:proofErr w:type="spellEnd"/>
      <w:r w:rsidRPr="006A625D">
        <w:t xml:space="preserve">. </w:t>
      </w:r>
    </w:p>
    <w:p w14:paraId="1FC3C8AF" w14:textId="77777777" w:rsidR="00B82E3E" w:rsidRDefault="00B82E3E" w:rsidP="00B82E3E">
      <w:pPr>
        <w:pStyle w:val="Default"/>
        <w:ind w:left="851"/>
      </w:pPr>
      <w:r>
        <w:t xml:space="preserve">Administration af andre </w:t>
      </w:r>
      <w:proofErr w:type="spellStart"/>
      <w:r>
        <w:t>hæmatotoksiske</w:t>
      </w:r>
      <w:proofErr w:type="spellEnd"/>
      <w:r>
        <w:t xml:space="preserve"> lægemidler øger risikoen for svære </w:t>
      </w:r>
      <w:proofErr w:type="spellStart"/>
      <w:r>
        <w:t>hæmatotoksiske</w:t>
      </w:r>
      <w:proofErr w:type="spellEnd"/>
      <w:r>
        <w:t xml:space="preserve"> reaktioner på </w:t>
      </w:r>
      <w:proofErr w:type="spellStart"/>
      <w:r>
        <w:t>methotrexat</w:t>
      </w:r>
      <w:proofErr w:type="spellEnd"/>
      <w:r>
        <w:t xml:space="preserve">. Samtidig administration af </w:t>
      </w:r>
      <w:proofErr w:type="spellStart"/>
      <w:r>
        <w:t>metamizol</w:t>
      </w:r>
      <w:proofErr w:type="spellEnd"/>
      <w:r>
        <w:t xml:space="preserve"> og </w:t>
      </w:r>
      <w:proofErr w:type="spellStart"/>
      <w:r>
        <w:t>methotrexat</w:t>
      </w:r>
      <w:proofErr w:type="spellEnd"/>
      <w:r>
        <w:t xml:space="preserve"> kan øge </w:t>
      </w:r>
      <w:proofErr w:type="spellStart"/>
      <w:r>
        <w:t>methotrexats</w:t>
      </w:r>
      <w:proofErr w:type="spellEnd"/>
      <w:r>
        <w:t xml:space="preserve"> </w:t>
      </w:r>
      <w:proofErr w:type="spellStart"/>
      <w:r>
        <w:t>hæmatotoksiske</w:t>
      </w:r>
      <w:proofErr w:type="spellEnd"/>
      <w:r>
        <w:t xml:space="preserve"> virkning, især hos ældre patienter. Samtidig administration bør derfor undgås.</w:t>
      </w:r>
    </w:p>
    <w:p w14:paraId="4B4F019C" w14:textId="77777777" w:rsidR="006A625D" w:rsidRPr="006A625D" w:rsidRDefault="006A625D" w:rsidP="006A625D">
      <w:pPr>
        <w:pStyle w:val="Default"/>
        <w:ind w:left="851"/>
      </w:pPr>
    </w:p>
    <w:p w14:paraId="30FD8D3F" w14:textId="77777777" w:rsidR="006A625D" w:rsidRPr="006A625D" w:rsidRDefault="006A625D" w:rsidP="006A625D">
      <w:pPr>
        <w:pStyle w:val="Default"/>
        <w:ind w:left="851"/>
      </w:pPr>
      <w:r w:rsidRPr="006A625D">
        <w:t xml:space="preserve">Opmærksomheden skal være rettet imod </w:t>
      </w:r>
      <w:proofErr w:type="spellStart"/>
      <w:r w:rsidRPr="006A625D">
        <w:t>farmakokinetiske</w:t>
      </w:r>
      <w:proofErr w:type="spellEnd"/>
      <w:r w:rsidRPr="006A625D">
        <w:t xml:space="preserve"> interaktioner mellem </w:t>
      </w:r>
      <w:proofErr w:type="spellStart"/>
      <w:r w:rsidRPr="006A625D">
        <w:t>methotrexat</w:t>
      </w:r>
      <w:proofErr w:type="spellEnd"/>
      <w:r w:rsidRPr="006A625D">
        <w:t xml:space="preserve">, </w:t>
      </w:r>
      <w:proofErr w:type="spellStart"/>
      <w:r w:rsidRPr="006A625D">
        <w:t>antikonvulsiva</w:t>
      </w:r>
      <w:proofErr w:type="spellEnd"/>
      <w:r w:rsidRPr="006A625D">
        <w:t xml:space="preserve"> (nedsat serumkoncentration af </w:t>
      </w:r>
      <w:proofErr w:type="spellStart"/>
      <w:r w:rsidRPr="006A625D">
        <w:t>methotrexat</w:t>
      </w:r>
      <w:proofErr w:type="spellEnd"/>
      <w:r w:rsidRPr="006A625D">
        <w:t xml:space="preserve">) og 5-fluoruracil (forlænget halveringstid af 5-fluoruracil). </w:t>
      </w:r>
    </w:p>
    <w:p w14:paraId="0A207FFC" w14:textId="77777777" w:rsidR="006A625D" w:rsidRPr="006A625D" w:rsidRDefault="006A625D" w:rsidP="006A625D">
      <w:pPr>
        <w:pStyle w:val="Default"/>
        <w:ind w:left="851"/>
      </w:pPr>
    </w:p>
    <w:p w14:paraId="1BDA8EB6" w14:textId="77777777" w:rsidR="006A625D" w:rsidRPr="006A625D" w:rsidRDefault="006A625D" w:rsidP="006A625D">
      <w:pPr>
        <w:pStyle w:val="Default"/>
        <w:ind w:left="851"/>
        <w:rPr>
          <w:color w:val="auto"/>
        </w:rPr>
      </w:pPr>
      <w:proofErr w:type="spellStart"/>
      <w:r w:rsidRPr="006A625D">
        <w:rPr>
          <w:color w:val="auto"/>
        </w:rPr>
        <w:t>Salicylater</w:t>
      </w:r>
      <w:proofErr w:type="spellEnd"/>
      <w:r w:rsidRPr="006A625D">
        <w:rPr>
          <w:color w:val="auto"/>
        </w:rPr>
        <w:t xml:space="preserve">, </w:t>
      </w:r>
      <w:proofErr w:type="spellStart"/>
      <w:r w:rsidRPr="006A625D">
        <w:rPr>
          <w:color w:val="auto"/>
        </w:rPr>
        <w:t>phenylbutazon</w:t>
      </w:r>
      <w:proofErr w:type="spellEnd"/>
      <w:r w:rsidRPr="006A625D">
        <w:rPr>
          <w:color w:val="auto"/>
        </w:rPr>
        <w:t xml:space="preserve">, </w:t>
      </w:r>
      <w:proofErr w:type="spellStart"/>
      <w:r w:rsidRPr="006A625D">
        <w:t>diphenylhydantoin</w:t>
      </w:r>
      <w:proofErr w:type="spellEnd"/>
      <w:r w:rsidRPr="006A625D">
        <w:t xml:space="preserve"> (=</w:t>
      </w:r>
      <w:proofErr w:type="spellStart"/>
      <w:r w:rsidRPr="006A625D">
        <w:rPr>
          <w:color w:val="auto"/>
        </w:rPr>
        <w:t>phenytoin</w:t>
      </w:r>
      <w:proofErr w:type="spellEnd"/>
      <w:r w:rsidRPr="006A625D">
        <w:rPr>
          <w:color w:val="auto"/>
        </w:rPr>
        <w:t xml:space="preserve">), barbiturater, beroligende midler, orale </w:t>
      </w:r>
      <w:proofErr w:type="spellStart"/>
      <w:r w:rsidRPr="006A625D">
        <w:rPr>
          <w:color w:val="auto"/>
        </w:rPr>
        <w:t>antikonceptiva</w:t>
      </w:r>
      <w:proofErr w:type="spellEnd"/>
      <w:r w:rsidRPr="006A625D">
        <w:rPr>
          <w:color w:val="auto"/>
        </w:rPr>
        <w:t xml:space="preserve">, </w:t>
      </w:r>
      <w:proofErr w:type="spellStart"/>
      <w:r w:rsidRPr="006A625D">
        <w:rPr>
          <w:color w:val="auto"/>
        </w:rPr>
        <w:t>tetracykliner</w:t>
      </w:r>
      <w:proofErr w:type="spellEnd"/>
      <w:r w:rsidRPr="006A625D">
        <w:rPr>
          <w:color w:val="auto"/>
        </w:rPr>
        <w:t xml:space="preserve">, </w:t>
      </w:r>
      <w:proofErr w:type="spellStart"/>
      <w:r w:rsidRPr="006A625D">
        <w:rPr>
          <w:color w:val="auto"/>
        </w:rPr>
        <w:t>aminophenazon</w:t>
      </w:r>
      <w:proofErr w:type="spellEnd"/>
      <w:r w:rsidRPr="006A625D">
        <w:rPr>
          <w:color w:val="auto"/>
        </w:rPr>
        <w:t xml:space="preserve">-derivater, sulfonamider, </w:t>
      </w:r>
      <w:proofErr w:type="spellStart"/>
      <w:r w:rsidRPr="006A625D">
        <w:rPr>
          <w:color w:val="auto"/>
        </w:rPr>
        <w:t>thiaziddiuretika</w:t>
      </w:r>
      <w:proofErr w:type="spellEnd"/>
      <w:r w:rsidRPr="006A625D">
        <w:rPr>
          <w:color w:val="auto"/>
        </w:rPr>
        <w:t xml:space="preserve">, orale </w:t>
      </w:r>
      <w:proofErr w:type="spellStart"/>
      <w:r w:rsidRPr="006A625D">
        <w:rPr>
          <w:color w:val="auto"/>
        </w:rPr>
        <w:t>antidiabetika</w:t>
      </w:r>
      <w:proofErr w:type="spellEnd"/>
      <w:r w:rsidRPr="006A625D">
        <w:rPr>
          <w:color w:val="auto"/>
        </w:rPr>
        <w:t xml:space="preserve">, </w:t>
      </w:r>
      <w:proofErr w:type="spellStart"/>
      <w:r w:rsidRPr="006A625D">
        <w:rPr>
          <w:color w:val="auto"/>
        </w:rPr>
        <w:t>doxorubicin</w:t>
      </w:r>
      <w:proofErr w:type="spellEnd"/>
      <w:r w:rsidRPr="006A625D">
        <w:rPr>
          <w:color w:val="auto"/>
        </w:rPr>
        <w:t xml:space="preserve"> og </w:t>
      </w:r>
      <w:proofErr w:type="spellStart"/>
      <w:r w:rsidRPr="006A625D">
        <w:rPr>
          <w:color w:val="auto"/>
        </w:rPr>
        <w:t>para</w:t>
      </w:r>
      <w:proofErr w:type="spellEnd"/>
      <w:r w:rsidRPr="006A625D">
        <w:rPr>
          <w:color w:val="auto"/>
        </w:rPr>
        <w:t xml:space="preserve">-aminobenzoesyre fortrænger </w:t>
      </w:r>
      <w:proofErr w:type="spellStart"/>
      <w:r w:rsidRPr="006A625D">
        <w:rPr>
          <w:color w:val="auto"/>
        </w:rPr>
        <w:t>methotrexat</w:t>
      </w:r>
      <w:proofErr w:type="spellEnd"/>
      <w:r w:rsidRPr="006A625D">
        <w:rPr>
          <w:color w:val="auto"/>
        </w:rPr>
        <w:t xml:space="preserve"> fra serumalbumin og øger derved </w:t>
      </w:r>
      <w:proofErr w:type="spellStart"/>
      <w:r w:rsidRPr="006A625D">
        <w:rPr>
          <w:color w:val="auto"/>
        </w:rPr>
        <w:t>methotrexats</w:t>
      </w:r>
      <w:proofErr w:type="spellEnd"/>
      <w:r w:rsidRPr="006A625D">
        <w:rPr>
          <w:color w:val="auto"/>
        </w:rPr>
        <w:t xml:space="preserve"> biotilgængelighed og toksicitet (indirekte dosisstigning). </w:t>
      </w:r>
    </w:p>
    <w:p w14:paraId="2AA19D62" w14:textId="77777777" w:rsidR="006A625D" w:rsidRPr="006A625D" w:rsidRDefault="006A625D" w:rsidP="006A625D">
      <w:pPr>
        <w:pStyle w:val="Default"/>
        <w:ind w:left="851"/>
        <w:rPr>
          <w:color w:val="auto"/>
        </w:rPr>
      </w:pPr>
    </w:p>
    <w:p w14:paraId="151F7419" w14:textId="77777777" w:rsidR="006A625D" w:rsidRPr="006A625D" w:rsidRDefault="006A625D" w:rsidP="006A625D">
      <w:pPr>
        <w:pStyle w:val="Default"/>
        <w:ind w:left="851"/>
        <w:rPr>
          <w:color w:val="auto"/>
        </w:rPr>
      </w:pPr>
      <w:proofErr w:type="spellStart"/>
      <w:r w:rsidRPr="006A625D">
        <w:rPr>
          <w:color w:val="auto"/>
        </w:rPr>
        <w:t>Probenecid</w:t>
      </w:r>
      <w:proofErr w:type="spellEnd"/>
      <w:r w:rsidRPr="006A625D">
        <w:rPr>
          <w:color w:val="auto"/>
        </w:rPr>
        <w:t xml:space="preserve"> og svage organiske syrer kan desuden nedsætte den </w:t>
      </w:r>
      <w:proofErr w:type="spellStart"/>
      <w:r w:rsidRPr="006A625D">
        <w:rPr>
          <w:color w:val="auto"/>
        </w:rPr>
        <w:t>tubulære</w:t>
      </w:r>
      <w:proofErr w:type="spellEnd"/>
      <w:r w:rsidRPr="006A625D">
        <w:rPr>
          <w:color w:val="auto"/>
        </w:rPr>
        <w:t xml:space="preserve"> sekretion af </w:t>
      </w:r>
      <w:proofErr w:type="spellStart"/>
      <w:r w:rsidRPr="006A625D">
        <w:rPr>
          <w:color w:val="auto"/>
        </w:rPr>
        <w:t>methotrexat</w:t>
      </w:r>
      <w:proofErr w:type="spellEnd"/>
      <w:r w:rsidRPr="006A625D">
        <w:rPr>
          <w:color w:val="auto"/>
        </w:rPr>
        <w:t xml:space="preserve"> og derved forårsage en indirekte dosisstigning. </w:t>
      </w:r>
    </w:p>
    <w:p w14:paraId="72B59F19" w14:textId="77777777" w:rsidR="006A625D" w:rsidRPr="006A625D" w:rsidRDefault="006A625D" w:rsidP="006A625D">
      <w:pPr>
        <w:widowControl w:val="0"/>
        <w:autoSpaceDE w:val="0"/>
        <w:autoSpaceDN w:val="0"/>
        <w:adjustRightInd w:val="0"/>
        <w:ind w:left="851"/>
        <w:rPr>
          <w:sz w:val="24"/>
          <w:szCs w:val="24"/>
        </w:rPr>
      </w:pPr>
    </w:p>
    <w:p w14:paraId="3CA56EE1" w14:textId="77777777" w:rsidR="006A625D" w:rsidRPr="006A625D" w:rsidRDefault="006A625D" w:rsidP="006A625D">
      <w:pPr>
        <w:widowControl w:val="0"/>
        <w:autoSpaceDE w:val="0"/>
        <w:autoSpaceDN w:val="0"/>
        <w:adjustRightInd w:val="0"/>
        <w:ind w:left="851"/>
        <w:rPr>
          <w:sz w:val="24"/>
          <w:szCs w:val="24"/>
        </w:rPr>
      </w:pPr>
      <w:r w:rsidRPr="006A625D">
        <w:rPr>
          <w:sz w:val="24"/>
          <w:szCs w:val="24"/>
        </w:rPr>
        <w:t xml:space="preserve">Antibiotika såsom penicilliner, </w:t>
      </w:r>
      <w:proofErr w:type="spellStart"/>
      <w:r w:rsidRPr="006A625D">
        <w:rPr>
          <w:sz w:val="24"/>
          <w:szCs w:val="24"/>
        </w:rPr>
        <w:t>glykopeptider</w:t>
      </w:r>
      <w:proofErr w:type="spellEnd"/>
      <w:r w:rsidRPr="006A625D">
        <w:rPr>
          <w:sz w:val="24"/>
          <w:szCs w:val="24"/>
        </w:rPr>
        <w:t xml:space="preserve">, sulfonamider, </w:t>
      </w:r>
      <w:proofErr w:type="spellStart"/>
      <w:r w:rsidRPr="006A625D">
        <w:rPr>
          <w:sz w:val="24"/>
          <w:szCs w:val="24"/>
        </w:rPr>
        <w:t>ciprofloxacin</w:t>
      </w:r>
      <w:proofErr w:type="spellEnd"/>
      <w:r w:rsidRPr="006A625D">
        <w:rPr>
          <w:sz w:val="24"/>
          <w:szCs w:val="24"/>
        </w:rPr>
        <w:t xml:space="preserve"> og </w:t>
      </w:r>
      <w:proofErr w:type="spellStart"/>
      <w:r w:rsidRPr="006A625D">
        <w:rPr>
          <w:sz w:val="24"/>
          <w:szCs w:val="24"/>
        </w:rPr>
        <w:t>cefalotin</w:t>
      </w:r>
      <w:proofErr w:type="spellEnd"/>
      <w:r w:rsidRPr="006A625D">
        <w:rPr>
          <w:sz w:val="24"/>
          <w:szCs w:val="24"/>
        </w:rPr>
        <w:t xml:space="preserve"> kan i enkelte tilfælde nedsætte </w:t>
      </w:r>
      <w:proofErr w:type="spellStart"/>
      <w:r w:rsidRPr="006A625D">
        <w:rPr>
          <w:sz w:val="24"/>
          <w:szCs w:val="24"/>
        </w:rPr>
        <w:t>methotrexats</w:t>
      </w:r>
      <w:proofErr w:type="spellEnd"/>
      <w:r w:rsidRPr="006A625D">
        <w:rPr>
          <w:sz w:val="24"/>
          <w:szCs w:val="24"/>
        </w:rPr>
        <w:t xml:space="preserve"> </w:t>
      </w:r>
      <w:proofErr w:type="spellStart"/>
      <w:r w:rsidRPr="006A625D">
        <w:rPr>
          <w:sz w:val="24"/>
          <w:szCs w:val="24"/>
        </w:rPr>
        <w:t>renale</w:t>
      </w:r>
      <w:proofErr w:type="spellEnd"/>
      <w:r w:rsidRPr="006A625D">
        <w:rPr>
          <w:sz w:val="24"/>
          <w:szCs w:val="24"/>
        </w:rPr>
        <w:t xml:space="preserve"> </w:t>
      </w:r>
      <w:proofErr w:type="spellStart"/>
      <w:r w:rsidRPr="006A625D">
        <w:rPr>
          <w:sz w:val="24"/>
          <w:szCs w:val="24"/>
        </w:rPr>
        <w:t>clearance</w:t>
      </w:r>
      <w:proofErr w:type="spellEnd"/>
      <w:r w:rsidRPr="006A625D">
        <w:rPr>
          <w:sz w:val="24"/>
          <w:szCs w:val="24"/>
        </w:rPr>
        <w:t xml:space="preserve">, hvilket kan øge </w:t>
      </w:r>
      <w:proofErr w:type="spellStart"/>
      <w:r w:rsidRPr="006A625D">
        <w:rPr>
          <w:sz w:val="24"/>
          <w:szCs w:val="24"/>
        </w:rPr>
        <w:t>methotrexats</w:t>
      </w:r>
      <w:proofErr w:type="spellEnd"/>
      <w:r w:rsidRPr="006A625D">
        <w:rPr>
          <w:sz w:val="24"/>
          <w:szCs w:val="24"/>
        </w:rPr>
        <w:t xml:space="preserve"> serumkoncentrationen og forårsage hæmatologisk og </w:t>
      </w:r>
      <w:proofErr w:type="spellStart"/>
      <w:r w:rsidRPr="006A625D">
        <w:rPr>
          <w:sz w:val="24"/>
          <w:szCs w:val="24"/>
        </w:rPr>
        <w:t>gastrointestinal</w:t>
      </w:r>
      <w:proofErr w:type="spellEnd"/>
      <w:r w:rsidRPr="006A625D">
        <w:rPr>
          <w:sz w:val="24"/>
          <w:szCs w:val="24"/>
        </w:rPr>
        <w:t xml:space="preserve"> toksicitet.</w:t>
      </w:r>
    </w:p>
    <w:p w14:paraId="319B7DB0" w14:textId="77777777" w:rsidR="006A625D" w:rsidRPr="006A625D" w:rsidRDefault="006A625D" w:rsidP="006A625D">
      <w:pPr>
        <w:widowControl w:val="0"/>
        <w:autoSpaceDE w:val="0"/>
        <w:autoSpaceDN w:val="0"/>
        <w:adjustRightInd w:val="0"/>
        <w:ind w:left="851" w:hanging="851"/>
        <w:rPr>
          <w:sz w:val="24"/>
          <w:szCs w:val="24"/>
        </w:rPr>
      </w:pPr>
    </w:p>
    <w:p w14:paraId="35319B82" w14:textId="77777777" w:rsidR="006A625D" w:rsidRPr="006A625D" w:rsidRDefault="006A625D" w:rsidP="006A625D">
      <w:pPr>
        <w:widowControl w:val="0"/>
        <w:autoSpaceDE w:val="0"/>
        <w:autoSpaceDN w:val="0"/>
        <w:adjustRightInd w:val="0"/>
        <w:ind w:left="851"/>
        <w:rPr>
          <w:sz w:val="24"/>
          <w:szCs w:val="24"/>
        </w:rPr>
      </w:pPr>
      <w:r w:rsidRPr="006A625D">
        <w:rPr>
          <w:sz w:val="24"/>
          <w:szCs w:val="24"/>
        </w:rPr>
        <w:t xml:space="preserve">Orale antibiotika, såsom </w:t>
      </w:r>
      <w:proofErr w:type="spellStart"/>
      <w:r w:rsidRPr="006A625D">
        <w:rPr>
          <w:sz w:val="24"/>
          <w:szCs w:val="24"/>
        </w:rPr>
        <w:t>tetracyclin</w:t>
      </w:r>
      <w:proofErr w:type="spellEnd"/>
      <w:r w:rsidRPr="006A625D">
        <w:rPr>
          <w:sz w:val="24"/>
          <w:szCs w:val="24"/>
        </w:rPr>
        <w:t xml:space="preserve">, </w:t>
      </w:r>
      <w:proofErr w:type="spellStart"/>
      <w:r w:rsidRPr="006A625D">
        <w:rPr>
          <w:sz w:val="24"/>
          <w:szCs w:val="24"/>
        </w:rPr>
        <w:t>chloramphenicol</w:t>
      </w:r>
      <w:proofErr w:type="spellEnd"/>
      <w:r w:rsidRPr="006A625D">
        <w:rPr>
          <w:sz w:val="24"/>
          <w:szCs w:val="24"/>
        </w:rPr>
        <w:t xml:space="preserve"> og ikke-absorberbare bredspektrede antibiotika, kan nedsætte den </w:t>
      </w:r>
      <w:proofErr w:type="spellStart"/>
      <w:r w:rsidRPr="006A625D">
        <w:rPr>
          <w:sz w:val="24"/>
          <w:szCs w:val="24"/>
        </w:rPr>
        <w:t>intestinale</w:t>
      </w:r>
      <w:proofErr w:type="spellEnd"/>
      <w:r w:rsidRPr="006A625D">
        <w:rPr>
          <w:sz w:val="24"/>
          <w:szCs w:val="24"/>
        </w:rPr>
        <w:t xml:space="preserve"> absorption af </w:t>
      </w:r>
      <w:proofErr w:type="spellStart"/>
      <w:r w:rsidRPr="006A625D">
        <w:rPr>
          <w:sz w:val="24"/>
          <w:szCs w:val="24"/>
        </w:rPr>
        <w:t>methotrexat</w:t>
      </w:r>
      <w:proofErr w:type="spellEnd"/>
      <w:r w:rsidRPr="006A625D">
        <w:rPr>
          <w:sz w:val="24"/>
          <w:szCs w:val="24"/>
        </w:rPr>
        <w:t xml:space="preserve"> eller interferere med det </w:t>
      </w:r>
      <w:proofErr w:type="spellStart"/>
      <w:r w:rsidRPr="006A625D">
        <w:rPr>
          <w:sz w:val="24"/>
          <w:szCs w:val="24"/>
        </w:rPr>
        <w:t>enterohepatiske</w:t>
      </w:r>
      <w:proofErr w:type="spellEnd"/>
      <w:r w:rsidRPr="006A625D">
        <w:rPr>
          <w:sz w:val="24"/>
          <w:szCs w:val="24"/>
        </w:rPr>
        <w:t xml:space="preserve"> kredsløb ved at hæmme den </w:t>
      </w:r>
      <w:proofErr w:type="spellStart"/>
      <w:r w:rsidRPr="006A625D">
        <w:rPr>
          <w:sz w:val="24"/>
          <w:szCs w:val="24"/>
        </w:rPr>
        <w:t>intestinale</w:t>
      </w:r>
      <w:proofErr w:type="spellEnd"/>
      <w:r w:rsidRPr="006A625D">
        <w:rPr>
          <w:sz w:val="24"/>
          <w:szCs w:val="24"/>
        </w:rPr>
        <w:t xml:space="preserve"> flora eller undertrykke den bakterielle metabolisme.</w:t>
      </w:r>
    </w:p>
    <w:p w14:paraId="4B27AA82" w14:textId="77777777" w:rsidR="006A625D" w:rsidRPr="006A625D" w:rsidRDefault="006A625D" w:rsidP="006A625D">
      <w:pPr>
        <w:widowControl w:val="0"/>
        <w:autoSpaceDE w:val="0"/>
        <w:autoSpaceDN w:val="0"/>
        <w:adjustRightInd w:val="0"/>
        <w:ind w:left="851" w:hanging="851"/>
        <w:rPr>
          <w:sz w:val="24"/>
          <w:szCs w:val="24"/>
        </w:rPr>
      </w:pPr>
    </w:p>
    <w:p w14:paraId="4BC526BA" w14:textId="77777777" w:rsidR="006A625D" w:rsidRPr="006A625D" w:rsidRDefault="006A625D" w:rsidP="006A625D">
      <w:pPr>
        <w:pStyle w:val="Default"/>
        <w:ind w:left="851"/>
      </w:pPr>
      <w:r w:rsidRPr="006A625D">
        <w:t xml:space="preserve">Hvis patienten (tidligere) er blevet behandlet med lægemidler med mulige uønskede virkninger på knoglemarven (f.eks. sulfonamider, </w:t>
      </w:r>
      <w:proofErr w:type="spellStart"/>
      <w:r w:rsidRPr="006A625D">
        <w:t>trimethoprim</w:t>
      </w:r>
      <w:proofErr w:type="spellEnd"/>
      <w:r w:rsidRPr="006A625D">
        <w:t>/</w:t>
      </w:r>
      <w:proofErr w:type="spellStart"/>
      <w:r w:rsidRPr="006A625D">
        <w:t>sulfamethoxazol</w:t>
      </w:r>
      <w:proofErr w:type="spellEnd"/>
      <w:r w:rsidRPr="006A625D">
        <w:t xml:space="preserve">, </w:t>
      </w:r>
      <w:proofErr w:type="spellStart"/>
      <w:r w:rsidRPr="006A625D">
        <w:t>chloramphenicol</w:t>
      </w:r>
      <w:proofErr w:type="spellEnd"/>
      <w:r w:rsidRPr="006A625D">
        <w:t xml:space="preserve">, </w:t>
      </w:r>
      <w:proofErr w:type="spellStart"/>
      <w:r w:rsidRPr="006A625D">
        <w:t>pyrimethamin</w:t>
      </w:r>
      <w:proofErr w:type="spellEnd"/>
      <w:r w:rsidRPr="006A625D">
        <w:t xml:space="preserve">) skal risikoen for </w:t>
      </w:r>
      <w:proofErr w:type="spellStart"/>
      <w:r w:rsidRPr="006A625D">
        <w:t>hæmatopoietiske</w:t>
      </w:r>
      <w:proofErr w:type="spellEnd"/>
      <w:r w:rsidRPr="006A625D">
        <w:t xml:space="preserve"> forstyrrelser tages i betragtning. </w:t>
      </w:r>
    </w:p>
    <w:p w14:paraId="656B7DD1" w14:textId="77777777" w:rsidR="006A625D" w:rsidRPr="006A625D" w:rsidRDefault="006A625D" w:rsidP="006A625D">
      <w:pPr>
        <w:pStyle w:val="Default"/>
        <w:ind w:left="851"/>
      </w:pPr>
    </w:p>
    <w:p w14:paraId="67C6A95E" w14:textId="77777777" w:rsidR="006A625D" w:rsidRPr="006A625D" w:rsidRDefault="006A625D" w:rsidP="006A625D">
      <w:pPr>
        <w:pStyle w:val="Default"/>
        <w:ind w:left="851"/>
      </w:pPr>
      <w:r w:rsidRPr="006A625D">
        <w:lastRenderedPageBreak/>
        <w:t xml:space="preserve">Sideløbende behandling med lægemidler, der kan medføre </w:t>
      </w:r>
      <w:proofErr w:type="spellStart"/>
      <w:r w:rsidRPr="006A625D">
        <w:t>folsyremangel</w:t>
      </w:r>
      <w:proofErr w:type="spellEnd"/>
      <w:r w:rsidRPr="006A625D">
        <w:t xml:space="preserve"> (f.eks. sulfonamider og </w:t>
      </w:r>
      <w:proofErr w:type="spellStart"/>
      <w:r w:rsidRPr="006A625D">
        <w:t>trimethoprim</w:t>
      </w:r>
      <w:proofErr w:type="spellEnd"/>
      <w:r w:rsidRPr="006A625D">
        <w:t>/</w:t>
      </w:r>
      <w:proofErr w:type="spellStart"/>
      <w:r w:rsidRPr="006A625D">
        <w:t>sulfamethoxazol</w:t>
      </w:r>
      <w:proofErr w:type="spellEnd"/>
      <w:r w:rsidRPr="006A625D">
        <w:t xml:space="preserve">), kan medføre øget toksisk virkning af </w:t>
      </w:r>
      <w:proofErr w:type="spellStart"/>
      <w:r w:rsidRPr="006A625D">
        <w:t>methotrexat</w:t>
      </w:r>
      <w:proofErr w:type="spellEnd"/>
      <w:r w:rsidRPr="006A625D">
        <w:t xml:space="preserve">. Der skal derfor udvises særlig forsigtighed ved tidligere </w:t>
      </w:r>
      <w:proofErr w:type="spellStart"/>
      <w:r w:rsidRPr="006A625D">
        <w:t>folsyremangel</w:t>
      </w:r>
      <w:proofErr w:type="spellEnd"/>
      <w:r w:rsidRPr="006A625D">
        <w:t xml:space="preserve">. </w:t>
      </w:r>
    </w:p>
    <w:p w14:paraId="4B5C714F" w14:textId="77777777" w:rsidR="006A625D" w:rsidRPr="006A625D" w:rsidRDefault="006A625D" w:rsidP="006A625D">
      <w:pPr>
        <w:pStyle w:val="Default"/>
        <w:ind w:left="851"/>
      </w:pPr>
    </w:p>
    <w:p w14:paraId="3473CEB3" w14:textId="77777777" w:rsidR="006A625D" w:rsidRPr="006A625D" w:rsidRDefault="006A625D" w:rsidP="006A625D">
      <w:pPr>
        <w:pStyle w:val="Default"/>
        <w:ind w:left="851"/>
      </w:pPr>
      <w:r w:rsidRPr="006A625D">
        <w:t xml:space="preserve">Omvendt kan virkningen af </w:t>
      </w:r>
      <w:proofErr w:type="spellStart"/>
      <w:r w:rsidRPr="006A625D">
        <w:t>methotrexat</w:t>
      </w:r>
      <w:proofErr w:type="spellEnd"/>
      <w:r w:rsidRPr="006A625D">
        <w:t xml:space="preserve"> blive nedsat ved samtidig administration af </w:t>
      </w:r>
      <w:proofErr w:type="spellStart"/>
      <w:r w:rsidRPr="006A625D">
        <w:t>folinsyre</w:t>
      </w:r>
      <w:proofErr w:type="spellEnd"/>
      <w:r w:rsidRPr="006A625D">
        <w:t xml:space="preserve"> eller vitaminpræparater med </w:t>
      </w:r>
      <w:proofErr w:type="spellStart"/>
      <w:r w:rsidRPr="006A625D">
        <w:t>folsyre</w:t>
      </w:r>
      <w:proofErr w:type="spellEnd"/>
      <w:r w:rsidRPr="006A625D">
        <w:t xml:space="preserve"> eller </w:t>
      </w:r>
      <w:proofErr w:type="spellStart"/>
      <w:r w:rsidRPr="006A625D">
        <w:t>folsyrederivater</w:t>
      </w:r>
      <w:proofErr w:type="spellEnd"/>
      <w:r w:rsidRPr="006A625D">
        <w:t xml:space="preserve">. </w:t>
      </w:r>
    </w:p>
    <w:p w14:paraId="59CD6B30" w14:textId="77777777" w:rsidR="006A625D" w:rsidRPr="006A625D" w:rsidRDefault="006A625D" w:rsidP="006A625D">
      <w:pPr>
        <w:widowControl w:val="0"/>
        <w:autoSpaceDE w:val="0"/>
        <w:autoSpaceDN w:val="0"/>
        <w:adjustRightInd w:val="0"/>
        <w:ind w:left="851"/>
        <w:rPr>
          <w:sz w:val="24"/>
          <w:szCs w:val="24"/>
        </w:rPr>
      </w:pPr>
    </w:p>
    <w:p w14:paraId="3895F930" w14:textId="77777777" w:rsidR="006A625D" w:rsidRPr="006A625D" w:rsidRDefault="006A625D" w:rsidP="006A625D">
      <w:pPr>
        <w:widowControl w:val="0"/>
        <w:autoSpaceDE w:val="0"/>
        <w:autoSpaceDN w:val="0"/>
        <w:adjustRightInd w:val="0"/>
        <w:ind w:left="851"/>
        <w:rPr>
          <w:sz w:val="24"/>
          <w:szCs w:val="24"/>
        </w:rPr>
      </w:pPr>
      <w:proofErr w:type="spellStart"/>
      <w:r w:rsidRPr="006A625D">
        <w:rPr>
          <w:sz w:val="24"/>
          <w:szCs w:val="24"/>
        </w:rPr>
        <w:t>Sulfasalazin</w:t>
      </w:r>
      <w:proofErr w:type="spellEnd"/>
      <w:r w:rsidRPr="006A625D">
        <w:rPr>
          <w:sz w:val="24"/>
          <w:szCs w:val="24"/>
        </w:rPr>
        <w:t xml:space="preserve"> kan i kombination med </w:t>
      </w:r>
      <w:proofErr w:type="spellStart"/>
      <w:r w:rsidRPr="006A625D">
        <w:rPr>
          <w:sz w:val="24"/>
          <w:szCs w:val="24"/>
        </w:rPr>
        <w:t>methotrexat</w:t>
      </w:r>
      <w:proofErr w:type="spellEnd"/>
      <w:r w:rsidRPr="006A625D">
        <w:rPr>
          <w:sz w:val="24"/>
          <w:szCs w:val="24"/>
        </w:rPr>
        <w:t xml:space="preserve"> forstærke virkningen af </w:t>
      </w:r>
      <w:proofErr w:type="spellStart"/>
      <w:r w:rsidRPr="006A625D">
        <w:rPr>
          <w:sz w:val="24"/>
          <w:szCs w:val="24"/>
        </w:rPr>
        <w:t>methotrexat</w:t>
      </w:r>
      <w:proofErr w:type="spellEnd"/>
      <w:r w:rsidRPr="006A625D">
        <w:rPr>
          <w:sz w:val="24"/>
          <w:szCs w:val="24"/>
        </w:rPr>
        <w:t xml:space="preserve"> ved at hæmme syntesen af </w:t>
      </w:r>
      <w:proofErr w:type="spellStart"/>
      <w:r w:rsidRPr="006A625D">
        <w:rPr>
          <w:sz w:val="24"/>
          <w:szCs w:val="24"/>
        </w:rPr>
        <w:t>folsyre</w:t>
      </w:r>
      <w:proofErr w:type="spellEnd"/>
      <w:r w:rsidRPr="006A625D">
        <w:rPr>
          <w:sz w:val="24"/>
          <w:szCs w:val="24"/>
        </w:rPr>
        <w:t xml:space="preserve">. Dette kan øge risikoen for bivirkninger, men dette er dog kun set hos enkelte patienter i mange studier. </w:t>
      </w:r>
    </w:p>
    <w:p w14:paraId="6C857DBA" w14:textId="77777777" w:rsidR="006A625D" w:rsidRPr="006A625D" w:rsidRDefault="006A625D" w:rsidP="006A625D">
      <w:pPr>
        <w:widowControl w:val="0"/>
        <w:autoSpaceDE w:val="0"/>
        <w:autoSpaceDN w:val="0"/>
        <w:adjustRightInd w:val="0"/>
        <w:ind w:left="851" w:hanging="851"/>
        <w:rPr>
          <w:sz w:val="24"/>
          <w:szCs w:val="24"/>
        </w:rPr>
      </w:pPr>
    </w:p>
    <w:p w14:paraId="583539DC" w14:textId="77777777" w:rsidR="006A625D" w:rsidRPr="006A625D" w:rsidRDefault="006A625D" w:rsidP="006A625D">
      <w:pPr>
        <w:widowControl w:val="0"/>
        <w:autoSpaceDE w:val="0"/>
        <w:autoSpaceDN w:val="0"/>
        <w:adjustRightInd w:val="0"/>
        <w:ind w:left="851"/>
        <w:rPr>
          <w:sz w:val="24"/>
          <w:szCs w:val="24"/>
        </w:rPr>
      </w:pPr>
      <w:proofErr w:type="spellStart"/>
      <w:r w:rsidRPr="006A625D">
        <w:rPr>
          <w:sz w:val="24"/>
          <w:szCs w:val="24"/>
        </w:rPr>
        <w:t>Cyclosporin</w:t>
      </w:r>
      <w:proofErr w:type="spellEnd"/>
      <w:r w:rsidRPr="006A625D">
        <w:rPr>
          <w:sz w:val="24"/>
          <w:szCs w:val="24"/>
        </w:rPr>
        <w:t xml:space="preserve"> kan potensere </w:t>
      </w:r>
      <w:proofErr w:type="spellStart"/>
      <w:r w:rsidRPr="006A625D">
        <w:rPr>
          <w:sz w:val="24"/>
          <w:szCs w:val="24"/>
        </w:rPr>
        <w:t>methotrexat</w:t>
      </w:r>
      <w:proofErr w:type="spellEnd"/>
      <w:r w:rsidRPr="006A625D">
        <w:rPr>
          <w:sz w:val="24"/>
          <w:szCs w:val="24"/>
        </w:rPr>
        <w:t xml:space="preserve">-effektivitet og toksicitet. Der er risiko for usædvanlig stor </w:t>
      </w:r>
      <w:proofErr w:type="spellStart"/>
      <w:r w:rsidRPr="006A625D">
        <w:rPr>
          <w:sz w:val="24"/>
          <w:szCs w:val="24"/>
        </w:rPr>
        <w:t>immunosuppression</w:t>
      </w:r>
      <w:proofErr w:type="spellEnd"/>
      <w:r w:rsidRPr="006A625D">
        <w:rPr>
          <w:sz w:val="24"/>
          <w:szCs w:val="24"/>
        </w:rPr>
        <w:t xml:space="preserve"> med risiko for </w:t>
      </w:r>
      <w:proofErr w:type="spellStart"/>
      <w:r w:rsidRPr="006A625D">
        <w:rPr>
          <w:sz w:val="24"/>
          <w:szCs w:val="24"/>
        </w:rPr>
        <w:t>lymfoproliferation</w:t>
      </w:r>
      <w:proofErr w:type="spellEnd"/>
      <w:r w:rsidRPr="006A625D">
        <w:rPr>
          <w:sz w:val="24"/>
          <w:szCs w:val="24"/>
        </w:rPr>
        <w:t>, når kombinationen anvendes.</w:t>
      </w:r>
    </w:p>
    <w:p w14:paraId="0CF99F57" w14:textId="77777777" w:rsidR="006A625D" w:rsidRPr="006A625D" w:rsidRDefault="006A625D" w:rsidP="006A625D">
      <w:pPr>
        <w:widowControl w:val="0"/>
        <w:autoSpaceDE w:val="0"/>
        <w:autoSpaceDN w:val="0"/>
        <w:adjustRightInd w:val="0"/>
        <w:ind w:left="851"/>
        <w:rPr>
          <w:sz w:val="24"/>
          <w:szCs w:val="24"/>
        </w:rPr>
      </w:pPr>
    </w:p>
    <w:p w14:paraId="5F628E17" w14:textId="77777777" w:rsidR="006A625D" w:rsidRPr="006A625D" w:rsidRDefault="006A625D" w:rsidP="006A625D">
      <w:pPr>
        <w:widowControl w:val="0"/>
        <w:autoSpaceDE w:val="0"/>
        <w:autoSpaceDN w:val="0"/>
        <w:adjustRightInd w:val="0"/>
        <w:ind w:left="851"/>
        <w:rPr>
          <w:sz w:val="24"/>
          <w:szCs w:val="24"/>
        </w:rPr>
      </w:pPr>
      <w:r w:rsidRPr="006A625D">
        <w:rPr>
          <w:sz w:val="24"/>
          <w:szCs w:val="24"/>
        </w:rPr>
        <w:t xml:space="preserve">Anvendelse af </w:t>
      </w:r>
      <w:proofErr w:type="spellStart"/>
      <w:r w:rsidRPr="006A625D">
        <w:rPr>
          <w:sz w:val="24"/>
          <w:szCs w:val="24"/>
        </w:rPr>
        <w:t>dinitrogenoxid</w:t>
      </w:r>
      <w:proofErr w:type="spellEnd"/>
      <w:r w:rsidRPr="006A625D">
        <w:rPr>
          <w:sz w:val="24"/>
          <w:szCs w:val="24"/>
        </w:rPr>
        <w:t xml:space="preserve"> forstærker </w:t>
      </w:r>
      <w:proofErr w:type="spellStart"/>
      <w:r w:rsidRPr="006A625D">
        <w:rPr>
          <w:sz w:val="24"/>
          <w:szCs w:val="24"/>
        </w:rPr>
        <w:t>methotrexats</w:t>
      </w:r>
      <w:proofErr w:type="spellEnd"/>
      <w:r w:rsidRPr="006A625D">
        <w:rPr>
          <w:sz w:val="24"/>
          <w:szCs w:val="24"/>
        </w:rPr>
        <w:t xml:space="preserve"> virkning på </w:t>
      </w:r>
      <w:proofErr w:type="spellStart"/>
      <w:r w:rsidRPr="006A625D">
        <w:rPr>
          <w:sz w:val="24"/>
          <w:szCs w:val="24"/>
        </w:rPr>
        <w:t>metaboliseringen</w:t>
      </w:r>
      <w:proofErr w:type="spellEnd"/>
      <w:r w:rsidRPr="006A625D">
        <w:rPr>
          <w:sz w:val="24"/>
          <w:szCs w:val="24"/>
        </w:rPr>
        <w:t xml:space="preserve"> af </w:t>
      </w:r>
      <w:proofErr w:type="spellStart"/>
      <w:r w:rsidRPr="006A625D">
        <w:rPr>
          <w:sz w:val="24"/>
          <w:szCs w:val="24"/>
        </w:rPr>
        <w:t>folat</w:t>
      </w:r>
      <w:proofErr w:type="spellEnd"/>
      <w:r w:rsidRPr="006A625D">
        <w:rPr>
          <w:sz w:val="24"/>
          <w:szCs w:val="24"/>
        </w:rPr>
        <w:t xml:space="preserve">, hvilket kan medføre øget toksicitet i form af f.eks. svær, uforudsigelig </w:t>
      </w:r>
      <w:proofErr w:type="spellStart"/>
      <w:r w:rsidRPr="006A625D">
        <w:rPr>
          <w:sz w:val="24"/>
          <w:szCs w:val="24"/>
        </w:rPr>
        <w:t>myelosuppression</w:t>
      </w:r>
      <w:proofErr w:type="spellEnd"/>
      <w:r w:rsidRPr="006A625D">
        <w:rPr>
          <w:sz w:val="24"/>
          <w:szCs w:val="24"/>
        </w:rPr>
        <w:t xml:space="preserve">, og </w:t>
      </w:r>
      <w:proofErr w:type="spellStart"/>
      <w:r w:rsidRPr="006A625D">
        <w:rPr>
          <w:sz w:val="24"/>
          <w:szCs w:val="24"/>
        </w:rPr>
        <w:t>stomatitis</w:t>
      </w:r>
      <w:proofErr w:type="spellEnd"/>
      <w:r w:rsidRPr="006A625D">
        <w:rPr>
          <w:sz w:val="24"/>
          <w:szCs w:val="24"/>
        </w:rPr>
        <w:t xml:space="preserve"> og, ved </w:t>
      </w:r>
      <w:proofErr w:type="spellStart"/>
      <w:r w:rsidRPr="006A625D">
        <w:rPr>
          <w:sz w:val="24"/>
          <w:szCs w:val="24"/>
        </w:rPr>
        <w:t>intratekal</w:t>
      </w:r>
      <w:proofErr w:type="spellEnd"/>
      <w:r w:rsidRPr="006A625D">
        <w:rPr>
          <w:sz w:val="24"/>
          <w:szCs w:val="24"/>
        </w:rPr>
        <w:t xml:space="preserve"> administration øget svær uforudsigelig </w:t>
      </w:r>
      <w:proofErr w:type="spellStart"/>
      <w:r w:rsidRPr="006A625D">
        <w:rPr>
          <w:sz w:val="24"/>
          <w:szCs w:val="24"/>
        </w:rPr>
        <w:t>neurotoksicitet</w:t>
      </w:r>
      <w:proofErr w:type="spellEnd"/>
      <w:r w:rsidRPr="006A625D">
        <w:rPr>
          <w:sz w:val="24"/>
          <w:szCs w:val="24"/>
        </w:rPr>
        <w:t xml:space="preserve">. Selvom denne interaktion kan reduceres ved at administrere </w:t>
      </w:r>
      <w:proofErr w:type="spellStart"/>
      <w:r w:rsidRPr="006A625D">
        <w:rPr>
          <w:sz w:val="24"/>
          <w:szCs w:val="24"/>
        </w:rPr>
        <w:t>calciumfolinat</w:t>
      </w:r>
      <w:proofErr w:type="spellEnd"/>
      <w:r w:rsidRPr="006A625D">
        <w:rPr>
          <w:sz w:val="24"/>
          <w:szCs w:val="24"/>
        </w:rPr>
        <w:t xml:space="preserve">, bør samtidig anvendelse af </w:t>
      </w:r>
      <w:proofErr w:type="spellStart"/>
      <w:r w:rsidRPr="006A625D">
        <w:rPr>
          <w:sz w:val="24"/>
          <w:szCs w:val="24"/>
        </w:rPr>
        <w:t>dinitrogenoxid</w:t>
      </w:r>
      <w:proofErr w:type="spellEnd"/>
      <w:r w:rsidRPr="006A625D">
        <w:rPr>
          <w:sz w:val="24"/>
          <w:szCs w:val="24"/>
        </w:rPr>
        <w:t xml:space="preserve"> og </w:t>
      </w:r>
      <w:proofErr w:type="spellStart"/>
      <w:r w:rsidRPr="006A625D">
        <w:rPr>
          <w:sz w:val="24"/>
          <w:szCs w:val="24"/>
        </w:rPr>
        <w:t>methotrexat</w:t>
      </w:r>
      <w:proofErr w:type="spellEnd"/>
      <w:r w:rsidRPr="006A625D">
        <w:rPr>
          <w:sz w:val="24"/>
          <w:szCs w:val="24"/>
        </w:rPr>
        <w:t xml:space="preserve"> undgås.</w:t>
      </w:r>
    </w:p>
    <w:p w14:paraId="62F1FF1D" w14:textId="77777777" w:rsidR="006A625D" w:rsidRPr="006A625D" w:rsidRDefault="006A625D" w:rsidP="006A625D">
      <w:pPr>
        <w:widowControl w:val="0"/>
        <w:autoSpaceDE w:val="0"/>
        <w:autoSpaceDN w:val="0"/>
        <w:adjustRightInd w:val="0"/>
        <w:ind w:left="851"/>
        <w:rPr>
          <w:sz w:val="24"/>
          <w:szCs w:val="24"/>
        </w:rPr>
      </w:pPr>
    </w:p>
    <w:p w14:paraId="78D4F7EA" w14:textId="77777777" w:rsidR="006A625D" w:rsidRPr="006A625D" w:rsidRDefault="006A625D" w:rsidP="006A625D">
      <w:pPr>
        <w:pStyle w:val="Default"/>
        <w:ind w:left="851"/>
      </w:pPr>
      <w:r w:rsidRPr="006A625D">
        <w:t xml:space="preserve">Samtidig administration af </w:t>
      </w:r>
      <w:proofErr w:type="spellStart"/>
      <w:r w:rsidRPr="006A625D">
        <w:t>protonpumpehæmmere</w:t>
      </w:r>
      <w:proofErr w:type="spellEnd"/>
      <w:r w:rsidRPr="006A625D">
        <w:t xml:space="preserve"> såsom </w:t>
      </w:r>
      <w:proofErr w:type="spellStart"/>
      <w:r w:rsidRPr="006A625D">
        <w:t>omeprazol</w:t>
      </w:r>
      <w:proofErr w:type="spellEnd"/>
      <w:r w:rsidRPr="006A625D">
        <w:t xml:space="preserve"> eller </w:t>
      </w:r>
      <w:proofErr w:type="spellStart"/>
      <w:r w:rsidRPr="006A625D">
        <w:t>pantoprazol</w:t>
      </w:r>
      <w:proofErr w:type="spellEnd"/>
      <w:r w:rsidRPr="006A625D">
        <w:t xml:space="preserve"> kan medføre interaktioner: Samtidig administration af </w:t>
      </w:r>
      <w:proofErr w:type="spellStart"/>
      <w:r w:rsidRPr="006A625D">
        <w:t>methotrexat</w:t>
      </w:r>
      <w:proofErr w:type="spellEnd"/>
      <w:r w:rsidRPr="006A625D">
        <w:t xml:space="preserve"> og </w:t>
      </w:r>
      <w:proofErr w:type="spellStart"/>
      <w:r w:rsidRPr="006A625D">
        <w:t>omeprazol</w:t>
      </w:r>
      <w:proofErr w:type="spellEnd"/>
      <w:r w:rsidRPr="006A625D">
        <w:t xml:space="preserve"> har medført forsinket </w:t>
      </w:r>
      <w:proofErr w:type="spellStart"/>
      <w:r w:rsidRPr="006A625D">
        <w:t>renal</w:t>
      </w:r>
      <w:proofErr w:type="spellEnd"/>
      <w:r w:rsidRPr="006A625D">
        <w:t xml:space="preserve"> udskillelse af </w:t>
      </w:r>
      <w:proofErr w:type="spellStart"/>
      <w:r w:rsidRPr="006A625D">
        <w:t>methotrexat</w:t>
      </w:r>
      <w:proofErr w:type="spellEnd"/>
      <w:r w:rsidRPr="006A625D">
        <w:t xml:space="preserve">. I ét tilfælde, hvor </w:t>
      </w:r>
      <w:proofErr w:type="spellStart"/>
      <w:r w:rsidRPr="006A625D">
        <w:t>methotrexat</w:t>
      </w:r>
      <w:proofErr w:type="spellEnd"/>
      <w:r w:rsidRPr="006A625D">
        <w:t xml:space="preserve"> blev administreret sammen med </w:t>
      </w:r>
      <w:proofErr w:type="spellStart"/>
      <w:r w:rsidRPr="006A625D">
        <w:t>pantoprazol</w:t>
      </w:r>
      <w:proofErr w:type="spellEnd"/>
      <w:r w:rsidRPr="006A625D">
        <w:t xml:space="preserve">, hæmmedes den </w:t>
      </w:r>
      <w:proofErr w:type="spellStart"/>
      <w:r w:rsidRPr="006A625D">
        <w:t>renale</w:t>
      </w:r>
      <w:proofErr w:type="spellEnd"/>
      <w:r w:rsidRPr="006A625D">
        <w:t xml:space="preserve"> udskillelse af metabolitten 7-hydroxymethotrexat, så der opstod myalgi og rysten. </w:t>
      </w:r>
    </w:p>
    <w:p w14:paraId="1D37B9EE" w14:textId="77777777" w:rsidR="006A625D" w:rsidRPr="006A625D" w:rsidRDefault="006A625D" w:rsidP="006A625D">
      <w:pPr>
        <w:pStyle w:val="Default"/>
        <w:ind w:left="851"/>
      </w:pPr>
    </w:p>
    <w:p w14:paraId="7DE4A4EA" w14:textId="77777777" w:rsidR="006A625D" w:rsidRPr="006A625D" w:rsidRDefault="006A625D" w:rsidP="006A625D">
      <w:pPr>
        <w:pStyle w:val="Default"/>
        <w:ind w:left="851"/>
      </w:pPr>
      <w:r w:rsidRPr="006A625D">
        <w:t xml:space="preserve">Anvendelse af </w:t>
      </w:r>
      <w:proofErr w:type="spellStart"/>
      <w:r w:rsidRPr="006A625D">
        <w:t>procarbazin</w:t>
      </w:r>
      <w:proofErr w:type="spellEnd"/>
      <w:r w:rsidRPr="006A625D">
        <w:t xml:space="preserve"> under </w:t>
      </w:r>
      <w:proofErr w:type="spellStart"/>
      <w:r w:rsidRPr="006A625D">
        <w:t>methotrexat</w:t>
      </w:r>
      <w:proofErr w:type="spellEnd"/>
      <w:r w:rsidRPr="006A625D">
        <w:t xml:space="preserve">-højdosisbehandling øger risikoen for nedsat nyrefunktion. </w:t>
      </w:r>
    </w:p>
    <w:p w14:paraId="4797B3D2" w14:textId="77777777" w:rsidR="006A625D" w:rsidRPr="006A625D" w:rsidRDefault="006A625D" w:rsidP="006A625D">
      <w:pPr>
        <w:pStyle w:val="Default"/>
        <w:ind w:left="851"/>
      </w:pPr>
    </w:p>
    <w:p w14:paraId="21DA6139" w14:textId="77777777" w:rsidR="006A625D" w:rsidRPr="006A625D" w:rsidRDefault="006A625D" w:rsidP="006A625D">
      <w:pPr>
        <w:pStyle w:val="Default"/>
        <w:ind w:left="851"/>
      </w:pPr>
      <w:r w:rsidRPr="006A625D">
        <w:t xml:space="preserve">Indtagelse af store mængder </w:t>
      </w:r>
      <w:proofErr w:type="spellStart"/>
      <w:r w:rsidRPr="006A625D">
        <w:t>caffein</w:t>
      </w:r>
      <w:proofErr w:type="spellEnd"/>
      <w:r w:rsidRPr="006A625D">
        <w:t xml:space="preserve">- eller </w:t>
      </w:r>
      <w:proofErr w:type="spellStart"/>
      <w:r w:rsidRPr="006A625D">
        <w:t>theophyllinholdige</w:t>
      </w:r>
      <w:proofErr w:type="spellEnd"/>
      <w:r w:rsidRPr="006A625D">
        <w:t xml:space="preserve"> drikkevarer (kaffe, drikkevarer tilsat koffein, sort te) bør undgås under behandling med </w:t>
      </w:r>
      <w:proofErr w:type="spellStart"/>
      <w:r w:rsidRPr="006A625D">
        <w:t>methotrexat</w:t>
      </w:r>
      <w:proofErr w:type="spellEnd"/>
      <w:r w:rsidRPr="006A625D">
        <w:t xml:space="preserve">, da </w:t>
      </w:r>
      <w:proofErr w:type="spellStart"/>
      <w:r w:rsidRPr="006A625D">
        <w:t>methotrexats</w:t>
      </w:r>
      <w:proofErr w:type="spellEnd"/>
      <w:r w:rsidRPr="006A625D">
        <w:t xml:space="preserve"> virkning kan nedsættes på grund af en mulig interaktion mellem </w:t>
      </w:r>
      <w:proofErr w:type="spellStart"/>
      <w:r w:rsidRPr="006A625D">
        <w:t>methotrexat</w:t>
      </w:r>
      <w:proofErr w:type="spellEnd"/>
      <w:r w:rsidRPr="006A625D">
        <w:t xml:space="preserve"> og </w:t>
      </w:r>
      <w:proofErr w:type="spellStart"/>
      <w:r w:rsidRPr="006A625D">
        <w:t>methylxanthiner</w:t>
      </w:r>
      <w:proofErr w:type="spellEnd"/>
      <w:r w:rsidRPr="006A625D">
        <w:t xml:space="preserve"> på </w:t>
      </w:r>
      <w:proofErr w:type="spellStart"/>
      <w:r w:rsidRPr="006A625D">
        <w:t>adenosinreceptorerne</w:t>
      </w:r>
      <w:proofErr w:type="spellEnd"/>
      <w:r w:rsidRPr="006A625D">
        <w:t xml:space="preserve">. </w:t>
      </w:r>
    </w:p>
    <w:p w14:paraId="51D08AB1" w14:textId="77777777" w:rsidR="006A625D" w:rsidRPr="006A625D" w:rsidRDefault="006A625D" w:rsidP="006A625D">
      <w:pPr>
        <w:pStyle w:val="Default"/>
        <w:ind w:left="851"/>
      </w:pPr>
    </w:p>
    <w:p w14:paraId="486590FA" w14:textId="77777777" w:rsidR="006A625D" w:rsidRPr="006A625D" w:rsidRDefault="006A625D" w:rsidP="006A625D">
      <w:pPr>
        <w:pStyle w:val="Default"/>
        <w:ind w:left="851"/>
      </w:pPr>
      <w:r w:rsidRPr="006A625D">
        <w:t xml:space="preserve">Kombinationsbehandling med </w:t>
      </w:r>
      <w:proofErr w:type="spellStart"/>
      <w:r w:rsidRPr="006A625D">
        <w:t>methotrexat</w:t>
      </w:r>
      <w:proofErr w:type="spellEnd"/>
      <w:r w:rsidRPr="006A625D">
        <w:t xml:space="preserve"> og </w:t>
      </w:r>
      <w:proofErr w:type="spellStart"/>
      <w:r w:rsidRPr="006A625D">
        <w:t>leflunomid</w:t>
      </w:r>
      <w:proofErr w:type="spellEnd"/>
      <w:r w:rsidRPr="006A625D">
        <w:t xml:space="preserve"> kan øge risikoen for </w:t>
      </w:r>
      <w:proofErr w:type="spellStart"/>
      <w:r w:rsidRPr="006A625D">
        <w:t>pancytopeni</w:t>
      </w:r>
      <w:proofErr w:type="spellEnd"/>
      <w:r w:rsidRPr="006A625D">
        <w:t xml:space="preserve">. </w:t>
      </w:r>
    </w:p>
    <w:p w14:paraId="7B779724" w14:textId="77777777" w:rsidR="006A625D" w:rsidRPr="006A625D" w:rsidRDefault="006A625D" w:rsidP="006A625D">
      <w:pPr>
        <w:pStyle w:val="Default"/>
        <w:ind w:left="851"/>
      </w:pPr>
    </w:p>
    <w:p w14:paraId="35EE357E" w14:textId="77777777" w:rsidR="006A625D" w:rsidRPr="006A625D" w:rsidRDefault="006A625D" w:rsidP="006A625D">
      <w:pPr>
        <w:pStyle w:val="Default"/>
        <w:ind w:left="851"/>
        <w:rPr>
          <w:color w:val="auto"/>
        </w:rPr>
      </w:pPr>
      <w:r w:rsidRPr="006A625D">
        <w:rPr>
          <w:color w:val="auto"/>
        </w:rPr>
        <w:t xml:space="preserve">Specielt i tilfælde af ortopædkirurgi skal der udvises forsigtighed ved kombinationsbehandling med </w:t>
      </w:r>
      <w:proofErr w:type="spellStart"/>
      <w:r w:rsidRPr="006A625D">
        <w:rPr>
          <w:color w:val="auto"/>
        </w:rPr>
        <w:t>methotrexat</w:t>
      </w:r>
      <w:proofErr w:type="spellEnd"/>
      <w:r w:rsidRPr="006A625D">
        <w:rPr>
          <w:color w:val="auto"/>
        </w:rPr>
        <w:t xml:space="preserve"> og immunmodulerende lægemidler på grund af den høje infektionsrisiko. </w:t>
      </w:r>
    </w:p>
    <w:p w14:paraId="0E86EE87" w14:textId="77777777" w:rsidR="006A625D" w:rsidRPr="006A625D" w:rsidRDefault="006A625D" w:rsidP="006A625D">
      <w:pPr>
        <w:pStyle w:val="Default"/>
        <w:ind w:left="851"/>
        <w:rPr>
          <w:color w:val="auto"/>
        </w:rPr>
      </w:pPr>
    </w:p>
    <w:p w14:paraId="69797D05" w14:textId="77777777" w:rsidR="006A625D" w:rsidRPr="006A625D" w:rsidRDefault="006A625D" w:rsidP="006A625D">
      <w:pPr>
        <w:pStyle w:val="Default"/>
        <w:ind w:left="851"/>
        <w:rPr>
          <w:color w:val="auto"/>
        </w:rPr>
      </w:pPr>
      <w:proofErr w:type="spellStart"/>
      <w:r w:rsidRPr="006A625D">
        <w:rPr>
          <w:color w:val="auto"/>
        </w:rPr>
        <w:t>Colestyramin</w:t>
      </w:r>
      <w:proofErr w:type="spellEnd"/>
      <w:r w:rsidRPr="006A625D">
        <w:rPr>
          <w:color w:val="auto"/>
        </w:rPr>
        <w:t xml:space="preserve"> kan øge den ikke-</w:t>
      </w:r>
      <w:proofErr w:type="spellStart"/>
      <w:r w:rsidRPr="006A625D">
        <w:rPr>
          <w:color w:val="auto"/>
        </w:rPr>
        <w:t>renale</w:t>
      </w:r>
      <w:proofErr w:type="spellEnd"/>
      <w:r w:rsidRPr="006A625D">
        <w:rPr>
          <w:color w:val="auto"/>
        </w:rPr>
        <w:t xml:space="preserve"> udskillelse af </w:t>
      </w:r>
      <w:proofErr w:type="spellStart"/>
      <w:r w:rsidRPr="006A625D">
        <w:rPr>
          <w:color w:val="auto"/>
        </w:rPr>
        <w:t>methotrexat</w:t>
      </w:r>
      <w:proofErr w:type="spellEnd"/>
      <w:r w:rsidRPr="006A625D">
        <w:rPr>
          <w:color w:val="auto"/>
        </w:rPr>
        <w:t xml:space="preserve"> ved at interferere med det </w:t>
      </w:r>
      <w:proofErr w:type="spellStart"/>
      <w:r w:rsidRPr="006A625D">
        <w:rPr>
          <w:color w:val="auto"/>
        </w:rPr>
        <w:t>enterohepatiske</w:t>
      </w:r>
      <w:proofErr w:type="spellEnd"/>
      <w:r w:rsidRPr="006A625D">
        <w:rPr>
          <w:color w:val="auto"/>
        </w:rPr>
        <w:t xml:space="preserve"> kredsløb. </w:t>
      </w:r>
    </w:p>
    <w:p w14:paraId="74BE09B2" w14:textId="77777777" w:rsidR="006A625D" w:rsidRPr="006A625D" w:rsidRDefault="006A625D" w:rsidP="006A625D">
      <w:pPr>
        <w:pStyle w:val="Default"/>
        <w:ind w:left="851"/>
        <w:rPr>
          <w:color w:val="auto"/>
        </w:rPr>
      </w:pPr>
    </w:p>
    <w:p w14:paraId="3986EC8C" w14:textId="77777777" w:rsidR="006A625D" w:rsidRPr="006A625D" w:rsidRDefault="006A625D" w:rsidP="006A625D">
      <w:pPr>
        <w:pStyle w:val="Default"/>
        <w:ind w:left="851"/>
        <w:rPr>
          <w:color w:val="auto"/>
        </w:rPr>
      </w:pPr>
      <w:r w:rsidRPr="006A625D">
        <w:rPr>
          <w:color w:val="auto"/>
        </w:rPr>
        <w:t xml:space="preserve">Ved kombination med andre </w:t>
      </w:r>
      <w:proofErr w:type="spellStart"/>
      <w:r w:rsidRPr="006A625D">
        <w:rPr>
          <w:color w:val="auto"/>
        </w:rPr>
        <w:t>cytostatiske</w:t>
      </w:r>
      <w:proofErr w:type="spellEnd"/>
      <w:r w:rsidRPr="006A625D">
        <w:rPr>
          <w:color w:val="auto"/>
        </w:rPr>
        <w:t xml:space="preserve"> lægemidler skal muligheden for forsinket </w:t>
      </w:r>
      <w:proofErr w:type="spellStart"/>
      <w:r w:rsidRPr="006A625D">
        <w:rPr>
          <w:color w:val="auto"/>
        </w:rPr>
        <w:t>clearance</w:t>
      </w:r>
      <w:proofErr w:type="spellEnd"/>
      <w:r w:rsidRPr="006A625D">
        <w:rPr>
          <w:color w:val="auto"/>
        </w:rPr>
        <w:t xml:space="preserve"> af </w:t>
      </w:r>
      <w:proofErr w:type="spellStart"/>
      <w:r w:rsidRPr="006A625D">
        <w:rPr>
          <w:color w:val="auto"/>
        </w:rPr>
        <w:t>methotrexat</w:t>
      </w:r>
      <w:proofErr w:type="spellEnd"/>
      <w:r w:rsidRPr="006A625D">
        <w:rPr>
          <w:color w:val="auto"/>
        </w:rPr>
        <w:t xml:space="preserve"> tages i betragtning. </w:t>
      </w:r>
    </w:p>
    <w:p w14:paraId="082D8C82" w14:textId="77777777" w:rsidR="006A625D" w:rsidRPr="006A625D" w:rsidRDefault="006A625D" w:rsidP="006A625D">
      <w:pPr>
        <w:pStyle w:val="Default"/>
        <w:ind w:left="851"/>
        <w:rPr>
          <w:color w:val="auto"/>
        </w:rPr>
      </w:pPr>
    </w:p>
    <w:p w14:paraId="5673FBF1" w14:textId="77777777" w:rsidR="006A625D" w:rsidRPr="006A625D" w:rsidRDefault="006A625D" w:rsidP="006A625D">
      <w:pPr>
        <w:pStyle w:val="Default"/>
        <w:ind w:left="851"/>
        <w:rPr>
          <w:color w:val="auto"/>
        </w:rPr>
      </w:pPr>
      <w:r w:rsidRPr="006A625D">
        <w:rPr>
          <w:color w:val="auto"/>
        </w:rPr>
        <w:t xml:space="preserve">Strålebehandling under brug af </w:t>
      </w:r>
      <w:proofErr w:type="spellStart"/>
      <w:r w:rsidRPr="006A625D">
        <w:rPr>
          <w:color w:val="auto"/>
        </w:rPr>
        <w:t>methotrexat</w:t>
      </w:r>
      <w:proofErr w:type="spellEnd"/>
      <w:r w:rsidRPr="006A625D">
        <w:rPr>
          <w:color w:val="auto"/>
        </w:rPr>
        <w:t xml:space="preserve"> kan øge risikoen for </w:t>
      </w:r>
      <w:proofErr w:type="spellStart"/>
      <w:r w:rsidRPr="006A625D">
        <w:rPr>
          <w:color w:val="auto"/>
        </w:rPr>
        <w:t>bløddels-</w:t>
      </w:r>
      <w:proofErr w:type="spellEnd"/>
      <w:r w:rsidRPr="006A625D">
        <w:rPr>
          <w:color w:val="auto"/>
        </w:rPr>
        <w:t xml:space="preserve"> og knoglenekrose. </w:t>
      </w:r>
    </w:p>
    <w:p w14:paraId="3A95268A" w14:textId="77777777" w:rsidR="006A625D" w:rsidRPr="006A625D" w:rsidRDefault="006A625D" w:rsidP="006A625D">
      <w:pPr>
        <w:pStyle w:val="Default"/>
        <w:ind w:left="851"/>
        <w:rPr>
          <w:color w:val="auto"/>
        </w:rPr>
      </w:pPr>
    </w:p>
    <w:p w14:paraId="06F45BBF" w14:textId="77777777" w:rsidR="006A625D" w:rsidRPr="006A625D" w:rsidRDefault="006A625D" w:rsidP="006A625D">
      <w:pPr>
        <w:pStyle w:val="Default"/>
        <w:ind w:left="851"/>
        <w:rPr>
          <w:color w:val="auto"/>
        </w:rPr>
      </w:pPr>
      <w:proofErr w:type="spellStart"/>
      <w:r w:rsidRPr="006A625D">
        <w:rPr>
          <w:color w:val="auto"/>
        </w:rPr>
        <w:lastRenderedPageBreak/>
        <w:t>Methotrexat</w:t>
      </w:r>
      <w:proofErr w:type="spellEnd"/>
      <w:r w:rsidRPr="006A625D">
        <w:rPr>
          <w:color w:val="auto"/>
        </w:rPr>
        <w:t xml:space="preserve"> kan nedsætte </w:t>
      </w:r>
      <w:proofErr w:type="spellStart"/>
      <w:r w:rsidRPr="006A625D">
        <w:rPr>
          <w:color w:val="auto"/>
        </w:rPr>
        <w:t>theophyllins</w:t>
      </w:r>
      <w:proofErr w:type="spellEnd"/>
      <w:r w:rsidRPr="006A625D">
        <w:rPr>
          <w:color w:val="auto"/>
        </w:rPr>
        <w:t xml:space="preserve"> </w:t>
      </w:r>
      <w:proofErr w:type="spellStart"/>
      <w:r w:rsidRPr="006A625D">
        <w:rPr>
          <w:color w:val="auto"/>
        </w:rPr>
        <w:t>clearance</w:t>
      </w:r>
      <w:proofErr w:type="spellEnd"/>
      <w:r w:rsidRPr="006A625D">
        <w:rPr>
          <w:color w:val="auto"/>
        </w:rPr>
        <w:t xml:space="preserve">. Ved samtidig behandling med </w:t>
      </w:r>
      <w:proofErr w:type="spellStart"/>
      <w:r w:rsidRPr="006A625D">
        <w:rPr>
          <w:color w:val="auto"/>
        </w:rPr>
        <w:t>methotrexat</w:t>
      </w:r>
      <w:proofErr w:type="spellEnd"/>
      <w:r w:rsidRPr="006A625D">
        <w:rPr>
          <w:color w:val="auto"/>
        </w:rPr>
        <w:t xml:space="preserve"> skal serum-</w:t>
      </w:r>
      <w:proofErr w:type="spellStart"/>
      <w:r w:rsidRPr="006A625D">
        <w:rPr>
          <w:color w:val="auto"/>
        </w:rPr>
        <w:t>theophyllin</w:t>
      </w:r>
      <w:proofErr w:type="spellEnd"/>
      <w:r w:rsidRPr="006A625D">
        <w:rPr>
          <w:color w:val="auto"/>
        </w:rPr>
        <w:t xml:space="preserve"> derfor monitoreres. </w:t>
      </w:r>
    </w:p>
    <w:p w14:paraId="6770592B" w14:textId="77777777" w:rsidR="006A625D" w:rsidRPr="006A625D" w:rsidRDefault="006A625D" w:rsidP="006A625D">
      <w:pPr>
        <w:pStyle w:val="Default"/>
        <w:ind w:left="851"/>
        <w:rPr>
          <w:color w:val="auto"/>
        </w:rPr>
      </w:pPr>
    </w:p>
    <w:p w14:paraId="5C19BBF5" w14:textId="77777777" w:rsidR="006A625D" w:rsidRPr="006A625D" w:rsidRDefault="006A625D" w:rsidP="006A625D">
      <w:pPr>
        <w:pStyle w:val="Default"/>
        <w:ind w:left="851"/>
        <w:rPr>
          <w:color w:val="auto"/>
        </w:rPr>
      </w:pPr>
      <w:r w:rsidRPr="006A625D">
        <w:rPr>
          <w:color w:val="auto"/>
        </w:rPr>
        <w:t xml:space="preserve">Samtidig administration af </w:t>
      </w:r>
      <w:proofErr w:type="spellStart"/>
      <w:r w:rsidRPr="006A625D">
        <w:rPr>
          <w:color w:val="auto"/>
        </w:rPr>
        <w:t>mercaptopurin</w:t>
      </w:r>
      <w:proofErr w:type="spellEnd"/>
      <w:r w:rsidRPr="006A625D">
        <w:rPr>
          <w:color w:val="auto"/>
        </w:rPr>
        <w:t xml:space="preserve"> og </w:t>
      </w:r>
      <w:proofErr w:type="spellStart"/>
      <w:r w:rsidRPr="006A625D">
        <w:rPr>
          <w:color w:val="auto"/>
        </w:rPr>
        <w:t>methotrexat</w:t>
      </w:r>
      <w:proofErr w:type="spellEnd"/>
      <w:r w:rsidRPr="006A625D">
        <w:rPr>
          <w:color w:val="auto"/>
        </w:rPr>
        <w:t xml:space="preserve"> kan øge </w:t>
      </w:r>
      <w:proofErr w:type="spellStart"/>
      <w:r w:rsidRPr="006A625D">
        <w:rPr>
          <w:color w:val="auto"/>
        </w:rPr>
        <w:t>mercaptopurins</w:t>
      </w:r>
      <w:proofErr w:type="spellEnd"/>
      <w:r w:rsidRPr="006A625D">
        <w:rPr>
          <w:color w:val="auto"/>
        </w:rPr>
        <w:t xml:space="preserve"> biotilgængelighed, muligvis på grund af </w:t>
      </w:r>
      <w:proofErr w:type="spellStart"/>
      <w:r w:rsidRPr="006A625D">
        <w:rPr>
          <w:color w:val="auto"/>
        </w:rPr>
        <w:t>mercaptopurins</w:t>
      </w:r>
      <w:proofErr w:type="spellEnd"/>
      <w:r w:rsidRPr="006A625D">
        <w:rPr>
          <w:color w:val="auto"/>
        </w:rPr>
        <w:t xml:space="preserve"> hæmmede </w:t>
      </w:r>
      <w:proofErr w:type="spellStart"/>
      <w:r w:rsidRPr="006A625D">
        <w:rPr>
          <w:color w:val="auto"/>
        </w:rPr>
        <w:t>metabolisering</w:t>
      </w:r>
      <w:proofErr w:type="spellEnd"/>
      <w:r w:rsidRPr="006A625D">
        <w:rPr>
          <w:color w:val="auto"/>
        </w:rPr>
        <w:t xml:space="preserve">. </w:t>
      </w:r>
    </w:p>
    <w:p w14:paraId="624C9113" w14:textId="77777777" w:rsidR="006A625D" w:rsidRPr="006A625D" w:rsidRDefault="006A625D" w:rsidP="006A625D">
      <w:pPr>
        <w:widowControl w:val="0"/>
        <w:autoSpaceDE w:val="0"/>
        <w:autoSpaceDN w:val="0"/>
        <w:adjustRightInd w:val="0"/>
        <w:ind w:left="851"/>
        <w:rPr>
          <w:sz w:val="24"/>
          <w:szCs w:val="24"/>
        </w:rPr>
      </w:pPr>
    </w:p>
    <w:p w14:paraId="2E667566" w14:textId="77777777" w:rsidR="006A625D" w:rsidRPr="006A625D" w:rsidRDefault="006A625D" w:rsidP="006A625D">
      <w:pPr>
        <w:widowControl w:val="0"/>
        <w:autoSpaceDE w:val="0"/>
        <w:autoSpaceDN w:val="0"/>
        <w:adjustRightInd w:val="0"/>
        <w:ind w:left="851"/>
        <w:rPr>
          <w:sz w:val="24"/>
          <w:szCs w:val="24"/>
        </w:rPr>
      </w:pPr>
      <w:r w:rsidRPr="006A625D">
        <w:rPr>
          <w:sz w:val="24"/>
          <w:szCs w:val="24"/>
        </w:rPr>
        <w:t xml:space="preserve">På grund af </w:t>
      </w:r>
      <w:proofErr w:type="spellStart"/>
      <w:r w:rsidRPr="006A625D">
        <w:rPr>
          <w:sz w:val="24"/>
          <w:szCs w:val="24"/>
        </w:rPr>
        <w:t>methotrexats</w:t>
      </w:r>
      <w:proofErr w:type="spellEnd"/>
      <w:r w:rsidRPr="006A625D">
        <w:rPr>
          <w:sz w:val="24"/>
          <w:szCs w:val="24"/>
        </w:rPr>
        <w:t xml:space="preserve"> mulige virkninger på immunsystemet kan det være årsag til falske vaccinations- og prøveresultater (immunologiske procedurer til vurdering af immunreaktionen). Under behandling med </w:t>
      </w:r>
      <w:proofErr w:type="spellStart"/>
      <w:r w:rsidRPr="006A625D">
        <w:rPr>
          <w:sz w:val="24"/>
          <w:szCs w:val="24"/>
        </w:rPr>
        <w:t>methotrexat</w:t>
      </w:r>
      <w:proofErr w:type="spellEnd"/>
      <w:r w:rsidRPr="006A625D">
        <w:rPr>
          <w:sz w:val="24"/>
          <w:szCs w:val="24"/>
        </w:rPr>
        <w:t xml:space="preserve"> bør vaccination med levende vacciner undgås (se pkt. 4.3 og 4.4).</w:t>
      </w:r>
    </w:p>
    <w:p w14:paraId="2BB28852" w14:textId="77777777" w:rsidR="00A64E46" w:rsidRPr="00F74DF7" w:rsidRDefault="00A64E46" w:rsidP="00A64E46">
      <w:pPr>
        <w:tabs>
          <w:tab w:val="left" w:pos="851"/>
        </w:tabs>
        <w:ind w:left="851" w:hanging="851"/>
        <w:rPr>
          <w:sz w:val="24"/>
          <w:szCs w:val="24"/>
        </w:rPr>
      </w:pPr>
    </w:p>
    <w:p w14:paraId="7B248974" w14:textId="5AF42D50" w:rsidR="00A64E46" w:rsidRPr="00F74DF7" w:rsidRDefault="00A64E46" w:rsidP="00A64E46">
      <w:pPr>
        <w:tabs>
          <w:tab w:val="left" w:pos="851"/>
        </w:tabs>
        <w:ind w:left="851" w:hanging="851"/>
        <w:rPr>
          <w:b/>
          <w:sz w:val="24"/>
          <w:szCs w:val="24"/>
        </w:rPr>
      </w:pPr>
      <w:r w:rsidRPr="00F74DF7">
        <w:rPr>
          <w:b/>
          <w:sz w:val="24"/>
          <w:szCs w:val="24"/>
        </w:rPr>
        <w:t>4.6</w:t>
      </w:r>
      <w:r w:rsidRPr="00F74DF7">
        <w:rPr>
          <w:b/>
          <w:sz w:val="24"/>
          <w:szCs w:val="24"/>
        </w:rPr>
        <w:tab/>
      </w:r>
      <w:r w:rsidR="00DC65CB">
        <w:rPr>
          <w:b/>
          <w:sz w:val="24"/>
          <w:szCs w:val="24"/>
        </w:rPr>
        <w:t>Fertilitet, g</w:t>
      </w:r>
      <w:r w:rsidRPr="00F74DF7">
        <w:rPr>
          <w:b/>
          <w:sz w:val="24"/>
          <w:szCs w:val="24"/>
        </w:rPr>
        <w:t>raviditet og amning</w:t>
      </w:r>
    </w:p>
    <w:p w14:paraId="43BA14E9" w14:textId="77777777" w:rsidR="006A625D" w:rsidRPr="006A625D" w:rsidRDefault="006A625D" w:rsidP="006A625D">
      <w:pPr>
        <w:pStyle w:val="Default"/>
        <w:ind w:left="851"/>
      </w:pPr>
    </w:p>
    <w:p w14:paraId="54C10C87" w14:textId="77777777" w:rsidR="006A625D" w:rsidRPr="006A625D" w:rsidRDefault="006A625D" w:rsidP="006A625D">
      <w:pPr>
        <w:pStyle w:val="Default"/>
        <w:ind w:left="851"/>
        <w:rPr>
          <w:u w:val="single"/>
        </w:rPr>
      </w:pPr>
      <w:r w:rsidRPr="006A625D">
        <w:rPr>
          <w:u w:val="single"/>
        </w:rPr>
        <w:t xml:space="preserve">Kvinder i den fertile alder/Antikonception til kvinder </w:t>
      </w:r>
    </w:p>
    <w:p w14:paraId="0D0A87BD" w14:textId="77777777" w:rsidR="006A625D" w:rsidRPr="006A625D" w:rsidRDefault="006A625D" w:rsidP="006A625D">
      <w:pPr>
        <w:pStyle w:val="Default"/>
        <w:ind w:left="851"/>
      </w:pPr>
      <w:r w:rsidRPr="006A625D">
        <w:t xml:space="preserve">Kvinder må ikke blive gravide under behandling med </w:t>
      </w:r>
      <w:proofErr w:type="spellStart"/>
      <w:r w:rsidRPr="006A625D">
        <w:t>methotrexat</w:t>
      </w:r>
      <w:proofErr w:type="spellEnd"/>
      <w:r w:rsidRPr="006A625D">
        <w:t xml:space="preserve">; effektiv antikonception skal anvendes under behandling med </w:t>
      </w:r>
      <w:proofErr w:type="spellStart"/>
      <w:r w:rsidRPr="006A625D">
        <w:t>methotrexat</w:t>
      </w:r>
      <w:proofErr w:type="spellEnd"/>
      <w:r w:rsidRPr="006A625D">
        <w:t xml:space="preserve"> og i mindst 6 måneder efter behandlingen er afsluttet (se pkt. 4.4). Inden behandlingen påbegyndes, skal fertile kvinder oplyses om risikoen for misdannelser forbundet med </w:t>
      </w:r>
      <w:proofErr w:type="spellStart"/>
      <w:r w:rsidRPr="006A625D">
        <w:t>methotrexat</w:t>
      </w:r>
      <w:proofErr w:type="spellEnd"/>
      <w:r w:rsidRPr="006A625D">
        <w:t xml:space="preserve">, og enhver eksisterende graviditet skal udelukkes med sikkerhed ved at træffe passende foranstaltninger, f.eks. en graviditetstest. Under behandling bør graviditetstests gentages som klinisk påkrævet (fx efter et hvilket som helst præventionssvigt). Kvindelige patienter med reproduktivt potentiale skal rådgives om graviditetsforebyggelse og planlægning. </w:t>
      </w:r>
    </w:p>
    <w:p w14:paraId="68061854" w14:textId="77777777" w:rsidR="006A625D" w:rsidRPr="006A625D" w:rsidRDefault="006A625D" w:rsidP="006A625D">
      <w:pPr>
        <w:pStyle w:val="Default"/>
        <w:ind w:left="851"/>
      </w:pPr>
    </w:p>
    <w:p w14:paraId="4CE030F9" w14:textId="77777777" w:rsidR="006A625D" w:rsidRPr="006A625D" w:rsidRDefault="006A625D" w:rsidP="006A625D">
      <w:pPr>
        <w:pStyle w:val="Default"/>
        <w:ind w:left="851"/>
        <w:rPr>
          <w:u w:val="single"/>
        </w:rPr>
      </w:pPr>
      <w:r w:rsidRPr="006A625D">
        <w:rPr>
          <w:u w:val="single"/>
        </w:rPr>
        <w:t xml:space="preserve">Antikonception til mænd </w:t>
      </w:r>
    </w:p>
    <w:p w14:paraId="4FC38DDB" w14:textId="77777777" w:rsidR="006A625D" w:rsidRPr="006A625D" w:rsidRDefault="006A625D" w:rsidP="006A625D">
      <w:pPr>
        <w:pStyle w:val="Default"/>
        <w:ind w:left="851"/>
      </w:pPr>
      <w:r w:rsidRPr="006A625D">
        <w:t xml:space="preserve">Det vides ikke, om </w:t>
      </w:r>
      <w:proofErr w:type="spellStart"/>
      <w:r w:rsidRPr="006A625D">
        <w:t>methotrexat</w:t>
      </w:r>
      <w:proofErr w:type="spellEnd"/>
      <w:r w:rsidRPr="006A625D">
        <w:t xml:space="preserve"> er til stede i sæd. </w:t>
      </w:r>
      <w:proofErr w:type="spellStart"/>
      <w:r w:rsidRPr="006A625D">
        <w:t>Methotrexat</w:t>
      </w:r>
      <w:proofErr w:type="spellEnd"/>
      <w:r w:rsidRPr="006A625D">
        <w:t xml:space="preserve"> har vist sig at være genotoksisk i dyreforsøg, således at risikoen for genotoksiske virkninger på sædceller ikke helt kan udelukkes. Begrænset klinisk viden indikerer ikke en øget risiko for misdannelser eller abort efter </w:t>
      </w:r>
      <w:proofErr w:type="spellStart"/>
      <w:r w:rsidRPr="006A625D">
        <w:t>paternel</w:t>
      </w:r>
      <w:proofErr w:type="spellEnd"/>
      <w:r w:rsidRPr="006A625D">
        <w:t xml:space="preserve"> fostereksponering for </w:t>
      </w:r>
      <w:proofErr w:type="spellStart"/>
      <w:r w:rsidRPr="006A625D">
        <w:t>methotrexat</w:t>
      </w:r>
      <w:proofErr w:type="spellEnd"/>
      <w:r w:rsidRPr="006A625D">
        <w:t xml:space="preserve"> med lav dosis (mindre end 30 mg/uge). Ved højere doser er der utilstrækkelige data til at estimere risikoen for misdannelser eller abort efter </w:t>
      </w:r>
      <w:proofErr w:type="spellStart"/>
      <w:r w:rsidRPr="006A625D">
        <w:t>paternel</w:t>
      </w:r>
      <w:proofErr w:type="spellEnd"/>
      <w:r w:rsidRPr="006A625D">
        <w:t xml:space="preserve"> fostereksponering. </w:t>
      </w:r>
    </w:p>
    <w:p w14:paraId="1C25FCC0" w14:textId="77777777" w:rsidR="006A625D" w:rsidRPr="006A625D" w:rsidRDefault="006A625D" w:rsidP="006A625D">
      <w:pPr>
        <w:pStyle w:val="Default"/>
        <w:ind w:left="851"/>
      </w:pPr>
    </w:p>
    <w:p w14:paraId="785E24B1" w14:textId="1ABCAF43" w:rsidR="006A625D" w:rsidRPr="006A625D" w:rsidRDefault="006A625D" w:rsidP="006A625D">
      <w:pPr>
        <w:pStyle w:val="Default"/>
        <w:ind w:left="851"/>
      </w:pPr>
      <w:r w:rsidRPr="006A625D">
        <w:t xml:space="preserve">Som forebyggende foranstaltning anbefales seksuelt aktive mandlige patienter eller deres kvindelige partnere at anvende pålidelig antikonception under behandling af den mandlige patient og i mindst </w:t>
      </w:r>
      <w:r w:rsidR="00DC65CB">
        <w:t>3</w:t>
      </w:r>
      <w:r w:rsidRPr="006A625D">
        <w:t xml:space="preserve"> måneder efter ophør af </w:t>
      </w:r>
      <w:proofErr w:type="spellStart"/>
      <w:r w:rsidRPr="006A625D">
        <w:t>methotrexat</w:t>
      </w:r>
      <w:proofErr w:type="spellEnd"/>
      <w:r w:rsidRPr="006A625D">
        <w:t xml:space="preserve">. Mænd bør ikke donere sæd under behandlingen eller i </w:t>
      </w:r>
      <w:r w:rsidR="00DC65CB">
        <w:t>3</w:t>
      </w:r>
      <w:r w:rsidRPr="006A625D">
        <w:t xml:space="preserve"> måneder efter </w:t>
      </w:r>
      <w:proofErr w:type="spellStart"/>
      <w:r w:rsidRPr="006A625D">
        <w:t>seponering</w:t>
      </w:r>
      <w:proofErr w:type="spellEnd"/>
      <w:r w:rsidRPr="006A625D">
        <w:t xml:space="preserve"> af </w:t>
      </w:r>
      <w:proofErr w:type="spellStart"/>
      <w:r w:rsidRPr="006A625D">
        <w:t>methotrexat</w:t>
      </w:r>
      <w:proofErr w:type="spellEnd"/>
      <w:r w:rsidRPr="006A625D">
        <w:t xml:space="preserve">. </w:t>
      </w:r>
    </w:p>
    <w:p w14:paraId="4EB29D6D" w14:textId="77777777" w:rsidR="006A625D" w:rsidRPr="006A625D" w:rsidRDefault="006A625D" w:rsidP="006A625D">
      <w:pPr>
        <w:pStyle w:val="Default"/>
        <w:ind w:left="851"/>
      </w:pPr>
    </w:p>
    <w:p w14:paraId="354E33A4" w14:textId="77777777" w:rsidR="006A625D" w:rsidRPr="006A625D" w:rsidRDefault="006A625D" w:rsidP="006A625D">
      <w:pPr>
        <w:pStyle w:val="Default"/>
        <w:ind w:left="851"/>
        <w:rPr>
          <w:u w:val="single"/>
        </w:rPr>
      </w:pPr>
      <w:r w:rsidRPr="006A625D">
        <w:rPr>
          <w:u w:val="single"/>
        </w:rPr>
        <w:t xml:space="preserve">Graviditet </w:t>
      </w:r>
    </w:p>
    <w:p w14:paraId="141FFAA4" w14:textId="77777777" w:rsidR="006A625D" w:rsidRPr="006A625D" w:rsidRDefault="006A625D" w:rsidP="006A625D">
      <w:pPr>
        <w:pStyle w:val="Default"/>
        <w:ind w:left="851"/>
      </w:pPr>
      <w:r w:rsidRPr="006A625D">
        <w:t xml:space="preserve">Ved ikke-onkologiske indikationer er </w:t>
      </w:r>
      <w:proofErr w:type="spellStart"/>
      <w:r w:rsidRPr="006A625D">
        <w:t>methotrexat</w:t>
      </w:r>
      <w:proofErr w:type="spellEnd"/>
      <w:r w:rsidRPr="006A625D">
        <w:t xml:space="preserve"> kontraindiceret under graviditet (se pkt. 4.3). Hvis der opstår graviditet under behandling med </w:t>
      </w:r>
      <w:proofErr w:type="spellStart"/>
      <w:r w:rsidRPr="006A625D">
        <w:t>methotrexat</w:t>
      </w:r>
      <w:proofErr w:type="spellEnd"/>
      <w:r w:rsidRPr="006A625D">
        <w:t xml:space="preserve"> og i op til seks måneder derefter, skal der gives lægelig rådgivning vedrørende risikoen for skadelige virkninger på barnet i forbindelse med behandling, og der skal foretages ultralydsundersøgelser for at bekræfte normal fosterudvikling. </w:t>
      </w:r>
      <w:proofErr w:type="spellStart"/>
      <w:r w:rsidRPr="006A625D">
        <w:t>Methotrexat</w:t>
      </w:r>
      <w:proofErr w:type="spellEnd"/>
      <w:r w:rsidRPr="006A625D">
        <w:t xml:space="preserve"> har udvist reproduktionstoksicitet i dyrestudier, navnlig i første trimester (se pkt. 5.3). </w:t>
      </w:r>
      <w:proofErr w:type="spellStart"/>
      <w:r w:rsidRPr="006A625D">
        <w:t>Methotrexat</w:t>
      </w:r>
      <w:proofErr w:type="spellEnd"/>
      <w:r w:rsidRPr="006A625D">
        <w:t xml:space="preserve"> er påvist at være </w:t>
      </w:r>
      <w:proofErr w:type="spellStart"/>
      <w:r w:rsidRPr="006A625D">
        <w:t>teratogent</w:t>
      </w:r>
      <w:proofErr w:type="spellEnd"/>
      <w:r w:rsidRPr="006A625D">
        <w:t xml:space="preserve"> hos mennesker og er beskrevet at have medført fosterdød, spontanaborter og/eller medfødte misdannelser (fx </w:t>
      </w:r>
      <w:proofErr w:type="spellStart"/>
      <w:r w:rsidRPr="006A625D">
        <w:t>kraniofacale</w:t>
      </w:r>
      <w:proofErr w:type="spellEnd"/>
      <w:r w:rsidRPr="006A625D">
        <w:t xml:space="preserve">, </w:t>
      </w:r>
      <w:proofErr w:type="spellStart"/>
      <w:r w:rsidRPr="006A625D">
        <w:t>kardiovaskulære</w:t>
      </w:r>
      <w:proofErr w:type="spellEnd"/>
      <w:r w:rsidRPr="006A625D">
        <w:t xml:space="preserve">, centralnervesystem og ekstremitetsrelaterede). </w:t>
      </w:r>
    </w:p>
    <w:p w14:paraId="29DF13D0" w14:textId="77777777" w:rsidR="006A625D" w:rsidRPr="006A625D" w:rsidRDefault="006A625D" w:rsidP="006A625D">
      <w:pPr>
        <w:pStyle w:val="Default"/>
        <w:ind w:left="851"/>
      </w:pPr>
    </w:p>
    <w:p w14:paraId="6E07C8CF" w14:textId="77777777" w:rsidR="006A625D" w:rsidRPr="006A625D" w:rsidRDefault="006A625D" w:rsidP="006A625D">
      <w:pPr>
        <w:pStyle w:val="Default"/>
        <w:ind w:left="851"/>
        <w:rPr>
          <w:color w:val="auto"/>
        </w:rPr>
      </w:pPr>
      <w:proofErr w:type="spellStart"/>
      <w:r w:rsidRPr="006A625D">
        <w:t>Methotrexat</w:t>
      </w:r>
      <w:proofErr w:type="spellEnd"/>
      <w:r w:rsidRPr="006A625D">
        <w:t xml:space="preserve"> er et stærkt humant </w:t>
      </w:r>
      <w:proofErr w:type="spellStart"/>
      <w:r w:rsidRPr="006A625D">
        <w:t>teratogen</w:t>
      </w:r>
      <w:proofErr w:type="spellEnd"/>
      <w:r w:rsidRPr="006A625D">
        <w:t xml:space="preserve"> med en øget risiko for spontane aborter, intrauterin </w:t>
      </w:r>
      <w:r w:rsidRPr="006A625D">
        <w:rPr>
          <w:color w:val="auto"/>
        </w:rPr>
        <w:t xml:space="preserve">vækstrestriktion og medfødte misdannelser i tilfælde af eksponering under graviditet. </w:t>
      </w:r>
    </w:p>
    <w:p w14:paraId="3BAF9A85" w14:textId="77777777" w:rsidR="006A625D" w:rsidRPr="006A625D" w:rsidRDefault="006A625D" w:rsidP="006A625D">
      <w:pPr>
        <w:pStyle w:val="Default"/>
        <w:ind w:left="851"/>
        <w:rPr>
          <w:color w:val="auto"/>
        </w:rPr>
      </w:pPr>
    </w:p>
    <w:p w14:paraId="5AC7BAC1" w14:textId="77777777" w:rsidR="006A625D" w:rsidRPr="006A625D" w:rsidRDefault="006A625D" w:rsidP="006A625D">
      <w:pPr>
        <w:pStyle w:val="Default"/>
        <w:numPr>
          <w:ilvl w:val="0"/>
          <w:numId w:val="14"/>
        </w:numPr>
        <w:ind w:left="1418" w:hanging="567"/>
        <w:rPr>
          <w:color w:val="auto"/>
        </w:rPr>
      </w:pPr>
      <w:r w:rsidRPr="006A625D">
        <w:rPr>
          <w:color w:val="auto"/>
        </w:rPr>
        <w:lastRenderedPageBreak/>
        <w:t xml:space="preserve">Der er indberetninger om spontane aborter hos 42,5 % af gravide kvinder udsat for </w:t>
      </w:r>
      <w:proofErr w:type="spellStart"/>
      <w:r w:rsidRPr="006A625D">
        <w:rPr>
          <w:color w:val="auto"/>
        </w:rPr>
        <w:t>methotrexatbehandling</w:t>
      </w:r>
      <w:proofErr w:type="spellEnd"/>
      <w:r w:rsidRPr="006A625D">
        <w:rPr>
          <w:color w:val="auto"/>
        </w:rPr>
        <w:t xml:space="preserve"> med lav dosis (mindre end 30 mg/uge) sammenlignet med en indberettet andel på 22,5 % hos patienter med sygdomsrelateret behandling, der blev behandlet med andre lægemidler end </w:t>
      </w:r>
      <w:proofErr w:type="spellStart"/>
      <w:r w:rsidRPr="006A625D">
        <w:rPr>
          <w:color w:val="auto"/>
        </w:rPr>
        <w:t>methotrexat</w:t>
      </w:r>
      <w:proofErr w:type="spellEnd"/>
      <w:r w:rsidRPr="006A625D">
        <w:rPr>
          <w:color w:val="auto"/>
        </w:rPr>
        <w:t xml:space="preserve">. </w:t>
      </w:r>
    </w:p>
    <w:p w14:paraId="3B54612B" w14:textId="77777777" w:rsidR="006A625D" w:rsidRPr="006A625D" w:rsidRDefault="006A625D" w:rsidP="006A625D">
      <w:pPr>
        <w:pStyle w:val="Default"/>
        <w:ind w:left="1418" w:hanging="567"/>
        <w:rPr>
          <w:color w:val="auto"/>
        </w:rPr>
      </w:pPr>
    </w:p>
    <w:p w14:paraId="2F208D68" w14:textId="77777777" w:rsidR="006A625D" w:rsidRPr="006A625D" w:rsidRDefault="006A625D" w:rsidP="006A625D">
      <w:pPr>
        <w:pStyle w:val="Default"/>
        <w:numPr>
          <w:ilvl w:val="0"/>
          <w:numId w:val="14"/>
        </w:numPr>
        <w:ind w:left="1418" w:hanging="567"/>
        <w:rPr>
          <w:color w:val="auto"/>
        </w:rPr>
      </w:pPr>
      <w:r w:rsidRPr="006A625D">
        <w:rPr>
          <w:color w:val="auto"/>
        </w:rPr>
        <w:t xml:space="preserve">Der forekom større fødselsdefekter hos 6,6 % af levende fødsler hos kvinder udsat for </w:t>
      </w:r>
      <w:proofErr w:type="spellStart"/>
      <w:r w:rsidRPr="006A625D">
        <w:rPr>
          <w:color w:val="auto"/>
        </w:rPr>
        <w:t>methotrexat</w:t>
      </w:r>
      <w:proofErr w:type="spellEnd"/>
      <w:r w:rsidRPr="006A625D">
        <w:rPr>
          <w:color w:val="auto"/>
        </w:rPr>
        <w:t xml:space="preserve"> med lav dosis (mindre end 30 mg/uge) under graviditeten sammenlignet med ca. 4 % af levende fødsler hos patienter med sygdomsrelateret behandling, der blev behandlet med andre lægemidler end </w:t>
      </w:r>
      <w:proofErr w:type="spellStart"/>
      <w:r w:rsidRPr="006A625D">
        <w:rPr>
          <w:color w:val="auto"/>
        </w:rPr>
        <w:t>methotrexat</w:t>
      </w:r>
      <w:proofErr w:type="spellEnd"/>
      <w:r w:rsidRPr="006A625D">
        <w:rPr>
          <w:color w:val="auto"/>
        </w:rPr>
        <w:t xml:space="preserve">. </w:t>
      </w:r>
    </w:p>
    <w:p w14:paraId="0EDDA002" w14:textId="77777777" w:rsidR="006A625D" w:rsidRPr="006A625D" w:rsidRDefault="006A625D" w:rsidP="006A625D">
      <w:pPr>
        <w:pStyle w:val="Default"/>
        <w:ind w:left="851"/>
        <w:rPr>
          <w:color w:val="auto"/>
        </w:rPr>
      </w:pPr>
    </w:p>
    <w:p w14:paraId="67501C4E" w14:textId="77777777" w:rsidR="006A625D" w:rsidRPr="006A625D" w:rsidRDefault="006A625D" w:rsidP="006A625D">
      <w:pPr>
        <w:pStyle w:val="Default"/>
        <w:ind w:left="851"/>
        <w:rPr>
          <w:color w:val="auto"/>
        </w:rPr>
      </w:pPr>
      <w:r w:rsidRPr="006A625D">
        <w:rPr>
          <w:color w:val="auto"/>
        </w:rPr>
        <w:t xml:space="preserve">Der foreligger utilstrækkelige data for </w:t>
      </w:r>
      <w:proofErr w:type="spellStart"/>
      <w:r w:rsidRPr="006A625D">
        <w:rPr>
          <w:color w:val="auto"/>
        </w:rPr>
        <w:t>methotrexateksponering</w:t>
      </w:r>
      <w:proofErr w:type="spellEnd"/>
      <w:r w:rsidRPr="006A625D">
        <w:rPr>
          <w:color w:val="auto"/>
        </w:rPr>
        <w:t xml:space="preserve"> under graviditet højere end 30 mg/uge, men der forventes højere antal spontane aborter og medfødte misdannelser, især ved doser, der almindeligvis anvendes i onkologiske indikationer </w:t>
      </w:r>
    </w:p>
    <w:p w14:paraId="075AC34B" w14:textId="77777777" w:rsidR="006A625D" w:rsidRPr="006A625D" w:rsidRDefault="006A625D" w:rsidP="006A625D">
      <w:pPr>
        <w:pStyle w:val="Default"/>
        <w:ind w:left="851"/>
        <w:rPr>
          <w:color w:val="auto"/>
        </w:rPr>
      </w:pPr>
    </w:p>
    <w:p w14:paraId="4002B763" w14:textId="77777777" w:rsidR="006A625D" w:rsidRPr="006A625D" w:rsidRDefault="006A625D" w:rsidP="006A625D">
      <w:pPr>
        <w:pStyle w:val="Default"/>
        <w:ind w:left="851"/>
        <w:rPr>
          <w:color w:val="auto"/>
        </w:rPr>
      </w:pPr>
      <w:r w:rsidRPr="006A625D">
        <w:rPr>
          <w:color w:val="auto"/>
        </w:rPr>
        <w:t xml:space="preserve">Der er beskrevet normale graviditeter, når </w:t>
      </w:r>
      <w:proofErr w:type="spellStart"/>
      <w:r w:rsidRPr="006A625D">
        <w:rPr>
          <w:color w:val="auto"/>
        </w:rPr>
        <w:t>methotrexat</w:t>
      </w:r>
      <w:proofErr w:type="spellEnd"/>
      <w:r w:rsidRPr="006A625D">
        <w:rPr>
          <w:color w:val="auto"/>
        </w:rPr>
        <w:t xml:space="preserve"> blev seponeret inden konception. </w:t>
      </w:r>
    </w:p>
    <w:p w14:paraId="43423212" w14:textId="77777777" w:rsidR="006A625D" w:rsidRPr="006A625D" w:rsidRDefault="006A625D" w:rsidP="006A625D">
      <w:pPr>
        <w:pStyle w:val="Default"/>
        <w:ind w:left="851"/>
        <w:rPr>
          <w:color w:val="auto"/>
        </w:rPr>
      </w:pPr>
    </w:p>
    <w:p w14:paraId="5D87C5F6" w14:textId="77777777" w:rsidR="006A625D" w:rsidRPr="006A625D" w:rsidRDefault="006A625D" w:rsidP="006A625D">
      <w:pPr>
        <w:pStyle w:val="Default"/>
        <w:ind w:left="851"/>
        <w:rPr>
          <w:color w:val="auto"/>
        </w:rPr>
      </w:pPr>
      <w:r w:rsidRPr="006A625D">
        <w:rPr>
          <w:color w:val="auto"/>
        </w:rPr>
        <w:t xml:space="preserve">Ved onkologiske indikationer bør </w:t>
      </w:r>
      <w:proofErr w:type="spellStart"/>
      <w:r w:rsidRPr="006A625D">
        <w:rPr>
          <w:color w:val="auto"/>
        </w:rPr>
        <w:t>methotrexat</w:t>
      </w:r>
      <w:proofErr w:type="spellEnd"/>
      <w:r w:rsidRPr="006A625D">
        <w:rPr>
          <w:color w:val="auto"/>
        </w:rPr>
        <w:t xml:space="preserve"> ikke administreres ved graviditet, specielt ikke i første trimester. Fordelene ved behandling skal i hvert enkelt tilfælde opvejes mod den mulige risiko for fostret. Hvis lægemidlet anvendes under graviditet, eller hvis der opstår graviditet under behandlingen med </w:t>
      </w:r>
      <w:proofErr w:type="spellStart"/>
      <w:r w:rsidRPr="006A625D">
        <w:rPr>
          <w:color w:val="auto"/>
        </w:rPr>
        <w:t>methotrexat</w:t>
      </w:r>
      <w:proofErr w:type="spellEnd"/>
      <w:r w:rsidRPr="006A625D">
        <w:rPr>
          <w:color w:val="auto"/>
        </w:rPr>
        <w:t xml:space="preserve">, skal patienten oplyses om den mulige risiko for fostret. </w:t>
      </w:r>
    </w:p>
    <w:p w14:paraId="3CC25E03" w14:textId="77777777" w:rsidR="006A625D" w:rsidRPr="006A625D" w:rsidRDefault="006A625D" w:rsidP="006A625D">
      <w:pPr>
        <w:pStyle w:val="Default"/>
        <w:ind w:left="851"/>
        <w:rPr>
          <w:color w:val="auto"/>
        </w:rPr>
      </w:pPr>
    </w:p>
    <w:p w14:paraId="079D654C" w14:textId="77777777" w:rsidR="006A625D" w:rsidRPr="006A625D" w:rsidRDefault="006A625D" w:rsidP="006A625D">
      <w:pPr>
        <w:pStyle w:val="Default"/>
        <w:ind w:left="851"/>
        <w:rPr>
          <w:color w:val="auto"/>
          <w:u w:val="single"/>
        </w:rPr>
      </w:pPr>
      <w:r w:rsidRPr="006A625D">
        <w:rPr>
          <w:color w:val="auto"/>
          <w:u w:val="single"/>
        </w:rPr>
        <w:t xml:space="preserve">Amning </w:t>
      </w:r>
    </w:p>
    <w:p w14:paraId="3C43BDAC" w14:textId="77777777" w:rsidR="006A625D" w:rsidRPr="006A625D" w:rsidRDefault="006A625D" w:rsidP="006A625D">
      <w:pPr>
        <w:pStyle w:val="Default"/>
        <w:ind w:left="851"/>
        <w:rPr>
          <w:color w:val="auto"/>
        </w:rPr>
      </w:pPr>
      <w:r w:rsidRPr="006A625D">
        <w:rPr>
          <w:color w:val="auto"/>
        </w:rPr>
        <w:t xml:space="preserve">Da </w:t>
      </w:r>
      <w:proofErr w:type="spellStart"/>
      <w:r w:rsidRPr="006A625D">
        <w:rPr>
          <w:color w:val="auto"/>
        </w:rPr>
        <w:t>methotrexat</w:t>
      </w:r>
      <w:proofErr w:type="spellEnd"/>
      <w:r w:rsidRPr="006A625D">
        <w:rPr>
          <w:color w:val="auto"/>
        </w:rPr>
        <w:t xml:space="preserve"> går over i human mælk og kan være toksisk for det ammede barn, er det kontraindiceret i </w:t>
      </w:r>
      <w:proofErr w:type="spellStart"/>
      <w:r w:rsidRPr="006A625D">
        <w:rPr>
          <w:color w:val="auto"/>
        </w:rPr>
        <w:t>ammeperioden</w:t>
      </w:r>
      <w:proofErr w:type="spellEnd"/>
      <w:r w:rsidRPr="006A625D">
        <w:rPr>
          <w:color w:val="auto"/>
        </w:rPr>
        <w:t xml:space="preserve"> (se pkt. 4.3). Hvis anvendelse i </w:t>
      </w:r>
      <w:proofErr w:type="spellStart"/>
      <w:r w:rsidRPr="006A625D">
        <w:rPr>
          <w:color w:val="auto"/>
        </w:rPr>
        <w:t>ammeperioden</w:t>
      </w:r>
      <w:proofErr w:type="spellEnd"/>
      <w:r w:rsidRPr="006A625D">
        <w:rPr>
          <w:color w:val="auto"/>
        </w:rPr>
        <w:t xml:space="preserve"> er nødvendig, skal amning ophøre før behandlingsstart. </w:t>
      </w:r>
    </w:p>
    <w:p w14:paraId="0DD037A5" w14:textId="77777777" w:rsidR="006A625D" w:rsidRPr="006A625D" w:rsidRDefault="006A625D" w:rsidP="006A625D">
      <w:pPr>
        <w:pStyle w:val="Default"/>
        <w:ind w:left="851"/>
        <w:rPr>
          <w:color w:val="auto"/>
        </w:rPr>
      </w:pPr>
    </w:p>
    <w:p w14:paraId="07F36559" w14:textId="77777777" w:rsidR="006A625D" w:rsidRPr="006A625D" w:rsidRDefault="006A625D" w:rsidP="006A625D">
      <w:pPr>
        <w:pStyle w:val="Default"/>
        <w:ind w:left="851"/>
        <w:rPr>
          <w:color w:val="auto"/>
          <w:u w:val="single"/>
        </w:rPr>
      </w:pPr>
      <w:r w:rsidRPr="006A625D">
        <w:rPr>
          <w:color w:val="auto"/>
          <w:u w:val="single"/>
        </w:rPr>
        <w:t xml:space="preserve">Fertilitet </w:t>
      </w:r>
    </w:p>
    <w:p w14:paraId="1F83C7D9" w14:textId="77777777" w:rsidR="00A64E46" w:rsidRDefault="006A625D" w:rsidP="006A625D">
      <w:pPr>
        <w:tabs>
          <w:tab w:val="left" w:pos="851"/>
        </w:tabs>
        <w:ind w:left="851"/>
        <w:rPr>
          <w:sz w:val="24"/>
          <w:szCs w:val="24"/>
        </w:rPr>
      </w:pPr>
      <w:proofErr w:type="spellStart"/>
      <w:r w:rsidRPr="006A625D">
        <w:rPr>
          <w:sz w:val="24"/>
          <w:szCs w:val="24"/>
        </w:rPr>
        <w:t>Methotrexat</w:t>
      </w:r>
      <w:proofErr w:type="spellEnd"/>
      <w:r w:rsidRPr="006A625D">
        <w:rPr>
          <w:sz w:val="24"/>
          <w:szCs w:val="24"/>
        </w:rPr>
        <w:t xml:space="preserve"> påvirker </w:t>
      </w:r>
      <w:proofErr w:type="spellStart"/>
      <w:r w:rsidRPr="006A625D">
        <w:rPr>
          <w:sz w:val="24"/>
          <w:szCs w:val="24"/>
        </w:rPr>
        <w:t>spermatogenese</w:t>
      </w:r>
      <w:proofErr w:type="spellEnd"/>
      <w:r w:rsidRPr="006A625D">
        <w:rPr>
          <w:sz w:val="24"/>
          <w:szCs w:val="24"/>
        </w:rPr>
        <w:t xml:space="preserve"> og </w:t>
      </w:r>
      <w:proofErr w:type="spellStart"/>
      <w:r w:rsidRPr="006A625D">
        <w:rPr>
          <w:sz w:val="24"/>
          <w:szCs w:val="24"/>
        </w:rPr>
        <w:t>oogenese</w:t>
      </w:r>
      <w:proofErr w:type="spellEnd"/>
      <w:r w:rsidRPr="006A625D">
        <w:rPr>
          <w:sz w:val="24"/>
          <w:szCs w:val="24"/>
        </w:rPr>
        <w:t xml:space="preserve"> og kan nedsætte fertiliteten. Hos mennesker er </w:t>
      </w:r>
      <w:proofErr w:type="spellStart"/>
      <w:r w:rsidRPr="006A625D">
        <w:rPr>
          <w:sz w:val="24"/>
          <w:szCs w:val="24"/>
        </w:rPr>
        <w:t>methotrexat</w:t>
      </w:r>
      <w:proofErr w:type="spellEnd"/>
      <w:r w:rsidRPr="006A625D">
        <w:rPr>
          <w:sz w:val="24"/>
          <w:szCs w:val="24"/>
        </w:rPr>
        <w:t xml:space="preserve"> indberettet som årsag til </w:t>
      </w:r>
      <w:proofErr w:type="spellStart"/>
      <w:r w:rsidRPr="006A625D">
        <w:rPr>
          <w:sz w:val="24"/>
          <w:szCs w:val="24"/>
        </w:rPr>
        <w:t>oligospermi</w:t>
      </w:r>
      <w:proofErr w:type="spellEnd"/>
      <w:r w:rsidRPr="006A625D">
        <w:rPr>
          <w:sz w:val="24"/>
          <w:szCs w:val="24"/>
        </w:rPr>
        <w:t xml:space="preserve">, menstruationsdysfunktion og </w:t>
      </w:r>
      <w:proofErr w:type="spellStart"/>
      <w:r w:rsidRPr="006A625D">
        <w:rPr>
          <w:sz w:val="24"/>
          <w:szCs w:val="24"/>
        </w:rPr>
        <w:t>amenoré</w:t>
      </w:r>
      <w:proofErr w:type="spellEnd"/>
      <w:r w:rsidRPr="006A625D">
        <w:rPr>
          <w:sz w:val="24"/>
          <w:szCs w:val="24"/>
        </w:rPr>
        <w:t xml:space="preserve">. Disse virkninger synes at være reversible efter </w:t>
      </w:r>
      <w:proofErr w:type="spellStart"/>
      <w:r w:rsidRPr="006A625D">
        <w:rPr>
          <w:sz w:val="24"/>
          <w:szCs w:val="24"/>
        </w:rPr>
        <w:t>seponering</w:t>
      </w:r>
      <w:proofErr w:type="spellEnd"/>
      <w:r w:rsidRPr="006A625D">
        <w:rPr>
          <w:sz w:val="24"/>
          <w:szCs w:val="24"/>
        </w:rPr>
        <w:t xml:space="preserve"> af behandlingen i de fleste tilfælde. I onkologiske indikationer anbefales kvinder, der planlægger graviditet, om muligt at søge rådgivning på et genetisk rådgivningscenter før behandlingsstart. Mænd bør søge rådgivning om muligheden for sæddeponering, før behandling initieres, da </w:t>
      </w:r>
      <w:proofErr w:type="spellStart"/>
      <w:r w:rsidRPr="006A625D">
        <w:rPr>
          <w:sz w:val="24"/>
          <w:szCs w:val="24"/>
        </w:rPr>
        <w:t>methotrexat</w:t>
      </w:r>
      <w:proofErr w:type="spellEnd"/>
      <w:r w:rsidRPr="006A625D">
        <w:rPr>
          <w:sz w:val="24"/>
          <w:szCs w:val="24"/>
        </w:rPr>
        <w:t xml:space="preserve"> kan være genotoksisk i højere doser (se pkt. 4.4).</w:t>
      </w:r>
    </w:p>
    <w:p w14:paraId="1D96925F" w14:textId="77777777" w:rsidR="006A625D" w:rsidRPr="006A625D" w:rsidRDefault="006A625D" w:rsidP="006A625D">
      <w:pPr>
        <w:tabs>
          <w:tab w:val="left" w:pos="851"/>
        </w:tabs>
        <w:ind w:left="851"/>
        <w:rPr>
          <w:sz w:val="24"/>
          <w:szCs w:val="24"/>
        </w:rPr>
      </w:pPr>
    </w:p>
    <w:p w14:paraId="347A0561" w14:textId="6158BE8B" w:rsidR="00A64E46" w:rsidRPr="00F74DF7" w:rsidRDefault="00A64E46" w:rsidP="00A64E46">
      <w:pPr>
        <w:tabs>
          <w:tab w:val="left" w:pos="851"/>
        </w:tabs>
        <w:ind w:left="851" w:hanging="851"/>
        <w:rPr>
          <w:b/>
          <w:sz w:val="24"/>
          <w:szCs w:val="24"/>
        </w:rPr>
      </w:pPr>
      <w:r w:rsidRPr="00F74DF7">
        <w:rPr>
          <w:b/>
          <w:sz w:val="24"/>
          <w:szCs w:val="24"/>
        </w:rPr>
        <w:t>4.7</w:t>
      </w:r>
      <w:r w:rsidRPr="00F74DF7">
        <w:rPr>
          <w:b/>
          <w:sz w:val="24"/>
          <w:szCs w:val="24"/>
        </w:rPr>
        <w:tab/>
        <w:t xml:space="preserve">Virkning på evnen til at føre motorkøretøj </w:t>
      </w:r>
      <w:r w:rsidR="00DC65CB">
        <w:rPr>
          <w:b/>
          <w:sz w:val="24"/>
          <w:szCs w:val="24"/>
        </w:rPr>
        <w:t>og</w:t>
      </w:r>
      <w:r w:rsidRPr="00F74DF7">
        <w:rPr>
          <w:b/>
          <w:sz w:val="24"/>
          <w:szCs w:val="24"/>
        </w:rPr>
        <w:t xml:space="preserve"> betjene maskiner</w:t>
      </w:r>
    </w:p>
    <w:p w14:paraId="482D1CED" w14:textId="77777777" w:rsidR="006A625D" w:rsidRPr="006A625D" w:rsidRDefault="006A625D" w:rsidP="006A625D">
      <w:pPr>
        <w:widowControl w:val="0"/>
        <w:autoSpaceDE w:val="0"/>
        <w:autoSpaceDN w:val="0"/>
        <w:adjustRightInd w:val="0"/>
        <w:ind w:left="851"/>
        <w:rPr>
          <w:sz w:val="24"/>
          <w:szCs w:val="24"/>
        </w:rPr>
      </w:pPr>
      <w:r w:rsidRPr="006A625D">
        <w:rPr>
          <w:sz w:val="24"/>
          <w:szCs w:val="24"/>
        </w:rPr>
        <w:t>Ikke mærkning.</w:t>
      </w:r>
    </w:p>
    <w:p w14:paraId="05BB7CE7" w14:textId="77777777" w:rsidR="006A625D" w:rsidRPr="006A625D" w:rsidRDefault="006A625D" w:rsidP="006A625D">
      <w:pPr>
        <w:widowControl w:val="0"/>
        <w:autoSpaceDE w:val="0"/>
        <w:autoSpaceDN w:val="0"/>
        <w:adjustRightInd w:val="0"/>
        <w:ind w:left="851"/>
        <w:rPr>
          <w:sz w:val="24"/>
          <w:szCs w:val="24"/>
        </w:rPr>
      </w:pPr>
      <w:proofErr w:type="spellStart"/>
      <w:r w:rsidRPr="006A625D">
        <w:rPr>
          <w:sz w:val="24"/>
          <w:szCs w:val="24"/>
        </w:rPr>
        <w:t>Methotrexat</w:t>
      </w:r>
      <w:proofErr w:type="spellEnd"/>
      <w:r w:rsidRPr="006A625D">
        <w:rPr>
          <w:sz w:val="24"/>
          <w:szCs w:val="24"/>
        </w:rPr>
        <w:t xml:space="preserve"> påvirker i moderat grad evnen til at føre motorkøretøj og betjene maskiner, da det kan forårsage CNS-symptomer som træthed, svimmelhed eller døsighed under behandlingen.</w:t>
      </w:r>
    </w:p>
    <w:p w14:paraId="04B3645E" w14:textId="77777777" w:rsidR="00A64E46" w:rsidRPr="00F74DF7" w:rsidRDefault="00A64E46" w:rsidP="00A64E46">
      <w:pPr>
        <w:tabs>
          <w:tab w:val="left" w:pos="851"/>
        </w:tabs>
        <w:ind w:left="851" w:hanging="851"/>
        <w:rPr>
          <w:sz w:val="24"/>
          <w:szCs w:val="24"/>
        </w:rPr>
      </w:pPr>
    </w:p>
    <w:p w14:paraId="711E1155" w14:textId="77777777" w:rsidR="00A64E46" w:rsidRPr="00F74DF7" w:rsidRDefault="00A64E46" w:rsidP="00A64E46">
      <w:pPr>
        <w:tabs>
          <w:tab w:val="left" w:pos="851"/>
        </w:tabs>
        <w:ind w:left="851" w:hanging="851"/>
        <w:rPr>
          <w:b/>
          <w:sz w:val="24"/>
          <w:szCs w:val="24"/>
        </w:rPr>
      </w:pPr>
      <w:r w:rsidRPr="00F74DF7">
        <w:rPr>
          <w:b/>
          <w:sz w:val="24"/>
          <w:szCs w:val="24"/>
        </w:rPr>
        <w:t>4.8</w:t>
      </w:r>
      <w:r w:rsidRPr="00F74DF7">
        <w:rPr>
          <w:b/>
          <w:sz w:val="24"/>
          <w:szCs w:val="24"/>
        </w:rPr>
        <w:tab/>
        <w:t>Bivirkninger</w:t>
      </w:r>
    </w:p>
    <w:p w14:paraId="298BEA02" w14:textId="77777777" w:rsidR="007B21C5" w:rsidRPr="007B21C5" w:rsidRDefault="00A64E46" w:rsidP="007B21C5">
      <w:pPr>
        <w:pStyle w:val="Default"/>
        <w:ind w:left="851"/>
      </w:pPr>
      <w:r w:rsidRPr="007B21C5">
        <w:tab/>
      </w:r>
      <w:r w:rsidR="007B21C5" w:rsidRPr="007B21C5">
        <w:tab/>
      </w:r>
    </w:p>
    <w:p w14:paraId="779D1994" w14:textId="77777777" w:rsidR="007B21C5" w:rsidRPr="007B21C5" w:rsidRDefault="007B21C5" w:rsidP="007B21C5">
      <w:pPr>
        <w:pStyle w:val="Default"/>
        <w:ind w:left="851"/>
      </w:pPr>
      <w:r w:rsidRPr="007B21C5">
        <w:t xml:space="preserve">Resumé af sikkerhedsprofilen </w:t>
      </w:r>
    </w:p>
    <w:p w14:paraId="60EB2E36" w14:textId="77777777" w:rsidR="007B21C5" w:rsidRPr="007B21C5" w:rsidRDefault="007B21C5" w:rsidP="007B21C5">
      <w:pPr>
        <w:pStyle w:val="Default"/>
        <w:ind w:left="851"/>
      </w:pPr>
      <w:r w:rsidRPr="007B21C5">
        <w:t xml:space="preserve">Generelt anses bivirkningernes hyppighed og sværhedsgrad for at være dosisrelaterede. </w:t>
      </w:r>
    </w:p>
    <w:p w14:paraId="3958B9BD" w14:textId="77777777" w:rsidR="007B21C5" w:rsidRPr="007B21C5" w:rsidRDefault="007B21C5" w:rsidP="007B21C5">
      <w:pPr>
        <w:pStyle w:val="Default"/>
        <w:ind w:left="851"/>
      </w:pPr>
    </w:p>
    <w:p w14:paraId="1BDA659F" w14:textId="77777777" w:rsidR="007B21C5" w:rsidRPr="007B21C5" w:rsidRDefault="007B21C5" w:rsidP="007B21C5">
      <w:pPr>
        <w:pStyle w:val="Default"/>
        <w:ind w:left="851"/>
      </w:pPr>
      <w:r w:rsidRPr="007B21C5">
        <w:t xml:space="preserve">Ved </w:t>
      </w:r>
      <w:proofErr w:type="spellStart"/>
      <w:r w:rsidRPr="007B21C5">
        <w:t>antineoplastisk</w:t>
      </w:r>
      <w:proofErr w:type="spellEnd"/>
      <w:r w:rsidRPr="007B21C5">
        <w:t xml:space="preserve"> behandling er </w:t>
      </w:r>
      <w:proofErr w:type="spellStart"/>
      <w:r w:rsidRPr="007B21C5">
        <w:t>myelosuppression</w:t>
      </w:r>
      <w:proofErr w:type="spellEnd"/>
      <w:r w:rsidRPr="007B21C5">
        <w:t xml:space="preserve"> og </w:t>
      </w:r>
      <w:proofErr w:type="spellStart"/>
      <w:r w:rsidRPr="007B21C5">
        <w:t>mucositis</w:t>
      </w:r>
      <w:proofErr w:type="spellEnd"/>
      <w:r w:rsidRPr="007B21C5">
        <w:t xml:space="preserve"> de fremherskende dosisbegrænsende toksiske virkninger af </w:t>
      </w:r>
      <w:proofErr w:type="spellStart"/>
      <w:r w:rsidRPr="007B21C5">
        <w:t>methotrexat</w:t>
      </w:r>
      <w:proofErr w:type="spellEnd"/>
      <w:r w:rsidRPr="007B21C5">
        <w:t xml:space="preserve">. Sværhedsgraden af disse reaktioner afhænger af dosis, administrationsmåde og behandlingsvarighed. </w:t>
      </w:r>
      <w:proofErr w:type="spellStart"/>
      <w:r w:rsidRPr="007B21C5">
        <w:t>Mucositis</w:t>
      </w:r>
      <w:proofErr w:type="spellEnd"/>
      <w:r w:rsidRPr="007B21C5">
        <w:t xml:space="preserve"> indtræder sædvanligvis 3-7 dage efter behandlingsstart, </w:t>
      </w:r>
      <w:proofErr w:type="spellStart"/>
      <w:r w:rsidRPr="007B21C5">
        <w:t>leukopeni</w:t>
      </w:r>
      <w:proofErr w:type="spellEnd"/>
      <w:r w:rsidRPr="007B21C5">
        <w:t xml:space="preserve"> og </w:t>
      </w:r>
      <w:proofErr w:type="spellStart"/>
      <w:r w:rsidRPr="007B21C5">
        <w:t>trombocytopeni</w:t>
      </w:r>
      <w:proofErr w:type="spellEnd"/>
      <w:r w:rsidRPr="007B21C5">
        <w:t xml:space="preserve"> følger få dage </w:t>
      </w:r>
      <w:r w:rsidRPr="007B21C5">
        <w:lastRenderedPageBreak/>
        <w:t xml:space="preserve">senere. </w:t>
      </w:r>
      <w:proofErr w:type="spellStart"/>
      <w:r w:rsidRPr="007B21C5">
        <w:t>Myelosuppression</w:t>
      </w:r>
      <w:proofErr w:type="spellEnd"/>
      <w:r w:rsidRPr="007B21C5">
        <w:t xml:space="preserve"> og </w:t>
      </w:r>
      <w:proofErr w:type="spellStart"/>
      <w:r w:rsidRPr="007B21C5">
        <w:t>mucositis</w:t>
      </w:r>
      <w:proofErr w:type="spellEnd"/>
      <w:r w:rsidRPr="007B21C5">
        <w:t xml:space="preserve"> er sædvanligvis reversible inden for 14-28 dage hos patienter med normale eliminationsmekanismer. </w:t>
      </w:r>
    </w:p>
    <w:p w14:paraId="24795610" w14:textId="77777777" w:rsidR="007B21C5" w:rsidRPr="007B21C5" w:rsidRDefault="007B21C5" w:rsidP="007B21C5">
      <w:pPr>
        <w:pStyle w:val="Default"/>
        <w:ind w:left="851"/>
      </w:pPr>
    </w:p>
    <w:p w14:paraId="5DE75A5C" w14:textId="77777777" w:rsidR="007B21C5" w:rsidRPr="007B21C5" w:rsidRDefault="007B21C5" w:rsidP="007B21C5">
      <w:pPr>
        <w:pStyle w:val="Default"/>
        <w:ind w:left="851"/>
      </w:pPr>
      <w:proofErr w:type="spellStart"/>
      <w:r w:rsidRPr="007B21C5">
        <w:t>Methotrexats</w:t>
      </w:r>
      <w:proofErr w:type="spellEnd"/>
      <w:r w:rsidRPr="007B21C5">
        <w:t xml:space="preserve"> alvorligste bivirkninger er knoglemarvssuppression, </w:t>
      </w:r>
      <w:proofErr w:type="spellStart"/>
      <w:r w:rsidRPr="007B21C5">
        <w:t>pulmonal</w:t>
      </w:r>
      <w:proofErr w:type="spellEnd"/>
      <w:r w:rsidRPr="007B21C5">
        <w:t xml:space="preserve"> toksicitet, </w:t>
      </w:r>
      <w:proofErr w:type="spellStart"/>
      <w:r w:rsidRPr="007B21C5">
        <w:t>hepatotoksicitet</w:t>
      </w:r>
      <w:proofErr w:type="spellEnd"/>
      <w:r w:rsidRPr="007B21C5">
        <w:t xml:space="preserve">, </w:t>
      </w:r>
      <w:proofErr w:type="spellStart"/>
      <w:r w:rsidRPr="007B21C5">
        <w:t>renal</w:t>
      </w:r>
      <w:proofErr w:type="spellEnd"/>
      <w:r w:rsidRPr="007B21C5">
        <w:t xml:space="preserve"> toksicitet, </w:t>
      </w:r>
      <w:proofErr w:type="spellStart"/>
      <w:r w:rsidRPr="007B21C5">
        <w:t>neurotoksicitet</w:t>
      </w:r>
      <w:proofErr w:type="spellEnd"/>
      <w:r w:rsidRPr="007B21C5">
        <w:t xml:space="preserve">, </w:t>
      </w:r>
      <w:proofErr w:type="spellStart"/>
      <w:r w:rsidRPr="007B21C5">
        <w:t>tromboemboliske</w:t>
      </w:r>
      <w:proofErr w:type="spellEnd"/>
      <w:r w:rsidRPr="007B21C5">
        <w:t xml:space="preserve"> hændelser, </w:t>
      </w:r>
      <w:proofErr w:type="spellStart"/>
      <w:r w:rsidRPr="007B21C5">
        <w:t>anafylaktisk</w:t>
      </w:r>
      <w:proofErr w:type="spellEnd"/>
      <w:r w:rsidRPr="007B21C5">
        <w:t xml:space="preserve"> chok og Stevens-Johnsons syndrom. </w:t>
      </w:r>
    </w:p>
    <w:p w14:paraId="0F825E41" w14:textId="77777777" w:rsidR="007B21C5" w:rsidRPr="007B21C5" w:rsidRDefault="007B21C5" w:rsidP="007B21C5">
      <w:pPr>
        <w:pStyle w:val="Default"/>
        <w:ind w:left="851"/>
      </w:pPr>
    </w:p>
    <w:p w14:paraId="1766AD7F" w14:textId="77777777" w:rsidR="007B21C5" w:rsidRPr="007B21C5" w:rsidRDefault="007B21C5" w:rsidP="007B21C5">
      <w:pPr>
        <w:pStyle w:val="Default"/>
        <w:ind w:left="851"/>
        <w:rPr>
          <w:color w:val="auto"/>
        </w:rPr>
      </w:pPr>
      <w:r w:rsidRPr="007B21C5">
        <w:rPr>
          <w:color w:val="auto"/>
        </w:rPr>
        <w:t xml:space="preserve">De hyppigste (meget almindelige) bivirkninger er </w:t>
      </w:r>
      <w:proofErr w:type="spellStart"/>
      <w:r w:rsidRPr="007B21C5">
        <w:rPr>
          <w:color w:val="auto"/>
        </w:rPr>
        <w:t>gastrointestinale</w:t>
      </w:r>
      <w:proofErr w:type="spellEnd"/>
      <w:r w:rsidRPr="007B21C5">
        <w:rPr>
          <w:color w:val="auto"/>
        </w:rPr>
        <w:t xml:space="preserve"> lidelser (f.eks. </w:t>
      </w:r>
      <w:proofErr w:type="spellStart"/>
      <w:r w:rsidRPr="007B21C5">
        <w:rPr>
          <w:color w:val="auto"/>
        </w:rPr>
        <w:t>stomatitis</w:t>
      </w:r>
      <w:proofErr w:type="spellEnd"/>
      <w:r w:rsidRPr="007B21C5">
        <w:rPr>
          <w:color w:val="auto"/>
        </w:rPr>
        <w:t xml:space="preserve">, dyspepsi, </w:t>
      </w:r>
      <w:proofErr w:type="spellStart"/>
      <w:r w:rsidRPr="007B21C5">
        <w:rPr>
          <w:color w:val="auto"/>
        </w:rPr>
        <w:t>abdominalsmerter</w:t>
      </w:r>
      <w:proofErr w:type="spellEnd"/>
      <w:r w:rsidRPr="007B21C5">
        <w:rPr>
          <w:color w:val="auto"/>
        </w:rPr>
        <w:t xml:space="preserve">, kvalme, appetitløshed) og unormale leverfunktionsprøver (f.eks. forhøjet </w:t>
      </w:r>
      <w:proofErr w:type="spellStart"/>
      <w:r w:rsidRPr="007B21C5">
        <w:rPr>
          <w:color w:val="auto"/>
        </w:rPr>
        <w:t>alanin-aminotransferase</w:t>
      </w:r>
      <w:proofErr w:type="spellEnd"/>
      <w:r w:rsidRPr="007B21C5">
        <w:rPr>
          <w:color w:val="auto"/>
        </w:rPr>
        <w:t xml:space="preserve"> (ALAT), </w:t>
      </w:r>
      <w:proofErr w:type="spellStart"/>
      <w:r w:rsidRPr="007B21C5">
        <w:rPr>
          <w:color w:val="auto"/>
        </w:rPr>
        <w:t>aspartat-aminotransferase</w:t>
      </w:r>
      <w:proofErr w:type="spellEnd"/>
      <w:r w:rsidRPr="007B21C5">
        <w:rPr>
          <w:color w:val="auto"/>
        </w:rPr>
        <w:t xml:space="preserve"> (ASAT), bilirubin og alkalisk fosfatase). Andre hyppige (almindelige) bivirkninger er </w:t>
      </w:r>
      <w:proofErr w:type="spellStart"/>
      <w:r w:rsidRPr="007B21C5">
        <w:rPr>
          <w:color w:val="auto"/>
        </w:rPr>
        <w:t>leukopeni</w:t>
      </w:r>
      <w:proofErr w:type="spellEnd"/>
      <w:r w:rsidRPr="007B21C5">
        <w:rPr>
          <w:color w:val="auto"/>
        </w:rPr>
        <w:t xml:space="preserve">, anæmi, </w:t>
      </w:r>
      <w:proofErr w:type="spellStart"/>
      <w:r w:rsidRPr="007B21C5">
        <w:rPr>
          <w:color w:val="auto"/>
        </w:rPr>
        <w:t>trombocytopeni</w:t>
      </w:r>
      <w:proofErr w:type="spellEnd"/>
      <w:r w:rsidRPr="007B21C5">
        <w:rPr>
          <w:color w:val="auto"/>
        </w:rPr>
        <w:t xml:space="preserve">, hovedpine, træthed, døsighed, pneumoni, </w:t>
      </w:r>
      <w:proofErr w:type="spellStart"/>
      <w:r w:rsidRPr="007B21C5">
        <w:rPr>
          <w:color w:val="auto"/>
        </w:rPr>
        <w:t>interstitiel</w:t>
      </w:r>
      <w:proofErr w:type="spellEnd"/>
      <w:r w:rsidRPr="007B21C5">
        <w:rPr>
          <w:color w:val="auto"/>
        </w:rPr>
        <w:t xml:space="preserve"> </w:t>
      </w:r>
      <w:proofErr w:type="spellStart"/>
      <w:r w:rsidRPr="007B21C5">
        <w:rPr>
          <w:color w:val="auto"/>
        </w:rPr>
        <w:t>alveolitis</w:t>
      </w:r>
      <w:proofErr w:type="spellEnd"/>
      <w:r w:rsidRPr="007B21C5">
        <w:rPr>
          <w:color w:val="auto"/>
        </w:rPr>
        <w:t xml:space="preserve">/pneumonitis ofte ledsaget af </w:t>
      </w:r>
      <w:proofErr w:type="spellStart"/>
      <w:r w:rsidRPr="007B21C5">
        <w:rPr>
          <w:color w:val="auto"/>
        </w:rPr>
        <w:t>eosinofili</w:t>
      </w:r>
      <w:proofErr w:type="spellEnd"/>
      <w:r w:rsidRPr="007B21C5">
        <w:rPr>
          <w:color w:val="auto"/>
        </w:rPr>
        <w:t xml:space="preserve">, sår i munden, diarré, </w:t>
      </w:r>
      <w:proofErr w:type="spellStart"/>
      <w:r w:rsidRPr="007B21C5">
        <w:rPr>
          <w:color w:val="auto"/>
        </w:rPr>
        <w:t>eksantem</w:t>
      </w:r>
      <w:proofErr w:type="spellEnd"/>
      <w:r w:rsidRPr="007B21C5">
        <w:rPr>
          <w:color w:val="auto"/>
        </w:rPr>
        <w:t xml:space="preserve">, </w:t>
      </w:r>
      <w:proofErr w:type="spellStart"/>
      <w:r w:rsidRPr="007B21C5">
        <w:rPr>
          <w:color w:val="auto"/>
        </w:rPr>
        <w:t>erytem</w:t>
      </w:r>
      <w:proofErr w:type="spellEnd"/>
      <w:r w:rsidRPr="007B21C5">
        <w:rPr>
          <w:color w:val="auto"/>
        </w:rPr>
        <w:t xml:space="preserve"> og </w:t>
      </w:r>
      <w:proofErr w:type="spellStart"/>
      <w:r w:rsidRPr="007B21C5">
        <w:rPr>
          <w:color w:val="auto"/>
        </w:rPr>
        <w:t>pruritus</w:t>
      </w:r>
      <w:proofErr w:type="spellEnd"/>
      <w:r w:rsidRPr="007B21C5">
        <w:rPr>
          <w:color w:val="auto"/>
        </w:rPr>
        <w:t xml:space="preserve">. </w:t>
      </w:r>
    </w:p>
    <w:p w14:paraId="591A985C" w14:textId="77777777" w:rsidR="007B21C5" w:rsidRPr="007B21C5" w:rsidRDefault="007B21C5" w:rsidP="007B21C5">
      <w:pPr>
        <w:pStyle w:val="Default"/>
        <w:ind w:left="851"/>
        <w:rPr>
          <w:color w:val="auto"/>
        </w:rPr>
      </w:pPr>
    </w:p>
    <w:p w14:paraId="6C53D63D" w14:textId="77777777" w:rsidR="007B21C5" w:rsidRPr="007B21C5" w:rsidRDefault="007B21C5" w:rsidP="007B21C5">
      <w:pPr>
        <w:pStyle w:val="Default"/>
        <w:ind w:left="851"/>
        <w:rPr>
          <w:color w:val="auto"/>
        </w:rPr>
      </w:pPr>
      <w:r w:rsidRPr="007B21C5">
        <w:rPr>
          <w:color w:val="auto"/>
        </w:rPr>
        <w:t xml:space="preserve">Bivirkningernes hyppighed og sværhedsgrad afhænger af dosering og doseringshyppighed. Svære bivirkninger kan dog også forekomme ved lave doser, hvorfor det er absolut nødvendigt, at den behandlende læge overvåger patienten tæt (se pkt. 4.4). </w:t>
      </w:r>
    </w:p>
    <w:p w14:paraId="674ED3AD" w14:textId="77777777" w:rsidR="007B21C5" w:rsidRPr="007B21C5" w:rsidRDefault="007B21C5" w:rsidP="007B21C5">
      <w:pPr>
        <w:widowControl w:val="0"/>
        <w:autoSpaceDE w:val="0"/>
        <w:autoSpaceDN w:val="0"/>
        <w:adjustRightInd w:val="0"/>
        <w:ind w:left="851"/>
        <w:rPr>
          <w:sz w:val="24"/>
          <w:szCs w:val="24"/>
        </w:rPr>
      </w:pPr>
    </w:p>
    <w:p w14:paraId="561B74E1" w14:textId="77777777" w:rsidR="007B21C5" w:rsidRPr="007B21C5" w:rsidRDefault="007B21C5" w:rsidP="007B21C5">
      <w:pPr>
        <w:widowControl w:val="0"/>
        <w:autoSpaceDE w:val="0"/>
        <w:autoSpaceDN w:val="0"/>
        <w:adjustRightInd w:val="0"/>
        <w:ind w:left="851"/>
        <w:rPr>
          <w:sz w:val="24"/>
          <w:szCs w:val="24"/>
        </w:rPr>
      </w:pPr>
      <w:r w:rsidRPr="007B21C5">
        <w:rPr>
          <w:sz w:val="24"/>
          <w:szCs w:val="24"/>
        </w:rPr>
        <w:t xml:space="preserve">De fleste bivirkninger er reversible, hvis de opdages tidligt. Ved sådanne bivirkninger bør dosis nedsættes eller behandlingen seponeres, og der bør træffes passende modforanstaltninger (se pkt. 4.9). Eventuel genoptagelse af behandlingen bør kun ske med særlig forsigtighed, efter nøje overvejelse af behandlingsbehovet og med skærpet overvågning for, om bivirkningen vender tilbage. </w:t>
      </w:r>
    </w:p>
    <w:p w14:paraId="765FBE31" w14:textId="77777777" w:rsidR="007B21C5" w:rsidRPr="007B21C5" w:rsidRDefault="007B21C5" w:rsidP="007B21C5">
      <w:pPr>
        <w:widowControl w:val="0"/>
        <w:tabs>
          <w:tab w:val="left" w:pos="820"/>
        </w:tabs>
        <w:autoSpaceDE w:val="0"/>
        <w:autoSpaceDN w:val="0"/>
        <w:adjustRightInd w:val="0"/>
        <w:ind w:left="851" w:hanging="851"/>
        <w:rPr>
          <w:sz w:val="24"/>
          <w:szCs w:val="24"/>
        </w:rPr>
      </w:pPr>
      <w:r w:rsidRPr="007B21C5">
        <w:rPr>
          <w:sz w:val="24"/>
          <w:szCs w:val="24"/>
        </w:rPr>
        <w:tab/>
      </w:r>
    </w:p>
    <w:p w14:paraId="52105190" w14:textId="77777777" w:rsidR="007B21C5" w:rsidRPr="007B21C5" w:rsidRDefault="007B21C5" w:rsidP="007B21C5">
      <w:pPr>
        <w:widowControl w:val="0"/>
        <w:autoSpaceDE w:val="0"/>
        <w:autoSpaceDN w:val="0"/>
        <w:adjustRightInd w:val="0"/>
        <w:ind w:left="851"/>
        <w:rPr>
          <w:sz w:val="24"/>
          <w:szCs w:val="24"/>
        </w:rPr>
      </w:pPr>
      <w:r w:rsidRPr="007B21C5">
        <w:rPr>
          <w:sz w:val="24"/>
          <w:szCs w:val="24"/>
        </w:rPr>
        <w:t>Bivirkningernes hyppighed klassificeres som følger: Meget almindelig (≥ 1/10), almindelig (≥ 1/100 til &lt; 1/10), ikke almindelig (≥ 1/1.000 til &lt; 1/100), sjælden (≥ 1/10.000 til &lt; 1/1.000), meget sjælden (&lt; 1/10.000), ikke kendt (kan ikke estimeres ud fra forhåndenværende data).</w:t>
      </w:r>
    </w:p>
    <w:p w14:paraId="5715F394" w14:textId="77777777" w:rsidR="007B21C5" w:rsidRPr="007B21C5" w:rsidRDefault="007B21C5" w:rsidP="007B21C5">
      <w:pPr>
        <w:widowControl w:val="0"/>
        <w:tabs>
          <w:tab w:val="left" w:pos="820"/>
        </w:tabs>
        <w:autoSpaceDE w:val="0"/>
        <w:autoSpaceDN w:val="0"/>
        <w:adjustRightInd w:val="0"/>
        <w:ind w:left="851" w:hanging="851"/>
        <w:rPr>
          <w:sz w:val="24"/>
          <w:szCs w:val="24"/>
        </w:rPr>
      </w:pPr>
    </w:p>
    <w:p w14:paraId="002E4EAF" w14:textId="77777777" w:rsidR="007B21C5" w:rsidRPr="007B21C5" w:rsidRDefault="007B21C5" w:rsidP="007B21C5">
      <w:pPr>
        <w:widowControl w:val="0"/>
        <w:autoSpaceDE w:val="0"/>
        <w:autoSpaceDN w:val="0"/>
        <w:adjustRightInd w:val="0"/>
        <w:ind w:left="851"/>
        <w:rPr>
          <w:sz w:val="24"/>
          <w:szCs w:val="24"/>
        </w:rPr>
      </w:pPr>
      <w:r w:rsidRPr="007B21C5">
        <w:rPr>
          <w:sz w:val="24"/>
          <w:szCs w:val="24"/>
        </w:rPr>
        <w:t>Inden for hver frekvensgruppe er bivirkningerne opstillet efter aftagende alvorlighed.</w:t>
      </w:r>
    </w:p>
    <w:p w14:paraId="0B8D41DB" w14:textId="77777777" w:rsidR="007B21C5" w:rsidRDefault="007B21C5" w:rsidP="007B21C5">
      <w:pPr>
        <w:widowControl w:val="0"/>
        <w:autoSpaceDE w:val="0"/>
        <w:autoSpaceDN w:val="0"/>
        <w:adjustRightInd w:val="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1132"/>
        <w:gridCol w:w="1190"/>
        <w:gridCol w:w="1510"/>
        <w:gridCol w:w="1503"/>
        <w:gridCol w:w="1470"/>
        <w:gridCol w:w="1565"/>
      </w:tblGrid>
      <w:tr w:rsidR="007B21C5" w14:paraId="4432B762" w14:textId="77777777" w:rsidTr="00BA40EA">
        <w:trPr>
          <w:trHeight w:val="146"/>
          <w:tblHeader/>
        </w:trPr>
        <w:tc>
          <w:tcPr>
            <w:tcW w:w="1258" w:type="dxa"/>
            <w:tcBorders>
              <w:top w:val="single" w:sz="4" w:space="0" w:color="000000"/>
              <w:left w:val="single" w:sz="4" w:space="0" w:color="000000"/>
              <w:bottom w:val="single" w:sz="4" w:space="0" w:color="000000"/>
              <w:right w:val="single" w:sz="4" w:space="0" w:color="000000"/>
            </w:tcBorders>
          </w:tcPr>
          <w:p w14:paraId="45241D77" w14:textId="77777777" w:rsidR="007B21C5" w:rsidRDefault="007B21C5">
            <w:pPr>
              <w:rPr>
                <w:i/>
                <w:iCs/>
                <w:sz w:val="20"/>
              </w:rPr>
            </w:pPr>
          </w:p>
        </w:tc>
        <w:tc>
          <w:tcPr>
            <w:tcW w:w="1132" w:type="dxa"/>
            <w:tcBorders>
              <w:top w:val="single" w:sz="4" w:space="0" w:color="000000"/>
              <w:left w:val="single" w:sz="4" w:space="0" w:color="000000"/>
              <w:bottom w:val="single" w:sz="4" w:space="0" w:color="000000"/>
              <w:right w:val="single" w:sz="4" w:space="0" w:color="000000"/>
            </w:tcBorders>
            <w:hideMark/>
          </w:tcPr>
          <w:p w14:paraId="158B3B36" w14:textId="77777777" w:rsidR="007B21C5" w:rsidRDefault="007B21C5">
            <w:pPr>
              <w:rPr>
                <w:i/>
                <w:iCs/>
                <w:sz w:val="20"/>
              </w:rPr>
            </w:pPr>
            <w:r>
              <w:rPr>
                <w:i/>
                <w:iCs/>
                <w:sz w:val="20"/>
              </w:rPr>
              <w:t>Meget almindelig</w:t>
            </w:r>
          </w:p>
        </w:tc>
        <w:tc>
          <w:tcPr>
            <w:tcW w:w="1190" w:type="dxa"/>
            <w:tcBorders>
              <w:top w:val="single" w:sz="4" w:space="0" w:color="000000"/>
              <w:left w:val="single" w:sz="4" w:space="0" w:color="000000"/>
              <w:bottom w:val="single" w:sz="4" w:space="0" w:color="000000"/>
              <w:right w:val="single" w:sz="4" w:space="0" w:color="000000"/>
            </w:tcBorders>
            <w:hideMark/>
          </w:tcPr>
          <w:p w14:paraId="196B3AC5" w14:textId="77777777" w:rsidR="007B21C5" w:rsidRDefault="007B21C5">
            <w:pPr>
              <w:rPr>
                <w:i/>
                <w:iCs/>
                <w:sz w:val="20"/>
              </w:rPr>
            </w:pPr>
            <w:r>
              <w:rPr>
                <w:i/>
                <w:iCs/>
                <w:sz w:val="20"/>
              </w:rPr>
              <w:t>Almindelig</w:t>
            </w:r>
          </w:p>
        </w:tc>
        <w:tc>
          <w:tcPr>
            <w:tcW w:w="1510" w:type="dxa"/>
            <w:tcBorders>
              <w:top w:val="single" w:sz="4" w:space="0" w:color="000000"/>
              <w:left w:val="single" w:sz="4" w:space="0" w:color="000000"/>
              <w:bottom w:val="single" w:sz="4" w:space="0" w:color="000000"/>
              <w:right w:val="single" w:sz="4" w:space="0" w:color="000000"/>
            </w:tcBorders>
            <w:hideMark/>
          </w:tcPr>
          <w:p w14:paraId="41BA5B3A" w14:textId="77777777" w:rsidR="007B21C5" w:rsidRDefault="007B21C5">
            <w:pPr>
              <w:rPr>
                <w:i/>
                <w:iCs/>
                <w:sz w:val="20"/>
              </w:rPr>
            </w:pPr>
            <w:r>
              <w:rPr>
                <w:i/>
                <w:iCs/>
                <w:sz w:val="20"/>
              </w:rPr>
              <w:t>Ikke almindelig</w:t>
            </w:r>
          </w:p>
        </w:tc>
        <w:tc>
          <w:tcPr>
            <w:tcW w:w="1503" w:type="dxa"/>
            <w:tcBorders>
              <w:top w:val="single" w:sz="4" w:space="0" w:color="000000"/>
              <w:left w:val="single" w:sz="4" w:space="0" w:color="000000"/>
              <w:bottom w:val="single" w:sz="4" w:space="0" w:color="000000"/>
              <w:right w:val="single" w:sz="4" w:space="0" w:color="000000"/>
            </w:tcBorders>
            <w:hideMark/>
          </w:tcPr>
          <w:p w14:paraId="254A9ABC" w14:textId="77777777" w:rsidR="007B21C5" w:rsidRDefault="007B21C5">
            <w:pPr>
              <w:rPr>
                <w:i/>
                <w:iCs/>
                <w:sz w:val="20"/>
              </w:rPr>
            </w:pPr>
            <w:r>
              <w:rPr>
                <w:i/>
                <w:iCs/>
                <w:sz w:val="20"/>
              </w:rPr>
              <w:t>Sjælden</w:t>
            </w:r>
          </w:p>
        </w:tc>
        <w:tc>
          <w:tcPr>
            <w:tcW w:w="1470" w:type="dxa"/>
            <w:tcBorders>
              <w:top w:val="single" w:sz="4" w:space="0" w:color="000000"/>
              <w:left w:val="single" w:sz="4" w:space="0" w:color="000000"/>
              <w:bottom w:val="single" w:sz="4" w:space="0" w:color="000000"/>
              <w:right w:val="single" w:sz="4" w:space="0" w:color="000000"/>
            </w:tcBorders>
            <w:hideMark/>
          </w:tcPr>
          <w:p w14:paraId="3A1EEFE5" w14:textId="77777777" w:rsidR="007B21C5" w:rsidRDefault="007B21C5">
            <w:pPr>
              <w:rPr>
                <w:i/>
                <w:iCs/>
                <w:sz w:val="20"/>
              </w:rPr>
            </w:pPr>
            <w:r>
              <w:rPr>
                <w:i/>
                <w:iCs/>
                <w:sz w:val="20"/>
              </w:rPr>
              <w:t>Meget sjælden</w:t>
            </w:r>
          </w:p>
        </w:tc>
        <w:tc>
          <w:tcPr>
            <w:tcW w:w="1565" w:type="dxa"/>
            <w:tcBorders>
              <w:top w:val="single" w:sz="4" w:space="0" w:color="000000"/>
              <w:left w:val="single" w:sz="4" w:space="0" w:color="000000"/>
              <w:bottom w:val="single" w:sz="4" w:space="0" w:color="000000"/>
              <w:right w:val="single" w:sz="4" w:space="0" w:color="000000"/>
            </w:tcBorders>
            <w:hideMark/>
          </w:tcPr>
          <w:p w14:paraId="4FE5F69D" w14:textId="77777777" w:rsidR="007B21C5" w:rsidRDefault="007B21C5">
            <w:pPr>
              <w:rPr>
                <w:i/>
                <w:iCs/>
                <w:sz w:val="20"/>
              </w:rPr>
            </w:pPr>
            <w:r>
              <w:rPr>
                <w:i/>
                <w:iCs/>
                <w:sz w:val="20"/>
              </w:rPr>
              <w:t>Ikke kendt</w:t>
            </w:r>
          </w:p>
        </w:tc>
      </w:tr>
      <w:tr w:rsidR="007B21C5" w14:paraId="7724DF4B" w14:textId="77777777" w:rsidTr="00BA40EA">
        <w:trPr>
          <w:trHeight w:val="468"/>
        </w:trPr>
        <w:tc>
          <w:tcPr>
            <w:tcW w:w="1258" w:type="dxa"/>
            <w:tcBorders>
              <w:top w:val="single" w:sz="4" w:space="0" w:color="000000"/>
              <w:left w:val="single" w:sz="4" w:space="0" w:color="000000"/>
              <w:bottom w:val="single" w:sz="4" w:space="0" w:color="000000"/>
              <w:right w:val="single" w:sz="4" w:space="0" w:color="000000"/>
            </w:tcBorders>
            <w:hideMark/>
          </w:tcPr>
          <w:p w14:paraId="68B1F5FA" w14:textId="3D6A8417" w:rsidR="007B21C5" w:rsidRDefault="007B21C5">
            <w:pPr>
              <w:rPr>
                <w:sz w:val="20"/>
              </w:rPr>
            </w:pPr>
            <w:r>
              <w:rPr>
                <w:sz w:val="20"/>
              </w:rPr>
              <w:t>Benigne, maligne og uspecifice</w:t>
            </w:r>
            <w:r w:rsidR="002E620B">
              <w:rPr>
                <w:sz w:val="20"/>
              </w:rPr>
              <w:softHyphen/>
            </w:r>
            <w:r>
              <w:rPr>
                <w:sz w:val="20"/>
              </w:rPr>
              <w:t>rede tumorer (inkl. cyster og polypper)</w:t>
            </w:r>
          </w:p>
        </w:tc>
        <w:tc>
          <w:tcPr>
            <w:tcW w:w="1132" w:type="dxa"/>
            <w:tcBorders>
              <w:top w:val="single" w:sz="4" w:space="0" w:color="000000"/>
              <w:left w:val="single" w:sz="4" w:space="0" w:color="000000"/>
              <w:bottom w:val="single" w:sz="4" w:space="0" w:color="000000"/>
              <w:right w:val="single" w:sz="4" w:space="0" w:color="000000"/>
            </w:tcBorders>
          </w:tcPr>
          <w:p w14:paraId="0E366DB0"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591AA1B3"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hideMark/>
          </w:tcPr>
          <w:p w14:paraId="6DBA22AC" w14:textId="77777777" w:rsidR="007B21C5" w:rsidRDefault="007B21C5">
            <w:pPr>
              <w:rPr>
                <w:sz w:val="20"/>
              </w:rPr>
            </w:pPr>
            <w:r>
              <w:rPr>
                <w:sz w:val="20"/>
              </w:rPr>
              <w:t>Lymfom</w:t>
            </w:r>
            <w:r>
              <w:rPr>
                <w:sz w:val="20"/>
                <w:vertAlign w:val="superscript"/>
              </w:rPr>
              <w:t>1</w:t>
            </w:r>
          </w:p>
        </w:tc>
        <w:tc>
          <w:tcPr>
            <w:tcW w:w="1503" w:type="dxa"/>
            <w:tcBorders>
              <w:top w:val="single" w:sz="4" w:space="0" w:color="000000"/>
              <w:left w:val="single" w:sz="4" w:space="0" w:color="000000"/>
              <w:bottom w:val="single" w:sz="4" w:space="0" w:color="000000"/>
              <w:right w:val="single" w:sz="4" w:space="0" w:color="000000"/>
            </w:tcBorders>
          </w:tcPr>
          <w:p w14:paraId="18D107BD" w14:textId="77777777" w:rsidR="007B21C5" w:rsidRDefault="007B21C5">
            <w:pPr>
              <w:rPr>
                <w:sz w:val="20"/>
              </w:rPr>
            </w:pPr>
          </w:p>
        </w:tc>
        <w:tc>
          <w:tcPr>
            <w:tcW w:w="1470" w:type="dxa"/>
            <w:tcBorders>
              <w:top w:val="single" w:sz="4" w:space="0" w:color="000000"/>
              <w:left w:val="single" w:sz="4" w:space="0" w:color="000000"/>
              <w:bottom w:val="single" w:sz="4" w:space="0" w:color="000000"/>
              <w:right w:val="single" w:sz="4" w:space="0" w:color="000000"/>
            </w:tcBorders>
          </w:tcPr>
          <w:p w14:paraId="26229CD4" w14:textId="77777777" w:rsidR="007B21C5" w:rsidRDefault="007B21C5">
            <w:pPr>
              <w:pStyle w:val="Default"/>
              <w:rPr>
                <w:sz w:val="20"/>
                <w:szCs w:val="20"/>
              </w:rPr>
            </w:pPr>
          </w:p>
        </w:tc>
        <w:tc>
          <w:tcPr>
            <w:tcW w:w="1565" w:type="dxa"/>
            <w:tcBorders>
              <w:top w:val="single" w:sz="4" w:space="0" w:color="000000"/>
              <w:left w:val="single" w:sz="4" w:space="0" w:color="000000"/>
              <w:bottom w:val="single" w:sz="4" w:space="0" w:color="000000"/>
              <w:right w:val="single" w:sz="4" w:space="0" w:color="000000"/>
            </w:tcBorders>
          </w:tcPr>
          <w:p w14:paraId="18E72937" w14:textId="77777777" w:rsidR="007B21C5" w:rsidRDefault="007B21C5">
            <w:pPr>
              <w:pStyle w:val="Default"/>
              <w:rPr>
                <w:sz w:val="20"/>
                <w:szCs w:val="20"/>
              </w:rPr>
            </w:pPr>
          </w:p>
        </w:tc>
      </w:tr>
      <w:tr w:rsidR="007B21C5" w14:paraId="445B0B16" w14:textId="77777777" w:rsidTr="00BA40EA">
        <w:trPr>
          <w:trHeight w:val="468"/>
        </w:trPr>
        <w:tc>
          <w:tcPr>
            <w:tcW w:w="1258" w:type="dxa"/>
            <w:tcBorders>
              <w:top w:val="single" w:sz="4" w:space="0" w:color="000000"/>
              <w:left w:val="single" w:sz="4" w:space="0" w:color="000000"/>
              <w:bottom w:val="single" w:sz="4" w:space="0" w:color="000000"/>
              <w:right w:val="single" w:sz="4" w:space="0" w:color="000000"/>
            </w:tcBorders>
            <w:hideMark/>
          </w:tcPr>
          <w:p w14:paraId="5C9748EA" w14:textId="77777777" w:rsidR="007B21C5" w:rsidRDefault="007B21C5">
            <w:pPr>
              <w:rPr>
                <w:sz w:val="20"/>
              </w:rPr>
            </w:pPr>
            <w:r>
              <w:rPr>
                <w:sz w:val="20"/>
              </w:rPr>
              <w:t>Blod- og lymfesystem</w:t>
            </w:r>
          </w:p>
        </w:tc>
        <w:tc>
          <w:tcPr>
            <w:tcW w:w="1132" w:type="dxa"/>
            <w:tcBorders>
              <w:top w:val="single" w:sz="4" w:space="0" w:color="000000"/>
              <w:left w:val="single" w:sz="4" w:space="0" w:color="000000"/>
              <w:bottom w:val="single" w:sz="4" w:space="0" w:color="000000"/>
              <w:right w:val="single" w:sz="4" w:space="0" w:color="000000"/>
            </w:tcBorders>
          </w:tcPr>
          <w:p w14:paraId="32D51ED6"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hideMark/>
          </w:tcPr>
          <w:p w14:paraId="350CCBD0" w14:textId="77777777" w:rsidR="007B21C5" w:rsidRDefault="007B21C5">
            <w:pPr>
              <w:rPr>
                <w:sz w:val="20"/>
              </w:rPr>
            </w:pPr>
            <w:proofErr w:type="spellStart"/>
            <w:r>
              <w:rPr>
                <w:sz w:val="20"/>
              </w:rPr>
              <w:t>Leukopeni</w:t>
            </w:r>
            <w:proofErr w:type="spellEnd"/>
            <w:r>
              <w:rPr>
                <w:sz w:val="20"/>
              </w:rPr>
              <w:t xml:space="preserve"> </w:t>
            </w:r>
          </w:p>
          <w:p w14:paraId="46F3BCC2" w14:textId="77777777" w:rsidR="007B21C5" w:rsidRDefault="007B21C5">
            <w:pPr>
              <w:pStyle w:val="Default"/>
              <w:rPr>
                <w:sz w:val="20"/>
                <w:szCs w:val="20"/>
              </w:rPr>
            </w:pPr>
            <w:proofErr w:type="spellStart"/>
            <w:r>
              <w:rPr>
                <w:sz w:val="20"/>
                <w:szCs w:val="20"/>
              </w:rPr>
              <w:t>Trombocytopeni</w:t>
            </w:r>
            <w:proofErr w:type="spellEnd"/>
            <w:r>
              <w:rPr>
                <w:sz w:val="20"/>
                <w:szCs w:val="20"/>
              </w:rPr>
              <w:t xml:space="preserve"> </w:t>
            </w:r>
          </w:p>
          <w:p w14:paraId="0F9D4249" w14:textId="77777777" w:rsidR="007B21C5" w:rsidRDefault="007B21C5">
            <w:pPr>
              <w:rPr>
                <w:sz w:val="20"/>
              </w:rPr>
            </w:pPr>
            <w:r>
              <w:rPr>
                <w:sz w:val="20"/>
              </w:rPr>
              <w:t xml:space="preserve">Anæmi </w:t>
            </w:r>
          </w:p>
        </w:tc>
        <w:tc>
          <w:tcPr>
            <w:tcW w:w="1510" w:type="dxa"/>
            <w:tcBorders>
              <w:top w:val="single" w:sz="4" w:space="0" w:color="000000"/>
              <w:left w:val="single" w:sz="4" w:space="0" w:color="000000"/>
              <w:bottom w:val="single" w:sz="4" w:space="0" w:color="000000"/>
              <w:right w:val="single" w:sz="4" w:space="0" w:color="000000"/>
            </w:tcBorders>
          </w:tcPr>
          <w:p w14:paraId="1F049BE6" w14:textId="5528F1C8" w:rsidR="007B21C5" w:rsidRDefault="007B21C5">
            <w:pPr>
              <w:pStyle w:val="Default"/>
              <w:rPr>
                <w:sz w:val="20"/>
                <w:szCs w:val="20"/>
              </w:rPr>
            </w:pPr>
            <w:proofErr w:type="spellStart"/>
            <w:r>
              <w:rPr>
                <w:sz w:val="20"/>
                <w:szCs w:val="20"/>
              </w:rPr>
              <w:t>Pancytopeni</w:t>
            </w:r>
            <w:proofErr w:type="spellEnd"/>
            <w:r>
              <w:rPr>
                <w:sz w:val="20"/>
                <w:szCs w:val="20"/>
              </w:rPr>
              <w:t xml:space="preserve">, </w:t>
            </w:r>
            <w:proofErr w:type="spellStart"/>
            <w:r>
              <w:rPr>
                <w:sz w:val="20"/>
                <w:szCs w:val="20"/>
              </w:rPr>
              <w:t>agranulocytose</w:t>
            </w:r>
            <w:proofErr w:type="spellEnd"/>
            <w:r>
              <w:rPr>
                <w:sz w:val="20"/>
                <w:szCs w:val="20"/>
              </w:rPr>
              <w:t xml:space="preserve">, </w:t>
            </w:r>
            <w:proofErr w:type="spellStart"/>
            <w:r>
              <w:rPr>
                <w:sz w:val="20"/>
                <w:szCs w:val="20"/>
              </w:rPr>
              <w:t>hæmatopoietis</w:t>
            </w:r>
            <w:r w:rsidR="00BA40EA">
              <w:rPr>
                <w:sz w:val="20"/>
                <w:szCs w:val="20"/>
              </w:rPr>
              <w:softHyphen/>
            </w:r>
            <w:r>
              <w:rPr>
                <w:sz w:val="20"/>
                <w:szCs w:val="20"/>
              </w:rPr>
              <w:t>ke</w:t>
            </w:r>
            <w:proofErr w:type="spellEnd"/>
            <w:r>
              <w:rPr>
                <w:sz w:val="20"/>
                <w:szCs w:val="20"/>
              </w:rPr>
              <w:t xml:space="preserve"> forstyrrelser </w:t>
            </w:r>
          </w:p>
          <w:p w14:paraId="0EDD94EF" w14:textId="77777777" w:rsidR="007B21C5" w:rsidRDefault="007B21C5">
            <w:pPr>
              <w:rPr>
                <w:sz w:val="20"/>
              </w:rPr>
            </w:pPr>
          </w:p>
        </w:tc>
        <w:tc>
          <w:tcPr>
            <w:tcW w:w="1503" w:type="dxa"/>
            <w:tcBorders>
              <w:top w:val="single" w:sz="4" w:space="0" w:color="000000"/>
              <w:left w:val="single" w:sz="4" w:space="0" w:color="000000"/>
              <w:bottom w:val="single" w:sz="4" w:space="0" w:color="000000"/>
              <w:right w:val="single" w:sz="4" w:space="0" w:color="000000"/>
            </w:tcBorders>
          </w:tcPr>
          <w:p w14:paraId="65A74826" w14:textId="77777777" w:rsidR="007B21C5" w:rsidRDefault="007B21C5">
            <w:pPr>
              <w:pStyle w:val="Default"/>
              <w:rPr>
                <w:sz w:val="20"/>
                <w:szCs w:val="20"/>
              </w:rPr>
            </w:pPr>
            <w:proofErr w:type="spellStart"/>
            <w:r>
              <w:rPr>
                <w:sz w:val="20"/>
                <w:szCs w:val="20"/>
              </w:rPr>
              <w:t>Megaloblastisk</w:t>
            </w:r>
            <w:proofErr w:type="spellEnd"/>
            <w:r>
              <w:rPr>
                <w:sz w:val="20"/>
                <w:szCs w:val="20"/>
              </w:rPr>
              <w:t xml:space="preserve"> anæmi </w:t>
            </w:r>
          </w:p>
          <w:p w14:paraId="5D87C3E7" w14:textId="77777777" w:rsidR="007B21C5" w:rsidRDefault="007B21C5">
            <w:pPr>
              <w:rPr>
                <w:sz w:val="20"/>
              </w:rPr>
            </w:pPr>
          </w:p>
        </w:tc>
        <w:tc>
          <w:tcPr>
            <w:tcW w:w="1470" w:type="dxa"/>
            <w:tcBorders>
              <w:top w:val="single" w:sz="4" w:space="0" w:color="000000"/>
              <w:left w:val="single" w:sz="4" w:space="0" w:color="000000"/>
              <w:bottom w:val="single" w:sz="4" w:space="0" w:color="000000"/>
              <w:right w:val="single" w:sz="4" w:space="0" w:color="000000"/>
            </w:tcBorders>
            <w:hideMark/>
          </w:tcPr>
          <w:p w14:paraId="3C73568D" w14:textId="33634F94" w:rsidR="007B21C5" w:rsidRDefault="007B21C5">
            <w:pPr>
              <w:pStyle w:val="Default"/>
              <w:rPr>
                <w:sz w:val="20"/>
                <w:szCs w:val="20"/>
              </w:rPr>
            </w:pPr>
            <w:r>
              <w:rPr>
                <w:sz w:val="20"/>
                <w:szCs w:val="20"/>
              </w:rPr>
              <w:t>Knoglemarvs</w:t>
            </w:r>
            <w:r w:rsidR="002E620B">
              <w:rPr>
                <w:sz w:val="20"/>
                <w:szCs w:val="20"/>
              </w:rPr>
              <w:softHyphen/>
            </w:r>
            <w:r>
              <w:rPr>
                <w:sz w:val="20"/>
                <w:szCs w:val="20"/>
              </w:rPr>
              <w:t xml:space="preserve">depression (svære forløb) </w:t>
            </w:r>
          </w:p>
          <w:p w14:paraId="2FCC2CB3" w14:textId="03F0B1EB" w:rsidR="007B21C5" w:rsidRDefault="007B21C5">
            <w:pPr>
              <w:pStyle w:val="Default"/>
              <w:rPr>
                <w:sz w:val="20"/>
                <w:szCs w:val="20"/>
              </w:rPr>
            </w:pPr>
            <w:proofErr w:type="spellStart"/>
            <w:r>
              <w:rPr>
                <w:sz w:val="20"/>
                <w:szCs w:val="20"/>
              </w:rPr>
              <w:t>Aplastisk</w:t>
            </w:r>
            <w:proofErr w:type="spellEnd"/>
            <w:r>
              <w:rPr>
                <w:sz w:val="20"/>
                <w:szCs w:val="20"/>
              </w:rPr>
              <w:t xml:space="preserve"> anæmi, </w:t>
            </w:r>
            <w:proofErr w:type="spellStart"/>
            <w:r>
              <w:rPr>
                <w:sz w:val="20"/>
                <w:szCs w:val="20"/>
              </w:rPr>
              <w:t>lymfoprolifera</w:t>
            </w:r>
            <w:r w:rsidR="002E620B">
              <w:rPr>
                <w:sz w:val="20"/>
                <w:szCs w:val="20"/>
              </w:rPr>
              <w:softHyphen/>
            </w:r>
            <w:r>
              <w:rPr>
                <w:sz w:val="20"/>
                <w:szCs w:val="20"/>
              </w:rPr>
              <w:t>tiv</w:t>
            </w:r>
            <w:proofErr w:type="spellEnd"/>
            <w:r>
              <w:rPr>
                <w:sz w:val="20"/>
                <w:szCs w:val="20"/>
              </w:rPr>
              <w:t xml:space="preserve"> sygdom</w:t>
            </w:r>
            <w:r>
              <w:rPr>
                <w:sz w:val="20"/>
                <w:szCs w:val="20"/>
                <w:vertAlign w:val="superscript"/>
              </w:rPr>
              <w:t>2</w:t>
            </w:r>
            <w:r>
              <w:rPr>
                <w:sz w:val="20"/>
                <w:szCs w:val="20"/>
              </w:rPr>
              <w:t xml:space="preserve">, </w:t>
            </w:r>
          </w:p>
          <w:p w14:paraId="46DBA1D3" w14:textId="77777777" w:rsidR="007B21C5" w:rsidRDefault="007B21C5">
            <w:pPr>
              <w:pStyle w:val="Default"/>
              <w:rPr>
                <w:sz w:val="20"/>
                <w:szCs w:val="20"/>
              </w:rPr>
            </w:pPr>
            <w:proofErr w:type="spellStart"/>
            <w:r>
              <w:rPr>
                <w:sz w:val="20"/>
                <w:szCs w:val="20"/>
              </w:rPr>
              <w:t>Eosinofili</w:t>
            </w:r>
            <w:proofErr w:type="spellEnd"/>
            <w:r>
              <w:rPr>
                <w:sz w:val="20"/>
                <w:szCs w:val="20"/>
              </w:rPr>
              <w:t xml:space="preserve"> </w:t>
            </w:r>
          </w:p>
          <w:p w14:paraId="72DBEA79" w14:textId="77777777" w:rsidR="007B21C5" w:rsidRDefault="007B21C5">
            <w:pPr>
              <w:pStyle w:val="Default"/>
              <w:rPr>
                <w:sz w:val="20"/>
                <w:szCs w:val="20"/>
              </w:rPr>
            </w:pPr>
            <w:proofErr w:type="spellStart"/>
            <w:r>
              <w:rPr>
                <w:sz w:val="20"/>
                <w:szCs w:val="20"/>
              </w:rPr>
              <w:t>Neutropeni</w:t>
            </w:r>
            <w:proofErr w:type="spellEnd"/>
            <w:r>
              <w:rPr>
                <w:sz w:val="20"/>
                <w:szCs w:val="20"/>
              </w:rPr>
              <w:t xml:space="preserve"> </w:t>
            </w:r>
          </w:p>
          <w:p w14:paraId="79BF2774" w14:textId="77777777" w:rsidR="007B21C5" w:rsidRDefault="007B21C5">
            <w:pPr>
              <w:pStyle w:val="Default"/>
              <w:rPr>
                <w:sz w:val="20"/>
                <w:szCs w:val="20"/>
              </w:rPr>
            </w:pPr>
            <w:proofErr w:type="spellStart"/>
            <w:r>
              <w:rPr>
                <w:sz w:val="20"/>
                <w:szCs w:val="20"/>
              </w:rPr>
              <w:t>Lymfadenopati</w:t>
            </w:r>
            <w:proofErr w:type="spellEnd"/>
            <w:r>
              <w:rPr>
                <w:sz w:val="20"/>
                <w:szCs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55984F4" w14:textId="77777777" w:rsidR="007B21C5" w:rsidRDefault="007B21C5">
            <w:pPr>
              <w:pStyle w:val="Default"/>
              <w:rPr>
                <w:sz w:val="20"/>
                <w:szCs w:val="20"/>
              </w:rPr>
            </w:pPr>
            <w:proofErr w:type="spellStart"/>
            <w:r>
              <w:rPr>
                <w:sz w:val="20"/>
                <w:szCs w:val="20"/>
              </w:rPr>
              <w:t>Hæmoragi</w:t>
            </w:r>
            <w:proofErr w:type="spellEnd"/>
            <w:r>
              <w:rPr>
                <w:sz w:val="20"/>
                <w:szCs w:val="20"/>
              </w:rPr>
              <w:t xml:space="preserve"> </w:t>
            </w:r>
          </w:p>
          <w:p w14:paraId="464E4933" w14:textId="77777777" w:rsidR="007B21C5" w:rsidRDefault="007B21C5">
            <w:pPr>
              <w:pStyle w:val="Default"/>
              <w:rPr>
                <w:sz w:val="20"/>
                <w:szCs w:val="20"/>
              </w:rPr>
            </w:pPr>
          </w:p>
        </w:tc>
      </w:tr>
      <w:tr w:rsidR="007B21C5" w14:paraId="25B1D91C" w14:textId="77777777" w:rsidTr="00BA40EA">
        <w:trPr>
          <w:trHeight w:val="468"/>
        </w:trPr>
        <w:tc>
          <w:tcPr>
            <w:tcW w:w="1258" w:type="dxa"/>
            <w:tcBorders>
              <w:top w:val="single" w:sz="4" w:space="0" w:color="000000"/>
              <w:left w:val="single" w:sz="4" w:space="0" w:color="000000"/>
              <w:bottom w:val="single" w:sz="4" w:space="0" w:color="000000"/>
              <w:right w:val="single" w:sz="4" w:space="0" w:color="000000"/>
            </w:tcBorders>
            <w:hideMark/>
          </w:tcPr>
          <w:p w14:paraId="73C5117F" w14:textId="3A5A4058" w:rsidR="007B21C5" w:rsidRDefault="007B21C5">
            <w:pPr>
              <w:rPr>
                <w:sz w:val="20"/>
              </w:rPr>
            </w:pPr>
            <w:r>
              <w:rPr>
                <w:sz w:val="20"/>
              </w:rPr>
              <w:t>Nerve</w:t>
            </w:r>
            <w:r w:rsidR="002E620B">
              <w:rPr>
                <w:sz w:val="20"/>
              </w:rPr>
              <w:softHyphen/>
            </w:r>
            <w:r>
              <w:rPr>
                <w:sz w:val="20"/>
              </w:rPr>
              <w:t>systemet</w:t>
            </w:r>
          </w:p>
        </w:tc>
        <w:tc>
          <w:tcPr>
            <w:tcW w:w="1132" w:type="dxa"/>
            <w:tcBorders>
              <w:top w:val="single" w:sz="4" w:space="0" w:color="000000"/>
              <w:left w:val="single" w:sz="4" w:space="0" w:color="000000"/>
              <w:bottom w:val="single" w:sz="4" w:space="0" w:color="000000"/>
              <w:right w:val="single" w:sz="4" w:space="0" w:color="000000"/>
            </w:tcBorders>
          </w:tcPr>
          <w:p w14:paraId="6A3D326A"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hideMark/>
          </w:tcPr>
          <w:p w14:paraId="48C40152" w14:textId="77777777" w:rsidR="007B21C5" w:rsidRDefault="007B21C5">
            <w:pPr>
              <w:pStyle w:val="Default"/>
              <w:rPr>
                <w:sz w:val="20"/>
                <w:szCs w:val="20"/>
              </w:rPr>
            </w:pPr>
            <w:r>
              <w:rPr>
                <w:sz w:val="20"/>
                <w:szCs w:val="20"/>
              </w:rPr>
              <w:t xml:space="preserve">Hovedpine </w:t>
            </w:r>
          </w:p>
          <w:p w14:paraId="22738773" w14:textId="77777777" w:rsidR="007B21C5" w:rsidRDefault="007B21C5">
            <w:pPr>
              <w:pStyle w:val="Default"/>
              <w:rPr>
                <w:sz w:val="20"/>
                <w:szCs w:val="20"/>
              </w:rPr>
            </w:pPr>
            <w:r>
              <w:rPr>
                <w:sz w:val="20"/>
                <w:szCs w:val="20"/>
              </w:rPr>
              <w:t xml:space="preserve">Træthed </w:t>
            </w:r>
          </w:p>
          <w:p w14:paraId="45200664" w14:textId="77777777" w:rsidR="007B21C5" w:rsidRDefault="007B21C5">
            <w:pPr>
              <w:rPr>
                <w:sz w:val="20"/>
              </w:rPr>
            </w:pPr>
            <w:r>
              <w:rPr>
                <w:sz w:val="20"/>
              </w:rPr>
              <w:t xml:space="preserve">Døsighed </w:t>
            </w:r>
          </w:p>
        </w:tc>
        <w:tc>
          <w:tcPr>
            <w:tcW w:w="1510" w:type="dxa"/>
            <w:tcBorders>
              <w:top w:val="single" w:sz="4" w:space="0" w:color="000000"/>
              <w:left w:val="single" w:sz="4" w:space="0" w:color="000000"/>
              <w:bottom w:val="single" w:sz="4" w:space="0" w:color="000000"/>
              <w:right w:val="single" w:sz="4" w:space="0" w:color="000000"/>
            </w:tcBorders>
            <w:hideMark/>
          </w:tcPr>
          <w:p w14:paraId="78A20C55" w14:textId="77777777" w:rsidR="007B21C5" w:rsidRDefault="007B21C5">
            <w:pPr>
              <w:pStyle w:val="Default"/>
              <w:rPr>
                <w:sz w:val="20"/>
                <w:szCs w:val="20"/>
              </w:rPr>
            </w:pPr>
            <w:r>
              <w:rPr>
                <w:sz w:val="20"/>
                <w:szCs w:val="20"/>
              </w:rPr>
              <w:t xml:space="preserve">Kramper </w:t>
            </w:r>
          </w:p>
          <w:p w14:paraId="7BC00931" w14:textId="77777777" w:rsidR="007B21C5" w:rsidRDefault="007B21C5">
            <w:pPr>
              <w:pStyle w:val="Default"/>
              <w:rPr>
                <w:sz w:val="20"/>
                <w:szCs w:val="20"/>
              </w:rPr>
            </w:pPr>
            <w:proofErr w:type="spellStart"/>
            <w:r>
              <w:rPr>
                <w:sz w:val="20"/>
                <w:szCs w:val="20"/>
              </w:rPr>
              <w:t>Vertigo</w:t>
            </w:r>
            <w:proofErr w:type="spellEnd"/>
            <w:r>
              <w:rPr>
                <w:sz w:val="20"/>
                <w:szCs w:val="20"/>
              </w:rPr>
              <w:t xml:space="preserve"> </w:t>
            </w:r>
          </w:p>
          <w:p w14:paraId="112DA7CC" w14:textId="77777777" w:rsidR="007B21C5" w:rsidRDefault="007B21C5">
            <w:pPr>
              <w:pStyle w:val="Default"/>
              <w:rPr>
                <w:sz w:val="20"/>
                <w:szCs w:val="20"/>
              </w:rPr>
            </w:pPr>
            <w:r>
              <w:rPr>
                <w:sz w:val="20"/>
                <w:szCs w:val="20"/>
              </w:rPr>
              <w:t xml:space="preserve">Konfusion </w:t>
            </w:r>
          </w:p>
        </w:tc>
        <w:tc>
          <w:tcPr>
            <w:tcW w:w="1503" w:type="dxa"/>
            <w:tcBorders>
              <w:top w:val="single" w:sz="4" w:space="0" w:color="000000"/>
              <w:left w:val="single" w:sz="4" w:space="0" w:color="000000"/>
              <w:bottom w:val="single" w:sz="4" w:space="0" w:color="000000"/>
              <w:right w:val="single" w:sz="4" w:space="0" w:color="000000"/>
            </w:tcBorders>
            <w:hideMark/>
          </w:tcPr>
          <w:p w14:paraId="1F8AEE7D" w14:textId="77777777" w:rsidR="007B21C5" w:rsidRDefault="007B21C5">
            <w:pPr>
              <w:pStyle w:val="Default"/>
              <w:rPr>
                <w:sz w:val="20"/>
                <w:szCs w:val="20"/>
              </w:rPr>
            </w:pPr>
            <w:proofErr w:type="spellStart"/>
            <w:r>
              <w:rPr>
                <w:sz w:val="20"/>
                <w:szCs w:val="20"/>
              </w:rPr>
              <w:t>Hemiparese</w:t>
            </w:r>
            <w:proofErr w:type="spellEnd"/>
            <w:r>
              <w:rPr>
                <w:sz w:val="20"/>
                <w:szCs w:val="20"/>
              </w:rPr>
              <w:t xml:space="preserve"> </w:t>
            </w:r>
          </w:p>
          <w:p w14:paraId="2FEBFFC9" w14:textId="77777777" w:rsidR="007B21C5" w:rsidRDefault="007B21C5">
            <w:pPr>
              <w:pStyle w:val="Default"/>
              <w:rPr>
                <w:sz w:val="20"/>
                <w:szCs w:val="20"/>
              </w:rPr>
            </w:pPr>
            <w:r>
              <w:rPr>
                <w:sz w:val="20"/>
                <w:szCs w:val="20"/>
              </w:rPr>
              <w:t xml:space="preserve">Parese </w:t>
            </w:r>
          </w:p>
        </w:tc>
        <w:tc>
          <w:tcPr>
            <w:tcW w:w="1470" w:type="dxa"/>
            <w:tcBorders>
              <w:top w:val="single" w:sz="4" w:space="0" w:color="000000"/>
              <w:left w:val="single" w:sz="4" w:space="0" w:color="000000"/>
              <w:bottom w:val="single" w:sz="4" w:space="0" w:color="000000"/>
              <w:right w:val="single" w:sz="4" w:space="0" w:color="000000"/>
            </w:tcBorders>
            <w:hideMark/>
          </w:tcPr>
          <w:p w14:paraId="0BC09BB6" w14:textId="77777777" w:rsidR="007B21C5" w:rsidRDefault="007B21C5">
            <w:pPr>
              <w:pStyle w:val="Default"/>
              <w:rPr>
                <w:sz w:val="20"/>
                <w:szCs w:val="20"/>
                <w:lang w:val="nb-NO"/>
              </w:rPr>
            </w:pPr>
            <w:r>
              <w:rPr>
                <w:sz w:val="20"/>
                <w:szCs w:val="20"/>
                <w:lang w:val="nb-NO"/>
              </w:rPr>
              <w:t xml:space="preserve">Cerebralt ødem </w:t>
            </w:r>
          </w:p>
          <w:p w14:paraId="772258D9" w14:textId="77777777" w:rsidR="007B21C5" w:rsidRDefault="007B21C5">
            <w:pPr>
              <w:pStyle w:val="Default"/>
              <w:rPr>
                <w:sz w:val="20"/>
                <w:szCs w:val="20"/>
                <w:lang w:val="nb-NO"/>
              </w:rPr>
            </w:pPr>
            <w:r>
              <w:rPr>
                <w:sz w:val="20"/>
                <w:szCs w:val="20"/>
                <w:lang w:val="nb-NO"/>
              </w:rPr>
              <w:t xml:space="preserve">Akut aseptisk meningitis med meningisme </w:t>
            </w:r>
            <w:r>
              <w:rPr>
                <w:sz w:val="20"/>
                <w:szCs w:val="20"/>
                <w:lang w:val="nb-NO"/>
              </w:rPr>
              <w:lastRenderedPageBreak/>
              <w:t xml:space="preserve">(parese, opkastning) </w:t>
            </w:r>
          </w:p>
          <w:p w14:paraId="7BB784D3" w14:textId="77777777" w:rsidR="007B21C5" w:rsidRDefault="007B21C5">
            <w:pPr>
              <w:pStyle w:val="Default"/>
              <w:rPr>
                <w:sz w:val="20"/>
                <w:szCs w:val="20"/>
                <w:lang w:val="nb-NO"/>
              </w:rPr>
            </w:pPr>
            <w:r>
              <w:rPr>
                <w:sz w:val="20"/>
                <w:szCs w:val="20"/>
                <w:lang w:val="nb-NO"/>
              </w:rPr>
              <w:t xml:space="preserve">Letargi </w:t>
            </w:r>
          </w:p>
          <w:p w14:paraId="4A6F8691" w14:textId="77777777" w:rsidR="007B21C5" w:rsidRDefault="007B21C5">
            <w:pPr>
              <w:pStyle w:val="Default"/>
              <w:rPr>
                <w:sz w:val="20"/>
                <w:szCs w:val="20"/>
              </w:rPr>
            </w:pPr>
            <w:r>
              <w:rPr>
                <w:sz w:val="20"/>
                <w:szCs w:val="20"/>
              </w:rPr>
              <w:t xml:space="preserve">Transitorisk let kognitiv dysfunktion </w:t>
            </w:r>
          </w:p>
          <w:p w14:paraId="338A4284" w14:textId="77777777" w:rsidR="007B21C5" w:rsidRDefault="007B21C5">
            <w:pPr>
              <w:pStyle w:val="Default"/>
              <w:rPr>
                <w:sz w:val="20"/>
                <w:szCs w:val="20"/>
              </w:rPr>
            </w:pPr>
            <w:r>
              <w:rPr>
                <w:sz w:val="20"/>
                <w:szCs w:val="20"/>
              </w:rPr>
              <w:t xml:space="preserve">Psykoser </w:t>
            </w:r>
          </w:p>
          <w:p w14:paraId="5A2693A0" w14:textId="77777777" w:rsidR="007B21C5" w:rsidRDefault="007B21C5">
            <w:pPr>
              <w:pStyle w:val="Default"/>
              <w:rPr>
                <w:sz w:val="20"/>
                <w:szCs w:val="20"/>
              </w:rPr>
            </w:pPr>
            <w:r>
              <w:rPr>
                <w:sz w:val="20"/>
                <w:szCs w:val="20"/>
              </w:rPr>
              <w:t xml:space="preserve">Afasi </w:t>
            </w:r>
          </w:p>
          <w:p w14:paraId="14FA3A84" w14:textId="77777777" w:rsidR="007B21C5" w:rsidRDefault="007B21C5">
            <w:pPr>
              <w:pStyle w:val="Default"/>
              <w:rPr>
                <w:sz w:val="20"/>
                <w:szCs w:val="20"/>
              </w:rPr>
            </w:pPr>
            <w:r>
              <w:rPr>
                <w:sz w:val="20"/>
                <w:szCs w:val="20"/>
              </w:rPr>
              <w:t xml:space="preserve">Smerter </w:t>
            </w:r>
          </w:p>
          <w:p w14:paraId="5EA3A82D" w14:textId="77777777" w:rsidR="007B21C5" w:rsidRDefault="007B21C5">
            <w:pPr>
              <w:pStyle w:val="Default"/>
              <w:rPr>
                <w:sz w:val="20"/>
                <w:szCs w:val="20"/>
              </w:rPr>
            </w:pPr>
            <w:r>
              <w:rPr>
                <w:sz w:val="20"/>
                <w:szCs w:val="20"/>
              </w:rPr>
              <w:t xml:space="preserve">Muskulær asteni </w:t>
            </w:r>
          </w:p>
          <w:p w14:paraId="4777B877" w14:textId="77777777" w:rsidR="007B21C5" w:rsidRDefault="007B21C5">
            <w:pPr>
              <w:pStyle w:val="Default"/>
              <w:rPr>
                <w:sz w:val="20"/>
                <w:szCs w:val="20"/>
              </w:rPr>
            </w:pPr>
            <w:proofErr w:type="spellStart"/>
            <w:r>
              <w:rPr>
                <w:sz w:val="20"/>
                <w:szCs w:val="20"/>
              </w:rPr>
              <w:t>Paræstesi</w:t>
            </w:r>
            <w:proofErr w:type="spellEnd"/>
            <w:r>
              <w:rPr>
                <w:sz w:val="20"/>
                <w:szCs w:val="20"/>
              </w:rPr>
              <w:t>/</w:t>
            </w:r>
            <w:proofErr w:type="spellStart"/>
            <w:r>
              <w:rPr>
                <w:sz w:val="20"/>
                <w:szCs w:val="20"/>
              </w:rPr>
              <w:t>hypoæstesi</w:t>
            </w:r>
            <w:proofErr w:type="spellEnd"/>
            <w:r>
              <w:rPr>
                <w:sz w:val="20"/>
                <w:szCs w:val="20"/>
              </w:rPr>
              <w:t xml:space="preserve"> </w:t>
            </w:r>
          </w:p>
          <w:p w14:paraId="56EC7935" w14:textId="3B6AD71E" w:rsidR="007B21C5" w:rsidRDefault="007B21C5">
            <w:pPr>
              <w:pStyle w:val="Default"/>
              <w:rPr>
                <w:sz w:val="20"/>
                <w:szCs w:val="20"/>
              </w:rPr>
            </w:pPr>
            <w:r>
              <w:rPr>
                <w:sz w:val="20"/>
                <w:szCs w:val="20"/>
              </w:rPr>
              <w:t>Smags</w:t>
            </w:r>
            <w:r w:rsidR="00BA40EA">
              <w:rPr>
                <w:sz w:val="20"/>
                <w:szCs w:val="20"/>
              </w:rPr>
              <w:softHyphen/>
            </w:r>
            <w:r>
              <w:rPr>
                <w:sz w:val="20"/>
                <w:szCs w:val="20"/>
              </w:rPr>
              <w:t xml:space="preserve">ændringer (metalsmag) </w:t>
            </w:r>
          </w:p>
          <w:p w14:paraId="48F2C723" w14:textId="77777777" w:rsidR="007B21C5" w:rsidRDefault="007B21C5">
            <w:pPr>
              <w:pStyle w:val="Default"/>
              <w:rPr>
                <w:sz w:val="20"/>
                <w:szCs w:val="20"/>
              </w:rPr>
            </w:pPr>
            <w:r>
              <w:rPr>
                <w:sz w:val="20"/>
                <w:szCs w:val="20"/>
              </w:rPr>
              <w:t xml:space="preserve">Irritation </w:t>
            </w:r>
          </w:p>
          <w:p w14:paraId="24CE5E3C" w14:textId="77777777" w:rsidR="007B21C5" w:rsidRDefault="007B21C5">
            <w:pPr>
              <w:pStyle w:val="Default"/>
              <w:rPr>
                <w:sz w:val="20"/>
                <w:szCs w:val="20"/>
              </w:rPr>
            </w:pPr>
            <w:proofErr w:type="spellStart"/>
            <w:r>
              <w:rPr>
                <w:sz w:val="20"/>
                <w:szCs w:val="20"/>
              </w:rPr>
              <w:t>Dysartri</w:t>
            </w:r>
            <w:proofErr w:type="spellEnd"/>
            <w:r>
              <w:rPr>
                <w:sz w:val="20"/>
                <w:szCs w:val="20"/>
              </w:rPr>
              <w:t xml:space="preserve"> </w:t>
            </w:r>
          </w:p>
          <w:p w14:paraId="1C01F971" w14:textId="77777777" w:rsidR="007B21C5" w:rsidRDefault="007B21C5">
            <w:pPr>
              <w:pStyle w:val="Default"/>
              <w:rPr>
                <w:sz w:val="20"/>
                <w:szCs w:val="20"/>
              </w:rPr>
            </w:pPr>
            <w:r>
              <w:rPr>
                <w:sz w:val="20"/>
                <w:szCs w:val="20"/>
              </w:rPr>
              <w:t xml:space="preserve">Usædvanlige fornemmelser i kraniet </w:t>
            </w:r>
          </w:p>
          <w:p w14:paraId="12CB2F22" w14:textId="77777777" w:rsidR="007B21C5" w:rsidRDefault="007B21C5">
            <w:pPr>
              <w:pStyle w:val="Default"/>
              <w:rPr>
                <w:sz w:val="20"/>
                <w:szCs w:val="20"/>
              </w:rPr>
            </w:pPr>
            <w:r>
              <w:rPr>
                <w:sz w:val="20"/>
                <w:szCs w:val="20"/>
              </w:rPr>
              <w:t xml:space="preserve">Tinnitus </w:t>
            </w:r>
          </w:p>
        </w:tc>
        <w:tc>
          <w:tcPr>
            <w:tcW w:w="1565" w:type="dxa"/>
            <w:tcBorders>
              <w:top w:val="single" w:sz="4" w:space="0" w:color="000000"/>
              <w:left w:val="single" w:sz="4" w:space="0" w:color="000000"/>
              <w:bottom w:val="single" w:sz="4" w:space="0" w:color="000000"/>
              <w:right w:val="single" w:sz="4" w:space="0" w:color="000000"/>
            </w:tcBorders>
            <w:hideMark/>
          </w:tcPr>
          <w:p w14:paraId="17DBDEFB" w14:textId="77777777" w:rsidR="007B21C5" w:rsidRDefault="007B21C5">
            <w:pPr>
              <w:pStyle w:val="Default"/>
              <w:rPr>
                <w:sz w:val="20"/>
                <w:szCs w:val="20"/>
              </w:rPr>
            </w:pPr>
            <w:r>
              <w:rPr>
                <w:sz w:val="20"/>
                <w:szCs w:val="20"/>
              </w:rPr>
              <w:lastRenderedPageBreak/>
              <w:t xml:space="preserve">Encefalopati </w:t>
            </w:r>
          </w:p>
          <w:p w14:paraId="6905FC6D" w14:textId="1ED062CB" w:rsidR="007B21C5" w:rsidRDefault="007B21C5">
            <w:pPr>
              <w:pStyle w:val="Default"/>
              <w:rPr>
                <w:sz w:val="20"/>
                <w:szCs w:val="20"/>
              </w:rPr>
            </w:pPr>
            <w:proofErr w:type="spellStart"/>
            <w:r>
              <w:rPr>
                <w:sz w:val="20"/>
                <w:szCs w:val="20"/>
              </w:rPr>
              <w:t>Leukoencefalo</w:t>
            </w:r>
            <w:r w:rsidR="00BA40EA">
              <w:rPr>
                <w:sz w:val="20"/>
                <w:szCs w:val="20"/>
              </w:rPr>
              <w:softHyphen/>
            </w:r>
            <w:r>
              <w:rPr>
                <w:sz w:val="20"/>
                <w:szCs w:val="20"/>
              </w:rPr>
              <w:t>pati</w:t>
            </w:r>
            <w:proofErr w:type="spellEnd"/>
            <w:r>
              <w:rPr>
                <w:sz w:val="20"/>
                <w:szCs w:val="20"/>
              </w:rPr>
              <w:t xml:space="preserve"> </w:t>
            </w:r>
          </w:p>
        </w:tc>
      </w:tr>
      <w:tr w:rsidR="007B21C5" w14:paraId="2701A6A1" w14:textId="77777777" w:rsidTr="00BA40EA">
        <w:trPr>
          <w:trHeight w:val="468"/>
        </w:trPr>
        <w:tc>
          <w:tcPr>
            <w:tcW w:w="1258" w:type="dxa"/>
            <w:tcBorders>
              <w:top w:val="single" w:sz="4" w:space="0" w:color="000000"/>
              <w:left w:val="single" w:sz="4" w:space="0" w:color="000000"/>
              <w:bottom w:val="single" w:sz="4" w:space="0" w:color="000000"/>
              <w:right w:val="single" w:sz="4" w:space="0" w:color="000000"/>
            </w:tcBorders>
            <w:hideMark/>
          </w:tcPr>
          <w:p w14:paraId="32E2D626" w14:textId="77777777" w:rsidR="007B21C5" w:rsidRDefault="007B21C5">
            <w:pPr>
              <w:rPr>
                <w:sz w:val="20"/>
              </w:rPr>
            </w:pPr>
            <w:r>
              <w:rPr>
                <w:sz w:val="20"/>
              </w:rPr>
              <w:t xml:space="preserve">Øjne </w:t>
            </w:r>
          </w:p>
        </w:tc>
        <w:tc>
          <w:tcPr>
            <w:tcW w:w="1132" w:type="dxa"/>
            <w:tcBorders>
              <w:top w:val="single" w:sz="4" w:space="0" w:color="000000"/>
              <w:left w:val="single" w:sz="4" w:space="0" w:color="000000"/>
              <w:bottom w:val="single" w:sz="4" w:space="0" w:color="000000"/>
              <w:right w:val="single" w:sz="4" w:space="0" w:color="000000"/>
            </w:tcBorders>
          </w:tcPr>
          <w:p w14:paraId="433E3484"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44717515" w14:textId="77777777" w:rsidR="007B21C5" w:rsidRDefault="007B21C5">
            <w:pPr>
              <w:pStyle w:val="Default"/>
              <w:rPr>
                <w:sz w:val="20"/>
                <w:szCs w:val="20"/>
              </w:rPr>
            </w:pPr>
          </w:p>
        </w:tc>
        <w:tc>
          <w:tcPr>
            <w:tcW w:w="1510" w:type="dxa"/>
            <w:tcBorders>
              <w:top w:val="single" w:sz="4" w:space="0" w:color="000000"/>
              <w:left w:val="single" w:sz="4" w:space="0" w:color="000000"/>
              <w:bottom w:val="single" w:sz="4" w:space="0" w:color="000000"/>
              <w:right w:val="single" w:sz="4" w:space="0" w:color="000000"/>
            </w:tcBorders>
          </w:tcPr>
          <w:p w14:paraId="4FA58B42" w14:textId="77777777" w:rsidR="007B21C5" w:rsidRDefault="007B21C5">
            <w:pPr>
              <w:pStyle w:val="Default"/>
              <w:rPr>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14:paraId="1CDC3AA5" w14:textId="0CCB7DC8" w:rsidR="007B21C5" w:rsidRDefault="007B21C5">
            <w:pPr>
              <w:pStyle w:val="Default"/>
              <w:rPr>
                <w:sz w:val="20"/>
                <w:szCs w:val="20"/>
              </w:rPr>
            </w:pPr>
            <w:r>
              <w:rPr>
                <w:sz w:val="20"/>
                <w:szCs w:val="20"/>
              </w:rPr>
              <w:t>Svære synsforstyr</w:t>
            </w:r>
            <w:r w:rsidR="00BA40EA">
              <w:rPr>
                <w:sz w:val="20"/>
                <w:szCs w:val="20"/>
              </w:rPr>
              <w:softHyphen/>
            </w:r>
            <w:r>
              <w:rPr>
                <w:sz w:val="20"/>
                <w:szCs w:val="20"/>
              </w:rPr>
              <w:t xml:space="preserve">relser </w:t>
            </w:r>
          </w:p>
        </w:tc>
        <w:tc>
          <w:tcPr>
            <w:tcW w:w="1470" w:type="dxa"/>
            <w:tcBorders>
              <w:top w:val="single" w:sz="4" w:space="0" w:color="000000"/>
              <w:left w:val="single" w:sz="4" w:space="0" w:color="000000"/>
              <w:bottom w:val="single" w:sz="4" w:space="0" w:color="000000"/>
              <w:right w:val="single" w:sz="4" w:space="0" w:color="000000"/>
            </w:tcBorders>
            <w:hideMark/>
          </w:tcPr>
          <w:p w14:paraId="47C29359" w14:textId="77777777" w:rsidR="007B21C5" w:rsidRDefault="007B21C5">
            <w:pPr>
              <w:pStyle w:val="Default"/>
              <w:rPr>
                <w:sz w:val="20"/>
                <w:szCs w:val="20"/>
              </w:rPr>
            </w:pPr>
            <w:proofErr w:type="spellStart"/>
            <w:r>
              <w:rPr>
                <w:sz w:val="20"/>
                <w:szCs w:val="20"/>
              </w:rPr>
              <w:t>Retinopati</w:t>
            </w:r>
            <w:proofErr w:type="spellEnd"/>
            <w:r>
              <w:rPr>
                <w:sz w:val="20"/>
                <w:szCs w:val="20"/>
              </w:rPr>
              <w:t xml:space="preserve"> </w:t>
            </w:r>
          </w:p>
          <w:p w14:paraId="0E9B9B25" w14:textId="77777777" w:rsidR="007B21C5" w:rsidRDefault="007B21C5">
            <w:pPr>
              <w:pStyle w:val="Default"/>
              <w:rPr>
                <w:sz w:val="20"/>
                <w:szCs w:val="20"/>
                <w:lang w:val="nb-NO"/>
              </w:rPr>
            </w:pPr>
            <w:proofErr w:type="spellStart"/>
            <w:r>
              <w:rPr>
                <w:sz w:val="20"/>
                <w:szCs w:val="20"/>
              </w:rPr>
              <w:t>Konjunktivitis</w:t>
            </w:r>
            <w:proofErr w:type="spellEnd"/>
            <w:r>
              <w:rPr>
                <w:sz w:val="20"/>
                <w:szCs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29B9DCE" w14:textId="77777777" w:rsidR="007B21C5" w:rsidRDefault="007B21C5">
            <w:pPr>
              <w:pStyle w:val="Default"/>
              <w:rPr>
                <w:sz w:val="20"/>
                <w:szCs w:val="20"/>
              </w:rPr>
            </w:pPr>
          </w:p>
        </w:tc>
      </w:tr>
      <w:tr w:rsidR="007B21C5" w:rsidRPr="00147ACA" w14:paraId="7896ECA0" w14:textId="77777777" w:rsidTr="00BA40EA">
        <w:trPr>
          <w:trHeight w:val="468"/>
        </w:trPr>
        <w:tc>
          <w:tcPr>
            <w:tcW w:w="1258" w:type="dxa"/>
            <w:tcBorders>
              <w:top w:val="single" w:sz="4" w:space="0" w:color="000000"/>
              <w:left w:val="single" w:sz="4" w:space="0" w:color="000000"/>
              <w:bottom w:val="single" w:sz="4" w:space="0" w:color="000000"/>
              <w:right w:val="single" w:sz="4" w:space="0" w:color="000000"/>
            </w:tcBorders>
            <w:hideMark/>
          </w:tcPr>
          <w:p w14:paraId="05622A36" w14:textId="77777777" w:rsidR="007B21C5" w:rsidRDefault="007B21C5">
            <w:pPr>
              <w:rPr>
                <w:sz w:val="20"/>
              </w:rPr>
            </w:pPr>
            <w:r>
              <w:rPr>
                <w:sz w:val="20"/>
              </w:rPr>
              <w:t xml:space="preserve">Hjerte </w:t>
            </w:r>
          </w:p>
        </w:tc>
        <w:tc>
          <w:tcPr>
            <w:tcW w:w="1132" w:type="dxa"/>
            <w:tcBorders>
              <w:top w:val="single" w:sz="4" w:space="0" w:color="000000"/>
              <w:left w:val="single" w:sz="4" w:space="0" w:color="000000"/>
              <w:bottom w:val="single" w:sz="4" w:space="0" w:color="000000"/>
              <w:right w:val="single" w:sz="4" w:space="0" w:color="000000"/>
            </w:tcBorders>
          </w:tcPr>
          <w:p w14:paraId="21FA1B2E"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12F18B15" w14:textId="77777777" w:rsidR="007B21C5" w:rsidRDefault="007B21C5">
            <w:pPr>
              <w:pStyle w:val="Default"/>
              <w:rPr>
                <w:sz w:val="20"/>
                <w:szCs w:val="20"/>
              </w:rPr>
            </w:pPr>
          </w:p>
        </w:tc>
        <w:tc>
          <w:tcPr>
            <w:tcW w:w="1510" w:type="dxa"/>
            <w:tcBorders>
              <w:top w:val="single" w:sz="4" w:space="0" w:color="000000"/>
              <w:left w:val="single" w:sz="4" w:space="0" w:color="000000"/>
              <w:bottom w:val="single" w:sz="4" w:space="0" w:color="000000"/>
              <w:right w:val="single" w:sz="4" w:space="0" w:color="000000"/>
            </w:tcBorders>
          </w:tcPr>
          <w:p w14:paraId="57715029" w14:textId="77777777" w:rsidR="007B21C5" w:rsidRDefault="007B21C5">
            <w:pPr>
              <w:pStyle w:val="Default"/>
              <w:rPr>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14:paraId="311D2331" w14:textId="77777777" w:rsidR="007B21C5" w:rsidRDefault="007B21C5">
            <w:pPr>
              <w:pStyle w:val="Default"/>
              <w:rPr>
                <w:sz w:val="20"/>
                <w:szCs w:val="20"/>
                <w:lang w:val="sv-SE"/>
              </w:rPr>
            </w:pPr>
            <w:proofErr w:type="spellStart"/>
            <w:r>
              <w:rPr>
                <w:sz w:val="20"/>
                <w:szCs w:val="20"/>
                <w:lang w:val="sv-SE"/>
              </w:rPr>
              <w:t>Perikarditis</w:t>
            </w:r>
            <w:proofErr w:type="spellEnd"/>
            <w:r>
              <w:rPr>
                <w:sz w:val="20"/>
                <w:szCs w:val="20"/>
                <w:lang w:val="sv-SE"/>
              </w:rPr>
              <w:t xml:space="preserve"> </w:t>
            </w:r>
            <w:proofErr w:type="spellStart"/>
            <w:r>
              <w:rPr>
                <w:sz w:val="20"/>
                <w:szCs w:val="20"/>
                <w:lang w:val="sv-SE"/>
              </w:rPr>
              <w:t>Perikardie-effusion</w:t>
            </w:r>
            <w:proofErr w:type="spellEnd"/>
            <w:r>
              <w:rPr>
                <w:sz w:val="20"/>
                <w:szCs w:val="20"/>
                <w:lang w:val="sv-SE"/>
              </w:rPr>
              <w:t xml:space="preserve"> </w:t>
            </w:r>
            <w:proofErr w:type="spellStart"/>
            <w:r>
              <w:rPr>
                <w:sz w:val="20"/>
                <w:szCs w:val="20"/>
                <w:lang w:val="sv-SE"/>
              </w:rPr>
              <w:t>Perikardial</w:t>
            </w:r>
            <w:proofErr w:type="spellEnd"/>
            <w:r>
              <w:rPr>
                <w:sz w:val="20"/>
                <w:szCs w:val="20"/>
                <w:lang w:val="sv-SE"/>
              </w:rPr>
              <w:t xml:space="preserve"> </w:t>
            </w:r>
            <w:proofErr w:type="spellStart"/>
            <w:r>
              <w:rPr>
                <w:sz w:val="20"/>
                <w:szCs w:val="20"/>
                <w:lang w:val="sv-SE"/>
              </w:rPr>
              <w:t>tamponade</w:t>
            </w:r>
            <w:proofErr w:type="spellEnd"/>
            <w:r>
              <w:rPr>
                <w:sz w:val="20"/>
                <w:szCs w:val="20"/>
                <w:lang w:val="sv-SE"/>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45DBD0AA" w14:textId="77777777" w:rsidR="007B21C5" w:rsidRDefault="007B21C5">
            <w:pPr>
              <w:pStyle w:val="Default"/>
              <w:rPr>
                <w:sz w:val="20"/>
                <w:szCs w:val="20"/>
                <w:lang w:val="sv-SE"/>
              </w:rPr>
            </w:pPr>
          </w:p>
        </w:tc>
        <w:tc>
          <w:tcPr>
            <w:tcW w:w="1565" w:type="dxa"/>
            <w:tcBorders>
              <w:top w:val="single" w:sz="4" w:space="0" w:color="000000"/>
              <w:left w:val="single" w:sz="4" w:space="0" w:color="000000"/>
              <w:bottom w:val="single" w:sz="4" w:space="0" w:color="000000"/>
              <w:right w:val="single" w:sz="4" w:space="0" w:color="000000"/>
            </w:tcBorders>
          </w:tcPr>
          <w:p w14:paraId="1CE0D6A3" w14:textId="77777777" w:rsidR="007B21C5" w:rsidRDefault="007B21C5">
            <w:pPr>
              <w:pStyle w:val="Default"/>
              <w:rPr>
                <w:sz w:val="20"/>
                <w:szCs w:val="20"/>
                <w:lang w:val="sv-SE"/>
              </w:rPr>
            </w:pPr>
          </w:p>
        </w:tc>
      </w:tr>
      <w:tr w:rsidR="007B21C5" w14:paraId="310FB987" w14:textId="77777777" w:rsidTr="00BA40EA">
        <w:trPr>
          <w:trHeight w:val="468"/>
        </w:trPr>
        <w:tc>
          <w:tcPr>
            <w:tcW w:w="1258" w:type="dxa"/>
            <w:tcBorders>
              <w:top w:val="single" w:sz="4" w:space="0" w:color="000000"/>
              <w:left w:val="single" w:sz="4" w:space="0" w:color="000000"/>
              <w:bottom w:val="single" w:sz="4" w:space="0" w:color="000000"/>
              <w:right w:val="single" w:sz="4" w:space="0" w:color="000000"/>
            </w:tcBorders>
            <w:hideMark/>
          </w:tcPr>
          <w:p w14:paraId="5100A5EB" w14:textId="77777777" w:rsidR="007B21C5" w:rsidRDefault="007B21C5">
            <w:pPr>
              <w:rPr>
                <w:sz w:val="20"/>
              </w:rPr>
            </w:pPr>
            <w:proofErr w:type="spellStart"/>
            <w:r>
              <w:rPr>
                <w:sz w:val="20"/>
              </w:rPr>
              <w:t>Vaskulære</w:t>
            </w:r>
            <w:proofErr w:type="spellEnd"/>
            <w:r>
              <w:rPr>
                <w:sz w:val="20"/>
              </w:rPr>
              <w:t xml:space="preserve"> sygdomme</w:t>
            </w:r>
          </w:p>
        </w:tc>
        <w:tc>
          <w:tcPr>
            <w:tcW w:w="1132" w:type="dxa"/>
            <w:tcBorders>
              <w:top w:val="single" w:sz="4" w:space="0" w:color="000000"/>
              <w:left w:val="single" w:sz="4" w:space="0" w:color="000000"/>
              <w:bottom w:val="single" w:sz="4" w:space="0" w:color="000000"/>
              <w:right w:val="single" w:sz="4" w:space="0" w:color="000000"/>
            </w:tcBorders>
          </w:tcPr>
          <w:p w14:paraId="20EA0283"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4C6F22C5" w14:textId="77777777" w:rsidR="007B21C5" w:rsidRDefault="007B21C5">
            <w:pPr>
              <w:pStyle w:val="Default"/>
              <w:rPr>
                <w:sz w:val="20"/>
                <w:szCs w:val="20"/>
              </w:rPr>
            </w:pPr>
          </w:p>
        </w:tc>
        <w:tc>
          <w:tcPr>
            <w:tcW w:w="1510" w:type="dxa"/>
            <w:tcBorders>
              <w:top w:val="single" w:sz="4" w:space="0" w:color="000000"/>
              <w:left w:val="single" w:sz="4" w:space="0" w:color="000000"/>
              <w:bottom w:val="single" w:sz="4" w:space="0" w:color="000000"/>
              <w:right w:val="single" w:sz="4" w:space="0" w:color="000000"/>
            </w:tcBorders>
          </w:tcPr>
          <w:p w14:paraId="5E95CED5" w14:textId="77777777" w:rsidR="007B21C5" w:rsidRDefault="007B21C5">
            <w:pPr>
              <w:pStyle w:val="Default"/>
              <w:rPr>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14:paraId="342CB778" w14:textId="70588441" w:rsidR="007B21C5" w:rsidRDefault="007B21C5">
            <w:pPr>
              <w:pStyle w:val="Default"/>
              <w:rPr>
                <w:sz w:val="20"/>
                <w:szCs w:val="20"/>
              </w:rPr>
            </w:pPr>
            <w:proofErr w:type="spellStart"/>
            <w:r>
              <w:rPr>
                <w:sz w:val="20"/>
                <w:szCs w:val="20"/>
              </w:rPr>
              <w:t>Tromboembo</w:t>
            </w:r>
            <w:r w:rsidR="002E620B">
              <w:rPr>
                <w:sz w:val="20"/>
                <w:szCs w:val="20"/>
              </w:rPr>
              <w:softHyphen/>
            </w:r>
            <w:r>
              <w:rPr>
                <w:sz w:val="20"/>
                <w:szCs w:val="20"/>
              </w:rPr>
              <w:t>liske</w:t>
            </w:r>
            <w:proofErr w:type="spellEnd"/>
            <w:r>
              <w:rPr>
                <w:sz w:val="20"/>
                <w:szCs w:val="20"/>
              </w:rPr>
              <w:t xml:space="preserve"> reaktioner (herunder arteriel og cerebral trombose, </w:t>
            </w:r>
            <w:proofErr w:type="spellStart"/>
            <w:r>
              <w:rPr>
                <w:sz w:val="20"/>
                <w:szCs w:val="20"/>
              </w:rPr>
              <w:t>tromboflebitis</w:t>
            </w:r>
            <w:proofErr w:type="spellEnd"/>
            <w:r>
              <w:rPr>
                <w:sz w:val="20"/>
                <w:szCs w:val="20"/>
              </w:rPr>
              <w:t>, dyb venetrombose i underekstre</w:t>
            </w:r>
            <w:r w:rsidR="002E620B">
              <w:rPr>
                <w:sz w:val="20"/>
                <w:szCs w:val="20"/>
              </w:rPr>
              <w:softHyphen/>
            </w:r>
            <w:r>
              <w:rPr>
                <w:sz w:val="20"/>
                <w:szCs w:val="20"/>
              </w:rPr>
              <w:t xml:space="preserve">mitet, </w:t>
            </w:r>
            <w:proofErr w:type="spellStart"/>
            <w:r>
              <w:rPr>
                <w:sz w:val="20"/>
                <w:szCs w:val="20"/>
              </w:rPr>
              <w:t>retinal</w:t>
            </w:r>
            <w:proofErr w:type="spellEnd"/>
            <w:r>
              <w:rPr>
                <w:sz w:val="20"/>
                <w:szCs w:val="20"/>
              </w:rPr>
              <w:t xml:space="preserve"> venetrombose, </w:t>
            </w:r>
            <w:proofErr w:type="spellStart"/>
            <w:r>
              <w:rPr>
                <w:sz w:val="20"/>
                <w:szCs w:val="20"/>
              </w:rPr>
              <w:t>lungeemboli</w:t>
            </w:r>
            <w:proofErr w:type="spellEnd"/>
            <w:r>
              <w:rPr>
                <w:sz w:val="20"/>
                <w:szCs w:val="20"/>
              </w:rPr>
              <w:t xml:space="preserve">) </w:t>
            </w:r>
          </w:p>
          <w:p w14:paraId="32873443" w14:textId="77777777" w:rsidR="007B21C5" w:rsidRDefault="007B21C5">
            <w:pPr>
              <w:pStyle w:val="Default"/>
              <w:rPr>
                <w:sz w:val="20"/>
                <w:szCs w:val="20"/>
                <w:lang w:val="sv-SE"/>
              </w:rPr>
            </w:pPr>
            <w:r>
              <w:rPr>
                <w:sz w:val="20"/>
                <w:szCs w:val="20"/>
              </w:rPr>
              <w:t xml:space="preserve">Hypotension </w:t>
            </w:r>
          </w:p>
        </w:tc>
        <w:tc>
          <w:tcPr>
            <w:tcW w:w="1470" w:type="dxa"/>
            <w:tcBorders>
              <w:top w:val="single" w:sz="4" w:space="0" w:color="000000"/>
              <w:left w:val="single" w:sz="4" w:space="0" w:color="000000"/>
              <w:bottom w:val="single" w:sz="4" w:space="0" w:color="000000"/>
              <w:right w:val="single" w:sz="4" w:space="0" w:color="000000"/>
            </w:tcBorders>
          </w:tcPr>
          <w:p w14:paraId="07ECB4A0" w14:textId="77777777" w:rsidR="007B21C5" w:rsidRDefault="007B21C5">
            <w:pPr>
              <w:pStyle w:val="Default"/>
              <w:rPr>
                <w:sz w:val="20"/>
                <w:szCs w:val="20"/>
                <w:lang w:val="sv-SE"/>
              </w:rPr>
            </w:pPr>
          </w:p>
        </w:tc>
        <w:tc>
          <w:tcPr>
            <w:tcW w:w="1565" w:type="dxa"/>
            <w:tcBorders>
              <w:top w:val="single" w:sz="4" w:space="0" w:color="000000"/>
              <w:left w:val="single" w:sz="4" w:space="0" w:color="000000"/>
              <w:bottom w:val="single" w:sz="4" w:space="0" w:color="000000"/>
              <w:right w:val="single" w:sz="4" w:space="0" w:color="000000"/>
            </w:tcBorders>
          </w:tcPr>
          <w:p w14:paraId="1EDA2024" w14:textId="77777777" w:rsidR="007B21C5" w:rsidRDefault="007B21C5">
            <w:pPr>
              <w:pStyle w:val="Default"/>
              <w:rPr>
                <w:sz w:val="20"/>
                <w:szCs w:val="20"/>
                <w:lang w:val="sv-SE"/>
              </w:rPr>
            </w:pPr>
          </w:p>
        </w:tc>
      </w:tr>
      <w:tr w:rsidR="007B21C5" w14:paraId="150CD025" w14:textId="77777777" w:rsidTr="00BA40EA">
        <w:trPr>
          <w:trHeight w:val="468"/>
        </w:trPr>
        <w:tc>
          <w:tcPr>
            <w:tcW w:w="1258" w:type="dxa"/>
            <w:tcBorders>
              <w:top w:val="single" w:sz="4" w:space="0" w:color="000000"/>
              <w:left w:val="single" w:sz="4" w:space="0" w:color="000000"/>
              <w:bottom w:val="single" w:sz="4" w:space="0" w:color="000000"/>
              <w:right w:val="single" w:sz="4" w:space="0" w:color="000000"/>
            </w:tcBorders>
            <w:hideMark/>
          </w:tcPr>
          <w:p w14:paraId="434D4F94" w14:textId="77777777" w:rsidR="007B21C5" w:rsidRDefault="007B21C5">
            <w:pPr>
              <w:rPr>
                <w:sz w:val="20"/>
              </w:rPr>
            </w:pPr>
            <w:r>
              <w:rPr>
                <w:sz w:val="20"/>
              </w:rPr>
              <w:t>Luftveje, thorax og mediasti-</w:t>
            </w:r>
            <w:proofErr w:type="spellStart"/>
            <w:r>
              <w:rPr>
                <w:sz w:val="20"/>
              </w:rPr>
              <w:t>num</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07F2AAF3"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0394D903" w14:textId="0AD28E8A" w:rsidR="007B21C5" w:rsidRDefault="007B21C5">
            <w:pPr>
              <w:pStyle w:val="Default"/>
              <w:rPr>
                <w:sz w:val="20"/>
                <w:szCs w:val="20"/>
              </w:rPr>
            </w:pPr>
            <w:proofErr w:type="spellStart"/>
            <w:r>
              <w:rPr>
                <w:sz w:val="20"/>
                <w:szCs w:val="20"/>
              </w:rPr>
              <w:t>Interstitiel</w:t>
            </w:r>
            <w:proofErr w:type="spellEnd"/>
            <w:r>
              <w:rPr>
                <w:sz w:val="20"/>
                <w:szCs w:val="20"/>
              </w:rPr>
              <w:t xml:space="preserve"> </w:t>
            </w:r>
            <w:proofErr w:type="spellStart"/>
            <w:r>
              <w:rPr>
                <w:sz w:val="20"/>
                <w:szCs w:val="20"/>
              </w:rPr>
              <w:t>alveolitis</w:t>
            </w:r>
            <w:proofErr w:type="spellEnd"/>
            <w:r>
              <w:rPr>
                <w:sz w:val="20"/>
                <w:szCs w:val="20"/>
              </w:rPr>
              <w:t>/</w:t>
            </w:r>
            <w:r w:rsidR="00BA40EA">
              <w:rPr>
                <w:sz w:val="20"/>
                <w:szCs w:val="20"/>
              </w:rPr>
              <w:br/>
            </w:r>
            <w:r>
              <w:rPr>
                <w:sz w:val="20"/>
                <w:szCs w:val="20"/>
              </w:rPr>
              <w:t xml:space="preserve">pneumoni (kan være dødelig) </w:t>
            </w:r>
          </w:p>
          <w:p w14:paraId="00560C6E" w14:textId="77777777" w:rsidR="007B21C5" w:rsidRDefault="007B21C5">
            <w:pPr>
              <w:pStyle w:val="Default"/>
              <w:rPr>
                <w:sz w:val="20"/>
                <w:szCs w:val="20"/>
              </w:rPr>
            </w:pPr>
          </w:p>
        </w:tc>
        <w:tc>
          <w:tcPr>
            <w:tcW w:w="1510" w:type="dxa"/>
            <w:tcBorders>
              <w:top w:val="single" w:sz="4" w:space="0" w:color="000000"/>
              <w:left w:val="single" w:sz="4" w:space="0" w:color="000000"/>
              <w:bottom w:val="single" w:sz="4" w:space="0" w:color="000000"/>
              <w:right w:val="single" w:sz="4" w:space="0" w:color="000000"/>
            </w:tcBorders>
          </w:tcPr>
          <w:p w14:paraId="00277E41" w14:textId="77777777" w:rsidR="007B21C5" w:rsidRDefault="007B21C5">
            <w:pPr>
              <w:pStyle w:val="Default"/>
              <w:rPr>
                <w:sz w:val="20"/>
                <w:szCs w:val="20"/>
              </w:rPr>
            </w:pPr>
            <w:r>
              <w:rPr>
                <w:sz w:val="20"/>
                <w:szCs w:val="20"/>
              </w:rPr>
              <w:t xml:space="preserve">Lungefibrose </w:t>
            </w:r>
          </w:p>
          <w:p w14:paraId="06233020" w14:textId="77777777" w:rsidR="007B21C5" w:rsidRDefault="007B21C5">
            <w:pPr>
              <w:pStyle w:val="Default"/>
              <w:rPr>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14:paraId="0EF9F96F" w14:textId="75A51A00" w:rsidR="007B21C5" w:rsidRDefault="007B21C5">
            <w:pPr>
              <w:pStyle w:val="Default"/>
              <w:rPr>
                <w:sz w:val="20"/>
                <w:szCs w:val="20"/>
              </w:rPr>
            </w:pPr>
            <w:r>
              <w:rPr>
                <w:sz w:val="20"/>
                <w:szCs w:val="20"/>
              </w:rPr>
              <w:t>Respirations</w:t>
            </w:r>
            <w:r w:rsidR="00BA40EA">
              <w:rPr>
                <w:sz w:val="20"/>
                <w:szCs w:val="20"/>
              </w:rPr>
              <w:softHyphen/>
            </w:r>
            <w:r>
              <w:rPr>
                <w:sz w:val="20"/>
                <w:szCs w:val="20"/>
              </w:rPr>
              <w:t xml:space="preserve">paralyse </w:t>
            </w:r>
          </w:p>
          <w:p w14:paraId="26E2BF8B" w14:textId="77777777" w:rsidR="007B21C5" w:rsidRDefault="007B21C5">
            <w:pPr>
              <w:pStyle w:val="Default"/>
              <w:rPr>
                <w:sz w:val="20"/>
                <w:szCs w:val="20"/>
              </w:rPr>
            </w:pPr>
            <w:r>
              <w:rPr>
                <w:sz w:val="20"/>
                <w:szCs w:val="20"/>
              </w:rPr>
              <w:t xml:space="preserve">Astmalignende bronkiale reaktioner såsom hoste, dyspnø og patologiske ændringer i lungefunktionsprøver </w:t>
            </w:r>
          </w:p>
          <w:p w14:paraId="63DB0793" w14:textId="77777777" w:rsidR="007B21C5" w:rsidRDefault="007B21C5">
            <w:pPr>
              <w:pStyle w:val="Default"/>
              <w:rPr>
                <w:sz w:val="20"/>
                <w:szCs w:val="20"/>
              </w:rPr>
            </w:pPr>
            <w:proofErr w:type="spellStart"/>
            <w:r>
              <w:rPr>
                <w:sz w:val="20"/>
                <w:szCs w:val="20"/>
              </w:rPr>
              <w:t>Faryngitis</w:t>
            </w:r>
            <w:proofErr w:type="spellEnd"/>
            <w:r>
              <w:rPr>
                <w:sz w:val="20"/>
                <w:szCs w:val="20"/>
              </w:rPr>
              <w:t xml:space="preserve"> </w:t>
            </w:r>
          </w:p>
        </w:tc>
        <w:tc>
          <w:tcPr>
            <w:tcW w:w="1470" w:type="dxa"/>
            <w:tcBorders>
              <w:top w:val="single" w:sz="4" w:space="0" w:color="000000"/>
              <w:left w:val="single" w:sz="4" w:space="0" w:color="000000"/>
              <w:bottom w:val="single" w:sz="4" w:space="0" w:color="000000"/>
              <w:right w:val="single" w:sz="4" w:space="0" w:color="000000"/>
            </w:tcBorders>
            <w:hideMark/>
          </w:tcPr>
          <w:p w14:paraId="64BE7AC7" w14:textId="4AB30612" w:rsidR="007B21C5" w:rsidRDefault="007B21C5">
            <w:pPr>
              <w:pStyle w:val="Default"/>
              <w:rPr>
                <w:sz w:val="20"/>
                <w:szCs w:val="20"/>
              </w:rPr>
            </w:pPr>
            <w:proofErr w:type="spellStart"/>
            <w:r>
              <w:rPr>
                <w:i/>
                <w:iCs/>
                <w:sz w:val="20"/>
                <w:szCs w:val="20"/>
              </w:rPr>
              <w:t>Pneumocystis</w:t>
            </w:r>
            <w:proofErr w:type="spellEnd"/>
            <w:r>
              <w:rPr>
                <w:i/>
                <w:iCs/>
                <w:sz w:val="20"/>
                <w:szCs w:val="20"/>
              </w:rPr>
              <w:t xml:space="preserve"> </w:t>
            </w:r>
            <w:proofErr w:type="spellStart"/>
            <w:r>
              <w:rPr>
                <w:i/>
                <w:iCs/>
                <w:sz w:val="20"/>
                <w:szCs w:val="20"/>
              </w:rPr>
              <w:t>jiroveci</w:t>
            </w:r>
            <w:proofErr w:type="spellEnd"/>
            <w:r>
              <w:rPr>
                <w:sz w:val="20"/>
                <w:szCs w:val="20"/>
              </w:rPr>
              <w:t>-pneumoni og andre lunge</w:t>
            </w:r>
            <w:r w:rsidR="00BA40EA">
              <w:rPr>
                <w:sz w:val="20"/>
                <w:szCs w:val="20"/>
              </w:rPr>
              <w:softHyphen/>
            </w:r>
            <w:r>
              <w:rPr>
                <w:sz w:val="20"/>
                <w:szCs w:val="20"/>
              </w:rPr>
              <w:t xml:space="preserve">infektioner </w:t>
            </w:r>
          </w:p>
          <w:p w14:paraId="7A78FF1A" w14:textId="77777777" w:rsidR="007B21C5" w:rsidRDefault="007B21C5">
            <w:pPr>
              <w:pStyle w:val="Default"/>
              <w:rPr>
                <w:sz w:val="20"/>
                <w:szCs w:val="20"/>
              </w:rPr>
            </w:pPr>
            <w:r>
              <w:rPr>
                <w:sz w:val="20"/>
                <w:szCs w:val="20"/>
              </w:rPr>
              <w:t xml:space="preserve">Kronisk obstruktiv lungesygdom </w:t>
            </w:r>
          </w:p>
          <w:p w14:paraId="0EDF8E58" w14:textId="77777777" w:rsidR="007B21C5" w:rsidRDefault="007B21C5">
            <w:pPr>
              <w:pStyle w:val="Default"/>
              <w:rPr>
                <w:sz w:val="20"/>
                <w:szCs w:val="20"/>
                <w:lang w:val="sv-SE"/>
              </w:rPr>
            </w:pPr>
            <w:proofErr w:type="spellStart"/>
            <w:r>
              <w:rPr>
                <w:sz w:val="20"/>
                <w:szCs w:val="20"/>
              </w:rPr>
              <w:t>Pleuraeffusion</w:t>
            </w:r>
            <w:proofErr w:type="spellEnd"/>
            <w:r>
              <w:rPr>
                <w:sz w:val="20"/>
                <w:szCs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1649039" w14:textId="77777777" w:rsidR="007B21C5" w:rsidRDefault="007B21C5">
            <w:pPr>
              <w:pStyle w:val="Default"/>
              <w:rPr>
                <w:sz w:val="20"/>
                <w:szCs w:val="20"/>
              </w:rPr>
            </w:pPr>
            <w:proofErr w:type="spellStart"/>
            <w:r>
              <w:rPr>
                <w:sz w:val="20"/>
                <w:szCs w:val="20"/>
              </w:rPr>
              <w:t>Pulmonal</w:t>
            </w:r>
            <w:proofErr w:type="spellEnd"/>
            <w:r>
              <w:rPr>
                <w:sz w:val="20"/>
                <w:szCs w:val="20"/>
              </w:rPr>
              <w:t xml:space="preserve"> alveolær blødning</w:t>
            </w:r>
            <w:r>
              <w:rPr>
                <w:sz w:val="20"/>
                <w:szCs w:val="20"/>
                <w:vertAlign w:val="superscript"/>
              </w:rPr>
              <w:t>3</w:t>
            </w:r>
            <w:r>
              <w:rPr>
                <w:sz w:val="20"/>
                <w:szCs w:val="20"/>
              </w:rPr>
              <w:t xml:space="preserve"> </w:t>
            </w:r>
          </w:p>
          <w:p w14:paraId="79FDB4C5" w14:textId="77777777" w:rsidR="007B21C5" w:rsidRDefault="007B21C5">
            <w:pPr>
              <w:pStyle w:val="Default"/>
              <w:rPr>
                <w:sz w:val="20"/>
                <w:szCs w:val="20"/>
                <w:lang w:val="sv-SE"/>
              </w:rPr>
            </w:pPr>
          </w:p>
        </w:tc>
      </w:tr>
      <w:tr w:rsidR="007B21C5" w14:paraId="6C5DD757" w14:textId="77777777" w:rsidTr="00BA40EA">
        <w:trPr>
          <w:trHeight w:val="1134"/>
        </w:trPr>
        <w:tc>
          <w:tcPr>
            <w:tcW w:w="1258" w:type="dxa"/>
            <w:tcBorders>
              <w:top w:val="single" w:sz="4" w:space="0" w:color="000000"/>
              <w:left w:val="single" w:sz="4" w:space="0" w:color="000000"/>
              <w:bottom w:val="single" w:sz="4" w:space="0" w:color="000000"/>
              <w:right w:val="single" w:sz="4" w:space="0" w:color="000000"/>
            </w:tcBorders>
            <w:hideMark/>
          </w:tcPr>
          <w:p w14:paraId="2799E88B" w14:textId="77777777" w:rsidR="007B21C5" w:rsidRDefault="007B21C5">
            <w:pPr>
              <w:rPr>
                <w:sz w:val="20"/>
              </w:rPr>
            </w:pPr>
            <w:r>
              <w:rPr>
                <w:sz w:val="20"/>
              </w:rPr>
              <w:lastRenderedPageBreak/>
              <w:t>Mave-tarmkanalen</w:t>
            </w:r>
            <w:r>
              <w:rPr>
                <w:sz w:val="20"/>
                <w:vertAlign w:val="superscript"/>
              </w:rPr>
              <w:t>3</w:t>
            </w:r>
          </w:p>
        </w:tc>
        <w:tc>
          <w:tcPr>
            <w:tcW w:w="1132" w:type="dxa"/>
            <w:tcBorders>
              <w:top w:val="single" w:sz="4" w:space="0" w:color="000000"/>
              <w:left w:val="single" w:sz="4" w:space="0" w:color="000000"/>
              <w:bottom w:val="single" w:sz="4" w:space="0" w:color="000000"/>
              <w:right w:val="single" w:sz="4" w:space="0" w:color="000000"/>
            </w:tcBorders>
            <w:hideMark/>
          </w:tcPr>
          <w:p w14:paraId="567AF2D0" w14:textId="4AE059DB" w:rsidR="007B21C5" w:rsidRDefault="007B21C5" w:rsidP="00194C46">
            <w:pPr>
              <w:pStyle w:val="Default"/>
              <w:ind w:right="-130"/>
              <w:rPr>
                <w:sz w:val="20"/>
                <w:szCs w:val="20"/>
              </w:rPr>
            </w:pPr>
            <w:r>
              <w:rPr>
                <w:sz w:val="20"/>
                <w:szCs w:val="20"/>
              </w:rPr>
              <w:t>Appetitløs</w:t>
            </w:r>
            <w:r w:rsidR="00194C46">
              <w:rPr>
                <w:sz w:val="20"/>
                <w:szCs w:val="20"/>
              </w:rPr>
              <w:softHyphen/>
            </w:r>
            <w:r>
              <w:rPr>
                <w:sz w:val="20"/>
                <w:szCs w:val="20"/>
              </w:rPr>
              <w:t xml:space="preserve">hed, kvalme, opkastning, </w:t>
            </w:r>
            <w:proofErr w:type="spellStart"/>
            <w:r>
              <w:rPr>
                <w:sz w:val="20"/>
                <w:szCs w:val="20"/>
              </w:rPr>
              <w:t>abdominal</w:t>
            </w:r>
            <w:r w:rsidR="00194C46">
              <w:rPr>
                <w:sz w:val="20"/>
                <w:szCs w:val="20"/>
              </w:rPr>
              <w:softHyphen/>
            </w:r>
            <w:r>
              <w:rPr>
                <w:sz w:val="20"/>
                <w:szCs w:val="20"/>
              </w:rPr>
              <w:t>smerter</w:t>
            </w:r>
            <w:proofErr w:type="spellEnd"/>
            <w:r>
              <w:rPr>
                <w:sz w:val="20"/>
                <w:szCs w:val="20"/>
              </w:rPr>
              <w:t>, inflam</w:t>
            </w:r>
            <w:r w:rsidR="00BA40EA">
              <w:rPr>
                <w:sz w:val="20"/>
                <w:szCs w:val="20"/>
              </w:rPr>
              <w:softHyphen/>
            </w:r>
            <w:r>
              <w:rPr>
                <w:sz w:val="20"/>
                <w:szCs w:val="20"/>
              </w:rPr>
              <w:t xml:space="preserve">mation og </w:t>
            </w:r>
            <w:proofErr w:type="spellStart"/>
            <w:r>
              <w:rPr>
                <w:sz w:val="20"/>
                <w:szCs w:val="20"/>
              </w:rPr>
              <w:t>ulcera</w:t>
            </w:r>
            <w:r w:rsidR="00BA40EA">
              <w:rPr>
                <w:sz w:val="20"/>
                <w:szCs w:val="20"/>
              </w:rPr>
              <w:softHyphen/>
            </w:r>
            <w:r w:rsidR="00BA40EA">
              <w:rPr>
                <w:sz w:val="20"/>
                <w:szCs w:val="20"/>
              </w:rPr>
              <w:softHyphen/>
            </w:r>
            <w:r w:rsidR="00BA40EA">
              <w:rPr>
                <w:sz w:val="20"/>
                <w:szCs w:val="20"/>
              </w:rPr>
              <w:softHyphen/>
            </w:r>
            <w:r>
              <w:rPr>
                <w:sz w:val="20"/>
                <w:szCs w:val="20"/>
              </w:rPr>
              <w:t>tion</w:t>
            </w:r>
            <w:proofErr w:type="spellEnd"/>
            <w:r>
              <w:rPr>
                <w:sz w:val="20"/>
                <w:szCs w:val="20"/>
              </w:rPr>
              <w:t xml:space="preserve"> af slimhinden i mund og </w:t>
            </w:r>
          </w:p>
          <w:p w14:paraId="45C1F8FE" w14:textId="77777777" w:rsidR="007B21C5" w:rsidRDefault="007B21C5">
            <w:pPr>
              <w:pStyle w:val="Default"/>
              <w:rPr>
                <w:sz w:val="20"/>
                <w:szCs w:val="20"/>
              </w:rPr>
            </w:pPr>
            <w:r>
              <w:rPr>
                <w:sz w:val="20"/>
                <w:szCs w:val="20"/>
              </w:rPr>
              <w:t xml:space="preserve">svælg </w:t>
            </w:r>
          </w:p>
          <w:p w14:paraId="3D7A0389" w14:textId="77777777" w:rsidR="007B21C5" w:rsidRDefault="007B21C5">
            <w:pPr>
              <w:pStyle w:val="Default"/>
              <w:rPr>
                <w:sz w:val="20"/>
                <w:szCs w:val="20"/>
              </w:rPr>
            </w:pPr>
            <w:proofErr w:type="spellStart"/>
            <w:r>
              <w:rPr>
                <w:sz w:val="20"/>
                <w:szCs w:val="20"/>
              </w:rPr>
              <w:t>Stomatitis</w:t>
            </w:r>
            <w:proofErr w:type="spellEnd"/>
            <w:r>
              <w:rPr>
                <w:sz w:val="20"/>
                <w:szCs w:val="20"/>
              </w:rPr>
              <w:t xml:space="preserve">, dyspepsi </w:t>
            </w:r>
          </w:p>
        </w:tc>
        <w:tc>
          <w:tcPr>
            <w:tcW w:w="1190" w:type="dxa"/>
            <w:tcBorders>
              <w:top w:val="single" w:sz="4" w:space="0" w:color="000000"/>
              <w:left w:val="single" w:sz="4" w:space="0" w:color="000000"/>
              <w:bottom w:val="single" w:sz="4" w:space="0" w:color="000000"/>
              <w:right w:val="single" w:sz="4" w:space="0" w:color="000000"/>
            </w:tcBorders>
          </w:tcPr>
          <w:p w14:paraId="0CE681C1" w14:textId="77777777" w:rsidR="007B21C5" w:rsidRDefault="007B21C5">
            <w:pPr>
              <w:pStyle w:val="Default"/>
              <w:rPr>
                <w:sz w:val="20"/>
                <w:szCs w:val="20"/>
              </w:rPr>
            </w:pPr>
            <w:r>
              <w:rPr>
                <w:sz w:val="20"/>
                <w:szCs w:val="20"/>
              </w:rPr>
              <w:t xml:space="preserve">Diarré </w:t>
            </w:r>
          </w:p>
          <w:p w14:paraId="020C7A92"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tcPr>
          <w:p w14:paraId="33C6E205" w14:textId="77777777" w:rsidR="007B21C5" w:rsidRDefault="007B21C5">
            <w:pPr>
              <w:pStyle w:val="Default"/>
              <w:rPr>
                <w:sz w:val="20"/>
                <w:szCs w:val="20"/>
              </w:rPr>
            </w:pPr>
            <w:proofErr w:type="spellStart"/>
            <w:r>
              <w:rPr>
                <w:sz w:val="20"/>
                <w:szCs w:val="20"/>
              </w:rPr>
              <w:t>Gastrointestinal</w:t>
            </w:r>
            <w:proofErr w:type="spellEnd"/>
            <w:r>
              <w:rPr>
                <w:sz w:val="20"/>
                <w:szCs w:val="20"/>
              </w:rPr>
              <w:t xml:space="preserve"> </w:t>
            </w:r>
            <w:proofErr w:type="spellStart"/>
            <w:r>
              <w:rPr>
                <w:sz w:val="20"/>
                <w:szCs w:val="20"/>
              </w:rPr>
              <w:t>ulceration</w:t>
            </w:r>
            <w:proofErr w:type="spellEnd"/>
            <w:r>
              <w:rPr>
                <w:sz w:val="20"/>
                <w:szCs w:val="20"/>
              </w:rPr>
              <w:t xml:space="preserve"> og blødning </w:t>
            </w:r>
          </w:p>
          <w:p w14:paraId="6FD9AF62" w14:textId="77777777" w:rsidR="007B21C5" w:rsidRDefault="007B21C5">
            <w:pPr>
              <w:pStyle w:val="Default"/>
              <w:rPr>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14:paraId="0D2A4415" w14:textId="77777777" w:rsidR="007B21C5" w:rsidRDefault="007B21C5">
            <w:pPr>
              <w:pStyle w:val="Default"/>
              <w:rPr>
                <w:sz w:val="20"/>
                <w:szCs w:val="20"/>
              </w:rPr>
            </w:pPr>
            <w:proofErr w:type="spellStart"/>
            <w:r>
              <w:rPr>
                <w:sz w:val="20"/>
                <w:szCs w:val="20"/>
              </w:rPr>
              <w:t>Pankreatitis</w:t>
            </w:r>
            <w:proofErr w:type="spellEnd"/>
            <w:r>
              <w:rPr>
                <w:sz w:val="20"/>
                <w:szCs w:val="20"/>
              </w:rPr>
              <w:t xml:space="preserve"> </w:t>
            </w:r>
          </w:p>
          <w:p w14:paraId="29828850" w14:textId="77777777" w:rsidR="007B21C5" w:rsidRDefault="007B21C5">
            <w:pPr>
              <w:pStyle w:val="Default"/>
              <w:rPr>
                <w:sz w:val="20"/>
                <w:szCs w:val="20"/>
              </w:rPr>
            </w:pPr>
            <w:proofErr w:type="spellStart"/>
            <w:r>
              <w:rPr>
                <w:sz w:val="20"/>
                <w:szCs w:val="20"/>
              </w:rPr>
              <w:t>Enteritis</w:t>
            </w:r>
            <w:proofErr w:type="spellEnd"/>
            <w:r>
              <w:rPr>
                <w:sz w:val="20"/>
                <w:szCs w:val="20"/>
              </w:rPr>
              <w:t xml:space="preserve"> </w:t>
            </w:r>
          </w:p>
          <w:p w14:paraId="0FB41EC3" w14:textId="77777777" w:rsidR="007B21C5" w:rsidRDefault="007B21C5">
            <w:pPr>
              <w:pStyle w:val="Default"/>
              <w:rPr>
                <w:sz w:val="20"/>
                <w:szCs w:val="20"/>
              </w:rPr>
            </w:pPr>
            <w:proofErr w:type="spellStart"/>
            <w:r>
              <w:rPr>
                <w:sz w:val="20"/>
                <w:szCs w:val="20"/>
              </w:rPr>
              <w:t>Malabsorption</w:t>
            </w:r>
            <w:proofErr w:type="spellEnd"/>
            <w:r>
              <w:rPr>
                <w:sz w:val="20"/>
                <w:szCs w:val="20"/>
              </w:rPr>
              <w:t xml:space="preserve"> </w:t>
            </w:r>
          </w:p>
          <w:p w14:paraId="0C0CCD13" w14:textId="77777777" w:rsidR="007B21C5" w:rsidRDefault="007B21C5">
            <w:pPr>
              <w:pStyle w:val="Default"/>
              <w:rPr>
                <w:sz w:val="20"/>
                <w:szCs w:val="20"/>
              </w:rPr>
            </w:pPr>
            <w:proofErr w:type="spellStart"/>
            <w:r>
              <w:rPr>
                <w:sz w:val="20"/>
                <w:szCs w:val="20"/>
              </w:rPr>
              <w:t>Melæna</w:t>
            </w:r>
            <w:proofErr w:type="spellEnd"/>
            <w:r>
              <w:rPr>
                <w:sz w:val="20"/>
                <w:szCs w:val="20"/>
              </w:rPr>
              <w:t xml:space="preserve"> </w:t>
            </w:r>
          </w:p>
          <w:p w14:paraId="62240826" w14:textId="77777777" w:rsidR="007B21C5" w:rsidRDefault="007B21C5">
            <w:pPr>
              <w:rPr>
                <w:sz w:val="20"/>
              </w:rPr>
            </w:pPr>
            <w:proofErr w:type="spellStart"/>
            <w:r>
              <w:rPr>
                <w:sz w:val="20"/>
              </w:rPr>
              <w:t>Gingivitis</w:t>
            </w:r>
            <w:proofErr w:type="spellEnd"/>
            <w:r>
              <w:rPr>
                <w:sz w:val="20"/>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1B598721" w14:textId="77777777" w:rsidR="007B21C5" w:rsidRDefault="007B21C5">
            <w:pPr>
              <w:pStyle w:val="Default"/>
              <w:rPr>
                <w:sz w:val="20"/>
                <w:szCs w:val="20"/>
              </w:rPr>
            </w:pPr>
            <w:r>
              <w:rPr>
                <w:sz w:val="20"/>
                <w:szCs w:val="20"/>
              </w:rPr>
              <w:t xml:space="preserve">Toksisk </w:t>
            </w:r>
            <w:proofErr w:type="spellStart"/>
            <w:r>
              <w:rPr>
                <w:sz w:val="20"/>
                <w:szCs w:val="20"/>
              </w:rPr>
              <w:t>megacolon</w:t>
            </w:r>
            <w:proofErr w:type="spellEnd"/>
            <w:r>
              <w:rPr>
                <w:sz w:val="20"/>
                <w:szCs w:val="20"/>
              </w:rPr>
              <w:t xml:space="preserve"> </w:t>
            </w:r>
          </w:p>
          <w:p w14:paraId="54A1B0FD" w14:textId="77777777" w:rsidR="007B21C5" w:rsidRDefault="007B21C5">
            <w:pPr>
              <w:pStyle w:val="Default"/>
              <w:rPr>
                <w:sz w:val="20"/>
                <w:szCs w:val="20"/>
              </w:rPr>
            </w:pPr>
            <w:proofErr w:type="spellStart"/>
            <w:r>
              <w:rPr>
                <w:sz w:val="20"/>
                <w:szCs w:val="20"/>
              </w:rPr>
              <w:t>Hæmatemese</w:t>
            </w:r>
            <w:proofErr w:type="spellEnd"/>
            <w:r>
              <w:rPr>
                <w:sz w:val="20"/>
                <w:szCs w:val="20"/>
              </w:rPr>
              <w:t xml:space="preserve"> </w:t>
            </w:r>
          </w:p>
          <w:p w14:paraId="5A0FB5FF" w14:textId="77777777" w:rsidR="007B21C5" w:rsidRDefault="007B21C5">
            <w:pPr>
              <w:rPr>
                <w:sz w:val="20"/>
              </w:rPr>
            </w:pPr>
          </w:p>
        </w:tc>
        <w:tc>
          <w:tcPr>
            <w:tcW w:w="1565" w:type="dxa"/>
            <w:tcBorders>
              <w:top w:val="single" w:sz="4" w:space="0" w:color="000000"/>
              <w:left w:val="single" w:sz="4" w:space="0" w:color="000000"/>
              <w:bottom w:val="single" w:sz="4" w:space="0" w:color="000000"/>
              <w:right w:val="single" w:sz="4" w:space="0" w:color="000000"/>
            </w:tcBorders>
          </w:tcPr>
          <w:p w14:paraId="27C5DA8B" w14:textId="77777777" w:rsidR="007B21C5" w:rsidRDefault="007B21C5">
            <w:pPr>
              <w:rPr>
                <w:sz w:val="20"/>
              </w:rPr>
            </w:pPr>
          </w:p>
        </w:tc>
      </w:tr>
      <w:tr w:rsidR="007B21C5" w14:paraId="19079E33" w14:textId="77777777" w:rsidTr="00BA40EA">
        <w:trPr>
          <w:trHeight w:val="952"/>
        </w:trPr>
        <w:tc>
          <w:tcPr>
            <w:tcW w:w="1258" w:type="dxa"/>
            <w:tcBorders>
              <w:top w:val="single" w:sz="4" w:space="0" w:color="000000"/>
              <w:left w:val="single" w:sz="4" w:space="0" w:color="000000"/>
              <w:bottom w:val="single" w:sz="4" w:space="0" w:color="000000"/>
              <w:right w:val="single" w:sz="4" w:space="0" w:color="000000"/>
            </w:tcBorders>
            <w:hideMark/>
          </w:tcPr>
          <w:p w14:paraId="671B246E" w14:textId="77777777" w:rsidR="007B21C5" w:rsidRDefault="007B21C5">
            <w:pPr>
              <w:rPr>
                <w:sz w:val="20"/>
              </w:rPr>
            </w:pPr>
            <w:r>
              <w:rPr>
                <w:sz w:val="20"/>
              </w:rPr>
              <w:t>Lever og galdeveje</w:t>
            </w:r>
          </w:p>
        </w:tc>
        <w:tc>
          <w:tcPr>
            <w:tcW w:w="1132" w:type="dxa"/>
            <w:tcBorders>
              <w:top w:val="single" w:sz="4" w:space="0" w:color="000000"/>
              <w:left w:val="single" w:sz="4" w:space="0" w:color="000000"/>
              <w:bottom w:val="single" w:sz="4" w:space="0" w:color="000000"/>
              <w:right w:val="single" w:sz="4" w:space="0" w:color="000000"/>
            </w:tcBorders>
            <w:hideMark/>
          </w:tcPr>
          <w:p w14:paraId="17518BAC" w14:textId="77777777" w:rsidR="007B21C5" w:rsidRDefault="007B21C5">
            <w:pPr>
              <w:pStyle w:val="Default"/>
              <w:rPr>
                <w:sz w:val="20"/>
                <w:szCs w:val="20"/>
              </w:rPr>
            </w:pPr>
            <w:r>
              <w:rPr>
                <w:sz w:val="20"/>
                <w:szCs w:val="20"/>
              </w:rPr>
              <w:t xml:space="preserve">Forhøjede leverenzymer (ALAT, ASAT, alkalisk </w:t>
            </w:r>
          </w:p>
          <w:p w14:paraId="2E67F4B1" w14:textId="77777777" w:rsidR="007B21C5" w:rsidRDefault="007B21C5">
            <w:pPr>
              <w:rPr>
                <w:sz w:val="20"/>
              </w:rPr>
            </w:pPr>
            <w:r>
              <w:rPr>
                <w:sz w:val="20"/>
              </w:rPr>
              <w:t xml:space="preserve">fosfatase og bilirubin) </w:t>
            </w:r>
          </w:p>
        </w:tc>
        <w:tc>
          <w:tcPr>
            <w:tcW w:w="1190" w:type="dxa"/>
            <w:tcBorders>
              <w:top w:val="single" w:sz="4" w:space="0" w:color="000000"/>
              <w:left w:val="single" w:sz="4" w:space="0" w:color="000000"/>
              <w:bottom w:val="single" w:sz="4" w:space="0" w:color="000000"/>
              <w:right w:val="single" w:sz="4" w:space="0" w:color="000000"/>
            </w:tcBorders>
          </w:tcPr>
          <w:p w14:paraId="6522EE69"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hideMark/>
          </w:tcPr>
          <w:p w14:paraId="08211042" w14:textId="77777777" w:rsidR="007B21C5" w:rsidRDefault="007B21C5">
            <w:pPr>
              <w:pStyle w:val="Default"/>
              <w:rPr>
                <w:sz w:val="20"/>
                <w:szCs w:val="20"/>
              </w:rPr>
            </w:pPr>
            <w:proofErr w:type="spellStart"/>
            <w:r>
              <w:rPr>
                <w:sz w:val="20"/>
                <w:szCs w:val="20"/>
              </w:rPr>
              <w:t>Hepatisk</w:t>
            </w:r>
            <w:proofErr w:type="spellEnd"/>
            <w:r>
              <w:rPr>
                <w:sz w:val="20"/>
                <w:szCs w:val="20"/>
              </w:rPr>
              <w:t xml:space="preserve"> </w:t>
            </w:r>
            <w:proofErr w:type="spellStart"/>
            <w:r>
              <w:rPr>
                <w:sz w:val="20"/>
                <w:szCs w:val="20"/>
              </w:rPr>
              <w:t>steatose</w:t>
            </w:r>
            <w:proofErr w:type="spellEnd"/>
            <w:r>
              <w:rPr>
                <w:sz w:val="20"/>
                <w:szCs w:val="20"/>
              </w:rPr>
              <w:t xml:space="preserve">, fibrose og cirrose </w:t>
            </w:r>
          </w:p>
          <w:p w14:paraId="77796CD8" w14:textId="77777777" w:rsidR="007B21C5" w:rsidRDefault="007B21C5">
            <w:pPr>
              <w:rPr>
                <w:sz w:val="20"/>
              </w:rPr>
            </w:pPr>
            <w:r>
              <w:rPr>
                <w:sz w:val="20"/>
              </w:rPr>
              <w:t xml:space="preserve">Nedsat serumalbumin </w:t>
            </w:r>
          </w:p>
        </w:tc>
        <w:tc>
          <w:tcPr>
            <w:tcW w:w="1503" w:type="dxa"/>
            <w:tcBorders>
              <w:top w:val="single" w:sz="4" w:space="0" w:color="000000"/>
              <w:left w:val="single" w:sz="4" w:space="0" w:color="000000"/>
              <w:bottom w:val="single" w:sz="4" w:space="0" w:color="000000"/>
              <w:right w:val="single" w:sz="4" w:space="0" w:color="000000"/>
            </w:tcBorders>
          </w:tcPr>
          <w:p w14:paraId="08519581" w14:textId="77777777" w:rsidR="007B21C5" w:rsidRDefault="007B21C5">
            <w:pPr>
              <w:pStyle w:val="Default"/>
              <w:rPr>
                <w:sz w:val="20"/>
                <w:szCs w:val="20"/>
              </w:rPr>
            </w:pPr>
            <w:r>
              <w:rPr>
                <w:sz w:val="20"/>
                <w:szCs w:val="20"/>
              </w:rPr>
              <w:t xml:space="preserve">Akut hepatitis og </w:t>
            </w:r>
            <w:proofErr w:type="spellStart"/>
            <w:r>
              <w:rPr>
                <w:sz w:val="20"/>
                <w:szCs w:val="20"/>
              </w:rPr>
              <w:t>hepatotoksicitet</w:t>
            </w:r>
            <w:proofErr w:type="spellEnd"/>
            <w:r>
              <w:rPr>
                <w:sz w:val="20"/>
                <w:szCs w:val="20"/>
              </w:rPr>
              <w:t xml:space="preserve"> </w:t>
            </w:r>
          </w:p>
          <w:p w14:paraId="3CE1333B" w14:textId="77777777" w:rsidR="007B21C5" w:rsidRDefault="007B21C5">
            <w:pPr>
              <w:rPr>
                <w:sz w:val="20"/>
              </w:rPr>
            </w:pPr>
          </w:p>
        </w:tc>
        <w:tc>
          <w:tcPr>
            <w:tcW w:w="1470" w:type="dxa"/>
            <w:tcBorders>
              <w:top w:val="single" w:sz="4" w:space="0" w:color="000000"/>
              <w:left w:val="single" w:sz="4" w:space="0" w:color="000000"/>
              <w:bottom w:val="single" w:sz="4" w:space="0" w:color="000000"/>
              <w:right w:val="single" w:sz="4" w:space="0" w:color="000000"/>
            </w:tcBorders>
            <w:hideMark/>
          </w:tcPr>
          <w:p w14:paraId="26772F35" w14:textId="0ED6A11C" w:rsidR="007B21C5" w:rsidRDefault="007B21C5">
            <w:pPr>
              <w:pStyle w:val="Default"/>
              <w:rPr>
                <w:sz w:val="20"/>
                <w:szCs w:val="20"/>
              </w:rPr>
            </w:pPr>
            <w:r>
              <w:rPr>
                <w:sz w:val="20"/>
                <w:szCs w:val="20"/>
              </w:rPr>
              <w:t>Akut leverdegenera</w:t>
            </w:r>
            <w:r w:rsidR="002E620B">
              <w:rPr>
                <w:sz w:val="20"/>
                <w:szCs w:val="20"/>
              </w:rPr>
              <w:softHyphen/>
            </w:r>
            <w:r>
              <w:rPr>
                <w:sz w:val="20"/>
                <w:szCs w:val="20"/>
              </w:rPr>
              <w:t xml:space="preserve">tion, leversvigt </w:t>
            </w:r>
          </w:p>
          <w:p w14:paraId="455AD6C0" w14:textId="77777777" w:rsidR="007B21C5" w:rsidRDefault="007B21C5">
            <w:pPr>
              <w:rPr>
                <w:sz w:val="20"/>
              </w:rPr>
            </w:pPr>
            <w:r>
              <w:rPr>
                <w:sz w:val="20"/>
              </w:rPr>
              <w:t xml:space="preserve">Reaktivering af kronisk hepatitis </w:t>
            </w:r>
          </w:p>
        </w:tc>
        <w:tc>
          <w:tcPr>
            <w:tcW w:w="1565" w:type="dxa"/>
            <w:tcBorders>
              <w:top w:val="single" w:sz="4" w:space="0" w:color="000000"/>
              <w:left w:val="single" w:sz="4" w:space="0" w:color="000000"/>
              <w:bottom w:val="single" w:sz="4" w:space="0" w:color="000000"/>
              <w:right w:val="single" w:sz="4" w:space="0" w:color="000000"/>
            </w:tcBorders>
          </w:tcPr>
          <w:p w14:paraId="48ED5D10" w14:textId="77777777" w:rsidR="007B21C5" w:rsidRDefault="007B21C5">
            <w:pPr>
              <w:pStyle w:val="Default"/>
              <w:rPr>
                <w:sz w:val="20"/>
                <w:szCs w:val="20"/>
              </w:rPr>
            </w:pPr>
            <w:r>
              <w:rPr>
                <w:sz w:val="20"/>
                <w:szCs w:val="20"/>
              </w:rPr>
              <w:t>Hepatitis og leversvigt</w:t>
            </w:r>
            <w:r>
              <w:rPr>
                <w:sz w:val="20"/>
                <w:szCs w:val="20"/>
                <w:vertAlign w:val="superscript"/>
              </w:rPr>
              <w:t>4</w:t>
            </w:r>
            <w:r>
              <w:rPr>
                <w:sz w:val="20"/>
                <w:szCs w:val="20"/>
              </w:rPr>
              <w:t xml:space="preserve"> </w:t>
            </w:r>
          </w:p>
          <w:p w14:paraId="55181C6E" w14:textId="77777777" w:rsidR="007B21C5" w:rsidRDefault="007B21C5">
            <w:pPr>
              <w:rPr>
                <w:sz w:val="20"/>
              </w:rPr>
            </w:pPr>
          </w:p>
        </w:tc>
      </w:tr>
      <w:tr w:rsidR="007B21C5" w14:paraId="63C2F8DB" w14:textId="77777777" w:rsidTr="00BA40EA">
        <w:trPr>
          <w:trHeight w:val="1561"/>
        </w:trPr>
        <w:tc>
          <w:tcPr>
            <w:tcW w:w="1258" w:type="dxa"/>
            <w:tcBorders>
              <w:top w:val="single" w:sz="4" w:space="0" w:color="000000"/>
              <w:left w:val="single" w:sz="4" w:space="0" w:color="000000"/>
              <w:bottom w:val="single" w:sz="4" w:space="0" w:color="000000"/>
              <w:right w:val="single" w:sz="4" w:space="0" w:color="000000"/>
            </w:tcBorders>
            <w:hideMark/>
          </w:tcPr>
          <w:p w14:paraId="544CD621" w14:textId="77777777" w:rsidR="007B21C5" w:rsidRDefault="007B21C5">
            <w:pPr>
              <w:rPr>
                <w:sz w:val="20"/>
              </w:rPr>
            </w:pPr>
            <w:r>
              <w:rPr>
                <w:sz w:val="20"/>
              </w:rPr>
              <w:t>Hud og subkutane væv</w:t>
            </w:r>
          </w:p>
        </w:tc>
        <w:tc>
          <w:tcPr>
            <w:tcW w:w="1132" w:type="dxa"/>
            <w:tcBorders>
              <w:top w:val="single" w:sz="4" w:space="0" w:color="000000"/>
              <w:left w:val="single" w:sz="4" w:space="0" w:color="000000"/>
              <w:bottom w:val="single" w:sz="4" w:space="0" w:color="000000"/>
              <w:right w:val="single" w:sz="4" w:space="0" w:color="000000"/>
            </w:tcBorders>
          </w:tcPr>
          <w:p w14:paraId="22BF9465"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hideMark/>
          </w:tcPr>
          <w:p w14:paraId="2AACA974" w14:textId="77777777" w:rsidR="007B21C5" w:rsidRDefault="007B21C5">
            <w:pPr>
              <w:pStyle w:val="Default"/>
              <w:rPr>
                <w:sz w:val="20"/>
                <w:szCs w:val="20"/>
              </w:rPr>
            </w:pPr>
            <w:proofErr w:type="spellStart"/>
            <w:r>
              <w:rPr>
                <w:sz w:val="20"/>
                <w:szCs w:val="20"/>
              </w:rPr>
              <w:t>Erytem</w:t>
            </w:r>
            <w:proofErr w:type="spellEnd"/>
            <w:r>
              <w:rPr>
                <w:sz w:val="20"/>
                <w:szCs w:val="20"/>
              </w:rPr>
              <w:t xml:space="preserve">, </w:t>
            </w:r>
            <w:proofErr w:type="spellStart"/>
            <w:r>
              <w:rPr>
                <w:sz w:val="20"/>
                <w:szCs w:val="20"/>
              </w:rPr>
              <w:t>eksantem</w:t>
            </w:r>
            <w:proofErr w:type="spellEnd"/>
            <w:r>
              <w:rPr>
                <w:sz w:val="20"/>
                <w:szCs w:val="20"/>
              </w:rPr>
              <w:t xml:space="preserve"> </w:t>
            </w:r>
          </w:p>
          <w:p w14:paraId="3CED9AE9" w14:textId="77777777" w:rsidR="007B21C5" w:rsidRDefault="007B21C5">
            <w:pPr>
              <w:rPr>
                <w:sz w:val="20"/>
              </w:rPr>
            </w:pPr>
            <w:proofErr w:type="spellStart"/>
            <w:r>
              <w:rPr>
                <w:sz w:val="20"/>
              </w:rPr>
              <w:t>Pruritus</w:t>
            </w:r>
            <w:proofErr w:type="spellEnd"/>
            <w:r>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hideMark/>
          </w:tcPr>
          <w:p w14:paraId="025CB956" w14:textId="77777777" w:rsidR="007B21C5" w:rsidRDefault="007B21C5">
            <w:pPr>
              <w:pStyle w:val="Default"/>
              <w:rPr>
                <w:sz w:val="20"/>
                <w:szCs w:val="20"/>
              </w:rPr>
            </w:pPr>
            <w:r>
              <w:rPr>
                <w:sz w:val="20"/>
                <w:szCs w:val="20"/>
              </w:rPr>
              <w:t xml:space="preserve">Svære toksicitetsmanifestationer: </w:t>
            </w:r>
            <w:proofErr w:type="spellStart"/>
            <w:r>
              <w:rPr>
                <w:sz w:val="20"/>
                <w:szCs w:val="20"/>
              </w:rPr>
              <w:t>Vaskulitis</w:t>
            </w:r>
            <w:proofErr w:type="spellEnd"/>
            <w:r>
              <w:rPr>
                <w:sz w:val="20"/>
                <w:szCs w:val="20"/>
              </w:rPr>
              <w:t xml:space="preserve">, herpeslignende huderuptioner, Stevens-Johnsons syndrom, toksisk </w:t>
            </w:r>
            <w:proofErr w:type="spellStart"/>
            <w:r>
              <w:rPr>
                <w:sz w:val="20"/>
                <w:szCs w:val="20"/>
              </w:rPr>
              <w:t>epidermal</w:t>
            </w:r>
            <w:proofErr w:type="spellEnd"/>
            <w:r>
              <w:rPr>
                <w:sz w:val="20"/>
                <w:szCs w:val="20"/>
              </w:rPr>
              <w:t xml:space="preserve"> </w:t>
            </w:r>
            <w:proofErr w:type="spellStart"/>
            <w:r>
              <w:rPr>
                <w:sz w:val="20"/>
                <w:szCs w:val="20"/>
              </w:rPr>
              <w:t>nekrolyse</w:t>
            </w:r>
            <w:proofErr w:type="spellEnd"/>
            <w:r>
              <w:rPr>
                <w:sz w:val="20"/>
                <w:szCs w:val="20"/>
              </w:rPr>
              <w:t xml:space="preserve"> (</w:t>
            </w:r>
            <w:proofErr w:type="spellStart"/>
            <w:r>
              <w:rPr>
                <w:sz w:val="20"/>
                <w:szCs w:val="20"/>
              </w:rPr>
              <w:t>Lyells</w:t>
            </w:r>
            <w:proofErr w:type="spellEnd"/>
            <w:r>
              <w:rPr>
                <w:sz w:val="20"/>
                <w:szCs w:val="20"/>
              </w:rPr>
              <w:t xml:space="preserve"> syndrom) </w:t>
            </w:r>
          </w:p>
          <w:p w14:paraId="3A3EBFCE" w14:textId="77777777" w:rsidR="007B21C5" w:rsidRDefault="007B21C5">
            <w:pPr>
              <w:pStyle w:val="Default"/>
              <w:rPr>
                <w:sz w:val="20"/>
                <w:szCs w:val="20"/>
              </w:rPr>
            </w:pPr>
            <w:r>
              <w:rPr>
                <w:sz w:val="20"/>
                <w:szCs w:val="20"/>
              </w:rPr>
              <w:t xml:space="preserve">Øget antal reumatiske </w:t>
            </w:r>
            <w:proofErr w:type="spellStart"/>
            <w:r>
              <w:rPr>
                <w:sz w:val="20"/>
                <w:szCs w:val="20"/>
              </w:rPr>
              <w:t>noduli</w:t>
            </w:r>
            <w:proofErr w:type="spellEnd"/>
            <w:r>
              <w:rPr>
                <w:sz w:val="20"/>
                <w:szCs w:val="20"/>
              </w:rPr>
              <w:t xml:space="preserve"> </w:t>
            </w:r>
          </w:p>
          <w:p w14:paraId="14511815" w14:textId="77777777" w:rsidR="007B21C5" w:rsidRDefault="007B21C5">
            <w:pPr>
              <w:pStyle w:val="Default"/>
              <w:rPr>
                <w:sz w:val="20"/>
                <w:szCs w:val="20"/>
              </w:rPr>
            </w:pPr>
            <w:r>
              <w:rPr>
                <w:sz w:val="20"/>
                <w:szCs w:val="20"/>
              </w:rPr>
              <w:t xml:space="preserve">Smertefulde erosioner af </w:t>
            </w:r>
            <w:proofErr w:type="spellStart"/>
            <w:r>
              <w:rPr>
                <w:sz w:val="20"/>
                <w:szCs w:val="20"/>
              </w:rPr>
              <w:t>psoriatisk</w:t>
            </w:r>
            <w:proofErr w:type="spellEnd"/>
            <w:r>
              <w:rPr>
                <w:sz w:val="20"/>
                <w:szCs w:val="20"/>
              </w:rPr>
              <w:t xml:space="preserve"> </w:t>
            </w:r>
            <w:proofErr w:type="spellStart"/>
            <w:r>
              <w:rPr>
                <w:sz w:val="20"/>
                <w:szCs w:val="20"/>
              </w:rPr>
              <w:t>plaque</w:t>
            </w:r>
            <w:proofErr w:type="spellEnd"/>
            <w:r>
              <w:rPr>
                <w:sz w:val="20"/>
                <w:szCs w:val="20"/>
              </w:rPr>
              <w:t xml:space="preserve"> </w:t>
            </w:r>
          </w:p>
          <w:p w14:paraId="08439E41" w14:textId="2F12A647" w:rsidR="007B21C5" w:rsidRDefault="007B21C5">
            <w:pPr>
              <w:pStyle w:val="Default"/>
              <w:rPr>
                <w:sz w:val="20"/>
                <w:szCs w:val="20"/>
              </w:rPr>
            </w:pPr>
            <w:r>
              <w:rPr>
                <w:sz w:val="20"/>
                <w:szCs w:val="20"/>
              </w:rPr>
              <w:t>Øget hudpigmente</w:t>
            </w:r>
            <w:r w:rsidR="00BA40EA">
              <w:rPr>
                <w:sz w:val="20"/>
                <w:szCs w:val="20"/>
              </w:rPr>
              <w:softHyphen/>
            </w:r>
            <w:r>
              <w:rPr>
                <w:sz w:val="20"/>
                <w:szCs w:val="20"/>
              </w:rPr>
              <w:t xml:space="preserve">ring </w:t>
            </w:r>
          </w:p>
          <w:p w14:paraId="251AE0AF" w14:textId="77777777" w:rsidR="007B21C5" w:rsidRDefault="007B21C5">
            <w:pPr>
              <w:pStyle w:val="Default"/>
              <w:rPr>
                <w:sz w:val="20"/>
                <w:szCs w:val="20"/>
              </w:rPr>
            </w:pPr>
            <w:r>
              <w:rPr>
                <w:sz w:val="20"/>
                <w:szCs w:val="20"/>
              </w:rPr>
              <w:t xml:space="preserve">Hårtab </w:t>
            </w:r>
          </w:p>
          <w:p w14:paraId="132A4E7A" w14:textId="77777777" w:rsidR="007B21C5" w:rsidRDefault="007B21C5">
            <w:pPr>
              <w:pStyle w:val="Default"/>
              <w:rPr>
                <w:sz w:val="20"/>
                <w:szCs w:val="20"/>
              </w:rPr>
            </w:pPr>
            <w:r>
              <w:rPr>
                <w:sz w:val="20"/>
                <w:szCs w:val="20"/>
              </w:rPr>
              <w:t xml:space="preserve">Inadækvat sårheling </w:t>
            </w:r>
          </w:p>
          <w:p w14:paraId="76DCF60F" w14:textId="77777777" w:rsidR="007B21C5" w:rsidRDefault="007B21C5">
            <w:pPr>
              <w:rPr>
                <w:sz w:val="20"/>
              </w:rPr>
            </w:pPr>
            <w:proofErr w:type="spellStart"/>
            <w:r>
              <w:rPr>
                <w:sz w:val="20"/>
              </w:rPr>
              <w:t>Urticaria</w:t>
            </w:r>
            <w:proofErr w:type="spellEnd"/>
            <w:r>
              <w:rPr>
                <w:sz w:val="20"/>
              </w:rPr>
              <w:t xml:space="preserve"> </w:t>
            </w:r>
          </w:p>
          <w:p w14:paraId="59115AF0" w14:textId="3CB65B91" w:rsidR="00B82E3E" w:rsidRDefault="00B82E3E">
            <w:pPr>
              <w:rPr>
                <w:sz w:val="20"/>
                <w:lang w:val="nb-NO"/>
              </w:rPr>
            </w:pPr>
            <w:r>
              <w:rPr>
                <w:sz w:val="20"/>
              </w:rPr>
              <w:t>Reaktioner på fotosensitivitet</w:t>
            </w:r>
          </w:p>
        </w:tc>
        <w:tc>
          <w:tcPr>
            <w:tcW w:w="1503" w:type="dxa"/>
            <w:tcBorders>
              <w:top w:val="single" w:sz="4" w:space="0" w:color="000000"/>
              <w:left w:val="single" w:sz="4" w:space="0" w:color="000000"/>
              <w:bottom w:val="single" w:sz="4" w:space="0" w:color="000000"/>
              <w:right w:val="single" w:sz="4" w:space="0" w:color="000000"/>
            </w:tcBorders>
            <w:hideMark/>
          </w:tcPr>
          <w:p w14:paraId="09DA8102" w14:textId="5AEF6D70" w:rsidR="007B21C5" w:rsidRDefault="007B21C5">
            <w:pPr>
              <w:pStyle w:val="Default"/>
              <w:rPr>
                <w:sz w:val="20"/>
                <w:szCs w:val="20"/>
                <w:lang w:val="nb-NO"/>
              </w:rPr>
            </w:pPr>
            <w:r>
              <w:rPr>
                <w:sz w:val="20"/>
                <w:szCs w:val="20"/>
                <w:lang w:val="nb-NO"/>
              </w:rPr>
              <w:t>Øgede pigmentforan</w:t>
            </w:r>
            <w:r w:rsidR="002E620B">
              <w:rPr>
                <w:sz w:val="20"/>
                <w:szCs w:val="20"/>
                <w:lang w:val="nb-NO"/>
              </w:rPr>
              <w:softHyphen/>
            </w:r>
            <w:r>
              <w:rPr>
                <w:sz w:val="20"/>
                <w:szCs w:val="20"/>
                <w:lang w:val="nb-NO"/>
              </w:rPr>
              <w:t xml:space="preserve">dringer i neglene, onykolyse </w:t>
            </w:r>
          </w:p>
          <w:p w14:paraId="1E93D8B5" w14:textId="77777777" w:rsidR="007B21C5" w:rsidRDefault="007B21C5">
            <w:pPr>
              <w:pStyle w:val="Default"/>
              <w:rPr>
                <w:sz w:val="20"/>
                <w:szCs w:val="20"/>
                <w:lang w:val="nb-NO"/>
              </w:rPr>
            </w:pPr>
            <w:r>
              <w:rPr>
                <w:sz w:val="20"/>
                <w:szCs w:val="20"/>
                <w:lang w:val="nb-NO"/>
              </w:rPr>
              <w:t xml:space="preserve">Acne </w:t>
            </w:r>
          </w:p>
          <w:p w14:paraId="28ED6D53" w14:textId="77777777" w:rsidR="007B21C5" w:rsidRDefault="007B21C5">
            <w:pPr>
              <w:pStyle w:val="Default"/>
              <w:rPr>
                <w:sz w:val="20"/>
                <w:szCs w:val="20"/>
                <w:lang w:val="nb-NO"/>
              </w:rPr>
            </w:pPr>
            <w:r>
              <w:rPr>
                <w:sz w:val="20"/>
                <w:szCs w:val="20"/>
                <w:lang w:val="nb-NO"/>
              </w:rPr>
              <w:t xml:space="preserve">Petekkier </w:t>
            </w:r>
          </w:p>
          <w:p w14:paraId="3787CD43" w14:textId="77777777" w:rsidR="007B21C5" w:rsidRDefault="007B21C5">
            <w:pPr>
              <w:pStyle w:val="Default"/>
              <w:rPr>
                <w:sz w:val="20"/>
                <w:szCs w:val="20"/>
                <w:lang w:val="nb-NO"/>
              </w:rPr>
            </w:pPr>
            <w:r>
              <w:rPr>
                <w:sz w:val="20"/>
                <w:szCs w:val="20"/>
                <w:lang w:val="nb-NO"/>
              </w:rPr>
              <w:t xml:space="preserve">Blå mærker </w:t>
            </w:r>
          </w:p>
          <w:p w14:paraId="6FDA6172" w14:textId="77777777" w:rsidR="007B21C5" w:rsidRDefault="007B21C5">
            <w:pPr>
              <w:pStyle w:val="Default"/>
              <w:rPr>
                <w:sz w:val="20"/>
                <w:szCs w:val="20"/>
                <w:lang w:val="nb-NO"/>
              </w:rPr>
            </w:pPr>
            <w:r>
              <w:rPr>
                <w:sz w:val="20"/>
                <w:szCs w:val="20"/>
                <w:lang w:val="nb-NO"/>
              </w:rPr>
              <w:t xml:space="preserve">Erythema multiforme, kutane erytematøse eruptioner </w:t>
            </w:r>
          </w:p>
          <w:p w14:paraId="27D95803" w14:textId="77777777" w:rsidR="007B21C5" w:rsidRDefault="007B21C5">
            <w:pPr>
              <w:pStyle w:val="Default"/>
              <w:rPr>
                <w:sz w:val="20"/>
                <w:szCs w:val="20"/>
                <w:lang w:val="nb-NO"/>
              </w:rPr>
            </w:pPr>
            <w:r>
              <w:rPr>
                <w:sz w:val="20"/>
                <w:szCs w:val="20"/>
                <w:lang w:val="nb-NO"/>
              </w:rPr>
              <w:t xml:space="preserve">Psoriatiske læsioner kan forværres ved samtidig UV-terapi </w:t>
            </w:r>
          </w:p>
          <w:p w14:paraId="58123FD5" w14:textId="77777777" w:rsidR="007B21C5" w:rsidRDefault="007B21C5">
            <w:pPr>
              <w:rPr>
                <w:sz w:val="20"/>
              </w:rPr>
            </w:pPr>
            <w:proofErr w:type="spellStart"/>
            <w:r>
              <w:rPr>
                <w:sz w:val="20"/>
              </w:rPr>
              <w:t>Stråledermatitis</w:t>
            </w:r>
            <w:proofErr w:type="spellEnd"/>
            <w:r>
              <w:rPr>
                <w:sz w:val="20"/>
              </w:rPr>
              <w:t xml:space="preserve"> og solforbrænding kan vende tilbage (</w:t>
            </w:r>
            <w:proofErr w:type="spellStart"/>
            <w:r>
              <w:rPr>
                <w:i/>
                <w:iCs/>
                <w:sz w:val="20"/>
              </w:rPr>
              <w:t>recall</w:t>
            </w:r>
            <w:proofErr w:type="spellEnd"/>
            <w:r>
              <w:rPr>
                <w:sz w:val="20"/>
              </w:rPr>
              <w:t xml:space="preserve">) </w:t>
            </w:r>
          </w:p>
        </w:tc>
        <w:tc>
          <w:tcPr>
            <w:tcW w:w="1470" w:type="dxa"/>
            <w:tcBorders>
              <w:top w:val="single" w:sz="4" w:space="0" w:color="000000"/>
              <w:left w:val="single" w:sz="4" w:space="0" w:color="000000"/>
              <w:bottom w:val="single" w:sz="4" w:space="0" w:color="000000"/>
              <w:right w:val="single" w:sz="4" w:space="0" w:color="000000"/>
            </w:tcBorders>
            <w:hideMark/>
          </w:tcPr>
          <w:p w14:paraId="4F27B8ED" w14:textId="77777777" w:rsidR="007B21C5" w:rsidRDefault="007B21C5">
            <w:pPr>
              <w:pStyle w:val="Default"/>
              <w:rPr>
                <w:sz w:val="20"/>
                <w:szCs w:val="20"/>
              </w:rPr>
            </w:pPr>
            <w:r>
              <w:rPr>
                <w:sz w:val="20"/>
                <w:szCs w:val="20"/>
              </w:rPr>
              <w:t xml:space="preserve">Akut </w:t>
            </w:r>
            <w:proofErr w:type="spellStart"/>
            <w:r>
              <w:rPr>
                <w:sz w:val="20"/>
                <w:szCs w:val="20"/>
              </w:rPr>
              <w:t>paronykie</w:t>
            </w:r>
            <w:proofErr w:type="spellEnd"/>
            <w:r>
              <w:rPr>
                <w:sz w:val="20"/>
                <w:szCs w:val="20"/>
              </w:rPr>
              <w:t xml:space="preserve">, </w:t>
            </w:r>
            <w:proofErr w:type="spellStart"/>
            <w:r>
              <w:rPr>
                <w:sz w:val="20"/>
                <w:szCs w:val="20"/>
              </w:rPr>
              <w:t>furunkulose</w:t>
            </w:r>
            <w:proofErr w:type="spellEnd"/>
            <w:r>
              <w:rPr>
                <w:sz w:val="20"/>
                <w:szCs w:val="20"/>
              </w:rPr>
              <w:t xml:space="preserve"> </w:t>
            </w:r>
          </w:p>
          <w:p w14:paraId="41EE412D" w14:textId="77777777" w:rsidR="007B21C5" w:rsidRDefault="007B21C5">
            <w:pPr>
              <w:pStyle w:val="Default"/>
              <w:rPr>
                <w:sz w:val="20"/>
                <w:szCs w:val="20"/>
              </w:rPr>
            </w:pPr>
            <w:proofErr w:type="spellStart"/>
            <w:r>
              <w:rPr>
                <w:sz w:val="20"/>
                <w:szCs w:val="20"/>
              </w:rPr>
              <w:t>Telangiektasi</w:t>
            </w:r>
            <w:proofErr w:type="spellEnd"/>
            <w:r>
              <w:rPr>
                <w:sz w:val="20"/>
                <w:szCs w:val="20"/>
              </w:rPr>
              <w:t xml:space="preserve"> </w:t>
            </w:r>
          </w:p>
          <w:p w14:paraId="6C473675" w14:textId="77777777" w:rsidR="007B21C5" w:rsidRDefault="007B21C5">
            <w:pPr>
              <w:rPr>
                <w:sz w:val="20"/>
              </w:rPr>
            </w:pPr>
            <w:proofErr w:type="spellStart"/>
            <w:r>
              <w:rPr>
                <w:sz w:val="20"/>
              </w:rPr>
              <w:t>Hidradenitis</w:t>
            </w:r>
            <w:proofErr w:type="spellEnd"/>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30121EA" w14:textId="77777777" w:rsidR="007B21C5" w:rsidRDefault="007B21C5">
            <w:pPr>
              <w:pStyle w:val="Default"/>
              <w:rPr>
                <w:sz w:val="20"/>
                <w:szCs w:val="20"/>
              </w:rPr>
            </w:pPr>
            <w:proofErr w:type="spellStart"/>
            <w:r>
              <w:rPr>
                <w:sz w:val="20"/>
                <w:szCs w:val="20"/>
              </w:rPr>
              <w:t>Hudeksfoliering</w:t>
            </w:r>
            <w:proofErr w:type="spellEnd"/>
            <w:r>
              <w:rPr>
                <w:sz w:val="20"/>
                <w:szCs w:val="20"/>
              </w:rPr>
              <w:t>/</w:t>
            </w:r>
            <w:proofErr w:type="spellStart"/>
            <w:r>
              <w:rPr>
                <w:sz w:val="20"/>
                <w:szCs w:val="20"/>
              </w:rPr>
              <w:t>eksfoliativ</w:t>
            </w:r>
            <w:proofErr w:type="spellEnd"/>
            <w:r>
              <w:rPr>
                <w:sz w:val="20"/>
                <w:szCs w:val="20"/>
              </w:rPr>
              <w:t xml:space="preserve"> </w:t>
            </w:r>
            <w:proofErr w:type="spellStart"/>
            <w:r>
              <w:rPr>
                <w:sz w:val="20"/>
                <w:szCs w:val="20"/>
              </w:rPr>
              <w:t>dermatitis</w:t>
            </w:r>
            <w:proofErr w:type="spellEnd"/>
            <w:r>
              <w:rPr>
                <w:sz w:val="20"/>
                <w:szCs w:val="20"/>
              </w:rPr>
              <w:t xml:space="preserve"> </w:t>
            </w:r>
          </w:p>
          <w:p w14:paraId="5D7EC7C7" w14:textId="77777777" w:rsidR="007B21C5" w:rsidRDefault="007B21C5">
            <w:pPr>
              <w:rPr>
                <w:sz w:val="20"/>
              </w:rPr>
            </w:pPr>
          </w:p>
        </w:tc>
      </w:tr>
      <w:tr w:rsidR="007B21C5" w14:paraId="37120701" w14:textId="77777777" w:rsidTr="00BA40EA">
        <w:trPr>
          <w:trHeight w:val="918"/>
        </w:trPr>
        <w:tc>
          <w:tcPr>
            <w:tcW w:w="1258" w:type="dxa"/>
            <w:tcBorders>
              <w:top w:val="single" w:sz="4" w:space="0" w:color="000000"/>
              <w:left w:val="single" w:sz="4" w:space="0" w:color="000000"/>
              <w:bottom w:val="single" w:sz="4" w:space="0" w:color="000000"/>
              <w:right w:val="single" w:sz="4" w:space="0" w:color="000000"/>
            </w:tcBorders>
            <w:hideMark/>
          </w:tcPr>
          <w:p w14:paraId="49D1D90D" w14:textId="77777777" w:rsidR="007B21C5" w:rsidRDefault="007B21C5">
            <w:pPr>
              <w:rPr>
                <w:sz w:val="20"/>
              </w:rPr>
            </w:pPr>
            <w:r>
              <w:rPr>
                <w:sz w:val="20"/>
              </w:rPr>
              <w:t>Knogler, led, muskler og bindevæv</w:t>
            </w:r>
          </w:p>
        </w:tc>
        <w:tc>
          <w:tcPr>
            <w:tcW w:w="1132" w:type="dxa"/>
            <w:tcBorders>
              <w:top w:val="single" w:sz="4" w:space="0" w:color="000000"/>
              <w:left w:val="single" w:sz="4" w:space="0" w:color="000000"/>
              <w:bottom w:val="single" w:sz="4" w:space="0" w:color="000000"/>
              <w:right w:val="single" w:sz="4" w:space="0" w:color="000000"/>
            </w:tcBorders>
          </w:tcPr>
          <w:p w14:paraId="1280AC5B"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6D60D05C"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hideMark/>
          </w:tcPr>
          <w:p w14:paraId="36264731" w14:textId="77777777" w:rsidR="007B21C5" w:rsidRDefault="007B21C5">
            <w:pPr>
              <w:pStyle w:val="Default"/>
              <w:rPr>
                <w:sz w:val="20"/>
                <w:szCs w:val="20"/>
              </w:rPr>
            </w:pPr>
            <w:r>
              <w:rPr>
                <w:sz w:val="20"/>
                <w:szCs w:val="20"/>
              </w:rPr>
              <w:t xml:space="preserve">Osteoporose </w:t>
            </w:r>
          </w:p>
          <w:p w14:paraId="758600AF" w14:textId="77777777" w:rsidR="007B21C5" w:rsidRDefault="007B21C5">
            <w:pPr>
              <w:pStyle w:val="Default"/>
              <w:rPr>
                <w:sz w:val="20"/>
                <w:szCs w:val="20"/>
              </w:rPr>
            </w:pPr>
            <w:proofErr w:type="spellStart"/>
            <w:r>
              <w:rPr>
                <w:sz w:val="20"/>
                <w:szCs w:val="20"/>
              </w:rPr>
              <w:t>Artralgi</w:t>
            </w:r>
            <w:proofErr w:type="spellEnd"/>
            <w:r>
              <w:rPr>
                <w:sz w:val="20"/>
                <w:szCs w:val="20"/>
              </w:rPr>
              <w:t xml:space="preserve"> </w:t>
            </w:r>
          </w:p>
          <w:p w14:paraId="30D52A45" w14:textId="77777777" w:rsidR="007B21C5" w:rsidRDefault="007B21C5">
            <w:pPr>
              <w:rPr>
                <w:sz w:val="20"/>
              </w:rPr>
            </w:pPr>
            <w:r>
              <w:rPr>
                <w:sz w:val="20"/>
              </w:rPr>
              <w:t xml:space="preserve">Myalgi </w:t>
            </w:r>
          </w:p>
        </w:tc>
        <w:tc>
          <w:tcPr>
            <w:tcW w:w="1503" w:type="dxa"/>
            <w:tcBorders>
              <w:top w:val="single" w:sz="4" w:space="0" w:color="000000"/>
              <w:left w:val="single" w:sz="4" w:space="0" w:color="000000"/>
              <w:bottom w:val="single" w:sz="4" w:space="0" w:color="000000"/>
              <w:right w:val="single" w:sz="4" w:space="0" w:color="000000"/>
            </w:tcBorders>
          </w:tcPr>
          <w:p w14:paraId="7CC353BB" w14:textId="77777777" w:rsidR="007B21C5" w:rsidRDefault="007B21C5">
            <w:pPr>
              <w:pStyle w:val="Default"/>
              <w:rPr>
                <w:sz w:val="20"/>
                <w:szCs w:val="20"/>
              </w:rPr>
            </w:pPr>
            <w:r>
              <w:rPr>
                <w:sz w:val="20"/>
                <w:szCs w:val="20"/>
              </w:rPr>
              <w:t xml:space="preserve">Stressfraktur </w:t>
            </w:r>
          </w:p>
          <w:p w14:paraId="6C7035C0" w14:textId="77777777" w:rsidR="007B21C5" w:rsidRDefault="007B21C5">
            <w:pPr>
              <w:rPr>
                <w:sz w:val="20"/>
              </w:rPr>
            </w:pPr>
          </w:p>
        </w:tc>
        <w:tc>
          <w:tcPr>
            <w:tcW w:w="1470" w:type="dxa"/>
            <w:tcBorders>
              <w:top w:val="single" w:sz="4" w:space="0" w:color="000000"/>
              <w:left w:val="single" w:sz="4" w:space="0" w:color="000000"/>
              <w:bottom w:val="single" w:sz="4" w:space="0" w:color="000000"/>
              <w:right w:val="single" w:sz="4" w:space="0" w:color="000000"/>
            </w:tcBorders>
          </w:tcPr>
          <w:p w14:paraId="27CAFAAA" w14:textId="77777777" w:rsidR="007B21C5" w:rsidRDefault="007B21C5">
            <w:pPr>
              <w:rPr>
                <w:sz w:val="20"/>
              </w:rPr>
            </w:pPr>
          </w:p>
        </w:tc>
        <w:tc>
          <w:tcPr>
            <w:tcW w:w="1565" w:type="dxa"/>
            <w:tcBorders>
              <w:top w:val="single" w:sz="4" w:space="0" w:color="000000"/>
              <w:left w:val="single" w:sz="4" w:space="0" w:color="000000"/>
              <w:bottom w:val="single" w:sz="4" w:space="0" w:color="000000"/>
              <w:right w:val="single" w:sz="4" w:space="0" w:color="000000"/>
            </w:tcBorders>
          </w:tcPr>
          <w:p w14:paraId="47523041" w14:textId="25D34845" w:rsidR="007B21C5" w:rsidRDefault="007B21C5" w:rsidP="00AC214D">
            <w:pPr>
              <w:pStyle w:val="Default"/>
              <w:rPr>
                <w:sz w:val="20"/>
              </w:rPr>
            </w:pPr>
            <w:proofErr w:type="spellStart"/>
            <w:r>
              <w:rPr>
                <w:sz w:val="20"/>
                <w:szCs w:val="20"/>
              </w:rPr>
              <w:t>Osteonekrose</w:t>
            </w:r>
            <w:proofErr w:type="spellEnd"/>
            <w:r>
              <w:rPr>
                <w:sz w:val="20"/>
                <w:szCs w:val="20"/>
              </w:rPr>
              <w:t xml:space="preserve"> af kæbe (sekundær til </w:t>
            </w:r>
            <w:proofErr w:type="spellStart"/>
            <w:r>
              <w:rPr>
                <w:sz w:val="20"/>
                <w:szCs w:val="20"/>
              </w:rPr>
              <w:t>lymfoprolifera</w:t>
            </w:r>
            <w:r w:rsidR="00AC214D">
              <w:rPr>
                <w:sz w:val="20"/>
                <w:szCs w:val="20"/>
              </w:rPr>
              <w:softHyphen/>
            </w:r>
            <w:r>
              <w:rPr>
                <w:sz w:val="20"/>
                <w:szCs w:val="20"/>
              </w:rPr>
              <w:t>tive</w:t>
            </w:r>
            <w:proofErr w:type="spellEnd"/>
            <w:r>
              <w:rPr>
                <w:sz w:val="20"/>
                <w:szCs w:val="20"/>
              </w:rPr>
              <w:t xml:space="preserve"> lidelser) </w:t>
            </w:r>
          </w:p>
        </w:tc>
      </w:tr>
      <w:tr w:rsidR="007B21C5" w14:paraId="070764E9" w14:textId="77777777" w:rsidTr="00BA40EA">
        <w:trPr>
          <w:trHeight w:val="468"/>
        </w:trPr>
        <w:tc>
          <w:tcPr>
            <w:tcW w:w="1258" w:type="dxa"/>
            <w:tcBorders>
              <w:top w:val="single" w:sz="4" w:space="0" w:color="000000"/>
              <w:left w:val="single" w:sz="4" w:space="0" w:color="000000"/>
              <w:bottom w:val="single" w:sz="4" w:space="0" w:color="000000"/>
              <w:right w:val="single" w:sz="4" w:space="0" w:color="000000"/>
            </w:tcBorders>
            <w:hideMark/>
          </w:tcPr>
          <w:p w14:paraId="49A37F97" w14:textId="77777777" w:rsidR="007B21C5" w:rsidRDefault="007B21C5">
            <w:pPr>
              <w:rPr>
                <w:sz w:val="20"/>
              </w:rPr>
            </w:pPr>
            <w:r>
              <w:rPr>
                <w:sz w:val="20"/>
              </w:rPr>
              <w:t>Nyrer og urinveje</w:t>
            </w:r>
          </w:p>
        </w:tc>
        <w:tc>
          <w:tcPr>
            <w:tcW w:w="1132" w:type="dxa"/>
            <w:tcBorders>
              <w:top w:val="single" w:sz="4" w:space="0" w:color="000000"/>
              <w:left w:val="single" w:sz="4" w:space="0" w:color="000000"/>
              <w:bottom w:val="single" w:sz="4" w:space="0" w:color="000000"/>
              <w:right w:val="single" w:sz="4" w:space="0" w:color="000000"/>
            </w:tcBorders>
          </w:tcPr>
          <w:p w14:paraId="20628F9C"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002C1FA7"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hideMark/>
          </w:tcPr>
          <w:p w14:paraId="37C70430" w14:textId="77777777" w:rsidR="007B21C5" w:rsidRDefault="007B21C5">
            <w:pPr>
              <w:pStyle w:val="Default"/>
              <w:rPr>
                <w:sz w:val="20"/>
                <w:szCs w:val="20"/>
              </w:rPr>
            </w:pPr>
            <w:proofErr w:type="spellStart"/>
            <w:r>
              <w:rPr>
                <w:sz w:val="20"/>
                <w:szCs w:val="20"/>
              </w:rPr>
              <w:t>Nefropati</w:t>
            </w:r>
            <w:proofErr w:type="spellEnd"/>
            <w:r>
              <w:rPr>
                <w:sz w:val="20"/>
                <w:szCs w:val="20"/>
              </w:rPr>
              <w:t xml:space="preserve"> </w:t>
            </w:r>
          </w:p>
          <w:p w14:paraId="68F879F5" w14:textId="77777777" w:rsidR="007B21C5" w:rsidRDefault="007B21C5">
            <w:pPr>
              <w:rPr>
                <w:sz w:val="20"/>
              </w:rPr>
            </w:pPr>
            <w:r>
              <w:rPr>
                <w:sz w:val="20"/>
              </w:rPr>
              <w:lastRenderedPageBreak/>
              <w:t xml:space="preserve">Inflammation og </w:t>
            </w:r>
            <w:proofErr w:type="spellStart"/>
            <w:r>
              <w:rPr>
                <w:sz w:val="20"/>
              </w:rPr>
              <w:t>ulceration</w:t>
            </w:r>
            <w:proofErr w:type="spellEnd"/>
            <w:r>
              <w:rPr>
                <w:sz w:val="20"/>
              </w:rPr>
              <w:t xml:space="preserve"> i urinblæren (eventuelt med hæmaturi), </w:t>
            </w:r>
            <w:proofErr w:type="spellStart"/>
            <w:r>
              <w:rPr>
                <w:sz w:val="20"/>
              </w:rPr>
              <w:t>dysuri</w:t>
            </w:r>
            <w:proofErr w:type="spellEnd"/>
            <w:r>
              <w:rPr>
                <w:sz w:val="20"/>
              </w:rPr>
              <w:t xml:space="preserve"> </w:t>
            </w:r>
          </w:p>
        </w:tc>
        <w:tc>
          <w:tcPr>
            <w:tcW w:w="1503" w:type="dxa"/>
            <w:tcBorders>
              <w:top w:val="single" w:sz="4" w:space="0" w:color="000000"/>
              <w:left w:val="single" w:sz="4" w:space="0" w:color="000000"/>
              <w:bottom w:val="single" w:sz="4" w:space="0" w:color="000000"/>
              <w:right w:val="single" w:sz="4" w:space="0" w:color="000000"/>
            </w:tcBorders>
            <w:hideMark/>
          </w:tcPr>
          <w:p w14:paraId="1F6B9009" w14:textId="77777777" w:rsidR="007B21C5" w:rsidRDefault="007B21C5">
            <w:pPr>
              <w:pStyle w:val="Default"/>
              <w:rPr>
                <w:sz w:val="20"/>
                <w:szCs w:val="20"/>
              </w:rPr>
            </w:pPr>
            <w:r>
              <w:rPr>
                <w:sz w:val="20"/>
                <w:szCs w:val="20"/>
              </w:rPr>
              <w:lastRenderedPageBreak/>
              <w:t xml:space="preserve">Nyresvigt </w:t>
            </w:r>
          </w:p>
          <w:p w14:paraId="7C816F8D" w14:textId="77777777" w:rsidR="007B21C5" w:rsidRDefault="007B21C5">
            <w:pPr>
              <w:pStyle w:val="Default"/>
              <w:rPr>
                <w:sz w:val="20"/>
                <w:szCs w:val="20"/>
              </w:rPr>
            </w:pPr>
            <w:proofErr w:type="spellStart"/>
            <w:r>
              <w:rPr>
                <w:sz w:val="20"/>
                <w:szCs w:val="20"/>
              </w:rPr>
              <w:t>Oliguri</w:t>
            </w:r>
            <w:proofErr w:type="spellEnd"/>
            <w:r>
              <w:rPr>
                <w:sz w:val="20"/>
                <w:szCs w:val="20"/>
              </w:rPr>
              <w:t xml:space="preserve"> </w:t>
            </w:r>
          </w:p>
          <w:p w14:paraId="0CA15C9A" w14:textId="77777777" w:rsidR="007B21C5" w:rsidRDefault="007B21C5">
            <w:pPr>
              <w:pStyle w:val="Default"/>
              <w:rPr>
                <w:sz w:val="20"/>
                <w:szCs w:val="20"/>
              </w:rPr>
            </w:pPr>
            <w:proofErr w:type="spellStart"/>
            <w:r>
              <w:rPr>
                <w:sz w:val="20"/>
                <w:szCs w:val="20"/>
              </w:rPr>
              <w:lastRenderedPageBreak/>
              <w:t>Anuri</w:t>
            </w:r>
            <w:proofErr w:type="spellEnd"/>
            <w:r>
              <w:rPr>
                <w:sz w:val="20"/>
                <w:szCs w:val="20"/>
              </w:rPr>
              <w:t xml:space="preserve"> </w:t>
            </w:r>
          </w:p>
          <w:p w14:paraId="256A3479" w14:textId="77777777" w:rsidR="007B21C5" w:rsidRDefault="007B21C5">
            <w:pPr>
              <w:rPr>
                <w:sz w:val="20"/>
              </w:rPr>
            </w:pPr>
            <w:proofErr w:type="spellStart"/>
            <w:r>
              <w:rPr>
                <w:sz w:val="20"/>
              </w:rPr>
              <w:t>Azotæmi</w:t>
            </w:r>
            <w:proofErr w:type="spellEnd"/>
            <w:r>
              <w:rPr>
                <w:sz w:val="20"/>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766BC618" w14:textId="77777777" w:rsidR="007B21C5" w:rsidRDefault="007B21C5">
            <w:pPr>
              <w:pStyle w:val="Default"/>
              <w:rPr>
                <w:sz w:val="20"/>
                <w:szCs w:val="20"/>
              </w:rPr>
            </w:pPr>
            <w:proofErr w:type="spellStart"/>
            <w:r>
              <w:rPr>
                <w:sz w:val="20"/>
                <w:szCs w:val="20"/>
              </w:rPr>
              <w:lastRenderedPageBreak/>
              <w:t>Proteinuri</w:t>
            </w:r>
            <w:proofErr w:type="spellEnd"/>
            <w:r>
              <w:rPr>
                <w:sz w:val="20"/>
                <w:szCs w:val="20"/>
              </w:rPr>
              <w:t xml:space="preserve"> </w:t>
            </w:r>
          </w:p>
          <w:p w14:paraId="1F9B7324" w14:textId="77777777" w:rsidR="007B21C5" w:rsidRDefault="007B21C5">
            <w:pPr>
              <w:rPr>
                <w:sz w:val="20"/>
              </w:rPr>
            </w:pPr>
          </w:p>
        </w:tc>
        <w:tc>
          <w:tcPr>
            <w:tcW w:w="1565" w:type="dxa"/>
            <w:tcBorders>
              <w:top w:val="single" w:sz="4" w:space="0" w:color="000000"/>
              <w:left w:val="single" w:sz="4" w:space="0" w:color="000000"/>
              <w:bottom w:val="single" w:sz="4" w:space="0" w:color="000000"/>
              <w:right w:val="single" w:sz="4" w:space="0" w:color="000000"/>
            </w:tcBorders>
          </w:tcPr>
          <w:p w14:paraId="299CFFA0" w14:textId="77777777" w:rsidR="007B21C5" w:rsidRDefault="007B21C5">
            <w:pPr>
              <w:rPr>
                <w:sz w:val="20"/>
              </w:rPr>
            </w:pPr>
          </w:p>
        </w:tc>
      </w:tr>
      <w:tr w:rsidR="007B21C5" w14:paraId="7DCCD815" w14:textId="77777777" w:rsidTr="00BA40EA">
        <w:trPr>
          <w:trHeight w:val="1156"/>
        </w:trPr>
        <w:tc>
          <w:tcPr>
            <w:tcW w:w="1258" w:type="dxa"/>
            <w:tcBorders>
              <w:top w:val="single" w:sz="4" w:space="0" w:color="000000"/>
              <w:left w:val="single" w:sz="4" w:space="0" w:color="000000"/>
              <w:bottom w:val="single" w:sz="4" w:space="0" w:color="000000"/>
              <w:right w:val="single" w:sz="4" w:space="0" w:color="000000"/>
            </w:tcBorders>
            <w:hideMark/>
          </w:tcPr>
          <w:p w14:paraId="41B6F292" w14:textId="77777777" w:rsidR="007B21C5" w:rsidRDefault="007B21C5">
            <w:pPr>
              <w:rPr>
                <w:sz w:val="20"/>
              </w:rPr>
            </w:pPr>
            <w:r>
              <w:rPr>
                <w:sz w:val="20"/>
              </w:rPr>
              <w:t xml:space="preserve">Det </w:t>
            </w:r>
            <w:proofErr w:type="spellStart"/>
            <w:r>
              <w:rPr>
                <w:sz w:val="20"/>
              </w:rPr>
              <w:t>reproduk-tive</w:t>
            </w:r>
            <w:proofErr w:type="spellEnd"/>
            <w:r>
              <w:rPr>
                <w:sz w:val="20"/>
              </w:rPr>
              <w:t xml:space="preserve"> system og mammae</w:t>
            </w:r>
          </w:p>
        </w:tc>
        <w:tc>
          <w:tcPr>
            <w:tcW w:w="1132" w:type="dxa"/>
            <w:tcBorders>
              <w:top w:val="single" w:sz="4" w:space="0" w:color="000000"/>
              <w:left w:val="single" w:sz="4" w:space="0" w:color="000000"/>
              <w:bottom w:val="single" w:sz="4" w:space="0" w:color="000000"/>
              <w:right w:val="single" w:sz="4" w:space="0" w:color="000000"/>
            </w:tcBorders>
          </w:tcPr>
          <w:p w14:paraId="2284A029"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5501058F"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tcPr>
          <w:p w14:paraId="233F0F6D" w14:textId="77777777" w:rsidR="007B21C5" w:rsidRDefault="007B21C5">
            <w:pPr>
              <w:pStyle w:val="Default"/>
              <w:rPr>
                <w:sz w:val="20"/>
                <w:szCs w:val="20"/>
              </w:rPr>
            </w:pPr>
            <w:r>
              <w:rPr>
                <w:sz w:val="20"/>
                <w:szCs w:val="20"/>
              </w:rPr>
              <w:t xml:space="preserve">Vaginal inflammation og </w:t>
            </w:r>
            <w:proofErr w:type="spellStart"/>
            <w:r>
              <w:rPr>
                <w:sz w:val="20"/>
                <w:szCs w:val="20"/>
              </w:rPr>
              <w:t>ulceration</w:t>
            </w:r>
            <w:proofErr w:type="spellEnd"/>
            <w:r>
              <w:rPr>
                <w:sz w:val="20"/>
                <w:szCs w:val="20"/>
              </w:rPr>
              <w:t xml:space="preserve"> </w:t>
            </w:r>
          </w:p>
          <w:p w14:paraId="453F7F38" w14:textId="77777777" w:rsidR="007B21C5" w:rsidRDefault="007B21C5">
            <w:pPr>
              <w:rPr>
                <w:sz w:val="20"/>
              </w:rPr>
            </w:pPr>
          </w:p>
        </w:tc>
        <w:tc>
          <w:tcPr>
            <w:tcW w:w="1503" w:type="dxa"/>
            <w:tcBorders>
              <w:top w:val="single" w:sz="4" w:space="0" w:color="000000"/>
              <w:left w:val="single" w:sz="4" w:space="0" w:color="000000"/>
              <w:bottom w:val="single" w:sz="4" w:space="0" w:color="000000"/>
              <w:right w:val="single" w:sz="4" w:space="0" w:color="000000"/>
            </w:tcBorders>
          </w:tcPr>
          <w:p w14:paraId="30007125" w14:textId="35883B29" w:rsidR="007B21C5" w:rsidRDefault="007B21C5">
            <w:pPr>
              <w:pStyle w:val="Default"/>
              <w:rPr>
                <w:sz w:val="20"/>
                <w:szCs w:val="20"/>
              </w:rPr>
            </w:pPr>
            <w:proofErr w:type="spellStart"/>
            <w:r>
              <w:rPr>
                <w:sz w:val="20"/>
                <w:szCs w:val="20"/>
              </w:rPr>
              <w:t>Oligospermi</w:t>
            </w:r>
            <w:proofErr w:type="spellEnd"/>
            <w:r>
              <w:rPr>
                <w:sz w:val="20"/>
                <w:szCs w:val="20"/>
              </w:rPr>
              <w:t>, menstruations</w:t>
            </w:r>
            <w:r w:rsidR="00AC214D">
              <w:rPr>
                <w:sz w:val="20"/>
                <w:szCs w:val="20"/>
              </w:rPr>
              <w:softHyphen/>
            </w:r>
            <w:r>
              <w:rPr>
                <w:sz w:val="20"/>
                <w:szCs w:val="20"/>
              </w:rPr>
              <w:t xml:space="preserve">forstyrrelser </w:t>
            </w:r>
          </w:p>
          <w:p w14:paraId="1C015E34" w14:textId="77777777" w:rsidR="007B21C5" w:rsidRDefault="007B21C5">
            <w:pPr>
              <w:rPr>
                <w:sz w:val="20"/>
              </w:rPr>
            </w:pPr>
          </w:p>
        </w:tc>
        <w:tc>
          <w:tcPr>
            <w:tcW w:w="1470" w:type="dxa"/>
            <w:tcBorders>
              <w:top w:val="single" w:sz="4" w:space="0" w:color="000000"/>
              <w:left w:val="single" w:sz="4" w:space="0" w:color="000000"/>
              <w:bottom w:val="single" w:sz="4" w:space="0" w:color="000000"/>
              <w:right w:val="single" w:sz="4" w:space="0" w:color="000000"/>
            </w:tcBorders>
            <w:hideMark/>
          </w:tcPr>
          <w:p w14:paraId="7B87A87C" w14:textId="77777777" w:rsidR="007B21C5" w:rsidRDefault="007B21C5">
            <w:pPr>
              <w:pStyle w:val="Default"/>
              <w:rPr>
                <w:sz w:val="20"/>
                <w:szCs w:val="20"/>
              </w:rPr>
            </w:pPr>
            <w:proofErr w:type="spellStart"/>
            <w:r>
              <w:rPr>
                <w:sz w:val="20"/>
                <w:szCs w:val="20"/>
              </w:rPr>
              <w:t>Infertilitet</w:t>
            </w:r>
            <w:proofErr w:type="spellEnd"/>
            <w:r>
              <w:rPr>
                <w:sz w:val="20"/>
                <w:szCs w:val="20"/>
              </w:rPr>
              <w:t xml:space="preserve"> </w:t>
            </w:r>
          </w:p>
          <w:p w14:paraId="1E5794B6" w14:textId="77777777" w:rsidR="007B21C5" w:rsidRDefault="007B21C5">
            <w:pPr>
              <w:pStyle w:val="Default"/>
              <w:rPr>
                <w:sz w:val="20"/>
                <w:szCs w:val="20"/>
              </w:rPr>
            </w:pPr>
            <w:r>
              <w:rPr>
                <w:sz w:val="20"/>
                <w:szCs w:val="20"/>
              </w:rPr>
              <w:t xml:space="preserve">Nedsat libido </w:t>
            </w:r>
          </w:p>
          <w:p w14:paraId="20F0C0BE" w14:textId="77777777" w:rsidR="007B21C5" w:rsidRDefault="007B21C5">
            <w:pPr>
              <w:pStyle w:val="Default"/>
              <w:rPr>
                <w:sz w:val="20"/>
                <w:szCs w:val="20"/>
              </w:rPr>
            </w:pPr>
            <w:r>
              <w:rPr>
                <w:sz w:val="20"/>
                <w:szCs w:val="20"/>
              </w:rPr>
              <w:t xml:space="preserve">Impotens </w:t>
            </w:r>
          </w:p>
          <w:p w14:paraId="4F1EFC75" w14:textId="77777777" w:rsidR="007B21C5" w:rsidRDefault="007B21C5">
            <w:pPr>
              <w:rPr>
                <w:sz w:val="20"/>
              </w:rPr>
            </w:pPr>
            <w:r>
              <w:rPr>
                <w:sz w:val="20"/>
              </w:rPr>
              <w:t xml:space="preserve">Vaginalt udflåd, </w:t>
            </w:r>
            <w:proofErr w:type="spellStart"/>
            <w:r>
              <w:rPr>
                <w:sz w:val="20"/>
              </w:rPr>
              <w:t>gynækomasti</w:t>
            </w:r>
            <w:proofErr w:type="spellEnd"/>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2C8009F" w14:textId="77777777" w:rsidR="007B21C5" w:rsidRDefault="007B21C5">
            <w:pPr>
              <w:rPr>
                <w:sz w:val="20"/>
              </w:rPr>
            </w:pPr>
          </w:p>
        </w:tc>
      </w:tr>
      <w:tr w:rsidR="007B21C5" w14:paraId="5474B334" w14:textId="77777777" w:rsidTr="00BA40EA">
        <w:trPr>
          <w:trHeight w:val="1156"/>
        </w:trPr>
        <w:tc>
          <w:tcPr>
            <w:tcW w:w="1258" w:type="dxa"/>
            <w:tcBorders>
              <w:top w:val="single" w:sz="4" w:space="0" w:color="000000"/>
              <w:left w:val="single" w:sz="4" w:space="0" w:color="000000"/>
              <w:bottom w:val="single" w:sz="4" w:space="0" w:color="000000"/>
              <w:right w:val="single" w:sz="4" w:space="0" w:color="000000"/>
            </w:tcBorders>
            <w:hideMark/>
          </w:tcPr>
          <w:p w14:paraId="368A9571" w14:textId="77777777" w:rsidR="007B21C5" w:rsidRDefault="007B21C5">
            <w:pPr>
              <w:rPr>
                <w:sz w:val="20"/>
              </w:rPr>
            </w:pPr>
            <w:r>
              <w:rPr>
                <w:sz w:val="20"/>
              </w:rPr>
              <w:t>Infektioner og parasitære sygdomme</w:t>
            </w:r>
          </w:p>
        </w:tc>
        <w:tc>
          <w:tcPr>
            <w:tcW w:w="1132" w:type="dxa"/>
            <w:tcBorders>
              <w:top w:val="single" w:sz="4" w:space="0" w:color="000000"/>
              <w:left w:val="single" w:sz="4" w:space="0" w:color="000000"/>
              <w:bottom w:val="single" w:sz="4" w:space="0" w:color="000000"/>
              <w:right w:val="single" w:sz="4" w:space="0" w:color="000000"/>
            </w:tcBorders>
          </w:tcPr>
          <w:p w14:paraId="7D93D49B"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hideMark/>
          </w:tcPr>
          <w:p w14:paraId="2B50463B" w14:textId="77777777" w:rsidR="007B21C5" w:rsidRDefault="007B21C5">
            <w:pPr>
              <w:rPr>
                <w:sz w:val="20"/>
              </w:rPr>
            </w:pPr>
            <w:r>
              <w:rPr>
                <w:sz w:val="20"/>
              </w:rPr>
              <w:t>Infektioner</w:t>
            </w:r>
          </w:p>
        </w:tc>
        <w:tc>
          <w:tcPr>
            <w:tcW w:w="1510" w:type="dxa"/>
            <w:tcBorders>
              <w:top w:val="single" w:sz="4" w:space="0" w:color="000000"/>
              <w:left w:val="single" w:sz="4" w:space="0" w:color="000000"/>
              <w:bottom w:val="single" w:sz="4" w:space="0" w:color="000000"/>
              <w:right w:val="single" w:sz="4" w:space="0" w:color="000000"/>
            </w:tcBorders>
            <w:hideMark/>
          </w:tcPr>
          <w:p w14:paraId="41A30C17" w14:textId="77777777" w:rsidR="007B21C5" w:rsidRDefault="007B21C5">
            <w:pPr>
              <w:rPr>
                <w:sz w:val="20"/>
              </w:rPr>
            </w:pPr>
            <w:r>
              <w:rPr>
                <w:sz w:val="20"/>
              </w:rPr>
              <w:t xml:space="preserve">Opportunistiske infektioner </w:t>
            </w:r>
          </w:p>
          <w:p w14:paraId="2713B336" w14:textId="77777777" w:rsidR="007B21C5" w:rsidRDefault="007B21C5">
            <w:pPr>
              <w:pStyle w:val="Default"/>
              <w:rPr>
                <w:sz w:val="20"/>
                <w:szCs w:val="20"/>
              </w:rPr>
            </w:pPr>
            <w:r>
              <w:rPr>
                <w:sz w:val="20"/>
                <w:szCs w:val="20"/>
              </w:rPr>
              <w:t xml:space="preserve">(undertiden dødelige) </w:t>
            </w:r>
          </w:p>
        </w:tc>
        <w:tc>
          <w:tcPr>
            <w:tcW w:w="1503" w:type="dxa"/>
            <w:tcBorders>
              <w:top w:val="single" w:sz="4" w:space="0" w:color="000000"/>
              <w:left w:val="single" w:sz="4" w:space="0" w:color="000000"/>
              <w:bottom w:val="single" w:sz="4" w:space="0" w:color="000000"/>
              <w:right w:val="single" w:sz="4" w:space="0" w:color="000000"/>
            </w:tcBorders>
            <w:hideMark/>
          </w:tcPr>
          <w:p w14:paraId="39CEE4D3" w14:textId="77777777" w:rsidR="007B21C5" w:rsidRDefault="007B21C5">
            <w:pPr>
              <w:pStyle w:val="Default"/>
              <w:rPr>
                <w:sz w:val="20"/>
                <w:szCs w:val="20"/>
              </w:rPr>
            </w:pPr>
            <w:r>
              <w:rPr>
                <w:sz w:val="20"/>
                <w:szCs w:val="20"/>
              </w:rPr>
              <w:t xml:space="preserve">Herpes </w:t>
            </w:r>
            <w:proofErr w:type="spellStart"/>
            <w:r>
              <w:rPr>
                <w:sz w:val="20"/>
                <w:szCs w:val="20"/>
              </w:rPr>
              <w:t>zoster</w:t>
            </w:r>
            <w:proofErr w:type="spellEnd"/>
          </w:p>
        </w:tc>
        <w:tc>
          <w:tcPr>
            <w:tcW w:w="1470" w:type="dxa"/>
            <w:tcBorders>
              <w:top w:val="single" w:sz="4" w:space="0" w:color="000000"/>
              <w:left w:val="single" w:sz="4" w:space="0" w:color="000000"/>
              <w:bottom w:val="single" w:sz="4" w:space="0" w:color="000000"/>
              <w:right w:val="single" w:sz="4" w:space="0" w:color="000000"/>
            </w:tcBorders>
            <w:hideMark/>
          </w:tcPr>
          <w:p w14:paraId="512D540F" w14:textId="77777777" w:rsidR="007B21C5" w:rsidRDefault="007B21C5">
            <w:pPr>
              <w:pStyle w:val="Default"/>
              <w:rPr>
                <w:sz w:val="20"/>
                <w:szCs w:val="20"/>
              </w:rPr>
            </w:pPr>
            <w:r>
              <w:rPr>
                <w:sz w:val="20"/>
                <w:szCs w:val="20"/>
              </w:rPr>
              <w:t xml:space="preserve">Sepsis </w:t>
            </w:r>
          </w:p>
          <w:p w14:paraId="52FEA262" w14:textId="4652614C" w:rsidR="007B21C5" w:rsidRDefault="007B21C5">
            <w:pPr>
              <w:pStyle w:val="Default"/>
              <w:rPr>
                <w:sz w:val="20"/>
                <w:szCs w:val="20"/>
              </w:rPr>
            </w:pPr>
            <w:proofErr w:type="spellStart"/>
            <w:r>
              <w:rPr>
                <w:i/>
                <w:iCs/>
                <w:sz w:val="20"/>
                <w:szCs w:val="20"/>
              </w:rPr>
              <w:t>Cytomegalo</w:t>
            </w:r>
            <w:r w:rsidR="00AC214D">
              <w:rPr>
                <w:i/>
                <w:iCs/>
                <w:sz w:val="20"/>
                <w:szCs w:val="20"/>
              </w:rPr>
              <w:softHyphen/>
            </w:r>
            <w:r>
              <w:rPr>
                <w:i/>
                <w:iCs/>
                <w:sz w:val="20"/>
                <w:szCs w:val="20"/>
              </w:rPr>
              <w:t>virus</w:t>
            </w:r>
            <w:r>
              <w:rPr>
                <w:sz w:val="20"/>
                <w:szCs w:val="20"/>
              </w:rPr>
              <w:t>-inducerede</w:t>
            </w:r>
            <w:proofErr w:type="spellEnd"/>
            <w:r>
              <w:rPr>
                <w:sz w:val="20"/>
                <w:szCs w:val="20"/>
              </w:rPr>
              <w:t xml:space="preserve"> infektioner </w:t>
            </w:r>
          </w:p>
        </w:tc>
        <w:tc>
          <w:tcPr>
            <w:tcW w:w="1565" w:type="dxa"/>
            <w:tcBorders>
              <w:top w:val="single" w:sz="4" w:space="0" w:color="000000"/>
              <w:left w:val="single" w:sz="4" w:space="0" w:color="000000"/>
              <w:bottom w:val="single" w:sz="4" w:space="0" w:color="000000"/>
              <w:right w:val="single" w:sz="4" w:space="0" w:color="000000"/>
            </w:tcBorders>
            <w:hideMark/>
          </w:tcPr>
          <w:p w14:paraId="0DA868C4" w14:textId="77777777" w:rsidR="007B21C5" w:rsidRDefault="007B21C5">
            <w:pPr>
              <w:pStyle w:val="Default"/>
              <w:rPr>
                <w:sz w:val="20"/>
                <w:szCs w:val="20"/>
              </w:rPr>
            </w:pPr>
            <w:proofErr w:type="spellStart"/>
            <w:r>
              <w:rPr>
                <w:sz w:val="20"/>
                <w:szCs w:val="20"/>
              </w:rPr>
              <w:t>Nocardiose</w:t>
            </w:r>
            <w:proofErr w:type="spellEnd"/>
            <w:r>
              <w:rPr>
                <w:sz w:val="20"/>
                <w:szCs w:val="20"/>
              </w:rPr>
              <w:t xml:space="preserve"> </w:t>
            </w:r>
          </w:p>
          <w:p w14:paraId="10C7CE8B" w14:textId="616B6C6F" w:rsidR="007B21C5" w:rsidRDefault="007B21C5">
            <w:pPr>
              <w:pStyle w:val="Default"/>
              <w:rPr>
                <w:sz w:val="20"/>
                <w:szCs w:val="20"/>
              </w:rPr>
            </w:pPr>
            <w:proofErr w:type="spellStart"/>
            <w:r>
              <w:rPr>
                <w:i/>
                <w:iCs/>
                <w:sz w:val="20"/>
                <w:szCs w:val="20"/>
              </w:rPr>
              <w:t>Histoplasma</w:t>
            </w:r>
            <w:proofErr w:type="spellEnd"/>
            <w:r>
              <w:rPr>
                <w:i/>
                <w:iCs/>
                <w:sz w:val="20"/>
                <w:szCs w:val="20"/>
              </w:rPr>
              <w:t xml:space="preserve"> </w:t>
            </w:r>
            <w:r>
              <w:rPr>
                <w:sz w:val="20"/>
                <w:szCs w:val="20"/>
              </w:rPr>
              <w:t xml:space="preserve">og </w:t>
            </w:r>
            <w:proofErr w:type="spellStart"/>
            <w:r>
              <w:rPr>
                <w:sz w:val="20"/>
                <w:szCs w:val="20"/>
              </w:rPr>
              <w:t>kryptokok</w:t>
            </w:r>
            <w:r w:rsidR="00AC214D">
              <w:rPr>
                <w:sz w:val="20"/>
                <w:szCs w:val="20"/>
              </w:rPr>
              <w:softHyphen/>
            </w:r>
            <w:r>
              <w:rPr>
                <w:sz w:val="20"/>
                <w:szCs w:val="20"/>
              </w:rPr>
              <w:t>mykose</w:t>
            </w:r>
            <w:proofErr w:type="spellEnd"/>
            <w:r>
              <w:rPr>
                <w:sz w:val="20"/>
                <w:szCs w:val="20"/>
              </w:rPr>
              <w:t xml:space="preserve"> </w:t>
            </w:r>
          </w:p>
          <w:p w14:paraId="5C4B6BD5" w14:textId="77777777" w:rsidR="007B21C5" w:rsidRDefault="007B21C5">
            <w:pPr>
              <w:rPr>
                <w:sz w:val="20"/>
              </w:rPr>
            </w:pPr>
            <w:r>
              <w:rPr>
                <w:sz w:val="20"/>
              </w:rPr>
              <w:t xml:space="preserve">Dissemineret herpes </w:t>
            </w:r>
            <w:proofErr w:type="spellStart"/>
            <w:r>
              <w:rPr>
                <w:sz w:val="20"/>
              </w:rPr>
              <w:t>simplex</w:t>
            </w:r>
            <w:proofErr w:type="spellEnd"/>
            <w:r>
              <w:rPr>
                <w:sz w:val="20"/>
              </w:rPr>
              <w:t xml:space="preserve"> </w:t>
            </w:r>
          </w:p>
        </w:tc>
      </w:tr>
      <w:tr w:rsidR="007B21C5" w14:paraId="0490A44E" w14:textId="77777777" w:rsidTr="00BA40EA">
        <w:trPr>
          <w:trHeight w:val="1156"/>
        </w:trPr>
        <w:tc>
          <w:tcPr>
            <w:tcW w:w="1258" w:type="dxa"/>
            <w:tcBorders>
              <w:top w:val="single" w:sz="4" w:space="0" w:color="000000"/>
              <w:left w:val="single" w:sz="4" w:space="0" w:color="000000"/>
              <w:bottom w:val="single" w:sz="4" w:space="0" w:color="000000"/>
              <w:right w:val="single" w:sz="4" w:space="0" w:color="000000"/>
            </w:tcBorders>
            <w:hideMark/>
          </w:tcPr>
          <w:p w14:paraId="1C0BB027" w14:textId="2E46395B" w:rsidR="007B21C5" w:rsidRDefault="007B21C5">
            <w:pPr>
              <w:rPr>
                <w:sz w:val="20"/>
              </w:rPr>
            </w:pPr>
            <w:r>
              <w:rPr>
                <w:sz w:val="20"/>
              </w:rPr>
              <w:t>Immun</w:t>
            </w:r>
            <w:r w:rsidR="002E620B">
              <w:rPr>
                <w:sz w:val="20"/>
              </w:rPr>
              <w:softHyphen/>
            </w:r>
            <w:r>
              <w:rPr>
                <w:sz w:val="20"/>
              </w:rPr>
              <w:t>systemet</w:t>
            </w:r>
          </w:p>
        </w:tc>
        <w:tc>
          <w:tcPr>
            <w:tcW w:w="1132" w:type="dxa"/>
            <w:tcBorders>
              <w:top w:val="single" w:sz="4" w:space="0" w:color="000000"/>
              <w:left w:val="single" w:sz="4" w:space="0" w:color="000000"/>
              <w:bottom w:val="single" w:sz="4" w:space="0" w:color="000000"/>
              <w:right w:val="single" w:sz="4" w:space="0" w:color="000000"/>
            </w:tcBorders>
          </w:tcPr>
          <w:p w14:paraId="07718EFB"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2A86D940"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hideMark/>
          </w:tcPr>
          <w:p w14:paraId="12492A38" w14:textId="77777777" w:rsidR="007B21C5" w:rsidRDefault="007B21C5">
            <w:pPr>
              <w:pStyle w:val="Default"/>
              <w:rPr>
                <w:sz w:val="20"/>
                <w:szCs w:val="20"/>
              </w:rPr>
            </w:pPr>
            <w:r>
              <w:rPr>
                <w:sz w:val="20"/>
                <w:szCs w:val="20"/>
              </w:rPr>
              <w:t xml:space="preserve">Allergiske reaktioner </w:t>
            </w:r>
          </w:p>
          <w:p w14:paraId="1BE56224" w14:textId="77777777" w:rsidR="007B21C5" w:rsidRDefault="007B21C5">
            <w:pPr>
              <w:pStyle w:val="Default"/>
              <w:rPr>
                <w:sz w:val="20"/>
                <w:szCs w:val="20"/>
              </w:rPr>
            </w:pPr>
            <w:proofErr w:type="spellStart"/>
            <w:r>
              <w:rPr>
                <w:sz w:val="20"/>
                <w:szCs w:val="20"/>
              </w:rPr>
              <w:t>Anafylaktisk</w:t>
            </w:r>
            <w:proofErr w:type="spellEnd"/>
            <w:r>
              <w:rPr>
                <w:sz w:val="20"/>
                <w:szCs w:val="20"/>
              </w:rPr>
              <w:t xml:space="preserve"> chok </w:t>
            </w:r>
          </w:p>
          <w:p w14:paraId="49F2B09B" w14:textId="77777777" w:rsidR="007B21C5" w:rsidRDefault="007B21C5">
            <w:pPr>
              <w:pStyle w:val="Default"/>
              <w:rPr>
                <w:sz w:val="20"/>
                <w:szCs w:val="20"/>
              </w:rPr>
            </w:pPr>
            <w:r>
              <w:rPr>
                <w:sz w:val="20"/>
                <w:szCs w:val="20"/>
              </w:rPr>
              <w:t xml:space="preserve">Feber </w:t>
            </w:r>
          </w:p>
          <w:p w14:paraId="7E6E069E" w14:textId="77777777" w:rsidR="007B21C5" w:rsidRDefault="007B21C5">
            <w:pPr>
              <w:rPr>
                <w:sz w:val="20"/>
              </w:rPr>
            </w:pPr>
            <w:r>
              <w:rPr>
                <w:sz w:val="20"/>
              </w:rPr>
              <w:t xml:space="preserve">Kulderystelser </w:t>
            </w:r>
          </w:p>
        </w:tc>
        <w:tc>
          <w:tcPr>
            <w:tcW w:w="1503" w:type="dxa"/>
            <w:tcBorders>
              <w:top w:val="single" w:sz="4" w:space="0" w:color="000000"/>
              <w:left w:val="single" w:sz="4" w:space="0" w:color="000000"/>
              <w:bottom w:val="single" w:sz="4" w:space="0" w:color="000000"/>
              <w:right w:val="single" w:sz="4" w:space="0" w:color="000000"/>
            </w:tcBorders>
          </w:tcPr>
          <w:p w14:paraId="5E00D335" w14:textId="77777777" w:rsidR="007B21C5" w:rsidRDefault="007B21C5">
            <w:pPr>
              <w:pStyle w:val="Default"/>
              <w:rPr>
                <w:sz w:val="20"/>
                <w:szCs w:val="20"/>
              </w:rPr>
            </w:pPr>
          </w:p>
        </w:tc>
        <w:tc>
          <w:tcPr>
            <w:tcW w:w="1470" w:type="dxa"/>
            <w:tcBorders>
              <w:top w:val="single" w:sz="4" w:space="0" w:color="000000"/>
              <w:left w:val="single" w:sz="4" w:space="0" w:color="000000"/>
              <w:bottom w:val="single" w:sz="4" w:space="0" w:color="000000"/>
              <w:right w:val="single" w:sz="4" w:space="0" w:color="000000"/>
            </w:tcBorders>
            <w:hideMark/>
          </w:tcPr>
          <w:p w14:paraId="60B3832D" w14:textId="77777777" w:rsidR="007B21C5" w:rsidRDefault="007B21C5">
            <w:pPr>
              <w:pStyle w:val="Default"/>
              <w:rPr>
                <w:sz w:val="20"/>
                <w:szCs w:val="20"/>
              </w:rPr>
            </w:pPr>
            <w:r>
              <w:rPr>
                <w:sz w:val="20"/>
                <w:szCs w:val="20"/>
              </w:rPr>
              <w:t xml:space="preserve">Immunsuppression, allergisk </w:t>
            </w:r>
            <w:proofErr w:type="spellStart"/>
            <w:r>
              <w:rPr>
                <w:sz w:val="20"/>
                <w:szCs w:val="20"/>
              </w:rPr>
              <w:t>vaskulitis</w:t>
            </w:r>
            <w:proofErr w:type="spellEnd"/>
            <w:r>
              <w:rPr>
                <w:sz w:val="20"/>
                <w:szCs w:val="20"/>
              </w:rPr>
              <w:t xml:space="preserve"> (et symptom på svær toksicitet) </w:t>
            </w:r>
          </w:p>
          <w:p w14:paraId="61BC36E7" w14:textId="77777777" w:rsidR="007B21C5" w:rsidRDefault="007B21C5">
            <w:pPr>
              <w:pStyle w:val="Default"/>
              <w:rPr>
                <w:sz w:val="20"/>
                <w:szCs w:val="20"/>
              </w:rPr>
            </w:pPr>
            <w:proofErr w:type="spellStart"/>
            <w:r>
              <w:rPr>
                <w:sz w:val="20"/>
                <w:szCs w:val="20"/>
              </w:rPr>
              <w:t>Hypogammaglobulinæmi</w:t>
            </w:r>
            <w:proofErr w:type="spellEnd"/>
            <w:r>
              <w:rPr>
                <w:sz w:val="20"/>
                <w:szCs w:val="20"/>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C9328CB" w14:textId="77777777" w:rsidR="007B21C5" w:rsidRDefault="007B21C5">
            <w:pPr>
              <w:pStyle w:val="Default"/>
              <w:rPr>
                <w:sz w:val="20"/>
                <w:szCs w:val="20"/>
              </w:rPr>
            </w:pPr>
          </w:p>
        </w:tc>
      </w:tr>
      <w:tr w:rsidR="007B21C5" w14:paraId="2DCBC4E6" w14:textId="77777777" w:rsidTr="00BA40EA">
        <w:trPr>
          <w:trHeight w:val="789"/>
        </w:trPr>
        <w:tc>
          <w:tcPr>
            <w:tcW w:w="1258" w:type="dxa"/>
            <w:tcBorders>
              <w:top w:val="single" w:sz="4" w:space="0" w:color="000000"/>
              <w:left w:val="single" w:sz="4" w:space="0" w:color="000000"/>
              <w:bottom w:val="single" w:sz="4" w:space="0" w:color="000000"/>
              <w:right w:val="single" w:sz="4" w:space="0" w:color="000000"/>
            </w:tcBorders>
            <w:hideMark/>
          </w:tcPr>
          <w:p w14:paraId="3BFBEC6C" w14:textId="77777777" w:rsidR="007B21C5" w:rsidRDefault="007B21C5">
            <w:pPr>
              <w:rPr>
                <w:sz w:val="20"/>
              </w:rPr>
            </w:pPr>
            <w:r>
              <w:rPr>
                <w:sz w:val="20"/>
              </w:rPr>
              <w:t>Det endokrine system</w:t>
            </w:r>
          </w:p>
        </w:tc>
        <w:tc>
          <w:tcPr>
            <w:tcW w:w="1132" w:type="dxa"/>
            <w:tcBorders>
              <w:top w:val="single" w:sz="4" w:space="0" w:color="000000"/>
              <w:left w:val="single" w:sz="4" w:space="0" w:color="000000"/>
              <w:bottom w:val="single" w:sz="4" w:space="0" w:color="000000"/>
              <w:right w:val="single" w:sz="4" w:space="0" w:color="000000"/>
            </w:tcBorders>
          </w:tcPr>
          <w:p w14:paraId="4AA9CBE4"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6EFFCFCE"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tcPr>
          <w:p w14:paraId="66D3F3D7" w14:textId="77777777" w:rsidR="007B21C5" w:rsidRDefault="007B21C5">
            <w:pPr>
              <w:pStyle w:val="Default"/>
              <w:rPr>
                <w:sz w:val="20"/>
                <w:szCs w:val="20"/>
              </w:rPr>
            </w:pPr>
          </w:p>
        </w:tc>
        <w:tc>
          <w:tcPr>
            <w:tcW w:w="1503" w:type="dxa"/>
            <w:tcBorders>
              <w:top w:val="single" w:sz="4" w:space="0" w:color="000000"/>
              <w:left w:val="single" w:sz="4" w:space="0" w:color="000000"/>
              <w:bottom w:val="single" w:sz="4" w:space="0" w:color="000000"/>
              <w:right w:val="single" w:sz="4" w:space="0" w:color="000000"/>
            </w:tcBorders>
            <w:hideMark/>
          </w:tcPr>
          <w:p w14:paraId="6C3E6F6C" w14:textId="77777777" w:rsidR="007B21C5" w:rsidRDefault="007B21C5">
            <w:pPr>
              <w:pStyle w:val="Default"/>
              <w:rPr>
                <w:sz w:val="20"/>
                <w:szCs w:val="20"/>
              </w:rPr>
            </w:pPr>
            <w:r>
              <w:rPr>
                <w:sz w:val="20"/>
                <w:szCs w:val="20"/>
              </w:rPr>
              <w:t>Diabetes mellitus</w:t>
            </w:r>
          </w:p>
        </w:tc>
        <w:tc>
          <w:tcPr>
            <w:tcW w:w="1470" w:type="dxa"/>
            <w:tcBorders>
              <w:top w:val="single" w:sz="4" w:space="0" w:color="000000"/>
              <w:left w:val="single" w:sz="4" w:space="0" w:color="000000"/>
              <w:bottom w:val="single" w:sz="4" w:space="0" w:color="000000"/>
              <w:right w:val="single" w:sz="4" w:space="0" w:color="000000"/>
            </w:tcBorders>
          </w:tcPr>
          <w:p w14:paraId="324566CA" w14:textId="77777777" w:rsidR="007B21C5" w:rsidRDefault="007B21C5">
            <w:pPr>
              <w:pStyle w:val="Default"/>
              <w:rPr>
                <w:sz w:val="20"/>
                <w:szCs w:val="20"/>
              </w:rPr>
            </w:pPr>
          </w:p>
        </w:tc>
        <w:tc>
          <w:tcPr>
            <w:tcW w:w="1565" w:type="dxa"/>
            <w:tcBorders>
              <w:top w:val="single" w:sz="4" w:space="0" w:color="000000"/>
              <w:left w:val="single" w:sz="4" w:space="0" w:color="000000"/>
              <w:bottom w:val="single" w:sz="4" w:space="0" w:color="000000"/>
              <w:right w:val="single" w:sz="4" w:space="0" w:color="000000"/>
            </w:tcBorders>
          </w:tcPr>
          <w:p w14:paraId="2B85243B" w14:textId="77777777" w:rsidR="007B21C5" w:rsidRDefault="007B21C5">
            <w:pPr>
              <w:pStyle w:val="Default"/>
              <w:rPr>
                <w:sz w:val="20"/>
                <w:szCs w:val="20"/>
              </w:rPr>
            </w:pPr>
          </w:p>
        </w:tc>
      </w:tr>
      <w:tr w:rsidR="007B21C5" w14:paraId="3F9651E2" w14:textId="77777777" w:rsidTr="00BA40EA">
        <w:trPr>
          <w:trHeight w:val="706"/>
        </w:trPr>
        <w:tc>
          <w:tcPr>
            <w:tcW w:w="1258" w:type="dxa"/>
            <w:tcBorders>
              <w:top w:val="single" w:sz="4" w:space="0" w:color="000000"/>
              <w:left w:val="single" w:sz="4" w:space="0" w:color="000000"/>
              <w:bottom w:val="single" w:sz="4" w:space="0" w:color="000000"/>
              <w:right w:val="single" w:sz="4" w:space="0" w:color="000000"/>
            </w:tcBorders>
            <w:hideMark/>
          </w:tcPr>
          <w:p w14:paraId="7D4D80BF" w14:textId="77777777" w:rsidR="007B21C5" w:rsidRDefault="007B21C5">
            <w:pPr>
              <w:rPr>
                <w:sz w:val="20"/>
              </w:rPr>
            </w:pPr>
            <w:r>
              <w:rPr>
                <w:sz w:val="20"/>
              </w:rPr>
              <w:t>Psykiske forstyrrelser</w:t>
            </w:r>
          </w:p>
        </w:tc>
        <w:tc>
          <w:tcPr>
            <w:tcW w:w="1132" w:type="dxa"/>
            <w:tcBorders>
              <w:top w:val="single" w:sz="4" w:space="0" w:color="000000"/>
              <w:left w:val="single" w:sz="4" w:space="0" w:color="000000"/>
              <w:bottom w:val="single" w:sz="4" w:space="0" w:color="000000"/>
              <w:right w:val="single" w:sz="4" w:space="0" w:color="000000"/>
            </w:tcBorders>
          </w:tcPr>
          <w:p w14:paraId="21510D62"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3D7B34F4"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tcPr>
          <w:p w14:paraId="3AAB5200" w14:textId="77777777" w:rsidR="007B21C5" w:rsidRDefault="007B21C5">
            <w:pPr>
              <w:pStyle w:val="Default"/>
              <w:rPr>
                <w:sz w:val="20"/>
                <w:szCs w:val="20"/>
              </w:rPr>
            </w:pPr>
            <w:r>
              <w:rPr>
                <w:sz w:val="20"/>
                <w:szCs w:val="20"/>
              </w:rPr>
              <w:t xml:space="preserve">Depression </w:t>
            </w:r>
          </w:p>
          <w:p w14:paraId="5975B047" w14:textId="77777777" w:rsidR="007B21C5" w:rsidRDefault="007B21C5">
            <w:pPr>
              <w:pStyle w:val="Default"/>
              <w:rPr>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12F86B50" w14:textId="77777777" w:rsidR="007B21C5" w:rsidRDefault="007B21C5">
            <w:pPr>
              <w:pStyle w:val="Default"/>
              <w:rPr>
                <w:sz w:val="20"/>
                <w:szCs w:val="20"/>
              </w:rPr>
            </w:pPr>
            <w:r>
              <w:rPr>
                <w:sz w:val="20"/>
                <w:szCs w:val="20"/>
              </w:rPr>
              <w:t xml:space="preserve">Humørsvingninger </w:t>
            </w:r>
          </w:p>
          <w:p w14:paraId="5F399588" w14:textId="77777777" w:rsidR="007B21C5" w:rsidRDefault="007B21C5">
            <w:pPr>
              <w:pStyle w:val="Default"/>
              <w:rPr>
                <w:sz w:val="20"/>
                <w:szCs w:val="20"/>
              </w:rPr>
            </w:pPr>
          </w:p>
        </w:tc>
        <w:tc>
          <w:tcPr>
            <w:tcW w:w="1470" w:type="dxa"/>
            <w:tcBorders>
              <w:top w:val="single" w:sz="4" w:space="0" w:color="000000"/>
              <w:left w:val="single" w:sz="4" w:space="0" w:color="000000"/>
              <w:bottom w:val="single" w:sz="4" w:space="0" w:color="000000"/>
              <w:right w:val="single" w:sz="4" w:space="0" w:color="000000"/>
            </w:tcBorders>
          </w:tcPr>
          <w:p w14:paraId="3F2A6875" w14:textId="77777777" w:rsidR="007B21C5" w:rsidRDefault="007B21C5">
            <w:pPr>
              <w:pStyle w:val="Default"/>
              <w:rPr>
                <w:sz w:val="20"/>
                <w:szCs w:val="20"/>
              </w:rPr>
            </w:pPr>
            <w:r>
              <w:rPr>
                <w:sz w:val="20"/>
                <w:szCs w:val="20"/>
              </w:rPr>
              <w:t xml:space="preserve">Søvnløshed </w:t>
            </w:r>
          </w:p>
          <w:p w14:paraId="58F6397A" w14:textId="77777777" w:rsidR="007B21C5" w:rsidRDefault="007B21C5">
            <w:pPr>
              <w:pStyle w:val="Default"/>
              <w:rPr>
                <w:sz w:val="20"/>
                <w:szCs w:val="20"/>
              </w:rPr>
            </w:pPr>
          </w:p>
        </w:tc>
        <w:tc>
          <w:tcPr>
            <w:tcW w:w="1565" w:type="dxa"/>
            <w:tcBorders>
              <w:top w:val="single" w:sz="4" w:space="0" w:color="000000"/>
              <w:left w:val="single" w:sz="4" w:space="0" w:color="000000"/>
              <w:bottom w:val="single" w:sz="4" w:space="0" w:color="000000"/>
              <w:right w:val="single" w:sz="4" w:space="0" w:color="000000"/>
            </w:tcBorders>
          </w:tcPr>
          <w:p w14:paraId="7907E983" w14:textId="77777777" w:rsidR="007B21C5" w:rsidRDefault="007B21C5">
            <w:pPr>
              <w:pStyle w:val="Default"/>
              <w:rPr>
                <w:sz w:val="20"/>
                <w:szCs w:val="20"/>
              </w:rPr>
            </w:pPr>
          </w:p>
        </w:tc>
      </w:tr>
      <w:tr w:rsidR="007B21C5" w14:paraId="1DF269D4" w14:textId="77777777" w:rsidTr="00BA40EA">
        <w:trPr>
          <w:trHeight w:val="706"/>
        </w:trPr>
        <w:tc>
          <w:tcPr>
            <w:tcW w:w="1258" w:type="dxa"/>
            <w:tcBorders>
              <w:top w:val="single" w:sz="4" w:space="0" w:color="000000"/>
              <w:left w:val="single" w:sz="4" w:space="0" w:color="000000"/>
              <w:bottom w:val="single" w:sz="4" w:space="0" w:color="000000"/>
              <w:right w:val="single" w:sz="4" w:space="0" w:color="000000"/>
            </w:tcBorders>
            <w:hideMark/>
          </w:tcPr>
          <w:p w14:paraId="04D0185B" w14:textId="77777777" w:rsidR="007B21C5" w:rsidRDefault="007B21C5">
            <w:pPr>
              <w:rPr>
                <w:sz w:val="20"/>
              </w:rPr>
            </w:pPr>
            <w:r>
              <w:rPr>
                <w:sz w:val="20"/>
              </w:rPr>
              <w:t>Metabolisme og ernæring</w:t>
            </w:r>
          </w:p>
        </w:tc>
        <w:tc>
          <w:tcPr>
            <w:tcW w:w="1132" w:type="dxa"/>
            <w:tcBorders>
              <w:top w:val="single" w:sz="4" w:space="0" w:color="000000"/>
              <w:left w:val="single" w:sz="4" w:space="0" w:color="000000"/>
              <w:bottom w:val="single" w:sz="4" w:space="0" w:color="000000"/>
              <w:right w:val="single" w:sz="4" w:space="0" w:color="000000"/>
            </w:tcBorders>
          </w:tcPr>
          <w:p w14:paraId="3E4318F3"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2F20FD77"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tcPr>
          <w:p w14:paraId="1FA89A3F" w14:textId="77777777" w:rsidR="007B21C5" w:rsidRDefault="007B21C5">
            <w:pPr>
              <w:pStyle w:val="Default"/>
              <w:rPr>
                <w:sz w:val="20"/>
                <w:szCs w:val="20"/>
              </w:rPr>
            </w:pPr>
            <w:r>
              <w:rPr>
                <w:sz w:val="20"/>
                <w:szCs w:val="20"/>
              </w:rPr>
              <w:t xml:space="preserve">Diabetes mellitus </w:t>
            </w:r>
          </w:p>
          <w:p w14:paraId="22321876" w14:textId="77777777" w:rsidR="007B21C5" w:rsidRDefault="007B21C5">
            <w:pPr>
              <w:pStyle w:val="Default"/>
              <w:rPr>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76E13BD5" w14:textId="77777777" w:rsidR="007B21C5" w:rsidRDefault="007B21C5">
            <w:pPr>
              <w:pStyle w:val="Default"/>
              <w:rPr>
                <w:sz w:val="20"/>
                <w:szCs w:val="20"/>
              </w:rPr>
            </w:pPr>
          </w:p>
        </w:tc>
        <w:tc>
          <w:tcPr>
            <w:tcW w:w="1470" w:type="dxa"/>
            <w:tcBorders>
              <w:top w:val="single" w:sz="4" w:space="0" w:color="000000"/>
              <w:left w:val="single" w:sz="4" w:space="0" w:color="000000"/>
              <w:bottom w:val="single" w:sz="4" w:space="0" w:color="000000"/>
              <w:right w:val="single" w:sz="4" w:space="0" w:color="000000"/>
            </w:tcBorders>
          </w:tcPr>
          <w:p w14:paraId="39C159D5" w14:textId="77777777" w:rsidR="007B21C5" w:rsidRDefault="007B21C5">
            <w:pPr>
              <w:pStyle w:val="Default"/>
              <w:rPr>
                <w:sz w:val="20"/>
                <w:szCs w:val="20"/>
              </w:rPr>
            </w:pPr>
          </w:p>
        </w:tc>
        <w:tc>
          <w:tcPr>
            <w:tcW w:w="1565" w:type="dxa"/>
            <w:tcBorders>
              <w:top w:val="single" w:sz="4" w:space="0" w:color="000000"/>
              <w:left w:val="single" w:sz="4" w:space="0" w:color="000000"/>
              <w:bottom w:val="single" w:sz="4" w:space="0" w:color="000000"/>
              <w:right w:val="single" w:sz="4" w:space="0" w:color="000000"/>
            </w:tcBorders>
          </w:tcPr>
          <w:p w14:paraId="49A0192B" w14:textId="77777777" w:rsidR="007B21C5" w:rsidRDefault="007B21C5">
            <w:pPr>
              <w:pStyle w:val="Default"/>
              <w:rPr>
                <w:sz w:val="20"/>
                <w:szCs w:val="20"/>
              </w:rPr>
            </w:pPr>
          </w:p>
        </w:tc>
      </w:tr>
      <w:tr w:rsidR="007B21C5" w14:paraId="000D84C5" w14:textId="77777777" w:rsidTr="00BA40EA">
        <w:trPr>
          <w:trHeight w:val="481"/>
        </w:trPr>
        <w:tc>
          <w:tcPr>
            <w:tcW w:w="1258" w:type="dxa"/>
            <w:tcBorders>
              <w:top w:val="single" w:sz="4" w:space="0" w:color="000000"/>
              <w:left w:val="single" w:sz="4" w:space="0" w:color="000000"/>
              <w:bottom w:val="single" w:sz="4" w:space="0" w:color="000000"/>
              <w:right w:val="single" w:sz="4" w:space="0" w:color="000000"/>
            </w:tcBorders>
            <w:hideMark/>
          </w:tcPr>
          <w:p w14:paraId="77D2B05F" w14:textId="77777777" w:rsidR="007B21C5" w:rsidRDefault="007B21C5">
            <w:pPr>
              <w:pStyle w:val="Default"/>
              <w:rPr>
                <w:sz w:val="20"/>
                <w:szCs w:val="20"/>
              </w:rPr>
            </w:pPr>
            <w:r>
              <w:rPr>
                <w:sz w:val="20"/>
                <w:szCs w:val="20"/>
              </w:rPr>
              <w:t xml:space="preserve">Almene symptomer og reaktioner på administrationsstedet </w:t>
            </w:r>
          </w:p>
        </w:tc>
        <w:tc>
          <w:tcPr>
            <w:tcW w:w="1132" w:type="dxa"/>
            <w:tcBorders>
              <w:top w:val="single" w:sz="4" w:space="0" w:color="000000"/>
              <w:left w:val="single" w:sz="4" w:space="0" w:color="000000"/>
              <w:bottom w:val="single" w:sz="4" w:space="0" w:color="000000"/>
              <w:right w:val="single" w:sz="4" w:space="0" w:color="000000"/>
            </w:tcBorders>
          </w:tcPr>
          <w:p w14:paraId="68C51BDA" w14:textId="77777777" w:rsidR="007B21C5" w:rsidRDefault="007B21C5">
            <w:pPr>
              <w:rPr>
                <w:sz w:val="20"/>
              </w:rPr>
            </w:pPr>
          </w:p>
        </w:tc>
        <w:tc>
          <w:tcPr>
            <w:tcW w:w="1190" w:type="dxa"/>
            <w:tcBorders>
              <w:top w:val="single" w:sz="4" w:space="0" w:color="000000"/>
              <w:left w:val="single" w:sz="4" w:space="0" w:color="000000"/>
              <w:bottom w:val="single" w:sz="4" w:space="0" w:color="000000"/>
              <w:right w:val="single" w:sz="4" w:space="0" w:color="000000"/>
            </w:tcBorders>
          </w:tcPr>
          <w:p w14:paraId="6CCA7766" w14:textId="77777777" w:rsidR="007B21C5" w:rsidRDefault="007B21C5">
            <w:pPr>
              <w:rPr>
                <w:sz w:val="20"/>
              </w:rPr>
            </w:pPr>
          </w:p>
        </w:tc>
        <w:tc>
          <w:tcPr>
            <w:tcW w:w="1510" w:type="dxa"/>
            <w:tcBorders>
              <w:top w:val="single" w:sz="4" w:space="0" w:color="000000"/>
              <w:left w:val="single" w:sz="4" w:space="0" w:color="000000"/>
              <w:bottom w:val="single" w:sz="4" w:space="0" w:color="000000"/>
              <w:right w:val="single" w:sz="4" w:space="0" w:color="000000"/>
            </w:tcBorders>
          </w:tcPr>
          <w:p w14:paraId="2E5371E7" w14:textId="77777777" w:rsidR="007B21C5" w:rsidRDefault="007B21C5">
            <w:pPr>
              <w:pStyle w:val="Default"/>
              <w:rPr>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5245697B" w14:textId="77777777" w:rsidR="007B21C5" w:rsidRDefault="007B21C5">
            <w:pPr>
              <w:pStyle w:val="Default"/>
              <w:rPr>
                <w:sz w:val="20"/>
                <w:szCs w:val="20"/>
              </w:rPr>
            </w:pPr>
          </w:p>
        </w:tc>
        <w:tc>
          <w:tcPr>
            <w:tcW w:w="1470" w:type="dxa"/>
            <w:tcBorders>
              <w:top w:val="single" w:sz="4" w:space="0" w:color="000000"/>
              <w:left w:val="single" w:sz="4" w:space="0" w:color="000000"/>
              <w:bottom w:val="single" w:sz="4" w:space="0" w:color="000000"/>
              <w:right w:val="single" w:sz="4" w:space="0" w:color="000000"/>
            </w:tcBorders>
          </w:tcPr>
          <w:p w14:paraId="4BEC8739" w14:textId="77777777" w:rsidR="007B21C5" w:rsidRDefault="007B21C5">
            <w:pPr>
              <w:pStyle w:val="Default"/>
              <w:rPr>
                <w:sz w:val="20"/>
                <w:szCs w:val="20"/>
              </w:rPr>
            </w:pPr>
            <w:r>
              <w:rPr>
                <w:sz w:val="20"/>
                <w:szCs w:val="20"/>
              </w:rPr>
              <w:t xml:space="preserve">Feber </w:t>
            </w:r>
          </w:p>
          <w:p w14:paraId="4C0C72FE" w14:textId="77777777" w:rsidR="007B21C5" w:rsidRDefault="007B21C5">
            <w:pPr>
              <w:pStyle w:val="Default"/>
              <w:rPr>
                <w:sz w:val="20"/>
                <w:szCs w:val="20"/>
              </w:rPr>
            </w:pPr>
          </w:p>
        </w:tc>
        <w:tc>
          <w:tcPr>
            <w:tcW w:w="1565" w:type="dxa"/>
            <w:tcBorders>
              <w:top w:val="single" w:sz="4" w:space="0" w:color="000000"/>
              <w:left w:val="single" w:sz="4" w:space="0" w:color="000000"/>
              <w:bottom w:val="single" w:sz="4" w:space="0" w:color="000000"/>
              <w:right w:val="single" w:sz="4" w:space="0" w:color="000000"/>
            </w:tcBorders>
            <w:hideMark/>
          </w:tcPr>
          <w:p w14:paraId="14A45996" w14:textId="77777777" w:rsidR="007B21C5" w:rsidRDefault="007B21C5">
            <w:pPr>
              <w:rPr>
                <w:sz w:val="20"/>
              </w:rPr>
            </w:pPr>
            <w:r>
              <w:rPr>
                <w:sz w:val="20"/>
              </w:rPr>
              <w:t>Ødem</w:t>
            </w:r>
          </w:p>
        </w:tc>
      </w:tr>
    </w:tbl>
    <w:p w14:paraId="21AB32AA" w14:textId="77777777" w:rsidR="007B21C5" w:rsidRDefault="007B21C5" w:rsidP="007B21C5">
      <w:pPr>
        <w:pStyle w:val="Default"/>
        <w:rPr>
          <w:sz w:val="20"/>
          <w:szCs w:val="20"/>
        </w:rPr>
      </w:pPr>
      <w:r>
        <w:rPr>
          <w:sz w:val="20"/>
          <w:szCs w:val="20"/>
          <w:vertAlign w:val="superscript"/>
        </w:rPr>
        <w:t>1</w:t>
      </w:r>
      <w:r>
        <w:rPr>
          <w:sz w:val="20"/>
          <w:szCs w:val="20"/>
        </w:rPr>
        <w:t xml:space="preserve"> kan være reversibelt - se pkt. 4.4 </w:t>
      </w:r>
    </w:p>
    <w:p w14:paraId="3FC366F8" w14:textId="77777777" w:rsidR="007B21C5" w:rsidRDefault="007B21C5" w:rsidP="007B21C5">
      <w:pPr>
        <w:pStyle w:val="Default"/>
        <w:widowControl w:val="0"/>
        <w:tabs>
          <w:tab w:val="left" w:pos="284"/>
        </w:tabs>
        <w:rPr>
          <w:sz w:val="20"/>
        </w:rPr>
      </w:pPr>
      <w:r>
        <w:rPr>
          <w:sz w:val="20"/>
          <w:szCs w:val="20"/>
          <w:vertAlign w:val="superscript"/>
        </w:rPr>
        <w:t>2</w:t>
      </w:r>
      <w:r>
        <w:rPr>
          <w:sz w:val="20"/>
          <w:szCs w:val="20"/>
        </w:rPr>
        <w:t xml:space="preserve"> </w:t>
      </w:r>
      <w:proofErr w:type="spellStart"/>
      <w:r>
        <w:rPr>
          <w:sz w:val="20"/>
          <w:szCs w:val="20"/>
        </w:rPr>
        <w:t>lymfom</w:t>
      </w:r>
      <w:proofErr w:type="spellEnd"/>
      <w:r>
        <w:rPr>
          <w:sz w:val="20"/>
          <w:szCs w:val="20"/>
        </w:rPr>
        <w:t>/</w:t>
      </w:r>
      <w:proofErr w:type="spellStart"/>
      <w:r>
        <w:rPr>
          <w:sz w:val="20"/>
          <w:szCs w:val="20"/>
        </w:rPr>
        <w:t>lymfoproliferative</w:t>
      </w:r>
      <w:proofErr w:type="spellEnd"/>
      <w:r>
        <w:rPr>
          <w:sz w:val="20"/>
          <w:szCs w:val="20"/>
        </w:rPr>
        <w:t xml:space="preserve"> sygdomme: Der er rapporteret om individuelle tilfælde af </w:t>
      </w:r>
      <w:proofErr w:type="spellStart"/>
      <w:r>
        <w:rPr>
          <w:sz w:val="20"/>
          <w:szCs w:val="20"/>
        </w:rPr>
        <w:t>lymfom</w:t>
      </w:r>
      <w:proofErr w:type="spellEnd"/>
      <w:r>
        <w:rPr>
          <w:sz w:val="20"/>
          <w:szCs w:val="20"/>
        </w:rPr>
        <w:t xml:space="preserve"> og andre </w:t>
      </w:r>
      <w:proofErr w:type="spellStart"/>
      <w:r>
        <w:rPr>
          <w:sz w:val="20"/>
          <w:szCs w:val="20"/>
        </w:rPr>
        <w:t>lymfoproliferative</w:t>
      </w:r>
      <w:proofErr w:type="spellEnd"/>
      <w:r>
        <w:rPr>
          <w:sz w:val="20"/>
          <w:szCs w:val="20"/>
        </w:rPr>
        <w:t xml:space="preserve"> sygdomme, som fortog sig i en række tilfælde, når behandling med </w:t>
      </w:r>
      <w:proofErr w:type="spellStart"/>
      <w:r>
        <w:rPr>
          <w:sz w:val="20"/>
          <w:szCs w:val="20"/>
        </w:rPr>
        <w:t>methotrexat</w:t>
      </w:r>
      <w:proofErr w:type="spellEnd"/>
      <w:r>
        <w:rPr>
          <w:sz w:val="20"/>
          <w:szCs w:val="20"/>
        </w:rPr>
        <w:t xml:space="preserve"> var blevet afbrudt. </w:t>
      </w:r>
    </w:p>
    <w:p w14:paraId="46521CF2" w14:textId="77777777" w:rsidR="007B21C5" w:rsidRDefault="007B21C5" w:rsidP="007B21C5">
      <w:pPr>
        <w:pStyle w:val="Default"/>
        <w:rPr>
          <w:sz w:val="20"/>
          <w:szCs w:val="20"/>
        </w:rPr>
      </w:pPr>
      <w:r>
        <w:rPr>
          <w:sz w:val="20"/>
          <w:szCs w:val="20"/>
          <w:vertAlign w:val="superscript"/>
        </w:rPr>
        <w:t>3</w:t>
      </w:r>
      <w:r>
        <w:rPr>
          <w:sz w:val="20"/>
          <w:szCs w:val="20"/>
        </w:rPr>
        <w:t xml:space="preserve"> er indberettet ved anvendelse af </w:t>
      </w:r>
      <w:proofErr w:type="spellStart"/>
      <w:r>
        <w:rPr>
          <w:sz w:val="20"/>
          <w:szCs w:val="20"/>
        </w:rPr>
        <w:t>methotrexat</w:t>
      </w:r>
      <w:proofErr w:type="spellEnd"/>
      <w:r>
        <w:rPr>
          <w:sz w:val="20"/>
          <w:szCs w:val="20"/>
        </w:rPr>
        <w:t xml:space="preserve"> i reumatologiske og relaterede indikationer </w:t>
      </w:r>
    </w:p>
    <w:p w14:paraId="572D5C7C" w14:textId="77777777" w:rsidR="007B21C5" w:rsidRDefault="007B21C5" w:rsidP="007B21C5">
      <w:pPr>
        <w:widowControl w:val="0"/>
        <w:tabs>
          <w:tab w:val="left" w:pos="284"/>
        </w:tabs>
        <w:autoSpaceDE w:val="0"/>
        <w:autoSpaceDN w:val="0"/>
        <w:adjustRightInd w:val="0"/>
        <w:rPr>
          <w:sz w:val="22"/>
          <w:szCs w:val="22"/>
        </w:rPr>
      </w:pPr>
      <w:r>
        <w:rPr>
          <w:sz w:val="20"/>
          <w:vertAlign w:val="superscript"/>
        </w:rPr>
        <w:t>4</w:t>
      </w:r>
      <w:r>
        <w:rPr>
          <w:sz w:val="20"/>
        </w:rPr>
        <w:t xml:space="preserve"> se bemærkningerne om leverbiopsi i pkt. 4.4</w:t>
      </w:r>
      <w:r>
        <w:rPr>
          <w:sz w:val="22"/>
          <w:szCs w:val="22"/>
        </w:rPr>
        <w:t xml:space="preserve"> </w:t>
      </w:r>
    </w:p>
    <w:p w14:paraId="0241E275" w14:textId="77777777" w:rsidR="007B21C5" w:rsidRPr="007B21C5" w:rsidRDefault="007B21C5" w:rsidP="007B21C5">
      <w:pPr>
        <w:widowControl w:val="0"/>
        <w:tabs>
          <w:tab w:val="left" w:pos="820"/>
        </w:tabs>
        <w:autoSpaceDE w:val="0"/>
        <w:autoSpaceDN w:val="0"/>
        <w:adjustRightInd w:val="0"/>
        <w:ind w:left="851"/>
        <w:rPr>
          <w:sz w:val="24"/>
          <w:szCs w:val="24"/>
        </w:rPr>
      </w:pPr>
    </w:p>
    <w:p w14:paraId="34995B13" w14:textId="77777777" w:rsidR="007B21C5" w:rsidRPr="007B21C5" w:rsidRDefault="007B21C5" w:rsidP="007B21C5">
      <w:pPr>
        <w:pStyle w:val="Default"/>
        <w:ind w:left="851"/>
        <w:rPr>
          <w:i/>
          <w:iCs/>
        </w:rPr>
      </w:pPr>
      <w:r w:rsidRPr="007B21C5">
        <w:rPr>
          <w:i/>
          <w:iCs/>
        </w:rPr>
        <w:t xml:space="preserve">Pædiatrisk population </w:t>
      </w:r>
    </w:p>
    <w:p w14:paraId="7A47C70F" w14:textId="77777777" w:rsidR="007B21C5" w:rsidRPr="007B21C5" w:rsidRDefault="007B21C5" w:rsidP="007B21C5">
      <w:pPr>
        <w:widowControl w:val="0"/>
        <w:autoSpaceDE w:val="0"/>
        <w:autoSpaceDN w:val="0"/>
        <w:adjustRightInd w:val="0"/>
        <w:ind w:left="851"/>
        <w:rPr>
          <w:sz w:val="24"/>
          <w:szCs w:val="24"/>
        </w:rPr>
      </w:pPr>
      <w:r w:rsidRPr="007B21C5">
        <w:rPr>
          <w:sz w:val="24"/>
          <w:szCs w:val="24"/>
        </w:rPr>
        <w:t>Hos børn og unge forventes bivirkningerne at være af samme hyppighed, art og sværhedsgrad som hos voksne.</w:t>
      </w:r>
    </w:p>
    <w:p w14:paraId="2EAC9584" w14:textId="77777777" w:rsidR="007B21C5" w:rsidRPr="007B21C5" w:rsidRDefault="007B21C5" w:rsidP="007B21C5">
      <w:pPr>
        <w:widowControl w:val="0"/>
        <w:autoSpaceDE w:val="0"/>
        <w:autoSpaceDN w:val="0"/>
        <w:adjustRightInd w:val="0"/>
        <w:ind w:left="851"/>
        <w:rPr>
          <w:sz w:val="24"/>
          <w:szCs w:val="24"/>
        </w:rPr>
      </w:pPr>
    </w:p>
    <w:p w14:paraId="2DF0C797" w14:textId="77777777" w:rsidR="007B21C5" w:rsidRPr="007B21C5" w:rsidRDefault="007B21C5" w:rsidP="007B21C5">
      <w:pPr>
        <w:autoSpaceDE w:val="0"/>
        <w:autoSpaceDN w:val="0"/>
        <w:ind w:left="851"/>
        <w:rPr>
          <w:sz w:val="24"/>
          <w:szCs w:val="24"/>
          <w:u w:val="single"/>
        </w:rPr>
      </w:pPr>
      <w:r w:rsidRPr="007B21C5">
        <w:rPr>
          <w:sz w:val="24"/>
          <w:szCs w:val="24"/>
          <w:u w:val="single"/>
        </w:rPr>
        <w:t>Indberetning af formodede bivirkninger</w:t>
      </w:r>
    </w:p>
    <w:p w14:paraId="0925AF25" w14:textId="77777777" w:rsidR="007B21C5" w:rsidRPr="007B21C5" w:rsidRDefault="007B21C5" w:rsidP="007B21C5">
      <w:pPr>
        <w:ind w:left="851"/>
        <w:rPr>
          <w:sz w:val="24"/>
          <w:szCs w:val="24"/>
        </w:rPr>
      </w:pPr>
      <w:r w:rsidRPr="007B21C5">
        <w:rPr>
          <w:sz w:val="24"/>
          <w:szCs w:val="24"/>
        </w:rPr>
        <w:t>Når lægemidlet er godkendt, er indberetning af formodede bivirkninger vigtig. Det muliggør løbende overvågning af benefit/</w:t>
      </w:r>
      <w:proofErr w:type="spellStart"/>
      <w:r w:rsidRPr="007B21C5">
        <w:rPr>
          <w:sz w:val="24"/>
          <w:szCs w:val="24"/>
        </w:rPr>
        <w:t>risk</w:t>
      </w:r>
      <w:proofErr w:type="spellEnd"/>
      <w:r w:rsidRPr="007B21C5">
        <w:rPr>
          <w:sz w:val="24"/>
          <w:szCs w:val="24"/>
        </w:rPr>
        <w:t>-forholdet for lægemidlet. Sundhedspersoner anmodes om at indberette alle formodede bivirkninger via:</w:t>
      </w:r>
    </w:p>
    <w:p w14:paraId="05BCD644" w14:textId="77777777" w:rsidR="007B21C5" w:rsidRPr="007B21C5" w:rsidRDefault="007B21C5" w:rsidP="007B21C5">
      <w:pPr>
        <w:tabs>
          <w:tab w:val="left" w:pos="2440"/>
        </w:tabs>
        <w:ind w:left="851"/>
        <w:rPr>
          <w:sz w:val="24"/>
          <w:szCs w:val="24"/>
        </w:rPr>
      </w:pPr>
    </w:p>
    <w:p w14:paraId="3874AE8B" w14:textId="77777777" w:rsidR="007B21C5" w:rsidRPr="007B21C5" w:rsidRDefault="007B21C5" w:rsidP="007B21C5">
      <w:pPr>
        <w:ind w:left="851"/>
        <w:rPr>
          <w:sz w:val="24"/>
          <w:szCs w:val="24"/>
        </w:rPr>
      </w:pPr>
      <w:r w:rsidRPr="007B21C5">
        <w:rPr>
          <w:sz w:val="24"/>
          <w:szCs w:val="24"/>
        </w:rPr>
        <w:lastRenderedPageBreak/>
        <w:t>Lægemiddelstyrelsen</w:t>
      </w:r>
    </w:p>
    <w:p w14:paraId="6F58DB0B" w14:textId="77777777" w:rsidR="007B21C5" w:rsidRPr="007B21C5" w:rsidRDefault="007B21C5" w:rsidP="007B21C5">
      <w:pPr>
        <w:ind w:left="851"/>
        <w:rPr>
          <w:sz w:val="24"/>
          <w:szCs w:val="24"/>
        </w:rPr>
      </w:pPr>
      <w:r w:rsidRPr="007B21C5">
        <w:rPr>
          <w:sz w:val="24"/>
          <w:szCs w:val="24"/>
        </w:rPr>
        <w:t>Axel Heides Gade 1</w:t>
      </w:r>
    </w:p>
    <w:p w14:paraId="3ED818F3" w14:textId="77777777" w:rsidR="007B21C5" w:rsidRPr="007B21C5" w:rsidRDefault="007B21C5" w:rsidP="007B21C5">
      <w:pPr>
        <w:ind w:left="851"/>
        <w:rPr>
          <w:sz w:val="24"/>
          <w:szCs w:val="24"/>
        </w:rPr>
      </w:pPr>
      <w:r w:rsidRPr="007B21C5">
        <w:rPr>
          <w:sz w:val="24"/>
          <w:szCs w:val="24"/>
        </w:rPr>
        <w:t>DK-2300 København S</w:t>
      </w:r>
    </w:p>
    <w:p w14:paraId="0342081C" w14:textId="77777777" w:rsidR="007B21C5" w:rsidRPr="007B21C5" w:rsidRDefault="007B21C5" w:rsidP="007B21C5">
      <w:pPr>
        <w:ind w:left="851"/>
        <w:rPr>
          <w:sz w:val="24"/>
          <w:szCs w:val="24"/>
          <w:lang w:eastAsia="da-DK"/>
        </w:rPr>
      </w:pPr>
      <w:r w:rsidRPr="007B21C5">
        <w:rPr>
          <w:sz w:val="24"/>
          <w:szCs w:val="24"/>
        </w:rPr>
        <w:t xml:space="preserve">Websted: </w:t>
      </w:r>
      <w:hyperlink r:id="rId8" w:history="1">
        <w:r w:rsidRPr="007B21C5">
          <w:rPr>
            <w:rStyle w:val="Hyperlink"/>
            <w:sz w:val="24"/>
            <w:szCs w:val="24"/>
          </w:rPr>
          <w:t>www.meldenbivirkning.dk</w:t>
        </w:r>
      </w:hyperlink>
      <w:r w:rsidRPr="007B21C5">
        <w:rPr>
          <w:sz w:val="24"/>
          <w:szCs w:val="24"/>
          <w:lang w:eastAsia="da-DK"/>
        </w:rPr>
        <w:t xml:space="preserve"> </w:t>
      </w:r>
    </w:p>
    <w:p w14:paraId="173DC7E2" w14:textId="77777777" w:rsidR="00A64E46" w:rsidRPr="007B21C5" w:rsidRDefault="00A64E46" w:rsidP="00A64E46">
      <w:pPr>
        <w:pStyle w:val="Sidehoved"/>
        <w:tabs>
          <w:tab w:val="left" w:pos="851"/>
        </w:tabs>
        <w:ind w:left="851" w:hanging="851"/>
        <w:rPr>
          <w:szCs w:val="24"/>
        </w:rPr>
      </w:pPr>
    </w:p>
    <w:p w14:paraId="3829D4F0" w14:textId="77777777" w:rsidR="00A64E46" w:rsidRPr="00F74DF7" w:rsidRDefault="00A64E46" w:rsidP="00103350">
      <w:pPr>
        <w:keepNext/>
        <w:tabs>
          <w:tab w:val="left" w:pos="851"/>
        </w:tabs>
        <w:ind w:left="851" w:hanging="851"/>
        <w:rPr>
          <w:b/>
          <w:sz w:val="24"/>
          <w:szCs w:val="24"/>
        </w:rPr>
      </w:pPr>
      <w:r w:rsidRPr="00F74DF7">
        <w:rPr>
          <w:b/>
          <w:sz w:val="24"/>
          <w:szCs w:val="24"/>
        </w:rPr>
        <w:t>4.9</w:t>
      </w:r>
      <w:r w:rsidRPr="00F74DF7">
        <w:rPr>
          <w:b/>
          <w:sz w:val="24"/>
          <w:szCs w:val="24"/>
        </w:rPr>
        <w:tab/>
        <w:t>Overdosering</w:t>
      </w:r>
    </w:p>
    <w:p w14:paraId="396FBF84" w14:textId="77777777" w:rsidR="006270FA" w:rsidRPr="006270FA" w:rsidRDefault="006270FA" w:rsidP="006270FA">
      <w:pPr>
        <w:pStyle w:val="Default"/>
        <w:ind w:left="851"/>
      </w:pPr>
      <w:r w:rsidRPr="006270FA">
        <w:t xml:space="preserve">Symptomer på overdosering </w:t>
      </w:r>
    </w:p>
    <w:p w14:paraId="0F12F330" w14:textId="77777777" w:rsidR="006270FA" w:rsidRPr="006270FA" w:rsidRDefault="006270FA" w:rsidP="006270FA">
      <w:pPr>
        <w:pStyle w:val="Default"/>
        <w:ind w:left="851"/>
      </w:pPr>
      <w:r w:rsidRPr="006270FA">
        <w:t xml:space="preserve">Symptomerne efter oral overdosering berører overvejende det </w:t>
      </w:r>
      <w:proofErr w:type="spellStart"/>
      <w:r w:rsidRPr="006270FA">
        <w:t>hæmatopoietiske</w:t>
      </w:r>
      <w:proofErr w:type="spellEnd"/>
      <w:r w:rsidRPr="006270FA">
        <w:t xml:space="preserve"> og </w:t>
      </w:r>
      <w:proofErr w:type="spellStart"/>
      <w:r w:rsidRPr="006270FA">
        <w:t>gastrointestinale</w:t>
      </w:r>
      <w:proofErr w:type="spellEnd"/>
      <w:r w:rsidRPr="006270FA">
        <w:t xml:space="preserve"> system. </w:t>
      </w:r>
    </w:p>
    <w:p w14:paraId="65082FCF" w14:textId="77777777" w:rsidR="006270FA" w:rsidRPr="006270FA" w:rsidRDefault="006270FA" w:rsidP="006270FA">
      <w:pPr>
        <w:pStyle w:val="Default"/>
        <w:ind w:left="851"/>
      </w:pPr>
      <w:r w:rsidRPr="006270FA">
        <w:t xml:space="preserve">Symptomerne omfatter </w:t>
      </w:r>
      <w:proofErr w:type="spellStart"/>
      <w:r w:rsidRPr="006270FA">
        <w:t>leukocytopeni</w:t>
      </w:r>
      <w:proofErr w:type="spellEnd"/>
      <w:r w:rsidRPr="006270FA">
        <w:t xml:space="preserve">, </w:t>
      </w:r>
      <w:proofErr w:type="spellStart"/>
      <w:r w:rsidRPr="006270FA">
        <w:t>trombocytopeni</w:t>
      </w:r>
      <w:proofErr w:type="spellEnd"/>
      <w:r w:rsidRPr="006270FA">
        <w:t xml:space="preserve">, anæmi, </w:t>
      </w:r>
      <w:proofErr w:type="spellStart"/>
      <w:r w:rsidRPr="006270FA">
        <w:t>pancytopeni</w:t>
      </w:r>
      <w:proofErr w:type="spellEnd"/>
      <w:r w:rsidRPr="006270FA">
        <w:t xml:space="preserve">, </w:t>
      </w:r>
      <w:proofErr w:type="spellStart"/>
      <w:r w:rsidRPr="006270FA">
        <w:t>neutropeni</w:t>
      </w:r>
      <w:proofErr w:type="spellEnd"/>
      <w:r w:rsidRPr="006270FA">
        <w:t xml:space="preserve">, </w:t>
      </w:r>
      <w:proofErr w:type="spellStart"/>
      <w:r w:rsidRPr="006270FA">
        <w:t>myelosuppression</w:t>
      </w:r>
      <w:proofErr w:type="spellEnd"/>
      <w:r w:rsidRPr="006270FA">
        <w:t xml:space="preserve">, </w:t>
      </w:r>
      <w:proofErr w:type="spellStart"/>
      <w:r w:rsidRPr="006270FA">
        <w:t>mucositis</w:t>
      </w:r>
      <w:proofErr w:type="spellEnd"/>
      <w:r w:rsidRPr="006270FA">
        <w:t xml:space="preserve">, </w:t>
      </w:r>
      <w:proofErr w:type="spellStart"/>
      <w:r w:rsidRPr="006270FA">
        <w:t>stomatitis</w:t>
      </w:r>
      <w:proofErr w:type="spellEnd"/>
      <w:r w:rsidRPr="006270FA">
        <w:t xml:space="preserve">, oral </w:t>
      </w:r>
      <w:proofErr w:type="spellStart"/>
      <w:r w:rsidRPr="006270FA">
        <w:t>ulceration</w:t>
      </w:r>
      <w:proofErr w:type="spellEnd"/>
      <w:r w:rsidRPr="006270FA">
        <w:t xml:space="preserve">, kvalme, opkastning, </w:t>
      </w:r>
      <w:proofErr w:type="spellStart"/>
      <w:r w:rsidRPr="006270FA">
        <w:t>gastrointestinal</w:t>
      </w:r>
      <w:proofErr w:type="spellEnd"/>
      <w:r w:rsidRPr="006270FA">
        <w:t xml:space="preserve"> </w:t>
      </w:r>
      <w:proofErr w:type="spellStart"/>
      <w:r w:rsidRPr="006270FA">
        <w:t>ulceration</w:t>
      </w:r>
      <w:proofErr w:type="spellEnd"/>
      <w:r w:rsidRPr="006270FA">
        <w:t xml:space="preserve"> og blødning. </w:t>
      </w:r>
    </w:p>
    <w:p w14:paraId="061EFAF5" w14:textId="77777777" w:rsidR="006270FA" w:rsidRPr="006270FA" w:rsidRDefault="006270FA" w:rsidP="006270FA">
      <w:pPr>
        <w:pStyle w:val="NormalWeb"/>
        <w:shd w:val="clear" w:color="auto" w:fill="FFFFFF"/>
        <w:spacing w:before="0" w:beforeAutospacing="0" w:after="0" w:afterAutospacing="0"/>
        <w:ind w:left="851"/>
        <w:rPr>
          <w:color w:val="000000"/>
        </w:rPr>
      </w:pPr>
      <w:r w:rsidRPr="006270FA">
        <w:t xml:space="preserve">Der er beskrevet tilfælde af overdosering, undertiden med dødelig udgang, ved fejlagtig daglig indtagelse (i stedet for ugentlig) af </w:t>
      </w:r>
      <w:proofErr w:type="spellStart"/>
      <w:r w:rsidRPr="006270FA">
        <w:t>methotrexat</w:t>
      </w:r>
      <w:proofErr w:type="spellEnd"/>
      <w:r w:rsidRPr="006270FA">
        <w:t xml:space="preserve"> oralt. I sådanne tilfælde er de oftest beskrevne symptomer hæmatologiske og </w:t>
      </w:r>
      <w:proofErr w:type="spellStart"/>
      <w:r w:rsidRPr="006270FA">
        <w:t>gastrointestinale</w:t>
      </w:r>
      <w:proofErr w:type="spellEnd"/>
      <w:r w:rsidRPr="006270FA">
        <w:t xml:space="preserve"> reaktioner. </w:t>
      </w:r>
    </w:p>
    <w:p w14:paraId="6D8E4BEA" w14:textId="77777777" w:rsidR="006270FA" w:rsidRPr="006270FA" w:rsidRDefault="006270FA" w:rsidP="006270FA">
      <w:pPr>
        <w:pStyle w:val="NormalWeb"/>
        <w:shd w:val="clear" w:color="auto" w:fill="FFFFFF"/>
        <w:spacing w:before="0" w:beforeAutospacing="0" w:after="0" w:afterAutospacing="0"/>
        <w:ind w:left="851"/>
        <w:rPr>
          <w:color w:val="000000"/>
        </w:rPr>
      </w:pPr>
    </w:p>
    <w:p w14:paraId="070331B8" w14:textId="77777777" w:rsidR="006270FA" w:rsidRPr="006270FA" w:rsidRDefault="006270FA" w:rsidP="006270FA">
      <w:pPr>
        <w:pStyle w:val="Default"/>
        <w:ind w:left="851"/>
      </w:pPr>
      <w:r w:rsidRPr="006270FA">
        <w:t xml:space="preserve">Der er indberetninger om dødsfald som følge af sepsis, septisk chok, nyresvigt og </w:t>
      </w:r>
      <w:proofErr w:type="spellStart"/>
      <w:r w:rsidRPr="006270FA">
        <w:t>aplastisk</w:t>
      </w:r>
      <w:proofErr w:type="spellEnd"/>
      <w:r w:rsidRPr="006270FA">
        <w:t xml:space="preserve"> anæmi. </w:t>
      </w:r>
    </w:p>
    <w:p w14:paraId="20970DED" w14:textId="77777777" w:rsidR="006270FA" w:rsidRPr="006270FA" w:rsidRDefault="006270FA" w:rsidP="006270FA">
      <w:pPr>
        <w:pStyle w:val="Default"/>
        <w:ind w:left="851"/>
      </w:pPr>
    </w:p>
    <w:p w14:paraId="5DFE0BC5" w14:textId="77777777" w:rsidR="006270FA" w:rsidRPr="006270FA" w:rsidRDefault="006270FA" w:rsidP="006270FA">
      <w:pPr>
        <w:pStyle w:val="Default"/>
        <w:ind w:left="851"/>
      </w:pPr>
      <w:r w:rsidRPr="006270FA">
        <w:t xml:space="preserve">Behandling af overdosering </w:t>
      </w:r>
    </w:p>
    <w:p w14:paraId="76167A20" w14:textId="77777777" w:rsidR="006270FA" w:rsidRPr="006270FA" w:rsidRDefault="006270FA" w:rsidP="006270FA">
      <w:pPr>
        <w:pStyle w:val="Default"/>
        <w:ind w:left="851"/>
      </w:pPr>
      <w:proofErr w:type="spellStart"/>
      <w:r w:rsidRPr="006270FA">
        <w:t>Calciumfolinat</w:t>
      </w:r>
      <w:proofErr w:type="spellEnd"/>
      <w:r w:rsidRPr="006270FA">
        <w:t xml:space="preserve"> er den specifikke </w:t>
      </w:r>
      <w:proofErr w:type="spellStart"/>
      <w:r w:rsidRPr="006270FA">
        <w:t>antidot</w:t>
      </w:r>
      <w:proofErr w:type="spellEnd"/>
      <w:r w:rsidRPr="006270FA">
        <w:t xml:space="preserve"> til neutralisering af </w:t>
      </w:r>
      <w:proofErr w:type="spellStart"/>
      <w:r w:rsidRPr="006270FA">
        <w:t>methotrexats</w:t>
      </w:r>
      <w:proofErr w:type="spellEnd"/>
      <w:r w:rsidRPr="006270FA">
        <w:t xml:space="preserve"> toksiske virkninger. I tilfælde af </w:t>
      </w:r>
      <w:proofErr w:type="spellStart"/>
      <w:r w:rsidRPr="006270FA">
        <w:t>accidentel</w:t>
      </w:r>
      <w:proofErr w:type="spellEnd"/>
      <w:r w:rsidRPr="006270FA">
        <w:t xml:space="preserve"> overdosering gives inden for 1 time mindst samme dosis </w:t>
      </w:r>
      <w:proofErr w:type="spellStart"/>
      <w:r w:rsidRPr="006270FA">
        <w:t>calciumfolinat</w:t>
      </w:r>
      <w:proofErr w:type="spellEnd"/>
      <w:r w:rsidRPr="006270FA">
        <w:t xml:space="preserve"> intravenøst eller intramuskulært som den administrerede dosis </w:t>
      </w:r>
      <w:proofErr w:type="spellStart"/>
      <w:r w:rsidRPr="006270FA">
        <w:t>methotrexat</w:t>
      </w:r>
      <w:proofErr w:type="spellEnd"/>
      <w:r w:rsidRPr="006270FA">
        <w:t xml:space="preserve">, og dosering fortsættes, indtil serumkoncentrationen af </w:t>
      </w:r>
      <w:proofErr w:type="spellStart"/>
      <w:r w:rsidRPr="006270FA">
        <w:t>methotrexat</w:t>
      </w:r>
      <w:proofErr w:type="spellEnd"/>
      <w:r w:rsidRPr="006270FA">
        <w:t xml:space="preserve"> er under 10-7 mol/l. </w:t>
      </w:r>
    </w:p>
    <w:p w14:paraId="57581D9A" w14:textId="77777777" w:rsidR="006270FA" w:rsidRPr="006270FA" w:rsidRDefault="006270FA" w:rsidP="006270FA">
      <w:pPr>
        <w:pStyle w:val="NormalWeb"/>
        <w:shd w:val="clear" w:color="auto" w:fill="FFFFFF"/>
        <w:spacing w:before="0" w:beforeAutospacing="0" w:after="0" w:afterAutospacing="0"/>
        <w:ind w:left="851"/>
      </w:pPr>
    </w:p>
    <w:p w14:paraId="6A748013" w14:textId="77777777" w:rsidR="006270FA" w:rsidRPr="006270FA" w:rsidRDefault="006270FA" w:rsidP="006270FA">
      <w:pPr>
        <w:pStyle w:val="NormalWeb"/>
        <w:shd w:val="clear" w:color="auto" w:fill="FFFFFF"/>
        <w:spacing w:before="0" w:beforeAutospacing="0" w:after="0" w:afterAutospacing="0"/>
        <w:ind w:left="851"/>
        <w:rPr>
          <w:color w:val="000000"/>
        </w:rPr>
      </w:pPr>
      <w:r w:rsidRPr="006270FA">
        <w:t xml:space="preserve">Ved en massiv overdosis kan hydrering og </w:t>
      </w:r>
      <w:proofErr w:type="spellStart"/>
      <w:r w:rsidRPr="006270FA">
        <w:t>alkalinisering</w:t>
      </w:r>
      <w:proofErr w:type="spellEnd"/>
      <w:r w:rsidRPr="006270FA">
        <w:t xml:space="preserve"> af urinen være nødvendig for at forhindre udfældning af </w:t>
      </w:r>
      <w:proofErr w:type="spellStart"/>
      <w:r w:rsidRPr="006270FA">
        <w:t>methotrexat</w:t>
      </w:r>
      <w:proofErr w:type="spellEnd"/>
      <w:r w:rsidRPr="006270FA">
        <w:t xml:space="preserve"> og/eller dets metabolitter i </w:t>
      </w:r>
      <w:proofErr w:type="spellStart"/>
      <w:r w:rsidRPr="006270FA">
        <w:t>nyretubuli</w:t>
      </w:r>
      <w:proofErr w:type="spellEnd"/>
      <w:r w:rsidRPr="006270FA">
        <w:t xml:space="preserve">. Hverken hæmodialyse eller </w:t>
      </w:r>
      <w:proofErr w:type="spellStart"/>
      <w:r w:rsidRPr="006270FA">
        <w:t>peritonealdialyse</w:t>
      </w:r>
      <w:proofErr w:type="spellEnd"/>
      <w:r w:rsidRPr="006270FA">
        <w:t xml:space="preserve"> er påvist at fremme udskillelsen af </w:t>
      </w:r>
      <w:proofErr w:type="spellStart"/>
      <w:r w:rsidRPr="006270FA">
        <w:t>methotrexat</w:t>
      </w:r>
      <w:proofErr w:type="spellEnd"/>
      <w:r w:rsidRPr="006270FA">
        <w:t xml:space="preserve">. Der er beskrevet effektiv </w:t>
      </w:r>
      <w:proofErr w:type="spellStart"/>
      <w:r w:rsidRPr="006270FA">
        <w:t>clearance</w:t>
      </w:r>
      <w:proofErr w:type="spellEnd"/>
      <w:r w:rsidRPr="006270FA">
        <w:t xml:space="preserve"> af </w:t>
      </w:r>
      <w:proofErr w:type="spellStart"/>
      <w:r w:rsidRPr="006270FA">
        <w:t>methotrexat</w:t>
      </w:r>
      <w:proofErr w:type="spellEnd"/>
      <w:r w:rsidRPr="006270FA">
        <w:t xml:space="preserve"> med akut intermitterende hæmodialyse med et highflux-dialyseapparat.</w:t>
      </w:r>
    </w:p>
    <w:p w14:paraId="7CB82D97" w14:textId="77777777" w:rsidR="00A64E46" w:rsidRPr="00F74DF7" w:rsidRDefault="00A64E46" w:rsidP="00A64E46">
      <w:pPr>
        <w:tabs>
          <w:tab w:val="left" w:pos="851"/>
        </w:tabs>
        <w:ind w:left="851"/>
        <w:rPr>
          <w:sz w:val="24"/>
          <w:szCs w:val="24"/>
        </w:rPr>
      </w:pPr>
    </w:p>
    <w:p w14:paraId="40B9E441" w14:textId="77777777" w:rsidR="00A64E46" w:rsidRPr="00F74DF7" w:rsidRDefault="00A64E46" w:rsidP="00A64E46">
      <w:pPr>
        <w:tabs>
          <w:tab w:val="left" w:pos="851"/>
        </w:tabs>
        <w:ind w:left="851" w:hanging="851"/>
        <w:rPr>
          <w:b/>
          <w:sz w:val="24"/>
          <w:szCs w:val="24"/>
        </w:rPr>
      </w:pPr>
      <w:r w:rsidRPr="00F74DF7">
        <w:rPr>
          <w:b/>
          <w:sz w:val="24"/>
          <w:szCs w:val="24"/>
        </w:rPr>
        <w:t>4.10</w:t>
      </w:r>
      <w:r w:rsidRPr="00F74DF7">
        <w:rPr>
          <w:b/>
          <w:sz w:val="24"/>
          <w:szCs w:val="24"/>
        </w:rPr>
        <w:tab/>
        <w:t>Udlevering</w:t>
      </w:r>
    </w:p>
    <w:p w14:paraId="367668C1" w14:textId="77777777" w:rsidR="00A64E46" w:rsidRPr="00F74DF7" w:rsidRDefault="00A64E46" w:rsidP="00A64E46">
      <w:pPr>
        <w:tabs>
          <w:tab w:val="left" w:pos="851"/>
        </w:tabs>
        <w:ind w:left="851" w:hanging="851"/>
        <w:rPr>
          <w:sz w:val="24"/>
          <w:szCs w:val="24"/>
        </w:rPr>
      </w:pPr>
      <w:r w:rsidRPr="00F74DF7">
        <w:rPr>
          <w:sz w:val="24"/>
          <w:szCs w:val="24"/>
        </w:rPr>
        <w:tab/>
        <w:t>A</w:t>
      </w:r>
    </w:p>
    <w:p w14:paraId="779D9777" w14:textId="77777777" w:rsidR="00A64E46" w:rsidRPr="00F74DF7" w:rsidRDefault="00A64E46" w:rsidP="00A64E46">
      <w:pPr>
        <w:tabs>
          <w:tab w:val="left" w:pos="851"/>
        </w:tabs>
        <w:ind w:left="851" w:hanging="851"/>
        <w:rPr>
          <w:sz w:val="24"/>
          <w:szCs w:val="24"/>
        </w:rPr>
      </w:pPr>
    </w:p>
    <w:p w14:paraId="73C8AAE3" w14:textId="77777777" w:rsidR="00A64E46" w:rsidRPr="00F74DF7" w:rsidRDefault="00A64E46" w:rsidP="00103350">
      <w:pPr>
        <w:rPr>
          <w:sz w:val="24"/>
          <w:szCs w:val="24"/>
        </w:rPr>
      </w:pPr>
    </w:p>
    <w:p w14:paraId="7450ADA3" w14:textId="77777777" w:rsidR="00A64E46" w:rsidRPr="00F74DF7" w:rsidRDefault="00A64E46" w:rsidP="00A64E46">
      <w:pPr>
        <w:tabs>
          <w:tab w:val="left" w:pos="851"/>
        </w:tabs>
        <w:ind w:left="851" w:hanging="851"/>
        <w:rPr>
          <w:b/>
          <w:sz w:val="24"/>
          <w:szCs w:val="24"/>
        </w:rPr>
      </w:pPr>
      <w:r w:rsidRPr="00F74DF7">
        <w:rPr>
          <w:b/>
          <w:sz w:val="24"/>
          <w:szCs w:val="24"/>
        </w:rPr>
        <w:t>5.</w:t>
      </w:r>
      <w:r w:rsidRPr="00F74DF7">
        <w:rPr>
          <w:b/>
          <w:sz w:val="24"/>
          <w:szCs w:val="24"/>
        </w:rPr>
        <w:tab/>
        <w:t>FARMAKOLOGISKE EGENSKABER</w:t>
      </w:r>
    </w:p>
    <w:p w14:paraId="65C55222" w14:textId="77777777" w:rsidR="00A64E46" w:rsidRPr="00F74DF7" w:rsidRDefault="00A64E46" w:rsidP="00A64E46">
      <w:pPr>
        <w:tabs>
          <w:tab w:val="left" w:pos="851"/>
        </w:tabs>
        <w:ind w:left="851" w:hanging="851"/>
        <w:rPr>
          <w:sz w:val="24"/>
          <w:szCs w:val="24"/>
        </w:rPr>
      </w:pPr>
    </w:p>
    <w:p w14:paraId="5DECC5A1" w14:textId="77777777" w:rsidR="00A64E46" w:rsidRPr="00103350" w:rsidRDefault="00A64E46" w:rsidP="00103350">
      <w:pPr>
        <w:tabs>
          <w:tab w:val="num" w:pos="851"/>
        </w:tabs>
        <w:ind w:left="851" w:hanging="851"/>
        <w:rPr>
          <w:b/>
          <w:sz w:val="24"/>
          <w:szCs w:val="24"/>
        </w:rPr>
      </w:pPr>
      <w:r w:rsidRPr="00F74DF7">
        <w:rPr>
          <w:b/>
          <w:sz w:val="24"/>
          <w:szCs w:val="24"/>
        </w:rPr>
        <w:t>5.1</w:t>
      </w:r>
      <w:r w:rsidRPr="00F74DF7">
        <w:rPr>
          <w:b/>
          <w:sz w:val="24"/>
          <w:szCs w:val="24"/>
        </w:rPr>
        <w:tab/>
      </w:r>
      <w:proofErr w:type="spellStart"/>
      <w:r w:rsidRPr="00F74DF7">
        <w:rPr>
          <w:b/>
          <w:sz w:val="24"/>
          <w:szCs w:val="24"/>
        </w:rPr>
        <w:t>Farmakodynamiske</w:t>
      </w:r>
      <w:proofErr w:type="spellEnd"/>
      <w:r w:rsidRPr="00F74DF7">
        <w:rPr>
          <w:b/>
          <w:sz w:val="24"/>
          <w:szCs w:val="24"/>
        </w:rPr>
        <w:t xml:space="preserve"> egenskaber</w:t>
      </w:r>
    </w:p>
    <w:p w14:paraId="0BA35623" w14:textId="0A91AC98" w:rsidR="002F5E0F" w:rsidRDefault="00DC65CB" w:rsidP="002F5E0F">
      <w:pPr>
        <w:ind w:left="851"/>
        <w:rPr>
          <w:b/>
          <w:sz w:val="24"/>
          <w:szCs w:val="24"/>
        </w:rPr>
      </w:pPr>
      <w:proofErr w:type="spellStart"/>
      <w:r>
        <w:rPr>
          <w:sz w:val="24"/>
          <w:szCs w:val="24"/>
        </w:rPr>
        <w:t>Farmakoterapeutisk</w:t>
      </w:r>
      <w:proofErr w:type="spellEnd"/>
      <w:r>
        <w:rPr>
          <w:sz w:val="24"/>
          <w:szCs w:val="24"/>
        </w:rPr>
        <w:t xml:space="preserve"> klassifikation: Andre </w:t>
      </w:r>
      <w:proofErr w:type="spellStart"/>
      <w:r>
        <w:rPr>
          <w:sz w:val="24"/>
          <w:szCs w:val="24"/>
        </w:rPr>
        <w:t>immunosuppresiva</w:t>
      </w:r>
      <w:proofErr w:type="spellEnd"/>
      <w:r>
        <w:rPr>
          <w:sz w:val="24"/>
          <w:szCs w:val="24"/>
        </w:rPr>
        <w:t>, ATC-kode: L 04 AX 03.</w:t>
      </w:r>
    </w:p>
    <w:p w14:paraId="6B04ABB5" w14:textId="77777777" w:rsidR="00DC65CB" w:rsidRPr="002F5E0F" w:rsidRDefault="00DC65CB" w:rsidP="002F5E0F">
      <w:pPr>
        <w:ind w:left="851"/>
        <w:rPr>
          <w:b/>
          <w:sz w:val="24"/>
          <w:szCs w:val="24"/>
        </w:rPr>
      </w:pPr>
    </w:p>
    <w:p w14:paraId="142C2D7F" w14:textId="77777777" w:rsidR="002F5E0F" w:rsidRPr="002F5E0F" w:rsidRDefault="002F5E0F" w:rsidP="002F5E0F">
      <w:pPr>
        <w:widowControl w:val="0"/>
        <w:autoSpaceDE w:val="0"/>
        <w:autoSpaceDN w:val="0"/>
        <w:adjustRightInd w:val="0"/>
        <w:ind w:left="851"/>
        <w:rPr>
          <w:iCs/>
          <w:sz w:val="24"/>
          <w:szCs w:val="24"/>
          <w:u w:val="single"/>
        </w:rPr>
      </w:pPr>
      <w:r w:rsidRPr="002F5E0F">
        <w:rPr>
          <w:sz w:val="24"/>
          <w:szCs w:val="24"/>
          <w:u w:val="single"/>
        </w:rPr>
        <w:t>Virkningsmekanisme</w:t>
      </w:r>
    </w:p>
    <w:p w14:paraId="7DDA1E20" w14:textId="77777777" w:rsidR="002F5E0F" w:rsidRPr="002F5E0F" w:rsidRDefault="002F5E0F" w:rsidP="002F5E0F">
      <w:pPr>
        <w:pStyle w:val="Default"/>
        <w:ind w:left="851"/>
      </w:pPr>
      <w:proofErr w:type="spellStart"/>
      <w:r w:rsidRPr="002F5E0F">
        <w:t>Methotrexat</w:t>
      </w:r>
      <w:proofErr w:type="spellEnd"/>
      <w:r w:rsidRPr="002F5E0F">
        <w:t xml:space="preserve"> er en </w:t>
      </w:r>
      <w:proofErr w:type="spellStart"/>
      <w:r w:rsidRPr="002F5E0F">
        <w:t>folsyreantagonist</w:t>
      </w:r>
      <w:proofErr w:type="spellEnd"/>
      <w:r w:rsidRPr="002F5E0F">
        <w:t xml:space="preserve">, der som en antimetabolit tilhører klassen af </w:t>
      </w:r>
      <w:proofErr w:type="spellStart"/>
      <w:r w:rsidRPr="002F5E0F">
        <w:t>cytotoksiske</w:t>
      </w:r>
      <w:proofErr w:type="spellEnd"/>
      <w:r w:rsidRPr="002F5E0F">
        <w:t xml:space="preserve"> lægemiddelstoffer. Det virker gennem </w:t>
      </w:r>
      <w:proofErr w:type="spellStart"/>
      <w:r w:rsidRPr="002F5E0F">
        <w:t>kompetitiv</w:t>
      </w:r>
      <w:proofErr w:type="spellEnd"/>
      <w:r w:rsidRPr="002F5E0F">
        <w:t xml:space="preserve"> hæmning af enzymet </w:t>
      </w:r>
      <w:proofErr w:type="spellStart"/>
      <w:r w:rsidRPr="002F5E0F">
        <w:t>dihydrofolatreduktase</w:t>
      </w:r>
      <w:proofErr w:type="spellEnd"/>
      <w:r w:rsidRPr="002F5E0F">
        <w:t xml:space="preserve"> og hæmmer derved DNA-syntesen. </w:t>
      </w:r>
    </w:p>
    <w:p w14:paraId="33C2AC49" w14:textId="77777777" w:rsidR="002F5E0F" w:rsidRPr="002F5E0F" w:rsidRDefault="002F5E0F" w:rsidP="002F5E0F">
      <w:pPr>
        <w:pStyle w:val="Default"/>
        <w:ind w:left="851"/>
      </w:pPr>
    </w:p>
    <w:p w14:paraId="4E582D55" w14:textId="77777777" w:rsidR="002F5E0F" w:rsidRPr="002F5E0F" w:rsidRDefault="002F5E0F" w:rsidP="002F5E0F">
      <w:pPr>
        <w:pStyle w:val="Default"/>
        <w:ind w:left="851"/>
      </w:pPr>
      <w:r w:rsidRPr="002F5E0F">
        <w:t xml:space="preserve">Det har endnu ikke været muligt at klarlægge, om </w:t>
      </w:r>
      <w:proofErr w:type="spellStart"/>
      <w:r w:rsidRPr="002F5E0F">
        <w:t>methotrexats</w:t>
      </w:r>
      <w:proofErr w:type="spellEnd"/>
      <w:r w:rsidRPr="002F5E0F">
        <w:t xml:space="preserve"> virkning ved psoriasis, psoriasisartritis og kronisk polyartritis skyldes enten en antiinflammatorisk eller en immunsuppressiv virkning, eller i hvor høj grad en </w:t>
      </w:r>
      <w:proofErr w:type="spellStart"/>
      <w:r w:rsidRPr="002F5E0F">
        <w:t>methotrexat</w:t>
      </w:r>
      <w:proofErr w:type="spellEnd"/>
      <w:r w:rsidRPr="002F5E0F">
        <w:t xml:space="preserve">-induceret stigning i den ekstracellulære </w:t>
      </w:r>
      <w:proofErr w:type="spellStart"/>
      <w:r w:rsidRPr="002F5E0F">
        <w:t>adenosinkoncentration</w:t>
      </w:r>
      <w:proofErr w:type="spellEnd"/>
      <w:r w:rsidRPr="002F5E0F">
        <w:t xml:space="preserve"> i inflammerede områder bidrager til denne virkning. </w:t>
      </w:r>
    </w:p>
    <w:p w14:paraId="27CFF44A" w14:textId="77777777" w:rsidR="002F5E0F" w:rsidRPr="002F5E0F" w:rsidRDefault="002F5E0F" w:rsidP="002F5E0F">
      <w:pPr>
        <w:pStyle w:val="Default"/>
        <w:ind w:left="851"/>
      </w:pPr>
    </w:p>
    <w:p w14:paraId="6FDB8FA0" w14:textId="77777777" w:rsidR="002F5E0F" w:rsidRPr="002F5E0F" w:rsidRDefault="002F5E0F" w:rsidP="002F5E0F">
      <w:pPr>
        <w:pStyle w:val="Default"/>
        <w:ind w:left="851"/>
        <w:rPr>
          <w:color w:val="auto"/>
        </w:rPr>
      </w:pPr>
      <w:r w:rsidRPr="002F5E0F">
        <w:rPr>
          <w:color w:val="auto"/>
        </w:rPr>
        <w:lastRenderedPageBreak/>
        <w:t xml:space="preserve">Stærkt </w:t>
      </w:r>
      <w:proofErr w:type="spellStart"/>
      <w:r w:rsidRPr="002F5E0F">
        <w:rPr>
          <w:color w:val="auto"/>
        </w:rPr>
        <w:t>prolifererende</w:t>
      </w:r>
      <w:proofErr w:type="spellEnd"/>
      <w:r w:rsidRPr="002F5E0F">
        <w:rPr>
          <w:color w:val="auto"/>
        </w:rPr>
        <w:t xml:space="preserve"> væv såsom maligne celler, knoglemarv, </w:t>
      </w:r>
      <w:proofErr w:type="spellStart"/>
      <w:r w:rsidRPr="002F5E0F">
        <w:rPr>
          <w:color w:val="auto"/>
        </w:rPr>
        <w:t>føtale</w:t>
      </w:r>
      <w:proofErr w:type="spellEnd"/>
      <w:r w:rsidRPr="002F5E0F">
        <w:rPr>
          <w:color w:val="auto"/>
        </w:rPr>
        <w:t xml:space="preserve"> celler, hudens epitel og slimhinder er generelt mere følsomme for denne virkning af </w:t>
      </w:r>
      <w:proofErr w:type="spellStart"/>
      <w:r w:rsidRPr="002F5E0F">
        <w:rPr>
          <w:color w:val="auto"/>
        </w:rPr>
        <w:t>methotrexat</w:t>
      </w:r>
      <w:proofErr w:type="spellEnd"/>
      <w:r w:rsidRPr="002F5E0F">
        <w:rPr>
          <w:color w:val="auto"/>
        </w:rPr>
        <w:t xml:space="preserve">. </w:t>
      </w:r>
      <w:proofErr w:type="spellStart"/>
      <w:r w:rsidRPr="002F5E0F">
        <w:rPr>
          <w:color w:val="auto"/>
        </w:rPr>
        <w:t>Celleproliferation</w:t>
      </w:r>
      <w:proofErr w:type="spellEnd"/>
      <w:r w:rsidRPr="002F5E0F">
        <w:rPr>
          <w:color w:val="auto"/>
        </w:rPr>
        <w:t xml:space="preserve"> er sædvanligvis mere udtalt i maligne tumorer end i normalt væv, hvorfor </w:t>
      </w:r>
      <w:proofErr w:type="spellStart"/>
      <w:r w:rsidRPr="002F5E0F">
        <w:rPr>
          <w:color w:val="auto"/>
        </w:rPr>
        <w:t>methotrexat</w:t>
      </w:r>
      <w:proofErr w:type="spellEnd"/>
      <w:r w:rsidRPr="002F5E0F">
        <w:rPr>
          <w:color w:val="auto"/>
        </w:rPr>
        <w:t xml:space="preserve"> kan have vedholdende virkning på malign vækst uden at medføre irreversible skader på normalt væv. </w:t>
      </w:r>
    </w:p>
    <w:p w14:paraId="5521D7AC" w14:textId="77777777" w:rsidR="002F5E0F" w:rsidRPr="002F5E0F" w:rsidRDefault="002F5E0F" w:rsidP="002F5E0F">
      <w:pPr>
        <w:widowControl w:val="0"/>
        <w:autoSpaceDE w:val="0"/>
        <w:autoSpaceDN w:val="0"/>
        <w:adjustRightInd w:val="0"/>
        <w:ind w:left="851"/>
        <w:rPr>
          <w:sz w:val="24"/>
          <w:szCs w:val="24"/>
        </w:rPr>
      </w:pPr>
    </w:p>
    <w:p w14:paraId="0E5BC6B7" w14:textId="77777777" w:rsidR="002F5E0F" w:rsidRPr="002F5E0F" w:rsidRDefault="002F5E0F" w:rsidP="002F5E0F">
      <w:pPr>
        <w:widowControl w:val="0"/>
        <w:autoSpaceDE w:val="0"/>
        <w:autoSpaceDN w:val="0"/>
        <w:adjustRightInd w:val="0"/>
        <w:ind w:left="851"/>
        <w:rPr>
          <w:sz w:val="24"/>
          <w:szCs w:val="24"/>
        </w:rPr>
      </w:pPr>
      <w:r w:rsidRPr="002F5E0F">
        <w:rPr>
          <w:sz w:val="24"/>
          <w:szCs w:val="24"/>
        </w:rPr>
        <w:t xml:space="preserve">Ved psoriasis er </w:t>
      </w:r>
      <w:proofErr w:type="spellStart"/>
      <w:r w:rsidRPr="002F5E0F">
        <w:rPr>
          <w:sz w:val="24"/>
          <w:szCs w:val="24"/>
        </w:rPr>
        <w:t>celleproliferation</w:t>
      </w:r>
      <w:proofErr w:type="spellEnd"/>
      <w:r w:rsidRPr="002F5E0F">
        <w:rPr>
          <w:sz w:val="24"/>
          <w:szCs w:val="24"/>
        </w:rPr>
        <w:t xml:space="preserve"> i epitel markant øget i forhold til normal hud. Denne forskel i hastigheden i </w:t>
      </w:r>
      <w:proofErr w:type="spellStart"/>
      <w:r w:rsidRPr="002F5E0F">
        <w:rPr>
          <w:sz w:val="24"/>
          <w:szCs w:val="24"/>
        </w:rPr>
        <w:t>celleproliferation</w:t>
      </w:r>
      <w:proofErr w:type="spellEnd"/>
      <w:r w:rsidRPr="002F5E0F">
        <w:rPr>
          <w:sz w:val="24"/>
          <w:szCs w:val="24"/>
        </w:rPr>
        <w:t xml:space="preserve"> er udgangspunktet for anvendelse af </w:t>
      </w:r>
      <w:proofErr w:type="spellStart"/>
      <w:r w:rsidRPr="002F5E0F">
        <w:rPr>
          <w:sz w:val="24"/>
          <w:szCs w:val="24"/>
        </w:rPr>
        <w:t>methotrexat</w:t>
      </w:r>
      <w:proofErr w:type="spellEnd"/>
      <w:r w:rsidRPr="002F5E0F">
        <w:rPr>
          <w:sz w:val="24"/>
          <w:szCs w:val="24"/>
        </w:rPr>
        <w:t xml:space="preserve"> ved særligt svær generaliseret behandlingsrefraktær psoriasis og psoriasisartritis. </w:t>
      </w:r>
    </w:p>
    <w:p w14:paraId="2862D853" w14:textId="77777777" w:rsidR="00A64E46" w:rsidRPr="00F74DF7" w:rsidRDefault="00A64E46" w:rsidP="00A64E46">
      <w:pPr>
        <w:tabs>
          <w:tab w:val="left" w:pos="851"/>
        </w:tabs>
        <w:ind w:left="851" w:hanging="851"/>
        <w:rPr>
          <w:sz w:val="24"/>
          <w:szCs w:val="24"/>
        </w:rPr>
      </w:pPr>
    </w:p>
    <w:p w14:paraId="7311A045" w14:textId="77777777" w:rsidR="00A64E46" w:rsidRPr="00F74DF7" w:rsidRDefault="00A64E46" w:rsidP="00A64E46">
      <w:pPr>
        <w:tabs>
          <w:tab w:val="left" w:pos="851"/>
        </w:tabs>
        <w:ind w:left="851" w:hanging="851"/>
        <w:rPr>
          <w:b/>
          <w:sz w:val="24"/>
          <w:szCs w:val="24"/>
        </w:rPr>
      </w:pPr>
      <w:r w:rsidRPr="00F74DF7">
        <w:rPr>
          <w:b/>
          <w:sz w:val="24"/>
          <w:szCs w:val="24"/>
        </w:rPr>
        <w:t>5.2</w:t>
      </w:r>
      <w:r w:rsidRPr="00F74DF7">
        <w:rPr>
          <w:b/>
          <w:sz w:val="24"/>
          <w:szCs w:val="24"/>
        </w:rPr>
        <w:tab/>
      </w:r>
      <w:proofErr w:type="spellStart"/>
      <w:r w:rsidRPr="00F74DF7">
        <w:rPr>
          <w:b/>
          <w:sz w:val="24"/>
          <w:szCs w:val="24"/>
        </w:rPr>
        <w:t>Farmakokinetiske</w:t>
      </w:r>
      <w:proofErr w:type="spellEnd"/>
      <w:r w:rsidRPr="00F74DF7">
        <w:rPr>
          <w:b/>
          <w:sz w:val="24"/>
          <w:szCs w:val="24"/>
        </w:rPr>
        <w:t xml:space="preserve"> egenskaber</w:t>
      </w:r>
    </w:p>
    <w:p w14:paraId="1A752C0E" w14:textId="77777777" w:rsidR="002F5E0F" w:rsidRPr="002F5E0F" w:rsidRDefault="002F5E0F" w:rsidP="002F5E0F">
      <w:pPr>
        <w:ind w:left="851"/>
        <w:rPr>
          <w:b/>
          <w:sz w:val="24"/>
          <w:szCs w:val="24"/>
        </w:rPr>
      </w:pPr>
    </w:p>
    <w:p w14:paraId="1C27C21F" w14:textId="77777777" w:rsidR="002F5E0F" w:rsidRPr="002F5E0F" w:rsidRDefault="002F5E0F" w:rsidP="002F5E0F">
      <w:pPr>
        <w:pStyle w:val="Default"/>
        <w:ind w:left="851"/>
        <w:rPr>
          <w:u w:val="single"/>
        </w:rPr>
      </w:pPr>
      <w:r w:rsidRPr="002F5E0F">
        <w:rPr>
          <w:u w:val="single"/>
        </w:rPr>
        <w:t xml:space="preserve">Absorption </w:t>
      </w:r>
    </w:p>
    <w:p w14:paraId="3C4ED91B" w14:textId="77777777" w:rsidR="002F5E0F" w:rsidRPr="002F5E0F" w:rsidRDefault="002F5E0F" w:rsidP="002F5E0F">
      <w:pPr>
        <w:pStyle w:val="Default"/>
        <w:ind w:left="851"/>
      </w:pPr>
      <w:r w:rsidRPr="002F5E0F">
        <w:t xml:space="preserve">Efter oral administration absorberes </w:t>
      </w:r>
      <w:proofErr w:type="spellStart"/>
      <w:r w:rsidRPr="002F5E0F">
        <w:t>methotrexat</w:t>
      </w:r>
      <w:proofErr w:type="spellEnd"/>
      <w:r w:rsidRPr="002F5E0F">
        <w:t xml:space="preserve"> fra mave-tarm-kanalen. Ved administration af lave doser (7,5 mg/m2 til 80 mg/m2 legemsoverflade) er </w:t>
      </w:r>
      <w:proofErr w:type="spellStart"/>
      <w:r w:rsidRPr="002F5E0F">
        <w:t>methotrexats</w:t>
      </w:r>
      <w:proofErr w:type="spellEnd"/>
      <w:r w:rsidRPr="002F5E0F">
        <w:t xml:space="preserve"> biotilgængelighed i gennemsnit ca. 70 %, dog med betydelige inter- og </w:t>
      </w:r>
      <w:proofErr w:type="spellStart"/>
      <w:r w:rsidRPr="002F5E0F">
        <w:t>intra</w:t>
      </w:r>
      <w:proofErr w:type="spellEnd"/>
      <w:r w:rsidRPr="002F5E0F">
        <w:t xml:space="preserve">-individuelle forskelle (25-100 %). Maksimal serumkoncentration nås inden for 1-2 timer. </w:t>
      </w:r>
    </w:p>
    <w:p w14:paraId="37EBC357" w14:textId="77777777" w:rsidR="002F5E0F" w:rsidRPr="002F5E0F" w:rsidRDefault="002F5E0F" w:rsidP="002F5E0F">
      <w:pPr>
        <w:pStyle w:val="Default"/>
        <w:ind w:left="851"/>
      </w:pPr>
    </w:p>
    <w:p w14:paraId="6AB1B4F9" w14:textId="77777777" w:rsidR="002F5E0F" w:rsidRPr="002F5E0F" w:rsidRDefault="002F5E0F" w:rsidP="002F5E0F">
      <w:pPr>
        <w:pStyle w:val="Default"/>
        <w:ind w:left="851"/>
      </w:pPr>
      <w:r w:rsidRPr="002F5E0F">
        <w:t xml:space="preserve">Data fra et randomiseret forsøg hos patienter med juvenil </w:t>
      </w:r>
      <w:proofErr w:type="spellStart"/>
      <w:r w:rsidRPr="002F5E0F">
        <w:t>reumatoid</w:t>
      </w:r>
      <w:proofErr w:type="spellEnd"/>
      <w:r w:rsidRPr="002F5E0F">
        <w:t xml:space="preserve"> artritis (i alderen 2,8 til 15,1 år) indikerede, at </w:t>
      </w:r>
      <w:proofErr w:type="spellStart"/>
      <w:r w:rsidRPr="002F5E0F">
        <w:t>methotrexats</w:t>
      </w:r>
      <w:proofErr w:type="spellEnd"/>
      <w:r w:rsidRPr="002F5E0F">
        <w:t xml:space="preserve"> orale biotilgængelighed er højere ved fastende tilstand. Det dosisnormaliserede areal under </w:t>
      </w:r>
      <w:proofErr w:type="spellStart"/>
      <w:r w:rsidRPr="002F5E0F">
        <w:t>methotrexats</w:t>
      </w:r>
      <w:proofErr w:type="spellEnd"/>
      <w:r w:rsidRPr="002F5E0F">
        <w:t xml:space="preserve"> plasmakoncentration-tid-kurve (AUC) for børn med JIA steg med alderen og var mindre end hos voksne. Det dosisnormaliserede AUC af metabolitten 7-hydroxymethotrexat var ikke aldersafhængigt. </w:t>
      </w:r>
    </w:p>
    <w:p w14:paraId="3E78A287" w14:textId="77777777" w:rsidR="002F5E0F" w:rsidRPr="002F5E0F" w:rsidRDefault="002F5E0F" w:rsidP="002F5E0F">
      <w:pPr>
        <w:pStyle w:val="Default"/>
        <w:ind w:left="851"/>
      </w:pPr>
    </w:p>
    <w:p w14:paraId="34FFE85D" w14:textId="77777777" w:rsidR="002F5E0F" w:rsidRPr="002F5E0F" w:rsidRDefault="002F5E0F" w:rsidP="002F5E0F">
      <w:pPr>
        <w:pStyle w:val="Default"/>
        <w:ind w:left="851"/>
        <w:rPr>
          <w:u w:val="single"/>
        </w:rPr>
      </w:pPr>
      <w:r w:rsidRPr="002F5E0F">
        <w:rPr>
          <w:u w:val="single"/>
        </w:rPr>
        <w:t xml:space="preserve">Fordeling </w:t>
      </w:r>
    </w:p>
    <w:p w14:paraId="58821106" w14:textId="77777777" w:rsidR="002F5E0F" w:rsidRPr="002F5E0F" w:rsidRDefault="002F5E0F" w:rsidP="002F5E0F">
      <w:pPr>
        <w:pStyle w:val="Default"/>
        <w:ind w:left="851"/>
      </w:pPr>
      <w:proofErr w:type="spellStart"/>
      <w:r w:rsidRPr="002F5E0F">
        <w:t>Methotrexat</w:t>
      </w:r>
      <w:proofErr w:type="spellEnd"/>
      <w:r w:rsidRPr="002F5E0F">
        <w:t xml:space="preserve"> er ca. 50 % bundet til serumproteiner. Efter fordeling findes det primært i lever, nyrer og milt som polyglutamater, der kan tilbageholdes i uger eller måneder. </w:t>
      </w:r>
    </w:p>
    <w:p w14:paraId="10D3F9D6" w14:textId="77777777" w:rsidR="002F5E0F" w:rsidRPr="002F5E0F" w:rsidRDefault="002F5E0F" w:rsidP="002F5E0F">
      <w:pPr>
        <w:pStyle w:val="Default"/>
        <w:ind w:left="851"/>
      </w:pPr>
      <w:r w:rsidRPr="002F5E0F">
        <w:t>Den gennemsnitlige terminale halveringstid er 6-7 timer, dog med betydelig variation (3-17 timer). Halveringstiden kan være op til firedoblet hos patienter med et tredje fordelingsrum (</w:t>
      </w:r>
      <w:proofErr w:type="spellStart"/>
      <w:r w:rsidRPr="002F5E0F">
        <w:t>pleura-effusion</w:t>
      </w:r>
      <w:proofErr w:type="spellEnd"/>
      <w:r w:rsidRPr="002F5E0F">
        <w:t xml:space="preserve">, </w:t>
      </w:r>
      <w:proofErr w:type="spellStart"/>
      <w:r w:rsidRPr="002F5E0F">
        <w:t>ascites</w:t>
      </w:r>
      <w:proofErr w:type="spellEnd"/>
      <w:r w:rsidRPr="002F5E0F">
        <w:t xml:space="preserve">). </w:t>
      </w:r>
    </w:p>
    <w:p w14:paraId="2F243460" w14:textId="77777777" w:rsidR="002F5E0F" w:rsidRPr="002F5E0F" w:rsidRDefault="002F5E0F" w:rsidP="002F5E0F">
      <w:pPr>
        <w:pStyle w:val="Default"/>
        <w:ind w:left="851"/>
      </w:pPr>
    </w:p>
    <w:p w14:paraId="1AFA121B" w14:textId="77777777" w:rsidR="002F5E0F" w:rsidRPr="002F5E0F" w:rsidRDefault="002F5E0F" w:rsidP="002F5E0F">
      <w:pPr>
        <w:pStyle w:val="Default"/>
        <w:ind w:left="851"/>
        <w:rPr>
          <w:u w:val="single"/>
        </w:rPr>
      </w:pPr>
      <w:r w:rsidRPr="002F5E0F">
        <w:rPr>
          <w:u w:val="single"/>
        </w:rPr>
        <w:t xml:space="preserve">Biotransformation </w:t>
      </w:r>
    </w:p>
    <w:p w14:paraId="06955760" w14:textId="77777777" w:rsidR="002F5E0F" w:rsidRPr="002F5E0F" w:rsidRDefault="002F5E0F" w:rsidP="002F5E0F">
      <w:pPr>
        <w:pStyle w:val="Default"/>
        <w:ind w:left="851"/>
      </w:pPr>
      <w:r w:rsidRPr="002F5E0F">
        <w:t xml:space="preserve">Ca. 10 % af den administrerede </w:t>
      </w:r>
      <w:proofErr w:type="spellStart"/>
      <w:r w:rsidRPr="002F5E0F">
        <w:t>methotrexatdosis</w:t>
      </w:r>
      <w:proofErr w:type="spellEnd"/>
      <w:r w:rsidRPr="002F5E0F">
        <w:t xml:space="preserve"> </w:t>
      </w:r>
      <w:proofErr w:type="spellStart"/>
      <w:r w:rsidRPr="002F5E0F">
        <w:t>metaboliseres</w:t>
      </w:r>
      <w:proofErr w:type="spellEnd"/>
      <w:r w:rsidRPr="002F5E0F">
        <w:t xml:space="preserve"> i leveren. Hovedmetabolitten er 7-hydroxymethotrexat. </w:t>
      </w:r>
    </w:p>
    <w:p w14:paraId="2A45AEE1" w14:textId="77777777" w:rsidR="002F5E0F" w:rsidRPr="002F5E0F" w:rsidRDefault="002F5E0F" w:rsidP="002F5E0F">
      <w:pPr>
        <w:pStyle w:val="Default"/>
        <w:ind w:left="851"/>
      </w:pPr>
    </w:p>
    <w:p w14:paraId="4E52BFA2" w14:textId="77777777" w:rsidR="002F5E0F" w:rsidRPr="002F5E0F" w:rsidRDefault="002F5E0F" w:rsidP="002F5E0F">
      <w:pPr>
        <w:pStyle w:val="Default"/>
        <w:ind w:left="851"/>
        <w:rPr>
          <w:u w:val="single"/>
        </w:rPr>
      </w:pPr>
      <w:r w:rsidRPr="002F5E0F">
        <w:rPr>
          <w:u w:val="single"/>
        </w:rPr>
        <w:t xml:space="preserve">Elimination </w:t>
      </w:r>
    </w:p>
    <w:p w14:paraId="578E9825" w14:textId="77777777" w:rsidR="002F5E0F" w:rsidRPr="002F5E0F" w:rsidRDefault="002F5E0F" w:rsidP="002F5E0F">
      <w:pPr>
        <w:pStyle w:val="Default"/>
        <w:ind w:left="851"/>
      </w:pPr>
      <w:r w:rsidRPr="002F5E0F">
        <w:t xml:space="preserve">Eliminationen sker overvejende </w:t>
      </w:r>
      <w:proofErr w:type="spellStart"/>
      <w:r w:rsidRPr="002F5E0F">
        <w:t>uomdannet</w:t>
      </w:r>
      <w:proofErr w:type="spellEnd"/>
      <w:r w:rsidRPr="002F5E0F">
        <w:t xml:space="preserve"> gennem nyrerne ved </w:t>
      </w:r>
      <w:proofErr w:type="spellStart"/>
      <w:r w:rsidRPr="002F5E0F">
        <w:t>glomerulær</w:t>
      </w:r>
      <w:proofErr w:type="spellEnd"/>
      <w:r w:rsidRPr="002F5E0F">
        <w:t xml:space="preserve"> filtration og aktiv sekretion i de proksimale </w:t>
      </w:r>
      <w:proofErr w:type="spellStart"/>
      <w:r w:rsidRPr="002F5E0F">
        <w:t>tubuli</w:t>
      </w:r>
      <w:proofErr w:type="spellEnd"/>
      <w:r w:rsidRPr="002F5E0F">
        <w:t xml:space="preserve">. </w:t>
      </w:r>
    </w:p>
    <w:p w14:paraId="146FABAB" w14:textId="77777777" w:rsidR="002F5E0F" w:rsidRPr="002F5E0F" w:rsidRDefault="002F5E0F" w:rsidP="002F5E0F">
      <w:pPr>
        <w:pStyle w:val="Default"/>
        <w:ind w:left="851"/>
      </w:pPr>
      <w:r w:rsidRPr="002F5E0F">
        <w:t xml:space="preserve">Ca. 5-20 % af </w:t>
      </w:r>
      <w:proofErr w:type="spellStart"/>
      <w:r w:rsidRPr="002F5E0F">
        <w:t>methotrexat</w:t>
      </w:r>
      <w:proofErr w:type="spellEnd"/>
      <w:r w:rsidRPr="002F5E0F">
        <w:t xml:space="preserve"> og 1-5 % af 7-hydroxymethotrexat udskilles i galden. Der er udtalt </w:t>
      </w:r>
      <w:proofErr w:type="spellStart"/>
      <w:r w:rsidRPr="002F5E0F">
        <w:t>enterohepatisk</w:t>
      </w:r>
      <w:proofErr w:type="spellEnd"/>
      <w:r w:rsidRPr="002F5E0F">
        <w:t xml:space="preserve"> cirkulation. </w:t>
      </w:r>
    </w:p>
    <w:p w14:paraId="1B198C00" w14:textId="77777777" w:rsidR="002F5E0F" w:rsidRPr="002F5E0F" w:rsidRDefault="002F5E0F" w:rsidP="002F5E0F">
      <w:pPr>
        <w:pStyle w:val="Default"/>
        <w:ind w:left="851"/>
      </w:pPr>
    </w:p>
    <w:p w14:paraId="3E1C9D6A" w14:textId="77777777" w:rsidR="002F5E0F" w:rsidRPr="002F5E0F" w:rsidRDefault="002F5E0F" w:rsidP="002F5E0F">
      <w:pPr>
        <w:pStyle w:val="Default"/>
        <w:ind w:left="851"/>
      </w:pPr>
      <w:r w:rsidRPr="002F5E0F">
        <w:t xml:space="preserve">Hos patienter med nedsat nyrefunktion er eliminationen markant forlænget. På nuværende tidspunkt vides det ikke, om eliminationen er påvirket hos patienter med nedsat leverfunktion. </w:t>
      </w:r>
    </w:p>
    <w:p w14:paraId="6ACFB4EF" w14:textId="77777777" w:rsidR="002F5E0F" w:rsidRPr="002F5E0F" w:rsidRDefault="002F5E0F" w:rsidP="002F5E0F">
      <w:pPr>
        <w:widowControl w:val="0"/>
        <w:autoSpaceDE w:val="0"/>
        <w:autoSpaceDN w:val="0"/>
        <w:adjustRightInd w:val="0"/>
        <w:ind w:left="851"/>
        <w:rPr>
          <w:sz w:val="24"/>
          <w:szCs w:val="24"/>
        </w:rPr>
      </w:pPr>
    </w:p>
    <w:p w14:paraId="3D5D3554" w14:textId="77777777" w:rsidR="002F5E0F" w:rsidRPr="002F5E0F" w:rsidRDefault="002F5E0F" w:rsidP="002F5E0F">
      <w:pPr>
        <w:widowControl w:val="0"/>
        <w:autoSpaceDE w:val="0"/>
        <w:autoSpaceDN w:val="0"/>
        <w:adjustRightInd w:val="0"/>
        <w:ind w:left="851"/>
        <w:rPr>
          <w:iCs/>
          <w:sz w:val="24"/>
          <w:szCs w:val="24"/>
        </w:rPr>
      </w:pPr>
      <w:proofErr w:type="spellStart"/>
      <w:r w:rsidRPr="002F5E0F">
        <w:rPr>
          <w:sz w:val="24"/>
          <w:szCs w:val="24"/>
        </w:rPr>
        <w:t>Methotrexat</w:t>
      </w:r>
      <w:proofErr w:type="spellEnd"/>
      <w:r w:rsidRPr="002F5E0F">
        <w:rPr>
          <w:sz w:val="24"/>
          <w:szCs w:val="24"/>
        </w:rPr>
        <w:t xml:space="preserve"> krydser placentabarrieren hos rotter og aber. </w:t>
      </w:r>
    </w:p>
    <w:p w14:paraId="1EE64D05" w14:textId="77777777" w:rsidR="00A64E46" w:rsidRPr="00F74DF7" w:rsidRDefault="00A64E46" w:rsidP="00A64E46">
      <w:pPr>
        <w:tabs>
          <w:tab w:val="left" w:pos="851"/>
        </w:tabs>
        <w:ind w:left="851" w:hanging="851"/>
        <w:rPr>
          <w:sz w:val="24"/>
          <w:szCs w:val="24"/>
        </w:rPr>
      </w:pPr>
    </w:p>
    <w:p w14:paraId="04257955" w14:textId="03C91FD0" w:rsidR="00A64E46" w:rsidRPr="00F74DF7" w:rsidRDefault="00A64E46" w:rsidP="002E620B">
      <w:pPr>
        <w:keepNext/>
        <w:tabs>
          <w:tab w:val="left" w:pos="851"/>
        </w:tabs>
        <w:ind w:left="851" w:hanging="851"/>
        <w:rPr>
          <w:b/>
          <w:sz w:val="24"/>
          <w:szCs w:val="24"/>
        </w:rPr>
      </w:pPr>
      <w:r w:rsidRPr="00F74DF7">
        <w:rPr>
          <w:b/>
          <w:sz w:val="24"/>
          <w:szCs w:val="24"/>
        </w:rPr>
        <w:t>5.3</w:t>
      </w:r>
      <w:r w:rsidRPr="00F74DF7">
        <w:rPr>
          <w:b/>
          <w:sz w:val="24"/>
          <w:szCs w:val="24"/>
        </w:rPr>
        <w:tab/>
      </w:r>
      <w:r w:rsidR="00DC65CB">
        <w:rPr>
          <w:b/>
          <w:sz w:val="24"/>
          <w:szCs w:val="24"/>
        </w:rPr>
        <w:t>Non-</w:t>
      </w:r>
      <w:r w:rsidRPr="00F74DF7">
        <w:rPr>
          <w:b/>
          <w:sz w:val="24"/>
          <w:szCs w:val="24"/>
        </w:rPr>
        <w:t>kliniske sikkerhedsdata</w:t>
      </w:r>
    </w:p>
    <w:p w14:paraId="71860C22" w14:textId="77777777" w:rsidR="00330200" w:rsidRPr="00330200" w:rsidRDefault="00330200" w:rsidP="00330200">
      <w:pPr>
        <w:ind w:left="851"/>
        <w:rPr>
          <w:b/>
          <w:sz w:val="24"/>
          <w:szCs w:val="24"/>
        </w:rPr>
      </w:pPr>
    </w:p>
    <w:p w14:paraId="3E8C6425" w14:textId="77777777" w:rsidR="00330200" w:rsidRPr="00330200" w:rsidRDefault="00330200" w:rsidP="00330200">
      <w:pPr>
        <w:pStyle w:val="Default"/>
        <w:ind w:left="851"/>
      </w:pPr>
      <w:r w:rsidRPr="00330200">
        <w:t xml:space="preserve">Kronisk toksicitet </w:t>
      </w:r>
    </w:p>
    <w:p w14:paraId="2AEAB995" w14:textId="77777777" w:rsidR="00330200" w:rsidRPr="00330200" w:rsidRDefault="00330200" w:rsidP="00330200">
      <w:pPr>
        <w:pStyle w:val="Default"/>
        <w:ind w:left="851"/>
      </w:pPr>
      <w:r w:rsidRPr="00330200">
        <w:lastRenderedPageBreak/>
        <w:t xml:space="preserve">I studier hos i mus, rotter og hunde for kronisk toksicitet sås toksiske virkninger i form af </w:t>
      </w:r>
      <w:proofErr w:type="spellStart"/>
      <w:r w:rsidRPr="00330200">
        <w:t>gastrointestinale</w:t>
      </w:r>
      <w:proofErr w:type="spellEnd"/>
      <w:r w:rsidRPr="00330200">
        <w:t xml:space="preserve"> læsioner, </w:t>
      </w:r>
      <w:proofErr w:type="spellStart"/>
      <w:r w:rsidRPr="00330200">
        <w:t>myelosuppression</w:t>
      </w:r>
      <w:proofErr w:type="spellEnd"/>
      <w:r w:rsidRPr="00330200">
        <w:t xml:space="preserve"> og </w:t>
      </w:r>
      <w:proofErr w:type="spellStart"/>
      <w:r w:rsidRPr="00330200">
        <w:t>hepatotoksicitet</w:t>
      </w:r>
      <w:proofErr w:type="spellEnd"/>
      <w:r w:rsidRPr="00330200">
        <w:t xml:space="preserve">. </w:t>
      </w:r>
    </w:p>
    <w:p w14:paraId="09DE5050" w14:textId="77777777" w:rsidR="00330200" w:rsidRPr="00330200" w:rsidRDefault="00330200" w:rsidP="00330200">
      <w:pPr>
        <w:pStyle w:val="Default"/>
        <w:ind w:left="851"/>
      </w:pPr>
    </w:p>
    <w:p w14:paraId="30BBD5F8" w14:textId="77777777" w:rsidR="00330200" w:rsidRPr="00330200" w:rsidRDefault="00330200" w:rsidP="00330200">
      <w:pPr>
        <w:pStyle w:val="Default"/>
        <w:ind w:left="851"/>
      </w:pPr>
      <w:r w:rsidRPr="00330200">
        <w:t xml:space="preserve">Mutagent og </w:t>
      </w:r>
      <w:proofErr w:type="spellStart"/>
      <w:r w:rsidRPr="00330200">
        <w:t>karcinogent</w:t>
      </w:r>
      <w:proofErr w:type="spellEnd"/>
      <w:r w:rsidRPr="00330200">
        <w:t xml:space="preserve"> potentiale </w:t>
      </w:r>
    </w:p>
    <w:p w14:paraId="310C5AD2" w14:textId="77777777" w:rsidR="00330200" w:rsidRPr="00330200" w:rsidRDefault="00330200" w:rsidP="00330200">
      <w:pPr>
        <w:pStyle w:val="Default"/>
        <w:ind w:left="851"/>
        <w:rPr>
          <w:color w:val="auto"/>
        </w:rPr>
      </w:pPr>
      <w:r w:rsidRPr="00330200">
        <w:t xml:space="preserve">Langtidsforsøg hos rotter, mus og hamstere viste ikke tegn på, at </w:t>
      </w:r>
      <w:proofErr w:type="spellStart"/>
      <w:r w:rsidRPr="00330200">
        <w:t>methotrexat</w:t>
      </w:r>
      <w:proofErr w:type="spellEnd"/>
      <w:r w:rsidRPr="00330200">
        <w:t xml:space="preserve"> har </w:t>
      </w:r>
      <w:proofErr w:type="spellStart"/>
      <w:r w:rsidRPr="00330200">
        <w:t>tumorigent</w:t>
      </w:r>
      <w:proofErr w:type="spellEnd"/>
      <w:r w:rsidRPr="00330200">
        <w:t xml:space="preserve"> potentiale. </w:t>
      </w:r>
      <w:proofErr w:type="spellStart"/>
      <w:r w:rsidRPr="00330200">
        <w:t>Methotrexat</w:t>
      </w:r>
      <w:proofErr w:type="spellEnd"/>
      <w:r w:rsidRPr="00330200">
        <w:t xml:space="preserve"> inducerer gen- og kromosommutationer </w:t>
      </w:r>
      <w:r w:rsidRPr="00330200">
        <w:rPr>
          <w:i/>
          <w:iCs/>
        </w:rPr>
        <w:t xml:space="preserve">in </w:t>
      </w:r>
      <w:proofErr w:type="spellStart"/>
      <w:r w:rsidRPr="00330200">
        <w:rPr>
          <w:i/>
          <w:iCs/>
        </w:rPr>
        <w:t>vitro</w:t>
      </w:r>
      <w:proofErr w:type="spellEnd"/>
      <w:r w:rsidRPr="00330200">
        <w:rPr>
          <w:i/>
          <w:iCs/>
        </w:rPr>
        <w:t xml:space="preserve"> </w:t>
      </w:r>
      <w:r w:rsidRPr="00330200">
        <w:t xml:space="preserve">og </w:t>
      </w:r>
      <w:r w:rsidRPr="00330200">
        <w:rPr>
          <w:i/>
          <w:iCs/>
        </w:rPr>
        <w:t xml:space="preserve">in </w:t>
      </w:r>
      <w:proofErr w:type="spellStart"/>
      <w:r w:rsidRPr="00330200">
        <w:rPr>
          <w:i/>
          <w:iCs/>
        </w:rPr>
        <w:t>vivo</w:t>
      </w:r>
      <w:proofErr w:type="spellEnd"/>
      <w:r w:rsidRPr="00330200">
        <w:t xml:space="preserve">. Der er mistanke </w:t>
      </w:r>
      <w:r w:rsidRPr="00330200">
        <w:rPr>
          <w:color w:val="auto"/>
        </w:rPr>
        <w:t xml:space="preserve">om en mutagen virkning hos mennesker. </w:t>
      </w:r>
    </w:p>
    <w:p w14:paraId="4204E7F5" w14:textId="77777777" w:rsidR="00330200" w:rsidRPr="00330200" w:rsidRDefault="00330200" w:rsidP="00330200">
      <w:pPr>
        <w:pStyle w:val="Default"/>
        <w:ind w:left="851"/>
        <w:rPr>
          <w:color w:val="auto"/>
        </w:rPr>
      </w:pPr>
    </w:p>
    <w:p w14:paraId="51436849" w14:textId="77777777" w:rsidR="00330200" w:rsidRPr="00330200" w:rsidRDefault="00330200" w:rsidP="00330200">
      <w:pPr>
        <w:pStyle w:val="Default"/>
        <w:ind w:left="851"/>
        <w:rPr>
          <w:color w:val="auto"/>
        </w:rPr>
      </w:pPr>
      <w:r w:rsidRPr="00330200">
        <w:rPr>
          <w:color w:val="auto"/>
        </w:rPr>
        <w:t xml:space="preserve">Reproduktionstoksikologi </w:t>
      </w:r>
    </w:p>
    <w:p w14:paraId="6EFAEBBC" w14:textId="2204A0E6" w:rsidR="00A64E46" w:rsidRPr="00330200" w:rsidRDefault="00330200" w:rsidP="00330200">
      <w:pPr>
        <w:tabs>
          <w:tab w:val="left" w:pos="851"/>
        </w:tabs>
        <w:ind w:left="851"/>
        <w:rPr>
          <w:sz w:val="24"/>
          <w:szCs w:val="24"/>
        </w:rPr>
      </w:pPr>
      <w:r w:rsidRPr="00330200">
        <w:rPr>
          <w:sz w:val="24"/>
          <w:szCs w:val="24"/>
        </w:rPr>
        <w:t xml:space="preserve">Der er set </w:t>
      </w:r>
      <w:proofErr w:type="spellStart"/>
      <w:r w:rsidRPr="00330200">
        <w:rPr>
          <w:sz w:val="24"/>
          <w:szCs w:val="24"/>
        </w:rPr>
        <w:t>teratogene</w:t>
      </w:r>
      <w:proofErr w:type="spellEnd"/>
      <w:r w:rsidRPr="00330200">
        <w:rPr>
          <w:sz w:val="24"/>
          <w:szCs w:val="24"/>
        </w:rPr>
        <w:t xml:space="preserve"> virkninger hos fire arter (rotter, mus, kaniner og katte). Hos rhesusaber forekom ikke misdannelser, som er sammenlignelige med dem, der ses hos mennesker.</w:t>
      </w:r>
    </w:p>
    <w:p w14:paraId="2B327459" w14:textId="50AD38A2" w:rsidR="00A64E46" w:rsidRDefault="00A64E46" w:rsidP="00A64E46">
      <w:pPr>
        <w:tabs>
          <w:tab w:val="left" w:pos="851"/>
        </w:tabs>
        <w:ind w:left="851" w:hanging="851"/>
        <w:rPr>
          <w:sz w:val="24"/>
          <w:szCs w:val="24"/>
        </w:rPr>
      </w:pPr>
    </w:p>
    <w:p w14:paraId="2062832F" w14:textId="77777777" w:rsidR="00330200" w:rsidRPr="00F74DF7" w:rsidRDefault="00330200" w:rsidP="00A64E46">
      <w:pPr>
        <w:tabs>
          <w:tab w:val="left" w:pos="851"/>
        </w:tabs>
        <w:ind w:left="851" w:hanging="851"/>
        <w:rPr>
          <w:sz w:val="24"/>
          <w:szCs w:val="24"/>
        </w:rPr>
      </w:pPr>
    </w:p>
    <w:p w14:paraId="49A64748" w14:textId="77777777" w:rsidR="00A64E46" w:rsidRPr="00F74DF7" w:rsidRDefault="00A64E46" w:rsidP="00A64E46">
      <w:pPr>
        <w:tabs>
          <w:tab w:val="left" w:pos="851"/>
        </w:tabs>
        <w:ind w:left="851" w:hanging="851"/>
        <w:rPr>
          <w:b/>
          <w:sz w:val="24"/>
          <w:szCs w:val="24"/>
        </w:rPr>
      </w:pPr>
      <w:r w:rsidRPr="00F74DF7">
        <w:rPr>
          <w:b/>
          <w:sz w:val="24"/>
          <w:szCs w:val="24"/>
        </w:rPr>
        <w:t>6.</w:t>
      </w:r>
      <w:r w:rsidRPr="00F74DF7">
        <w:rPr>
          <w:b/>
          <w:sz w:val="24"/>
          <w:szCs w:val="24"/>
        </w:rPr>
        <w:tab/>
        <w:t>FARMACEUTISKE OPLYSNINGER</w:t>
      </w:r>
    </w:p>
    <w:p w14:paraId="0B0983E7" w14:textId="77777777" w:rsidR="00A64E46" w:rsidRPr="00F74DF7" w:rsidRDefault="00A64E46" w:rsidP="00A64E46">
      <w:pPr>
        <w:tabs>
          <w:tab w:val="left" w:pos="851"/>
        </w:tabs>
        <w:ind w:left="851" w:hanging="851"/>
        <w:rPr>
          <w:sz w:val="24"/>
          <w:szCs w:val="24"/>
        </w:rPr>
      </w:pPr>
    </w:p>
    <w:p w14:paraId="0715FA3B" w14:textId="77777777" w:rsidR="00A64E46" w:rsidRPr="00F74DF7" w:rsidRDefault="00A64E46" w:rsidP="00A64E46">
      <w:pPr>
        <w:tabs>
          <w:tab w:val="left" w:pos="851"/>
        </w:tabs>
        <w:ind w:left="851" w:hanging="851"/>
        <w:rPr>
          <w:b/>
          <w:sz w:val="24"/>
          <w:szCs w:val="24"/>
        </w:rPr>
      </w:pPr>
      <w:r w:rsidRPr="00F74DF7">
        <w:rPr>
          <w:b/>
          <w:sz w:val="24"/>
          <w:szCs w:val="24"/>
        </w:rPr>
        <w:t>6.1</w:t>
      </w:r>
      <w:r w:rsidRPr="00F74DF7">
        <w:rPr>
          <w:b/>
          <w:sz w:val="24"/>
          <w:szCs w:val="24"/>
        </w:rPr>
        <w:tab/>
        <w:t>Hjælpestoffer</w:t>
      </w:r>
    </w:p>
    <w:p w14:paraId="712D5D95" w14:textId="77777777" w:rsidR="00A64E46" w:rsidRPr="00F74DF7" w:rsidRDefault="00A64E46" w:rsidP="00A64E46">
      <w:pPr>
        <w:widowControl w:val="0"/>
        <w:autoSpaceDE w:val="0"/>
        <w:autoSpaceDN w:val="0"/>
        <w:adjustRightInd w:val="0"/>
        <w:ind w:left="851" w:right="-20"/>
        <w:rPr>
          <w:sz w:val="24"/>
          <w:szCs w:val="24"/>
        </w:rPr>
      </w:pPr>
      <w:r w:rsidRPr="00F74DF7">
        <w:rPr>
          <w:sz w:val="24"/>
          <w:szCs w:val="24"/>
        </w:rPr>
        <w:t xml:space="preserve">Vandfrit </w:t>
      </w:r>
      <w:proofErr w:type="spellStart"/>
      <w:r w:rsidRPr="00F74DF7">
        <w:rPr>
          <w:sz w:val="24"/>
          <w:szCs w:val="24"/>
        </w:rPr>
        <w:t>calciumhydrogenphosphat</w:t>
      </w:r>
      <w:proofErr w:type="spellEnd"/>
    </w:p>
    <w:p w14:paraId="746C0726" w14:textId="77777777" w:rsidR="00A64E46" w:rsidRPr="00F74DF7" w:rsidRDefault="00A64E46" w:rsidP="00A64E46">
      <w:pPr>
        <w:widowControl w:val="0"/>
        <w:autoSpaceDE w:val="0"/>
        <w:autoSpaceDN w:val="0"/>
        <w:adjustRightInd w:val="0"/>
        <w:ind w:left="851" w:right="-20"/>
        <w:rPr>
          <w:sz w:val="24"/>
          <w:szCs w:val="24"/>
        </w:rPr>
      </w:pPr>
      <w:proofErr w:type="spellStart"/>
      <w:r w:rsidRPr="00F74DF7">
        <w:rPr>
          <w:sz w:val="24"/>
          <w:szCs w:val="24"/>
        </w:rPr>
        <w:t>Lactosemonohydrat</w:t>
      </w:r>
      <w:proofErr w:type="spellEnd"/>
    </w:p>
    <w:p w14:paraId="6F5B3DE7" w14:textId="77777777" w:rsidR="00A64E46" w:rsidRPr="00F74DF7" w:rsidRDefault="00A64E46" w:rsidP="00A64E46">
      <w:pPr>
        <w:widowControl w:val="0"/>
        <w:autoSpaceDE w:val="0"/>
        <w:autoSpaceDN w:val="0"/>
        <w:adjustRightInd w:val="0"/>
        <w:ind w:left="851" w:right="-20"/>
        <w:rPr>
          <w:color w:val="000000"/>
          <w:sz w:val="24"/>
          <w:szCs w:val="24"/>
        </w:rPr>
      </w:pPr>
      <w:proofErr w:type="spellStart"/>
      <w:r w:rsidRPr="00F74DF7">
        <w:rPr>
          <w:sz w:val="24"/>
          <w:szCs w:val="24"/>
        </w:rPr>
        <w:t>Natriumstivelsesglycolat</w:t>
      </w:r>
      <w:proofErr w:type="spellEnd"/>
      <w:r w:rsidRPr="00F74DF7">
        <w:rPr>
          <w:sz w:val="24"/>
          <w:szCs w:val="24"/>
        </w:rPr>
        <w:t xml:space="preserve"> (type A)</w:t>
      </w:r>
    </w:p>
    <w:p w14:paraId="1A62C5ED" w14:textId="77777777" w:rsidR="00A64E46" w:rsidRPr="00F74DF7" w:rsidRDefault="00A64E46" w:rsidP="00A64E46">
      <w:pPr>
        <w:widowControl w:val="0"/>
        <w:autoSpaceDE w:val="0"/>
        <w:autoSpaceDN w:val="0"/>
        <w:adjustRightInd w:val="0"/>
        <w:ind w:left="851" w:right="-20"/>
        <w:rPr>
          <w:color w:val="000000"/>
          <w:sz w:val="24"/>
          <w:szCs w:val="24"/>
        </w:rPr>
      </w:pPr>
      <w:r w:rsidRPr="00F74DF7">
        <w:rPr>
          <w:color w:val="000000"/>
          <w:spacing w:val="-4"/>
          <w:sz w:val="24"/>
          <w:szCs w:val="24"/>
        </w:rPr>
        <w:t xml:space="preserve">Mikrokrystallinsk cellulose </w:t>
      </w:r>
    </w:p>
    <w:p w14:paraId="5A4FC414" w14:textId="77777777" w:rsidR="00A64E46" w:rsidRPr="00F74DF7" w:rsidRDefault="00A64E46" w:rsidP="00A64E46">
      <w:pPr>
        <w:widowControl w:val="0"/>
        <w:autoSpaceDE w:val="0"/>
        <w:autoSpaceDN w:val="0"/>
        <w:adjustRightInd w:val="0"/>
        <w:ind w:left="851" w:right="-20"/>
        <w:rPr>
          <w:color w:val="000000"/>
          <w:spacing w:val="-2"/>
          <w:sz w:val="24"/>
          <w:szCs w:val="24"/>
        </w:rPr>
      </w:pPr>
      <w:proofErr w:type="spellStart"/>
      <w:r w:rsidRPr="00F74DF7">
        <w:rPr>
          <w:color w:val="000000"/>
          <w:sz w:val="24"/>
          <w:szCs w:val="24"/>
        </w:rPr>
        <w:t>Talcum</w:t>
      </w:r>
      <w:proofErr w:type="spellEnd"/>
    </w:p>
    <w:p w14:paraId="412208D6" w14:textId="77777777" w:rsidR="00A64E46" w:rsidRPr="00F74DF7" w:rsidRDefault="00A64E46" w:rsidP="00A64E46">
      <w:pPr>
        <w:widowControl w:val="0"/>
        <w:autoSpaceDE w:val="0"/>
        <w:autoSpaceDN w:val="0"/>
        <w:adjustRightInd w:val="0"/>
        <w:ind w:left="851" w:right="-20"/>
        <w:rPr>
          <w:sz w:val="24"/>
          <w:szCs w:val="24"/>
        </w:rPr>
      </w:pPr>
      <w:proofErr w:type="spellStart"/>
      <w:r w:rsidRPr="00F74DF7">
        <w:rPr>
          <w:sz w:val="24"/>
          <w:szCs w:val="24"/>
        </w:rPr>
        <w:t>Magnesiumstearat</w:t>
      </w:r>
      <w:proofErr w:type="spellEnd"/>
      <w:r w:rsidRPr="00F74DF7">
        <w:rPr>
          <w:sz w:val="24"/>
          <w:szCs w:val="24"/>
        </w:rPr>
        <w:t xml:space="preserve"> (E470b)</w:t>
      </w:r>
    </w:p>
    <w:p w14:paraId="51B9BDDA" w14:textId="77777777" w:rsidR="00A64E46" w:rsidRPr="00F74DF7" w:rsidRDefault="00A64E46" w:rsidP="00A64E46">
      <w:pPr>
        <w:tabs>
          <w:tab w:val="left" w:pos="851"/>
        </w:tabs>
        <w:ind w:left="851" w:hanging="851"/>
        <w:rPr>
          <w:sz w:val="24"/>
          <w:szCs w:val="24"/>
        </w:rPr>
      </w:pPr>
    </w:p>
    <w:p w14:paraId="5DB5324E" w14:textId="77777777" w:rsidR="00A64E46" w:rsidRPr="00F74DF7" w:rsidRDefault="00A64E46" w:rsidP="00A64E46">
      <w:pPr>
        <w:tabs>
          <w:tab w:val="left" w:pos="851"/>
        </w:tabs>
        <w:ind w:left="851" w:hanging="851"/>
        <w:rPr>
          <w:b/>
          <w:sz w:val="24"/>
          <w:szCs w:val="24"/>
        </w:rPr>
      </w:pPr>
      <w:r w:rsidRPr="00F74DF7">
        <w:rPr>
          <w:b/>
          <w:sz w:val="24"/>
          <w:szCs w:val="24"/>
        </w:rPr>
        <w:t>6.2</w:t>
      </w:r>
      <w:r w:rsidRPr="00F74DF7">
        <w:rPr>
          <w:b/>
          <w:sz w:val="24"/>
          <w:szCs w:val="24"/>
        </w:rPr>
        <w:tab/>
        <w:t>Uforligeligheder</w:t>
      </w:r>
    </w:p>
    <w:p w14:paraId="0B57B993" w14:textId="77777777" w:rsidR="00A64E46" w:rsidRPr="00F74DF7" w:rsidRDefault="00A64E46" w:rsidP="00A64E46">
      <w:pPr>
        <w:widowControl w:val="0"/>
        <w:autoSpaceDE w:val="0"/>
        <w:autoSpaceDN w:val="0"/>
        <w:adjustRightInd w:val="0"/>
        <w:ind w:left="851" w:right="-20"/>
        <w:rPr>
          <w:sz w:val="24"/>
          <w:szCs w:val="24"/>
        </w:rPr>
      </w:pPr>
      <w:r w:rsidRPr="00F74DF7">
        <w:rPr>
          <w:sz w:val="24"/>
          <w:szCs w:val="24"/>
        </w:rPr>
        <w:t>Ikke relevant</w:t>
      </w:r>
    </w:p>
    <w:p w14:paraId="3F76EAB5" w14:textId="77777777" w:rsidR="00A64E46" w:rsidRPr="00F74DF7" w:rsidRDefault="00A64E46" w:rsidP="00A64E46">
      <w:pPr>
        <w:tabs>
          <w:tab w:val="left" w:pos="851"/>
        </w:tabs>
        <w:ind w:left="851" w:hanging="851"/>
        <w:rPr>
          <w:sz w:val="24"/>
          <w:szCs w:val="24"/>
        </w:rPr>
      </w:pPr>
    </w:p>
    <w:p w14:paraId="50170555" w14:textId="77777777" w:rsidR="00A64E46" w:rsidRPr="00F74DF7" w:rsidRDefault="00A64E46" w:rsidP="00A64E46">
      <w:pPr>
        <w:tabs>
          <w:tab w:val="left" w:pos="851"/>
        </w:tabs>
        <w:ind w:left="851" w:hanging="851"/>
        <w:rPr>
          <w:b/>
          <w:sz w:val="24"/>
          <w:szCs w:val="24"/>
        </w:rPr>
      </w:pPr>
      <w:r w:rsidRPr="00F74DF7">
        <w:rPr>
          <w:b/>
          <w:sz w:val="24"/>
          <w:szCs w:val="24"/>
        </w:rPr>
        <w:t>6.3</w:t>
      </w:r>
      <w:r w:rsidRPr="00F74DF7">
        <w:rPr>
          <w:b/>
          <w:sz w:val="24"/>
          <w:szCs w:val="24"/>
        </w:rPr>
        <w:tab/>
        <w:t>Opbevaringstid</w:t>
      </w:r>
    </w:p>
    <w:p w14:paraId="1E347715" w14:textId="77777777" w:rsidR="00A64E46" w:rsidRPr="00F74DF7" w:rsidRDefault="00A64E46" w:rsidP="00A64E46">
      <w:pPr>
        <w:widowControl w:val="0"/>
        <w:autoSpaceDE w:val="0"/>
        <w:autoSpaceDN w:val="0"/>
        <w:adjustRightInd w:val="0"/>
        <w:ind w:left="851" w:right="-20" w:hanging="851"/>
        <w:rPr>
          <w:sz w:val="24"/>
          <w:szCs w:val="24"/>
        </w:rPr>
      </w:pPr>
      <w:r w:rsidRPr="00F74DF7">
        <w:rPr>
          <w:sz w:val="24"/>
          <w:szCs w:val="24"/>
        </w:rPr>
        <w:tab/>
        <w:t>24 måneder</w:t>
      </w:r>
    </w:p>
    <w:p w14:paraId="5DC91501" w14:textId="77777777" w:rsidR="00A64E46" w:rsidRPr="00F74DF7" w:rsidRDefault="00A64E46" w:rsidP="00A64E46">
      <w:pPr>
        <w:tabs>
          <w:tab w:val="left" w:pos="851"/>
        </w:tabs>
        <w:ind w:left="851" w:hanging="851"/>
        <w:rPr>
          <w:sz w:val="24"/>
          <w:szCs w:val="24"/>
        </w:rPr>
      </w:pPr>
    </w:p>
    <w:p w14:paraId="06379FEF" w14:textId="77777777" w:rsidR="00A64E46" w:rsidRPr="00F74DF7" w:rsidRDefault="00A64E46" w:rsidP="00A64E46">
      <w:pPr>
        <w:tabs>
          <w:tab w:val="left" w:pos="851"/>
        </w:tabs>
        <w:ind w:left="851" w:hanging="851"/>
        <w:rPr>
          <w:b/>
          <w:sz w:val="24"/>
          <w:szCs w:val="24"/>
        </w:rPr>
      </w:pPr>
      <w:r w:rsidRPr="00F74DF7">
        <w:rPr>
          <w:b/>
          <w:sz w:val="24"/>
          <w:szCs w:val="24"/>
        </w:rPr>
        <w:t>6.4</w:t>
      </w:r>
      <w:r w:rsidRPr="00F74DF7">
        <w:rPr>
          <w:b/>
          <w:sz w:val="24"/>
          <w:szCs w:val="24"/>
        </w:rPr>
        <w:tab/>
        <w:t>Særlige opbevaringsforhold</w:t>
      </w:r>
    </w:p>
    <w:p w14:paraId="1EFF3BC3" w14:textId="77777777" w:rsidR="00A64E46" w:rsidRPr="00F74DF7" w:rsidRDefault="00A64E46" w:rsidP="00A64E46">
      <w:pPr>
        <w:widowControl w:val="0"/>
        <w:autoSpaceDE w:val="0"/>
        <w:autoSpaceDN w:val="0"/>
        <w:adjustRightInd w:val="0"/>
        <w:ind w:left="851" w:right="30" w:hanging="851"/>
        <w:rPr>
          <w:color w:val="000000"/>
          <w:sz w:val="24"/>
          <w:szCs w:val="24"/>
        </w:rPr>
      </w:pPr>
      <w:r w:rsidRPr="00F74DF7">
        <w:rPr>
          <w:sz w:val="24"/>
          <w:szCs w:val="24"/>
        </w:rPr>
        <w:tab/>
        <w:t>Der er ingen særlige krav vedrørende opbevaringstemperaturer for dette lægemiddel.</w:t>
      </w:r>
    </w:p>
    <w:p w14:paraId="40A47A90" w14:textId="77777777" w:rsidR="00A64E46" w:rsidRPr="00F74DF7" w:rsidRDefault="00A64E46" w:rsidP="00A64E46">
      <w:pPr>
        <w:widowControl w:val="0"/>
        <w:autoSpaceDE w:val="0"/>
        <w:autoSpaceDN w:val="0"/>
        <w:adjustRightInd w:val="0"/>
        <w:ind w:left="851" w:right="30" w:hanging="851"/>
        <w:rPr>
          <w:color w:val="000000"/>
          <w:sz w:val="24"/>
          <w:szCs w:val="24"/>
        </w:rPr>
      </w:pPr>
      <w:r w:rsidRPr="00F74DF7">
        <w:rPr>
          <w:color w:val="000000"/>
          <w:sz w:val="24"/>
          <w:szCs w:val="24"/>
        </w:rPr>
        <w:tab/>
        <w:t xml:space="preserve">Blisterpakninger: </w:t>
      </w:r>
      <w:r w:rsidRPr="00F74DF7">
        <w:rPr>
          <w:sz w:val="24"/>
          <w:szCs w:val="24"/>
        </w:rPr>
        <w:t>Opbevares i den originale yderpakning for at beskytte mod lys.</w:t>
      </w:r>
    </w:p>
    <w:p w14:paraId="00FEAE2C" w14:textId="77777777" w:rsidR="00A64E46" w:rsidRPr="00F74DF7" w:rsidRDefault="00A64E46" w:rsidP="00A64E46">
      <w:pPr>
        <w:tabs>
          <w:tab w:val="left" w:pos="851"/>
        </w:tabs>
        <w:ind w:left="851" w:hanging="851"/>
        <w:rPr>
          <w:sz w:val="24"/>
          <w:szCs w:val="24"/>
        </w:rPr>
      </w:pPr>
    </w:p>
    <w:p w14:paraId="456C88E1" w14:textId="55D631D9" w:rsidR="00A64E46" w:rsidRPr="00F74DF7" w:rsidRDefault="00A64E46" w:rsidP="00A64E46">
      <w:pPr>
        <w:tabs>
          <w:tab w:val="left" w:pos="851"/>
        </w:tabs>
        <w:ind w:left="851" w:hanging="851"/>
        <w:rPr>
          <w:b/>
          <w:sz w:val="24"/>
          <w:szCs w:val="24"/>
        </w:rPr>
      </w:pPr>
      <w:r w:rsidRPr="00F74DF7">
        <w:rPr>
          <w:b/>
          <w:sz w:val="24"/>
          <w:szCs w:val="24"/>
        </w:rPr>
        <w:t>6.5</w:t>
      </w:r>
      <w:r w:rsidRPr="00F74DF7">
        <w:rPr>
          <w:b/>
          <w:sz w:val="24"/>
          <w:szCs w:val="24"/>
        </w:rPr>
        <w:tab/>
        <w:t>Emballagetype og pakningsstørrelser</w:t>
      </w:r>
    </w:p>
    <w:p w14:paraId="6FCBF0BC" w14:textId="77777777" w:rsidR="00A64E46" w:rsidRPr="00F74DF7" w:rsidRDefault="00A64E46" w:rsidP="00A64E46">
      <w:pPr>
        <w:pStyle w:val="NormalWeb"/>
        <w:shd w:val="clear" w:color="auto" w:fill="FFFFFF"/>
        <w:spacing w:before="0" w:beforeAutospacing="0" w:after="0" w:afterAutospacing="0"/>
        <w:ind w:left="851"/>
        <w:rPr>
          <w:color w:val="000000"/>
        </w:rPr>
      </w:pPr>
      <w:r w:rsidRPr="00F74DF7">
        <w:rPr>
          <w:color w:val="000000"/>
        </w:rPr>
        <w:t>Blisterpakninger:</w:t>
      </w:r>
    </w:p>
    <w:p w14:paraId="7DDF4F29" w14:textId="77777777" w:rsidR="00A64E46" w:rsidRPr="00F74DF7" w:rsidRDefault="00A64E46" w:rsidP="00A64E46">
      <w:pPr>
        <w:pStyle w:val="NormalWeb"/>
        <w:shd w:val="clear" w:color="auto" w:fill="FFFFFF"/>
        <w:spacing w:before="0" w:beforeAutospacing="0" w:after="0" w:afterAutospacing="0"/>
        <w:ind w:left="851"/>
        <w:rPr>
          <w:color w:val="000000"/>
        </w:rPr>
      </w:pPr>
      <w:r w:rsidRPr="00F74DF7">
        <w:rPr>
          <w:color w:val="000000"/>
        </w:rPr>
        <w:t>Ravfarvet PVC-folie og aluminiumsblisterfolie.</w:t>
      </w:r>
    </w:p>
    <w:p w14:paraId="7AECC343" w14:textId="77777777" w:rsidR="00A64E46" w:rsidRPr="00F74DF7" w:rsidRDefault="00A64E46" w:rsidP="00A64E46">
      <w:pPr>
        <w:pStyle w:val="Default"/>
        <w:ind w:left="851"/>
      </w:pPr>
      <w:r w:rsidRPr="00F74DF7">
        <w:t>Pakningsstørrelser:</w:t>
      </w:r>
    </w:p>
    <w:p w14:paraId="680BECC7" w14:textId="77777777" w:rsidR="00A64E46" w:rsidRPr="00F74DF7" w:rsidRDefault="00A64E46" w:rsidP="00A64E46">
      <w:pPr>
        <w:pStyle w:val="Default"/>
        <w:ind w:left="851"/>
      </w:pPr>
      <w:r w:rsidRPr="00F74DF7">
        <w:t>10, 12, 15, 20, 24, 25, 28, 30, 50 eller 100 tabletter.</w:t>
      </w:r>
    </w:p>
    <w:p w14:paraId="2C878FD8" w14:textId="77777777" w:rsidR="00A64E46" w:rsidRPr="00F74DF7" w:rsidRDefault="00A64E46" w:rsidP="00A64E46">
      <w:pPr>
        <w:pStyle w:val="Default"/>
        <w:ind w:left="851"/>
      </w:pPr>
    </w:p>
    <w:p w14:paraId="67A62D7B" w14:textId="77777777" w:rsidR="00A64E46" w:rsidRPr="00F74DF7" w:rsidRDefault="00A64E46" w:rsidP="00A64E46">
      <w:pPr>
        <w:ind w:left="851"/>
        <w:rPr>
          <w:sz w:val="24"/>
          <w:szCs w:val="24"/>
        </w:rPr>
      </w:pPr>
      <w:r w:rsidRPr="00F74DF7">
        <w:rPr>
          <w:sz w:val="24"/>
          <w:szCs w:val="24"/>
        </w:rPr>
        <w:t>PVC/</w:t>
      </w:r>
      <w:proofErr w:type="spellStart"/>
      <w:r w:rsidRPr="00F74DF7">
        <w:rPr>
          <w:sz w:val="24"/>
          <w:szCs w:val="24"/>
        </w:rPr>
        <w:t>Alu</w:t>
      </w:r>
      <w:proofErr w:type="spellEnd"/>
      <w:r w:rsidRPr="00F74DF7">
        <w:rPr>
          <w:sz w:val="24"/>
          <w:szCs w:val="24"/>
        </w:rPr>
        <w:t>-perforeret enhedsdosisblister.</w:t>
      </w:r>
    </w:p>
    <w:p w14:paraId="6D2BA39E" w14:textId="77777777" w:rsidR="00A64E46" w:rsidRPr="00F74DF7" w:rsidRDefault="00A64E46" w:rsidP="00A64E46">
      <w:pPr>
        <w:ind w:left="851"/>
        <w:rPr>
          <w:sz w:val="24"/>
          <w:szCs w:val="24"/>
        </w:rPr>
      </w:pPr>
      <w:r w:rsidRPr="00F74DF7">
        <w:rPr>
          <w:sz w:val="24"/>
          <w:szCs w:val="24"/>
        </w:rPr>
        <w:t>Pakningsstørrelser:</w:t>
      </w:r>
    </w:p>
    <w:p w14:paraId="3E30DFBB" w14:textId="77777777" w:rsidR="00A64E46" w:rsidRPr="00F74DF7" w:rsidRDefault="00A64E46" w:rsidP="00A64E46">
      <w:pPr>
        <w:ind w:left="851"/>
        <w:rPr>
          <w:sz w:val="24"/>
          <w:szCs w:val="24"/>
        </w:rPr>
      </w:pPr>
      <w:r w:rsidRPr="00F74DF7">
        <w:rPr>
          <w:sz w:val="24"/>
          <w:szCs w:val="24"/>
        </w:rPr>
        <w:t>10×1, 12×1, 15×1, 20×1, 24×1, 25×1, 28×1, 30×1, 50×1 og 100×1 tabletter.</w:t>
      </w:r>
    </w:p>
    <w:p w14:paraId="7403E22C" w14:textId="77777777" w:rsidR="00A64E46" w:rsidRPr="00F74DF7" w:rsidRDefault="00A64E46" w:rsidP="00A64E46">
      <w:pPr>
        <w:ind w:left="851"/>
        <w:rPr>
          <w:sz w:val="24"/>
          <w:szCs w:val="24"/>
        </w:rPr>
      </w:pPr>
    </w:p>
    <w:p w14:paraId="540898A3" w14:textId="77777777" w:rsidR="00A64E46" w:rsidRPr="00F74DF7" w:rsidRDefault="00A64E46" w:rsidP="00A64E46">
      <w:pPr>
        <w:pStyle w:val="Default"/>
        <w:ind w:left="851"/>
      </w:pPr>
      <w:r w:rsidRPr="00F74DF7">
        <w:t>Ikke alle pakningsstørrelser er nødvendigvis markedsført.</w:t>
      </w:r>
    </w:p>
    <w:p w14:paraId="68D4795B" w14:textId="77777777" w:rsidR="00A64E46" w:rsidRPr="00F74DF7" w:rsidRDefault="00A64E46" w:rsidP="00A64E46">
      <w:pPr>
        <w:tabs>
          <w:tab w:val="left" w:pos="851"/>
        </w:tabs>
        <w:ind w:left="851" w:hanging="851"/>
        <w:rPr>
          <w:sz w:val="24"/>
          <w:szCs w:val="24"/>
        </w:rPr>
      </w:pPr>
    </w:p>
    <w:p w14:paraId="3A409796" w14:textId="3176EC5C" w:rsidR="00A64E46" w:rsidRPr="00F74DF7" w:rsidRDefault="00A64E46" w:rsidP="002E620B">
      <w:pPr>
        <w:keepNext/>
        <w:tabs>
          <w:tab w:val="left" w:pos="851"/>
        </w:tabs>
        <w:ind w:left="851" w:hanging="851"/>
        <w:rPr>
          <w:b/>
          <w:sz w:val="24"/>
          <w:szCs w:val="24"/>
        </w:rPr>
      </w:pPr>
      <w:r w:rsidRPr="00F74DF7">
        <w:rPr>
          <w:b/>
          <w:sz w:val="24"/>
          <w:szCs w:val="24"/>
        </w:rPr>
        <w:t>6.6</w:t>
      </w:r>
      <w:r w:rsidRPr="00F74DF7">
        <w:rPr>
          <w:b/>
          <w:sz w:val="24"/>
          <w:szCs w:val="24"/>
        </w:rPr>
        <w:tab/>
        <w:t xml:space="preserve">Regler for </w:t>
      </w:r>
      <w:r w:rsidR="00DC65CB">
        <w:rPr>
          <w:b/>
          <w:sz w:val="24"/>
          <w:szCs w:val="24"/>
        </w:rPr>
        <w:t>bortskaffelse</w:t>
      </w:r>
      <w:r w:rsidRPr="00F74DF7">
        <w:rPr>
          <w:b/>
          <w:sz w:val="24"/>
          <w:szCs w:val="24"/>
        </w:rPr>
        <w:t xml:space="preserve"> og anden håndtering</w:t>
      </w:r>
    </w:p>
    <w:p w14:paraId="5B04352D" w14:textId="77777777" w:rsidR="00A64E46" w:rsidRPr="00F74DF7" w:rsidRDefault="00A64E46" w:rsidP="00A64E46">
      <w:pPr>
        <w:autoSpaceDE w:val="0"/>
        <w:autoSpaceDN w:val="0"/>
        <w:adjustRightInd w:val="0"/>
        <w:ind w:left="851"/>
        <w:rPr>
          <w:sz w:val="24"/>
          <w:szCs w:val="24"/>
        </w:rPr>
      </w:pPr>
      <w:r w:rsidRPr="00F74DF7">
        <w:rPr>
          <w:sz w:val="24"/>
          <w:szCs w:val="24"/>
        </w:rPr>
        <w:t>Ikke anvendt lægemiddel samt affald heraf skal bortskaffes i henhold til lokale retningslinjer.</w:t>
      </w:r>
    </w:p>
    <w:p w14:paraId="4B78D777" w14:textId="77777777" w:rsidR="00A64E46" w:rsidRPr="00F74DF7" w:rsidRDefault="00A64E46" w:rsidP="00A64E46">
      <w:pPr>
        <w:widowControl w:val="0"/>
        <w:autoSpaceDE w:val="0"/>
        <w:autoSpaceDN w:val="0"/>
        <w:adjustRightInd w:val="0"/>
        <w:ind w:left="851" w:right="-20" w:hanging="851"/>
        <w:rPr>
          <w:sz w:val="24"/>
          <w:szCs w:val="24"/>
        </w:rPr>
      </w:pPr>
    </w:p>
    <w:p w14:paraId="75EEBB15" w14:textId="77777777" w:rsidR="00A64E46" w:rsidRPr="00F74DF7" w:rsidRDefault="00A64E46" w:rsidP="00A64E46">
      <w:pPr>
        <w:widowControl w:val="0"/>
        <w:autoSpaceDE w:val="0"/>
        <w:autoSpaceDN w:val="0"/>
        <w:adjustRightInd w:val="0"/>
        <w:ind w:left="851" w:right="-20"/>
        <w:rPr>
          <w:sz w:val="24"/>
          <w:szCs w:val="24"/>
        </w:rPr>
      </w:pPr>
      <w:r w:rsidRPr="00F74DF7">
        <w:rPr>
          <w:sz w:val="24"/>
          <w:szCs w:val="24"/>
        </w:rPr>
        <w:t xml:space="preserve">Der skal anvendes korrekte procedurer for sikker håndtering af </w:t>
      </w:r>
      <w:proofErr w:type="spellStart"/>
      <w:r w:rsidRPr="00F74DF7">
        <w:rPr>
          <w:sz w:val="24"/>
          <w:szCs w:val="24"/>
        </w:rPr>
        <w:t>cytotoksiske</w:t>
      </w:r>
      <w:proofErr w:type="spellEnd"/>
      <w:r w:rsidRPr="00F74DF7">
        <w:rPr>
          <w:sz w:val="24"/>
          <w:szCs w:val="24"/>
        </w:rPr>
        <w:t xml:space="preserve"> midler. Der </w:t>
      </w:r>
      <w:r w:rsidRPr="00F74DF7">
        <w:rPr>
          <w:sz w:val="24"/>
          <w:szCs w:val="24"/>
        </w:rPr>
        <w:lastRenderedPageBreak/>
        <w:t xml:space="preserve">skal anvendes engangshandsker ved håndtering af </w:t>
      </w:r>
      <w:proofErr w:type="spellStart"/>
      <w:r w:rsidRPr="00F74DF7">
        <w:rPr>
          <w:sz w:val="24"/>
          <w:szCs w:val="24"/>
        </w:rPr>
        <w:t>methotrexat</w:t>
      </w:r>
      <w:proofErr w:type="spellEnd"/>
      <w:r w:rsidRPr="00F74DF7">
        <w:rPr>
          <w:sz w:val="24"/>
          <w:szCs w:val="24"/>
        </w:rPr>
        <w:t xml:space="preserve">-tabletter. Gravide kvinder skal undgå at håndtere </w:t>
      </w:r>
      <w:proofErr w:type="spellStart"/>
      <w:r w:rsidRPr="00F74DF7">
        <w:rPr>
          <w:sz w:val="24"/>
          <w:szCs w:val="24"/>
        </w:rPr>
        <w:t>methotrexat</w:t>
      </w:r>
      <w:proofErr w:type="spellEnd"/>
      <w:r w:rsidRPr="00F74DF7">
        <w:rPr>
          <w:sz w:val="24"/>
          <w:szCs w:val="24"/>
        </w:rPr>
        <w:t>-tabletter, hvis det er muligt.</w:t>
      </w:r>
    </w:p>
    <w:p w14:paraId="628C0013" w14:textId="77777777" w:rsidR="00A64E46" w:rsidRPr="00F74DF7" w:rsidRDefault="00A64E46" w:rsidP="00A64E46">
      <w:pPr>
        <w:tabs>
          <w:tab w:val="left" w:pos="851"/>
        </w:tabs>
        <w:ind w:left="851" w:hanging="851"/>
        <w:jc w:val="both"/>
        <w:rPr>
          <w:sz w:val="24"/>
          <w:szCs w:val="24"/>
        </w:rPr>
      </w:pPr>
    </w:p>
    <w:p w14:paraId="2FEBC506" w14:textId="77777777" w:rsidR="00A64E46" w:rsidRPr="00F74DF7" w:rsidRDefault="00A64E46" w:rsidP="00194C46">
      <w:pPr>
        <w:keepNext/>
        <w:tabs>
          <w:tab w:val="left" w:pos="851"/>
        </w:tabs>
        <w:ind w:left="851" w:hanging="851"/>
        <w:rPr>
          <w:b/>
          <w:sz w:val="24"/>
          <w:szCs w:val="24"/>
        </w:rPr>
      </w:pPr>
      <w:r w:rsidRPr="00F74DF7">
        <w:rPr>
          <w:b/>
          <w:sz w:val="24"/>
          <w:szCs w:val="24"/>
        </w:rPr>
        <w:t>7.</w:t>
      </w:r>
      <w:r w:rsidRPr="00F74DF7">
        <w:rPr>
          <w:b/>
          <w:sz w:val="24"/>
          <w:szCs w:val="24"/>
        </w:rPr>
        <w:tab/>
        <w:t>INDEHAVER AF MARKEDSFØRINGSTILLADELSEN</w:t>
      </w:r>
    </w:p>
    <w:p w14:paraId="02F25525" w14:textId="77777777" w:rsidR="00FD0FD5" w:rsidRPr="007116F1" w:rsidRDefault="00FD0FD5" w:rsidP="00194C46">
      <w:pPr>
        <w:keepNext/>
        <w:ind w:left="851"/>
        <w:rPr>
          <w:sz w:val="24"/>
          <w:szCs w:val="24"/>
        </w:rPr>
      </w:pPr>
      <w:bookmarkStart w:id="0" w:name="_Hlk44060003"/>
      <w:proofErr w:type="spellStart"/>
      <w:r w:rsidRPr="007116F1">
        <w:rPr>
          <w:sz w:val="24"/>
          <w:szCs w:val="24"/>
        </w:rPr>
        <w:t>Accord</w:t>
      </w:r>
      <w:proofErr w:type="spellEnd"/>
      <w:r w:rsidRPr="007116F1">
        <w:rPr>
          <w:sz w:val="24"/>
          <w:szCs w:val="24"/>
        </w:rPr>
        <w:t xml:space="preserve"> Healthcare B.V.</w:t>
      </w:r>
    </w:p>
    <w:p w14:paraId="25B91761" w14:textId="77777777" w:rsidR="00FD0FD5" w:rsidRPr="007116F1" w:rsidRDefault="00FD0FD5" w:rsidP="00194C46">
      <w:pPr>
        <w:keepNext/>
        <w:ind w:left="851"/>
        <w:rPr>
          <w:sz w:val="24"/>
          <w:szCs w:val="24"/>
        </w:rPr>
      </w:pPr>
      <w:proofErr w:type="spellStart"/>
      <w:r w:rsidRPr="007116F1">
        <w:rPr>
          <w:sz w:val="24"/>
          <w:szCs w:val="24"/>
        </w:rPr>
        <w:t>Winthontlaan</w:t>
      </w:r>
      <w:proofErr w:type="spellEnd"/>
      <w:r w:rsidRPr="007116F1">
        <w:rPr>
          <w:sz w:val="24"/>
          <w:szCs w:val="24"/>
        </w:rPr>
        <w:t xml:space="preserve"> 200</w:t>
      </w:r>
    </w:p>
    <w:p w14:paraId="48C29ACA" w14:textId="77777777" w:rsidR="00FD0FD5" w:rsidRDefault="00FD0FD5" w:rsidP="00194C46">
      <w:pPr>
        <w:keepNext/>
        <w:ind w:left="851"/>
        <w:rPr>
          <w:sz w:val="24"/>
          <w:szCs w:val="24"/>
        </w:rPr>
      </w:pPr>
      <w:r w:rsidRPr="00771C9E">
        <w:rPr>
          <w:sz w:val="24"/>
          <w:szCs w:val="24"/>
        </w:rPr>
        <w:t>3526 KV</w:t>
      </w:r>
      <w:r>
        <w:rPr>
          <w:sz w:val="24"/>
          <w:szCs w:val="24"/>
        </w:rPr>
        <w:t xml:space="preserve"> Utrecht</w:t>
      </w:r>
    </w:p>
    <w:p w14:paraId="6CB90ADA" w14:textId="77777777" w:rsidR="00A64E46" w:rsidRPr="00F74DF7" w:rsidRDefault="00FD0FD5" w:rsidP="00FD0FD5">
      <w:pPr>
        <w:widowControl w:val="0"/>
        <w:autoSpaceDE w:val="0"/>
        <w:autoSpaceDN w:val="0"/>
        <w:adjustRightInd w:val="0"/>
        <w:ind w:left="851" w:right="-20"/>
        <w:rPr>
          <w:sz w:val="24"/>
          <w:szCs w:val="24"/>
        </w:rPr>
      </w:pPr>
      <w:r>
        <w:rPr>
          <w:sz w:val="24"/>
          <w:szCs w:val="24"/>
        </w:rPr>
        <w:t>Holland</w:t>
      </w:r>
      <w:bookmarkEnd w:id="0"/>
    </w:p>
    <w:p w14:paraId="11E23460" w14:textId="77777777" w:rsidR="00A64E46" w:rsidRPr="00F74DF7" w:rsidRDefault="00A64E46" w:rsidP="00A64E46">
      <w:pPr>
        <w:tabs>
          <w:tab w:val="left" w:pos="851"/>
        </w:tabs>
        <w:ind w:left="851" w:hanging="851"/>
        <w:rPr>
          <w:sz w:val="24"/>
          <w:szCs w:val="24"/>
        </w:rPr>
      </w:pPr>
    </w:p>
    <w:p w14:paraId="2DFFFEFF" w14:textId="3A564809" w:rsidR="00A64E46" w:rsidRPr="00F74DF7" w:rsidRDefault="00A64E46" w:rsidP="00A64E46">
      <w:pPr>
        <w:tabs>
          <w:tab w:val="left" w:pos="851"/>
        </w:tabs>
        <w:ind w:left="851" w:hanging="851"/>
        <w:rPr>
          <w:b/>
          <w:sz w:val="24"/>
          <w:szCs w:val="24"/>
        </w:rPr>
      </w:pPr>
      <w:r w:rsidRPr="00F74DF7">
        <w:rPr>
          <w:b/>
          <w:sz w:val="24"/>
          <w:szCs w:val="24"/>
        </w:rPr>
        <w:t>8.</w:t>
      </w:r>
      <w:r w:rsidRPr="00F74DF7">
        <w:rPr>
          <w:b/>
          <w:sz w:val="24"/>
          <w:szCs w:val="24"/>
        </w:rPr>
        <w:tab/>
        <w:t>MARKEDSFØRINGSTILLADELSESNUMMER (</w:t>
      </w:r>
      <w:r w:rsidR="00DC65CB">
        <w:rPr>
          <w:b/>
          <w:sz w:val="24"/>
          <w:szCs w:val="24"/>
        </w:rPr>
        <w:t>-</w:t>
      </w:r>
      <w:r w:rsidRPr="00F74DF7">
        <w:rPr>
          <w:b/>
          <w:sz w:val="24"/>
          <w:szCs w:val="24"/>
        </w:rPr>
        <w:t>NUMRE)</w:t>
      </w:r>
    </w:p>
    <w:p w14:paraId="50E65859" w14:textId="77777777" w:rsidR="00A64E46" w:rsidRPr="00F74DF7" w:rsidRDefault="00A64E46" w:rsidP="00A64E46">
      <w:pPr>
        <w:tabs>
          <w:tab w:val="left" w:pos="851"/>
        </w:tabs>
        <w:ind w:left="851" w:hanging="851"/>
        <w:jc w:val="both"/>
        <w:rPr>
          <w:sz w:val="24"/>
          <w:szCs w:val="24"/>
        </w:rPr>
      </w:pPr>
      <w:r w:rsidRPr="00F74DF7">
        <w:rPr>
          <w:sz w:val="24"/>
          <w:szCs w:val="24"/>
        </w:rPr>
        <w:tab/>
        <w:t>58811</w:t>
      </w:r>
    </w:p>
    <w:p w14:paraId="2FD834C3" w14:textId="77777777" w:rsidR="00A64E46" w:rsidRPr="00F74DF7" w:rsidRDefault="00A64E46" w:rsidP="00A64E46">
      <w:pPr>
        <w:tabs>
          <w:tab w:val="left" w:pos="851"/>
        </w:tabs>
        <w:ind w:left="851" w:hanging="851"/>
        <w:jc w:val="both"/>
        <w:rPr>
          <w:sz w:val="24"/>
          <w:szCs w:val="24"/>
        </w:rPr>
      </w:pPr>
    </w:p>
    <w:p w14:paraId="146CDBEF" w14:textId="77777777" w:rsidR="00A64E46" w:rsidRPr="00F74DF7" w:rsidRDefault="00A64E46" w:rsidP="00A64E46">
      <w:pPr>
        <w:tabs>
          <w:tab w:val="left" w:pos="851"/>
        </w:tabs>
        <w:ind w:left="851" w:hanging="851"/>
        <w:rPr>
          <w:b/>
          <w:sz w:val="24"/>
          <w:szCs w:val="24"/>
        </w:rPr>
      </w:pPr>
      <w:r w:rsidRPr="00F74DF7">
        <w:rPr>
          <w:b/>
          <w:sz w:val="24"/>
          <w:szCs w:val="24"/>
        </w:rPr>
        <w:t>9.</w:t>
      </w:r>
      <w:r w:rsidRPr="00F74DF7">
        <w:rPr>
          <w:b/>
          <w:sz w:val="24"/>
          <w:szCs w:val="24"/>
        </w:rPr>
        <w:tab/>
        <w:t>DATO FOR FØRSTE MARKEDSFØRINGSTILLADELSE</w:t>
      </w:r>
    </w:p>
    <w:p w14:paraId="2F3E110E" w14:textId="77777777" w:rsidR="00A64E46" w:rsidRPr="00F74DF7" w:rsidRDefault="00A64E46" w:rsidP="00A64E46">
      <w:pPr>
        <w:tabs>
          <w:tab w:val="left" w:pos="851"/>
        </w:tabs>
        <w:ind w:left="851" w:hanging="851"/>
        <w:rPr>
          <w:sz w:val="24"/>
          <w:szCs w:val="24"/>
        </w:rPr>
      </w:pPr>
      <w:r w:rsidRPr="00F74DF7">
        <w:rPr>
          <w:sz w:val="24"/>
          <w:szCs w:val="24"/>
        </w:rPr>
        <w:tab/>
      </w:r>
      <w:r>
        <w:rPr>
          <w:sz w:val="24"/>
          <w:szCs w:val="24"/>
        </w:rPr>
        <w:t>6. juni 2018</w:t>
      </w:r>
    </w:p>
    <w:p w14:paraId="7B210685" w14:textId="77777777" w:rsidR="00A64E46" w:rsidRPr="00F74DF7" w:rsidRDefault="00A64E46" w:rsidP="00A64E46">
      <w:pPr>
        <w:tabs>
          <w:tab w:val="left" w:pos="851"/>
        </w:tabs>
        <w:ind w:left="851" w:hanging="851"/>
        <w:rPr>
          <w:sz w:val="24"/>
          <w:szCs w:val="24"/>
        </w:rPr>
      </w:pPr>
    </w:p>
    <w:p w14:paraId="3D04249D" w14:textId="77777777" w:rsidR="00A64E46" w:rsidRPr="00F74DF7" w:rsidRDefault="00A64E46" w:rsidP="00A64E46">
      <w:pPr>
        <w:tabs>
          <w:tab w:val="left" w:pos="851"/>
        </w:tabs>
        <w:ind w:left="851" w:hanging="851"/>
        <w:rPr>
          <w:b/>
          <w:sz w:val="24"/>
          <w:szCs w:val="24"/>
        </w:rPr>
      </w:pPr>
      <w:r w:rsidRPr="00F74DF7">
        <w:rPr>
          <w:b/>
          <w:sz w:val="24"/>
          <w:szCs w:val="24"/>
        </w:rPr>
        <w:t>10.</w:t>
      </w:r>
      <w:r w:rsidRPr="00F74DF7">
        <w:rPr>
          <w:b/>
          <w:sz w:val="24"/>
          <w:szCs w:val="24"/>
        </w:rPr>
        <w:tab/>
        <w:t>DATO FOR ÆNDRING AF TEKSTEN</w:t>
      </w:r>
    </w:p>
    <w:p w14:paraId="62FD5E18" w14:textId="6C10B4D2" w:rsidR="00A64E46" w:rsidRPr="00F74DF7" w:rsidRDefault="00A64E46" w:rsidP="00A64E46">
      <w:pPr>
        <w:tabs>
          <w:tab w:val="left" w:pos="851"/>
        </w:tabs>
        <w:ind w:left="851" w:hanging="851"/>
        <w:rPr>
          <w:sz w:val="24"/>
          <w:szCs w:val="24"/>
        </w:rPr>
      </w:pPr>
      <w:r w:rsidRPr="00F74DF7">
        <w:rPr>
          <w:sz w:val="24"/>
          <w:szCs w:val="24"/>
        </w:rPr>
        <w:tab/>
      </w:r>
      <w:r w:rsidR="00B82E3E">
        <w:rPr>
          <w:sz w:val="24"/>
          <w:szCs w:val="24"/>
        </w:rPr>
        <w:t>3</w:t>
      </w:r>
      <w:r w:rsidR="00DC65CB" w:rsidRPr="00DC65CB">
        <w:rPr>
          <w:sz w:val="24"/>
          <w:szCs w:val="24"/>
        </w:rPr>
        <w:t xml:space="preserve">. </w:t>
      </w:r>
      <w:r w:rsidR="00B82E3E">
        <w:rPr>
          <w:sz w:val="24"/>
          <w:szCs w:val="24"/>
        </w:rPr>
        <w:t>februar</w:t>
      </w:r>
      <w:r w:rsidR="00DC65CB" w:rsidRPr="00DC65CB">
        <w:rPr>
          <w:sz w:val="24"/>
          <w:szCs w:val="24"/>
        </w:rPr>
        <w:t xml:space="preserve"> 202</w:t>
      </w:r>
      <w:r w:rsidR="00B82E3E">
        <w:rPr>
          <w:sz w:val="24"/>
          <w:szCs w:val="24"/>
        </w:rPr>
        <w:t>5</w:t>
      </w:r>
      <w:bookmarkStart w:id="1" w:name="_GoBack"/>
      <w:bookmarkEnd w:id="1"/>
    </w:p>
    <w:p w14:paraId="2D0FAE5D" w14:textId="77777777" w:rsidR="00A64E46" w:rsidRPr="00E91951" w:rsidRDefault="00A64E46" w:rsidP="00A64E46"/>
    <w:p w14:paraId="4DA0F1FD" w14:textId="77777777" w:rsidR="00A64E46" w:rsidRPr="00966E81" w:rsidRDefault="00A64E46" w:rsidP="00A64E46"/>
    <w:p w14:paraId="32704656" w14:textId="77777777" w:rsidR="009260DE" w:rsidRPr="00A64E46" w:rsidRDefault="009260DE" w:rsidP="00A64E46"/>
    <w:sectPr w:rsidR="009260DE" w:rsidRPr="00A64E4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FE266" w14:textId="77777777" w:rsidR="00255371" w:rsidRDefault="00255371">
      <w:r>
        <w:separator/>
      </w:r>
    </w:p>
  </w:endnote>
  <w:endnote w:type="continuationSeparator" w:id="0">
    <w:p w14:paraId="2B74692D" w14:textId="77777777" w:rsidR="00255371" w:rsidRDefault="0025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1CFF" w14:textId="77777777" w:rsidR="00255371" w:rsidRDefault="00255371">
    <w:pPr>
      <w:pStyle w:val="Sidefod"/>
      <w:pBdr>
        <w:bottom w:val="single" w:sz="6" w:space="1" w:color="auto"/>
      </w:pBdr>
    </w:pPr>
  </w:p>
  <w:p w14:paraId="0DB82CE5" w14:textId="77777777" w:rsidR="00255371" w:rsidRDefault="00255371" w:rsidP="00C42586">
    <w:pPr>
      <w:pStyle w:val="Sidefod"/>
      <w:tabs>
        <w:tab w:val="clear" w:pos="4819"/>
        <w:tab w:val="left" w:pos="8505"/>
      </w:tabs>
      <w:rPr>
        <w:i/>
        <w:sz w:val="18"/>
        <w:szCs w:val="18"/>
      </w:rPr>
    </w:pPr>
  </w:p>
  <w:p w14:paraId="6D9F00E4" w14:textId="77777777" w:rsidR="00255371" w:rsidRPr="00B373D7" w:rsidRDefault="002553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Methotrexate Accord,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569D" w14:textId="77777777" w:rsidR="00255371" w:rsidRDefault="00255371">
      <w:r>
        <w:separator/>
      </w:r>
    </w:p>
  </w:footnote>
  <w:footnote w:type="continuationSeparator" w:id="0">
    <w:p w14:paraId="4611EB3F" w14:textId="77777777" w:rsidR="00255371" w:rsidRDefault="00255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303B93"/>
    <w:multiLevelType w:val="hybridMultilevel"/>
    <w:tmpl w:val="F71C7564"/>
    <w:lvl w:ilvl="0" w:tplc="DA7429A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8336495"/>
    <w:multiLevelType w:val="hybridMultilevel"/>
    <w:tmpl w:val="F2A40338"/>
    <w:lvl w:ilvl="0" w:tplc="5A5CF712">
      <w:start w:val="1"/>
      <w:numFmt w:val="bullet"/>
      <w:lvlText w:val="-"/>
      <w:lvlJc w:val="left"/>
      <w:pPr>
        <w:ind w:left="720" w:hanging="360"/>
      </w:pPr>
      <w:rPr>
        <w:rFonts w:ascii="Courier New" w:hAnsi="Courier New" w:cs="Times New Roman" w:hint="default"/>
        <w:sz w:val="22"/>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E9F2B4F"/>
    <w:multiLevelType w:val="hybridMultilevel"/>
    <w:tmpl w:val="3F44A332"/>
    <w:lvl w:ilvl="0" w:tplc="5A5CF712">
      <w:start w:val="1"/>
      <w:numFmt w:val="bullet"/>
      <w:lvlText w:val="-"/>
      <w:lvlJc w:val="left"/>
      <w:pPr>
        <w:ind w:left="1571" w:hanging="360"/>
      </w:pPr>
      <w:rPr>
        <w:rFonts w:ascii="Courier New" w:hAnsi="Courier New"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45E107F"/>
    <w:multiLevelType w:val="hybridMultilevel"/>
    <w:tmpl w:val="0E66BDD8"/>
    <w:lvl w:ilvl="0" w:tplc="5A5CF712">
      <w:start w:val="1"/>
      <w:numFmt w:val="bullet"/>
      <w:lvlText w:val="-"/>
      <w:lvlJc w:val="left"/>
      <w:pPr>
        <w:ind w:left="360" w:hanging="360"/>
      </w:pPr>
      <w:rPr>
        <w:rFonts w:ascii="Courier New" w:hAnsi="Courier New" w:cs="Times New Roman"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4296DFF"/>
    <w:multiLevelType w:val="hybridMultilevel"/>
    <w:tmpl w:val="4A02A9D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B927F53"/>
    <w:multiLevelType w:val="hybridMultilevel"/>
    <w:tmpl w:val="AE685CD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4B51265"/>
    <w:multiLevelType w:val="hybridMultilevel"/>
    <w:tmpl w:val="0D8E6012"/>
    <w:lvl w:ilvl="0" w:tplc="FFFFFFFF">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A112C03"/>
    <w:multiLevelType w:val="hybridMultilevel"/>
    <w:tmpl w:val="4AD661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8"/>
  </w:num>
  <w:num w:numId="9">
    <w:abstractNumId w:val="10"/>
  </w:num>
  <w:num w:numId="10">
    <w:abstractNumId w:val="12"/>
  </w:num>
  <w:num w:numId="11">
    <w:abstractNumId w:val="2"/>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46"/>
    <w:rsid w:val="00014A15"/>
    <w:rsid w:val="000259B9"/>
    <w:rsid w:val="000412BC"/>
    <w:rsid w:val="00041491"/>
    <w:rsid w:val="00050D16"/>
    <w:rsid w:val="00056DE7"/>
    <w:rsid w:val="00074F2A"/>
    <w:rsid w:val="000959CC"/>
    <w:rsid w:val="000A1CA8"/>
    <w:rsid w:val="000A466B"/>
    <w:rsid w:val="000B058C"/>
    <w:rsid w:val="000E4EE6"/>
    <w:rsid w:val="00103350"/>
    <w:rsid w:val="001454E2"/>
    <w:rsid w:val="00147ACA"/>
    <w:rsid w:val="00194C46"/>
    <w:rsid w:val="00206CE8"/>
    <w:rsid w:val="0021526C"/>
    <w:rsid w:val="00245F21"/>
    <w:rsid w:val="00255371"/>
    <w:rsid w:val="00283A2B"/>
    <w:rsid w:val="002B30AD"/>
    <w:rsid w:val="002C2C01"/>
    <w:rsid w:val="002E5E96"/>
    <w:rsid w:val="002E620B"/>
    <w:rsid w:val="002F5E0F"/>
    <w:rsid w:val="00330200"/>
    <w:rsid w:val="003A29AE"/>
    <w:rsid w:val="003A32D7"/>
    <w:rsid w:val="003B4074"/>
    <w:rsid w:val="003C769A"/>
    <w:rsid w:val="003F0B65"/>
    <w:rsid w:val="003F1838"/>
    <w:rsid w:val="0040639A"/>
    <w:rsid w:val="00421450"/>
    <w:rsid w:val="0045746C"/>
    <w:rsid w:val="00457A90"/>
    <w:rsid w:val="0049104B"/>
    <w:rsid w:val="004B3E02"/>
    <w:rsid w:val="004C78AE"/>
    <w:rsid w:val="004E3B12"/>
    <w:rsid w:val="00532310"/>
    <w:rsid w:val="00560ECC"/>
    <w:rsid w:val="00565F0F"/>
    <w:rsid w:val="00594A86"/>
    <w:rsid w:val="00596D86"/>
    <w:rsid w:val="005C728F"/>
    <w:rsid w:val="006270FA"/>
    <w:rsid w:val="00637F5A"/>
    <w:rsid w:val="006560B1"/>
    <w:rsid w:val="006750C7"/>
    <w:rsid w:val="006756DD"/>
    <w:rsid w:val="006A625D"/>
    <w:rsid w:val="00701B44"/>
    <w:rsid w:val="007116F1"/>
    <w:rsid w:val="00737275"/>
    <w:rsid w:val="00740EEC"/>
    <w:rsid w:val="0078011A"/>
    <w:rsid w:val="00782AF4"/>
    <w:rsid w:val="00790EE7"/>
    <w:rsid w:val="007A0E0B"/>
    <w:rsid w:val="007B21C5"/>
    <w:rsid w:val="007B6649"/>
    <w:rsid w:val="0081546F"/>
    <w:rsid w:val="0082576E"/>
    <w:rsid w:val="008B7A2B"/>
    <w:rsid w:val="00907F75"/>
    <w:rsid w:val="009260DE"/>
    <w:rsid w:val="0093258A"/>
    <w:rsid w:val="00957EE2"/>
    <w:rsid w:val="009C7BA3"/>
    <w:rsid w:val="009D1F5A"/>
    <w:rsid w:val="00A64E46"/>
    <w:rsid w:val="00A75BC4"/>
    <w:rsid w:val="00A86A1A"/>
    <w:rsid w:val="00AC214D"/>
    <w:rsid w:val="00AE3AEC"/>
    <w:rsid w:val="00B003BF"/>
    <w:rsid w:val="00B373D7"/>
    <w:rsid w:val="00B82E3E"/>
    <w:rsid w:val="00BA40EA"/>
    <w:rsid w:val="00C048B0"/>
    <w:rsid w:val="00C36276"/>
    <w:rsid w:val="00C42586"/>
    <w:rsid w:val="00C60CCD"/>
    <w:rsid w:val="00C661BE"/>
    <w:rsid w:val="00C84483"/>
    <w:rsid w:val="00C95551"/>
    <w:rsid w:val="00CB20D7"/>
    <w:rsid w:val="00CE47FD"/>
    <w:rsid w:val="00D020B0"/>
    <w:rsid w:val="00D11748"/>
    <w:rsid w:val="00D366CF"/>
    <w:rsid w:val="00D74B46"/>
    <w:rsid w:val="00DC65CB"/>
    <w:rsid w:val="00DE0B1A"/>
    <w:rsid w:val="00E108AA"/>
    <w:rsid w:val="00E31812"/>
    <w:rsid w:val="00E3749A"/>
    <w:rsid w:val="00E733E0"/>
    <w:rsid w:val="00E7437F"/>
    <w:rsid w:val="00E865B8"/>
    <w:rsid w:val="00EC0B9B"/>
    <w:rsid w:val="00ED5E9F"/>
    <w:rsid w:val="00F12674"/>
    <w:rsid w:val="00F5618A"/>
    <w:rsid w:val="00F66D4F"/>
    <w:rsid w:val="00F84BB2"/>
    <w:rsid w:val="00FB6D01"/>
    <w:rsid w:val="00FD0F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B20C7"/>
  <w15:chartTrackingRefBased/>
  <w15:docId w15:val="{F1D83C43-3382-4634-A711-EFE99774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64E46"/>
    <w:rPr>
      <w:rFonts w:cs="Times New Roman"/>
      <w:color w:val="0000FF"/>
      <w:u w:val="single"/>
      <w:lang w:val="da-DK" w:eastAsia="da-DK"/>
    </w:rPr>
  </w:style>
  <w:style w:type="paragraph" w:styleId="NormalWeb">
    <w:name w:val="Normal (Web)"/>
    <w:basedOn w:val="Normal"/>
    <w:uiPriority w:val="99"/>
    <w:unhideWhenUsed/>
    <w:rsid w:val="00A64E46"/>
    <w:pPr>
      <w:spacing w:before="100" w:beforeAutospacing="1" w:after="100" w:afterAutospacing="1"/>
    </w:pPr>
    <w:rPr>
      <w:sz w:val="24"/>
      <w:szCs w:val="24"/>
      <w:lang w:eastAsia="da-DK"/>
    </w:rPr>
  </w:style>
  <w:style w:type="paragraph" w:customStyle="1" w:styleId="Default">
    <w:name w:val="Default"/>
    <w:rsid w:val="00A64E46"/>
    <w:pPr>
      <w:autoSpaceDE w:val="0"/>
      <w:autoSpaceDN w:val="0"/>
      <w:adjustRightInd w:val="0"/>
    </w:pPr>
    <w:rPr>
      <w:color w:val="000000"/>
      <w:sz w:val="24"/>
      <w:szCs w:val="24"/>
    </w:rPr>
  </w:style>
  <w:style w:type="paragraph" w:styleId="Listeafsnit">
    <w:name w:val="List Paragraph"/>
    <w:basedOn w:val="Normal"/>
    <w:uiPriority w:val="34"/>
    <w:qFormat/>
    <w:rsid w:val="00A64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762137">
      <w:bodyDiv w:val="1"/>
      <w:marLeft w:val="0"/>
      <w:marRight w:val="0"/>
      <w:marTop w:val="0"/>
      <w:marBottom w:val="0"/>
      <w:divBdr>
        <w:top w:val="none" w:sz="0" w:space="0" w:color="auto"/>
        <w:left w:val="none" w:sz="0" w:space="0" w:color="auto"/>
        <w:bottom w:val="none" w:sz="0" w:space="0" w:color="auto"/>
        <w:right w:val="none" w:sz="0" w:space="0" w:color="auto"/>
      </w:divBdr>
    </w:div>
    <w:div w:id="228659153">
      <w:bodyDiv w:val="1"/>
      <w:marLeft w:val="0"/>
      <w:marRight w:val="0"/>
      <w:marTop w:val="0"/>
      <w:marBottom w:val="0"/>
      <w:divBdr>
        <w:top w:val="none" w:sz="0" w:space="0" w:color="auto"/>
        <w:left w:val="none" w:sz="0" w:space="0" w:color="auto"/>
        <w:bottom w:val="none" w:sz="0" w:space="0" w:color="auto"/>
        <w:right w:val="none" w:sz="0" w:space="0" w:color="auto"/>
      </w:divBdr>
    </w:div>
    <w:div w:id="362369320">
      <w:bodyDiv w:val="1"/>
      <w:marLeft w:val="0"/>
      <w:marRight w:val="0"/>
      <w:marTop w:val="0"/>
      <w:marBottom w:val="0"/>
      <w:divBdr>
        <w:top w:val="none" w:sz="0" w:space="0" w:color="auto"/>
        <w:left w:val="none" w:sz="0" w:space="0" w:color="auto"/>
        <w:bottom w:val="none" w:sz="0" w:space="0" w:color="auto"/>
        <w:right w:val="none" w:sz="0" w:space="0" w:color="auto"/>
      </w:divBdr>
    </w:div>
    <w:div w:id="482504181">
      <w:bodyDiv w:val="1"/>
      <w:marLeft w:val="0"/>
      <w:marRight w:val="0"/>
      <w:marTop w:val="0"/>
      <w:marBottom w:val="0"/>
      <w:divBdr>
        <w:top w:val="none" w:sz="0" w:space="0" w:color="auto"/>
        <w:left w:val="none" w:sz="0" w:space="0" w:color="auto"/>
        <w:bottom w:val="none" w:sz="0" w:space="0" w:color="auto"/>
        <w:right w:val="none" w:sz="0" w:space="0" w:color="auto"/>
      </w:divBdr>
    </w:div>
    <w:div w:id="757097622">
      <w:bodyDiv w:val="1"/>
      <w:marLeft w:val="0"/>
      <w:marRight w:val="0"/>
      <w:marTop w:val="0"/>
      <w:marBottom w:val="0"/>
      <w:divBdr>
        <w:top w:val="none" w:sz="0" w:space="0" w:color="auto"/>
        <w:left w:val="none" w:sz="0" w:space="0" w:color="auto"/>
        <w:bottom w:val="none" w:sz="0" w:space="0" w:color="auto"/>
        <w:right w:val="none" w:sz="0" w:space="0" w:color="auto"/>
      </w:divBdr>
    </w:div>
    <w:div w:id="812410287">
      <w:bodyDiv w:val="1"/>
      <w:marLeft w:val="0"/>
      <w:marRight w:val="0"/>
      <w:marTop w:val="0"/>
      <w:marBottom w:val="0"/>
      <w:divBdr>
        <w:top w:val="none" w:sz="0" w:space="0" w:color="auto"/>
        <w:left w:val="none" w:sz="0" w:space="0" w:color="auto"/>
        <w:bottom w:val="none" w:sz="0" w:space="0" w:color="auto"/>
        <w:right w:val="none" w:sz="0" w:space="0" w:color="auto"/>
      </w:divBdr>
    </w:div>
    <w:div w:id="1153641796">
      <w:bodyDiv w:val="1"/>
      <w:marLeft w:val="0"/>
      <w:marRight w:val="0"/>
      <w:marTop w:val="0"/>
      <w:marBottom w:val="0"/>
      <w:divBdr>
        <w:top w:val="none" w:sz="0" w:space="0" w:color="auto"/>
        <w:left w:val="none" w:sz="0" w:space="0" w:color="auto"/>
        <w:bottom w:val="none" w:sz="0" w:space="0" w:color="auto"/>
        <w:right w:val="none" w:sz="0" w:space="0" w:color="auto"/>
      </w:divBdr>
    </w:div>
    <w:div w:id="1223444415">
      <w:bodyDiv w:val="1"/>
      <w:marLeft w:val="0"/>
      <w:marRight w:val="0"/>
      <w:marTop w:val="0"/>
      <w:marBottom w:val="0"/>
      <w:divBdr>
        <w:top w:val="none" w:sz="0" w:space="0" w:color="auto"/>
        <w:left w:val="none" w:sz="0" w:space="0" w:color="auto"/>
        <w:bottom w:val="none" w:sz="0" w:space="0" w:color="auto"/>
        <w:right w:val="none" w:sz="0" w:space="0" w:color="auto"/>
      </w:divBdr>
    </w:div>
    <w:div w:id="1425684674">
      <w:bodyDiv w:val="1"/>
      <w:marLeft w:val="0"/>
      <w:marRight w:val="0"/>
      <w:marTop w:val="0"/>
      <w:marBottom w:val="0"/>
      <w:divBdr>
        <w:top w:val="none" w:sz="0" w:space="0" w:color="auto"/>
        <w:left w:val="none" w:sz="0" w:space="0" w:color="auto"/>
        <w:bottom w:val="none" w:sz="0" w:space="0" w:color="auto"/>
        <w:right w:val="none" w:sz="0" w:space="0" w:color="auto"/>
      </w:divBdr>
    </w:div>
    <w:div w:id="1542862145">
      <w:bodyDiv w:val="1"/>
      <w:marLeft w:val="0"/>
      <w:marRight w:val="0"/>
      <w:marTop w:val="0"/>
      <w:marBottom w:val="0"/>
      <w:divBdr>
        <w:top w:val="none" w:sz="0" w:space="0" w:color="auto"/>
        <w:left w:val="none" w:sz="0" w:space="0" w:color="auto"/>
        <w:bottom w:val="none" w:sz="0" w:space="0" w:color="auto"/>
        <w:right w:val="none" w:sz="0" w:space="0" w:color="auto"/>
      </w:divBdr>
    </w:div>
    <w:div w:id="1614288134">
      <w:bodyDiv w:val="1"/>
      <w:marLeft w:val="0"/>
      <w:marRight w:val="0"/>
      <w:marTop w:val="0"/>
      <w:marBottom w:val="0"/>
      <w:divBdr>
        <w:top w:val="none" w:sz="0" w:space="0" w:color="auto"/>
        <w:left w:val="none" w:sz="0" w:space="0" w:color="auto"/>
        <w:bottom w:val="none" w:sz="0" w:space="0" w:color="auto"/>
        <w:right w:val="none" w:sz="0" w:space="0" w:color="auto"/>
      </w:divBdr>
    </w:div>
    <w:div w:id="1704596190">
      <w:bodyDiv w:val="1"/>
      <w:marLeft w:val="0"/>
      <w:marRight w:val="0"/>
      <w:marTop w:val="0"/>
      <w:marBottom w:val="0"/>
      <w:divBdr>
        <w:top w:val="none" w:sz="0" w:space="0" w:color="auto"/>
        <w:left w:val="none" w:sz="0" w:space="0" w:color="auto"/>
        <w:bottom w:val="none" w:sz="0" w:space="0" w:color="auto"/>
        <w:right w:val="none" w:sz="0" w:space="0" w:color="auto"/>
      </w:divBdr>
    </w:div>
    <w:div w:id="1706172870">
      <w:bodyDiv w:val="1"/>
      <w:marLeft w:val="0"/>
      <w:marRight w:val="0"/>
      <w:marTop w:val="0"/>
      <w:marBottom w:val="0"/>
      <w:divBdr>
        <w:top w:val="none" w:sz="0" w:space="0" w:color="auto"/>
        <w:left w:val="none" w:sz="0" w:space="0" w:color="auto"/>
        <w:bottom w:val="none" w:sz="0" w:space="0" w:color="auto"/>
        <w:right w:val="none" w:sz="0" w:space="0" w:color="auto"/>
      </w:divBdr>
    </w:div>
    <w:div w:id="1776823037">
      <w:bodyDiv w:val="1"/>
      <w:marLeft w:val="0"/>
      <w:marRight w:val="0"/>
      <w:marTop w:val="0"/>
      <w:marBottom w:val="0"/>
      <w:divBdr>
        <w:top w:val="none" w:sz="0" w:space="0" w:color="auto"/>
        <w:left w:val="none" w:sz="0" w:space="0" w:color="auto"/>
        <w:bottom w:val="none" w:sz="0" w:space="0" w:color="auto"/>
        <w:right w:val="none" w:sz="0" w:space="0" w:color="auto"/>
      </w:divBdr>
    </w:div>
    <w:div w:id="1778599820">
      <w:bodyDiv w:val="1"/>
      <w:marLeft w:val="0"/>
      <w:marRight w:val="0"/>
      <w:marTop w:val="0"/>
      <w:marBottom w:val="0"/>
      <w:divBdr>
        <w:top w:val="none" w:sz="0" w:space="0" w:color="auto"/>
        <w:left w:val="none" w:sz="0" w:space="0" w:color="auto"/>
        <w:bottom w:val="none" w:sz="0" w:space="0" w:color="auto"/>
        <w:right w:val="none" w:sz="0" w:space="0" w:color="auto"/>
      </w:divBdr>
    </w:div>
    <w:div w:id="1789817509">
      <w:bodyDiv w:val="1"/>
      <w:marLeft w:val="0"/>
      <w:marRight w:val="0"/>
      <w:marTop w:val="0"/>
      <w:marBottom w:val="0"/>
      <w:divBdr>
        <w:top w:val="none" w:sz="0" w:space="0" w:color="auto"/>
        <w:left w:val="none" w:sz="0" w:space="0" w:color="auto"/>
        <w:bottom w:val="none" w:sz="0" w:space="0" w:color="auto"/>
        <w:right w:val="none" w:sz="0" w:space="0" w:color="auto"/>
      </w:divBdr>
    </w:div>
    <w:div w:id="1815442185">
      <w:bodyDiv w:val="1"/>
      <w:marLeft w:val="0"/>
      <w:marRight w:val="0"/>
      <w:marTop w:val="0"/>
      <w:marBottom w:val="0"/>
      <w:divBdr>
        <w:top w:val="none" w:sz="0" w:space="0" w:color="auto"/>
        <w:left w:val="none" w:sz="0" w:space="0" w:color="auto"/>
        <w:bottom w:val="none" w:sz="0" w:space="0" w:color="auto"/>
        <w:right w:val="none" w:sz="0" w:space="0" w:color="auto"/>
      </w:divBdr>
    </w:div>
    <w:div w:id="18989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5669</Words>
  <Characters>40013</Characters>
  <Application>Microsoft Office Word</Application>
  <DocSecurity>0</DocSecurity>
  <Lines>333</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2024102939_x000d_
SPC pkt. 4.4, 4.5 og 4.8</dc:description>
  <cp:lastModifiedBy>Victoria Alexsandra Ringgaard</cp:lastModifiedBy>
  <cp:revision>3</cp:revision>
  <cp:lastPrinted>2012-08-22T08:53:00Z</cp:lastPrinted>
  <dcterms:created xsi:type="dcterms:W3CDTF">2025-01-30T09:28:00Z</dcterms:created>
  <dcterms:modified xsi:type="dcterms:W3CDTF">2025-01-30T09:34:00Z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