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81659" w14:textId="77777777" w:rsidR="009260DE" w:rsidRPr="00C01559" w:rsidRDefault="0021526C" w:rsidP="009260DE">
      <w:pPr>
        <w:rPr>
          <w:sz w:val="24"/>
          <w:szCs w:val="24"/>
        </w:rPr>
      </w:pPr>
      <w:bookmarkStart w:id="0" w:name="_GoBack"/>
      <w:bookmarkEnd w:id="0"/>
      <w:r w:rsidRPr="00C01559">
        <w:rPr>
          <w:noProof/>
          <w:sz w:val="24"/>
          <w:szCs w:val="24"/>
          <w:lang w:eastAsia="da-DK"/>
        </w:rPr>
        <w:drawing>
          <wp:anchor distT="0" distB="0" distL="114300" distR="114300" simplePos="0" relativeHeight="251658240" behindDoc="0" locked="0" layoutInCell="1" allowOverlap="1" wp14:anchorId="5019F2D3" wp14:editId="0E8578C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01559">
        <w:rPr>
          <w:sz w:val="24"/>
          <w:szCs w:val="24"/>
        </w:rPr>
        <w:br w:type="textWrapping" w:clear="all"/>
      </w:r>
    </w:p>
    <w:p w14:paraId="773326F4" w14:textId="53447CFD" w:rsidR="009260DE" w:rsidRPr="00870E8F" w:rsidRDefault="009260DE" w:rsidP="009260DE">
      <w:pPr>
        <w:pStyle w:val="Titel"/>
        <w:tabs>
          <w:tab w:val="right" w:pos="9356"/>
        </w:tabs>
        <w:jc w:val="left"/>
        <w:rPr>
          <w:b w:val="0"/>
          <w:szCs w:val="24"/>
          <w:lang w:eastAsia="en-US"/>
        </w:rPr>
      </w:pPr>
      <w:r w:rsidRPr="00C01559">
        <w:rPr>
          <w:b w:val="0"/>
          <w:szCs w:val="24"/>
          <w:lang w:eastAsia="en-US"/>
        </w:rPr>
        <w:tab/>
      </w:r>
      <w:r w:rsidR="00734D3F">
        <w:rPr>
          <w:szCs w:val="24"/>
        </w:rPr>
        <w:t>20. februar 2025</w:t>
      </w:r>
    </w:p>
    <w:p w14:paraId="006A4A8B" w14:textId="77777777" w:rsidR="009260DE" w:rsidRPr="00870E8F" w:rsidRDefault="009260DE" w:rsidP="009260DE">
      <w:pPr>
        <w:pStyle w:val="Titel"/>
        <w:tabs>
          <w:tab w:val="left" w:pos="8222"/>
        </w:tabs>
        <w:jc w:val="left"/>
        <w:rPr>
          <w:b w:val="0"/>
          <w:szCs w:val="24"/>
        </w:rPr>
      </w:pPr>
    </w:p>
    <w:p w14:paraId="08BA7045" w14:textId="77777777" w:rsidR="009260DE" w:rsidRPr="00870E8F" w:rsidRDefault="009260DE" w:rsidP="009260DE">
      <w:pPr>
        <w:pStyle w:val="Titel"/>
        <w:jc w:val="left"/>
        <w:rPr>
          <w:b w:val="0"/>
          <w:szCs w:val="24"/>
        </w:rPr>
      </w:pPr>
    </w:p>
    <w:p w14:paraId="7371BC44" w14:textId="77777777" w:rsidR="009260DE" w:rsidRPr="00870E8F" w:rsidRDefault="009260DE" w:rsidP="009260DE">
      <w:pPr>
        <w:pStyle w:val="Titel"/>
        <w:jc w:val="left"/>
        <w:rPr>
          <w:b w:val="0"/>
          <w:szCs w:val="24"/>
        </w:rPr>
      </w:pPr>
    </w:p>
    <w:p w14:paraId="6D5060B1" w14:textId="77777777" w:rsidR="009260DE" w:rsidRPr="00870E8F" w:rsidRDefault="009260DE" w:rsidP="009260DE">
      <w:pPr>
        <w:jc w:val="center"/>
        <w:rPr>
          <w:b/>
          <w:sz w:val="24"/>
          <w:szCs w:val="24"/>
        </w:rPr>
      </w:pPr>
      <w:r w:rsidRPr="00870E8F">
        <w:rPr>
          <w:b/>
          <w:sz w:val="24"/>
          <w:szCs w:val="24"/>
        </w:rPr>
        <w:t>PRODUKTRESUMÉ</w:t>
      </w:r>
    </w:p>
    <w:p w14:paraId="3F9A62C2" w14:textId="77777777" w:rsidR="009260DE" w:rsidRPr="00870E8F" w:rsidRDefault="009260DE" w:rsidP="009260DE">
      <w:pPr>
        <w:jc w:val="center"/>
        <w:rPr>
          <w:b/>
          <w:sz w:val="24"/>
          <w:szCs w:val="24"/>
        </w:rPr>
      </w:pPr>
    </w:p>
    <w:p w14:paraId="20CB7B14" w14:textId="77777777" w:rsidR="009260DE" w:rsidRPr="00870E8F" w:rsidRDefault="009260DE" w:rsidP="009260DE">
      <w:pPr>
        <w:jc w:val="center"/>
        <w:rPr>
          <w:b/>
          <w:sz w:val="24"/>
          <w:szCs w:val="24"/>
        </w:rPr>
      </w:pPr>
      <w:r w:rsidRPr="00870E8F">
        <w:rPr>
          <w:b/>
          <w:sz w:val="24"/>
          <w:szCs w:val="24"/>
        </w:rPr>
        <w:t>for</w:t>
      </w:r>
    </w:p>
    <w:p w14:paraId="393D767F" w14:textId="77777777" w:rsidR="000B058C" w:rsidRPr="00870E8F" w:rsidRDefault="000B058C" w:rsidP="009260DE">
      <w:pPr>
        <w:jc w:val="center"/>
        <w:rPr>
          <w:b/>
          <w:sz w:val="24"/>
          <w:szCs w:val="24"/>
        </w:rPr>
      </w:pPr>
    </w:p>
    <w:p w14:paraId="05F7C3E0" w14:textId="229D131E" w:rsidR="009260DE" w:rsidRPr="00C01559" w:rsidRDefault="001F6EE9" w:rsidP="009260DE">
      <w:pPr>
        <w:jc w:val="center"/>
        <w:rPr>
          <w:b/>
          <w:sz w:val="24"/>
          <w:szCs w:val="24"/>
        </w:rPr>
      </w:pPr>
      <w:proofErr w:type="spellStart"/>
      <w:r w:rsidRPr="00C01559">
        <w:rPr>
          <w:b/>
          <w:sz w:val="24"/>
          <w:szCs w:val="24"/>
        </w:rPr>
        <w:t>Methotrexate</w:t>
      </w:r>
      <w:proofErr w:type="spellEnd"/>
      <w:r w:rsidRPr="00C01559">
        <w:rPr>
          <w:b/>
          <w:sz w:val="24"/>
          <w:szCs w:val="24"/>
        </w:rPr>
        <w:t xml:space="preserve"> "</w:t>
      </w:r>
      <w:proofErr w:type="spellStart"/>
      <w:r w:rsidRPr="00C01559">
        <w:rPr>
          <w:b/>
          <w:sz w:val="24"/>
          <w:szCs w:val="24"/>
        </w:rPr>
        <w:t>Afortas</w:t>
      </w:r>
      <w:proofErr w:type="spellEnd"/>
      <w:r w:rsidRPr="00C01559">
        <w:rPr>
          <w:b/>
          <w:sz w:val="24"/>
          <w:szCs w:val="24"/>
        </w:rPr>
        <w:t>", tabletter</w:t>
      </w:r>
    </w:p>
    <w:p w14:paraId="0D2224C5" w14:textId="77777777" w:rsidR="009260DE" w:rsidRPr="00C01559" w:rsidRDefault="009260DE" w:rsidP="009260DE">
      <w:pPr>
        <w:jc w:val="both"/>
        <w:rPr>
          <w:sz w:val="24"/>
          <w:szCs w:val="24"/>
        </w:rPr>
      </w:pPr>
    </w:p>
    <w:p w14:paraId="71E95C7A" w14:textId="77777777" w:rsidR="009260DE" w:rsidRPr="00C01559" w:rsidRDefault="009260DE" w:rsidP="009260DE">
      <w:pPr>
        <w:jc w:val="both"/>
        <w:rPr>
          <w:sz w:val="24"/>
          <w:szCs w:val="24"/>
        </w:rPr>
      </w:pPr>
    </w:p>
    <w:p w14:paraId="208D9607" w14:textId="77777777" w:rsidR="009260DE" w:rsidRPr="00C01559" w:rsidRDefault="009260DE" w:rsidP="009260DE">
      <w:pPr>
        <w:tabs>
          <w:tab w:val="left" w:pos="851"/>
        </w:tabs>
        <w:ind w:left="851" w:hanging="851"/>
        <w:rPr>
          <w:b/>
          <w:sz w:val="24"/>
          <w:szCs w:val="24"/>
        </w:rPr>
      </w:pPr>
      <w:r w:rsidRPr="00C01559">
        <w:rPr>
          <w:b/>
          <w:sz w:val="24"/>
          <w:szCs w:val="24"/>
        </w:rPr>
        <w:t>0.</w:t>
      </w:r>
      <w:r w:rsidRPr="00C01559">
        <w:rPr>
          <w:b/>
          <w:sz w:val="24"/>
          <w:szCs w:val="24"/>
        </w:rPr>
        <w:tab/>
        <w:t>D.SP.NR.</w:t>
      </w:r>
    </w:p>
    <w:p w14:paraId="72C15EFC" w14:textId="282DA201" w:rsidR="009260DE" w:rsidRPr="00C01559" w:rsidRDefault="001F6EE9" w:rsidP="009260DE">
      <w:pPr>
        <w:tabs>
          <w:tab w:val="left" w:pos="851"/>
        </w:tabs>
        <w:ind w:left="851"/>
        <w:rPr>
          <w:sz w:val="24"/>
          <w:szCs w:val="24"/>
        </w:rPr>
      </w:pPr>
      <w:r w:rsidRPr="00C01559">
        <w:rPr>
          <w:sz w:val="24"/>
          <w:szCs w:val="24"/>
        </w:rPr>
        <w:t>33691</w:t>
      </w:r>
    </w:p>
    <w:p w14:paraId="7F65DE95" w14:textId="77777777" w:rsidR="009260DE" w:rsidRPr="00C01559" w:rsidRDefault="009260DE" w:rsidP="009260DE">
      <w:pPr>
        <w:tabs>
          <w:tab w:val="left" w:pos="851"/>
        </w:tabs>
        <w:ind w:left="851"/>
        <w:rPr>
          <w:sz w:val="24"/>
          <w:szCs w:val="24"/>
        </w:rPr>
      </w:pPr>
    </w:p>
    <w:p w14:paraId="0218EFD8" w14:textId="77777777" w:rsidR="009260DE" w:rsidRPr="00C01559" w:rsidRDefault="009260DE" w:rsidP="009260DE">
      <w:pPr>
        <w:tabs>
          <w:tab w:val="left" w:pos="851"/>
        </w:tabs>
        <w:ind w:left="851" w:hanging="851"/>
        <w:rPr>
          <w:b/>
          <w:sz w:val="24"/>
          <w:szCs w:val="24"/>
        </w:rPr>
      </w:pPr>
      <w:r w:rsidRPr="00C01559">
        <w:rPr>
          <w:b/>
          <w:sz w:val="24"/>
          <w:szCs w:val="24"/>
        </w:rPr>
        <w:t>1.</w:t>
      </w:r>
      <w:r w:rsidRPr="00C01559">
        <w:rPr>
          <w:b/>
          <w:sz w:val="24"/>
          <w:szCs w:val="24"/>
        </w:rPr>
        <w:tab/>
        <w:t>LÆGEMIDLETS NAVN</w:t>
      </w:r>
    </w:p>
    <w:p w14:paraId="11B5F2BC" w14:textId="3992C43B" w:rsidR="009260DE" w:rsidRPr="00C01559" w:rsidRDefault="001F6EE9" w:rsidP="009260DE">
      <w:pPr>
        <w:tabs>
          <w:tab w:val="left" w:pos="851"/>
        </w:tabs>
        <w:ind w:left="851"/>
        <w:rPr>
          <w:sz w:val="24"/>
          <w:szCs w:val="24"/>
        </w:rPr>
      </w:pPr>
      <w:proofErr w:type="spellStart"/>
      <w:r w:rsidRPr="00C01559">
        <w:rPr>
          <w:sz w:val="24"/>
          <w:szCs w:val="24"/>
        </w:rPr>
        <w:t>Methotrexate</w:t>
      </w:r>
      <w:proofErr w:type="spellEnd"/>
      <w:r w:rsidRPr="00C01559">
        <w:rPr>
          <w:sz w:val="24"/>
          <w:szCs w:val="24"/>
        </w:rPr>
        <w:t xml:space="preserve"> "</w:t>
      </w:r>
      <w:proofErr w:type="spellStart"/>
      <w:r w:rsidRPr="00C01559">
        <w:rPr>
          <w:sz w:val="24"/>
          <w:szCs w:val="24"/>
        </w:rPr>
        <w:t>Afortas</w:t>
      </w:r>
      <w:proofErr w:type="spellEnd"/>
      <w:r w:rsidRPr="00C01559">
        <w:rPr>
          <w:sz w:val="24"/>
          <w:szCs w:val="24"/>
        </w:rPr>
        <w:t>"</w:t>
      </w:r>
    </w:p>
    <w:p w14:paraId="0C2DD1CC" w14:textId="77777777" w:rsidR="009260DE" w:rsidRPr="00C01559" w:rsidRDefault="009260DE" w:rsidP="009260DE">
      <w:pPr>
        <w:tabs>
          <w:tab w:val="left" w:pos="851"/>
        </w:tabs>
        <w:ind w:left="851"/>
        <w:rPr>
          <w:sz w:val="24"/>
          <w:szCs w:val="24"/>
        </w:rPr>
      </w:pPr>
    </w:p>
    <w:p w14:paraId="54D62BC4" w14:textId="77777777" w:rsidR="009260DE" w:rsidRPr="00C01559" w:rsidRDefault="009260DE" w:rsidP="009260DE">
      <w:pPr>
        <w:tabs>
          <w:tab w:val="left" w:pos="851"/>
        </w:tabs>
        <w:ind w:left="851" w:hanging="851"/>
        <w:rPr>
          <w:b/>
          <w:sz w:val="24"/>
          <w:szCs w:val="24"/>
        </w:rPr>
      </w:pPr>
      <w:r w:rsidRPr="00C01559">
        <w:rPr>
          <w:b/>
          <w:sz w:val="24"/>
          <w:szCs w:val="24"/>
        </w:rPr>
        <w:t>2.</w:t>
      </w:r>
      <w:r w:rsidRPr="00C01559">
        <w:rPr>
          <w:b/>
          <w:sz w:val="24"/>
          <w:szCs w:val="24"/>
        </w:rPr>
        <w:tab/>
        <w:t>KVALITATIV OG KVANTITATIV SAMMENSÆTNING</w:t>
      </w:r>
    </w:p>
    <w:p w14:paraId="640B6DDB" w14:textId="77777777" w:rsidR="00B5675F" w:rsidRPr="00C01559" w:rsidRDefault="00B5675F" w:rsidP="00B5675F">
      <w:pPr>
        <w:ind w:left="851"/>
        <w:rPr>
          <w:sz w:val="24"/>
          <w:szCs w:val="24"/>
        </w:rPr>
      </w:pPr>
      <w:r w:rsidRPr="00C01559">
        <w:rPr>
          <w:sz w:val="24"/>
          <w:szCs w:val="24"/>
        </w:rPr>
        <w:t xml:space="preserve">Hver tablet indeholder 2,5 mg </w:t>
      </w:r>
      <w:proofErr w:type="spellStart"/>
      <w:r w:rsidRPr="00C01559">
        <w:rPr>
          <w:sz w:val="24"/>
          <w:szCs w:val="24"/>
        </w:rPr>
        <w:t>methotrexat</w:t>
      </w:r>
      <w:proofErr w:type="spellEnd"/>
      <w:r w:rsidRPr="00C01559">
        <w:rPr>
          <w:sz w:val="24"/>
          <w:szCs w:val="24"/>
        </w:rPr>
        <w:t>.</w:t>
      </w:r>
    </w:p>
    <w:p w14:paraId="25826990" w14:textId="77777777" w:rsidR="00B5675F" w:rsidRPr="00C01559" w:rsidRDefault="00B5675F" w:rsidP="00B5675F">
      <w:pPr>
        <w:ind w:left="851"/>
        <w:rPr>
          <w:sz w:val="24"/>
          <w:szCs w:val="24"/>
        </w:rPr>
      </w:pPr>
    </w:p>
    <w:p w14:paraId="17188E95" w14:textId="77777777" w:rsidR="00B5675F" w:rsidRPr="00C01559" w:rsidRDefault="00B5675F" w:rsidP="00B5675F">
      <w:pPr>
        <w:ind w:left="851"/>
        <w:rPr>
          <w:sz w:val="24"/>
          <w:szCs w:val="24"/>
          <w:u w:val="single"/>
        </w:rPr>
      </w:pPr>
      <w:r w:rsidRPr="00C01559">
        <w:rPr>
          <w:sz w:val="24"/>
          <w:szCs w:val="24"/>
          <w:u w:val="single"/>
        </w:rPr>
        <w:t>Hjælpestof, som behandleren skal være opmærksom på:</w:t>
      </w:r>
    </w:p>
    <w:p w14:paraId="2422B8BB" w14:textId="77777777" w:rsidR="00B5675F" w:rsidRPr="00C01559" w:rsidRDefault="00B5675F" w:rsidP="00B5675F">
      <w:pPr>
        <w:ind w:left="851"/>
        <w:rPr>
          <w:sz w:val="24"/>
          <w:szCs w:val="24"/>
        </w:rPr>
      </w:pPr>
      <w:r w:rsidRPr="00C01559">
        <w:rPr>
          <w:sz w:val="24"/>
          <w:szCs w:val="24"/>
        </w:rPr>
        <w:t xml:space="preserve">Hver tablet indeholder 40 mg </w:t>
      </w:r>
      <w:proofErr w:type="spellStart"/>
      <w:r w:rsidRPr="00C01559">
        <w:rPr>
          <w:sz w:val="24"/>
          <w:szCs w:val="24"/>
        </w:rPr>
        <w:t>lactose</w:t>
      </w:r>
      <w:proofErr w:type="spellEnd"/>
      <w:r w:rsidRPr="00C01559">
        <w:rPr>
          <w:sz w:val="24"/>
          <w:szCs w:val="24"/>
        </w:rPr>
        <w:t xml:space="preserve"> (som monohydrat).</w:t>
      </w:r>
    </w:p>
    <w:p w14:paraId="6315A62A" w14:textId="77777777" w:rsidR="00B5675F" w:rsidRPr="00C01559" w:rsidRDefault="00B5675F" w:rsidP="00B5675F">
      <w:pPr>
        <w:ind w:left="851"/>
        <w:rPr>
          <w:sz w:val="24"/>
          <w:szCs w:val="24"/>
        </w:rPr>
      </w:pPr>
    </w:p>
    <w:p w14:paraId="509476FE" w14:textId="77777777" w:rsidR="00B5675F" w:rsidRPr="00C01559" w:rsidRDefault="00B5675F" w:rsidP="00B5675F">
      <w:pPr>
        <w:ind w:left="851"/>
        <w:rPr>
          <w:sz w:val="24"/>
          <w:szCs w:val="24"/>
        </w:rPr>
      </w:pPr>
      <w:r w:rsidRPr="00C01559">
        <w:rPr>
          <w:sz w:val="24"/>
          <w:szCs w:val="24"/>
        </w:rPr>
        <w:t>Alle hjælpestoffer er anført under pkt. 6.1.</w:t>
      </w:r>
    </w:p>
    <w:p w14:paraId="0E3D5E9A" w14:textId="77777777" w:rsidR="009260DE" w:rsidRPr="00C01559" w:rsidRDefault="009260DE" w:rsidP="009260DE">
      <w:pPr>
        <w:tabs>
          <w:tab w:val="left" w:pos="851"/>
        </w:tabs>
        <w:ind w:left="851"/>
        <w:rPr>
          <w:sz w:val="24"/>
          <w:szCs w:val="24"/>
        </w:rPr>
      </w:pPr>
    </w:p>
    <w:p w14:paraId="6362E614" w14:textId="77777777" w:rsidR="009260DE" w:rsidRPr="00C01559" w:rsidRDefault="009260DE" w:rsidP="009260DE">
      <w:pPr>
        <w:tabs>
          <w:tab w:val="left" w:pos="851"/>
        </w:tabs>
        <w:ind w:left="851" w:hanging="851"/>
        <w:rPr>
          <w:b/>
          <w:sz w:val="24"/>
          <w:szCs w:val="24"/>
        </w:rPr>
      </w:pPr>
      <w:r w:rsidRPr="00C01559">
        <w:rPr>
          <w:b/>
          <w:sz w:val="24"/>
          <w:szCs w:val="24"/>
        </w:rPr>
        <w:t>3.</w:t>
      </w:r>
      <w:r w:rsidRPr="00C01559">
        <w:rPr>
          <w:b/>
          <w:sz w:val="24"/>
          <w:szCs w:val="24"/>
        </w:rPr>
        <w:tab/>
        <w:t>LÆGEMIDDELFORM</w:t>
      </w:r>
    </w:p>
    <w:p w14:paraId="3CAC4576" w14:textId="07590715" w:rsidR="00B5675F" w:rsidRPr="00C01559" w:rsidRDefault="00B5675F" w:rsidP="00B5675F">
      <w:pPr>
        <w:ind w:left="851"/>
        <w:rPr>
          <w:sz w:val="24"/>
          <w:szCs w:val="24"/>
        </w:rPr>
      </w:pPr>
      <w:r w:rsidRPr="00C01559">
        <w:rPr>
          <w:sz w:val="24"/>
          <w:szCs w:val="24"/>
        </w:rPr>
        <w:t>Tablet</w:t>
      </w:r>
      <w:r w:rsidR="00C73CAD" w:rsidRPr="00C01559">
        <w:rPr>
          <w:sz w:val="24"/>
          <w:szCs w:val="24"/>
        </w:rPr>
        <w:t>ter</w:t>
      </w:r>
    </w:p>
    <w:p w14:paraId="37F1A34C" w14:textId="77777777" w:rsidR="00B5675F" w:rsidRPr="00C01559" w:rsidRDefault="00B5675F" w:rsidP="00B5675F">
      <w:pPr>
        <w:ind w:left="851"/>
        <w:rPr>
          <w:sz w:val="24"/>
          <w:szCs w:val="24"/>
        </w:rPr>
      </w:pPr>
    </w:p>
    <w:p w14:paraId="4C1275DF" w14:textId="77777777" w:rsidR="00B5675F" w:rsidRPr="00C01559" w:rsidRDefault="00B5675F" w:rsidP="00B5675F">
      <w:pPr>
        <w:ind w:left="851"/>
        <w:rPr>
          <w:sz w:val="24"/>
          <w:szCs w:val="24"/>
        </w:rPr>
      </w:pPr>
      <w:r w:rsidRPr="00C01559">
        <w:rPr>
          <w:sz w:val="24"/>
          <w:szCs w:val="24"/>
        </w:rPr>
        <w:t>Runde, gule tabletter med en diameter på 6 mm, der er flade på begge sider med runde kanter. Tabletterne har en delekærv på den ene side og er glatte på den anden side.</w:t>
      </w:r>
    </w:p>
    <w:p w14:paraId="7B40CEFD" w14:textId="77777777" w:rsidR="00B5675F" w:rsidRPr="00C01559" w:rsidRDefault="00B5675F" w:rsidP="00B5675F">
      <w:pPr>
        <w:ind w:left="851"/>
        <w:rPr>
          <w:sz w:val="24"/>
          <w:szCs w:val="24"/>
        </w:rPr>
      </w:pPr>
    </w:p>
    <w:p w14:paraId="0051BE18" w14:textId="77777777" w:rsidR="00B5675F" w:rsidRPr="00C01559" w:rsidRDefault="00B5675F" w:rsidP="00B5675F">
      <w:pPr>
        <w:ind w:left="851"/>
        <w:rPr>
          <w:sz w:val="24"/>
          <w:szCs w:val="24"/>
        </w:rPr>
      </w:pPr>
      <w:r w:rsidRPr="00C01559">
        <w:rPr>
          <w:sz w:val="24"/>
          <w:szCs w:val="24"/>
        </w:rPr>
        <w:t>Tabletten har kun delekærv for at muliggøre deling af tabletten, så den er nemmere at sluge. Tabletten kan ikke deles i to lige store doser.</w:t>
      </w:r>
    </w:p>
    <w:p w14:paraId="70692962" w14:textId="77777777" w:rsidR="009260DE" w:rsidRPr="00C01559" w:rsidRDefault="009260DE" w:rsidP="009260DE">
      <w:pPr>
        <w:tabs>
          <w:tab w:val="left" w:pos="851"/>
        </w:tabs>
        <w:ind w:left="851"/>
        <w:rPr>
          <w:sz w:val="24"/>
          <w:szCs w:val="24"/>
        </w:rPr>
      </w:pPr>
    </w:p>
    <w:p w14:paraId="0D658AD8" w14:textId="77777777" w:rsidR="009260DE" w:rsidRPr="00C01559" w:rsidRDefault="009260DE" w:rsidP="009260DE">
      <w:pPr>
        <w:tabs>
          <w:tab w:val="left" w:pos="851"/>
        </w:tabs>
        <w:ind w:left="851"/>
        <w:rPr>
          <w:sz w:val="24"/>
          <w:szCs w:val="24"/>
        </w:rPr>
      </w:pPr>
    </w:p>
    <w:p w14:paraId="0B8C25DD" w14:textId="77777777" w:rsidR="009260DE" w:rsidRPr="00C01559" w:rsidRDefault="009260DE" w:rsidP="009260DE">
      <w:pPr>
        <w:tabs>
          <w:tab w:val="left" w:pos="851"/>
        </w:tabs>
        <w:ind w:left="851" w:hanging="851"/>
        <w:rPr>
          <w:b/>
          <w:sz w:val="24"/>
          <w:szCs w:val="24"/>
        </w:rPr>
      </w:pPr>
      <w:r w:rsidRPr="00C01559">
        <w:rPr>
          <w:b/>
          <w:sz w:val="24"/>
          <w:szCs w:val="24"/>
        </w:rPr>
        <w:t>4.</w:t>
      </w:r>
      <w:r w:rsidRPr="00C01559">
        <w:rPr>
          <w:b/>
          <w:sz w:val="24"/>
          <w:szCs w:val="24"/>
        </w:rPr>
        <w:tab/>
        <w:t>KLINISKE OPLYSNINGER</w:t>
      </w:r>
    </w:p>
    <w:p w14:paraId="1A9534E7" w14:textId="77777777" w:rsidR="009260DE" w:rsidRPr="00C01559" w:rsidRDefault="009260DE" w:rsidP="009260DE">
      <w:pPr>
        <w:tabs>
          <w:tab w:val="left" w:pos="851"/>
        </w:tabs>
        <w:ind w:left="851"/>
        <w:rPr>
          <w:b/>
          <w:sz w:val="24"/>
          <w:szCs w:val="24"/>
        </w:rPr>
      </w:pPr>
    </w:p>
    <w:p w14:paraId="691B3C6F" w14:textId="77777777" w:rsidR="009260DE" w:rsidRPr="00C01559" w:rsidRDefault="009260DE" w:rsidP="009260DE">
      <w:pPr>
        <w:tabs>
          <w:tab w:val="left" w:pos="851"/>
        </w:tabs>
        <w:ind w:left="851" w:hanging="851"/>
        <w:rPr>
          <w:b/>
          <w:sz w:val="24"/>
          <w:szCs w:val="24"/>
          <w:u w:val="single"/>
        </w:rPr>
      </w:pPr>
      <w:r w:rsidRPr="00C01559">
        <w:rPr>
          <w:b/>
          <w:sz w:val="24"/>
          <w:szCs w:val="24"/>
        </w:rPr>
        <w:t>4.1</w:t>
      </w:r>
      <w:r w:rsidRPr="00C01559">
        <w:rPr>
          <w:b/>
          <w:sz w:val="24"/>
          <w:szCs w:val="24"/>
        </w:rPr>
        <w:tab/>
        <w:t>Terapeutiske indikationer</w:t>
      </w:r>
    </w:p>
    <w:p w14:paraId="2CF74AFD" w14:textId="7713A928" w:rsidR="00B5675F" w:rsidRPr="00C01559" w:rsidRDefault="00B5675F" w:rsidP="00870E8F">
      <w:pPr>
        <w:ind w:left="851"/>
        <w:rPr>
          <w:caps/>
          <w:sz w:val="24"/>
          <w:szCs w:val="24"/>
          <w:u w:val="single"/>
        </w:rPr>
      </w:pPr>
      <w:proofErr w:type="spellStart"/>
      <w:r w:rsidRPr="00C01559">
        <w:rPr>
          <w:sz w:val="24"/>
          <w:szCs w:val="24"/>
        </w:rPr>
        <w:t>Methotrexate</w:t>
      </w:r>
      <w:proofErr w:type="spellEnd"/>
      <w:r w:rsidRPr="00C01559">
        <w:rPr>
          <w:sz w:val="24"/>
          <w:szCs w:val="24"/>
        </w:rPr>
        <w:t xml:space="preserve"> </w:t>
      </w:r>
      <w:r w:rsidR="00C01559">
        <w:rPr>
          <w:sz w:val="24"/>
          <w:szCs w:val="24"/>
        </w:rPr>
        <w:t>"</w:t>
      </w:r>
      <w:proofErr w:type="spellStart"/>
      <w:r w:rsidR="00C01559">
        <w:rPr>
          <w:sz w:val="24"/>
          <w:szCs w:val="24"/>
        </w:rPr>
        <w:t>Afortas</w:t>
      </w:r>
      <w:proofErr w:type="spellEnd"/>
      <w:r w:rsidR="00C01559">
        <w:rPr>
          <w:sz w:val="24"/>
          <w:szCs w:val="24"/>
        </w:rPr>
        <w:t>"</w:t>
      </w:r>
      <w:r w:rsidRPr="00C01559">
        <w:rPr>
          <w:sz w:val="24"/>
          <w:szCs w:val="24"/>
        </w:rPr>
        <w:t xml:space="preserve"> anvendes ved følgende indikationer:</w:t>
      </w:r>
    </w:p>
    <w:p w14:paraId="260489A7" w14:textId="77777777" w:rsidR="00B5675F" w:rsidRPr="00C01559" w:rsidRDefault="00B5675F" w:rsidP="00870E8F">
      <w:pPr>
        <w:ind w:left="851"/>
        <w:rPr>
          <w:caps/>
          <w:sz w:val="24"/>
          <w:szCs w:val="24"/>
          <w:u w:val="single"/>
        </w:rPr>
      </w:pPr>
    </w:p>
    <w:p w14:paraId="172198EC" w14:textId="77777777" w:rsidR="00B5675F" w:rsidRPr="00C01559" w:rsidRDefault="00B5675F" w:rsidP="00870E8F">
      <w:pPr>
        <w:ind w:left="851"/>
        <w:rPr>
          <w:iCs/>
          <w:sz w:val="24"/>
          <w:szCs w:val="24"/>
        </w:rPr>
      </w:pPr>
      <w:r w:rsidRPr="00C01559">
        <w:rPr>
          <w:i/>
          <w:iCs/>
          <w:sz w:val="24"/>
          <w:szCs w:val="24"/>
          <w:u w:val="single"/>
        </w:rPr>
        <w:t>Reumatologiske og dermatologiske sygdomme</w:t>
      </w:r>
    </w:p>
    <w:p w14:paraId="7EF4539F" w14:textId="77777777" w:rsidR="00B5675F" w:rsidRPr="00C01559" w:rsidRDefault="00B5675F" w:rsidP="00870E8F">
      <w:pPr>
        <w:ind w:left="851"/>
        <w:rPr>
          <w:i/>
          <w:sz w:val="24"/>
          <w:szCs w:val="24"/>
        </w:rPr>
      </w:pPr>
    </w:p>
    <w:p w14:paraId="7E38FC4F" w14:textId="77777777" w:rsidR="00B5675F" w:rsidRPr="00C01559" w:rsidRDefault="00B5675F" w:rsidP="00870E8F">
      <w:pPr>
        <w:pStyle w:val="Listeafsnit"/>
        <w:numPr>
          <w:ilvl w:val="0"/>
          <w:numId w:val="11"/>
        </w:numPr>
        <w:tabs>
          <w:tab w:val="clear" w:pos="567"/>
        </w:tabs>
        <w:spacing w:line="240" w:lineRule="auto"/>
        <w:ind w:left="1276" w:hanging="425"/>
        <w:rPr>
          <w:sz w:val="24"/>
          <w:szCs w:val="24"/>
        </w:rPr>
      </w:pPr>
      <w:r w:rsidRPr="00C01559">
        <w:rPr>
          <w:sz w:val="24"/>
          <w:szCs w:val="24"/>
        </w:rPr>
        <w:t xml:space="preserve">Aktiv </w:t>
      </w:r>
      <w:proofErr w:type="spellStart"/>
      <w:r w:rsidRPr="00C01559">
        <w:rPr>
          <w:sz w:val="24"/>
          <w:szCs w:val="24"/>
        </w:rPr>
        <w:t>reumatoid</w:t>
      </w:r>
      <w:proofErr w:type="spellEnd"/>
      <w:r w:rsidRPr="00C01559">
        <w:rPr>
          <w:sz w:val="24"/>
          <w:szCs w:val="24"/>
        </w:rPr>
        <w:t xml:space="preserve"> </w:t>
      </w:r>
      <w:proofErr w:type="spellStart"/>
      <w:r w:rsidRPr="00C01559">
        <w:rPr>
          <w:sz w:val="24"/>
          <w:szCs w:val="24"/>
        </w:rPr>
        <w:t>artrit</w:t>
      </w:r>
      <w:proofErr w:type="spellEnd"/>
      <w:r w:rsidRPr="00C01559">
        <w:rPr>
          <w:sz w:val="24"/>
          <w:szCs w:val="24"/>
        </w:rPr>
        <w:t xml:space="preserve"> hos voksne patienter.</w:t>
      </w:r>
    </w:p>
    <w:p w14:paraId="6B346526" w14:textId="77777777" w:rsidR="00B5675F" w:rsidRPr="00C01559" w:rsidRDefault="00B5675F" w:rsidP="00870E8F">
      <w:pPr>
        <w:pStyle w:val="Listeafsnit"/>
        <w:numPr>
          <w:ilvl w:val="0"/>
          <w:numId w:val="11"/>
        </w:numPr>
        <w:tabs>
          <w:tab w:val="clear" w:pos="567"/>
        </w:tabs>
        <w:spacing w:line="240" w:lineRule="auto"/>
        <w:ind w:left="1276" w:hanging="425"/>
        <w:rPr>
          <w:sz w:val="24"/>
          <w:szCs w:val="24"/>
        </w:rPr>
      </w:pPr>
      <w:proofErr w:type="spellStart"/>
      <w:r w:rsidRPr="00C01559">
        <w:rPr>
          <w:sz w:val="24"/>
          <w:szCs w:val="24"/>
        </w:rPr>
        <w:t>Polyartikulære</w:t>
      </w:r>
      <w:proofErr w:type="spellEnd"/>
      <w:r w:rsidRPr="00C01559">
        <w:rPr>
          <w:sz w:val="24"/>
          <w:szCs w:val="24"/>
        </w:rPr>
        <w:t xml:space="preserve"> former af aktiv, svær juvenil idiopatisk </w:t>
      </w:r>
      <w:proofErr w:type="spellStart"/>
      <w:r w:rsidRPr="00C01559">
        <w:rPr>
          <w:sz w:val="24"/>
          <w:szCs w:val="24"/>
        </w:rPr>
        <w:t>artrit</w:t>
      </w:r>
      <w:proofErr w:type="spellEnd"/>
      <w:r w:rsidRPr="00C01559">
        <w:rPr>
          <w:sz w:val="24"/>
          <w:szCs w:val="24"/>
        </w:rPr>
        <w:t xml:space="preserve"> (JIA) hos unge og børn i alderen 3 år og derover, som har haft utilstrækkeligt respons på behandling med non-</w:t>
      </w:r>
      <w:proofErr w:type="spellStart"/>
      <w:r w:rsidRPr="00C01559">
        <w:rPr>
          <w:sz w:val="24"/>
          <w:szCs w:val="24"/>
        </w:rPr>
        <w:t>steroide</w:t>
      </w:r>
      <w:proofErr w:type="spellEnd"/>
      <w:r w:rsidRPr="00C01559">
        <w:rPr>
          <w:sz w:val="24"/>
          <w:szCs w:val="24"/>
        </w:rPr>
        <w:t xml:space="preserve"> antiinflammatoriske lægemidler (</w:t>
      </w:r>
      <w:proofErr w:type="spellStart"/>
      <w:r w:rsidRPr="00C01559">
        <w:rPr>
          <w:sz w:val="24"/>
          <w:szCs w:val="24"/>
        </w:rPr>
        <w:t>NSAID’er</w:t>
      </w:r>
      <w:proofErr w:type="spellEnd"/>
      <w:r w:rsidRPr="00C01559">
        <w:rPr>
          <w:sz w:val="24"/>
          <w:szCs w:val="24"/>
        </w:rPr>
        <w:t>).</w:t>
      </w:r>
    </w:p>
    <w:p w14:paraId="541945C9" w14:textId="77777777" w:rsidR="00B5675F" w:rsidRPr="00C01559" w:rsidRDefault="00B5675F" w:rsidP="00870E8F">
      <w:pPr>
        <w:pStyle w:val="Listeafsnit"/>
        <w:numPr>
          <w:ilvl w:val="0"/>
          <w:numId w:val="11"/>
        </w:numPr>
        <w:tabs>
          <w:tab w:val="clear" w:pos="567"/>
        </w:tabs>
        <w:spacing w:line="240" w:lineRule="auto"/>
        <w:ind w:left="1276" w:hanging="425"/>
        <w:rPr>
          <w:sz w:val="24"/>
          <w:szCs w:val="24"/>
        </w:rPr>
      </w:pPr>
      <w:r w:rsidRPr="00C01559">
        <w:rPr>
          <w:sz w:val="24"/>
          <w:szCs w:val="24"/>
        </w:rPr>
        <w:lastRenderedPageBreak/>
        <w:t xml:space="preserve">Svær, behandlingsrefraktær, invaliderende psoriasis, som ikke responderer tilstrækkeligt på andre behandlingsformer, såsom lysbehandling, behandling med </w:t>
      </w:r>
      <w:proofErr w:type="spellStart"/>
      <w:r w:rsidRPr="00C01559">
        <w:rPr>
          <w:sz w:val="24"/>
          <w:szCs w:val="24"/>
        </w:rPr>
        <w:t>psoralen</w:t>
      </w:r>
      <w:proofErr w:type="spellEnd"/>
      <w:r w:rsidRPr="00C01559">
        <w:rPr>
          <w:sz w:val="24"/>
          <w:szCs w:val="24"/>
        </w:rPr>
        <w:t xml:space="preserve"> og ultraviolet A-stråler (PUVA) og </w:t>
      </w:r>
      <w:proofErr w:type="spellStart"/>
      <w:r w:rsidRPr="00C01559">
        <w:rPr>
          <w:sz w:val="24"/>
          <w:szCs w:val="24"/>
        </w:rPr>
        <w:t>retinoider</w:t>
      </w:r>
      <w:proofErr w:type="spellEnd"/>
      <w:r w:rsidRPr="00C01559">
        <w:rPr>
          <w:sz w:val="24"/>
          <w:szCs w:val="24"/>
        </w:rPr>
        <w:t xml:space="preserve">, samt svær </w:t>
      </w:r>
      <w:proofErr w:type="spellStart"/>
      <w:r w:rsidRPr="00C01559">
        <w:rPr>
          <w:sz w:val="24"/>
          <w:szCs w:val="24"/>
        </w:rPr>
        <w:t>psoriasisartrit</w:t>
      </w:r>
      <w:proofErr w:type="spellEnd"/>
      <w:r w:rsidRPr="00C01559">
        <w:rPr>
          <w:sz w:val="24"/>
          <w:szCs w:val="24"/>
        </w:rPr>
        <w:t xml:space="preserve"> hos voksne patienter.</w:t>
      </w:r>
    </w:p>
    <w:p w14:paraId="167281B4" w14:textId="77777777" w:rsidR="00C73CAD" w:rsidRPr="00C01559" w:rsidRDefault="00C73CAD" w:rsidP="00870E8F">
      <w:pPr>
        <w:ind w:left="851"/>
        <w:rPr>
          <w:i/>
          <w:iCs/>
          <w:sz w:val="24"/>
          <w:szCs w:val="24"/>
          <w:u w:val="single"/>
        </w:rPr>
      </w:pPr>
    </w:p>
    <w:p w14:paraId="689707E9" w14:textId="04D5BAF8" w:rsidR="00B5675F" w:rsidRPr="00C01559" w:rsidRDefault="00B5675F" w:rsidP="00870E8F">
      <w:pPr>
        <w:ind w:left="851"/>
        <w:rPr>
          <w:iCs/>
          <w:sz w:val="24"/>
          <w:szCs w:val="24"/>
        </w:rPr>
      </w:pPr>
      <w:r w:rsidRPr="00C01559">
        <w:rPr>
          <w:i/>
          <w:iCs/>
          <w:sz w:val="24"/>
          <w:szCs w:val="24"/>
          <w:u w:val="single"/>
        </w:rPr>
        <w:t>Onkologi</w:t>
      </w:r>
    </w:p>
    <w:p w14:paraId="051751F6" w14:textId="77777777" w:rsidR="00B5675F" w:rsidRPr="00C01559" w:rsidRDefault="00B5675F" w:rsidP="00870E8F">
      <w:pPr>
        <w:ind w:left="851"/>
        <w:rPr>
          <w:i/>
          <w:sz w:val="24"/>
          <w:szCs w:val="24"/>
        </w:rPr>
      </w:pPr>
    </w:p>
    <w:p w14:paraId="6AAFF573" w14:textId="77777777" w:rsidR="00B5675F" w:rsidRPr="00C01559" w:rsidRDefault="00B5675F" w:rsidP="00870E8F">
      <w:pPr>
        <w:pStyle w:val="Listeafsnit"/>
        <w:numPr>
          <w:ilvl w:val="0"/>
          <w:numId w:val="12"/>
        </w:numPr>
        <w:tabs>
          <w:tab w:val="clear" w:pos="567"/>
        </w:tabs>
        <w:spacing w:line="240" w:lineRule="auto"/>
        <w:ind w:left="1276" w:hanging="425"/>
        <w:rPr>
          <w:sz w:val="24"/>
          <w:szCs w:val="24"/>
        </w:rPr>
      </w:pPr>
      <w:r w:rsidRPr="00C01559">
        <w:rPr>
          <w:sz w:val="24"/>
          <w:szCs w:val="24"/>
        </w:rPr>
        <w:t>Vedligeholdelsesbehandling af akut lymfatisk leukæmi (ALL) hos voksne, unge og børn i alderen 3 år og derover</w:t>
      </w:r>
    </w:p>
    <w:p w14:paraId="3FD2EBE6" w14:textId="77777777" w:rsidR="009260DE" w:rsidRPr="00C01559" w:rsidRDefault="009260DE" w:rsidP="00870E8F">
      <w:pPr>
        <w:tabs>
          <w:tab w:val="left" w:pos="851"/>
        </w:tabs>
        <w:ind w:left="851"/>
        <w:rPr>
          <w:sz w:val="24"/>
          <w:szCs w:val="24"/>
        </w:rPr>
      </w:pPr>
    </w:p>
    <w:p w14:paraId="19B0A1A3" w14:textId="77777777" w:rsidR="009260DE" w:rsidRPr="00C01559" w:rsidRDefault="009260DE" w:rsidP="009260DE">
      <w:pPr>
        <w:tabs>
          <w:tab w:val="left" w:pos="851"/>
        </w:tabs>
        <w:ind w:left="851" w:hanging="851"/>
        <w:rPr>
          <w:b/>
          <w:sz w:val="24"/>
          <w:szCs w:val="24"/>
        </w:rPr>
      </w:pPr>
      <w:r w:rsidRPr="00C01559">
        <w:rPr>
          <w:b/>
          <w:sz w:val="24"/>
          <w:szCs w:val="24"/>
        </w:rPr>
        <w:t>4.2</w:t>
      </w:r>
      <w:r w:rsidRPr="00C01559">
        <w:rPr>
          <w:b/>
          <w:sz w:val="24"/>
          <w:szCs w:val="24"/>
        </w:rPr>
        <w:tab/>
        <w:t xml:space="preserve">Dosering og </w:t>
      </w:r>
      <w:r w:rsidR="002C1EC0" w:rsidRPr="00C01559">
        <w:rPr>
          <w:b/>
          <w:sz w:val="24"/>
          <w:szCs w:val="24"/>
        </w:rPr>
        <w:t>administration</w:t>
      </w:r>
    </w:p>
    <w:p w14:paraId="5B951FAD" w14:textId="77777777" w:rsidR="00B5675F" w:rsidRPr="00C01559" w:rsidRDefault="00B5675F" w:rsidP="00B5675F">
      <w:pPr>
        <w:ind w:left="851"/>
        <w:rPr>
          <w:sz w:val="24"/>
          <w:szCs w:val="24"/>
        </w:rPr>
      </w:pPr>
      <w:proofErr w:type="spellStart"/>
      <w:r w:rsidRPr="00C01559">
        <w:rPr>
          <w:sz w:val="24"/>
          <w:szCs w:val="24"/>
        </w:rPr>
        <w:t>Methotrexat</w:t>
      </w:r>
      <w:proofErr w:type="spellEnd"/>
      <w:r w:rsidRPr="00C01559">
        <w:rPr>
          <w:sz w:val="24"/>
          <w:szCs w:val="24"/>
        </w:rPr>
        <w:t xml:space="preserve"> bør kun ordineres af læger med ekspertise i brugen af </w:t>
      </w:r>
      <w:proofErr w:type="spellStart"/>
      <w:r w:rsidRPr="00C01559">
        <w:rPr>
          <w:sz w:val="24"/>
          <w:szCs w:val="24"/>
        </w:rPr>
        <w:t>methotrexat</w:t>
      </w:r>
      <w:proofErr w:type="spellEnd"/>
      <w:r w:rsidRPr="00C01559">
        <w:rPr>
          <w:sz w:val="24"/>
          <w:szCs w:val="24"/>
        </w:rPr>
        <w:t xml:space="preserve"> og med fuld forståelse for de risici, der er forbundet med </w:t>
      </w:r>
      <w:proofErr w:type="spellStart"/>
      <w:r w:rsidRPr="00C01559">
        <w:rPr>
          <w:sz w:val="24"/>
          <w:szCs w:val="24"/>
        </w:rPr>
        <w:t>methotrexatbehandling</w:t>
      </w:r>
      <w:proofErr w:type="spellEnd"/>
      <w:r w:rsidRPr="00C01559">
        <w:rPr>
          <w:sz w:val="24"/>
          <w:szCs w:val="24"/>
        </w:rPr>
        <w:t xml:space="preserve">. </w:t>
      </w:r>
    </w:p>
    <w:p w14:paraId="069E5EAF" w14:textId="77777777" w:rsidR="00C73CAD" w:rsidRPr="00C01559" w:rsidRDefault="00C73CAD" w:rsidP="00B5675F">
      <w:pPr>
        <w:ind w:left="851"/>
        <w:rPr>
          <w:i/>
          <w:iCs/>
          <w:sz w:val="24"/>
          <w:szCs w:val="24"/>
          <w:u w:val="single"/>
        </w:rPr>
      </w:pPr>
    </w:p>
    <w:p w14:paraId="02ED2903" w14:textId="4E3C9EA1" w:rsidR="00B5675F" w:rsidRPr="00C01559" w:rsidRDefault="00B5675F" w:rsidP="00B5675F">
      <w:pPr>
        <w:ind w:left="851"/>
        <w:rPr>
          <w:iCs/>
          <w:sz w:val="24"/>
          <w:szCs w:val="24"/>
        </w:rPr>
      </w:pPr>
      <w:r w:rsidRPr="00C01559">
        <w:rPr>
          <w:iCs/>
          <w:sz w:val="24"/>
          <w:szCs w:val="24"/>
          <w:u w:val="single"/>
        </w:rPr>
        <w:t>Dosering</w:t>
      </w:r>
    </w:p>
    <w:p w14:paraId="5F4B008D" w14:textId="77777777" w:rsidR="00B5675F" w:rsidRPr="00C01559" w:rsidRDefault="00B5675F" w:rsidP="00B5675F">
      <w:pPr>
        <w:ind w:left="851"/>
        <w:rPr>
          <w:i/>
          <w:sz w:val="24"/>
          <w:szCs w:val="24"/>
        </w:rPr>
      </w:pPr>
      <w:r w:rsidRPr="00C01559">
        <w:rPr>
          <w:i/>
          <w:sz w:val="24"/>
          <w:szCs w:val="24"/>
          <w:u w:val="single"/>
        </w:rPr>
        <w:t>Reumatologiske og dermatologiske sygdomme</w:t>
      </w:r>
    </w:p>
    <w:p w14:paraId="5B60FE5C" w14:textId="04A30B09" w:rsidR="00B5675F" w:rsidRPr="00C01559" w:rsidRDefault="00B5675F" w:rsidP="00C73CAD">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C73CAD" w:rsidRPr="00C01559" w14:paraId="4B43023F" w14:textId="77777777" w:rsidTr="00C73CAD">
        <w:tc>
          <w:tcPr>
            <w:tcW w:w="9628" w:type="dxa"/>
          </w:tcPr>
          <w:p w14:paraId="6AC3ED05" w14:textId="12EFF58E" w:rsidR="00C73CAD" w:rsidRPr="00C01559" w:rsidRDefault="00C73CAD" w:rsidP="00C73CAD">
            <w:pPr>
              <w:ind w:left="33"/>
              <w:rPr>
                <w:bCs/>
                <w:sz w:val="24"/>
                <w:szCs w:val="24"/>
              </w:rPr>
            </w:pPr>
            <w:r w:rsidRPr="00C01559">
              <w:rPr>
                <w:b/>
                <w:sz w:val="24"/>
                <w:szCs w:val="24"/>
              </w:rPr>
              <w:t xml:space="preserve">Vigtig advarsel vedrørende doseringen af </w:t>
            </w:r>
            <w:proofErr w:type="spellStart"/>
            <w:r w:rsidRPr="00C01559">
              <w:rPr>
                <w:b/>
                <w:sz w:val="24"/>
                <w:szCs w:val="24"/>
              </w:rPr>
              <w:t>Methotrexate</w:t>
            </w:r>
            <w:proofErr w:type="spellEnd"/>
            <w:r w:rsidRPr="00C01559">
              <w:rPr>
                <w:b/>
                <w:sz w:val="24"/>
                <w:szCs w:val="24"/>
              </w:rPr>
              <w:t xml:space="preserve"> </w:t>
            </w:r>
            <w:r w:rsidR="00C01559">
              <w:rPr>
                <w:b/>
                <w:sz w:val="24"/>
                <w:szCs w:val="24"/>
              </w:rPr>
              <w:t>"</w:t>
            </w:r>
            <w:proofErr w:type="spellStart"/>
            <w:r w:rsidR="00C01559">
              <w:rPr>
                <w:b/>
                <w:sz w:val="24"/>
                <w:szCs w:val="24"/>
              </w:rPr>
              <w:t>Afortas</w:t>
            </w:r>
            <w:proofErr w:type="spellEnd"/>
            <w:r w:rsidR="00C01559">
              <w:rPr>
                <w:b/>
                <w:sz w:val="24"/>
                <w:szCs w:val="24"/>
              </w:rPr>
              <w:t>"</w:t>
            </w:r>
            <w:r w:rsidRPr="00C01559">
              <w:rPr>
                <w:b/>
                <w:sz w:val="24"/>
                <w:szCs w:val="24"/>
              </w:rPr>
              <w:t xml:space="preserve"> (</w:t>
            </w:r>
            <w:proofErr w:type="spellStart"/>
            <w:r w:rsidRPr="00C01559">
              <w:rPr>
                <w:b/>
                <w:sz w:val="24"/>
                <w:szCs w:val="24"/>
              </w:rPr>
              <w:t>methotrexat</w:t>
            </w:r>
            <w:proofErr w:type="spellEnd"/>
            <w:r w:rsidRPr="00C01559">
              <w:rPr>
                <w:b/>
                <w:sz w:val="24"/>
                <w:szCs w:val="24"/>
              </w:rPr>
              <w:t>):</w:t>
            </w:r>
          </w:p>
          <w:p w14:paraId="7968C4B6" w14:textId="51B87195" w:rsidR="00C73CAD" w:rsidRPr="00C01559" w:rsidRDefault="00C73CAD" w:rsidP="00C73CAD">
            <w:pPr>
              <w:ind w:left="33"/>
              <w:rPr>
                <w:bCs/>
                <w:sz w:val="24"/>
                <w:szCs w:val="24"/>
              </w:rPr>
            </w:pPr>
            <w:r w:rsidRPr="00C01559">
              <w:rPr>
                <w:sz w:val="24"/>
                <w:szCs w:val="24"/>
              </w:rPr>
              <w:t xml:space="preserve">Ved behandling af </w:t>
            </w:r>
            <w:proofErr w:type="spellStart"/>
            <w:r w:rsidRPr="00C01559">
              <w:rPr>
                <w:sz w:val="24"/>
                <w:szCs w:val="24"/>
              </w:rPr>
              <w:t>reumatoid</w:t>
            </w:r>
            <w:proofErr w:type="spellEnd"/>
            <w:r w:rsidRPr="00C01559">
              <w:rPr>
                <w:sz w:val="24"/>
                <w:szCs w:val="24"/>
              </w:rPr>
              <w:t xml:space="preserve"> </w:t>
            </w:r>
            <w:proofErr w:type="spellStart"/>
            <w:r w:rsidRPr="00C01559">
              <w:rPr>
                <w:sz w:val="24"/>
                <w:szCs w:val="24"/>
              </w:rPr>
              <w:t>artrit</w:t>
            </w:r>
            <w:proofErr w:type="spellEnd"/>
            <w:r w:rsidRPr="00C01559">
              <w:rPr>
                <w:sz w:val="24"/>
                <w:szCs w:val="24"/>
              </w:rPr>
              <w:t xml:space="preserve">, juvenil idiopatisk </w:t>
            </w:r>
            <w:proofErr w:type="spellStart"/>
            <w:r w:rsidRPr="00C01559">
              <w:rPr>
                <w:sz w:val="24"/>
                <w:szCs w:val="24"/>
              </w:rPr>
              <w:t>artrit</w:t>
            </w:r>
            <w:proofErr w:type="spellEnd"/>
            <w:r w:rsidRPr="00C01559">
              <w:rPr>
                <w:sz w:val="24"/>
                <w:szCs w:val="24"/>
              </w:rPr>
              <w:t xml:space="preserve"> og psoriasis må </w:t>
            </w:r>
            <w:proofErr w:type="spellStart"/>
            <w:r w:rsidRPr="00C01559">
              <w:rPr>
                <w:sz w:val="24"/>
                <w:szCs w:val="24"/>
              </w:rPr>
              <w:t>Methotrexate</w:t>
            </w:r>
            <w:proofErr w:type="spellEnd"/>
            <w:r w:rsidRPr="00C01559">
              <w:rPr>
                <w:sz w:val="24"/>
                <w:szCs w:val="24"/>
              </w:rPr>
              <w:t xml:space="preserve"> </w:t>
            </w:r>
            <w:r w:rsidR="00C01559">
              <w:rPr>
                <w:sz w:val="24"/>
                <w:szCs w:val="24"/>
              </w:rPr>
              <w:t>"</w:t>
            </w:r>
            <w:proofErr w:type="spellStart"/>
            <w:r w:rsidR="00C01559">
              <w:rPr>
                <w:sz w:val="24"/>
                <w:szCs w:val="24"/>
              </w:rPr>
              <w:t>Afortas</w:t>
            </w:r>
            <w:proofErr w:type="spellEnd"/>
            <w:r w:rsidR="00C01559">
              <w:rPr>
                <w:sz w:val="24"/>
                <w:szCs w:val="24"/>
              </w:rPr>
              <w:t>"</w:t>
            </w:r>
            <w:r w:rsidRPr="00C01559">
              <w:rPr>
                <w:sz w:val="24"/>
                <w:szCs w:val="24"/>
              </w:rPr>
              <w:t xml:space="preserve"> (</w:t>
            </w:r>
            <w:proofErr w:type="spellStart"/>
            <w:r w:rsidRPr="00C01559">
              <w:rPr>
                <w:sz w:val="24"/>
                <w:szCs w:val="24"/>
              </w:rPr>
              <w:t>methotrexat</w:t>
            </w:r>
            <w:proofErr w:type="spellEnd"/>
            <w:r w:rsidRPr="00C01559">
              <w:rPr>
                <w:sz w:val="24"/>
                <w:szCs w:val="24"/>
              </w:rPr>
              <w:t>)</w:t>
            </w:r>
            <w:r w:rsidRPr="00C01559">
              <w:rPr>
                <w:b/>
                <w:sz w:val="24"/>
                <w:szCs w:val="24"/>
              </w:rPr>
              <w:t xml:space="preserve"> kun bruges én gang ugentligt.</w:t>
            </w:r>
          </w:p>
          <w:p w14:paraId="3EAB4356" w14:textId="522781CF" w:rsidR="00C73CAD" w:rsidRPr="00C01559" w:rsidRDefault="00C73CAD" w:rsidP="00C73CAD">
            <w:pPr>
              <w:ind w:left="33"/>
              <w:rPr>
                <w:sz w:val="24"/>
                <w:szCs w:val="24"/>
              </w:rPr>
            </w:pPr>
            <w:r w:rsidRPr="00C01559">
              <w:rPr>
                <w:sz w:val="24"/>
                <w:szCs w:val="24"/>
              </w:rPr>
              <w:t xml:space="preserve">Doseringsfejl under brug af </w:t>
            </w:r>
            <w:proofErr w:type="spellStart"/>
            <w:r w:rsidRPr="00C01559">
              <w:rPr>
                <w:sz w:val="24"/>
                <w:szCs w:val="24"/>
              </w:rPr>
              <w:t>Methotrexate</w:t>
            </w:r>
            <w:proofErr w:type="spellEnd"/>
            <w:r w:rsidRPr="00C01559">
              <w:rPr>
                <w:sz w:val="24"/>
                <w:szCs w:val="24"/>
              </w:rPr>
              <w:t xml:space="preserve"> </w:t>
            </w:r>
            <w:r w:rsidR="00C01559">
              <w:rPr>
                <w:sz w:val="24"/>
                <w:szCs w:val="24"/>
              </w:rPr>
              <w:t>"</w:t>
            </w:r>
            <w:proofErr w:type="spellStart"/>
            <w:r w:rsidR="00C01559">
              <w:rPr>
                <w:sz w:val="24"/>
                <w:szCs w:val="24"/>
              </w:rPr>
              <w:t>Afortas</w:t>
            </w:r>
            <w:proofErr w:type="spellEnd"/>
            <w:r w:rsidR="00C01559">
              <w:rPr>
                <w:sz w:val="24"/>
                <w:szCs w:val="24"/>
              </w:rPr>
              <w:t>"</w:t>
            </w:r>
            <w:r w:rsidRPr="00C01559">
              <w:rPr>
                <w:sz w:val="24"/>
                <w:szCs w:val="24"/>
              </w:rPr>
              <w:t xml:space="preserve"> (</w:t>
            </w:r>
            <w:proofErr w:type="spellStart"/>
            <w:r w:rsidRPr="00C01559">
              <w:rPr>
                <w:sz w:val="24"/>
                <w:szCs w:val="24"/>
              </w:rPr>
              <w:t>methotrexat</w:t>
            </w:r>
            <w:proofErr w:type="spellEnd"/>
            <w:r w:rsidRPr="00C01559">
              <w:rPr>
                <w:sz w:val="24"/>
                <w:szCs w:val="24"/>
              </w:rPr>
              <w:t>) kan resultere i alvorlige bivirkninger, herunder dødsfald. Læs dette punkt i produktresuméet meget omhyggeligt.</w:t>
            </w:r>
          </w:p>
        </w:tc>
      </w:tr>
    </w:tbl>
    <w:p w14:paraId="43103D4F" w14:textId="77777777" w:rsidR="00C73CAD" w:rsidRPr="00C01559" w:rsidRDefault="00C73CAD" w:rsidP="00C73CAD">
      <w:pPr>
        <w:ind w:left="851"/>
        <w:rPr>
          <w:sz w:val="24"/>
          <w:szCs w:val="24"/>
        </w:rPr>
      </w:pPr>
    </w:p>
    <w:p w14:paraId="41ADE93F" w14:textId="77777777" w:rsidR="00B5675F" w:rsidRPr="00C01559" w:rsidRDefault="00B5675F" w:rsidP="00C73CAD">
      <w:pPr>
        <w:ind w:left="851"/>
        <w:rPr>
          <w:iCs/>
          <w:sz w:val="24"/>
          <w:szCs w:val="24"/>
        </w:rPr>
      </w:pPr>
      <w:r w:rsidRPr="00C01559">
        <w:rPr>
          <w:iCs/>
          <w:sz w:val="24"/>
          <w:szCs w:val="24"/>
        </w:rPr>
        <w:t xml:space="preserve">Den ordinerende læge skal sikre sig, at patienten eller dennes omsorgspersoner vil være i stand til at overholde doseringsregimet med </w:t>
      </w:r>
      <w:proofErr w:type="gramStart"/>
      <w:r w:rsidRPr="00C01559">
        <w:rPr>
          <w:iCs/>
          <w:sz w:val="24"/>
          <w:szCs w:val="24"/>
        </w:rPr>
        <w:t>én ugentligt dosis</w:t>
      </w:r>
      <w:proofErr w:type="gramEnd"/>
      <w:r w:rsidRPr="00C01559">
        <w:rPr>
          <w:iCs/>
          <w:sz w:val="24"/>
          <w:szCs w:val="24"/>
        </w:rPr>
        <w:t>.</w:t>
      </w:r>
    </w:p>
    <w:p w14:paraId="47D9E8FB" w14:textId="77777777" w:rsidR="00B5675F" w:rsidRPr="00C01559" w:rsidRDefault="00B5675F" w:rsidP="00C73CAD">
      <w:pPr>
        <w:ind w:left="851"/>
        <w:rPr>
          <w:iCs/>
          <w:sz w:val="24"/>
          <w:szCs w:val="24"/>
        </w:rPr>
      </w:pPr>
    </w:p>
    <w:p w14:paraId="0DCBCFE3" w14:textId="77777777" w:rsidR="00B5675F" w:rsidRPr="00C01559" w:rsidRDefault="00B5675F" w:rsidP="00C73CAD">
      <w:pPr>
        <w:ind w:left="851"/>
        <w:rPr>
          <w:iCs/>
          <w:spacing w:val="-2"/>
          <w:sz w:val="24"/>
          <w:szCs w:val="24"/>
        </w:rPr>
      </w:pPr>
      <w:r w:rsidRPr="00C01559">
        <w:rPr>
          <w:iCs/>
          <w:sz w:val="24"/>
          <w:szCs w:val="24"/>
        </w:rPr>
        <w:t>Den ordinerende læge skal angive den ugedag, hvor lægemidlet skal tages, på recepten.</w:t>
      </w:r>
    </w:p>
    <w:p w14:paraId="5EF2DDC0" w14:textId="77777777" w:rsidR="00B5675F" w:rsidRPr="00C01559" w:rsidRDefault="00B5675F" w:rsidP="00C73CAD">
      <w:pPr>
        <w:ind w:left="851"/>
        <w:rPr>
          <w:iCs/>
          <w:spacing w:val="-2"/>
          <w:sz w:val="24"/>
          <w:szCs w:val="24"/>
        </w:rPr>
      </w:pPr>
    </w:p>
    <w:p w14:paraId="263207FC" w14:textId="77777777" w:rsidR="00B5675F" w:rsidRPr="00C01559" w:rsidRDefault="00B5675F" w:rsidP="00C73CAD">
      <w:pPr>
        <w:ind w:left="851"/>
        <w:rPr>
          <w:iCs/>
          <w:sz w:val="24"/>
          <w:szCs w:val="24"/>
        </w:rPr>
      </w:pPr>
      <w:r w:rsidRPr="00C01559">
        <w:rPr>
          <w:iCs/>
          <w:sz w:val="24"/>
          <w:szCs w:val="24"/>
        </w:rPr>
        <w:t xml:space="preserve">Dosis og behandlingsvarighed bestemmes individuelt på baggrund af patientens kliniske billede og </w:t>
      </w:r>
      <w:proofErr w:type="spellStart"/>
      <w:r w:rsidRPr="00C01559">
        <w:rPr>
          <w:iCs/>
          <w:sz w:val="24"/>
          <w:szCs w:val="24"/>
        </w:rPr>
        <w:t>tolerabilitet</w:t>
      </w:r>
      <w:proofErr w:type="spellEnd"/>
      <w:r w:rsidRPr="00C01559">
        <w:rPr>
          <w:iCs/>
          <w:sz w:val="24"/>
          <w:szCs w:val="24"/>
        </w:rPr>
        <w:t xml:space="preserve"> over for </w:t>
      </w:r>
      <w:proofErr w:type="spellStart"/>
      <w:r w:rsidRPr="00C01559">
        <w:rPr>
          <w:iCs/>
          <w:sz w:val="24"/>
          <w:szCs w:val="24"/>
        </w:rPr>
        <w:t>methotrexat</w:t>
      </w:r>
      <w:proofErr w:type="spellEnd"/>
      <w:r w:rsidRPr="00C01559">
        <w:rPr>
          <w:iCs/>
          <w:sz w:val="24"/>
          <w:szCs w:val="24"/>
        </w:rPr>
        <w:t xml:space="preserve">. Behandlingen af aktiv </w:t>
      </w:r>
      <w:proofErr w:type="spellStart"/>
      <w:r w:rsidRPr="00C01559">
        <w:rPr>
          <w:iCs/>
          <w:sz w:val="24"/>
          <w:szCs w:val="24"/>
        </w:rPr>
        <w:t>reumatoid</w:t>
      </w:r>
      <w:proofErr w:type="spellEnd"/>
      <w:r w:rsidRPr="00C01559">
        <w:rPr>
          <w:iCs/>
          <w:sz w:val="24"/>
          <w:szCs w:val="24"/>
        </w:rPr>
        <w:t xml:space="preserve"> </w:t>
      </w:r>
      <w:proofErr w:type="spellStart"/>
      <w:r w:rsidRPr="00C01559">
        <w:rPr>
          <w:iCs/>
          <w:sz w:val="24"/>
          <w:szCs w:val="24"/>
        </w:rPr>
        <w:t>artrit</w:t>
      </w:r>
      <w:proofErr w:type="spellEnd"/>
      <w:r w:rsidRPr="00C01559">
        <w:rPr>
          <w:iCs/>
          <w:sz w:val="24"/>
          <w:szCs w:val="24"/>
        </w:rPr>
        <w:t xml:space="preserve">, svær JIA, svær psoriasis og svær </w:t>
      </w:r>
      <w:proofErr w:type="spellStart"/>
      <w:r w:rsidRPr="00C01559">
        <w:rPr>
          <w:iCs/>
          <w:sz w:val="24"/>
          <w:szCs w:val="24"/>
        </w:rPr>
        <w:t>psoriasisartrit</w:t>
      </w:r>
      <w:proofErr w:type="spellEnd"/>
      <w:r w:rsidRPr="00C01559">
        <w:rPr>
          <w:iCs/>
          <w:sz w:val="24"/>
          <w:szCs w:val="24"/>
        </w:rPr>
        <w:t xml:space="preserve"> udgør en langvarig behandling.</w:t>
      </w:r>
    </w:p>
    <w:p w14:paraId="68692456" w14:textId="77777777" w:rsidR="00B5675F" w:rsidRPr="00C01559" w:rsidRDefault="00B5675F" w:rsidP="00C73CAD">
      <w:pPr>
        <w:ind w:left="851"/>
        <w:rPr>
          <w:iCs/>
          <w:sz w:val="24"/>
          <w:szCs w:val="24"/>
        </w:rPr>
      </w:pPr>
      <w:r w:rsidRPr="00C01559">
        <w:rPr>
          <w:iCs/>
          <w:sz w:val="24"/>
          <w:szCs w:val="24"/>
        </w:rPr>
        <w:t>Den ugentlige dosis bør ikke overstige 25 mg. Doser over 20 mg/uge kan være forbundet med en betydelig stigning i toksicitet, især knoglemarvsdepression.</w:t>
      </w:r>
    </w:p>
    <w:p w14:paraId="24A3F69F" w14:textId="77777777" w:rsidR="00B5675F" w:rsidRPr="00C01559" w:rsidRDefault="00B5675F" w:rsidP="00C73CAD">
      <w:pPr>
        <w:ind w:left="851"/>
        <w:rPr>
          <w:iCs/>
          <w:sz w:val="24"/>
          <w:szCs w:val="24"/>
        </w:rPr>
      </w:pPr>
    </w:p>
    <w:p w14:paraId="41390382" w14:textId="77777777" w:rsidR="00B5675F" w:rsidRPr="00C01559" w:rsidRDefault="00B5675F" w:rsidP="00C73CAD">
      <w:pPr>
        <w:ind w:left="851"/>
        <w:rPr>
          <w:iCs/>
          <w:sz w:val="24"/>
          <w:szCs w:val="24"/>
        </w:rPr>
      </w:pPr>
      <w:r w:rsidRPr="00C01559">
        <w:rPr>
          <w:iCs/>
          <w:sz w:val="24"/>
          <w:szCs w:val="24"/>
        </w:rPr>
        <w:t xml:space="preserve">Samtidigt tilskud af 5 mg </w:t>
      </w:r>
      <w:proofErr w:type="spellStart"/>
      <w:r w:rsidRPr="00C01559">
        <w:rPr>
          <w:iCs/>
          <w:sz w:val="24"/>
          <w:szCs w:val="24"/>
        </w:rPr>
        <w:t>folinsyre</w:t>
      </w:r>
      <w:proofErr w:type="spellEnd"/>
      <w:r w:rsidRPr="00C01559">
        <w:rPr>
          <w:iCs/>
          <w:sz w:val="24"/>
          <w:szCs w:val="24"/>
        </w:rPr>
        <w:t xml:space="preserve"> to gange om ugen (dog ikke på administrationsdagen) er indiceret i tillæg.</w:t>
      </w:r>
    </w:p>
    <w:p w14:paraId="43487296" w14:textId="77777777" w:rsidR="00B5675F" w:rsidRPr="00C01559" w:rsidRDefault="00B5675F" w:rsidP="00C73CAD">
      <w:pPr>
        <w:ind w:left="851"/>
        <w:rPr>
          <w:sz w:val="24"/>
          <w:szCs w:val="24"/>
        </w:rPr>
      </w:pPr>
    </w:p>
    <w:p w14:paraId="4D60AE99" w14:textId="77777777" w:rsidR="00B5675F" w:rsidRPr="00C01559" w:rsidRDefault="00B5675F" w:rsidP="00C73CAD">
      <w:pPr>
        <w:ind w:left="851"/>
        <w:rPr>
          <w:sz w:val="24"/>
          <w:szCs w:val="24"/>
        </w:rPr>
      </w:pPr>
      <w:r w:rsidRPr="00C01559">
        <w:rPr>
          <w:b/>
          <w:sz w:val="24"/>
          <w:szCs w:val="24"/>
        </w:rPr>
        <w:t>Dosering</w:t>
      </w:r>
    </w:p>
    <w:p w14:paraId="1116EFB6" w14:textId="77777777" w:rsidR="00B5675F" w:rsidRPr="00C01559" w:rsidRDefault="00B5675F" w:rsidP="00C73CAD">
      <w:pPr>
        <w:ind w:left="851"/>
        <w:rPr>
          <w:i/>
          <w:sz w:val="24"/>
          <w:szCs w:val="24"/>
        </w:rPr>
      </w:pPr>
      <w:r w:rsidRPr="00C01559">
        <w:rPr>
          <w:i/>
          <w:sz w:val="24"/>
          <w:szCs w:val="24"/>
        </w:rPr>
        <w:t xml:space="preserve">Dosering hos voksne patienter med </w:t>
      </w:r>
      <w:proofErr w:type="spellStart"/>
      <w:r w:rsidRPr="00C01559">
        <w:rPr>
          <w:i/>
          <w:sz w:val="24"/>
          <w:szCs w:val="24"/>
        </w:rPr>
        <w:t>reumatoid</w:t>
      </w:r>
      <w:proofErr w:type="spellEnd"/>
      <w:r w:rsidRPr="00C01559">
        <w:rPr>
          <w:i/>
          <w:sz w:val="24"/>
          <w:szCs w:val="24"/>
        </w:rPr>
        <w:t xml:space="preserve"> </w:t>
      </w:r>
      <w:proofErr w:type="spellStart"/>
      <w:r w:rsidRPr="00C01559">
        <w:rPr>
          <w:i/>
          <w:sz w:val="24"/>
          <w:szCs w:val="24"/>
        </w:rPr>
        <w:t>artrit</w:t>
      </w:r>
      <w:proofErr w:type="spellEnd"/>
    </w:p>
    <w:p w14:paraId="37F6E193" w14:textId="77777777" w:rsidR="00B5675F" w:rsidRPr="00C01559" w:rsidRDefault="00B5675F" w:rsidP="00C73CAD">
      <w:pPr>
        <w:ind w:left="851"/>
        <w:rPr>
          <w:iCs/>
          <w:sz w:val="24"/>
          <w:szCs w:val="24"/>
        </w:rPr>
      </w:pPr>
      <w:r w:rsidRPr="00C01559">
        <w:rPr>
          <w:iCs/>
          <w:sz w:val="24"/>
          <w:szCs w:val="24"/>
        </w:rPr>
        <w:t xml:space="preserve">Den anbefalede startdosis er 7,5 mg </w:t>
      </w:r>
      <w:proofErr w:type="spellStart"/>
      <w:r w:rsidRPr="00C01559">
        <w:rPr>
          <w:iCs/>
          <w:sz w:val="24"/>
          <w:szCs w:val="24"/>
        </w:rPr>
        <w:t>methotrexat</w:t>
      </w:r>
      <w:proofErr w:type="spellEnd"/>
      <w:r w:rsidRPr="00C01559">
        <w:rPr>
          <w:iCs/>
          <w:sz w:val="24"/>
          <w:szCs w:val="24"/>
        </w:rPr>
        <w:t xml:space="preserve"> </w:t>
      </w:r>
      <w:r w:rsidRPr="00C01559">
        <w:rPr>
          <w:iCs/>
          <w:sz w:val="24"/>
          <w:szCs w:val="24"/>
          <w:u w:val="single"/>
        </w:rPr>
        <w:t>én gang om ugen</w:t>
      </w:r>
      <w:r w:rsidRPr="00C01559">
        <w:rPr>
          <w:iCs/>
          <w:sz w:val="24"/>
          <w:szCs w:val="24"/>
        </w:rPr>
        <w:t>.</w:t>
      </w:r>
    </w:p>
    <w:p w14:paraId="153890AF" w14:textId="77777777" w:rsidR="00B5675F" w:rsidRPr="00C01559" w:rsidRDefault="00B5675F" w:rsidP="00C73CAD">
      <w:pPr>
        <w:ind w:left="851"/>
        <w:rPr>
          <w:iCs/>
          <w:sz w:val="24"/>
          <w:szCs w:val="24"/>
        </w:rPr>
      </w:pPr>
      <w:r w:rsidRPr="00C01559">
        <w:rPr>
          <w:iCs/>
          <w:sz w:val="24"/>
          <w:szCs w:val="24"/>
        </w:rPr>
        <w:t xml:space="preserve">Afhængigt af den enkelte patients sygdomsaktivitet og </w:t>
      </w:r>
      <w:proofErr w:type="spellStart"/>
      <w:r w:rsidRPr="00C01559">
        <w:rPr>
          <w:iCs/>
          <w:sz w:val="24"/>
          <w:szCs w:val="24"/>
        </w:rPr>
        <w:t>tolerabilitet</w:t>
      </w:r>
      <w:proofErr w:type="spellEnd"/>
      <w:r w:rsidRPr="00C01559">
        <w:rPr>
          <w:iCs/>
          <w:sz w:val="24"/>
          <w:szCs w:val="24"/>
        </w:rPr>
        <w:t xml:space="preserve"> kan dosis øges gradvist med 2,5 mg om ugen.</w:t>
      </w:r>
    </w:p>
    <w:p w14:paraId="3613399B" w14:textId="77777777" w:rsidR="00B5675F" w:rsidRPr="00C01559" w:rsidRDefault="00B5675F" w:rsidP="00C73CAD">
      <w:pPr>
        <w:ind w:left="851"/>
        <w:rPr>
          <w:iCs/>
          <w:sz w:val="24"/>
          <w:szCs w:val="24"/>
        </w:rPr>
      </w:pPr>
    </w:p>
    <w:p w14:paraId="1A95B359" w14:textId="77777777" w:rsidR="00B5675F" w:rsidRPr="00C01559" w:rsidRDefault="00B5675F" w:rsidP="00C73CAD">
      <w:pPr>
        <w:ind w:left="851"/>
        <w:rPr>
          <w:iCs/>
          <w:sz w:val="24"/>
          <w:szCs w:val="24"/>
        </w:rPr>
      </w:pPr>
      <w:r w:rsidRPr="00C01559">
        <w:rPr>
          <w:iCs/>
          <w:sz w:val="24"/>
          <w:szCs w:val="24"/>
        </w:rPr>
        <w:t>Der kan forventes respons på behandlingen efter cirka 4-8 uger.</w:t>
      </w:r>
    </w:p>
    <w:p w14:paraId="7C0E0E1B" w14:textId="77777777" w:rsidR="00B5675F" w:rsidRPr="00C01559" w:rsidRDefault="00B5675F" w:rsidP="00C73CAD">
      <w:pPr>
        <w:ind w:left="851"/>
        <w:rPr>
          <w:iCs/>
          <w:sz w:val="24"/>
          <w:szCs w:val="24"/>
        </w:rPr>
      </w:pPr>
      <w:r w:rsidRPr="00C01559">
        <w:rPr>
          <w:iCs/>
          <w:sz w:val="24"/>
          <w:szCs w:val="24"/>
        </w:rPr>
        <w:t>Når det ønskede behandlingsresultat er opnået, skal dosen reduceres gradvist til den lavest mulige effektive vedligeholdelsesdosis.</w:t>
      </w:r>
    </w:p>
    <w:p w14:paraId="42402B87" w14:textId="77777777" w:rsidR="00B5675F" w:rsidRPr="00C01559" w:rsidRDefault="00B5675F" w:rsidP="00C73CAD">
      <w:pPr>
        <w:ind w:left="851"/>
        <w:rPr>
          <w:iCs/>
          <w:sz w:val="24"/>
          <w:szCs w:val="24"/>
        </w:rPr>
      </w:pPr>
    </w:p>
    <w:p w14:paraId="32D2AE7D" w14:textId="77777777" w:rsidR="00B5675F" w:rsidRPr="00C01559" w:rsidRDefault="00B5675F" w:rsidP="00C73CAD">
      <w:pPr>
        <w:ind w:left="851"/>
        <w:rPr>
          <w:iCs/>
          <w:sz w:val="24"/>
          <w:szCs w:val="24"/>
        </w:rPr>
      </w:pPr>
      <w:r w:rsidRPr="00C01559">
        <w:rPr>
          <w:iCs/>
          <w:sz w:val="24"/>
          <w:szCs w:val="24"/>
        </w:rPr>
        <w:t xml:space="preserve">Symptomerne kan vende tilbage efter </w:t>
      </w:r>
      <w:proofErr w:type="spellStart"/>
      <w:r w:rsidRPr="00C01559">
        <w:rPr>
          <w:iCs/>
          <w:sz w:val="24"/>
          <w:szCs w:val="24"/>
        </w:rPr>
        <w:t>seponering</w:t>
      </w:r>
      <w:proofErr w:type="spellEnd"/>
      <w:r w:rsidRPr="00C01559">
        <w:rPr>
          <w:iCs/>
          <w:sz w:val="24"/>
          <w:szCs w:val="24"/>
        </w:rPr>
        <w:t xml:space="preserve"> af behandlingen.</w:t>
      </w:r>
    </w:p>
    <w:p w14:paraId="577CC015" w14:textId="7CD45C6D" w:rsidR="00870E8F" w:rsidRDefault="00870E8F">
      <w:pPr>
        <w:rPr>
          <w:sz w:val="24"/>
          <w:szCs w:val="24"/>
        </w:rPr>
      </w:pPr>
      <w:r>
        <w:rPr>
          <w:sz w:val="24"/>
          <w:szCs w:val="24"/>
        </w:rPr>
        <w:br w:type="page"/>
      </w:r>
    </w:p>
    <w:p w14:paraId="79EAB73B" w14:textId="77777777" w:rsidR="00B5675F" w:rsidRPr="00C01559" w:rsidRDefault="00B5675F" w:rsidP="00C73CAD">
      <w:pPr>
        <w:ind w:left="851"/>
        <w:rPr>
          <w:sz w:val="24"/>
          <w:szCs w:val="24"/>
        </w:rPr>
      </w:pPr>
    </w:p>
    <w:p w14:paraId="67E1DB30" w14:textId="77777777" w:rsidR="00B5675F" w:rsidRPr="00C01559" w:rsidRDefault="00B5675F" w:rsidP="00C73CAD">
      <w:pPr>
        <w:ind w:left="851"/>
        <w:rPr>
          <w:i/>
          <w:iCs/>
          <w:sz w:val="24"/>
          <w:szCs w:val="24"/>
        </w:rPr>
      </w:pPr>
      <w:r w:rsidRPr="00C01559">
        <w:rPr>
          <w:i/>
          <w:iCs/>
          <w:sz w:val="24"/>
          <w:szCs w:val="24"/>
        </w:rPr>
        <w:t xml:space="preserve">Dosering hos børn og unge med </w:t>
      </w:r>
      <w:proofErr w:type="spellStart"/>
      <w:r w:rsidRPr="00C01559">
        <w:rPr>
          <w:i/>
          <w:iCs/>
          <w:sz w:val="24"/>
          <w:szCs w:val="24"/>
        </w:rPr>
        <w:t>polyartikulære</w:t>
      </w:r>
      <w:proofErr w:type="spellEnd"/>
      <w:r w:rsidRPr="00C01559">
        <w:rPr>
          <w:i/>
          <w:iCs/>
          <w:sz w:val="24"/>
          <w:szCs w:val="24"/>
        </w:rPr>
        <w:t xml:space="preserve"> former for juvenil idiopatisk </w:t>
      </w:r>
      <w:proofErr w:type="spellStart"/>
      <w:r w:rsidRPr="00C01559">
        <w:rPr>
          <w:i/>
          <w:iCs/>
          <w:sz w:val="24"/>
          <w:szCs w:val="24"/>
        </w:rPr>
        <w:t>artrit</w:t>
      </w:r>
      <w:proofErr w:type="spellEnd"/>
    </w:p>
    <w:p w14:paraId="5EA2C06A" w14:textId="77777777" w:rsidR="00B5675F" w:rsidRPr="00C01559" w:rsidRDefault="00B5675F" w:rsidP="00C73CAD">
      <w:pPr>
        <w:ind w:left="851"/>
        <w:rPr>
          <w:iCs/>
          <w:sz w:val="24"/>
          <w:szCs w:val="24"/>
        </w:rPr>
      </w:pPr>
      <w:r w:rsidRPr="00C01559">
        <w:rPr>
          <w:iCs/>
          <w:sz w:val="24"/>
          <w:szCs w:val="24"/>
        </w:rPr>
        <w:t>Patienter med JIA skal altid henvises til en reumatologisk afdeling, der er specialiseret i behandling af børn/unge.</w:t>
      </w:r>
    </w:p>
    <w:p w14:paraId="5E7BFFEC" w14:textId="77777777" w:rsidR="00C73CAD" w:rsidRPr="00C01559" w:rsidRDefault="00C73CAD" w:rsidP="00C73CAD">
      <w:pPr>
        <w:ind w:left="851"/>
        <w:rPr>
          <w:iCs/>
          <w:sz w:val="24"/>
          <w:szCs w:val="24"/>
        </w:rPr>
      </w:pPr>
    </w:p>
    <w:p w14:paraId="6F5FA3F7" w14:textId="5A098B49" w:rsidR="00B5675F" w:rsidRPr="00C01559" w:rsidRDefault="00B5675F" w:rsidP="00C73CAD">
      <w:pPr>
        <w:ind w:left="851"/>
        <w:rPr>
          <w:iCs/>
          <w:sz w:val="24"/>
          <w:szCs w:val="24"/>
        </w:rPr>
      </w:pPr>
      <w:r w:rsidRPr="00C01559">
        <w:rPr>
          <w:iCs/>
          <w:sz w:val="24"/>
          <w:szCs w:val="24"/>
        </w:rPr>
        <w:t>Den anbefalede dosis er 10-15 mg/m² legemsoverfladeareal (BSA)/uge. I</w:t>
      </w:r>
      <w:r w:rsidR="00C01559">
        <w:rPr>
          <w:iCs/>
          <w:sz w:val="24"/>
          <w:szCs w:val="24"/>
        </w:rPr>
        <w:t xml:space="preserve"> </w:t>
      </w:r>
      <w:r w:rsidRPr="00C01559">
        <w:rPr>
          <w:iCs/>
          <w:sz w:val="24"/>
          <w:szCs w:val="24"/>
        </w:rPr>
        <w:t xml:space="preserve">behandlingsrefraktære tilfælde kan den ugentlige dosis øges til 20 mg/m² BSA/uge. </w:t>
      </w:r>
    </w:p>
    <w:p w14:paraId="43222E32" w14:textId="5615DBD9" w:rsidR="00B5675F" w:rsidRPr="00C01559" w:rsidRDefault="00B5675F" w:rsidP="00C73CAD">
      <w:pPr>
        <w:ind w:left="851"/>
        <w:rPr>
          <w:iCs/>
          <w:sz w:val="24"/>
          <w:szCs w:val="24"/>
        </w:rPr>
      </w:pPr>
      <w:r w:rsidRPr="00C01559">
        <w:rPr>
          <w:iCs/>
          <w:sz w:val="24"/>
          <w:szCs w:val="24"/>
        </w:rPr>
        <w:t>Hvis dosis øges, skal monitoreringshyppigheden dog øges.</w:t>
      </w:r>
    </w:p>
    <w:p w14:paraId="1F9FE8E1" w14:textId="77777777" w:rsidR="00C73CAD" w:rsidRPr="00C01559" w:rsidRDefault="00C73CAD" w:rsidP="00C73CAD">
      <w:pPr>
        <w:ind w:left="851"/>
        <w:rPr>
          <w:iCs/>
          <w:sz w:val="24"/>
          <w:szCs w:val="24"/>
        </w:rPr>
      </w:pPr>
    </w:p>
    <w:p w14:paraId="11530A8F" w14:textId="77777777" w:rsidR="00B5675F" w:rsidRPr="00C01559" w:rsidRDefault="00B5675F" w:rsidP="00C73CAD">
      <w:pPr>
        <w:ind w:left="851"/>
        <w:rPr>
          <w:i/>
          <w:sz w:val="24"/>
          <w:szCs w:val="24"/>
        </w:rPr>
      </w:pPr>
      <w:r w:rsidRPr="00C01559">
        <w:rPr>
          <w:i/>
          <w:sz w:val="24"/>
          <w:szCs w:val="24"/>
        </w:rPr>
        <w:t xml:space="preserve">Dosering hos voksne med svære former for psoriasis og voksne patienter med </w:t>
      </w:r>
      <w:proofErr w:type="spellStart"/>
      <w:r w:rsidRPr="00C01559">
        <w:rPr>
          <w:i/>
          <w:sz w:val="24"/>
          <w:szCs w:val="24"/>
        </w:rPr>
        <w:t>psoriasisartrit</w:t>
      </w:r>
      <w:proofErr w:type="spellEnd"/>
    </w:p>
    <w:p w14:paraId="39C8D3FC" w14:textId="77777777" w:rsidR="00B5675F" w:rsidRPr="00C01559" w:rsidRDefault="00B5675F" w:rsidP="00C73CAD">
      <w:pPr>
        <w:ind w:left="851"/>
        <w:rPr>
          <w:iCs/>
          <w:sz w:val="24"/>
          <w:szCs w:val="24"/>
        </w:rPr>
      </w:pPr>
      <w:r w:rsidRPr="00C01559">
        <w:rPr>
          <w:iCs/>
          <w:sz w:val="24"/>
          <w:szCs w:val="24"/>
        </w:rPr>
        <w:t xml:space="preserve">Det anbefales at administrere en testdosis på 2,5-5 mg én uge før opstart af behandlingen med henblik på tidlig detektion af bivirkninger. Hvis laboratorieprøverne er normale en uge derefter, kan behandlingen opstartes. Den anbefalede startdosis er 7,5 mg </w:t>
      </w:r>
      <w:proofErr w:type="spellStart"/>
      <w:r w:rsidRPr="00C01559">
        <w:rPr>
          <w:iCs/>
          <w:sz w:val="24"/>
          <w:szCs w:val="24"/>
        </w:rPr>
        <w:t>methotrexat</w:t>
      </w:r>
      <w:proofErr w:type="spellEnd"/>
      <w:r w:rsidRPr="00C01559">
        <w:rPr>
          <w:iCs/>
          <w:sz w:val="24"/>
          <w:szCs w:val="24"/>
        </w:rPr>
        <w:t xml:space="preserve"> én gang om ugen. Dosis bør øges gradvist, men den ugentlige dosis bør generelt ikke overstige 25 mg </w:t>
      </w:r>
      <w:proofErr w:type="spellStart"/>
      <w:r w:rsidRPr="00C01559">
        <w:rPr>
          <w:iCs/>
          <w:sz w:val="24"/>
          <w:szCs w:val="24"/>
        </w:rPr>
        <w:t>methotrexat</w:t>
      </w:r>
      <w:proofErr w:type="spellEnd"/>
      <w:r w:rsidRPr="00C01559">
        <w:rPr>
          <w:iCs/>
          <w:sz w:val="24"/>
          <w:szCs w:val="24"/>
        </w:rPr>
        <w:t>. Den sædvanlige dosis er 10 mg-25 mg én gang om ugen. Doser over 20 mg om ugen kan være forbundet med en betydelig stigning i toksicitet, især knoglemarvssuppression.</w:t>
      </w:r>
    </w:p>
    <w:p w14:paraId="687941B0" w14:textId="77777777" w:rsidR="00B5675F" w:rsidRPr="00C01559" w:rsidRDefault="00B5675F" w:rsidP="00C73CAD">
      <w:pPr>
        <w:ind w:left="851"/>
        <w:rPr>
          <w:iCs/>
          <w:sz w:val="24"/>
          <w:szCs w:val="24"/>
        </w:rPr>
      </w:pPr>
    </w:p>
    <w:p w14:paraId="0ED9E04C" w14:textId="54B5B96F" w:rsidR="00B5675F" w:rsidRPr="00C01559" w:rsidRDefault="00B5675F" w:rsidP="00C73CAD">
      <w:pPr>
        <w:ind w:left="851"/>
        <w:rPr>
          <w:iCs/>
          <w:sz w:val="24"/>
          <w:szCs w:val="24"/>
        </w:rPr>
      </w:pPr>
      <w:r w:rsidRPr="00C01559">
        <w:rPr>
          <w:iCs/>
          <w:sz w:val="24"/>
          <w:szCs w:val="24"/>
        </w:rPr>
        <w:t>Der kan generelt forventes respons på behandlingen efter cirka 4-8 uger. Når det ønskede behandlingsresultat er opnået, skal dosen reduceres gradvist til den lavest mulige effektive vedligeholdelsesdosis.</w:t>
      </w:r>
    </w:p>
    <w:p w14:paraId="5A97ABEB" w14:textId="77777777" w:rsidR="00C73CAD" w:rsidRPr="00C01559" w:rsidRDefault="00C73CAD" w:rsidP="00C73CAD">
      <w:pPr>
        <w:ind w:left="851"/>
        <w:rPr>
          <w:iCs/>
          <w:sz w:val="24"/>
          <w:szCs w:val="24"/>
        </w:rPr>
      </w:pPr>
    </w:p>
    <w:p w14:paraId="577E718A" w14:textId="77777777" w:rsidR="00B5675F" w:rsidRPr="00C01559" w:rsidRDefault="00B5675F" w:rsidP="00C73CAD">
      <w:pPr>
        <w:ind w:left="851"/>
        <w:rPr>
          <w:i/>
          <w:spacing w:val="-2"/>
          <w:sz w:val="24"/>
          <w:szCs w:val="24"/>
          <w:u w:val="single"/>
        </w:rPr>
      </w:pPr>
      <w:r w:rsidRPr="00C01559">
        <w:rPr>
          <w:i/>
          <w:sz w:val="24"/>
          <w:szCs w:val="24"/>
          <w:u w:val="single"/>
        </w:rPr>
        <w:t>Onkologi</w:t>
      </w:r>
    </w:p>
    <w:p w14:paraId="28D6A23C" w14:textId="77777777" w:rsidR="00B5675F" w:rsidRPr="00C01559" w:rsidRDefault="00B5675F" w:rsidP="00C73CAD">
      <w:pPr>
        <w:ind w:left="851"/>
        <w:rPr>
          <w:i/>
          <w:sz w:val="24"/>
          <w:szCs w:val="24"/>
        </w:rPr>
      </w:pPr>
      <w:r w:rsidRPr="00C01559">
        <w:rPr>
          <w:i/>
          <w:sz w:val="24"/>
          <w:szCs w:val="24"/>
        </w:rPr>
        <w:t>Dosering ved akut lymfatisk leukæmi</w:t>
      </w:r>
    </w:p>
    <w:p w14:paraId="4D1AAF3D" w14:textId="77777777" w:rsidR="00B5675F" w:rsidRPr="00C01559" w:rsidRDefault="00B5675F" w:rsidP="00C73CAD">
      <w:pPr>
        <w:ind w:left="851"/>
        <w:rPr>
          <w:iCs/>
          <w:sz w:val="24"/>
          <w:szCs w:val="24"/>
        </w:rPr>
      </w:pPr>
      <w:r w:rsidRPr="00C01559">
        <w:rPr>
          <w:iCs/>
          <w:sz w:val="24"/>
          <w:szCs w:val="24"/>
        </w:rPr>
        <w:t>Lavdosis-</w:t>
      </w:r>
      <w:proofErr w:type="spellStart"/>
      <w:r w:rsidRPr="00C01559">
        <w:rPr>
          <w:iCs/>
          <w:sz w:val="24"/>
          <w:szCs w:val="24"/>
        </w:rPr>
        <w:t>methotrexat</w:t>
      </w:r>
      <w:proofErr w:type="spellEnd"/>
      <w:r w:rsidRPr="00C01559">
        <w:rPr>
          <w:iCs/>
          <w:sz w:val="24"/>
          <w:szCs w:val="24"/>
        </w:rPr>
        <w:t xml:space="preserve"> anvendes til vedligeholdelsesbehandling af ALL hos børn i alderen 3 år og derover, unge og voksne i henhold til komplekse protokoller i kombination med andre </w:t>
      </w:r>
      <w:proofErr w:type="spellStart"/>
      <w:r w:rsidRPr="00C01559">
        <w:rPr>
          <w:iCs/>
          <w:sz w:val="24"/>
          <w:szCs w:val="24"/>
        </w:rPr>
        <w:t>cytostatiske</w:t>
      </w:r>
      <w:proofErr w:type="spellEnd"/>
      <w:r w:rsidRPr="00C01559">
        <w:rPr>
          <w:iCs/>
          <w:sz w:val="24"/>
          <w:szCs w:val="24"/>
        </w:rPr>
        <w:t xml:space="preserve"> lægemidler. Behandlingen skal følge de aktuelle behandlingsprotokoller.</w:t>
      </w:r>
    </w:p>
    <w:p w14:paraId="13C19007" w14:textId="77777777" w:rsidR="00B5675F" w:rsidRPr="00C01559" w:rsidRDefault="00B5675F" w:rsidP="00C73CAD">
      <w:pPr>
        <w:ind w:left="851"/>
        <w:rPr>
          <w:iCs/>
          <w:sz w:val="24"/>
          <w:szCs w:val="24"/>
        </w:rPr>
      </w:pPr>
    </w:p>
    <w:p w14:paraId="03BF205B" w14:textId="77777777" w:rsidR="00B5675F" w:rsidRPr="00C01559" w:rsidRDefault="00B5675F" w:rsidP="00C73CAD">
      <w:pPr>
        <w:ind w:left="851"/>
        <w:rPr>
          <w:iCs/>
          <w:sz w:val="24"/>
          <w:szCs w:val="24"/>
        </w:rPr>
      </w:pPr>
      <w:r w:rsidRPr="00C01559">
        <w:rPr>
          <w:iCs/>
          <w:sz w:val="24"/>
          <w:szCs w:val="24"/>
        </w:rPr>
        <w:t>Almindeligt accepterede enkeltdoser ligger i området 20-40 mg/m² legemsoverfladeareal.</w:t>
      </w:r>
    </w:p>
    <w:p w14:paraId="5649054B" w14:textId="77777777" w:rsidR="00B5675F" w:rsidRPr="00C01559" w:rsidRDefault="00B5675F" w:rsidP="00C73CAD">
      <w:pPr>
        <w:ind w:left="851"/>
        <w:rPr>
          <w:iCs/>
          <w:sz w:val="24"/>
          <w:szCs w:val="24"/>
        </w:rPr>
      </w:pPr>
      <w:r w:rsidRPr="00C01559">
        <w:rPr>
          <w:iCs/>
          <w:sz w:val="24"/>
          <w:szCs w:val="24"/>
        </w:rPr>
        <w:t xml:space="preserve">Hvis </w:t>
      </w:r>
      <w:proofErr w:type="spellStart"/>
      <w:r w:rsidRPr="00C01559">
        <w:rPr>
          <w:iCs/>
          <w:sz w:val="24"/>
          <w:szCs w:val="24"/>
        </w:rPr>
        <w:t>methotrexat</w:t>
      </w:r>
      <w:proofErr w:type="spellEnd"/>
      <w:r w:rsidRPr="00C01559">
        <w:rPr>
          <w:iCs/>
          <w:sz w:val="24"/>
          <w:szCs w:val="24"/>
        </w:rPr>
        <w:t xml:space="preserve"> administreres i kombination med kemoterapiregimer, skal der ved doseringen tages højde for eventuel overlappende toksicitet af de andre lægemidler.</w:t>
      </w:r>
    </w:p>
    <w:p w14:paraId="4A5CFDF7" w14:textId="77777777" w:rsidR="00B5675F" w:rsidRPr="00C01559" w:rsidRDefault="00B5675F" w:rsidP="00C73CAD">
      <w:pPr>
        <w:ind w:left="851"/>
        <w:rPr>
          <w:iCs/>
          <w:sz w:val="24"/>
          <w:szCs w:val="24"/>
        </w:rPr>
      </w:pPr>
    </w:p>
    <w:p w14:paraId="6C87BFE6" w14:textId="07AB32FC" w:rsidR="00B5675F" w:rsidRPr="00C01559" w:rsidRDefault="00B5675F" w:rsidP="00C73CAD">
      <w:pPr>
        <w:ind w:left="851"/>
        <w:rPr>
          <w:iCs/>
          <w:sz w:val="24"/>
          <w:szCs w:val="24"/>
        </w:rPr>
      </w:pPr>
      <w:r w:rsidRPr="00C01559">
        <w:rPr>
          <w:iCs/>
          <w:sz w:val="24"/>
          <w:szCs w:val="24"/>
        </w:rPr>
        <w:t>Højere doser kan gives parenteralt.</w:t>
      </w:r>
    </w:p>
    <w:p w14:paraId="4DCFB481" w14:textId="77777777" w:rsidR="00C73CAD" w:rsidRPr="00C01559" w:rsidRDefault="00C73CAD" w:rsidP="00C73CAD">
      <w:pPr>
        <w:ind w:left="851"/>
        <w:rPr>
          <w:iCs/>
          <w:sz w:val="24"/>
          <w:szCs w:val="24"/>
        </w:rPr>
      </w:pPr>
    </w:p>
    <w:p w14:paraId="2ED9CC39" w14:textId="77777777" w:rsidR="00B5675F" w:rsidRPr="00C01559" w:rsidRDefault="00B5675F" w:rsidP="00C73CAD">
      <w:pPr>
        <w:ind w:left="851"/>
        <w:rPr>
          <w:i/>
          <w:sz w:val="24"/>
          <w:szCs w:val="24"/>
        </w:rPr>
      </w:pPr>
      <w:r w:rsidRPr="00C01559">
        <w:rPr>
          <w:i/>
          <w:sz w:val="24"/>
          <w:szCs w:val="24"/>
        </w:rPr>
        <w:t>Pædiatrisk population</w:t>
      </w:r>
    </w:p>
    <w:p w14:paraId="747C6F4F" w14:textId="77777777" w:rsidR="00B5675F" w:rsidRPr="00C01559" w:rsidRDefault="00B5675F" w:rsidP="00C73CAD">
      <w:pPr>
        <w:ind w:left="851"/>
        <w:rPr>
          <w:iCs/>
          <w:sz w:val="24"/>
          <w:szCs w:val="24"/>
        </w:rPr>
      </w:pPr>
      <w:proofErr w:type="spellStart"/>
      <w:r w:rsidRPr="00C01559">
        <w:rPr>
          <w:iCs/>
          <w:sz w:val="24"/>
          <w:szCs w:val="24"/>
        </w:rPr>
        <w:t>Methotrexat</w:t>
      </w:r>
      <w:proofErr w:type="spellEnd"/>
      <w:r w:rsidRPr="00C01559">
        <w:rPr>
          <w:iCs/>
          <w:sz w:val="24"/>
          <w:szCs w:val="24"/>
        </w:rPr>
        <w:t xml:space="preserve"> skal anvendes med forsigtighed hos pædiatriske patienter. Behandlingen skal følge de aktuelt offentliggjorte behandlingsprotokoller for børn (se pkt. 4.4).</w:t>
      </w:r>
    </w:p>
    <w:p w14:paraId="64C72A46" w14:textId="77777777" w:rsidR="00B5675F" w:rsidRPr="00C01559" w:rsidRDefault="00B5675F" w:rsidP="00C73CAD">
      <w:pPr>
        <w:ind w:left="851"/>
        <w:rPr>
          <w:iCs/>
          <w:sz w:val="24"/>
          <w:szCs w:val="24"/>
        </w:rPr>
      </w:pPr>
    </w:p>
    <w:p w14:paraId="47ADB3F1" w14:textId="344C933A" w:rsidR="00B5675F" w:rsidRPr="00C01559" w:rsidRDefault="00B5675F" w:rsidP="00C73CAD">
      <w:pPr>
        <w:ind w:left="851"/>
        <w:rPr>
          <w:iCs/>
          <w:sz w:val="24"/>
          <w:szCs w:val="24"/>
        </w:rPr>
      </w:pPr>
      <w:r w:rsidRPr="00C01559">
        <w:rPr>
          <w:iCs/>
          <w:sz w:val="24"/>
          <w:szCs w:val="24"/>
        </w:rPr>
        <w:t>Doserne er som regel baseret på patientens BSA, og vedligeholdelsesbehandling udgør en langvarig behandling.</w:t>
      </w:r>
    </w:p>
    <w:p w14:paraId="78B8F427" w14:textId="77777777" w:rsidR="00C73CAD" w:rsidRPr="00C01559" w:rsidRDefault="00C73CAD" w:rsidP="00C73CAD">
      <w:pPr>
        <w:ind w:left="851"/>
        <w:rPr>
          <w:iCs/>
          <w:sz w:val="24"/>
          <w:szCs w:val="24"/>
        </w:rPr>
      </w:pPr>
    </w:p>
    <w:p w14:paraId="6DDD0FB2" w14:textId="77777777" w:rsidR="00B5675F" w:rsidRPr="00C01559" w:rsidRDefault="00B5675F" w:rsidP="00C73CAD">
      <w:pPr>
        <w:ind w:left="851"/>
        <w:rPr>
          <w:i/>
          <w:spacing w:val="-2"/>
          <w:sz w:val="24"/>
          <w:szCs w:val="24"/>
        </w:rPr>
      </w:pPr>
      <w:r w:rsidRPr="00C01559">
        <w:rPr>
          <w:i/>
          <w:sz w:val="24"/>
          <w:szCs w:val="24"/>
          <w:u w:val="single"/>
        </w:rPr>
        <w:t>Særlige populationer</w:t>
      </w:r>
      <w:r w:rsidRPr="00C01559">
        <w:rPr>
          <w:i/>
          <w:sz w:val="24"/>
          <w:szCs w:val="24"/>
        </w:rPr>
        <w:t xml:space="preserve"> </w:t>
      </w:r>
    </w:p>
    <w:p w14:paraId="54B01620" w14:textId="77777777" w:rsidR="00B5675F" w:rsidRPr="00C01559" w:rsidRDefault="00B5675F" w:rsidP="00C73CAD">
      <w:pPr>
        <w:ind w:left="851"/>
        <w:rPr>
          <w:i/>
          <w:sz w:val="24"/>
          <w:szCs w:val="24"/>
        </w:rPr>
      </w:pPr>
      <w:r w:rsidRPr="00C01559">
        <w:rPr>
          <w:i/>
          <w:sz w:val="24"/>
          <w:szCs w:val="24"/>
        </w:rPr>
        <w:t>Nedsat nyrefunktion</w:t>
      </w:r>
    </w:p>
    <w:p w14:paraId="024DAA36" w14:textId="77777777" w:rsidR="00B5675F" w:rsidRPr="00C01559" w:rsidRDefault="00B5675F" w:rsidP="00C73CAD">
      <w:pPr>
        <w:ind w:left="851"/>
        <w:rPr>
          <w:iCs/>
          <w:sz w:val="24"/>
          <w:szCs w:val="24"/>
        </w:rPr>
      </w:pPr>
      <w:proofErr w:type="spellStart"/>
      <w:r w:rsidRPr="00C01559">
        <w:rPr>
          <w:iCs/>
          <w:sz w:val="24"/>
          <w:szCs w:val="24"/>
        </w:rPr>
        <w:t>Methotrexat</w:t>
      </w:r>
      <w:proofErr w:type="spellEnd"/>
      <w:r w:rsidRPr="00C01559">
        <w:rPr>
          <w:iCs/>
          <w:sz w:val="24"/>
          <w:szCs w:val="24"/>
        </w:rPr>
        <w:t xml:space="preserve"> skal anvendes med forsigtighed hos patienter med nedsat nyrefunktion (se pkt. 4.4).</w:t>
      </w:r>
    </w:p>
    <w:p w14:paraId="78879243" w14:textId="77777777" w:rsidR="00B5675F" w:rsidRPr="00C01559" w:rsidRDefault="00B5675F" w:rsidP="00C73CAD">
      <w:pPr>
        <w:ind w:left="851"/>
        <w:rPr>
          <w:iCs/>
          <w:sz w:val="24"/>
          <w:szCs w:val="24"/>
        </w:rPr>
      </w:pPr>
    </w:p>
    <w:p w14:paraId="0402FA79" w14:textId="77777777" w:rsidR="00B5675F" w:rsidRPr="00C01559" w:rsidRDefault="00B5675F" w:rsidP="00C73CAD">
      <w:pPr>
        <w:ind w:left="851"/>
        <w:rPr>
          <w:iCs/>
          <w:sz w:val="24"/>
          <w:szCs w:val="24"/>
        </w:rPr>
      </w:pPr>
      <w:r w:rsidRPr="00C01559">
        <w:rPr>
          <w:iCs/>
          <w:sz w:val="24"/>
          <w:szCs w:val="24"/>
        </w:rPr>
        <w:t xml:space="preserve">Dosen skal justeres som følger hos patienter med </w:t>
      </w:r>
      <w:proofErr w:type="spellStart"/>
      <w:r w:rsidRPr="00C01559">
        <w:rPr>
          <w:iCs/>
          <w:sz w:val="24"/>
          <w:szCs w:val="24"/>
        </w:rPr>
        <w:t>reumatoid</w:t>
      </w:r>
      <w:proofErr w:type="spellEnd"/>
      <w:r w:rsidRPr="00C01559">
        <w:rPr>
          <w:iCs/>
          <w:sz w:val="24"/>
          <w:szCs w:val="24"/>
        </w:rPr>
        <w:t xml:space="preserve"> </w:t>
      </w:r>
      <w:proofErr w:type="spellStart"/>
      <w:r w:rsidRPr="00C01559">
        <w:rPr>
          <w:iCs/>
          <w:sz w:val="24"/>
          <w:szCs w:val="24"/>
        </w:rPr>
        <w:t>artrit</w:t>
      </w:r>
      <w:proofErr w:type="spellEnd"/>
      <w:r w:rsidRPr="00C01559">
        <w:rPr>
          <w:iCs/>
          <w:sz w:val="24"/>
          <w:szCs w:val="24"/>
        </w:rPr>
        <w:t xml:space="preserve">, juvenil </w:t>
      </w:r>
      <w:proofErr w:type="spellStart"/>
      <w:r w:rsidRPr="00C01559">
        <w:rPr>
          <w:iCs/>
          <w:sz w:val="24"/>
          <w:szCs w:val="24"/>
        </w:rPr>
        <w:t>artrit</w:t>
      </w:r>
      <w:proofErr w:type="spellEnd"/>
      <w:r w:rsidRPr="00C01559">
        <w:rPr>
          <w:iCs/>
          <w:sz w:val="24"/>
          <w:szCs w:val="24"/>
        </w:rPr>
        <w:t xml:space="preserve">, psoriasis og </w:t>
      </w:r>
      <w:proofErr w:type="spellStart"/>
      <w:r w:rsidRPr="00C01559">
        <w:rPr>
          <w:iCs/>
          <w:sz w:val="24"/>
          <w:szCs w:val="24"/>
        </w:rPr>
        <w:t>psoriasisartrit</w:t>
      </w:r>
      <w:proofErr w:type="spellEnd"/>
      <w:r w:rsidRPr="00C01559">
        <w:rPr>
          <w:iCs/>
          <w:sz w:val="24"/>
          <w:szCs w:val="24"/>
        </w:rPr>
        <w:t>. Ved den onkologiske indikation skal anbefalingerne i de offentliggjorte protokoller også følges.</w:t>
      </w:r>
    </w:p>
    <w:p w14:paraId="014FAE2E" w14:textId="3B316229" w:rsidR="00B5675F" w:rsidRPr="00C01559" w:rsidRDefault="00B5675F" w:rsidP="00C73CAD">
      <w:pPr>
        <w:ind w:left="851"/>
        <w:rPr>
          <w:sz w:val="24"/>
          <w:szCs w:val="24"/>
        </w:rPr>
      </w:pPr>
    </w:p>
    <w:tbl>
      <w:tblPr>
        <w:tblStyle w:val="Tabel-Gitter"/>
        <w:tblW w:w="8788" w:type="dxa"/>
        <w:tblInd w:w="846" w:type="dxa"/>
        <w:tblLook w:val="04A0" w:firstRow="1" w:lastRow="0" w:firstColumn="1" w:lastColumn="0" w:noHBand="0" w:noVBand="1"/>
      </w:tblPr>
      <w:tblGrid>
        <w:gridCol w:w="3827"/>
        <w:gridCol w:w="4961"/>
      </w:tblGrid>
      <w:tr w:rsidR="00B5675F" w:rsidRPr="00C01559" w14:paraId="225D2CBE" w14:textId="77777777" w:rsidTr="00734D3F">
        <w:tc>
          <w:tcPr>
            <w:tcW w:w="3827" w:type="dxa"/>
            <w:tcBorders>
              <w:top w:val="single" w:sz="4" w:space="0" w:color="auto"/>
              <w:left w:val="single" w:sz="4" w:space="0" w:color="auto"/>
              <w:bottom w:val="single" w:sz="4" w:space="0" w:color="auto"/>
              <w:right w:val="single" w:sz="4" w:space="0" w:color="auto"/>
            </w:tcBorders>
            <w:hideMark/>
          </w:tcPr>
          <w:p w14:paraId="68D9D35B" w14:textId="77777777" w:rsidR="00B5675F" w:rsidRPr="00C01559" w:rsidRDefault="00B5675F" w:rsidP="00C01559">
            <w:pPr>
              <w:rPr>
                <w:b/>
                <w:color w:val="000000" w:themeColor="text1"/>
                <w:spacing w:val="-8"/>
                <w:sz w:val="24"/>
                <w:szCs w:val="24"/>
              </w:rPr>
            </w:pPr>
            <w:proofErr w:type="spellStart"/>
            <w:r w:rsidRPr="00C01559">
              <w:rPr>
                <w:b/>
                <w:color w:val="000000" w:themeColor="text1"/>
                <w:sz w:val="24"/>
                <w:szCs w:val="24"/>
              </w:rPr>
              <w:lastRenderedPageBreak/>
              <w:t>Kreatininclearance</w:t>
            </w:r>
            <w:proofErr w:type="spellEnd"/>
          </w:p>
          <w:p w14:paraId="078E3031" w14:textId="77777777" w:rsidR="00B5675F" w:rsidRPr="00C01559" w:rsidRDefault="00B5675F" w:rsidP="00C01559">
            <w:pPr>
              <w:rPr>
                <w:i/>
                <w:color w:val="000000" w:themeColor="text1"/>
                <w:spacing w:val="-2"/>
                <w:sz w:val="24"/>
                <w:szCs w:val="24"/>
              </w:rPr>
            </w:pPr>
            <w:r w:rsidRPr="00C01559">
              <w:rPr>
                <w:b/>
                <w:color w:val="000000" w:themeColor="text1"/>
                <w:sz w:val="24"/>
                <w:szCs w:val="24"/>
              </w:rPr>
              <w:t>(ml/min)</w:t>
            </w:r>
          </w:p>
        </w:tc>
        <w:tc>
          <w:tcPr>
            <w:tcW w:w="4961" w:type="dxa"/>
            <w:tcBorders>
              <w:top w:val="single" w:sz="4" w:space="0" w:color="auto"/>
              <w:left w:val="single" w:sz="4" w:space="0" w:color="auto"/>
              <w:bottom w:val="single" w:sz="4" w:space="0" w:color="auto"/>
              <w:right w:val="single" w:sz="4" w:space="0" w:color="auto"/>
            </w:tcBorders>
            <w:hideMark/>
          </w:tcPr>
          <w:p w14:paraId="74DB767A" w14:textId="77777777" w:rsidR="00B5675F" w:rsidRPr="00C01559" w:rsidRDefault="00B5675F" w:rsidP="00C01559">
            <w:pPr>
              <w:rPr>
                <w:i/>
                <w:color w:val="000000" w:themeColor="text1"/>
                <w:spacing w:val="-2"/>
                <w:sz w:val="24"/>
                <w:szCs w:val="24"/>
              </w:rPr>
            </w:pPr>
            <w:r w:rsidRPr="00C01559">
              <w:rPr>
                <w:b/>
                <w:color w:val="000000" w:themeColor="text1"/>
                <w:sz w:val="24"/>
                <w:szCs w:val="24"/>
              </w:rPr>
              <w:t>% af dosis, der skal administreres</w:t>
            </w:r>
          </w:p>
        </w:tc>
      </w:tr>
      <w:tr w:rsidR="00B5675F" w:rsidRPr="00C01559" w14:paraId="3ED480FB" w14:textId="77777777" w:rsidTr="00734D3F">
        <w:tc>
          <w:tcPr>
            <w:tcW w:w="3827" w:type="dxa"/>
            <w:tcBorders>
              <w:top w:val="single" w:sz="4" w:space="0" w:color="auto"/>
              <w:left w:val="single" w:sz="4" w:space="0" w:color="auto"/>
              <w:bottom w:val="single" w:sz="4" w:space="0" w:color="auto"/>
              <w:right w:val="single" w:sz="4" w:space="0" w:color="auto"/>
            </w:tcBorders>
            <w:hideMark/>
          </w:tcPr>
          <w:p w14:paraId="6B8A49C4" w14:textId="77777777" w:rsidR="00B5675F" w:rsidRPr="00C01559" w:rsidRDefault="00B5675F" w:rsidP="00C01559">
            <w:pPr>
              <w:jc w:val="center"/>
              <w:rPr>
                <w:color w:val="000000" w:themeColor="text1"/>
                <w:spacing w:val="-2"/>
                <w:sz w:val="24"/>
                <w:szCs w:val="24"/>
              </w:rPr>
            </w:pPr>
            <w:r w:rsidRPr="00C01559">
              <w:rPr>
                <w:color w:val="000000" w:themeColor="text1"/>
                <w:sz w:val="24"/>
                <w:szCs w:val="24"/>
              </w:rPr>
              <w:t>&gt; 60</w:t>
            </w:r>
          </w:p>
        </w:tc>
        <w:tc>
          <w:tcPr>
            <w:tcW w:w="4961" w:type="dxa"/>
            <w:tcBorders>
              <w:top w:val="single" w:sz="4" w:space="0" w:color="auto"/>
              <w:left w:val="single" w:sz="4" w:space="0" w:color="auto"/>
              <w:bottom w:val="single" w:sz="4" w:space="0" w:color="auto"/>
              <w:right w:val="single" w:sz="4" w:space="0" w:color="auto"/>
            </w:tcBorders>
            <w:hideMark/>
          </w:tcPr>
          <w:p w14:paraId="333CCEC1" w14:textId="77777777" w:rsidR="00B5675F" w:rsidRPr="00C01559" w:rsidRDefault="00B5675F" w:rsidP="00C01559">
            <w:pPr>
              <w:jc w:val="center"/>
              <w:rPr>
                <w:color w:val="000000" w:themeColor="text1"/>
                <w:spacing w:val="-2"/>
                <w:sz w:val="24"/>
                <w:szCs w:val="24"/>
              </w:rPr>
            </w:pPr>
            <w:r w:rsidRPr="00C01559">
              <w:rPr>
                <w:color w:val="000000" w:themeColor="text1"/>
                <w:sz w:val="24"/>
                <w:szCs w:val="24"/>
              </w:rPr>
              <w:t>100</w:t>
            </w:r>
          </w:p>
        </w:tc>
      </w:tr>
      <w:tr w:rsidR="00B5675F" w:rsidRPr="00C01559" w14:paraId="00F61E73" w14:textId="77777777" w:rsidTr="00734D3F">
        <w:tc>
          <w:tcPr>
            <w:tcW w:w="3827" w:type="dxa"/>
            <w:tcBorders>
              <w:top w:val="single" w:sz="4" w:space="0" w:color="auto"/>
              <w:left w:val="single" w:sz="4" w:space="0" w:color="auto"/>
              <w:bottom w:val="single" w:sz="4" w:space="0" w:color="auto"/>
              <w:right w:val="single" w:sz="4" w:space="0" w:color="auto"/>
            </w:tcBorders>
            <w:hideMark/>
          </w:tcPr>
          <w:p w14:paraId="7964DFDE" w14:textId="77777777" w:rsidR="00B5675F" w:rsidRPr="00C01559" w:rsidRDefault="00B5675F" w:rsidP="00C01559">
            <w:pPr>
              <w:jc w:val="center"/>
              <w:rPr>
                <w:color w:val="000000" w:themeColor="text1"/>
                <w:spacing w:val="-2"/>
                <w:sz w:val="24"/>
                <w:szCs w:val="24"/>
              </w:rPr>
            </w:pPr>
            <w:r w:rsidRPr="00C01559">
              <w:rPr>
                <w:color w:val="000000" w:themeColor="text1"/>
                <w:sz w:val="24"/>
                <w:szCs w:val="24"/>
              </w:rPr>
              <w:t>30-59</w:t>
            </w:r>
          </w:p>
        </w:tc>
        <w:tc>
          <w:tcPr>
            <w:tcW w:w="4961" w:type="dxa"/>
            <w:tcBorders>
              <w:top w:val="single" w:sz="4" w:space="0" w:color="auto"/>
              <w:left w:val="single" w:sz="4" w:space="0" w:color="auto"/>
              <w:bottom w:val="single" w:sz="4" w:space="0" w:color="auto"/>
              <w:right w:val="single" w:sz="4" w:space="0" w:color="auto"/>
            </w:tcBorders>
            <w:hideMark/>
          </w:tcPr>
          <w:p w14:paraId="2DED3AD1" w14:textId="77777777" w:rsidR="00B5675F" w:rsidRPr="00C01559" w:rsidRDefault="00B5675F" w:rsidP="00C01559">
            <w:pPr>
              <w:jc w:val="center"/>
              <w:rPr>
                <w:color w:val="000000" w:themeColor="text1"/>
                <w:spacing w:val="-2"/>
                <w:sz w:val="24"/>
                <w:szCs w:val="24"/>
              </w:rPr>
            </w:pPr>
            <w:r w:rsidRPr="00C01559">
              <w:rPr>
                <w:color w:val="000000" w:themeColor="text1"/>
                <w:sz w:val="24"/>
                <w:szCs w:val="24"/>
              </w:rPr>
              <w:t>50</w:t>
            </w:r>
          </w:p>
        </w:tc>
      </w:tr>
      <w:tr w:rsidR="00B5675F" w:rsidRPr="00C01559" w14:paraId="712EA748" w14:textId="77777777" w:rsidTr="00734D3F">
        <w:tc>
          <w:tcPr>
            <w:tcW w:w="3827" w:type="dxa"/>
            <w:tcBorders>
              <w:top w:val="single" w:sz="4" w:space="0" w:color="auto"/>
              <w:left w:val="single" w:sz="4" w:space="0" w:color="auto"/>
              <w:bottom w:val="single" w:sz="4" w:space="0" w:color="auto"/>
              <w:right w:val="single" w:sz="4" w:space="0" w:color="auto"/>
            </w:tcBorders>
            <w:hideMark/>
          </w:tcPr>
          <w:p w14:paraId="7CFACFEE" w14:textId="77777777" w:rsidR="00B5675F" w:rsidRPr="00C01559" w:rsidRDefault="00B5675F" w:rsidP="00C01559">
            <w:pPr>
              <w:jc w:val="center"/>
              <w:rPr>
                <w:color w:val="000000" w:themeColor="text1"/>
                <w:spacing w:val="-2"/>
                <w:sz w:val="24"/>
                <w:szCs w:val="24"/>
              </w:rPr>
            </w:pPr>
            <w:r w:rsidRPr="00C01559">
              <w:rPr>
                <w:color w:val="000000" w:themeColor="text1"/>
                <w:sz w:val="24"/>
                <w:szCs w:val="24"/>
              </w:rPr>
              <w:t>&lt; 30</w:t>
            </w:r>
          </w:p>
        </w:tc>
        <w:tc>
          <w:tcPr>
            <w:tcW w:w="4961" w:type="dxa"/>
            <w:tcBorders>
              <w:top w:val="single" w:sz="4" w:space="0" w:color="auto"/>
              <w:left w:val="single" w:sz="4" w:space="0" w:color="auto"/>
              <w:bottom w:val="single" w:sz="4" w:space="0" w:color="auto"/>
              <w:right w:val="single" w:sz="4" w:space="0" w:color="auto"/>
            </w:tcBorders>
            <w:hideMark/>
          </w:tcPr>
          <w:p w14:paraId="3D07D978" w14:textId="6B059303" w:rsidR="00B5675F" w:rsidRPr="00C01559" w:rsidRDefault="00B5675F" w:rsidP="00C01559">
            <w:pPr>
              <w:jc w:val="center"/>
              <w:rPr>
                <w:color w:val="000000" w:themeColor="text1"/>
                <w:spacing w:val="-2"/>
                <w:sz w:val="24"/>
                <w:szCs w:val="24"/>
              </w:rPr>
            </w:pPr>
            <w:proofErr w:type="spellStart"/>
            <w:r w:rsidRPr="00C01559">
              <w:rPr>
                <w:color w:val="000000" w:themeColor="text1"/>
                <w:sz w:val="24"/>
                <w:szCs w:val="24"/>
              </w:rPr>
              <w:t>Methotrexate</w:t>
            </w:r>
            <w:proofErr w:type="spellEnd"/>
            <w:r w:rsidRPr="00C01559">
              <w:rPr>
                <w:color w:val="000000" w:themeColor="text1"/>
                <w:sz w:val="24"/>
                <w:szCs w:val="24"/>
              </w:rPr>
              <w:t xml:space="preserve"> </w:t>
            </w:r>
            <w:r w:rsidR="00C01559">
              <w:rPr>
                <w:color w:val="000000" w:themeColor="text1"/>
                <w:sz w:val="24"/>
                <w:szCs w:val="24"/>
              </w:rPr>
              <w:t>"</w:t>
            </w:r>
            <w:proofErr w:type="spellStart"/>
            <w:r w:rsidR="00C01559">
              <w:rPr>
                <w:color w:val="000000" w:themeColor="text1"/>
                <w:sz w:val="24"/>
                <w:szCs w:val="24"/>
              </w:rPr>
              <w:t>Afortas</w:t>
            </w:r>
            <w:proofErr w:type="spellEnd"/>
            <w:r w:rsidR="00C01559">
              <w:rPr>
                <w:color w:val="000000" w:themeColor="text1"/>
                <w:sz w:val="24"/>
                <w:szCs w:val="24"/>
              </w:rPr>
              <w:t>"</w:t>
            </w:r>
            <w:r w:rsidRPr="00C01559">
              <w:rPr>
                <w:color w:val="000000" w:themeColor="text1"/>
                <w:sz w:val="24"/>
                <w:szCs w:val="24"/>
              </w:rPr>
              <w:t xml:space="preserve"> må ikke administreres.</w:t>
            </w:r>
          </w:p>
        </w:tc>
      </w:tr>
    </w:tbl>
    <w:p w14:paraId="4544B673" w14:textId="77777777" w:rsidR="00C73CAD" w:rsidRPr="00C01559" w:rsidRDefault="00C73CAD" w:rsidP="00C73CAD">
      <w:pPr>
        <w:ind w:left="851"/>
        <w:rPr>
          <w:sz w:val="24"/>
          <w:szCs w:val="24"/>
        </w:rPr>
      </w:pPr>
    </w:p>
    <w:p w14:paraId="25D47B6E" w14:textId="7B1A914A" w:rsidR="00B5675F" w:rsidRPr="00C01559" w:rsidRDefault="00B5675F" w:rsidP="00C73CAD">
      <w:pPr>
        <w:ind w:left="851"/>
        <w:rPr>
          <w:i/>
          <w:sz w:val="24"/>
          <w:szCs w:val="24"/>
        </w:rPr>
      </w:pPr>
      <w:r w:rsidRPr="00C01559">
        <w:rPr>
          <w:i/>
          <w:sz w:val="24"/>
          <w:szCs w:val="24"/>
        </w:rPr>
        <w:t>Nedsat leverfunktion</w:t>
      </w:r>
    </w:p>
    <w:p w14:paraId="638FF19E" w14:textId="77777777" w:rsidR="00B5675F" w:rsidRPr="00C01559" w:rsidRDefault="00B5675F" w:rsidP="00C73CAD">
      <w:pPr>
        <w:ind w:left="851"/>
        <w:rPr>
          <w:iCs/>
          <w:sz w:val="24"/>
          <w:szCs w:val="24"/>
        </w:rPr>
      </w:pPr>
      <w:proofErr w:type="spellStart"/>
      <w:r w:rsidRPr="00C01559">
        <w:rPr>
          <w:iCs/>
          <w:sz w:val="24"/>
          <w:szCs w:val="24"/>
        </w:rPr>
        <w:t>Methotrexat</w:t>
      </w:r>
      <w:proofErr w:type="spellEnd"/>
      <w:r w:rsidRPr="00C01559">
        <w:rPr>
          <w:iCs/>
          <w:sz w:val="24"/>
          <w:szCs w:val="24"/>
        </w:rPr>
        <w:t xml:space="preserve"> må kun administreres med den største forsigtighed, hvis overhovedet, hos patienter med signifikant aktuel eller tidligere leversygdom, især hvis sygdommen skyldes alkohol. Hvis bilirubinniveauet er &gt; 5 mg/dl (85,5 µmol/l), er </w:t>
      </w:r>
      <w:proofErr w:type="spellStart"/>
      <w:r w:rsidRPr="00C01559">
        <w:rPr>
          <w:iCs/>
          <w:sz w:val="24"/>
          <w:szCs w:val="24"/>
        </w:rPr>
        <w:t>methotrexat</w:t>
      </w:r>
      <w:proofErr w:type="spellEnd"/>
      <w:r w:rsidRPr="00C01559">
        <w:rPr>
          <w:iCs/>
          <w:sz w:val="24"/>
          <w:szCs w:val="24"/>
        </w:rPr>
        <w:t xml:space="preserve"> kontraindiceret (se pkt. 4.3 og 4.4).</w:t>
      </w:r>
    </w:p>
    <w:p w14:paraId="51F457EB" w14:textId="77777777" w:rsidR="00C73CAD" w:rsidRPr="00C01559" w:rsidRDefault="00C73CAD" w:rsidP="00C73CAD">
      <w:pPr>
        <w:ind w:left="851"/>
        <w:rPr>
          <w:sz w:val="24"/>
          <w:szCs w:val="24"/>
        </w:rPr>
      </w:pPr>
    </w:p>
    <w:p w14:paraId="24351F41" w14:textId="78182946" w:rsidR="00B5675F" w:rsidRPr="00C01559" w:rsidRDefault="00B5675F" w:rsidP="00C73CAD">
      <w:pPr>
        <w:ind w:left="851"/>
        <w:rPr>
          <w:i/>
          <w:sz w:val="24"/>
          <w:szCs w:val="24"/>
        </w:rPr>
      </w:pPr>
      <w:r w:rsidRPr="00C01559">
        <w:rPr>
          <w:i/>
          <w:sz w:val="24"/>
          <w:szCs w:val="24"/>
        </w:rPr>
        <w:t>Pædiatrisk population</w:t>
      </w:r>
    </w:p>
    <w:p w14:paraId="24FCC6D3" w14:textId="77777777" w:rsidR="00B5675F" w:rsidRPr="00C01559" w:rsidRDefault="00B5675F" w:rsidP="00C73CAD">
      <w:pPr>
        <w:ind w:left="851"/>
        <w:rPr>
          <w:iCs/>
          <w:sz w:val="24"/>
          <w:szCs w:val="24"/>
        </w:rPr>
      </w:pPr>
      <w:r w:rsidRPr="00C01559">
        <w:rPr>
          <w:iCs/>
          <w:sz w:val="24"/>
          <w:szCs w:val="24"/>
        </w:rPr>
        <w:t>Brug hos børn under 3 år er frarådet som følge af utilstrækkelige data om virkning og sikkerhed i denne patientgruppe.</w:t>
      </w:r>
    </w:p>
    <w:p w14:paraId="431071B4" w14:textId="77777777" w:rsidR="00C73CAD" w:rsidRPr="00C01559" w:rsidRDefault="00C73CAD" w:rsidP="00C73CAD">
      <w:pPr>
        <w:ind w:left="851"/>
        <w:rPr>
          <w:sz w:val="24"/>
          <w:szCs w:val="24"/>
        </w:rPr>
      </w:pPr>
    </w:p>
    <w:p w14:paraId="106447B3" w14:textId="25DDA505" w:rsidR="00B5675F" w:rsidRPr="00C01559" w:rsidRDefault="00B5675F" w:rsidP="00C73CAD">
      <w:pPr>
        <w:ind w:left="851"/>
        <w:rPr>
          <w:i/>
          <w:sz w:val="24"/>
          <w:szCs w:val="24"/>
        </w:rPr>
      </w:pPr>
      <w:r w:rsidRPr="00C01559">
        <w:rPr>
          <w:i/>
          <w:sz w:val="24"/>
          <w:szCs w:val="24"/>
        </w:rPr>
        <w:t>Ældre</w:t>
      </w:r>
    </w:p>
    <w:p w14:paraId="721F5698" w14:textId="77777777" w:rsidR="00B5675F" w:rsidRPr="00C01559" w:rsidRDefault="00B5675F" w:rsidP="00C73CAD">
      <w:pPr>
        <w:ind w:left="851"/>
        <w:rPr>
          <w:iCs/>
          <w:sz w:val="24"/>
          <w:szCs w:val="24"/>
        </w:rPr>
      </w:pPr>
      <w:r w:rsidRPr="00C01559">
        <w:rPr>
          <w:iCs/>
          <w:sz w:val="24"/>
          <w:szCs w:val="24"/>
        </w:rPr>
        <w:t xml:space="preserve">Det bør overvejes at reducere dosis hos ældre patienter (65 år og derover) som følge af forekomsten af nedsat lever- og nyrefunktion og lave </w:t>
      </w:r>
      <w:proofErr w:type="spellStart"/>
      <w:r w:rsidRPr="00C01559">
        <w:rPr>
          <w:iCs/>
          <w:sz w:val="24"/>
          <w:szCs w:val="24"/>
        </w:rPr>
        <w:t>folinsyrereserver</w:t>
      </w:r>
      <w:proofErr w:type="spellEnd"/>
      <w:r w:rsidRPr="00C01559">
        <w:rPr>
          <w:iCs/>
          <w:sz w:val="24"/>
          <w:szCs w:val="24"/>
        </w:rPr>
        <w:t xml:space="preserve"> hos ældre. Derudover anbefales det at monitorere patienterne tæt for potentielle tidlige tegn på toksicitet (se pkt. 4.4, 4.5, 4.8 og 5.2).</w:t>
      </w:r>
    </w:p>
    <w:p w14:paraId="7DEFB530" w14:textId="77777777" w:rsidR="00C73CAD" w:rsidRPr="00C01559" w:rsidRDefault="00C73CAD" w:rsidP="00C73CAD">
      <w:pPr>
        <w:ind w:left="851"/>
        <w:rPr>
          <w:sz w:val="24"/>
          <w:szCs w:val="24"/>
        </w:rPr>
      </w:pPr>
    </w:p>
    <w:p w14:paraId="374A0ABE" w14:textId="68E6EBC4" w:rsidR="00B5675F" w:rsidRPr="00C01559" w:rsidRDefault="00B5675F" w:rsidP="00C73CAD">
      <w:pPr>
        <w:ind w:left="851"/>
        <w:rPr>
          <w:i/>
          <w:sz w:val="24"/>
          <w:szCs w:val="24"/>
        </w:rPr>
      </w:pPr>
      <w:r w:rsidRPr="00C01559">
        <w:rPr>
          <w:i/>
          <w:sz w:val="24"/>
          <w:szCs w:val="24"/>
        </w:rPr>
        <w:t>Patienter med patologisk væskeansamling (</w:t>
      </w:r>
      <w:proofErr w:type="spellStart"/>
      <w:r w:rsidRPr="00C01559">
        <w:rPr>
          <w:i/>
          <w:sz w:val="24"/>
          <w:szCs w:val="24"/>
        </w:rPr>
        <w:t>pleuraeffusion</w:t>
      </w:r>
      <w:proofErr w:type="spellEnd"/>
      <w:r w:rsidRPr="00C01559">
        <w:rPr>
          <w:i/>
          <w:sz w:val="24"/>
          <w:szCs w:val="24"/>
        </w:rPr>
        <w:t xml:space="preserve">, </w:t>
      </w:r>
      <w:proofErr w:type="spellStart"/>
      <w:r w:rsidRPr="00C01559">
        <w:rPr>
          <w:i/>
          <w:sz w:val="24"/>
          <w:szCs w:val="24"/>
        </w:rPr>
        <w:t>ascites</w:t>
      </w:r>
      <w:proofErr w:type="spellEnd"/>
      <w:r w:rsidRPr="00C01559">
        <w:rPr>
          <w:i/>
          <w:sz w:val="24"/>
          <w:szCs w:val="24"/>
        </w:rPr>
        <w:t>)</w:t>
      </w:r>
    </w:p>
    <w:p w14:paraId="2E8AE8E0" w14:textId="77777777" w:rsidR="00B5675F" w:rsidRPr="00C01559" w:rsidRDefault="00B5675F" w:rsidP="00C73CAD">
      <w:pPr>
        <w:ind w:left="851"/>
        <w:rPr>
          <w:iCs/>
          <w:sz w:val="24"/>
          <w:szCs w:val="24"/>
        </w:rPr>
      </w:pPr>
      <w:r w:rsidRPr="00C01559">
        <w:rPr>
          <w:iCs/>
          <w:sz w:val="24"/>
          <w:szCs w:val="24"/>
        </w:rPr>
        <w:t xml:space="preserve">Da </w:t>
      </w:r>
      <w:proofErr w:type="spellStart"/>
      <w:r w:rsidRPr="00C01559">
        <w:rPr>
          <w:iCs/>
          <w:sz w:val="24"/>
          <w:szCs w:val="24"/>
        </w:rPr>
        <w:t>methotrexats</w:t>
      </w:r>
      <w:proofErr w:type="spellEnd"/>
      <w:r w:rsidRPr="00C01559">
        <w:rPr>
          <w:iCs/>
          <w:sz w:val="24"/>
          <w:szCs w:val="24"/>
        </w:rPr>
        <w:t xml:space="preserve"> halveringstid kan være fire gange længere hos patienter med patologisk væskeansamling, kan det være nødvendigt at reducere dosis og i visse tilfælde endog at seponere </w:t>
      </w:r>
      <w:proofErr w:type="spellStart"/>
      <w:r w:rsidRPr="00C01559">
        <w:rPr>
          <w:iCs/>
          <w:sz w:val="24"/>
          <w:szCs w:val="24"/>
        </w:rPr>
        <w:t>methotrexat</w:t>
      </w:r>
      <w:proofErr w:type="spellEnd"/>
      <w:r w:rsidRPr="00C01559">
        <w:rPr>
          <w:iCs/>
          <w:sz w:val="24"/>
          <w:szCs w:val="24"/>
        </w:rPr>
        <w:t xml:space="preserve"> (se pkt. 4.4 og 5.2). Dosisreduktionens størrelse skal fastlægges i hvert enkelt tilfælde.</w:t>
      </w:r>
    </w:p>
    <w:p w14:paraId="2214A8A7" w14:textId="77777777" w:rsidR="00B5675F" w:rsidRPr="00C01559" w:rsidRDefault="00B5675F" w:rsidP="00C73CAD">
      <w:pPr>
        <w:ind w:left="851"/>
        <w:rPr>
          <w:iCs/>
          <w:sz w:val="24"/>
          <w:szCs w:val="24"/>
          <w:u w:val="single"/>
        </w:rPr>
      </w:pPr>
    </w:p>
    <w:p w14:paraId="0D96C8E4" w14:textId="77777777" w:rsidR="00B5675F" w:rsidRPr="00C01559" w:rsidRDefault="00B5675F" w:rsidP="00C73CAD">
      <w:pPr>
        <w:ind w:left="851"/>
        <w:rPr>
          <w:sz w:val="24"/>
          <w:szCs w:val="24"/>
        </w:rPr>
      </w:pPr>
      <w:r w:rsidRPr="00C01559">
        <w:rPr>
          <w:iCs/>
          <w:sz w:val="24"/>
          <w:szCs w:val="24"/>
          <w:u w:val="single"/>
        </w:rPr>
        <w:t>Administration</w:t>
      </w:r>
    </w:p>
    <w:p w14:paraId="6CA58B79" w14:textId="77777777" w:rsidR="00B5675F" w:rsidRPr="00C01559" w:rsidRDefault="00B5675F" w:rsidP="00C73CAD">
      <w:pPr>
        <w:ind w:left="851"/>
        <w:rPr>
          <w:iCs/>
          <w:sz w:val="24"/>
          <w:szCs w:val="24"/>
        </w:rPr>
      </w:pPr>
      <w:r w:rsidRPr="00C01559">
        <w:rPr>
          <w:iCs/>
          <w:sz w:val="24"/>
          <w:szCs w:val="24"/>
        </w:rPr>
        <w:t>Lægemidlet kan tages sammen med eller uden mad.</w:t>
      </w:r>
    </w:p>
    <w:p w14:paraId="25E48716" w14:textId="77777777" w:rsidR="00B5675F" w:rsidRPr="00C01559" w:rsidRDefault="00B5675F" w:rsidP="00C73CAD">
      <w:pPr>
        <w:ind w:left="851"/>
        <w:rPr>
          <w:iCs/>
          <w:sz w:val="24"/>
          <w:szCs w:val="24"/>
        </w:rPr>
      </w:pPr>
    </w:p>
    <w:p w14:paraId="4B1F20A5" w14:textId="77777777" w:rsidR="00B5675F" w:rsidRPr="00C01559" w:rsidRDefault="00B5675F" w:rsidP="00C73CAD">
      <w:pPr>
        <w:ind w:left="851"/>
        <w:rPr>
          <w:iCs/>
          <w:sz w:val="24"/>
          <w:szCs w:val="24"/>
        </w:rPr>
      </w:pPr>
      <w:r w:rsidRPr="00C01559">
        <w:rPr>
          <w:iCs/>
          <w:sz w:val="24"/>
          <w:szCs w:val="24"/>
        </w:rPr>
        <w:t xml:space="preserve">I tilfælde af manglende virkning ved oral administration skal der skiftes til parenteral administration. Dette kan gøres ved at administrere </w:t>
      </w:r>
      <w:proofErr w:type="spellStart"/>
      <w:r w:rsidRPr="00C01559">
        <w:rPr>
          <w:iCs/>
          <w:sz w:val="24"/>
          <w:szCs w:val="24"/>
        </w:rPr>
        <w:t>methotrexat</w:t>
      </w:r>
      <w:proofErr w:type="spellEnd"/>
      <w:r w:rsidRPr="00C01559">
        <w:rPr>
          <w:iCs/>
          <w:sz w:val="24"/>
          <w:szCs w:val="24"/>
        </w:rPr>
        <w:t xml:space="preserve"> intramuskulært eller subkutant, hvilket anbefales hos patienter, der udviser utilstrækkelig absorption af den orale form af </w:t>
      </w:r>
      <w:proofErr w:type="spellStart"/>
      <w:r w:rsidRPr="00C01559">
        <w:rPr>
          <w:iCs/>
          <w:sz w:val="24"/>
          <w:szCs w:val="24"/>
        </w:rPr>
        <w:t>methotrexat</w:t>
      </w:r>
      <w:proofErr w:type="spellEnd"/>
      <w:r w:rsidRPr="00C01559">
        <w:rPr>
          <w:iCs/>
          <w:sz w:val="24"/>
          <w:szCs w:val="24"/>
        </w:rPr>
        <w:t>, eller som ikke tåler oral administration.</w:t>
      </w:r>
    </w:p>
    <w:p w14:paraId="2BF520B7" w14:textId="77777777" w:rsidR="009260DE" w:rsidRPr="00C01559" w:rsidRDefault="009260DE" w:rsidP="009260DE">
      <w:pPr>
        <w:tabs>
          <w:tab w:val="left" w:pos="851"/>
        </w:tabs>
        <w:ind w:left="851"/>
        <w:rPr>
          <w:sz w:val="24"/>
          <w:szCs w:val="24"/>
        </w:rPr>
      </w:pPr>
    </w:p>
    <w:p w14:paraId="75F4DDA0" w14:textId="77777777" w:rsidR="009260DE" w:rsidRPr="00C01559" w:rsidRDefault="009260DE" w:rsidP="009260DE">
      <w:pPr>
        <w:tabs>
          <w:tab w:val="left" w:pos="851"/>
        </w:tabs>
        <w:ind w:left="851" w:hanging="851"/>
        <w:rPr>
          <w:b/>
          <w:sz w:val="24"/>
          <w:szCs w:val="24"/>
        </w:rPr>
      </w:pPr>
      <w:r w:rsidRPr="00C01559">
        <w:rPr>
          <w:b/>
          <w:sz w:val="24"/>
          <w:szCs w:val="24"/>
        </w:rPr>
        <w:t>4.3</w:t>
      </w:r>
      <w:r w:rsidRPr="00C01559">
        <w:rPr>
          <w:b/>
          <w:sz w:val="24"/>
          <w:szCs w:val="24"/>
        </w:rPr>
        <w:tab/>
        <w:t>Kontraindikationer</w:t>
      </w:r>
    </w:p>
    <w:p w14:paraId="133739EA" w14:textId="77777777" w:rsidR="00B5675F" w:rsidRPr="00C01559" w:rsidRDefault="00B5675F" w:rsidP="00C73CAD">
      <w:pPr>
        <w:pStyle w:val="Listeafsnit"/>
        <w:numPr>
          <w:ilvl w:val="0"/>
          <w:numId w:val="12"/>
        </w:numPr>
        <w:tabs>
          <w:tab w:val="clear" w:pos="567"/>
        </w:tabs>
        <w:ind w:left="1276" w:hanging="425"/>
        <w:rPr>
          <w:sz w:val="24"/>
          <w:szCs w:val="24"/>
        </w:rPr>
      </w:pPr>
      <w:r w:rsidRPr="00C01559">
        <w:rPr>
          <w:sz w:val="24"/>
          <w:szCs w:val="24"/>
        </w:rPr>
        <w:t>Overfølsomhed over for det aktive stof eller over for et eller flere af hjælpestofferne anført i pkt. 6.1.</w:t>
      </w:r>
    </w:p>
    <w:p w14:paraId="48B58B9E" w14:textId="77777777" w:rsidR="00B5675F" w:rsidRPr="00C01559" w:rsidRDefault="00B5675F" w:rsidP="00C73CAD">
      <w:pPr>
        <w:pStyle w:val="Listeafsnit"/>
        <w:numPr>
          <w:ilvl w:val="0"/>
          <w:numId w:val="12"/>
        </w:numPr>
        <w:tabs>
          <w:tab w:val="clear" w:pos="567"/>
        </w:tabs>
        <w:ind w:left="1276" w:hanging="425"/>
        <w:rPr>
          <w:sz w:val="24"/>
          <w:szCs w:val="24"/>
        </w:rPr>
      </w:pPr>
      <w:r w:rsidRPr="00C01559">
        <w:rPr>
          <w:sz w:val="24"/>
          <w:szCs w:val="24"/>
        </w:rPr>
        <w:t>Nedsat leverfunktion (bilirubinniveauet er &gt; 5 mg/dl [85,5 µmol/l], se pkt. 4.2).</w:t>
      </w:r>
    </w:p>
    <w:p w14:paraId="77B9FC6B" w14:textId="77777777" w:rsidR="00B5675F" w:rsidRPr="00C01559" w:rsidRDefault="00B5675F" w:rsidP="00C73CAD">
      <w:pPr>
        <w:pStyle w:val="Listeafsnit"/>
        <w:numPr>
          <w:ilvl w:val="0"/>
          <w:numId w:val="12"/>
        </w:numPr>
        <w:tabs>
          <w:tab w:val="clear" w:pos="567"/>
        </w:tabs>
        <w:ind w:left="1276" w:hanging="425"/>
        <w:rPr>
          <w:sz w:val="24"/>
          <w:szCs w:val="24"/>
        </w:rPr>
      </w:pPr>
      <w:r w:rsidRPr="00C01559">
        <w:rPr>
          <w:sz w:val="24"/>
          <w:szCs w:val="24"/>
        </w:rPr>
        <w:t>Alkoholmisbrug.</w:t>
      </w:r>
    </w:p>
    <w:p w14:paraId="351594C6" w14:textId="77777777" w:rsidR="00B5675F" w:rsidRPr="00C01559" w:rsidRDefault="00B5675F" w:rsidP="00C73CAD">
      <w:pPr>
        <w:pStyle w:val="Listeafsnit"/>
        <w:numPr>
          <w:ilvl w:val="0"/>
          <w:numId w:val="12"/>
        </w:numPr>
        <w:tabs>
          <w:tab w:val="clear" w:pos="567"/>
        </w:tabs>
        <w:ind w:left="1276" w:hanging="425"/>
        <w:rPr>
          <w:sz w:val="24"/>
          <w:szCs w:val="24"/>
        </w:rPr>
      </w:pPr>
      <w:r w:rsidRPr="00C01559">
        <w:rPr>
          <w:sz w:val="24"/>
          <w:szCs w:val="24"/>
        </w:rPr>
        <w:t>Svært nedsat nyrefunktion (</w:t>
      </w:r>
      <w:proofErr w:type="spellStart"/>
      <w:r w:rsidRPr="00C01559">
        <w:rPr>
          <w:sz w:val="24"/>
          <w:szCs w:val="24"/>
        </w:rPr>
        <w:t>kreatininclearance</w:t>
      </w:r>
      <w:proofErr w:type="spellEnd"/>
      <w:r w:rsidRPr="00C01559">
        <w:rPr>
          <w:sz w:val="24"/>
          <w:szCs w:val="24"/>
        </w:rPr>
        <w:t xml:space="preserve"> under 30 ml/min, se pkt. 4.2).</w:t>
      </w:r>
    </w:p>
    <w:p w14:paraId="17F94C2B" w14:textId="77777777" w:rsidR="00B5675F" w:rsidRPr="00C01559" w:rsidRDefault="00B5675F" w:rsidP="00C73CAD">
      <w:pPr>
        <w:pStyle w:val="Listeafsnit"/>
        <w:numPr>
          <w:ilvl w:val="0"/>
          <w:numId w:val="12"/>
        </w:numPr>
        <w:tabs>
          <w:tab w:val="clear" w:pos="567"/>
        </w:tabs>
        <w:ind w:left="1276" w:hanging="425"/>
        <w:rPr>
          <w:sz w:val="24"/>
          <w:szCs w:val="24"/>
        </w:rPr>
      </w:pPr>
      <w:r w:rsidRPr="00C01559">
        <w:rPr>
          <w:sz w:val="24"/>
          <w:szCs w:val="24"/>
        </w:rPr>
        <w:t xml:space="preserve">Præeksisterende blodsygdom, såsom </w:t>
      </w:r>
      <w:proofErr w:type="spellStart"/>
      <w:r w:rsidRPr="00C01559">
        <w:rPr>
          <w:sz w:val="24"/>
          <w:szCs w:val="24"/>
        </w:rPr>
        <w:t>knoglemarvshypoplasi</w:t>
      </w:r>
      <w:proofErr w:type="spellEnd"/>
      <w:r w:rsidRPr="00C01559">
        <w:rPr>
          <w:sz w:val="24"/>
          <w:szCs w:val="24"/>
        </w:rPr>
        <w:t xml:space="preserve">, </w:t>
      </w:r>
      <w:proofErr w:type="spellStart"/>
      <w:r w:rsidRPr="00C01559">
        <w:rPr>
          <w:sz w:val="24"/>
          <w:szCs w:val="24"/>
        </w:rPr>
        <w:t>leukopeni</w:t>
      </w:r>
      <w:proofErr w:type="spellEnd"/>
      <w:r w:rsidRPr="00C01559">
        <w:rPr>
          <w:sz w:val="24"/>
          <w:szCs w:val="24"/>
        </w:rPr>
        <w:t xml:space="preserve">, </w:t>
      </w:r>
      <w:proofErr w:type="spellStart"/>
      <w:r w:rsidRPr="00C01559">
        <w:rPr>
          <w:sz w:val="24"/>
          <w:szCs w:val="24"/>
        </w:rPr>
        <w:t>trombocytopeni</w:t>
      </w:r>
      <w:proofErr w:type="spellEnd"/>
      <w:r w:rsidRPr="00C01559">
        <w:rPr>
          <w:sz w:val="24"/>
          <w:szCs w:val="24"/>
        </w:rPr>
        <w:t xml:space="preserve"> eller signifikant anæmi.</w:t>
      </w:r>
    </w:p>
    <w:p w14:paraId="51EBD819" w14:textId="77777777" w:rsidR="00B5675F" w:rsidRPr="00C01559" w:rsidRDefault="00B5675F" w:rsidP="00C73CAD">
      <w:pPr>
        <w:pStyle w:val="Listeafsnit"/>
        <w:numPr>
          <w:ilvl w:val="0"/>
          <w:numId w:val="12"/>
        </w:numPr>
        <w:tabs>
          <w:tab w:val="clear" w:pos="567"/>
        </w:tabs>
        <w:ind w:left="1276" w:hanging="425"/>
        <w:rPr>
          <w:sz w:val="24"/>
          <w:szCs w:val="24"/>
        </w:rPr>
      </w:pPr>
      <w:r w:rsidRPr="00C01559">
        <w:rPr>
          <w:sz w:val="24"/>
          <w:szCs w:val="24"/>
        </w:rPr>
        <w:t>Immundefekt.</w:t>
      </w:r>
    </w:p>
    <w:p w14:paraId="5FCE260D" w14:textId="77777777" w:rsidR="00B5675F" w:rsidRPr="00C01559" w:rsidRDefault="00B5675F" w:rsidP="00C73CAD">
      <w:pPr>
        <w:pStyle w:val="Listeafsnit"/>
        <w:numPr>
          <w:ilvl w:val="0"/>
          <w:numId w:val="12"/>
        </w:numPr>
        <w:tabs>
          <w:tab w:val="clear" w:pos="567"/>
        </w:tabs>
        <w:ind w:left="1276" w:hanging="425"/>
        <w:rPr>
          <w:sz w:val="24"/>
          <w:szCs w:val="24"/>
        </w:rPr>
      </w:pPr>
      <w:r w:rsidRPr="00C01559">
        <w:rPr>
          <w:sz w:val="24"/>
          <w:szCs w:val="24"/>
        </w:rPr>
        <w:t>Svær, akut eller kronisk infektion, såsom tuberkulose og hiv.</w:t>
      </w:r>
    </w:p>
    <w:p w14:paraId="02969AF1" w14:textId="77777777" w:rsidR="00B5675F" w:rsidRPr="00C01559" w:rsidRDefault="00B5675F" w:rsidP="00C73CAD">
      <w:pPr>
        <w:pStyle w:val="Listeafsnit"/>
        <w:numPr>
          <w:ilvl w:val="0"/>
          <w:numId w:val="12"/>
        </w:numPr>
        <w:tabs>
          <w:tab w:val="clear" w:pos="567"/>
        </w:tabs>
        <w:ind w:left="1276" w:hanging="425"/>
        <w:rPr>
          <w:sz w:val="24"/>
          <w:szCs w:val="24"/>
        </w:rPr>
      </w:pPr>
      <w:proofErr w:type="spellStart"/>
      <w:r w:rsidRPr="00C01559">
        <w:rPr>
          <w:sz w:val="24"/>
          <w:szCs w:val="24"/>
        </w:rPr>
        <w:t>Stomatitis</w:t>
      </w:r>
      <w:proofErr w:type="spellEnd"/>
      <w:r w:rsidRPr="00C01559">
        <w:rPr>
          <w:sz w:val="24"/>
          <w:szCs w:val="24"/>
        </w:rPr>
        <w:t>, sår i mundhulen og påviste aktive mavesår.</w:t>
      </w:r>
    </w:p>
    <w:p w14:paraId="66C2B756" w14:textId="77777777" w:rsidR="00B5675F" w:rsidRPr="00C01559" w:rsidRDefault="00B5675F" w:rsidP="00C73CAD">
      <w:pPr>
        <w:pStyle w:val="Listeafsnit"/>
        <w:numPr>
          <w:ilvl w:val="0"/>
          <w:numId w:val="12"/>
        </w:numPr>
        <w:tabs>
          <w:tab w:val="clear" w:pos="567"/>
        </w:tabs>
        <w:ind w:left="1276" w:hanging="425"/>
        <w:rPr>
          <w:sz w:val="24"/>
          <w:szCs w:val="24"/>
        </w:rPr>
      </w:pPr>
      <w:r w:rsidRPr="00C01559">
        <w:rPr>
          <w:sz w:val="24"/>
          <w:szCs w:val="24"/>
        </w:rPr>
        <w:t>Amning (se pkt. 4.6).</w:t>
      </w:r>
    </w:p>
    <w:p w14:paraId="57004964" w14:textId="77777777" w:rsidR="00B5675F" w:rsidRPr="00C01559" w:rsidRDefault="00B5675F" w:rsidP="00C73CAD">
      <w:pPr>
        <w:pStyle w:val="Listeafsnit"/>
        <w:numPr>
          <w:ilvl w:val="0"/>
          <w:numId w:val="12"/>
        </w:numPr>
        <w:tabs>
          <w:tab w:val="clear" w:pos="567"/>
        </w:tabs>
        <w:ind w:left="1276" w:hanging="425"/>
        <w:rPr>
          <w:sz w:val="24"/>
          <w:szCs w:val="24"/>
        </w:rPr>
      </w:pPr>
      <w:r w:rsidRPr="00C01559">
        <w:rPr>
          <w:sz w:val="24"/>
          <w:szCs w:val="24"/>
        </w:rPr>
        <w:t>Samtidig vaccination med levende vacciner.</w:t>
      </w:r>
    </w:p>
    <w:p w14:paraId="410C686E" w14:textId="3C845988" w:rsidR="00870E8F" w:rsidRDefault="00870E8F">
      <w:pPr>
        <w:rPr>
          <w:sz w:val="24"/>
          <w:szCs w:val="24"/>
        </w:rPr>
      </w:pPr>
      <w:r>
        <w:rPr>
          <w:sz w:val="24"/>
          <w:szCs w:val="24"/>
        </w:rPr>
        <w:br w:type="page"/>
      </w:r>
    </w:p>
    <w:p w14:paraId="3C6B7D10" w14:textId="77777777" w:rsidR="00B5675F" w:rsidRPr="00C01559" w:rsidRDefault="00B5675F" w:rsidP="00C73CAD">
      <w:pPr>
        <w:ind w:left="851"/>
        <w:rPr>
          <w:sz w:val="24"/>
          <w:szCs w:val="24"/>
        </w:rPr>
      </w:pPr>
    </w:p>
    <w:p w14:paraId="140F1B68" w14:textId="77777777" w:rsidR="00B5675F" w:rsidRPr="00C01559" w:rsidRDefault="00B5675F" w:rsidP="00C73CAD">
      <w:pPr>
        <w:ind w:left="851"/>
        <w:rPr>
          <w:i/>
          <w:iCs/>
          <w:sz w:val="24"/>
          <w:szCs w:val="24"/>
        </w:rPr>
      </w:pPr>
      <w:r w:rsidRPr="00C01559">
        <w:rPr>
          <w:i/>
          <w:iCs/>
          <w:sz w:val="24"/>
          <w:szCs w:val="24"/>
        </w:rPr>
        <w:t>Yderligere kontraindikation ved ikke-onkologiske indikationer</w:t>
      </w:r>
    </w:p>
    <w:p w14:paraId="229B1749" w14:textId="77777777" w:rsidR="00B5675F" w:rsidRPr="00C01559" w:rsidRDefault="00B5675F" w:rsidP="00C73CAD">
      <w:pPr>
        <w:pStyle w:val="Listeafsnit"/>
        <w:numPr>
          <w:ilvl w:val="0"/>
          <w:numId w:val="13"/>
        </w:numPr>
        <w:tabs>
          <w:tab w:val="clear" w:pos="567"/>
        </w:tabs>
        <w:ind w:left="1276" w:hanging="425"/>
        <w:rPr>
          <w:sz w:val="24"/>
          <w:szCs w:val="24"/>
        </w:rPr>
      </w:pPr>
      <w:r w:rsidRPr="00C01559">
        <w:rPr>
          <w:sz w:val="24"/>
          <w:szCs w:val="24"/>
        </w:rPr>
        <w:t>Graviditet (se pkt. 4.6)</w:t>
      </w:r>
    </w:p>
    <w:p w14:paraId="3A6DF217" w14:textId="77777777" w:rsidR="009260DE" w:rsidRPr="00C01559" w:rsidRDefault="009260DE" w:rsidP="009260DE">
      <w:pPr>
        <w:tabs>
          <w:tab w:val="left" w:pos="851"/>
        </w:tabs>
        <w:ind w:left="851"/>
        <w:rPr>
          <w:sz w:val="24"/>
          <w:szCs w:val="24"/>
        </w:rPr>
      </w:pPr>
    </w:p>
    <w:p w14:paraId="26ED336D" w14:textId="77777777" w:rsidR="009260DE" w:rsidRPr="00C01559" w:rsidRDefault="009260DE" w:rsidP="009260DE">
      <w:pPr>
        <w:tabs>
          <w:tab w:val="left" w:pos="851"/>
        </w:tabs>
        <w:ind w:left="851" w:hanging="851"/>
        <w:rPr>
          <w:b/>
          <w:sz w:val="24"/>
          <w:szCs w:val="24"/>
        </w:rPr>
      </w:pPr>
      <w:r w:rsidRPr="00C01559">
        <w:rPr>
          <w:b/>
          <w:sz w:val="24"/>
          <w:szCs w:val="24"/>
        </w:rPr>
        <w:t>4.4</w:t>
      </w:r>
      <w:r w:rsidRPr="00C01559">
        <w:rPr>
          <w:b/>
          <w:sz w:val="24"/>
          <w:szCs w:val="24"/>
        </w:rPr>
        <w:tab/>
        <w:t>Særlige advarsler og forsigtighedsregler vedrørende brugen</w:t>
      </w:r>
    </w:p>
    <w:p w14:paraId="54634F66" w14:textId="77777777" w:rsidR="00B5675F" w:rsidRPr="00C01559" w:rsidRDefault="00B5675F" w:rsidP="00C73CAD">
      <w:pPr>
        <w:ind w:left="851"/>
        <w:rPr>
          <w:color w:val="000000" w:themeColor="text1"/>
          <w:sz w:val="24"/>
          <w:szCs w:val="24"/>
        </w:rPr>
      </w:pPr>
    </w:p>
    <w:p w14:paraId="00E9E722" w14:textId="77777777" w:rsidR="00B5675F" w:rsidRPr="00C01559" w:rsidRDefault="00B5675F" w:rsidP="00C73CAD">
      <w:pPr>
        <w:pBdr>
          <w:top w:val="single" w:sz="4" w:space="1" w:color="auto"/>
          <w:left w:val="single" w:sz="4" w:space="4" w:color="auto"/>
          <w:bottom w:val="single" w:sz="4" w:space="1" w:color="auto"/>
          <w:right w:val="single" w:sz="4" w:space="4" w:color="auto"/>
        </w:pBdr>
        <w:spacing w:before="17" w:line="237" w:lineRule="auto"/>
        <w:ind w:left="851" w:right="57"/>
        <w:rPr>
          <w:color w:val="000000" w:themeColor="text1"/>
          <w:sz w:val="24"/>
          <w:szCs w:val="24"/>
        </w:rPr>
      </w:pPr>
      <w:r w:rsidRPr="00C01559">
        <w:rPr>
          <w:color w:val="000000" w:themeColor="text1"/>
          <w:sz w:val="24"/>
          <w:szCs w:val="24"/>
        </w:rPr>
        <w:t xml:space="preserve">Patienter med reumatologiske eller dermatologiske sygdomme skal informeres klart og tydeligt om, at behandlingen kun skal tages én gang om ugen og ikke hver dag. Ukorrekt brug af </w:t>
      </w:r>
      <w:proofErr w:type="spellStart"/>
      <w:r w:rsidRPr="00C01559">
        <w:rPr>
          <w:color w:val="000000" w:themeColor="text1"/>
          <w:sz w:val="24"/>
          <w:szCs w:val="24"/>
        </w:rPr>
        <w:t>methotrexat</w:t>
      </w:r>
      <w:proofErr w:type="spellEnd"/>
      <w:r w:rsidRPr="00C01559">
        <w:rPr>
          <w:color w:val="000000" w:themeColor="text1"/>
          <w:sz w:val="24"/>
          <w:szCs w:val="24"/>
        </w:rPr>
        <w:t xml:space="preserve"> kan resultere i svære og sågar dødelige bivirkninger. Sundhedspersoner og patienter skal have tydelige instrukser.</w:t>
      </w:r>
    </w:p>
    <w:p w14:paraId="2854A61F" w14:textId="77777777" w:rsidR="00B5675F" w:rsidRPr="00C01559" w:rsidRDefault="00B5675F" w:rsidP="00C73CAD">
      <w:pPr>
        <w:ind w:left="851"/>
        <w:rPr>
          <w:sz w:val="24"/>
          <w:szCs w:val="24"/>
        </w:rPr>
      </w:pPr>
    </w:p>
    <w:p w14:paraId="5275B187" w14:textId="77777777" w:rsidR="00B5675F" w:rsidRPr="00C01559" w:rsidRDefault="00B5675F" w:rsidP="00C73CAD">
      <w:pPr>
        <w:ind w:left="851"/>
        <w:rPr>
          <w:iCs/>
          <w:sz w:val="24"/>
          <w:szCs w:val="24"/>
        </w:rPr>
      </w:pPr>
      <w:r w:rsidRPr="00C01559">
        <w:rPr>
          <w:iCs/>
          <w:sz w:val="24"/>
          <w:szCs w:val="24"/>
        </w:rPr>
        <w:t>Den ordinerende læge skal angive den ugedag, hvor lægemidlet skal tages, på recepten.</w:t>
      </w:r>
    </w:p>
    <w:p w14:paraId="08286B37" w14:textId="3F282A1A" w:rsidR="00B5675F" w:rsidRPr="00C01559" w:rsidRDefault="00B5675F" w:rsidP="00C73CAD">
      <w:pPr>
        <w:ind w:left="851"/>
        <w:rPr>
          <w:iCs/>
          <w:sz w:val="24"/>
          <w:szCs w:val="24"/>
        </w:rPr>
      </w:pPr>
      <w:r w:rsidRPr="00C01559">
        <w:rPr>
          <w:sz w:val="24"/>
          <w:szCs w:val="24"/>
        </w:rPr>
        <w:t xml:space="preserve">Den ordinerende læge skal sikre sig, at patienten forstår, at </w:t>
      </w:r>
      <w:proofErr w:type="spellStart"/>
      <w:r w:rsidRPr="00C01559">
        <w:rPr>
          <w:sz w:val="24"/>
          <w:szCs w:val="24"/>
        </w:rPr>
        <w:t>Methotrexate</w:t>
      </w:r>
      <w:proofErr w:type="spellEnd"/>
      <w:r w:rsidRPr="00C01559">
        <w:rPr>
          <w:sz w:val="24"/>
          <w:szCs w:val="24"/>
        </w:rPr>
        <w:t xml:space="preserve"> </w:t>
      </w:r>
      <w:r w:rsidR="00C01559">
        <w:rPr>
          <w:sz w:val="24"/>
          <w:szCs w:val="24"/>
        </w:rPr>
        <w:t>"</w:t>
      </w:r>
      <w:proofErr w:type="spellStart"/>
      <w:r w:rsidR="00C01559">
        <w:rPr>
          <w:sz w:val="24"/>
          <w:szCs w:val="24"/>
        </w:rPr>
        <w:t>Afortas</w:t>
      </w:r>
      <w:proofErr w:type="spellEnd"/>
      <w:r w:rsidR="00C01559">
        <w:rPr>
          <w:sz w:val="24"/>
          <w:szCs w:val="24"/>
        </w:rPr>
        <w:t>"</w:t>
      </w:r>
      <w:r w:rsidRPr="00C01559">
        <w:rPr>
          <w:sz w:val="24"/>
          <w:szCs w:val="24"/>
        </w:rPr>
        <w:t xml:space="preserve"> (</w:t>
      </w:r>
      <w:proofErr w:type="spellStart"/>
      <w:r w:rsidRPr="00C01559">
        <w:rPr>
          <w:sz w:val="24"/>
          <w:szCs w:val="24"/>
        </w:rPr>
        <w:t>methotrexat</w:t>
      </w:r>
      <w:proofErr w:type="spellEnd"/>
      <w:r w:rsidRPr="00C01559">
        <w:rPr>
          <w:sz w:val="24"/>
          <w:szCs w:val="24"/>
        </w:rPr>
        <w:t>) kun skal tages én gang om ugen.</w:t>
      </w:r>
    </w:p>
    <w:p w14:paraId="11A5CCA3" w14:textId="77777777" w:rsidR="00B5675F" w:rsidRPr="00C01559" w:rsidRDefault="00B5675F" w:rsidP="00C73CAD">
      <w:pPr>
        <w:ind w:left="851"/>
        <w:rPr>
          <w:iCs/>
          <w:sz w:val="24"/>
          <w:szCs w:val="24"/>
        </w:rPr>
      </w:pPr>
      <w:r w:rsidRPr="00C01559">
        <w:rPr>
          <w:iCs/>
          <w:sz w:val="24"/>
          <w:szCs w:val="24"/>
        </w:rPr>
        <w:t>Patienterne skal informeres om vigtigheden af kun at tage lægemidlet én gang om ugen.</w:t>
      </w:r>
    </w:p>
    <w:p w14:paraId="20A850C6" w14:textId="77777777" w:rsidR="00B5675F" w:rsidRPr="00C01559" w:rsidRDefault="00B5675F" w:rsidP="00C73CAD">
      <w:pPr>
        <w:ind w:left="851"/>
        <w:rPr>
          <w:iCs/>
          <w:sz w:val="24"/>
          <w:szCs w:val="24"/>
        </w:rPr>
      </w:pPr>
    </w:p>
    <w:p w14:paraId="742F814F" w14:textId="77777777" w:rsidR="00B5675F" w:rsidRPr="00C01559" w:rsidRDefault="00B5675F" w:rsidP="00C73CAD">
      <w:pPr>
        <w:ind w:left="851"/>
        <w:rPr>
          <w:iCs/>
          <w:sz w:val="24"/>
          <w:szCs w:val="24"/>
        </w:rPr>
      </w:pPr>
      <w:r w:rsidRPr="00C01559">
        <w:rPr>
          <w:iCs/>
          <w:sz w:val="24"/>
          <w:szCs w:val="24"/>
        </w:rPr>
        <w:t>Patienterne skal monitoreres på passende vis under behandlingen, således at eventuelle toksiske virkninger eller bivirkninger kan påvises og vurderes hurtigst muligt.</w:t>
      </w:r>
    </w:p>
    <w:p w14:paraId="5D80BB8B" w14:textId="77777777" w:rsidR="00B5675F" w:rsidRPr="00C01559" w:rsidRDefault="00B5675F" w:rsidP="00C73CAD">
      <w:pPr>
        <w:ind w:left="851"/>
        <w:rPr>
          <w:iCs/>
          <w:sz w:val="24"/>
          <w:szCs w:val="24"/>
        </w:rPr>
      </w:pPr>
      <w:r w:rsidRPr="00C01559">
        <w:rPr>
          <w:iCs/>
          <w:sz w:val="24"/>
          <w:szCs w:val="24"/>
        </w:rPr>
        <w:t xml:space="preserve">Derfor bør </w:t>
      </w:r>
      <w:proofErr w:type="spellStart"/>
      <w:r w:rsidRPr="00C01559">
        <w:rPr>
          <w:iCs/>
          <w:sz w:val="24"/>
          <w:szCs w:val="24"/>
        </w:rPr>
        <w:t>methotrexat</w:t>
      </w:r>
      <w:proofErr w:type="spellEnd"/>
      <w:r w:rsidRPr="00C01559">
        <w:rPr>
          <w:iCs/>
          <w:sz w:val="24"/>
          <w:szCs w:val="24"/>
        </w:rPr>
        <w:t xml:space="preserve"> kun administreres af eller under opsyn af læger, der har den nødvendige viden og erfaring med behandling med antimetabolitter.</w:t>
      </w:r>
    </w:p>
    <w:p w14:paraId="2EA7A97A" w14:textId="77777777" w:rsidR="00B5675F" w:rsidRPr="00C01559" w:rsidRDefault="00B5675F" w:rsidP="00C73CAD">
      <w:pPr>
        <w:ind w:left="851"/>
        <w:rPr>
          <w:iCs/>
          <w:sz w:val="24"/>
          <w:szCs w:val="24"/>
        </w:rPr>
      </w:pPr>
      <w:r w:rsidRPr="00C01559">
        <w:rPr>
          <w:iCs/>
          <w:sz w:val="24"/>
          <w:szCs w:val="24"/>
        </w:rPr>
        <w:t xml:space="preserve">Særligt tæt monitorering af patienten er indiceret efter strålebehandling (især af bækken), ved nedsat funktion af det </w:t>
      </w:r>
      <w:proofErr w:type="spellStart"/>
      <w:r w:rsidRPr="00C01559">
        <w:rPr>
          <w:iCs/>
          <w:sz w:val="24"/>
          <w:szCs w:val="24"/>
        </w:rPr>
        <w:t>hæmatopoietiske</w:t>
      </w:r>
      <w:proofErr w:type="spellEnd"/>
      <w:r w:rsidRPr="00C01559">
        <w:rPr>
          <w:iCs/>
          <w:sz w:val="24"/>
          <w:szCs w:val="24"/>
        </w:rPr>
        <w:t xml:space="preserve"> system (f.eks. efter tidligere strålebehandling eller kemoterapi), svækket almentilstand og fremskreden alder og hos meget unge børn.</w:t>
      </w:r>
    </w:p>
    <w:p w14:paraId="711D68F6" w14:textId="77777777" w:rsidR="00B5675F" w:rsidRPr="00C01559" w:rsidRDefault="00B5675F" w:rsidP="00C73CAD">
      <w:pPr>
        <w:ind w:left="851"/>
        <w:rPr>
          <w:iCs/>
          <w:sz w:val="24"/>
          <w:szCs w:val="24"/>
        </w:rPr>
      </w:pPr>
      <w:r w:rsidRPr="00C01559">
        <w:rPr>
          <w:iCs/>
          <w:sz w:val="24"/>
          <w:szCs w:val="24"/>
        </w:rPr>
        <w:t>På grund af muligheden for svære eller sågar dødelige toksiske reaktioner skal den behandlende læge informere patienten grundigt om risiciene (herunder tidlige tegn og symptomer på toksicitet) og de anbefalede sikkerhedsforanstaltninger. Patienterne skal informeres om, at de straks skal kontakte lægen, hvis der opstår symptomer på overdosering, og at symptomerne på overdosering skal monitoreres (herunder regelmæssige laboratorieprøver).</w:t>
      </w:r>
    </w:p>
    <w:p w14:paraId="105095B0" w14:textId="77777777" w:rsidR="00B5675F" w:rsidRPr="00C01559" w:rsidRDefault="00B5675F" w:rsidP="00C73CAD">
      <w:pPr>
        <w:ind w:left="851"/>
        <w:rPr>
          <w:iCs/>
          <w:sz w:val="24"/>
          <w:szCs w:val="24"/>
        </w:rPr>
      </w:pPr>
      <w:r w:rsidRPr="00C01559">
        <w:rPr>
          <w:iCs/>
          <w:sz w:val="24"/>
          <w:szCs w:val="24"/>
        </w:rPr>
        <w:t>Doser over 20 mg/uge kan være forbundet med en betydelig stigning i toksicitet,</w:t>
      </w:r>
    </w:p>
    <w:p w14:paraId="7E8B3F33" w14:textId="77777777" w:rsidR="00B5675F" w:rsidRPr="00C01559" w:rsidRDefault="00B5675F" w:rsidP="00C73CAD">
      <w:pPr>
        <w:ind w:left="851"/>
        <w:rPr>
          <w:iCs/>
          <w:sz w:val="24"/>
          <w:szCs w:val="24"/>
        </w:rPr>
      </w:pPr>
      <w:r w:rsidRPr="00C01559">
        <w:rPr>
          <w:iCs/>
          <w:sz w:val="24"/>
          <w:szCs w:val="24"/>
        </w:rPr>
        <w:t>især knoglemarvsdepression.</w:t>
      </w:r>
    </w:p>
    <w:p w14:paraId="3F04858F" w14:textId="77777777" w:rsidR="00B5675F" w:rsidRPr="00C01559" w:rsidRDefault="00B5675F" w:rsidP="00C73CAD">
      <w:pPr>
        <w:ind w:left="851"/>
        <w:rPr>
          <w:iCs/>
          <w:sz w:val="24"/>
          <w:szCs w:val="24"/>
        </w:rPr>
      </w:pPr>
    </w:p>
    <w:p w14:paraId="2B848682" w14:textId="77777777" w:rsidR="00B5675F" w:rsidRPr="00C01559" w:rsidRDefault="00B5675F" w:rsidP="00C73CAD">
      <w:pPr>
        <w:ind w:left="851"/>
        <w:rPr>
          <w:iCs/>
          <w:sz w:val="24"/>
          <w:szCs w:val="24"/>
        </w:rPr>
      </w:pPr>
      <w:r w:rsidRPr="00C01559">
        <w:rPr>
          <w:iCs/>
          <w:sz w:val="24"/>
          <w:szCs w:val="24"/>
        </w:rPr>
        <w:t xml:space="preserve">Eftersom </w:t>
      </w:r>
      <w:proofErr w:type="spellStart"/>
      <w:r w:rsidRPr="00C01559">
        <w:rPr>
          <w:iCs/>
          <w:sz w:val="24"/>
          <w:szCs w:val="24"/>
        </w:rPr>
        <w:t>methotrexat</w:t>
      </w:r>
      <w:proofErr w:type="spellEnd"/>
      <w:r w:rsidRPr="00C01559">
        <w:rPr>
          <w:iCs/>
          <w:sz w:val="24"/>
          <w:szCs w:val="24"/>
        </w:rPr>
        <w:t xml:space="preserve"> udskilles langsommere hos patienter med nedsat nyrefunktion, skal sådanne patienter behandles med særlig forsigtighed, og kun med lave </w:t>
      </w:r>
      <w:proofErr w:type="spellStart"/>
      <w:r w:rsidRPr="00C01559">
        <w:rPr>
          <w:iCs/>
          <w:sz w:val="24"/>
          <w:szCs w:val="24"/>
        </w:rPr>
        <w:t>methotrexatdoser</w:t>
      </w:r>
      <w:proofErr w:type="spellEnd"/>
      <w:r w:rsidRPr="00C01559">
        <w:rPr>
          <w:iCs/>
          <w:sz w:val="24"/>
          <w:szCs w:val="24"/>
        </w:rPr>
        <w:t xml:space="preserve"> (se pkt. 4.2).</w:t>
      </w:r>
    </w:p>
    <w:p w14:paraId="1628EE9D" w14:textId="52EBF40B" w:rsidR="00B5675F" w:rsidRPr="00C01559" w:rsidRDefault="00B5675F" w:rsidP="00C73CAD">
      <w:pPr>
        <w:ind w:left="851"/>
        <w:rPr>
          <w:iCs/>
          <w:sz w:val="24"/>
          <w:szCs w:val="24"/>
        </w:rPr>
      </w:pPr>
      <w:proofErr w:type="spellStart"/>
      <w:r w:rsidRPr="00C01559">
        <w:rPr>
          <w:iCs/>
          <w:sz w:val="24"/>
          <w:szCs w:val="24"/>
        </w:rPr>
        <w:t>Methotrexat</w:t>
      </w:r>
      <w:proofErr w:type="spellEnd"/>
      <w:r w:rsidRPr="00C01559">
        <w:rPr>
          <w:iCs/>
          <w:sz w:val="24"/>
          <w:szCs w:val="24"/>
        </w:rPr>
        <w:t xml:space="preserve"> må kun anvendes med stor forsigtighed, hvis overhovedet, hos patienter med signifikant leversygdom, især hvis sygdommen er/var alkoholrelateret.</w:t>
      </w:r>
    </w:p>
    <w:p w14:paraId="40FE1EF7" w14:textId="77777777" w:rsidR="00C73CAD" w:rsidRPr="00C01559" w:rsidRDefault="00C73CAD" w:rsidP="00C73CAD">
      <w:pPr>
        <w:ind w:left="851"/>
        <w:rPr>
          <w:iCs/>
          <w:sz w:val="24"/>
          <w:szCs w:val="24"/>
        </w:rPr>
      </w:pPr>
    </w:p>
    <w:p w14:paraId="3B56B827" w14:textId="77777777" w:rsidR="00B5675F" w:rsidRPr="00C01559" w:rsidRDefault="00B5675F" w:rsidP="00C73CAD">
      <w:pPr>
        <w:ind w:left="851"/>
        <w:rPr>
          <w:iCs/>
          <w:sz w:val="24"/>
          <w:szCs w:val="24"/>
        </w:rPr>
      </w:pPr>
      <w:r w:rsidRPr="00C01559">
        <w:rPr>
          <w:iCs/>
          <w:sz w:val="24"/>
          <w:szCs w:val="24"/>
          <w:u w:val="single"/>
        </w:rPr>
        <w:t>Fertilitet</w:t>
      </w:r>
    </w:p>
    <w:p w14:paraId="08E39613" w14:textId="6FF6CE48" w:rsidR="00B5675F" w:rsidRPr="00C01559" w:rsidRDefault="00B5675F" w:rsidP="00C73CAD">
      <w:pPr>
        <w:ind w:left="851"/>
        <w:rPr>
          <w:iCs/>
          <w:sz w:val="24"/>
          <w:szCs w:val="24"/>
        </w:rPr>
      </w:pPr>
      <w:r w:rsidRPr="00C01559">
        <w:rPr>
          <w:iCs/>
          <w:sz w:val="24"/>
          <w:szCs w:val="24"/>
        </w:rPr>
        <w:t xml:space="preserve">Der er rapporteret om </w:t>
      </w:r>
      <w:proofErr w:type="spellStart"/>
      <w:r w:rsidRPr="00C01559">
        <w:rPr>
          <w:iCs/>
          <w:sz w:val="24"/>
          <w:szCs w:val="24"/>
        </w:rPr>
        <w:t>methotrexat</w:t>
      </w:r>
      <w:proofErr w:type="spellEnd"/>
      <w:r w:rsidRPr="00C01559">
        <w:rPr>
          <w:iCs/>
          <w:sz w:val="24"/>
          <w:szCs w:val="24"/>
        </w:rPr>
        <w:t xml:space="preserve">-forårsaget nedsat fertilitet, </w:t>
      </w:r>
      <w:proofErr w:type="spellStart"/>
      <w:r w:rsidRPr="00C01559">
        <w:rPr>
          <w:iCs/>
          <w:sz w:val="24"/>
          <w:szCs w:val="24"/>
        </w:rPr>
        <w:t>oligospermi</w:t>
      </w:r>
      <w:proofErr w:type="spellEnd"/>
      <w:r w:rsidRPr="00C01559">
        <w:rPr>
          <w:iCs/>
          <w:sz w:val="24"/>
          <w:szCs w:val="24"/>
        </w:rPr>
        <w:t xml:space="preserve">, menstruationsforstyrrelser og </w:t>
      </w:r>
      <w:proofErr w:type="spellStart"/>
      <w:r w:rsidRPr="00C01559">
        <w:rPr>
          <w:iCs/>
          <w:sz w:val="24"/>
          <w:szCs w:val="24"/>
        </w:rPr>
        <w:t>amenorré</w:t>
      </w:r>
      <w:proofErr w:type="spellEnd"/>
      <w:r w:rsidRPr="00C01559">
        <w:rPr>
          <w:iCs/>
          <w:sz w:val="24"/>
          <w:szCs w:val="24"/>
        </w:rPr>
        <w:t xml:space="preserve"> hos mennesker under behandlingen og i en kort periode efter </w:t>
      </w:r>
      <w:proofErr w:type="spellStart"/>
      <w:r w:rsidRPr="00C01559">
        <w:rPr>
          <w:iCs/>
          <w:sz w:val="24"/>
          <w:szCs w:val="24"/>
        </w:rPr>
        <w:t>seponering</w:t>
      </w:r>
      <w:proofErr w:type="spellEnd"/>
      <w:r w:rsidRPr="00C01559">
        <w:rPr>
          <w:iCs/>
          <w:sz w:val="24"/>
          <w:szCs w:val="24"/>
        </w:rPr>
        <w:t xml:space="preserve"> af behandlingen, med påvirkning af </w:t>
      </w:r>
      <w:proofErr w:type="spellStart"/>
      <w:r w:rsidRPr="00C01559">
        <w:rPr>
          <w:iCs/>
          <w:sz w:val="24"/>
          <w:szCs w:val="24"/>
        </w:rPr>
        <w:t>spermatogenesen</w:t>
      </w:r>
      <w:proofErr w:type="spellEnd"/>
      <w:r w:rsidRPr="00C01559">
        <w:rPr>
          <w:iCs/>
          <w:sz w:val="24"/>
          <w:szCs w:val="24"/>
        </w:rPr>
        <w:t xml:space="preserve"> og </w:t>
      </w:r>
      <w:proofErr w:type="spellStart"/>
      <w:r w:rsidRPr="00C01559">
        <w:rPr>
          <w:iCs/>
          <w:sz w:val="24"/>
          <w:szCs w:val="24"/>
        </w:rPr>
        <w:t>oogenesen</w:t>
      </w:r>
      <w:proofErr w:type="spellEnd"/>
      <w:r w:rsidRPr="00C01559">
        <w:rPr>
          <w:iCs/>
          <w:sz w:val="24"/>
          <w:szCs w:val="24"/>
        </w:rPr>
        <w:t xml:space="preserve"> i administrationsperioden - virkningerne er tilsyneladende reversible efter </w:t>
      </w:r>
      <w:proofErr w:type="spellStart"/>
      <w:r w:rsidRPr="00C01559">
        <w:rPr>
          <w:iCs/>
          <w:sz w:val="24"/>
          <w:szCs w:val="24"/>
        </w:rPr>
        <w:t>seponering</w:t>
      </w:r>
      <w:proofErr w:type="spellEnd"/>
      <w:r w:rsidRPr="00C01559">
        <w:rPr>
          <w:iCs/>
          <w:sz w:val="24"/>
          <w:szCs w:val="24"/>
        </w:rPr>
        <w:t xml:space="preserve"> af behandlingen.</w:t>
      </w:r>
    </w:p>
    <w:p w14:paraId="6A549737" w14:textId="77777777" w:rsidR="00C73CAD" w:rsidRPr="00C01559" w:rsidRDefault="00C73CAD" w:rsidP="00C73CAD">
      <w:pPr>
        <w:ind w:left="851"/>
        <w:rPr>
          <w:iCs/>
          <w:sz w:val="24"/>
          <w:szCs w:val="24"/>
        </w:rPr>
      </w:pPr>
    </w:p>
    <w:p w14:paraId="1E010B94" w14:textId="77777777" w:rsidR="00B5675F" w:rsidRPr="00C01559" w:rsidRDefault="00B5675F" w:rsidP="00C73CAD">
      <w:pPr>
        <w:ind w:left="851"/>
        <w:rPr>
          <w:iCs/>
          <w:sz w:val="24"/>
          <w:szCs w:val="24"/>
        </w:rPr>
      </w:pPr>
      <w:proofErr w:type="spellStart"/>
      <w:r w:rsidRPr="00C01559">
        <w:rPr>
          <w:iCs/>
          <w:sz w:val="24"/>
          <w:szCs w:val="24"/>
          <w:u w:val="single"/>
        </w:rPr>
        <w:t>Teratogenicitet</w:t>
      </w:r>
      <w:proofErr w:type="spellEnd"/>
      <w:r w:rsidRPr="00C01559">
        <w:rPr>
          <w:iCs/>
          <w:sz w:val="24"/>
          <w:szCs w:val="24"/>
          <w:u w:val="single"/>
        </w:rPr>
        <w:t xml:space="preserve"> – Reproduktionsrisiko</w:t>
      </w:r>
    </w:p>
    <w:p w14:paraId="2925FAD8" w14:textId="77777777" w:rsidR="00B5675F" w:rsidRPr="00C01559" w:rsidRDefault="00B5675F" w:rsidP="00C73CAD">
      <w:pPr>
        <w:ind w:left="851"/>
        <w:rPr>
          <w:iCs/>
          <w:sz w:val="24"/>
          <w:szCs w:val="24"/>
        </w:rPr>
      </w:pPr>
      <w:proofErr w:type="spellStart"/>
      <w:r w:rsidRPr="00C01559">
        <w:rPr>
          <w:iCs/>
          <w:sz w:val="24"/>
          <w:szCs w:val="24"/>
        </w:rPr>
        <w:t>Methotrexat</w:t>
      </w:r>
      <w:proofErr w:type="spellEnd"/>
      <w:r w:rsidRPr="00C01559">
        <w:rPr>
          <w:iCs/>
          <w:sz w:val="24"/>
          <w:szCs w:val="24"/>
        </w:rPr>
        <w:t xml:space="preserve"> forårsager embryotoksicitet, abort og </w:t>
      </w:r>
      <w:proofErr w:type="spellStart"/>
      <w:r w:rsidRPr="00C01559">
        <w:rPr>
          <w:iCs/>
          <w:sz w:val="24"/>
          <w:szCs w:val="24"/>
        </w:rPr>
        <w:t>føtale</w:t>
      </w:r>
      <w:proofErr w:type="spellEnd"/>
      <w:r w:rsidRPr="00C01559">
        <w:rPr>
          <w:iCs/>
          <w:sz w:val="24"/>
          <w:szCs w:val="24"/>
        </w:rPr>
        <w:t xml:space="preserve"> misdannelser hos mennesker. Derfor skal de mulige virkninger på reproduktionen, graviditetstab og medfødte misdannelser drøftes med kvindelige patienter i den fertile alder (se pkt. 4.6).</w:t>
      </w:r>
    </w:p>
    <w:p w14:paraId="3114EE49" w14:textId="7DDBD8AA" w:rsidR="00B5675F" w:rsidRPr="00C01559" w:rsidRDefault="00B5675F" w:rsidP="00C73CAD">
      <w:pPr>
        <w:ind w:left="851"/>
        <w:rPr>
          <w:iCs/>
          <w:sz w:val="24"/>
          <w:szCs w:val="24"/>
        </w:rPr>
      </w:pPr>
      <w:r w:rsidRPr="00C01559">
        <w:rPr>
          <w:iCs/>
          <w:sz w:val="24"/>
          <w:szCs w:val="24"/>
        </w:rPr>
        <w:t xml:space="preserve">Ved ikke-onkologiske indikationer skal graviditet udelukkes før brug af </w:t>
      </w:r>
      <w:proofErr w:type="spellStart"/>
      <w:r w:rsidRPr="00C01559">
        <w:rPr>
          <w:iCs/>
          <w:sz w:val="24"/>
          <w:szCs w:val="24"/>
        </w:rPr>
        <w:t>Methotrexate</w:t>
      </w:r>
      <w:proofErr w:type="spellEnd"/>
      <w:r w:rsidRPr="00C01559">
        <w:rPr>
          <w:iCs/>
          <w:sz w:val="24"/>
          <w:szCs w:val="24"/>
        </w:rPr>
        <w:t xml:space="preserve"> </w:t>
      </w:r>
      <w:r w:rsidR="00C01559">
        <w:rPr>
          <w:iCs/>
          <w:sz w:val="24"/>
          <w:szCs w:val="24"/>
        </w:rPr>
        <w:t>"</w:t>
      </w:r>
      <w:proofErr w:type="spellStart"/>
      <w:r w:rsidR="00C01559">
        <w:rPr>
          <w:iCs/>
          <w:sz w:val="24"/>
          <w:szCs w:val="24"/>
        </w:rPr>
        <w:t>Afortas</w:t>
      </w:r>
      <w:proofErr w:type="spellEnd"/>
      <w:r w:rsidR="00C01559">
        <w:rPr>
          <w:iCs/>
          <w:sz w:val="24"/>
          <w:szCs w:val="24"/>
        </w:rPr>
        <w:t>"</w:t>
      </w:r>
      <w:r w:rsidRPr="00C01559">
        <w:rPr>
          <w:iCs/>
          <w:sz w:val="24"/>
          <w:szCs w:val="24"/>
        </w:rPr>
        <w:t xml:space="preserve">. Hvis kvinder i den fertile alder bliver behandlet, skal de anvende sikker </w:t>
      </w:r>
      <w:proofErr w:type="spellStart"/>
      <w:r w:rsidRPr="00C01559">
        <w:rPr>
          <w:iCs/>
          <w:sz w:val="24"/>
          <w:szCs w:val="24"/>
        </w:rPr>
        <w:t>kontraception</w:t>
      </w:r>
      <w:proofErr w:type="spellEnd"/>
      <w:r w:rsidRPr="00C01559">
        <w:rPr>
          <w:iCs/>
          <w:sz w:val="24"/>
          <w:szCs w:val="24"/>
        </w:rPr>
        <w:t xml:space="preserve"> under behandlingen og i mindst seks måneder derefter.</w:t>
      </w:r>
    </w:p>
    <w:p w14:paraId="0B063ABE" w14:textId="77777777" w:rsidR="00B5675F" w:rsidRPr="00C01559" w:rsidRDefault="00B5675F" w:rsidP="00C73CAD">
      <w:pPr>
        <w:ind w:left="851"/>
        <w:rPr>
          <w:iCs/>
          <w:sz w:val="24"/>
          <w:szCs w:val="24"/>
        </w:rPr>
      </w:pPr>
    </w:p>
    <w:p w14:paraId="090844CC" w14:textId="4A3A0AF2" w:rsidR="00B5675F" w:rsidRPr="00C01559" w:rsidRDefault="00B5675F" w:rsidP="00C73CAD">
      <w:pPr>
        <w:ind w:left="851"/>
        <w:rPr>
          <w:iCs/>
          <w:sz w:val="24"/>
          <w:szCs w:val="24"/>
        </w:rPr>
      </w:pPr>
      <w:r w:rsidRPr="00C01559">
        <w:rPr>
          <w:iCs/>
          <w:sz w:val="24"/>
          <w:szCs w:val="24"/>
        </w:rPr>
        <w:lastRenderedPageBreak/>
        <w:t xml:space="preserve">Se rådene vedrørende mandlig </w:t>
      </w:r>
      <w:proofErr w:type="spellStart"/>
      <w:r w:rsidRPr="00C01559">
        <w:rPr>
          <w:iCs/>
          <w:sz w:val="24"/>
          <w:szCs w:val="24"/>
        </w:rPr>
        <w:t>kontraception</w:t>
      </w:r>
      <w:proofErr w:type="spellEnd"/>
      <w:r w:rsidRPr="00C01559">
        <w:rPr>
          <w:iCs/>
          <w:sz w:val="24"/>
          <w:szCs w:val="24"/>
        </w:rPr>
        <w:t xml:space="preserve"> i pkt. 4.6. </w:t>
      </w:r>
    </w:p>
    <w:p w14:paraId="2FC2CA52" w14:textId="77777777" w:rsidR="00C73CAD" w:rsidRPr="00C01559" w:rsidRDefault="00C73CAD" w:rsidP="00C73CAD">
      <w:pPr>
        <w:ind w:left="851"/>
        <w:rPr>
          <w:iCs/>
          <w:sz w:val="24"/>
          <w:szCs w:val="24"/>
        </w:rPr>
      </w:pPr>
    </w:p>
    <w:p w14:paraId="1D43FB50" w14:textId="5ED86E8C" w:rsidR="00B5675F" w:rsidRPr="00C01559" w:rsidRDefault="00B5675F" w:rsidP="00C73CAD">
      <w:pPr>
        <w:ind w:left="851"/>
        <w:rPr>
          <w:iCs/>
          <w:sz w:val="24"/>
          <w:szCs w:val="24"/>
          <w:u w:val="single"/>
        </w:rPr>
      </w:pPr>
      <w:r w:rsidRPr="00C01559">
        <w:rPr>
          <w:iCs/>
          <w:sz w:val="24"/>
          <w:szCs w:val="24"/>
          <w:u w:val="single"/>
        </w:rPr>
        <w:t>Anbefalede undersøgelser og sikkerhedsforanstaltninger</w:t>
      </w:r>
    </w:p>
    <w:p w14:paraId="3015EAFE" w14:textId="77777777" w:rsidR="00C73CAD" w:rsidRPr="00C01559" w:rsidRDefault="00C73CAD" w:rsidP="00C73CAD">
      <w:pPr>
        <w:ind w:left="851"/>
        <w:rPr>
          <w:iCs/>
          <w:sz w:val="24"/>
          <w:szCs w:val="24"/>
        </w:rPr>
      </w:pPr>
    </w:p>
    <w:p w14:paraId="540CDE30" w14:textId="77777777" w:rsidR="00B5675F" w:rsidRPr="00C01559" w:rsidRDefault="00B5675F" w:rsidP="00C73CAD">
      <w:pPr>
        <w:ind w:left="851"/>
        <w:rPr>
          <w:i/>
          <w:sz w:val="24"/>
          <w:szCs w:val="24"/>
        </w:rPr>
      </w:pPr>
      <w:r w:rsidRPr="00C01559">
        <w:rPr>
          <w:i/>
          <w:sz w:val="24"/>
          <w:szCs w:val="24"/>
          <w:u w:val="single"/>
        </w:rPr>
        <w:t>Før påbegyndelse af behandlingen eller genoptagelse af behandlingen efter en restitutionsperiode</w:t>
      </w:r>
    </w:p>
    <w:p w14:paraId="0CB4C523" w14:textId="53E4EEF5" w:rsidR="00B5675F" w:rsidRPr="00C01559" w:rsidRDefault="00B5675F" w:rsidP="00C73CAD">
      <w:pPr>
        <w:ind w:left="851"/>
        <w:rPr>
          <w:iCs/>
          <w:sz w:val="24"/>
          <w:szCs w:val="24"/>
        </w:rPr>
      </w:pPr>
      <w:r w:rsidRPr="00C01559">
        <w:rPr>
          <w:iCs/>
          <w:sz w:val="24"/>
          <w:szCs w:val="24"/>
        </w:rPr>
        <w:t xml:space="preserve">Komplet blodtælling med </w:t>
      </w:r>
      <w:proofErr w:type="spellStart"/>
      <w:r w:rsidRPr="00C01559">
        <w:rPr>
          <w:iCs/>
          <w:sz w:val="24"/>
          <w:szCs w:val="24"/>
        </w:rPr>
        <w:t>differentialtælling</w:t>
      </w:r>
      <w:proofErr w:type="spellEnd"/>
      <w:r w:rsidRPr="00C01559">
        <w:rPr>
          <w:iCs/>
          <w:sz w:val="24"/>
          <w:szCs w:val="24"/>
        </w:rPr>
        <w:t xml:space="preserve"> og </w:t>
      </w:r>
      <w:proofErr w:type="spellStart"/>
      <w:r w:rsidRPr="00C01559">
        <w:rPr>
          <w:iCs/>
          <w:sz w:val="24"/>
          <w:szCs w:val="24"/>
        </w:rPr>
        <w:t>trombocytter</w:t>
      </w:r>
      <w:proofErr w:type="spellEnd"/>
      <w:r w:rsidRPr="00C01559">
        <w:rPr>
          <w:iCs/>
          <w:sz w:val="24"/>
          <w:szCs w:val="24"/>
        </w:rPr>
        <w:t xml:space="preserve">, leverenzymer, bilirubin, serumalbumin, </w:t>
      </w:r>
      <w:proofErr w:type="spellStart"/>
      <w:r w:rsidRPr="00C01559">
        <w:rPr>
          <w:iCs/>
          <w:sz w:val="24"/>
          <w:szCs w:val="24"/>
        </w:rPr>
        <w:t>thoraxrøntgen</w:t>
      </w:r>
      <w:proofErr w:type="spellEnd"/>
      <w:r w:rsidRPr="00C01559">
        <w:rPr>
          <w:iCs/>
          <w:sz w:val="24"/>
          <w:szCs w:val="24"/>
        </w:rPr>
        <w:t xml:space="preserve"> og nyrefunktionstest. Hvis klinisk indiceret skal tuberkulose og hepatitis B og C udelukkes.</w:t>
      </w:r>
    </w:p>
    <w:p w14:paraId="10B0214C" w14:textId="77777777" w:rsidR="00C73CAD" w:rsidRPr="00C01559" w:rsidRDefault="00C73CAD" w:rsidP="00C73CAD">
      <w:pPr>
        <w:ind w:left="851"/>
        <w:rPr>
          <w:iCs/>
          <w:sz w:val="24"/>
          <w:szCs w:val="24"/>
        </w:rPr>
      </w:pPr>
    </w:p>
    <w:p w14:paraId="0DFB8032" w14:textId="77777777" w:rsidR="00B5675F" w:rsidRPr="00C01559" w:rsidRDefault="00B5675F" w:rsidP="00C73CAD">
      <w:pPr>
        <w:ind w:left="851"/>
        <w:rPr>
          <w:i/>
          <w:sz w:val="24"/>
          <w:szCs w:val="24"/>
        </w:rPr>
      </w:pPr>
      <w:r w:rsidRPr="00C01559">
        <w:rPr>
          <w:i/>
          <w:sz w:val="24"/>
          <w:szCs w:val="24"/>
          <w:u w:val="single"/>
        </w:rPr>
        <w:t>Under behandlingen</w:t>
      </w:r>
    </w:p>
    <w:p w14:paraId="0471C5A6" w14:textId="77777777" w:rsidR="00B5675F" w:rsidRPr="00C01559" w:rsidRDefault="00B5675F" w:rsidP="00C73CAD">
      <w:pPr>
        <w:ind w:left="851"/>
        <w:rPr>
          <w:iCs/>
          <w:sz w:val="24"/>
          <w:szCs w:val="24"/>
        </w:rPr>
      </w:pPr>
      <w:r w:rsidRPr="00C01559">
        <w:rPr>
          <w:iCs/>
          <w:sz w:val="24"/>
          <w:szCs w:val="24"/>
        </w:rPr>
        <w:t>Testene skal udføres ugentligt i de første to uger og derefter hver anden uge i en måned. Herefter skal de udføres afhængigt af patientens leukocyttal og stabilitet, dog mindst en gang om måneden i de næste seks måneder og derefter mindst hver tredje måned.</w:t>
      </w:r>
    </w:p>
    <w:p w14:paraId="475767DF" w14:textId="77777777" w:rsidR="00C73CAD" w:rsidRPr="00C01559" w:rsidRDefault="00C73CAD" w:rsidP="00C73CAD">
      <w:pPr>
        <w:ind w:left="851"/>
        <w:rPr>
          <w:iCs/>
          <w:sz w:val="24"/>
          <w:szCs w:val="24"/>
        </w:rPr>
      </w:pPr>
    </w:p>
    <w:p w14:paraId="1BB82FB9" w14:textId="7F38B564" w:rsidR="00B5675F" w:rsidRPr="00C01559" w:rsidRDefault="00B5675F" w:rsidP="00C73CAD">
      <w:pPr>
        <w:ind w:left="851"/>
        <w:rPr>
          <w:iCs/>
          <w:sz w:val="24"/>
          <w:szCs w:val="24"/>
        </w:rPr>
      </w:pPr>
      <w:r w:rsidRPr="00C01559">
        <w:rPr>
          <w:iCs/>
          <w:sz w:val="24"/>
          <w:szCs w:val="24"/>
        </w:rPr>
        <w:t>Det bør overvejes at øge monitoreringshyppigheden, når dosis øges. Særligt ældre patienter skal monitoreres med korte intervaller for tidlige tegn på toksicitet (se pkt. 4.2).</w:t>
      </w:r>
    </w:p>
    <w:p w14:paraId="3D93C64C" w14:textId="77777777" w:rsidR="00C73CAD" w:rsidRPr="00C01559" w:rsidRDefault="00C73CAD" w:rsidP="00C73CAD">
      <w:pPr>
        <w:ind w:left="851"/>
        <w:rPr>
          <w:iCs/>
          <w:sz w:val="24"/>
          <w:szCs w:val="24"/>
        </w:rPr>
      </w:pPr>
    </w:p>
    <w:p w14:paraId="040B8B73" w14:textId="5162DC99" w:rsidR="00B5675F" w:rsidRPr="00C01559" w:rsidRDefault="00B5675F" w:rsidP="00870E8F">
      <w:pPr>
        <w:pStyle w:val="Listeafsnit"/>
        <w:numPr>
          <w:ilvl w:val="0"/>
          <w:numId w:val="15"/>
        </w:numPr>
        <w:tabs>
          <w:tab w:val="clear" w:pos="567"/>
        </w:tabs>
        <w:spacing w:line="240" w:lineRule="auto"/>
        <w:ind w:left="1276" w:hanging="425"/>
        <w:rPr>
          <w:iCs/>
          <w:sz w:val="24"/>
          <w:szCs w:val="24"/>
        </w:rPr>
      </w:pPr>
      <w:r w:rsidRPr="00C01559">
        <w:rPr>
          <w:sz w:val="24"/>
          <w:szCs w:val="24"/>
        </w:rPr>
        <w:t xml:space="preserve">Undersøgelse af mund og svælg for </w:t>
      </w:r>
      <w:r w:rsidRPr="00C01559">
        <w:rPr>
          <w:i/>
          <w:sz w:val="24"/>
          <w:szCs w:val="24"/>
          <w:u w:val="single"/>
        </w:rPr>
        <w:t>slimhindeforandringer</w:t>
      </w:r>
      <w:r w:rsidRPr="00C01559">
        <w:rPr>
          <w:iCs/>
          <w:sz w:val="24"/>
          <w:szCs w:val="24"/>
        </w:rPr>
        <w:t>.</w:t>
      </w:r>
    </w:p>
    <w:p w14:paraId="58B5B990" w14:textId="77777777" w:rsidR="00C73CAD" w:rsidRPr="00C01559" w:rsidRDefault="00C73CAD" w:rsidP="00870E8F">
      <w:pPr>
        <w:ind w:left="1276" w:hanging="425"/>
        <w:rPr>
          <w:i/>
          <w:sz w:val="24"/>
          <w:szCs w:val="24"/>
        </w:rPr>
      </w:pPr>
    </w:p>
    <w:p w14:paraId="49F179F1" w14:textId="386829DD" w:rsidR="00B5675F" w:rsidRPr="00C01559" w:rsidRDefault="00B5675F" w:rsidP="00870E8F">
      <w:pPr>
        <w:pStyle w:val="Listeafsnit"/>
        <w:numPr>
          <w:ilvl w:val="0"/>
          <w:numId w:val="15"/>
        </w:numPr>
        <w:tabs>
          <w:tab w:val="clear" w:pos="567"/>
        </w:tabs>
        <w:spacing w:line="240" w:lineRule="auto"/>
        <w:ind w:left="1276" w:hanging="425"/>
        <w:rPr>
          <w:sz w:val="24"/>
          <w:szCs w:val="24"/>
        </w:rPr>
      </w:pPr>
      <w:r w:rsidRPr="00C01559">
        <w:rPr>
          <w:i/>
          <w:sz w:val="24"/>
          <w:szCs w:val="24"/>
          <w:u w:val="single"/>
        </w:rPr>
        <w:t>Komplet blodtælling</w:t>
      </w:r>
      <w:r w:rsidRPr="00C01559">
        <w:rPr>
          <w:i/>
          <w:sz w:val="24"/>
          <w:szCs w:val="24"/>
        </w:rPr>
        <w:t xml:space="preserve"> </w:t>
      </w:r>
      <w:r w:rsidRPr="00C01559">
        <w:rPr>
          <w:sz w:val="24"/>
          <w:szCs w:val="24"/>
        </w:rPr>
        <w:t xml:space="preserve">med </w:t>
      </w:r>
      <w:proofErr w:type="spellStart"/>
      <w:r w:rsidRPr="00C01559">
        <w:rPr>
          <w:sz w:val="24"/>
          <w:szCs w:val="24"/>
        </w:rPr>
        <w:t>differentialtælling</w:t>
      </w:r>
      <w:proofErr w:type="spellEnd"/>
      <w:r w:rsidRPr="00C01559">
        <w:rPr>
          <w:sz w:val="24"/>
          <w:szCs w:val="24"/>
        </w:rPr>
        <w:t xml:space="preserve"> og </w:t>
      </w:r>
      <w:proofErr w:type="spellStart"/>
      <w:r w:rsidRPr="00C01559">
        <w:rPr>
          <w:sz w:val="24"/>
          <w:szCs w:val="24"/>
        </w:rPr>
        <w:t>trombocytter</w:t>
      </w:r>
      <w:proofErr w:type="spellEnd"/>
      <w:r w:rsidRPr="00C01559">
        <w:rPr>
          <w:sz w:val="24"/>
          <w:szCs w:val="24"/>
        </w:rPr>
        <w:t xml:space="preserve">. </w:t>
      </w:r>
      <w:proofErr w:type="spellStart"/>
      <w:r w:rsidRPr="00C01559">
        <w:rPr>
          <w:sz w:val="24"/>
          <w:szCs w:val="24"/>
        </w:rPr>
        <w:t>Methotrexat</w:t>
      </w:r>
      <w:proofErr w:type="spellEnd"/>
      <w:r w:rsidRPr="00C01559">
        <w:rPr>
          <w:sz w:val="24"/>
          <w:szCs w:val="24"/>
        </w:rPr>
        <w:t xml:space="preserve">-induceret undertrykkelse af </w:t>
      </w:r>
      <w:proofErr w:type="spellStart"/>
      <w:r w:rsidRPr="00C01559">
        <w:rPr>
          <w:sz w:val="24"/>
          <w:szCs w:val="24"/>
        </w:rPr>
        <w:t>hæmatopoiesen</w:t>
      </w:r>
      <w:proofErr w:type="spellEnd"/>
      <w:r w:rsidRPr="00C01559">
        <w:rPr>
          <w:sz w:val="24"/>
          <w:szCs w:val="24"/>
        </w:rPr>
        <w:t xml:space="preserve"> kan opstå pludseligt og med tilsyneladende sikre doser Ethvert alvorligt fald i leukocyt- eller </w:t>
      </w:r>
      <w:proofErr w:type="spellStart"/>
      <w:r w:rsidRPr="00C01559">
        <w:rPr>
          <w:sz w:val="24"/>
          <w:szCs w:val="24"/>
        </w:rPr>
        <w:t>trombocyttal</w:t>
      </w:r>
      <w:proofErr w:type="spellEnd"/>
      <w:r w:rsidRPr="00C01559">
        <w:rPr>
          <w:sz w:val="24"/>
          <w:szCs w:val="24"/>
        </w:rPr>
        <w:t xml:space="preserve"> kræver øjeblikkelig </w:t>
      </w:r>
      <w:proofErr w:type="spellStart"/>
      <w:r w:rsidRPr="00C01559">
        <w:rPr>
          <w:sz w:val="24"/>
          <w:szCs w:val="24"/>
        </w:rPr>
        <w:t>seponering</w:t>
      </w:r>
      <w:proofErr w:type="spellEnd"/>
      <w:r w:rsidRPr="00C01559">
        <w:rPr>
          <w:sz w:val="24"/>
          <w:szCs w:val="24"/>
        </w:rPr>
        <w:t xml:space="preserve"> af behandlingen og passende understøttende behandling. Patienterne skal opfordres til at informere lægen om alle tegn og symptomer, der tyder på infektion. Hos patienter, der samtidig tager </w:t>
      </w:r>
      <w:proofErr w:type="spellStart"/>
      <w:r w:rsidRPr="00C01559">
        <w:rPr>
          <w:sz w:val="24"/>
          <w:szCs w:val="24"/>
        </w:rPr>
        <w:t>hæmatotoksiske</w:t>
      </w:r>
      <w:proofErr w:type="spellEnd"/>
      <w:r w:rsidRPr="00C01559">
        <w:rPr>
          <w:sz w:val="24"/>
          <w:szCs w:val="24"/>
        </w:rPr>
        <w:t xml:space="preserve"> lægemidler (f.eks. </w:t>
      </w:r>
      <w:proofErr w:type="spellStart"/>
      <w:r w:rsidRPr="00C01559">
        <w:rPr>
          <w:sz w:val="24"/>
          <w:szCs w:val="24"/>
        </w:rPr>
        <w:t>leflunomid</w:t>
      </w:r>
      <w:proofErr w:type="spellEnd"/>
      <w:r w:rsidRPr="00C01559">
        <w:rPr>
          <w:sz w:val="24"/>
          <w:szCs w:val="24"/>
        </w:rPr>
        <w:t xml:space="preserve">), skal blodtal og </w:t>
      </w:r>
      <w:proofErr w:type="spellStart"/>
      <w:r w:rsidRPr="00C01559">
        <w:rPr>
          <w:sz w:val="24"/>
          <w:szCs w:val="24"/>
        </w:rPr>
        <w:t>trombocytter</w:t>
      </w:r>
      <w:proofErr w:type="spellEnd"/>
      <w:r w:rsidRPr="00C01559">
        <w:rPr>
          <w:sz w:val="24"/>
          <w:szCs w:val="24"/>
        </w:rPr>
        <w:t xml:space="preserve"> monitoreres tæt.</w:t>
      </w:r>
    </w:p>
    <w:p w14:paraId="0F1AD6FC" w14:textId="77777777" w:rsidR="00C73CAD" w:rsidRPr="00C01559" w:rsidRDefault="00C73CAD" w:rsidP="00870E8F">
      <w:pPr>
        <w:ind w:left="1276" w:hanging="425"/>
        <w:rPr>
          <w:sz w:val="24"/>
          <w:szCs w:val="24"/>
        </w:rPr>
      </w:pPr>
    </w:p>
    <w:p w14:paraId="4FDFF11C" w14:textId="77777777" w:rsidR="00B5675F" w:rsidRPr="00C01559" w:rsidRDefault="00B5675F" w:rsidP="00870E8F">
      <w:pPr>
        <w:pStyle w:val="Listeafsnit"/>
        <w:numPr>
          <w:ilvl w:val="0"/>
          <w:numId w:val="15"/>
        </w:numPr>
        <w:tabs>
          <w:tab w:val="clear" w:pos="567"/>
        </w:tabs>
        <w:spacing w:line="240" w:lineRule="auto"/>
        <w:ind w:left="1276" w:hanging="425"/>
        <w:rPr>
          <w:i/>
          <w:sz w:val="24"/>
          <w:szCs w:val="24"/>
        </w:rPr>
      </w:pPr>
      <w:r w:rsidRPr="00C01559">
        <w:rPr>
          <w:i/>
          <w:sz w:val="24"/>
          <w:szCs w:val="24"/>
          <w:u w:val="single"/>
        </w:rPr>
        <w:t>Leverfunktionstest</w:t>
      </w:r>
    </w:p>
    <w:p w14:paraId="5D31A1DA" w14:textId="692B2CF2" w:rsidR="00B5675F" w:rsidRPr="00C01559" w:rsidRDefault="00B5675F" w:rsidP="00870E8F">
      <w:pPr>
        <w:pStyle w:val="Listeafsnit"/>
        <w:tabs>
          <w:tab w:val="clear" w:pos="567"/>
        </w:tabs>
        <w:spacing w:line="240" w:lineRule="auto"/>
        <w:ind w:left="1276"/>
        <w:rPr>
          <w:iCs/>
          <w:sz w:val="24"/>
          <w:szCs w:val="24"/>
        </w:rPr>
      </w:pPr>
      <w:r w:rsidRPr="00C01559">
        <w:rPr>
          <w:iCs/>
          <w:sz w:val="24"/>
          <w:szCs w:val="24"/>
        </w:rPr>
        <w:t>I tilfælde af persisterende eller signifikante abnormiteter i leverfunktionstest, andre ikke-invasive undersøgelser for leverfibrose eller leverbiopsier bør behandlingen ikke påbegyndes eller fortsættes.</w:t>
      </w:r>
    </w:p>
    <w:p w14:paraId="4F7EDFF7" w14:textId="77777777" w:rsidR="00C73CAD" w:rsidRPr="00C01559" w:rsidRDefault="00C73CAD" w:rsidP="00C73CAD">
      <w:pPr>
        <w:ind w:left="851"/>
        <w:rPr>
          <w:iCs/>
          <w:sz w:val="24"/>
          <w:szCs w:val="24"/>
        </w:rPr>
      </w:pPr>
    </w:p>
    <w:p w14:paraId="541B0A80" w14:textId="13B630E8" w:rsidR="00B5675F" w:rsidRPr="00C01559" w:rsidRDefault="00B5675F" w:rsidP="00C01559">
      <w:pPr>
        <w:ind w:left="851"/>
        <w:rPr>
          <w:iCs/>
          <w:sz w:val="24"/>
          <w:szCs w:val="24"/>
        </w:rPr>
      </w:pPr>
      <w:r w:rsidRPr="00C01559">
        <w:rPr>
          <w:iCs/>
          <w:sz w:val="24"/>
          <w:szCs w:val="24"/>
        </w:rPr>
        <w:t xml:space="preserve">Der er rapporteret om midlertidige stigninger i </w:t>
      </w:r>
      <w:proofErr w:type="spellStart"/>
      <w:r w:rsidRPr="00C01559">
        <w:rPr>
          <w:iCs/>
          <w:sz w:val="24"/>
          <w:szCs w:val="24"/>
        </w:rPr>
        <w:t>transaminaser</w:t>
      </w:r>
      <w:proofErr w:type="spellEnd"/>
      <w:r w:rsidRPr="00C01559">
        <w:rPr>
          <w:iCs/>
          <w:sz w:val="24"/>
          <w:szCs w:val="24"/>
        </w:rPr>
        <w:t xml:space="preserve"> til to eller tre gange den øvre normalgrænse hos patienter med en hyppighed på 13-20 %. Vedvarende stigning i leverenzymer og/eller fald i serumalbumin kan være tegn på svær </w:t>
      </w:r>
      <w:proofErr w:type="spellStart"/>
      <w:r w:rsidRPr="00C01559">
        <w:rPr>
          <w:iCs/>
          <w:sz w:val="24"/>
          <w:szCs w:val="24"/>
        </w:rPr>
        <w:t>hepatotoksicitet</w:t>
      </w:r>
      <w:proofErr w:type="spellEnd"/>
      <w:r w:rsidRPr="00C01559">
        <w:rPr>
          <w:iCs/>
          <w:sz w:val="24"/>
          <w:szCs w:val="24"/>
        </w:rPr>
        <w:t>. I tilfælde af en persisterende stigning i leverenzymer skal det overvejes at reducere dosen eller at seponere behandlingen.</w:t>
      </w:r>
    </w:p>
    <w:p w14:paraId="2C6EB654" w14:textId="77777777" w:rsidR="00B5675F" w:rsidRPr="00C01559" w:rsidRDefault="00B5675F" w:rsidP="00C01559">
      <w:pPr>
        <w:ind w:left="851"/>
        <w:rPr>
          <w:iCs/>
          <w:sz w:val="24"/>
          <w:szCs w:val="24"/>
        </w:rPr>
      </w:pPr>
    </w:p>
    <w:p w14:paraId="2E558896" w14:textId="77777777" w:rsidR="00B5675F" w:rsidRPr="00C01559" w:rsidRDefault="00B5675F" w:rsidP="00C01559">
      <w:pPr>
        <w:ind w:left="851"/>
        <w:rPr>
          <w:iCs/>
          <w:sz w:val="24"/>
          <w:szCs w:val="24"/>
        </w:rPr>
      </w:pPr>
      <w:r w:rsidRPr="00C01559">
        <w:rPr>
          <w:iCs/>
          <w:sz w:val="24"/>
          <w:szCs w:val="24"/>
        </w:rPr>
        <w:t xml:space="preserve">Histologiske forandringer, fibrose og i sjældnere tilfælde levercirrose er ikke nødvendigvis </w:t>
      </w:r>
      <w:proofErr w:type="spellStart"/>
      <w:r w:rsidRPr="00C01559">
        <w:rPr>
          <w:iCs/>
          <w:sz w:val="24"/>
          <w:szCs w:val="24"/>
        </w:rPr>
        <w:t>forudgået</w:t>
      </w:r>
      <w:proofErr w:type="spellEnd"/>
      <w:r w:rsidRPr="00C01559">
        <w:rPr>
          <w:iCs/>
          <w:sz w:val="24"/>
          <w:szCs w:val="24"/>
        </w:rPr>
        <w:t xml:space="preserve"> af abnorme leverfunktionstest. I nogle cirrosetilfælde er der normale </w:t>
      </w:r>
      <w:proofErr w:type="spellStart"/>
      <w:r w:rsidRPr="00C01559">
        <w:rPr>
          <w:iCs/>
          <w:sz w:val="24"/>
          <w:szCs w:val="24"/>
        </w:rPr>
        <w:t>transaminaser</w:t>
      </w:r>
      <w:proofErr w:type="spellEnd"/>
      <w:r w:rsidRPr="00C01559">
        <w:rPr>
          <w:iCs/>
          <w:sz w:val="24"/>
          <w:szCs w:val="24"/>
        </w:rPr>
        <w:t xml:space="preserve"> Derfor bør det overvejes at anvende non-invasive diagnostiske metoder til monitorering af leverens tilstand i tillæg til leverfunktionstest. Leverbiopsi bør overvejes i det enkelte tilfælde under hensyntagen til patientens </w:t>
      </w:r>
      <w:proofErr w:type="spellStart"/>
      <w:r w:rsidRPr="00C01559">
        <w:rPr>
          <w:iCs/>
          <w:sz w:val="24"/>
          <w:szCs w:val="24"/>
        </w:rPr>
        <w:t>komorbiditeter</w:t>
      </w:r>
      <w:proofErr w:type="spellEnd"/>
      <w:r w:rsidRPr="00C01559">
        <w:rPr>
          <w:iCs/>
          <w:sz w:val="24"/>
          <w:szCs w:val="24"/>
        </w:rPr>
        <w:t xml:space="preserve">, anamnese og risici i relation til biopsi. Risikofaktorerne for </w:t>
      </w:r>
      <w:proofErr w:type="spellStart"/>
      <w:r w:rsidRPr="00C01559">
        <w:rPr>
          <w:iCs/>
          <w:sz w:val="24"/>
          <w:szCs w:val="24"/>
        </w:rPr>
        <w:t>hepatotoksicitet</w:t>
      </w:r>
      <w:proofErr w:type="spellEnd"/>
      <w:r w:rsidRPr="00C01559">
        <w:rPr>
          <w:iCs/>
          <w:sz w:val="24"/>
          <w:szCs w:val="24"/>
        </w:rPr>
        <w:t xml:space="preserve"> omfatter tidligere stort alkoholforbrug, persisterende stigning i leverenzymer, leversygdom i anamnesen, arvelige leversygdomme i familieanamnesen, diabetes mellitus, </w:t>
      </w:r>
      <w:proofErr w:type="spellStart"/>
      <w:r w:rsidRPr="00C01559">
        <w:rPr>
          <w:iCs/>
          <w:sz w:val="24"/>
          <w:szCs w:val="24"/>
        </w:rPr>
        <w:t>adipositas</w:t>
      </w:r>
      <w:proofErr w:type="spellEnd"/>
      <w:r w:rsidRPr="00C01559">
        <w:rPr>
          <w:iCs/>
          <w:sz w:val="24"/>
          <w:szCs w:val="24"/>
        </w:rPr>
        <w:t xml:space="preserve"> og tidligere kontakt med </w:t>
      </w:r>
      <w:proofErr w:type="spellStart"/>
      <w:r w:rsidRPr="00C01559">
        <w:rPr>
          <w:iCs/>
          <w:sz w:val="24"/>
          <w:szCs w:val="24"/>
        </w:rPr>
        <w:t>hepatotoksiske</w:t>
      </w:r>
      <w:proofErr w:type="spellEnd"/>
      <w:r w:rsidRPr="00C01559">
        <w:rPr>
          <w:iCs/>
          <w:sz w:val="24"/>
          <w:szCs w:val="24"/>
        </w:rPr>
        <w:t xml:space="preserve"> lægemidler eller kemikalier og længerevarende </w:t>
      </w:r>
      <w:proofErr w:type="spellStart"/>
      <w:r w:rsidRPr="00C01559">
        <w:rPr>
          <w:iCs/>
          <w:sz w:val="24"/>
          <w:szCs w:val="24"/>
        </w:rPr>
        <w:t>methotrexatbehandling</w:t>
      </w:r>
      <w:proofErr w:type="spellEnd"/>
      <w:r w:rsidRPr="00C01559">
        <w:rPr>
          <w:iCs/>
          <w:sz w:val="24"/>
          <w:szCs w:val="24"/>
        </w:rPr>
        <w:t>.</w:t>
      </w:r>
    </w:p>
    <w:p w14:paraId="78456016" w14:textId="77777777" w:rsidR="008124CA" w:rsidRPr="00C01559" w:rsidRDefault="008124CA" w:rsidP="00C01559">
      <w:pPr>
        <w:ind w:left="851"/>
        <w:rPr>
          <w:iCs/>
          <w:sz w:val="24"/>
          <w:szCs w:val="24"/>
        </w:rPr>
      </w:pPr>
    </w:p>
    <w:p w14:paraId="2265B4B1" w14:textId="0BA29BF3" w:rsidR="00B5675F" w:rsidRPr="00C01559" w:rsidRDefault="00B5675F" w:rsidP="00C01559">
      <w:pPr>
        <w:ind w:left="851"/>
        <w:rPr>
          <w:iCs/>
          <w:sz w:val="24"/>
          <w:szCs w:val="24"/>
        </w:rPr>
      </w:pPr>
      <w:r w:rsidRPr="00C01559">
        <w:rPr>
          <w:iCs/>
          <w:sz w:val="24"/>
          <w:szCs w:val="24"/>
        </w:rPr>
        <w:t xml:space="preserve">Der bør ikke gives yderligere </w:t>
      </w:r>
      <w:proofErr w:type="spellStart"/>
      <w:r w:rsidRPr="00C01559">
        <w:rPr>
          <w:iCs/>
          <w:sz w:val="24"/>
          <w:szCs w:val="24"/>
        </w:rPr>
        <w:t>hepatotoksiske</w:t>
      </w:r>
      <w:proofErr w:type="spellEnd"/>
      <w:r w:rsidRPr="00C01559">
        <w:rPr>
          <w:iCs/>
          <w:sz w:val="24"/>
          <w:szCs w:val="24"/>
        </w:rPr>
        <w:t xml:space="preserve"> lægemidler under behandlingen med </w:t>
      </w:r>
      <w:proofErr w:type="spellStart"/>
      <w:r w:rsidRPr="00C01559">
        <w:rPr>
          <w:iCs/>
          <w:sz w:val="24"/>
          <w:szCs w:val="24"/>
        </w:rPr>
        <w:t>methotrexat</w:t>
      </w:r>
      <w:proofErr w:type="spellEnd"/>
      <w:r w:rsidRPr="00C01559">
        <w:rPr>
          <w:iCs/>
          <w:sz w:val="24"/>
          <w:szCs w:val="24"/>
        </w:rPr>
        <w:t xml:space="preserve">, medmindre det er absolut nødvendigt. Indtagelse af alkohol bør undgås (se pkt. 4.3 </w:t>
      </w:r>
      <w:r w:rsidRPr="00C01559">
        <w:rPr>
          <w:iCs/>
          <w:sz w:val="24"/>
          <w:szCs w:val="24"/>
        </w:rPr>
        <w:lastRenderedPageBreak/>
        <w:t xml:space="preserve">og 4.5). Der skal gennemføres tættere monitorering af leverenzymer hos patienter, der samtidig tager andre </w:t>
      </w:r>
      <w:proofErr w:type="spellStart"/>
      <w:r w:rsidRPr="00C01559">
        <w:rPr>
          <w:iCs/>
          <w:sz w:val="24"/>
          <w:szCs w:val="24"/>
        </w:rPr>
        <w:t>hepatotoksiske</w:t>
      </w:r>
      <w:proofErr w:type="spellEnd"/>
      <w:r w:rsidRPr="00C01559">
        <w:rPr>
          <w:iCs/>
          <w:sz w:val="24"/>
          <w:szCs w:val="24"/>
        </w:rPr>
        <w:t xml:space="preserve"> lægemidler.</w:t>
      </w:r>
    </w:p>
    <w:p w14:paraId="32D1A7BE" w14:textId="77777777" w:rsidR="00B5675F" w:rsidRPr="00C01559" w:rsidRDefault="00B5675F" w:rsidP="00C73CAD">
      <w:pPr>
        <w:ind w:left="851"/>
        <w:rPr>
          <w:iCs/>
          <w:sz w:val="24"/>
          <w:szCs w:val="24"/>
        </w:rPr>
      </w:pPr>
    </w:p>
    <w:p w14:paraId="301CFBC4" w14:textId="18842FA5" w:rsidR="00B5675F" w:rsidRPr="00C01559" w:rsidRDefault="00B5675F" w:rsidP="00C73CAD">
      <w:pPr>
        <w:ind w:left="851"/>
        <w:rPr>
          <w:iCs/>
          <w:sz w:val="24"/>
          <w:szCs w:val="24"/>
        </w:rPr>
      </w:pPr>
      <w:r w:rsidRPr="00C01559">
        <w:rPr>
          <w:iCs/>
          <w:sz w:val="24"/>
          <w:szCs w:val="24"/>
        </w:rPr>
        <w:t xml:space="preserve">Der skal udvises ekstra forsigtighed hos patienter med insulinafhængig diabetes mellitus, eftersom der i enkeltstående tilfælde er udviklet levercirrose uden </w:t>
      </w:r>
      <w:proofErr w:type="spellStart"/>
      <w:r w:rsidRPr="00C01559">
        <w:rPr>
          <w:iCs/>
          <w:sz w:val="24"/>
          <w:szCs w:val="24"/>
        </w:rPr>
        <w:t>transaminasestigninger</w:t>
      </w:r>
      <w:proofErr w:type="spellEnd"/>
      <w:r w:rsidRPr="00C01559">
        <w:rPr>
          <w:iCs/>
          <w:sz w:val="24"/>
          <w:szCs w:val="24"/>
        </w:rPr>
        <w:t xml:space="preserve"> under behandling med </w:t>
      </w:r>
      <w:proofErr w:type="spellStart"/>
      <w:r w:rsidRPr="00C01559">
        <w:rPr>
          <w:iCs/>
          <w:sz w:val="24"/>
          <w:szCs w:val="24"/>
        </w:rPr>
        <w:t>methotrexat</w:t>
      </w:r>
      <w:proofErr w:type="spellEnd"/>
      <w:r w:rsidRPr="00C01559">
        <w:rPr>
          <w:iCs/>
          <w:sz w:val="24"/>
          <w:szCs w:val="24"/>
        </w:rPr>
        <w:t>.</w:t>
      </w:r>
    </w:p>
    <w:p w14:paraId="222485F7" w14:textId="77777777" w:rsidR="008124CA" w:rsidRPr="00C01559" w:rsidRDefault="008124CA" w:rsidP="00C73CAD">
      <w:pPr>
        <w:ind w:left="851"/>
        <w:rPr>
          <w:iCs/>
          <w:sz w:val="24"/>
          <w:szCs w:val="24"/>
        </w:rPr>
      </w:pPr>
    </w:p>
    <w:p w14:paraId="62F35C94" w14:textId="77777777" w:rsidR="00B5675F" w:rsidRPr="00C01559" w:rsidRDefault="00B5675F" w:rsidP="00AD22C5">
      <w:pPr>
        <w:pStyle w:val="Listeafsnit"/>
        <w:numPr>
          <w:ilvl w:val="0"/>
          <w:numId w:val="16"/>
        </w:numPr>
        <w:tabs>
          <w:tab w:val="clear" w:pos="567"/>
        </w:tabs>
        <w:spacing w:line="240" w:lineRule="auto"/>
        <w:ind w:left="1276" w:hanging="425"/>
        <w:rPr>
          <w:sz w:val="24"/>
          <w:szCs w:val="24"/>
        </w:rPr>
      </w:pPr>
      <w:r w:rsidRPr="00C01559">
        <w:rPr>
          <w:i/>
          <w:sz w:val="24"/>
          <w:szCs w:val="24"/>
          <w:u w:val="single"/>
        </w:rPr>
        <w:t>Nyrefunktionen</w:t>
      </w:r>
      <w:r w:rsidRPr="00C01559">
        <w:rPr>
          <w:sz w:val="24"/>
          <w:szCs w:val="24"/>
        </w:rPr>
        <w:t xml:space="preserve"> skal monitoreres ved hjælp af nyrefunktionstest og urinprøver. Dosis skal reduceres i tilfælde af forhøjet </w:t>
      </w:r>
      <w:proofErr w:type="spellStart"/>
      <w:r w:rsidRPr="00C01559">
        <w:rPr>
          <w:sz w:val="24"/>
          <w:szCs w:val="24"/>
        </w:rPr>
        <w:t>serumkreatininniveau</w:t>
      </w:r>
      <w:proofErr w:type="spellEnd"/>
      <w:r w:rsidRPr="00C01559">
        <w:rPr>
          <w:sz w:val="24"/>
          <w:szCs w:val="24"/>
        </w:rPr>
        <w:t xml:space="preserve">. Hvis </w:t>
      </w:r>
      <w:proofErr w:type="spellStart"/>
      <w:r w:rsidRPr="00C01559">
        <w:rPr>
          <w:sz w:val="24"/>
          <w:szCs w:val="24"/>
        </w:rPr>
        <w:t>kreatininclearance</w:t>
      </w:r>
      <w:proofErr w:type="spellEnd"/>
      <w:r w:rsidRPr="00C01559">
        <w:rPr>
          <w:sz w:val="24"/>
          <w:szCs w:val="24"/>
        </w:rPr>
        <w:t xml:space="preserve"> er under 30 ml/min, må der ikke gives behandling med </w:t>
      </w:r>
      <w:proofErr w:type="spellStart"/>
      <w:r w:rsidRPr="00C01559">
        <w:rPr>
          <w:sz w:val="24"/>
          <w:szCs w:val="24"/>
        </w:rPr>
        <w:t>methotrexat</w:t>
      </w:r>
      <w:proofErr w:type="spellEnd"/>
      <w:r w:rsidRPr="00C01559">
        <w:rPr>
          <w:sz w:val="24"/>
          <w:szCs w:val="24"/>
        </w:rPr>
        <w:t xml:space="preserve"> (se pkt. 4.2 og 4.3).</w:t>
      </w:r>
    </w:p>
    <w:p w14:paraId="3446CD17" w14:textId="77777777" w:rsidR="008124CA" w:rsidRPr="00C01559" w:rsidRDefault="008124CA" w:rsidP="00AD22C5">
      <w:pPr>
        <w:pStyle w:val="Listeafsnit"/>
        <w:tabs>
          <w:tab w:val="clear" w:pos="567"/>
        </w:tabs>
        <w:spacing w:line="240" w:lineRule="auto"/>
        <w:ind w:left="1276"/>
        <w:rPr>
          <w:iCs/>
          <w:sz w:val="24"/>
          <w:szCs w:val="24"/>
        </w:rPr>
      </w:pPr>
    </w:p>
    <w:p w14:paraId="2D337375" w14:textId="1B36B264" w:rsidR="00B5675F" w:rsidRPr="00C01559" w:rsidRDefault="00B5675F" w:rsidP="00AD22C5">
      <w:pPr>
        <w:pStyle w:val="Listeafsnit"/>
        <w:tabs>
          <w:tab w:val="clear" w:pos="567"/>
        </w:tabs>
        <w:spacing w:line="240" w:lineRule="auto"/>
        <w:ind w:left="1276"/>
        <w:rPr>
          <w:iCs/>
          <w:sz w:val="24"/>
          <w:szCs w:val="24"/>
        </w:rPr>
      </w:pPr>
      <w:r w:rsidRPr="00C01559">
        <w:rPr>
          <w:iCs/>
          <w:sz w:val="24"/>
          <w:szCs w:val="24"/>
        </w:rPr>
        <w:t xml:space="preserve">Der bør ikke iværksættes behandling med moderat høje og høje doser </w:t>
      </w:r>
      <w:proofErr w:type="spellStart"/>
      <w:r w:rsidRPr="00C01559">
        <w:rPr>
          <w:iCs/>
          <w:sz w:val="24"/>
          <w:szCs w:val="24"/>
        </w:rPr>
        <w:t>methotrexat</w:t>
      </w:r>
      <w:proofErr w:type="spellEnd"/>
      <w:r w:rsidRPr="00C01559">
        <w:rPr>
          <w:iCs/>
          <w:sz w:val="24"/>
          <w:szCs w:val="24"/>
        </w:rPr>
        <w:t xml:space="preserve">, hvis pH-værdien i urin er under 7,0. </w:t>
      </w:r>
      <w:proofErr w:type="spellStart"/>
      <w:r w:rsidRPr="00C01559">
        <w:rPr>
          <w:iCs/>
          <w:sz w:val="24"/>
          <w:szCs w:val="24"/>
        </w:rPr>
        <w:t>Alkalinisering</w:t>
      </w:r>
      <w:proofErr w:type="spellEnd"/>
      <w:r w:rsidRPr="00C01559">
        <w:rPr>
          <w:iCs/>
          <w:sz w:val="24"/>
          <w:szCs w:val="24"/>
        </w:rPr>
        <w:t xml:space="preserve"> af urinen skal testes ved hjælp af gentagen pH-monitorering (værdi over eller lig med 6,8) i minimum de første 24 timer efter opstart af </w:t>
      </w:r>
      <w:proofErr w:type="spellStart"/>
      <w:r w:rsidRPr="00C01559">
        <w:rPr>
          <w:iCs/>
          <w:sz w:val="24"/>
          <w:szCs w:val="24"/>
        </w:rPr>
        <w:t>methotrexat</w:t>
      </w:r>
      <w:proofErr w:type="spellEnd"/>
      <w:r w:rsidRPr="00C01559">
        <w:rPr>
          <w:iCs/>
          <w:sz w:val="24"/>
          <w:szCs w:val="24"/>
        </w:rPr>
        <w:t>.</w:t>
      </w:r>
    </w:p>
    <w:p w14:paraId="1C66614D" w14:textId="77777777" w:rsidR="008124CA" w:rsidRPr="00C01559" w:rsidRDefault="008124CA" w:rsidP="00AD22C5">
      <w:pPr>
        <w:pStyle w:val="Listeafsnit"/>
        <w:tabs>
          <w:tab w:val="clear" w:pos="567"/>
        </w:tabs>
        <w:spacing w:line="240" w:lineRule="auto"/>
        <w:ind w:left="1276"/>
        <w:rPr>
          <w:iCs/>
          <w:sz w:val="24"/>
          <w:szCs w:val="24"/>
        </w:rPr>
      </w:pPr>
    </w:p>
    <w:p w14:paraId="29E1133E" w14:textId="1EAF7894" w:rsidR="00B5675F" w:rsidRPr="00C01559" w:rsidRDefault="00B5675F" w:rsidP="00AD22C5">
      <w:pPr>
        <w:pStyle w:val="Listeafsnit"/>
        <w:numPr>
          <w:ilvl w:val="0"/>
          <w:numId w:val="16"/>
        </w:numPr>
        <w:tabs>
          <w:tab w:val="clear" w:pos="567"/>
        </w:tabs>
        <w:spacing w:line="240" w:lineRule="auto"/>
        <w:ind w:left="1276" w:hanging="425"/>
        <w:rPr>
          <w:sz w:val="24"/>
          <w:szCs w:val="24"/>
        </w:rPr>
      </w:pPr>
      <w:r w:rsidRPr="00C01559">
        <w:rPr>
          <w:i/>
          <w:sz w:val="24"/>
          <w:szCs w:val="24"/>
          <w:u w:val="single"/>
        </w:rPr>
        <w:t xml:space="preserve">Undersøgelse af luftveje </w:t>
      </w:r>
      <w:r w:rsidRPr="00C01559">
        <w:rPr>
          <w:sz w:val="24"/>
          <w:szCs w:val="24"/>
        </w:rPr>
        <w:t>- Patienterne skal monitoreres for symptomer på lungefunktionsforstyrrelser, og om nødvendigt skal der gennemføres lungefunktionstest. Lungerelaterede symptomer (især tør, ikke-produktiv hoste) eller ikke-</w:t>
      </w:r>
      <w:proofErr w:type="gramStart"/>
      <w:r w:rsidRPr="00C01559">
        <w:rPr>
          <w:sz w:val="24"/>
          <w:szCs w:val="24"/>
        </w:rPr>
        <w:t>specifik pneumonitis</w:t>
      </w:r>
      <w:proofErr w:type="gramEnd"/>
      <w:r w:rsidRPr="00C01559">
        <w:rPr>
          <w:sz w:val="24"/>
          <w:szCs w:val="24"/>
        </w:rPr>
        <w:t xml:space="preserve">, som indtræder under behandlingen med </w:t>
      </w:r>
      <w:proofErr w:type="spellStart"/>
      <w:r w:rsidRPr="00C01559">
        <w:rPr>
          <w:sz w:val="24"/>
          <w:szCs w:val="24"/>
        </w:rPr>
        <w:t>methotrexat</w:t>
      </w:r>
      <w:proofErr w:type="spellEnd"/>
      <w:r w:rsidRPr="00C01559">
        <w:rPr>
          <w:sz w:val="24"/>
          <w:szCs w:val="24"/>
        </w:rPr>
        <w:t xml:space="preserve">, kan være tegn på potentielt farlig skade og kræve </w:t>
      </w:r>
      <w:proofErr w:type="spellStart"/>
      <w:r w:rsidRPr="00C01559">
        <w:rPr>
          <w:sz w:val="24"/>
          <w:szCs w:val="24"/>
        </w:rPr>
        <w:t>seponering</w:t>
      </w:r>
      <w:proofErr w:type="spellEnd"/>
      <w:r w:rsidRPr="00C01559">
        <w:rPr>
          <w:sz w:val="24"/>
          <w:szCs w:val="24"/>
        </w:rPr>
        <w:t xml:space="preserve"> af behandlingen og nøje monitorering. Selvom den kliniske præsentation varierer, lider patienter med </w:t>
      </w:r>
      <w:proofErr w:type="spellStart"/>
      <w:r w:rsidRPr="00C01559">
        <w:rPr>
          <w:sz w:val="24"/>
          <w:szCs w:val="24"/>
        </w:rPr>
        <w:t>methotrexat</w:t>
      </w:r>
      <w:proofErr w:type="spellEnd"/>
      <w:r w:rsidRPr="00C01559">
        <w:rPr>
          <w:sz w:val="24"/>
          <w:szCs w:val="24"/>
        </w:rPr>
        <w:t xml:space="preserve">-induceret lungesygdom typisk af feber, hoste, dyspnø eller </w:t>
      </w:r>
      <w:proofErr w:type="spellStart"/>
      <w:r w:rsidRPr="00C01559">
        <w:rPr>
          <w:sz w:val="24"/>
          <w:szCs w:val="24"/>
        </w:rPr>
        <w:t>hypoksæmi</w:t>
      </w:r>
      <w:proofErr w:type="spellEnd"/>
      <w:r w:rsidRPr="00C01559">
        <w:rPr>
          <w:sz w:val="24"/>
          <w:szCs w:val="24"/>
        </w:rPr>
        <w:t xml:space="preserve">. Der skal tages et røntgenbillede af thorax for at udelukke infektion. Akut eller kronisk </w:t>
      </w:r>
      <w:proofErr w:type="spellStart"/>
      <w:r w:rsidRPr="00C01559">
        <w:rPr>
          <w:sz w:val="24"/>
          <w:szCs w:val="24"/>
        </w:rPr>
        <w:t>interstitiel</w:t>
      </w:r>
      <w:proofErr w:type="spellEnd"/>
      <w:r w:rsidRPr="00C01559">
        <w:rPr>
          <w:sz w:val="24"/>
          <w:szCs w:val="24"/>
        </w:rPr>
        <w:t xml:space="preserve"> pneumoni, ofte i forbindelse med </w:t>
      </w:r>
      <w:proofErr w:type="spellStart"/>
      <w:r w:rsidRPr="00C01559">
        <w:rPr>
          <w:sz w:val="24"/>
          <w:szCs w:val="24"/>
        </w:rPr>
        <w:t>blodeosinofili</w:t>
      </w:r>
      <w:proofErr w:type="spellEnd"/>
      <w:r w:rsidRPr="00C01559">
        <w:rPr>
          <w:sz w:val="24"/>
          <w:szCs w:val="24"/>
        </w:rPr>
        <w:t>, kan forekomme, og der er rapporteret om dødsfald. Patienterne skal informeres om risiciene for pneumoni og rådes til at kontakte deres læge med det samme, hvis de udvikler persisterende hoste eller persisterende dyspnø.</w:t>
      </w:r>
    </w:p>
    <w:p w14:paraId="4CB182AF" w14:textId="77777777" w:rsidR="008124CA" w:rsidRPr="00C01559" w:rsidRDefault="008124CA" w:rsidP="00AD22C5">
      <w:pPr>
        <w:pStyle w:val="Listeafsnit"/>
        <w:tabs>
          <w:tab w:val="clear" w:pos="567"/>
        </w:tabs>
        <w:spacing w:line="240" w:lineRule="auto"/>
        <w:ind w:left="1276"/>
        <w:rPr>
          <w:sz w:val="24"/>
          <w:szCs w:val="24"/>
        </w:rPr>
      </w:pPr>
    </w:p>
    <w:p w14:paraId="3AABECCB" w14:textId="77777777" w:rsidR="00B5675F" w:rsidRPr="00C01559" w:rsidRDefault="00B5675F" w:rsidP="00AD22C5">
      <w:pPr>
        <w:pStyle w:val="Listeafsnit"/>
        <w:tabs>
          <w:tab w:val="clear" w:pos="567"/>
        </w:tabs>
        <w:spacing w:line="240" w:lineRule="auto"/>
        <w:ind w:left="1276"/>
        <w:rPr>
          <w:iCs/>
          <w:sz w:val="24"/>
          <w:szCs w:val="24"/>
        </w:rPr>
      </w:pPr>
      <w:r w:rsidRPr="00C01559">
        <w:rPr>
          <w:iCs/>
          <w:sz w:val="24"/>
          <w:szCs w:val="24"/>
        </w:rPr>
        <w:t xml:space="preserve">Der er desuden rapporteret om </w:t>
      </w:r>
      <w:proofErr w:type="spellStart"/>
      <w:r w:rsidRPr="00C01559">
        <w:rPr>
          <w:iCs/>
          <w:sz w:val="24"/>
          <w:szCs w:val="24"/>
        </w:rPr>
        <w:t>pulmonal</w:t>
      </w:r>
      <w:proofErr w:type="spellEnd"/>
      <w:r w:rsidRPr="00C01559">
        <w:rPr>
          <w:iCs/>
          <w:sz w:val="24"/>
          <w:szCs w:val="24"/>
        </w:rPr>
        <w:t xml:space="preserve"> alveolær blødning i forbindelse med brug af </w:t>
      </w:r>
      <w:proofErr w:type="spellStart"/>
      <w:r w:rsidRPr="00C01559">
        <w:rPr>
          <w:iCs/>
          <w:sz w:val="24"/>
          <w:szCs w:val="24"/>
        </w:rPr>
        <w:t>methotrexat</w:t>
      </w:r>
      <w:proofErr w:type="spellEnd"/>
      <w:r w:rsidRPr="00C01559">
        <w:rPr>
          <w:iCs/>
          <w:sz w:val="24"/>
          <w:szCs w:val="24"/>
        </w:rPr>
        <w:t xml:space="preserve"> ved reumatologiske og tilknyttede indikationer. Denne hændelse kan også være forbundet med </w:t>
      </w:r>
      <w:proofErr w:type="spellStart"/>
      <w:r w:rsidRPr="00C01559">
        <w:rPr>
          <w:iCs/>
          <w:sz w:val="24"/>
          <w:szCs w:val="24"/>
        </w:rPr>
        <w:t>vaskulitis</w:t>
      </w:r>
      <w:proofErr w:type="spellEnd"/>
      <w:r w:rsidRPr="00C01559">
        <w:rPr>
          <w:iCs/>
          <w:sz w:val="24"/>
          <w:szCs w:val="24"/>
        </w:rPr>
        <w:t xml:space="preserve"> og andre </w:t>
      </w:r>
      <w:proofErr w:type="spellStart"/>
      <w:r w:rsidRPr="00C01559">
        <w:rPr>
          <w:iCs/>
          <w:sz w:val="24"/>
          <w:szCs w:val="24"/>
        </w:rPr>
        <w:t>komorbiditeter</w:t>
      </w:r>
      <w:proofErr w:type="spellEnd"/>
      <w:r w:rsidRPr="00C01559">
        <w:rPr>
          <w:iCs/>
          <w:sz w:val="24"/>
          <w:szCs w:val="24"/>
        </w:rPr>
        <w:t xml:space="preserve">. Øjeblikkelige undersøgelser bør overvejes ved mistanke om </w:t>
      </w:r>
      <w:proofErr w:type="spellStart"/>
      <w:r w:rsidRPr="00C01559">
        <w:rPr>
          <w:iCs/>
          <w:sz w:val="24"/>
          <w:szCs w:val="24"/>
        </w:rPr>
        <w:t>pulmonal</w:t>
      </w:r>
      <w:proofErr w:type="spellEnd"/>
      <w:r w:rsidRPr="00C01559">
        <w:rPr>
          <w:iCs/>
          <w:sz w:val="24"/>
          <w:szCs w:val="24"/>
        </w:rPr>
        <w:t xml:space="preserve"> alveolær blødning med henblik på en bekræftelse af diagnosen.</w:t>
      </w:r>
    </w:p>
    <w:p w14:paraId="70A7F538" w14:textId="77777777" w:rsidR="00B5675F" w:rsidRPr="00C01559" w:rsidRDefault="00B5675F" w:rsidP="00AD22C5">
      <w:pPr>
        <w:ind w:left="1276" w:hanging="425"/>
        <w:rPr>
          <w:iCs/>
          <w:sz w:val="24"/>
          <w:szCs w:val="24"/>
        </w:rPr>
      </w:pPr>
    </w:p>
    <w:p w14:paraId="76775E80" w14:textId="77777777" w:rsidR="00B5675F" w:rsidRPr="00C01559" w:rsidRDefault="00B5675F" w:rsidP="00AD22C5">
      <w:pPr>
        <w:pStyle w:val="Listeafsnit"/>
        <w:tabs>
          <w:tab w:val="clear" w:pos="567"/>
        </w:tabs>
        <w:spacing w:line="240" w:lineRule="auto"/>
        <w:ind w:left="1276"/>
        <w:rPr>
          <w:iCs/>
          <w:sz w:val="24"/>
          <w:szCs w:val="24"/>
        </w:rPr>
      </w:pPr>
      <w:proofErr w:type="spellStart"/>
      <w:r w:rsidRPr="00C01559">
        <w:rPr>
          <w:iCs/>
          <w:sz w:val="24"/>
          <w:szCs w:val="24"/>
        </w:rPr>
        <w:t>Methotrexat</w:t>
      </w:r>
      <w:proofErr w:type="spellEnd"/>
      <w:r w:rsidRPr="00C01559">
        <w:rPr>
          <w:iCs/>
          <w:sz w:val="24"/>
          <w:szCs w:val="24"/>
        </w:rPr>
        <w:t xml:space="preserve"> skal seponeres hos patienter med lungesymptomer, og der skal straks gennemføres en undersøgelse (inklusive </w:t>
      </w:r>
      <w:proofErr w:type="spellStart"/>
      <w:r w:rsidRPr="00C01559">
        <w:rPr>
          <w:iCs/>
          <w:sz w:val="24"/>
          <w:szCs w:val="24"/>
        </w:rPr>
        <w:t>thoraxrøntgen</w:t>
      </w:r>
      <w:proofErr w:type="spellEnd"/>
      <w:r w:rsidRPr="00C01559">
        <w:rPr>
          <w:iCs/>
          <w:sz w:val="24"/>
          <w:szCs w:val="24"/>
        </w:rPr>
        <w:t xml:space="preserve">) for at udelukke infektion og tumorer. Ved mistanke om </w:t>
      </w:r>
      <w:proofErr w:type="spellStart"/>
      <w:r w:rsidRPr="00C01559">
        <w:rPr>
          <w:iCs/>
          <w:sz w:val="24"/>
          <w:szCs w:val="24"/>
        </w:rPr>
        <w:t>methotrexat</w:t>
      </w:r>
      <w:proofErr w:type="spellEnd"/>
      <w:r w:rsidRPr="00C01559">
        <w:rPr>
          <w:iCs/>
          <w:sz w:val="24"/>
          <w:szCs w:val="24"/>
        </w:rPr>
        <w:t xml:space="preserve">-induceret lungesygdom skal der iværksættes behandling med </w:t>
      </w:r>
      <w:proofErr w:type="spellStart"/>
      <w:r w:rsidRPr="00C01559">
        <w:rPr>
          <w:iCs/>
          <w:sz w:val="24"/>
          <w:szCs w:val="24"/>
        </w:rPr>
        <w:t>kortikosteroider</w:t>
      </w:r>
      <w:proofErr w:type="spellEnd"/>
      <w:r w:rsidRPr="00C01559">
        <w:rPr>
          <w:iCs/>
          <w:sz w:val="24"/>
          <w:szCs w:val="24"/>
        </w:rPr>
        <w:t xml:space="preserve">, og behandlingen med </w:t>
      </w:r>
      <w:proofErr w:type="spellStart"/>
      <w:r w:rsidRPr="00C01559">
        <w:rPr>
          <w:iCs/>
          <w:sz w:val="24"/>
          <w:szCs w:val="24"/>
        </w:rPr>
        <w:t>methotrexat</w:t>
      </w:r>
      <w:proofErr w:type="spellEnd"/>
      <w:r w:rsidRPr="00C01559">
        <w:rPr>
          <w:iCs/>
          <w:sz w:val="24"/>
          <w:szCs w:val="24"/>
        </w:rPr>
        <w:t xml:space="preserve"> må ikke genoptages.</w:t>
      </w:r>
    </w:p>
    <w:p w14:paraId="5C7149C3" w14:textId="77777777" w:rsidR="00B5675F" w:rsidRPr="00C01559" w:rsidRDefault="00B5675F" w:rsidP="00AD22C5">
      <w:pPr>
        <w:ind w:left="1276" w:hanging="425"/>
        <w:rPr>
          <w:iCs/>
          <w:sz w:val="24"/>
          <w:szCs w:val="24"/>
        </w:rPr>
      </w:pPr>
    </w:p>
    <w:p w14:paraId="0127A206" w14:textId="309CF136" w:rsidR="00B5675F" w:rsidRPr="00C01559" w:rsidRDefault="00B5675F" w:rsidP="00AD22C5">
      <w:pPr>
        <w:pStyle w:val="Listeafsnit"/>
        <w:tabs>
          <w:tab w:val="clear" w:pos="567"/>
        </w:tabs>
        <w:spacing w:line="240" w:lineRule="auto"/>
        <w:ind w:left="1276"/>
        <w:rPr>
          <w:iCs/>
          <w:sz w:val="24"/>
          <w:szCs w:val="24"/>
        </w:rPr>
      </w:pPr>
      <w:r w:rsidRPr="00C01559">
        <w:rPr>
          <w:iCs/>
          <w:sz w:val="24"/>
          <w:szCs w:val="24"/>
        </w:rPr>
        <w:t xml:space="preserve">Lungesymptomer kræver hurtig diagnosticering og </w:t>
      </w:r>
      <w:proofErr w:type="spellStart"/>
      <w:r w:rsidRPr="00C01559">
        <w:rPr>
          <w:iCs/>
          <w:sz w:val="24"/>
          <w:szCs w:val="24"/>
        </w:rPr>
        <w:t>seponering</w:t>
      </w:r>
      <w:proofErr w:type="spellEnd"/>
      <w:r w:rsidRPr="00C01559">
        <w:rPr>
          <w:iCs/>
          <w:sz w:val="24"/>
          <w:szCs w:val="24"/>
        </w:rPr>
        <w:t xml:space="preserve"> af </w:t>
      </w:r>
      <w:proofErr w:type="spellStart"/>
      <w:r w:rsidRPr="00C01559">
        <w:rPr>
          <w:iCs/>
          <w:sz w:val="24"/>
          <w:szCs w:val="24"/>
        </w:rPr>
        <w:t>methotrexat</w:t>
      </w:r>
      <w:r w:rsidR="00C01559">
        <w:rPr>
          <w:iCs/>
          <w:sz w:val="24"/>
          <w:szCs w:val="24"/>
        </w:rPr>
        <w:softHyphen/>
      </w:r>
      <w:r w:rsidRPr="00C01559">
        <w:rPr>
          <w:iCs/>
          <w:sz w:val="24"/>
          <w:szCs w:val="24"/>
        </w:rPr>
        <w:t>behandlingen</w:t>
      </w:r>
      <w:proofErr w:type="spellEnd"/>
      <w:r w:rsidRPr="00C01559">
        <w:rPr>
          <w:iCs/>
          <w:sz w:val="24"/>
          <w:szCs w:val="24"/>
        </w:rPr>
        <w:t xml:space="preserve">. </w:t>
      </w:r>
      <w:proofErr w:type="spellStart"/>
      <w:r w:rsidRPr="00C01559">
        <w:rPr>
          <w:iCs/>
          <w:sz w:val="24"/>
          <w:szCs w:val="24"/>
        </w:rPr>
        <w:t>Methotrexat</w:t>
      </w:r>
      <w:proofErr w:type="spellEnd"/>
      <w:r w:rsidRPr="00C01559">
        <w:rPr>
          <w:iCs/>
          <w:sz w:val="24"/>
          <w:szCs w:val="24"/>
        </w:rPr>
        <w:t>-induceret lungesygdom, såsom pneumonitis, kan forekomme akut og på et hvilket som helst tidspunkt under behandlingen, er ikke altid fuldstændigt reversibelt, og er allerede set med alle doser (herunder lave doser på 7,5 mg/uge).</w:t>
      </w:r>
    </w:p>
    <w:p w14:paraId="687F6E09" w14:textId="77777777" w:rsidR="00B5675F" w:rsidRPr="00C01559" w:rsidRDefault="00B5675F" w:rsidP="00AD22C5">
      <w:pPr>
        <w:ind w:left="1276" w:hanging="425"/>
        <w:rPr>
          <w:sz w:val="24"/>
          <w:szCs w:val="24"/>
        </w:rPr>
      </w:pPr>
    </w:p>
    <w:p w14:paraId="7BAD2F66" w14:textId="77777777" w:rsidR="00B5675F" w:rsidRPr="00C01559" w:rsidRDefault="00B5675F" w:rsidP="00AD22C5">
      <w:pPr>
        <w:pStyle w:val="Listeafsnit"/>
        <w:tabs>
          <w:tab w:val="clear" w:pos="567"/>
        </w:tabs>
        <w:spacing w:line="240" w:lineRule="auto"/>
        <w:ind w:left="1276"/>
        <w:rPr>
          <w:iCs/>
          <w:sz w:val="24"/>
          <w:szCs w:val="24"/>
        </w:rPr>
      </w:pPr>
      <w:r w:rsidRPr="00C01559">
        <w:rPr>
          <w:iCs/>
          <w:sz w:val="24"/>
          <w:szCs w:val="24"/>
        </w:rPr>
        <w:t xml:space="preserve">Opportunistiske infektioner kan forekomme under behandling med </w:t>
      </w:r>
      <w:proofErr w:type="spellStart"/>
      <w:r w:rsidRPr="00C01559">
        <w:rPr>
          <w:iCs/>
          <w:sz w:val="24"/>
          <w:szCs w:val="24"/>
        </w:rPr>
        <w:t>methotrexat</w:t>
      </w:r>
      <w:proofErr w:type="spellEnd"/>
      <w:r w:rsidRPr="00C01559">
        <w:rPr>
          <w:iCs/>
          <w:sz w:val="24"/>
          <w:szCs w:val="24"/>
        </w:rPr>
        <w:t xml:space="preserve">, herunder </w:t>
      </w:r>
      <w:proofErr w:type="spellStart"/>
      <w:r w:rsidRPr="00C01559">
        <w:rPr>
          <w:iCs/>
          <w:sz w:val="24"/>
          <w:szCs w:val="24"/>
        </w:rPr>
        <w:t>Pneumocystis</w:t>
      </w:r>
      <w:proofErr w:type="spellEnd"/>
      <w:r w:rsidRPr="00C01559">
        <w:rPr>
          <w:iCs/>
          <w:sz w:val="24"/>
          <w:szCs w:val="24"/>
        </w:rPr>
        <w:t xml:space="preserve"> </w:t>
      </w:r>
      <w:proofErr w:type="spellStart"/>
      <w:r w:rsidRPr="00C01559">
        <w:rPr>
          <w:iCs/>
          <w:sz w:val="24"/>
          <w:szCs w:val="24"/>
        </w:rPr>
        <w:t>jiroveci</w:t>
      </w:r>
      <w:proofErr w:type="spellEnd"/>
      <w:r w:rsidRPr="00C01559">
        <w:rPr>
          <w:iCs/>
          <w:sz w:val="24"/>
          <w:szCs w:val="24"/>
        </w:rPr>
        <w:t xml:space="preserve">-pneumoni, som også kan have dødelig udgang. Hvis en patient udvikler lungesymptomer, skal muligheden for </w:t>
      </w:r>
      <w:proofErr w:type="spellStart"/>
      <w:r w:rsidRPr="00C01559">
        <w:rPr>
          <w:iCs/>
          <w:sz w:val="24"/>
          <w:szCs w:val="24"/>
        </w:rPr>
        <w:t>Pneumocystis</w:t>
      </w:r>
      <w:proofErr w:type="spellEnd"/>
      <w:r w:rsidRPr="00C01559">
        <w:rPr>
          <w:iCs/>
          <w:sz w:val="24"/>
          <w:szCs w:val="24"/>
        </w:rPr>
        <w:t xml:space="preserve"> </w:t>
      </w:r>
      <w:proofErr w:type="spellStart"/>
      <w:r w:rsidRPr="00C01559">
        <w:rPr>
          <w:iCs/>
          <w:sz w:val="24"/>
          <w:szCs w:val="24"/>
        </w:rPr>
        <w:t>jiroveci</w:t>
      </w:r>
      <w:proofErr w:type="spellEnd"/>
      <w:r w:rsidRPr="00C01559">
        <w:rPr>
          <w:iCs/>
          <w:sz w:val="24"/>
          <w:szCs w:val="24"/>
        </w:rPr>
        <w:t>-pneumoni tages i betragtning.</w:t>
      </w:r>
    </w:p>
    <w:p w14:paraId="3E006972" w14:textId="77777777" w:rsidR="00B5675F" w:rsidRPr="00C01559" w:rsidRDefault="00B5675F" w:rsidP="00AD22C5">
      <w:pPr>
        <w:ind w:left="1276" w:hanging="425"/>
        <w:rPr>
          <w:iCs/>
          <w:sz w:val="24"/>
          <w:szCs w:val="24"/>
        </w:rPr>
      </w:pPr>
    </w:p>
    <w:p w14:paraId="30DA0AF7" w14:textId="77777777" w:rsidR="00B5675F" w:rsidRPr="00C01559" w:rsidRDefault="00B5675F" w:rsidP="00AD22C5">
      <w:pPr>
        <w:pStyle w:val="Listeafsnit"/>
        <w:tabs>
          <w:tab w:val="clear" w:pos="567"/>
        </w:tabs>
        <w:spacing w:line="240" w:lineRule="auto"/>
        <w:ind w:left="1276"/>
        <w:rPr>
          <w:iCs/>
          <w:sz w:val="24"/>
          <w:szCs w:val="24"/>
        </w:rPr>
      </w:pPr>
      <w:r w:rsidRPr="00C01559">
        <w:rPr>
          <w:iCs/>
          <w:sz w:val="24"/>
          <w:szCs w:val="24"/>
        </w:rPr>
        <w:t>Der skal udvises særlig forsigtighed hos patienter med nedsat lungefunktion.</w:t>
      </w:r>
    </w:p>
    <w:p w14:paraId="37E36353" w14:textId="77777777" w:rsidR="00B5675F" w:rsidRPr="00C01559" w:rsidRDefault="00B5675F" w:rsidP="00AD22C5">
      <w:pPr>
        <w:ind w:left="1276" w:hanging="425"/>
        <w:rPr>
          <w:iCs/>
          <w:sz w:val="24"/>
          <w:szCs w:val="24"/>
        </w:rPr>
      </w:pPr>
    </w:p>
    <w:p w14:paraId="29662678" w14:textId="50EF40E6" w:rsidR="00B5675F" w:rsidRPr="00C01559" w:rsidRDefault="00B5675F" w:rsidP="00AD22C5">
      <w:pPr>
        <w:pStyle w:val="Listeafsnit"/>
        <w:tabs>
          <w:tab w:val="clear" w:pos="567"/>
        </w:tabs>
        <w:spacing w:line="240" w:lineRule="auto"/>
        <w:ind w:left="1276"/>
        <w:rPr>
          <w:iCs/>
          <w:sz w:val="24"/>
          <w:szCs w:val="24"/>
        </w:rPr>
      </w:pPr>
      <w:r w:rsidRPr="00C01559">
        <w:rPr>
          <w:iCs/>
          <w:sz w:val="24"/>
          <w:szCs w:val="24"/>
        </w:rPr>
        <w:lastRenderedPageBreak/>
        <w:t xml:space="preserve">Der skal også udvises særlig forsigtighed ved tilstedeværelse af inaktiv kronisk infektion (f.eks. herpes </w:t>
      </w:r>
      <w:proofErr w:type="spellStart"/>
      <w:r w:rsidRPr="00C01559">
        <w:rPr>
          <w:iCs/>
          <w:sz w:val="24"/>
          <w:szCs w:val="24"/>
        </w:rPr>
        <w:t>zoster</w:t>
      </w:r>
      <w:proofErr w:type="spellEnd"/>
      <w:r w:rsidRPr="00C01559">
        <w:rPr>
          <w:iCs/>
          <w:sz w:val="24"/>
          <w:szCs w:val="24"/>
        </w:rPr>
        <w:t>, tuberkulose, hepatitis B eller C), da der er mulighed for, at disse infektioner bliver aktiveret.</w:t>
      </w:r>
    </w:p>
    <w:p w14:paraId="0599A2C8" w14:textId="77777777" w:rsidR="008124CA" w:rsidRPr="00C01559" w:rsidRDefault="008124CA" w:rsidP="00AD22C5">
      <w:pPr>
        <w:pStyle w:val="Listeafsnit"/>
        <w:tabs>
          <w:tab w:val="clear" w:pos="567"/>
        </w:tabs>
        <w:spacing w:line="240" w:lineRule="auto"/>
        <w:ind w:left="1276"/>
        <w:rPr>
          <w:iCs/>
          <w:sz w:val="24"/>
          <w:szCs w:val="24"/>
        </w:rPr>
      </w:pPr>
    </w:p>
    <w:p w14:paraId="4EDE8FBA" w14:textId="77777777" w:rsidR="00B5675F" w:rsidRPr="00C01559" w:rsidRDefault="00B5675F" w:rsidP="00C73CAD">
      <w:pPr>
        <w:ind w:left="851"/>
        <w:rPr>
          <w:i/>
          <w:sz w:val="24"/>
          <w:szCs w:val="24"/>
        </w:rPr>
      </w:pPr>
      <w:r w:rsidRPr="00C01559">
        <w:rPr>
          <w:i/>
          <w:sz w:val="24"/>
          <w:szCs w:val="24"/>
          <w:u w:val="single"/>
        </w:rPr>
        <w:t>Nedsat nyrefunktion og patienter med risiko for nedsat nyrefunktion</w:t>
      </w:r>
    </w:p>
    <w:p w14:paraId="4B3CAD02" w14:textId="77777777" w:rsidR="00B5675F" w:rsidRPr="00C01559" w:rsidRDefault="00B5675F" w:rsidP="00C73CAD">
      <w:pPr>
        <w:ind w:left="851"/>
        <w:rPr>
          <w:iCs/>
          <w:sz w:val="24"/>
          <w:szCs w:val="24"/>
        </w:rPr>
      </w:pPr>
      <w:r w:rsidRPr="00C01559">
        <w:rPr>
          <w:iCs/>
          <w:sz w:val="24"/>
          <w:szCs w:val="24"/>
        </w:rPr>
        <w:t xml:space="preserve">Eftersom </w:t>
      </w:r>
      <w:proofErr w:type="spellStart"/>
      <w:r w:rsidRPr="00C01559">
        <w:rPr>
          <w:iCs/>
          <w:sz w:val="24"/>
          <w:szCs w:val="24"/>
        </w:rPr>
        <w:t>methotrexat</w:t>
      </w:r>
      <w:proofErr w:type="spellEnd"/>
      <w:r w:rsidRPr="00C01559">
        <w:rPr>
          <w:iCs/>
          <w:sz w:val="24"/>
          <w:szCs w:val="24"/>
        </w:rPr>
        <w:t xml:space="preserve"> primært elimineres via nyrerne, forventes der øgede koncentrationer ved nedsat nyrefunktion, hvilket kan resultere i svære bivirkninger.</w:t>
      </w:r>
    </w:p>
    <w:p w14:paraId="71C608C7" w14:textId="77777777" w:rsidR="00B5675F" w:rsidRPr="00C01559" w:rsidRDefault="00B5675F" w:rsidP="00C73CAD">
      <w:pPr>
        <w:ind w:left="851"/>
        <w:rPr>
          <w:iCs/>
          <w:sz w:val="24"/>
          <w:szCs w:val="24"/>
        </w:rPr>
      </w:pPr>
      <w:r w:rsidRPr="00C01559">
        <w:rPr>
          <w:iCs/>
          <w:sz w:val="24"/>
          <w:szCs w:val="24"/>
        </w:rPr>
        <w:t xml:space="preserve">Hvis der er mulighed for nedsat nyrefunktion (f.eks. hos ældre personer), skal monitorering ske med kortere intervaller. Dette gælder især ved samtidig administration af lægemidler, der påvirker eliminationen af </w:t>
      </w:r>
      <w:proofErr w:type="spellStart"/>
      <w:r w:rsidRPr="00C01559">
        <w:rPr>
          <w:iCs/>
          <w:sz w:val="24"/>
          <w:szCs w:val="24"/>
        </w:rPr>
        <w:t>methotrexat</w:t>
      </w:r>
      <w:proofErr w:type="spellEnd"/>
      <w:r w:rsidRPr="00C01559">
        <w:rPr>
          <w:iCs/>
          <w:sz w:val="24"/>
          <w:szCs w:val="24"/>
        </w:rPr>
        <w:t xml:space="preserve">, eller som forårsager nyreskade (f.eks. </w:t>
      </w:r>
      <w:proofErr w:type="spellStart"/>
      <w:r w:rsidRPr="00C01559">
        <w:rPr>
          <w:iCs/>
          <w:sz w:val="24"/>
          <w:szCs w:val="24"/>
        </w:rPr>
        <w:t>NSAID’er</w:t>
      </w:r>
      <w:proofErr w:type="spellEnd"/>
      <w:r w:rsidRPr="00C01559">
        <w:rPr>
          <w:iCs/>
          <w:sz w:val="24"/>
          <w:szCs w:val="24"/>
        </w:rPr>
        <w:t xml:space="preserve">), eller som potentielt kan medføre nedsat </w:t>
      </w:r>
      <w:proofErr w:type="spellStart"/>
      <w:r w:rsidRPr="00C01559">
        <w:rPr>
          <w:iCs/>
          <w:sz w:val="24"/>
          <w:szCs w:val="24"/>
        </w:rPr>
        <w:t>hæmatopoiese</w:t>
      </w:r>
      <w:proofErr w:type="spellEnd"/>
      <w:r w:rsidRPr="00C01559">
        <w:rPr>
          <w:iCs/>
          <w:sz w:val="24"/>
          <w:szCs w:val="24"/>
        </w:rPr>
        <w:t xml:space="preserve">. </w:t>
      </w:r>
    </w:p>
    <w:p w14:paraId="554BBF71" w14:textId="77777777" w:rsidR="00B5675F" w:rsidRPr="00C01559" w:rsidRDefault="00B5675F" w:rsidP="00C73CAD">
      <w:pPr>
        <w:ind w:left="851"/>
        <w:rPr>
          <w:iCs/>
          <w:sz w:val="24"/>
          <w:szCs w:val="24"/>
        </w:rPr>
      </w:pPr>
      <w:r w:rsidRPr="00C01559">
        <w:rPr>
          <w:iCs/>
          <w:sz w:val="24"/>
          <w:szCs w:val="24"/>
        </w:rPr>
        <w:t xml:space="preserve">Administration sammen med </w:t>
      </w:r>
      <w:proofErr w:type="spellStart"/>
      <w:r w:rsidRPr="00C01559">
        <w:rPr>
          <w:iCs/>
          <w:sz w:val="24"/>
          <w:szCs w:val="24"/>
        </w:rPr>
        <w:t>NSAID’er</w:t>
      </w:r>
      <w:proofErr w:type="spellEnd"/>
      <w:r w:rsidRPr="00C01559">
        <w:rPr>
          <w:iCs/>
          <w:sz w:val="24"/>
          <w:szCs w:val="24"/>
        </w:rPr>
        <w:t xml:space="preserve"> er frarådet ved tilstedeværelse af risikofaktorer såsom nyrefunktionsforstyrrelser, herunder let nedsat nyrefunktion. Dehydrering kan også forstærke </w:t>
      </w:r>
      <w:proofErr w:type="spellStart"/>
      <w:r w:rsidRPr="00C01559">
        <w:rPr>
          <w:iCs/>
          <w:sz w:val="24"/>
          <w:szCs w:val="24"/>
        </w:rPr>
        <w:t>methotrexats</w:t>
      </w:r>
      <w:proofErr w:type="spellEnd"/>
      <w:r w:rsidRPr="00C01559">
        <w:rPr>
          <w:iCs/>
          <w:sz w:val="24"/>
          <w:szCs w:val="24"/>
        </w:rPr>
        <w:t xml:space="preserve"> toksicitet.</w:t>
      </w:r>
    </w:p>
    <w:p w14:paraId="55FC2359" w14:textId="7206835B" w:rsidR="00B5675F" w:rsidRPr="00C01559" w:rsidRDefault="00B5675F" w:rsidP="00C73CAD">
      <w:pPr>
        <w:ind w:left="851"/>
        <w:rPr>
          <w:iCs/>
          <w:sz w:val="24"/>
          <w:szCs w:val="24"/>
        </w:rPr>
      </w:pPr>
      <w:r w:rsidRPr="00C01559">
        <w:rPr>
          <w:iCs/>
          <w:sz w:val="24"/>
          <w:szCs w:val="24"/>
        </w:rPr>
        <w:t>(Se monitorering af nyrefunktionen)</w:t>
      </w:r>
    </w:p>
    <w:p w14:paraId="7EEA3CCE" w14:textId="77777777" w:rsidR="008124CA" w:rsidRPr="00C01559" w:rsidRDefault="008124CA" w:rsidP="00C73CAD">
      <w:pPr>
        <w:ind w:left="851"/>
        <w:rPr>
          <w:iCs/>
          <w:sz w:val="24"/>
          <w:szCs w:val="24"/>
        </w:rPr>
      </w:pPr>
    </w:p>
    <w:p w14:paraId="44E4EA3E" w14:textId="77777777" w:rsidR="00B5675F" w:rsidRPr="00C01559" w:rsidRDefault="00B5675F" w:rsidP="00C73CAD">
      <w:pPr>
        <w:ind w:left="851"/>
        <w:rPr>
          <w:i/>
          <w:sz w:val="24"/>
          <w:szCs w:val="24"/>
        </w:rPr>
      </w:pPr>
      <w:r w:rsidRPr="00C01559">
        <w:rPr>
          <w:i/>
          <w:sz w:val="24"/>
          <w:szCs w:val="24"/>
          <w:u w:val="single"/>
        </w:rPr>
        <w:t>Immunsystemet</w:t>
      </w:r>
    </w:p>
    <w:p w14:paraId="1CFB2F5B" w14:textId="7B2BA9B0" w:rsidR="00B5675F" w:rsidRPr="00C01559" w:rsidRDefault="00B5675F" w:rsidP="00C73CAD">
      <w:pPr>
        <w:ind w:left="851"/>
        <w:rPr>
          <w:iCs/>
          <w:sz w:val="24"/>
          <w:szCs w:val="24"/>
        </w:rPr>
      </w:pPr>
      <w:proofErr w:type="spellStart"/>
      <w:r w:rsidRPr="00C01559">
        <w:rPr>
          <w:iCs/>
          <w:sz w:val="24"/>
          <w:szCs w:val="24"/>
        </w:rPr>
        <w:t>Methotrexat</w:t>
      </w:r>
      <w:proofErr w:type="spellEnd"/>
      <w:r w:rsidRPr="00C01559">
        <w:rPr>
          <w:iCs/>
          <w:sz w:val="24"/>
          <w:szCs w:val="24"/>
        </w:rPr>
        <w:t xml:space="preserve"> kan nedsætte responset på vaccinationer og påvirke resultatet af immunologiske test som følge af dets virkning på immunsystemet. Der bør ikke gives samtidig vaccination med levende vacciner.</w:t>
      </w:r>
    </w:p>
    <w:p w14:paraId="5519B2B5" w14:textId="77777777" w:rsidR="008124CA" w:rsidRPr="00C01559" w:rsidRDefault="008124CA" w:rsidP="00C73CAD">
      <w:pPr>
        <w:ind w:left="851"/>
        <w:rPr>
          <w:iCs/>
          <w:sz w:val="24"/>
          <w:szCs w:val="24"/>
        </w:rPr>
      </w:pPr>
    </w:p>
    <w:p w14:paraId="6B547FF0" w14:textId="77777777" w:rsidR="00B5675F" w:rsidRPr="00C01559" w:rsidRDefault="00B5675F" w:rsidP="00C73CAD">
      <w:pPr>
        <w:ind w:left="851"/>
        <w:rPr>
          <w:i/>
          <w:sz w:val="24"/>
          <w:szCs w:val="24"/>
        </w:rPr>
      </w:pPr>
      <w:r w:rsidRPr="00C01559">
        <w:rPr>
          <w:i/>
          <w:sz w:val="24"/>
          <w:szCs w:val="24"/>
          <w:u w:val="single"/>
        </w:rPr>
        <w:t xml:space="preserve">Maligne </w:t>
      </w:r>
      <w:proofErr w:type="spellStart"/>
      <w:r w:rsidRPr="00C01559">
        <w:rPr>
          <w:i/>
          <w:sz w:val="24"/>
          <w:szCs w:val="24"/>
          <w:u w:val="single"/>
        </w:rPr>
        <w:t>lymfomer</w:t>
      </w:r>
      <w:proofErr w:type="spellEnd"/>
    </w:p>
    <w:p w14:paraId="23BCF7C6" w14:textId="55E9A7A3" w:rsidR="00B5675F" w:rsidRPr="00C01559" w:rsidRDefault="00B5675F" w:rsidP="00C73CAD">
      <w:pPr>
        <w:ind w:left="851"/>
        <w:rPr>
          <w:iCs/>
          <w:sz w:val="24"/>
          <w:szCs w:val="24"/>
        </w:rPr>
      </w:pPr>
      <w:r w:rsidRPr="00C01559">
        <w:rPr>
          <w:iCs/>
          <w:sz w:val="24"/>
          <w:szCs w:val="24"/>
        </w:rPr>
        <w:t xml:space="preserve">Maligne </w:t>
      </w:r>
      <w:proofErr w:type="spellStart"/>
      <w:r w:rsidRPr="00C01559">
        <w:rPr>
          <w:iCs/>
          <w:sz w:val="24"/>
          <w:szCs w:val="24"/>
        </w:rPr>
        <w:t>lymfomer</w:t>
      </w:r>
      <w:proofErr w:type="spellEnd"/>
      <w:r w:rsidRPr="00C01559">
        <w:rPr>
          <w:iCs/>
          <w:sz w:val="24"/>
          <w:szCs w:val="24"/>
        </w:rPr>
        <w:t xml:space="preserve"> kan forekomme hos patienter, der får lavdosis-</w:t>
      </w:r>
      <w:proofErr w:type="spellStart"/>
      <w:r w:rsidRPr="00C01559">
        <w:rPr>
          <w:iCs/>
          <w:sz w:val="24"/>
          <w:szCs w:val="24"/>
        </w:rPr>
        <w:t>methotrexat</w:t>
      </w:r>
      <w:proofErr w:type="spellEnd"/>
      <w:r w:rsidRPr="00C01559">
        <w:rPr>
          <w:iCs/>
          <w:sz w:val="24"/>
          <w:szCs w:val="24"/>
        </w:rPr>
        <w:t xml:space="preserve">. I sådanne tilfælde skal behandlingen seponeres. Hvis </w:t>
      </w:r>
      <w:proofErr w:type="spellStart"/>
      <w:r w:rsidRPr="00C01559">
        <w:rPr>
          <w:iCs/>
          <w:sz w:val="24"/>
          <w:szCs w:val="24"/>
        </w:rPr>
        <w:t>lymfomerne</w:t>
      </w:r>
      <w:proofErr w:type="spellEnd"/>
      <w:r w:rsidRPr="00C01559">
        <w:rPr>
          <w:iCs/>
          <w:sz w:val="24"/>
          <w:szCs w:val="24"/>
        </w:rPr>
        <w:t xml:space="preserve"> ikke svinder spontant, skal der iværksættes </w:t>
      </w:r>
      <w:proofErr w:type="spellStart"/>
      <w:r w:rsidRPr="00C01559">
        <w:rPr>
          <w:iCs/>
          <w:sz w:val="24"/>
          <w:szCs w:val="24"/>
        </w:rPr>
        <w:t>cytotoksisk</w:t>
      </w:r>
      <w:proofErr w:type="spellEnd"/>
      <w:r w:rsidRPr="00C01559">
        <w:rPr>
          <w:iCs/>
          <w:sz w:val="24"/>
          <w:szCs w:val="24"/>
        </w:rPr>
        <w:t xml:space="preserve"> behandling.</w:t>
      </w:r>
    </w:p>
    <w:p w14:paraId="7FD108E7" w14:textId="77777777" w:rsidR="008124CA" w:rsidRPr="00C01559" w:rsidRDefault="008124CA" w:rsidP="00C73CAD">
      <w:pPr>
        <w:ind w:left="851"/>
        <w:rPr>
          <w:iCs/>
          <w:sz w:val="24"/>
          <w:szCs w:val="24"/>
        </w:rPr>
      </w:pPr>
    </w:p>
    <w:p w14:paraId="237A3BD3" w14:textId="77777777" w:rsidR="00B5675F" w:rsidRPr="00C01559" w:rsidRDefault="00B5675F" w:rsidP="00C73CAD">
      <w:pPr>
        <w:ind w:left="851"/>
        <w:rPr>
          <w:i/>
          <w:sz w:val="24"/>
          <w:szCs w:val="24"/>
        </w:rPr>
      </w:pPr>
      <w:proofErr w:type="spellStart"/>
      <w:r w:rsidRPr="00C01559">
        <w:rPr>
          <w:i/>
          <w:sz w:val="24"/>
          <w:szCs w:val="24"/>
          <w:u w:val="single"/>
        </w:rPr>
        <w:t>Pleuraeffusion</w:t>
      </w:r>
      <w:proofErr w:type="spellEnd"/>
      <w:r w:rsidRPr="00C01559">
        <w:rPr>
          <w:i/>
          <w:sz w:val="24"/>
          <w:szCs w:val="24"/>
          <w:u w:val="single"/>
        </w:rPr>
        <w:t xml:space="preserve"> eller </w:t>
      </w:r>
      <w:proofErr w:type="spellStart"/>
      <w:r w:rsidRPr="00C01559">
        <w:rPr>
          <w:i/>
          <w:sz w:val="24"/>
          <w:szCs w:val="24"/>
          <w:u w:val="single"/>
        </w:rPr>
        <w:t>ascites</w:t>
      </w:r>
      <w:proofErr w:type="spellEnd"/>
    </w:p>
    <w:p w14:paraId="2355DFC7" w14:textId="114F8D51" w:rsidR="00B5675F" w:rsidRPr="00C01559" w:rsidRDefault="00B5675F" w:rsidP="00C73CAD">
      <w:pPr>
        <w:ind w:left="851"/>
        <w:rPr>
          <w:iCs/>
          <w:sz w:val="24"/>
          <w:szCs w:val="24"/>
        </w:rPr>
      </w:pPr>
      <w:proofErr w:type="spellStart"/>
      <w:r w:rsidRPr="00C01559">
        <w:rPr>
          <w:iCs/>
          <w:sz w:val="24"/>
          <w:szCs w:val="24"/>
        </w:rPr>
        <w:t>Pleuraeffusion</w:t>
      </w:r>
      <w:proofErr w:type="spellEnd"/>
      <w:r w:rsidRPr="00C01559">
        <w:rPr>
          <w:iCs/>
          <w:sz w:val="24"/>
          <w:szCs w:val="24"/>
        </w:rPr>
        <w:t xml:space="preserve"> og </w:t>
      </w:r>
      <w:proofErr w:type="spellStart"/>
      <w:r w:rsidRPr="00C01559">
        <w:rPr>
          <w:iCs/>
          <w:sz w:val="24"/>
          <w:szCs w:val="24"/>
        </w:rPr>
        <w:t>ascites</w:t>
      </w:r>
      <w:proofErr w:type="spellEnd"/>
      <w:r w:rsidRPr="00C01559">
        <w:rPr>
          <w:iCs/>
          <w:sz w:val="24"/>
          <w:szCs w:val="24"/>
        </w:rPr>
        <w:t xml:space="preserve"> skal drænes inden iværksættelse af </w:t>
      </w:r>
      <w:proofErr w:type="spellStart"/>
      <w:r w:rsidRPr="00C01559">
        <w:rPr>
          <w:iCs/>
          <w:sz w:val="24"/>
          <w:szCs w:val="24"/>
        </w:rPr>
        <w:t>methotrexatbehandling</w:t>
      </w:r>
      <w:proofErr w:type="spellEnd"/>
      <w:r w:rsidRPr="00C01559">
        <w:rPr>
          <w:iCs/>
          <w:sz w:val="24"/>
          <w:szCs w:val="24"/>
        </w:rPr>
        <w:t xml:space="preserve"> (se pkt. 4.2).</w:t>
      </w:r>
    </w:p>
    <w:p w14:paraId="33ED1898" w14:textId="77777777" w:rsidR="008124CA" w:rsidRPr="00C01559" w:rsidRDefault="008124CA" w:rsidP="00C73CAD">
      <w:pPr>
        <w:ind w:left="851"/>
        <w:rPr>
          <w:iCs/>
          <w:sz w:val="24"/>
          <w:szCs w:val="24"/>
        </w:rPr>
      </w:pPr>
    </w:p>
    <w:p w14:paraId="30768BC4" w14:textId="77777777" w:rsidR="00B5675F" w:rsidRPr="00C01559" w:rsidRDefault="00B5675F" w:rsidP="00C73CAD">
      <w:pPr>
        <w:ind w:left="851"/>
        <w:rPr>
          <w:i/>
          <w:sz w:val="24"/>
          <w:szCs w:val="24"/>
        </w:rPr>
      </w:pPr>
      <w:r w:rsidRPr="00C01559">
        <w:rPr>
          <w:i/>
          <w:sz w:val="24"/>
          <w:szCs w:val="24"/>
          <w:u w:val="single"/>
        </w:rPr>
        <w:t xml:space="preserve">Tilstande, der forårsager dehydrering, såsom opkastning, diarré eller </w:t>
      </w:r>
      <w:proofErr w:type="spellStart"/>
      <w:r w:rsidRPr="00C01559">
        <w:rPr>
          <w:i/>
          <w:sz w:val="24"/>
          <w:szCs w:val="24"/>
          <w:u w:val="single"/>
        </w:rPr>
        <w:t>stomatitis</w:t>
      </w:r>
      <w:proofErr w:type="spellEnd"/>
    </w:p>
    <w:p w14:paraId="4EDCBA11" w14:textId="77777777" w:rsidR="00B5675F" w:rsidRPr="00C01559" w:rsidRDefault="00B5675F" w:rsidP="00C73CAD">
      <w:pPr>
        <w:ind w:left="851"/>
        <w:rPr>
          <w:iCs/>
          <w:sz w:val="24"/>
          <w:szCs w:val="24"/>
        </w:rPr>
      </w:pPr>
      <w:r w:rsidRPr="00C01559">
        <w:rPr>
          <w:iCs/>
          <w:sz w:val="24"/>
          <w:szCs w:val="24"/>
        </w:rPr>
        <w:t xml:space="preserve">Tilstande, der forårsager dehydrering, såsom opkastning, diarré eller </w:t>
      </w:r>
      <w:proofErr w:type="spellStart"/>
      <w:r w:rsidRPr="00C01559">
        <w:rPr>
          <w:iCs/>
          <w:sz w:val="24"/>
          <w:szCs w:val="24"/>
        </w:rPr>
        <w:t>stomatitis</w:t>
      </w:r>
      <w:proofErr w:type="spellEnd"/>
      <w:r w:rsidRPr="00C01559">
        <w:rPr>
          <w:iCs/>
          <w:sz w:val="24"/>
          <w:szCs w:val="24"/>
        </w:rPr>
        <w:t xml:space="preserve">, kan øge toksiciteten som følge af øget niveau af aktivt stof. I sådanne tilfælde skal behandlingen med </w:t>
      </w:r>
      <w:proofErr w:type="spellStart"/>
      <w:r w:rsidRPr="00C01559">
        <w:rPr>
          <w:iCs/>
          <w:sz w:val="24"/>
          <w:szCs w:val="24"/>
        </w:rPr>
        <w:t>methotrexat</w:t>
      </w:r>
      <w:proofErr w:type="spellEnd"/>
      <w:r w:rsidRPr="00C01559">
        <w:rPr>
          <w:iCs/>
          <w:sz w:val="24"/>
          <w:szCs w:val="24"/>
        </w:rPr>
        <w:t xml:space="preserve"> seponeres, indtil symptomerne er forsvundet.</w:t>
      </w:r>
    </w:p>
    <w:p w14:paraId="77F48F8F" w14:textId="77777777" w:rsidR="008124CA" w:rsidRPr="00C01559" w:rsidRDefault="008124CA" w:rsidP="00C73CAD">
      <w:pPr>
        <w:ind w:left="851"/>
        <w:rPr>
          <w:iCs/>
          <w:sz w:val="24"/>
          <w:szCs w:val="24"/>
        </w:rPr>
      </w:pPr>
    </w:p>
    <w:p w14:paraId="04DAEC2E" w14:textId="29D55397" w:rsidR="00B5675F" w:rsidRPr="00C01559" w:rsidRDefault="00B5675F" w:rsidP="00C73CAD">
      <w:pPr>
        <w:ind w:left="851"/>
        <w:rPr>
          <w:iCs/>
          <w:sz w:val="24"/>
          <w:szCs w:val="24"/>
        </w:rPr>
      </w:pPr>
      <w:r w:rsidRPr="00C01559">
        <w:rPr>
          <w:iCs/>
          <w:sz w:val="24"/>
          <w:szCs w:val="24"/>
        </w:rPr>
        <w:t xml:space="preserve">Det er vigtigt, at enhver stigning i niveauet af aktivt stof bliver klarlagt inden for 48 timers behandling, da der ellers kan opstå irreversibel </w:t>
      </w:r>
      <w:proofErr w:type="spellStart"/>
      <w:r w:rsidRPr="00C01559">
        <w:rPr>
          <w:iCs/>
          <w:sz w:val="24"/>
          <w:szCs w:val="24"/>
        </w:rPr>
        <w:t>methotrexattoksicitet</w:t>
      </w:r>
      <w:proofErr w:type="spellEnd"/>
      <w:r w:rsidRPr="00C01559">
        <w:rPr>
          <w:iCs/>
          <w:sz w:val="24"/>
          <w:szCs w:val="24"/>
        </w:rPr>
        <w:t>.</w:t>
      </w:r>
    </w:p>
    <w:p w14:paraId="5DA3578F" w14:textId="77777777" w:rsidR="00B5675F" w:rsidRPr="00C01559" w:rsidRDefault="00B5675F" w:rsidP="00C73CAD">
      <w:pPr>
        <w:ind w:left="851"/>
        <w:rPr>
          <w:iCs/>
          <w:sz w:val="24"/>
          <w:szCs w:val="24"/>
        </w:rPr>
      </w:pPr>
    </w:p>
    <w:p w14:paraId="5E62E14A" w14:textId="77777777" w:rsidR="00B5675F" w:rsidRPr="00C01559" w:rsidRDefault="00B5675F" w:rsidP="00C73CAD">
      <w:pPr>
        <w:ind w:left="851"/>
        <w:rPr>
          <w:iCs/>
          <w:sz w:val="24"/>
          <w:szCs w:val="24"/>
        </w:rPr>
      </w:pPr>
      <w:r w:rsidRPr="00C01559">
        <w:rPr>
          <w:iCs/>
          <w:sz w:val="24"/>
          <w:szCs w:val="24"/>
        </w:rPr>
        <w:t xml:space="preserve">Diarré og ulcerøs </w:t>
      </w:r>
      <w:proofErr w:type="spellStart"/>
      <w:r w:rsidRPr="00C01559">
        <w:rPr>
          <w:iCs/>
          <w:sz w:val="24"/>
          <w:szCs w:val="24"/>
        </w:rPr>
        <w:t>stomatitis</w:t>
      </w:r>
      <w:proofErr w:type="spellEnd"/>
      <w:r w:rsidRPr="00C01559">
        <w:rPr>
          <w:iCs/>
          <w:sz w:val="24"/>
          <w:szCs w:val="24"/>
        </w:rPr>
        <w:t xml:space="preserve"> kan være tegn på toksiske virkninger og kræver </w:t>
      </w:r>
      <w:proofErr w:type="spellStart"/>
      <w:r w:rsidRPr="00C01559">
        <w:rPr>
          <w:iCs/>
          <w:sz w:val="24"/>
          <w:szCs w:val="24"/>
        </w:rPr>
        <w:t>seponering</w:t>
      </w:r>
      <w:proofErr w:type="spellEnd"/>
      <w:r w:rsidRPr="00C01559">
        <w:rPr>
          <w:iCs/>
          <w:sz w:val="24"/>
          <w:szCs w:val="24"/>
        </w:rPr>
        <w:t xml:space="preserve"> af behandlingen, da der ellers kan opstå </w:t>
      </w:r>
      <w:proofErr w:type="spellStart"/>
      <w:r w:rsidRPr="00C01559">
        <w:rPr>
          <w:iCs/>
          <w:sz w:val="24"/>
          <w:szCs w:val="24"/>
        </w:rPr>
        <w:t>hæmoragisk</w:t>
      </w:r>
      <w:proofErr w:type="spellEnd"/>
      <w:r w:rsidRPr="00C01559">
        <w:rPr>
          <w:iCs/>
          <w:sz w:val="24"/>
          <w:szCs w:val="24"/>
        </w:rPr>
        <w:t xml:space="preserve"> </w:t>
      </w:r>
      <w:proofErr w:type="spellStart"/>
      <w:r w:rsidRPr="00C01559">
        <w:rPr>
          <w:iCs/>
          <w:sz w:val="24"/>
          <w:szCs w:val="24"/>
        </w:rPr>
        <w:t>enteritis</w:t>
      </w:r>
      <w:proofErr w:type="spellEnd"/>
      <w:r w:rsidRPr="00C01559">
        <w:rPr>
          <w:iCs/>
          <w:sz w:val="24"/>
          <w:szCs w:val="24"/>
        </w:rPr>
        <w:t xml:space="preserve"> og død som følge af </w:t>
      </w:r>
      <w:proofErr w:type="spellStart"/>
      <w:r w:rsidRPr="00C01559">
        <w:rPr>
          <w:iCs/>
          <w:sz w:val="24"/>
          <w:szCs w:val="24"/>
        </w:rPr>
        <w:t>intestinal</w:t>
      </w:r>
      <w:proofErr w:type="spellEnd"/>
      <w:r w:rsidRPr="00C01559">
        <w:rPr>
          <w:iCs/>
          <w:sz w:val="24"/>
          <w:szCs w:val="24"/>
        </w:rPr>
        <w:t xml:space="preserve"> perforation.</w:t>
      </w:r>
    </w:p>
    <w:p w14:paraId="1269B3A5" w14:textId="7C345AA1" w:rsidR="00B5675F" w:rsidRPr="00C01559" w:rsidRDefault="00B5675F" w:rsidP="00C73CAD">
      <w:pPr>
        <w:ind w:left="851"/>
        <w:rPr>
          <w:iCs/>
          <w:sz w:val="24"/>
          <w:szCs w:val="24"/>
        </w:rPr>
      </w:pPr>
      <w:r w:rsidRPr="00C01559">
        <w:rPr>
          <w:iCs/>
          <w:sz w:val="24"/>
          <w:szCs w:val="24"/>
        </w:rPr>
        <w:t xml:space="preserve">Efter tilfælde af </w:t>
      </w:r>
      <w:proofErr w:type="spellStart"/>
      <w:r w:rsidRPr="00C01559">
        <w:rPr>
          <w:iCs/>
          <w:sz w:val="24"/>
          <w:szCs w:val="24"/>
        </w:rPr>
        <w:t>hæmatemese</w:t>
      </w:r>
      <w:proofErr w:type="spellEnd"/>
      <w:r w:rsidRPr="00C01559">
        <w:rPr>
          <w:iCs/>
          <w:sz w:val="24"/>
          <w:szCs w:val="24"/>
        </w:rPr>
        <w:t>, sortfarvet afføring eller blod i afføringen skal behandlingen seponeres.</w:t>
      </w:r>
    </w:p>
    <w:p w14:paraId="7F85D216" w14:textId="77777777" w:rsidR="008124CA" w:rsidRPr="00C01559" w:rsidRDefault="008124CA" w:rsidP="00C73CAD">
      <w:pPr>
        <w:ind w:left="851"/>
        <w:rPr>
          <w:iCs/>
          <w:sz w:val="24"/>
          <w:szCs w:val="24"/>
        </w:rPr>
      </w:pPr>
    </w:p>
    <w:p w14:paraId="7C1D79A9" w14:textId="77777777" w:rsidR="00B5675F" w:rsidRPr="00C01559" w:rsidRDefault="00B5675F" w:rsidP="00C73CAD">
      <w:pPr>
        <w:ind w:left="851"/>
        <w:rPr>
          <w:i/>
          <w:sz w:val="24"/>
          <w:szCs w:val="24"/>
        </w:rPr>
      </w:pPr>
      <w:proofErr w:type="spellStart"/>
      <w:r w:rsidRPr="00C01559">
        <w:rPr>
          <w:i/>
          <w:sz w:val="24"/>
          <w:szCs w:val="24"/>
          <w:u w:val="single"/>
        </w:rPr>
        <w:t>Folinsyretilskud</w:t>
      </w:r>
      <w:proofErr w:type="spellEnd"/>
    </w:p>
    <w:p w14:paraId="11D1357E" w14:textId="77777777" w:rsidR="00B5675F" w:rsidRPr="00C01559" w:rsidRDefault="00B5675F" w:rsidP="00C73CAD">
      <w:pPr>
        <w:ind w:left="851"/>
        <w:rPr>
          <w:iCs/>
          <w:sz w:val="24"/>
          <w:szCs w:val="24"/>
        </w:rPr>
      </w:pPr>
      <w:r w:rsidRPr="00C01559">
        <w:rPr>
          <w:iCs/>
          <w:sz w:val="24"/>
          <w:szCs w:val="24"/>
        </w:rPr>
        <w:t xml:space="preserve">Hvis der opstår akut </w:t>
      </w:r>
      <w:proofErr w:type="spellStart"/>
      <w:r w:rsidRPr="00C01559">
        <w:rPr>
          <w:iCs/>
          <w:sz w:val="24"/>
          <w:szCs w:val="24"/>
        </w:rPr>
        <w:t>methotrexattoksicitet</w:t>
      </w:r>
      <w:proofErr w:type="spellEnd"/>
      <w:r w:rsidRPr="00C01559">
        <w:rPr>
          <w:iCs/>
          <w:sz w:val="24"/>
          <w:szCs w:val="24"/>
        </w:rPr>
        <w:t xml:space="preserve">, kan patienten have behov for behandling med </w:t>
      </w:r>
      <w:proofErr w:type="spellStart"/>
      <w:r w:rsidRPr="00C01559">
        <w:rPr>
          <w:iCs/>
          <w:sz w:val="24"/>
          <w:szCs w:val="24"/>
        </w:rPr>
        <w:t>folinsyre</w:t>
      </w:r>
      <w:proofErr w:type="spellEnd"/>
      <w:r w:rsidRPr="00C01559">
        <w:rPr>
          <w:iCs/>
          <w:sz w:val="24"/>
          <w:szCs w:val="24"/>
        </w:rPr>
        <w:t xml:space="preserve">. Hos patienter med </w:t>
      </w:r>
      <w:proofErr w:type="spellStart"/>
      <w:r w:rsidRPr="00C01559">
        <w:rPr>
          <w:iCs/>
          <w:sz w:val="24"/>
          <w:szCs w:val="24"/>
        </w:rPr>
        <w:t>reumatoid</w:t>
      </w:r>
      <w:proofErr w:type="spellEnd"/>
      <w:r w:rsidRPr="00C01559">
        <w:rPr>
          <w:iCs/>
          <w:sz w:val="24"/>
          <w:szCs w:val="24"/>
        </w:rPr>
        <w:t xml:space="preserve"> </w:t>
      </w:r>
      <w:proofErr w:type="spellStart"/>
      <w:r w:rsidRPr="00C01559">
        <w:rPr>
          <w:iCs/>
          <w:sz w:val="24"/>
          <w:szCs w:val="24"/>
        </w:rPr>
        <w:t>artrit</w:t>
      </w:r>
      <w:proofErr w:type="spellEnd"/>
      <w:r w:rsidRPr="00C01559">
        <w:rPr>
          <w:iCs/>
          <w:sz w:val="24"/>
          <w:szCs w:val="24"/>
        </w:rPr>
        <w:t xml:space="preserve"> eller psoriasis kan </w:t>
      </w:r>
      <w:proofErr w:type="spellStart"/>
      <w:r w:rsidRPr="00C01559">
        <w:rPr>
          <w:iCs/>
          <w:sz w:val="24"/>
          <w:szCs w:val="24"/>
        </w:rPr>
        <w:t>folinsyre</w:t>
      </w:r>
      <w:proofErr w:type="spellEnd"/>
      <w:r w:rsidRPr="00C01559">
        <w:rPr>
          <w:iCs/>
          <w:sz w:val="24"/>
          <w:szCs w:val="24"/>
        </w:rPr>
        <w:t xml:space="preserve"> eller </w:t>
      </w:r>
      <w:proofErr w:type="spellStart"/>
      <w:r w:rsidRPr="00C01559">
        <w:rPr>
          <w:iCs/>
          <w:sz w:val="24"/>
          <w:szCs w:val="24"/>
        </w:rPr>
        <w:t>folinsyretilskud</w:t>
      </w:r>
      <w:proofErr w:type="spellEnd"/>
      <w:r w:rsidRPr="00C01559">
        <w:rPr>
          <w:iCs/>
          <w:sz w:val="24"/>
          <w:szCs w:val="24"/>
        </w:rPr>
        <w:t xml:space="preserve"> reducere </w:t>
      </w:r>
      <w:proofErr w:type="spellStart"/>
      <w:r w:rsidRPr="00C01559">
        <w:rPr>
          <w:iCs/>
          <w:sz w:val="24"/>
          <w:szCs w:val="24"/>
        </w:rPr>
        <w:t>methotrexattoksiciteten</w:t>
      </w:r>
      <w:proofErr w:type="spellEnd"/>
      <w:r w:rsidRPr="00C01559">
        <w:rPr>
          <w:iCs/>
          <w:sz w:val="24"/>
          <w:szCs w:val="24"/>
        </w:rPr>
        <w:t xml:space="preserve">, såsom </w:t>
      </w:r>
      <w:proofErr w:type="spellStart"/>
      <w:r w:rsidRPr="00C01559">
        <w:rPr>
          <w:iCs/>
          <w:sz w:val="24"/>
          <w:szCs w:val="24"/>
        </w:rPr>
        <w:t>gastrointestinale</w:t>
      </w:r>
      <w:proofErr w:type="spellEnd"/>
      <w:r w:rsidRPr="00C01559">
        <w:rPr>
          <w:iCs/>
          <w:sz w:val="24"/>
          <w:szCs w:val="24"/>
        </w:rPr>
        <w:t xml:space="preserve"> symptomer, </w:t>
      </w:r>
      <w:proofErr w:type="spellStart"/>
      <w:r w:rsidRPr="00C01559">
        <w:rPr>
          <w:iCs/>
          <w:sz w:val="24"/>
          <w:szCs w:val="24"/>
        </w:rPr>
        <w:t>stomatitis</w:t>
      </w:r>
      <w:proofErr w:type="spellEnd"/>
      <w:r w:rsidRPr="00C01559">
        <w:rPr>
          <w:iCs/>
          <w:sz w:val="24"/>
          <w:szCs w:val="24"/>
        </w:rPr>
        <w:t xml:space="preserve">, </w:t>
      </w:r>
      <w:proofErr w:type="spellStart"/>
      <w:r w:rsidRPr="00C01559">
        <w:rPr>
          <w:iCs/>
          <w:sz w:val="24"/>
          <w:szCs w:val="24"/>
        </w:rPr>
        <w:t>alopeci</w:t>
      </w:r>
      <w:proofErr w:type="spellEnd"/>
      <w:r w:rsidRPr="00C01559">
        <w:rPr>
          <w:iCs/>
          <w:sz w:val="24"/>
          <w:szCs w:val="24"/>
        </w:rPr>
        <w:t xml:space="preserve"> og forhøjede leverenzymer.</w:t>
      </w:r>
    </w:p>
    <w:p w14:paraId="21FDE83C" w14:textId="4BD9A315" w:rsidR="00B5675F" w:rsidRPr="00C01559" w:rsidRDefault="00B5675F" w:rsidP="00C73CAD">
      <w:pPr>
        <w:ind w:left="851"/>
        <w:rPr>
          <w:iCs/>
          <w:sz w:val="24"/>
          <w:szCs w:val="24"/>
        </w:rPr>
      </w:pPr>
      <w:r w:rsidRPr="00C01559">
        <w:rPr>
          <w:iCs/>
          <w:sz w:val="24"/>
          <w:szCs w:val="24"/>
        </w:rPr>
        <w:lastRenderedPageBreak/>
        <w:t xml:space="preserve">Det anbefales at kontrollere niveauet af vitamin B12 inden opstart af </w:t>
      </w:r>
      <w:proofErr w:type="spellStart"/>
      <w:r w:rsidRPr="00C01559">
        <w:rPr>
          <w:iCs/>
          <w:sz w:val="24"/>
          <w:szCs w:val="24"/>
        </w:rPr>
        <w:t>folinsyretilskud</w:t>
      </w:r>
      <w:proofErr w:type="spellEnd"/>
      <w:r w:rsidRPr="00C01559">
        <w:rPr>
          <w:iCs/>
          <w:sz w:val="24"/>
          <w:szCs w:val="24"/>
        </w:rPr>
        <w:t xml:space="preserve">, især hos voksne patienter over 50 år, eftersom indtagelse af </w:t>
      </w:r>
      <w:proofErr w:type="spellStart"/>
      <w:r w:rsidRPr="00C01559">
        <w:rPr>
          <w:iCs/>
          <w:sz w:val="24"/>
          <w:szCs w:val="24"/>
        </w:rPr>
        <w:t>folinsyre</w:t>
      </w:r>
      <w:proofErr w:type="spellEnd"/>
      <w:r w:rsidRPr="00C01559">
        <w:rPr>
          <w:iCs/>
          <w:sz w:val="24"/>
          <w:szCs w:val="24"/>
        </w:rPr>
        <w:t xml:space="preserve"> kan maskere mangel på vitamin B12.</w:t>
      </w:r>
    </w:p>
    <w:p w14:paraId="775237AA" w14:textId="77777777" w:rsidR="008124CA" w:rsidRPr="00C01559" w:rsidRDefault="008124CA" w:rsidP="00C73CAD">
      <w:pPr>
        <w:ind w:left="851"/>
        <w:rPr>
          <w:iCs/>
          <w:sz w:val="24"/>
          <w:szCs w:val="24"/>
        </w:rPr>
      </w:pPr>
    </w:p>
    <w:p w14:paraId="24C307E3" w14:textId="77777777" w:rsidR="00B5675F" w:rsidRPr="00C01559" w:rsidRDefault="00B5675F" w:rsidP="00C73CAD">
      <w:pPr>
        <w:ind w:left="851"/>
        <w:rPr>
          <w:i/>
          <w:sz w:val="24"/>
          <w:szCs w:val="24"/>
        </w:rPr>
      </w:pPr>
      <w:r w:rsidRPr="00C01559">
        <w:rPr>
          <w:i/>
          <w:sz w:val="24"/>
          <w:szCs w:val="24"/>
          <w:u w:val="single"/>
        </w:rPr>
        <w:t>Vitaminpræparater</w:t>
      </w:r>
    </w:p>
    <w:p w14:paraId="69124AE1" w14:textId="77777777" w:rsidR="00B5675F" w:rsidRPr="00C01559" w:rsidRDefault="00B5675F" w:rsidP="00C73CAD">
      <w:pPr>
        <w:ind w:left="851"/>
        <w:rPr>
          <w:iCs/>
          <w:sz w:val="24"/>
          <w:szCs w:val="24"/>
        </w:rPr>
      </w:pPr>
      <w:r w:rsidRPr="00C01559">
        <w:rPr>
          <w:iCs/>
          <w:sz w:val="24"/>
          <w:szCs w:val="24"/>
        </w:rPr>
        <w:t xml:space="preserve">Vitaminpræparater eller andre produkter, der indeholder </w:t>
      </w:r>
      <w:proofErr w:type="spellStart"/>
      <w:r w:rsidRPr="00C01559">
        <w:rPr>
          <w:iCs/>
          <w:sz w:val="24"/>
          <w:szCs w:val="24"/>
        </w:rPr>
        <w:t>folinsyre</w:t>
      </w:r>
      <w:proofErr w:type="spellEnd"/>
      <w:r w:rsidRPr="00C01559">
        <w:rPr>
          <w:iCs/>
          <w:sz w:val="24"/>
          <w:szCs w:val="24"/>
        </w:rPr>
        <w:t xml:space="preserve">, </w:t>
      </w:r>
      <w:proofErr w:type="spellStart"/>
      <w:r w:rsidRPr="00C01559">
        <w:rPr>
          <w:iCs/>
          <w:sz w:val="24"/>
          <w:szCs w:val="24"/>
        </w:rPr>
        <w:t>folsyre</w:t>
      </w:r>
      <w:proofErr w:type="spellEnd"/>
      <w:r w:rsidRPr="00C01559">
        <w:rPr>
          <w:iCs/>
          <w:sz w:val="24"/>
          <w:szCs w:val="24"/>
        </w:rPr>
        <w:t xml:space="preserve"> eller derivater deraf kan øge virkningen af </w:t>
      </w:r>
      <w:proofErr w:type="spellStart"/>
      <w:r w:rsidRPr="00C01559">
        <w:rPr>
          <w:iCs/>
          <w:sz w:val="24"/>
          <w:szCs w:val="24"/>
        </w:rPr>
        <w:t>methotrexat</w:t>
      </w:r>
      <w:proofErr w:type="spellEnd"/>
      <w:r w:rsidRPr="00C01559">
        <w:rPr>
          <w:iCs/>
          <w:sz w:val="24"/>
          <w:szCs w:val="24"/>
        </w:rPr>
        <w:t xml:space="preserve"> (se pkt. 4.2 og 4.5).</w:t>
      </w:r>
    </w:p>
    <w:p w14:paraId="4A6422F8" w14:textId="77777777" w:rsidR="00044A00" w:rsidRPr="00C01559" w:rsidRDefault="00044A00" w:rsidP="00C73CAD">
      <w:pPr>
        <w:ind w:left="851"/>
        <w:rPr>
          <w:sz w:val="24"/>
          <w:szCs w:val="24"/>
          <w:u w:val="single"/>
        </w:rPr>
      </w:pPr>
    </w:p>
    <w:p w14:paraId="7DCF9B83" w14:textId="384501D5" w:rsidR="00B5675F" w:rsidRPr="00C01559" w:rsidRDefault="00B5675F" w:rsidP="00C73CAD">
      <w:pPr>
        <w:ind w:left="851"/>
        <w:rPr>
          <w:i/>
          <w:sz w:val="24"/>
          <w:szCs w:val="24"/>
          <w:u w:val="single"/>
        </w:rPr>
      </w:pPr>
      <w:r w:rsidRPr="00C01559">
        <w:rPr>
          <w:i/>
          <w:sz w:val="24"/>
          <w:szCs w:val="24"/>
          <w:u w:val="single"/>
        </w:rPr>
        <w:t>Fotosensitivitet</w:t>
      </w:r>
    </w:p>
    <w:p w14:paraId="0185C9F5" w14:textId="77777777" w:rsidR="00044A00" w:rsidRPr="00C01559" w:rsidRDefault="00B5675F" w:rsidP="00C73CAD">
      <w:pPr>
        <w:ind w:left="851"/>
        <w:rPr>
          <w:iCs/>
          <w:sz w:val="24"/>
          <w:szCs w:val="24"/>
        </w:rPr>
      </w:pPr>
      <w:r w:rsidRPr="00C01559">
        <w:rPr>
          <w:iCs/>
          <w:sz w:val="24"/>
          <w:szCs w:val="24"/>
        </w:rPr>
        <w:t xml:space="preserve">Der er observeret fotosensitivitet manifesteret ved en overdreven solforbrændingsreaktion hos nogle personer, der tager </w:t>
      </w:r>
      <w:proofErr w:type="spellStart"/>
      <w:r w:rsidRPr="00C01559">
        <w:rPr>
          <w:iCs/>
          <w:sz w:val="24"/>
          <w:szCs w:val="24"/>
        </w:rPr>
        <w:t>methotrexat</w:t>
      </w:r>
      <w:proofErr w:type="spellEnd"/>
      <w:r w:rsidRPr="00C01559">
        <w:rPr>
          <w:iCs/>
          <w:sz w:val="24"/>
          <w:szCs w:val="24"/>
        </w:rPr>
        <w:t xml:space="preserve"> (se pkt. 4.8). Eksponering for intenst sollys eller UV-stråler bør undgås, medmindre det er medicinsk indiceret. Patienterne bør anvende tilstrækkelig solbeskyttelse for at beskytte sig mod intenst sollys. </w:t>
      </w:r>
    </w:p>
    <w:p w14:paraId="4080B062" w14:textId="77777777" w:rsidR="00044A00" w:rsidRPr="00C01559" w:rsidRDefault="00044A00" w:rsidP="00C73CAD">
      <w:pPr>
        <w:ind w:left="851"/>
        <w:rPr>
          <w:i/>
          <w:sz w:val="24"/>
          <w:szCs w:val="24"/>
          <w:u w:val="single"/>
        </w:rPr>
      </w:pPr>
    </w:p>
    <w:p w14:paraId="25D9083E" w14:textId="04A17135" w:rsidR="00B5675F" w:rsidRPr="00C01559" w:rsidRDefault="00B5675F" w:rsidP="00C73CAD">
      <w:pPr>
        <w:ind w:left="851"/>
        <w:rPr>
          <w:i/>
          <w:sz w:val="24"/>
          <w:szCs w:val="24"/>
        </w:rPr>
      </w:pPr>
      <w:proofErr w:type="spellStart"/>
      <w:r w:rsidRPr="00C01559">
        <w:rPr>
          <w:i/>
          <w:sz w:val="24"/>
          <w:szCs w:val="24"/>
          <w:u w:val="single"/>
        </w:rPr>
        <w:t>Dermatitis</w:t>
      </w:r>
      <w:proofErr w:type="spellEnd"/>
      <w:r w:rsidRPr="00C01559">
        <w:rPr>
          <w:i/>
          <w:sz w:val="24"/>
          <w:szCs w:val="24"/>
          <w:u w:val="single"/>
        </w:rPr>
        <w:t xml:space="preserve"> og solskoldning</w:t>
      </w:r>
    </w:p>
    <w:p w14:paraId="121E022D" w14:textId="77777777" w:rsidR="00B5675F" w:rsidRPr="00C01559" w:rsidRDefault="00B5675F" w:rsidP="00C73CAD">
      <w:pPr>
        <w:ind w:left="851"/>
        <w:rPr>
          <w:iCs/>
          <w:sz w:val="24"/>
          <w:szCs w:val="24"/>
        </w:rPr>
      </w:pPr>
      <w:r w:rsidRPr="00C01559">
        <w:rPr>
          <w:iCs/>
          <w:sz w:val="24"/>
          <w:szCs w:val="24"/>
        </w:rPr>
        <w:t xml:space="preserve">Stråleinduceret </w:t>
      </w:r>
      <w:proofErr w:type="spellStart"/>
      <w:r w:rsidRPr="00C01559">
        <w:rPr>
          <w:iCs/>
          <w:sz w:val="24"/>
          <w:szCs w:val="24"/>
        </w:rPr>
        <w:t>dermatitis</w:t>
      </w:r>
      <w:proofErr w:type="spellEnd"/>
      <w:r w:rsidRPr="00C01559">
        <w:rPr>
          <w:iCs/>
          <w:sz w:val="24"/>
          <w:szCs w:val="24"/>
        </w:rPr>
        <w:t xml:space="preserve"> og solskoldning kan vende tilbage under behandling med </w:t>
      </w:r>
      <w:proofErr w:type="spellStart"/>
      <w:r w:rsidRPr="00C01559">
        <w:rPr>
          <w:iCs/>
          <w:sz w:val="24"/>
          <w:szCs w:val="24"/>
        </w:rPr>
        <w:t>methotrexat</w:t>
      </w:r>
      <w:proofErr w:type="spellEnd"/>
      <w:r w:rsidRPr="00C01559">
        <w:rPr>
          <w:iCs/>
          <w:sz w:val="24"/>
          <w:szCs w:val="24"/>
        </w:rPr>
        <w:t xml:space="preserve"> (</w:t>
      </w:r>
      <w:proofErr w:type="spellStart"/>
      <w:r w:rsidRPr="00C01559">
        <w:rPr>
          <w:iCs/>
          <w:sz w:val="24"/>
          <w:szCs w:val="24"/>
        </w:rPr>
        <w:t>recall</w:t>
      </w:r>
      <w:proofErr w:type="spellEnd"/>
      <w:r w:rsidRPr="00C01559">
        <w:rPr>
          <w:iCs/>
          <w:sz w:val="24"/>
          <w:szCs w:val="24"/>
        </w:rPr>
        <w:t xml:space="preserve">-reaktioner). Psoriasislæsioner kan forværres under </w:t>
      </w:r>
      <w:proofErr w:type="spellStart"/>
      <w:r w:rsidRPr="00C01559">
        <w:rPr>
          <w:iCs/>
          <w:sz w:val="24"/>
          <w:szCs w:val="24"/>
        </w:rPr>
        <w:t>UV-stråling</w:t>
      </w:r>
      <w:proofErr w:type="spellEnd"/>
      <w:r w:rsidRPr="00C01559">
        <w:rPr>
          <w:iCs/>
          <w:sz w:val="24"/>
          <w:szCs w:val="24"/>
        </w:rPr>
        <w:t xml:space="preserve"> og samtidig administration af </w:t>
      </w:r>
      <w:proofErr w:type="spellStart"/>
      <w:r w:rsidRPr="00C01559">
        <w:rPr>
          <w:iCs/>
          <w:sz w:val="24"/>
          <w:szCs w:val="24"/>
        </w:rPr>
        <w:t>methotrexat</w:t>
      </w:r>
      <w:proofErr w:type="spellEnd"/>
      <w:r w:rsidRPr="00C01559">
        <w:rPr>
          <w:iCs/>
          <w:sz w:val="24"/>
          <w:szCs w:val="24"/>
        </w:rPr>
        <w:t>.</w:t>
      </w:r>
    </w:p>
    <w:p w14:paraId="0061C3DA" w14:textId="77777777" w:rsidR="00044A00" w:rsidRPr="00C01559" w:rsidRDefault="00044A00" w:rsidP="00C73CAD">
      <w:pPr>
        <w:ind w:left="851"/>
        <w:rPr>
          <w:sz w:val="24"/>
          <w:szCs w:val="24"/>
          <w:u w:val="single"/>
        </w:rPr>
      </w:pPr>
    </w:p>
    <w:p w14:paraId="24462F0C" w14:textId="23FB726F" w:rsidR="00B5675F" w:rsidRPr="00C01559" w:rsidRDefault="00B5675F" w:rsidP="00C73CAD">
      <w:pPr>
        <w:ind w:left="851"/>
        <w:rPr>
          <w:i/>
          <w:sz w:val="24"/>
          <w:szCs w:val="24"/>
        </w:rPr>
      </w:pPr>
      <w:r w:rsidRPr="00C01559">
        <w:rPr>
          <w:i/>
          <w:sz w:val="24"/>
          <w:szCs w:val="24"/>
          <w:u w:val="single"/>
        </w:rPr>
        <w:t>Hudtoksicitet</w:t>
      </w:r>
    </w:p>
    <w:p w14:paraId="3387A9C4" w14:textId="41A32629" w:rsidR="00B5675F" w:rsidRPr="00C01559" w:rsidRDefault="00B5675F" w:rsidP="00C73CAD">
      <w:pPr>
        <w:ind w:left="851"/>
        <w:rPr>
          <w:iCs/>
          <w:sz w:val="24"/>
          <w:szCs w:val="24"/>
        </w:rPr>
      </w:pPr>
      <w:r w:rsidRPr="00C01559">
        <w:rPr>
          <w:iCs/>
          <w:sz w:val="24"/>
          <w:szCs w:val="24"/>
        </w:rPr>
        <w:t xml:space="preserve">Der er rapporteret om svære, undertiden fatale, dermatologiske reaktioner, herunder toksisk </w:t>
      </w:r>
      <w:proofErr w:type="spellStart"/>
      <w:r w:rsidRPr="00C01559">
        <w:rPr>
          <w:iCs/>
          <w:sz w:val="24"/>
          <w:szCs w:val="24"/>
        </w:rPr>
        <w:t>epidermal</w:t>
      </w:r>
      <w:proofErr w:type="spellEnd"/>
      <w:r w:rsidRPr="00C01559">
        <w:rPr>
          <w:iCs/>
          <w:sz w:val="24"/>
          <w:szCs w:val="24"/>
        </w:rPr>
        <w:t xml:space="preserve"> </w:t>
      </w:r>
      <w:proofErr w:type="spellStart"/>
      <w:r w:rsidRPr="00C01559">
        <w:rPr>
          <w:iCs/>
          <w:sz w:val="24"/>
          <w:szCs w:val="24"/>
        </w:rPr>
        <w:t>nekrolyse</w:t>
      </w:r>
      <w:proofErr w:type="spellEnd"/>
      <w:r w:rsidRPr="00C01559">
        <w:rPr>
          <w:iCs/>
          <w:sz w:val="24"/>
          <w:szCs w:val="24"/>
        </w:rPr>
        <w:t xml:space="preserve"> (</w:t>
      </w:r>
      <w:proofErr w:type="spellStart"/>
      <w:r w:rsidRPr="00C01559">
        <w:rPr>
          <w:iCs/>
          <w:sz w:val="24"/>
          <w:szCs w:val="24"/>
        </w:rPr>
        <w:t>Lyells</w:t>
      </w:r>
      <w:proofErr w:type="spellEnd"/>
      <w:r w:rsidRPr="00C01559">
        <w:rPr>
          <w:iCs/>
          <w:sz w:val="24"/>
          <w:szCs w:val="24"/>
        </w:rPr>
        <w:t xml:space="preserve"> syndrom) og Stevens-Johnsons syndrom, efter enkelte eller gentagne doser af </w:t>
      </w:r>
      <w:proofErr w:type="spellStart"/>
      <w:r w:rsidRPr="00C01559">
        <w:rPr>
          <w:iCs/>
          <w:sz w:val="24"/>
          <w:szCs w:val="24"/>
        </w:rPr>
        <w:t>methotrexat</w:t>
      </w:r>
      <w:proofErr w:type="spellEnd"/>
      <w:r w:rsidRPr="00C01559">
        <w:rPr>
          <w:iCs/>
          <w:sz w:val="24"/>
          <w:szCs w:val="24"/>
        </w:rPr>
        <w:t>.</w:t>
      </w:r>
    </w:p>
    <w:p w14:paraId="2AFBD3EE" w14:textId="77777777" w:rsidR="00044A00" w:rsidRPr="00C01559" w:rsidRDefault="00044A00" w:rsidP="00C73CAD">
      <w:pPr>
        <w:ind w:left="851"/>
        <w:rPr>
          <w:iCs/>
          <w:sz w:val="24"/>
          <w:szCs w:val="24"/>
        </w:rPr>
      </w:pPr>
    </w:p>
    <w:p w14:paraId="768885D6" w14:textId="77777777" w:rsidR="00B5675F" w:rsidRPr="00C01559" w:rsidRDefault="00B5675F" w:rsidP="00C73CAD">
      <w:pPr>
        <w:ind w:left="851"/>
        <w:rPr>
          <w:i/>
          <w:sz w:val="24"/>
          <w:szCs w:val="24"/>
        </w:rPr>
      </w:pPr>
      <w:r w:rsidRPr="00C01559">
        <w:rPr>
          <w:i/>
          <w:sz w:val="24"/>
          <w:szCs w:val="24"/>
          <w:u w:val="single"/>
        </w:rPr>
        <w:t>Encefalopati/</w:t>
      </w:r>
      <w:proofErr w:type="spellStart"/>
      <w:r w:rsidRPr="00C01559">
        <w:rPr>
          <w:i/>
          <w:sz w:val="24"/>
          <w:szCs w:val="24"/>
          <w:u w:val="single"/>
        </w:rPr>
        <w:t>leukoencefalopati</w:t>
      </w:r>
      <w:proofErr w:type="spellEnd"/>
    </w:p>
    <w:p w14:paraId="6E836770" w14:textId="19FE1BF1" w:rsidR="00B5675F" w:rsidRPr="00C01559" w:rsidRDefault="00B5675F" w:rsidP="00C73CAD">
      <w:pPr>
        <w:ind w:left="851"/>
        <w:rPr>
          <w:iCs/>
          <w:sz w:val="24"/>
          <w:szCs w:val="24"/>
        </w:rPr>
      </w:pPr>
      <w:r w:rsidRPr="00C01559">
        <w:rPr>
          <w:iCs/>
          <w:sz w:val="24"/>
          <w:szCs w:val="24"/>
        </w:rPr>
        <w:t>Eftersom der er set tilfælde af encefalopati/</w:t>
      </w:r>
      <w:proofErr w:type="spellStart"/>
      <w:r w:rsidRPr="00C01559">
        <w:rPr>
          <w:iCs/>
          <w:sz w:val="24"/>
          <w:szCs w:val="24"/>
        </w:rPr>
        <w:t>leukoencefalopati</w:t>
      </w:r>
      <w:proofErr w:type="spellEnd"/>
      <w:r w:rsidRPr="00C01559">
        <w:rPr>
          <w:iCs/>
          <w:sz w:val="24"/>
          <w:szCs w:val="24"/>
        </w:rPr>
        <w:t xml:space="preserve"> hos cancerpatienter i behandling med </w:t>
      </w:r>
      <w:proofErr w:type="spellStart"/>
      <w:r w:rsidRPr="00C01559">
        <w:rPr>
          <w:iCs/>
          <w:sz w:val="24"/>
          <w:szCs w:val="24"/>
        </w:rPr>
        <w:t>methotrexat</w:t>
      </w:r>
      <w:proofErr w:type="spellEnd"/>
      <w:r w:rsidRPr="00C01559">
        <w:rPr>
          <w:iCs/>
          <w:sz w:val="24"/>
          <w:szCs w:val="24"/>
        </w:rPr>
        <w:t>, kan det ikke udelukkes for patienter med andre indikationer end cancer.</w:t>
      </w:r>
    </w:p>
    <w:p w14:paraId="4482B528" w14:textId="77777777" w:rsidR="00044A00" w:rsidRPr="00C01559" w:rsidRDefault="00044A00" w:rsidP="00C73CAD">
      <w:pPr>
        <w:ind w:left="851"/>
        <w:rPr>
          <w:iCs/>
          <w:sz w:val="24"/>
          <w:szCs w:val="24"/>
        </w:rPr>
      </w:pPr>
    </w:p>
    <w:p w14:paraId="422427E7" w14:textId="77777777" w:rsidR="00B5675F" w:rsidRPr="00C01559" w:rsidRDefault="00B5675F" w:rsidP="00C73CAD">
      <w:pPr>
        <w:ind w:left="851"/>
        <w:rPr>
          <w:i/>
          <w:sz w:val="24"/>
          <w:szCs w:val="24"/>
        </w:rPr>
      </w:pPr>
      <w:r w:rsidRPr="00C01559">
        <w:rPr>
          <w:i/>
          <w:sz w:val="24"/>
          <w:szCs w:val="24"/>
          <w:u w:val="single"/>
        </w:rPr>
        <w:t xml:space="preserve">Progressiv multifokal </w:t>
      </w:r>
      <w:proofErr w:type="spellStart"/>
      <w:r w:rsidRPr="00C01559">
        <w:rPr>
          <w:i/>
          <w:sz w:val="24"/>
          <w:szCs w:val="24"/>
          <w:u w:val="single"/>
        </w:rPr>
        <w:t>leukoencefalopati</w:t>
      </w:r>
      <w:proofErr w:type="spellEnd"/>
      <w:r w:rsidRPr="00C01559">
        <w:rPr>
          <w:i/>
          <w:sz w:val="24"/>
          <w:szCs w:val="24"/>
          <w:u w:val="single"/>
        </w:rPr>
        <w:t xml:space="preserve"> (PML)</w:t>
      </w:r>
    </w:p>
    <w:p w14:paraId="001B9845" w14:textId="7C85D5BB" w:rsidR="00B5675F" w:rsidRPr="00C01559" w:rsidRDefault="00B5675F" w:rsidP="00C73CAD">
      <w:pPr>
        <w:ind w:left="851"/>
        <w:rPr>
          <w:iCs/>
          <w:sz w:val="24"/>
          <w:szCs w:val="24"/>
        </w:rPr>
      </w:pPr>
      <w:r w:rsidRPr="00C01559">
        <w:rPr>
          <w:iCs/>
          <w:sz w:val="24"/>
          <w:szCs w:val="24"/>
        </w:rPr>
        <w:t xml:space="preserve">Der er rapporteret om tilfælde af progressiv multifokal </w:t>
      </w:r>
      <w:proofErr w:type="spellStart"/>
      <w:r w:rsidRPr="00C01559">
        <w:rPr>
          <w:iCs/>
          <w:sz w:val="24"/>
          <w:szCs w:val="24"/>
        </w:rPr>
        <w:t>leukoencefalopati</w:t>
      </w:r>
      <w:proofErr w:type="spellEnd"/>
      <w:r w:rsidRPr="00C01559">
        <w:rPr>
          <w:iCs/>
          <w:sz w:val="24"/>
          <w:szCs w:val="24"/>
        </w:rPr>
        <w:t xml:space="preserve"> (PML) hos patienter, der fik </w:t>
      </w:r>
      <w:proofErr w:type="spellStart"/>
      <w:r w:rsidRPr="00C01559">
        <w:rPr>
          <w:iCs/>
          <w:sz w:val="24"/>
          <w:szCs w:val="24"/>
        </w:rPr>
        <w:t>methotrexat</w:t>
      </w:r>
      <w:proofErr w:type="spellEnd"/>
      <w:r w:rsidRPr="00C01559">
        <w:rPr>
          <w:iCs/>
          <w:sz w:val="24"/>
          <w:szCs w:val="24"/>
        </w:rPr>
        <w:t xml:space="preserve">, primært i kombination med andre immunundertrykkende lægemidler. PML kan medføre død og skal tages i betragtning ved </w:t>
      </w:r>
      <w:proofErr w:type="spellStart"/>
      <w:r w:rsidRPr="00C01559">
        <w:rPr>
          <w:iCs/>
          <w:sz w:val="24"/>
          <w:szCs w:val="24"/>
        </w:rPr>
        <w:t>differentialdiagnosti</w:t>
      </w:r>
      <w:r w:rsidR="00870E8F">
        <w:rPr>
          <w:iCs/>
          <w:sz w:val="24"/>
          <w:szCs w:val="24"/>
        </w:rPr>
        <w:softHyphen/>
      </w:r>
      <w:r w:rsidRPr="00C01559">
        <w:rPr>
          <w:iCs/>
          <w:sz w:val="24"/>
          <w:szCs w:val="24"/>
        </w:rPr>
        <w:t>ceringen</w:t>
      </w:r>
      <w:proofErr w:type="spellEnd"/>
      <w:r w:rsidRPr="00C01559">
        <w:rPr>
          <w:iCs/>
          <w:sz w:val="24"/>
          <w:szCs w:val="24"/>
        </w:rPr>
        <w:t xml:space="preserve"> hos immunsupprimerede patienter med nye eller forværrede neurologiske symptomer.</w:t>
      </w:r>
    </w:p>
    <w:p w14:paraId="0037B62E" w14:textId="77777777" w:rsidR="009260DE" w:rsidRPr="00C01559" w:rsidRDefault="009260DE" w:rsidP="009260DE">
      <w:pPr>
        <w:tabs>
          <w:tab w:val="left" w:pos="851"/>
        </w:tabs>
        <w:ind w:left="851"/>
        <w:rPr>
          <w:sz w:val="24"/>
          <w:szCs w:val="24"/>
        </w:rPr>
      </w:pPr>
    </w:p>
    <w:p w14:paraId="7454C312" w14:textId="77777777" w:rsidR="009260DE" w:rsidRPr="00C01559" w:rsidRDefault="009260DE" w:rsidP="009260DE">
      <w:pPr>
        <w:tabs>
          <w:tab w:val="left" w:pos="851"/>
        </w:tabs>
        <w:ind w:left="851" w:hanging="851"/>
        <w:rPr>
          <w:b/>
          <w:sz w:val="24"/>
          <w:szCs w:val="24"/>
        </w:rPr>
      </w:pPr>
      <w:r w:rsidRPr="00C01559">
        <w:rPr>
          <w:b/>
          <w:sz w:val="24"/>
          <w:szCs w:val="24"/>
        </w:rPr>
        <w:t>4.5</w:t>
      </w:r>
      <w:r w:rsidRPr="00C01559">
        <w:rPr>
          <w:b/>
          <w:sz w:val="24"/>
          <w:szCs w:val="24"/>
        </w:rPr>
        <w:tab/>
        <w:t>Interaktion med andre lægemidler og andre former for interaktion</w:t>
      </w:r>
    </w:p>
    <w:p w14:paraId="1ADA5414" w14:textId="77777777" w:rsidR="00B5675F" w:rsidRPr="00C01559" w:rsidRDefault="00B5675F" w:rsidP="00C73CAD">
      <w:pPr>
        <w:ind w:left="851"/>
        <w:rPr>
          <w:sz w:val="24"/>
          <w:szCs w:val="24"/>
        </w:rPr>
      </w:pPr>
      <w:r w:rsidRPr="00C01559">
        <w:rPr>
          <w:sz w:val="24"/>
          <w:szCs w:val="24"/>
        </w:rPr>
        <w:t xml:space="preserve">Risikoen for interaktion mellem </w:t>
      </w:r>
      <w:proofErr w:type="spellStart"/>
      <w:r w:rsidRPr="00C01559">
        <w:rPr>
          <w:sz w:val="24"/>
          <w:szCs w:val="24"/>
        </w:rPr>
        <w:t>NSAID’er</w:t>
      </w:r>
      <w:proofErr w:type="spellEnd"/>
      <w:r w:rsidRPr="00C01559">
        <w:rPr>
          <w:sz w:val="24"/>
          <w:szCs w:val="24"/>
        </w:rPr>
        <w:t xml:space="preserve"> og </w:t>
      </w:r>
      <w:proofErr w:type="spellStart"/>
      <w:r w:rsidRPr="00C01559">
        <w:rPr>
          <w:sz w:val="24"/>
          <w:szCs w:val="24"/>
        </w:rPr>
        <w:t>methotrexat</w:t>
      </w:r>
      <w:proofErr w:type="spellEnd"/>
      <w:r w:rsidRPr="00C01559">
        <w:rPr>
          <w:sz w:val="24"/>
          <w:szCs w:val="24"/>
        </w:rPr>
        <w:t xml:space="preserve"> skal tages i betragtning hos patienter, der får en lav dosis </w:t>
      </w:r>
      <w:proofErr w:type="spellStart"/>
      <w:r w:rsidRPr="00C01559">
        <w:rPr>
          <w:sz w:val="24"/>
          <w:szCs w:val="24"/>
        </w:rPr>
        <w:t>methotrexat</w:t>
      </w:r>
      <w:proofErr w:type="spellEnd"/>
      <w:r w:rsidRPr="00C01559">
        <w:rPr>
          <w:sz w:val="24"/>
          <w:szCs w:val="24"/>
        </w:rPr>
        <w:t xml:space="preserve">, især i tilfælde af nedsat nyrefunktion. Hvis samtidig behandling er påkrævet, skal blodtal og nyrefunktion monitoreres. Der skal udvises forsigtighed, hvis </w:t>
      </w:r>
      <w:proofErr w:type="spellStart"/>
      <w:r w:rsidRPr="00C01559">
        <w:rPr>
          <w:sz w:val="24"/>
          <w:szCs w:val="24"/>
        </w:rPr>
        <w:t>NSAID’er</w:t>
      </w:r>
      <w:proofErr w:type="spellEnd"/>
      <w:r w:rsidRPr="00C01559">
        <w:rPr>
          <w:sz w:val="24"/>
          <w:szCs w:val="24"/>
        </w:rPr>
        <w:t xml:space="preserve"> og </w:t>
      </w:r>
      <w:proofErr w:type="spellStart"/>
      <w:r w:rsidRPr="00C01559">
        <w:rPr>
          <w:sz w:val="24"/>
          <w:szCs w:val="24"/>
        </w:rPr>
        <w:t>methotrexat</w:t>
      </w:r>
      <w:proofErr w:type="spellEnd"/>
      <w:r w:rsidRPr="00C01559">
        <w:rPr>
          <w:sz w:val="24"/>
          <w:szCs w:val="24"/>
        </w:rPr>
        <w:t xml:space="preserve"> administreres med mindre end 24 timers mellemrum, eftersom plasmaniveauet af </w:t>
      </w:r>
      <w:proofErr w:type="spellStart"/>
      <w:r w:rsidRPr="00C01559">
        <w:rPr>
          <w:sz w:val="24"/>
          <w:szCs w:val="24"/>
        </w:rPr>
        <w:t>methotrexat</w:t>
      </w:r>
      <w:proofErr w:type="spellEnd"/>
      <w:r w:rsidRPr="00C01559">
        <w:rPr>
          <w:sz w:val="24"/>
          <w:szCs w:val="24"/>
        </w:rPr>
        <w:t xml:space="preserve"> i så fald kan stige, hvilket kan forårsage forøget toksicitet. Dyreforsøg har vist, at administration af </w:t>
      </w:r>
      <w:proofErr w:type="spellStart"/>
      <w:r w:rsidRPr="00C01559">
        <w:rPr>
          <w:sz w:val="24"/>
          <w:szCs w:val="24"/>
        </w:rPr>
        <w:t>NSAID’er</w:t>
      </w:r>
      <w:proofErr w:type="spellEnd"/>
      <w:r w:rsidRPr="00C01559">
        <w:rPr>
          <w:sz w:val="24"/>
          <w:szCs w:val="24"/>
        </w:rPr>
        <w:t xml:space="preserve">, herunder salicylsyre, medførte reduceret </w:t>
      </w:r>
      <w:proofErr w:type="spellStart"/>
      <w:r w:rsidRPr="00C01559">
        <w:rPr>
          <w:sz w:val="24"/>
          <w:szCs w:val="24"/>
        </w:rPr>
        <w:t>tubulær</w:t>
      </w:r>
      <w:proofErr w:type="spellEnd"/>
      <w:r w:rsidRPr="00C01559">
        <w:rPr>
          <w:sz w:val="24"/>
          <w:szCs w:val="24"/>
        </w:rPr>
        <w:t xml:space="preserve"> udskillelse af </w:t>
      </w:r>
      <w:proofErr w:type="spellStart"/>
      <w:r w:rsidRPr="00C01559">
        <w:rPr>
          <w:sz w:val="24"/>
          <w:szCs w:val="24"/>
        </w:rPr>
        <w:t>methotrexat</w:t>
      </w:r>
      <w:proofErr w:type="spellEnd"/>
      <w:r w:rsidRPr="00C01559">
        <w:rPr>
          <w:sz w:val="24"/>
          <w:szCs w:val="24"/>
        </w:rPr>
        <w:t xml:space="preserve"> med en deraf følgende forstærkning af de toksiske virkninger. I kliniske studier, hvor </w:t>
      </w:r>
      <w:proofErr w:type="spellStart"/>
      <w:r w:rsidRPr="00C01559">
        <w:rPr>
          <w:sz w:val="24"/>
          <w:szCs w:val="24"/>
        </w:rPr>
        <w:t>NSAID’er</w:t>
      </w:r>
      <w:proofErr w:type="spellEnd"/>
      <w:r w:rsidRPr="00C01559">
        <w:rPr>
          <w:sz w:val="24"/>
          <w:szCs w:val="24"/>
        </w:rPr>
        <w:t xml:space="preserve"> og salicylsyre blev administreret samtidigt hos patienter med </w:t>
      </w:r>
      <w:proofErr w:type="spellStart"/>
      <w:r w:rsidRPr="00C01559">
        <w:rPr>
          <w:sz w:val="24"/>
          <w:szCs w:val="24"/>
        </w:rPr>
        <w:t>reumatoid</w:t>
      </w:r>
      <w:proofErr w:type="spellEnd"/>
      <w:r w:rsidRPr="00C01559">
        <w:rPr>
          <w:sz w:val="24"/>
          <w:szCs w:val="24"/>
        </w:rPr>
        <w:t xml:space="preserve"> </w:t>
      </w:r>
      <w:proofErr w:type="spellStart"/>
      <w:r w:rsidRPr="00C01559">
        <w:rPr>
          <w:sz w:val="24"/>
          <w:szCs w:val="24"/>
        </w:rPr>
        <w:t>artrit</w:t>
      </w:r>
      <w:proofErr w:type="spellEnd"/>
      <w:r w:rsidRPr="00C01559">
        <w:rPr>
          <w:sz w:val="24"/>
          <w:szCs w:val="24"/>
        </w:rPr>
        <w:t xml:space="preserve">, blev der imidlertid ikke set øgede bivirkninger. Behandling af </w:t>
      </w:r>
      <w:proofErr w:type="spellStart"/>
      <w:r w:rsidRPr="00C01559">
        <w:rPr>
          <w:sz w:val="24"/>
          <w:szCs w:val="24"/>
        </w:rPr>
        <w:t>reumatoid</w:t>
      </w:r>
      <w:proofErr w:type="spellEnd"/>
      <w:r w:rsidRPr="00C01559">
        <w:rPr>
          <w:sz w:val="24"/>
          <w:szCs w:val="24"/>
        </w:rPr>
        <w:t xml:space="preserve"> </w:t>
      </w:r>
      <w:proofErr w:type="spellStart"/>
      <w:r w:rsidRPr="00C01559">
        <w:rPr>
          <w:sz w:val="24"/>
          <w:szCs w:val="24"/>
        </w:rPr>
        <w:t>artrit</w:t>
      </w:r>
      <w:proofErr w:type="spellEnd"/>
      <w:r w:rsidRPr="00C01559">
        <w:rPr>
          <w:sz w:val="24"/>
          <w:szCs w:val="24"/>
        </w:rPr>
        <w:t xml:space="preserve"> med sådanne lægemidler kan fortsættes under behandling med lavdosis-</w:t>
      </w:r>
      <w:proofErr w:type="spellStart"/>
      <w:r w:rsidRPr="00C01559">
        <w:rPr>
          <w:sz w:val="24"/>
          <w:szCs w:val="24"/>
        </w:rPr>
        <w:t>methotrexat</w:t>
      </w:r>
      <w:proofErr w:type="spellEnd"/>
      <w:r w:rsidRPr="00C01559">
        <w:rPr>
          <w:sz w:val="24"/>
          <w:szCs w:val="24"/>
        </w:rPr>
        <w:t>, men kun under tæt lægelig overvågning.</w:t>
      </w:r>
    </w:p>
    <w:p w14:paraId="44D8335F" w14:textId="77777777" w:rsidR="00B5675F" w:rsidRPr="00C01559" w:rsidRDefault="00B5675F" w:rsidP="00C73CAD">
      <w:pPr>
        <w:ind w:left="851"/>
        <w:rPr>
          <w:sz w:val="24"/>
          <w:szCs w:val="24"/>
        </w:rPr>
      </w:pPr>
    </w:p>
    <w:p w14:paraId="35378E84" w14:textId="77777777" w:rsidR="00B5675F" w:rsidRPr="00C01559" w:rsidRDefault="00B5675F" w:rsidP="00C73CAD">
      <w:pPr>
        <w:ind w:left="851"/>
        <w:rPr>
          <w:sz w:val="24"/>
          <w:szCs w:val="24"/>
        </w:rPr>
      </w:pPr>
      <w:r w:rsidRPr="00C01559">
        <w:rPr>
          <w:sz w:val="24"/>
          <w:szCs w:val="24"/>
        </w:rPr>
        <w:t xml:space="preserve">Patienter, der tager potentielt </w:t>
      </w:r>
      <w:proofErr w:type="spellStart"/>
      <w:r w:rsidRPr="00C01559">
        <w:rPr>
          <w:sz w:val="24"/>
          <w:szCs w:val="24"/>
        </w:rPr>
        <w:t>hepatotoksiske</w:t>
      </w:r>
      <w:proofErr w:type="spellEnd"/>
      <w:r w:rsidRPr="00C01559">
        <w:rPr>
          <w:sz w:val="24"/>
          <w:szCs w:val="24"/>
        </w:rPr>
        <w:t xml:space="preserve"> lægemidler under behandlingen med </w:t>
      </w:r>
      <w:proofErr w:type="spellStart"/>
      <w:r w:rsidRPr="00C01559">
        <w:rPr>
          <w:sz w:val="24"/>
          <w:szCs w:val="24"/>
        </w:rPr>
        <w:t>methotrexat</w:t>
      </w:r>
      <w:proofErr w:type="spellEnd"/>
      <w:r w:rsidRPr="00C01559">
        <w:rPr>
          <w:sz w:val="24"/>
          <w:szCs w:val="24"/>
        </w:rPr>
        <w:t xml:space="preserve"> (f.eks. </w:t>
      </w:r>
      <w:proofErr w:type="spellStart"/>
      <w:r w:rsidRPr="00C01559">
        <w:rPr>
          <w:sz w:val="24"/>
          <w:szCs w:val="24"/>
        </w:rPr>
        <w:t>leflunomid</w:t>
      </w:r>
      <w:proofErr w:type="spellEnd"/>
      <w:r w:rsidRPr="00C01559">
        <w:rPr>
          <w:sz w:val="24"/>
          <w:szCs w:val="24"/>
        </w:rPr>
        <w:t xml:space="preserve">, </w:t>
      </w:r>
      <w:proofErr w:type="spellStart"/>
      <w:r w:rsidRPr="00C01559">
        <w:rPr>
          <w:sz w:val="24"/>
          <w:szCs w:val="24"/>
        </w:rPr>
        <w:t>azathioprin</w:t>
      </w:r>
      <w:proofErr w:type="spellEnd"/>
      <w:r w:rsidRPr="00C01559">
        <w:rPr>
          <w:sz w:val="24"/>
          <w:szCs w:val="24"/>
        </w:rPr>
        <w:t xml:space="preserve">, </w:t>
      </w:r>
      <w:proofErr w:type="spellStart"/>
      <w:r w:rsidRPr="00C01559">
        <w:rPr>
          <w:sz w:val="24"/>
          <w:szCs w:val="24"/>
        </w:rPr>
        <w:t>sulfasalazin</w:t>
      </w:r>
      <w:proofErr w:type="spellEnd"/>
      <w:r w:rsidRPr="00C01559">
        <w:rPr>
          <w:sz w:val="24"/>
          <w:szCs w:val="24"/>
        </w:rPr>
        <w:t xml:space="preserve"> eller </w:t>
      </w:r>
      <w:proofErr w:type="spellStart"/>
      <w:r w:rsidRPr="00C01559">
        <w:rPr>
          <w:sz w:val="24"/>
          <w:szCs w:val="24"/>
        </w:rPr>
        <w:t>retinoider</w:t>
      </w:r>
      <w:proofErr w:type="spellEnd"/>
      <w:r w:rsidRPr="00C01559">
        <w:rPr>
          <w:sz w:val="24"/>
          <w:szCs w:val="24"/>
        </w:rPr>
        <w:t xml:space="preserve">), skal monitoreres tæt for øget </w:t>
      </w:r>
      <w:proofErr w:type="spellStart"/>
      <w:r w:rsidRPr="00C01559">
        <w:rPr>
          <w:sz w:val="24"/>
          <w:szCs w:val="24"/>
        </w:rPr>
        <w:t>hepatotoksicitet</w:t>
      </w:r>
      <w:proofErr w:type="spellEnd"/>
      <w:r w:rsidRPr="00C01559">
        <w:rPr>
          <w:sz w:val="24"/>
          <w:szCs w:val="24"/>
        </w:rPr>
        <w:t xml:space="preserve">. Indtagelse af alkohol bør undgås under behandling med </w:t>
      </w:r>
      <w:proofErr w:type="spellStart"/>
      <w:r w:rsidRPr="00C01559">
        <w:rPr>
          <w:sz w:val="24"/>
          <w:szCs w:val="24"/>
        </w:rPr>
        <w:t>methotrexat</w:t>
      </w:r>
      <w:proofErr w:type="spellEnd"/>
      <w:r w:rsidRPr="00C01559">
        <w:rPr>
          <w:sz w:val="24"/>
          <w:szCs w:val="24"/>
        </w:rPr>
        <w:t xml:space="preserve"> </w:t>
      </w:r>
      <w:r w:rsidRPr="00C01559">
        <w:rPr>
          <w:sz w:val="24"/>
          <w:szCs w:val="24"/>
        </w:rPr>
        <w:lastRenderedPageBreak/>
        <w:t xml:space="preserve">(se pkt. 4.4). Regelmæssig indtagelse af alkohol og administration af yderligere </w:t>
      </w:r>
      <w:proofErr w:type="spellStart"/>
      <w:r w:rsidRPr="00C01559">
        <w:rPr>
          <w:sz w:val="24"/>
          <w:szCs w:val="24"/>
        </w:rPr>
        <w:t>hepatotoksiske</w:t>
      </w:r>
      <w:proofErr w:type="spellEnd"/>
      <w:r w:rsidRPr="00C01559">
        <w:rPr>
          <w:sz w:val="24"/>
          <w:szCs w:val="24"/>
        </w:rPr>
        <w:t xml:space="preserve"> lægemidler øger sandsynligheden for </w:t>
      </w:r>
      <w:proofErr w:type="spellStart"/>
      <w:r w:rsidRPr="00C01559">
        <w:rPr>
          <w:sz w:val="24"/>
          <w:szCs w:val="24"/>
        </w:rPr>
        <w:t>hepatotoksiske</w:t>
      </w:r>
      <w:proofErr w:type="spellEnd"/>
      <w:r w:rsidRPr="00C01559">
        <w:rPr>
          <w:sz w:val="24"/>
          <w:szCs w:val="24"/>
        </w:rPr>
        <w:t xml:space="preserve"> bivirkninger af </w:t>
      </w:r>
      <w:proofErr w:type="spellStart"/>
      <w:r w:rsidRPr="00C01559">
        <w:rPr>
          <w:sz w:val="24"/>
          <w:szCs w:val="24"/>
        </w:rPr>
        <w:t>methotrexat</w:t>
      </w:r>
      <w:proofErr w:type="spellEnd"/>
      <w:r w:rsidRPr="00C01559">
        <w:rPr>
          <w:sz w:val="24"/>
          <w:szCs w:val="24"/>
        </w:rPr>
        <w:t>.</w:t>
      </w:r>
    </w:p>
    <w:p w14:paraId="2F6330FA" w14:textId="77777777" w:rsidR="00B5675F" w:rsidRPr="00C01559" w:rsidRDefault="00B5675F" w:rsidP="00C73CAD">
      <w:pPr>
        <w:ind w:left="851"/>
        <w:rPr>
          <w:sz w:val="24"/>
          <w:szCs w:val="24"/>
        </w:rPr>
      </w:pPr>
      <w:r w:rsidRPr="00C01559">
        <w:rPr>
          <w:sz w:val="24"/>
          <w:szCs w:val="24"/>
        </w:rPr>
        <w:t xml:space="preserve">Administration af yderligere </w:t>
      </w:r>
      <w:proofErr w:type="spellStart"/>
      <w:r w:rsidRPr="00C01559">
        <w:rPr>
          <w:sz w:val="24"/>
          <w:szCs w:val="24"/>
        </w:rPr>
        <w:t>hæmatotoksiske</w:t>
      </w:r>
      <w:proofErr w:type="spellEnd"/>
      <w:r w:rsidRPr="00C01559">
        <w:rPr>
          <w:sz w:val="24"/>
          <w:szCs w:val="24"/>
        </w:rPr>
        <w:t xml:space="preserve"> lægemidler (f.eks. </w:t>
      </w:r>
      <w:proofErr w:type="spellStart"/>
      <w:r w:rsidRPr="00C01559">
        <w:rPr>
          <w:sz w:val="24"/>
          <w:szCs w:val="24"/>
        </w:rPr>
        <w:t>metamizol</w:t>
      </w:r>
      <w:proofErr w:type="spellEnd"/>
      <w:r w:rsidRPr="00C01559">
        <w:rPr>
          <w:sz w:val="24"/>
          <w:szCs w:val="24"/>
        </w:rPr>
        <w:t xml:space="preserve">) øger sandsynligheden for svære </w:t>
      </w:r>
      <w:proofErr w:type="spellStart"/>
      <w:r w:rsidRPr="00C01559">
        <w:rPr>
          <w:sz w:val="24"/>
          <w:szCs w:val="24"/>
        </w:rPr>
        <w:t>hæmatotoksiske</w:t>
      </w:r>
      <w:proofErr w:type="spellEnd"/>
      <w:r w:rsidRPr="00C01559">
        <w:rPr>
          <w:sz w:val="24"/>
          <w:szCs w:val="24"/>
        </w:rPr>
        <w:t xml:space="preserve"> bivirkninger af </w:t>
      </w:r>
      <w:proofErr w:type="spellStart"/>
      <w:r w:rsidRPr="00C01559">
        <w:rPr>
          <w:sz w:val="24"/>
          <w:szCs w:val="24"/>
        </w:rPr>
        <w:t>methotrexat</w:t>
      </w:r>
      <w:proofErr w:type="spellEnd"/>
      <w:r w:rsidRPr="00C01559">
        <w:rPr>
          <w:sz w:val="24"/>
          <w:szCs w:val="24"/>
        </w:rPr>
        <w:t>.</w:t>
      </w:r>
    </w:p>
    <w:p w14:paraId="0B5AA431" w14:textId="77777777" w:rsidR="00B5675F" w:rsidRPr="00C01559" w:rsidRDefault="00B5675F" w:rsidP="00C73CAD">
      <w:pPr>
        <w:ind w:left="851"/>
        <w:rPr>
          <w:sz w:val="24"/>
          <w:szCs w:val="24"/>
        </w:rPr>
      </w:pPr>
      <w:r w:rsidRPr="00C01559">
        <w:rPr>
          <w:sz w:val="24"/>
          <w:szCs w:val="24"/>
        </w:rPr>
        <w:t xml:space="preserve">Der skal tages højde for </w:t>
      </w:r>
      <w:proofErr w:type="spellStart"/>
      <w:r w:rsidRPr="00C01559">
        <w:rPr>
          <w:sz w:val="24"/>
          <w:szCs w:val="24"/>
        </w:rPr>
        <w:t>farmakokinetiske</w:t>
      </w:r>
      <w:proofErr w:type="spellEnd"/>
      <w:r w:rsidRPr="00C01559">
        <w:rPr>
          <w:sz w:val="24"/>
          <w:szCs w:val="24"/>
        </w:rPr>
        <w:t xml:space="preserve"> interaktioner mellem </w:t>
      </w:r>
      <w:proofErr w:type="spellStart"/>
      <w:r w:rsidRPr="00C01559">
        <w:rPr>
          <w:sz w:val="24"/>
          <w:szCs w:val="24"/>
        </w:rPr>
        <w:t>methotrexat</w:t>
      </w:r>
      <w:proofErr w:type="spellEnd"/>
      <w:r w:rsidRPr="00C01559">
        <w:rPr>
          <w:sz w:val="24"/>
          <w:szCs w:val="24"/>
        </w:rPr>
        <w:t xml:space="preserve">, </w:t>
      </w:r>
      <w:proofErr w:type="spellStart"/>
      <w:r w:rsidRPr="00C01559">
        <w:rPr>
          <w:sz w:val="24"/>
          <w:szCs w:val="24"/>
        </w:rPr>
        <w:t>antikonvulsiva</w:t>
      </w:r>
      <w:proofErr w:type="spellEnd"/>
      <w:r w:rsidRPr="00C01559">
        <w:rPr>
          <w:sz w:val="24"/>
          <w:szCs w:val="24"/>
        </w:rPr>
        <w:t xml:space="preserve"> (reduceret serumniveau af </w:t>
      </w:r>
      <w:proofErr w:type="spellStart"/>
      <w:r w:rsidRPr="00C01559">
        <w:rPr>
          <w:sz w:val="24"/>
          <w:szCs w:val="24"/>
        </w:rPr>
        <w:t>methotrexat</w:t>
      </w:r>
      <w:proofErr w:type="spellEnd"/>
      <w:r w:rsidRPr="00C01559">
        <w:rPr>
          <w:sz w:val="24"/>
          <w:szCs w:val="24"/>
        </w:rPr>
        <w:t>) og 5-fluoruracil (forlænget halveringstid for 5-fluoruracil).</w:t>
      </w:r>
    </w:p>
    <w:p w14:paraId="2F599636" w14:textId="77777777" w:rsidR="00B5675F" w:rsidRPr="00C01559" w:rsidRDefault="00B5675F" w:rsidP="00C73CAD">
      <w:pPr>
        <w:ind w:left="851"/>
        <w:rPr>
          <w:sz w:val="24"/>
          <w:szCs w:val="24"/>
        </w:rPr>
      </w:pPr>
    </w:p>
    <w:p w14:paraId="1AE4681E" w14:textId="77777777" w:rsidR="00B5675F" w:rsidRPr="00C01559" w:rsidRDefault="00B5675F" w:rsidP="00C73CAD">
      <w:pPr>
        <w:ind w:left="851"/>
        <w:rPr>
          <w:sz w:val="24"/>
          <w:szCs w:val="24"/>
        </w:rPr>
      </w:pPr>
      <w:proofErr w:type="spellStart"/>
      <w:r w:rsidRPr="00C01559">
        <w:rPr>
          <w:sz w:val="24"/>
          <w:szCs w:val="24"/>
        </w:rPr>
        <w:t>Salicylater</w:t>
      </w:r>
      <w:proofErr w:type="spellEnd"/>
      <w:r w:rsidRPr="00C01559">
        <w:rPr>
          <w:sz w:val="24"/>
          <w:szCs w:val="24"/>
        </w:rPr>
        <w:t xml:space="preserve">, </w:t>
      </w:r>
      <w:proofErr w:type="spellStart"/>
      <w:r w:rsidRPr="00C01559">
        <w:rPr>
          <w:sz w:val="24"/>
          <w:szCs w:val="24"/>
        </w:rPr>
        <w:t>phenylbutazon</w:t>
      </w:r>
      <w:proofErr w:type="spellEnd"/>
      <w:r w:rsidRPr="00C01559">
        <w:rPr>
          <w:sz w:val="24"/>
          <w:szCs w:val="24"/>
        </w:rPr>
        <w:t xml:space="preserve">, </w:t>
      </w:r>
      <w:proofErr w:type="spellStart"/>
      <w:r w:rsidRPr="00C01559">
        <w:rPr>
          <w:sz w:val="24"/>
          <w:szCs w:val="24"/>
        </w:rPr>
        <w:t>diphenylhydantoin</w:t>
      </w:r>
      <w:proofErr w:type="spellEnd"/>
      <w:r w:rsidRPr="00C01559">
        <w:rPr>
          <w:sz w:val="24"/>
          <w:szCs w:val="24"/>
        </w:rPr>
        <w:t xml:space="preserve"> (= </w:t>
      </w:r>
      <w:proofErr w:type="spellStart"/>
      <w:r w:rsidRPr="00C01559">
        <w:rPr>
          <w:sz w:val="24"/>
          <w:szCs w:val="24"/>
        </w:rPr>
        <w:t>phenytoin</w:t>
      </w:r>
      <w:proofErr w:type="spellEnd"/>
      <w:r w:rsidRPr="00C01559">
        <w:rPr>
          <w:sz w:val="24"/>
          <w:szCs w:val="24"/>
        </w:rPr>
        <w:t xml:space="preserve">), barbiturater, beroligende midler, p-piller, </w:t>
      </w:r>
      <w:proofErr w:type="spellStart"/>
      <w:r w:rsidRPr="00C01559">
        <w:rPr>
          <w:sz w:val="24"/>
          <w:szCs w:val="24"/>
        </w:rPr>
        <w:t>tetracykliner</w:t>
      </w:r>
      <w:proofErr w:type="spellEnd"/>
      <w:r w:rsidRPr="00C01559">
        <w:rPr>
          <w:sz w:val="24"/>
          <w:szCs w:val="24"/>
        </w:rPr>
        <w:t xml:space="preserve">, </w:t>
      </w:r>
      <w:proofErr w:type="spellStart"/>
      <w:r w:rsidRPr="00C01559">
        <w:rPr>
          <w:sz w:val="24"/>
          <w:szCs w:val="24"/>
        </w:rPr>
        <w:t>amidopyrinderivater</w:t>
      </w:r>
      <w:proofErr w:type="spellEnd"/>
      <w:r w:rsidRPr="00C01559">
        <w:rPr>
          <w:sz w:val="24"/>
          <w:szCs w:val="24"/>
        </w:rPr>
        <w:t xml:space="preserve">, sulfonamider, </w:t>
      </w:r>
      <w:proofErr w:type="spellStart"/>
      <w:r w:rsidRPr="00C01559">
        <w:rPr>
          <w:sz w:val="24"/>
          <w:szCs w:val="24"/>
        </w:rPr>
        <w:t>thiaziddiuretika</w:t>
      </w:r>
      <w:proofErr w:type="spellEnd"/>
      <w:r w:rsidRPr="00C01559">
        <w:rPr>
          <w:sz w:val="24"/>
          <w:szCs w:val="24"/>
        </w:rPr>
        <w:t xml:space="preserve">, orale </w:t>
      </w:r>
      <w:proofErr w:type="spellStart"/>
      <w:r w:rsidRPr="00C01559">
        <w:rPr>
          <w:sz w:val="24"/>
          <w:szCs w:val="24"/>
        </w:rPr>
        <w:t>hypoglykæmika</w:t>
      </w:r>
      <w:proofErr w:type="spellEnd"/>
      <w:r w:rsidRPr="00C01559">
        <w:rPr>
          <w:sz w:val="24"/>
          <w:szCs w:val="24"/>
        </w:rPr>
        <w:t xml:space="preserve">, </w:t>
      </w:r>
      <w:proofErr w:type="spellStart"/>
      <w:r w:rsidRPr="00C01559">
        <w:rPr>
          <w:sz w:val="24"/>
          <w:szCs w:val="24"/>
        </w:rPr>
        <w:t>doxorubicin</w:t>
      </w:r>
      <w:proofErr w:type="spellEnd"/>
      <w:r w:rsidRPr="00C01559">
        <w:rPr>
          <w:sz w:val="24"/>
          <w:szCs w:val="24"/>
        </w:rPr>
        <w:t xml:space="preserve"> og p-aminobenzoesyre fortrænger </w:t>
      </w:r>
      <w:proofErr w:type="spellStart"/>
      <w:r w:rsidRPr="00C01559">
        <w:rPr>
          <w:sz w:val="24"/>
          <w:szCs w:val="24"/>
        </w:rPr>
        <w:t>methotrexat</w:t>
      </w:r>
      <w:proofErr w:type="spellEnd"/>
      <w:r w:rsidRPr="00C01559">
        <w:rPr>
          <w:sz w:val="24"/>
          <w:szCs w:val="24"/>
        </w:rPr>
        <w:t xml:space="preserve"> fra serumalbuminbindingen og øger dermed biotilgængeligheden og toksiciteten (indirekte dosisøgning).</w:t>
      </w:r>
    </w:p>
    <w:p w14:paraId="477AF9D9" w14:textId="77777777" w:rsidR="00B5675F" w:rsidRPr="00C01559" w:rsidRDefault="00B5675F" w:rsidP="00C73CAD">
      <w:pPr>
        <w:ind w:left="851"/>
        <w:rPr>
          <w:sz w:val="24"/>
          <w:szCs w:val="24"/>
        </w:rPr>
      </w:pPr>
    </w:p>
    <w:p w14:paraId="53CFE774" w14:textId="77777777" w:rsidR="00B5675F" w:rsidRPr="00C01559" w:rsidRDefault="00B5675F" w:rsidP="00C73CAD">
      <w:pPr>
        <w:ind w:left="851"/>
        <w:rPr>
          <w:sz w:val="24"/>
          <w:szCs w:val="24"/>
        </w:rPr>
      </w:pPr>
      <w:proofErr w:type="spellStart"/>
      <w:r w:rsidRPr="00C01559">
        <w:rPr>
          <w:sz w:val="24"/>
          <w:szCs w:val="24"/>
        </w:rPr>
        <w:t>Probenecid</w:t>
      </w:r>
      <w:proofErr w:type="spellEnd"/>
      <w:r w:rsidRPr="00C01559">
        <w:rPr>
          <w:sz w:val="24"/>
          <w:szCs w:val="24"/>
        </w:rPr>
        <w:t xml:space="preserve"> og svage organiske syrer kan også reducere den </w:t>
      </w:r>
      <w:proofErr w:type="spellStart"/>
      <w:r w:rsidRPr="00C01559">
        <w:rPr>
          <w:sz w:val="24"/>
          <w:szCs w:val="24"/>
        </w:rPr>
        <w:t>tubulære</w:t>
      </w:r>
      <w:proofErr w:type="spellEnd"/>
      <w:r w:rsidRPr="00C01559">
        <w:rPr>
          <w:sz w:val="24"/>
          <w:szCs w:val="24"/>
        </w:rPr>
        <w:t xml:space="preserve"> udskillelse af </w:t>
      </w:r>
      <w:proofErr w:type="spellStart"/>
      <w:r w:rsidRPr="00C01559">
        <w:rPr>
          <w:sz w:val="24"/>
          <w:szCs w:val="24"/>
        </w:rPr>
        <w:t>methotrexat</w:t>
      </w:r>
      <w:proofErr w:type="spellEnd"/>
      <w:r w:rsidRPr="00C01559">
        <w:rPr>
          <w:sz w:val="24"/>
          <w:szCs w:val="24"/>
        </w:rPr>
        <w:t xml:space="preserve"> og dermed også medføre en indirekte dosisøgning.</w:t>
      </w:r>
    </w:p>
    <w:p w14:paraId="69EF1D03" w14:textId="77777777" w:rsidR="00B5675F" w:rsidRPr="00C01559" w:rsidRDefault="00B5675F" w:rsidP="00C73CAD">
      <w:pPr>
        <w:ind w:left="851"/>
        <w:rPr>
          <w:sz w:val="24"/>
          <w:szCs w:val="24"/>
        </w:rPr>
      </w:pPr>
    </w:p>
    <w:p w14:paraId="1538EE0F" w14:textId="77777777" w:rsidR="00B5675F" w:rsidRPr="00C01559" w:rsidRDefault="00B5675F" w:rsidP="00C73CAD">
      <w:pPr>
        <w:ind w:left="851"/>
        <w:rPr>
          <w:sz w:val="24"/>
          <w:szCs w:val="24"/>
        </w:rPr>
      </w:pPr>
      <w:r w:rsidRPr="00C01559">
        <w:rPr>
          <w:sz w:val="24"/>
          <w:szCs w:val="24"/>
        </w:rPr>
        <w:t xml:space="preserve">Antibiotika såsom penicilliner, </w:t>
      </w:r>
      <w:proofErr w:type="spellStart"/>
      <w:r w:rsidRPr="00C01559">
        <w:rPr>
          <w:sz w:val="24"/>
          <w:szCs w:val="24"/>
        </w:rPr>
        <w:t>glykopeptider</w:t>
      </w:r>
      <w:proofErr w:type="spellEnd"/>
      <w:r w:rsidRPr="00C01559">
        <w:rPr>
          <w:sz w:val="24"/>
          <w:szCs w:val="24"/>
        </w:rPr>
        <w:t xml:space="preserve">, sulfonamider, </w:t>
      </w:r>
      <w:proofErr w:type="spellStart"/>
      <w:r w:rsidRPr="00C01559">
        <w:rPr>
          <w:sz w:val="24"/>
          <w:szCs w:val="24"/>
        </w:rPr>
        <w:t>ciprofloxacin</w:t>
      </w:r>
      <w:proofErr w:type="spellEnd"/>
      <w:r w:rsidRPr="00C01559">
        <w:rPr>
          <w:sz w:val="24"/>
          <w:szCs w:val="24"/>
        </w:rPr>
        <w:t xml:space="preserve"> og </w:t>
      </w:r>
      <w:proofErr w:type="spellStart"/>
      <w:r w:rsidRPr="00C01559">
        <w:rPr>
          <w:sz w:val="24"/>
          <w:szCs w:val="24"/>
        </w:rPr>
        <w:t>cefalotin</w:t>
      </w:r>
      <w:proofErr w:type="spellEnd"/>
      <w:r w:rsidRPr="00C01559">
        <w:rPr>
          <w:sz w:val="24"/>
          <w:szCs w:val="24"/>
        </w:rPr>
        <w:t xml:space="preserve"> kan i enkeltstående tilfælde reducere den </w:t>
      </w:r>
      <w:proofErr w:type="spellStart"/>
      <w:r w:rsidRPr="00C01559">
        <w:rPr>
          <w:sz w:val="24"/>
          <w:szCs w:val="24"/>
        </w:rPr>
        <w:t>renale</w:t>
      </w:r>
      <w:proofErr w:type="spellEnd"/>
      <w:r w:rsidRPr="00C01559">
        <w:rPr>
          <w:sz w:val="24"/>
          <w:szCs w:val="24"/>
        </w:rPr>
        <w:t xml:space="preserve"> </w:t>
      </w:r>
      <w:proofErr w:type="spellStart"/>
      <w:r w:rsidRPr="00C01559">
        <w:rPr>
          <w:sz w:val="24"/>
          <w:szCs w:val="24"/>
        </w:rPr>
        <w:t>clearance</w:t>
      </w:r>
      <w:proofErr w:type="spellEnd"/>
      <w:r w:rsidRPr="00C01559">
        <w:rPr>
          <w:sz w:val="24"/>
          <w:szCs w:val="24"/>
        </w:rPr>
        <w:t xml:space="preserve"> af </w:t>
      </w:r>
      <w:proofErr w:type="spellStart"/>
      <w:r w:rsidRPr="00C01559">
        <w:rPr>
          <w:sz w:val="24"/>
          <w:szCs w:val="24"/>
        </w:rPr>
        <w:t>methotrexat</w:t>
      </w:r>
      <w:proofErr w:type="spellEnd"/>
      <w:r w:rsidRPr="00C01559">
        <w:rPr>
          <w:sz w:val="24"/>
          <w:szCs w:val="24"/>
        </w:rPr>
        <w:t xml:space="preserve">, hvorved serumkoncentrationen af </w:t>
      </w:r>
      <w:proofErr w:type="spellStart"/>
      <w:r w:rsidRPr="00C01559">
        <w:rPr>
          <w:sz w:val="24"/>
          <w:szCs w:val="24"/>
        </w:rPr>
        <w:t>methotrexat</w:t>
      </w:r>
      <w:proofErr w:type="spellEnd"/>
      <w:r w:rsidRPr="00C01559">
        <w:rPr>
          <w:sz w:val="24"/>
          <w:szCs w:val="24"/>
        </w:rPr>
        <w:t xml:space="preserve"> kan stige, ledsaget af hæmatologisk og </w:t>
      </w:r>
      <w:proofErr w:type="spellStart"/>
      <w:r w:rsidRPr="00C01559">
        <w:rPr>
          <w:sz w:val="24"/>
          <w:szCs w:val="24"/>
        </w:rPr>
        <w:t>gastrointestinal</w:t>
      </w:r>
      <w:proofErr w:type="spellEnd"/>
      <w:r w:rsidRPr="00C01559">
        <w:rPr>
          <w:sz w:val="24"/>
          <w:szCs w:val="24"/>
        </w:rPr>
        <w:t xml:space="preserve"> toksicitet.</w:t>
      </w:r>
    </w:p>
    <w:p w14:paraId="4411737D" w14:textId="77777777" w:rsidR="00B5675F" w:rsidRPr="00C01559" w:rsidRDefault="00B5675F" w:rsidP="00C73CAD">
      <w:pPr>
        <w:ind w:left="851"/>
        <w:rPr>
          <w:sz w:val="24"/>
          <w:szCs w:val="24"/>
        </w:rPr>
      </w:pPr>
      <w:r w:rsidRPr="00C01559">
        <w:rPr>
          <w:sz w:val="24"/>
          <w:szCs w:val="24"/>
        </w:rPr>
        <w:t xml:space="preserve">Orale antibiotika såsom </w:t>
      </w:r>
      <w:proofErr w:type="spellStart"/>
      <w:r w:rsidRPr="00C01559">
        <w:rPr>
          <w:sz w:val="24"/>
          <w:szCs w:val="24"/>
        </w:rPr>
        <w:t>tetracykliner</w:t>
      </w:r>
      <w:proofErr w:type="spellEnd"/>
      <w:r w:rsidRPr="00C01559">
        <w:rPr>
          <w:sz w:val="24"/>
          <w:szCs w:val="24"/>
        </w:rPr>
        <w:t xml:space="preserve">, </w:t>
      </w:r>
      <w:proofErr w:type="spellStart"/>
      <w:r w:rsidRPr="00C01559">
        <w:rPr>
          <w:sz w:val="24"/>
          <w:szCs w:val="24"/>
        </w:rPr>
        <w:t>chloramphenicol</w:t>
      </w:r>
      <w:proofErr w:type="spellEnd"/>
      <w:r w:rsidRPr="00C01559">
        <w:rPr>
          <w:sz w:val="24"/>
          <w:szCs w:val="24"/>
        </w:rPr>
        <w:t xml:space="preserve"> og ikke-absorberbare bredspektrede antibiotika kan reducere den </w:t>
      </w:r>
      <w:proofErr w:type="spellStart"/>
      <w:r w:rsidRPr="00C01559">
        <w:rPr>
          <w:sz w:val="24"/>
          <w:szCs w:val="24"/>
        </w:rPr>
        <w:t>intestinale</w:t>
      </w:r>
      <w:proofErr w:type="spellEnd"/>
      <w:r w:rsidRPr="00C01559">
        <w:rPr>
          <w:sz w:val="24"/>
          <w:szCs w:val="24"/>
        </w:rPr>
        <w:t xml:space="preserve"> absorption af </w:t>
      </w:r>
      <w:proofErr w:type="spellStart"/>
      <w:r w:rsidRPr="00C01559">
        <w:rPr>
          <w:sz w:val="24"/>
          <w:szCs w:val="24"/>
        </w:rPr>
        <w:t>methotrexat</w:t>
      </w:r>
      <w:proofErr w:type="spellEnd"/>
      <w:r w:rsidRPr="00C01559">
        <w:rPr>
          <w:sz w:val="24"/>
          <w:szCs w:val="24"/>
        </w:rPr>
        <w:t xml:space="preserve"> eller interferere med den </w:t>
      </w:r>
      <w:proofErr w:type="spellStart"/>
      <w:r w:rsidRPr="00C01559">
        <w:rPr>
          <w:sz w:val="24"/>
          <w:szCs w:val="24"/>
        </w:rPr>
        <w:t>enterohepatiske</w:t>
      </w:r>
      <w:proofErr w:type="spellEnd"/>
      <w:r w:rsidRPr="00C01559">
        <w:rPr>
          <w:sz w:val="24"/>
          <w:szCs w:val="24"/>
        </w:rPr>
        <w:t xml:space="preserve"> cirkulation ved at hæmme tarmfloraen eller undertrykke bakteriemetabolismen.</w:t>
      </w:r>
    </w:p>
    <w:p w14:paraId="6C886B88" w14:textId="77777777" w:rsidR="00B5675F" w:rsidRPr="00C01559" w:rsidRDefault="00B5675F" w:rsidP="00C73CAD">
      <w:pPr>
        <w:ind w:left="851"/>
        <w:rPr>
          <w:sz w:val="24"/>
          <w:szCs w:val="24"/>
        </w:rPr>
      </w:pPr>
      <w:r w:rsidRPr="00C01559">
        <w:rPr>
          <w:sz w:val="24"/>
          <w:szCs w:val="24"/>
        </w:rPr>
        <w:t xml:space="preserve">I tilfælde af (tidligere) behandling med lægemidler, der kan have bivirkninger på knoglemarven (f.eks. sulfonamider, </w:t>
      </w:r>
      <w:proofErr w:type="spellStart"/>
      <w:r w:rsidRPr="00C01559">
        <w:rPr>
          <w:sz w:val="24"/>
          <w:szCs w:val="24"/>
        </w:rPr>
        <w:t>trimethoprim</w:t>
      </w:r>
      <w:proofErr w:type="spellEnd"/>
      <w:r w:rsidRPr="00C01559">
        <w:rPr>
          <w:sz w:val="24"/>
          <w:szCs w:val="24"/>
        </w:rPr>
        <w:t>/</w:t>
      </w:r>
      <w:proofErr w:type="spellStart"/>
      <w:r w:rsidRPr="00C01559">
        <w:rPr>
          <w:sz w:val="24"/>
          <w:szCs w:val="24"/>
        </w:rPr>
        <w:t>sulfamethoxazol</w:t>
      </w:r>
      <w:proofErr w:type="spellEnd"/>
      <w:r w:rsidRPr="00C01559">
        <w:rPr>
          <w:sz w:val="24"/>
          <w:szCs w:val="24"/>
        </w:rPr>
        <w:t xml:space="preserve">, </w:t>
      </w:r>
      <w:proofErr w:type="spellStart"/>
      <w:r w:rsidRPr="00C01559">
        <w:rPr>
          <w:sz w:val="24"/>
          <w:szCs w:val="24"/>
        </w:rPr>
        <w:t>chloramphenicol</w:t>
      </w:r>
      <w:proofErr w:type="spellEnd"/>
      <w:r w:rsidRPr="00C01559">
        <w:rPr>
          <w:sz w:val="24"/>
          <w:szCs w:val="24"/>
        </w:rPr>
        <w:t xml:space="preserve">, </w:t>
      </w:r>
      <w:proofErr w:type="spellStart"/>
      <w:r w:rsidRPr="00C01559">
        <w:rPr>
          <w:sz w:val="24"/>
          <w:szCs w:val="24"/>
        </w:rPr>
        <w:t>pyrimethamin</w:t>
      </w:r>
      <w:proofErr w:type="spellEnd"/>
      <w:r w:rsidRPr="00C01559">
        <w:rPr>
          <w:sz w:val="24"/>
          <w:szCs w:val="24"/>
        </w:rPr>
        <w:t xml:space="preserve">), skal muligheden for </w:t>
      </w:r>
      <w:proofErr w:type="spellStart"/>
      <w:r w:rsidRPr="00C01559">
        <w:rPr>
          <w:sz w:val="24"/>
          <w:szCs w:val="24"/>
        </w:rPr>
        <w:t>hæmatopoietiske</w:t>
      </w:r>
      <w:proofErr w:type="spellEnd"/>
      <w:r w:rsidRPr="00C01559">
        <w:rPr>
          <w:sz w:val="24"/>
          <w:szCs w:val="24"/>
        </w:rPr>
        <w:t xml:space="preserve"> forstyrrelser tages i betragtning.</w:t>
      </w:r>
    </w:p>
    <w:p w14:paraId="48923A8A" w14:textId="77777777" w:rsidR="00B5675F" w:rsidRPr="00C01559" w:rsidRDefault="00B5675F" w:rsidP="00C73CAD">
      <w:pPr>
        <w:ind w:left="851"/>
        <w:rPr>
          <w:sz w:val="24"/>
          <w:szCs w:val="24"/>
        </w:rPr>
      </w:pPr>
      <w:r w:rsidRPr="00C01559">
        <w:rPr>
          <w:sz w:val="24"/>
          <w:szCs w:val="24"/>
        </w:rPr>
        <w:t xml:space="preserve">Samtidig behandling med lægemidler, der kan forårsage </w:t>
      </w:r>
      <w:proofErr w:type="spellStart"/>
      <w:r w:rsidRPr="00C01559">
        <w:rPr>
          <w:sz w:val="24"/>
          <w:szCs w:val="24"/>
        </w:rPr>
        <w:t>folinsyremangel</w:t>
      </w:r>
      <w:proofErr w:type="spellEnd"/>
      <w:r w:rsidRPr="00C01559">
        <w:rPr>
          <w:sz w:val="24"/>
          <w:szCs w:val="24"/>
        </w:rPr>
        <w:t xml:space="preserve"> (f.eks. sulfonamider, </w:t>
      </w:r>
      <w:proofErr w:type="spellStart"/>
      <w:r w:rsidRPr="00C01559">
        <w:rPr>
          <w:sz w:val="24"/>
          <w:szCs w:val="24"/>
        </w:rPr>
        <w:t>trimethoprim</w:t>
      </w:r>
      <w:proofErr w:type="spellEnd"/>
      <w:r w:rsidRPr="00C01559">
        <w:rPr>
          <w:sz w:val="24"/>
          <w:szCs w:val="24"/>
        </w:rPr>
        <w:t>/</w:t>
      </w:r>
      <w:proofErr w:type="spellStart"/>
      <w:r w:rsidRPr="00C01559">
        <w:rPr>
          <w:sz w:val="24"/>
          <w:szCs w:val="24"/>
        </w:rPr>
        <w:t>sulfamethoxazol</w:t>
      </w:r>
      <w:proofErr w:type="spellEnd"/>
      <w:r w:rsidRPr="00C01559">
        <w:rPr>
          <w:sz w:val="24"/>
          <w:szCs w:val="24"/>
        </w:rPr>
        <w:t xml:space="preserve">), kan medføre øget </w:t>
      </w:r>
      <w:proofErr w:type="spellStart"/>
      <w:r w:rsidRPr="00C01559">
        <w:rPr>
          <w:sz w:val="24"/>
          <w:szCs w:val="24"/>
        </w:rPr>
        <w:t>methotrexattoksicitet</w:t>
      </w:r>
      <w:proofErr w:type="spellEnd"/>
      <w:r w:rsidRPr="00C01559">
        <w:rPr>
          <w:sz w:val="24"/>
          <w:szCs w:val="24"/>
        </w:rPr>
        <w:t xml:space="preserve">. Derfor skal der udvises særlig forsigtighed hos patienter med præeksisterende </w:t>
      </w:r>
      <w:proofErr w:type="spellStart"/>
      <w:r w:rsidRPr="00C01559">
        <w:rPr>
          <w:sz w:val="24"/>
          <w:szCs w:val="24"/>
        </w:rPr>
        <w:t>folinsyremangel</w:t>
      </w:r>
      <w:proofErr w:type="spellEnd"/>
      <w:r w:rsidRPr="00C01559">
        <w:rPr>
          <w:sz w:val="24"/>
          <w:szCs w:val="24"/>
        </w:rPr>
        <w:t>.</w:t>
      </w:r>
    </w:p>
    <w:p w14:paraId="2CDC9CF8" w14:textId="77777777" w:rsidR="00B5675F" w:rsidRPr="00C01559" w:rsidRDefault="00B5675F" w:rsidP="00C73CAD">
      <w:pPr>
        <w:ind w:left="851"/>
        <w:rPr>
          <w:sz w:val="24"/>
          <w:szCs w:val="24"/>
        </w:rPr>
      </w:pPr>
    </w:p>
    <w:p w14:paraId="267EB1F5" w14:textId="77777777" w:rsidR="00B5675F" w:rsidRPr="00C01559" w:rsidRDefault="00B5675F" w:rsidP="00C73CAD">
      <w:pPr>
        <w:ind w:left="851"/>
        <w:rPr>
          <w:sz w:val="24"/>
          <w:szCs w:val="24"/>
        </w:rPr>
      </w:pPr>
      <w:r w:rsidRPr="00C01559">
        <w:rPr>
          <w:sz w:val="24"/>
          <w:szCs w:val="24"/>
        </w:rPr>
        <w:t xml:space="preserve">Omvendt kan samtidig administration af lægemidler, der indeholder </w:t>
      </w:r>
      <w:proofErr w:type="spellStart"/>
      <w:r w:rsidRPr="00C01559">
        <w:rPr>
          <w:sz w:val="24"/>
          <w:szCs w:val="24"/>
        </w:rPr>
        <w:t>folinsyre</w:t>
      </w:r>
      <w:proofErr w:type="spellEnd"/>
      <w:r w:rsidRPr="00C01559">
        <w:rPr>
          <w:sz w:val="24"/>
          <w:szCs w:val="24"/>
        </w:rPr>
        <w:t xml:space="preserve">, eller vitaminpræparater, der indeholder </w:t>
      </w:r>
      <w:proofErr w:type="spellStart"/>
      <w:r w:rsidRPr="00C01559">
        <w:rPr>
          <w:sz w:val="24"/>
          <w:szCs w:val="24"/>
        </w:rPr>
        <w:t>folinsyre</w:t>
      </w:r>
      <w:proofErr w:type="spellEnd"/>
      <w:r w:rsidRPr="00C01559">
        <w:rPr>
          <w:sz w:val="24"/>
          <w:szCs w:val="24"/>
        </w:rPr>
        <w:t xml:space="preserve"> eller derivater, nedsætte </w:t>
      </w:r>
      <w:proofErr w:type="spellStart"/>
      <w:r w:rsidRPr="00C01559">
        <w:rPr>
          <w:sz w:val="24"/>
          <w:szCs w:val="24"/>
        </w:rPr>
        <w:t>methotrexats</w:t>
      </w:r>
      <w:proofErr w:type="spellEnd"/>
      <w:r w:rsidRPr="00C01559">
        <w:rPr>
          <w:sz w:val="24"/>
          <w:szCs w:val="24"/>
        </w:rPr>
        <w:t xml:space="preserve"> virkning.</w:t>
      </w:r>
    </w:p>
    <w:p w14:paraId="657DD201" w14:textId="77777777" w:rsidR="00B5675F" w:rsidRPr="00C01559" w:rsidRDefault="00B5675F" w:rsidP="00C73CAD">
      <w:pPr>
        <w:ind w:left="851"/>
        <w:rPr>
          <w:sz w:val="24"/>
          <w:szCs w:val="24"/>
        </w:rPr>
      </w:pPr>
      <w:r w:rsidRPr="00C01559">
        <w:rPr>
          <w:sz w:val="24"/>
          <w:szCs w:val="24"/>
        </w:rPr>
        <w:t xml:space="preserve">Samtidig brug af </w:t>
      </w:r>
      <w:proofErr w:type="spellStart"/>
      <w:r w:rsidRPr="00C01559">
        <w:rPr>
          <w:sz w:val="24"/>
          <w:szCs w:val="24"/>
        </w:rPr>
        <w:t>methotrexat</w:t>
      </w:r>
      <w:proofErr w:type="spellEnd"/>
      <w:r w:rsidRPr="00C01559">
        <w:rPr>
          <w:sz w:val="24"/>
          <w:szCs w:val="24"/>
        </w:rPr>
        <w:t xml:space="preserve"> og </w:t>
      </w:r>
      <w:proofErr w:type="spellStart"/>
      <w:r w:rsidRPr="00C01559">
        <w:rPr>
          <w:sz w:val="24"/>
          <w:szCs w:val="24"/>
        </w:rPr>
        <w:t>sulfasalazin</w:t>
      </w:r>
      <w:proofErr w:type="spellEnd"/>
      <w:r w:rsidRPr="00C01559">
        <w:rPr>
          <w:sz w:val="24"/>
          <w:szCs w:val="24"/>
        </w:rPr>
        <w:t xml:space="preserve"> kan forstærke </w:t>
      </w:r>
      <w:proofErr w:type="spellStart"/>
      <w:r w:rsidRPr="00C01559">
        <w:rPr>
          <w:sz w:val="24"/>
          <w:szCs w:val="24"/>
        </w:rPr>
        <w:t>methotrexats</w:t>
      </w:r>
      <w:proofErr w:type="spellEnd"/>
      <w:r w:rsidRPr="00C01559">
        <w:rPr>
          <w:sz w:val="24"/>
          <w:szCs w:val="24"/>
        </w:rPr>
        <w:t xml:space="preserve"> virkning, eftersom </w:t>
      </w:r>
      <w:proofErr w:type="spellStart"/>
      <w:r w:rsidRPr="00C01559">
        <w:rPr>
          <w:sz w:val="24"/>
          <w:szCs w:val="24"/>
        </w:rPr>
        <w:t>sulfasalazin</w:t>
      </w:r>
      <w:proofErr w:type="spellEnd"/>
      <w:r w:rsidRPr="00C01559">
        <w:rPr>
          <w:sz w:val="24"/>
          <w:szCs w:val="24"/>
        </w:rPr>
        <w:t xml:space="preserve"> hæmmer </w:t>
      </w:r>
      <w:proofErr w:type="spellStart"/>
      <w:r w:rsidRPr="00C01559">
        <w:rPr>
          <w:sz w:val="24"/>
          <w:szCs w:val="24"/>
        </w:rPr>
        <w:t>folinsyresyntesen</w:t>
      </w:r>
      <w:proofErr w:type="spellEnd"/>
      <w:r w:rsidRPr="00C01559">
        <w:rPr>
          <w:sz w:val="24"/>
          <w:szCs w:val="24"/>
        </w:rPr>
        <w:t>. Dette kan medføre en øget risiko for bivirkninger, men i adskillige studier blev dette kun set hos enkelte patienter.</w:t>
      </w:r>
    </w:p>
    <w:p w14:paraId="26EE4D93" w14:textId="77777777" w:rsidR="00B5675F" w:rsidRPr="00C01559" w:rsidRDefault="00B5675F" w:rsidP="00C73CAD">
      <w:pPr>
        <w:ind w:left="851"/>
        <w:rPr>
          <w:sz w:val="24"/>
          <w:szCs w:val="24"/>
        </w:rPr>
      </w:pPr>
    </w:p>
    <w:p w14:paraId="1F22D8BF" w14:textId="77777777" w:rsidR="00B5675F" w:rsidRPr="00C01559" w:rsidRDefault="00B5675F" w:rsidP="00C73CAD">
      <w:pPr>
        <w:ind w:left="851"/>
        <w:rPr>
          <w:sz w:val="24"/>
          <w:szCs w:val="24"/>
        </w:rPr>
      </w:pPr>
      <w:proofErr w:type="spellStart"/>
      <w:r w:rsidRPr="00C01559">
        <w:rPr>
          <w:sz w:val="24"/>
          <w:szCs w:val="24"/>
        </w:rPr>
        <w:t>Ciclosporin</w:t>
      </w:r>
      <w:proofErr w:type="spellEnd"/>
      <w:r w:rsidRPr="00C01559">
        <w:rPr>
          <w:sz w:val="24"/>
          <w:szCs w:val="24"/>
        </w:rPr>
        <w:t xml:space="preserve"> kan forstærke </w:t>
      </w:r>
      <w:proofErr w:type="spellStart"/>
      <w:r w:rsidRPr="00C01559">
        <w:rPr>
          <w:sz w:val="24"/>
          <w:szCs w:val="24"/>
        </w:rPr>
        <w:t>methotrexats</w:t>
      </w:r>
      <w:proofErr w:type="spellEnd"/>
      <w:r w:rsidRPr="00C01559">
        <w:rPr>
          <w:sz w:val="24"/>
          <w:szCs w:val="24"/>
        </w:rPr>
        <w:t xml:space="preserve"> virkning og toksicitet. Der er en risiko for markant immunsuppression med risiko for </w:t>
      </w:r>
      <w:proofErr w:type="spellStart"/>
      <w:r w:rsidRPr="00C01559">
        <w:rPr>
          <w:sz w:val="24"/>
          <w:szCs w:val="24"/>
        </w:rPr>
        <w:t>lymfoproliferation</w:t>
      </w:r>
      <w:proofErr w:type="spellEnd"/>
      <w:r w:rsidRPr="00C01559">
        <w:rPr>
          <w:sz w:val="24"/>
          <w:szCs w:val="24"/>
        </w:rPr>
        <w:t xml:space="preserve"> ved samtidig brug.</w:t>
      </w:r>
    </w:p>
    <w:p w14:paraId="16E1D0C9" w14:textId="77777777" w:rsidR="00B5675F" w:rsidRPr="00C01559" w:rsidRDefault="00B5675F" w:rsidP="00C73CAD">
      <w:pPr>
        <w:ind w:left="851"/>
        <w:rPr>
          <w:sz w:val="24"/>
          <w:szCs w:val="24"/>
        </w:rPr>
      </w:pPr>
    </w:p>
    <w:p w14:paraId="701367BD" w14:textId="77777777" w:rsidR="00B5675F" w:rsidRPr="00C01559" w:rsidRDefault="00B5675F" w:rsidP="00C73CAD">
      <w:pPr>
        <w:ind w:left="851"/>
        <w:rPr>
          <w:sz w:val="24"/>
          <w:szCs w:val="24"/>
        </w:rPr>
      </w:pPr>
      <w:r w:rsidRPr="00C01559">
        <w:rPr>
          <w:sz w:val="24"/>
          <w:szCs w:val="24"/>
        </w:rPr>
        <w:t xml:space="preserve">Brug af </w:t>
      </w:r>
      <w:proofErr w:type="spellStart"/>
      <w:r w:rsidRPr="00C01559">
        <w:rPr>
          <w:sz w:val="24"/>
          <w:szCs w:val="24"/>
        </w:rPr>
        <w:t>dinitrogenoxid</w:t>
      </w:r>
      <w:proofErr w:type="spellEnd"/>
      <w:r w:rsidRPr="00C01559">
        <w:rPr>
          <w:sz w:val="24"/>
          <w:szCs w:val="24"/>
        </w:rPr>
        <w:t xml:space="preserve"> forstærker </w:t>
      </w:r>
      <w:proofErr w:type="spellStart"/>
      <w:r w:rsidRPr="00C01559">
        <w:rPr>
          <w:sz w:val="24"/>
          <w:szCs w:val="24"/>
        </w:rPr>
        <w:t>methotrexats</w:t>
      </w:r>
      <w:proofErr w:type="spellEnd"/>
      <w:r w:rsidRPr="00C01559">
        <w:rPr>
          <w:sz w:val="24"/>
          <w:szCs w:val="24"/>
        </w:rPr>
        <w:t xml:space="preserve"> virkning på </w:t>
      </w:r>
      <w:proofErr w:type="spellStart"/>
      <w:r w:rsidRPr="00C01559">
        <w:rPr>
          <w:sz w:val="24"/>
          <w:szCs w:val="24"/>
        </w:rPr>
        <w:t>folatmetabolismen</w:t>
      </w:r>
      <w:proofErr w:type="spellEnd"/>
      <w:r w:rsidRPr="00C01559">
        <w:rPr>
          <w:sz w:val="24"/>
          <w:szCs w:val="24"/>
        </w:rPr>
        <w:t xml:space="preserve">, hvilket medfører øget toksicitet, såsom svær og uforudsigelig </w:t>
      </w:r>
      <w:proofErr w:type="spellStart"/>
      <w:r w:rsidRPr="00C01559">
        <w:rPr>
          <w:sz w:val="24"/>
          <w:szCs w:val="24"/>
        </w:rPr>
        <w:t>myelosuppression</w:t>
      </w:r>
      <w:proofErr w:type="spellEnd"/>
      <w:r w:rsidRPr="00C01559">
        <w:rPr>
          <w:sz w:val="24"/>
          <w:szCs w:val="24"/>
        </w:rPr>
        <w:t xml:space="preserve"> og </w:t>
      </w:r>
      <w:proofErr w:type="spellStart"/>
      <w:r w:rsidRPr="00C01559">
        <w:rPr>
          <w:sz w:val="24"/>
          <w:szCs w:val="24"/>
        </w:rPr>
        <w:t>stomatitis</w:t>
      </w:r>
      <w:proofErr w:type="spellEnd"/>
      <w:r w:rsidRPr="00C01559">
        <w:rPr>
          <w:sz w:val="24"/>
          <w:szCs w:val="24"/>
        </w:rPr>
        <w:t xml:space="preserve">, og i tilfælde af </w:t>
      </w:r>
      <w:proofErr w:type="spellStart"/>
      <w:r w:rsidRPr="00C01559">
        <w:rPr>
          <w:sz w:val="24"/>
          <w:szCs w:val="24"/>
        </w:rPr>
        <w:t>intratekal</w:t>
      </w:r>
      <w:proofErr w:type="spellEnd"/>
      <w:r w:rsidRPr="00C01559">
        <w:rPr>
          <w:sz w:val="24"/>
          <w:szCs w:val="24"/>
        </w:rPr>
        <w:t xml:space="preserve"> administration kan der ses forøget svær og uforudsigelig </w:t>
      </w:r>
      <w:proofErr w:type="spellStart"/>
      <w:r w:rsidRPr="00C01559">
        <w:rPr>
          <w:sz w:val="24"/>
          <w:szCs w:val="24"/>
        </w:rPr>
        <w:t>neurotoksicitet</w:t>
      </w:r>
      <w:proofErr w:type="spellEnd"/>
      <w:r w:rsidRPr="00C01559">
        <w:rPr>
          <w:sz w:val="24"/>
          <w:szCs w:val="24"/>
        </w:rPr>
        <w:t xml:space="preserve">. Selvom denne virkning kan reduceres ved at administrere </w:t>
      </w:r>
      <w:proofErr w:type="spellStart"/>
      <w:r w:rsidRPr="00C01559">
        <w:rPr>
          <w:sz w:val="24"/>
          <w:szCs w:val="24"/>
        </w:rPr>
        <w:t>calciumfolinat</w:t>
      </w:r>
      <w:proofErr w:type="spellEnd"/>
      <w:r w:rsidRPr="00C01559">
        <w:rPr>
          <w:sz w:val="24"/>
          <w:szCs w:val="24"/>
        </w:rPr>
        <w:t xml:space="preserve">, bør samtidig brug af </w:t>
      </w:r>
      <w:proofErr w:type="spellStart"/>
      <w:r w:rsidRPr="00C01559">
        <w:rPr>
          <w:sz w:val="24"/>
          <w:szCs w:val="24"/>
        </w:rPr>
        <w:t>dinitrogenoxid</w:t>
      </w:r>
      <w:proofErr w:type="spellEnd"/>
      <w:r w:rsidRPr="00C01559">
        <w:rPr>
          <w:sz w:val="24"/>
          <w:szCs w:val="24"/>
        </w:rPr>
        <w:t xml:space="preserve"> og </w:t>
      </w:r>
      <w:proofErr w:type="spellStart"/>
      <w:r w:rsidRPr="00C01559">
        <w:rPr>
          <w:sz w:val="24"/>
          <w:szCs w:val="24"/>
        </w:rPr>
        <w:t>methotrexat</w:t>
      </w:r>
      <w:proofErr w:type="spellEnd"/>
      <w:r w:rsidRPr="00C01559">
        <w:rPr>
          <w:sz w:val="24"/>
          <w:szCs w:val="24"/>
        </w:rPr>
        <w:t xml:space="preserve"> undgås.</w:t>
      </w:r>
    </w:p>
    <w:p w14:paraId="337FAAC2" w14:textId="77777777" w:rsidR="00B5675F" w:rsidRPr="00C01559" w:rsidRDefault="00B5675F" w:rsidP="00C73CAD">
      <w:pPr>
        <w:ind w:left="851"/>
        <w:rPr>
          <w:sz w:val="24"/>
          <w:szCs w:val="24"/>
        </w:rPr>
      </w:pPr>
    </w:p>
    <w:p w14:paraId="43C699EF" w14:textId="77777777" w:rsidR="00B5675F" w:rsidRPr="00C01559" w:rsidRDefault="00B5675F" w:rsidP="00C73CAD">
      <w:pPr>
        <w:ind w:left="851"/>
        <w:rPr>
          <w:sz w:val="24"/>
          <w:szCs w:val="24"/>
        </w:rPr>
      </w:pPr>
      <w:r w:rsidRPr="00C01559">
        <w:rPr>
          <w:sz w:val="24"/>
          <w:szCs w:val="24"/>
        </w:rPr>
        <w:t xml:space="preserve">Samtidig administration af </w:t>
      </w:r>
      <w:proofErr w:type="spellStart"/>
      <w:r w:rsidRPr="00C01559">
        <w:rPr>
          <w:sz w:val="24"/>
          <w:szCs w:val="24"/>
        </w:rPr>
        <w:t>protonpumpehæmmere</w:t>
      </w:r>
      <w:proofErr w:type="spellEnd"/>
      <w:r w:rsidRPr="00C01559">
        <w:rPr>
          <w:sz w:val="24"/>
          <w:szCs w:val="24"/>
        </w:rPr>
        <w:t xml:space="preserve">, såsom </w:t>
      </w:r>
      <w:proofErr w:type="spellStart"/>
      <w:r w:rsidRPr="00C01559">
        <w:rPr>
          <w:sz w:val="24"/>
          <w:szCs w:val="24"/>
        </w:rPr>
        <w:t>omeprazol</w:t>
      </w:r>
      <w:proofErr w:type="spellEnd"/>
      <w:r w:rsidRPr="00C01559">
        <w:rPr>
          <w:sz w:val="24"/>
          <w:szCs w:val="24"/>
        </w:rPr>
        <w:t xml:space="preserve"> eller </w:t>
      </w:r>
      <w:proofErr w:type="spellStart"/>
      <w:r w:rsidRPr="00C01559">
        <w:rPr>
          <w:sz w:val="24"/>
          <w:szCs w:val="24"/>
        </w:rPr>
        <w:t>pantoprazol</w:t>
      </w:r>
      <w:proofErr w:type="spellEnd"/>
      <w:r w:rsidRPr="00C01559">
        <w:rPr>
          <w:sz w:val="24"/>
          <w:szCs w:val="24"/>
        </w:rPr>
        <w:t xml:space="preserve">, kan medføre interaktioner: Samtidig administration af </w:t>
      </w:r>
      <w:proofErr w:type="spellStart"/>
      <w:r w:rsidRPr="00C01559">
        <w:rPr>
          <w:sz w:val="24"/>
          <w:szCs w:val="24"/>
        </w:rPr>
        <w:t>methotrexat</w:t>
      </w:r>
      <w:proofErr w:type="spellEnd"/>
      <w:r w:rsidRPr="00C01559">
        <w:rPr>
          <w:sz w:val="24"/>
          <w:szCs w:val="24"/>
        </w:rPr>
        <w:t xml:space="preserve"> og </w:t>
      </w:r>
      <w:proofErr w:type="spellStart"/>
      <w:r w:rsidRPr="00C01559">
        <w:rPr>
          <w:sz w:val="24"/>
          <w:szCs w:val="24"/>
        </w:rPr>
        <w:t>omeprazol</w:t>
      </w:r>
      <w:proofErr w:type="spellEnd"/>
      <w:r w:rsidRPr="00C01559">
        <w:rPr>
          <w:sz w:val="24"/>
          <w:szCs w:val="24"/>
        </w:rPr>
        <w:t xml:space="preserve"> har medført forsinket </w:t>
      </w:r>
      <w:proofErr w:type="spellStart"/>
      <w:r w:rsidRPr="00C01559">
        <w:rPr>
          <w:sz w:val="24"/>
          <w:szCs w:val="24"/>
        </w:rPr>
        <w:t>renal</w:t>
      </w:r>
      <w:proofErr w:type="spellEnd"/>
      <w:r w:rsidRPr="00C01559">
        <w:rPr>
          <w:sz w:val="24"/>
          <w:szCs w:val="24"/>
        </w:rPr>
        <w:t xml:space="preserve"> elimination af </w:t>
      </w:r>
      <w:proofErr w:type="spellStart"/>
      <w:r w:rsidRPr="00C01559">
        <w:rPr>
          <w:sz w:val="24"/>
          <w:szCs w:val="24"/>
        </w:rPr>
        <w:t>methotrexat</w:t>
      </w:r>
      <w:proofErr w:type="spellEnd"/>
      <w:r w:rsidRPr="00C01559">
        <w:rPr>
          <w:sz w:val="24"/>
          <w:szCs w:val="24"/>
        </w:rPr>
        <w:t xml:space="preserve">. I ét tilfælde, hvor </w:t>
      </w:r>
      <w:proofErr w:type="spellStart"/>
      <w:r w:rsidRPr="00C01559">
        <w:rPr>
          <w:sz w:val="24"/>
          <w:szCs w:val="24"/>
        </w:rPr>
        <w:t>methotrexat</w:t>
      </w:r>
      <w:proofErr w:type="spellEnd"/>
      <w:r w:rsidRPr="00C01559">
        <w:rPr>
          <w:sz w:val="24"/>
          <w:szCs w:val="24"/>
        </w:rPr>
        <w:t xml:space="preserve"> blev kombineret </w:t>
      </w:r>
      <w:r w:rsidRPr="00C01559">
        <w:rPr>
          <w:sz w:val="24"/>
          <w:szCs w:val="24"/>
        </w:rPr>
        <w:lastRenderedPageBreak/>
        <w:t xml:space="preserve">med </w:t>
      </w:r>
      <w:proofErr w:type="spellStart"/>
      <w:r w:rsidRPr="00C01559">
        <w:rPr>
          <w:sz w:val="24"/>
          <w:szCs w:val="24"/>
        </w:rPr>
        <w:t>pantoprazol</w:t>
      </w:r>
      <w:proofErr w:type="spellEnd"/>
      <w:r w:rsidRPr="00C01559">
        <w:rPr>
          <w:sz w:val="24"/>
          <w:szCs w:val="24"/>
        </w:rPr>
        <w:t xml:space="preserve">, blev den </w:t>
      </w:r>
      <w:proofErr w:type="spellStart"/>
      <w:r w:rsidRPr="00C01559">
        <w:rPr>
          <w:sz w:val="24"/>
          <w:szCs w:val="24"/>
        </w:rPr>
        <w:t>renale</w:t>
      </w:r>
      <w:proofErr w:type="spellEnd"/>
      <w:r w:rsidRPr="00C01559">
        <w:rPr>
          <w:sz w:val="24"/>
          <w:szCs w:val="24"/>
        </w:rPr>
        <w:t xml:space="preserve"> elimination af metabolitten 7-hydroxymethotrexat hæmmet, og der opstod myalgi og kulderystelser.</w:t>
      </w:r>
    </w:p>
    <w:p w14:paraId="350C4E46" w14:textId="77777777" w:rsidR="00B5675F" w:rsidRPr="00C01559" w:rsidRDefault="00B5675F" w:rsidP="00C73CAD">
      <w:pPr>
        <w:ind w:left="851"/>
        <w:rPr>
          <w:sz w:val="24"/>
          <w:szCs w:val="24"/>
        </w:rPr>
      </w:pPr>
    </w:p>
    <w:p w14:paraId="3423B536" w14:textId="77777777" w:rsidR="00B5675F" w:rsidRPr="00C01559" w:rsidRDefault="00B5675F" w:rsidP="00C73CAD">
      <w:pPr>
        <w:ind w:left="851"/>
        <w:rPr>
          <w:sz w:val="24"/>
          <w:szCs w:val="24"/>
        </w:rPr>
      </w:pPr>
      <w:r w:rsidRPr="00C01559">
        <w:rPr>
          <w:sz w:val="24"/>
          <w:szCs w:val="24"/>
        </w:rPr>
        <w:t xml:space="preserve">Brug af </w:t>
      </w:r>
      <w:proofErr w:type="spellStart"/>
      <w:r w:rsidRPr="00C01559">
        <w:rPr>
          <w:sz w:val="24"/>
          <w:szCs w:val="24"/>
        </w:rPr>
        <w:t>procarbazin</w:t>
      </w:r>
      <w:proofErr w:type="spellEnd"/>
      <w:r w:rsidRPr="00C01559">
        <w:rPr>
          <w:sz w:val="24"/>
          <w:szCs w:val="24"/>
        </w:rPr>
        <w:t xml:space="preserve"> under behandling med højdosis-</w:t>
      </w:r>
      <w:proofErr w:type="spellStart"/>
      <w:r w:rsidRPr="00C01559">
        <w:rPr>
          <w:sz w:val="24"/>
          <w:szCs w:val="24"/>
        </w:rPr>
        <w:t>methotrexat</w:t>
      </w:r>
      <w:proofErr w:type="spellEnd"/>
      <w:r w:rsidRPr="00C01559">
        <w:rPr>
          <w:sz w:val="24"/>
          <w:szCs w:val="24"/>
        </w:rPr>
        <w:t xml:space="preserve"> øger risikoen for nedsat nyrefunktion.</w:t>
      </w:r>
    </w:p>
    <w:p w14:paraId="58EBB407" w14:textId="77777777" w:rsidR="00B5675F" w:rsidRPr="00C01559" w:rsidRDefault="00B5675F" w:rsidP="00C73CAD">
      <w:pPr>
        <w:ind w:left="851"/>
        <w:rPr>
          <w:sz w:val="24"/>
          <w:szCs w:val="24"/>
        </w:rPr>
      </w:pPr>
      <w:r w:rsidRPr="00C01559">
        <w:rPr>
          <w:sz w:val="24"/>
          <w:szCs w:val="24"/>
        </w:rPr>
        <w:t xml:space="preserve">Det bør undgås at indtage store mængder koffein- eller </w:t>
      </w:r>
      <w:proofErr w:type="spellStart"/>
      <w:r w:rsidRPr="00C01559">
        <w:rPr>
          <w:sz w:val="24"/>
          <w:szCs w:val="24"/>
        </w:rPr>
        <w:t>theophyllinholdige</w:t>
      </w:r>
      <w:proofErr w:type="spellEnd"/>
      <w:r w:rsidRPr="00C01559">
        <w:rPr>
          <w:sz w:val="24"/>
          <w:szCs w:val="24"/>
        </w:rPr>
        <w:t xml:space="preserve"> drikke (kaffe, koffeindrikke, sort te) under behandlingen med </w:t>
      </w:r>
      <w:proofErr w:type="spellStart"/>
      <w:r w:rsidRPr="00C01559">
        <w:rPr>
          <w:sz w:val="24"/>
          <w:szCs w:val="24"/>
        </w:rPr>
        <w:t>methotrexat</w:t>
      </w:r>
      <w:proofErr w:type="spellEnd"/>
      <w:r w:rsidRPr="00C01559">
        <w:rPr>
          <w:sz w:val="24"/>
          <w:szCs w:val="24"/>
        </w:rPr>
        <w:t xml:space="preserve">, eftersom virkningen af </w:t>
      </w:r>
      <w:proofErr w:type="spellStart"/>
      <w:r w:rsidRPr="00C01559">
        <w:rPr>
          <w:sz w:val="24"/>
          <w:szCs w:val="24"/>
        </w:rPr>
        <w:t>methotrexat</w:t>
      </w:r>
      <w:proofErr w:type="spellEnd"/>
      <w:r w:rsidRPr="00C01559">
        <w:rPr>
          <w:sz w:val="24"/>
          <w:szCs w:val="24"/>
        </w:rPr>
        <w:t xml:space="preserve"> kan blive reduceret som følge af den mulige interaktion mellem </w:t>
      </w:r>
      <w:proofErr w:type="spellStart"/>
      <w:r w:rsidRPr="00C01559">
        <w:rPr>
          <w:sz w:val="24"/>
          <w:szCs w:val="24"/>
        </w:rPr>
        <w:t>methotrexat</w:t>
      </w:r>
      <w:proofErr w:type="spellEnd"/>
      <w:r w:rsidRPr="00C01559">
        <w:rPr>
          <w:sz w:val="24"/>
          <w:szCs w:val="24"/>
        </w:rPr>
        <w:t xml:space="preserve"> og </w:t>
      </w:r>
      <w:proofErr w:type="spellStart"/>
      <w:r w:rsidRPr="00C01559">
        <w:rPr>
          <w:sz w:val="24"/>
          <w:szCs w:val="24"/>
        </w:rPr>
        <w:t>methylxanthiner</w:t>
      </w:r>
      <w:proofErr w:type="spellEnd"/>
      <w:r w:rsidRPr="00C01559">
        <w:rPr>
          <w:sz w:val="24"/>
          <w:szCs w:val="24"/>
        </w:rPr>
        <w:t xml:space="preserve"> ved </w:t>
      </w:r>
      <w:proofErr w:type="spellStart"/>
      <w:r w:rsidRPr="00C01559">
        <w:rPr>
          <w:sz w:val="24"/>
          <w:szCs w:val="24"/>
        </w:rPr>
        <w:t>adenosinreceptorerne</w:t>
      </w:r>
      <w:proofErr w:type="spellEnd"/>
      <w:r w:rsidRPr="00C01559">
        <w:rPr>
          <w:sz w:val="24"/>
          <w:szCs w:val="24"/>
        </w:rPr>
        <w:t>.</w:t>
      </w:r>
    </w:p>
    <w:p w14:paraId="65666175" w14:textId="77777777" w:rsidR="00B5675F" w:rsidRPr="00C01559" w:rsidRDefault="00B5675F" w:rsidP="00C73CAD">
      <w:pPr>
        <w:ind w:left="851"/>
        <w:rPr>
          <w:sz w:val="24"/>
          <w:szCs w:val="24"/>
        </w:rPr>
      </w:pPr>
    </w:p>
    <w:p w14:paraId="23B5BB71" w14:textId="77777777" w:rsidR="00B5675F" w:rsidRPr="00C01559" w:rsidRDefault="00B5675F" w:rsidP="00C73CAD">
      <w:pPr>
        <w:ind w:left="851"/>
        <w:rPr>
          <w:sz w:val="24"/>
          <w:szCs w:val="24"/>
        </w:rPr>
      </w:pPr>
      <w:r w:rsidRPr="00C01559">
        <w:rPr>
          <w:sz w:val="24"/>
          <w:szCs w:val="24"/>
        </w:rPr>
        <w:t xml:space="preserve">Kombinationsbehandling med </w:t>
      </w:r>
      <w:proofErr w:type="spellStart"/>
      <w:r w:rsidRPr="00C01559">
        <w:rPr>
          <w:sz w:val="24"/>
          <w:szCs w:val="24"/>
        </w:rPr>
        <w:t>methotrexat</w:t>
      </w:r>
      <w:proofErr w:type="spellEnd"/>
      <w:r w:rsidRPr="00C01559">
        <w:rPr>
          <w:sz w:val="24"/>
          <w:szCs w:val="24"/>
        </w:rPr>
        <w:t xml:space="preserve"> og </w:t>
      </w:r>
      <w:proofErr w:type="spellStart"/>
      <w:r w:rsidRPr="00C01559">
        <w:rPr>
          <w:sz w:val="24"/>
          <w:szCs w:val="24"/>
        </w:rPr>
        <w:t>leflunomid</w:t>
      </w:r>
      <w:proofErr w:type="spellEnd"/>
      <w:r w:rsidRPr="00C01559">
        <w:rPr>
          <w:sz w:val="24"/>
          <w:szCs w:val="24"/>
        </w:rPr>
        <w:t xml:space="preserve"> kan øge risikoen for </w:t>
      </w:r>
      <w:proofErr w:type="spellStart"/>
      <w:r w:rsidRPr="00C01559">
        <w:rPr>
          <w:sz w:val="24"/>
          <w:szCs w:val="24"/>
        </w:rPr>
        <w:t>pancytopeni</w:t>
      </w:r>
      <w:proofErr w:type="spellEnd"/>
      <w:r w:rsidRPr="00C01559">
        <w:rPr>
          <w:sz w:val="24"/>
          <w:szCs w:val="24"/>
        </w:rPr>
        <w:t>.</w:t>
      </w:r>
    </w:p>
    <w:p w14:paraId="0DE4B426" w14:textId="77777777" w:rsidR="00B5675F" w:rsidRPr="00C01559" w:rsidRDefault="00B5675F" w:rsidP="00C73CAD">
      <w:pPr>
        <w:ind w:left="851"/>
        <w:rPr>
          <w:sz w:val="24"/>
          <w:szCs w:val="24"/>
        </w:rPr>
      </w:pPr>
    </w:p>
    <w:p w14:paraId="19DFBDF8" w14:textId="77777777" w:rsidR="00B5675F" w:rsidRPr="00C01559" w:rsidRDefault="00B5675F" w:rsidP="00C73CAD">
      <w:pPr>
        <w:ind w:left="851"/>
        <w:rPr>
          <w:sz w:val="24"/>
          <w:szCs w:val="24"/>
        </w:rPr>
      </w:pPr>
      <w:r w:rsidRPr="00C01559">
        <w:rPr>
          <w:sz w:val="24"/>
          <w:szCs w:val="24"/>
        </w:rPr>
        <w:t xml:space="preserve">Særligt i tilfælde af ortopædisk kirurgi, hvor risikoen for infektion er høj, skal kombinationsbehandling med </w:t>
      </w:r>
      <w:proofErr w:type="spellStart"/>
      <w:r w:rsidRPr="00C01559">
        <w:rPr>
          <w:sz w:val="24"/>
          <w:szCs w:val="24"/>
        </w:rPr>
        <w:t>methotrexat</w:t>
      </w:r>
      <w:proofErr w:type="spellEnd"/>
      <w:r w:rsidRPr="00C01559">
        <w:rPr>
          <w:sz w:val="24"/>
          <w:szCs w:val="24"/>
        </w:rPr>
        <w:t xml:space="preserve"> og immunmodulerende lægemidler anvendes med forsigtighed.</w:t>
      </w:r>
    </w:p>
    <w:p w14:paraId="3787945B" w14:textId="77777777" w:rsidR="00B5675F" w:rsidRPr="00C01559" w:rsidRDefault="00B5675F" w:rsidP="00C73CAD">
      <w:pPr>
        <w:ind w:left="851"/>
        <w:rPr>
          <w:sz w:val="24"/>
          <w:szCs w:val="24"/>
        </w:rPr>
      </w:pPr>
      <w:proofErr w:type="spellStart"/>
      <w:r w:rsidRPr="00C01559">
        <w:rPr>
          <w:sz w:val="24"/>
          <w:szCs w:val="24"/>
        </w:rPr>
        <w:t>Cholestyramin</w:t>
      </w:r>
      <w:proofErr w:type="spellEnd"/>
      <w:r w:rsidRPr="00C01559">
        <w:rPr>
          <w:sz w:val="24"/>
          <w:szCs w:val="24"/>
        </w:rPr>
        <w:t xml:space="preserve"> kan øge den ikke-</w:t>
      </w:r>
      <w:proofErr w:type="spellStart"/>
      <w:r w:rsidRPr="00C01559">
        <w:rPr>
          <w:sz w:val="24"/>
          <w:szCs w:val="24"/>
        </w:rPr>
        <w:t>renale</w:t>
      </w:r>
      <w:proofErr w:type="spellEnd"/>
      <w:r w:rsidRPr="00C01559">
        <w:rPr>
          <w:sz w:val="24"/>
          <w:szCs w:val="24"/>
        </w:rPr>
        <w:t xml:space="preserve"> elimination af </w:t>
      </w:r>
      <w:proofErr w:type="spellStart"/>
      <w:r w:rsidRPr="00C01559">
        <w:rPr>
          <w:sz w:val="24"/>
          <w:szCs w:val="24"/>
        </w:rPr>
        <w:t>methotrexat</w:t>
      </w:r>
      <w:proofErr w:type="spellEnd"/>
      <w:r w:rsidRPr="00C01559">
        <w:rPr>
          <w:sz w:val="24"/>
          <w:szCs w:val="24"/>
        </w:rPr>
        <w:t xml:space="preserve">, da det interfererer med den </w:t>
      </w:r>
      <w:proofErr w:type="spellStart"/>
      <w:r w:rsidRPr="00C01559">
        <w:rPr>
          <w:sz w:val="24"/>
          <w:szCs w:val="24"/>
        </w:rPr>
        <w:t>enterohepatiske</w:t>
      </w:r>
      <w:proofErr w:type="spellEnd"/>
      <w:r w:rsidRPr="00C01559">
        <w:rPr>
          <w:sz w:val="24"/>
          <w:szCs w:val="24"/>
        </w:rPr>
        <w:t xml:space="preserve"> cirkulation.</w:t>
      </w:r>
    </w:p>
    <w:p w14:paraId="675348EA" w14:textId="77777777" w:rsidR="00B5675F" w:rsidRPr="00C01559" w:rsidRDefault="00B5675F" w:rsidP="00C73CAD">
      <w:pPr>
        <w:ind w:left="851"/>
        <w:rPr>
          <w:sz w:val="24"/>
          <w:szCs w:val="24"/>
        </w:rPr>
      </w:pPr>
      <w:r w:rsidRPr="00C01559">
        <w:rPr>
          <w:sz w:val="24"/>
          <w:szCs w:val="24"/>
        </w:rPr>
        <w:t xml:space="preserve">Muligheden for forsinket </w:t>
      </w:r>
      <w:proofErr w:type="spellStart"/>
      <w:r w:rsidRPr="00C01559">
        <w:rPr>
          <w:sz w:val="24"/>
          <w:szCs w:val="24"/>
        </w:rPr>
        <w:t>clearance</w:t>
      </w:r>
      <w:proofErr w:type="spellEnd"/>
      <w:r w:rsidRPr="00C01559">
        <w:rPr>
          <w:sz w:val="24"/>
          <w:szCs w:val="24"/>
        </w:rPr>
        <w:t xml:space="preserve"> af </w:t>
      </w:r>
      <w:proofErr w:type="spellStart"/>
      <w:r w:rsidRPr="00C01559">
        <w:rPr>
          <w:sz w:val="24"/>
          <w:szCs w:val="24"/>
        </w:rPr>
        <w:t>methotrexat</w:t>
      </w:r>
      <w:proofErr w:type="spellEnd"/>
      <w:r w:rsidRPr="00C01559">
        <w:rPr>
          <w:sz w:val="24"/>
          <w:szCs w:val="24"/>
        </w:rPr>
        <w:t xml:space="preserve"> skal tages i betragtning ved kombination med andre </w:t>
      </w:r>
      <w:proofErr w:type="spellStart"/>
      <w:r w:rsidRPr="00C01559">
        <w:rPr>
          <w:sz w:val="24"/>
          <w:szCs w:val="24"/>
        </w:rPr>
        <w:t>cytostatiske</w:t>
      </w:r>
      <w:proofErr w:type="spellEnd"/>
      <w:r w:rsidRPr="00C01559">
        <w:rPr>
          <w:sz w:val="24"/>
          <w:szCs w:val="24"/>
        </w:rPr>
        <w:t xml:space="preserve"> lægemidler.</w:t>
      </w:r>
    </w:p>
    <w:p w14:paraId="01211B65" w14:textId="77777777" w:rsidR="00B5675F" w:rsidRPr="00C01559" w:rsidRDefault="00B5675F" w:rsidP="00C73CAD">
      <w:pPr>
        <w:ind w:left="851"/>
        <w:rPr>
          <w:sz w:val="24"/>
          <w:szCs w:val="24"/>
        </w:rPr>
      </w:pPr>
    </w:p>
    <w:p w14:paraId="6E2491C2" w14:textId="77777777" w:rsidR="00B5675F" w:rsidRPr="00C01559" w:rsidRDefault="00B5675F" w:rsidP="00C73CAD">
      <w:pPr>
        <w:ind w:left="851"/>
        <w:rPr>
          <w:sz w:val="24"/>
          <w:szCs w:val="24"/>
        </w:rPr>
      </w:pPr>
      <w:r w:rsidRPr="00C01559">
        <w:rPr>
          <w:sz w:val="24"/>
          <w:szCs w:val="24"/>
        </w:rPr>
        <w:t xml:space="preserve">Strålebehandling under behandling med </w:t>
      </w:r>
      <w:proofErr w:type="spellStart"/>
      <w:r w:rsidRPr="00C01559">
        <w:rPr>
          <w:sz w:val="24"/>
          <w:szCs w:val="24"/>
        </w:rPr>
        <w:t>methotrexat</w:t>
      </w:r>
      <w:proofErr w:type="spellEnd"/>
      <w:r w:rsidRPr="00C01559">
        <w:rPr>
          <w:sz w:val="24"/>
          <w:szCs w:val="24"/>
        </w:rPr>
        <w:t xml:space="preserve"> kan øge risikoen for </w:t>
      </w:r>
      <w:proofErr w:type="spellStart"/>
      <w:r w:rsidRPr="00C01559">
        <w:rPr>
          <w:sz w:val="24"/>
          <w:szCs w:val="24"/>
        </w:rPr>
        <w:t>bløddels-</w:t>
      </w:r>
      <w:proofErr w:type="spellEnd"/>
      <w:r w:rsidRPr="00C01559">
        <w:rPr>
          <w:sz w:val="24"/>
          <w:szCs w:val="24"/>
        </w:rPr>
        <w:t xml:space="preserve"> eller knoglenekrose.</w:t>
      </w:r>
    </w:p>
    <w:p w14:paraId="0BF8B5CB" w14:textId="77777777" w:rsidR="00B5675F" w:rsidRPr="00C01559" w:rsidRDefault="00B5675F" w:rsidP="00C73CAD">
      <w:pPr>
        <w:ind w:left="851"/>
        <w:rPr>
          <w:sz w:val="24"/>
          <w:szCs w:val="24"/>
        </w:rPr>
      </w:pPr>
      <w:proofErr w:type="spellStart"/>
      <w:r w:rsidRPr="00C01559">
        <w:rPr>
          <w:sz w:val="24"/>
          <w:szCs w:val="24"/>
        </w:rPr>
        <w:t>Methotrexat</w:t>
      </w:r>
      <w:proofErr w:type="spellEnd"/>
      <w:r w:rsidRPr="00C01559">
        <w:rPr>
          <w:sz w:val="24"/>
          <w:szCs w:val="24"/>
        </w:rPr>
        <w:t xml:space="preserve"> kan reducere </w:t>
      </w:r>
      <w:proofErr w:type="spellStart"/>
      <w:r w:rsidRPr="00C01559">
        <w:rPr>
          <w:sz w:val="24"/>
          <w:szCs w:val="24"/>
        </w:rPr>
        <w:t>clearance</w:t>
      </w:r>
      <w:proofErr w:type="spellEnd"/>
      <w:r w:rsidRPr="00C01559">
        <w:rPr>
          <w:sz w:val="24"/>
          <w:szCs w:val="24"/>
        </w:rPr>
        <w:t xml:space="preserve"> af </w:t>
      </w:r>
      <w:proofErr w:type="spellStart"/>
      <w:r w:rsidRPr="00C01559">
        <w:rPr>
          <w:sz w:val="24"/>
          <w:szCs w:val="24"/>
        </w:rPr>
        <w:t>theophyllin</w:t>
      </w:r>
      <w:proofErr w:type="spellEnd"/>
      <w:r w:rsidRPr="00C01559">
        <w:rPr>
          <w:sz w:val="24"/>
          <w:szCs w:val="24"/>
        </w:rPr>
        <w:t xml:space="preserve">. Derfor skal serumniveauet af </w:t>
      </w:r>
      <w:proofErr w:type="spellStart"/>
      <w:r w:rsidRPr="00C01559">
        <w:rPr>
          <w:sz w:val="24"/>
          <w:szCs w:val="24"/>
        </w:rPr>
        <w:t>theophyllin</w:t>
      </w:r>
      <w:proofErr w:type="spellEnd"/>
      <w:r w:rsidRPr="00C01559">
        <w:rPr>
          <w:sz w:val="24"/>
          <w:szCs w:val="24"/>
        </w:rPr>
        <w:t xml:space="preserve"> monitoreres under samtidig behandling med </w:t>
      </w:r>
      <w:proofErr w:type="spellStart"/>
      <w:r w:rsidRPr="00C01559">
        <w:rPr>
          <w:sz w:val="24"/>
          <w:szCs w:val="24"/>
        </w:rPr>
        <w:t>methotrexat</w:t>
      </w:r>
      <w:proofErr w:type="spellEnd"/>
      <w:r w:rsidRPr="00C01559">
        <w:rPr>
          <w:sz w:val="24"/>
          <w:szCs w:val="24"/>
        </w:rPr>
        <w:t>.</w:t>
      </w:r>
    </w:p>
    <w:p w14:paraId="5F62E491" w14:textId="77777777" w:rsidR="00B5675F" w:rsidRPr="00C01559" w:rsidRDefault="00B5675F" w:rsidP="00C73CAD">
      <w:pPr>
        <w:ind w:left="851"/>
        <w:rPr>
          <w:sz w:val="24"/>
          <w:szCs w:val="24"/>
        </w:rPr>
      </w:pPr>
    </w:p>
    <w:p w14:paraId="6FE774E0" w14:textId="77777777" w:rsidR="00B5675F" w:rsidRPr="00C01559" w:rsidRDefault="00B5675F" w:rsidP="00C73CAD">
      <w:pPr>
        <w:ind w:left="851"/>
        <w:rPr>
          <w:sz w:val="24"/>
          <w:szCs w:val="24"/>
        </w:rPr>
      </w:pPr>
      <w:r w:rsidRPr="00C01559">
        <w:rPr>
          <w:sz w:val="24"/>
          <w:szCs w:val="24"/>
        </w:rPr>
        <w:t xml:space="preserve">Samtidig administration af </w:t>
      </w:r>
      <w:proofErr w:type="spellStart"/>
      <w:r w:rsidRPr="00C01559">
        <w:rPr>
          <w:sz w:val="24"/>
          <w:szCs w:val="24"/>
        </w:rPr>
        <w:t>mercaptopurin</w:t>
      </w:r>
      <w:proofErr w:type="spellEnd"/>
      <w:r w:rsidRPr="00C01559">
        <w:rPr>
          <w:sz w:val="24"/>
          <w:szCs w:val="24"/>
        </w:rPr>
        <w:t xml:space="preserve"> og </w:t>
      </w:r>
      <w:proofErr w:type="spellStart"/>
      <w:r w:rsidRPr="00C01559">
        <w:rPr>
          <w:sz w:val="24"/>
          <w:szCs w:val="24"/>
        </w:rPr>
        <w:t>methotrexat</w:t>
      </w:r>
      <w:proofErr w:type="spellEnd"/>
      <w:r w:rsidRPr="00C01559">
        <w:rPr>
          <w:sz w:val="24"/>
          <w:szCs w:val="24"/>
        </w:rPr>
        <w:t xml:space="preserve"> kan øge biotilgængeligheden af </w:t>
      </w:r>
      <w:proofErr w:type="spellStart"/>
      <w:r w:rsidRPr="00C01559">
        <w:rPr>
          <w:sz w:val="24"/>
          <w:szCs w:val="24"/>
        </w:rPr>
        <w:t>mercaptopurin</w:t>
      </w:r>
      <w:proofErr w:type="spellEnd"/>
      <w:r w:rsidRPr="00C01559">
        <w:rPr>
          <w:sz w:val="24"/>
          <w:szCs w:val="24"/>
        </w:rPr>
        <w:t xml:space="preserve">, muligvis som følge af hæmmet metabolisme af </w:t>
      </w:r>
      <w:proofErr w:type="spellStart"/>
      <w:r w:rsidRPr="00C01559">
        <w:rPr>
          <w:sz w:val="24"/>
          <w:szCs w:val="24"/>
        </w:rPr>
        <w:t>mercaptopurin</w:t>
      </w:r>
      <w:proofErr w:type="spellEnd"/>
      <w:r w:rsidRPr="00C01559">
        <w:rPr>
          <w:sz w:val="24"/>
          <w:szCs w:val="24"/>
        </w:rPr>
        <w:t>.</w:t>
      </w:r>
    </w:p>
    <w:p w14:paraId="1D7BAC4A" w14:textId="77777777" w:rsidR="00B5675F" w:rsidRPr="00C01559" w:rsidRDefault="00B5675F" w:rsidP="00C73CAD">
      <w:pPr>
        <w:ind w:left="851"/>
        <w:rPr>
          <w:sz w:val="24"/>
          <w:szCs w:val="24"/>
        </w:rPr>
      </w:pPr>
    </w:p>
    <w:p w14:paraId="2C8D508D" w14:textId="77777777" w:rsidR="00B5675F" w:rsidRPr="00C01559" w:rsidRDefault="00B5675F" w:rsidP="00C73CAD">
      <w:pPr>
        <w:ind w:left="851"/>
        <w:rPr>
          <w:sz w:val="24"/>
          <w:szCs w:val="24"/>
        </w:rPr>
      </w:pPr>
      <w:r w:rsidRPr="00C01559">
        <w:rPr>
          <w:sz w:val="24"/>
          <w:szCs w:val="24"/>
        </w:rPr>
        <w:t xml:space="preserve">Set i lyset af de mulige virkninger på immunsystemet kan </w:t>
      </w:r>
      <w:proofErr w:type="spellStart"/>
      <w:r w:rsidRPr="00C01559">
        <w:rPr>
          <w:sz w:val="24"/>
          <w:szCs w:val="24"/>
        </w:rPr>
        <w:t>methotrexat</w:t>
      </w:r>
      <w:proofErr w:type="spellEnd"/>
      <w:r w:rsidRPr="00C01559">
        <w:rPr>
          <w:sz w:val="24"/>
          <w:szCs w:val="24"/>
        </w:rPr>
        <w:t xml:space="preserve"> medføre falske vaccine- og testresultater (immunologiske procedurer til vurdering af immunreaktionen). Samtidig vaccination med levende vacciner skal undgås under behandlingen med </w:t>
      </w:r>
      <w:proofErr w:type="spellStart"/>
      <w:r w:rsidRPr="00C01559">
        <w:rPr>
          <w:sz w:val="24"/>
          <w:szCs w:val="24"/>
        </w:rPr>
        <w:t>methotrexat</w:t>
      </w:r>
      <w:proofErr w:type="spellEnd"/>
      <w:r w:rsidRPr="00C01559">
        <w:rPr>
          <w:sz w:val="24"/>
          <w:szCs w:val="24"/>
        </w:rPr>
        <w:t xml:space="preserve"> (se pkt. 4.3 og 4.4).</w:t>
      </w:r>
    </w:p>
    <w:p w14:paraId="2BF83C25" w14:textId="77777777" w:rsidR="009260DE" w:rsidRPr="00C01559" w:rsidRDefault="009260DE" w:rsidP="009260DE">
      <w:pPr>
        <w:tabs>
          <w:tab w:val="left" w:pos="851"/>
        </w:tabs>
        <w:ind w:left="851"/>
        <w:rPr>
          <w:sz w:val="24"/>
          <w:szCs w:val="24"/>
        </w:rPr>
      </w:pPr>
    </w:p>
    <w:p w14:paraId="6D2814A8" w14:textId="77777777" w:rsidR="009260DE" w:rsidRPr="00C01559" w:rsidRDefault="009260DE" w:rsidP="009260DE">
      <w:pPr>
        <w:tabs>
          <w:tab w:val="left" w:pos="851"/>
        </w:tabs>
        <w:ind w:left="851" w:hanging="851"/>
        <w:rPr>
          <w:b/>
          <w:sz w:val="24"/>
          <w:szCs w:val="24"/>
        </w:rPr>
      </w:pPr>
      <w:r w:rsidRPr="00C01559">
        <w:rPr>
          <w:b/>
          <w:sz w:val="24"/>
          <w:szCs w:val="24"/>
        </w:rPr>
        <w:t>4.6</w:t>
      </w:r>
      <w:r w:rsidRPr="00C01559">
        <w:rPr>
          <w:b/>
          <w:sz w:val="24"/>
          <w:szCs w:val="24"/>
        </w:rPr>
        <w:tab/>
      </w:r>
      <w:r w:rsidR="0071241E" w:rsidRPr="00C01559">
        <w:rPr>
          <w:b/>
          <w:sz w:val="24"/>
          <w:szCs w:val="24"/>
        </w:rPr>
        <w:t>Fertilitet, g</w:t>
      </w:r>
      <w:r w:rsidRPr="00C01559">
        <w:rPr>
          <w:b/>
          <w:sz w:val="24"/>
          <w:szCs w:val="24"/>
        </w:rPr>
        <w:t>raviditet og amning</w:t>
      </w:r>
    </w:p>
    <w:p w14:paraId="6527F749" w14:textId="77777777" w:rsidR="00C01559" w:rsidRPr="00C01559" w:rsidRDefault="00C01559" w:rsidP="00C73CAD">
      <w:pPr>
        <w:ind w:left="851"/>
        <w:rPr>
          <w:sz w:val="24"/>
          <w:szCs w:val="24"/>
        </w:rPr>
      </w:pPr>
    </w:p>
    <w:p w14:paraId="1507351B" w14:textId="2865D1A2" w:rsidR="00B5675F" w:rsidRPr="00C01559" w:rsidRDefault="00B5675F" w:rsidP="00C73CAD">
      <w:pPr>
        <w:ind w:left="851"/>
        <w:rPr>
          <w:sz w:val="24"/>
          <w:szCs w:val="24"/>
          <w:u w:val="single"/>
        </w:rPr>
      </w:pPr>
      <w:r w:rsidRPr="00C01559">
        <w:rPr>
          <w:sz w:val="24"/>
          <w:szCs w:val="24"/>
          <w:u w:val="single"/>
        </w:rPr>
        <w:t>Kvinder i den fertile alder/</w:t>
      </w:r>
      <w:proofErr w:type="spellStart"/>
      <w:r w:rsidRPr="00C01559">
        <w:rPr>
          <w:sz w:val="24"/>
          <w:szCs w:val="24"/>
          <w:u w:val="single"/>
        </w:rPr>
        <w:t>kontraception</w:t>
      </w:r>
      <w:proofErr w:type="spellEnd"/>
      <w:r w:rsidRPr="00C01559">
        <w:rPr>
          <w:sz w:val="24"/>
          <w:szCs w:val="24"/>
          <w:u w:val="single"/>
        </w:rPr>
        <w:t xml:space="preserve"> hos kvinder</w:t>
      </w:r>
    </w:p>
    <w:p w14:paraId="508D150A" w14:textId="77777777" w:rsidR="00B5675F" w:rsidRPr="00C01559" w:rsidRDefault="00B5675F" w:rsidP="00C73CAD">
      <w:pPr>
        <w:ind w:left="851"/>
        <w:rPr>
          <w:sz w:val="24"/>
          <w:szCs w:val="24"/>
        </w:rPr>
      </w:pPr>
      <w:r w:rsidRPr="00C01559">
        <w:rPr>
          <w:sz w:val="24"/>
          <w:szCs w:val="24"/>
        </w:rPr>
        <w:t xml:space="preserve">Kvinder må ikke blive gravide under behandlingen med </w:t>
      </w:r>
      <w:proofErr w:type="spellStart"/>
      <w:r w:rsidRPr="00C01559">
        <w:rPr>
          <w:sz w:val="24"/>
          <w:szCs w:val="24"/>
        </w:rPr>
        <w:t>methotrexat</w:t>
      </w:r>
      <w:proofErr w:type="spellEnd"/>
      <w:r w:rsidRPr="00C01559">
        <w:rPr>
          <w:sz w:val="24"/>
          <w:szCs w:val="24"/>
        </w:rPr>
        <w:t xml:space="preserve">, og der skal anvendes sikker </w:t>
      </w:r>
      <w:proofErr w:type="spellStart"/>
      <w:r w:rsidRPr="00C01559">
        <w:rPr>
          <w:sz w:val="24"/>
          <w:szCs w:val="24"/>
        </w:rPr>
        <w:t>kontraception</w:t>
      </w:r>
      <w:proofErr w:type="spellEnd"/>
      <w:r w:rsidRPr="00C01559">
        <w:rPr>
          <w:sz w:val="24"/>
          <w:szCs w:val="24"/>
        </w:rPr>
        <w:t xml:space="preserve"> under behandlingen med </w:t>
      </w:r>
      <w:proofErr w:type="spellStart"/>
      <w:r w:rsidRPr="00C01559">
        <w:rPr>
          <w:sz w:val="24"/>
          <w:szCs w:val="24"/>
        </w:rPr>
        <w:t>methotrexat</w:t>
      </w:r>
      <w:proofErr w:type="spellEnd"/>
      <w:r w:rsidRPr="00C01559">
        <w:rPr>
          <w:sz w:val="24"/>
          <w:szCs w:val="24"/>
        </w:rPr>
        <w:t xml:space="preserve"> og i mindst 6 måneder derefter (se pkt. 4.4). Inden iværksættelse af behandlingen skal kvinder i den fertile alder informeres om risikoen for misdannelser i forbindelse med </w:t>
      </w:r>
      <w:proofErr w:type="spellStart"/>
      <w:r w:rsidRPr="00C01559">
        <w:rPr>
          <w:sz w:val="24"/>
          <w:szCs w:val="24"/>
        </w:rPr>
        <w:t>methotrexat</w:t>
      </w:r>
      <w:proofErr w:type="spellEnd"/>
      <w:r w:rsidRPr="00C01559">
        <w:rPr>
          <w:sz w:val="24"/>
          <w:szCs w:val="24"/>
        </w:rPr>
        <w:t xml:space="preserve">, og graviditet skal udelukkes med sikkerhed ved hjælp af passende foranstaltninger, f.eks. en graviditetstest. Under behandlingen skal graviditetstest gentages efter klinisk behov (f.eks. efter en afbrydelse af </w:t>
      </w:r>
      <w:proofErr w:type="spellStart"/>
      <w:r w:rsidRPr="00C01559">
        <w:rPr>
          <w:sz w:val="24"/>
          <w:szCs w:val="24"/>
        </w:rPr>
        <w:t>kontraceptionen</w:t>
      </w:r>
      <w:proofErr w:type="spellEnd"/>
      <w:r w:rsidRPr="00C01559">
        <w:rPr>
          <w:sz w:val="24"/>
          <w:szCs w:val="24"/>
        </w:rPr>
        <w:t>). Kvindelige patienter i den fertile alder skal rådgives om svangerskabsforebyggelse og -planlægning.</w:t>
      </w:r>
    </w:p>
    <w:p w14:paraId="34344C8A" w14:textId="77777777" w:rsidR="00C01559" w:rsidRPr="00C01559" w:rsidRDefault="00C01559" w:rsidP="00C73CAD">
      <w:pPr>
        <w:ind w:left="851"/>
        <w:rPr>
          <w:sz w:val="24"/>
          <w:szCs w:val="24"/>
        </w:rPr>
      </w:pPr>
    </w:p>
    <w:p w14:paraId="4F6CFE5E" w14:textId="494697A4" w:rsidR="00B5675F" w:rsidRPr="00C01559" w:rsidRDefault="00B5675F" w:rsidP="00C73CAD">
      <w:pPr>
        <w:ind w:left="851"/>
        <w:rPr>
          <w:sz w:val="24"/>
          <w:szCs w:val="24"/>
          <w:u w:val="single"/>
        </w:rPr>
      </w:pPr>
      <w:proofErr w:type="spellStart"/>
      <w:r w:rsidRPr="00C01559">
        <w:rPr>
          <w:sz w:val="24"/>
          <w:szCs w:val="24"/>
          <w:u w:val="single"/>
        </w:rPr>
        <w:t>Kontraception</w:t>
      </w:r>
      <w:proofErr w:type="spellEnd"/>
      <w:r w:rsidRPr="00C01559">
        <w:rPr>
          <w:sz w:val="24"/>
          <w:szCs w:val="24"/>
          <w:u w:val="single"/>
        </w:rPr>
        <w:t xml:space="preserve"> hos mænd</w:t>
      </w:r>
    </w:p>
    <w:p w14:paraId="23673EE8" w14:textId="77777777" w:rsidR="00B5675F" w:rsidRPr="00C01559" w:rsidRDefault="00B5675F" w:rsidP="00C73CAD">
      <w:pPr>
        <w:ind w:left="851"/>
        <w:rPr>
          <w:sz w:val="24"/>
          <w:szCs w:val="24"/>
        </w:rPr>
      </w:pPr>
      <w:r w:rsidRPr="00C01559">
        <w:rPr>
          <w:sz w:val="24"/>
          <w:szCs w:val="24"/>
        </w:rPr>
        <w:t xml:space="preserve">Det er ukendt, om </w:t>
      </w:r>
      <w:proofErr w:type="spellStart"/>
      <w:r w:rsidRPr="00C01559">
        <w:rPr>
          <w:sz w:val="24"/>
          <w:szCs w:val="24"/>
        </w:rPr>
        <w:t>methotrexat</w:t>
      </w:r>
      <w:proofErr w:type="spellEnd"/>
      <w:r w:rsidRPr="00C01559">
        <w:rPr>
          <w:sz w:val="24"/>
          <w:szCs w:val="24"/>
        </w:rPr>
        <w:t xml:space="preserve"> udskilles i sæd. </w:t>
      </w:r>
      <w:proofErr w:type="spellStart"/>
      <w:r w:rsidRPr="00C01559">
        <w:rPr>
          <w:sz w:val="24"/>
          <w:szCs w:val="24"/>
        </w:rPr>
        <w:t>Methotrexat</w:t>
      </w:r>
      <w:proofErr w:type="spellEnd"/>
      <w:r w:rsidRPr="00C01559">
        <w:rPr>
          <w:sz w:val="24"/>
          <w:szCs w:val="24"/>
        </w:rPr>
        <w:t xml:space="preserve"> har vist sig at være genotoksisk i dyreforsøg, så en risiko for genotoksiske virkninger på sædceller kan ikke udelukkes helt. Begrænset klinisk evidens tyder ikke på en øget risiko for misdannelser eller abort efter </w:t>
      </w:r>
      <w:proofErr w:type="spellStart"/>
      <w:r w:rsidRPr="00C01559">
        <w:rPr>
          <w:sz w:val="24"/>
          <w:szCs w:val="24"/>
        </w:rPr>
        <w:t>paternel</w:t>
      </w:r>
      <w:proofErr w:type="spellEnd"/>
      <w:r w:rsidRPr="00C01559">
        <w:rPr>
          <w:sz w:val="24"/>
          <w:szCs w:val="24"/>
        </w:rPr>
        <w:t xml:space="preserve"> eksponering for lavdosis-</w:t>
      </w:r>
      <w:proofErr w:type="spellStart"/>
      <w:r w:rsidRPr="00C01559">
        <w:rPr>
          <w:sz w:val="24"/>
          <w:szCs w:val="24"/>
        </w:rPr>
        <w:t>methotrexat</w:t>
      </w:r>
      <w:proofErr w:type="spellEnd"/>
      <w:r w:rsidRPr="00C01559">
        <w:rPr>
          <w:sz w:val="24"/>
          <w:szCs w:val="24"/>
        </w:rPr>
        <w:t xml:space="preserve"> (under 30 mg/uge). Hvad angår højere doser, </w:t>
      </w:r>
      <w:r w:rsidRPr="00C01559">
        <w:rPr>
          <w:sz w:val="24"/>
          <w:szCs w:val="24"/>
        </w:rPr>
        <w:lastRenderedPageBreak/>
        <w:t xml:space="preserve">er der utilstrækkelige data til at estimere risikoen for misdannelser og abort efter </w:t>
      </w:r>
      <w:proofErr w:type="spellStart"/>
      <w:r w:rsidRPr="00C01559">
        <w:rPr>
          <w:sz w:val="24"/>
          <w:szCs w:val="24"/>
        </w:rPr>
        <w:t>paternel</w:t>
      </w:r>
      <w:proofErr w:type="spellEnd"/>
      <w:r w:rsidRPr="00C01559">
        <w:rPr>
          <w:sz w:val="24"/>
          <w:szCs w:val="24"/>
        </w:rPr>
        <w:t xml:space="preserve"> eksponering.</w:t>
      </w:r>
    </w:p>
    <w:p w14:paraId="4AE50D31" w14:textId="77777777" w:rsidR="00B5675F" w:rsidRPr="00C01559" w:rsidRDefault="00B5675F" w:rsidP="00C73CAD">
      <w:pPr>
        <w:ind w:left="851"/>
        <w:rPr>
          <w:sz w:val="24"/>
          <w:szCs w:val="24"/>
        </w:rPr>
      </w:pPr>
    </w:p>
    <w:p w14:paraId="5037F282" w14:textId="77777777" w:rsidR="00B5675F" w:rsidRPr="00C01559" w:rsidRDefault="00B5675F" w:rsidP="00C73CAD">
      <w:pPr>
        <w:ind w:left="851"/>
        <w:rPr>
          <w:sz w:val="24"/>
          <w:szCs w:val="24"/>
        </w:rPr>
      </w:pPr>
      <w:r w:rsidRPr="00C01559">
        <w:rPr>
          <w:sz w:val="24"/>
          <w:szCs w:val="24"/>
        </w:rPr>
        <w:t xml:space="preserve">Af forsigtighedshensyn anbefales det, at seksuelt aktive mandlige patienter og deres kvindelige partnere anvender pålidelig </w:t>
      </w:r>
      <w:proofErr w:type="spellStart"/>
      <w:r w:rsidRPr="00C01559">
        <w:rPr>
          <w:sz w:val="24"/>
          <w:szCs w:val="24"/>
        </w:rPr>
        <w:t>kontraception</w:t>
      </w:r>
      <w:proofErr w:type="spellEnd"/>
      <w:r w:rsidRPr="00C01559">
        <w:rPr>
          <w:sz w:val="24"/>
          <w:szCs w:val="24"/>
        </w:rPr>
        <w:t xml:space="preserve"> under den mandlige patients behandling og i mindst 3 måneder efter ophør af </w:t>
      </w:r>
      <w:proofErr w:type="spellStart"/>
      <w:r w:rsidRPr="00C01559">
        <w:rPr>
          <w:sz w:val="24"/>
          <w:szCs w:val="24"/>
        </w:rPr>
        <w:t>methotrexat</w:t>
      </w:r>
      <w:proofErr w:type="spellEnd"/>
      <w:r w:rsidRPr="00C01559">
        <w:rPr>
          <w:sz w:val="24"/>
          <w:szCs w:val="24"/>
        </w:rPr>
        <w:t xml:space="preserve">. Mænd må ikke donere sæd under behandlingen og i 3 uge efter </w:t>
      </w:r>
      <w:proofErr w:type="spellStart"/>
      <w:r w:rsidRPr="00C01559">
        <w:rPr>
          <w:sz w:val="24"/>
          <w:szCs w:val="24"/>
        </w:rPr>
        <w:t>seponering</w:t>
      </w:r>
      <w:proofErr w:type="spellEnd"/>
      <w:r w:rsidRPr="00C01559">
        <w:rPr>
          <w:sz w:val="24"/>
          <w:szCs w:val="24"/>
        </w:rPr>
        <w:t xml:space="preserve"> af </w:t>
      </w:r>
      <w:proofErr w:type="spellStart"/>
      <w:r w:rsidRPr="00C01559">
        <w:rPr>
          <w:sz w:val="24"/>
          <w:szCs w:val="24"/>
        </w:rPr>
        <w:t>methotrexat</w:t>
      </w:r>
      <w:proofErr w:type="spellEnd"/>
      <w:r w:rsidRPr="00C01559">
        <w:rPr>
          <w:sz w:val="24"/>
          <w:szCs w:val="24"/>
        </w:rPr>
        <w:t>.</w:t>
      </w:r>
    </w:p>
    <w:p w14:paraId="0D5F39AD" w14:textId="77777777" w:rsidR="00B5675F" w:rsidRPr="00C01559" w:rsidRDefault="00B5675F" w:rsidP="00C73CAD">
      <w:pPr>
        <w:ind w:left="851"/>
        <w:rPr>
          <w:sz w:val="24"/>
          <w:szCs w:val="24"/>
        </w:rPr>
      </w:pPr>
    </w:p>
    <w:p w14:paraId="19344A29" w14:textId="77777777" w:rsidR="00B5675F" w:rsidRPr="00C01559" w:rsidRDefault="00B5675F" w:rsidP="00C73CAD">
      <w:pPr>
        <w:ind w:left="851"/>
        <w:rPr>
          <w:sz w:val="24"/>
          <w:szCs w:val="24"/>
          <w:u w:val="single"/>
        </w:rPr>
      </w:pPr>
      <w:r w:rsidRPr="00C01559">
        <w:rPr>
          <w:sz w:val="24"/>
          <w:szCs w:val="24"/>
          <w:u w:val="single"/>
        </w:rPr>
        <w:t>Graviditet</w:t>
      </w:r>
    </w:p>
    <w:p w14:paraId="060DD619" w14:textId="3A750260" w:rsidR="00B5675F" w:rsidRPr="00C01559" w:rsidRDefault="00B5675F" w:rsidP="00C73CAD">
      <w:pPr>
        <w:ind w:left="851"/>
        <w:rPr>
          <w:sz w:val="24"/>
          <w:szCs w:val="24"/>
        </w:rPr>
      </w:pPr>
      <w:proofErr w:type="spellStart"/>
      <w:r w:rsidRPr="00C01559">
        <w:rPr>
          <w:sz w:val="24"/>
          <w:szCs w:val="24"/>
        </w:rPr>
        <w:t>Methotrexat</w:t>
      </w:r>
      <w:proofErr w:type="spellEnd"/>
      <w:r w:rsidRPr="00C01559">
        <w:rPr>
          <w:sz w:val="24"/>
          <w:szCs w:val="24"/>
        </w:rPr>
        <w:t xml:space="preserve"> er kontraindiceret under graviditet ved ikke-onkologiske indikationer (se pkt. 4.3). Hvis en kvinde bliver gravid under behandlingen med </w:t>
      </w:r>
      <w:proofErr w:type="spellStart"/>
      <w:r w:rsidRPr="00C01559">
        <w:rPr>
          <w:sz w:val="24"/>
          <w:szCs w:val="24"/>
        </w:rPr>
        <w:t>methotrexat</w:t>
      </w:r>
      <w:proofErr w:type="spellEnd"/>
      <w:r w:rsidRPr="00C01559">
        <w:rPr>
          <w:sz w:val="24"/>
          <w:szCs w:val="24"/>
        </w:rPr>
        <w:t xml:space="preserve"> eller inden for seks måneder derefter, skal der gives lægelig rådgivning om risikoen for skadelige virkninger på barnet i forbindelse med behandlingen, og der skal gennemføres ultralydsundersøgelser for at bekræfte normal fosterudvikling. I dyreforsøg har </w:t>
      </w:r>
      <w:proofErr w:type="spellStart"/>
      <w:r w:rsidRPr="00C01559">
        <w:rPr>
          <w:sz w:val="24"/>
          <w:szCs w:val="24"/>
        </w:rPr>
        <w:t>methotrexat</w:t>
      </w:r>
      <w:proofErr w:type="spellEnd"/>
      <w:r w:rsidRPr="00C01559">
        <w:rPr>
          <w:sz w:val="24"/>
          <w:szCs w:val="24"/>
        </w:rPr>
        <w:t xml:space="preserve"> udvist reproduktionstoksicitet, især i første trimester (se pkt. 5.3). Det er påvist, at </w:t>
      </w:r>
      <w:proofErr w:type="spellStart"/>
      <w:r w:rsidRPr="00C01559">
        <w:rPr>
          <w:sz w:val="24"/>
          <w:szCs w:val="24"/>
        </w:rPr>
        <w:t>methotrexat</w:t>
      </w:r>
      <w:proofErr w:type="spellEnd"/>
      <w:r w:rsidRPr="00C01559">
        <w:rPr>
          <w:sz w:val="24"/>
          <w:szCs w:val="24"/>
        </w:rPr>
        <w:t xml:space="preserve"> er </w:t>
      </w:r>
      <w:proofErr w:type="spellStart"/>
      <w:r w:rsidRPr="00C01559">
        <w:rPr>
          <w:sz w:val="24"/>
          <w:szCs w:val="24"/>
        </w:rPr>
        <w:t>teratogent</w:t>
      </w:r>
      <w:proofErr w:type="spellEnd"/>
      <w:r w:rsidRPr="00C01559">
        <w:rPr>
          <w:sz w:val="24"/>
          <w:szCs w:val="24"/>
        </w:rPr>
        <w:t xml:space="preserve"> hos mennesker. Der er indberettet fosterdød, abort og/eller medfødte misdannelser (f.eks. af </w:t>
      </w:r>
      <w:proofErr w:type="spellStart"/>
      <w:r w:rsidRPr="00C01559">
        <w:rPr>
          <w:sz w:val="24"/>
          <w:szCs w:val="24"/>
        </w:rPr>
        <w:t>kraniofacial</w:t>
      </w:r>
      <w:proofErr w:type="spellEnd"/>
      <w:r w:rsidRPr="00C01559">
        <w:rPr>
          <w:sz w:val="24"/>
          <w:szCs w:val="24"/>
        </w:rPr>
        <w:t xml:space="preserve">, </w:t>
      </w:r>
      <w:proofErr w:type="spellStart"/>
      <w:r w:rsidRPr="00C01559">
        <w:rPr>
          <w:sz w:val="24"/>
          <w:szCs w:val="24"/>
        </w:rPr>
        <w:t>kardiovaskulær</w:t>
      </w:r>
      <w:proofErr w:type="spellEnd"/>
      <w:r w:rsidRPr="00C01559">
        <w:rPr>
          <w:sz w:val="24"/>
          <w:szCs w:val="24"/>
        </w:rPr>
        <w:t>, CNS- og ekstremitets</w:t>
      </w:r>
      <w:r w:rsidR="00AD22C5">
        <w:rPr>
          <w:sz w:val="24"/>
          <w:szCs w:val="24"/>
        </w:rPr>
        <w:softHyphen/>
      </w:r>
      <w:r w:rsidRPr="00C01559">
        <w:rPr>
          <w:sz w:val="24"/>
          <w:szCs w:val="24"/>
        </w:rPr>
        <w:t>relateret karakter).</w:t>
      </w:r>
    </w:p>
    <w:p w14:paraId="5BDB3055" w14:textId="77777777" w:rsidR="00B5675F" w:rsidRPr="00C01559" w:rsidRDefault="00B5675F" w:rsidP="00C73CAD">
      <w:pPr>
        <w:ind w:left="851"/>
        <w:rPr>
          <w:sz w:val="24"/>
          <w:szCs w:val="24"/>
        </w:rPr>
      </w:pPr>
    </w:p>
    <w:p w14:paraId="02DA1003" w14:textId="77777777" w:rsidR="00B5675F" w:rsidRPr="00C01559" w:rsidRDefault="00B5675F" w:rsidP="00C73CAD">
      <w:pPr>
        <w:ind w:left="851"/>
        <w:rPr>
          <w:sz w:val="24"/>
          <w:szCs w:val="24"/>
        </w:rPr>
      </w:pPr>
      <w:proofErr w:type="spellStart"/>
      <w:r w:rsidRPr="00C01559">
        <w:rPr>
          <w:sz w:val="24"/>
          <w:szCs w:val="24"/>
        </w:rPr>
        <w:t>Methotrexat</w:t>
      </w:r>
      <w:proofErr w:type="spellEnd"/>
      <w:r w:rsidRPr="00C01559">
        <w:rPr>
          <w:sz w:val="24"/>
          <w:szCs w:val="24"/>
        </w:rPr>
        <w:t xml:space="preserve"> er et stærkt </w:t>
      </w:r>
      <w:proofErr w:type="spellStart"/>
      <w:r w:rsidRPr="00C01559">
        <w:rPr>
          <w:sz w:val="24"/>
          <w:szCs w:val="24"/>
        </w:rPr>
        <w:t>teratogent</w:t>
      </w:r>
      <w:proofErr w:type="spellEnd"/>
      <w:r w:rsidRPr="00C01559">
        <w:rPr>
          <w:sz w:val="24"/>
          <w:szCs w:val="24"/>
        </w:rPr>
        <w:t xml:space="preserve"> stof hos mennesker, der øger risikoen for spontane aborter, intrauterin væksthæmning og medfødte misdannelser i tilfælde af eksponering under graviditeten.</w:t>
      </w:r>
    </w:p>
    <w:p w14:paraId="02A5027C" w14:textId="77777777" w:rsidR="00B5675F" w:rsidRPr="00C01559" w:rsidRDefault="00B5675F" w:rsidP="00C73CAD">
      <w:pPr>
        <w:ind w:left="851"/>
        <w:rPr>
          <w:sz w:val="24"/>
          <w:szCs w:val="24"/>
        </w:rPr>
      </w:pPr>
      <w:r w:rsidRPr="00C01559">
        <w:rPr>
          <w:sz w:val="24"/>
          <w:szCs w:val="24"/>
        </w:rPr>
        <w:t>Der er rapporteret om spontane aborter hos 42,5 % af de gravide kvinder, der blev eksponeret for lavdosis-</w:t>
      </w:r>
      <w:proofErr w:type="spellStart"/>
      <w:r w:rsidRPr="00C01559">
        <w:rPr>
          <w:sz w:val="24"/>
          <w:szCs w:val="24"/>
        </w:rPr>
        <w:t>methotrexat</w:t>
      </w:r>
      <w:proofErr w:type="spellEnd"/>
      <w:r w:rsidRPr="00C01559">
        <w:rPr>
          <w:sz w:val="24"/>
          <w:szCs w:val="24"/>
        </w:rPr>
        <w:t xml:space="preserve"> (under 30 mg/uge), sammenlignet med en indberettet hyppighed på 22,5 % hos sygdomsmatchede patienter, der blev behandlet med andre lægemidler end </w:t>
      </w:r>
      <w:proofErr w:type="spellStart"/>
      <w:r w:rsidRPr="00C01559">
        <w:rPr>
          <w:sz w:val="24"/>
          <w:szCs w:val="24"/>
        </w:rPr>
        <w:t>methotrexat</w:t>
      </w:r>
      <w:proofErr w:type="spellEnd"/>
      <w:r w:rsidRPr="00C01559">
        <w:rPr>
          <w:sz w:val="24"/>
          <w:szCs w:val="24"/>
        </w:rPr>
        <w:t>.</w:t>
      </w:r>
    </w:p>
    <w:p w14:paraId="0F5CF5CA" w14:textId="77777777" w:rsidR="00B5675F" w:rsidRPr="00C01559" w:rsidRDefault="00B5675F" w:rsidP="00C73CAD">
      <w:pPr>
        <w:ind w:left="851"/>
        <w:rPr>
          <w:sz w:val="24"/>
          <w:szCs w:val="24"/>
        </w:rPr>
      </w:pPr>
    </w:p>
    <w:p w14:paraId="7C4E0D55" w14:textId="77777777" w:rsidR="00B5675F" w:rsidRPr="00C01559" w:rsidRDefault="00B5675F" w:rsidP="00C73CAD">
      <w:pPr>
        <w:ind w:left="851"/>
        <w:rPr>
          <w:sz w:val="24"/>
          <w:szCs w:val="24"/>
        </w:rPr>
      </w:pPr>
      <w:r w:rsidRPr="00C01559">
        <w:rPr>
          <w:sz w:val="24"/>
          <w:szCs w:val="24"/>
        </w:rPr>
        <w:t>Væsentlige medfødte misdannelser forekom hos 6,6 % af levendefødte børn født af kvinder, der var blevet eksponeret for lavdosis-</w:t>
      </w:r>
      <w:proofErr w:type="spellStart"/>
      <w:r w:rsidRPr="00C01559">
        <w:rPr>
          <w:sz w:val="24"/>
          <w:szCs w:val="24"/>
        </w:rPr>
        <w:t>methotrexat</w:t>
      </w:r>
      <w:proofErr w:type="spellEnd"/>
      <w:r w:rsidRPr="00C01559">
        <w:rPr>
          <w:sz w:val="24"/>
          <w:szCs w:val="24"/>
        </w:rPr>
        <w:t xml:space="preserve"> (under 30 mg/uge) under graviditeten, sammenlignet med cirka 4 % af levendefødte børn født af sygdomsmatchede kvinder, der var blevet behandlet med andre lægemidler end </w:t>
      </w:r>
      <w:proofErr w:type="spellStart"/>
      <w:r w:rsidRPr="00C01559">
        <w:rPr>
          <w:sz w:val="24"/>
          <w:szCs w:val="24"/>
        </w:rPr>
        <w:t>methotrexat</w:t>
      </w:r>
      <w:proofErr w:type="spellEnd"/>
      <w:r w:rsidRPr="00C01559">
        <w:rPr>
          <w:sz w:val="24"/>
          <w:szCs w:val="24"/>
        </w:rPr>
        <w:t>.</w:t>
      </w:r>
    </w:p>
    <w:p w14:paraId="59626EFB" w14:textId="77777777" w:rsidR="00B5675F" w:rsidRPr="00C01559" w:rsidRDefault="00B5675F" w:rsidP="00C73CAD">
      <w:pPr>
        <w:ind w:left="851"/>
        <w:rPr>
          <w:sz w:val="24"/>
          <w:szCs w:val="24"/>
        </w:rPr>
      </w:pPr>
      <w:r w:rsidRPr="00C01559">
        <w:rPr>
          <w:sz w:val="24"/>
          <w:szCs w:val="24"/>
        </w:rPr>
        <w:t xml:space="preserve">Der foreligger utilstrækkelige data vedrørende eksponering for </w:t>
      </w:r>
      <w:proofErr w:type="spellStart"/>
      <w:r w:rsidRPr="00C01559">
        <w:rPr>
          <w:sz w:val="24"/>
          <w:szCs w:val="24"/>
        </w:rPr>
        <w:t>methotrexatdoser</w:t>
      </w:r>
      <w:proofErr w:type="spellEnd"/>
      <w:r w:rsidRPr="00C01559">
        <w:rPr>
          <w:sz w:val="24"/>
          <w:szCs w:val="24"/>
        </w:rPr>
        <w:t xml:space="preserve"> over 30 mg/uge under graviditet, men der forventes en højere hyppighed af spontane aborter og medfødte misdannelser, især ved de doser, der almindeligvis anvendes ved onkologiske indikationer.</w:t>
      </w:r>
    </w:p>
    <w:p w14:paraId="3048799D" w14:textId="77777777" w:rsidR="00B5675F" w:rsidRPr="00C01559" w:rsidRDefault="00B5675F" w:rsidP="00C73CAD">
      <w:pPr>
        <w:ind w:left="851"/>
        <w:rPr>
          <w:sz w:val="24"/>
          <w:szCs w:val="24"/>
        </w:rPr>
      </w:pPr>
    </w:p>
    <w:p w14:paraId="676E3B1F" w14:textId="77777777" w:rsidR="00B5675F" w:rsidRPr="00C01559" w:rsidRDefault="00B5675F" w:rsidP="00C73CAD">
      <w:pPr>
        <w:ind w:left="851"/>
        <w:rPr>
          <w:sz w:val="24"/>
          <w:szCs w:val="24"/>
        </w:rPr>
      </w:pPr>
      <w:r w:rsidRPr="00C01559">
        <w:rPr>
          <w:sz w:val="24"/>
          <w:szCs w:val="24"/>
        </w:rPr>
        <w:t xml:space="preserve">Der er rapporteret om normale graviditeter, når </w:t>
      </w:r>
      <w:proofErr w:type="spellStart"/>
      <w:r w:rsidRPr="00C01559">
        <w:rPr>
          <w:sz w:val="24"/>
          <w:szCs w:val="24"/>
        </w:rPr>
        <w:t>methotrexat</w:t>
      </w:r>
      <w:proofErr w:type="spellEnd"/>
      <w:r w:rsidRPr="00C01559">
        <w:rPr>
          <w:sz w:val="24"/>
          <w:szCs w:val="24"/>
        </w:rPr>
        <w:t xml:space="preserve"> blev seponeret inden undfangelsen.</w:t>
      </w:r>
    </w:p>
    <w:p w14:paraId="3C4E27DF" w14:textId="77777777" w:rsidR="00C01559" w:rsidRPr="00C01559" w:rsidRDefault="00C01559" w:rsidP="00C73CAD">
      <w:pPr>
        <w:ind w:left="851"/>
        <w:rPr>
          <w:sz w:val="24"/>
          <w:szCs w:val="24"/>
        </w:rPr>
      </w:pPr>
    </w:p>
    <w:p w14:paraId="0ADF1238" w14:textId="55691B6E" w:rsidR="00B5675F" w:rsidRPr="00C01559" w:rsidRDefault="00B5675F" w:rsidP="00C73CAD">
      <w:pPr>
        <w:ind w:left="851"/>
        <w:rPr>
          <w:sz w:val="24"/>
          <w:szCs w:val="24"/>
        </w:rPr>
      </w:pPr>
      <w:r w:rsidRPr="00C01559">
        <w:rPr>
          <w:sz w:val="24"/>
          <w:szCs w:val="24"/>
        </w:rPr>
        <w:t xml:space="preserve">I forbindelse med brug ved onkologiske indikationer bør </w:t>
      </w:r>
      <w:proofErr w:type="spellStart"/>
      <w:r w:rsidRPr="00C01559">
        <w:rPr>
          <w:sz w:val="24"/>
          <w:szCs w:val="24"/>
        </w:rPr>
        <w:t>methotrexat</w:t>
      </w:r>
      <w:proofErr w:type="spellEnd"/>
      <w:r w:rsidRPr="00C01559">
        <w:rPr>
          <w:sz w:val="24"/>
          <w:szCs w:val="24"/>
        </w:rPr>
        <w:t xml:space="preserve"> ikke administreres under graviditet, især i første </w:t>
      </w:r>
      <w:proofErr w:type="spellStart"/>
      <w:r w:rsidRPr="00C01559">
        <w:rPr>
          <w:sz w:val="24"/>
          <w:szCs w:val="24"/>
        </w:rPr>
        <w:t>graviditetstrimester</w:t>
      </w:r>
      <w:proofErr w:type="spellEnd"/>
      <w:r w:rsidRPr="00C01559">
        <w:rPr>
          <w:sz w:val="24"/>
          <w:szCs w:val="24"/>
        </w:rPr>
        <w:t xml:space="preserve">. Fordelen ved behandling skal opvejes mod den potentielle risiko for fosteret i hvert enkelt tilfælde. Hvis lægemidlet anvendes under graviditet, eller hvis patienten bliver gravid under behandlingen med </w:t>
      </w:r>
      <w:proofErr w:type="spellStart"/>
      <w:r w:rsidRPr="00C01559">
        <w:rPr>
          <w:sz w:val="24"/>
          <w:szCs w:val="24"/>
        </w:rPr>
        <w:t>methotrexat</w:t>
      </w:r>
      <w:proofErr w:type="spellEnd"/>
      <w:r w:rsidRPr="00C01559">
        <w:rPr>
          <w:sz w:val="24"/>
          <w:szCs w:val="24"/>
        </w:rPr>
        <w:t>, skal patienten informeres om den potentielle risiko for fosteret.</w:t>
      </w:r>
    </w:p>
    <w:p w14:paraId="7F94C058" w14:textId="77777777" w:rsidR="00C01559" w:rsidRPr="00C01559" w:rsidRDefault="00C01559" w:rsidP="00C73CAD">
      <w:pPr>
        <w:ind w:left="851"/>
        <w:rPr>
          <w:sz w:val="24"/>
          <w:szCs w:val="24"/>
        </w:rPr>
      </w:pPr>
    </w:p>
    <w:p w14:paraId="2ACAAEC9" w14:textId="1D5C78D8" w:rsidR="00B5675F" w:rsidRPr="00C01559" w:rsidRDefault="00B5675F" w:rsidP="00C73CAD">
      <w:pPr>
        <w:ind w:left="851"/>
        <w:rPr>
          <w:sz w:val="24"/>
          <w:szCs w:val="24"/>
          <w:u w:val="single"/>
        </w:rPr>
      </w:pPr>
      <w:r w:rsidRPr="00C01559">
        <w:rPr>
          <w:sz w:val="24"/>
          <w:szCs w:val="24"/>
          <w:u w:val="single"/>
        </w:rPr>
        <w:t>Amning</w:t>
      </w:r>
    </w:p>
    <w:p w14:paraId="3CA01097" w14:textId="77777777" w:rsidR="00B5675F" w:rsidRPr="00C01559" w:rsidRDefault="00B5675F" w:rsidP="00C73CAD">
      <w:pPr>
        <w:ind w:left="851"/>
        <w:rPr>
          <w:sz w:val="24"/>
          <w:szCs w:val="24"/>
        </w:rPr>
      </w:pPr>
      <w:r w:rsidRPr="00C01559">
        <w:rPr>
          <w:sz w:val="24"/>
          <w:szCs w:val="24"/>
        </w:rPr>
        <w:t xml:space="preserve">Behandling er kontraindiceret i </w:t>
      </w:r>
      <w:proofErr w:type="spellStart"/>
      <w:r w:rsidRPr="00C01559">
        <w:rPr>
          <w:sz w:val="24"/>
          <w:szCs w:val="24"/>
        </w:rPr>
        <w:t>ammeperioden</w:t>
      </w:r>
      <w:proofErr w:type="spellEnd"/>
      <w:r w:rsidRPr="00C01559">
        <w:rPr>
          <w:sz w:val="24"/>
          <w:szCs w:val="24"/>
        </w:rPr>
        <w:t xml:space="preserve">, eftersom </w:t>
      </w:r>
      <w:proofErr w:type="spellStart"/>
      <w:r w:rsidRPr="00C01559">
        <w:rPr>
          <w:sz w:val="24"/>
          <w:szCs w:val="24"/>
        </w:rPr>
        <w:t>methotrexat</w:t>
      </w:r>
      <w:proofErr w:type="spellEnd"/>
      <w:r w:rsidRPr="00C01559">
        <w:rPr>
          <w:sz w:val="24"/>
          <w:szCs w:val="24"/>
        </w:rPr>
        <w:t xml:space="preserve"> går over i modermælken og kan forårsage toksicitet hos ammede børn (se pkt. 4.3). Hvis det bliver nødvendigt at anvende lægemidlet i </w:t>
      </w:r>
      <w:proofErr w:type="spellStart"/>
      <w:r w:rsidRPr="00C01559">
        <w:rPr>
          <w:sz w:val="24"/>
          <w:szCs w:val="24"/>
        </w:rPr>
        <w:t>ammeperioden</w:t>
      </w:r>
      <w:proofErr w:type="spellEnd"/>
      <w:r w:rsidRPr="00C01559">
        <w:rPr>
          <w:sz w:val="24"/>
          <w:szCs w:val="24"/>
        </w:rPr>
        <w:t>, skal amningen stoppes inden behandlingen.</w:t>
      </w:r>
    </w:p>
    <w:p w14:paraId="14D15345" w14:textId="6B2BA343" w:rsidR="00734D3F" w:rsidRDefault="00734D3F">
      <w:pPr>
        <w:rPr>
          <w:sz w:val="24"/>
          <w:szCs w:val="24"/>
        </w:rPr>
      </w:pPr>
      <w:r>
        <w:rPr>
          <w:sz w:val="24"/>
          <w:szCs w:val="24"/>
        </w:rPr>
        <w:br w:type="page"/>
      </w:r>
    </w:p>
    <w:p w14:paraId="042324EC" w14:textId="77777777" w:rsidR="00C01559" w:rsidRPr="00C01559" w:rsidRDefault="00C01559" w:rsidP="00C73CAD">
      <w:pPr>
        <w:ind w:left="851"/>
        <w:rPr>
          <w:sz w:val="24"/>
          <w:szCs w:val="24"/>
        </w:rPr>
      </w:pPr>
    </w:p>
    <w:p w14:paraId="63A933D7" w14:textId="08A3F3EC" w:rsidR="00B5675F" w:rsidRPr="00C01559" w:rsidRDefault="00B5675F" w:rsidP="00C73CAD">
      <w:pPr>
        <w:ind w:left="851"/>
        <w:rPr>
          <w:sz w:val="24"/>
          <w:szCs w:val="24"/>
          <w:u w:val="single"/>
        </w:rPr>
      </w:pPr>
      <w:r w:rsidRPr="00C01559">
        <w:rPr>
          <w:sz w:val="24"/>
          <w:szCs w:val="24"/>
          <w:u w:val="single"/>
        </w:rPr>
        <w:t>Fertilitet</w:t>
      </w:r>
    </w:p>
    <w:p w14:paraId="6D36A7C7" w14:textId="3D7429D3" w:rsidR="00B5675F" w:rsidRPr="00C01559" w:rsidRDefault="00B5675F" w:rsidP="00C73CAD">
      <w:pPr>
        <w:ind w:left="851"/>
        <w:rPr>
          <w:sz w:val="24"/>
          <w:szCs w:val="24"/>
        </w:rPr>
      </w:pPr>
      <w:proofErr w:type="spellStart"/>
      <w:r w:rsidRPr="00C01559">
        <w:rPr>
          <w:sz w:val="24"/>
          <w:szCs w:val="24"/>
        </w:rPr>
        <w:t>Methotrexat</w:t>
      </w:r>
      <w:proofErr w:type="spellEnd"/>
      <w:r w:rsidRPr="00C01559">
        <w:rPr>
          <w:sz w:val="24"/>
          <w:szCs w:val="24"/>
        </w:rPr>
        <w:t xml:space="preserve"> påvirker </w:t>
      </w:r>
      <w:proofErr w:type="spellStart"/>
      <w:r w:rsidRPr="00C01559">
        <w:rPr>
          <w:sz w:val="24"/>
          <w:szCs w:val="24"/>
        </w:rPr>
        <w:t>spermatogenesen</w:t>
      </w:r>
      <w:proofErr w:type="spellEnd"/>
      <w:r w:rsidRPr="00C01559">
        <w:rPr>
          <w:sz w:val="24"/>
          <w:szCs w:val="24"/>
        </w:rPr>
        <w:t xml:space="preserve"> og </w:t>
      </w:r>
      <w:proofErr w:type="spellStart"/>
      <w:r w:rsidRPr="00C01559">
        <w:rPr>
          <w:sz w:val="24"/>
          <w:szCs w:val="24"/>
        </w:rPr>
        <w:t>oogenesen</w:t>
      </w:r>
      <w:proofErr w:type="spellEnd"/>
      <w:r w:rsidRPr="00C01559">
        <w:rPr>
          <w:sz w:val="24"/>
          <w:szCs w:val="24"/>
        </w:rPr>
        <w:t xml:space="preserve"> og kan nedsætte fertiliteten. Hos mennesker er der rapporteret om </w:t>
      </w:r>
      <w:proofErr w:type="spellStart"/>
      <w:r w:rsidRPr="00C01559">
        <w:rPr>
          <w:sz w:val="24"/>
          <w:szCs w:val="24"/>
        </w:rPr>
        <w:t>methotrexat</w:t>
      </w:r>
      <w:proofErr w:type="spellEnd"/>
      <w:r w:rsidRPr="00C01559">
        <w:rPr>
          <w:sz w:val="24"/>
          <w:szCs w:val="24"/>
        </w:rPr>
        <w:t xml:space="preserve">-forårsaget </w:t>
      </w:r>
      <w:proofErr w:type="spellStart"/>
      <w:r w:rsidRPr="00C01559">
        <w:rPr>
          <w:sz w:val="24"/>
          <w:szCs w:val="24"/>
        </w:rPr>
        <w:t>oligospermi</w:t>
      </w:r>
      <w:proofErr w:type="spellEnd"/>
      <w:r w:rsidRPr="00C01559">
        <w:rPr>
          <w:sz w:val="24"/>
          <w:szCs w:val="24"/>
        </w:rPr>
        <w:t>, menstruations</w:t>
      </w:r>
      <w:r w:rsidR="00C01559" w:rsidRPr="00C01559">
        <w:rPr>
          <w:sz w:val="24"/>
          <w:szCs w:val="24"/>
        </w:rPr>
        <w:softHyphen/>
      </w:r>
      <w:r w:rsidRPr="00C01559">
        <w:rPr>
          <w:sz w:val="24"/>
          <w:szCs w:val="24"/>
        </w:rPr>
        <w:t xml:space="preserve">forstyrrelser og </w:t>
      </w:r>
      <w:proofErr w:type="spellStart"/>
      <w:r w:rsidRPr="00C01559">
        <w:rPr>
          <w:sz w:val="24"/>
          <w:szCs w:val="24"/>
        </w:rPr>
        <w:t>amenorré</w:t>
      </w:r>
      <w:proofErr w:type="spellEnd"/>
      <w:r w:rsidRPr="00C01559">
        <w:rPr>
          <w:sz w:val="24"/>
          <w:szCs w:val="24"/>
        </w:rPr>
        <w:t xml:space="preserve">. Disse virkninger er tilsyneladende reversible efter </w:t>
      </w:r>
      <w:proofErr w:type="spellStart"/>
      <w:r w:rsidRPr="00C01559">
        <w:rPr>
          <w:sz w:val="24"/>
          <w:szCs w:val="24"/>
        </w:rPr>
        <w:t>seponering</w:t>
      </w:r>
      <w:proofErr w:type="spellEnd"/>
      <w:r w:rsidRPr="00C01559">
        <w:rPr>
          <w:sz w:val="24"/>
          <w:szCs w:val="24"/>
        </w:rPr>
        <w:t xml:space="preserve"> af behandlingen i de fleste tilfælde. Ved onkologiske indikationer rådes kvinder, der planlægger at blive gravide, til at konsultere et genetisk rådgivningscenter, om muligt inden behandlingen, og mænd bør søge rådgivning om mulighederne for sæddeponering før opstart af behandlingen, eftersom </w:t>
      </w:r>
      <w:proofErr w:type="spellStart"/>
      <w:r w:rsidRPr="00C01559">
        <w:rPr>
          <w:sz w:val="24"/>
          <w:szCs w:val="24"/>
        </w:rPr>
        <w:t>methotrexat</w:t>
      </w:r>
      <w:proofErr w:type="spellEnd"/>
      <w:r w:rsidRPr="00C01559">
        <w:rPr>
          <w:sz w:val="24"/>
          <w:szCs w:val="24"/>
        </w:rPr>
        <w:t xml:space="preserve"> kan være genotoksisk ved høje doser (se pkt. 4.4).</w:t>
      </w:r>
    </w:p>
    <w:p w14:paraId="566B642C" w14:textId="77777777" w:rsidR="009260DE" w:rsidRPr="00C01559" w:rsidRDefault="009260DE" w:rsidP="009260DE">
      <w:pPr>
        <w:tabs>
          <w:tab w:val="left" w:pos="851"/>
        </w:tabs>
        <w:ind w:left="851"/>
        <w:rPr>
          <w:sz w:val="24"/>
          <w:szCs w:val="24"/>
        </w:rPr>
      </w:pPr>
    </w:p>
    <w:p w14:paraId="70EEC48C" w14:textId="77777777" w:rsidR="009260DE" w:rsidRPr="00C01559" w:rsidRDefault="009260DE" w:rsidP="009260DE">
      <w:pPr>
        <w:tabs>
          <w:tab w:val="left" w:pos="851"/>
        </w:tabs>
        <w:ind w:left="851" w:hanging="851"/>
        <w:rPr>
          <w:b/>
          <w:sz w:val="24"/>
          <w:szCs w:val="24"/>
        </w:rPr>
      </w:pPr>
      <w:r w:rsidRPr="00C01559">
        <w:rPr>
          <w:b/>
          <w:sz w:val="24"/>
          <w:szCs w:val="24"/>
        </w:rPr>
        <w:t>4.7</w:t>
      </w:r>
      <w:r w:rsidRPr="00C01559">
        <w:rPr>
          <w:b/>
          <w:sz w:val="24"/>
          <w:szCs w:val="24"/>
        </w:rPr>
        <w:tab/>
        <w:t xml:space="preserve">Virkning på evnen til at føre motorkøretøj </w:t>
      </w:r>
      <w:r w:rsidR="0071241E" w:rsidRPr="00C01559">
        <w:rPr>
          <w:b/>
          <w:sz w:val="24"/>
          <w:szCs w:val="24"/>
        </w:rPr>
        <w:t>og</w:t>
      </w:r>
      <w:r w:rsidRPr="00C01559">
        <w:rPr>
          <w:b/>
          <w:sz w:val="24"/>
          <w:szCs w:val="24"/>
        </w:rPr>
        <w:t xml:space="preserve"> betjene maskiner</w:t>
      </w:r>
    </w:p>
    <w:p w14:paraId="1DEEA342" w14:textId="77777777" w:rsidR="00B5675F" w:rsidRPr="00C01559" w:rsidRDefault="00B5675F" w:rsidP="00C73CAD">
      <w:pPr>
        <w:ind w:left="851"/>
        <w:rPr>
          <w:sz w:val="24"/>
          <w:szCs w:val="24"/>
        </w:rPr>
      </w:pPr>
      <w:r w:rsidRPr="00C01559">
        <w:rPr>
          <w:sz w:val="24"/>
          <w:szCs w:val="24"/>
        </w:rPr>
        <w:t>Ikke mærkning</w:t>
      </w:r>
    </w:p>
    <w:p w14:paraId="66F9DFC2" w14:textId="77777777" w:rsidR="00B5675F" w:rsidRPr="00C01559" w:rsidRDefault="00B5675F" w:rsidP="00C73CAD">
      <w:pPr>
        <w:ind w:left="851"/>
        <w:rPr>
          <w:sz w:val="24"/>
          <w:szCs w:val="24"/>
        </w:rPr>
      </w:pPr>
      <w:proofErr w:type="spellStart"/>
      <w:r w:rsidRPr="00C01559">
        <w:rPr>
          <w:sz w:val="24"/>
          <w:szCs w:val="24"/>
        </w:rPr>
        <w:t>Methotrexat</w:t>
      </w:r>
      <w:proofErr w:type="spellEnd"/>
      <w:r w:rsidRPr="00C01559">
        <w:rPr>
          <w:sz w:val="24"/>
          <w:szCs w:val="24"/>
        </w:rPr>
        <w:t xml:space="preserve"> påvirker i moderat grad evnen til at føre motorkøretøj og betjene maskiner, eftersom der kan forekomme CNS-forstyrrelser, såsom træthed, svimmelhedsanfald eller døsighed, under behandlingen.</w:t>
      </w:r>
    </w:p>
    <w:p w14:paraId="2E1A9E7A" w14:textId="77777777" w:rsidR="009260DE" w:rsidRPr="00C01559" w:rsidRDefault="009260DE" w:rsidP="009260DE">
      <w:pPr>
        <w:tabs>
          <w:tab w:val="left" w:pos="851"/>
        </w:tabs>
        <w:ind w:left="851"/>
        <w:rPr>
          <w:sz w:val="24"/>
          <w:szCs w:val="24"/>
        </w:rPr>
      </w:pPr>
    </w:p>
    <w:p w14:paraId="4E3E7D25" w14:textId="77777777" w:rsidR="009260DE" w:rsidRPr="00C01559" w:rsidRDefault="009260DE" w:rsidP="009260DE">
      <w:pPr>
        <w:tabs>
          <w:tab w:val="left" w:pos="851"/>
        </w:tabs>
        <w:ind w:left="851" w:hanging="851"/>
        <w:rPr>
          <w:b/>
          <w:sz w:val="24"/>
          <w:szCs w:val="24"/>
        </w:rPr>
      </w:pPr>
      <w:r w:rsidRPr="00C01559">
        <w:rPr>
          <w:b/>
          <w:sz w:val="24"/>
          <w:szCs w:val="24"/>
        </w:rPr>
        <w:t>4.8</w:t>
      </w:r>
      <w:r w:rsidRPr="00C01559">
        <w:rPr>
          <w:b/>
          <w:sz w:val="24"/>
          <w:szCs w:val="24"/>
        </w:rPr>
        <w:tab/>
        <w:t>Bivirkninger</w:t>
      </w:r>
    </w:p>
    <w:p w14:paraId="2E037746" w14:textId="77777777" w:rsidR="00C01559" w:rsidRPr="00C01559" w:rsidRDefault="00C01559" w:rsidP="00C73CAD">
      <w:pPr>
        <w:ind w:left="851"/>
        <w:rPr>
          <w:sz w:val="24"/>
          <w:szCs w:val="24"/>
        </w:rPr>
      </w:pPr>
    </w:p>
    <w:p w14:paraId="1B905E4F" w14:textId="2C75607D" w:rsidR="00B5675F" w:rsidRPr="00C01559" w:rsidRDefault="00B5675F" w:rsidP="00C73CAD">
      <w:pPr>
        <w:ind w:left="851"/>
        <w:rPr>
          <w:sz w:val="24"/>
          <w:szCs w:val="24"/>
          <w:u w:val="single"/>
        </w:rPr>
      </w:pPr>
      <w:r w:rsidRPr="00C01559">
        <w:rPr>
          <w:sz w:val="24"/>
          <w:szCs w:val="24"/>
          <w:u w:val="single"/>
        </w:rPr>
        <w:t>Sammendrag af sikkerhedsprofilen</w:t>
      </w:r>
    </w:p>
    <w:p w14:paraId="0C7ECF93" w14:textId="77777777" w:rsidR="00B5675F" w:rsidRPr="00C01559" w:rsidRDefault="00B5675F" w:rsidP="00C73CAD">
      <w:pPr>
        <w:ind w:left="851"/>
        <w:rPr>
          <w:sz w:val="24"/>
          <w:szCs w:val="24"/>
        </w:rPr>
      </w:pPr>
      <w:r w:rsidRPr="00C01559">
        <w:rPr>
          <w:sz w:val="24"/>
          <w:szCs w:val="24"/>
        </w:rPr>
        <w:t>Hyppigheden og sværhedsgraden af bivirkninger vurderes generelt at være dosisrelateret.</w:t>
      </w:r>
    </w:p>
    <w:p w14:paraId="77EDE9D4" w14:textId="77777777" w:rsidR="00B5675F" w:rsidRPr="00C01559" w:rsidRDefault="00B5675F" w:rsidP="00C73CAD">
      <w:pPr>
        <w:ind w:left="851"/>
        <w:rPr>
          <w:sz w:val="24"/>
          <w:szCs w:val="24"/>
        </w:rPr>
      </w:pPr>
    </w:p>
    <w:p w14:paraId="7D306964" w14:textId="77777777" w:rsidR="00B5675F" w:rsidRPr="00C01559" w:rsidRDefault="00B5675F" w:rsidP="00C73CAD">
      <w:pPr>
        <w:ind w:left="851"/>
        <w:rPr>
          <w:sz w:val="24"/>
          <w:szCs w:val="24"/>
        </w:rPr>
      </w:pPr>
      <w:r w:rsidRPr="00C01559">
        <w:rPr>
          <w:sz w:val="24"/>
          <w:szCs w:val="24"/>
        </w:rPr>
        <w:t xml:space="preserve">Ved </w:t>
      </w:r>
      <w:proofErr w:type="spellStart"/>
      <w:r w:rsidRPr="00C01559">
        <w:rPr>
          <w:sz w:val="24"/>
          <w:szCs w:val="24"/>
        </w:rPr>
        <w:t>antineoplastisk</w:t>
      </w:r>
      <w:proofErr w:type="spellEnd"/>
      <w:r w:rsidRPr="00C01559">
        <w:rPr>
          <w:sz w:val="24"/>
          <w:szCs w:val="24"/>
        </w:rPr>
        <w:t xml:space="preserve"> behandling er </w:t>
      </w:r>
      <w:proofErr w:type="spellStart"/>
      <w:r w:rsidRPr="00C01559">
        <w:rPr>
          <w:sz w:val="24"/>
          <w:szCs w:val="24"/>
        </w:rPr>
        <w:t>myelosuppression</w:t>
      </w:r>
      <w:proofErr w:type="spellEnd"/>
      <w:r w:rsidRPr="00C01559">
        <w:rPr>
          <w:sz w:val="24"/>
          <w:szCs w:val="24"/>
        </w:rPr>
        <w:t xml:space="preserve"> og </w:t>
      </w:r>
      <w:proofErr w:type="spellStart"/>
      <w:r w:rsidRPr="00C01559">
        <w:rPr>
          <w:sz w:val="24"/>
          <w:szCs w:val="24"/>
        </w:rPr>
        <w:t>mucositis</w:t>
      </w:r>
      <w:proofErr w:type="spellEnd"/>
      <w:r w:rsidRPr="00C01559">
        <w:rPr>
          <w:sz w:val="24"/>
          <w:szCs w:val="24"/>
        </w:rPr>
        <w:t xml:space="preserve"> de mest dominerende dosisbegrænsende toksiske virkninger af </w:t>
      </w:r>
      <w:proofErr w:type="spellStart"/>
      <w:r w:rsidRPr="00C01559">
        <w:rPr>
          <w:sz w:val="24"/>
          <w:szCs w:val="24"/>
        </w:rPr>
        <w:t>methotrexat</w:t>
      </w:r>
      <w:proofErr w:type="spellEnd"/>
      <w:r w:rsidRPr="00C01559">
        <w:rPr>
          <w:sz w:val="24"/>
          <w:szCs w:val="24"/>
        </w:rPr>
        <w:t xml:space="preserve">. Sværhedsgraden af disse reaktioner afhænger af dosen, administrationsmetoden og behandlingsvarigheden. </w:t>
      </w:r>
      <w:proofErr w:type="spellStart"/>
      <w:r w:rsidRPr="00C01559">
        <w:rPr>
          <w:sz w:val="24"/>
          <w:szCs w:val="24"/>
        </w:rPr>
        <w:t>Mucositis</w:t>
      </w:r>
      <w:proofErr w:type="spellEnd"/>
      <w:r w:rsidRPr="00C01559">
        <w:rPr>
          <w:sz w:val="24"/>
          <w:szCs w:val="24"/>
        </w:rPr>
        <w:t xml:space="preserve"> indtræder som regel inden for 3 til 7 dage efter administration af </w:t>
      </w:r>
      <w:proofErr w:type="spellStart"/>
      <w:r w:rsidRPr="00C01559">
        <w:rPr>
          <w:sz w:val="24"/>
          <w:szCs w:val="24"/>
        </w:rPr>
        <w:t>methotrexat</w:t>
      </w:r>
      <w:proofErr w:type="spellEnd"/>
      <w:r w:rsidRPr="00C01559">
        <w:rPr>
          <w:sz w:val="24"/>
          <w:szCs w:val="24"/>
        </w:rPr>
        <w:t xml:space="preserve">, mens </w:t>
      </w:r>
      <w:proofErr w:type="spellStart"/>
      <w:r w:rsidRPr="00C01559">
        <w:rPr>
          <w:sz w:val="24"/>
          <w:szCs w:val="24"/>
        </w:rPr>
        <w:t>leukopeni</w:t>
      </w:r>
      <w:proofErr w:type="spellEnd"/>
      <w:r w:rsidRPr="00C01559">
        <w:rPr>
          <w:sz w:val="24"/>
          <w:szCs w:val="24"/>
        </w:rPr>
        <w:t xml:space="preserve"> og </w:t>
      </w:r>
      <w:proofErr w:type="spellStart"/>
      <w:r w:rsidRPr="00C01559">
        <w:rPr>
          <w:sz w:val="24"/>
          <w:szCs w:val="24"/>
        </w:rPr>
        <w:t>trombocytopeni</w:t>
      </w:r>
      <w:proofErr w:type="spellEnd"/>
      <w:r w:rsidRPr="00C01559">
        <w:rPr>
          <w:sz w:val="24"/>
          <w:szCs w:val="24"/>
        </w:rPr>
        <w:t xml:space="preserve"> kommer nogle få dage senere. Hos patienter med upåvirkede eliminationsmekanismer er </w:t>
      </w:r>
      <w:proofErr w:type="spellStart"/>
      <w:r w:rsidRPr="00C01559">
        <w:rPr>
          <w:sz w:val="24"/>
          <w:szCs w:val="24"/>
        </w:rPr>
        <w:t>myelosuppression</w:t>
      </w:r>
      <w:proofErr w:type="spellEnd"/>
      <w:r w:rsidRPr="00C01559">
        <w:rPr>
          <w:sz w:val="24"/>
          <w:szCs w:val="24"/>
        </w:rPr>
        <w:t xml:space="preserve"> og </w:t>
      </w:r>
      <w:proofErr w:type="spellStart"/>
      <w:r w:rsidRPr="00C01559">
        <w:rPr>
          <w:sz w:val="24"/>
          <w:szCs w:val="24"/>
        </w:rPr>
        <w:t>mucositis</w:t>
      </w:r>
      <w:proofErr w:type="spellEnd"/>
      <w:r w:rsidRPr="00C01559">
        <w:rPr>
          <w:sz w:val="24"/>
          <w:szCs w:val="24"/>
        </w:rPr>
        <w:t xml:space="preserve"> som regel reversibel inden for 14 til 28 dage.</w:t>
      </w:r>
    </w:p>
    <w:p w14:paraId="45481970" w14:textId="77777777" w:rsidR="00B5675F" w:rsidRPr="00C01559" w:rsidRDefault="00B5675F" w:rsidP="00C73CAD">
      <w:pPr>
        <w:ind w:left="851"/>
        <w:rPr>
          <w:sz w:val="24"/>
          <w:szCs w:val="24"/>
        </w:rPr>
      </w:pPr>
    </w:p>
    <w:p w14:paraId="7A04BE1E" w14:textId="77777777" w:rsidR="00B5675F" w:rsidRPr="00C01559" w:rsidRDefault="00B5675F" w:rsidP="00C73CAD">
      <w:pPr>
        <w:ind w:left="851"/>
        <w:rPr>
          <w:sz w:val="24"/>
          <w:szCs w:val="24"/>
        </w:rPr>
      </w:pPr>
      <w:r w:rsidRPr="00C01559">
        <w:rPr>
          <w:sz w:val="24"/>
          <w:szCs w:val="24"/>
        </w:rPr>
        <w:t xml:space="preserve">De mest alvorlige bivirkninger ved </w:t>
      </w:r>
      <w:proofErr w:type="spellStart"/>
      <w:r w:rsidRPr="00C01559">
        <w:rPr>
          <w:sz w:val="24"/>
          <w:szCs w:val="24"/>
        </w:rPr>
        <w:t>methotrexat</w:t>
      </w:r>
      <w:proofErr w:type="spellEnd"/>
      <w:r w:rsidRPr="00C01559">
        <w:rPr>
          <w:sz w:val="24"/>
          <w:szCs w:val="24"/>
        </w:rPr>
        <w:t xml:space="preserve"> omfatter knoglemarvssuppression, lungetoksicitet, </w:t>
      </w:r>
      <w:proofErr w:type="spellStart"/>
      <w:r w:rsidRPr="00C01559">
        <w:rPr>
          <w:sz w:val="24"/>
          <w:szCs w:val="24"/>
        </w:rPr>
        <w:t>hepatotoksicitet</w:t>
      </w:r>
      <w:proofErr w:type="spellEnd"/>
      <w:r w:rsidRPr="00C01559">
        <w:rPr>
          <w:sz w:val="24"/>
          <w:szCs w:val="24"/>
        </w:rPr>
        <w:t xml:space="preserve">, nyretoksicitet, </w:t>
      </w:r>
      <w:proofErr w:type="spellStart"/>
      <w:r w:rsidRPr="00C01559">
        <w:rPr>
          <w:sz w:val="24"/>
          <w:szCs w:val="24"/>
        </w:rPr>
        <w:t>neurotoksicitet</w:t>
      </w:r>
      <w:proofErr w:type="spellEnd"/>
      <w:r w:rsidRPr="00C01559">
        <w:rPr>
          <w:sz w:val="24"/>
          <w:szCs w:val="24"/>
        </w:rPr>
        <w:t xml:space="preserve">, </w:t>
      </w:r>
      <w:proofErr w:type="spellStart"/>
      <w:r w:rsidRPr="00C01559">
        <w:rPr>
          <w:sz w:val="24"/>
          <w:szCs w:val="24"/>
        </w:rPr>
        <w:t>tromboemboliske</w:t>
      </w:r>
      <w:proofErr w:type="spellEnd"/>
      <w:r w:rsidRPr="00C01559">
        <w:rPr>
          <w:sz w:val="24"/>
          <w:szCs w:val="24"/>
        </w:rPr>
        <w:t xml:space="preserve"> hændelser, </w:t>
      </w:r>
      <w:proofErr w:type="spellStart"/>
      <w:r w:rsidRPr="00C01559">
        <w:rPr>
          <w:sz w:val="24"/>
          <w:szCs w:val="24"/>
        </w:rPr>
        <w:t>anafylaktisk</w:t>
      </w:r>
      <w:proofErr w:type="spellEnd"/>
      <w:r w:rsidRPr="00C01559">
        <w:rPr>
          <w:sz w:val="24"/>
          <w:szCs w:val="24"/>
        </w:rPr>
        <w:t xml:space="preserve"> </w:t>
      </w:r>
      <w:proofErr w:type="spellStart"/>
      <w:r w:rsidRPr="00C01559">
        <w:rPr>
          <w:sz w:val="24"/>
          <w:szCs w:val="24"/>
        </w:rPr>
        <w:t>shock</w:t>
      </w:r>
      <w:proofErr w:type="spellEnd"/>
      <w:r w:rsidRPr="00C01559">
        <w:rPr>
          <w:sz w:val="24"/>
          <w:szCs w:val="24"/>
        </w:rPr>
        <w:t xml:space="preserve"> og Stevens-Johnsons syndrom.</w:t>
      </w:r>
    </w:p>
    <w:p w14:paraId="22FE7C56" w14:textId="77777777" w:rsidR="00B5675F" w:rsidRPr="00C01559" w:rsidRDefault="00B5675F" w:rsidP="00C73CAD">
      <w:pPr>
        <w:ind w:left="851"/>
        <w:rPr>
          <w:sz w:val="24"/>
          <w:szCs w:val="24"/>
        </w:rPr>
      </w:pPr>
    </w:p>
    <w:p w14:paraId="17F4B767" w14:textId="77777777" w:rsidR="00B5675F" w:rsidRPr="00C01559" w:rsidRDefault="00B5675F" w:rsidP="00C73CAD">
      <w:pPr>
        <w:ind w:left="851"/>
        <w:rPr>
          <w:sz w:val="24"/>
          <w:szCs w:val="24"/>
        </w:rPr>
      </w:pPr>
      <w:r w:rsidRPr="00C01559">
        <w:rPr>
          <w:sz w:val="24"/>
          <w:szCs w:val="24"/>
        </w:rPr>
        <w:t xml:space="preserve">De hyppigst observerede (meget almindelige) bivirkninger ved </w:t>
      </w:r>
      <w:proofErr w:type="spellStart"/>
      <w:r w:rsidRPr="00C01559">
        <w:rPr>
          <w:sz w:val="24"/>
          <w:szCs w:val="24"/>
        </w:rPr>
        <w:t>methotrexat</w:t>
      </w:r>
      <w:proofErr w:type="spellEnd"/>
      <w:r w:rsidRPr="00C01559">
        <w:rPr>
          <w:sz w:val="24"/>
          <w:szCs w:val="24"/>
        </w:rPr>
        <w:t xml:space="preserve"> omfatter </w:t>
      </w:r>
      <w:proofErr w:type="spellStart"/>
      <w:r w:rsidRPr="00C01559">
        <w:rPr>
          <w:sz w:val="24"/>
          <w:szCs w:val="24"/>
        </w:rPr>
        <w:t>gastrointestinale</w:t>
      </w:r>
      <w:proofErr w:type="spellEnd"/>
      <w:r w:rsidRPr="00C01559">
        <w:rPr>
          <w:sz w:val="24"/>
          <w:szCs w:val="24"/>
        </w:rPr>
        <w:t xml:space="preserve"> forstyrrelser (f.eks. </w:t>
      </w:r>
      <w:proofErr w:type="spellStart"/>
      <w:r w:rsidRPr="00C01559">
        <w:rPr>
          <w:sz w:val="24"/>
          <w:szCs w:val="24"/>
        </w:rPr>
        <w:t>stomatitis</w:t>
      </w:r>
      <w:proofErr w:type="spellEnd"/>
      <w:r w:rsidRPr="00C01559">
        <w:rPr>
          <w:sz w:val="24"/>
          <w:szCs w:val="24"/>
        </w:rPr>
        <w:t xml:space="preserve">, dyspepsi, mavesmerter, kvalme, manglende appetit) og abnorme levertal (f.eks. forhøjet </w:t>
      </w:r>
      <w:proofErr w:type="spellStart"/>
      <w:r w:rsidRPr="00C01559">
        <w:rPr>
          <w:sz w:val="24"/>
          <w:szCs w:val="24"/>
        </w:rPr>
        <w:t>alaninaminotransferase</w:t>
      </w:r>
      <w:proofErr w:type="spellEnd"/>
      <w:r w:rsidRPr="00C01559">
        <w:rPr>
          <w:sz w:val="24"/>
          <w:szCs w:val="24"/>
        </w:rPr>
        <w:t xml:space="preserve"> (ALAT), </w:t>
      </w:r>
      <w:proofErr w:type="spellStart"/>
      <w:r w:rsidRPr="00C01559">
        <w:rPr>
          <w:sz w:val="24"/>
          <w:szCs w:val="24"/>
        </w:rPr>
        <w:t>aspartataminotransferase</w:t>
      </w:r>
      <w:proofErr w:type="spellEnd"/>
      <w:r w:rsidRPr="00C01559">
        <w:rPr>
          <w:sz w:val="24"/>
          <w:szCs w:val="24"/>
        </w:rPr>
        <w:t xml:space="preserve"> (ASAT), bilirubin, basisk fosfatase). Andre hyppige (almindelige) bivirkninger er </w:t>
      </w:r>
      <w:proofErr w:type="spellStart"/>
      <w:r w:rsidRPr="00C01559">
        <w:rPr>
          <w:sz w:val="24"/>
          <w:szCs w:val="24"/>
        </w:rPr>
        <w:t>leukopeni</w:t>
      </w:r>
      <w:proofErr w:type="spellEnd"/>
      <w:r w:rsidRPr="00C01559">
        <w:rPr>
          <w:sz w:val="24"/>
          <w:szCs w:val="24"/>
        </w:rPr>
        <w:t xml:space="preserve">, anæmi, </w:t>
      </w:r>
      <w:proofErr w:type="spellStart"/>
      <w:r w:rsidRPr="00C01559">
        <w:rPr>
          <w:sz w:val="24"/>
          <w:szCs w:val="24"/>
        </w:rPr>
        <w:t>trombocytopeni</w:t>
      </w:r>
      <w:proofErr w:type="spellEnd"/>
      <w:r w:rsidRPr="00C01559">
        <w:rPr>
          <w:sz w:val="24"/>
          <w:szCs w:val="24"/>
        </w:rPr>
        <w:t xml:space="preserve">, hovedpine, træthed, døsighed, pneumoni, </w:t>
      </w:r>
      <w:proofErr w:type="spellStart"/>
      <w:r w:rsidRPr="00C01559">
        <w:rPr>
          <w:sz w:val="24"/>
          <w:szCs w:val="24"/>
        </w:rPr>
        <w:t>interstitiel</w:t>
      </w:r>
      <w:proofErr w:type="spellEnd"/>
      <w:r w:rsidRPr="00C01559">
        <w:rPr>
          <w:sz w:val="24"/>
          <w:szCs w:val="24"/>
        </w:rPr>
        <w:t xml:space="preserve"> </w:t>
      </w:r>
      <w:proofErr w:type="spellStart"/>
      <w:r w:rsidRPr="00C01559">
        <w:rPr>
          <w:sz w:val="24"/>
          <w:szCs w:val="24"/>
        </w:rPr>
        <w:t>alveolitis</w:t>
      </w:r>
      <w:proofErr w:type="spellEnd"/>
      <w:r w:rsidRPr="00C01559">
        <w:rPr>
          <w:sz w:val="24"/>
          <w:szCs w:val="24"/>
        </w:rPr>
        <w:t xml:space="preserve">/pneumonitis, ofte forbundet med </w:t>
      </w:r>
      <w:proofErr w:type="spellStart"/>
      <w:r w:rsidRPr="00C01559">
        <w:rPr>
          <w:sz w:val="24"/>
          <w:szCs w:val="24"/>
        </w:rPr>
        <w:t>eosinofili</w:t>
      </w:r>
      <w:proofErr w:type="spellEnd"/>
      <w:r w:rsidRPr="00C01559">
        <w:rPr>
          <w:sz w:val="24"/>
          <w:szCs w:val="24"/>
        </w:rPr>
        <w:t xml:space="preserve">, mundsår, diarré, </w:t>
      </w:r>
      <w:proofErr w:type="spellStart"/>
      <w:r w:rsidRPr="00C01559">
        <w:rPr>
          <w:sz w:val="24"/>
          <w:szCs w:val="24"/>
        </w:rPr>
        <w:t>eksantem</w:t>
      </w:r>
      <w:proofErr w:type="spellEnd"/>
      <w:r w:rsidRPr="00C01559">
        <w:rPr>
          <w:sz w:val="24"/>
          <w:szCs w:val="24"/>
        </w:rPr>
        <w:t xml:space="preserve">, </w:t>
      </w:r>
      <w:proofErr w:type="spellStart"/>
      <w:r w:rsidRPr="00C01559">
        <w:rPr>
          <w:sz w:val="24"/>
          <w:szCs w:val="24"/>
        </w:rPr>
        <w:t>erythem</w:t>
      </w:r>
      <w:proofErr w:type="spellEnd"/>
      <w:r w:rsidRPr="00C01559">
        <w:rPr>
          <w:sz w:val="24"/>
          <w:szCs w:val="24"/>
        </w:rPr>
        <w:t xml:space="preserve"> og </w:t>
      </w:r>
      <w:proofErr w:type="spellStart"/>
      <w:r w:rsidRPr="00C01559">
        <w:rPr>
          <w:sz w:val="24"/>
          <w:szCs w:val="24"/>
        </w:rPr>
        <w:t>pruritus</w:t>
      </w:r>
      <w:proofErr w:type="spellEnd"/>
      <w:r w:rsidRPr="00C01559">
        <w:rPr>
          <w:sz w:val="24"/>
          <w:szCs w:val="24"/>
        </w:rPr>
        <w:t>.</w:t>
      </w:r>
    </w:p>
    <w:p w14:paraId="222C9AD3" w14:textId="77777777" w:rsidR="00B5675F" w:rsidRPr="00C01559" w:rsidRDefault="00B5675F" w:rsidP="00C73CAD">
      <w:pPr>
        <w:ind w:left="851"/>
        <w:rPr>
          <w:sz w:val="24"/>
          <w:szCs w:val="24"/>
        </w:rPr>
      </w:pPr>
    </w:p>
    <w:p w14:paraId="243C512B" w14:textId="77777777" w:rsidR="00B5675F" w:rsidRPr="00C01559" w:rsidRDefault="00B5675F" w:rsidP="00C73CAD">
      <w:pPr>
        <w:ind w:left="851"/>
        <w:rPr>
          <w:sz w:val="24"/>
          <w:szCs w:val="24"/>
        </w:rPr>
      </w:pPr>
      <w:r w:rsidRPr="00C01559">
        <w:rPr>
          <w:sz w:val="24"/>
          <w:szCs w:val="24"/>
        </w:rPr>
        <w:t>Forekomsten og sværhedsgraden af bivirkninger afhænger af dosisniveauet og administrationshyppigheden. Da svære bivirkninger imidlertid kan forekomme selv ved lave doser, er det meget vigtigt, at den behandlende læge monitorerer patienterne tæt (se pkt. 4.4).</w:t>
      </w:r>
    </w:p>
    <w:p w14:paraId="3902A128" w14:textId="77777777" w:rsidR="00B5675F" w:rsidRPr="00C01559" w:rsidRDefault="00B5675F" w:rsidP="00C73CAD">
      <w:pPr>
        <w:ind w:left="851"/>
        <w:rPr>
          <w:sz w:val="24"/>
          <w:szCs w:val="24"/>
        </w:rPr>
      </w:pPr>
    </w:p>
    <w:p w14:paraId="34ED60C3" w14:textId="77777777" w:rsidR="00B5675F" w:rsidRPr="00C01559" w:rsidRDefault="00B5675F" w:rsidP="00C73CAD">
      <w:pPr>
        <w:ind w:left="851"/>
        <w:rPr>
          <w:sz w:val="24"/>
          <w:szCs w:val="24"/>
        </w:rPr>
      </w:pPr>
      <w:r w:rsidRPr="00C01559">
        <w:rPr>
          <w:sz w:val="24"/>
          <w:szCs w:val="24"/>
        </w:rPr>
        <w:t xml:space="preserve">De fleste bivirkninger er reversible, hvis de opdages tidligt. Hvis sådanne bivirkninger forekommer, skal dosis enten reduceres, eller behandlingen skal seponeres, og der skal tages passende modforholdsregler (se pkt. 4.9). Behandlingen med </w:t>
      </w:r>
      <w:proofErr w:type="spellStart"/>
      <w:r w:rsidRPr="00C01559">
        <w:rPr>
          <w:sz w:val="24"/>
          <w:szCs w:val="24"/>
        </w:rPr>
        <w:t>methotrexat</w:t>
      </w:r>
      <w:proofErr w:type="spellEnd"/>
      <w:r w:rsidRPr="00C01559">
        <w:rPr>
          <w:sz w:val="24"/>
          <w:szCs w:val="24"/>
        </w:rPr>
        <w:t xml:space="preserve"> må kun genoptages med særlig forsigtighed, efter nøje overvejelse af behovet for behandling og med øget opmærksomhed på potentielt tilbagevendende toksicitet.</w:t>
      </w:r>
    </w:p>
    <w:p w14:paraId="11A5DB87" w14:textId="77777777" w:rsidR="00B5675F" w:rsidRPr="00C01559" w:rsidRDefault="00B5675F" w:rsidP="00C73CAD">
      <w:pPr>
        <w:ind w:left="851"/>
        <w:rPr>
          <w:sz w:val="24"/>
          <w:szCs w:val="24"/>
        </w:rPr>
      </w:pPr>
    </w:p>
    <w:p w14:paraId="22E396D9" w14:textId="77777777" w:rsidR="00B5675F" w:rsidRPr="00C01559" w:rsidRDefault="00B5675F" w:rsidP="00C73CAD">
      <w:pPr>
        <w:ind w:left="851"/>
        <w:rPr>
          <w:sz w:val="24"/>
          <w:szCs w:val="24"/>
          <w:u w:val="single"/>
        </w:rPr>
      </w:pPr>
      <w:r w:rsidRPr="00C01559">
        <w:rPr>
          <w:sz w:val="24"/>
          <w:szCs w:val="24"/>
          <w:u w:val="single"/>
        </w:rPr>
        <w:lastRenderedPageBreak/>
        <w:t>Bivirkningstabel</w:t>
      </w:r>
    </w:p>
    <w:p w14:paraId="101EBD48" w14:textId="77777777" w:rsidR="00B5675F" w:rsidRPr="00C01559" w:rsidRDefault="00B5675F" w:rsidP="00C73CAD">
      <w:pPr>
        <w:ind w:left="851"/>
        <w:rPr>
          <w:sz w:val="24"/>
          <w:szCs w:val="24"/>
        </w:rPr>
      </w:pPr>
      <w:r w:rsidRPr="00C01559">
        <w:rPr>
          <w:sz w:val="24"/>
          <w:szCs w:val="24"/>
        </w:rPr>
        <w:t xml:space="preserve">Hyppighederne i denne tabel er defineret i overensstemmelse med </w:t>
      </w:r>
      <w:proofErr w:type="spellStart"/>
      <w:r w:rsidRPr="00C01559">
        <w:rPr>
          <w:sz w:val="24"/>
          <w:szCs w:val="24"/>
        </w:rPr>
        <w:t>MedDRA</w:t>
      </w:r>
      <w:proofErr w:type="spellEnd"/>
      <w:r w:rsidRPr="00C01559">
        <w:rPr>
          <w:sz w:val="24"/>
          <w:szCs w:val="24"/>
        </w:rPr>
        <w:t xml:space="preserve">-konventionen: </w:t>
      </w:r>
    </w:p>
    <w:p w14:paraId="06501A59" w14:textId="77777777" w:rsidR="00B5675F" w:rsidRPr="00C01559" w:rsidRDefault="00B5675F" w:rsidP="00C73CAD">
      <w:pPr>
        <w:ind w:left="851"/>
        <w:rPr>
          <w:sz w:val="24"/>
          <w:szCs w:val="24"/>
        </w:rPr>
      </w:pPr>
    </w:p>
    <w:p w14:paraId="4A0F7BBC" w14:textId="77777777" w:rsidR="00B5675F" w:rsidRPr="00C01559" w:rsidRDefault="00B5675F" w:rsidP="00C73CAD">
      <w:pPr>
        <w:ind w:left="851"/>
        <w:rPr>
          <w:sz w:val="24"/>
          <w:szCs w:val="24"/>
        </w:rPr>
      </w:pPr>
      <w:r w:rsidRPr="00C01559">
        <w:rPr>
          <w:sz w:val="24"/>
          <w:szCs w:val="24"/>
        </w:rPr>
        <w:t xml:space="preserve">Meget almindelig (≥ 1/10) </w:t>
      </w:r>
    </w:p>
    <w:p w14:paraId="4F0AA600" w14:textId="77777777" w:rsidR="00B5675F" w:rsidRPr="00C01559" w:rsidRDefault="00B5675F" w:rsidP="00C73CAD">
      <w:pPr>
        <w:ind w:left="851"/>
        <w:rPr>
          <w:sz w:val="24"/>
          <w:szCs w:val="24"/>
        </w:rPr>
      </w:pPr>
      <w:r w:rsidRPr="00C01559">
        <w:rPr>
          <w:sz w:val="24"/>
          <w:szCs w:val="24"/>
        </w:rPr>
        <w:t xml:space="preserve">Almindelig (≥ 1/100 til &lt; 1/10) </w:t>
      </w:r>
    </w:p>
    <w:p w14:paraId="668F2B82" w14:textId="77777777" w:rsidR="00B5675F" w:rsidRPr="00C01559" w:rsidRDefault="00B5675F" w:rsidP="00C73CAD">
      <w:pPr>
        <w:ind w:left="851"/>
        <w:rPr>
          <w:sz w:val="24"/>
          <w:szCs w:val="24"/>
        </w:rPr>
      </w:pPr>
      <w:r w:rsidRPr="00C01559">
        <w:rPr>
          <w:sz w:val="24"/>
          <w:szCs w:val="24"/>
        </w:rPr>
        <w:t xml:space="preserve">Ikke almindelig (≥ 1/1.000 til &lt; 1/100) </w:t>
      </w:r>
    </w:p>
    <w:p w14:paraId="1D850E71" w14:textId="77777777" w:rsidR="00B5675F" w:rsidRPr="00C01559" w:rsidRDefault="00B5675F" w:rsidP="00C73CAD">
      <w:pPr>
        <w:ind w:left="851"/>
        <w:rPr>
          <w:sz w:val="24"/>
          <w:szCs w:val="24"/>
        </w:rPr>
      </w:pPr>
      <w:r w:rsidRPr="00C01559">
        <w:rPr>
          <w:sz w:val="24"/>
          <w:szCs w:val="24"/>
        </w:rPr>
        <w:t xml:space="preserve">Sjælden (≥ 1/10.000 til &lt; 1/1.000) </w:t>
      </w:r>
    </w:p>
    <w:p w14:paraId="1487D454" w14:textId="77777777" w:rsidR="00B5675F" w:rsidRPr="00C01559" w:rsidRDefault="00B5675F" w:rsidP="00C73CAD">
      <w:pPr>
        <w:ind w:left="851"/>
        <w:rPr>
          <w:sz w:val="24"/>
          <w:szCs w:val="24"/>
        </w:rPr>
      </w:pPr>
      <w:r w:rsidRPr="00C01559">
        <w:rPr>
          <w:sz w:val="24"/>
          <w:szCs w:val="24"/>
        </w:rPr>
        <w:t xml:space="preserve">Meget sjælden (&lt; 1/10.000) </w:t>
      </w:r>
    </w:p>
    <w:p w14:paraId="39E954BC" w14:textId="77777777" w:rsidR="00B5675F" w:rsidRPr="00C01559" w:rsidRDefault="00B5675F" w:rsidP="00C73CAD">
      <w:pPr>
        <w:ind w:left="851"/>
        <w:rPr>
          <w:sz w:val="24"/>
          <w:szCs w:val="24"/>
        </w:rPr>
      </w:pPr>
      <w:r w:rsidRPr="00C01559">
        <w:rPr>
          <w:sz w:val="24"/>
          <w:szCs w:val="24"/>
        </w:rPr>
        <w:t>Ikke kendt (kan ikke estimeres ud fra forhåndenværende data).</w:t>
      </w:r>
    </w:p>
    <w:p w14:paraId="47648F4E" w14:textId="77777777" w:rsidR="00B5675F" w:rsidRPr="00C01559" w:rsidRDefault="00B5675F" w:rsidP="00C73CAD">
      <w:pPr>
        <w:ind w:left="851"/>
        <w:rPr>
          <w:sz w:val="24"/>
          <w:szCs w:val="24"/>
        </w:rPr>
      </w:pPr>
    </w:p>
    <w:p w14:paraId="77DA8976" w14:textId="77777777" w:rsidR="00B5675F" w:rsidRPr="00C01559" w:rsidRDefault="00B5675F" w:rsidP="00C73CAD">
      <w:pPr>
        <w:ind w:left="851"/>
        <w:rPr>
          <w:sz w:val="24"/>
          <w:szCs w:val="24"/>
        </w:rPr>
      </w:pPr>
      <w:r w:rsidRPr="00C01559">
        <w:rPr>
          <w:sz w:val="24"/>
          <w:szCs w:val="24"/>
        </w:rPr>
        <w:t xml:space="preserve">Inden for hver enkelt hyppighedsgruppe er bivirkningerne opstillet efter, hvor alvorlige de er. De alvorligste bivirkninger er anført først. </w:t>
      </w:r>
    </w:p>
    <w:p w14:paraId="2979E46D" w14:textId="77777777" w:rsidR="00B5675F" w:rsidRPr="00C01559" w:rsidRDefault="00B5675F" w:rsidP="00C73CAD">
      <w:pPr>
        <w:ind w:left="851"/>
        <w:rPr>
          <w:sz w:val="24"/>
          <w:szCs w:val="24"/>
        </w:rPr>
      </w:pPr>
    </w:p>
    <w:tbl>
      <w:tblPr>
        <w:tblW w:w="5000" w:type="pct"/>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CellMar>
          <w:left w:w="72" w:type="dxa"/>
          <w:right w:w="72" w:type="dxa"/>
        </w:tblCellMar>
        <w:tblLook w:val="04A0" w:firstRow="1" w:lastRow="0" w:firstColumn="1" w:lastColumn="0" w:noHBand="0" w:noVBand="1"/>
      </w:tblPr>
      <w:tblGrid>
        <w:gridCol w:w="1559"/>
        <w:gridCol w:w="799"/>
        <w:gridCol w:w="1255"/>
        <w:gridCol w:w="1599"/>
        <w:gridCol w:w="1616"/>
        <w:gridCol w:w="1391"/>
        <w:gridCol w:w="1389"/>
      </w:tblGrid>
      <w:tr w:rsidR="00870E8F" w:rsidRPr="00870E8F" w14:paraId="7B50C6D8" w14:textId="77777777" w:rsidTr="00870E8F">
        <w:trPr>
          <w:trHeight w:val="665"/>
        </w:trPr>
        <w:tc>
          <w:tcPr>
            <w:tcW w:w="811" w:type="pct"/>
            <w:tcBorders>
              <w:top w:val="double" w:sz="4" w:space="0" w:color="auto"/>
              <w:left w:val="double" w:sz="4" w:space="0" w:color="auto"/>
              <w:bottom w:val="single" w:sz="6" w:space="0" w:color="000000"/>
              <w:right w:val="single" w:sz="6" w:space="0" w:color="000000"/>
            </w:tcBorders>
            <w:tcMar>
              <w:top w:w="28" w:type="dxa"/>
              <w:left w:w="28" w:type="dxa"/>
              <w:bottom w:w="28" w:type="dxa"/>
              <w:right w:w="28" w:type="dxa"/>
            </w:tcMar>
            <w:hideMark/>
          </w:tcPr>
          <w:p w14:paraId="443CF679" w14:textId="77777777" w:rsidR="00B5675F" w:rsidRPr="00870E8F" w:rsidRDefault="00B5675F">
            <w:pPr>
              <w:pStyle w:val="Sidehoved"/>
              <w:tabs>
                <w:tab w:val="left" w:pos="0"/>
              </w:tabs>
              <w:rPr>
                <w:color w:val="000000" w:themeColor="text1"/>
                <w:sz w:val="18"/>
                <w:szCs w:val="18"/>
              </w:rPr>
            </w:pPr>
            <w:r w:rsidRPr="00870E8F">
              <w:rPr>
                <w:b/>
                <w:color w:val="000000" w:themeColor="text1"/>
                <w:sz w:val="18"/>
                <w:szCs w:val="18"/>
              </w:rPr>
              <w:t>Systemorganklasse</w:t>
            </w:r>
          </w:p>
        </w:tc>
        <w:tc>
          <w:tcPr>
            <w:tcW w:w="416" w:type="pct"/>
            <w:tcBorders>
              <w:top w:val="double" w:sz="4" w:space="0" w:color="auto"/>
              <w:left w:val="single" w:sz="6" w:space="0" w:color="000000"/>
              <w:bottom w:val="single" w:sz="6" w:space="0" w:color="000000"/>
              <w:right w:val="single" w:sz="6" w:space="0" w:color="000000"/>
            </w:tcBorders>
            <w:tcMar>
              <w:top w:w="28" w:type="dxa"/>
              <w:left w:w="28" w:type="dxa"/>
              <w:bottom w:w="28" w:type="dxa"/>
              <w:right w:w="28" w:type="dxa"/>
            </w:tcMar>
          </w:tcPr>
          <w:p w14:paraId="304060BA" w14:textId="4E639BBE" w:rsidR="00B5675F" w:rsidRPr="00870E8F" w:rsidRDefault="00B5675F" w:rsidP="00AD22C5">
            <w:pPr>
              <w:pStyle w:val="Sidehoved"/>
              <w:rPr>
                <w:b/>
                <w:color w:val="000000" w:themeColor="text1"/>
                <w:sz w:val="18"/>
                <w:szCs w:val="18"/>
              </w:rPr>
            </w:pPr>
            <w:r w:rsidRPr="00870E8F">
              <w:rPr>
                <w:b/>
                <w:color w:val="000000" w:themeColor="text1"/>
                <w:sz w:val="18"/>
                <w:szCs w:val="18"/>
              </w:rPr>
              <w:t>Meget alminde</w:t>
            </w:r>
            <w:r w:rsidR="00870E8F" w:rsidRPr="00870E8F">
              <w:rPr>
                <w:b/>
                <w:color w:val="000000" w:themeColor="text1"/>
                <w:sz w:val="18"/>
                <w:szCs w:val="18"/>
              </w:rPr>
              <w:softHyphen/>
            </w:r>
            <w:r w:rsidRPr="00870E8F">
              <w:rPr>
                <w:b/>
                <w:color w:val="000000" w:themeColor="text1"/>
                <w:sz w:val="18"/>
                <w:szCs w:val="18"/>
              </w:rPr>
              <w:t>lig</w:t>
            </w:r>
          </w:p>
        </w:tc>
        <w:tc>
          <w:tcPr>
            <w:tcW w:w="653" w:type="pct"/>
            <w:tcBorders>
              <w:top w:val="double" w:sz="4" w:space="0" w:color="auto"/>
              <w:left w:val="single" w:sz="6" w:space="0" w:color="000000"/>
              <w:bottom w:val="single" w:sz="6" w:space="0" w:color="000000"/>
              <w:right w:val="single" w:sz="6" w:space="0" w:color="000000"/>
            </w:tcBorders>
            <w:tcMar>
              <w:top w:w="28" w:type="dxa"/>
              <w:left w:w="28" w:type="dxa"/>
              <w:bottom w:w="28" w:type="dxa"/>
              <w:right w:w="28" w:type="dxa"/>
            </w:tcMar>
          </w:tcPr>
          <w:p w14:paraId="0DD4A24D" w14:textId="5E5AAB01" w:rsidR="00B5675F" w:rsidRPr="00870E8F" w:rsidRDefault="00B5675F" w:rsidP="00AD22C5">
            <w:pPr>
              <w:pStyle w:val="Sidehoved"/>
              <w:rPr>
                <w:b/>
                <w:color w:val="000000" w:themeColor="text1"/>
                <w:sz w:val="18"/>
                <w:szCs w:val="18"/>
              </w:rPr>
            </w:pPr>
            <w:r w:rsidRPr="00870E8F">
              <w:rPr>
                <w:b/>
                <w:color w:val="000000" w:themeColor="text1"/>
                <w:sz w:val="18"/>
                <w:szCs w:val="18"/>
              </w:rPr>
              <w:t>Almin</w:t>
            </w:r>
            <w:r w:rsidR="00870E8F" w:rsidRPr="00870E8F">
              <w:rPr>
                <w:b/>
                <w:color w:val="000000" w:themeColor="text1"/>
                <w:sz w:val="18"/>
                <w:szCs w:val="18"/>
              </w:rPr>
              <w:softHyphen/>
            </w:r>
            <w:r w:rsidRPr="00870E8F">
              <w:rPr>
                <w:b/>
                <w:color w:val="000000" w:themeColor="text1"/>
                <w:sz w:val="18"/>
                <w:szCs w:val="18"/>
              </w:rPr>
              <w:t>delig</w:t>
            </w:r>
          </w:p>
        </w:tc>
        <w:tc>
          <w:tcPr>
            <w:tcW w:w="832" w:type="pct"/>
            <w:tcBorders>
              <w:top w:val="double" w:sz="4" w:space="0" w:color="auto"/>
              <w:left w:val="single" w:sz="6" w:space="0" w:color="000000"/>
              <w:bottom w:val="single" w:sz="6" w:space="0" w:color="000000"/>
              <w:right w:val="single" w:sz="6" w:space="0" w:color="000000"/>
            </w:tcBorders>
            <w:tcMar>
              <w:top w:w="28" w:type="dxa"/>
              <w:left w:w="28" w:type="dxa"/>
              <w:bottom w:w="28" w:type="dxa"/>
              <w:right w:w="28" w:type="dxa"/>
            </w:tcMar>
          </w:tcPr>
          <w:p w14:paraId="44BD8376" w14:textId="0CD818F6" w:rsidR="00B5675F" w:rsidRPr="00870E8F" w:rsidRDefault="00B5675F" w:rsidP="00AD22C5">
            <w:pPr>
              <w:pStyle w:val="Sidehoved"/>
              <w:rPr>
                <w:b/>
                <w:color w:val="000000" w:themeColor="text1"/>
                <w:sz w:val="18"/>
                <w:szCs w:val="18"/>
              </w:rPr>
            </w:pPr>
            <w:r w:rsidRPr="00870E8F">
              <w:rPr>
                <w:b/>
                <w:color w:val="000000" w:themeColor="text1"/>
                <w:sz w:val="18"/>
                <w:szCs w:val="18"/>
              </w:rPr>
              <w:t>Ikke almindelig</w:t>
            </w:r>
          </w:p>
        </w:tc>
        <w:tc>
          <w:tcPr>
            <w:tcW w:w="841" w:type="pct"/>
            <w:tcBorders>
              <w:top w:val="double" w:sz="4" w:space="0" w:color="auto"/>
              <w:left w:val="single" w:sz="6" w:space="0" w:color="000000"/>
              <w:bottom w:val="single" w:sz="6" w:space="0" w:color="000000"/>
              <w:right w:val="single" w:sz="6" w:space="0" w:color="000000"/>
            </w:tcBorders>
            <w:tcMar>
              <w:top w:w="28" w:type="dxa"/>
              <w:left w:w="28" w:type="dxa"/>
              <w:bottom w:w="28" w:type="dxa"/>
              <w:right w:w="28" w:type="dxa"/>
            </w:tcMar>
          </w:tcPr>
          <w:p w14:paraId="1E7922D7" w14:textId="59425DBF" w:rsidR="00B5675F" w:rsidRPr="00870E8F" w:rsidRDefault="00B5675F" w:rsidP="00AD22C5">
            <w:pPr>
              <w:pStyle w:val="Sidehoved"/>
              <w:rPr>
                <w:b/>
                <w:color w:val="000000" w:themeColor="text1"/>
                <w:sz w:val="18"/>
                <w:szCs w:val="18"/>
              </w:rPr>
            </w:pPr>
            <w:r w:rsidRPr="00870E8F">
              <w:rPr>
                <w:b/>
                <w:color w:val="000000" w:themeColor="text1"/>
                <w:sz w:val="18"/>
                <w:szCs w:val="18"/>
              </w:rPr>
              <w:t>Sjælden</w:t>
            </w:r>
          </w:p>
        </w:tc>
        <w:tc>
          <w:tcPr>
            <w:tcW w:w="724" w:type="pct"/>
            <w:tcBorders>
              <w:top w:val="double" w:sz="4" w:space="0" w:color="auto"/>
              <w:left w:val="single" w:sz="6" w:space="0" w:color="000000"/>
              <w:bottom w:val="single" w:sz="6" w:space="0" w:color="000000"/>
              <w:right w:val="single" w:sz="4" w:space="0" w:color="auto"/>
            </w:tcBorders>
            <w:tcMar>
              <w:top w:w="28" w:type="dxa"/>
              <w:left w:w="28" w:type="dxa"/>
              <w:bottom w:w="28" w:type="dxa"/>
              <w:right w:w="28" w:type="dxa"/>
            </w:tcMar>
          </w:tcPr>
          <w:p w14:paraId="60B9DDB6" w14:textId="6213540F" w:rsidR="00B5675F" w:rsidRPr="00870E8F" w:rsidRDefault="00B5675F" w:rsidP="00AD22C5">
            <w:pPr>
              <w:pStyle w:val="Sidehoved"/>
              <w:rPr>
                <w:b/>
                <w:color w:val="000000" w:themeColor="text1"/>
                <w:sz w:val="18"/>
                <w:szCs w:val="18"/>
              </w:rPr>
            </w:pPr>
            <w:r w:rsidRPr="00870E8F">
              <w:rPr>
                <w:b/>
                <w:color w:val="000000" w:themeColor="text1"/>
                <w:sz w:val="18"/>
                <w:szCs w:val="18"/>
              </w:rPr>
              <w:t>Meget sjælden</w:t>
            </w:r>
          </w:p>
        </w:tc>
        <w:tc>
          <w:tcPr>
            <w:tcW w:w="723" w:type="pct"/>
            <w:tcBorders>
              <w:top w:val="double" w:sz="4" w:space="0" w:color="auto"/>
              <w:left w:val="single" w:sz="4" w:space="0" w:color="auto"/>
              <w:bottom w:val="single" w:sz="6" w:space="0" w:color="000000"/>
              <w:right w:val="double" w:sz="4" w:space="0" w:color="auto"/>
            </w:tcBorders>
            <w:hideMark/>
          </w:tcPr>
          <w:p w14:paraId="557B6EA6" w14:textId="77777777" w:rsidR="00B5675F" w:rsidRPr="00870E8F" w:rsidRDefault="00B5675F">
            <w:pPr>
              <w:pStyle w:val="Sidehoved"/>
              <w:rPr>
                <w:b/>
                <w:color w:val="000000" w:themeColor="text1"/>
                <w:sz w:val="18"/>
                <w:szCs w:val="18"/>
              </w:rPr>
            </w:pPr>
            <w:r w:rsidRPr="00870E8F">
              <w:rPr>
                <w:b/>
                <w:color w:val="000000" w:themeColor="text1"/>
                <w:sz w:val="18"/>
                <w:szCs w:val="18"/>
              </w:rPr>
              <w:t>Ikke kendt</w:t>
            </w:r>
          </w:p>
        </w:tc>
      </w:tr>
      <w:tr w:rsidR="00870E8F" w:rsidRPr="00870E8F" w14:paraId="194E8098"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64E945ED" w14:textId="77777777"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Infektioner og parasitære sygdomme</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42C7FDE"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1A3261A2" w14:textId="575F1D2E" w:rsidR="00B5675F" w:rsidRPr="00870E8F" w:rsidRDefault="00B5675F">
            <w:pPr>
              <w:pStyle w:val="Sidehoved"/>
              <w:rPr>
                <w:color w:val="000000" w:themeColor="text1"/>
                <w:sz w:val="18"/>
                <w:szCs w:val="18"/>
              </w:rPr>
            </w:pPr>
            <w:r w:rsidRPr="00870E8F">
              <w:rPr>
                <w:color w:val="000000" w:themeColor="text1"/>
                <w:sz w:val="18"/>
                <w:szCs w:val="18"/>
              </w:rPr>
              <w:t>Infek</w:t>
            </w:r>
            <w:r w:rsidR="00870E8F" w:rsidRPr="00870E8F">
              <w:rPr>
                <w:color w:val="000000" w:themeColor="text1"/>
                <w:sz w:val="18"/>
                <w:szCs w:val="18"/>
              </w:rPr>
              <w:softHyphen/>
            </w:r>
            <w:r w:rsidRPr="00870E8F">
              <w:rPr>
                <w:color w:val="000000" w:themeColor="text1"/>
                <w:sz w:val="18"/>
                <w:szCs w:val="18"/>
              </w:rPr>
              <w:t>tioner</w:t>
            </w: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19D8529B" w14:textId="77777777" w:rsidR="00B5675F" w:rsidRPr="00870E8F" w:rsidRDefault="00B5675F">
            <w:pPr>
              <w:pStyle w:val="Sidehoved"/>
              <w:rPr>
                <w:color w:val="000000" w:themeColor="text1"/>
                <w:sz w:val="18"/>
                <w:szCs w:val="18"/>
              </w:rPr>
            </w:pPr>
            <w:r w:rsidRPr="00870E8F">
              <w:rPr>
                <w:color w:val="000000" w:themeColor="text1"/>
                <w:sz w:val="18"/>
                <w:szCs w:val="18"/>
              </w:rPr>
              <w:t>Opportunistiske infektioner (undertiden fatale)</w:t>
            </w: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1AE5B41E" w14:textId="77777777" w:rsidR="00B5675F" w:rsidRPr="00870E8F" w:rsidRDefault="00B5675F">
            <w:pPr>
              <w:pStyle w:val="Sidehoved"/>
              <w:rPr>
                <w:color w:val="000000" w:themeColor="text1"/>
                <w:sz w:val="18"/>
                <w:szCs w:val="18"/>
              </w:rPr>
            </w:pPr>
            <w:r w:rsidRPr="00870E8F">
              <w:rPr>
                <w:color w:val="000000" w:themeColor="text1"/>
                <w:sz w:val="18"/>
                <w:szCs w:val="18"/>
              </w:rPr>
              <w:t xml:space="preserve">Herpes </w:t>
            </w:r>
            <w:proofErr w:type="spellStart"/>
            <w:r w:rsidRPr="00870E8F">
              <w:rPr>
                <w:color w:val="000000" w:themeColor="text1"/>
                <w:sz w:val="18"/>
                <w:szCs w:val="18"/>
              </w:rPr>
              <w:t>zoster</w:t>
            </w:r>
            <w:proofErr w:type="spellEnd"/>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hideMark/>
          </w:tcPr>
          <w:p w14:paraId="793B9206" w14:textId="77777777" w:rsidR="00B5675F" w:rsidRPr="00870E8F" w:rsidRDefault="00B5675F">
            <w:pPr>
              <w:pStyle w:val="Sidehoved"/>
              <w:rPr>
                <w:color w:val="000000" w:themeColor="text1"/>
                <w:sz w:val="18"/>
                <w:szCs w:val="18"/>
              </w:rPr>
            </w:pPr>
            <w:r w:rsidRPr="00870E8F">
              <w:rPr>
                <w:color w:val="000000" w:themeColor="text1"/>
                <w:sz w:val="18"/>
                <w:szCs w:val="18"/>
              </w:rPr>
              <w:t xml:space="preserve">Sepsis, </w:t>
            </w:r>
            <w:proofErr w:type="spellStart"/>
            <w:r w:rsidRPr="00870E8F">
              <w:rPr>
                <w:color w:val="000000" w:themeColor="text1"/>
                <w:sz w:val="18"/>
                <w:szCs w:val="18"/>
              </w:rPr>
              <w:t>cytomegalovirus</w:t>
            </w:r>
            <w:proofErr w:type="spellEnd"/>
            <w:r w:rsidRPr="00870E8F">
              <w:rPr>
                <w:color w:val="000000" w:themeColor="text1"/>
                <w:sz w:val="18"/>
                <w:szCs w:val="18"/>
              </w:rPr>
              <w:t>-inducerede infektioner.</w:t>
            </w:r>
          </w:p>
        </w:tc>
        <w:tc>
          <w:tcPr>
            <w:tcW w:w="723" w:type="pct"/>
            <w:tcBorders>
              <w:top w:val="single" w:sz="6" w:space="0" w:color="000000"/>
              <w:left w:val="single" w:sz="4" w:space="0" w:color="auto"/>
              <w:bottom w:val="single" w:sz="6" w:space="0" w:color="000000"/>
              <w:right w:val="double" w:sz="4" w:space="0" w:color="auto"/>
            </w:tcBorders>
            <w:hideMark/>
          </w:tcPr>
          <w:p w14:paraId="7D5DFA0B" w14:textId="76EF430D" w:rsidR="00B5675F" w:rsidRPr="00870E8F" w:rsidRDefault="00B5675F">
            <w:pPr>
              <w:pStyle w:val="Sidehoved"/>
              <w:rPr>
                <w:color w:val="000000" w:themeColor="text1"/>
                <w:sz w:val="18"/>
                <w:szCs w:val="18"/>
              </w:rPr>
            </w:pPr>
            <w:proofErr w:type="spellStart"/>
            <w:r w:rsidRPr="00870E8F">
              <w:rPr>
                <w:color w:val="000000" w:themeColor="text1"/>
                <w:sz w:val="18"/>
                <w:szCs w:val="18"/>
              </w:rPr>
              <w:t>Nocardiose</w:t>
            </w:r>
            <w:proofErr w:type="spellEnd"/>
            <w:r w:rsidRPr="00870E8F">
              <w:rPr>
                <w:color w:val="000000" w:themeColor="text1"/>
                <w:sz w:val="18"/>
                <w:szCs w:val="18"/>
              </w:rPr>
              <w:t xml:space="preserve">, </w:t>
            </w:r>
            <w:proofErr w:type="spellStart"/>
            <w:r w:rsidRPr="00870E8F">
              <w:rPr>
                <w:color w:val="000000" w:themeColor="text1"/>
                <w:sz w:val="18"/>
                <w:szCs w:val="18"/>
              </w:rPr>
              <w:t>histoplasmose</w:t>
            </w:r>
            <w:proofErr w:type="spellEnd"/>
            <w:r w:rsidRPr="00870E8F">
              <w:rPr>
                <w:color w:val="000000" w:themeColor="text1"/>
                <w:sz w:val="18"/>
                <w:szCs w:val="18"/>
              </w:rPr>
              <w:t xml:space="preserve"> og </w:t>
            </w:r>
            <w:proofErr w:type="spellStart"/>
            <w:r w:rsidRPr="00870E8F">
              <w:rPr>
                <w:color w:val="000000" w:themeColor="text1"/>
                <w:sz w:val="18"/>
                <w:szCs w:val="18"/>
              </w:rPr>
              <w:t>kryptokok</w:t>
            </w:r>
            <w:r w:rsidR="00870E8F" w:rsidRPr="00870E8F">
              <w:rPr>
                <w:color w:val="000000" w:themeColor="text1"/>
                <w:sz w:val="18"/>
                <w:szCs w:val="18"/>
              </w:rPr>
              <w:softHyphen/>
            </w:r>
            <w:r w:rsidRPr="00870E8F">
              <w:rPr>
                <w:color w:val="000000" w:themeColor="text1"/>
                <w:sz w:val="18"/>
                <w:szCs w:val="18"/>
              </w:rPr>
              <w:t>kose</w:t>
            </w:r>
            <w:proofErr w:type="spellEnd"/>
            <w:r w:rsidRPr="00870E8F">
              <w:rPr>
                <w:color w:val="000000" w:themeColor="text1"/>
                <w:sz w:val="18"/>
                <w:szCs w:val="18"/>
              </w:rPr>
              <w:t xml:space="preserve">, dissemineret herpes </w:t>
            </w:r>
            <w:proofErr w:type="spellStart"/>
            <w:r w:rsidRPr="00870E8F">
              <w:rPr>
                <w:color w:val="000000" w:themeColor="text1"/>
                <w:sz w:val="18"/>
                <w:szCs w:val="18"/>
              </w:rPr>
              <w:t>simplex</w:t>
            </w:r>
            <w:proofErr w:type="spellEnd"/>
          </w:p>
        </w:tc>
      </w:tr>
      <w:tr w:rsidR="00870E8F" w:rsidRPr="00870E8F" w14:paraId="0FA3C100"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73A7FFC9" w14:textId="77777777"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Benigne, maligne og uspecificerede tumorer (inkl. cyster og polypper)</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F0CC78C"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84FED58" w14:textId="77777777" w:rsidR="00B5675F" w:rsidRPr="00870E8F" w:rsidRDefault="00B5675F">
            <w:pPr>
              <w:pStyle w:val="Sidehoved"/>
              <w:rPr>
                <w:color w:val="000000" w:themeColor="text1"/>
                <w:sz w:val="18"/>
                <w:szCs w:val="18"/>
              </w:rPr>
            </w:pP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2D513E9C" w14:textId="77777777" w:rsidR="00B5675F" w:rsidRPr="00870E8F" w:rsidRDefault="00B5675F">
            <w:pPr>
              <w:pStyle w:val="Sidehoved"/>
              <w:rPr>
                <w:color w:val="000000" w:themeColor="text1"/>
                <w:sz w:val="18"/>
                <w:szCs w:val="18"/>
              </w:rPr>
            </w:pPr>
            <w:r w:rsidRPr="00870E8F">
              <w:rPr>
                <w:color w:val="000000" w:themeColor="text1"/>
                <w:sz w:val="18"/>
                <w:szCs w:val="18"/>
              </w:rPr>
              <w:t>Lymfom</w:t>
            </w:r>
            <w:r w:rsidRPr="00870E8F">
              <w:rPr>
                <w:color w:val="000000" w:themeColor="text1"/>
                <w:sz w:val="18"/>
                <w:szCs w:val="18"/>
                <w:vertAlign w:val="superscript"/>
              </w:rPr>
              <w:t>1</w:t>
            </w: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0DBA10B" w14:textId="77777777" w:rsidR="00B5675F" w:rsidRPr="00870E8F" w:rsidRDefault="00B5675F">
            <w:pPr>
              <w:pStyle w:val="Sidehoved"/>
              <w:rPr>
                <w:color w:val="000000" w:themeColor="text1"/>
                <w:sz w:val="18"/>
                <w:szCs w:val="18"/>
              </w:rPr>
            </w:pPr>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24BDE995" w14:textId="77777777" w:rsidR="00B5675F" w:rsidRPr="00870E8F" w:rsidRDefault="00B5675F">
            <w:pPr>
              <w:pStyle w:val="Sidehoved"/>
              <w:rPr>
                <w:color w:val="000000" w:themeColor="text1"/>
                <w:sz w:val="18"/>
                <w:szCs w:val="18"/>
              </w:rPr>
            </w:pPr>
          </w:p>
        </w:tc>
        <w:tc>
          <w:tcPr>
            <w:tcW w:w="723" w:type="pct"/>
            <w:tcBorders>
              <w:top w:val="single" w:sz="6" w:space="0" w:color="000000"/>
              <w:left w:val="single" w:sz="4" w:space="0" w:color="auto"/>
              <w:bottom w:val="single" w:sz="6" w:space="0" w:color="000000"/>
              <w:right w:val="double" w:sz="4" w:space="0" w:color="auto"/>
            </w:tcBorders>
          </w:tcPr>
          <w:p w14:paraId="24B6B0A7" w14:textId="77777777" w:rsidR="00B5675F" w:rsidRPr="00870E8F" w:rsidRDefault="00B5675F">
            <w:pPr>
              <w:pStyle w:val="Sidehoved"/>
              <w:rPr>
                <w:color w:val="000000" w:themeColor="text1"/>
                <w:sz w:val="18"/>
                <w:szCs w:val="18"/>
              </w:rPr>
            </w:pPr>
          </w:p>
        </w:tc>
      </w:tr>
      <w:tr w:rsidR="00870E8F" w:rsidRPr="00870E8F" w14:paraId="0AB39D67"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182FD7AC" w14:textId="77777777"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Blod og lymfesystem</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E719D93"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67B7042A" w14:textId="77777777" w:rsidR="00B5675F" w:rsidRPr="00870E8F" w:rsidRDefault="00B5675F">
            <w:pPr>
              <w:pStyle w:val="Sidehoved"/>
              <w:rPr>
                <w:color w:val="000000" w:themeColor="text1"/>
                <w:sz w:val="18"/>
                <w:szCs w:val="18"/>
              </w:rPr>
            </w:pPr>
            <w:proofErr w:type="spellStart"/>
            <w:r w:rsidRPr="00870E8F">
              <w:rPr>
                <w:color w:val="000000" w:themeColor="text1"/>
                <w:sz w:val="18"/>
                <w:szCs w:val="18"/>
              </w:rPr>
              <w:t>Leukocytopeni</w:t>
            </w:r>
            <w:proofErr w:type="spellEnd"/>
            <w:r w:rsidRPr="00870E8F">
              <w:rPr>
                <w:color w:val="000000" w:themeColor="text1"/>
                <w:sz w:val="18"/>
                <w:szCs w:val="18"/>
              </w:rPr>
              <w:t xml:space="preserve">, </w:t>
            </w:r>
            <w:proofErr w:type="spellStart"/>
            <w:r w:rsidRPr="00870E8F">
              <w:rPr>
                <w:color w:val="000000" w:themeColor="text1"/>
                <w:sz w:val="18"/>
                <w:szCs w:val="18"/>
              </w:rPr>
              <w:t>trombocytopeni</w:t>
            </w:r>
            <w:proofErr w:type="spellEnd"/>
            <w:r w:rsidRPr="00870E8F">
              <w:rPr>
                <w:color w:val="000000" w:themeColor="text1"/>
                <w:sz w:val="18"/>
                <w:szCs w:val="18"/>
              </w:rPr>
              <w:t>, anæmi</w:t>
            </w: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7327B185" w14:textId="77777777" w:rsidR="00B5675F" w:rsidRPr="00870E8F" w:rsidRDefault="00B5675F">
            <w:pPr>
              <w:pStyle w:val="Sidehoved"/>
              <w:rPr>
                <w:color w:val="000000" w:themeColor="text1"/>
                <w:sz w:val="18"/>
                <w:szCs w:val="18"/>
              </w:rPr>
            </w:pPr>
            <w:proofErr w:type="spellStart"/>
            <w:r w:rsidRPr="00870E8F">
              <w:rPr>
                <w:color w:val="000000" w:themeColor="text1"/>
                <w:sz w:val="18"/>
                <w:szCs w:val="18"/>
              </w:rPr>
              <w:t>Pancytopeni</w:t>
            </w:r>
            <w:proofErr w:type="spellEnd"/>
            <w:r w:rsidRPr="00870E8F">
              <w:rPr>
                <w:color w:val="000000" w:themeColor="text1"/>
                <w:sz w:val="18"/>
                <w:szCs w:val="18"/>
              </w:rPr>
              <w:t xml:space="preserve">, </w:t>
            </w:r>
            <w:proofErr w:type="spellStart"/>
            <w:r w:rsidRPr="00870E8F">
              <w:rPr>
                <w:color w:val="000000" w:themeColor="text1"/>
                <w:sz w:val="18"/>
                <w:szCs w:val="18"/>
              </w:rPr>
              <w:t>agranulocytose</w:t>
            </w:r>
            <w:proofErr w:type="spellEnd"/>
            <w:r w:rsidRPr="00870E8F">
              <w:rPr>
                <w:color w:val="000000" w:themeColor="text1"/>
                <w:sz w:val="18"/>
                <w:szCs w:val="18"/>
              </w:rPr>
              <w:t xml:space="preserve">, </w:t>
            </w:r>
            <w:proofErr w:type="spellStart"/>
            <w:r w:rsidRPr="00870E8F">
              <w:rPr>
                <w:color w:val="000000" w:themeColor="text1"/>
                <w:sz w:val="18"/>
                <w:szCs w:val="18"/>
              </w:rPr>
              <w:t>hæmatopoietiske</w:t>
            </w:r>
            <w:proofErr w:type="spellEnd"/>
            <w:r w:rsidRPr="00870E8F">
              <w:rPr>
                <w:color w:val="000000" w:themeColor="text1"/>
                <w:sz w:val="18"/>
                <w:szCs w:val="18"/>
              </w:rPr>
              <w:t xml:space="preserve"> forstyrrelser</w:t>
            </w: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54D23B98" w14:textId="77777777" w:rsidR="00B5675F" w:rsidRPr="00870E8F" w:rsidRDefault="00B5675F">
            <w:pPr>
              <w:pStyle w:val="Sidehoved"/>
              <w:rPr>
                <w:color w:val="000000" w:themeColor="text1"/>
                <w:sz w:val="18"/>
                <w:szCs w:val="18"/>
              </w:rPr>
            </w:pPr>
            <w:proofErr w:type="spellStart"/>
            <w:r w:rsidRPr="00870E8F">
              <w:rPr>
                <w:color w:val="000000" w:themeColor="text1"/>
                <w:sz w:val="18"/>
                <w:szCs w:val="18"/>
              </w:rPr>
              <w:t>Megaloblastisk</w:t>
            </w:r>
            <w:proofErr w:type="spellEnd"/>
            <w:r w:rsidRPr="00870E8F">
              <w:rPr>
                <w:color w:val="000000" w:themeColor="text1"/>
                <w:sz w:val="18"/>
                <w:szCs w:val="18"/>
              </w:rPr>
              <w:t xml:space="preserve"> anæmi</w:t>
            </w:r>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hideMark/>
          </w:tcPr>
          <w:p w14:paraId="20450EDC" w14:textId="2A39024B" w:rsidR="00B5675F" w:rsidRPr="00870E8F" w:rsidRDefault="00B5675F">
            <w:pPr>
              <w:pStyle w:val="TableParagraph"/>
              <w:ind w:right="222"/>
              <w:rPr>
                <w:color w:val="000000" w:themeColor="text1"/>
                <w:sz w:val="18"/>
                <w:szCs w:val="18"/>
              </w:rPr>
            </w:pPr>
            <w:r w:rsidRPr="00870E8F">
              <w:rPr>
                <w:color w:val="000000" w:themeColor="text1"/>
                <w:sz w:val="18"/>
                <w:szCs w:val="18"/>
              </w:rPr>
              <w:t>Knogle</w:t>
            </w:r>
            <w:r w:rsidR="00870E8F" w:rsidRPr="00870E8F">
              <w:rPr>
                <w:color w:val="000000" w:themeColor="text1"/>
                <w:sz w:val="18"/>
                <w:szCs w:val="18"/>
              </w:rPr>
              <w:softHyphen/>
            </w:r>
            <w:r w:rsidRPr="00870E8F">
              <w:rPr>
                <w:color w:val="000000" w:themeColor="text1"/>
                <w:sz w:val="18"/>
                <w:szCs w:val="18"/>
              </w:rPr>
              <w:t>marvs</w:t>
            </w:r>
            <w:r w:rsidR="00870E8F" w:rsidRPr="00870E8F">
              <w:rPr>
                <w:color w:val="000000" w:themeColor="text1"/>
                <w:sz w:val="18"/>
                <w:szCs w:val="18"/>
              </w:rPr>
              <w:softHyphen/>
            </w:r>
            <w:r w:rsidRPr="00870E8F">
              <w:rPr>
                <w:color w:val="000000" w:themeColor="text1"/>
                <w:sz w:val="18"/>
                <w:szCs w:val="18"/>
              </w:rPr>
              <w:t xml:space="preserve">depression (svære forløb), </w:t>
            </w:r>
            <w:proofErr w:type="spellStart"/>
            <w:r w:rsidRPr="00870E8F">
              <w:rPr>
                <w:color w:val="000000" w:themeColor="text1"/>
                <w:sz w:val="18"/>
                <w:szCs w:val="18"/>
              </w:rPr>
              <w:t>apla</w:t>
            </w:r>
            <w:r w:rsidR="00870E8F" w:rsidRPr="00870E8F">
              <w:rPr>
                <w:color w:val="000000" w:themeColor="text1"/>
                <w:sz w:val="18"/>
                <w:szCs w:val="18"/>
              </w:rPr>
              <w:softHyphen/>
            </w:r>
            <w:r w:rsidRPr="00870E8F">
              <w:rPr>
                <w:color w:val="000000" w:themeColor="text1"/>
                <w:sz w:val="18"/>
                <w:szCs w:val="18"/>
              </w:rPr>
              <w:t>stisk</w:t>
            </w:r>
            <w:proofErr w:type="spellEnd"/>
            <w:r w:rsidRPr="00870E8F">
              <w:rPr>
                <w:color w:val="000000" w:themeColor="text1"/>
                <w:sz w:val="18"/>
                <w:szCs w:val="18"/>
              </w:rPr>
              <w:t xml:space="preserve"> anæmi, </w:t>
            </w:r>
            <w:proofErr w:type="spellStart"/>
            <w:r w:rsidRPr="00870E8F">
              <w:rPr>
                <w:color w:val="000000" w:themeColor="text1"/>
                <w:sz w:val="18"/>
                <w:szCs w:val="18"/>
              </w:rPr>
              <w:t>lymfopro</w:t>
            </w:r>
            <w:r w:rsidR="00870E8F" w:rsidRPr="00870E8F">
              <w:rPr>
                <w:color w:val="000000" w:themeColor="text1"/>
                <w:sz w:val="18"/>
                <w:szCs w:val="18"/>
              </w:rPr>
              <w:softHyphen/>
            </w:r>
            <w:r w:rsidRPr="00870E8F">
              <w:rPr>
                <w:color w:val="000000" w:themeColor="text1"/>
                <w:sz w:val="18"/>
                <w:szCs w:val="18"/>
              </w:rPr>
              <w:t>life</w:t>
            </w:r>
            <w:r w:rsidR="00870E8F" w:rsidRPr="00870E8F">
              <w:rPr>
                <w:color w:val="000000" w:themeColor="text1"/>
                <w:sz w:val="18"/>
                <w:szCs w:val="18"/>
              </w:rPr>
              <w:softHyphen/>
            </w:r>
            <w:r w:rsidRPr="00870E8F">
              <w:rPr>
                <w:color w:val="000000" w:themeColor="text1"/>
                <w:sz w:val="18"/>
                <w:szCs w:val="18"/>
              </w:rPr>
              <w:t>rativ</w:t>
            </w:r>
            <w:proofErr w:type="spellEnd"/>
            <w:r w:rsidRPr="00870E8F">
              <w:rPr>
                <w:color w:val="000000" w:themeColor="text1"/>
                <w:sz w:val="18"/>
                <w:szCs w:val="18"/>
              </w:rPr>
              <w:t xml:space="preserve"> syg</w:t>
            </w:r>
            <w:r w:rsidR="00870E8F" w:rsidRPr="00870E8F">
              <w:rPr>
                <w:color w:val="000000" w:themeColor="text1"/>
                <w:sz w:val="18"/>
                <w:szCs w:val="18"/>
              </w:rPr>
              <w:softHyphen/>
            </w:r>
            <w:r w:rsidRPr="00870E8F">
              <w:rPr>
                <w:color w:val="000000" w:themeColor="text1"/>
                <w:sz w:val="18"/>
                <w:szCs w:val="18"/>
              </w:rPr>
              <w:t>dom</w:t>
            </w:r>
            <w:r w:rsidRPr="00870E8F">
              <w:rPr>
                <w:color w:val="000000" w:themeColor="text1"/>
                <w:sz w:val="18"/>
                <w:szCs w:val="18"/>
                <w:vertAlign w:val="superscript"/>
              </w:rPr>
              <w:t>2</w:t>
            </w:r>
            <w:r w:rsidRPr="00870E8F">
              <w:rPr>
                <w:color w:val="000000" w:themeColor="text1"/>
                <w:sz w:val="18"/>
                <w:szCs w:val="18"/>
              </w:rPr>
              <w:t xml:space="preserve">, </w:t>
            </w:r>
            <w:proofErr w:type="spellStart"/>
            <w:r w:rsidRPr="00870E8F">
              <w:rPr>
                <w:color w:val="000000" w:themeColor="text1"/>
                <w:sz w:val="18"/>
                <w:szCs w:val="18"/>
              </w:rPr>
              <w:t>eosi</w:t>
            </w:r>
            <w:r w:rsidR="00870E8F" w:rsidRPr="00870E8F">
              <w:rPr>
                <w:color w:val="000000" w:themeColor="text1"/>
                <w:sz w:val="18"/>
                <w:szCs w:val="18"/>
              </w:rPr>
              <w:softHyphen/>
            </w:r>
            <w:r w:rsidRPr="00870E8F">
              <w:rPr>
                <w:color w:val="000000" w:themeColor="text1"/>
                <w:sz w:val="18"/>
                <w:szCs w:val="18"/>
              </w:rPr>
              <w:t>nofili</w:t>
            </w:r>
            <w:proofErr w:type="spellEnd"/>
            <w:r w:rsidRPr="00870E8F">
              <w:rPr>
                <w:color w:val="000000" w:themeColor="text1"/>
                <w:sz w:val="18"/>
                <w:szCs w:val="18"/>
              </w:rPr>
              <w:t xml:space="preserve">, </w:t>
            </w:r>
            <w:proofErr w:type="spellStart"/>
            <w:r w:rsidRPr="00870E8F">
              <w:rPr>
                <w:color w:val="000000" w:themeColor="text1"/>
                <w:sz w:val="18"/>
                <w:szCs w:val="18"/>
              </w:rPr>
              <w:t>neu</w:t>
            </w:r>
            <w:r w:rsidR="00870E8F" w:rsidRPr="00870E8F">
              <w:rPr>
                <w:color w:val="000000" w:themeColor="text1"/>
                <w:sz w:val="18"/>
                <w:szCs w:val="18"/>
              </w:rPr>
              <w:softHyphen/>
            </w:r>
            <w:r w:rsidRPr="00870E8F">
              <w:rPr>
                <w:color w:val="000000" w:themeColor="text1"/>
                <w:sz w:val="18"/>
                <w:szCs w:val="18"/>
              </w:rPr>
              <w:t>tropeni</w:t>
            </w:r>
            <w:proofErr w:type="spellEnd"/>
            <w:r w:rsidRPr="00870E8F">
              <w:rPr>
                <w:color w:val="000000" w:themeColor="text1"/>
                <w:sz w:val="18"/>
                <w:szCs w:val="18"/>
              </w:rPr>
              <w:t xml:space="preserve">, </w:t>
            </w:r>
            <w:proofErr w:type="spellStart"/>
            <w:r w:rsidRPr="00870E8F">
              <w:rPr>
                <w:color w:val="000000" w:themeColor="text1"/>
                <w:sz w:val="18"/>
                <w:szCs w:val="18"/>
              </w:rPr>
              <w:t>lym</w:t>
            </w:r>
            <w:r w:rsidR="00870E8F" w:rsidRPr="00870E8F">
              <w:rPr>
                <w:color w:val="000000" w:themeColor="text1"/>
                <w:sz w:val="18"/>
                <w:szCs w:val="18"/>
              </w:rPr>
              <w:softHyphen/>
            </w:r>
            <w:r w:rsidRPr="00870E8F">
              <w:rPr>
                <w:color w:val="000000" w:themeColor="text1"/>
                <w:sz w:val="18"/>
                <w:szCs w:val="18"/>
              </w:rPr>
              <w:t>fadenopati</w:t>
            </w:r>
            <w:proofErr w:type="spellEnd"/>
          </w:p>
        </w:tc>
        <w:tc>
          <w:tcPr>
            <w:tcW w:w="723" w:type="pct"/>
            <w:tcBorders>
              <w:top w:val="single" w:sz="6" w:space="0" w:color="000000"/>
              <w:left w:val="single" w:sz="4" w:space="0" w:color="auto"/>
              <w:bottom w:val="single" w:sz="6" w:space="0" w:color="000000"/>
              <w:right w:val="double" w:sz="4" w:space="0" w:color="auto"/>
            </w:tcBorders>
            <w:hideMark/>
          </w:tcPr>
          <w:p w14:paraId="1457E331" w14:textId="77777777" w:rsidR="00B5675F" w:rsidRPr="00870E8F" w:rsidRDefault="00B5675F">
            <w:pPr>
              <w:pStyle w:val="Sidehoved"/>
              <w:rPr>
                <w:color w:val="000000" w:themeColor="text1"/>
                <w:sz w:val="18"/>
                <w:szCs w:val="18"/>
              </w:rPr>
            </w:pPr>
            <w:r w:rsidRPr="00870E8F">
              <w:rPr>
                <w:color w:val="000000" w:themeColor="text1"/>
                <w:sz w:val="18"/>
                <w:szCs w:val="18"/>
              </w:rPr>
              <w:t>Blødninger</w:t>
            </w:r>
          </w:p>
        </w:tc>
      </w:tr>
      <w:tr w:rsidR="00870E8F" w:rsidRPr="00870E8F" w14:paraId="75E78DE3"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27AA40A7" w14:textId="3C1C73F0"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Immunsyste</w:t>
            </w:r>
            <w:r w:rsidR="00870E8F" w:rsidRPr="00870E8F">
              <w:rPr>
                <w:b/>
                <w:color w:val="000000" w:themeColor="text1"/>
                <w:sz w:val="18"/>
                <w:szCs w:val="18"/>
              </w:rPr>
              <w:softHyphen/>
            </w:r>
            <w:r w:rsidRPr="00870E8F">
              <w:rPr>
                <w:b/>
                <w:color w:val="000000" w:themeColor="text1"/>
                <w:sz w:val="18"/>
                <w:szCs w:val="18"/>
              </w:rPr>
              <w:t>met</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97EFE0A"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7E4A864" w14:textId="77777777" w:rsidR="00B5675F" w:rsidRPr="00870E8F" w:rsidRDefault="00B5675F">
            <w:pPr>
              <w:pStyle w:val="Sidehoved"/>
              <w:rPr>
                <w:color w:val="000000" w:themeColor="text1"/>
                <w:sz w:val="18"/>
                <w:szCs w:val="18"/>
              </w:rPr>
            </w:pP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0A1CC73E" w14:textId="12F4F24A" w:rsidR="00B5675F" w:rsidRPr="00870E8F" w:rsidRDefault="00B5675F">
            <w:pPr>
              <w:pStyle w:val="TableParagraph"/>
              <w:ind w:right="29"/>
              <w:rPr>
                <w:color w:val="000000" w:themeColor="text1"/>
                <w:sz w:val="18"/>
                <w:szCs w:val="18"/>
              </w:rPr>
            </w:pPr>
            <w:r w:rsidRPr="00870E8F">
              <w:rPr>
                <w:color w:val="000000" w:themeColor="text1"/>
                <w:sz w:val="18"/>
                <w:szCs w:val="18"/>
              </w:rPr>
              <w:t>Allergiske reakti</w:t>
            </w:r>
            <w:r w:rsidR="00870E8F" w:rsidRPr="00870E8F">
              <w:rPr>
                <w:color w:val="000000" w:themeColor="text1"/>
                <w:sz w:val="18"/>
                <w:szCs w:val="18"/>
              </w:rPr>
              <w:softHyphen/>
            </w:r>
            <w:r w:rsidRPr="00870E8F">
              <w:rPr>
                <w:color w:val="000000" w:themeColor="text1"/>
                <w:sz w:val="18"/>
                <w:szCs w:val="18"/>
              </w:rPr>
              <w:t xml:space="preserve">oner, </w:t>
            </w:r>
            <w:proofErr w:type="spellStart"/>
            <w:r w:rsidRPr="00870E8F">
              <w:rPr>
                <w:color w:val="000000" w:themeColor="text1"/>
                <w:sz w:val="18"/>
                <w:szCs w:val="18"/>
              </w:rPr>
              <w:t>anafylak</w:t>
            </w:r>
            <w:r w:rsidR="00870E8F" w:rsidRPr="00870E8F">
              <w:rPr>
                <w:color w:val="000000" w:themeColor="text1"/>
                <w:sz w:val="18"/>
                <w:szCs w:val="18"/>
              </w:rPr>
              <w:softHyphen/>
            </w:r>
            <w:r w:rsidRPr="00870E8F">
              <w:rPr>
                <w:color w:val="000000" w:themeColor="text1"/>
                <w:sz w:val="18"/>
                <w:szCs w:val="18"/>
              </w:rPr>
              <w:t>tisk</w:t>
            </w:r>
            <w:proofErr w:type="spellEnd"/>
            <w:r w:rsidRPr="00870E8F">
              <w:rPr>
                <w:color w:val="000000" w:themeColor="text1"/>
                <w:sz w:val="18"/>
                <w:szCs w:val="18"/>
              </w:rPr>
              <w:t xml:space="preserve"> </w:t>
            </w:r>
            <w:proofErr w:type="spellStart"/>
            <w:r w:rsidRPr="00870E8F">
              <w:rPr>
                <w:color w:val="000000" w:themeColor="text1"/>
                <w:sz w:val="18"/>
                <w:szCs w:val="18"/>
              </w:rPr>
              <w:t>shock</w:t>
            </w:r>
            <w:proofErr w:type="spellEnd"/>
            <w:r w:rsidRPr="00870E8F">
              <w:rPr>
                <w:color w:val="000000" w:themeColor="text1"/>
                <w:sz w:val="18"/>
                <w:szCs w:val="18"/>
              </w:rPr>
              <w:t>, feber, kuldegysninger</w:t>
            </w: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D1450DF" w14:textId="77777777" w:rsidR="00B5675F" w:rsidRPr="00870E8F" w:rsidRDefault="00B5675F">
            <w:pPr>
              <w:pStyle w:val="Sidehoved"/>
              <w:rPr>
                <w:color w:val="000000" w:themeColor="text1"/>
                <w:sz w:val="18"/>
                <w:szCs w:val="18"/>
              </w:rPr>
            </w:pPr>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hideMark/>
          </w:tcPr>
          <w:p w14:paraId="5F6F2917" w14:textId="6819BCED" w:rsidR="00B5675F" w:rsidRPr="00870E8F" w:rsidRDefault="00B5675F">
            <w:pPr>
              <w:pStyle w:val="Sidehoved"/>
              <w:rPr>
                <w:color w:val="000000" w:themeColor="text1"/>
                <w:sz w:val="18"/>
                <w:szCs w:val="18"/>
              </w:rPr>
            </w:pPr>
            <w:r w:rsidRPr="00870E8F">
              <w:rPr>
                <w:color w:val="000000" w:themeColor="text1"/>
                <w:sz w:val="18"/>
                <w:szCs w:val="18"/>
              </w:rPr>
              <w:t>Immunsup</w:t>
            </w:r>
            <w:r w:rsidR="00870E8F" w:rsidRPr="00870E8F">
              <w:rPr>
                <w:color w:val="000000" w:themeColor="text1"/>
                <w:sz w:val="18"/>
                <w:szCs w:val="18"/>
              </w:rPr>
              <w:softHyphen/>
            </w:r>
            <w:r w:rsidRPr="00870E8F">
              <w:rPr>
                <w:color w:val="000000" w:themeColor="text1"/>
                <w:sz w:val="18"/>
                <w:szCs w:val="18"/>
              </w:rPr>
              <w:t>pres</w:t>
            </w:r>
            <w:r w:rsidR="00870E8F" w:rsidRPr="00870E8F">
              <w:rPr>
                <w:color w:val="000000" w:themeColor="text1"/>
                <w:sz w:val="18"/>
                <w:szCs w:val="18"/>
              </w:rPr>
              <w:softHyphen/>
            </w:r>
            <w:r w:rsidRPr="00870E8F">
              <w:rPr>
                <w:color w:val="000000" w:themeColor="text1"/>
                <w:sz w:val="18"/>
                <w:szCs w:val="18"/>
              </w:rPr>
              <w:t xml:space="preserve">sion, allergisk </w:t>
            </w:r>
            <w:proofErr w:type="spellStart"/>
            <w:r w:rsidRPr="00870E8F">
              <w:rPr>
                <w:color w:val="000000" w:themeColor="text1"/>
                <w:sz w:val="18"/>
                <w:szCs w:val="18"/>
              </w:rPr>
              <w:t>vaskulitis</w:t>
            </w:r>
            <w:proofErr w:type="spellEnd"/>
            <w:r w:rsidRPr="00870E8F">
              <w:rPr>
                <w:color w:val="000000" w:themeColor="text1"/>
                <w:sz w:val="18"/>
                <w:szCs w:val="18"/>
              </w:rPr>
              <w:t xml:space="preserve"> (svært toksisk symp</w:t>
            </w:r>
            <w:r w:rsidR="00870E8F" w:rsidRPr="00870E8F">
              <w:rPr>
                <w:color w:val="000000" w:themeColor="text1"/>
                <w:sz w:val="18"/>
                <w:szCs w:val="18"/>
              </w:rPr>
              <w:softHyphen/>
            </w:r>
            <w:r w:rsidRPr="00870E8F">
              <w:rPr>
                <w:color w:val="000000" w:themeColor="text1"/>
                <w:sz w:val="18"/>
                <w:szCs w:val="18"/>
              </w:rPr>
              <w:t xml:space="preserve">tom), </w:t>
            </w:r>
            <w:proofErr w:type="spellStart"/>
            <w:r w:rsidRPr="00870E8F">
              <w:rPr>
                <w:color w:val="000000" w:themeColor="text1"/>
                <w:sz w:val="18"/>
                <w:szCs w:val="18"/>
              </w:rPr>
              <w:t>hypogam</w:t>
            </w:r>
            <w:r w:rsidR="00870E8F" w:rsidRPr="00870E8F">
              <w:rPr>
                <w:color w:val="000000" w:themeColor="text1"/>
                <w:sz w:val="18"/>
                <w:szCs w:val="18"/>
              </w:rPr>
              <w:softHyphen/>
            </w:r>
            <w:r w:rsidRPr="00870E8F">
              <w:rPr>
                <w:color w:val="000000" w:themeColor="text1"/>
                <w:sz w:val="18"/>
                <w:szCs w:val="18"/>
              </w:rPr>
              <w:t>mag</w:t>
            </w:r>
            <w:r w:rsidR="00870E8F" w:rsidRPr="00870E8F">
              <w:rPr>
                <w:color w:val="000000" w:themeColor="text1"/>
                <w:sz w:val="18"/>
                <w:szCs w:val="18"/>
              </w:rPr>
              <w:softHyphen/>
            </w:r>
            <w:r w:rsidRPr="00870E8F">
              <w:rPr>
                <w:color w:val="000000" w:themeColor="text1"/>
                <w:sz w:val="18"/>
                <w:szCs w:val="18"/>
              </w:rPr>
              <w:t>lobulinæmi</w:t>
            </w:r>
            <w:proofErr w:type="spellEnd"/>
          </w:p>
        </w:tc>
        <w:tc>
          <w:tcPr>
            <w:tcW w:w="723" w:type="pct"/>
            <w:tcBorders>
              <w:top w:val="single" w:sz="6" w:space="0" w:color="000000"/>
              <w:left w:val="single" w:sz="4" w:space="0" w:color="auto"/>
              <w:bottom w:val="single" w:sz="6" w:space="0" w:color="000000"/>
              <w:right w:val="double" w:sz="4" w:space="0" w:color="auto"/>
            </w:tcBorders>
          </w:tcPr>
          <w:p w14:paraId="46884C65" w14:textId="77777777" w:rsidR="00B5675F" w:rsidRPr="00870E8F" w:rsidRDefault="00B5675F">
            <w:pPr>
              <w:pStyle w:val="Sidehoved"/>
              <w:rPr>
                <w:color w:val="000000" w:themeColor="text1"/>
                <w:sz w:val="18"/>
                <w:szCs w:val="18"/>
              </w:rPr>
            </w:pPr>
          </w:p>
        </w:tc>
      </w:tr>
      <w:tr w:rsidR="00870E8F" w:rsidRPr="00870E8F" w14:paraId="7924FAA9" w14:textId="77777777" w:rsidTr="00870E8F">
        <w:trPr>
          <w:trHeight w:val="556"/>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4F3B3D71" w14:textId="77777777"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Metabolisme og ernæring</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EB0FB2F"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6A0F976" w14:textId="77777777" w:rsidR="00B5675F" w:rsidRPr="00870E8F" w:rsidRDefault="00B5675F">
            <w:pPr>
              <w:pStyle w:val="Sidehoved"/>
              <w:rPr>
                <w:color w:val="000000" w:themeColor="text1"/>
                <w:sz w:val="18"/>
                <w:szCs w:val="18"/>
              </w:rPr>
            </w:pP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788F1754" w14:textId="77777777" w:rsidR="00B5675F" w:rsidRPr="00870E8F" w:rsidRDefault="00B5675F">
            <w:pPr>
              <w:pStyle w:val="Sidehoved"/>
              <w:rPr>
                <w:color w:val="000000" w:themeColor="text1"/>
                <w:sz w:val="18"/>
                <w:szCs w:val="18"/>
              </w:rPr>
            </w:pPr>
            <w:r w:rsidRPr="00870E8F">
              <w:rPr>
                <w:color w:val="000000" w:themeColor="text1"/>
                <w:sz w:val="18"/>
                <w:szCs w:val="18"/>
              </w:rPr>
              <w:t>Diabetes mellitus</w:t>
            </w: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47EEE33" w14:textId="77777777" w:rsidR="00B5675F" w:rsidRPr="00870E8F" w:rsidRDefault="00B5675F">
            <w:pPr>
              <w:pStyle w:val="Sidehoved"/>
              <w:rPr>
                <w:color w:val="000000" w:themeColor="text1"/>
                <w:sz w:val="18"/>
                <w:szCs w:val="18"/>
              </w:rPr>
            </w:pPr>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3484D798" w14:textId="77777777" w:rsidR="00B5675F" w:rsidRPr="00870E8F" w:rsidRDefault="00B5675F">
            <w:pPr>
              <w:pStyle w:val="Sidehoved"/>
              <w:rPr>
                <w:color w:val="000000" w:themeColor="text1"/>
                <w:sz w:val="18"/>
                <w:szCs w:val="18"/>
              </w:rPr>
            </w:pPr>
          </w:p>
        </w:tc>
        <w:tc>
          <w:tcPr>
            <w:tcW w:w="723" w:type="pct"/>
            <w:tcBorders>
              <w:top w:val="single" w:sz="6" w:space="0" w:color="000000"/>
              <w:left w:val="single" w:sz="4" w:space="0" w:color="auto"/>
              <w:bottom w:val="single" w:sz="6" w:space="0" w:color="000000"/>
              <w:right w:val="double" w:sz="4" w:space="0" w:color="auto"/>
            </w:tcBorders>
          </w:tcPr>
          <w:p w14:paraId="674FBD7B" w14:textId="77777777" w:rsidR="00B5675F" w:rsidRPr="00870E8F" w:rsidRDefault="00B5675F">
            <w:pPr>
              <w:pStyle w:val="Sidehoved"/>
              <w:rPr>
                <w:color w:val="000000" w:themeColor="text1"/>
                <w:sz w:val="18"/>
                <w:szCs w:val="18"/>
              </w:rPr>
            </w:pPr>
          </w:p>
        </w:tc>
      </w:tr>
      <w:tr w:rsidR="00870E8F" w:rsidRPr="00870E8F" w14:paraId="1B378D50" w14:textId="77777777" w:rsidTr="00870E8F">
        <w:trPr>
          <w:trHeight w:val="556"/>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1AB12394" w14:textId="08A764D4"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Psykiske for</w:t>
            </w:r>
            <w:r w:rsidR="00870E8F" w:rsidRPr="00870E8F">
              <w:rPr>
                <w:b/>
                <w:color w:val="000000" w:themeColor="text1"/>
                <w:sz w:val="18"/>
                <w:szCs w:val="18"/>
              </w:rPr>
              <w:softHyphen/>
            </w:r>
            <w:r w:rsidRPr="00870E8F">
              <w:rPr>
                <w:b/>
                <w:color w:val="000000" w:themeColor="text1"/>
                <w:sz w:val="18"/>
                <w:szCs w:val="18"/>
              </w:rPr>
              <w:t>styrrelser</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8AE93C0"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C66DBF4" w14:textId="77777777" w:rsidR="00B5675F" w:rsidRPr="00870E8F" w:rsidRDefault="00B5675F">
            <w:pPr>
              <w:pStyle w:val="Sidehoved"/>
              <w:rPr>
                <w:color w:val="000000" w:themeColor="text1"/>
                <w:sz w:val="18"/>
                <w:szCs w:val="18"/>
              </w:rPr>
            </w:pP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11110A1E" w14:textId="77777777" w:rsidR="00B5675F" w:rsidRPr="00870E8F" w:rsidRDefault="00B5675F">
            <w:pPr>
              <w:pStyle w:val="Sidehoved"/>
              <w:rPr>
                <w:color w:val="000000" w:themeColor="text1"/>
                <w:sz w:val="18"/>
                <w:szCs w:val="18"/>
              </w:rPr>
            </w:pPr>
            <w:r w:rsidRPr="00870E8F">
              <w:rPr>
                <w:color w:val="000000" w:themeColor="text1"/>
                <w:sz w:val="18"/>
                <w:szCs w:val="18"/>
              </w:rPr>
              <w:t>Depression</w:t>
            </w: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55BDD8B8" w14:textId="77777777" w:rsidR="00B5675F" w:rsidRPr="00870E8F" w:rsidRDefault="00B5675F">
            <w:pPr>
              <w:pStyle w:val="Sidehoved"/>
              <w:rPr>
                <w:color w:val="000000" w:themeColor="text1"/>
                <w:sz w:val="18"/>
                <w:szCs w:val="18"/>
              </w:rPr>
            </w:pPr>
            <w:r w:rsidRPr="00870E8F">
              <w:rPr>
                <w:color w:val="000000" w:themeColor="text1"/>
                <w:sz w:val="18"/>
                <w:szCs w:val="18"/>
              </w:rPr>
              <w:t xml:space="preserve">Humørsvingninger </w:t>
            </w:r>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hideMark/>
          </w:tcPr>
          <w:p w14:paraId="6F2FF10B" w14:textId="77777777" w:rsidR="00B5675F" w:rsidRPr="00870E8F" w:rsidRDefault="00B5675F">
            <w:pPr>
              <w:pStyle w:val="Sidehoved"/>
              <w:rPr>
                <w:color w:val="000000" w:themeColor="text1"/>
                <w:sz w:val="18"/>
                <w:szCs w:val="18"/>
              </w:rPr>
            </w:pPr>
            <w:r w:rsidRPr="00870E8F">
              <w:rPr>
                <w:color w:val="000000" w:themeColor="text1"/>
                <w:sz w:val="18"/>
                <w:szCs w:val="18"/>
              </w:rPr>
              <w:t>Insomni</w:t>
            </w:r>
          </w:p>
        </w:tc>
        <w:tc>
          <w:tcPr>
            <w:tcW w:w="723" w:type="pct"/>
            <w:tcBorders>
              <w:top w:val="single" w:sz="6" w:space="0" w:color="000000"/>
              <w:left w:val="single" w:sz="4" w:space="0" w:color="auto"/>
              <w:bottom w:val="single" w:sz="6" w:space="0" w:color="000000"/>
              <w:right w:val="double" w:sz="4" w:space="0" w:color="auto"/>
            </w:tcBorders>
          </w:tcPr>
          <w:p w14:paraId="1D3F29E9" w14:textId="77777777" w:rsidR="00B5675F" w:rsidRPr="00870E8F" w:rsidRDefault="00B5675F">
            <w:pPr>
              <w:pStyle w:val="Sidehoved"/>
              <w:rPr>
                <w:color w:val="000000" w:themeColor="text1"/>
                <w:sz w:val="18"/>
                <w:szCs w:val="18"/>
              </w:rPr>
            </w:pPr>
          </w:p>
        </w:tc>
      </w:tr>
      <w:tr w:rsidR="00870E8F" w:rsidRPr="00870E8F" w14:paraId="5B6D6378"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3D34FC59" w14:textId="77777777"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Nervesystemet</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4C1A458"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03CA9EC9" w14:textId="3E71CD74" w:rsidR="00B5675F" w:rsidRPr="00870E8F" w:rsidRDefault="00B5675F">
            <w:pPr>
              <w:pStyle w:val="Sidehoved"/>
              <w:rPr>
                <w:color w:val="000000" w:themeColor="text1"/>
                <w:sz w:val="18"/>
                <w:szCs w:val="18"/>
              </w:rPr>
            </w:pPr>
            <w:r w:rsidRPr="00870E8F">
              <w:rPr>
                <w:color w:val="000000" w:themeColor="text1"/>
                <w:sz w:val="18"/>
                <w:szCs w:val="18"/>
              </w:rPr>
              <w:t>Hoved</w:t>
            </w:r>
            <w:r w:rsidR="00870E8F" w:rsidRPr="00870E8F">
              <w:rPr>
                <w:color w:val="000000" w:themeColor="text1"/>
                <w:sz w:val="18"/>
                <w:szCs w:val="18"/>
              </w:rPr>
              <w:softHyphen/>
            </w:r>
            <w:r w:rsidRPr="00870E8F">
              <w:rPr>
                <w:color w:val="000000" w:themeColor="text1"/>
                <w:sz w:val="18"/>
                <w:szCs w:val="18"/>
              </w:rPr>
              <w:t>pine, træthed, dø</w:t>
            </w:r>
            <w:r w:rsidR="00870E8F" w:rsidRPr="00870E8F">
              <w:rPr>
                <w:color w:val="000000" w:themeColor="text1"/>
                <w:sz w:val="18"/>
                <w:szCs w:val="18"/>
              </w:rPr>
              <w:softHyphen/>
            </w:r>
            <w:r w:rsidRPr="00870E8F">
              <w:rPr>
                <w:color w:val="000000" w:themeColor="text1"/>
                <w:sz w:val="18"/>
                <w:szCs w:val="18"/>
              </w:rPr>
              <w:t xml:space="preserve">sighed </w:t>
            </w: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0F3A3E31" w14:textId="77777777" w:rsidR="00B5675F" w:rsidRPr="00870E8F" w:rsidRDefault="00B5675F">
            <w:pPr>
              <w:pStyle w:val="Sidehoved"/>
              <w:rPr>
                <w:color w:val="000000" w:themeColor="text1"/>
                <w:sz w:val="18"/>
                <w:szCs w:val="18"/>
              </w:rPr>
            </w:pPr>
            <w:r w:rsidRPr="00870E8F">
              <w:rPr>
                <w:color w:val="000000" w:themeColor="text1"/>
                <w:sz w:val="18"/>
                <w:szCs w:val="18"/>
              </w:rPr>
              <w:t xml:space="preserve">Krampeanfald, </w:t>
            </w:r>
            <w:proofErr w:type="spellStart"/>
            <w:r w:rsidRPr="00870E8F">
              <w:rPr>
                <w:color w:val="000000" w:themeColor="text1"/>
                <w:sz w:val="18"/>
                <w:szCs w:val="18"/>
              </w:rPr>
              <w:t>vertigo</w:t>
            </w:r>
            <w:proofErr w:type="spellEnd"/>
            <w:r w:rsidRPr="00870E8F">
              <w:rPr>
                <w:color w:val="000000" w:themeColor="text1"/>
                <w:sz w:val="18"/>
                <w:szCs w:val="18"/>
              </w:rPr>
              <w:t xml:space="preserve">, konfusion </w:t>
            </w: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4870A7FB" w14:textId="77777777" w:rsidR="00B5675F" w:rsidRPr="00870E8F" w:rsidRDefault="00B5675F">
            <w:pPr>
              <w:pStyle w:val="Sidehoved"/>
              <w:rPr>
                <w:color w:val="000000" w:themeColor="text1"/>
                <w:sz w:val="18"/>
                <w:szCs w:val="18"/>
              </w:rPr>
            </w:pPr>
            <w:proofErr w:type="spellStart"/>
            <w:r w:rsidRPr="00870E8F">
              <w:rPr>
                <w:color w:val="000000" w:themeColor="text1"/>
                <w:sz w:val="18"/>
                <w:szCs w:val="18"/>
              </w:rPr>
              <w:t>Hemiparese</w:t>
            </w:r>
            <w:proofErr w:type="spellEnd"/>
            <w:r w:rsidRPr="00870E8F">
              <w:rPr>
                <w:color w:val="000000" w:themeColor="text1"/>
                <w:sz w:val="18"/>
                <w:szCs w:val="18"/>
              </w:rPr>
              <w:t>, parese</w:t>
            </w:r>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hideMark/>
          </w:tcPr>
          <w:p w14:paraId="24E91B48" w14:textId="502AC833" w:rsidR="00B5675F" w:rsidRPr="00870E8F" w:rsidRDefault="00B5675F">
            <w:pPr>
              <w:pStyle w:val="TableParagraph"/>
              <w:ind w:right="18"/>
              <w:rPr>
                <w:color w:val="000000" w:themeColor="text1"/>
                <w:sz w:val="18"/>
                <w:szCs w:val="18"/>
              </w:rPr>
            </w:pPr>
            <w:r w:rsidRPr="00870E8F">
              <w:rPr>
                <w:color w:val="000000" w:themeColor="text1"/>
                <w:sz w:val="18"/>
                <w:szCs w:val="18"/>
              </w:rPr>
              <w:t xml:space="preserve">Hjerneødem, akut aseptisk meningitis med </w:t>
            </w:r>
            <w:proofErr w:type="spellStart"/>
            <w:r w:rsidRPr="00870E8F">
              <w:rPr>
                <w:color w:val="000000" w:themeColor="text1"/>
                <w:sz w:val="18"/>
                <w:szCs w:val="18"/>
              </w:rPr>
              <w:t>mening</w:t>
            </w:r>
            <w:r w:rsidR="00870E8F" w:rsidRPr="00870E8F">
              <w:rPr>
                <w:color w:val="000000" w:themeColor="text1"/>
                <w:sz w:val="18"/>
                <w:szCs w:val="18"/>
              </w:rPr>
              <w:softHyphen/>
            </w:r>
            <w:r w:rsidRPr="00870E8F">
              <w:rPr>
                <w:color w:val="000000" w:themeColor="text1"/>
                <w:sz w:val="18"/>
                <w:szCs w:val="18"/>
              </w:rPr>
              <w:t>isme</w:t>
            </w:r>
            <w:proofErr w:type="spellEnd"/>
            <w:r w:rsidRPr="00870E8F">
              <w:rPr>
                <w:color w:val="000000" w:themeColor="text1"/>
                <w:sz w:val="18"/>
                <w:szCs w:val="18"/>
              </w:rPr>
              <w:t xml:space="preserve"> (para</w:t>
            </w:r>
            <w:r w:rsidR="00870E8F" w:rsidRPr="00870E8F">
              <w:rPr>
                <w:color w:val="000000" w:themeColor="text1"/>
                <w:sz w:val="18"/>
                <w:szCs w:val="18"/>
              </w:rPr>
              <w:softHyphen/>
            </w:r>
            <w:r w:rsidRPr="00870E8F">
              <w:rPr>
                <w:color w:val="000000" w:themeColor="text1"/>
                <w:sz w:val="18"/>
                <w:szCs w:val="18"/>
              </w:rPr>
              <w:t>lyse, opkast</w:t>
            </w:r>
            <w:r w:rsidR="00870E8F" w:rsidRPr="00870E8F">
              <w:rPr>
                <w:color w:val="000000" w:themeColor="text1"/>
                <w:sz w:val="18"/>
                <w:szCs w:val="18"/>
              </w:rPr>
              <w:softHyphen/>
            </w:r>
            <w:r w:rsidRPr="00870E8F">
              <w:rPr>
                <w:color w:val="000000" w:themeColor="text1"/>
                <w:sz w:val="18"/>
                <w:szCs w:val="18"/>
              </w:rPr>
              <w:t>ning), letargi,</w:t>
            </w:r>
          </w:p>
          <w:p w14:paraId="1DC85D7E" w14:textId="732954EF" w:rsidR="00B5675F" w:rsidRPr="00870E8F" w:rsidRDefault="00B5675F">
            <w:pPr>
              <w:pStyle w:val="TableParagraph"/>
              <w:ind w:right="18"/>
              <w:rPr>
                <w:color w:val="000000" w:themeColor="text1"/>
                <w:sz w:val="18"/>
                <w:szCs w:val="18"/>
              </w:rPr>
            </w:pPr>
            <w:r w:rsidRPr="00870E8F">
              <w:rPr>
                <w:color w:val="000000" w:themeColor="text1"/>
                <w:sz w:val="18"/>
                <w:szCs w:val="18"/>
              </w:rPr>
              <w:t>forbigående kognitiv dys</w:t>
            </w:r>
            <w:r w:rsidR="00870E8F" w:rsidRPr="00870E8F">
              <w:rPr>
                <w:color w:val="000000" w:themeColor="text1"/>
                <w:sz w:val="18"/>
                <w:szCs w:val="18"/>
              </w:rPr>
              <w:softHyphen/>
            </w:r>
            <w:r w:rsidRPr="00870E8F">
              <w:rPr>
                <w:color w:val="000000" w:themeColor="text1"/>
                <w:sz w:val="18"/>
                <w:szCs w:val="18"/>
              </w:rPr>
              <w:t>funktion, psy</w:t>
            </w:r>
            <w:r w:rsidR="00870E8F" w:rsidRPr="00870E8F">
              <w:rPr>
                <w:color w:val="000000" w:themeColor="text1"/>
                <w:sz w:val="18"/>
                <w:szCs w:val="18"/>
              </w:rPr>
              <w:softHyphen/>
            </w:r>
            <w:r w:rsidRPr="00870E8F">
              <w:rPr>
                <w:color w:val="000000" w:themeColor="text1"/>
                <w:sz w:val="18"/>
                <w:szCs w:val="18"/>
              </w:rPr>
              <w:t>kose, afasi, smerter, mu</w:t>
            </w:r>
            <w:r w:rsidR="00870E8F" w:rsidRPr="00870E8F">
              <w:rPr>
                <w:color w:val="000000" w:themeColor="text1"/>
                <w:sz w:val="18"/>
                <w:szCs w:val="18"/>
              </w:rPr>
              <w:softHyphen/>
            </w:r>
            <w:r w:rsidRPr="00870E8F">
              <w:rPr>
                <w:color w:val="000000" w:themeColor="text1"/>
                <w:sz w:val="18"/>
                <w:szCs w:val="18"/>
              </w:rPr>
              <w:t xml:space="preserve">skelsvaghed, </w:t>
            </w:r>
            <w:proofErr w:type="spellStart"/>
            <w:r w:rsidRPr="00870E8F">
              <w:rPr>
                <w:color w:val="000000" w:themeColor="text1"/>
                <w:sz w:val="18"/>
                <w:szCs w:val="18"/>
              </w:rPr>
              <w:t>paræstesi</w:t>
            </w:r>
            <w:proofErr w:type="spellEnd"/>
            <w:r w:rsidRPr="00870E8F">
              <w:rPr>
                <w:color w:val="000000" w:themeColor="text1"/>
                <w:sz w:val="18"/>
                <w:szCs w:val="18"/>
              </w:rPr>
              <w:t xml:space="preserve"> /</w:t>
            </w:r>
            <w:proofErr w:type="spellStart"/>
            <w:r w:rsidRPr="00870E8F">
              <w:rPr>
                <w:color w:val="000000" w:themeColor="text1"/>
                <w:sz w:val="18"/>
                <w:szCs w:val="18"/>
              </w:rPr>
              <w:t>hypæstesi</w:t>
            </w:r>
            <w:proofErr w:type="spellEnd"/>
            <w:r w:rsidRPr="00870E8F">
              <w:rPr>
                <w:color w:val="000000" w:themeColor="text1"/>
                <w:sz w:val="18"/>
                <w:szCs w:val="18"/>
              </w:rPr>
              <w:t>, smagsændrin</w:t>
            </w:r>
            <w:r w:rsidR="00870E8F" w:rsidRPr="00870E8F">
              <w:rPr>
                <w:color w:val="000000" w:themeColor="text1"/>
                <w:sz w:val="18"/>
                <w:szCs w:val="18"/>
              </w:rPr>
              <w:softHyphen/>
            </w:r>
            <w:r w:rsidRPr="00870E8F">
              <w:rPr>
                <w:color w:val="000000" w:themeColor="text1"/>
                <w:sz w:val="18"/>
                <w:szCs w:val="18"/>
              </w:rPr>
              <w:t xml:space="preserve">ger </w:t>
            </w:r>
            <w:r w:rsidRPr="00870E8F">
              <w:rPr>
                <w:color w:val="000000" w:themeColor="text1"/>
                <w:sz w:val="18"/>
                <w:szCs w:val="18"/>
              </w:rPr>
              <w:lastRenderedPageBreak/>
              <w:t>(metallisk smag), irrita</w:t>
            </w:r>
            <w:r w:rsidR="00870E8F" w:rsidRPr="00870E8F">
              <w:rPr>
                <w:color w:val="000000" w:themeColor="text1"/>
                <w:sz w:val="18"/>
                <w:szCs w:val="18"/>
              </w:rPr>
              <w:softHyphen/>
            </w:r>
            <w:r w:rsidRPr="00870E8F">
              <w:rPr>
                <w:color w:val="000000" w:themeColor="text1"/>
                <w:sz w:val="18"/>
                <w:szCs w:val="18"/>
              </w:rPr>
              <w:t xml:space="preserve">tion, </w:t>
            </w:r>
            <w:proofErr w:type="spellStart"/>
            <w:r w:rsidRPr="00870E8F">
              <w:rPr>
                <w:color w:val="000000" w:themeColor="text1"/>
                <w:sz w:val="18"/>
                <w:szCs w:val="18"/>
              </w:rPr>
              <w:t>dysartri</w:t>
            </w:r>
            <w:proofErr w:type="spellEnd"/>
            <w:r w:rsidRPr="00870E8F">
              <w:rPr>
                <w:color w:val="000000" w:themeColor="text1"/>
                <w:sz w:val="18"/>
                <w:szCs w:val="18"/>
              </w:rPr>
              <w:t>, usædvanlige kraniefor</w:t>
            </w:r>
            <w:r w:rsidR="00870E8F" w:rsidRPr="00870E8F">
              <w:rPr>
                <w:color w:val="000000" w:themeColor="text1"/>
                <w:sz w:val="18"/>
                <w:szCs w:val="18"/>
              </w:rPr>
              <w:softHyphen/>
            </w:r>
            <w:r w:rsidRPr="00870E8F">
              <w:rPr>
                <w:color w:val="000000" w:themeColor="text1"/>
                <w:sz w:val="18"/>
                <w:szCs w:val="18"/>
              </w:rPr>
              <w:t>nemmelser, tinnitus</w:t>
            </w:r>
          </w:p>
        </w:tc>
        <w:tc>
          <w:tcPr>
            <w:tcW w:w="723" w:type="pct"/>
            <w:tcBorders>
              <w:top w:val="single" w:sz="6" w:space="0" w:color="000000"/>
              <w:left w:val="single" w:sz="4" w:space="0" w:color="auto"/>
              <w:bottom w:val="single" w:sz="6" w:space="0" w:color="000000"/>
              <w:right w:val="double" w:sz="4" w:space="0" w:color="auto"/>
            </w:tcBorders>
            <w:hideMark/>
          </w:tcPr>
          <w:p w14:paraId="2AB7776D" w14:textId="079C13B4" w:rsidR="00B5675F" w:rsidRPr="00870E8F" w:rsidRDefault="00B5675F">
            <w:pPr>
              <w:pStyle w:val="Sidehoved"/>
              <w:rPr>
                <w:color w:val="000000" w:themeColor="text1"/>
                <w:sz w:val="18"/>
                <w:szCs w:val="18"/>
              </w:rPr>
            </w:pPr>
            <w:r w:rsidRPr="00870E8F">
              <w:rPr>
                <w:color w:val="000000" w:themeColor="text1"/>
                <w:sz w:val="18"/>
                <w:szCs w:val="18"/>
              </w:rPr>
              <w:lastRenderedPageBreak/>
              <w:t>Encefalopa</w:t>
            </w:r>
            <w:r w:rsidR="00870E8F" w:rsidRPr="00870E8F">
              <w:rPr>
                <w:color w:val="000000" w:themeColor="text1"/>
                <w:sz w:val="18"/>
                <w:szCs w:val="18"/>
              </w:rPr>
              <w:softHyphen/>
            </w:r>
            <w:r w:rsidRPr="00870E8F">
              <w:rPr>
                <w:color w:val="000000" w:themeColor="text1"/>
                <w:sz w:val="18"/>
                <w:szCs w:val="18"/>
              </w:rPr>
              <w:t>ti/</w:t>
            </w:r>
            <w:proofErr w:type="spellStart"/>
            <w:r w:rsidRPr="00870E8F">
              <w:rPr>
                <w:color w:val="000000" w:themeColor="text1"/>
                <w:sz w:val="18"/>
                <w:szCs w:val="18"/>
              </w:rPr>
              <w:t>leukoencefalo</w:t>
            </w:r>
            <w:r w:rsidR="00870E8F" w:rsidRPr="00870E8F">
              <w:rPr>
                <w:color w:val="000000" w:themeColor="text1"/>
                <w:sz w:val="18"/>
                <w:szCs w:val="18"/>
              </w:rPr>
              <w:softHyphen/>
            </w:r>
            <w:r w:rsidRPr="00870E8F">
              <w:rPr>
                <w:color w:val="000000" w:themeColor="text1"/>
                <w:sz w:val="18"/>
                <w:szCs w:val="18"/>
              </w:rPr>
              <w:t>pati</w:t>
            </w:r>
            <w:proofErr w:type="spellEnd"/>
          </w:p>
        </w:tc>
      </w:tr>
      <w:tr w:rsidR="00870E8F" w:rsidRPr="00870E8F" w14:paraId="7D7A9107" w14:textId="77777777" w:rsidTr="00870E8F">
        <w:trPr>
          <w:trHeight w:val="597"/>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0E8DC864" w14:textId="77777777"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Øjne</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04D56FA"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20EACEE" w14:textId="77777777" w:rsidR="00B5675F" w:rsidRPr="00870E8F" w:rsidRDefault="00B5675F">
            <w:pPr>
              <w:pStyle w:val="Sidehoved"/>
              <w:rPr>
                <w:color w:val="000000" w:themeColor="text1"/>
                <w:sz w:val="18"/>
                <w:szCs w:val="18"/>
              </w:rPr>
            </w:pP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80D06E4" w14:textId="77777777" w:rsidR="00B5675F" w:rsidRPr="00870E8F" w:rsidRDefault="00B5675F">
            <w:pPr>
              <w:pStyle w:val="Sidehoved"/>
              <w:rPr>
                <w:color w:val="000000" w:themeColor="text1"/>
                <w:sz w:val="18"/>
                <w:szCs w:val="18"/>
              </w:rPr>
            </w:pP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56CE5043" w14:textId="40D6C3FF" w:rsidR="00B5675F" w:rsidRPr="00870E8F" w:rsidRDefault="00B5675F">
            <w:pPr>
              <w:pStyle w:val="Sidehoved"/>
              <w:rPr>
                <w:color w:val="000000" w:themeColor="text1"/>
                <w:sz w:val="18"/>
                <w:szCs w:val="18"/>
              </w:rPr>
            </w:pPr>
            <w:r w:rsidRPr="00870E8F">
              <w:rPr>
                <w:color w:val="000000" w:themeColor="text1"/>
                <w:sz w:val="18"/>
                <w:szCs w:val="18"/>
              </w:rPr>
              <w:t>Svære synsforstyr</w:t>
            </w:r>
            <w:r w:rsidR="00870E8F" w:rsidRPr="00870E8F">
              <w:rPr>
                <w:color w:val="000000" w:themeColor="text1"/>
                <w:sz w:val="18"/>
                <w:szCs w:val="18"/>
              </w:rPr>
              <w:softHyphen/>
            </w:r>
            <w:r w:rsidRPr="00870E8F">
              <w:rPr>
                <w:color w:val="000000" w:themeColor="text1"/>
                <w:sz w:val="18"/>
                <w:szCs w:val="18"/>
              </w:rPr>
              <w:t xml:space="preserve">relser </w:t>
            </w:r>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hideMark/>
          </w:tcPr>
          <w:p w14:paraId="43EA08B6" w14:textId="77777777" w:rsidR="00B5675F" w:rsidRPr="00870E8F" w:rsidRDefault="00B5675F">
            <w:pPr>
              <w:pStyle w:val="Sidehoved"/>
              <w:rPr>
                <w:color w:val="000000" w:themeColor="text1"/>
                <w:sz w:val="18"/>
                <w:szCs w:val="18"/>
              </w:rPr>
            </w:pPr>
            <w:proofErr w:type="spellStart"/>
            <w:r w:rsidRPr="00870E8F">
              <w:rPr>
                <w:color w:val="000000" w:themeColor="text1"/>
                <w:sz w:val="18"/>
                <w:szCs w:val="18"/>
              </w:rPr>
              <w:t>Retinopati</w:t>
            </w:r>
            <w:proofErr w:type="spellEnd"/>
            <w:r w:rsidRPr="00870E8F">
              <w:rPr>
                <w:color w:val="000000" w:themeColor="text1"/>
                <w:sz w:val="18"/>
                <w:szCs w:val="18"/>
              </w:rPr>
              <w:t xml:space="preserve">, </w:t>
            </w:r>
            <w:proofErr w:type="spellStart"/>
            <w:r w:rsidRPr="00870E8F">
              <w:rPr>
                <w:color w:val="000000" w:themeColor="text1"/>
                <w:sz w:val="18"/>
                <w:szCs w:val="18"/>
              </w:rPr>
              <w:t>conjunctivitis</w:t>
            </w:r>
            <w:proofErr w:type="spellEnd"/>
          </w:p>
        </w:tc>
        <w:tc>
          <w:tcPr>
            <w:tcW w:w="723" w:type="pct"/>
            <w:tcBorders>
              <w:top w:val="single" w:sz="6" w:space="0" w:color="000000"/>
              <w:left w:val="single" w:sz="4" w:space="0" w:color="auto"/>
              <w:bottom w:val="single" w:sz="6" w:space="0" w:color="000000"/>
              <w:right w:val="double" w:sz="4" w:space="0" w:color="auto"/>
            </w:tcBorders>
          </w:tcPr>
          <w:p w14:paraId="045CF6F4" w14:textId="77777777" w:rsidR="00B5675F" w:rsidRPr="00870E8F" w:rsidRDefault="00B5675F">
            <w:pPr>
              <w:pStyle w:val="Sidehoved"/>
              <w:rPr>
                <w:color w:val="000000" w:themeColor="text1"/>
                <w:sz w:val="18"/>
                <w:szCs w:val="18"/>
                <w:lang w:val="sv-SE"/>
              </w:rPr>
            </w:pPr>
          </w:p>
        </w:tc>
      </w:tr>
      <w:tr w:rsidR="00870E8F" w:rsidRPr="00870E8F" w14:paraId="148C6BA7" w14:textId="77777777" w:rsidTr="00870E8F">
        <w:trPr>
          <w:trHeight w:val="597"/>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621AC80E" w14:textId="77777777"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Hjerte</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879AD82"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F0227B3" w14:textId="77777777" w:rsidR="00B5675F" w:rsidRPr="00870E8F" w:rsidRDefault="00B5675F">
            <w:pPr>
              <w:pStyle w:val="Sidehoved"/>
              <w:rPr>
                <w:color w:val="000000" w:themeColor="text1"/>
                <w:sz w:val="18"/>
                <w:szCs w:val="18"/>
              </w:rPr>
            </w:pP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0B9BED8" w14:textId="77777777" w:rsidR="00B5675F" w:rsidRPr="00870E8F" w:rsidRDefault="00B5675F">
            <w:pPr>
              <w:pStyle w:val="Sidehoved"/>
              <w:rPr>
                <w:color w:val="000000" w:themeColor="text1"/>
                <w:sz w:val="18"/>
                <w:szCs w:val="18"/>
              </w:rPr>
            </w:pP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70DB1C83" w14:textId="0039ED20" w:rsidR="00B5675F" w:rsidRPr="00870E8F" w:rsidRDefault="00B5675F">
            <w:pPr>
              <w:pStyle w:val="Sidehoved"/>
              <w:rPr>
                <w:color w:val="000000" w:themeColor="text1"/>
                <w:sz w:val="18"/>
                <w:szCs w:val="18"/>
              </w:rPr>
            </w:pPr>
            <w:proofErr w:type="spellStart"/>
            <w:r w:rsidRPr="00870E8F">
              <w:rPr>
                <w:color w:val="000000" w:themeColor="text1"/>
                <w:sz w:val="18"/>
                <w:szCs w:val="18"/>
              </w:rPr>
              <w:t>Pericarditis</w:t>
            </w:r>
            <w:proofErr w:type="spellEnd"/>
            <w:r w:rsidRPr="00870E8F">
              <w:rPr>
                <w:color w:val="000000" w:themeColor="text1"/>
                <w:sz w:val="18"/>
                <w:szCs w:val="18"/>
              </w:rPr>
              <w:t xml:space="preserve">, </w:t>
            </w:r>
            <w:proofErr w:type="spellStart"/>
            <w:r w:rsidRPr="00870E8F">
              <w:rPr>
                <w:color w:val="000000" w:themeColor="text1"/>
                <w:sz w:val="18"/>
                <w:szCs w:val="18"/>
              </w:rPr>
              <w:t>perikar</w:t>
            </w:r>
            <w:r w:rsidR="00870E8F" w:rsidRPr="00870E8F">
              <w:rPr>
                <w:color w:val="000000" w:themeColor="text1"/>
                <w:sz w:val="18"/>
                <w:szCs w:val="18"/>
              </w:rPr>
              <w:softHyphen/>
            </w:r>
            <w:r w:rsidRPr="00870E8F">
              <w:rPr>
                <w:color w:val="000000" w:themeColor="text1"/>
                <w:sz w:val="18"/>
                <w:szCs w:val="18"/>
              </w:rPr>
              <w:t>dieeffusion</w:t>
            </w:r>
            <w:proofErr w:type="spellEnd"/>
            <w:r w:rsidRPr="00870E8F">
              <w:rPr>
                <w:color w:val="000000" w:themeColor="text1"/>
                <w:sz w:val="18"/>
                <w:szCs w:val="18"/>
              </w:rPr>
              <w:t xml:space="preserve">, </w:t>
            </w:r>
            <w:proofErr w:type="spellStart"/>
            <w:r w:rsidRPr="00870E8F">
              <w:rPr>
                <w:color w:val="000000" w:themeColor="text1"/>
                <w:sz w:val="18"/>
                <w:szCs w:val="18"/>
              </w:rPr>
              <w:t>perikar</w:t>
            </w:r>
            <w:r w:rsidR="00870E8F" w:rsidRPr="00870E8F">
              <w:rPr>
                <w:color w:val="000000" w:themeColor="text1"/>
                <w:sz w:val="18"/>
                <w:szCs w:val="18"/>
              </w:rPr>
              <w:softHyphen/>
            </w:r>
            <w:r w:rsidRPr="00870E8F">
              <w:rPr>
                <w:color w:val="000000" w:themeColor="text1"/>
                <w:sz w:val="18"/>
                <w:szCs w:val="18"/>
              </w:rPr>
              <w:t>dietamponade</w:t>
            </w:r>
            <w:proofErr w:type="spellEnd"/>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20E1C8B3" w14:textId="77777777" w:rsidR="00B5675F" w:rsidRPr="00870E8F" w:rsidRDefault="00B5675F">
            <w:pPr>
              <w:pStyle w:val="Sidehoved"/>
              <w:rPr>
                <w:color w:val="000000" w:themeColor="text1"/>
                <w:sz w:val="18"/>
                <w:szCs w:val="18"/>
                <w:lang w:val="es-ES"/>
              </w:rPr>
            </w:pPr>
          </w:p>
        </w:tc>
        <w:tc>
          <w:tcPr>
            <w:tcW w:w="723" w:type="pct"/>
            <w:tcBorders>
              <w:top w:val="single" w:sz="6" w:space="0" w:color="000000"/>
              <w:left w:val="single" w:sz="4" w:space="0" w:color="auto"/>
              <w:bottom w:val="single" w:sz="6" w:space="0" w:color="000000"/>
              <w:right w:val="double" w:sz="4" w:space="0" w:color="auto"/>
            </w:tcBorders>
          </w:tcPr>
          <w:p w14:paraId="10DD4AD4" w14:textId="77777777" w:rsidR="00B5675F" w:rsidRPr="00870E8F" w:rsidRDefault="00B5675F">
            <w:pPr>
              <w:pStyle w:val="Sidehoved"/>
              <w:rPr>
                <w:color w:val="000000" w:themeColor="text1"/>
                <w:sz w:val="18"/>
                <w:szCs w:val="18"/>
                <w:lang w:val="es-ES"/>
              </w:rPr>
            </w:pPr>
          </w:p>
        </w:tc>
      </w:tr>
      <w:tr w:rsidR="00870E8F" w:rsidRPr="00870E8F" w14:paraId="49918D5E"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6A0AA7D4" w14:textId="77777777" w:rsidR="00B5675F" w:rsidRPr="00870E8F" w:rsidRDefault="00B5675F">
            <w:pPr>
              <w:pStyle w:val="Sidehoved"/>
              <w:tabs>
                <w:tab w:val="left" w:pos="0"/>
              </w:tabs>
              <w:rPr>
                <w:b/>
                <w:color w:val="000000" w:themeColor="text1"/>
                <w:sz w:val="18"/>
                <w:szCs w:val="18"/>
              </w:rPr>
            </w:pPr>
            <w:proofErr w:type="spellStart"/>
            <w:r w:rsidRPr="00870E8F">
              <w:rPr>
                <w:b/>
                <w:color w:val="000000" w:themeColor="text1"/>
                <w:sz w:val="18"/>
                <w:szCs w:val="18"/>
              </w:rPr>
              <w:t>Vaskulære</w:t>
            </w:r>
            <w:proofErr w:type="spellEnd"/>
            <w:r w:rsidRPr="00870E8F">
              <w:rPr>
                <w:b/>
                <w:color w:val="000000" w:themeColor="text1"/>
                <w:sz w:val="18"/>
                <w:szCs w:val="18"/>
              </w:rPr>
              <w:t xml:space="preserve"> sygdomme</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5D558C4"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4BB2E7E" w14:textId="77777777" w:rsidR="00B5675F" w:rsidRPr="00870E8F" w:rsidRDefault="00B5675F">
            <w:pPr>
              <w:pStyle w:val="Sidehoved"/>
              <w:rPr>
                <w:color w:val="000000" w:themeColor="text1"/>
                <w:sz w:val="18"/>
                <w:szCs w:val="18"/>
              </w:rPr>
            </w:pP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BF38911" w14:textId="77777777" w:rsidR="00B5675F" w:rsidRPr="00870E8F" w:rsidRDefault="00B5675F">
            <w:pPr>
              <w:pStyle w:val="Sidehoved"/>
              <w:rPr>
                <w:color w:val="000000" w:themeColor="text1"/>
                <w:sz w:val="18"/>
                <w:szCs w:val="18"/>
              </w:rPr>
            </w:pP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38DE1D3B" w14:textId="0E4A414B" w:rsidR="00B5675F" w:rsidRPr="00870E8F" w:rsidRDefault="00B5675F">
            <w:pPr>
              <w:pStyle w:val="Sidehoved"/>
              <w:rPr>
                <w:color w:val="000000" w:themeColor="text1"/>
                <w:sz w:val="18"/>
                <w:szCs w:val="18"/>
              </w:rPr>
            </w:pPr>
            <w:proofErr w:type="spellStart"/>
            <w:r w:rsidRPr="00870E8F">
              <w:rPr>
                <w:color w:val="000000" w:themeColor="text1"/>
                <w:sz w:val="18"/>
                <w:szCs w:val="18"/>
              </w:rPr>
              <w:t>Tromboemboliske</w:t>
            </w:r>
            <w:proofErr w:type="spellEnd"/>
            <w:r w:rsidRPr="00870E8F">
              <w:rPr>
                <w:color w:val="000000" w:themeColor="text1"/>
                <w:sz w:val="18"/>
                <w:szCs w:val="18"/>
              </w:rPr>
              <w:t xml:space="preserve"> reaktioner (herunder arteriel og cerebral trombose, </w:t>
            </w:r>
            <w:proofErr w:type="spellStart"/>
            <w:r w:rsidRPr="00870E8F">
              <w:rPr>
                <w:color w:val="000000" w:themeColor="text1"/>
                <w:sz w:val="18"/>
                <w:szCs w:val="18"/>
              </w:rPr>
              <w:t>trombo</w:t>
            </w:r>
            <w:r w:rsidR="00870E8F" w:rsidRPr="00870E8F">
              <w:rPr>
                <w:color w:val="000000" w:themeColor="text1"/>
                <w:sz w:val="18"/>
                <w:szCs w:val="18"/>
              </w:rPr>
              <w:softHyphen/>
            </w:r>
            <w:r w:rsidRPr="00870E8F">
              <w:rPr>
                <w:color w:val="000000" w:themeColor="text1"/>
                <w:sz w:val="18"/>
                <w:szCs w:val="18"/>
              </w:rPr>
              <w:t>flebitis</w:t>
            </w:r>
            <w:proofErr w:type="spellEnd"/>
            <w:r w:rsidRPr="00870E8F">
              <w:rPr>
                <w:color w:val="000000" w:themeColor="text1"/>
                <w:sz w:val="18"/>
                <w:szCs w:val="18"/>
              </w:rPr>
              <w:t>, dyb vene</w:t>
            </w:r>
            <w:r w:rsidR="00870E8F" w:rsidRPr="00870E8F">
              <w:rPr>
                <w:color w:val="000000" w:themeColor="text1"/>
                <w:sz w:val="18"/>
                <w:szCs w:val="18"/>
              </w:rPr>
              <w:softHyphen/>
            </w:r>
            <w:r w:rsidRPr="00870E8F">
              <w:rPr>
                <w:color w:val="000000" w:themeColor="text1"/>
                <w:sz w:val="18"/>
                <w:szCs w:val="18"/>
              </w:rPr>
              <w:t xml:space="preserve">trombose i benet, </w:t>
            </w:r>
            <w:proofErr w:type="spellStart"/>
            <w:r w:rsidRPr="00870E8F">
              <w:rPr>
                <w:color w:val="000000" w:themeColor="text1"/>
                <w:sz w:val="18"/>
                <w:szCs w:val="18"/>
              </w:rPr>
              <w:t>re</w:t>
            </w:r>
            <w:r w:rsidR="00870E8F" w:rsidRPr="00870E8F">
              <w:rPr>
                <w:color w:val="000000" w:themeColor="text1"/>
                <w:sz w:val="18"/>
                <w:szCs w:val="18"/>
              </w:rPr>
              <w:softHyphen/>
            </w:r>
            <w:r w:rsidRPr="00870E8F">
              <w:rPr>
                <w:color w:val="000000" w:themeColor="text1"/>
                <w:sz w:val="18"/>
                <w:szCs w:val="18"/>
              </w:rPr>
              <w:t>tinal</w:t>
            </w:r>
            <w:proofErr w:type="spellEnd"/>
            <w:r w:rsidRPr="00870E8F">
              <w:rPr>
                <w:color w:val="000000" w:themeColor="text1"/>
                <w:sz w:val="18"/>
                <w:szCs w:val="18"/>
              </w:rPr>
              <w:t xml:space="preserve"> venetrombose, </w:t>
            </w:r>
            <w:proofErr w:type="spellStart"/>
            <w:r w:rsidRPr="00870E8F">
              <w:rPr>
                <w:color w:val="000000" w:themeColor="text1"/>
                <w:sz w:val="18"/>
                <w:szCs w:val="18"/>
              </w:rPr>
              <w:t>lungeemboli</w:t>
            </w:r>
            <w:proofErr w:type="spellEnd"/>
            <w:r w:rsidRPr="00870E8F">
              <w:rPr>
                <w:color w:val="000000" w:themeColor="text1"/>
                <w:sz w:val="18"/>
                <w:szCs w:val="18"/>
              </w:rPr>
              <w:t>), hypo</w:t>
            </w:r>
            <w:r w:rsidR="00870E8F" w:rsidRPr="00870E8F">
              <w:rPr>
                <w:color w:val="000000" w:themeColor="text1"/>
                <w:sz w:val="18"/>
                <w:szCs w:val="18"/>
              </w:rPr>
              <w:softHyphen/>
            </w:r>
            <w:r w:rsidRPr="00870E8F">
              <w:rPr>
                <w:color w:val="000000" w:themeColor="text1"/>
                <w:sz w:val="18"/>
                <w:szCs w:val="18"/>
              </w:rPr>
              <w:t>tension</w:t>
            </w:r>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3C1421EC" w14:textId="77777777" w:rsidR="00B5675F" w:rsidRPr="00870E8F" w:rsidRDefault="00B5675F">
            <w:pPr>
              <w:pStyle w:val="Sidehoved"/>
              <w:rPr>
                <w:color w:val="000000" w:themeColor="text1"/>
                <w:sz w:val="18"/>
                <w:szCs w:val="18"/>
              </w:rPr>
            </w:pPr>
          </w:p>
        </w:tc>
        <w:tc>
          <w:tcPr>
            <w:tcW w:w="723" w:type="pct"/>
            <w:tcBorders>
              <w:top w:val="single" w:sz="6" w:space="0" w:color="000000"/>
              <w:left w:val="single" w:sz="4" w:space="0" w:color="auto"/>
              <w:bottom w:val="single" w:sz="6" w:space="0" w:color="000000"/>
              <w:right w:val="double" w:sz="4" w:space="0" w:color="auto"/>
            </w:tcBorders>
          </w:tcPr>
          <w:p w14:paraId="6B662B21" w14:textId="77777777" w:rsidR="00B5675F" w:rsidRPr="00870E8F" w:rsidRDefault="00B5675F">
            <w:pPr>
              <w:pStyle w:val="Sidehoved"/>
              <w:rPr>
                <w:color w:val="000000" w:themeColor="text1"/>
                <w:sz w:val="18"/>
                <w:szCs w:val="18"/>
              </w:rPr>
            </w:pPr>
          </w:p>
        </w:tc>
      </w:tr>
      <w:tr w:rsidR="00870E8F" w:rsidRPr="00870E8F" w14:paraId="246C2A5E"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6FE93D11" w14:textId="68CA8E66"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Luftveje, tho</w:t>
            </w:r>
            <w:r w:rsidR="00870E8F" w:rsidRPr="00870E8F">
              <w:rPr>
                <w:b/>
                <w:color w:val="000000" w:themeColor="text1"/>
                <w:sz w:val="18"/>
                <w:szCs w:val="18"/>
              </w:rPr>
              <w:softHyphen/>
            </w:r>
            <w:r w:rsidRPr="00870E8F">
              <w:rPr>
                <w:b/>
                <w:color w:val="000000" w:themeColor="text1"/>
                <w:sz w:val="18"/>
                <w:szCs w:val="18"/>
              </w:rPr>
              <w:t xml:space="preserve">rax og </w:t>
            </w:r>
            <w:proofErr w:type="spellStart"/>
            <w:r w:rsidRPr="00870E8F">
              <w:rPr>
                <w:b/>
                <w:color w:val="000000" w:themeColor="text1"/>
                <w:sz w:val="18"/>
                <w:szCs w:val="18"/>
              </w:rPr>
              <w:t>medi</w:t>
            </w:r>
            <w:r w:rsidR="00870E8F" w:rsidRPr="00870E8F">
              <w:rPr>
                <w:b/>
                <w:color w:val="000000" w:themeColor="text1"/>
                <w:sz w:val="18"/>
                <w:szCs w:val="18"/>
              </w:rPr>
              <w:softHyphen/>
            </w:r>
            <w:r w:rsidRPr="00870E8F">
              <w:rPr>
                <w:b/>
                <w:color w:val="000000" w:themeColor="text1"/>
                <w:sz w:val="18"/>
                <w:szCs w:val="18"/>
              </w:rPr>
              <w:t>astinum</w:t>
            </w:r>
            <w:proofErr w:type="spellEnd"/>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1D8A0EC"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4EA25F5E" w14:textId="268DB1DC" w:rsidR="00B5675F" w:rsidRPr="00870E8F" w:rsidRDefault="00B5675F">
            <w:pPr>
              <w:pStyle w:val="Sidehoved"/>
              <w:rPr>
                <w:color w:val="000000" w:themeColor="text1"/>
                <w:sz w:val="18"/>
                <w:szCs w:val="18"/>
              </w:rPr>
            </w:pPr>
            <w:proofErr w:type="spellStart"/>
            <w:r w:rsidRPr="00870E8F">
              <w:rPr>
                <w:color w:val="000000" w:themeColor="text1"/>
                <w:sz w:val="18"/>
                <w:szCs w:val="18"/>
              </w:rPr>
              <w:t>Interstitiel</w:t>
            </w:r>
            <w:proofErr w:type="spellEnd"/>
            <w:r w:rsidRPr="00870E8F">
              <w:rPr>
                <w:color w:val="000000" w:themeColor="text1"/>
                <w:sz w:val="18"/>
                <w:szCs w:val="18"/>
              </w:rPr>
              <w:t xml:space="preserve"> </w:t>
            </w:r>
            <w:proofErr w:type="spellStart"/>
            <w:r w:rsidRPr="00870E8F">
              <w:rPr>
                <w:color w:val="000000" w:themeColor="text1"/>
                <w:sz w:val="18"/>
                <w:szCs w:val="18"/>
              </w:rPr>
              <w:t>al</w:t>
            </w:r>
            <w:r w:rsidR="00870E8F" w:rsidRPr="00870E8F">
              <w:rPr>
                <w:color w:val="000000" w:themeColor="text1"/>
                <w:sz w:val="18"/>
                <w:szCs w:val="18"/>
              </w:rPr>
              <w:softHyphen/>
            </w:r>
            <w:r w:rsidRPr="00870E8F">
              <w:rPr>
                <w:color w:val="000000" w:themeColor="text1"/>
                <w:sz w:val="18"/>
                <w:szCs w:val="18"/>
              </w:rPr>
              <w:t>veoli</w:t>
            </w:r>
            <w:r w:rsidR="00870E8F" w:rsidRPr="00870E8F">
              <w:rPr>
                <w:color w:val="000000" w:themeColor="text1"/>
                <w:sz w:val="18"/>
                <w:szCs w:val="18"/>
              </w:rPr>
              <w:softHyphen/>
            </w:r>
            <w:r w:rsidRPr="00870E8F">
              <w:rPr>
                <w:color w:val="000000" w:themeColor="text1"/>
                <w:sz w:val="18"/>
                <w:szCs w:val="18"/>
              </w:rPr>
              <w:t>tis</w:t>
            </w:r>
            <w:proofErr w:type="spellEnd"/>
            <w:r w:rsidRPr="00870E8F">
              <w:rPr>
                <w:color w:val="000000" w:themeColor="text1"/>
                <w:sz w:val="18"/>
                <w:szCs w:val="18"/>
              </w:rPr>
              <w:t>/pneu</w:t>
            </w:r>
            <w:r w:rsidR="00870E8F" w:rsidRPr="00870E8F">
              <w:rPr>
                <w:color w:val="000000" w:themeColor="text1"/>
                <w:sz w:val="18"/>
                <w:szCs w:val="18"/>
              </w:rPr>
              <w:softHyphen/>
            </w:r>
            <w:r w:rsidRPr="00870E8F">
              <w:rPr>
                <w:color w:val="000000" w:themeColor="text1"/>
                <w:sz w:val="18"/>
                <w:szCs w:val="18"/>
              </w:rPr>
              <w:t>moni (kan være fatal)</w:t>
            </w: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463166A0" w14:textId="77777777" w:rsidR="00B5675F" w:rsidRPr="00870E8F" w:rsidRDefault="00B5675F">
            <w:pPr>
              <w:pStyle w:val="Sidehoved"/>
              <w:rPr>
                <w:color w:val="000000" w:themeColor="text1"/>
                <w:sz w:val="18"/>
                <w:szCs w:val="18"/>
              </w:rPr>
            </w:pPr>
            <w:r w:rsidRPr="00870E8F">
              <w:rPr>
                <w:color w:val="000000" w:themeColor="text1"/>
                <w:sz w:val="18"/>
                <w:szCs w:val="18"/>
              </w:rPr>
              <w:t xml:space="preserve">Lungefibrose </w:t>
            </w: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703ADAEB" w14:textId="206E4547" w:rsidR="00B5675F" w:rsidRPr="00870E8F" w:rsidRDefault="00B5675F">
            <w:pPr>
              <w:pStyle w:val="Sidehoved"/>
              <w:rPr>
                <w:color w:val="000000" w:themeColor="text1"/>
                <w:sz w:val="18"/>
                <w:szCs w:val="18"/>
              </w:rPr>
            </w:pPr>
            <w:r w:rsidRPr="00870E8F">
              <w:rPr>
                <w:color w:val="000000" w:themeColor="text1"/>
                <w:sz w:val="18"/>
                <w:szCs w:val="18"/>
              </w:rPr>
              <w:t>Respiratorisk para</w:t>
            </w:r>
            <w:r w:rsidR="00870E8F" w:rsidRPr="00870E8F">
              <w:rPr>
                <w:color w:val="000000" w:themeColor="text1"/>
                <w:sz w:val="18"/>
                <w:szCs w:val="18"/>
              </w:rPr>
              <w:softHyphen/>
            </w:r>
            <w:r w:rsidRPr="00870E8F">
              <w:rPr>
                <w:color w:val="000000" w:themeColor="text1"/>
                <w:sz w:val="18"/>
                <w:szCs w:val="18"/>
              </w:rPr>
              <w:t>lyse, astmalignende reaktioner såsom ho</w:t>
            </w:r>
            <w:r w:rsidR="00870E8F" w:rsidRPr="00870E8F">
              <w:rPr>
                <w:color w:val="000000" w:themeColor="text1"/>
                <w:sz w:val="18"/>
                <w:szCs w:val="18"/>
              </w:rPr>
              <w:softHyphen/>
            </w:r>
            <w:r w:rsidRPr="00870E8F">
              <w:rPr>
                <w:color w:val="000000" w:themeColor="text1"/>
                <w:sz w:val="18"/>
                <w:szCs w:val="18"/>
              </w:rPr>
              <w:t>ste, dyspnø og pato</w:t>
            </w:r>
            <w:r w:rsidR="00870E8F" w:rsidRPr="00870E8F">
              <w:rPr>
                <w:color w:val="000000" w:themeColor="text1"/>
                <w:sz w:val="18"/>
                <w:szCs w:val="18"/>
              </w:rPr>
              <w:softHyphen/>
            </w:r>
            <w:r w:rsidRPr="00870E8F">
              <w:rPr>
                <w:color w:val="000000" w:themeColor="text1"/>
                <w:sz w:val="18"/>
                <w:szCs w:val="18"/>
              </w:rPr>
              <w:t>logiske forandringer i lungefunktionsun</w:t>
            </w:r>
            <w:r w:rsidR="00870E8F" w:rsidRPr="00870E8F">
              <w:rPr>
                <w:color w:val="000000" w:themeColor="text1"/>
                <w:sz w:val="18"/>
                <w:szCs w:val="18"/>
              </w:rPr>
              <w:softHyphen/>
            </w:r>
            <w:r w:rsidRPr="00870E8F">
              <w:rPr>
                <w:color w:val="000000" w:themeColor="text1"/>
                <w:sz w:val="18"/>
                <w:szCs w:val="18"/>
              </w:rPr>
              <w:t xml:space="preserve">dersøgelser, </w:t>
            </w:r>
            <w:proofErr w:type="spellStart"/>
            <w:r w:rsidRPr="00870E8F">
              <w:rPr>
                <w:color w:val="000000" w:themeColor="text1"/>
                <w:sz w:val="18"/>
                <w:szCs w:val="18"/>
              </w:rPr>
              <w:t>faryn</w:t>
            </w:r>
            <w:r w:rsidR="00870E8F" w:rsidRPr="00870E8F">
              <w:rPr>
                <w:color w:val="000000" w:themeColor="text1"/>
                <w:sz w:val="18"/>
                <w:szCs w:val="18"/>
              </w:rPr>
              <w:softHyphen/>
            </w:r>
            <w:r w:rsidRPr="00870E8F">
              <w:rPr>
                <w:color w:val="000000" w:themeColor="text1"/>
                <w:sz w:val="18"/>
                <w:szCs w:val="18"/>
              </w:rPr>
              <w:t>gitis</w:t>
            </w:r>
            <w:proofErr w:type="spellEnd"/>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hideMark/>
          </w:tcPr>
          <w:p w14:paraId="1CED5E90" w14:textId="255FD772" w:rsidR="00B5675F" w:rsidRPr="00870E8F" w:rsidRDefault="00B5675F">
            <w:pPr>
              <w:pStyle w:val="TableParagraph"/>
              <w:ind w:right="162"/>
              <w:rPr>
                <w:color w:val="000000" w:themeColor="text1"/>
                <w:sz w:val="18"/>
                <w:szCs w:val="18"/>
              </w:rPr>
            </w:pPr>
            <w:proofErr w:type="spellStart"/>
            <w:r w:rsidRPr="00870E8F">
              <w:rPr>
                <w:color w:val="000000" w:themeColor="text1"/>
                <w:sz w:val="18"/>
                <w:szCs w:val="18"/>
              </w:rPr>
              <w:t>Pneumocy</w:t>
            </w:r>
            <w:r w:rsidR="00870E8F" w:rsidRPr="00870E8F">
              <w:rPr>
                <w:color w:val="000000" w:themeColor="text1"/>
                <w:sz w:val="18"/>
                <w:szCs w:val="18"/>
              </w:rPr>
              <w:softHyphen/>
            </w:r>
            <w:r w:rsidRPr="00870E8F">
              <w:rPr>
                <w:color w:val="000000" w:themeColor="text1"/>
                <w:sz w:val="18"/>
                <w:szCs w:val="18"/>
              </w:rPr>
              <w:t>stis</w:t>
            </w:r>
            <w:proofErr w:type="spellEnd"/>
            <w:r w:rsidRPr="00870E8F">
              <w:rPr>
                <w:color w:val="000000" w:themeColor="text1"/>
                <w:sz w:val="18"/>
                <w:szCs w:val="18"/>
              </w:rPr>
              <w:t xml:space="preserve"> </w:t>
            </w:r>
            <w:proofErr w:type="spellStart"/>
            <w:r w:rsidRPr="00870E8F">
              <w:rPr>
                <w:color w:val="000000" w:themeColor="text1"/>
                <w:sz w:val="18"/>
                <w:szCs w:val="18"/>
              </w:rPr>
              <w:t>ji</w:t>
            </w:r>
            <w:r w:rsidR="00870E8F" w:rsidRPr="00870E8F">
              <w:rPr>
                <w:color w:val="000000" w:themeColor="text1"/>
                <w:sz w:val="18"/>
                <w:szCs w:val="18"/>
              </w:rPr>
              <w:softHyphen/>
            </w:r>
            <w:r w:rsidRPr="00870E8F">
              <w:rPr>
                <w:color w:val="000000" w:themeColor="text1"/>
                <w:sz w:val="18"/>
                <w:szCs w:val="18"/>
              </w:rPr>
              <w:t>roveci-pneumoni</w:t>
            </w:r>
            <w:proofErr w:type="spellEnd"/>
            <w:r w:rsidRPr="00870E8F">
              <w:rPr>
                <w:color w:val="000000" w:themeColor="text1"/>
                <w:sz w:val="18"/>
                <w:szCs w:val="18"/>
              </w:rPr>
              <w:t xml:space="preserve"> og andre lungeinfek</w:t>
            </w:r>
            <w:r w:rsidR="00870E8F" w:rsidRPr="00870E8F">
              <w:rPr>
                <w:color w:val="000000" w:themeColor="text1"/>
                <w:sz w:val="18"/>
                <w:szCs w:val="18"/>
              </w:rPr>
              <w:softHyphen/>
            </w:r>
            <w:r w:rsidRPr="00870E8F">
              <w:rPr>
                <w:color w:val="000000" w:themeColor="text1"/>
                <w:sz w:val="18"/>
                <w:szCs w:val="18"/>
              </w:rPr>
              <w:t>tioner, kronisk obstruktiv lungesyg</w:t>
            </w:r>
            <w:r w:rsidR="00870E8F" w:rsidRPr="00870E8F">
              <w:rPr>
                <w:color w:val="000000" w:themeColor="text1"/>
                <w:sz w:val="18"/>
                <w:szCs w:val="18"/>
              </w:rPr>
              <w:softHyphen/>
            </w:r>
            <w:r w:rsidRPr="00870E8F">
              <w:rPr>
                <w:color w:val="000000" w:themeColor="text1"/>
                <w:sz w:val="18"/>
                <w:szCs w:val="18"/>
              </w:rPr>
              <w:t xml:space="preserve">dom, </w:t>
            </w:r>
            <w:proofErr w:type="spellStart"/>
            <w:r w:rsidRPr="00870E8F">
              <w:rPr>
                <w:color w:val="000000" w:themeColor="text1"/>
                <w:sz w:val="18"/>
                <w:szCs w:val="18"/>
              </w:rPr>
              <w:t>ple</w:t>
            </w:r>
            <w:r w:rsidR="00870E8F" w:rsidRPr="00870E8F">
              <w:rPr>
                <w:color w:val="000000" w:themeColor="text1"/>
                <w:sz w:val="18"/>
                <w:szCs w:val="18"/>
              </w:rPr>
              <w:softHyphen/>
            </w:r>
            <w:r w:rsidRPr="00870E8F">
              <w:rPr>
                <w:color w:val="000000" w:themeColor="text1"/>
                <w:sz w:val="18"/>
                <w:szCs w:val="18"/>
              </w:rPr>
              <w:t>uraeffu</w:t>
            </w:r>
            <w:r w:rsidR="00870E8F" w:rsidRPr="00870E8F">
              <w:rPr>
                <w:color w:val="000000" w:themeColor="text1"/>
                <w:sz w:val="18"/>
                <w:szCs w:val="18"/>
              </w:rPr>
              <w:softHyphen/>
            </w:r>
            <w:r w:rsidRPr="00870E8F">
              <w:rPr>
                <w:color w:val="000000" w:themeColor="text1"/>
                <w:sz w:val="18"/>
                <w:szCs w:val="18"/>
              </w:rPr>
              <w:t>sion</w:t>
            </w:r>
            <w:proofErr w:type="spellEnd"/>
          </w:p>
        </w:tc>
        <w:tc>
          <w:tcPr>
            <w:tcW w:w="723" w:type="pct"/>
            <w:tcBorders>
              <w:top w:val="single" w:sz="6" w:space="0" w:color="000000"/>
              <w:left w:val="single" w:sz="4" w:space="0" w:color="auto"/>
              <w:bottom w:val="single" w:sz="6" w:space="0" w:color="000000"/>
              <w:right w:val="double" w:sz="4" w:space="0" w:color="auto"/>
            </w:tcBorders>
            <w:hideMark/>
          </w:tcPr>
          <w:p w14:paraId="59517115" w14:textId="77777777" w:rsidR="00B5675F" w:rsidRPr="00870E8F" w:rsidRDefault="00B5675F">
            <w:pPr>
              <w:pStyle w:val="Sidehoved"/>
              <w:rPr>
                <w:color w:val="000000" w:themeColor="text1"/>
                <w:sz w:val="18"/>
                <w:szCs w:val="18"/>
              </w:rPr>
            </w:pPr>
            <w:proofErr w:type="spellStart"/>
            <w:r w:rsidRPr="00870E8F">
              <w:rPr>
                <w:color w:val="000000" w:themeColor="text1"/>
                <w:sz w:val="18"/>
                <w:szCs w:val="18"/>
              </w:rPr>
              <w:t>Pulmonal</w:t>
            </w:r>
            <w:proofErr w:type="spellEnd"/>
            <w:r w:rsidRPr="00870E8F">
              <w:rPr>
                <w:color w:val="000000" w:themeColor="text1"/>
                <w:sz w:val="18"/>
                <w:szCs w:val="18"/>
              </w:rPr>
              <w:t xml:space="preserve"> alveolær blødning</w:t>
            </w:r>
            <w:r w:rsidRPr="00870E8F">
              <w:rPr>
                <w:color w:val="000000" w:themeColor="text1"/>
                <w:sz w:val="18"/>
                <w:szCs w:val="18"/>
                <w:vertAlign w:val="superscript"/>
              </w:rPr>
              <w:t>3</w:t>
            </w:r>
          </w:p>
        </w:tc>
      </w:tr>
      <w:tr w:rsidR="00870E8F" w:rsidRPr="00870E8F" w14:paraId="763D13A8"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64A215AA" w14:textId="56417D50"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Mave-tarm-ka</w:t>
            </w:r>
            <w:r w:rsidR="00870E8F" w:rsidRPr="00870E8F">
              <w:rPr>
                <w:b/>
                <w:color w:val="000000" w:themeColor="text1"/>
                <w:sz w:val="18"/>
                <w:szCs w:val="18"/>
              </w:rPr>
              <w:softHyphen/>
            </w:r>
            <w:r w:rsidRPr="00870E8F">
              <w:rPr>
                <w:b/>
                <w:color w:val="000000" w:themeColor="text1"/>
                <w:sz w:val="18"/>
                <w:szCs w:val="18"/>
              </w:rPr>
              <w:t>nalen</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3925F978" w14:textId="4DF9BC23" w:rsidR="00B5675F" w:rsidRPr="00870E8F" w:rsidRDefault="00B5675F">
            <w:pPr>
              <w:rPr>
                <w:color w:val="000000" w:themeColor="text1"/>
                <w:sz w:val="18"/>
                <w:szCs w:val="18"/>
              </w:rPr>
            </w:pPr>
            <w:r w:rsidRPr="00870E8F">
              <w:rPr>
                <w:color w:val="000000" w:themeColor="text1"/>
                <w:sz w:val="18"/>
                <w:szCs w:val="18"/>
              </w:rPr>
              <w:t>Mang</w:t>
            </w:r>
            <w:r w:rsidR="00870E8F" w:rsidRPr="00870E8F">
              <w:rPr>
                <w:color w:val="000000" w:themeColor="text1"/>
                <w:sz w:val="18"/>
                <w:szCs w:val="18"/>
              </w:rPr>
              <w:softHyphen/>
            </w:r>
            <w:r w:rsidRPr="00870E8F">
              <w:rPr>
                <w:color w:val="000000" w:themeColor="text1"/>
                <w:sz w:val="18"/>
                <w:szCs w:val="18"/>
              </w:rPr>
              <w:t>lende ap</w:t>
            </w:r>
            <w:r w:rsidR="00870E8F" w:rsidRPr="00870E8F">
              <w:rPr>
                <w:color w:val="000000" w:themeColor="text1"/>
                <w:sz w:val="18"/>
                <w:szCs w:val="18"/>
              </w:rPr>
              <w:softHyphen/>
            </w:r>
            <w:r w:rsidRPr="00870E8F">
              <w:rPr>
                <w:color w:val="000000" w:themeColor="text1"/>
                <w:sz w:val="18"/>
                <w:szCs w:val="18"/>
              </w:rPr>
              <w:t>petit, kvalme, opkast</w:t>
            </w:r>
            <w:r w:rsidR="00870E8F" w:rsidRPr="00870E8F">
              <w:rPr>
                <w:color w:val="000000" w:themeColor="text1"/>
                <w:sz w:val="18"/>
                <w:szCs w:val="18"/>
              </w:rPr>
              <w:softHyphen/>
            </w:r>
            <w:r w:rsidRPr="00870E8F">
              <w:rPr>
                <w:color w:val="000000" w:themeColor="text1"/>
                <w:sz w:val="18"/>
                <w:szCs w:val="18"/>
              </w:rPr>
              <w:t>ning, ma</w:t>
            </w:r>
            <w:r w:rsidR="00870E8F" w:rsidRPr="00870E8F">
              <w:rPr>
                <w:color w:val="000000" w:themeColor="text1"/>
                <w:sz w:val="18"/>
                <w:szCs w:val="18"/>
              </w:rPr>
              <w:softHyphen/>
            </w:r>
            <w:r w:rsidRPr="00870E8F">
              <w:rPr>
                <w:color w:val="000000" w:themeColor="text1"/>
                <w:sz w:val="18"/>
                <w:szCs w:val="18"/>
              </w:rPr>
              <w:t>ve</w:t>
            </w:r>
            <w:r w:rsidR="00870E8F" w:rsidRPr="00870E8F">
              <w:rPr>
                <w:color w:val="000000" w:themeColor="text1"/>
                <w:sz w:val="18"/>
                <w:szCs w:val="18"/>
              </w:rPr>
              <w:softHyphen/>
            </w:r>
            <w:r w:rsidRPr="00870E8F">
              <w:rPr>
                <w:color w:val="000000" w:themeColor="text1"/>
                <w:sz w:val="18"/>
                <w:szCs w:val="18"/>
              </w:rPr>
              <w:t>smerter, betæn</w:t>
            </w:r>
            <w:r w:rsidR="00870E8F" w:rsidRPr="00870E8F">
              <w:rPr>
                <w:color w:val="000000" w:themeColor="text1"/>
                <w:sz w:val="18"/>
                <w:szCs w:val="18"/>
              </w:rPr>
              <w:softHyphen/>
            </w:r>
            <w:r w:rsidRPr="00870E8F">
              <w:rPr>
                <w:color w:val="000000" w:themeColor="text1"/>
                <w:sz w:val="18"/>
                <w:szCs w:val="18"/>
              </w:rPr>
              <w:t>delse og sårdan</w:t>
            </w:r>
            <w:r w:rsidR="00870E8F" w:rsidRPr="00870E8F">
              <w:rPr>
                <w:color w:val="000000" w:themeColor="text1"/>
                <w:sz w:val="18"/>
                <w:szCs w:val="18"/>
              </w:rPr>
              <w:softHyphen/>
            </w:r>
            <w:r w:rsidRPr="00870E8F">
              <w:rPr>
                <w:color w:val="000000" w:themeColor="text1"/>
                <w:sz w:val="18"/>
                <w:szCs w:val="18"/>
              </w:rPr>
              <w:t>nelse i munden og hal</w:t>
            </w:r>
            <w:r w:rsidR="00870E8F" w:rsidRPr="00870E8F">
              <w:rPr>
                <w:color w:val="000000" w:themeColor="text1"/>
                <w:sz w:val="18"/>
                <w:szCs w:val="18"/>
              </w:rPr>
              <w:softHyphen/>
            </w:r>
            <w:r w:rsidRPr="00870E8F">
              <w:rPr>
                <w:color w:val="000000" w:themeColor="text1"/>
                <w:sz w:val="18"/>
                <w:szCs w:val="18"/>
              </w:rPr>
              <w:t>sens slimhin</w:t>
            </w:r>
            <w:r w:rsidR="00870E8F" w:rsidRPr="00870E8F">
              <w:rPr>
                <w:color w:val="000000" w:themeColor="text1"/>
                <w:sz w:val="18"/>
                <w:szCs w:val="18"/>
              </w:rPr>
              <w:softHyphen/>
            </w:r>
            <w:r w:rsidRPr="00870E8F">
              <w:rPr>
                <w:color w:val="000000" w:themeColor="text1"/>
                <w:sz w:val="18"/>
                <w:szCs w:val="18"/>
              </w:rPr>
              <w:t xml:space="preserve">der, </w:t>
            </w:r>
            <w:proofErr w:type="spellStart"/>
            <w:r w:rsidRPr="00870E8F">
              <w:rPr>
                <w:color w:val="000000" w:themeColor="text1"/>
                <w:sz w:val="18"/>
                <w:szCs w:val="18"/>
              </w:rPr>
              <w:t>sto</w:t>
            </w:r>
            <w:r w:rsidR="00870E8F" w:rsidRPr="00870E8F">
              <w:rPr>
                <w:color w:val="000000" w:themeColor="text1"/>
                <w:sz w:val="18"/>
                <w:szCs w:val="18"/>
              </w:rPr>
              <w:softHyphen/>
            </w:r>
            <w:r w:rsidRPr="00870E8F">
              <w:rPr>
                <w:color w:val="000000" w:themeColor="text1"/>
                <w:sz w:val="18"/>
                <w:szCs w:val="18"/>
              </w:rPr>
              <w:t>matitis</w:t>
            </w:r>
            <w:proofErr w:type="spellEnd"/>
            <w:r w:rsidRPr="00870E8F">
              <w:rPr>
                <w:color w:val="000000" w:themeColor="text1"/>
                <w:sz w:val="18"/>
                <w:szCs w:val="18"/>
              </w:rPr>
              <w:t>, dyspepsi</w:t>
            </w: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00E03ADA" w14:textId="77777777" w:rsidR="00B5675F" w:rsidRPr="00870E8F" w:rsidRDefault="00B5675F">
            <w:pPr>
              <w:pStyle w:val="Sidehoved"/>
              <w:rPr>
                <w:color w:val="000000" w:themeColor="text1"/>
                <w:sz w:val="18"/>
                <w:szCs w:val="18"/>
              </w:rPr>
            </w:pPr>
            <w:r w:rsidRPr="00870E8F">
              <w:rPr>
                <w:color w:val="000000" w:themeColor="text1"/>
                <w:sz w:val="18"/>
                <w:szCs w:val="18"/>
              </w:rPr>
              <w:t>Diarré</w:t>
            </w: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353E70E6" w14:textId="77777777" w:rsidR="00B5675F" w:rsidRPr="00870E8F" w:rsidRDefault="00B5675F">
            <w:pPr>
              <w:pStyle w:val="Sidehoved"/>
              <w:rPr>
                <w:color w:val="000000" w:themeColor="text1"/>
                <w:sz w:val="18"/>
                <w:szCs w:val="18"/>
                <w:lang w:val="nb-NO"/>
              </w:rPr>
            </w:pPr>
            <w:r w:rsidRPr="00870E8F">
              <w:rPr>
                <w:color w:val="000000" w:themeColor="text1"/>
                <w:sz w:val="18"/>
                <w:szCs w:val="18"/>
                <w:lang w:val="nb-NO"/>
              </w:rPr>
              <w:t>Sårdannelse og blødning i mave-tarm-kanalen</w:t>
            </w: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377DE7C5" w14:textId="3ADB2695" w:rsidR="00B5675F" w:rsidRPr="00870E8F" w:rsidRDefault="00B5675F">
            <w:pPr>
              <w:pStyle w:val="Sidehoved"/>
              <w:rPr>
                <w:color w:val="000000" w:themeColor="text1"/>
                <w:sz w:val="18"/>
                <w:szCs w:val="18"/>
              </w:rPr>
            </w:pPr>
            <w:proofErr w:type="spellStart"/>
            <w:r w:rsidRPr="00870E8F">
              <w:rPr>
                <w:color w:val="000000" w:themeColor="text1"/>
                <w:sz w:val="18"/>
                <w:szCs w:val="18"/>
              </w:rPr>
              <w:t>Pancreatitis</w:t>
            </w:r>
            <w:proofErr w:type="spellEnd"/>
            <w:r w:rsidRPr="00870E8F">
              <w:rPr>
                <w:color w:val="000000" w:themeColor="text1"/>
                <w:sz w:val="18"/>
                <w:szCs w:val="18"/>
              </w:rPr>
              <w:t xml:space="preserve">, </w:t>
            </w:r>
            <w:proofErr w:type="spellStart"/>
            <w:r w:rsidRPr="00870E8F">
              <w:rPr>
                <w:color w:val="000000" w:themeColor="text1"/>
                <w:sz w:val="18"/>
                <w:szCs w:val="18"/>
              </w:rPr>
              <w:t>enteri</w:t>
            </w:r>
            <w:r w:rsidR="00870E8F" w:rsidRPr="00870E8F">
              <w:rPr>
                <w:color w:val="000000" w:themeColor="text1"/>
                <w:sz w:val="18"/>
                <w:szCs w:val="18"/>
              </w:rPr>
              <w:softHyphen/>
            </w:r>
            <w:r w:rsidRPr="00870E8F">
              <w:rPr>
                <w:color w:val="000000" w:themeColor="text1"/>
                <w:sz w:val="18"/>
                <w:szCs w:val="18"/>
              </w:rPr>
              <w:t>tis</w:t>
            </w:r>
            <w:proofErr w:type="spellEnd"/>
            <w:r w:rsidRPr="00870E8F">
              <w:rPr>
                <w:color w:val="000000" w:themeColor="text1"/>
                <w:sz w:val="18"/>
                <w:szCs w:val="18"/>
              </w:rPr>
              <w:t xml:space="preserve">, </w:t>
            </w:r>
            <w:proofErr w:type="spellStart"/>
            <w:r w:rsidRPr="00870E8F">
              <w:rPr>
                <w:color w:val="000000" w:themeColor="text1"/>
                <w:sz w:val="18"/>
                <w:szCs w:val="18"/>
              </w:rPr>
              <w:t>malabsorption</w:t>
            </w:r>
            <w:proofErr w:type="spellEnd"/>
            <w:r w:rsidRPr="00870E8F">
              <w:rPr>
                <w:color w:val="000000" w:themeColor="text1"/>
                <w:sz w:val="18"/>
                <w:szCs w:val="18"/>
              </w:rPr>
              <w:t xml:space="preserve">, </w:t>
            </w:r>
            <w:proofErr w:type="spellStart"/>
            <w:r w:rsidRPr="00870E8F">
              <w:rPr>
                <w:color w:val="000000" w:themeColor="text1"/>
                <w:sz w:val="18"/>
                <w:szCs w:val="18"/>
              </w:rPr>
              <w:t>melæna</w:t>
            </w:r>
            <w:proofErr w:type="spellEnd"/>
            <w:r w:rsidRPr="00870E8F">
              <w:rPr>
                <w:color w:val="000000" w:themeColor="text1"/>
                <w:sz w:val="18"/>
                <w:szCs w:val="18"/>
              </w:rPr>
              <w:t xml:space="preserve">, </w:t>
            </w:r>
            <w:proofErr w:type="spellStart"/>
            <w:r w:rsidRPr="00870E8F">
              <w:rPr>
                <w:color w:val="000000" w:themeColor="text1"/>
                <w:sz w:val="18"/>
                <w:szCs w:val="18"/>
              </w:rPr>
              <w:t>gingivitis</w:t>
            </w:r>
            <w:proofErr w:type="spellEnd"/>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hideMark/>
          </w:tcPr>
          <w:p w14:paraId="74314917" w14:textId="44F374CD" w:rsidR="00B5675F" w:rsidRPr="00870E8F" w:rsidRDefault="00B5675F">
            <w:pPr>
              <w:pStyle w:val="Sidehoved"/>
              <w:rPr>
                <w:color w:val="000000" w:themeColor="text1"/>
                <w:sz w:val="18"/>
                <w:szCs w:val="18"/>
              </w:rPr>
            </w:pPr>
            <w:r w:rsidRPr="00870E8F">
              <w:rPr>
                <w:color w:val="000000" w:themeColor="text1"/>
                <w:sz w:val="18"/>
                <w:szCs w:val="18"/>
              </w:rPr>
              <w:t xml:space="preserve">Toksisk </w:t>
            </w:r>
            <w:proofErr w:type="spellStart"/>
            <w:r w:rsidRPr="00870E8F">
              <w:rPr>
                <w:color w:val="000000" w:themeColor="text1"/>
                <w:sz w:val="18"/>
                <w:szCs w:val="18"/>
              </w:rPr>
              <w:t>me</w:t>
            </w:r>
            <w:r w:rsidR="00870E8F" w:rsidRPr="00870E8F">
              <w:rPr>
                <w:color w:val="000000" w:themeColor="text1"/>
                <w:sz w:val="18"/>
                <w:szCs w:val="18"/>
              </w:rPr>
              <w:softHyphen/>
            </w:r>
            <w:r w:rsidRPr="00870E8F">
              <w:rPr>
                <w:color w:val="000000" w:themeColor="text1"/>
                <w:sz w:val="18"/>
                <w:szCs w:val="18"/>
              </w:rPr>
              <w:t>gacolon</w:t>
            </w:r>
            <w:proofErr w:type="spellEnd"/>
            <w:r w:rsidRPr="00870E8F">
              <w:rPr>
                <w:color w:val="000000" w:themeColor="text1"/>
                <w:sz w:val="18"/>
                <w:szCs w:val="18"/>
              </w:rPr>
              <w:t xml:space="preserve">, </w:t>
            </w:r>
            <w:proofErr w:type="spellStart"/>
            <w:r w:rsidRPr="00870E8F">
              <w:rPr>
                <w:color w:val="000000" w:themeColor="text1"/>
                <w:sz w:val="18"/>
                <w:szCs w:val="18"/>
              </w:rPr>
              <w:t>hæ</w:t>
            </w:r>
            <w:r w:rsidR="00870E8F" w:rsidRPr="00870E8F">
              <w:rPr>
                <w:color w:val="000000" w:themeColor="text1"/>
                <w:sz w:val="18"/>
                <w:szCs w:val="18"/>
              </w:rPr>
              <w:softHyphen/>
            </w:r>
            <w:r w:rsidRPr="00870E8F">
              <w:rPr>
                <w:color w:val="000000" w:themeColor="text1"/>
                <w:sz w:val="18"/>
                <w:szCs w:val="18"/>
              </w:rPr>
              <w:t>matemese</w:t>
            </w:r>
            <w:proofErr w:type="spellEnd"/>
          </w:p>
        </w:tc>
        <w:tc>
          <w:tcPr>
            <w:tcW w:w="723" w:type="pct"/>
            <w:tcBorders>
              <w:top w:val="single" w:sz="6" w:space="0" w:color="000000"/>
              <w:left w:val="single" w:sz="4" w:space="0" w:color="auto"/>
              <w:bottom w:val="single" w:sz="6" w:space="0" w:color="000000"/>
              <w:right w:val="double" w:sz="4" w:space="0" w:color="auto"/>
            </w:tcBorders>
          </w:tcPr>
          <w:p w14:paraId="21CDFBAE" w14:textId="77777777" w:rsidR="00B5675F" w:rsidRPr="00870E8F" w:rsidRDefault="00B5675F">
            <w:pPr>
              <w:pStyle w:val="Sidehoved"/>
              <w:rPr>
                <w:color w:val="000000" w:themeColor="text1"/>
                <w:sz w:val="18"/>
                <w:szCs w:val="18"/>
              </w:rPr>
            </w:pPr>
          </w:p>
        </w:tc>
      </w:tr>
      <w:tr w:rsidR="00870E8F" w:rsidRPr="00870E8F" w14:paraId="2A2818FB"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2027FEE2" w14:textId="4731ADF2"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Lever og galde</w:t>
            </w:r>
            <w:r w:rsidR="00870E8F" w:rsidRPr="00870E8F">
              <w:rPr>
                <w:b/>
                <w:color w:val="000000" w:themeColor="text1"/>
                <w:sz w:val="18"/>
                <w:szCs w:val="18"/>
              </w:rPr>
              <w:softHyphen/>
            </w:r>
            <w:r w:rsidRPr="00870E8F">
              <w:rPr>
                <w:b/>
                <w:color w:val="000000" w:themeColor="text1"/>
                <w:sz w:val="18"/>
                <w:szCs w:val="18"/>
              </w:rPr>
              <w:t>veje</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3969D87A" w14:textId="13216E8B" w:rsidR="00B5675F" w:rsidRPr="00870E8F" w:rsidRDefault="00B5675F">
            <w:pPr>
              <w:pStyle w:val="TableParagraph"/>
              <w:ind w:left="28" w:right="121"/>
              <w:rPr>
                <w:color w:val="000000" w:themeColor="text1"/>
                <w:sz w:val="18"/>
                <w:szCs w:val="18"/>
              </w:rPr>
            </w:pPr>
            <w:r w:rsidRPr="00870E8F">
              <w:rPr>
                <w:color w:val="000000" w:themeColor="text1"/>
                <w:sz w:val="18"/>
                <w:szCs w:val="18"/>
              </w:rPr>
              <w:t>Forhø</w:t>
            </w:r>
            <w:r w:rsidR="00870E8F" w:rsidRPr="00870E8F">
              <w:rPr>
                <w:color w:val="000000" w:themeColor="text1"/>
                <w:sz w:val="18"/>
                <w:szCs w:val="18"/>
              </w:rPr>
              <w:softHyphen/>
            </w:r>
            <w:r w:rsidRPr="00870E8F">
              <w:rPr>
                <w:color w:val="000000" w:themeColor="text1"/>
                <w:sz w:val="18"/>
                <w:szCs w:val="18"/>
              </w:rPr>
              <w:t>jede le</w:t>
            </w:r>
            <w:r w:rsidR="00870E8F" w:rsidRPr="00870E8F">
              <w:rPr>
                <w:color w:val="000000" w:themeColor="text1"/>
                <w:sz w:val="18"/>
                <w:szCs w:val="18"/>
              </w:rPr>
              <w:softHyphen/>
            </w:r>
            <w:r w:rsidRPr="00870E8F">
              <w:rPr>
                <w:color w:val="000000" w:themeColor="text1"/>
                <w:sz w:val="18"/>
                <w:szCs w:val="18"/>
              </w:rPr>
              <w:t>vertal (ALAT [GPT], ASAT [GOT],</w:t>
            </w:r>
          </w:p>
          <w:p w14:paraId="2CA298E3" w14:textId="517A7323" w:rsidR="00B5675F" w:rsidRPr="00870E8F" w:rsidRDefault="00B5675F">
            <w:pPr>
              <w:pStyle w:val="Sidehoved"/>
              <w:rPr>
                <w:color w:val="000000" w:themeColor="text1"/>
                <w:sz w:val="18"/>
                <w:szCs w:val="18"/>
              </w:rPr>
            </w:pPr>
            <w:r w:rsidRPr="00870E8F">
              <w:rPr>
                <w:color w:val="000000" w:themeColor="text1"/>
                <w:sz w:val="18"/>
                <w:szCs w:val="18"/>
              </w:rPr>
              <w:t>basisk fos</w:t>
            </w:r>
            <w:r w:rsidR="00870E8F" w:rsidRPr="00870E8F">
              <w:rPr>
                <w:color w:val="000000" w:themeColor="text1"/>
                <w:sz w:val="18"/>
                <w:szCs w:val="18"/>
              </w:rPr>
              <w:softHyphen/>
            </w:r>
            <w:r w:rsidRPr="00870E8F">
              <w:rPr>
                <w:color w:val="000000" w:themeColor="text1"/>
                <w:sz w:val="18"/>
                <w:szCs w:val="18"/>
              </w:rPr>
              <w:t>fatase og biliru</w:t>
            </w:r>
            <w:r w:rsidR="00870E8F" w:rsidRPr="00870E8F">
              <w:rPr>
                <w:color w:val="000000" w:themeColor="text1"/>
                <w:sz w:val="18"/>
                <w:szCs w:val="18"/>
              </w:rPr>
              <w:softHyphen/>
            </w:r>
            <w:r w:rsidRPr="00870E8F">
              <w:rPr>
                <w:color w:val="000000" w:themeColor="text1"/>
                <w:sz w:val="18"/>
                <w:szCs w:val="18"/>
              </w:rPr>
              <w:t>bin)</w:t>
            </w: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4D00AC3" w14:textId="77777777" w:rsidR="00B5675F" w:rsidRPr="00870E8F" w:rsidRDefault="00B5675F">
            <w:pPr>
              <w:pStyle w:val="Sidehoved"/>
              <w:rPr>
                <w:color w:val="000000" w:themeColor="text1"/>
                <w:sz w:val="18"/>
                <w:szCs w:val="18"/>
              </w:rPr>
            </w:pP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6C39D3EC" w14:textId="1E9D2379" w:rsidR="00B5675F" w:rsidRPr="00870E8F" w:rsidRDefault="00B5675F">
            <w:pPr>
              <w:pStyle w:val="Sidehoved"/>
              <w:rPr>
                <w:color w:val="000000" w:themeColor="text1"/>
                <w:sz w:val="18"/>
                <w:szCs w:val="18"/>
              </w:rPr>
            </w:pPr>
            <w:proofErr w:type="spellStart"/>
            <w:r w:rsidRPr="00870E8F">
              <w:rPr>
                <w:color w:val="000000" w:themeColor="text1"/>
                <w:sz w:val="18"/>
                <w:szCs w:val="18"/>
              </w:rPr>
              <w:t>Hepatisk</w:t>
            </w:r>
            <w:proofErr w:type="spellEnd"/>
            <w:r w:rsidRPr="00870E8F">
              <w:rPr>
                <w:color w:val="000000" w:themeColor="text1"/>
                <w:sz w:val="18"/>
                <w:szCs w:val="18"/>
              </w:rPr>
              <w:t xml:space="preserve"> </w:t>
            </w:r>
            <w:proofErr w:type="spellStart"/>
            <w:r w:rsidRPr="00870E8F">
              <w:rPr>
                <w:color w:val="000000" w:themeColor="text1"/>
                <w:sz w:val="18"/>
                <w:szCs w:val="18"/>
              </w:rPr>
              <w:t>steatose</w:t>
            </w:r>
            <w:proofErr w:type="spellEnd"/>
            <w:r w:rsidRPr="00870E8F">
              <w:rPr>
                <w:color w:val="000000" w:themeColor="text1"/>
                <w:sz w:val="18"/>
                <w:szCs w:val="18"/>
              </w:rPr>
              <w:t>, fibrose og cirrose, nedsat serumalbu</w:t>
            </w:r>
            <w:r w:rsidR="00870E8F" w:rsidRPr="00870E8F">
              <w:rPr>
                <w:color w:val="000000" w:themeColor="text1"/>
                <w:sz w:val="18"/>
                <w:szCs w:val="18"/>
              </w:rPr>
              <w:softHyphen/>
            </w:r>
            <w:r w:rsidRPr="00870E8F">
              <w:rPr>
                <w:color w:val="000000" w:themeColor="text1"/>
                <w:sz w:val="18"/>
                <w:szCs w:val="18"/>
              </w:rPr>
              <w:t>min</w:t>
            </w: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0183F2F5" w14:textId="77777777" w:rsidR="00B5675F" w:rsidRPr="00870E8F" w:rsidRDefault="00B5675F">
            <w:pPr>
              <w:pStyle w:val="Sidehoved"/>
              <w:rPr>
                <w:color w:val="000000" w:themeColor="text1"/>
                <w:sz w:val="18"/>
                <w:szCs w:val="18"/>
              </w:rPr>
            </w:pPr>
            <w:r w:rsidRPr="00870E8F">
              <w:rPr>
                <w:color w:val="000000" w:themeColor="text1"/>
                <w:sz w:val="18"/>
                <w:szCs w:val="18"/>
              </w:rPr>
              <w:t xml:space="preserve">Akut hepatitis og </w:t>
            </w:r>
            <w:proofErr w:type="spellStart"/>
            <w:r w:rsidRPr="00870E8F">
              <w:rPr>
                <w:color w:val="000000" w:themeColor="text1"/>
                <w:sz w:val="18"/>
                <w:szCs w:val="18"/>
              </w:rPr>
              <w:t>hepatotoksicitet</w:t>
            </w:r>
            <w:proofErr w:type="spellEnd"/>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hideMark/>
          </w:tcPr>
          <w:p w14:paraId="3E0C5BF9" w14:textId="0D666549" w:rsidR="00B5675F" w:rsidRPr="00870E8F" w:rsidRDefault="00B5675F">
            <w:pPr>
              <w:pStyle w:val="Sidehoved"/>
              <w:rPr>
                <w:color w:val="000000" w:themeColor="text1"/>
                <w:sz w:val="18"/>
                <w:szCs w:val="18"/>
              </w:rPr>
            </w:pPr>
            <w:r w:rsidRPr="00870E8F">
              <w:rPr>
                <w:color w:val="000000" w:themeColor="text1"/>
                <w:sz w:val="18"/>
                <w:szCs w:val="18"/>
              </w:rPr>
              <w:t>Akut lever</w:t>
            </w:r>
            <w:r w:rsidR="00870E8F" w:rsidRPr="00870E8F">
              <w:rPr>
                <w:color w:val="000000" w:themeColor="text1"/>
                <w:sz w:val="18"/>
                <w:szCs w:val="18"/>
              </w:rPr>
              <w:softHyphen/>
            </w:r>
            <w:r w:rsidRPr="00870E8F">
              <w:rPr>
                <w:color w:val="000000" w:themeColor="text1"/>
                <w:sz w:val="18"/>
                <w:szCs w:val="18"/>
              </w:rPr>
              <w:t>skade, lever</w:t>
            </w:r>
            <w:r w:rsidR="00870E8F" w:rsidRPr="00870E8F">
              <w:rPr>
                <w:color w:val="000000" w:themeColor="text1"/>
                <w:sz w:val="18"/>
                <w:szCs w:val="18"/>
              </w:rPr>
              <w:softHyphen/>
            </w:r>
            <w:r w:rsidRPr="00870E8F">
              <w:rPr>
                <w:color w:val="000000" w:themeColor="text1"/>
                <w:sz w:val="18"/>
                <w:szCs w:val="18"/>
              </w:rPr>
              <w:t>svigt, reakti</w:t>
            </w:r>
            <w:r w:rsidR="00870E8F" w:rsidRPr="00870E8F">
              <w:rPr>
                <w:color w:val="000000" w:themeColor="text1"/>
                <w:sz w:val="18"/>
                <w:szCs w:val="18"/>
              </w:rPr>
              <w:softHyphen/>
            </w:r>
            <w:r w:rsidRPr="00870E8F">
              <w:rPr>
                <w:color w:val="000000" w:themeColor="text1"/>
                <w:sz w:val="18"/>
                <w:szCs w:val="18"/>
              </w:rPr>
              <w:t>vering af kronisk he</w:t>
            </w:r>
            <w:r w:rsidR="00870E8F" w:rsidRPr="00870E8F">
              <w:rPr>
                <w:color w:val="000000" w:themeColor="text1"/>
                <w:sz w:val="18"/>
                <w:szCs w:val="18"/>
              </w:rPr>
              <w:softHyphen/>
            </w:r>
            <w:r w:rsidRPr="00870E8F">
              <w:rPr>
                <w:color w:val="000000" w:themeColor="text1"/>
                <w:sz w:val="18"/>
                <w:szCs w:val="18"/>
              </w:rPr>
              <w:t xml:space="preserve">patitis </w:t>
            </w:r>
          </w:p>
        </w:tc>
        <w:tc>
          <w:tcPr>
            <w:tcW w:w="723" w:type="pct"/>
            <w:tcBorders>
              <w:top w:val="single" w:sz="6" w:space="0" w:color="000000"/>
              <w:left w:val="single" w:sz="4" w:space="0" w:color="auto"/>
              <w:bottom w:val="single" w:sz="6" w:space="0" w:color="000000"/>
              <w:right w:val="double" w:sz="4" w:space="0" w:color="auto"/>
            </w:tcBorders>
            <w:hideMark/>
          </w:tcPr>
          <w:p w14:paraId="7B31376C" w14:textId="0E5DF4DE" w:rsidR="00B5675F" w:rsidRPr="00870E8F" w:rsidRDefault="00B5675F">
            <w:pPr>
              <w:pStyle w:val="Sidehoved"/>
              <w:rPr>
                <w:color w:val="000000" w:themeColor="text1"/>
                <w:sz w:val="18"/>
                <w:szCs w:val="18"/>
              </w:rPr>
            </w:pPr>
            <w:r w:rsidRPr="00870E8F">
              <w:rPr>
                <w:color w:val="000000" w:themeColor="text1"/>
                <w:sz w:val="18"/>
                <w:szCs w:val="18"/>
              </w:rPr>
              <w:t>Hepatitis og lever</w:t>
            </w:r>
            <w:r w:rsidR="00870E8F" w:rsidRPr="00870E8F">
              <w:rPr>
                <w:color w:val="000000" w:themeColor="text1"/>
                <w:sz w:val="18"/>
                <w:szCs w:val="18"/>
              </w:rPr>
              <w:softHyphen/>
            </w:r>
            <w:r w:rsidRPr="00870E8F">
              <w:rPr>
                <w:color w:val="000000" w:themeColor="text1"/>
                <w:sz w:val="18"/>
                <w:szCs w:val="18"/>
              </w:rPr>
              <w:t>svigt</w:t>
            </w:r>
            <w:r w:rsidRPr="00870E8F">
              <w:rPr>
                <w:color w:val="000000" w:themeColor="text1"/>
                <w:sz w:val="18"/>
                <w:szCs w:val="18"/>
                <w:vertAlign w:val="superscript"/>
              </w:rPr>
              <w:t>4</w:t>
            </w:r>
          </w:p>
        </w:tc>
      </w:tr>
      <w:tr w:rsidR="00870E8F" w:rsidRPr="00870E8F" w14:paraId="0F9E27D1"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5F531AA4" w14:textId="3170AABF"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Hud og subku</w:t>
            </w:r>
            <w:r w:rsidR="00870E8F" w:rsidRPr="00870E8F">
              <w:rPr>
                <w:b/>
                <w:color w:val="000000" w:themeColor="text1"/>
                <w:sz w:val="18"/>
                <w:szCs w:val="18"/>
              </w:rPr>
              <w:softHyphen/>
            </w:r>
            <w:r w:rsidRPr="00870E8F">
              <w:rPr>
                <w:b/>
                <w:color w:val="000000" w:themeColor="text1"/>
                <w:sz w:val="18"/>
                <w:szCs w:val="18"/>
              </w:rPr>
              <w:t>tane væv</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231EE08"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20856454" w14:textId="54D3D185" w:rsidR="00B5675F" w:rsidRPr="00870E8F" w:rsidRDefault="00B5675F">
            <w:pPr>
              <w:pStyle w:val="Sidehoved"/>
              <w:rPr>
                <w:color w:val="000000" w:themeColor="text1"/>
                <w:sz w:val="18"/>
                <w:szCs w:val="18"/>
              </w:rPr>
            </w:pPr>
            <w:proofErr w:type="spellStart"/>
            <w:r w:rsidRPr="00870E8F">
              <w:rPr>
                <w:color w:val="000000" w:themeColor="text1"/>
                <w:sz w:val="18"/>
                <w:szCs w:val="18"/>
              </w:rPr>
              <w:t>Erytem</w:t>
            </w:r>
            <w:proofErr w:type="spellEnd"/>
            <w:r w:rsidRPr="00870E8F">
              <w:rPr>
                <w:color w:val="000000" w:themeColor="text1"/>
                <w:sz w:val="18"/>
                <w:szCs w:val="18"/>
              </w:rPr>
              <w:t xml:space="preserve">, </w:t>
            </w:r>
            <w:proofErr w:type="spellStart"/>
            <w:r w:rsidRPr="00870E8F">
              <w:rPr>
                <w:color w:val="000000" w:themeColor="text1"/>
                <w:sz w:val="18"/>
                <w:szCs w:val="18"/>
              </w:rPr>
              <w:t>ek</w:t>
            </w:r>
            <w:r w:rsidR="00870E8F" w:rsidRPr="00870E8F">
              <w:rPr>
                <w:color w:val="000000" w:themeColor="text1"/>
                <w:sz w:val="18"/>
                <w:szCs w:val="18"/>
              </w:rPr>
              <w:softHyphen/>
            </w:r>
            <w:r w:rsidRPr="00870E8F">
              <w:rPr>
                <w:color w:val="000000" w:themeColor="text1"/>
                <w:sz w:val="18"/>
                <w:szCs w:val="18"/>
              </w:rPr>
              <w:t>santem</w:t>
            </w:r>
            <w:proofErr w:type="spellEnd"/>
            <w:r w:rsidRPr="00870E8F">
              <w:rPr>
                <w:color w:val="000000" w:themeColor="text1"/>
                <w:sz w:val="18"/>
                <w:szCs w:val="18"/>
              </w:rPr>
              <w:t xml:space="preserve">, </w:t>
            </w:r>
            <w:proofErr w:type="spellStart"/>
            <w:r w:rsidRPr="00870E8F">
              <w:rPr>
                <w:color w:val="000000" w:themeColor="text1"/>
                <w:sz w:val="18"/>
                <w:szCs w:val="18"/>
              </w:rPr>
              <w:t>pru</w:t>
            </w:r>
            <w:r w:rsidR="00870E8F" w:rsidRPr="00870E8F">
              <w:rPr>
                <w:color w:val="000000" w:themeColor="text1"/>
                <w:sz w:val="18"/>
                <w:szCs w:val="18"/>
              </w:rPr>
              <w:softHyphen/>
            </w:r>
            <w:r w:rsidRPr="00870E8F">
              <w:rPr>
                <w:color w:val="000000" w:themeColor="text1"/>
                <w:sz w:val="18"/>
                <w:szCs w:val="18"/>
              </w:rPr>
              <w:t>ritus</w:t>
            </w:r>
            <w:proofErr w:type="spellEnd"/>
            <w:r w:rsidRPr="00870E8F">
              <w:rPr>
                <w:color w:val="000000" w:themeColor="text1"/>
                <w:sz w:val="18"/>
                <w:szCs w:val="18"/>
              </w:rPr>
              <w:t xml:space="preserve">, </w:t>
            </w: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38669F91" w14:textId="67C4EECB" w:rsidR="00B5675F" w:rsidRPr="00870E8F" w:rsidRDefault="00B5675F">
            <w:pPr>
              <w:pStyle w:val="TableParagraph"/>
              <w:ind w:right="154"/>
              <w:rPr>
                <w:color w:val="000000" w:themeColor="text1"/>
                <w:sz w:val="18"/>
                <w:szCs w:val="18"/>
              </w:rPr>
            </w:pPr>
            <w:r w:rsidRPr="00870E8F">
              <w:rPr>
                <w:color w:val="000000" w:themeColor="text1"/>
                <w:sz w:val="18"/>
                <w:szCs w:val="18"/>
              </w:rPr>
              <w:t xml:space="preserve">Svære toksiske manifestationer: </w:t>
            </w:r>
            <w:proofErr w:type="spellStart"/>
            <w:r w:rsidRPr="00870E8F">
              <w:rPr>
                <w:color w:val="000000" w:themeColor="text1"/>
                <w:sz w:val="18"/>
                <w:szCs w:val="18"/>
              </w:rPr>
              <w:t>vasculitis</w:t>
            </w:r>
            <w:proofErr w:type="spellEnd"/>
            <w:r w:rsidRPr="00870E8F">
              <w:rPr>
                <w:color w:val="000000" w:themeColor="text1"/>
                <w:sz w:val="18"/>
                <w:szCs w:val="18"/>
              </w:rPr>
              <w:t>, herpes</w:t>
            </w:r>
            <w:r w:rsidR="00870E8F" w:rsidRPr="00870E8F">
              <w:rPr>
                <w:color w:val="000000" w:themeColor="text1"/>
                <w:sz w:val="18"/>
                <w:szCs w:val="18"/>
              </w:rPr>
              <w:softHyphen/>
            </w:r>
            <w:r w:rsidRPr="00870E8F">
              <w:rPr>
                <w:color w:val="000000" w:themeColor="text1"/>
                <w:sz w:val="18"/>
                <w:szCs w:val="18"/>
              </w:rPr>
              <w:t>lignende hud</w:t>
            </w:r>
            <w:r w:rsidR="00870E8F" w:rsidRPr="00870E8F">
              <w:rPr>
                <w:color w:val="000000" w:themeColor="text1"/>
                <w:sz w:val="18"/>
                <w:szCs w:val="18"/>
              </w:rPr>
              <w:softHyphen/>
            </w:r>
            <w:r w:rsidRPr="00870E8F">
              <w:rPr>
                <w:color w:val="000000" w:themeColor="text1"/>
                <w:sz w:val="18"/>
                <w:szCs w:val="18"/>
              </w:rPr>
              <w:t>udslæt, Stevens-Johnsons syn</w:t>
            </w:r>
            <w:r w:rsidR="00870E8F" w:rsidRPr="00870E8F">
              <w:rPr>
                <w:color w:val="000000" w:themeColor="text1"/>
                <w:sz w:val="18"/>
                <w:szCs w:val="18"/>
              </w:rPr>
              <w:softHyphen/>
            </w:r>
            <w:r w:rsidRPr="00870E8F">
              <w:rPr>
                <w:color w:val="000000" w:themeColor="text1"/>
                <w:sz w:val="18"/>
                <w:szCs w:val="18"/>
              </w:rPr>
              <w:t xml:space="preserve">drom, toksisk </w:t>
            </w:r>
            <w:proofErr w:type="spellStart"/>
            <w:r w:rsidRPr="00870E8F">
              <w:rPr>
                <w:color w:val="000000" w:themeColor="text1"/>
                <w:sz w:val="18"/>
                <w:szCs w:val="18"/>
              </w:rPr>
              <w:t>epi</w:t>
            </w:r>
            <w:r w:rsidR="00870E8F" w:rsidRPr="00870E8F">
              <w:rPr>
                <w:color w:val="000000" w:themeColor="text1"/>
                <w:sz w:val="18"/>
                <w:szCs w:val="18"/>
              </w:rPr>
              <w:softHyphen/>
            </w:r>
            <w:r w:rsidRPr="00870E8F">
              <w:rPr>
                <w:color w:val="000000" w:themeColor="text1"/>
                <w:sz w:val="18"/>
                <w:szCs w:val="18"/>
              </w:rPr>
              <w:t>dermal</w:t>
            </w:r>
            <w:proofErr w:type="spellEnd"/>
            <w:r w:rsidRPr="00870E8F">
              <w:rPr>
                <w:color w:val="000000" w:themeColor="text1"/>
                <w:sz w:val="18"/>
                <w:szCs w:val="18"/>
              </w:rPr>
              <w:t xml:space="preserve"> </w:t>
            </w:r>
            <w:proofErr w:type="spellStart"/>
            <w:r w:rsidRPr="00870E8F">
              <w:rPr>
                <w:color w:val="000000" w:themeColor="text1"/>
                <w:sz w:val="18"/>
                <w:szCs w:val="18"/>
              </w:rPr>
              <w:t>nekrolyse</w:t>
            </w:r>
            <w:proofErr w:type="spellEnd"/>
            <w:r w:rsidRPr="00870E8F">
              <w:rPr>
                <w:color w:val="000000" w:themeColor="text1"/>
                <w:sz w:val="18"/>
                <w:szCs w:val="18"/>
              </w:rPr>
              <w:t xml:space="preserve"> </w:t>
            </w:r>
            <w:r w:rsidRPr="00870E8F">
              <w:rPr>
                <w:color w:val="000000" w:themeColor="text1"/>
                <w:sz w:val="18"/>
                <w:szCs w:val="18"/>
              </w:rPr>
              <w:lastRenderedPageBreak/>
              <w:t>(</w:t>
            </w:r>
            <w:proofErr w:type="spellStart"/>
            <w:r w:rsidRPr="00870E8F">
              <w:rPr>
                <w:color w:val="000000" w:themeColor="text1"/>
                <w:sz w:val="18"/>
                <w:szCs w:val="18"/>
              </w:rPr>
              <w:t>Lyells</w:t>
            </w:r>
            <w:proofErr w:type="spellEnd"/>
            <w:r w:rsidRPr="00870E8F">
              <w:rPr>
                <w:color w:val="000000" w:themeColor="text1"/>
                <w:sz w:val="18"/>
                <w:szCs w:val="18"/>
              </w:rPr>
              <w:t xml:space="preserve"> syndrom), øgede gigtknuder, smertefulde erosi</w:t>
            </w:r>
            <w:r w:rsidR="00870E8F" w:rsidRPr="00870E8F">
              <w:rPr>
                <w:color w:val="000000" w:themeColor="text1"/>
                <w:sz w:val="18"/>
                <w:szCs w:val="18"/>
              </w:rPr>
              <w:softHyphen/>
            </w:r>
            <w:r w:rsidRPr="00870E8F">
              <w:rPr>
                <w:color w:val="000000" w:themeColor="text1"/>
                <w:sz w:val="18"/>
                <w:szCs w:val="18"/>
              </w:rPr>
              <w:t>oner i form af psoriasis-</w:t>
            </w:r>
            <w:proofErr w:type="spellStart"/>
            <w:r w:rsidRPr="00870E8F">
              <w:rPr>
                <w:color w:val="000000" w:themeColor="text1"/>
                <w:sz w:val="18"/>
                <w:szCs w:val="18"/>
              </w:rPr>
              <w:t>plaque</w:t>
            </w:r>
            <w:proofErr w:type="spellEnd"/>
            <w:r w:rsidRPr="00870E8F">
              <w:rPr>
                <w:color w:val="000000" w:themeColor="text1"/>
                <w:sz w:val="18"/>
                <w:szCs w:val="18"/>
              </w:rPr>
              <w:t>, lysfølsomhedsre</w:t>
            </w:r>
            <w:r w:rsidR="00870E8F" w:rsidRPr="00870E8F">
              <w:rPr>
                <w:color w:val="000000" w:themeColor="text1"/>
                <w:sz w:val="18"/>
                <w:szCs w:val="18"/>
              </w:rPr>
              <w:softHyphen/>
            </w:r>
            <w:r w:rsidRPr="00870E8F">
              <w:rPr>
                <w:color w:val="000000" w:themeColor="text1"/>
                <w:sz w:val="18"/>
                <w:szCs w:val="18"/>
              </w:rPr>
              <w:t>aktioner, øget hudpig</w:t>
            </w:r>
            <w:r w:rsidR="00870E8F" w:rsidRPr="00870E8F">
              <w:rPr>
                <w:color w:val="000000" w:themeColor="text1"/>
                <w:sz w:val="18"/>
                <w:szCs w:val="18"/>
              </w:rPr>
              <w:softHyphen/>
            </w:r>
            <w:r w:rsidRPr="00870E8F">
              <w:rPr>
                <w:color w:val="000000" w:themeColor="text1"/>
                <w:sz w:val="18"/>
                <w:szCs w:val="18"/>
              </w:rPr>
              <w:t>mentering, hårtab, ned</w:t>
            </w:r>
            <w:r w:rsidR="00870E8F" w:rsidRPr="00870E8F">
              <w:rPr>
                <w:color w:val="000000" w:themeColor="text1"/>
                <w:sz w:val="18"/>
                <w:szCs w:val="18"/>
              </w:rPr>
              <w:softHyphen/>
            </w:r>
            <w:r w:rsidRPr="00870E8F">
              <w:rPr>
                <w:color w:val="000000" w:themeColor="text1"/>
                <w:sz w:val="18"/>
                <w:szCs w:val="18"/>
              </w:rPr>
              <w:t xml:space="preserve">sat sårheling, </w:t>
            </w:r>
            <w:proofErr w:type="spellStart"/>
            <w:r w:rsidRPr="00870E8F">
              <w:rPr>
                <w:color w:val="000000" w:themeColor="text1"/>
                <w:sz w:val="18"/>
                <w:szCs w:val="18"/>
              </w:rPr>
              <w:t>urticaria</w:t>
            </w:r>
            <w:proofErr w:type="spellEnd"/>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5404483B" w14:textId="45DC075E" w:rsidR="00B5675F" w:rsidRPr="00870E8F" w:rsidRDefault="00B5675F">
            <w:pPr>
              <w:pStyle w:val="TableParagraph"/>
              <w:ind w:left="28" w:right="99"/>
              <w:rPr>
                <w:color w:val="000000" w:themeColor="text1"/>
                <w:sz w:val="18"/>
                <w:szCs w:val="18"/>
              </w:rPr>
            </w:pPr>
            <w:r w:rsidRPr="00870E8F">
              <w:rPr>
                <w:color w:val="000000" w:themeColor="text1"/>
                <w:sz w:val="18"/>
                <w:szCs w:val="18"/>
              </w:rPr>
              <w:lastRenderedPageBreak/>
              <w:t>Negleforandringer med øget pigmen</w:t>
            </w:r>
            <w:r w:rsidR="00870E8F" w:rsidRPr="00870E8F">
              <w:rPr>
                <w:color w:val="000000" w:themeColor="text1"/>
                <w:sz w:val="18"/>
                <w:szCs w:val="18"/>
              </w:rPr>
              <w:softHyphen/>
            </w:r>
            <w:r w:rsidRPr="00870E8F">
              <w:rPr>
                <w:color w:val="000000" w:themeColor="text1"/>
                <w:sz w:val="18"/>
                <w:szCs w:val="18"/>
              </w:rPr>
              <w:t xml:space="preserve">tering, </w:t>
            </w:r>
            <w:proofErr w:type="spellStart"/>
            <w:r w:rsidRPr="00870E8F">
              <w:rPr>
                <w:color w:val="000000" w:themeColor="text1"/>
                <w:sz w:val="18"/>
                <w:szCs w:val="18"/>
              </w:rPr>
              <w:t>onykolyse</w:t>
            </w:r>
            <w:proofErr w:type="spellEnd"/>
            <w:r w:rsidRPr="00870E8F">
              <w:rPr>
                <w:color w:val="000000" w:themeColor="text1"/>
                <w:sz w:val="18"/>
                <w:szCs w:val="18"/>
              </w:rPr>
              <w:t xml:space="preserve">, </w:t>
            </w:r>
            <w:proofErr w:type="spellStart"/>
            <w:r w:rsidRPr="00870E8F">
              <w:rPr>
                <w:color w:val="000000" w:themeColor="text1"/>
                <w:sz w:val="18"/>
                <w:szCs w:val="18"/>
              </w:rPr>
              <w:t>acne</w:t>
            </w:r>
            <w:proofErr w:type="spellEnd"/>
            <w:r w:rsidRPr="00870E8F">
              <w:rPr>
                <w:color w:val="000000" w:themeColor="text1"/>
                <w:sz w:val="18"/>
                <w:szCs w:val="18"/>
              </w:rPr>
              <w:t xml:space="preserve">, </w:t>
            </w:r>
            <w:proofErr w:type="spellStart"/>
            <w:r w:rsidRPr="00870E8F">
              <w:rPr>
                <w:color w:val="000000" w:themeColor="text1"/>
                <w:sz w:val="18"/>
                <w:szCs w:val="18"/>
              </w:rPr>
              <w:t>petekkier</w:t>
            </w:r>
            <w:proofErr w:type="spellEnd"/>
            <w:r w:rsidRPr="00870E8F">
              <w:rPr>
                <w:color w:val="000000" w:themeColor="text1"/>
                <w:sz w:val="18"/>
                <w:szCs w:val="18"/>
              </w:rPr>
              <w:t xml:space="preserve">, blå mærker, </w:t>
            </w:r>
            <w:proofErr w:type="spellStart"/>
            <w:r w:rsidRPr="00870E8F">
              <w:rPr>
                <w:color w:val="000000" w:themeColor="text1"/>
                <w:sz w:val="18"/>
                <w:szCs w:val="18"/>
              </w:rPr>
              <w:t>erythema</w:t>
            </w:r>
            <w:proofErr w:type="spellEnd"/>
            <w:r w:rsidRPr="00870E8F">
              <w:rPr>
                <w:color w:val="000000" w:themeColor="text1"/>
                <w:sz w:val="18"/>
                <w:szCs w:val="18"/>
              </w:rPr>
              <w:t xml:space="preserve"> multiforme, </w:t>
            </w:r>
            <w:proofErr w:type="spellStart"/>
            <w:r w:rsidRPr="00870E8F">
              <w:rPr>
                <w:color w:val="000000" w:themeColor="text1"/>
                <w:sz w:val="18"/>
                <w:szCs w:val="18"/>
              </w:rPr>
              <w:t>eryte</w:t>
            </w:r>
            <w:r w:rsidR="00870E8F" w:rsidRPr="00870E8F">
              <w:rPr>
                <w:color w:val="000000" w:themeColor="text1"/>
                <w:sz w:val="18"/>
                <w:szCs w:val="18"/>
              </w:rPr>
              <w:softHyphen/>
            </w:r>
            <w:r w:rsidRPr="00870E8F">
              <w:rPr>
                <w:color w:val="000000" w:themeColor="text1"/>
                <w:sz w:val="18"/>
                <w:szCs w:val="18"/>
              </w:rPr>
              <w:t>matøse</w:t>
            </w:r>
            <w:proofErr w:type="spellEnd"/>
            <w:r w:rsidRPr="00870E8F">
              <w:rPr>
                <w:color w:val="000000" w:themeColor="text1"/>
                <w:sz w:val="18"/>
                <w:szCs w:val="18"/>
              </w:rPr>
              <w:t xml:space="preserve"> hududbrud, psoriasislæsioner </w:t>
            </w:r>
            <w:r w:rsidRPr="00870E8F">
              <w:rPr>
                <w:color w:val="000000" w:themeColor="text1"/>
                <w:sz w:val="18"/>
                <w:szCs w:val="18"/>
              </w:rPr>
              <w:lastRenderedPageBreak/>
              <w:t>kan forværres ved samtidig UV-be</w:t>
            </w:r>
            <w:r w:rsidR="00870E8F" w:rsidRPr="00870E8F">
              <w:rPr>
                <w:color w:val="000000" w:themeColor="text1"/>
                <w:sz w:val="18"/>
                <w:szCs w:val="18"/>
              </w:rPr>
              <w:softHyphen/>
            </w:r>
            <w:r w:rsidRPr="00870E8F">
              <w:rPr>
                <w:color w:val="000000" w:themeColor="text1"/>
                <w:sz w:val="18"/>
                <w:szCs w:val="18"/>
              </w:rPr>
              <w:t xml:space="preserve">handling, </w:t>
            </w:r>
            <w:proofErr w:type="spellStart"/>
            <w:r w:rsidRPr="00870E8F">
              <w:rPr>
                <w:color w:val="000000" w:themeColor="text1"/>
                <w:sz w:val="18"/>
                <w:szCs w:val="18"/>
              </w:rPr>
              <w:t>radioder</w:t>
            </w:r>
            <w:r w:rsidR="00870E8F" w:rsidRPr="00870E8F">
              <w:rPr>
                <w:color w:val="000000" w:themeColor="text1"/>
                <w:sz w:val="18"/>
                <w:szCs w:val="18"/>
              </w:rPr>
              <w:softHyphen/>
            </w:r>
            <w:r w:rsidRPr="00870E8F">
              <w:rPr>
                <w:color w:val="000000" w:themeColor="text1"/>
                <w:sz w:val="18"/>
                <w:szCs w:val="18"/>
              </w:rPr>
              <w:t>matitis</w:t>
            </w:r>
            <w:proofErr w:type="spellEnd"/>
            <w:r w:rsidRPr="00870E8F">
              <w:rPr>
                <w:color w:val="000000" w:themeColor="text1"/>
                <w:sz w:val="18"/>
                <w:szCs w:val="18"/>
              </w:rPr>
              <w:t xml:space="preserve"> og sol</w:t>
            </w:r>
            <w:r w:rsidR="00870E8F" w:rsidRPr="00870E8F">
              <w:rPr>
                <w:color w:val="000000" w:themeColor="text1"/>
                <w:sz w:val="18"/>
                <w:szCs w:val="18"/>
              </w:rPr>
              <w:softHyphen/>
            </w:r>
            <w:r w:rsidRPr="00870E8F">
              <w:rPr>
                <w:color w:val="000000" w:themeColor="text1"/>
                <w:sz w:val="18"/>
                <w:szCs w:val="18"/>
              </w:rPr>
              <w:t>skoldning kan ud</w:t>
            </w:r>
            <w:r w:rsidR="00870E8F" w:rsidRPr="00870E8F">
              <w:rPr>
                <w:color w:val="000000" w:themeColor="text1"/>
                <w:sz w:val="18"/>
                <w:szCs w:val="18"/>
              </w:rPr>
              <w:softHyphen/>
            </w:r>
            <w:r w:rsidRPr="00870E8F">
              <w:rPr>
                <w:color w:val="000000" w:themeColor="text1"/>
                <w:sz w:val="18"/>
                <w:szCs w:val="18"/>
              </w:rPr>
              <w:t>løses som “</w:t>
            </w:r>
            <w:proofErr w:type="spellStart"/>
            <w:r w:rsidRPr="00870E8F">
              <w:rPr>
                <w:color w:val="000000" w:themeColor="text1"/>
                <w:sz w:val="18"/>
                <w:szCs w:val="18"/>
              </w:rPr>
              <w:t>recall</w:t>
            </w:r>
            <w:proofErr w:type="spellEnd"/>
            <w:r w:rsidRPr="00870E8F">
              <w:rPr>
                <w:color w:val="000000" w:themeColor="text1"/>
                <w:sz w:val="18"/>
                <w:szCs w:val="18"/>
              </w:rPr>
              <w:t>-reaktioner”</w:t>
            </w:r>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hideMark/>
          </w:tcPr>
          <w:p w14:paraId="4353CF02" w14:textId="13042EEC" w:rsidR="00B5675F" w:rsidRPr="00870E8F" w:rsidRDefault="00B5675F">
            <w:pPr>
              <w:pStyle w:val="Sidehoved"/>
              <w:rPr>
                <w:color w:val="000000" w:themeColor="text1"/>
                <w:sz w:val="18"/>
                <w:szCs w:val="18"/>
              </w:rPr>
            </w:pPr>
            <w:r w:rsidRPr="00870E8F">
              <w:rPr>
                <w:color w:val="000000" w:themeColor="text1"/>
                <w:sz w:val="18"/>
                <w:szCs w:val="18"/>
              </w:rPr>
              <w:lastRenderedPageBreak/>
              <w:t xml:space="preserve">Akut </w:t>
            </w:r>
            <w:proofErr w:type="spellStart"/>
            <w:r w:rsidRPr="00870E8F">
              <w:rPr>
                <w:color w:val="000000" w:themeColor="text1"/>
                <w:sz w:val="18"/>
                <w:szCs w:val="18"/>
              </w:rPr>
              <w:t>pa</w:t>
            </w:r>
            <w:r w:rsidR="00870E8F" w:rsidRPr="00870E8F">
              <w:rPr>
                <w:color w:val="000000" w:themeColor="text1"/>
                <w:sz w:val="18"/>
                <w:szCs w:val="18"/>
              </w:rPr>
              <w:softHyphen/>
            </w:r>
            <w:r w:rsidRPr="00870E8F">
              <w:rPr>
                <w:color w:val="000000" w:themeColor="text1"/>
                <w:sz w:val="18"/>
                <w:szCs w:val="18"/>
              </w:rPr>
              <w:t>ronyki</w:t>
            </w:r>
            <w:proofErr w:type="spellEnd"/>
            <w:r w:rsidRPr="00870E8F">
              <w:rPr>
                <w:color w:val="000000" w:themeColor="text1"/>
                <w:sz w:val="18"/>
                <w:szCs w:val="18"/>
              </w:rPr>
              <w:t xml:space="preserve">, </w:t>
            </w:r>
            <w:proofErr w:type="spellStart"/>
            <w:r w:rsidRPr="00870E8F">
              <w:rPr>
                <w:color w:val="000000" w:themeColor="text1"/>
                <w:sz w:val="18"/>
                <w:szCs w:val="18"/>
              </w:rPr>
              <w:t>furun</w:t>
            </w:r>
            <w:r w:rsidR="00870E8F" w:rsidRPr="00870E8F">
              <w:rPr>
                <w:color w:val="000000" w:themeColor="text1"/>
                <w:sz w:val="18"/>
                <w:szCs w:val="18"/>
              </w:rPr>
              <w:softHyphen/>
            </w:r>
            <w:r w:rsidRPr="00870E8F">
              <w:rPr>
                <w:color w:val="000000" w:themeColor="text1"/>
                <w:sz w:val="18"/>
                <w:szCs w:val="18"/>
              </w:rPr>
              <w:t>kulose</w:t>
            </w:r>
            <w:proofErr w:type="spellEnd"/>
            <w:r w:rsidRPr="00870E8F">
              <w:rPr>
                <w:color w:val="000000" w:themeColor="text1"/>
                <w:sz w:val="18"/>
                <w:szCs w:val="18"/>
              </w:rPr>
              <w:t xml:space="preserve">, </w:t>
            </w:r>
            <w:proofErr w:type="spellStart"/>
            <w:r w:rsidRPr="00870E8F">
              <w:rPr>
                <w:color w:val="000000" w:themeColor="text1"/>
                <w:sz w:val="18"/>
                <w:szCs w:val="18"/>
              </w:rPr>
              <w:t>telan</w:t>
            </w:r>
            <w:r w:rsidR="00870E8F" w:rsidRPr="00870E8F">
              <w:rPr>
                <w:color w:val="000000" w:themeColor="text1"/>
                <w:sz w:val="18"/>
                <w:szCs w:val="18"/>
              </w:rPr>
              <w:softHyphen/>
            </w:r>
            <w:r w:rsidRPr="00870E8F">
              <w:rPr>
                <w:color w:val="000000" w:themeColor="text1"/>
                <w:sz w:val="18"/>
                <w:szCs w:val="18"/>
              </w:rPr>
              <w:t>giektasi</w:t>
            </w:r>
            <w:proofErr w:type="spellEnd"/>
            <w:r w:rsidRPr="00870E8F">
              <w:rPr>
                <w:color w:val="000000" w:themeColor="text1"/>
                <w:sz w:val="18"/>
                <w:szCs w:val="18"/>
              </w:rPr>
              <w:t xml:space="preserve">, </w:t>
            </w:r>
            <w:proofErr w:type="spellStart"/>
            <w:r w:rsidRPr="00870E8F">
              <w:rPr>
                <w:color w:val="000000" w:themeColor="text1"/>
                <w:sz w:val="18"/>
                <w:szCs w:val="18"/>
              </w:rPr>
              <w:t>hidrosadenitis</w:t>
            </w:r>
            <w:proofErr w:type="spellEnd"/>
          </w:p>
        </w:tc>
        <w:tc>
          <w:tcPr>
            <w:tcW w:w="723" w:type="pct"/>
            <w:tcBorders>
              <w:top w:val="single" w:sz="6" w:space="0" w:color="000000"/>
              <w:left w:val="single" w:sz="4" w:space="0" w:color="auto"/>
              <w:bottom w:val="single" w:sz="6" w:space="0" w:color="000000"/>
              <w:right w:val="double" w:sz="4" w:space="0" w:color="auto"/>
            </w:tcBorders>
            <w:hideMark/>
          </w:tcPr>
          <w:p w14:paraId="013955D3" w14:textId="41281D99" w:rsidR="00B5675F" w:rsidRPr="00870E8F" w:rsidRDefault="00B5675F">
            <w:pPr>
              <w:pStyle w:val="Sidehoved"/>
              <w:rPr>
                <w:color w:val="000000" w:themeColor="text1"/>
                <w:sz w:val="18"/>
                <w:szCs w:val="18"/>
              </w:rPr>
            </w:pPr>
            <w:proofErr w:type="spellStart"/>
            <w:r w:rsidRPr="00870E8F">
              <w:rPr>
                <w:color w:val="000000" w:themeColor="text1"/>
                <w:sz w:val="18"/>
                <w:szCs w:val="18"/>
              </w:rPr>
              <w:t>Hudeksfoliati</w:t>
            </w:r>
            <w:r w:rsidR="00870E8F" w:rsidRPr="00870E8F">
              <w:rPr>
                <w:color w:val="000000" w:themeColor="text1"/>
                <w:sz w:val="18"/>
                <w:szCs w:val="18"/>
              </w:rPr>
              <w:softHyphen/>
            </w:r>
            <w:r w:rsidRPr="00870E8F">
              <w:rPr>
                <w:color w:val="000000" w:themeColor="text1"/>
                <w:sz w:val="18"/>
                <w:szCs w:val="18"/>
              </w:rPr>
              <w:t>on</w:t>
            </w:r>
            <w:proofErr w:type="spellEnd"/>
            <w:r w:rsidRPr="00870E8F">
              <w:rPr>
                <w:color w:val="000000" w:themeColor="text1"/>
                <w:sz w:val="18"/>
                <w:szCs w:val="18"/>
              </w:rPr>
              <w:t>/</w:t>
            </w:r>
            <w:proofErr w:type="spellStart"/>
            <w:r w:rsidRPr="00870E8F">
              <w:rPr>
                <w:color w:val="000000" w:themeColor="text1"/>
                <w:sz w:val="18"/>
                <w:szCs w:val="18"/>
              </w:rPr>
              <w:t>eksfoliativ</w:t>
            </w:r>
            <w:proofErr w:type="spellEnd"/>
            <w:r w:rsidRPr="00870E8F">
              <w:rPr>
                <w:color w:val="000000" w:themeColor="text1"/>
                <w:sz w:val="18"/>
                <w:szCs w:val="18"/>
              </w:rPr>
              <w:t xml:space="preserve"> </w:t>
            </w:r>
            <w:proofErr w:type="spellStart"/>
            <w:r w:rsidRPr="00870E8F">
              <w:rPr>
                <w:color w:val="000000" w:themeColor="text1"/>
                <w:sz w:val="18"/>
                <w:szCs w:val="18"/>
              </w:rPr>
              <w:t>dermatitis</w:t>
            </w:r>
            <w:proofErr w:type="spellEnd"/>
          </w:p>
        </w:tc>
      </w:tr>
      <w:tr w:rsidR="00870E8F" w:rsidRPr="00870E8F" w14:paraId="61C7C2C5"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23E0A4CC" w14:textId="4EC55B0C" w:rsidR="00B5675F" w:rsidRPr="00870E8F" w:rsidRDefault="00B5675F" w:rsidP="00C01559">
            <w:pPr>
              <w:pStyle w:val="Sidehoved"/>
              <w:tabs>
                <w:tab w:val="left" w:pos="0"/>
              </w:tabs>
              <w:rPr>
                <w:b/>
                <w:color w:val="000000" w:themeColor="text1"/>
                <w:sz w:val="18"/>
                <w:szCs w:val="18"/>
              </w:rPr>
            </w:pPr>
            <w:r w:rsidRPr="00870E8F">
              <w:rPr>
                <w:b/>
                <w:color w:val="000000" w:themeColor="text1"/>
                <w:sz w:val="18"/>
                <w:szCs w:val="18"/>
              </w:rPr>
              <w:t>Knogler,</w:t>
            </w:r>
            <w:r w:rsidR="00C01559" w:rsidRPr="00870E8F">
              <w:rPr>
                <w:b/>
                <w:color w:val="000000" w:themeColor="text1"/>
                <w:sz w:val="18"/>
                <w:szCs w:val="18"/>
              </w:rPr>
              <w:t xml:space="preserve"> </w:t>
            </w:r>
            <w:r w:rsidRPr="00870E8F">
              <w:rPr>
                <w:b/>
                <w:color w:val="000000" w:themeColor="text1"/>
                <w:sz w:val="18"/>
                <w:szCs w:val="18"/>
              </w:rPr>
              <w:t>led, muskler og binde</w:t>
            </w:r>
            <w:r w:rsidR="00870E8F" w:rsidRPr="00870E8F">
              <w:rPr>
                <w:b/>
                <w:color w:val="000000" w:themeColor="text1"/>
                <w:sz w:val="18"/>
                <w:szCs w:val="18"/>
              </w:rPr>
              <w:softHyphen/>
            </w:r>
            <w:r w:rsidRPr="00870E8F">
              <w:rPr>
                <w:b/>
                <w:color w:val="000000" w:themeColor="text1"/>
                <w:sz w:val="18"/>
                <w:szCs w:val="18"/>
              </w:rPr>
              <w:t>væv</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C1EF0BC"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A065934" w14:textId="77777777" w:rsidR="00B5675F" w:rsidRPr="00870E8F" w:rsidRDefault="00B5675F">
            <w:pPr>
              <w:pStyle w:val="Sidehoved"/>
              <w:rPr>
                <w:color w:val="000000" w:themeColor="text1"/>
                <w:sz w:val="18"/>
                <w:szCs w:val="18"/>
              </w:rPr>
            </w:pP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7098F1EF" w14:textId="77777777" w:rsidR="00B5675F" w:rsidRPr="00870E8F" w:rsidRDefault="00B5675F">
            <w:pPr>
              <w:pStyle w:val="Sidehoved"/>
              <w:rPr>
                <w:color w:val="000000" w:themeColor="text1"/>
                <w:sz w:val="18"/>
                <w:szCs w:val="18"/>
              </w:rPr>
            </w:pPr>
            <w:r w:rsidRPr="00870E8F">
              <w:rPr>
                <w:color w:val="000000" w:themeColor="text1"/>
                <w:sz w:val="18"/>
                <w:szCs w:val="18"/>
              </w:rPr>
              <w:t xml:space="preserve">Osteoporose, </w:t>
            </w:r>
            <w:proofErr w:type="spellStart"/>
            <w:r w:rsidRPr="00870E8F">
              <w:rPr>
                <w:color w:val="000000" w:themeColor="text1"/>
                <w:sz w:val="18"/>
                <w:szCs w:val="18"/>
              </w:rPr>
              <w:t>artralgi</w:t>
            </w:r>
            <w:proofErr w:type="spellEnd"/>
            <w:r w:rsidRPr="00870E8F">
              <w:rPr>
                <w:color w:val="000000" w:themeColor="text1"/>
                <w:sz w:val="18"/>
                <w:szCs w:val="18"/>
              </w:rPr>
              <w:t>, myalgi</w:t>
            </w: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36865A0E" w14:textId="77777777" w:rsidR="00B5675F" w:rsidRPr="00870E8F" w:rsidRDefault="00B5675F">
            <w:pPr>
              <w:pStyle w:val="Sidehoved"/>
              <w:rPr>
                <w:color w:val="000000" w:themeColor="text1"/>
                <w:sz w:val="18"/>
                <w:szCs w:val="18"/>
              </w:rPr>
            </w:pPr>
            <w:r w:rsidRPr="00870E8F">
              <w:rPr>
                <w:color w:val="000000" w:themeColor="text1"/>
                <w:sz w:val="18"/>
                <w:szCs w:val="18"/>
              </w:rPr>
              <w:t>Stressfraktur</w:t>
            </w:r>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tcPr>
          <w:p w14:paraId="5B39AB38" w14:textId="77777777" w:rsidR="00B5675F" w:rsidRPr="00870E8F" w:rsidRDefault="00B5675F">
            <w:pPr>
              <w:pStyle w:val="Sidehoved"/>
              <w:rPr>
                <w:color w:val="000000" w:themeColor="text1"/>
                <w:sz w:val="18"/>
                <w:szCs w:val="18"/>
              </w:rPr>
            </w:pPr>
          </w:p>
        </w:tc>
        <w:tc>
          <w:tcPr>
            <w:tcW w:w="723" w:type="pct"/>
            <w:tcBorders>
              <w:top w:val="single" w:sz="6" w:space="0" w:color="000000"/>
              <w:left w:val="single" w:sz="4" w:space="0" w:color="auto"/>
              <w:bottom w:val="single" w:sz="6" w:space="0" w:color="000000"/>
              <w:right w:val="double" w:sz="4" w:space="0" w:color="auto"/>
            </w:tcBorders>
            <w:hideMark/>
          </w:tcPr>
          <w:p w14:paraId="4E6A5EE8" w14:textId="01DE0380" w:rsidR="00B5675F" w:rsidRPr="00870E8F" w:rsidRDefault="00B5675F">
            <w:pPr>
              <w:pStyle w:val="Sidehoved"/>
              <w:rPr>
                <w:color w:val="000000" w:themeColor="text1"/>
                <w:sz w:val="18"/>
                <w:szCs w:val="18"/>
              </w:rPr>
            </w:pPr>
            <w:proofErr w:type="spellStart"/>
            <w:r w:rsidRPr="00870E8F">
              <w:rPr>
                <w:color w:val="000000" w:themeColor="text1"/>
                <w:sz w:val="18"/>
                <w:szCs w:val="18"/>
              </w:rPr>
              <w:t>Osteonekrose</w:t>
            </w:r>
            <w:proofErr w:type="spellEnd"/>
            <w:r w:rsidRPr="00870E8F">
              <w:rPr>
                <w:color w:val="000000" w:themeColor="text1"/>
                <w:sz w:val="18"/>
                <w:szCs w:val="18"/>
              </w:rPr>
              <w:t xml:space="preserve"> i kæben (sekun</w:t>
            </w:r>
            <w:r w:rsidR="00870E8F" w:rsidRPr="00870E8F">
              <w:rPr>
                <w:color w:val="000000" w:themeColor="text1"/>
                <w:sz w:val="18"/>
                <w:szCs w:val="18"/>
              </w:rPr>
              <w:softHyphen/>
            </w:r>
            <w:r w:rsidRPr="00870E8F">
              <w:rPr>
                <w:color w:val="000000" w:themeColor="text1"/>
                <w:sz w:val="18"/>
                <w:szCs w:val="18"/>
              </w:rPr>
              <w:t xml:space="preserve">dært til </w:t>
            </w:r>
            <w:proofErr w:type="spellStart"/>
            <w:r w:rsidRPr="00870E8F">
              <w:rPr>
                <w:color w:val="000000" w:themeColor="text1"/>
                <w:sz w:val="18"/>
                <w:szCs w:val="18"/>
              </w:rPr>
              <w:t>lymfo</w:t>
            </w:r>
            <w:r w:rsidR="00870E8F" w:rsidRPr="00870E8F">
              <w:rPr>
                <w:color w:val="000000" w:themeColor="text1"/>
                <w:sz w:val="18"/>
                <w:szCs w:val="18"/>
              </w:rPr>
              <w:softHyphen/>
            </w:r>
            <w:r w:rsidRPr="00870E8F">
              <w:rPr>
                <w:color w:val="000000" w:themeColor="text1"/>
                <w:sz w:val="18"/>
                <w:szCs w:val="18"/>
              </w:rPr>
              <w:t>proliferative</w:t>
            </w:r>
            <w:proofErr w:type="spellEnd"/>
            <w:r w:rsidRPr="00870E8F">
              <w:rPr>
                <w:color w:val="000000" w:themeColor="text1"/>
                <w:sz w:val="18"/>
                <w:szCs w:val="18"/>
              </w:rPr>
              <w:t xml:space="preserve"> forstyrrelser)</w:t>
            </w:r>
          </w:p>
        </w:tc>
      </w:tr>
      <w:tr w:rsidR="00870E8F" w:rsidRPr="00870E8F" w14:paraId="33661BB6"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4787ED43" w14:textId="3BE96D94"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Nyrer og urin</w:t>
            </w:r>
            <w:r w:rsidR="00870E8F" w:rsidRPr="00870E8F">
              <w:rPr>
                <w:b/>
                <w:color w:val="000000" w:themeColor="text1"/>
                <w:sz w:val="18"/>
                <w:szCs w:val="18"/>
              </w:rPr>
              <w:softHyphen/>
            </w:r>
            <w:r w:rsidRPr="00870E8F">
              <w:rPr>
                <w:b/>
                <w:color w:val="000000" w:themeColor="text1"/>
                <w:sz w:val="18"/>
                <w:szCs w:val="18"/>
              </w:rPr>
              <w:t>veje*</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4A5FA2F"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E7BA48F" w14:textId="77777777" w:rsidR="00B5675F" w:rsidRPr="00870E8F" w:rsidRDefault="00B5675F">
            <w:pPr>
              <w:pStyle w:val="Sidehoved"/>
              <w:rPr>
                <w:color w:val="000000" w:themeColor="text1"/>
                <w:sz w:val="18"/>
                <w:szCs w:val="18"/>
              </w:rPr>
            </w:pP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5864C05D" w14:textId="0C67EC3E" w:rsidR="00B5675F" w:rsidRPr="00870E8F" w:rsidRDefault="00B5675F">
            <w:pPr>
              <w:pStyle w:val="Sidehoved"/>
              <w:rPr>
                <w:color w:val="000000" w:themeColor="text1"/>
                <w:sz w:val="18"/>
                <w:szCs w:val="18"/>
              </w:rPr>
            </w:pPr>
            <w:proofErr w:type="spellStart"/>
            <w:r w:rsidRPr="00870E8F">
              <w:rPr>
                <w:color w:val="000000" w:themeColor="text1"/>
                <w:sz w:val="18"/>
                <w:szCs w:val="18"/>
              </w:rPr>
              <w:t>Nefropati</w:t>
            </w:r>
            <w:proofErr w:type="spellEnd"/>
            <w:r w:rsidRPr="00870E8F">
              <w:rPr>
                <w:color w:val="000000" w:themeColor="text1"/>
                <w:sz w:val="18"/>
                <w:szCs w:val="18"/>
              </w:rPr>
              <w:t>, in</w:t>
            </w:r>
            <w:r w:rsidR="00870E8F" w:rsidRPr="00870E8F">
              <w:rPr>
                <w:color w:val="000000" w:themeColor="text1"/>
                <w:sz w:val="18"/>
                <w:szCs w:val="18"/>
              </w:rPr>
              <w:softHyphen/>
            </w:r>
            <w:r w:rsidRPr="00870E8F">
              <w:rPr>
                <w:color w:val="000000" w:themeColor="text1"/>
                <w:sz w:val="18"/>
                <w:szCs w:val="18"/>
              </w:rPr>
              <w:t>flammation og sårdannelse i urinblæren (mu</w:t>
            </w:r>
            <w:r w:rsidR="00870E8F" w:rsidRPr="00870E8F">
              <w:rPr>
                <w:color w:val="000000" w:themeColor="text1"/>
                <w:sz w:val="18"/>
                <w:szCs w:val="18"/>
              </w:rPr>
              <w:softHyphen/>
            </w:r>
            <w:r w:rsidRPr="00870E8F">
              <w:rPr>
                <w:color w:val="000000" w:themeColor="text1"/>
                <w:sz w:val="18"/>
                <w:szCs w:val="18"/>
              </w:rPr>
              <w:t>ligvis med hæ</w:t>
            </w:r>
            <w:r w:rsidR="00870E8F" w:rsidRPr="00870E8F">
              <w:rPr>
                <w:color w:val="000000" w:themeColor="text1"/>
                <w:sz w:val="18"/>
                <w:szCs w:val="18"/>
              </w:rPr>
              <w:softHyphen/>
            </w:r>
            <w:r w:rsidRPr="00870E8F">
              <w:rPr>
                <w:color w:val="000000" w:themeColor="text1"/>
                <w:sz w:val="18"/>
                <w:szCs w:val="18"/>
              </w:rPr>
              <w:t xml:space="preserve">maturi), </w:t>
            </w:r>
            <w:proofErr w:type="spellStart"/>
            <w:r w:rsidRPr="00870E8F">
              <w:rPr>
                <w:color w:val="000000" w:themeColor="text1"/>
                <w:sz w:val="18"/>
                <w:szCs w:val="18"/>
              </w:rPr>
              <w:t>dysuri</w:t>
            </w:r>
            <w:proofErr w:type="spellEnd"/>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2C349564" w14:textId="77777777" w:rsidR="00B5675F" w:rsidRPr="00870E8F" w:rsidRDefault="00B5675F">
            <w:pPr>
              <w:pStyle w:val="Sidehoved"/>
              <w:rPr>
                <w:color w:val="000000" w:themeColor="text1"/>
                <w:sz w:val="18"/>
                <w:szCs w:val="18"/>
              </w:rPr>
            </w:pPr>
            <w:r w:rsidRPr="00870E8F">
              <w:rPr>
                <w:color w:val="000000" w:themeColor="text1"/>
                <w:sz w:val="18"/>
                <w:szCs w:val="18"/>
              </w:rPr>
              <w:t xml:space="preserve">Nyresvigt, </w:t>
            </w:r>
            <w:proofErr w:type="spellStart"/>
            <w:r w:rsidRPr="00870E8F">
              <w:rPr>
                <w:color w:val="000000" w:themeColor="text1"/>
                <w:sz w:val="18"/>
                <w:szCs w:val="18"/>
              </w:rPr>
              <w:t>oliguri</w:t>
            </w:r>
            <w:proofErr w:type="spellEnd"/>
            <w:r w:rsidRPr="00870E8F">
              <w:rPr>
                <w:color w:val="000000" w:themeColor="text1"/>
                <w:sz w:val="18"/>
                <w:szCs w:val="18"/>
              </w:rPr>
              <w:t xml:space="preserve">, </w:t>
            </w:r>
            <w:proofErr w:type="spellStart"/>
            <w:r w:rsidRPr="00870E8F">
              <w:rPr>
                <w:color w:val="000000" w:themeColor="text1"/>
                <w:sz w:val="18"/>
                <w:szCs w:val="18"/>
              </w:rPr>
              <w:t>anuri</w:t>
            </w:r>
            <w:proofErr w:type="spellEnd"/>
            <w:r w:rsidRPr="00870E8F">
              <w:rPr>
                <w:color w:val="000000" w:themeColor="text1"/>
                <w:sz w:val="18"/>
                <w:szCs w:val="18"/>
              </w:rPr>
              <w:t xml:space="preserve">, </w:t>
            </w:r>
            <w:proofErr w:type="spellStart"/>
            <w:r w:rsidRPr="00870E8F">
              <w:rPr>
                <w:color w:val="000000" w:themeColor="text1"/>
                <w:sz w:val="18"/>
                <w:szCs w:val="18"/>
              </w:rPr>
              <w:t>azotæmi</w:t>
            </w:r>
            <w:proofErr w:type="spellEnd"/>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hideMark/>
          </w:tcPr>
          <w:p w14:paraId="7853DC7D" w14:textId="77777777" w:rsidR="00B5675F" w:rsidRPr="00870E8F" w:rsidRDefault="00B5675F">
            <w:pPr>
              <w:pStyle w:val="Sidehoved"/>
              <w:rPr>
                <w:color w:val="000000" w:themeColor="text1"/>
                <w:sz w:val="18"/>
                <w:szCs w:val="18"/>
              </w:rPr>
            </w:pPr>
            <w:proofErr w:type="spellStart"/>
            <w:r w:rsidRPr="00870E8F">
              <w:rPr>
                <w:color w:val="000000" w:themeColor="text1"/>
                <w:sz w:val="18"/>
                <w:szCs w:val="18"/>
              </w:rPr>
              <w:t>Proteinuri</w:t>
            </w:r>
            <w:proofErr w:type="spellEnd"/>
          </w:p>
        </w:tc>
        <w:tc>
          <w:tcPr>
            <w:tcW w:w="723" w:type="pct"/>
            <w:tcBorders>
              <w:top w:val="single" w:sz="6" w:space="0" w:color="000000"/>
              <w:left w:val="single" w:sz="4" w:space="0" w:color="auto"/>
              <w:bottom w:val="single" w:sz="6" w:space="0" w:color="000000"/>
              <w:right w:val="double" w:sz="4" w:space="0" w:color="auto"/>
            </w:tcBorders>
          </w:tcPr>
          <w:p w14:paraId="443EAC55" w14:textId="77777777" w:rsidR="00B5675F" w:rsidRPr="00870E8F" w:rsidRDefault="00B5675F">
            <w:pPr>
              <w:pStyle w:val="Sidehoved"/>
              <w:rPr>
                <w:color w:val="000000" w:themeColor="text1"/>
                <w:sz w:val="18"/>
                <w:szCs w:val="18"/>
              </w:rPr>
            </w:pPr>
          </w:p>
        </w:tc>
      </w:tr>
      <w:tr w:rsidR="00870E8F" w:rsidRPr="00870E8F" w14:paraId="5EF1C4CA"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6F41DEFE" w14:textId="09B5CD86"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Det reproduktive system og mam</w:t>
            </w:r>
            <w:r w:rsidR="00870E8F" w:rsidRPr="00870E8F">
              <w:rPr>
                <w:b/>
                <w:color w:val="000000" w:themeColor="text1"/>
                <w:sz w:val="18"/>
                <w:szCs w:val="18"/>
              </w:rPr>
              <w:softHyphen/>
            </w:r>
            <w:r w:rsidRPr="00870E8F">
              <w:rPr>
                <w:b/>
                <w:color w:val="000000" w:themeColor="text1"/>
                <w:sz w:val="18"/>
                <w:szCs w:val="18"/>
              </w:rPr>
              <w:t>mae</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D14BA39"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F38F19A" w14:textId="77777777" w:rsidR="00B5675F" w:rsidRPr="00870E8F" w:rsidRDefault="00B5675F">
            <w:pPr>
              <w:pStyle w:val="Sidehoved"/>
              <w:rPr>
                <w:color w:val="000000" w:themeColor="text1"/>
                <w:sz w:val="18"/>
                <w:szCs w:val="18"/>
              </w:rPr>
            </w:pP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36997311" w14:textId="1248A0A5" w:rsidR="00B5675F" w:rsidRPr="00870E8F" w:rsidRDefault="00B5675F">
            <w:pPr>
              <w:pStyle w:val="Sidehoved"/>
              <w:rPr>
                <w:color w:val="000000" w:themeColor="text1"/>
                <w:sz w:val="18"/>
                <w:szCs w:val="18"/>
              </w:rPr>
            </w:pPr>
            <w:r w:rsidRPr="00870E8F">
              <w:rPr>
                <w:color w:val="000000" w:themeColor="text1"/>
                <w:sz w:val="18"/>
                <w:szCs w:val="18"/>
              </w:rPr>
              <w:t>Vaginal inflam</w:t>
            </w:r>
            <w:r w:rsidR="00870E8F" w:rsidRPr="00870E8F">
              <w:rPr>
                <w:color w:val="000000" w:themeColor="text1"/>
                <w:sz w:val="18"/>
                <w:szCs w:val="18"/>
              </w:rPr>
              <w:softHyphen/>
            </w:r>
            <w:r w:rsidRPr="00870E8F">
              <w:rPr>
                <w:color w:val="000000" w:themeColor="text1"/>
                <w:sz w:val="18"/>
                <w:szCs w:val="18"/>
              </w:rPr>
              <w:t>mation og sår</w:t>
            </w:r>
            <w:r w:rsidR="00870E8F" w:rsidRPr="00870E8F">
              <w:rPr>
                <w:color w:val="000000" w:themeColor="text1"/>
                <w:sz w:val="18"/>
                <w:szCs w:val="18"/>
              </w:rPr>
              <w:softHyphen/>
            </w:r>
            <w:r w:rsidRPr="00870E8F">
              <w:rPr>
                <w:color w:val="000000" w:themeColor="text1"/>
                <w:sz w:val="18"/>
                <w:szCs w:val="18"/>
              </w:rPr>
              <w:t>dannelse</w:t>
            </w: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hideMark/>
          </w:tcPr>
          <w:p w14:paraId="37E03003" w14:textId="0D07754D" w:rsidR="00B5675F" w:rsidRPr="00870E8F" w:rsidRDefault="00B5675F">
            <w:pPr>
              <w:pStyle w:val="Sidehoved"/>
              <w:rPr>
                <w:color w:val="000000" w:themeColor="text1"/>
                <w:sz w:val="18"/>
                <w:szCs w:val="18"/>
              </w:rPr>
            </w:pPr>
            <w:proofErr w:type="spellStart"/>
            <w:r w:rsidRPr="00870E8F">
              <w:rPr>
                <w:color w:val="000000" w:themeColor="text1"/>
                <w:sz w:val="18"/>
                <w:szCs w:val="18"/>
              </w:rPr>
              <w:t>Oligospermi</w:t>
            </w:r>
            <w:proofErr w:type="spellEnd"/>
            <w:r w:rsidRPr="00870E8F">
              <w:rPr>
                <w:color w:val="000000" w:themeColor="text1"/>
                <w:sz w:val="18"/>
                <w:szCs w:val="18"/>
              </w:rPr>
              <w:t>, menstru</w:t>
            </w:r>
            <w:r w:rsidR="00870E8F" w:rsidRPr="00870E8F">
              <w:rPr>
                <w:color w:val="000000" w:themeColor="text1"/>
                <w:sz w:val="18"/>
                <w:szCs w:val="18"/>
              </w:rPr>
              <w:softHyphen/>
            </w:r>
            <w:r w:rsidRPr="00870E8F">
              <w:rPr>
                <w:color w:val="000000" w:themeColor="text1"/>
                <w:sz w:val="18"/>
                <w:szCs w:val="18"/>
              </w:rPr>
              <w:t>ationsfor</w:t>
            </w:r>
            <w:r w:rsidR="00870E8F" w:rsidRPr="00870E8F">
              <w:rPr>
                <w:color w:val="000000" w:themeColor="text1"/>
                <w:sz w:val="18"/>
                <w:szCs w:val="18"/>
              </w:rPr>
              <w:softHyphen/>
            </w:r>
            <w:r w:rsidRPr="00870E8F">
              <w:rPr>
                <w:color w:val="000000" w:themeColor="text1"/>
                <w:sz w:val="18"/>
                <w:szCs w:val="18"/>
              </w:rPr>
              <w:t>styrrelser</w:t>
            </w:r>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hideMark/>
          </w:tcPr>
          <w:p w14:paraId="2E9EBEF4" w14:textId="052176DC" w:rsidR="00B5675F" w:rsidRPr="00870E8F" w:rsidRDefault="00B5675F">
            <w:pPr>
              <w:pStyle w:val="TableParagraph"/>
              <w:ind w:right="40"/>
              <w:rPr>
                <w:color w:val="000000" w:themeColor="text1"/>
                <w:sz w:val="18"/>
                <w:szCs w:val="18"/>
              </w:rPr>
            </w:pPr>
            <w:proofErr w:type="spellStart"/>
            <w:r w:rsidRPr="00870E8F">
              <w:rPr>
                <w:color w:val="000000" w:themeColor="text1"/>
                <w:sz w:val="18"/>
                <w:szCs w:val="18"/>
              </w:rPr>
              <w:t>Infertilitet</w:t>
            </w:r>
            <w:proofErr w:type="spellEnd"/>
            <w:r w:rsidRPr="00870E8F">
              <w:rPr>
                <w:color w:val="000000" w:themeColor="text1"/>
                <w:sz w:val="18"/>
                <w:szCs w:val="18"/>
              </w:rPr>
              <w:t>, tab af libido, im</w:t>
            </w:r>
            <w:r w:rsidR="00870E8F" w:rsidRPr="00870E8F">
              <w:rPr>
                <w:color w:val="000000" w:themeColor="text1"/>
                <w:sz w:val="18"/>
                <w:szCs w:val="18"/>
              </w:rPr>
              <w:softHyphen/>
            </w:r>
            <w:r w:rsidRPr="00870E8F">
              <w:rPr>
                <w:color w:val="000000" w:themeColor="text1"/>
                <w:sz w:val="18"/>
                <w:szCs w:val="18"/>
              </w:rPr>
              <w:t>potens, vagi</w:t>
            </w:r>
            <w:r w:rsidR="00870E8F" w:rsidRPr="00870E8F">
              <w:rPr>
                <w:color w:val="000000" w:themeColor="text1"/>
                <w:sz w:val="18"/>
                <w:szCs w:val="18"/>
              </w:rPr>
              <w:softHyphen/>
            </w:r>
            <w:r w:rsidRPr="00870E8F">
              <w:rPr>
                <w:color w:val="000000" w:themeColor="text1"/>
                <w:sz w:val="18"/>
                <w:szCs w:val="18"/>
              </w:rPr>
              <w:t xml:space="preserve">nalt udflåd, </w:t>
            </w:r>
            <w:proofErr w:type="spellStart"/>
            <w:r w:rsidRPr="00870E8F">
              <w:rPr>
                <w:color w:val="000000" w:themeColor="text1"/>
                <w:sz w:val="18"/>
                <w:szCs w:val="18"/>
              </w:rPr>
              <w:t>gynækomasti</w:t>
            </w:r>
            <w:proofErr w:type="spellEnd"/>
            <w:r w:rsidRPr="00870E8F">
              <w:rPr>
                <w:color w:val="000000" w:themeColor="text1"/>
                <w:sz w:val="18"/>
                <w:szCs w:val="18"/>
              </w:rPr>
              <w:t xml:space="preserve"> </w:t>
            </w:r>
          </w:p>
        </w:tc>
        <w:tc>
          <w:tcPr>
            <w:tcW w:w="723" w:type="pct"/>
            <w:tcBorders>
              <w:top w:val="single" w:sz="6" w:space="0" w:color="000000"/>
              <w:left w:val="single" w:sz="4" w:space="0" w:color="auto"/>
              <w:bottom w:val="single" w:sz="6" w:space="0" w:color="000000"/>
              <w:right w:val="double" w:sz="4" w:space="0" w:color="auto"/>
            </w:tcBorders>
          </w:tcPr>
          <w:p w14:paraId="1B1064A5" w14:textId="77777777" w:rsidR="00B5675F" w:rsidRPr="00870E8F" w:rsidRDefault="00B5675F">
            <w:pPr>
              <w:pStyle w:val="Sidehoved"/>
              <w:rPr>
                <w:color w:val="000000" w:themeColor="text1"/>
                <w:sz w:val="18"/>
                <w:szCs w:val="18"/>
              </w:rPr>
            </w:pPr>
          </w:p>
        </w:tc>
      </w:tr>
      <w:tr w:rsidR="00870E8F" w:rsidRPr="00870E8F" w14:paraId="19E20553" w14:textId="77777777" w:rsidTr="00870E8F">
        <w:trPr>
          <w:trHeight w:val="851"/>
        </w:trPr>
        <w:tc>
          <w:tcPr>
            <w:tcW w:w="811" w:type="pct"/>
            <w:tcBorders>
              <w:top w:val="single" w:sz="6" w:space="0" w:color="000000"/>
              <w:left w:val="double" w:sz="4" w:space="0" w:color="auto"/>
              <w:bottom w:val="single" w:sz="6" w:space="0" w:color="000000"/>
              <w:right w:val="single" w:sz="6" w:space="0" w:color="000000"/>
            </w:tcBorders>
            <w:tcMar>
              <w:top w:w="28" w:type="dxa"/>
              <w:left w:w="28" w:type="dxa"/>
              <w:bottom w:w="28" w:type="dxa"/>
              <w:right w:w="28" w:type="dxa"/>
            </w:tcMar>
            <w:hideMark/>
          </w:tcPr>
          <w:p w14:paraId="7C1751B8" w14:textId="76527D1D" w:rsidR="00B5675F" w:rsidRPr="00870E8F" w:rsidRDefault="00B5675F">
            <w:pPr>
              <w:pStyle w:val="Sidehoved"/>
              <w:tabs>
                <w:tab w:val="left" w:pos="0"/>
              </w:tabs>
              <w:rPr>
                <w:b/>
                <w:color w:val="000000" w:themeColor="text1"/>
                <w:sz w:val="18"/>
                <w:szCs w:val="18"/>
              </w:rPr>
            </w:pPr>
            <w:r w:rsidRPr="00870E8F">
              <w:rPr>
                <w:b/>
                <w:color w:val="000000" w:themeColor="text1"/>
                <w:sz w:val="18"/>
                <w:szCs w:val="18"/>
              </w:rPr>
              <w:t>Almene symptomer og reaktioner på administrationsste</w:t>
            </w:r>
            <w:r w:rsidR="00870E8F" w:rsidRPr="00870E8F">
              <w:rPr>
                <w:b/>
                <w:color w:val="000000" w:themeColor="text1"/>
                <w:sz w:val="18"/>
                <w:szCs w:val="18"/>
              </w:rPr>
              <w:softHyphen/>
            </w:r>
            <w:r w:rsidRPr="00870E8F">
              <w:rPr>
                <w:b/>
                <w:color w:val="000000" w:themeColor="text1"/>
                <w:sz w:val="18"/>
                <w:szCs w:val="18"/>
              </w:rPr>
              <w:t>det</w:t>
            </w:r>
          </w:p>
        </w:tc>
        <w:tc>
          <w:tcPr>
            <w:tcW w:w="416"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5A705F8" w14:textId="77777777" w:rsidR="00B5675F" w:rsidRPr="00870E8F" w:rsidRDefault="00B5675F">
            <w:pPr>
              <w:pStyle w:val="Sidehoved"/>
              <w:rPr>
                <w:color w:val="000000" w:themeColor="text1"/>
                <w:sz w:val="18"/>
                <w:szCs w:val="18"/>
              </w:rPr>
            </w:pPr>
          </w:p>
        </w:tc>
        <w:tc>
          <w:tcPr>
            <w:tcW w:w="653"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39CB3F8" w14:textId="77777777" w:rsidR="00B5675F" w:rsidRPr="00870E8F" w:rsidRDefault="00B5675F">
            <w:pPr>
              <w:pStyle w:val="Sidehoved"/>
              <w:rPr>
                <w:color w:val="000000" w:themeColor="text1"/>
                <w:sz w:val="18"/>
                <w:szCs w:val="18"/>
              </w:rPr>
            </w:pPr>
          </w:p>
        </w:tc>
        <w:tc>
          <w:tcPr>
            <w:tcW w:w="832"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DB0DF65" w14:textId="77777777" w:rsidR="00B5675F" w:rsidRPr="00870E8F" w:rsidRDefault="00B5675F">
            <w:pPr>
              <w:pStyle w:val="Sidehoved"/>
              <w:rPr>
                <w:color w:val="000000" w:themeColor="text1"/>
                <w:sz w:val="18"/>
                <w:szCs w:val="18"/>
              </w:rPr>
            </w:pPr>
          </w:p>
        </w:tc>
        <w:tc>
          <w:tcPr>
            <w:tcW w:w="841" w:type="pc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5772FA3" w14:textId="77777777" w:rsidR="00B5675F" w:rsidRPr="00870E8F" w:rsidRDefault="00B5675F">
            <w:pPr>
              <w:pStyle w:val="Sidehoved"/>
              <w:rPr>
                <w:color w:val="000000" w:themeColor="text1"/>
                <w:sz w:val="18"/>
                <w:szCs w:val="18"/>
              </w:rPr>
            </w:pPr>
          </w:p>
        </w:tc>
        <w:tc>
          <w:tcPr>
            <w:tcW w:w="724" w:type="pct"/>
            <w:tcBorders>
              <w:top w:val="single" w:sz="6" w:space="0" w:color="000000"/>
              <w:left w:val="single" w:sz="6" w:space="0" w:color="000000"/>
              <w:bottom w:val="single" w:sz="6" w:space="0" w:color="000000"/>
              <w:right w:val="single" w:sz="4" w:space="0" w:color="auto"/>
            </w:tcBorders>
            <w:tcMar>
              <w:top w:w="28" w:type="dxa"/>
              <w:left w:w="28" w:type="dxa"/>
              <w:bottom w:w="28" w:type="dxa"/>
              <w:right w:w="28" w:type="dxa"/>
            </w:tcMar>
            <w:hideMark/>
          </w:tcPr>
          <w:p w14:paraId="486B4320" w14:textId="77777777" w:rsidR="00B5675F" w:rsidRPr="00870E8F" w:rsidRDefault="00B5675F">
            <w:pPr>
              <w:pStyle w:val="Sidehoved"/>
              <w:rPr>
                <w:color w:val="000000" w:themeColor="text1"/>
                <w:sz w:val="18"/>
                <w:szCs w:val="18"/>
              </w:rPr>
            </w:pPr>
            <w:r w:rsidRPr="00870E8F">
              <w:rPr>
                <w:color w:val="000000" w:themeColor="text1"/>
                <w:sz w:val="18"/>
                <w:szCs w:val="18"/>
              </w:rPr>
              <w:t>Feber</w:t>
            </w:r>
          </w:p>
        </w:tc>
        <w:tc>
          <w:tcPr>
            <w:tcW w:w="723" w:type="pct"/>
            <w:tcBorders>
              <w:top w:val="single" w:sz="6" w:space="0" w:color="000000"/>
              <w:left w:val="single" w:sz="4" w:space="0" w:color="auto"/>
              <w:bottom w:val="single" w:sz="6" w:space="0" w:color="000000"/>
              <w:right w:val="double" w:sz="4" w:space="0" w:color="auto"/>
            </w:tcBorders>
            <w:hideMark/>
          </w:tcPr>
          <w:p w14:paraId="55FB0455" w14:textId="77777777" w:rsidR="00B5675F" w:rsidRPr="00870E8F" w:rsidRDefault="00B5675F">
            <w:pPr>
              <w:pStyle w:val="Sidehoved"/>
              <w:rPr>
                <w:color w:val="000000" w:themeColor="text1"/>
                <w:sz w:val="18"/>
                <w:szCs w:val="18"/>
              </w:rPr>
            </w:pPr>
            <w:r w:rsidRPr="00870E8F">
              <w:rPr>
                <w:color w:val="000000" w:themeColor="text1"/>
                <w:sz w:val="18"/>
                <w:szCs w:val="18"/>
              </w:rPr>
              <w:t>Ødem</w:t>
            </w:r>
          </w:p>
        </w:tc>
      </w:tr>
    </w:tbl>
    <w:p w14:paraId="0EF30FD5" w14:textId="050EB403" w:rsidR="00B5675F" w:rsidRPr="00C01559" w:rsidRDefault="00B5675F" w:rsidP="00C01559">
      <w:pPr>
        <w:ind w:left="284" w:hanging="284"/>
        <w:rPr>
          <w:sz w:val="24"/>
          <w:szCs w:val="24"/>
        </w:rPr>
      </w:pPr>
      <w:r w:rsidRPr="00C01559">
        <w:rPr>
          <w:sz w:val="24"/>
          <w:szCs w:val="24"/>
        </w:rPr>
        <w:t xml:space="preserve">1 </w:t>
      </w:r>
      <w:r w:rsidR="00C01559" w:rsidRPr="00C01559">
        <w:rPr>
          <w:sz w:val="24"/>
          <w:szCs w:val="24"/>
        </w:rPr>
        <w:tab/>
      </w:r>
      <w:r w:rsidRPr="00C01559">
        <w:rPr>
          <w:sz w:val="24"/>
          <w:szCs w:val="24"/>
        </w:rPr>
        <w:t>kan være reversibelt - se 4.4.</w:t>
      </w:r>
    </w:p>
    <w:p w14:paraId="1DB30738" w14:textId="201C9402" w:rsidR="00B5675F" w:rsidRPr="00C01559" w:rsidRDefault="00B5675F" w:rsidP="00C01559">
      <w:pPr>
        <w:ind w:left="284" w:hanging="284"/>
        <w:rPr>
          <w:sz w:val="24"/>
          <w:szCs w:val="24"/>
        </w:rPr>
      </w:pPr>
      <w:r w:rsidRPr="00C01559">
        <w:rPr>
          <w:sz w:val="24"/>
          <w:szCs w:val="24"/>
        </w:rPr>
        <w:t xml:space="preserve">2 </w:t>
      </w:r>
      <w:r w:rsidR="00C01559" w:rsidRPr="00C01559">
        <w:rPr>
          <w:sz w:val="24"/>
          <w:szCs w:val="24"/>
        </w:rPr>
        <w:tab/>
      </w:r>
      <w:proofErr w:type="spellStart"/>
      <w:r w:rsidRPr="00C01559">
        <w:rPr>
          <w:sz w:val="24"/>
          <w:szCs w:val="24"/>
        </w:rPr>
        <w:t>Lymfom</w:t>
      </w:r>
      <w:proofErr w:type="spellEnd"/>
      <w:r w:rsidRPr="00C01559">
        <w:rPr>
          <w:sz w:val="24"/>
          <w:szCs w:val="24"/>
        </w:rPr>
        <w:t>/</w:t>
      </w:r>
      <w:proofErr w:type="spellStart"/>
      <w:r w:rsidRPr="00C01559">
        <w:rPr>
          <w:sz w:val="24"/>
          <w:szCs w:val="24"/>
        </w:rPr>
        <w:t>lymfoproliferative</w:t>
      </w:r>
      <w:proofErr w:type="spellEnd"/>
      <w:r w:rsidRPr="00C01559">
        <w:rPr>
          <w:sz w:val="24"/>
          <w:szCs w:val="24"/>
        </w:rPr>
        <w:t xml:space="preserve"> forstyrrelser: Der er indberettet enkeltstående tilfælde af </w:t>
      </w:r>
      <w:proofErr w:type="spellStart"/>
      <w:r w:rsidRPr="00C01559">
        <w:rPr>
          <w:sz w:val="24"/>
          <w:szCs w:val="24"/>
        </w:rPr>
        <w:t>lymfom</w:t>
      </w:r>
      <w:proofErr w:type="spellEnd"/>
      <w:r w:rsidRPr="00C01559">
        <w:rPr>
          <w:sz w:val="24"/>
          <w:szCs w:val="24"/>
        </w:rPr>
        <w:t xml:space="preserve"> og andre </w:t>
      </w:r>
      <w:proofErr w:type="spellStart"/>
      <w:r w:rsidRPr="00C01559">
        <w:rPr>
          <w:sz w:val="24"/>
          <w:szCs w:val="24"/>
        </w:rPr>
        <w:t>lymfoproliferative</w:t>
      </w:r>
      <w:proofErr w:type="spellEnd"/>
      <w:r w:rsidRPr="00C01559">
        <w:rPr>
          <w:sz w:val="24"/>
          <w:szCs w:val="24"/>
        </w:rPr>
        <w:t xml:space="preserve"> forstyrrelser, som forsvandt i en del af tilfældene, når behandlingen med </w:t>
      </w:r>
      <w:proofErr w:type="spellStart"/>
      <w:r w:rsidRPr="00C01559">
        <w:rPr>
          <w:sz w:val="24"/>
          <w:szCs w:val="24"/>
        </w:rPr>
        <w:t>methotrexat</w:t>
      </w:r>
      <w:proofErr w:type="spellEnd"/>
      <w:r w:rsidRPr="00C01559">
        <w:rPr>
          <w:sz w:val="24"/>
          <w:szCs w:val="24"/>
        </w:rPr>
        <w:t xml:space="preserve"> blev seponeret.</w:t>
      </w:r>
    </w:p>
    <w:p w14:paraId="7828A297" w14:textId="0366DE0E" w:rsidR="00B5675F" w:rsidRPr="00C01559" w:rsidRDefault="00B5675F" w:rsidP="00C01559">
      <w:pPr>
        <w:ind w:left="284" w:hanging="284"/>
        <w:rPr>
          <w:sz w:val="24"/>
          <w:szCs w:val="24"/>
        </w:rPr>
      </w:pPr>
      <w:r w:rsidRPr="00C01559">
        <w:rPr>
          <w:sz w:val="24"/>
          <w:szCs w:val="24"/>
        </w:rPr>
        <w:t xml:space="preserve">3 </w:t>
      </w:r>
      <w:r w:rsidR="00C01559" w:rsidRPr="00C01559">
        <w:rPr>
          <w:sz w:val="24"/>
          <w:szCs w:val="24"/>
        </w:rPr>
        <w:tab/>
      </w:r>
      <w:r w:rsidRPr="00C01559">
        <w:rPr>
          <w:sz w:val="24"/>
          <w:szCs w:val="24"/>
        </w:rPr>
        <w:t xml:space="preserve">er indberettet ved brug af </w:t>
      </w:r>
      <w:proofErr w:type="spellStart"/>
      <w:r w:rsidRPr="00C01559">
        <w:rPr>
          <w:sz w:val="24"/>
          <w:szCs w:val="24"/>
        </w:rPr>
        <w:t>methotrexat</w:t>
      </w:r>
      <w:proofErr w:type="spellEnd"/>
      <w:r w:rsidRPr="00C01559">
        <w:rPr>
          <w:sz w:val="24"/>
          <w:szCs w:val="24"/>
        </w:rPr>
        <w:t xml:space="preserve"> ved reumatologiske og tilknyttede indikationer.</w:t>
      </w:r>
    </w:p>
    <w:p w14:paraId="49F28459" w14:textId="1C6183F3" w:rsidR="00B5675F" w:rsidRPr="00C01559" w:rsidRDefault="00B5675F" w:rsidP="00C01559">
      <w:pPr>
        <w:ind w:left="284" w:hanging="284"/>
        <w:rPr>
          <w:sz w:val="24"/>
          <w:szCs w:val="24"/>
        </w:rPr>
      </w:pPr>
      <w:r w:rsidRPr="00C01559">
        <w:rPr>
          <w:sz w:val="24"/>
          <w:szCs w:val="24"/>
        </w:rPr>
        <w:t xml:space="preserve">4 </w:t>
      </w:r>
      <w:r w:rsidR="00C01559" w:rsidRPr="00C01559">
        <w:rPr>
          <w:sz w:val="24"/>
          <w:szCs w:val="24"/>
        </w:rPr>
        <w:tab/>
      </w:r>
      <w:r w:rsidRPr="00C01559">
        <w:rPr>
          <w:sz w:val="24"/>
          <w:szCs w:val="24"/>
        </w:rPr>
        <w:t>se bemærkningerne om leverbiopsi i pkt. 4.4.</w:t>
      </w:r>
    </w:p>
    <w:p w14:paraId="77CC3028" w14:textId="77777777" w:rsidR="00B5675F" w:rsidRPr="00C01559" w:rsidRDefault="00B5675F" w:rsidP="00C73CAD">
      <w:pPr>
        <w:ind w:left="851"/>
        <w:rPr>
          <w:sz w:val="24"/>
          <w:szCs w:val="24"/>
        </w:rPr>
      </w:pPr>
    </w:p>
    <w:p w14:paraId="6F6068F6" w14:textId="77777777" w:rsidR="00B5675F" w:rsidRPr="00C01559" w:rsidRDefault="00B5675F" w:rsidP="00C73CAD">
      <w:pPr>
        <w:ind w:left="851"/>
        <w:rPr>
          <w:i/>
          <w:iCs/>
          <w:sz w:val="24"/>
          <w:szCs w:val="24"/>
        </w:rPr>
      </w:pPr>
      <w:r w:rsidRPr="00C01559">
        <w:rPr>
          <w:i/>
          <w:iCs/>
          <w:sz w:val="24"/>
          <w:szCs w:val="24"/>
          <w:u w:val="single"/>
        </w:rPr>
        <w:t>Pædiatrisk population</w:t>
      </w:r>
    </w:p>
    <w:p w14:paraId="60A79E13" w14:textId="77777777" w:rsidR="00B5675F" w:rsidRPr="00C01559" w:rsidRDefault="00B5675F" w:rsidP="00C73CAD">
      <w:pPr>
        <w:ind w:left="851"/>
        <w:rPr>
          <w:sz w:val="24"/>
          <w:szCs w:val="24"/>
        </w:rPr>
      </w:pPr>
      <w:r w:rsidRPr="00C01559">
        <w:rPr>
          <w:i/>
          <w:iCs/>
          <w:sz w:val="24"/>
          <w:szCs w:val="24"/>
        </w:rPr>
        <w:t>Hyppigheden, typen og sværhedsgraden af bivirkninger forventes at være den samme hos børn og unge som hos voksne.</w:t>
      </w:r>
    </w:p>
    <w:p w14:paraId="196830B9" w14:textId="77777777" w:rsidR="00B5675F" w:rsidRPr="00C01559" w:rsidRDefault="00B5675F" w:rsidP="00C73CAD">
      <w:pPr>
        <w:ind w:left="851"/>
        <w:rPr>
          <w:sz w:val="24"/>
          <w:szCs w:val="24"/>
          <w:u w:val="single"/>
        </w:rPr>
      </w:pPr>
    </w:p>
    <w:p w14:paraId="4D21D94F" w14:textId="77777777" w:rsidR="00B5675F" w:rsidRPr="00C01559" w:rsidRDefault="00B5675F" w:rsidP="00C73CAD">
      <w:pPr>
        <w:ind w:left="851"/>
        <w:rPr>
          <w:sz w:val="24"/>
          <w:szCs w:val="24"/>
          <w:u w:val="single"/>
        </w:rPr>
      </w:pPr>
      <w:r w:rsidRPr="00C01559">
        <w:rPr>
          <w:noProof/>
          <w:sz w:val="24"/>
          <w:szCs w:val="24"/>
          <w:u w:val="single"/>
        </w:rPr>
        <w:t>Indberetning af formodede bivirkninger</w:t>
      </w:r>
    </w:p>
    <w:p w14:paraId="269A9D11" w14:textId="640FB1FB" w:rsidR="00B5675F" w:rsidRPr="00C01559" w:rsidRDefault="00B5675F" w:rsidP="00C73CAD">
      <w:pPr>
        <w:ind w:left="851"/>
        <w:rPr>
          <w:noProof/>
          <w:sz w:val="24"/>
          <w:szCs w:val="24"/>
        </w:rPr>
      </w:pPr>
      <w:r w:rsidRPr="00C01559">
        <w:rPr>
          <w:noProof/>
          <w:sz w:val="24"/>
          <w:szCs w:val="24"/>
        </w:rPr>
        <w:t>Når lægemidlet er godkendt, er indberetning af formodede bivirkninger vigtig.</w:t>
      </w:r>
      <w:r w:rsidRPr="00C01559">
        <w:rPr>
          <w:sz w:val="24"/>
          <w:szCs w:val="24"/>
        </w:rPr>
        <w:t xml:space="preserve"> </w:t>
      </w:r>
      <w:r w:rsidRPr="00C01559">
        <w:rPr>
          <w:noProof/>
          <w:sz w:val="24"/>
          <w:szCs w:val="24"/>
        </w:rPr>
        <w:t>Det muliggør løbende overvågning af benefit/risk-forholdet for lægemidlet.</w:t>
      </w:r>
      <w:r w:rsidRPr="00C01559">
        <w:rPr>
          <w:sz w:val="24"/>
          <w:szCs w:val="24"/>
        </w:rPr>
        <w:t xml:space="preserve"> </w:t>
      </w:r>
      <w:r w:rsidRPr="00C01559">
        <w:rPr>
          <w:noProof/>
          <w:sz w:val="24"/>
          <w:szCs w:val="24"/>
        </w:rPr>
        <w:t>Sundhedspersoner anmodes om at indberette alle formodede bivirkninger via:</w:t>
      </w:r>
    </w:p>
    <w:p w14:paraId="492BC692" w14:textId="77777777" w:rsidR="00C01559" w:rsidRPr="00C01559" w:rsidRDefault="00C01559" w:rsidP="00C73CAD">
      <w:pPr>
        <w:ind w:left="851"/>
        <w:rPr>
          <w:noProof/>
          <w:sz w:val="24"/>
          <w:szCs w:val="24"/>
        </w:rPr>
      </w:pPr>
    </w:p>
    <w:p w14:paraId="14886833" w14:textId="77777777" w:rsidR="00B5675F" w:rsidRPr="00C01559" w:rsidRDefault="00B5675F" w:rsidP="00C73CAD">
      <w:pPr>
        <w:ind w:left="851"/>
        <w:rPr>
          <w:rFonts w:eastAsia="Calibri"/>
          <w:color w:val="000000"/>
          <w:sz w:val="24"/>
          <w:szCs w:val="24"/>
          <w:lang w:eastAsia="zh-CN"/>
        </w:rPr>
      </w:pPr>
      <w:r w:rsidRPr="00C01559">
        <w:rPr>
          <w:rFonts w:eastAsia="SimSun"/>
          <w:sz w:val="24"/>
          <w:szCs w:val="24"/>
          <w:lang w:eastAsia="en-GB"/>
        </w:rPr>
        <w:t>Lægemiddelstyrelsen</w:t>
      </w:r>
    </w:p>
    <w:p w14:paraId="501229E5" w14:textId="77777777" w:rsidR="00B5675F" w:rsidRPr="00C01559" w:rsidRDefault="00B5675F" w:rsidP="00C73CAD">
      <w:pPr>
        <w:ind w:left="851"/>
        <w:rPr>
          <w:rFonts w:eastAsia="Calibri"/>
          <w:noProof/>
          <w:sz w:val="24"/>
          <w:szCs w:val="24"/>
          <w:lang w:eastAsia="zh-CN"/>
        </w:rPr>
      </w:pPr>
      <w:r w:rsidRPr="00C01559">
        <w:rPr>
          <w:rFonts w:eastAsia="Calibri"/>
          <w:sz w:val="24"/>
          <w:szCs w:val="24"/>
          <w:lang w:eastAsia="zh-CN"/>
        </w:rPr>
        <w:t>Axel Heides Gade 1</w:t>
      </w:r>
    </w:p>
    <w:p w14:paraId="63DE06F6" w14:textId="77777777" w:rsidR="00B5675F" w:rsidRPr="00C01559" w:rsidRDefault="00B5675F" w:rsidP="00C73CAD">
      <w:pPr>
        <w:ind w:left="851"/>
        <w:rPr>
          <w:rFonts w:eastAsia="Calibri"/>
          <w:noProof/>
          <w:sz w:val="24"/>
          <w:szCs w:val="24"/>
          <w:lang w:eastAsia="zh-CN"/>
        </w:rPr>
      </w:pPr>
      <w:r w:rsidRPr="00C01559">
        <w:rPr>
          <w:rFonts w:eastAsia="Calibri"/>
          <w:noProof/>
          <w:sz w:val="24"/>
          <w:szCs w:val="24"/>
          <w:lang w:eastAsia="zh-CN"/>
        </w:rPr>
        <w:t xml:space="preserve">DK-2300 </w:t>
      </w:r>
      <w:r w:rsidRPr="00C01559">
        <w:rPr>
          <w:rFonts w:eastAsia="Calibri"/>
          <w:sz w:val="24"/>
          <w:szCs w:val="24"/>
          <w:lang w:eastAsia="zh-CN"/>
        </w:rPr>
        <w:t>København S</w:t>
      </w:r>
    </w:p>
    <w:p w14:paraId="57BE043A" w14:textId="77777777" w:rsidR="00B5675F" w:rsidRPr="00C01559" w:rsidRDefault="00B5675F" w:rsidP="00C73CAD">
      <w:pPr>
        <w:ind w:left="851"/>
        <w:rPr>
          <w:sz w:val="24"/>
          <w:szCs w:val="24"/>
        </w:rPr>
      </w:pPr>
      <w:r w:rsidRPr="00C01559">
        <w:rPr>
          <w:rFonts w:eastAsia="Calibri"/>
          <w:sz w:val="24"/>
          <w:szCs w:val="24"/>
          <w:lang w:eastAsia="zh-CN"/>
        </w:rPr>
        <w:t>Websted</w:t>
      </w:r>
      <w:r w:rsidRPr="00C01559">
        <w:rPr>
          <w:rFonts w:eastAsia="Calibri"/>
          <w:noProof/>
          <w:sz w:val="24"/>
          <w:szCs w:val="24"/>
          <w:lang w:eastAsia="zh-CN"/>
        </w:rPr>
        <w:t xml:space="preserve">: </w:t>
      </w:r>
      <w:hyperlink r:id="rId8" w:history="1">
        <w:r w:rsidRPr="00C01559">
          <w:rPr>
            <w:rStyle w:val="Hyperlink"/>
            <w:rFonts w:eastAsia="Calibri"/>
            <w:noProof/>
            <w:color w:val="0000FF"/>
            <w:sz w:val="24"/>
            <w:szCs w:val="24"/>
            <w:lang w:eastAsia="zh-CN"/>
          </w:rPr>
          <w:t>www.meldenbivirkning.dk</w:t>
        </w:r>
      </w:hyperlink>
    </w:p>
    <w:p w14:paraId="009BEC24" w14:textId="77777777" w:rsidR="009260DE" w:rsidRPr="00C01559" w:rsidRDefault="009260DE" w:rsidP="00A10294">
      <w:pPr>
        <w:tabs>
          <w:tab w:val="left" w:pos="851"/>
        </w:tabs>
        <w:ind w:left="851"/>
        <w:rPr>
          <w:sz w:val="24"/>
          <w:szCs w:val="24"/>
        </w:rPr>
      </w:pPr>
    </w:p>
    <w:p w14:paraId="78BEDE97" w14:textId="77777777" w:rsidR="009260DE" w:rsidRPr="00C01559" w:rsidRDefault="009260DE" w:rsidP="009260DE">
      <w:pPr>
        <w:tabs>
          <w:tab w:val="left" w:pos="851"/>
        </w:tabs>
        <w:ind w:left="851" w:hanging="851"/>
        <w:rPr>
          <w:b/>
          <w:sz w:val="24"/>
          <w:szCs w:val="24"/>
        </w:rPr>
      </w:pPr>
      <w:r w:rsidRPr="00C01559">
        <w:rPr>
          <w:b/>
          <w:sz w:val="24"/>
          <w:szCs w:val="24"/>
        </w:rPr>
        <w:t>4.9</w:t>
      </w:r>
      <w:r w:rsidRPr="00C01559">
        <w:rPr>
          <w:b/>
          <w:sz w:val="24"/>
          <w:szCs w:val="24"/>
        </w:rPr>
        <w:tab/>
        <w:t>Overdosering</w:t>
      </w:r>
    </w:p>
    <w:p w14:paraId="1CBDF3DF" w14:textId="77777777" w:rsidR="00C01559" w:rsidRPr="00C01559" w:rsidRDefault="00C01559" w:rsidP="00C73CAD">
      <w:pPr>
        <w:ind w:left="851"/>
        <w:rPr>
          <w:sz w:val="24"/>
          <w:szCs w:val="24"/>
        </w:rPr>
      </w:pPr>
    </w:p>
    <w:p w14:paraId="5A62E9BB" w14:textId="2F6DA775" w:rsidR="00B5675F" w:rsidRPr="00C01559" w:rsidRDefault="00B5675F" w:rsidP="00C73CAD">
      <w:pPr>
        <w:ind w:left="851"/>
        <w:rPr>
          <w:sz w:val="24"/>
          <w:szCs w:val="24"/>
          <w:u w:val="single"/>
        </w:rPr>
      </w:pPr>
      <w:r w:rsidRPr="00C01559">
        <w:rPr>
          <w:sz w:val="24"/>
          <w:szCs w:val="24"/>
          <w:u w:val="single"/>
        </w:rPr>
        <w:t>Symptomer på overdosering</w:t>
      </w:r>
    </w:p>
    <w:p w14:paraId="1FAD806E" w14:textId="134B64B8" w:rsidR="00B5675F" w:rsidRPr="00C01559" w:rsidRDefault="00B5675F" w:rsidP="00C73CAD">
      <w:pPr>
        <w:ind w:left="851"/>
        <w:rPr>
          <w:sz w:val="24"/>
          <w:szCs w:val="24"/>
        </w:rPr>
      </w:pPr>
      <w:r w:rsidRPr="00C01559">
        <w:rPr>
          <w:sz w:val="24"/>
          <w:szCs w:val="24"/>
        </w:rPr>
        <w:t xml:space="preserve">Symptomerne efter oral overdosering påvirker primært det </w:t>
      </w:r>
      <w:proofErr w:type="spellStart"/>
      <w:r w:rsidRPr="00C01559">
        <w:rPr>
          <w:sz w:val="24"/>
          <w:szCs w:val="24"/>
        </w:rPr>
        <w:t>hæmatopoietiske</w:t>
      </w:r>
      <w:proofErr w:type="spellEnd"/>
      <w:r w:rsidRPr="00C01559">
        <w:rPr>
          <w:sz w:val="24"/>
          <w:szCs w:val="24"/>
        </w:rPr>
        <w:t xml:space="preserve"> og det </w:t>
      </w:r>
      <w:proofErr w:type="spellStart"/>
      <w:r w:rsidRPr="00C01559">
        <w:rPr>
          <w:sz w:val="24"/>
          <w:szCs w:val="24"/>
        </w:rPr>
        <w:t>gastrointestinale</w:t>
      </w:r>
      <w:proofErr w:type="spellEnd"/>
      <w:r w:rsidRPr="00C01559">
        <w:rPr>
          <w:sz w:val="24"/>
          <w:szCs w:val="24"/>
        </w:rPr>
        <w:t xml:space="preserve"> system.</w:t>
      </w:r>
    </w:p>
    <w:p w14:paraId="5E24B91A" w14:textId="77777777" w:rsidR="00B5675F" w:rsidRPr="00C01559" w:rsidRDefault="00B5675F" w:rsidP="00C73CAD">
      <w:pPr>
        <w:ind w:left="851"/>
        <w:rPr>
          <w:sz w:val="24"/>
          <w:szCs w:val="24"/>
        </w:rPr>
      </w:pPr>
      <w:r w:rsidRPr="00C01559">
        <w:rPr>
          <w:sz w:val="24"/>
          <w:szCs w:val="24"/>
        </w:rPr>
        <w:t xml:space="preserve">Symptomerne omfatter </w:t>
      </w:r>
      <w:proofErr w:type="spellStart"/>
      <w:r w:rsidRPr="00C01559">
        <w:rPr>
          <w:sz w:val="24"/>
          <w:szCs w:val="24"/>
        </w:rPr>
        <w:t>leukocytopeni</w:t>
      </w:r>
      <w:proofErr w:type="spellEnd"/>
      <w:r w:rsidRPr="00C01559">
        <w:rPr>
          <w:sz w:val="24"/>
          <w:szCs w:val="24"/>
        </w:rPr>
        <w:t xml:space="preserve">, </w:t>
      </w:r>
      <w:proofErr w:type="spellStart"/>
      <w:r w:rsidRPr="00C01559">
        <w:rPr>
          <w:sz w:val="24"/>
          <w:szCs w:val="24"/>
        </w:rPr>
        <w:t>trombocytopeni</w:t>
      </w:r>
      <w:proofErr w:type="spellEnd"/>
      <w:r w:rsidRPr="00C01559">
        <w:rPr>
          <w:sz w:val="24"/>
          <w:szCs w:val="24"/>
        </w:rPr>
        <w:t xml:space="preserve">, anæmi, </w:t>
      </w:r>
      <w:proofErr w:type="spellStart"/>
      <w:r w:rsidRPr="00C01559">
        <w:rPr>
          <w:sz w:val="24"/>
          <w:szCs w:val="24"/>
        </w:rPr>
        <w:t>pancytopeni</w:t>
      </w:r>
      <w:proofErr w:type="spellEnd"/>
      <w:r w:rsidRPr="00C01559">
        <w:rPr>
          <w:sz w:val="24"/>
          <w:szCs w:val="24"/>
        </w:rPr>
        <w:t xml:space="preserve">, </w:t>
      </w:r>
      <w:proofErr w:type="spellStart"/>
      <w:r w:rsidRPr="00C01559">
        <w:rPr>
          <w:sz w:val="24"/>
          <w:szCs w:val="24"/>
        </w:rPr>
        <w:t>neutropeni</w:t>
      </w:r>
      <w:proofErr w:type="spellEnd"/>
      <w:r w:rsidRPr="00C01559">
        <w:rPr>
          <w:sz w:val="24"/>
          <w:szCs w:val="24"/>
        </w:rPr>
        <w:t xml:space="preserve">, </w:t>
      </w:r>
      <w:proofErr w:type="spellStart"/>
      <w:r w:rsidRPr="00C01559">
        <w:rPr>
          <w:sz w:val="24"/>
          <w:szCs w:val="24"/>
        </w:rPr>
        <w:t>myelosuppression</w:t>
      </w:r>
      <w:proofErr w:type="spellEnd"/>
      <w:r w:rsidRPr="00C01559">
        <w:rPr>
          <w:sz w:val="24"/>
          <w:szCs w:val="24"/>
        </w:rPr>
        <w:t xml:space="preserve">, </w:t>
      </w:r>
      <w:proofErr w:type="spellStart"/>
      <w:r w:rsidRPr="00C01559">
        <w:rPr>
          <w:sz w:val="24"/>
          <w:szCs w:val="24"/>
        </w:rPr>
        <w:t>mucositis</w:t>
      </w:r>
      <w:proofErr w:type="spellEnd"/>
      <w:r w:rsidRPr="00C01559">
        <w:rPr>
          <w:sz w:val="24"/>
          <w:szCs w:val="24"/>
        </w:rPr>
        <w:t xml:space="preserve">, </w:t>
      </w:r>
      <w:proofErr w:type="spellStart"/>
      <w:r w:rsidRPr="00C01559">
        <w:rPr>
          <w:sz w:val="24"/>
          <w:szCs w:val="24"/>
        </w:rPr>
        <w:t>stomatitis</w:t>
      </w:r>
      <w:proofErr w:type="spellEnd"/>
      <w:r w:rsidRPr="00C01559">
        <w:rPr>
          <w:sz w:val="24"/>
          <w:szCs w:val="24"/>
        </w:rPr>
        <w:t xml:space="preserve">, oral sårdannelse, kvalme, opkastning, </w:t>
      </w:r>
      <w:proofErr w:type="spellStart"/>
      <w:r w:rsidRPr="00C01559">
        <w:rPr>
          <w:sz w:val="24"/>
          <w:szCs w:val="24"/>
        </w:rPr>
        <w:t>gastrointestinal</w:t>
      </w:r>
      <w:proofErr w:type="spellEnd"/>
      <w:r w:rsidRPr="00C01559">
        <w:rPr>
          <w:sz w:val="24"/>
          <w:szCs w:val="24"/>
        </w:rPr>
        <w:t xml:space="preserve"> sårdannelse og blødning.</w:t>
      </w:r>
    </w:p>
    <w:p w14:paraId="41DDFCAD" w14:textId="77777777" w:rsidR="00B5675F" w:rsidRPr="00C01559" w:rsidRDefault="00B5675F" w:rsidP="00C73CAD">
      <w:pPr>
        <w:ind w:left="851"/>
        <w:rPr>
          <w:sz w:val="24"/>
          <w:szCs w:val="24"/>
        </w:rPr>
      </w:pPr>
      <w:r w:rsidRPr="00C01559">
        <w:rPr>
          <w:sz w:val="24"/>
          <w:szCs w:val="24"/>
        </w:rPr>
        <w:lastRenderedPageBreak/>
        <w:t xml:space="preserve">Der er rapporteret om tilfælde af overdosering, nogle gange med dødelig udgang, som følge af fejlagtig daglig indtagelse i stedet for ugentlig indtagelse af oral </w:t>
      </w:r>
      <w:proofErr w:type="spellStart"/>
      <w:r w:rsidRPr="00C01559">
        <w:rPr>
          <w:sz w:val="24"/>
          <w:szCs w:val="24"/>
        </w:rPr>
        <w:t>methotrexat</w:t>
      </w:r>
      <w:proofErr w:type="spellEnd"/>
      <w:r w:rsidRPr="00C01559">
        <w:rPr>
          <w:sz w:val="24"/>
          <w:szCs w:val="24"/>
        </w:rPr>
        <w:t xml:space="preserve">. Almindeligt indberettede symptomer i disse tilfælde var hæmatologiske og </w:t>
      </w:r>
      <w:proofErr w:type="spellStart"/>
      <w:r w:rsidRPr="00C01559">
        <w:rPr>
          <w:sz w:val="24"/>
          <w:szCs w:val="24"/>
        </w:rPr>
        <w:t>gastrointestinale</w:t>
      </w:r>
      <w:proofErr w:type="spellEnd"/>
      <w:r w:rsidRPr="00C01559">
        <w:rPr>
          <w:sz w:val="24"/>
          <w:szCs w:val="24"/>
        </w:rPr>
        <w:t xml:space="preserve"> reaktioner.</w:t>
      </w:r>
    </w:p>
    <w:p w14:paraId="7C3357B4" w14:textId="77777777" w:rsidR="00B5675F" w:rsidRPr="00C01559" w:rsidRDefault="00B5675F" w:rsidP="00C73CAD">
      <w:pPr>
        <w:ind w:left="851"/>
        <w:rPr>
          <w:sz w:val="24"/>
          <w:szCs w:val="24"/>
        </w:rPr>
      </w:pPr>
    </w:p>
    <w:p w14:paraId="58B892F1" w14:textId="77777777" w:rsidR="00B5675F" w:rsidRPr="00C01559" w:rsidRDefault="00B5675F" w:rsidP="00C73CAD">
      <w:pPr>
        <w:ind w:left="851"/>
        <w:rPr>
          <w:noProof/>
          <w:sz w:val="24"/>
          <w:szCs w:val="24"/>
        </w:rPr>
      </w:pPr>
      <w:r w:rsidRPr="00C01559">
        <w:rPr>
          <w:sz w:val="24"/>
          <w:szCs w:val="24"/>
        </w:rPr>
        <w:t xml:space="preserve">Der er rapporteret om dødsfald som følge af sepsis, septisk </w:t>
      </w:r>
      <w:proofErr w:type="spellStart"/>
      <w:r w:rsidRPr="00C01559">
        <w:rPr>
          <w:sz w:val="24"/>
          <w:szCs w:val="24"/>
        </w:rPr>
        <w:t>shock</w:t>
      </w:r>
      <w:proofErr w:type="spellEnd"/>
      <w:r w:rsidRPr="00C01559">
        <w:rPr>
          <w:sz w:val="24"/>
          <w:szCs w:val="24"/>
        </w:rPr>
        <w:t xml:space="preserve">, nyresvigt og </w:t>
      </w:r>
      <w:proofErr w:type="spellStart"/>
      <w:r w:rsidRPr="00C01559">
        <w:rPr>
          <w:sz w:val="24"/>
          <w:szCs w:val="24"/>
        </w:rPr>
        <w:t>aplastisk</w:t>
      </w:r>
      <w:proofErr w:type="spellEnd"/>
      <w:r w:rsidRPr="00C01559">
        <w:rPr>
          <w:sz w:val="24"/>
          <w:szCs w:val="24"/>
        </w:rPr>
        <w:t xml:space="preserve"> anæmi.</w:t>
      </w:r>
    </w:p>
    <w:p w14:paraId="3BEA1FD0" w14:textId="77777777" w:rsidR="00B5675F" w:rsidRPr="00C01559" w:rsidRDefault="00B5675F" w:rsidP="00C73CAD">
      <w:pPr>
        <w:ind w:left="851"/>
        <w:rPr>
          <w:sz w:val="24"/>
          <w:szCs w:val="24"/>
        </w:rPr>
      </w:pPr>
    </w:p>
    <w:p w14:paraId="1FD3367F" w14:textId="77777777" w:rsidR="00B5675F" w:rsidRPr="00C01559" w:rsidRDefault="00B5675F" w:rsidP="00C73CAD">
      <w:pPr>
        <w:ind w:left="851"/>
        <w:rPr>
          <w:sz w:val="24"/>
          <w:szCs w:val="24"/>
          <w:u w:val="single"/>
        </w:rPr>
      </w:pPr>
      <w:r w:rsidRPr="00C01559">
        <w:rPr>
          <w:sz w:val="24"/>
          <w:szCs w:val="24"/>
          <w:u w:val="single"/>
        </w:rPr>
        <w:t xml:space="preserve">Terapeutisk behandling af overdosering </w:t>
      </w:r>
    </w:p>
    <w:p w14:paraId="634894E0" w14:textId="6E0A5C24" w:rsidR="00B5675F" w:rsidRPr="00C01559" w:rsidRDefault="00B5675F" w:rsidP="00C73CAD">
      <w:pPr>
        <w:ind w:left="851"/>
        <w:rPr>
          <w:sz w:val="24"/>
          <w:szCs w:val="24"/>
        </w:rPr>
      </w:pPr>
      <w:proofErr w:type="spellStart"/>
      <w:r w:rsidRPr="00C01559">
        <w:rPr>
          <w:sz w:val="24"/>
          <w:szCs w:val="24"/>
        </w:rPr>
        <w:t>Calciumfolinat</w:t>
      </w:r>
      <w:proofErr w:type="spellEnd"/>
      <w:r w:rsidRPr="00C01559">
        <w:rPr>
          <w:sz w:val="24"/>
          <w:szCs w:val="24"/>
        </w:rPr>
        <w:t xml:space="preserve"> er den specifikke </w:t>
      </w:r>
      <w:proofErr w:type="spellStart"/>
      <w:r w:rsidRPr="00C01559">
        <w:rPr>
          <w:sz w:val="24"/>
          <w:szCs w:val="24"/>
        </w:rPr>
        <w:t>antidot</w:t>
      </w:r>
      <w:proofErr w:type="spellEnd"/>
      <w:r w:rsidRPr="00C01559">
        <w:rPr>
          <w:sz w:val="24"/>
          <w:szCs w:val="24"/>
        </w:rPr>
        <w:t xml:space="preserve"> til neutralisering af </w:t>
      </w:r>
      <w:proofErr w:type="spellStart"/>
      <w:r w:rsidRPr="00C01559">
        <w:rPr>
          <w:sz w:val="24"/>
          <w:szCs w:val="24"/>
        </w:rPr>
        <w:t>methotrexats</w:t>
      </w:r>
      <w:proofErr w:type="spellEnd"/>
      <w:r w:rsidRPr="00C01559">
        <w:rPr>
          <w:sz w:val="24"/>
          <w:szCs w:val="24"/>
        </w:rPr>
        <w:t xml:space="preserve"> toksiske bivirkninger. I</w:t>
      </w:r>
      <w:r w:rsidR="00C01559" w:rsidRPr="00C01559">
        <w:rPr>
          <w:sz w:val="24"/>
          <w:szCs w:val="24"/>
        </w:rPr>
        <w:t xml:space="preserve"> </w:t>
      </w:r>
      <w:r w:rsidRPr="00C01559">
        <w:rPr>
          <w:sz w:val="24"/>
          <w:szCs w:val="24"/>
        </w:rPr>
        <w:t xml:space="preserve">tilfælde af utilsigtet overdosering skal der indgives en intravenøs eller intramuskulær dosis </w:t>
      </w:r>
      <w:proofErr w:type="spellStart"/>
      <w:r w:rsidRPr="00C01559">
        <w:rPr>
          <w:sz w:val="24"/>
          <w:szCs w:val="24"/>
        </w:rPr>
        <w:t>calciumfolinat</w:t>
      </w:r>
      <w:proofErr w:type="spellEnd"/>
      <w:r w:rsidRPr="00C01559">
        <w:rPr>
          <w:sz w:val="24"/>
          <w:szCs w:val="24"/>
        </w:rPr>
        <w:t xml:space="preserve">, der svarer til eller er højere end den pågældende overdosis af </w:t>
      </w:r>
      <w:proofErr w:type="spellStart"/>
      <w:r w:rsidRPr="00C01559">
        <w:rPr>
          <w:sz w:val="24"/>
          <w:szCs w:val="24"/>
        </w:rPr>
        <w:t>methotrexat</w:t>
      </w:r>
      <w:proofErr w:type="spellEnd"/>
      <w:r w:rsidRPr="00C01559">
        <w:rPr>
          <w:sz w:val="24"/>
          <w:szCs w:val="24"/>
        </w:rPr>
        <w:t xml:space="preserve">, inden for 1 time. Denne dosering fortsættes, indtil serumniveauet af </w:t>
      </w:r>
      <w:proofErr w:type="spellStart"/>
      <w:r w:rsidRPr="00C01559">
        <w:rPr>
          <w:sz w:val="24"/>
          <w:szCs w:val="24"/>
        </w:rPr>
        <w:t>methotrexat</w:t>
      </w:r>
      <w:proofErr w:type="spellEnd"/>
      <w:r w:rsidRPr="00C01559">
        <w:rPr>
          <w:sz w:val="24"/>
          <w:szCs w:val="24"/>
        </w:rPr>
        <w:t xml:space="preserve"> er 10</w:t>
      </w:r>
      <w:r w:rsidRPr="00C01559">
        <w:rPr>
          <w:sz w:val="24"/>
          <w:szCs w:val="24"/>
          <w:vertAlign w:val="superscript"/>
        </w:rPr>
        <w:t>-7</w:t>
      </w:r>
      <w:r w:rsidRPr="00C01559">
        <w:rPr>
          <w:sz w:val="24"/>
          <w:szCs w:val="24"/>
        </w:rPr>
        <w:t xml:space="preserve"> mol/l.</w:t>
      </w:r>
    </w:p>
    <w:p w14:paraId="72843D26" w14:textId="77777777" w:rsidR="00B5675F" w:rsidRPr="00C01559" w:rsidRDefault="00B5675F" w:rsidP="00C73CAD">
      <w:pPr>
        <w:ind w:left="851"/>
        <w:rPr>
          <w:sz w:val="24"/>
          <w:szCs w:val="24"/>
        </w:rPr>
      </w:pPr>
    </w:p>
    <w:p w14:paraId="562ACA99" w14:textId="77777777" w:rsidR="00B5675F" w:rsidRPr="00C01559" w:rsidRDefault="00B5675F" w:rsidP="00C73CAD">
      <w:pPr>
        <w:ind w:left="851"/>
        <w:rPr>
          <w:sz w:val="24"/>
          <w:szCs w:val="24"/>
        </w:rPr>
      </w:pPr>
      <w:r w:rsidRPr="00C01559">
        <w:rPr>
          <w:sz w:val="24"/>
          <w:szCs w:val="24"/>
        </w:rPr>
        <w:t xml:space="preserve">I tilfælde af massiv overdosering kan hydrering og </w:t>
      </w:r>
      <w:proofErr w:type="spellStart"/>
      <w:r w:rsidRPr="00C01559">
        <w:rPr>
          <w:sz w:val="24"/>
          <w:szCs w:val="24"/>
        </w:rPr>
        <w:t>alkalinisering</w:t>
      </w:r>
      <w:proofErr w:type="spellEnd"/>
      <w:r w:rsidRPr="00C01559">
        <w:rPr>
          <w:sz w:val="24"/>
          <w:szCs w:val="24"/>
        </w:rPr>
        <w:t xml:space="preserve"> af urinen være nødvendig for at forhindre udfældning af </w:t>
      </w:r>
      <w:proofErr w:type="spellStart"/>
      <w:r w:rsidRPr="00C01559">
        <w:rPr>
          <w:sz w:val="24"/>
          <w:szCs w:val="24"/>
        </w:rPr>
        <w:t>methotrexat</w:t>
      </w:r>
      <w:proofErr w:type="spellEnd"/>
      <w:r w:rsidRPr="00C01559">
        <w:rPr>
          <w:sz w:val="24"/>
          <w:szCs w:val="24"/>
        </w:rPr>
        <w:t xml:space="preserve"> og/eller dets metabolitter i </w:t>
      </w:r>
      <w:proofErr w:type="spellStart"/>
      <w:r w:rsidRPr="00C01559">
        <w:rPr>
          <w:sz w:val="24"/>
          <w:szCs w:val="24"/>
        </w:rPr>
        <w:t>nyretubuli</w:t>
      </w:r>
      <w:proofErr w:type="spellEnd"/>
      <w:r w:rsidRPr="00C01559">
        <w:rPr>
          <w:sz w:val="24"/>
          <w:szCs w:val="24"/>
        </w:rPr>
        <w:t xml:space="preserve">. Der er ingen dokumentation for, at hverken hæmodialyse eller </w:t>
      </w:r>
      <w:proofErr w:type="spellStart"/>
      <w:r w:rsidRPr="00C01559">
        <w:rPr>
          <w:sz w:val="24"/>
          <w:szCs w:val="24"/>
        </w:rPr>
        <w:t>peritonealdialyse</w:t>
      </w:r>
      <w:proofErr w:type="spellEnd"/>
      <w:r w:rsidRPr="00C01559">
        <w:rPr>
          <w:sz w:val="24"/>
          <w:szCs w:val="24"/>
        </w:rPr>
        <w:t xml:space="preserve"> forbedrer eliminationen af </w:t>
      </w:r>
      <w:proofErr w:type="spellStart"/>
      <w:r w:rsidRPr="00C01559">
        <w:rPr>
          <w:sz w:val="24"/>
          <w:szCs w:val="24"/>
        </w:rPr>
        <w:t>methotrexat</w:t>
      </w:r>
      <w:proofErr w:type="spellEnd"/>
      <w:r w:rsidRPr="00C01559">
        <w:rPr>
          <w:sz w:val="24"/>
          <w:szCs w:val="24"/>
        </w:rPr>
        <w:t xml:space="preserve">. Der er rapporter om opnåelse af effektiv </w:t>
      </w:r>
      <w:proofErr w:type="spellStart"/>
      <w:r w:rsidRPr="00C01559">
        <w:rPr>
          <w:sz w:val="24"/>
          <w:szCs w:val="24"/>
        </w:rPr>
        <w:t>clearance</w:t>
      </w:r>
      <w:proofErr w:type="spellEnd"/>
      <w:r w:rsidRPr="00C01559">
        <w:rPr>
          <w:sz w:val="24"/>
          <w:szCs w:val="24"/>
        </w:rPr>
        <w:t xml:space="preserve"> af </w:t>
      </w:r>
      <w:proofErr w:type="spellStart"/>
      <w:r w:rsidRPr="00C01559">
        <w:rPr>
          <w:sz w:val="24"/>
          <w:szCs w:val="24"/>
        </w:rPr>
        <w:t>methotrexat</w:t>
      </w:r>
      <w:proofErr w:type="spellEnd"/>
      <w:r w:rsidRPr="00C01559">
        <w:rPr>
          <w:sz w:val="24"/>
          <w:szCs w:val="24"/>
        </w:rPr>
        <w:t xml:space="preserve"> med akut intermitterende hæmodialyse ved brug af et high-flux-dialyseapparat.</w:t>
      </w:r>
    </w:p>
    <w:p w14:paraId="1B63BF42" w14:textId="77777777" w:rsidR="009260DE" w:rsidRPr="00C01559" w:rsidRDefault="009260DE" w:rsidP="009260DE">
      <w:pPr>
        <w:tabs>
          <w:tab w:val="left" w:pos="851"/>
        </w:tabs>
        <w:ind w:left="851"/>
        <w:rPr>
          <w:sz w:val="24"/>
          <w:szCs w:val="24"/>
        </w:rPr>
      </w:pPr>
    </w:p>
    <w:p w14:paraId="5CACF9A0" w14:textId="77777777" w:rsidR="009260DE" w:rsidRPr="00C01559" w:rsidRDefault="009260DE" w:rsidP="009260DE">
      <w:pPr>
        <w:tabs>
          <w:tab w:val="left" w:pos="851"/>
        </w:tabs>
        <w:ind w:left="851" w:hanging="851"/>
        <w:rPr>
          <w:b/>
          <w:sz w:val="24"/>
          <w:szCs w:val="24"/>
        </w:rPr>
      </w:pPr>
      <w:r w:rsidRPr="00C01559">
        <w:rPr>
          <w:b/>
          <w:sz w:val="24"/>
          <w:szCs w:val="24"/>
        </w:rPr>
        <w:t>4.10</w:t>
      </w:r>
      <w:r w:rsidRPr="00C01559">
        <w:rPr>
          <w:b/>
          <w:sz w:val="24"/>
          <w:szCs w:val="24"/>
        </w:rPr>
        <w:tab/>
        <w:t>Udlevering</w:t>
      </w:r>
    </w:p>
    <w:p w14:paraId="72F1673B" w14:textId="1F94D065" w:rsidR="009260DE" w:rsidRPr="00C01559" w:rsidRDefault="00AD22C5" w:rsidP="009260DE">
      <w:pPr>
        <w:tabs>
          <w:tab w:val="left" w:pos="851"/>
        </w:tabs>
        <w:ind w:left="851"/>
        <w:rPr>
          <w:sz w:val="24"/>
          <w:szCs w:val="24"/>
        </w:rPr>
      </w:pPr>
      <w:r>
        <w:rPr>
          <w:sz w:val="24"/>
          <w:szCs w:val="24"/>
        </w:rPr>
        <w:t>A</w:t>
      </w:r>
    </w:p>
    <w:p w14:paraId="32124928" w14:textId="77777777" w:rsidR="009260DE" w:rsidRPr="00C01559" w:rsidRDefault="009260DE" w:rsidP="009260DE">
      <w:pPr>
        <w:tabs>
          <w:tab w:val="left" w:pos="851"/>
        </w:tabs>
        <w:ind w:left="851"/>
        <w:rPr>
          <w:sz w:val="24"/>
          <w:szCs w:val="24"/>
        </w:rPr>
      </w:pPr>
    </w:p>
    <w:p w14:paraId="028D4DCA" w14:textId="77777777" w:rsidR="009260DE" w:rsidRPr="00C01559" w:rsidRDefault="009260DE" w:rsidP="009260DE">
      <w:pPr>
        <w:tabs>
          <w:tab w:val="left" w:pos="851"/>
        </w:tabs>
        <w:ind w:left="851"/>
        <w:rPr>
          <w:sz w:val="24"/>
          <w:szCs w:val="24"/>
        </w:rPr>
      </w:pPr>
    </w:p>
    <w:p w14:paraId="01EDF216" w14:textId="77777777" w:rsidR="009260DE" w:rsidRPr="00C01559" w:rsidRDefault="009260DE" w:rsidP="009260DE">
      <w:pPr>
        <w:tabs>
          <w:tab w:val="left" w:pos="851"/>
        </w:tabs>
        <w:ind w:left="851" w:hanging="851"/>
        <w:rPr>
          <w:b/>
          <w:sz w:val="24"/>
          <w:szCs w:val="24"/>
        </w:rPr>
      </w:pPr>
      <w:r w:rsidRPr="00C01559">
        <w:rPr>
          <w:b/>
          <w:sz w:val="24"/>
          <w:szCs w:val="24"/>
        </w:rPr>
        <w:t>5.</w:t>
      </w:r>
      <w:r w:rsidRPr="00C01559">
        <w:rPr>
          <w:b/>
          <w:sz w:val="24"/>
          <w:szCs w:val="24"/>
        </w:rPr>
        <w:tab/>
        <w:t>FARMAKOLOGISKE EGENSKABER</w:t>
      </w:r>
    </w:p>
    <w:p w14:paraId="206CF636" w14:textId="77777777" w:rsidR="009260DE" w:rsidRPr="00C01559" w:rsidRDefault="009260DE" w:rsidP="009260DE">
      <w:pPr>
        <w:tabs>
          <w:tab w:val="left" w:pos="851"/>
        </w:tabs>
        <w:ind w:left="851"/>
        <w:rPr>
          <w:sz w:val="24"/>
          <w:szCs w:val="24"/>
        </w:rPr>
      </w:pPr>
    </w:p>
    <w:p w14:paraId="0F2E3348" w14:textId="77777777" w:rsidR="009260DE" w:rsidRPr="00C01559" w:rsidRDefault="009260DE" w:rsidP="009260DE">
      <w:pPr>
        <w:tabs>
          <w:tab w:val="num" w:pos="851"/>
        </w:tabs>
        <w:ind w:left="851" w:hanging="851"/>
        <w:rPr>
          <w:b/>
          <w:sz w:val="24"/>
          <w:szCs w:val="24"/>
        </w:rPr>
      </w:pPr>
      <w:r w:rsidRPr="00C01559">
        <w:rPr>
          <w:b/>
          <w:sz w:val="24"/>
          <w:szCs w:val="24"/>
        </w:rPr>
        <w:t>5.1</w:t>
      </w:r>
      <w:r w:rsidRPr="00C01559">
        <w:rPr>
          <w:b/>
          <w:sz w:val="24"/>
          <w:szCs w:val="24"/>
        </w:rPr>
        <w:tab/>
      </w:r>
      <w:proofErr w:type="spellStart"/>
      <w:r w:rsidRPr="00C01559">
        <w:rPr>
          <w:b/>
          <w:sz w:val="24"/>
          <w:szCs w:val="24"/>
        </w:rPr>
        <w:t>Farmakodynamiske</w:t>
      </w:r>
      <w:proofErr w:type="spellEnd"/>
      <w:r w:rsidRPr="00C01559">
        <w:rPr>
          <w:b/>
          <w:sz w:val="24"/>
          <w:szCs w:val="24"/>
        </w:rPr>
        <w:t xml:space="preserve"> egenskaber</w:t>
      </w:r>
    </w:p>
    <w:p w14:paraId="3CA9CD14" w14:textId="77777777" w:rsidR="00B5675F" w:rsidRPr="00C01559" w:rsidRDefault="00B5675F" w:rsidP="00C73CAD">
      <w:pPr>
        <w:ind w:left="851"/>
        <w:rPr>
          <w:sz w:val="24"/>
          <w:szCs w:val="24"/>
        </w:rPr>
      </w:pPr>
    </w:p>
    <w:p w14:paraId="592D5361" w14:textId="77777777" w:rsidR="00B5675F" w:rsidRPr="00C01559" w:rsidRDefault="00B5675F" w:rsidP="00C73CAD">
      <w:pPr>
        <w:ind w:left="851"/>
        <w:rPr>
          <w:sz w:val="24"/>
          <w:szCs w:val="24"/>
        </w:rPr>
      </w:pPr>
      <w:bookmarkStart w:id="1" w:name="_Hlk116305420"/>
      <w:proofErr w:type="spellStart"/>
      <w:r w:rsidRPr="00C01559">
        <w:rPr>
          <w:sz w:val="24"/>
          <w:szCs w:val="24"/>
        </w:rPr>
        <w:t>Farmakoterapeutisk</w:t>
      </w:r>
      <w:proofErr w:type="spellEnd"/>
      <w:r w:rsidRPr="00C01559">
        <w:rPr>
          <w:sz w:val="24"/>
          <w:szCs w:val="24"/>
        </w:rPr>
        <w:t xml:space="preserve"> klassifikation:</w:t>
      </w:r>
      <w:bookmarkEnd w:id="1"/>
      <w:r w:rsidRPr="00C01559">
        <w:rPr>
          <w:sz w:val="24"/>
          <w:szCs w:val="24"/>
        </w:rPr>
        <w:t xml:space="preserve"> </w:t>
      </w:r>
      <w:proofErr w:type="spellStart"/>
      <w:r w:rsidRPr="00C01559">
        <w:rPr>
          <w:sz w:val="24"/>
          <w:szCs w:val="24"/>
        </w:rPr>
        <w:t>Antineoplastiske</w:t>
      </w:r>
      <w:proofErr w:type="spellEnd"/>
      <w:r w:rsidRPr="00C01559">
        <w:rPr>
          <w:sz w:val="24"/>
          <w:szCs w:val="24"/>
        </w:rPr>
        <w:t xml:space="preserve"> og immunmodulerende midler, </w:t>
      </w:r>
      <w:proofErr w:type="spellStart"/>
      <w:r w:rsidRPr="00C01559">
        <w:rPr>
          <w:sz w:val="24"/>
          <w:szCs w:val="24"/>
        </w:rPr>
        <w:t>immunsuppressiva</w:t>
      </w:r>
      <w:proofErr w:type="spellEnd"/>
      <w:r w:rsidRPr="00C01559">
        <w:rPr>
          <w:sz w:val="24"/>
          <w:szCs w:val="24"/>
        </w:rPr>
        <w:t xml:space="preserve">, andre </w:t>
      </w:r>
      <w:proofErr w:type="spellStart"/>
      <w:r w:rsidRPr="00C01559">
        <w:rPr>
          <w:sz w:val="24"/>
          <w:szCs w:val="24"/>
        </w:rPr>
        <w:t>immunsuppressiva</w:t>
      </w:r>
      <w:proofErr w:type="spellEnd"/>
      <w:r w:rsidRPr="00C01559">
        <w:rPr>
          <w:sz w:val="24"/>
          <w:szCs w:val="24"/>
        </w:rPr>
        <w:t>, ATC-kode: L04AX03.</w:t>
      </w:r>
    </w:p>
    <w:p w14:paraId="3AE48548" w14:textId="77777777" w:rsidR="00B5675F" w:rsidRPr="00C01559" w:rsidRDefault="00B5675F" w:rsidP="00C73CAD">
      <w:pPr>
        <w:ind w:left="851"/>
        <w:rPr>
          <w:sz w:val="24"/>
          <w:szCs w:val="24"/>
        </w:rPr>
      </w:pPr>
      <w:r w:rsidRPr="00C01559">
        <w:rPr>
          <w:sz w:val="24"/>
          <w:szCs w:val="24"/>
        </w:rPr>
        <w:t xml:space="preserve">Antimetabolitter, </w:t>
      </w:r>
      <w:proofErr w:type="spellStart"/>
      <w:r w:rsidRPr="00C01559">
        <w:rPr>
          <w:sz w:val="24"/>
          <w:szCs w:val="24"/>
        </w:rPr>
        <w:t>folinsyre</w:t>
      </w:r>
      <w:proofErr w:type="spellEnd"/>
      <w:r w:rsidRPr="00C01559">
        <w:rPr>
          <w:sz w:val="24"/>
          <w:szCs w:val="24"/>
        </w:rPr>
        <w:t xml:space="preserve"> og </w:t>
      </w:r>
      <w:proofErr w:type="spellStart"/>
      <w:r w:rsidRPr="00C01559">
        <w:rPr>
          <w:sz w:val="24"/>
          <w:szCs w:val="24"/>
        </w:rPr>
        <w:t>analoger</w:t>
      </w:r>
      <w:proofErr w:type="spellEnd"/>
      <w:r w:rsidRPr="00C01559">
        <w:rPr>
          <w:sz w:val="24"/>
          <w:szCs w:val="24"/>
        </w:rPr>
        <w:t>. ATC-kode: L01BA01.</w:t>
      </w:r>
    </w:p>
    <w:p w14:paraId="6BD9FB36" w14:textId="77777777" w:rsidR="00B5675F" w:rsidRPr="00C01559" w:rsidRDefault="00B5675F" w:rsidP="00C73CAD">
      <w:pPr>
        <w:ind w:left="851"/>
        <w:rPr>
          <w:sz w:val="24"/>
          <w:szCs w:val="24"/>
        </w:rPr>
      </w:pPr>
    </w:p>
    <w:p w14:paraId="24874194" w14:textId="77777777" w:rsidR="00B5675F" w:rsidRPr="00C01559" w:rsidRDefault="00B5675F" w:rsidP="00C73CAD">
      <w:pPr>
        <w:ind w:left="851"/>
        <w:rPr>
          <w:i/>
          <w:iCs/>
          <w:sz w:val="24"/>
          <w:szCs w:val="24"/>
        </w:rPr>
      </w:pPr>
      <w:r w:rsidRPr="00C01559">
        <w:rPr>
          <w:i/>
          <w:iCs/>
          <w:sz w:val="24"/>
          <w:szCs w:val="24"/>
          <w:u w:val="single"/>
        </w:rPr>
        <w:t>Virkningsmekanisme</w:t>
      </w:r>
    </w:p>
    <w:p w14:paraId="73EB8116" w14:textId="77777777" w:rsidR="00B5675F" w:rsidRPr="00C01559" w:rsidRDefault="00B5675F" w:rsidP="00C73CAD">
      <w:pPr>
        <w:ind w:left="851"/>
        <w:rPr>
          <w:iCs/>
          <w:sz w:val="24"/>
          <w:szCs w:val="24"/>
        </w:rPr>
      </w:pPr>
      <w:proofErr w:type="spellStart"/>
      <w:r w:rsidRPr="00C01559">
        <w:rPr>
          <w:iCs/>
          <w:sz w:val="24"/>
          <w:szCs w:val="24"/>
        </w:rPr>
        <w:t>Methotrexat</w:t>
      </w:r>
      <w:proofErr w:type="spellEnd"/>
      <w:r w:rsidRPr="00C01559">
        <w:rPr>
          <w:iCs/>
          <w:sz w:val="24"/>
          <w:szCs w:val="24"/>
        </w:rPr>
        <w:t xml:space="preserve"> er en </w:t>
      </w:r>
      <w:proofErr w:type="spellStart"/>
      <w:r w:rsidRPr="00C01559">
        <w:rPr>
          <w:iCs/>
          <w:sz w:val="24"/>
          <w:szCs w:val="24"/>
        </w:rPr>
        <w:t>folinsyreantagonist</w:t>
      </w:r>
      <w:proofErr w:type="spellEnd"/>
      <w:r w:rsidRPr="00C01559">
        <w:rPr>
          <w:iCs/>
          <w:sz w:val="24"/>
          <w:szCs w:val="24"/>
        </w:rPr>
        <w:t xml:space="preserve">, som i sin egenskab af at være en antimetabolit tilhører klassen af </w:t>
      </w:r>
      <w:proofErr w:type="spellStart"/>
      <w:r w:rsidRPr="00C01559">
        <w:rPr>
          <w:iCs/>
          <w:sz w:val="24"/>
          <w:szCs w:val="24"/>
        </w:rPr>
        <w:t>cytotoksiske</w:t>
      </w:r>
      <w:proofErr w:type="spellEnd"/>
      <w:r w:rsidRPr="00C01559">
        <w:rPr>
          <w:iCs/>
          <w:sz w:val="24"/>
          <w:szCs w:val="24"/>
        </w:rPr>
        <w:t xml:space="preserve"> aktive stoffer. Det virker ved </w:t>
      </w:r>
      <w:proofErr w:type="spellStart"/>
      <w:r w:rsidRPr="00C01559">
        <w:rPr>
          <w:iCs/>
          <w:sz w:val="24"/>
          <w:szCs w:val="24"/>
        </w:rPr>
        <w:t>kompetitiv</w:t>
      </w:r>
      <w:proofErr w:type="spellEnd"/>
      <w:r w:rsidRPr="00C01559">
        <w:rPr>
          <w:iCs/>
          <w:sz w:val="24"/>
          <w:szCs w:val="24"/>
        </w:rPr>
        <w:t xml:space="preserve"> hæmning af enzymet </w:t>
      </w:r>
      <w:proofErr w:type="spellStart"/>
      <w:r w:rsidRPr="00C01559">
        <w:rPr>
          <w:iCs/>
          <w:sz w:val="24"/>
          <w:szCs w:val="24"/>
        </w:rPr>
        <w:t>dihydrofolatreduktase</w:t>
      </w:r>
      <w:proofErr w:type="spellEnd"/>
      <w:r w:rsidRPr="00C01559">
        <w:rPr>
          <w:iCs/>
          <w:sz w:val="24"/>
          <w:szCs w:val="24"/>
        </w:rPr>
        <w:t xml:space="preserve"> og hæmmer dermed DNA-syntesen.</w:t>
      </w:r>
    </w:p>
    <w:p w14:paraId="2CC41D48" w14:textId="77777777" w:rsidR="00B5675F" w:rsidRPr="00C01559" w:rsidRDefault="00B5675F" w:rsidP="00C73CAD">
      <w:pPr>
        <w:ind w:left="851"/>
        <w:rPr>
          <w:iCs/>
          <w:sz w:val="24"/>
          <w:szCs w:val="24"/>
        </w:rPr>
      </w:pPr>
      <w:r w:rsidRPr="00C01559">
        <w:rPr>
          <w:iCs/>
          <w:sz w:val="24"/>
          <w:szCs w:val="24"/>
        </w:rPr>
        <w:t xml:space="preserve">Det har endnu ikke været muligt at klarlægge, hvorvidt </w:t>
      </w:r>
      <w:proofErr w:type="spellStart"/>
      <w:r w:rsidRPr="00C01559">
        <w:rPr>
          <w:iCs/>
          <w:sz w:val="24"/>
          <w:szCs w:val="24"/>
        </w:rPr>
        <w:t>methotrexats</w:t>
      </w:r>
      <w:proofErr w:type="spellEnd"/>
      <w:r w:rsidRPr="00C01559">
        <w:rPr>
          <w:iCs/>
          <w:sz w:val="24"/>
          <w:szCs w:val="24"/>
        </w:rPr>
        <w:t xml:space="preserve"> virkning til behandling af psoriasis, </w:t>
      </w:r>
      <w:proofErr w:type="spellStart"/>
      <w:r w:rsidRPr="00C01559">
        <w:rPr>
          <w:iCs/>
          <w:sz w:val="24"/>
          <w:szCs w:val="24"/>
        </w:rPr>
        <w:t>psoriasisartrit</w:t>
      </w:r>
      <w:proofErr w:type="spellEnd"/>
      <w:r w:rsidRPr="00C01559">
        <w:rPr>
          <w:iCs/>
          <w:sz w:val="24"/>
          <w:szCs w:val="24"/>
        </w:rPr>
        <w:t xml:space="preserve"> og kronisk </w:t>
      </w:r>
      <w:proofErr w:type="spellStart"/>
      <w:r w:rsidRPr="00C01559">
        <w:rPr>
          <w:iCs/>
          <w:sz w:val="24"/>
          <w:szCs w:val="24"/>
        </w:rPr>
        <w:t>polyartrit</w:t>
      </w:r>
      <w:proofErr w:type="spellEnd"/>
      <w:r w:rsidRPr="00C01559">
        <w:rPr>
          <w:iCs/>
          <w:sz w:val="24"/>
          <w:szCs w:val="24"/>
        </w:rPr>
        <w:t xml:space="preserve"> enten skyldes en antiinflammatorisk eller immunsuppressiv virkning, eller i hvilket omfang en </w:t>
      </w:r>
      <w:proofErr w:type="spellStart"/>
      <w:r w:rsidRPr="00C01559">
        <w:rPr>
          <w:iCs/>
          <w:sz w:val="24"/>
          <w:szCs w:val="24"/>
        </w:rPr>
        <w:t>methotrexat</w:t>
      </w:r>
      <w:proofErr w:type="spellEnd"/>
      <w:r w:rsidRPr="00C01559">
        <w:rPr>
          <w:iCs/>
          <w:sz w:val="24"/>
          <w:szCs w:val="24"/>
        </w:rPr>
        <w:t xml:space="preserve">-induceret stigning i den ekstracellulære </w:t>
      </w:r>
      <w:proofErr w:type="spellStart"/>
      <w:r w:rsidRPr="00C01559">
        <w:rPr>
          <w:iCs/>
          <w:sz w:val="24"/>
          <w:szCs w:val="24"/>
        </w:rPr>
        <w:t>adenosinkoncentration</w:t>
      </w:r>
      <w:proofErr w:type="spellEnd"/>
      <w:r w:rsidRPr="00C01559">
        <w:rPr>
          <w:iCs/>
          <w:sz w:val="24"/>
          <w:szCs w:val="24"/>
        </w:rPr>
        <w:t xml:space="preserve"> på steder med inflammation bidrager til denne virkning.</w:t>
      </w:r>
    </w:p>
    <w:p w14:paraId="7AA42965" w14:textId="77777777" w:rsidR="00B5675F" w:rsidRPr="00C01559" w:rsidRDefault="00B5675F" w:rsidP="00C73CAD">
      <w:pPr>
        <w:ind w:left="851"/>
        <w:rPr>
          <w:sz w:val="24"/>
          <w:szCs w:val="24"/>
        </w:rPr>
      </w:pPr>
    </w:p>
    <w:p w14:paraId="06D50A85" w14:textId="77777777" w:rsidR="00B5675F" w:rsidRPr="00C01559" w:rsidRDefault="00B5675F" w:rsidP="00C73CAD">
      <w:pPr>
        <w:ind w:left="851"/>
        <w:rPr>
          <w:iCs/>
          <w:sz w:val="24"/>
          <w:szCs w:val="24"/>
        </w:rPr>
      </w:pPr>
      <w:r w:rsidRPr="00C01559">
        <w:rPr>
          <w:iCs/>
          <w:sz w:val="24"/>
          <w:szCs w:val="24"/>
        </w:rPr>
        <w:t xml:space="preserve">Højt </w:t>
      </w:r>
      <w:proofErr w:type="spellStart"/>
      <w:r w:rsidRPr="00C01559">
        <w:rPr>
          <w:iCs/>
          <w:sz w:val="24"/>
          <w:szCs w:val="24"/>
        </w:rPr>
        <w:t>prolifererende</w:t>
      </w:r>
      <w:proofErr w:type="spellEnd"/>
      <w:r w:rsidRPr="00C01559">
        <w:rPr>
          <w:iCs/>
          <w:sz w:val="24"/>
          <w:szCs w:val="24"/>
        </w:rPr>
        <w:t xml:space="preserve"> væv, såsom maligne celler, knoglemarv, fosterceller, hudepitel og slimhinder, er generelt mere følsomt over for denne virkning af </w:t>
      </w:r>
      <w:proofErr w:type="spellStart"/>
      <w:r w:rsidRPr="00C01559">
        <w:rPr>
          <w:iCs/>
          <w:sz w:val="24"/>
          <w:szCs w:val="24"/>
        </w:rPr>
        <w:t>methotrexat</w:t>
      </w:r>
      <w:proofErr w:type="spellEnd"/>
      <w:r w:rsidRPr="00C01559">
        <w:rPr>
          <w:iCs/>
          <w:sz w:val="24"/>
          <w:szCs w:val="24"/>
        </w:rPr>
        <w:t xml:space="preserve">. </w:t>
      </w:r>
      <w:proofErr w:type="spellStart"/>
      <w:r w:rsidRPr="00C01559">
        <w:rPr>
          <w:iCs/>
          <w:sz w:val="24"/>
          <w:szCs w:val="24"/>
        </w:rPr>
        <w:t>Celleproliferationen</w:t>
      </w:r>
      <w:proofErr w:type="spellEnd"/>
      <w:r w:rsidRPr="00C01559">
        <w:rPr>
          <w:iCs/>
          <w:sz w:val="24"/>
          <w:szCs w:val="24"/>
        </w:rPr>
        <w:t xml:space="preserve"> er som regel højere i maligne tumorer end i normalt væv, og </w:t>
      </w:r>
      <w:proofErr w:type="spellStart"/>
      <w:r w:rsidRPr="00C01559">
        <w:rPr>
          <w:iCs/>
          <w:sz w:val="24"/>
          <w:szCs w:val="24"/>
        </w:rPr>
        <w:t>methotrexat</w:t>
      </w:r>
      <w:proofErr w:type="spellEnd"/>
      <w:r w:rsidRPr="00C01559">
        <w:rPr>
          <w:iCs/>
          <w:sz w:val="24"/>
          <w:szCs w:val="24"/>
        </w:rPr>
        <w:t xml:space="preserve"> kan derfor udøve en vedvarende virkning på malign vækst uden at forårsage irreversibel skade på normalt væv.</w:t>
      </w:r>
    </w:p>
    <w:p w14:paraId="3601497D" w14:textId="77777777" w:rsidR="00B5675F" w:rsidRPr="00C01559" w:rsidRDefault="00B5675F" w:rsidP="00C73CAD">
      <w:pPr>
        <w:ind w:left="851"/>
        <w:rPr>
          <w:iCs/>
          <w:sz w:val="24"/>
          <w:szCs w:val="24"/>
        </w:rPr>
      </w:pPr>
      <w:r w:rsidRPr="00C01559">
        <w:rPr>
          <w:iCs/>
          <w:sz w:val="24"/>
          <w:szCs w:val="24"/>
        </w:rPr>
        <w:t xml:space="preserve">Ved psoriasis er </w:t>
      </w:r>
      <w:proofErr w:type="spellStart"/>
      <w:r w:rsidRPr="00C01559">
        <w:rPr>
          <w:iCs/>
          <w:sz w:val="24"/>
          <w:szCs w:val="24"/>
        </w:rPr>
        <w:t>celleproliferationen</w:t>
      </w:r>
      <w:proofErr w:type="spellEnd"/>
      <w:r w:rsidRPr="00C01559">
        <w:rPr>
          <w:iCs/>
          <w:sz w:val="24"/>
          <w:szCs w:val="24"/>
        </w:rPr>
        <w:t xml:space="preserve"> i epitelet markant øget sammenlignet med normal hud. Forskellen i </w:t>
      </w:r>
      <w:proofErr w:type="spellStart"/>
      <w:r w:rsidRPr="00C01559">
        <w:rPr>
          <w:iCs/>
          <w:sz w:val="24"/>
          <w:szCs w:val="24"/>
        </w:rPr>
        <w:t>celleproliferationshastigheden</w:t>
      </w:r>
      <w:proofErr w:type="spellEnd"/>
      <w:r w:rsidRPr="00C01559">
        <w:rPr>
          <w:iCs/>
          <w:sz w:val="24"/>
          <w:szCs w:val="24"/>
        </w:rPr>
        <w:t xml:space="preserve"> er udgangspunktet for brug af </w:t>
      </w:r>
      <w:proofErr w:type="spellStart"/>
      <w:r w:rsidRPr="00C01559">
        <w:rPr>
          <w:iCs/>
          <w:sz w:val="24"/>
          <w:szCs w:val="24"/>
        </w:rPr>
        <w:t>methotrexat</w:t>
      </w:r>
      <w:proofErr w:type="spellEnd"/>
      <w:r w:rsidRPr="00C01559">
        <w:rPr>
          <w:iCs/>
          <w:sz w:val="24"/>
          <w:szCs w:val="24"/>
        </w:rPr>
        <w:t xml:space="preserve"> ved særligt svær, generaliseret, behandlingsresistent psoriasis og </w:t>
      </w:r>
      <w:proofErr w:type="spellStart"/>
      <w:r w:rsidRPr="00C01559">
        <w:rPr>
          <w:iCs/>
          <w:sz w:val="24"/>
          <w:szCs w:val="24"/>
        </w:rPr>
        <w:t>psoriasisartrit</w:t>
      </w:r>
      <w:proofErr w:type="spellEnd"/>
      <w:r w:rsidRPr="00C01559">
        <w:rPr>
          <w:iCs/>
          <w:sz w:val="24"/>
          <w:szCs w:val="24"/>
        </w:rPr>
        <w:t>.</w:t>
      </w:r>
    </w:p>
    <w:p w14:paraId="04D4D942" w14:textId="77777777" w:rsidR="009260DE" w:rsidRPr="00C01559" w:rsidRDefault="009260DE" w:rsidP="009260DE">
      <w:pPr>
        <w:tabs>
          <w:tab w:val="left" w:pos="851"/>
        </w:tabs>
        <w:ind w:left="851"/>
        <w:rPr>
          <w:sz w:val="24"/>
          <w:szCs w:val="24"/>
        </w:rPr>
      </w:pPr>
    </w:p>
    <w:p w14:paraId="749F6BDA" w14:textId="77777777" w:rsidR="009260DE" w:rsidRPr="00C01559" w:rsidRDefault="009260DE" w:rsidP="009260DE">
      <w:pPr>
        <w:tabs>
          <w:tab w:val="left" w:pos="851"/>
        </w:tabs>
        <w:ind w:left="851" w:hanging="851"/>
        <w:rPr>
          <w:b/>
          <w:sz w:val="24"/>
          <w:szCs w:val="24"/>
        </w:rPr>
      </w:pPr>
      <w:r w:rsidRPr="00C01559">
        <w:rPr>
          <w:b/>
          <w:sz w:val="24"/>
          <w:szCs w:val="24"/>
        </w:rPr>
        <w:t>5.2</w:t>
      </w:r>
      <w:r w:rsidRPr="00C01559">
        <w:rPr>
          <w:b/>
          <w:sz w:val="24"/>
          <w:szCs w:val="24"/>
        </w:rPr>
        <w:tab/>
      </w:r>
      <w:proofErr w:type="spellStart"/>
      <w:r w:rsidRPr="00C01559">
        <w:rPr>
          <w:b/>
          <w:sz w:val="24"/>
          <w:szCs w:val="24"/>
        </w:rPr>
        <w:t>Farmakokinetiske</w:t>
      </w:r>
      <w:proofErr w:type="spellEnd"/>
      <w:r w:rsidRPr="00C01559">
        <w:rPr>
          <w:b/>
          <w:sz w:val="24"/>
          <w:szCs w:val="24"/>
        </w:rPr>
        <w:t xml:space="preserve"> egenskaber</w:t>
      </w:r>
    </w:p>
    <w:p w14:paraId="583D9215" w14:textId="77777777" w:rsidR="00C01559" w:rsidRPr="00C01559" w:rsidRDefault="00C01559" w:rsidP="00C73CAD">
      <w:pPr>
        <w:ind w:left="851"/>
        <w:rPr>
          <w:sz w:val="24"/>
          <w:szCs w:val="24"/>
        </w:rPr>
      </w:pPr>
    </w:p>
    <w:p w14:paraId="63FF36FA" w14:textId="1E7DB961" w:rsidR="00B5675F" w:rsidRPr="00C01559" w:rsidRDefault="00B5675F" w:rsidP="00C73CAD">
      <w:pPr>
        <w:ind w:left="851"/>
        <w:rPr>
          <w:sz w:val="24"/>
          <w:szCs w:val="24"/>
          <w:u w:val="single"/>
        </w:rPr>
      </w:pPr>
      <w:r w:rsidRPr="00C01559">
        <w:rPr>
          <w:sz w:val="24"/>
          <w:szCs w:val="24"/>
          <w:u w:val="single"/>
        </w:rPr>
        <w:t>Absorption</w:t>
      </w:r>
    </w:p>
    <w:p w14:paraId="50ED067C" w14:textId="77777777" w:rsidR="00B5675F" w:rsidRPr="00C01559" w:rsidRDefault="00B5675F" w:rsidP="00C73CAD">
      <w:pPr>
        <w:ind w:left="851"/>
        <w:rPr>
          <w:iCs/>
          <w:sz w:val="24"/>
          <w:szCs w:val="24"/>
        </w:rPr>
      </w:pPr>
      <w:r w:rsidRPr="00C01559">
        <w:rPr>
          <w:iCs/>
          <w:sz w:val="24"/>
          <w:szCs w:val="24"/>
        </w:rPr>
        <w:t xml:space="preserve">Efter oral administration absorberes </w:t>
      </w:r>
      <w:proofErr w:type="spellStart"/>
      <w:r w:rsidRPr="00C01559">
        <w:rPr>
          <w:iCs/>
          <w:sz w:val="24"/>
          <w:szCs w:val="24"/>
        </w:rPr>
        <w:t>methotrexat</w:t>
      </w:r>
      <w:proofErr w:type="spellEnd"/>
      <w:r w:rsidRPr="00C01559">
        <w:rPr>
          <w:iCs/>
          <w:sz w:val="24"/>
          <w:szCs w:val="24"/>
        </w:rPr>
        <w:t xml:space="preserve"> i mave-tarm-kanalen. Ved administration af lave doser (7,5 mg/m² til 80 mg/m² legemsoverfladeareal) er </w:t>
      </w:r>
      <w:proofErr w:type="spellStart"/>
      <w:r w:rsidRPr="00C01559">
        <w:rPr>
          <w:iCs/>
          <w:sz w:val="24"/>
          <w:szCs w:val="24"/>
        </w:rPr>
        <w:t>methotrexats</w:t>
      </w:r>
      <w:proofErr w:type="spellEnd"/>
      <w:r w:rsidRPr="00C01559">
        <w:rPr>
          <w:iCs/>
          <w:sz w:val="24"/>
          <w:szCs w:val="24"/>
        </w:rPr>
        <w:t xml:space="preserve"> gennemsnitlige biotilgængelighed cirka 70 %, men der kan være betydelige inter- og intraindividuelle variationer (25-100 %).</w:t>
      </w:r>
    </w:p>
    <w:p w14:paraId="301EB1F1" w14:textId="77777777" w:rsidR="00B5675F" w:rsidRPr="00C01559" w:rsidRDefault="00B5675F" w:rsidP="00C73CAD">
      <w:pPr>
        <w:ind w:left="851"/>
        <w:rPr>
          <w:iCs/>
          <w:sz w:val="24"/>
          <w:szCs w:val="24"/>
        </w:rPr>
      </w:pPr>
      <w:r w:rsidRPr="00C01559">
        <w:rPr>
          <w:iCs/>
          <w:sz w:val="24"/>
          <w:szCs w:val="24"/>
        </w:rPr>
        <w:t>Den maksimale serumkoncentration opnås i løbet af 1-2 timer. Absorptionen mættes ved doser over 30 mg/m</w:t>
      </w:r>
      <w:r w:rsidRPr="00C01559">
        <w:rPr>
          <w:iCs/>
          <w:sz w:val="24"/>
          <w:szCs w:val="24"/>
          <w:vertAlign w:val="superscript"/>
        </w:rPr>
        <w:t>2</w:t>
      </w:r>
      <w:r w:rsidRPr="00C01559">
        <w:rPr>
          <w:iCs/>
          <w:sz w:val="24"/>
          <w:szCs w:val="24"/>
        </w:rPr>
        <w:t>.</w:t>
      </w:r>
    </w:p>
    <w:p w14:paraId="249D3DCC" w14:textId="77777777" w:rsidR="00B5675F" w:rsidRPr="00C01559" w:rsidRDefault="00B5675F" w:rsidP="00C73CAD">
      <w:pPr>
        <w:ind w:left="851"/>
        <w:rPr>
          <w:sz w:val="24"/>
          <w:szCs w:val="24"/>
        </w:rPr>
      </w:pPr>
    </w:p>
    <w:p w14:paraId="3F588D62" w14:textId="77777777" w:rsidR="00B5675F" w:rsidRPr="00C01559" w:rsidRDefault="00B5675F" w:rsidP="00C73CAD">
      <w:pPr>
        <w:ind w:left="851"/>
        <w:rPr>
          <w:sz w:val="24"/>
          <w:szCs w:val="24"/>
          <w:u w:val="single"/>
        </w:rPr>
      </w:pPr>
      <w:r w:rsidRPr="00C01559">
        <w:rPr>
          <w:sz w:val="24"/>
          <w:szCs w:val="24"/>
          <w:u w:val="single"/>
        </w:rPr>
        <w:t>Fordeling</w:t>
      </w:r>
    </w:p>
    <w:p w14:paraId="4334AD03" w14:textId="77777777" w:rsidR="00B5675F" w:rsidRPr="00C01559" w:rsidRDefault="00B5675F" w:rsidP="00C73CAD">
      <w:pPr>
        <w:ind w:left="851"/>
        <w:rPr>
          <w:iCs/>
          <w:sz w:val="24"/>
          <w:szCs w:val="24"/>
        </w:rPr>
      </w:pPr>
      <w:proofErr w:type="spellStart"/>
      <w:r w:rsidRPr="00C01559">
        <w:rPr>
          <w:iCs/>
          <w:sz w:val="24"/>
          <w:szCs w:val="24"/>
        </w:rPr>
        <w:t>Methotrexat</w:t>
      </w:r>
      <w:proofErr w:type="spellEnd"/>
      <w:r w:rsidRPr="00C01559">
        <w:rPr>
          <w:iCs/>
          <w:sz w:val="24"/>
          <w:szCs w:val="24"/>
        </w:rPr>
        <w:t xml:space="preserve"> har en serumproteinbindingsgrad på cirka 50 %. Efter fordelingen samles det primært i leveren, nyrerne og milten i form af polyglutamater, der kan forblive der i uger eller måneder.</w:t>
      </w:r>
    </w:p>
    <w:p w14:paraId="56DE1FB5" w14:textId="77777777" w:rsidR="00B5675F" w:rsidRPr="00C01559" w:rsidRDefault="00B5675F" w:rsidP="00C73CAD">
      <w:pPr>
        <w:ind w:left="851"/>
        <w:rPr>
          <w:sz w:val="24"/>
          <w:szCs w:val="24"/>
        </w:rPr>
      </w:pPr>
    </w:p>
    <w:p w14:paraId="227357DE" w14:textId="77777777" w:rsidR="00B5675F" w:rsidRPr="00C01559" w:rsidRDefault="00B5675F" w:rsidP="00C73CAD">
      <w:pPr>
        <w:ind w:left="851"/>
        <w:rPr>
          <w:sz w:val="24"/>
          <w:szCs w:val="24"/>
        </w:rPr>
      </w:pPr>
      <w:r w:rsidRPr="00C01559">
        <w:rPr>
          <w:sz w:val="24"/>
          <w:szCs w:val="24"/>
        </w:rPr>
        <w:t xml:space="preserve">Den gennemsnitlige terminale halveringstid er 6-7 timer, men varierer betydeligt (3-17 timer). Halveringstiden kan være op til fire gange længere hos patienter med et tredje </w:t>
      </w:r>
      <w:proofErr w:type="spellStart"/>
      <w:r w:rsidRPr="00C01559">
        <w:rPr>
          <w:sz w:val="24"/>
          <w:szCs w:val="24"/>
        </w:rPr>
        <w:t>fordelingskompartment</w:t>
      </w:r>
      <w:proofErr w:type="spellEnd"/>
      <w:r w:rsidRPr="00C01559">
        <w:rPr>
          <w:sz w:val="24"/>
          <w:szCs w:val="24"/>
        </w:rPr>
        <w:t xml:space="preserve"> (</w:t>
      </w:r>
      <w:proofErr w:type="spellStart"/>
      <w:r w:rsidRPr="00C01559">
        <w:rPr>
          <w:sz w:val="24"/>
          <w:szCs w:val="24"/>
        </w:rPr>
        <w:t>pleuraeffusion</w:t>
      </w:r>
      <w:proofErr w:type="spellEnd"/>
      <w:r w:rsidRPr="00C01559">
        <w:rPr>
          <w:sz w:val="24"/>
          <w:szCs w:val="24"/>
        </w:rPr>
        <w:t xml:space="preserve">, </w:t>
      </w:r>
      <w:proofErr w:type="spellStart"/>
      <w:r w:rsidRPr="00C01559">
        <w:rPr>
          <w:sz w:val="24"/>
          <w:szCs w:val="24"/>
        </w:rPr>
        <w:t>ascites</w:t>
      </w:r>
      <w:proofErr w:type="spellEnd"/>
      <w:r w:rsidRPr="00C01559">
        <w:rPr>
          <w:sz w:val="24"/>
          <w:szCs w:val="24"/>
        </w:rPr>
        <w:t xml:space="preserve">). </w:t>
      </w:r>
    </w:p>
    <w:p w14:paraId="3DFEB5D1" w14:textId="77777777" w:rsidR="00B5675F" w:rsidRPr="00C01559" w:rsidRDefault="00B5675F" w:rsidP="00C73CAD">
      <w:pPr>
        <w:ind w:left="851"/>
        <w:rPr>
          <w:sz w:val="24"/>
          <w:szCs w:val="24"/>
        </w:rPr>
      </w:pPr>
    </w:p>
    <w:p w14:paraId="6F91E86B" w14:textId="77777777" w:rsidR="00B5675F" w:rsidRPr="00C01559" w:rsidRDefault="00B5675F" w:rsidP="00C73CAD">
      <w:pPr>
        <w:ind w:left="851"/>
        <w:rPr>
          <w:sz w:val="24"/>
          <w:szCs w:val="24"/>
          <w:u w:val="single"/>
        </w:rPr>
      </w:pPr>
      <w:r w:rsidRPr="00C01559">
        <w:rPr>
          <w:sz w:val="24"/>
          <w:szCs w:val="24"/>
          <w:u w:val="single"/>
        </w:rPr>
        <w:t>Biotransformation</w:t>
      </w:r>
    </w:p>
    <w:p w14:paraId="4B8E3460" w14:textId="77777777" w:rsidR="00B5675F" w:rsidRPr="00C01559" w:rsidRDefault="00B5675F" w:rsidP="00C73CAD">
      <w:pPr>
        <w:ind w:left="851"/>
        <w:rPr>
          <w:sz w:val="24"/>
          <w:szCs w:val="24"/>
        </w:rPr>
      </w:pPr>
      <w:r w:rsidRPr="00C01559">
        <w:rPr>
          <w:sz w:val="24"/>
          <w:szCs w:val="24"/>
        </w:rPr>
        <w:t xml:space="preserve">Cirka 10 % af den administrerede </w:t>
      </w:r>
      <w:proofErr w:type="spellStart"/>
      <w:r w:rsidRPr="00C01559">
        <w:rPr>
          <w:sz w:val="24"/>
          <w:szCs w:val="24"/>
        </w:rPr>
        <w:t>methotrexatdosis</w:t>
      </w:r>
      <w:proofErr w:type="spellEnd"/>
      <w:r w:rsidRPr="00C01559">
        <w:rPr>
          <w:sz w:val="24"/>
          <w:szCs w:val="24"/>
        </w:rPr>
        <w:t xml:space="preserve"> </w:t>
      </w:r>
      <w:proofErr w:type="spellStart"/>
      <w:r w:rsidRPr="00C01559">
        <w:rPr>
          <w:sz w:val="24"/>
          <w:szCs w:val="24"/>
        </w:rPr>
        <w:t>metaboliseres</w:t>
      </w:r>
      <w:proofErr w:type="spellEnd"/>
      <w:r w:rsidRPr="00C01559">
        <w:rPr>
          <w:sz w:val="24"/>
          <w:szCs w:val="24"/>
        </w:rPr>
        <w:t xml:space="preserve"> i leveren. Hovedmetabolitten er 7-hydroxymethotrexat.</w:t>
      </w:r>
    </w:p>
    <w:p w14:paraId="297C291C" w14:textId="77777777" w:rsidR="00B5675F" w:rsidRPr="00C01559" w:rsidRDefault="00B5675F" w:rsidP="00C73CAD">
      <w:pPr>
        <w:ind w:left="851"/>
        <w:rPr>
          <w:sz w:val="24"/>
          <w:szCs w:val="24"/>
        </w:rPr>
      </w:pPr>
    </w:p>
    <w:p w14:paraId="1B41CFAC" w14:textId="77777777" w:rsidR="00B5675F" w:rsidRPr="00C01559" w:rsidRDefault="00B5675F" w:rsidP="00C73CAD">
      <w:pPr>
        <w:ind w:left="851"/>
        <w:rPr>
          <w:sz w:val="24"/>
          <w:szCs w:val="24"/>
          <w:u w:val="single"/>
        </w:rPr>
      </w:pPr>
      <w:r w:rsidRPr="00C01559">
        <w:rPr>
          <w:sz w:val="24"/>
          <w:szCs w:val="24"/>
          <w:u w:val="single"/>
        </w:rPr>
        <w:t>Elimination</w:t>
      </w:r>
    </w:p>
    <w:p w14:paraId="46C8AB50" w14:textId="77777777" w:rsidR="00B5675F" w:rsidRPr="00C01559" w:rsidRDefault="00B5675F" w:rsidP="00C73CAD">
      <w:pPr>
        <w:ind w:left="851"/>
        <w:rPr>
          <w:iCs/>
          <w:sz w:val="24"/>
          <w:szCs w:val="24"/>
        </w:rPr>
      </w:pPr>
      <w:r w:rsidRPr="00C01559">
        <w:rPr>
          <w:iCs/>
          <w:sz w:val="24"/>
          <w:szCs w:val="24"/>
        </w:rPr>
        <w:t xml:space="preserve">Udskillelsen sker primært i </w:t>
      </w:r>
      <w:proofErr w:type="spellStart"/>
      <w:r w:rsidRPr="00C01559">
        <w:rPr>
          <w:iCs/>
          <w:sz w:val="24"/>
          <w:szCs w:val="24"/>
        </w:rPr>
        <w:t>uomdannet</w:t>
      </w:r>
      <w:proofErr w:type="spellEnd"/>
      <w:r w:rsidRPr="00C01559">
        <w:rPr>
          <w:iCs/>
          <w:sz w:val="24"/>
          <w:szCs w:val="24"/>
        </w:rPr>
        <w:t xml:space="preserve"> form via </w:t>
      </w:r>
      <w:proofErr w:type="spellStart"/>
      <w:r w:rsidRPr="00C01559">
        <w:rPr>
          <w:iCs/>
          <w:sz w:val="24"/>
          <w:szCs w:val="24"/>
        </w:rPr>
        <w:t>glomerulær</w:t>
      </w:r>
      <w:proofErr w:type="spellEnd"/>
      <w:r w:rsidRPr="00C01559">
        <w:rPr>
          <w:iCs/>
          <w:sz w:val="24"/>
          <w:szCs w:val="24"/>
        </w:rPr>
        <w:t xml:space="preserve"> filtration og aktiv sekretion i de proksimale </w:t>
      </w:r>
      <w:proofErr w:type="spellStart"/>
      <w:r w:rsidRPr="00C01559">
        <w:rPr>
          <w:iCs/>
          <w:sz w:val="24"/>
          <w:szCs w:val="24"/>
        </w:rPr>
        <w:t>tubuli</w:t>
      </w:r>
      <w:proofErr w:type="spellEnd"/>
      <w:r w:rsidRPr="00C01559">
        <w:rPr>
          <w:iCs/>
          <w:sz w:val="24"/>
          <w:szCs w:val="24"/>
        </w:rPr>
        <w:t xml:space="preserve"> via nyrerne.</w:t>
      </w:r>
    </w:p>
    <w:p w14:paraId="1B60EDE3" w14:textId="77777777" w:rsidR="00B5675F" w:rsidRPr="00C01559" w:rsidRDefault="00B5675F" w:rsidP="00C73CAD">
      <w:pPr>
        <w:ind w:left="851"/>
        <w:rPr>
          <w:iCs/>
          <w:sz w:val="24"/>
          <w:szCs w:val="24"/>
        </w:rPr>
      </w:pPr>
      <w:r w:rsidRPr="00C01559">
        <w:rPr>
          <w:iCs/>
          <w:sz w:val="24"/>
          <w:szCs w:val="24"/>
        </w:rPr>
        <w:t xml:space="preserve">Cirka 5-20 % af </w:t>
      </w:r>
      <w:proofErr w:type="spellStart"/>
      <w:r w:rsidRPr="00C01559">
        <w:rPr>
          <w:iCs/>
          <w:sz w:val="24"/>
          <w:szCs w:val="24"/>
        </w:rPr>
        <w:t>methotrexat</w:t>
      </w:r>
      <w:proofErr w:type="spellEnd"/>
      <w:r w:rsidRPr="00C01559">
        <w:rPr>
          <w:iCs/>
          <w:sz w:val="24"/>
          <w:szCs w:val="24"/>
        </w:rPr>
        <w:t xml:space="preserve"> og 1-5 % af 7-hydroxymethotrexat elimineres i galden. Der er udtalt </w:t>
      </w:r>
      <w:proofErr w:type="spellStart"/>
      <w:r w:rsidRPr="00C01559">
        <w:rPr>
          <w:iCs/>
          <w:sz w:val="24"/>
          <w:szCs w:val="24"/>
        </w:rPr>
        <w:t>enterohepatisk</w:t>
      </w:r>
      <w:proofErr w:type="spellEnd"/>
      <w:r w:rsidRPr="00C01559">
        <w:rPr>
          <w:iCs/>
          <w:sz w:val="24"/>
          <w:szCs w:val="24"/>
        </w:rPr>
        <w:t xml:space="preserve"> cirkulation.</w:t>
      </w:r>
    </w:p>
    <w:p w14:paraId="7092DE6D" w14:textId="77777777" w:rsidR="00B5675F" w:rsidRPr="00C01559" w:rsidRDefault="00B5675F" w:rsidP="00C73CAD">
      <w:pPr>
        <w:ind w:left="851"/>
        <w:rPr>
          <w:iCs/>
          <w:sz w:val="24"/>
          <w:szCs w:val="24"/>
        </w:rPr>
      </w:pPr>
      <w:r w:rsidRPr="00C01559">
        <w:rPr>
          <w:iCs/>
          <w:sz w:val="24"/>
          <w:szCs w:val="24"/>
        </w:rPr>
        <w:t>Eliminationen er markant forsinket hos patienter med nedsat nyrefunktion. Nedsat elimination hos patienter med nedsat leverfunktion er ikke dokumenteret for nuværende.</w:t>
      </w:r>
    </w:p>
    <w:p w14:paraId="4D6BE7F2" w14:textId="77777777" w:rsidR="00B5675F" w:rsidRPr="00C01559" w:rsidRDefault="00B5675F" w:rsidP="00C73CAD">
      <w:pPr>
        <w:ind w:left="851"/>
        <w:rPr>
          <w:sz w:val="24"/>
          <w:szCs w:val="24"/>
        </w:rPr>
      </w:pPr>
    </w:p>
    <w:p w14:paraId="3FADFB91" w14:textId="77777777" w:rsidR="00B5675F" w:rsidRPr="00C01559" w:rsidRDefault="00B5675F" w:rsidP="00C73CAD">
      <w:pPr>
        <w:ind w:left="851"/>
        <w:rPr>
          <w:sz w:val="24"/>
          <w:szCs w:val="24"/>
        </w:rPr>
      </w:pPr>
      <w:proofErr w:type="spellStart"/>
      <w:r w:rsidRPr="00C01559">
        <w:rPr>
          <w:sz w:val="24"/>
          <w:szCs w:val="24"/>
        </w:rPr>
        <w:t>Methotrexat</w:t>
      </w:r>
      <w:proofErr w:type="spellEnd"/>
      <w:r w:rsidRPr="00C01559">
        <w:rPr>
          <w:sz w:val="24"/>
          <w:szCs w:val="24"/>
        </w:rPr>
        <w:t xml:space="preserve"> krydser placentabarrieren hos rotter og aber.</w:t>
      </w:r>
    </w:p>
    <w:p w14:paraId="566B08FA" w14:textId="77777777" w:rsidR="009260DE" w:rsidRPr="00C01559" w:rsidRDefault="009260DE" w:rsidP="009260DE">
      <w:pPr>
        <w:tabs>
          <w:tab w:val="left" w:pos="851"/>
        </w:tabs>
        <w:ind w:left="851"/>
        <w:rPr>
          <w:sz w:val="24"/>
          <w:szCs w:val="24"/>
        </w:rPr>
      </w:pPr>
    </w:p>
    <w:p w14:paraId="634437FC" w14:textId="77777777" w:rsidR="009260DE" w:rsidRPr="00C01559" w:rsidRDefault="009260DE" w:rsidP="009260DE">
      <w:pPr>
        <w:tabs>
          <w:tab w:val="left" w:pos="851"/>
        </w:tabs>
        <w:ind w:left="851" w:hanging="851"/>
        <w:rPr>
          <w:b/>
          <w:sz w:val="24"/>
          <w:szCs w:val="24"/>
        </w:rPr>
      </w:pPr>
      <w:r w:rsidRPr="00C01559">
        <w:rPr>
          <w:b/>
          <w:sz w:val="24"/>
          <w:szCs w:val="24"/>
        </w:rPr>
        <w:t>5.3</w:t>
      </w:r>
      <w:r w:rsidRPr="00C01559">
        <w:rPr>
          <w:b/>
          <w:sz w:val="24"/>
          <w:szCs w:val="24"/>
        </w:rPr>
        <w:tab/>
      </w:r>
      <w:r w:rsidR="00BD7931" w:rsidRPr="00C01559">
        <w:rPr>
          <w:b/>
          <w:sz w:val="24"/>
          <w:szCs w:val="24"/>
        </w:rPr>
        <w:t>Non-</w:t>
      </w:r>
      <w:r w:rsidRPr="00C01559">
        <w:rPr>
          <w:b/>
          <w:sz w:val="24"/>
          <w:szCs w:val="24"/>
        </w:rPr>
        <w:t>kliniske sikkerhedsdata</w:t>
      </w:r>
    </w:p>
    <w:p w14:paraId="7C62A152" w14:textId="77777777" w:rsidR="00C01559" w:rsidRPr="00C01559" w:rsidRDefault="00C01559" w:rsidP="00C73CAD">
      <w:pPr>
        <w:ind w:left="851"/>
        <w:rPr>
          <w:sz w:val="24"/>
          <w:szCs w:val="24"/>
        </w:rPr>
      </w:pPr>
    </w:p>
    <w:p w14:paraId="7A10F62B" w14:textId="4D1A1348" w:rsidR="00B5675F" w:rsidRPr="00C01559" w:rsidRDefault="00B5675F" w:rsidP="00C73CAD">
      <w:pPr>
        <w:ind w:left="851"/>
        <w:rPr>
          <w:sz w:val="24"/>
          <w:szCs w:val="24"/>
          <w:u w:val="single"/>
        </w:rPr>
      </w:pPr>
      <w:r w:rsidRPr="00C01559">
        <w:rPr>
          <w:sz w:val="24"/>
          <w:szCs w:val="24"/>
          <w:u w:val="single"/>
        </w:rPr>
        <w:t>Kronisk toksicitet</w:t>
      </w:r>
    </w:p>
    <w:p w14:paraId="77C0C52E" w14:textId="77777777" w:rsidR="00B5675F" w:rsidRPr="00C01559" w:rsidRDefault="00B5675F" w:rsidP="00C73CAD">
      <w:pPr>
        <w:ind w:left="851"/>
        <w:rPr>
          <w:iCs/>
          <w:sz w:val="24"/>
          <w:szCs w:val="24"/>
        </w:rPr>
      </w:pPr>
      <w:r w:rsidRPr="00C01559">
        <w:rPr>
          <w:iCs/>
          <w:sz w:val="24"/>
          <w:szCs w:val="24"/>
        </w:rPr>
        <w:t xml:space="preserve">I kroniske toksicitetsstudier hos mus, rotter og hunde blev der set toksiske virkninger i form af </w:t>
      </w:r>
      <w:proofErr w:type="spellStart"/>
      <w:r w:rsidRPr="00C01559">
        <w:rPr>
          <w:iCs/>
          <w:sz w:val="24"/>
          <w:szCs w:val="24"/>
        </w:rPr>
        <w:t>gastrointestinale</w:t>
      </w:r>
      <w:proofErr w:type="spellEnd"/>
      <w:r w:rsidRPr="00C01559">
        <w:rPr>
          <w:iCs/>
          <w:sz w:val="24"/>
          <w:szCs w:val="24"/>
        </w:rPr>
        <w:t xml:space="preserve"> læsioner, </w:t>
      </w:r>
      <w:proofErr w:type="spellStart"/>
      <w:r w:rsidRPr="00C01559">
        <w:rPr>
          <w:iCs/>
          <w:sz w:val="24"/>
          <w:szCs w:val="24"/>
        </w:rPr>
        <w:t>myelosuppression</w:t>
      </w:r>
      <w:proofErr w:type="spellEnd"/>
      <w:r w:rsidRPr="00C01559">
        <w:rPr>
          <w:iCs/>
          <w:sz w:val="24"/>
          <w:szCs w:val="24"/>
        </w:rPr>
        <w:t xml:space="preserve"> og </w:t>
      </w:r>
      <w:proofErr w:type="spellStart"/>
      <w:r w:rsidRPr="00C01559">
        <w:rPr>
          <w:iCs/>
          <w:sz w:val="24"/>
          <w:szCs w:val="24"/>
        </w:rPr>
        <w:t>hepatotoksicitet</w:t>
      </w:r>
      <w:proofErr w:type="spellEnd"/>
      <w:r w:rsidRPr="00C01559">
        <w:rPr>
          <w:iCs/>
          <w:sz w:val="24"/>
          <w:szCs w:val="24"/>
        </w:rPr>
        <w:t>.</w:t>
      </w:r>
    </w:p>
    <w:p w14:paraId="706C97A6" w14:textId="77777777" w:rsidR="00B5675F" w:rsidRPr="00C01559" w:rsidRDefault="00B5675F" w:rsidP="00C73CAD">
      <w:pPr>
        <w:ind w:left="851"/>
        <w:rPr>
          <w:sz w:val="24"/>
          <w:szCs w:val="24"/>
        </w:rPr>
      </w:pPr>
    </w:p>
    <w:p w14:paraId="3807A404" w14:textId="77777777" w:rsidR="00B5675F" w:rsidRPr="00C01559" w:rsidRDefault="00B5675F" w:rsidP="00C73CAD">
      <w:pPr>
        <w:ind w:left="851"/>
        <w:rPr>
          <w:sz w:val="24"/>
          <w:szCs w:val="24"/>
          <w:u w:val="single"/>
        </w:rPr>
      </w:pPr>
      <w:r w:rsidRPr="00C01559">
        <w:rPr>
          <w:sz w:val="24"/>
          <w:szCs w:val="24"/>
          <w:u w:val="single"/>
        </w:rPr>
        <w:t xml:space="preserve">Mutagent og </w:t>
      </w:r>
      <w:proofErr w:type="spellStart"/>
      <w:r w:rsidRPr="00C01559">
        <w:rPr>
          <w:sz w:val="24"/>
          <w:szCs w:val="24"/>
          <w:u w:val="single"/>
        </w:rPr>
        <w:t>karcinogent</w:t>
      </w:r>
      <w:proofErr w:type="spellEnd"/>
      <w:r w:rsidRPr="00C01559">
        <w:rPr>
          <w:sz w:val="24"/>
          <w:szCs w:val="24"/>
          <w:u w:val="single"/>
        </w:rPr>
        <w:t xml:space="preserve"> potentiale</w:t>
      </w:r>
    </w:p>
    <w:p w14:paraId="182BEFB1" w14:textId="77777777" w:rsidR="00B5675F" w:rsidRPr="00C01559" w:rsidRDefault="00B5675F" w:rsidP="00C73CAD">
      <w:pPr>
        <w:ind w:left="851"/>
        <w:rPr>
          <w:iCs/>
          <w:sz w:val="24"/>
          <w:szCs w:val="24"/>
        </w:rPr>
      </w:pPr>
      <w:r w:rsidRPr="00C01559">
        <w:rPr>
          <w:iCs/>
          <w:sz w:val="24"/>
          <w:szCs w:val="24"/>
        </w:rPr>
        <w:t xml:space="preserve">I langtidsstudier hos rotter, mus og hamstere blev der ikke set tegn på, at </w:t>
      </w:r>
      <w:proofErr w:type="spellStart"/>
      <w:r w:rsidRPr="00C01559">
        <w:rPr>
          <w:iCs/>
          <w:sz w:val="24"/>
          <w:szCs w:val="24"/>
        </w:rPr>
        <w:t>methotrexat</w:t>
      </w:r>
      <w:proofErr w:type="spellEnd"/>
      <w:r w:rsidRPr="00C01559">
        <w:rPr>
          <w:iCs/>
          <w:sz w:val="24"/>
          <w:szCs w:val="24"/>
        </w:rPr>
        <w:t xml:space="preserve"> har </w:t>
      </w:r>
      <w:proofErr w:type="spellStart"/>
      <w:r w:rsidRPr="00C01559">
        <w:rPr>
          <w:iCs/>
          <w:sz w:val="24"/>
          <w:szCs w:val="24"/>
        </w:rPr>
        <w:t>tumorigent</w:t>
      </w:r>
      <w:proofErr w:type="spellEnd"/>
      <w:r w:rsidRPr="00C01559">
        <w:rPr>
          <w:iCs/>
          <w:sz w:val="24"/>
          <w:szCs w:val="24"/>
        </w:rPr>
        <w:t xml:space="preserve"> potentiale. </w:t>
      </w:r>
      <w:proofErr w:type="spellStart"/>
      <w:r w:rsidRPr="00C01559">
        <w:rPr>
          <w:iCs/>
          <w:sz w:val="24"/>
          <w:szCs w:val="24"/>
        </w:rPr>
        <w:t>Methotrexat</w:t>
      </w:r>
      <w:proofErr w:type="spellEnd"/>
      <w:r w:rsidRPr="00C01559">
        <w:rPr>
          <w:iCs/>
          <w:sz w:val="24"/>
          <w:szCs w:val="24"/>
        </w:rPr>
        <w:t xml:space="preserve"> forårsager gen- og kromosommutationer </w:t>
      </w:r>
      <w:r w:rsidRPr="00C01559">
        <w:rPr>
          <w:sz w:val="24"/>
          <w:szCs w:val="24"/>
        </w:rPr>
        <w:t xml:space="preserve">in </w:t>
      </w:r>
      <w:proofErr w:type="spellStart"/>
      <w:r w:rsidRPr="00C01559">
        <w:rPr>
          <w:sz w:val="24"/>
          <w:szCs w:val="24"/>
        </w:rPr>
        <w:t>vitro</w:t>
      </w:r>
      <w:proofErr w:type="spellEnd"/>
      <w:r w:rsidRPr="00C01559">
        <w:rPr>
          <w:iCs/>
          <w:sz w:val="24"/>
          <w:szCs w:val="24"/>
        </w:rPr>
        <w:t xml:space="preserve"> og </w:t>
      </w:r>
      <w:r w:rsidRPr="00C01559">
        <w:rPr>
          <w:sz w:val="24"/>
          <w:szCs w:val="24"/>
        </w:rPr>
        <w:t xml:space="preserve">in </w:t>
      </w:r>
      <w:proofErr w:type="spellStart"/>
      <w:r w:rsidRPr="00C01559">
        <w:rPr>
          <w:sz w:val="24"/>
          <w:szCs w:val="24"/>
        </w:rPr>
        <w:t>vivo</w:t>
      </w:r>
      <w:proofErr w:type="spellEnd"/>
      <w:r w:rsidRPr="00C01559">
        <w:rPr>
          <w:iCs/>
          <w:sz w:val="24"/>
          <w:szCs w:val="24"/>
        </w:rPr>
        <w:t xml:space="preserve">. </w:t>
      </w:r>
    </w:p>
    <w:p w14:paraId="689722A7" w14:textId="77777777" w:rsidR="00B5675F" w:rsidRPr="00C01559" w:rsidRDefault="00B5675F" w:rsidP="00C73CAD">
      <w:pPr>
        <w:ind w:left="851"/>
        <w:rPr>
          <w:iCs/>
          <w:sz w:val="24"/>
          <w:szCs w:val="24"/>
        </w:rPr>
      </w:pPr>
      <w:r w:rsidRPr="00C01559">
        <w:rPr>
          <w:iCs/>
          <w:sz w:val="24"/>
          <w:szCs w:val="24"/>
        </w:rPr>
        <w:t>Der er en formodet mutagen virkning hos mennesker.</w:t>
      </w:r>
    </w:p>
    <w:p w14:paraId="09195A35" w14:textId="77777777" w:rsidR="00B5675F" w:rsidRPr="00C01559" w:rsidRDefault="00B5675F" w:rsidP="00C73CAD">
      <w:pPr>
        <w:ind w:left="851"/>
        <w:rPr>
          <w:sz w:val="24"/>
          <w:szCs w:val="24"/>
        </w:rPr>
      </w:pPr>
    </w:p>
    <w:p w14:paraId="2CA64832" w14:textId="77777777" w:rsidR="00B5675F" w:rsidRPr="00C01559" w:rsidRDefault="00B5675F" w:rsidP="00C73CAD">
      <w:pPr>
        <w:ind w:left="851"/>
        <w:rPr>
          <w:sz w:val="24"/>
          <w:szCs w:val="24"/>
          <w:u w:val="single"/>
        </w:rPr>
      </w:pPr>
      <w:r w:rsidRPr="00C01559">
        <w:rPr>
          <w:sz w:val="24"/>
          <w:szCs w:val="24"/>
          <w:u w:val="single"/>
        </w:rPr>
        <w:t>Reproduktionstoksicitet</w:t>
      </w:r>
    </w:p>
    <w:p w14:paraId="022C6EB3" w14:textId="77777777" w:rsidR="00B5675F" w:rsidRPr="00C01559" w:rsidRDefault="00B5675F" w:rsidP="00C73CAD">
      <w:pPr>
        <w:ind w:left="851"/>
        <w:rPr>
          <w:sz w:val="24"/>
          <w:szCs w:val="24"/>
        </w:rPr>
      </w:pPr>
      <w:r w:rsidRPr="00C01559">
        <w:rPr>
          <w:sz w:val="24"/>
          <w:szCs w:val="24"/>
        </w:rPr>
        <w:t xml:space="preserve">Der er set </w:t>
      </w:r>
      <w:proofErr w:type="spellStart"/>
      <w:r w:rsidRPr="00C01559">
        <w:rPr>
          <w:sz w:val="24"/>
          <w:szCs w:val="24"/>
        </w:rPr>
        <w:t>teratogene</w:t>
      </w:r>
      <w:proofErr w:type="spellEnd"/>
      <w:r w:rsidRPr="00C01559">
        <w:rPr>
          <w:sz w:val="24"/>
          <w:szCs w:val="24"/>
        </w:rPr>
        <w:t xml:space="preserve"> virkninger hos fire arter (rotter, mus, kaniner, katte). Hos rhesusaber blev der ikke set de samme misdannelser som hos mennesker. </w:t>
      </w:r>
    </w:p>
    <w:p w14:paraId="56D7158C" w14:textId="77777777" w:rsidR="009260DE" w:rsidRPr="00C01559" w:rsidRDefault="009260DE" w:rsidP="009260DE">
      <w:pPr>
        <w:tabs>
          <w:tab w:val="left" w:pos="851"/>
        </w:tabs>
        <w:ind w:left="851"/>
        <w:rPr>
          <w:sz w:val="24"/>
          <w:szCs w:val="24"/>
        </w:rPr>
      </w:pPr>
    </w:p>
    <w:p w14:paraId="14628D14" w14:textId="77777777" w:rsidR="009260DE" w:rsidRPr="00C01559" w:rsidRDefault="009260DE" w:rsidP="009260DE">
      <w:pPr>
        <w:tabs>
          <w:tab w:val="left" w:pos="851"/>
        </w:tabs>
        <w:ind w:left="851"/>
        <w:rPr>
          <w:sz w:val="24"/>
          <w:szCs w:val="24"/>
        </w:rPr>
      </w:pPr>
    </w:p>
    <w:p w14:paraId="23CAFD5A" w14:textId="77777777" w:rsidR="009260DE" w:rsidRPr="00C01559" w:rsidRDefault="009260DE" w:rsidP="009260DE">
      <w:pPr>
        <w:tabs>
          <w:tab w:val="left" w:pos="851"/>
        </w:tabs>
        <w:ind w:left="851" w:hanging="851"/>
        <w:rPr>
          <w:b/>
          <w:sz w:val="24"/>
          <w:szCs w:val="24"/>
        </w:rPr>
      </w:pPr>
      <w:r w:rsidRPr="00C01559">
        <w:rPr>
          <w:b/>
          <w:sz w:val="24"/>
          <w:szCs w:val="24"/>
        </w:rPr>
        <w:lastRenderedPageBreak/>
        <w:t>6.</w:t>
      </w:r>
      <w:r w:rsidRPr="00C01559">
        <w:rPr>
          <w:b/>
          <w:sz w:val="24"/>
          <w:szCs w:val="24"/>
        </w:rPr>
        <w:tab/>
        <w:t>FARMACEUTISKE OPLYSNINGER</w:t>
      </w:r>
    </w:p>
    <w:p w14:paraId="3D662B4E" w14:textId="77777777" w:rsidR="009260DE" w:rsidRPr="00C01559" w:rsidRDefault="009260DE" w:rsidP="009260DE">
      <w:pPr>
        <w:tabs>
          <w:tab w:val="left" w:pos="851"/>
        </w:tabs>
        <w:ind w:left="851"/>
        <w:rPr>
          <w:sz w:val="24"/>
          <w:szCs w:val="24"/>
        </w:rPr>
      </w:pPr>
    </w:p>
    <w:p w14:paraId="13981F5D" w14:textId="77777777" w:rsidR="009260DE" w:rsidRPr="00C01559" w:rsidRDefault="009260DE" w:rsidP="009260DE">
      <w:pPr>
        <w:tabs>
          <w:tab w:val="left" w:pos="851"/>
        </w:tabs>
        <w:ind w:left="851" w:hanging="851"/>
        <w:rPr>
          <w:b/>
          <w:sz w:val="24"/>
          <w:szCs w:val="24"/>
        </w:rPr>
      </w:pPr>
      <w:r w:rsidRPr="00C01559">
        <w:rPr>
          <w:b/>
          <w:sz w:val="24"/>
          <w:szCs w:val="24"/>
        </w:rPr>
        <w:t>6.1</w:t>
      </w:r>
      <w:r w:rsidRPr="00C01559">
        <w:rPr>
          <w:b/>
          <w:sz w:val="24"/>
          <w:szCs w:val="24"/>
        </w:rPr>
        <w:tab/>
        <w:t>Hjælpestoffer</w:t>
      </w:r>
    </w:p>
    <w:p w14:paraId="2C245184" w14:textId="77777777" w:rsidR="00B5675F" w:rsidRPr="00C01559" w:rsidRDefault="00B5675F" w:rsidP="00C73CAD">
      <w:pPr>
        <w:ind w:left="851"/>
        <w:rPr>
          <w:noProof/>
          <w:sz w:val="24"/>
          <w:szCs w:val="24"/>
        </w:rPr>
      </w:pPr>
      <w:r w:rsidRPr="00C01559">
        <w:rPr>
          <w:sz w:val="24"/>
          <w:szCs w:val="24"/>
        </w:rPr>
        <w:t>Natriumhydroxid (E524)</w:t>
      </w:r>
    </w:p>
    <w:p w14:paraId="0857F2D9" w14:textId="77777777" w:rsidR="00B5675F" w:rsidRPr="00C01559" w:rsidRDefault="00B5675F" w:rsidP="00C73CAD">
      <w:pPr>
        <w:ind w:left="851"/>
        <w:rPr>
          <w:noProof/>
          <w:sz w:val="24"/>
          <w:szCs w:val="24"/>
        </w:rPr>
      </w:pPr>
      <w:proofErr w:type="spellStart"/>
      <w:r w:rsidRPr="00C01559">
        <w:rPr>
          <w:sz w:val="24"/>
          <w:szCs w:val="24"/>
        </w:rPr>
        <w:t>Lactosemonohydrat</w:t>
      </w:r>
      <w:proofErr w:type="spellEnd"/>
    </w:p>
    <w:p w14:paraId="310C23A8" w14:textId="77777777" w:rsidR="00B5675F" w:rsidRPr="00C01559" w:rsidRDefault="00B5675F" w:rsidP="00C73CAD">
      <w:pPr>
        <w:ind w:left="851"/>
        <w:rPr>
          <w:noProof/>
          <w:sz w:val="24"/>
          <w:szCs w:val="24"/>
        </w:rPr>
      </w:pPr>
      <w:r w:rsidRPr="00C01559">
        <w:rPr>
          <w:sz w:val="24"/>
          <w:szCs w:val="24"/>
        </w:rPr>
        <w:t xml:space="preserve">Majsstivelse, </w:t>
      </w:r>
      <w:proofErr w:type="spellStart"/>
      <w:r w:rsidRPr="00C01559">
        <w:rPr>
          <w:sz w:val="24"/>
          <w:szCs w:val="24"/>
        </w:rPr>
        <w:t>pregelatineret</w:t>
      </w:r>
      <w:proofErr w:type="spellEnd"/>
    </w:p>
    <w:p w14:paraId="39C0C00B" w14:textId="77777777" w:rsidR="00B5675F" w:rsidRPr="00C01559" w:rsidRDefault="00B5675F" w:rsidP="00C73CAD">
      <w:pPr>
        <w:ind w:left="851"/>
        <w:rPr>
          <w:noProof/>
          <w:sz w:val="24"/>
          <w:szCs w:val="24"/>
        </w:rPr>
      </w:pPr>
      <w:proofErr w:type="spellStart"/>
      <w:r w:rsidRPr="00C01559">
        <w:rPr>
          <w:sz w:val="24"/>
          <w:szCs w:val="24"/>
        </w:rPr>
        <w:t>Magnesiumstearat</w:t>
      </w:r>
      <w:proofErr w:type="spellEnd"/>
      <w:r w:rsidRPr="00C01559">
        <w:rPr>
          <w:sz w:val="24"/>
          <w:szCs w:val="24"/>
        </w:rPr>
        <w:t xml:space="preserve"> (E572)</w:t>
      </w:r>
    </w:p>
    <w:p w14:paraId="3A3DEA88" w14:textId="77777777" w:rsidR="009260DE" w:rsidRPr="00C01559" w:rsidRDefault="009260DE" w:rsidP="009260DE">
      <w:pPr>
        <w:tabs>
          <w:tab w:val="left" w:pos="851"/>
        </w:tabs>
        <w:ind w:left="851"/>
        <w:rPr>
          <w:sz w:val="24"/>
          <w:szCs w:val="24"/>
        </w:rPr>
      </w:pPr>
    </w:p>
    <w:p w14:paraId="745B26EA" w14:textId="77777777" w:rsidR="009260DE" w:rsidRPr="00C01559" w:rsidRDefault="009260DE" w:rsidP="009260DE">
      <w:pPr>
        <w:tabs>
          <w:tab w:val="left" w:pos="851"/>
        </w:tabs>
        <w:ind w:left="851" w:hanging="851"/>
        <w:rPr>
          <w:b/>
          <w:sz w:val="24"/>
          <w:szCs w:val="24"/>
        </w:rPr>
      </w:pPr>
      <w:r w:rsidRPr="00C01559">
        <w:rPr>
          <w:b/>
          <w:sz w:val="24"/>
          <w:szCs w:val="24"/>
        </w:rPr>
        <w:t>6.2</w:t>
      </w:r>
      <w:r w:rsidRPr="00C01559">
        <w:rPr>
          <w:b/>
          <w:sz w:val="24"/>
          <w:szCs w:val="24"/>
        </w:rPr>
        <w:tab/>
        <w:t>Uforligeligheder</w:t>
      </w:r>
    </w:p>
    <w:p w14:paraId="3BEA78AC" w14:textId="77777777" w:rsidR="00B5675F" w:rsidRPr="00C01559" w:rsidRDefault="00B5675F" w:rsidP="00C73CAD">
      <w:pPr>
        <w:ind w:left="851"/>
        <w:rPr>
          <w:sz w:val="24"/>
          <w:szCs w:val="24"/>
        </w:rPr>
      </w:pPr>
      <w:r w:rsidRPr="00C01559">
        <w:rPr>
          <w:sz w:val="24"/>
          <w:szCs w:val="24"/>
        </w:rPr>
        <w:t>Ikke relevant.</w:t>
      </w:r>
    </w:p>
    <w:p w14:paraId="1CB8E2EC" w14:textId="77777777" w:rsidR="009260DE" w:rsidRPr="00C01559" w:rsidRDefault="009260DE" w:rsidP="009260DE">
      <w:pPr>
        <w:tabs>
          <w:tab w:val="left" w:pos="851"/>
        </w:tabs>
        <w:ind w:left="851"/>
        <w:rPr>
          <w:sz w:val="24"/>
          <w:szCs w:val="24"/>
        </w:rPr>
      </w:pPr>
    </w:p>
    <w:p w14:paraId="7BE64967" w14:textId="77777777" w:rsidR="009260DE" w:rsidRPr="00C01559" w:rsidRDefault="009260DE" w:rsidP="009260DE">
      <w:pPr>
        <w:tabs>
          <w:tab w:val="left" w:pos="851"/>
        </w:tabs>
        <w:ind w:left="851" w:hanging="851"/>
        <w:rPr>
          <w:b/>
          <w:sz w:val="24"/>
          <w:szCs w:val="24"/>
        </w:rPr>
      </w:pPr>
      <w:r w:rsidRPr="00C01559">
        <w:rPr>
          <w:b/>
          <w:sz w:val="24"/>
          <w:szCs w:val="24"/>
        </w:rPr>
        <w:t>6.3</w:t>
      </w:r>
      <w:r w:rsidRPr="00C01559">
        <w:rPr>
          <w:b/>
          <w:sz w:val="24"/>
          <w:szCs w:val="24"/>
        </w:rPr>
        <w:tab/>
        <w:t>Opbevaringstid</w:t>
      </w:r>
    </w:p>
    <w:p w14:paraId="37D771DD" w14:textId="77777777" w:rsidR="00B5675F" w:rsidRPr="00C01559" w:rsidRDefault="00B5675F" w:rsidP="00C73CAD">
      <w:pPr>
        <w:ind w:left="851"/>
        <w:rPr>
          <w:sz w:val="24"/>
          <w:szCs w:val="24"/>
        </w:rPr>
      </w:pPr>
      <w:r w:rsidRPr="00C01559">
        <w:rPr>
          <w:sz w:val="24"/>
          <w:szCs w:val="24"/>
        </w:rPr>
        <w:t>24 måneder</w:t>
      </w:r>
    </w:p>
    <w:p w14:paraId="6F960A48" w14:textId="77777777" w:rsidR="009260DE" w:rsidRPr="00C01559" w:rsidRDefault="009260DE" w:rsidP="009260DE">
      <w:pPr>
        <w:tabs>
          <w:tab w:val="left" w:pos="851"/>
        </w:tabs>
        <w:ind w:left="851"/>
        <w:rPr>
          <w:sz w:val="24"/>
          <w:szCs w:val="24"/>
        </w:rPr>
      </w:pPr>
    </w:p>
    <w:p w14:paraId="6A15653D" w14:textId="77777777" w:rsidR="009260DE" w:rsidRPr="00C01559" w:rsidRDefault="009260DE" w:rsidP="009260DE">
      <w:pPr>
        <w:tabs>
          <w:tab w:val="left" w:pos="851"/>
        </w:tabs>
        <w:ind w:left="851" w:hanging="851"/>
        <w:rPr>
          <w:b/>
          <w:sz w:val="24"/>
          <w:szCs w:val="24"/>
        </w:rPr>
      </w:pPr>
      <w:r w:rsidRPr="00C01559">
        <w:rPr>
          <w:b/>
          <w:sz w:val="24"/>
          <w:szCs w:val="24"/>
        </w:rPr>
        <w:t>6.4</w:t>
      </w:r>
      <w:r w:rsidRPr="00C01559">
        <w:rPr>
          <w:b/>
          <w:sz w:val="24"/>
          <w:szCs w:val="24"/>
        </w:rPr>
        <w:tab/>
        <w:t>Særlige opbevaringsforhold</w:t>
      </w:r>
    </w:p>
    <w:p w14:paraId="6F7AEFDE" w14:textId="77777777" w:rsidR="00AD22C5" w:rsidRDefault="00B5675F" w:rsidP="00C73CAD">
      <w:pPr>
        <w:ind w:left="851"/>
        <w:rPr>
          <w:sz w:val="24"/>
          <w:szCs w:val="24"/>
        </w:rPr>
      </w:pPr>
      <w:r w:rsidRPr="00C01559">
        <w:rPr>
          <w:sz w:val="24"/>
          <w:szCs w:val="24"/>
        </w:rPr>
        <w:t xml:space="preserve">Må ikke opbevares ved temperaturer over 30 °C. </w:t>
      </w:r>
    </w:p>
    <w:p w14:paraId="61AA6458" w14:textId="2B0B66FE" w:rsidR="00B5675F" w:rsidRPr="00C01559" w:rsidRDefault="00B5675F" w:rsidP="00C73CAD">
      <w:pPr>
        <w:ind w:left="851"/>
        <w:rPr>
          <w:sz w:val="24"/>
          <w:szCs w:val="24"/>
        </w:rPr>
      </w:pPr>
      <w:r w:rsidRPr="00C01559">
        <w:rPr>
          <w:sz w:val="24"/>
          <w:szCs w:val="24"/>
        </w:rPr>
        <w:t>Opbevares i den originale yderpakning for at beskytte mod lys.</w:t>
      </w:r>
    </w:p>
    <w:p w14:paraId="2A29417F" w14:textId="77777777" w:rsidR="009260DE" w:rsidRPr="00C01559" w:rsidRDefault="009260DE" w:rsidP="009260DE">
      <w:pPr>
        <w:tabs>
          <w:tab w:val="left" w:pos="851"/>
        </w:tabs>
        <w:ind w:left="851"/>
        <w:rPr>
          <w:sz w:val="24"/>
          <w:szCs w:val="24"/>
        </w:rPr>
      </w:pPr>
    </w:p>
    <w:p w14:paraId="0BC27623" w14:textId="77777777" w:rsidR="009260DE" w:rsidRPr="00C01559" w:rsidRDefault="009260DE" w:rsidP="009260DE">
      <w:pPr>
        <w:tabs>
          <w:tab w:val="left" w:pos="851"/>
        </w:tabs>
        <w:ind w:left="851" w:hanging="851"/>
        <w:rPr>
          <w:b/>
          <w:sz w:val="24"/>
          <w:szCs w:val="24"/>
        </w:rPr>
      </w:pPr>
      <w:r w:rsidRPr="00C01559">
        <w:rPr>
          <w:b/>
          <w:sz w:val="24"/>
          <w:szCs w:val="24"/>
        </w:rPr>
        <w:t>6.5</w:t>
      </w:r>
      <w:r w:rsidRPr="00C01559">
        <w:rPr>
          <w:b/>
          <w:sz w:val="24"/>
          <w:szCs w:val="24"/>
        </w:rPr>
        <w:tab/>
        <w:t>Emballagetype og pakningsstørrelser</w:t>
      </w:r>
    </w:p>
    <w:p w14:paraId="33CAB2BA" w14:textId="77777777" w:rsidR="00B5675F" w:rsidRPr="00C01559" w:rsidRDefault="00B5675F" w:rsidP="00C73CAD">
      <w:pPr>
        <w:ind w:left="851"/>
        <w:rPr>
          <w:sz w:val="24"/>
          <w:szCs w:val="24"/>
        </w:rPr>
      </w:pPr>
      <w:r w:rsidRPr="00C01559">
        <w:rPr>
          <w:sz w:val="24"/>
          <w:szCs w:val="24"/>
        </w:rPr>
        <w:t xml:space="preserve">Blisterpakning af </w:t>
      </w:r>
      <w:proofErr w:type="spellStart"/>
      <w:r w:rsidRPr="00C01559">
        <w:rPr>
          <w:sz w:val="24"/>
          <w:szCs w:val="24"/>
        </w:rPr>
        <w:t>alu</w:t>
      </w:r>
      <w:proofErr w:type="spellEnd"/>
      <w:r w:rsidRPr="00C01559">
        <w:rPr>
          <w:sz w:val="24"/>
          <w:szCs w:val="24"/>
        </w:rPr>
        <w:t>/PVC/PVDC: 30 og 100 tabletter.</w:t>
      </w:r>
    </w:p>
    <w:p w14:paraId="02375C4C" w14:textId="77777777" w:rsidR="00B5675F" w:rsidRPr="00C01559" w:rsidRDefault="00B5675F" w:rsidP="00C73CAD">
      <w:pPr>
        <w:ind w:left="851"/>
        <w:rPr>
          <w:sz w:val="24"/>
          <w:szCs w:val="24"/>
        </w:rPr>
      </w:pPr>
    </w:p>
    <w:p w14:paraId="20DC711B" w14:textId="77777777" w:rsidR="00B5675F" w:rsidRPr="00C01559" w:rsidRDefault="00B5675F" w:rsidP="00C73CAD">
      <w:pPr>
        <w:ind w:left="851"/>
        <w:rPr>
          <w:sz w:val="24"/>
          <w:szCs w:val="24"/>
        </w:rPr>
      </w:pPr>
      <w:r w:rsidRPr="00C01559">
        <w:rPr>
          <w:sz w:val="24"/>
          <w:szCs w:val="24"/>
        </w:rPr>
        <w:t>Ikke alle pakningsstørrelser er nødvendigvis markedsført.</w:t>
      </w:r>
    </w:p>
    <w:p w14:paraId="735A0210" w14:textId="77777777" w:rsidR="009260DE" w:rsidRPr="00C01559" w:rsidRDefault="009260DE" w:rsidP="009260DE">
      <w:pPr>
        <w:tabs>
          <w:tab w:val="left" w:pos="851"/>
        </w:tabs>
        <w:ind w:left="851"/>
        <w:rPr>
          <w:sz w:val="24"/>
          <w:szCs w:val="24"/>
        </w:rPr>
      </w:pPr>
    </w:p>
    <w:p w14:paraId="5F0E0E8E" w14:textId="77777777" w:rsidR="009260DE" w:rsidRPr="00C01559" w:rsidRDefault="009260DE" w:rsidP="009260DE">
      <w:pPr>
        <w:tabs>
          <w:tab w:val="left" w:pos="851"/>
        </w:tabs>
        <w:ind w:left="851" w:hanging="851"/>
        <w:rPr>
          <w:b/>
          <w:sz w:val="24"/>
          <w:szCs w:val="24"/>
        </w:rPr>
      </w:pPr>
      <w:r w:rsidRPr="00C01559">
        <w:rPr>
          <w:b/>
          <w:sz w:val="24"/>
          <w:szCs w:val="24"/>
        </w:rPr>
        <w:t>6.6</w:t>
      </w:r>
      <w:r w:rsidRPr="00C01559">
        <w:rPr>
          <w:b/>
          <w:sz w:val="24"/>
          <w:szCs w:val="24"/>
        </w:rPr>
        <w:tab/>
        <w:t xml:space="preserve">Regler for </w:t>
      </w:r>
      <w:r w:rsidR="00BD7931" w:rsidRPr="00C01559">
        <w:rPr>
          <w:b/>
          <w:sz w:val="24"/>
          <w:szCs w:val="24"/>
        </w:rPr>
        <w:t>bortskaffelse</w:t>
      </w:r>
      <w:r w:rsidRPr="00C01559">
        <w:rPr>
          <w:b/>
          <w:sz w:val="24"/>
          <w:szCs w:val="24"/>
        </w:rPr>
        <w:t xml:space="preserve"> og anden håndtering</w:t>
      </w:r>
    </w:p>
    <w:p w14:paraId="4D0A3581" w14:textId="77777777" w:rsidR="00C01559" w:rsidRPr="00C01559" w:rsidRDefault="00C01559" w:rsidP="00C73CAD">
      <w:pPr>
        <w:ind w:left="851"/>
        <w:rPr>
          <w:sz w:val="24"/>
          <w:szCs w:val="24"/>
        </w:rPr>
      </w:pPr>
    </w:p>
    <w:p w14:paraId="2B87C97F" w14:textId="6ED3C3C4" w:rsidR="00B5675F" w:rsidRPr="00C01559" w:rsidRDefault="00B5675F" w:rsidP="00C73CAD">
      <w:pPr>
        <w:ind w:left="851"/>
        <w:rPr>
          <w:sz w:val="24"/>
          <w:szCs w:val="24"/>
          <w:u w:val="single"/>
        </w:rPr>
      </w:pPr>
      <w:r w:rsidRPr="00C01559">
        <w:rPr>
          <w:sz w:val="24"/>
          <w:szCs w:val="24"/>
          <w:u w:val="single"/>
        </w:rPr>
        <w:t>Sikker håndtering</w:t>
      </w:r>
    </w:p>
    <w:p w14:paraId="1349D9F1" w14:textId="77777777" w:rsidR="00B5675F" w:rsidRPr="00C01559" w:rsidRDefault="00B5675F" w:rsidP="00C73CAD">
      <w:pPr>
        <w:ind w:left="851"/>
        <w:rPr>
          <w:sz w:val="24"/>
          <w:szCs w:val="24"/>
        </w:rPr>
      </w:pPr>
    </w:p>
    <w:p w14:paraId="133AACFF" w14:textId="77777777" w:rsidR="00B5675F" w:rsidRPr="00C01559" w:rsidRDefault="00B5675F" w:rsidP="00C73CAD">
      <w:pPr>
        <w:ind w:left="851"/>
        <w:rPr>
          <w:sz w:val="24"/>
          <w:szCs w:val="24"/>
        </w:rPr>
      </w:pPr>
      <w:r w:rsidRPr="00C01559">
        <w:rPr>
          <w:sz w:val="24"/>
          <w:szCs w:val="24"/>
        </w:rPr>
        <w:t xml:space="preserve">Personer, der håndterer </w:t>
      </w:r>
      <w:proofErr w:type="spellStart"/>
      <w:r w:rsidRPr="00C01559">
        <w:rPr>
          <w:sz w:val="24"/>
          <w:szCs w:val="24"/>
        </w:rPr>
        <w:t>methotrexat</w:t>
      </w:r>
      <w:proofErr w:type="spellEnd"/>
      <w:r w:rsidRPr="00C01559">
        <w:rPr>
          <w:sz w:val="24"/>
          <w:szCs w:val="24"/>
        </w:rPr>
        <w:t xml:space="preserve">, skal vaske hænder før og efter administration af en dosis. For at reducere eksponeringsrisikoen skal forældre og omsorgspersoner bruge engangshandsker i forbindelse med håndtering af </w:t>
      </w:r>
      <w:proofErr w:type="spellStart"/>
      <w:r w:rsidRPr="00C01559">
        <w:rPr>
          <w:sz w:val="24"/>
          <w:szCs w:val="24"/>
        </w:rPr>
        <w:t>methotrexat</w:t>
      </w:r>
      <w:proofErr w:type="spellEnd"/>
      <w:r w:rsidRPr="00C01559">
        <w:rPr>
          <w:sz w:val="24"/>
          <w:szCs w:val="24"/>
        </w:rPr>
        <w:t>.</w:t>
      </w:r>
    </w:p>
    <w:p w14:paraId="4D0B8030" w14:textId="77777777" w:rsidR="00B5675F" w:rsidRPr="00C01559" w:rsidRDefault="00B5675F" w:rsidP="00C73CAD">
      <w:pPr>
        <w:ind w:left="851"/>
        <w:rPr>
          <w:sz w:val="24"/>
          <w:szCs w:val="24"/>
        </w:rPr>
      </w:pPr>
      <w:r w:rsidRPr="00C01559">
        <w:rPr>
          <w:sz w:val="24"/>
          <w:szCs w:val="24"/>
        </w:rPr>
        <w:t xml:space="preserve">Kontakt med hud og slimhinder skal undgås. Hvis </w:t>
      </w:r>
      <w:proofErr w:type="spellStart"/>
      <w:r w:rsidRPr="00C01559">
        <w:rPr>
          <w:sz w:val="24"/>
          <w:szCs w:val="24"/>
        </w:rPr>
        <w:t>methotrexat</w:t>
      </w:r>
      <w:proofErr w:type="spellEnd"/>
      <w:r w:rsidRPr="00C01559">
        <w:rPr>
          <w:sz w:val="24"/>
          <w:szCs w:val="24"/>
        </w:rPr>
        <w:t xml:space="preserve"> kommer i kontakt med hud eller slimhinder, skal der omgående vaskes grundigt med vand og sæbe.</w:t>
      </w:r>
    </w:p>
    <w:p w14:paraId="4D418B33" w14:textId="77777777" w:rsidR="00B5675F" w:rsidRPr="00C01559" w:rsidRDefault="00B5675F" w:rsidP="00C73CAD">
      <w:pPr>
        <w:ind w:left="851"/>
        <w:rPr>
          <w:sz w:val="24"/>
          <w:szCs w:val="24"/>
        </w:rPr>
      </w:pPr>
    </w:p>
    <w:p w14:paraId="66861498" w14:textId="77777777" w:rsidR="00B5675F" w:rsidRPr="00C01559" w:rsidRDefault="00B5675F" w:rsidP="00C73CAD">
      <w:pPr>
        <w:ind w:left="851"/>
        <w:rPr>
          <w:sz w:val="24"/>
          <w:szCs w:val="24"/>
        </w:rPr>
      </w:pPr>
      <w:r w:rsidRPr="00C01559">
        <w:rPr>
          <w:sz w:val="24"/>
          <w:szCs w:val="24"/>
        </w:rPr>
        <w:t xml:space="preserve">Kvinder, der er gravide, planlægger at blive gravide eller ammer, bør ikke håndtere </w:t>
      </w:r>
      <w:proofErr w:type="spellStart"/>
      <w:r w:rsidRPr="00C01559">
        <w:rPr>
          <w:sz w:val="24"/>
          <w:szCs w:val="24"/>
        </w:rPr>
        <w:t>methotrexat</w:t>
      </w:r>
      <w:proofErr w:type="spellEnd"/>
      <w:r w:rsidRPr="00C01559">
        <w:rPr>
          <w:sz w:val="24"/>
          <w:szCs w:val="24"/>
        </w:rPr>
        <w:t>.</w:t>
      </w:r>
    </w:p>
    <w:p w14:paraId="40D0E8BB" w14:textId="77777777" w:rsidR="00B5675F" w:rsidRPr="00C01559" w:rsidRDefault="00B5675F" w:rsidP="00C73CAD">
      <w:pPr>
        <w:ind w:left="851"/>
        <w:rPr>
          <w:sz w:val="24"/>
          <w:szCs w:val="24"/>
        </w:rPr>
      </w:pPr>
    </w:p>
    <w:p w14:paraId="297D1BC9" w14:textId="77777777" w:rsidR="00B5675F" w:rsidRPr="00C01559" w:rsidRDefault="00B5675F" w:rsidP="00C73CAD">
      <w:pPr>
        <w:ind w:left="851"/>
        <w:rPr>
          <w:sz w:val="24"/>
          <w:szCs w:val="24"/>
        </w:rPr>
      </w:pPr>
      <w:r w:rsidRPr="00C01559">
        <w:rPr>
          <w:sz w:val="24"/>
          <w:szCs w:val="24"/>
        </w:rPr>
        <w:t xml:space="preserve">Forældre, omsorgspersoner og patienter skal rådes til at opbevare </w:t>
      </w:r>
      <w:proofErr w:type="spellStart"/>
      <w:r w:rsidRPr="00C01559">
        <w:rPr>
          <w:sz w:val="24"/>
          <w:szCs w:val="24"/>
        </w:rPr>
        <w:t>methotrexat</w:t>
      </w:r>
      <w:proofErr w:type="spellEnd"/>
      <w:r w:rsidRPr="00C01559">
        <w:rPr>
          <w:sz w:val="24"/>
          <w:szCs w:val="24"/>
        </w:rPr>
        <w:t xml:space="preserve"> utilgængeligt for børn, helst i et aflåst skab.</w:t>
      </w:r>
    </w:p>
    <w:p w14:paraId="3F9FBD4B" w14:textId="77777777" w:rsidR="00B5675F" w:rsidRPr="00C01559" w:rsidRDefault="00B5675F" w:rsidP="00C73CAD">
      <w:pPr>
        <w:ind w:left="851"/>
        <w:rPr>
          <w:sz w:val="24"/>
          <w:szCs w:val="24"/>
        </w:rPr>
      </w:pPr>
    </w:p>
    <w:p w14:paraId="6E2DC6D3" w14:textId="77777777" w:rsidR="00B5675F" w:rsidRPr="00C01559" w:rsidRDefault="00B5675F" w:rsidP="00C73CAD">
      <w:pPr>
        <w:ind w:left="851"/>
        <w:rPr>
          <w:sz w:val="24"/>
          <w:szCs w:val="24"/>
        </w:rPr>
      </w:pPr>
      <w:r w:rsidRPr="00C01559">
        <w:rPr>
          <w:sz w:val="24"/>
          <w:szCs w:val="24"/>
        </w:rPr>
        <w:t>Utilsigtet indtagelse kan medføre død hos børn.</w:t>
      </w:r>
    </w:p>
    <w:p w14:paraId="6D319206" w14:textId="77777777" w:rsidR="00B5675F" w:rsidRPr="00C01559" w:rsidRDefault="00B5675F" w:rsidP="00C73CAD">
      <w:pPr>
        <w:ind w:left="851"/>
        <w:rPr>
          <w:sz w:val="24"/>
          <w:szCs w:val="24"/>
        </w:rPr>
      </w:pPr>
    </w:p>
    <w:p w14:paraId="21BBD64F" w14:textId="77777777" w:rsidR="00B5675F" w:rsidRPr="00C01559" w:rsidRDefault="00B5675F" w:rsidP="00C73CAD">
      <w:pPr>
        <w:ind w:left="851"/>
        <w:rPr>
          <w:sz w:val="24"/>
          <w:szCs w:val="24"/>
        </w:rPr>
      </w:pPr>
      <w:r w:rsidRPr="00C01559">
        <w:rPr>
          <w:sz w:val="24"/>
          <w:szCs w:val="24"/>
        </w:rPr>
        <w:t xml:space="preserve">De sædvanlige forsigtighedsregler vedrørende håndtering af </w:t>
      </w:r>
      <w:proofErr w:type="spellStart"/>
      <w:r w:rsidRPr="00C01559">
        <w:rPr>
          <w:sz w:val="24"/>
          <w:szCs w:val="24"/>
        </w:rPr>
        <w:t>cytostatika</w:t>
      </w:r>
      <w:proofErr w:type="spellEnd"/>
      <w:r w:rsidRPr="00C01559">
        <w:rPr>
          <w:sz w:val="24"/>
          <w:szCs w:val="24"/>
        </w:rPr>
        <w:t xml:space="preserve"> skal overholdes.</w:t>
      </w:r>
    </w:p>
    <w:p w14:paraId="3E195E5B" w14:textId="77777777" w:rsidR="00B5675F" w:rsidRPr="00C01559" w:rsidRDefault="00B5675F" w:rsidP="00C73CAD">
      <w:pPr>
        <w:ind w:left="851"/>
        <w:rPr>
          <w:sz w:val="24"/>
          <w:szCs w:val="24"/>
        </w:rPr>
      </w:pPr>
      <w:r w:rsidRPr="00C01559">
        <w:rPr>
          <w:sz w:val="24"/>
          <w:szCs w:val="24"/>
        </w:rPr>
        <w:t xml:space="preserve"> </w:t>
      </w:r>
    </w:p>
    <w:p w14:paraId="6E4591BD" w14:textId="77777777" w:rsidR="00B5675F" w:rsidRPr="00C01559" w:rsidRDefault="00B5675F" w:rsidP="00C73CAD">
      <w:pPr>
        <w:ind w:left="851"/>
        <w:rPr>
          <w:sz w:val="24"/>
          <w:szCs w:val="24"/>
        </w:rPr>
      </w:pPr>
      <w:r w:rsidRPr="00C01559">
        <w:rPr>
          <w:sz w:val="24"/>
          <w:szCs w:val="24"/>
        </w:rPr>
        <w:t>Ikke anvendt lægemiddel samt affald heraf skal bortskaffes i henhold til lokale retningslinjer.</w:t>
      </w:r>
    </w:p>
    <w:p w14:paraId="7E7A033A" w14:textId="77777777" w:rsidR="009260DE" w:rsidRPr="00C01559" w:rsidRDefault="009260DE" w:rsidP="000730CA">
      <w:pPr>
        <w:tabs>
          <w:tab w:val="left" w:pos="851"/>
        </w:tabs>
        <w:ind w:left="851"/>
        <w:rPr>
          <w:sz w:val="24"/>
          <w:szCs w:val="24"/>
        </w:rPr>
      </w:pPr>
    </w:p>
    <w:p w14:paraId="29DAD037" w14:textId="77777777" w:rsidR="009260DE" w:rsidRPr="00C01559" w:rsidRDefault="009260DE" w:rsidP="009260DE">
      <w:pPr>
        <w:tabs>
          <w:tab w:val="left" w:pos="851"/>
        </w:tabs>
        <w:ind w:left="851" w:hanging="851"/>
        <w:rPr>
          <w:b/>
          <w:sz w:val="24"/>
          <w:szCs w:val="24"/>
        </w:rPr>
      </w:pPr>
      <w:r w:rsidRPr="00C01559">
        <w:rPr>
          <w:b/>
          <w:sz w:val="24"/>
          <w:szCs w:val="24"/>
        </w:rPr>
        <w:t>7.</w:t>
      </w:r>
      <w:r w:rsidRPr="00C01559">
        <w:rPr>
          <w:b/>
          <w:sz w:val="24"/>
          <w:szCs w:val="24"/>
        </w:rPr>
        <w:tab/>
        <w:t>INDEHAVER AF MARKEDSFØRINGSTILLADELSEN</w:t>
      </w:r>
    </w:p>
    <w:p w14:paraId="1394D330" w14:textId="77777777" w:rsidR="00B5675F" w:rsidRPr="00C01559" w:rsidRDefault="00B5675F" w:rsidP="00C73CAD">
      <w:pPr>
        <w:ind w:left="851"/>
        <w:rPr>
          <w:sz w:val="24"/>
          <w:szCs w:val="24"/>
        </w:rPr>
      </w:pPr>
      <w:r w:rsidRPr="00C01559">
        <w:rPr>
          <w:sz w:val="24"/>
          <w:szCs w:val="24"/>
        </w:rPr>
        <w:t>2care4 Generics ApS</w:t>
      </w:r>
    </w:p>
    <w:p w14:paraId="4F76A23E" w14:textId="77777777" w:rsidR="00B5675F" w:rsidRPr="00C01559" w:rsidRDefault="00B5675F" w:rsidP="00C73CAD">
      <w:pPr>
        <w:ind w:left="851"/>
        <w:rPr>
          <w:sz w:val="24"/>
          <w:szCs w:val="24"/>
        </w:rPr>
      </w:pPr>
      <w:r w:rsidRPr="00C01559">
        <w:rPr>
          <w:sz w:val="24"/>
          <w:szCs w:val="24"/>
        </w:rPr>
        <w:t>Stenhuggervej 12-14</w:t>
      </w:r>
    </w:p>
    <w:p w14:paraId="153AFB25" w14:textId="77777777" w:rsidR="00B5675F" w:rsidRPr="00C01559" w:rsidRDefault="00B5675F" w:rsidP="00C73CAD">
      <w:pPr>
        <w:ind w:left="851"/>
        <w:rPr>
          <w:sz w:val="24"/>
          <w:szCs w:val="24"/>
        </w:rPr>
      </w:pPr>
      <w:r w:rsidRPr="00C01559">
        <w:rPr>
          <w:sz w:val="24"/>
          <w:szCs w:val="24"/>
        </w:rPr>
        <w:t>6710 Esbjerg V</w:t>
      </w:r>
    </w:p>
    <w:p w14:paraId="2E875143" w14:textId="77777777" w:rsidR="00641C65" w:rsidRPr="00C01559" w:rsidRDefault="00641C65" w:rsidP="009260DE">
      <w:pPr>
        <w:tabs>
          <w:tab w:val="left" w:pos="851"/>
        </w:tabs>
        <w:ind w:left="851"/>
        <w:rPr>
          <w:sz w:val="24"/>
          <w:szCs w:val="24"/>
        </w:rPr>
      </w:pPr>
    </w:p>
    <w:p w14:paraId="18454A5D" w14:textId="77777777" w:rsidR="009260DE" w:rsidRPr="00C01559" w:rsidRDefault="009260DE" w:rsidP="009260DE">
      <w:pPr>
        <w:tabs>
          <w:tab w:val="left" w:pos="851"/>
        </w:tabs>
        <w:ind w:left="851" w:hanging="851"/>
        <w:rPr>
          <w:b/>
          <w:sz w:val="24"/>
          <w:szCs w:val="24"/>
        </w:rPr>
      </w:pPr>
      <w:r w:rsidRPr="00C01559">
        <w:rPr>
          <w:b/>
          <w:sz w:val="24"/>
          <w:szCs w:val="24"/>
        </w:rPr>
        <w:lastRenderedPageBreak/>
        <w:t>8.</w:t>
      </w:r>
      <w:r w:rsidRPr="00C01559">
        <w:rPr>
          <w:b/>
          <w:sz w:val="24"/>
          <w:szCs w:val="24"/>
        </w:rPr>
        <w:tab/>
        <w:t>MARKEDSFØRINGSTILLADELSESNUMMER (</w:t>
      </w:r>
      <w:r w:rsidR="00BF6243" w:rsidRPr="00C01559">
        <w:rPr>
          <w:b/>
          <w:sz w:val="24"/>
          <w:szCs w:val="24"/>
        </w:rPr>
        <w:t>-</w:t>
      </w:r>
      <w:r w:rsidRPr="00C01559">
        <w:rPr>
          <w:b/>
          <w:sz w:val="24"/>
          <w:szCs w:val="24"/>
        </w:rPr>
        <w:t>NUMRE)</w:t>
      </w:r>
    </w:p>
    <w:p w14:paraId="35428F27" w14:textId="4423B257" w:rsidR="009260DE" w:rsidRPr="00C01559" w:rsidRDefault="00B5675F" w:rsidP="009260DE">
      <w:pPr>
        <w:tabs>
          <w:tab w:val="left" w:pos="851"/>
        </w:tabs>
        <w:ind w:left="851"/>
        <w:rPr>
          <w:sz w:val="24"/>
          <w:szCs w:val="24"/>
        </w:rPr>
      </w:pPr>
      <w:r w:rsidRPr="00C01559">
        <w:rPr>
          <w:sz w:val="24"/>
          <w:szCs w:val="24"/>
        </w:rPr>
        <w:t>70604</w:t>
      </w:r>
    </w:p>
    <w:p w14:paraId="557A9BF1" w14:textId="77777777" w:rsidR="009260DE" w:rsidRPr="00C01559" w:rsidRDefault="009260DE" w:rsidP="009260DE">
      <w:pPr>
        <w:tabs>
          <w:tab w:val="left" w:pos="851"/>
        </w:tabs>
        <w:ind w:left="851"/>
        <w:jc w:val="both"/>
        <w:rPr>
          <w:sz w:val="24"/>
          <w:szCs w:val="24"/>
        </w:rPr>
      </w:pPr>
    </w:p>
    <w:p w14:paraId="5BBD3F0C" w14:textId="77777777" w:rsidR="009260DE" w:rsidRPr="00C01559" w:rsidRDefault="009260DE" w:rsidP="009260DE">
      <w:pPr>
        <w:tabs>
          <w:tab w:val="left" w:pos="851"/>
        </w:tabs>
        <w:ind w:left="851" w:hanging="851"/>
        <w:rPr>
          <w:b/>
          <w:sz w:val="24"/>
          <w:szCs w:val="24"/>
        </w:rPr>
      </w:pPr>
      <w:r w:rsidRPr="00C01559">
        <w:rPr>
          <w:b/>
          <w:sz w:val="24"/>
          <w:szCs w:val="24"/>
        </w:rPr>
        <w:t>9.</w:t>
      </w:r>
      <w:r w:rsidRPr="00C01559">
        <w:rPr>
          <w:b/>
          <w:sz w:val="24"/>
          <w:szCs w:val="24"/>
        </w:rPr>
        <w:tab/>
        <w:t>DATO FOR FØRSTE MARKEDSFØRINGSTILLADELSE</w:t>
      </w:r>
    </w:p>
    <w:p w14:paraId="062888AE" w14:textId="14BBE74D" w:rsidR="009260DE" w:rsidRPr="00C01559" w:rsidRDefault="00734D3F" w:rsidP="009260DE">
      <w:pPr>
        <w:tabs>
          <w:tab w:val="left" w:pos="851"/>
        </w:tabs>
        <w:ind w:left="851"/>
        <w:rPr>
          <w:sz w:val="24"/>
          <w:szCs w:val="24"/>
        </w:rPr>
      </w:pPr>
      <w:r>
        <w:rPr>
          <w:sz w:val="24"/>
          <w:szCs w:val="24"/>
        </w:rPr>
        <w:t>20. februar 2025</w:t>
      </w:r>
    </w:p>
    <w:p w14:paraId="5C101C1A" w14:textId="77777777" w:rsidR="009260DE" w:rsidRPr="00C01559" w:rsidRDefault="009260DE" w:rsidP="009260DE">
      <w:pPr>
        <w:tabs>
          <w:tab w:val="left" w:pos="851"/>
        </w:tabs>
        <w:ind w:left="851"/>
        <w:rPr>
          <w:sz w:val="24"/>
          <w:szCs w:val="24"/>
        </w:rPr>
      </w:pPr>
    </w:p>
    <w:p w14:paraId="711307AE" w14:textId="77777777" w:rsidR="009260DE" w:rsidRPr="00C01559" w:rsidRDefault="009260DE" w:rsidP="009260DE">
      <w:pPr>
        <w:tabs>
          <w:tab w:val="left" w:pos="851"/>
        </w:tabs>
        <w:ind w:left="851" w:hanging="851"/>
        <w:rPr>
          <w:b/>
          <w:sz w:val="24"/>
          <w:szCs w:val="24"/>
        </w:rPr>
      </w:pPr>
      <w:r w:rsidRPr="00C01559">
        <w:rPr>
          <w:b/>
          <w:sz w:val="24"/>
          <w:szCs w:val="24"/>
        </w:rPr>
        <w:t>10.</w:t>
      </w:r>
      <w:r w:rsidRPr="00C01559">
        <w:rPr>
          <w:b/>
          <w:sz w:val="24"/>
          <w:szCs w:val="24"/>
        </w:rPr>
        <w:tab/>
        <w:t>DATO FOR ÆNDRING AF TEKSTEN</w:t>
      </w:r>
    </w:p>
    <w:p w14:paraId="021A902E" w14:textId="6300CDF6" w:rsidR="009260DE" w:rsidRPr="00C01559" w:rsidRDefault="00B5675F" w:rsidP="009260DE">
      <w:pPr>
        <w:tabs>
          <w:tab w:val="left" w:pos="851"/>
        </w:tabs>
        <w:ind w:left="851"/>
        <w:rPr>
          <w:sz w:val="24"/>
          <w:szCs w:val="24"/>
        </w:rPr>
      </w:pPr>
      <w:r w:rsidRPr="00C01559">
        <w:rPr>
          <w:sz w:val="24"/>
          <w:szCs w:val="24"/>
        </w:rPr>
        <w:t>-</w:t>
      </w:r>
    </w:p>
    <w:sectPr w:rsidR="009260DE" w:rsidRPr="00C01559" w:rsidSect="0050131E">
      <w:footerReference w:type="default" r:id="rId9"/>
      <w:footerReference w:type="first" r:id="rId10"/>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87CA6" w14:textId="77777777" w:rsidR="00B5675F" w:rsidRDefault="00B5675F">
      <w:r>
        <w:separator/>
      </w:r>
    </w:p>
  </w:endnote>
  <w:endnote w:type="continuationSeparator" w:id="0">
    <w:p w14:paraId="553EE294" w14:textId="77777777" w:rsidR="00B5675F" w:rsidRDefault="00B5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CBE2" w14:textId="77777777" w:rsidR="00B5675F" w:rsidRDefault="00B5675F">
    <w:pPr>
      <w:pStyle w:val="Sidefod"/>
      <w:pBdr>
        <w:bottom w:val="single" w:sz="6" w:space="1" w:color="auto"/>
      </w:pBdr>
    </w:pPr>
  </w:p>
  <w:p w14:paraId="31456FF9" w14:textId="77777777" w:rsidR="00B5675F" w:rsidRDefault="00B5675F" w:rsidP="00C42586">
    <w:pPr>
      <w:pStyle w:val="Sidefod"/>
      <w:tabs>
        <w:tab w:val="clear" w:pos="4819"/>
        <w:tab w:val="left" w:pos="8505"/>
      </w:tabs>
      <w:rPr>
        <w:i/>
        <w:sz w:val="18"/>
        <w:szCs w:val="18"/>
      </w:rPr>
    </w:pPr>
  </w:p>
  <w:p w14:paraId="4FE57940" w14:textId="38C98F31" w:rsidR="00B5675F" w:rsidRPr="00B373D7" w:rsidRDefault="00B5675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260D4">
      <w:rPr>
        <w:i/>
        <w:noProof/>
        <w:sz w:val="18"/>
        <w:szCs w:val="18"/>
      </w:rPr>
      <w:t>Methotrexate Afortas,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93FCD" w14:textId="77777777" w:rsidR="008260D4" w:rsidRDefault="008260D4" w:rsidP="008260D4">
    <w:pPr>
      <w:pStyle w:val="Sidefod"/>
      <w:pBdr>
        <w:bottom w:val="single" w:sz="6" w:space="1" w:color="auto"/>
      </w:pBdr>
    </w:pPr>
  </w:p>
  <w:p w14:paraId="09B184C1" w14:textId="77777777" w:rsidR="008260D4" w:rsidRDefault="008260D4" w:rsidP="008260D4">
    <w:pPr>
      <w:pStyle w:val="Sidefod"/>
      <w:tabs>
        <w:tab w:val="clear" w:pos="4819"/>
        <w:tab w:val="left" w:pos="8505"/>
      </w:tabs>
      <w:rPr>
        <w:i/>
        <w:sz w:val="18"/>
        <w:szCs w:val="18"/>
      </w:rPr>
    </w:pPr>
  </w:p>
  <w:p w14:paraId="11F5BBF1" w14:textId="4C916676" w:rsidR="0050131E" w:rsidRPr="008260D4" w:rsidRDefault="008260D4" w:rsidP="008260D4">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Methotrexate Afortas,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21</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54F37" w14:textId="77777777" w:rsidR="00B5675F" w:rsidRDefault="00B5675F">
      <w:r>
        <w:separator/>
      </w:r>
    </w:p>
  </w:footnote>
  <w:footnote w:type="continuationSeparator" w:id="0">
    <w:p w14:paraId="3E350633" w14:textId="77777777" w:rsidR="00B5675F" w:rsidRDefault="00B56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8B8"/>
    <w:multiLevelType w:val="multilevel"/>
    <w:tmpl w:val="00EE12EE"/>
    <w:lvl w:ilvl="0">
      <w:start w:val="1"/>
      <w:numFmt w:val="decimal"/>
      <w:lvlText w:val="%1."/>
      <w:lvlJc w:val="left"/>
      <w:pPr>
        <w:ind w:left="806" w:hanging="568"/>
      </w:pPr>
      <w:rPr>
        <w:rFonts w:ascii="Cambria" w:eastAsia="Cambria" w:hAnsi="Cambria" w:cs="Cambria" w:hint="default"/>
        <w:b/>
        <w:bCs/>
        <w:i w:val="0"/>
        <w:iCs w:val="0"/>
        <w:spacing w:val="0"/>
        <w:w w:val="84"/>
        <w:sz w:val="22"/>
        <w:szCs w:val="22"/>
        <w:lang w:val="en-US" w:eastAsia="en-US" w:bidi="ar-SA"/>
      </w:rPr>
    </w:lvl>
    <w:lvl w:ilvl="1">
      <w:start w:val="1"/>
      <w:numFmt w:val="decimal"/>
      <w:lvlText w:val="%1.%2"/>
      <w:lvlJc w:val="left"/>
      <w:pPr>
        <w:ind w:left="806" w:hanging="568"/>
      </w:pPr>
      <w:rPr>
        <w:rFonts w:ascii="Cambria" w:eastAsia="Cambria" w:hAnsi="Cambria" w:cs="Cambria" w:hint="default"/>
        <w:b/>
        <w:bCs/>
        <w:i w:val="0"/>
        <w:iCs w:val="0"/>
        <w:spacing w:val="0"/>
        <w:w w:val="84"/>
        <w:sz w:val="22"/>
        <w:szCs w:val="22"/>
        <w:lang w:val="en-US" w:eastAsia="en-US" w:bidi="ar-SA"/>
      </w:rPr>
    </w:lvl>
    <w:lvl w:ilvl="2">
      <w:numFmt w:val="bullet"/>
      <w:lvlText w:val=""/>
      <w:lvlJc w:val="left"/>
      <w:pPr>
        <w:ind w:left="806" w:hanging="568"/>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3513" w:hanging="568"/>
      </w:pPr>
      <w:rPr>
        <w:lang w:val="en-US" w:eastAsia="en-US" w:bidi="ar-SA"/>
      </w:rPr>
    </w:lvl>
    <w:lvl w:ilvl="4">
      <w:numFmt w:val="bullet"/>
      <w:lvlText w:val="•"/>
      <w:lvlJc w:val="left"/>
      <w:pPr>
        <w:ind w:left="4418" w:hanging="568"/>
      </w:pPr>
      <w:rPr>
        <w:lang w:val="en-US" w:eastAsia="en-US" w:bidi="ar-SA"/>
      </w:rPr>
    </w:lvl>
    <w:lvl w:ilvl="5">
      <w:numFmt w:val="bullet"/>
      <w:lvlText w:val="•"/>
      <w:lvlJc w:val="left"/>
      <w:pPr>
        <w:ind w:left="5323" w:hanging="568"/>
      </w:pPr>
      <w:rPr>
        <w:lang w:val="en-US" w:eastAsia="en-US" w:bidi="ar-SA"/>
      </w:rPr>
    </w:lvl>
    <w:lvl w:ilvl="6">
      <w:numFmt w:val="bullet"/>
      <w:lvlText w:val="•"/>
      <w:lvlJc w:val="left"/>
      <w:pPr>
        <w:ind w:left="6227" w:hanging="568"/>
      </w:pPr>
      <w:rPr>
        <w:lang w:val="en-US" w:eastAsia="en-US" w:bidi="ar-SA"/>
      </w:rPr>
    </w:lvl>
    <w:lvl w:ilvl="7">
      <w:numFmt w:val="bullet"/>
      <w:lvlText w:val="•"/>
      <w:lvlJc w:val="left"/>
      <w:pPr>
        <w:ind w:left="7132" w:hanging="568"/>
      </w:pPr>
      <w:rPr>
        <w:lang w:val="en-US" w:eastAsia="en-US" w:bidi="ar-SA"/>
      </w:rPr>
    </w:lvl>
    <w:lvl w:ilvl="8">
      <w:numFmt w:val="bullet"/>
      <w:lvlText w:val="•"/>
      <w:lvlJc w:val="left"/>
      <w:pPr>
        <w:ind w:left="8037" w:hanging="568"/>
      </w:pPr>
      <w:rPr>
        <w:lang w:val="en-US" w:eastAsia="en-US" w:bidi="ar-SA"/>
      </w:rPr>
    </w:lvl>
  </w:abstractNum>
  <w:abstractNum w:abstractNumId="1" w15:restartNumberingAfterBreak="0">
    <w:nsid w:val="027C7F46"/>
    <w:multiLevelType w:val="hybridMultilevel"/>
    <w:tmpl w:val="D996E74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D900C53"/>
    <w:multiLevelType w:val="hybridMultilevel"/>
    <w:tmpl w:val="FD04053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1E6488A"/>
    <w:multiLevelType w:val="hybridMultilevel"/>
    <w:tmpl w:val="E00AA4C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3D319FF"/>
    <w:multiLevelType w:val="hybridMultilevel"/>
    <w:tmpl w:val="E2EE73BE"/>
    <w:lvl w:ilvl="0" w:tplc="5630FA0C">
      <w:numFmt w:val="bullet"/>
      <w:lvlText w:val="-"/>
      <w:lvlJc w:val="left"/>
      <w:pPr>
        <w:ind w:left="1571"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E7B5576"/>
    <w:multiLevelType w:val="hybridMultilevel"/>
    <w:tmpl w:val="CA582E08"/>
    <w:lvl w:ilvl="0" w:tplc="5630FA0C">
      <w:numFmt w:val="bullet"/>
      <w:lvlText w:val="-"/>
      <w:lvlJc w:val="left"/>
      <w:pPr>
        <w:ind w:left="1571"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1926491"/>
    <w:multiLevelType w:val="hybridMultilevel"/>
    <w:tmpl w:val="DABE40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61B40ED9"/>
    <w:multiLevelType w:val="hybridMultilevel"/>
    <w:tmpl w:val="9A00825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7748552F"/>
    <w:multiLevelType w:val="hybridMultilevel"/>
    <w:tmpl w:val="473C3902"/>
    <w:lvl w:ilvl="0" w:tplc="5630FA0C">
      <w:numFmt w:val="bullet"/>
      <w:lvlText w:val="-"/>
      <w:lvlJc w:val="left"/>
      <w:pPr>
        <w:ind w:left="806" w:hanging="568"/>
      </w:pPr>
      <w:rPr>
        <w:rFonts w:ascii="Times New Roman" w:eastAsia="Times New Roman" w:hAnsi="Times New Roman" w:cs="Times New Roman" w:hint="default"/>
        <w:b w:val="0"/>
        <w:bCs w:val="0"/>
        <w:i w:val="0"/>
        <w:iCs w:val="0"/>
        <w:spacing w:val="0"/>
        <w:w w:val="99"/>
        <w:sz w:val="22"/>
        <w:szCs w:val="22"/>
        <w:lang w:val="en-US" w:eastAsia="en-US" w:bidi="ar-SA"/>
      </w:rPr>
    </w:lvl>
    <w:lvl w:ilvl="1" w:tplc="5A409D06">
      <w:numFmt w:val="bullet"/>
      <w:lvlText w:val="•"/>
      <w:lvlJc w:val="left"/>
      <w:pPr>
        <w:ind w:left="1704" w:hanging="568"/>
      </w:pPr>
      <w:rPr>
        <w:lang w:val="en-US" w:eastAsia="en-US" w:bidi="ar-SA"/>
      </w:rPr>
    </w:lvl>
    <w:lvl w:ilvl="2" w:tplc="87286C32">
      <w:numFmt w:val="bullet"/>
      <w:lvlText w:val="•"/>
      <w:lvlJc w:val="left"/>
      <w:pPr>
        <w:ind w:left="2609" w:hanging="568"/>
      </w:pPr>
      <w:rPr>
        <w:lang w:val="en-US" w:eastAsia="en-US" w:bidi="ar-SA"/>
      </w:rPr>
    </w:lvl>
    <w:lvl w:ilvl="3" w:tplc="14045ED6">
      <w:numFmt w:val="bullet"/>
      <w:lvlText w:val="•"/>
      <w:lvlJc w:val="left"/>
      <w:pPr>
        <w:ind w:left="3513" w:hanging="568"/>
      </w:pPr>
      <w:rPr>
        <w:lang w:val="en-US" w:eastAsia="en-US" w:bidi="ar-SA"/>
      </w:rPr>
    </w:lvl>
    <w:lvl w:ilvl="4" w:tplc="9EEC3894">
      <w:numFmt w:val="bullet"/>
      <w:lvlText w:val="•"/>
      <w:lvlJc w:val="left"/>
      <w:pPr>
        <w:ind w:left="4418" w:hanging="568"/>
      </w:pPr>
      <w:rPr>
        <w:lang w:val="en-US" w:eastAsia="en-US" w:bidi="ar-SA"/>
      </w:rPr>
    </w:lvl>
    <w:lvl w:ilvl="5" w:tplc="121408A2">
      <w:numFmt w:val="bullet"/>
      <w:lvlText w:val="•"/>
      <w:lvlJc w:val="left"/>
      <w:pPr>
        <w:ind w:left="5323" w:hanging="568"/>
      </w:pPr>
      <w:rPr>
        <w:lang w:val="en-US" w:eastAsia="en-US" w:bidi="ar-SA"/>
      </w:rPr>
    </w:lvl>
    <w:lvl w:ilvl="6" w:tplc="B03C7350">
      <w:numFmt w:val="bullet"/>
      <w:lvlText w:val="•"/>
      <w:lvlJc w:val="left"/>
      <w:pPr>
        <w:ind w:left="6227" w:hanging="568"/>
      </w:pPr>
      <w:rPr>
        <w:lang w:val="en-US" w:eastAsia="en-US" w:bidi="ar-SA"/>
      </w:rPr>
    </w:lvl>
    <w:lvl w:ilvl="7" w:tplc="5ADC288A">
      <w:numFmt w:val="bullet"/>
      <w:lvlText w:val="•"/>
      <w:lvlJc w:val="left"/>
      <w:pPr>
        <w:ind w:left="7132" w:hanging="568"/>
      </w:pPr>
      <w:rPr>
        <w:lang w:val="en-US" w:eastAsia="en-US" w:bidi="ar-SA"/>
      </w:rPr>
    </w:lvl>
    <w:lvl w:ilvl="8" w:tplc="7C8A1B02">
      <w:numFmt w:val="bullet"/>
      <w:lvlText w:val="•"/>
      <w:lvlJc w:val="left"/>
      <w:pPr>
        <w:ind w:left="8037" w:hanging="568"/>
      </w:pPr>
      <w:rPr>
        <w:lang w:val="en-US" w:eastAsia="en-US" w:bidi="ar-SA"/>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1"/>
  </w:num>
  <w:num w:numId="8">
    <w:abstractNumId w:val="12"/>
  </w:num>
  <w:num w:numId="9">
    <w:abstractNumId w:val="13"/>
  </w:num>
  <w:num w:numId="10">
    <w:abstractNumId w:val="11"/>
  </w:num>
  <w:num w:numId="11">
    <w:abstractNumId w:val="5"/>
  </w:num>
  <w:num w:numId="12">
    <w:abstractNumId w:val="7"/>
  </w:num>
  <w:num w:numId="13">
    <w:abstractNumId w:val="1"/>
  </w:num>
  <w:num w:numId="14">
    <w:abstractNumId w:val="1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D5"/>
    <w:rsid w:val="000259B9"/>
    <w:rsid w:val="00041491"/>
    <w:rsid w:val="00044A00"/>
    <w:rsid w:val="00050D16"/>
    <w:rsid w:val="000730CA"/>
    <w:rsid w:val="00074F2A"/>
    <w:rsid w:val="00082FF6"/>
    <w:rsid w:val="000A1CA8"/>
    <w:rsid w:val="000A466B"/>
    <w:rsid w:val="000B058C"/>
    <w:rsid w:val="000D68B0"/>
    <w:rsid w:val="000E4EE6"/>
    <w:rsid w:val="001454E2"/>
    <w:rsid w:val="001F6EE9"/>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0131E"/>
    <w:rsid w:val="00532310"/>
    <w:rsid w:val="00565F0F"/>
    <w:rsid w:val="00594A86"/>
    <w:rsid w:val="00596D86"/>
    <w:rsid w:val="00637F5A"/>
    <w:rsid w:val="00641C65"/>
    <w:rsid w:val="006560B1"/>
    <w:rsid w:val="006756DD"/>
    <w:rsid w:val="0071241E"/>
    <w:rsid w:val="00734D3F"/>
    <w:rsid w:val="00737275"/>
    <w:rsid w:val="00740EEC"/>
    <w:rsid w:val="0078011A"/>
    <w:rsid w:val="00782AF4"/>
    <w:rsid w:val="00790EE7"/>
    <w:rsid w:val="007B6649"/>
    <w:rsid w:val="008124CA"/>
    <w:rsid w:val="0082576E"/>
    <w:rsid w:val="008260D4"/>
    <w:rsid w:val="00870E8F"/>
    <w:rsid w:val="0089346F"/>
    <w:rsid w:val="00907F75"/>
    <w:rsid w:val="009260DE"/>
    <w:rsid w:val="0093258A"/>
    <w:rsid w:val="009C7BA3"/>
    <w:rsid w:val="009D1F5A"/>
    <w:rsid w:val="00A10294"/>
    <w:rsid w:val="00AD1BD5"/>
    <w:rsid w:val="00AD22C5"/>
    <w:rsid w:val="00B003BF"/>
    <w:rsid w:val="00B373D7"/>
    <w:rsid w:val="00B55271"/>
    <w:rsid w:val="00B5675F"/>
    <w:rsid w:val="00BD7931"/>
    <w:rsid w:val="00BF6243"/>
    <w:rsid w:val="00C01559"/>
    <w:rsid w:val="00C36276"/>
    <w:rsid w:val="00C42586"/>
    <w:rsid w:val="00C45F6B"/>
    <w:rsid w:val="00C60CCD"/>
    <w:rsid w:val="00C73CAD"/>
    <w:rsid w:val="00C84483"/>
    <w:rsid w:val="00C95551"/>
    <w:rsid w:val="00CB20D7"/>
    <w:rsid w:val="00D020B0"/>
    <w:rsid w:val="00D11748"/>
    <w:rsid w:val="00D237F6"/>
    <w:rsid w:val="00D34D98"/>
    <w:rsid w:val="00D366CF"/>
    <w:rsid w:val="00D46E0A"/>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ABBFD2"/>
  <w15:chartTrackingRefBased/>
  <w15:docId w15:val="{A40F0FC3-3F5A-4D54-A740-5366A880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B5675F"/>
    <w:rPr>
      <w:i/>
      <w:color w:val="008000"/>
      <w:sz w:val="22"/>
    </w:rPr>
  </w:style>
  <w:style w:type="character" w:customStyle="1" w:styleId="BrdtekstTegn">
    <w:name w:val="Brødtekst Tegn"/>
    <w:basedOn w:val="Standardskrifttypeiafsnit"/>
    <w:link w:val="Brdtekst"/>
    <w:uiPriority w:val="1"/>
    <w:semiHidden/>
    <w:rsid w:val="00B5675F"/>
    <w:rPr>
      <w:i/>
      <w:color w:val="008000"/>
      <w:sz w:val="22"/>
      <w:lang w:eastAsia="en-US"/>
    </w:rPr>
  </w:style>
  <w:style w:type="paragraph" w:styleId="Listeafsnit">
    <w:name w:val="List Paragraph"/>
    <w:basedOn w:val="Normal"/>
    <w:uiPriority w:val="1"/>
    <w:qFormat/>
    <w:rsid w:val="00B5675F"/>
    <w:pPr>
      <w:tabs>
        <w:tab w:val="left" w:pos="567"/>
      </w:tabs>
      <w:spacing w:line="260" w:lineRule="exact"/>
      <w:ind w:left="720"/>
      <w:contextualSpacing/>
    </w:pPr>
    <w:rPr>
      <w:sz w:val="22"/>
    </w:rPr>
  </w:style>
  <w:style w:type="table" w:styleId="Tabel-Gitter">
    <w:name w:val="Table Grid"/>
    <w:basedOn w:val="Tabel-Normal"/>
    <w:rsid w:val="00B5675F"/>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B5675F"/>
    <w:rPr>
      <w:color w:val="0563C1" w:themeColor="hyperlink"/>
      <w:u w:val="single"/>
    </w:rPr>
  </w:style>
  <w:style w:type="paragraph" w:customStyle="1" w:styleId="TableParagraph">
    <w:name w:val="Table Paragraph"/>
    <w:basedOn w:val="Normal"/>
    <w:uiPriority w:val="1"/>
    <w:qFormat/>
    <w:rsid w:val="00B5675F"/>
    <w:pPr>
      <w:widowControl w:val="0"/>
      <w:autoSpaceDE w:val="0"/>
      <w:autoSpaceDN w:val="0"/>
      <w:ind w:left="29"/>
    </w:pPr>
    <w:rPr>
      <w:sz w:val="22"/>
      <w:szCs w:val="22"/>
    </w:rPr>
  </w:style>
  <w:style w:type="paragraph" w:styleId="NormalWeb">
    <w:name w:val="Normal (Web)"/>
    <w:basedOn w:val="Normal"/>
    <w:uiPriority w:val="99"/>
    <w:semiHidden/>
    <w:unhideWhenUsed/>
    <w:rsid w:val="00B5675F"/>
    <w:pPr>
      <w:spacing w:before="100" w:beforeAutospacing="1" w:after="100" w:afterAutospacing="1"/>
    </w:pPr>
    <w:rPr>
      <w:rFonts w:eastAsia="Calibri"/>
      <w:sz w:val="24"/>
      <w:szCs w:val="24"/>
      <w:lang w:eastAsia="da-DK"/>
    </w:rPr>
  </w:style>
  <w:style w:type="character" w:customStyle="1" w:styleId="SidefodTegn">
    <w:name w:val="Sidefod Tegn"/>
    <w:basedOn w:val="Standardskrifttypeiafsnit"/>
    <w:link w:val="Sidefod"/>
    <w:rsid w:val="008260D4"/>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8599">
      <w:bodyDiv w:val="1"/>
      <w:marLeft w:val="0"/>
      <w:marRight w:val="0"/>
      <w:marTop w:val="0"/>
      <w:marBottom w:val="0"/>
      <w:divBdr>
        <w:top w:val="none" w:sz="0" w:space="0" w:color="auto"/>
        <w:left w:val="none" w:sz="0" w:space="0" w:color="auto"/>
        <w:bottom w:val="none" w:sz="0" w:space="0" w:color="auto"/>
        <w:right w:val="none" w:sz="0" w:space="0" w:color="auto"/>
      </w:divBdr>
    </w:div>
    <w:div w:id="1307560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9320545">
      <w:bodyDiv w:val="1"/>
      <w:marLeft w:val="0"/>
      <w:marRight w:val="0"/>
      <w:marTop w:val="0"/>
      <w:marBottom w:val="0"/>
      <w:divBdr>
        <w:top w:val="none" w:sz="0" w:space="0" w:color="auto"/>
        <w:left w:val="none" w:sz="0" w:space="0" w:color="auto"/>
        <w:bottom w:val="none" w:sz="0" w:space="0" w:color="auto"/>
        <w:right w:val="none" w:sz="0" w:space="0" w:color="auto"/>
      </w:divBdr>
    </w:div>
    <w:div w:id="214005099">
      <w:bodyDiv w:val="1"/>
      <w:marLeft w:val="0"/>
      <w:marRight w:val="0"/>
      <w:marTop w:val="0"/>
      <w:marBottom w:val="0"/>
      <w:divBdr>
        <w:top w:val="none" w:sz="0" w:space="0" w:color="auto"/>
        <w:left w:val="none" w:sz="0" w:space="0" w:color="auto"/>
        <w:bottom w:val="none" w:sz="0" w:space="0" w:color="auto"/>
        <w:right w:val="none" w:sz="0" w:space="0" w:color="auto"/>
      </w:divBdr>
    </w:div>
    <w:div w:id="305744327">
      <w:bodyDiv w:val="1"/>
      <w:marLeft w:val="0"/>
      <w:marRight w:val="0"/>
      <w:marTop w:val="0"/>
      <w:marBottom w:val="0"/>
      <w:divBdr>
        <w:top w:val="none" w:sz="0" w:space="0" w:color="auto"/>
        <w:left w:val="none" w:sz="0" w:space="0" w:color="auto"/>
        <w:bottom w:val="none" w:sz="0" w:space="0" w:color="auto"/>
        <w:right w:val="none" w:sz="0" w:space="0" w:color="auto"/>
      </w:divBdr>
    </w:div>
    <w:div w:id="319968500">
      <w:bodyDiv w:val="1"/>
      <w:marLeft w:val="0"/>
      <w:marRight w:val="0"/>
      <w:marTop w:val="0"/>
      <w:marBottom w:val="0"/>
      <w:divBdr>
        <w:top w:val="none" w:sz="0" w:space="0" w:color="auto"/>
        <w:left w:val="none" w:sz="0" w:space="0" w:color="auto"/>
        <w:bottom w:val="none" w:sz="0" w:space="0" w:color="auto"/>
        <w:right w:val="none" w:sz="0" w:space="0" w:color="auto"/>
      </w:divBdr>
    </w:div>
    <w:div w:id="404374561">
      <w:bodyDiv w:val="1"/>
      <w:marLeft w:val="0"/>
      <w:marRight w:val="0"/>
      <w:marTop w:val="0"/>
      <w:marBottom w:val="0"/>
      <w:divBdr>
        <w:top w:val="none" w:sz="0" w:space="0" w:color="auto"/>
        <w:left w:val="none" w:sz="0" w:space="0" w:color="auto"/>
        <w:bottom w:val="none" w:sz="0" w:space="0" w:color="auto"/>
        <w:right w:val="none" w:sz="0" w:space="0" w:color="auto"/>
      </w:divBdr>
    </w:div>
    <w:div w:id="550650167">
      <w:bodyDiv w:val="1"/>
      <w:marLeft w:val="0"/>
      <w:marRight w:val="0"/>
      <w:marTop w:val="0"/>
      <w:marBottom w:val="0"/>
      <w:divBdr>
        <w:top w:val="none" w:sz="0" w:space="0" w:color="auto"/>
        <w:left w:val="none" w:sz="0" w:space="0" w:color="auto"/>
        <w:bottom w:val="none" w:sz="0" w:space="0" w:color="auto"/>
        <w:right w:val="none" w:sz="0" w:space="0" w:color="auto"/>
      </w:divBdr>
    </w:div>
    <w:div w:id="574977516">
      <w:bodyDiv w:val="1"/>
      <w:marLeft w:val="0"/>
      <w:marRight w:val="0"/>
      <w:marTop w:val="0"/>
      <w:marBottom w:val="0"/>
      <w:divBdr>
        <w:top w:val="none" w:sz="0" w:space="0" w:color="auto"/>
        <w:left w:val="none" w:sz="0" w:space="0" w:color="auto"/>
        <w:bottom w:val="none" w:sz="0" w:space="0" w:color="auto"/>
        <w:right w:val="none" w:sz="0" w:space="0" w:color="auto"/>
      </w:divBdr>
    </w:div>
    <w:div w:id="604773073">
      <w:bodyDiv w:val="1"/>
      <w:marLeft w:val="0"/>
      <w:marRight w:val="0"/>
      <w:marTop w:val="0"/>
      <w:marBottom w:val="0"/>
      <w:divBdr>
        <w:top w:val="none" w:sz="0" w:space="0" w:color="auto"/>
        <w:left w:val="none" w:sz="0" w:space="0" w:color="auto"/>
        <w:bottom w:val="none" w:sz="0" w:space="0" w:color="auto"/>
        <w:right w:val="none" w:sz="0" w:space="0" w:color="auto"/>
      </w:divBdr>
    </w:div>
    <w:div w:id="620383688">
      <w:bodyDiv w:val="1"/>
      <w:marLeft w:val="0"/>
      <w:marRight w:val="0"/>
      <w:marTop w:val="0"/>
      <w:marBottom w:val="0"/>
      <w:divBdr>
        <w:top w:val="none" w:sz="0" w:space="0" w:color="auto"/>
        <w:left w:val="none" w:sz="0" w:space="0" w:color="auto"/>
        <w:bottom w:val="none" w:sz="0" w:space="0" w:color="auto"/>
        <w:right w:val="none" w:sz="0" w:space="0" w:color="auto"/>
      </w:divBdr>
    </w:div>
    <w:div w:id="689338061">
      <w:bodyDiv w:val="1"/>
      <w:marLeft w:val="0"/>
      <w:marRight w:val="0"/>
      <w:marTop w:val="0"/>
      <w:marBottom w:val="0"/>
      <w:divBdr>
        <w:top w:val="none" w:sz="0" w:space="0" w:color="auto"/>
        <w:left w:val="none" w:sz="0" w:space="0" w:color="auto"/>
        <w:bottom w:val="none" w:sz="0" w:space="0" w:color="auto"/>
        <w:right w:val="none" w:sz="0" w:space="0" w:color="auto"/>
      </w:divBdr>
    </w:div>
    <w:div w:id="839199682">
      <w:bodyDiv w:val="1"/>
      <w:marLeft w:val="0"/>
      <w:marRight w:val="0"/>
      <w:marTop w:val="0"/>
      <w:marBottom w:val="0"/>
      <w:divBdr>
        <w:top w:val="none" w:sz="0" w:space="0" w:color="auto"/>
        <w:left w:val="none" w:sz="0" w:space="0" w:color="auto"/>
        <w:bottom w:val="none" w:sz="0" w:space="0" w:color="auto"/>
        <w:right w:val="none" w:sz="0" w:space="0" w:color="auto"/>
      </w:divBdr>
    </w:div>
    <w:div w:id="886835460">
      <w:bodyDiv w:val="1"/>
      <w:marLeft w:val="0"/>
      <w:marRight w:val="0"/>
      <w:marTop w:val="0"/>
      <w:marBottom w:val="0"/>
      <w:divBdr>
        <w:top w:val="none" w:sz="0" w:space="0" w:color="auto"/>
        <w:left w:val="none" w:sz="0" w:space="0" w:color="auto"/>
        <w:bottom w:val="none" w:sz="0" w:space="0" w:color="auto"/>
        <w:right w:val="none" w:sz="0" w:space="0" w:color="auto"/>
      </w:divBdr>
    </w:div>
    <w:div w:id="939683612">
      <w:bodyDiv w:val="1"/>
      <w:marLeft w:val="0"/>
      <w:marRight w:val="0"/>
      <w:marTop w:val="0"/>
      <w:marBottom w:val="0"/>
      <w:divBdr>
        <w:top w:val="none" w:sz="0" w:space="0" w:color="auto"/>
        <w:left w:val="none" w:sz="0" w:space="0" w:color="auto"/>
        <w:bottom w:val="none" w:sz="0" w:space="0" w:color="auto"/>
        <w:right w:val="none" w:sz="0" w:space="0" w:color="auto"/>
      </w:divBdr>
    </w:div>
    <w:div w:id="963775642">
      <w:bodyDiv w:val="1"/>
      <w:marLeft w:val="0"/>
      <w:marRight w:val="0"/>
      <w:marTop w:val="0"/>
      <w:marBottom w:val="0"/>
      <w:divBdr>
        <w:top w:val="none" w:sz="0" w:space="0" w:color="auto"/>
        <w:left w:val="none" w:sz="0" w:space="0" w:color="auto"/>
        <w:bottom w:val="none" w:sz="0" w:space="0" w:color="auto"/>
        <w:right w:val="none" w:sz="0" w:space="0" w:color="auto"/>
      </w:divBdr>
    </w:div>
    <w:div w:id="1072509568">
      <w:bodyDiv w:val="1"/>
      <w:marLeft w:val="0"/>
      <w:marRight w:val="0"/>
      <w:marTop w:val="0"/>
      <w:marBottom w:val="0"/>
      <w:divBdr>
        <w:top w:val="none" w:sz="0" w:space="0" w:color="auto"/>
        <w:left w:val="none" w:sz="0" w:space="0" w:color="auto"/>
        <w:bottom w:val="none" w:sz="0" w:space="0" w:color="auto"/>
        <w:right w:val="none" w:sz="0" w:space="0" w:color="auto"/>
      </w:divBdr>
    </w:div>
    <w:div w:id="1075976260">
      <w:bodyDiv w:val="1"/>
      <w:marLeft w:val="0"/>
      <w:marRight w:val="0"/>
      <w:marTop w:val="0"/>
      <w:marBottom w:val="0"/>
      <w:divBdr>
        <w:top w:val="none" w:sz="0" w:space="0" w:color="auto"/>
        <w:left w:val="none" w:sz="0" w:space="0" w:color="auto"/>
        <w:bottom w:val="none" w:sz="0" w:space="0" w:color="auto"/>
        <w:right w:val="none" w:sz="0" w:space="0" w:color="auto"/>
      </w:divBdr>
    </w:div>
    <w:div w:id="1182279036">
      <w:bodyDiv w:val="1"/>
      <w:marLeft w:val="0"/>
      <w:marRight w:val="0"/>
      <w:marTop w:val="0"/>
      <w:marBottom w:val="0"/>
      <w:divBdr>
        <w:top w:val="none" w:sz="0" w:space="0" w:color="auto"/>
        <w:left w:val="none" w:sz="0" w:space="0" w:color="auto"/>
        <w:bottom w:val="none" w:sz="0" w:space="0" w:color="auto"/>
        <w:right w:val="none" w:sz="0" w:space="0" w:color="auto"/>
      </w:divBdr>
    </w:div>
    <w:div w:id="1215896855">
      <w:bodyDiv w:val="1"/>
      <w:marLeft w:val="0"/>
      <w:marRight w:val="0"/>
      <w:marTop w:val="0"/>
      <w:marBottom w:val="0"/>
      <w:divBdr>
        <w:top w:val="none" w:sz="0" w:space="0" w:color="auto"/>
        <w:left w:val="none" w:sz="0" w:space="0" w:color="auto"/>
        <w:bottom w:val="none" w:sz="0" w:space="0" w:color="auto"/>
        <w:right w:val="none" w:sz="0" w:space="0" w:color="auto"/>
      </w:divBdr>
    </w:div>
    <w:div w:id="1572349613">
      <w:bodyDiv w:val="1"/>
      <w:marLeft w:val="0"/>
      <w:marRight w:val="0"/>
      <w:marTop w:val="0"/>
      <w:marBottom w:val="0"/>
      <w:divBdr>
        <w:top w:val="none" w:sz="0" w:space="0" w:color="auto"/>
        <w:left w:val="none" w:sz="0" w:space="0" w:color="auto"/>
        <w:bottom w:val="none" w:sz="0" w:space="0" w:color="auto"/>
        <w:right w:val="none" w:sz="0" w:space="0" w:color="auto"/>
      </w:divBdr>
    </w:div>
    <w:div w:id="20970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132</TotalTime>
  <Pages>20</Pages>
  <Words>5990</Words>
  <Characters>41975</Characters>
  <Application>Microsoft Office Word</Application>
  <DocSecurity>0</DocSecurity>
  <Lines>349</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2023104566, MT</dc:description>
  <cp:lastModifiedBy>Gitte Jørgensen</cp:lastModifiedBy>
  <cp:revision>8</cp:revision>
  <cp:lastPrinted>2012-08-22T08:53:00Z</cp:lastPrinted>
  <dcterms:created xsi:type="dcterms:W3CDTF">2025-02-18T10:02:00Z</dcterms:created>
  <dcterms:modified xsi:type="dcterms:W3CDTF">2025-02-20T13:21:00Z</dcterms:modified>
</cp:coreProperties>
</file>