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1DF" w:rsidRPr="00C84483" w:rsidRDefault="007A01DF" w:rsidP="007A01DF">
      <w:pPr>
        <w:rPr>
          <w:sz w:val="24"/>
          <w:szCs w:val="24"/>
        </w:rPr>
      </w:pPr>
      <w:r>
        <w:rPr>
          <w:noProof/>
          <w:sz w:val="24"/>
          <w:szCs w:val="24"/>
          <w:lang w:eastAsia="da-DK"/>
        </w:rPr>
        <w:drawing>
          <wp:inline distT="0" distB="0" distL="0" distR="0" wp14:anchorId="17BAA6FA" wp14:editId="6EA48A5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7A01DF" w:rsidRPr="00C84483" w:rsidRDefault="007A01DF" w:rsidP="007A01DF">
      <w:pPr>
        <w:pStyle w:val="Titel"/>
        <w:tabs>
          <w:tab w:val="right" w:pos="9356"/>
        </w:tabs>
        <w:jc w:val="left"/>
        <w:rPr>
          <w:b w:val="0"/>
          <w:szCs w:val="24"/>
          <w:lang w:eastAsia="en-US"/>
        </w:rPr>
      </w:pPr>
    </w:p>
    <w:p w:rsidR="007A01DF" w:rsidRPr="00C84483" w:rsidRDefault="007A01DF" w:rsidP="007A01DF">
      <w:pPr>
        <w:pStyle w:val="Titel"/>
        <w:tabs>
          <w:tab w:val="right" w:pos="9356"/>
        </w:tabs>
        <w:jc w:val="left"/>
        <w:rPr>
          <w:b w:val="0"/>
          <w:szCs w:val="24"/>
          <w:lang w:eastAsia="en-US"/>
        </w:rPr>
      </w:pPr>
      <w:r w:rsidRPr="00C84483">
        <w:rPr>
          <w:b w:val="0"/>
          <w:szCs w:val="24"/>
          <w:lang w:eastAsia="en-US"/>
        </w:rPr>
        <w:tab/>
      </w:r>
      <w:r w:rsidR="00053E9D">
        <w:rPr>
          <w:szCs w:val="24"/>
          <w:lang w:eastAsia="en-US"/>
        </w:rPr>
        <w:t>1</w:t>
      </w:r>
      <w:r w:rsidR="00902FB4">
        <w:rPr>
          <w:szCs w:val="24"/>
          <w:lang w:eastAsia="en-US"/>
        </w:rPr>
        <w:t>2</w:t>
      </w:r>
      <w:r w:rsidR="00FB6824">
        <w:rPr>
          <w:szCs w:val="24"/>
          <w:lang w:eastAsia="en-US"/>
        </w:rPr>
        <w:t xml:space="preserve">. </w:t>
      </w:r>
      <w:r w:rsidR="00AF7C87">
        <w:rPr>
          <w:szCs w:val="24"/>
          <w:lang w:eastAsia="en-US"/>
        </w:rPr>
        <w:t>marts</w:t>
      </w:r>
      <w:r w:rsidR="00FB6824">
        <w:rPr>
          <w:szCs w:val="24"/>
          <w:lang w:eastAsia="en-US"/>
        </w:rPr>
        <w:t xml:space="preserve"> 202</w:t>
      </w:r>
      <w:r w:rsidR="00AF7C87">
        <w:rPr>
          <w:szCs w:val="24"/>
          <w:lang w:eastAsia="en-US"/>
        </w:rPr>
        <w:t>5</w:t>
      </w:r>
    </w:p>
    <w:p w:rsidR="007A01DF" w:rsidRPr="00C84483" w:rsidRDefault="007A01DF" w:rsidP="007A01DF">
      <w:pPr>
        <w:pStyle w:val="Titel"/>
        <w:jc w:val="left"/>
        <w:rPr>
          <w:b w:val="0"/>
          <w:szCs w:val="24"/>
        </w:rPr>
      </w:pPr>
    </w:p>
    <w:p w:rsidR="007A01DF" w:rsidRPr="00C84483" w:rsidRDefault="007A01DF" w:rsidP="007A01DF">
      <w:pPr>
        <w:pStyle w:val="Titel"/>
        <w:jc w:val="left"/>
        <w:rPr>
          <w:b w:val="0"/>
          <w:szCs w:val="24"/>
        </w:rPr>
      </w:pPr>
    </w:p>
    <w:p w:rsidR="007A01DF" w:rsidRPr="00C84483" w:rsidRDefault="007A01DF" w:rsidP="007A01DF">
      <w:pPr>
        <w:jc w:val="center"/>
        <w:rPr>
          <w:b/>
          <w:sz w:val="24"/>
          <w:szCs w:val="24"/>
        </w:rPr>
      </w:pPr>
      <w:r w:rsidRPr="00C84483">
        <w:rPr>
          <w:b/>
          <w:sz w:val="24"/>
          <w:szCs w:val="24"/>
        </w:rPr>
        <w:t>PRODUKTRESUMÉ</w:t>
      </w:r>
    </w:p>
    <w:p w:rsidR="007A01DF" w:rsidRPr="00C84483" w:rsidRDefault="00EF4B26" w:rsidP="00EF4B26">
      <w:pPr>
        <w:tabs>
          <w:tab w:val="left" w:pos="376"/>
        </w:tabs>
        <w:rPr>
          <w:b/>
          <w:sz w:val="24"/>
          <w:szCs w:val="24"/>
        </w:rPr>
      </w:pPr>
      <w:r>
        <w:rPr>
          <w:b/>
          <w:sz w:val="24"/>
          <w:szCs w:val="24"/>
        </w:rPr>
        <w:tab/>
      </w:r>
    </w:p>
    <w:p w:rsidR="007A01DF" w:rsidRPr="00C84483" w:rsidRDefault="007A01DF" w:rsidP="007A01DF">
      <w:pPr>
        <w:jc w:val="center"/>
        <w:rPr>
          <w:b/>
          <w:sz w:val="24"/>
          <w:szCs w:val="24"/>
        </w:rPr>
      </w:pPr>
      <w:r w:rsidRPr="00C84483">
        <w:rPr>
          <w:b/>
          <w:sz w:val="24"/>
          <w:szCs w:val="24"/>
        </w:rPr>
        <w:t>for</w:t>
      </w:r>
    </w:p>
    <w:p w:rsidR="007A01DF" w:rsidRPr="00C84483" w:rsidRDefault="007A01DF" w:rsidP="007A01DF">
      <w:pPr>
        <w:jc w:val="center"/>
        <w:rPr>
          <w:b/>
          <w:sz w:val="24"/>
          <w:szCs w:val="24"/>
        </w:rPr>
      </w:pPr>
    </w:p>
    <w:p w:rsidR="007A01DF" w:rsidRPr="00C84483" w:rsidRDefault="007A01DF" w:rsidP="007A01DF">
      <w:pPr>
        <w:jc w:val="center"/>
        <w:rPr>
          <w:b/>
          <w:sz w:val="24"/>
          <w:szCs w:val="24"/>
        </w:rPr>
      </w:pPr>
      <w:proofErr w:type="spellStart"/>
      <w:r>
        <w:rPr>
          <w:b/>
          <w:sz w:val="24"/>
          <w:szCs w:val="24"/>
        </w:rPr>
        <w:t>Methotrexate</w:t>
      </w:r>
      <w:proofErr w:type="spellEnd"/>
      <w:r>
        <w:rPr>
          <w:b/>
          <w:sz w:val="24"/>
          <w:szCs w:val="24"/>
        </w:rPr>
        <w:t xml:space="preserve"> ”Orion”, injektionsvæske, opløsning i fyldt injektionssprøjte</w:t>
      </w:r>
    </w:p>
    <w:p w:rsidR="007A01DF" w:rsidRPr="00C84483" w:rsidRDefault="007A01DF" w:rsidP="007A01DF">
      <w:pPr>
        <w:jc w:val="both"/>
        <w:rPr>
          <w:sz w:val="24"/>
          <w:szCs w:val="24"/>
        </w:rPr>
      </w:pPr>
    </w:p>
    <w:p w:rsidR="007A01DF" w:rsidRPr="00D74103" w:rsidRDefault="007A01DF" w:rsidP="007A01DF">
      <w:pPr>
        <w:ind w:left="851" w:hanging="851"/>
        <w:jc w:val="both"/>
        <w:rPr>
          <w:sz w:val="24"/>
          <w:szCs w:val="24"/>
        </w:rPr>
      </w:pPr>
    </w:p>
    <w:p w:rsidR="007A01DF" w:rsidRPr="00D74103" w:rsidRDefault="007A01DF" w:rsidP="007A01DF">
      <w:pPr>
        <w:ind w:left="851" w:hanging="851"/>
        <w:rPr>
          <w:b/>
          <w:sz w:val="24"/>
          <w:szCs w:val="24"/>
        </w:rPr>
      </w:pPr>
      <w:r w:rsidRPr="00D74103">
        <w:rPr>
          <w:b/>
          <w:sz w:val="24"/>
          <w:szCs w:val="24"/>
        </w:rPr>
        <w:t>0.</w:t>
      </w:r>
      <w:r w:rsidRPr="00D74103">
        <w:rPr>
          <w:b/>
          <w:sz w:val="24"/>
          <w:szCs w:val="24"/>
        </w:rPr>
        <w:tab/>
        <w:t>D.SP.NR.</w:t>
      </w:r>
    </w:p>
    <w:p w:rsidR="007A01DF" w:rsidRPr="00D74103" w:rsidRDefault="007A01DF" w:rsidP="007A01DF">
      <w:pPr>
        <w:ind w:left="851" w:hanging="851"/>
        <w:rPr>
          <w:sz w:val="24"/>
          <w:szCs w:val="24"/>
        </w:rPr>
      </w:pPr>
      <w:r w:rsidRPr="00D74103">
        <w:rPr>
          <w:sz w:val="24"/>
          <w:szCs w:val="24"/>
        </w:rPr>
        <w:tab/>
        <w:t>29193</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1.</w:t>
      </w:r>
      <w:r w:rsidRPr="00D74103">
        <w:rPr>
          <w:b/>
          <w:sz w:val="24"/>
          <w:szCs w:val="24"/>
        </w:rPr>
        <w:tab/>
        <w:t>LÆGEMIDLETS NAVN</w:t>
      </w:r>
    </w:p>
    <w:p w:rsidR="007A01DF" w:rsidRPr="00D74103" w:rsidRDefault="007A01DF" w:rsidP="007A01DF">
      <w:pPr>
        <w:ind w:left="851" w:hanging="851"/>
        <w:rPr>
          <w:sz w:val="24"/>
          <w:szCs w:val="24"/>
        </w:rPr>
      </w:pPr>
      <w:r w:rsidRPr="00D74103">
        <w:rPr>
          <w:sz w:val="24"/>
          <w:szCs w:val="24"/>
        </w:rPr>
        <w:tab/>
      </w:r>
      <w:proofErr w:type="spellStart"/>
      <w:r w:rsidRPr="00D74103">
        <w:rPr>
          <w:sz w:val="24"/>
          <w:szCs w:val="24"/>
        </w:rPr>
        <w:t>Methotrexate</w:t>
      </w:r>
      <w:proofErr w:type="spellEnd"/>
      <w:r w:rsidRPr="00D74103">
        <w:rPr>
          <w:sz w:val="24"/>
          <w:szCs w:val="24"/>
        </w:rPr>
        <w:t xml:space="preserve"> ”Orion”</w:t>
      </w:r>
    </w:p>
    <w:p w:rsidR="007A01DF" w:rsidRPr="00D74103" w:rsidRDefault="007A01DF" w:rsidP="007A01DF">
      <w:pPr>
        <w:ind w:left="851" w:hanging="851"/>
        <w:rPr>
          <w:sz w:val="24"/>
          <w:szCs w:val="24"/>
        </w:rPr>
      </w:pPr>
      <w:r w:rsidRPr="00D74103">
        <w:rPr>
          <w:sz w:val="24"/>
          <w:szCs w:val="24"/>
        </w:rPr>
        <w:tab/>
      </w:r>
    </w:p>
    <w:p w:rsidR="007A01DF" w:rsidRPr="00D74103" w:rsidRDefault="007A01DF" w:rsidP="007A01DF">
      <w:pPr>
        <w:ind w:left="851" w:hanging="851"/>
        <w:rPr>
          <w:b/>
          <w:sz w:val="24"/>
          <w:szCs w:val="24"/>
        </w:rPr>
      </w:pPr>
      <w:r w:rsidRPr="00D74103">
        <w:rPr>
          <w:b/>
          <w:sz w:val="24"/>
          <w:szCs w:val="24"/>
        </w:rPr>
        <w:t>2.</w:t>
      </w:r>
      <w:r w:rsidRPr="00D74103">
        <w:rPr>
          <w:b/>
          <w:sz w:val="24"/>
          <w:szCs w:val="24"/>
        </w:rPr>
        <w:tab/>
        <w:t>KVALITATIV OG KVANTITATIV SAMMENSÆTNING</w:t>
      </w:r>
    </w:p>
    <w:p w:rsidR="007A01DF" w:rsidRPr="00D74103" w:rsidRDefault="007A01DF" w:rsidP="007A01DF">
      <w:pPr>
        <w:ind w:left="851"/>
        <w:rPr>
          <w:sz w:val="24"/>
          <w:szCs w:val="24"/>
        </w:rPr>
      </w:pPr>
      <w:r w:rsidRPr="00D74103">
        <w:rPr>
          <w:sz w:val="24"/>
          <w:szCs w:val="24"/>
        </w:rPr>
        <w:t xml:space="preserve">1 ml injektionsvæske, opløsning indeholder 25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p>
    <w:p w:rsidR="007A01DF" w:rsidRPr="00D74103" w:rsidRDefault="007A01DF" w:rsidP="007A01DF">
      <w:pPr>
        <w:ind w:left="851"/>
        <w:rPr>
          <w:sz w:val="24"/>
          <w:szCs w:val="24"/>
        </w:rPr>
      </w:pPr>
      <w:r w:rsidRPr="00D74103">
        <w:rPr>
          <w:sz w:val="24"/>
          <w:szCs w:val="24"/>
        </w:rPr>
        <w:t xml:space="preserve">1 fyldt </w:t>
      </w:r>
      <w:r>
        <w:rPr>
          <w:sz w:val="24"/>
          <w:szCs w:val="24"/>
        </w:rPr>
        <w:t>injektions</w:t>
      </w:r>
      <w:r w:rsidRPr="00D74103">
        <w:rPr>
          <w:sz w:val="24"/>
          <w:szCs w:val="24"/>
        </w:rPr>
        <w:t xml:space="preserve">sprøjte med 0,3 ml injektionsvæske, opløsning indeholder 7,5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r w:rsidRPr="00D74103">
        <w:rPr>
          <w:sz w:val="24"/>
          <w:szCs w:val="24"/>
        </w:rPr>
        <w:t xml:space="preserve">1 fyldt </w:t>
      </w:r>
      <w:r>
        <w:rPr>
          <w:sz w:val="24"/>
          <w:szCs w:val="24"/>
        </w:rPr>
        <w:t>injektions</w:t>
      </w:r>
      <w:r w:rsidRPr="00D74103">
        <w:rPr>
          <w:sz w:val="24"/>
          <w:szCs w:val="24"/>
        </w:rPr>
        <w:t xml:space="preserve">sprøjte med 0,4 ml injektionsvæske, opløsning indeholder 10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r w:rsidRPr="00D74103">
        <w:rPr>
          <w:sz w:val="24"/>
          <w:szCs w:val="24"/>
        </w:rPr>
        <w:t xml:space="preserve">1 fyldt </w:t>
      </w:r>
      <w:r>
        <w:rPr>
          <w:sz w:val="24"/>
          <w:szCs w:val="24"/>
        </w:rPr>
        <w:t>injektions</w:t>
      </w:r>
      <w:r w:rsidRPr="00D74103">
        <w:rPr>
          <w:sz w:val="24"/>
          <w:szCs w:val="24"/>
        </w:rPr>
        <w:t xml:space="preserve">sprøjte med 0,6 ml injektionsvæske, opløsning indeholder 15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r w:rsidRPr="00D74103">
        <w:rPr>
          <w:sz w:val="24"/>
          <w:szCs w:val="24"/>
        </w:rPr>
        <w:t xml:space="preserve">1 </w:t>
      </w:r>
      <w:r>
        <w:rPr>
          <w:sz w:val="24"/>
          <w:szCs w:val="24"/>
        </w:rPr>
        <w:t>f</w:t>
      </w:r>
      <w:r w:rsidRPr="00D74103">
        <w:rPr>
          <w:sz w:val="24"/>
          <w:szCs w:val="24"/>
        </w:rPr>
        <w:t xml:space="preserve">yldt </w:t>
      </w:r>
      <w:r>
        <w:rPr>
          <w:sz w:val="24"/>
          <w:szCs w:val="24"/>
        </w:rPr>
        <w:t>injektions</w:t>
      </w:r>
      <w:r w:rsidRPr="00D74103">
        <w:rPr>
          <w:sz w:val="24"/>
          <w:szCs w:val="24"/>
        </w:rPr>
        <w:t xml:space="preserve">sprøjte med 0,8 ml injektionsvæske, opløsning indeholder 20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r w:rsidRPr="00D74103">
        <w:rPr>
          <w:sz w:val="24"/>
          <w:szCs w:val="24"/>
        </w:rPr>
        <w:t xml:space="preserve">1 fyldt </w:t>
      </w:r>
      <w:r>
        <w:rPr>
          <w:sz w:val="24"/>
          <w:szCs w:val="24"/>
        </w:rPr>
        <w:t>injektions</w:t>
      </w:r>
      <w:r w:rsidRPr="00D74103">
        <w:rPr>
          <w:sz w:val="24"/>
          <w:szCs w:val="24"/>
        </w:rPr>
        <w:t xml:space="preserve">sprøjte med 1,0 ml injektionsvæske, opløsning indeholder 25 mg </w:t>
      </w:r>
      <w:proofErr w:type="spellStart"/>
      <w:r w:rsidRPr="00D74103">
        <w:rPr>
          <w:sz w:val="24"/>
          <w:szCs w:val="24"/>
        </w:rPr>
        <w:t>methotrexat</w:t>
      </w:r>
      <w:proofErr w:type="spellEnd"/>
      <w:r w:rsidRPr="00D74103">
        <w:rPr>
          <w:sz w:val="24"/>
          <w:szCs w:val="24"/>
        </w:rPr>
        <w:t>.</w:t>
      </w:r>
    </w:p>
    <w:p w:rsidR="007A01DF" w:rsidRPr="00D74103" w:rsidRDefault="007A01DF" w:rsidP="007A01DF">
      <w:pPr>
        <w:ind w:left="851"/>
        <w:rPr>
          <w:sz w:val="24"/>
          <w:szCs w:val="24"/>
        </w:rPr>
      </w:pPr>
    </w:p>
    <w:p w:rsidR="007A01DF" w:rsidRDefault="007A01DF" w:rsidP="007A01DF">
      <w:pPr>
        <w:ind w:left="851"/>
        <w:rPr>
          <w:sz w:val="24"/>
        </w:rPr>
      </w:pPr>
      <w:r>
        <w:rPr>
          <w:sz w:val="24"/>
        </w:rPr>
        <w:t>Hjælpestof, som behandleren skal være opmærksom på:</w:t>
      </w:r>
    </w:p>
    <w:p w:rsidR="007A01DF" w:rsidRPr="00D74103" w:rsidRDefault="007A01DF" w:rsidP="007A01DF">
      <w:pPr>
        <w:ind w:left="851"/>
        <w:rPr>
          <w:sz w:val="24"/>
          <w:szCs w:val="24"/>
        </w:rPr>
      </w:pPr>
      <w:r w:rsidRPr="00D74103">
        <w:rPr>
          <w:sz w:val="24"/>
          <w:szCs w:val="24"/>
        </w:rPr>
        <w:t>Lægemidlet indeholder maksimalt 5,21 mg natrium pr. ml (se pkt. 4.4).</w:t>
      </w:r>
    </w:p>
    <w:p w:rsidR="007A01DF" w:rsidRPr="00D74103" w:rsidRDefault="007A01DF" w:rsidP="007A01DF">
      <w:pPr>
        <w:ind w:left="851"/>
        <w:rPr>
          <w:sz w:val="24"/>
          <w:szCs w:val="24"/>
        </w:rPr>
      </w:pPr>
    </w:p>
    <w:p w:rsidR="007A01DF" w:rsidRPr="00D74103" w:rsidRDefault="007A01DF" w:rsidP="007A01DF">
      <w:pPr>
        <w:ind w:left="851"/>
        <w:rPr>
          <w:sz w:val="24"/>
          <w:szCs w:val="24"/>
        </w:rPr>
      </w:pPr>
      <w:r w:rsidRPr="00D74103">
        <w:rPr>
          <w:sz w:val="24"/>
          <w:szCs w:val="24"/>
        </w:rPr>
        <w:t>Alle hjælpestoffer er anført under pkt. 6.1.</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3.</w:t>
      </w:r>
      <w:r w:rsidRPr="00D74103">
        <w:rPr>
          <w:b/>
          <w:sz w:val="24"/>
          <w:szCs w:val="24"/>
        </w:rPr>
        <w:tab/>
        <w:t>LÆGEMIDDELFORM</w:t>
      </w:r>
    </w:p>
    <w:p w:rsidR="007A01DF" w:rsidRPr="00EF6E38" w:rsidRDefault="007A01DF" w:rsidP="007A01DF">
      <w:pPr>
        <w:ind w:left="851"/>
        <w:rPr>
          <w:sz w:val="24"/>
          <w:szCs w:val="24"/>
        </w:rPr>
      </w:pPr>
      <w:r w:rsidRPr="00EF6E38">
        <w:rPr>
          <w:sz w:val="24"/>
          <w:szCs w:val="24"/>
        </w:rPr>
        <w:t xml:space="preserve">Injektionsvæske, opløsning i fyldt injektionssprøjte. </w:t>
      </w:r>
    </w:p>
    <w:p w:rsidR="007A01DF" w:rsidRPr="00EF6E38" w:rsidRDefault="007A01DF" w:rsidP="007A01DF">
      <w:pPr>
        <w:ind w:left="851"/>
        <w:rPr>
          <w:sz w:val="24"/>
          <w:szCs w:val="24"/>
        </w:rPr>
      </w:pPr>
    </w:p>
    <w:p w:rsidR="007A01DF" w:rsidRPr="00EF6E38" w:rsidRDefault="007A01DF" w:rsidP="007A01DF">
      <w:pPr>
        <w:ind w:left="851"/>
        <w:rPr>
          <w:sz w:val="24"/>
          <w:szCs w:val="24"/>
        </w:rPr>
      </w:pPr>
      <w:r w:rsidRPr="00EF6E38">
        <w:rPr>
          <w:sz w:val="24"/>
          <w:szCs w:val="24"/>
        </w:rPr>
        <w:t xml:space="preserve">Lægemidlet er en klar, </w:t>
      </w:r>
      <w:r w:rsidRPr="00EF6E38">
        <w:rPr>
          <w:color w:val="000000"/>
          <w:sz w:val="24"/>
          <w:szCs w:val="24"/>
        </w:rPr>
        <w:t>gullig injektionsvæske, opløsning</w:t>
      </w:r>
      <w:r w:rsidRPr="00EF6E38">
        <w:rPr>
          <w:sz w:val="24"/>
          <w:szCs w:val="24"/>
        </w:rPr>
        <w:t xml:space="preserve"> med en pH-værdi på </w:t>
      </w:r>
      <w:r w:rsidR="00C32EC0">
        <w:rPr>
          <w:sz w:val="24"/>
          <w:szCs w:val="24"/>
        </w:rPr>
        <w:t>7,0 – 9,0</w:t>
      </w:r>
      <w:r w:rsidRPr="00EF6E38">
        <w:rPr>
          <w:sz w:val="24"/>
          <w:szCs w:val="24"/>
        </w:rPr>
        <w:t xml:space="preserve">. </w:t>
      </w:r>
    </w:p>
    <w:p w:rsidR="007A01DF" w:rsidRPr="00EF6E38" w:rsidRDefault="007A01DF" w:rsidP="007A01DF">
      <w:pPr>
        <w:ind w:left="851"/>
        <w:rPr>
          <w:sz w:val="24"/>
          <w:szCs w:val="24"/>
        </w:rPr>
      </w:pPr>
    </w:p>
    <w:p w:rsidR="007A01DF" w:rsidRPr="00EF6E38" w:rsidRDefault="007A01DF" w:rsidP="007A01DF">
      <w:pPr>
        <w:ind w:left="851"/>
        <w:rPr>
          <w:sz w:val="24"/>
          <w:szCs w:val="24"/>
        </w:rPr>
      </w:pPr>
    </w:p>
    <w:p w:rsidR="007A01DF" w:rsidRPr="00D74103" w:rsidRDefault="007A01DF" w:rsidP="007A01DF">
      <w:pPr>
        <w:ind w:left="851" w:hanging="851"/>
        <w:rPr>
          <w:b/>
          <w:sz w:val="24"/>
          <w:szCs w:val="24"/>
        </w:rPr>
      </w:pPr>
      <w:r w:rsidRPr="00D74103">
        <w:rPr>
          <w:b/>
          <w:sz w:val="24"/>
          <w:szCs w:val="24"/>
        </w:rPr>
        <w:t>4.</w:t>
      </w:r>
      <w:r w:rsidRPr="00D74103">
        <w:rPr>
          <w:b/>
          <w:sz w:val="24"/>
          <w:szCs w:val="24"/>
        </w:rPr>
        <w:tab/>
        <w:t>KLINISKE OPLYSNINGER</w:t>
      </w:r>
    </w:p>
    <w:p w:rsidR="007A01DF" w:rsidRPr="00D74103" w:rsidRDefault="007A01DF" w:rsidP="007A01DF">
      <w:pPr>
        <w:ind w:left="851" w:hanging="851"/>
        <w:rPr>
          <w:b/>
          <w:sz w:val="24"/>
          <w:szCs w:val="24"/>
        </w:rPr>
      </w:pPr>
    </w:p>
    <w:p w:rsidR="007A01DF" w:rsidRPr="00D74103" w:rsidRDefault="007A01DF" w:rsidP="007A01DF">
      <w:pPr>
        <w:ind w:left="851" w:hanging="851"/>
        <w:rPr>
          <w:b/>
          <w:sz w:val="24"/>
          <w:szCs w:val="24"/>
          <w:u w:val="single"/>
        </w:rPr>
      </w:pPr>
      <w:r w:rsidRPr="00D74103">
        <w:rPr>
          <w:b/>
          <w:sz w:val="24"/>
          <w:szCs w:val="24"/>
        </w:rPr>
        <w:t>4.1</w:t>
      </w:r>
      <w:r w:rsidRPr="00D74103">
        <w:rPr>
          <w:b/>
          <w:sz w:val="24"/>
          <w:szCs w:val="24"/>
        </w:rPr>
        <w:tab/>
        <w:t>Terapeutiske indikationer</w:t>
      </w:r>
    </w:p>
    <w:p w:rsidR="007A01DF" w:rsidRPr="00D74103" w:rsidRDefault="007A01DF" w:rsidP="007A01DF">
      <w:pPr>
        <w:pStyle w:val="Default"/>
        <w:numPr>
          <w:ilvl w:val="0"/>
          <w:numId w:val="6"/>
        </w:numPr>
        <w:ind w:left="1276" w:hanging="425"/>
      </w:pPr>
      <w:r w:rsidRPr="00D74103">
        <w:t xml:space="preserve">Aktiv </w:t>
      </w:r>
      <w:proofErr w:type="spellStart"/>
      <w:r w:rsidRPr="00D74103">
        <w:t>reumatoid</w:t>
      </w:r>
      <w:proofErr w:type="spellEnd"/>
      <w:r w:rsidRPr="00D74103">
        <w:t xml:space="preserve"> </w:t>
      </w:r>
      <w:proofErr w:type="spellStart"/>
      <w:r w:rsidRPr="00D74103">
        <w:t>arthritis</w:t>
      </w:r>
      <w:proofErr w:type="spellEnd"/>
      <w:r w:rsidRPr="00D74103">
        <w:t xml:space="preserve"> hos voksne patienter. </w:t>
      </w:r>
    </w:p>
    <w:p w:rsidR="007A01DF" w:rsidRPr="00D74103" w:rsidRDefault="007A01DF" w:rsidP="007A01DF">
      <w:pPr>
        <w:pStyle w:val="Default"/>
        <w:ind w:left="1276" w:hanging="425"/>
      </w:pPr>
    </w:p>
    <w:p w:rsidR="007A01DF" w:rsidRDefault="007A01DF" w:rsidP="007A01DF">
      <w:pPr>
        <w:pStyle w:val="Default"/>
        <w:numPr>
          <w:ilvl w:val="0"/>
          <w:numId w:val="6"/>
        </w:numPr>
        <w:ind w:left="1276" w:hanging="425"/>
      </w:pPr>
      <w:proofErr w:type="spellStart"/>
      <w:r w:rsidRPr="00D74103">
        <w:lastRenderedPageBreak/>
        <w:t>Polyarthritiske</w:t>
      </w:r>
      <w:proofErr w:type="spellEnd"/>
      <w:r w:rsidRPr="00D74103">
        <w:t xml:space="preserve"> former af alvorlig, aktiv juvenil idiopatisk </w:t>
      </w:r>
      <w:proofErr w:type="spellStart"/>
      <w:r w:rsidRPr="00D74103">
        <w:t>arthritis</w:t>
      </w:r>
      <w:proofErr w:type="spellEnd"/>
      <w:r w:rsidRPr="00D74103">
        <w:t xml:space="preserve"> (JIA) ved utilstrækkeligt respons på </w:t>
      </w:r>
      <w:proofErr w:type="spellStart"/>
      <w:r w:rsidRPr="00D74103">
        <w:t>nonsteroide</w:t>
      </w:r>
      <w:proofErr w:type="spellEnd"/>
      <w:r w:rsidRPr="00D74103">
        <w:t xml:space="preserve"> antiinflammatoriske lægemidler (NSAID).</w:t>
      </w:r>
    </w:p>
    <w:p w:rsidR="007A01DF" w:rsidRDefault="007A01DF" w:rsidP="007A01DF">
      <w:pPr>
        <w:pStyle w:val="Listeafsnit"/>
      </w:pPr>
    </w:p>
    <w:p w:rsidR="007A01DF" w:rsidRDefault="007A01DF" w:rsidP="007A01DF">
      <w:pPr>
        <w:pStyle w:val="Default"/>
        <w:numPr>
          <w:ilvl w:val="0"/>
          <w:numId w:val="6"/>
        </w:numPr>
        <w:ind w:left="1276" w:hanging="425"/>
      </w:pPr>
      <w:r w:rsidRPr="00D74103">
        <w:t xml:space="preserve">Alvorlig genstridig, invaliderende psoriasis, som ikke responderer tilstrækkeligt på andre behandlingsformer, såsom lysbehandling, PUVA og </w:t>
      </w:r>
      <w:proofErr w:type="spellStart"/>
      <w:r w:rsidRPr="00D74103">
        <w:t>retinoider</w:t>
      </w:r>
      <w:proofErr w:type="spellEnd"/>
      <w:r w:rsidRPr="00D74103">
        <w:t xml:space="preserve">, samt alvorlig </w:t>
      </w:r>
      <w:proofErr w:type="spellStart"/>
      <w:r w:rsidRPr="00D74103">
        <w:t>arthritis</w:t>
      </w:r>
      <w:proofErr w:type="spellEnd"/>
      <w:r w:rsidRPr="00D74103">
        <w:t xml:space="preserve"> </w:t>
      </w:r>
      <w:proofErr w:type="spellStart"/>
      <w:r w:rsidRPr="00D74103">
        <w:t>psoriatica</w:t>
      </w:r>
      <w:proofErr w:type="spellEnd"/>
      <w:r w:rsidRPr="00D74103">
        <w:t xml:space="preserve"> hos voksne patienter.</w:t>
      </w:r>
    </w:p>
    <w:p w:rsidR="00C02127" w:rsidRDefault="00C02127" w:rsidP="00C02127">
      <w:pPr>
        <w:pStyle w:val="Listeafsnit"/>
        <w:ind w:left="1276" w:hanging="425"/>
      </w:pPr>
    </w:p>
    <w:p w:rsidR="00C02127" w:rsidRPr="00C02127" w:rsidRDefault="00C02127" w:rsidP="00C02127">
      <w:pPr>
        <w:pStyle w:val="Default"/>
        <w:numPr>
          <w:ilvl w:val="0"/>
          <w:numId w:val="6"/>
        </w:numPr>
        <w:ind w:left="1276" w:hanging="425"/>
      </w:pPr>
      <w:r w:rsidRPr="00C02127">
        <w:t xml:space="preserve">Induktion af remission i moderat steroidafhængig </w:t>
      </w:r>
      <w:proofErr w:type="spellStart"/>
      <w:r w:rsidRPr="00C02127">
        <w:t>Crohns</w:t>
      </w:r>
      <w:proofErr w:type="spellEnd"/>
      <w:r w:rsidRPr="00C02127">
        <w:t xml:space="preserve"> sygdom hos voksne patienter i kombination med </w:t>
      </w:r>
      <w:proofErr w:type="spellStart"/>
      <w:r w:rsidRPr="00C02127">
        <w:t>kortikosteroider</w:t>
      </w:r>
      <w:proofErr w:type="spellEnd"/>
      <w:r w:rsidRPr="00C02127">
        <w:t xml:space="preserve"> og til vedligeholdelse af remission som monoterapi hos patienter, der har reageret på </w:t>
      </w:r>
      <w:proofErr w:type="spellStart"/>
      <w:r w:rsidRPr="00C02127">
        <w:t>methotrexat</w:t>
      </w:r>
      <w:proofErr w:type="spellEnd"/>
      <w:r w:rsidRPr="00C02127">
        <w:t>.</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4.2</w:t>
      </w:r>
      <w:r w:rsidRPr="00D74103">
        <w:rPr>
          <w:b/>
          <w:sz w:val="24"/>
          <w:szCs w:val="24"/>
        </w:rPr>
        <w:tab/>
        <w:t xml:space="preserve">Dosering og </w:t>
      </w:r>
      <w:r w:rsidR="000961C7">
        <w:rPr>
          <w:b/>
          <w:sz w:val="24"/>
          <w:szCs w:val="24"/>
        </w:rPr>
        <w:t>administration</w:t>
      </w:r>
    </w:p>
    <w:p w:rsidR="007109FD" w:rsidRDefault="007109FD" w:rsidP="007109FD">
      <w:pPr>
        <w:rPr>
          <w:b/>
          <w:sz w:val="24"/>
          <w:szCs w:val="24"/>
        </w:rPr>
      </w:pPr>
    </w:p>
    <w:tbl>
      <w:tblPr>
        <w:tblStyle w:val="Tabel-Gitter"/>
        <w:tblW w:w="0" w:type="auto"/>
        <w:tblInd w:w="851" w:type="dxa"/>
        <w:tblLook w:val="04A0" w:firstRow="1" w:lastRow="0" w:firstColumn="1" w:lastColumn="0" w:noHBand="0" w:noVBand="1"/>
      </w:tblPr>
      <w:tblGrid>
        <w:gridCol w:w="8777"/>
      </w:tblGrid>
      <w:tr w:rsidR="007109FD" w:rsidTr="007109FD">
        <w:tc>
          <w:tcPr>
            <w:tcW w:w="9778" w:type="dxa"/>
            <w:tcBorders>
              <w:top w:val="single" w:sz="4" w:space="0" w:color="auto"/>
              <w:left w:val="single" w:sz="4" w:space="0" w:color="auto"/>
              <w:bottom w:val="single" w:sz="4" w:space="0" w:color="auto"/>
              <w:right w:val="single" w:sz="4" w:space="0" w:color="auto"/>
            </w:tcBorders>
          </w:tcPr>
          <w:p w:rsidR="007109FD" w:rsidRDefault="007109FD">
            <w:pPr>
              <w:rPr>
                <w:b/>
                <w:sz w:val="24"/>
                <w:szCs w:val="24"/>
              </w:rPr>
            </w:pPr>
            <w:r>
              <w:rPr>
                <w:b/>
                <w:sz w:val="24"/>
                <w:szCs w:val="24"/>
              </w:rPr>
              <w:t xml:space="preserve">Vigtig advarsel om doseringen af </w:t>
            </w:r>
            <w:proofErr w:type="spellStart"/>
            <w:r>
              <w:rPr>
                <w:b/>
                <w:sz w:val="24"/>
                <w:szCs w:val="24"/>
              </w:rPr>
              <w:t>Methotrexate</w:t>
            </w:r>
            <w:proofErr w:type="spellEnd"/>
            <w:r>
              <w:rPr>
                <w:b/>
                <w:sz w:val="24"/>
                <w:szCs w:val="24"/>
              </w:rPr>
              <w:t xml:space="preserve"> ”Orion”</w:t>
            </w:r>
            <w:r>
              <w:rPr>
                <w:sz w:val="24"/>
                <w:szCs w:val="24"/>
              </w:rPr>
              <w:t xml:space="preserve"> </w:t>
            </w:r>
            <w:r>
              <w:rPr>
                <w:b/>
                <w:sz w:val="24"/>
                <w:szCs w:val="24"/>
              </w:rPr>
              <w:t>(</w:t>
            </w:r>
            <w:proofErr w:type="spellStart"/>
            <w:r>
              <w:rPr>
                <w:b/>
                <w:sz w:val="24"/>
                <w:szCs w:val="24"/>
              </w:rPr>
              <w:t>methotrexat</w:t>
            </w:r>
            <w:proofErr w:type="spellEnd"/>
            <w:r>
              <w:rPr>
                <w:b/>
                <w:sz w:val="24"/>
                <w:szCs w:val="24"/>
              </w:rPr>
              <w:t>)</w:t>
            </w:r>
          </w:p>
          <w:p w:rsidR="007109FD" w:rsidRDefault="007109FD">
            <w:pPr>
              <w:rPr>
                <w:sz w:val="24"/>
                <w:szCs w:val="24"/>
              </w:rPr>
            </w:pPr>
          </w:p>
          <w:p w:rsidR="007109FD" w:rsidRDefault="00C02127">
            <w:pPr>
              <w:rPr>
                <w:b/>
                <w:sz w:val="24"/>
                <w:szCs w:val="24"/>
              </w:rPr>
            </w:pPr>
            <w:r>
              <w:rPr>
                <w:color w:val="222222"/>
                <w:sz w:val="24"/>
                <w:szCs w:val="24"/>
              </w:rPr>
              <w:t xml:space="preserve">Ved behandling af reumatiske sygdomme, </w:t>
            </w:r>
            <w:r w:rsidRPr="00C02127">
              <w:rPr>
                <w:color w:val="222222"/>
                <w:sz w:val="24"/>
                <w:szCs w:val="24"/>
              </w:rPr>
              <w:t xml:space="preserve">psoriasis, psoriasisgigt og </w:t>
            </w:r>
            <w:proofErr w:type="spellStart"/>
            <w:r w:rsidRPr="00C02127">
              <w:rPr>
                <w:color w:val="222222"/>
                <w:sz w:val="24"/>
                <w:szCs w:val="24"/>
              </w:rPr>
              <w:t>Crohn’s</w:t>
            </w:r>
            <w:proofErr w:type="spellEnd"/>
            <w:r w:rsidRPr="00C02127">
              <w:rPr>
                <w:color w:val="222222"/>
                <w:sz w:val="24"/>
                <w:szCs w:val="24"/>
              </w:rPr>
              <w:t xml:space="preserve"> sygdom</w:t>
            </w:r>
            <w:r>
              <w:rPr>
                <w:color w:val="222222"/>
                <w:sz w:val="24"/>
                <w:szCs w:val="24"/>
              </w:rPr>
              <w:t xml:space="preserve"> må </w:t>
            </w:r>
            <w:proofErr w:type="spellStart"/>
            <w:r w:rsidR="007109FD">
              <w:rPr>
                <w:sz w:val="24"/>
                <w:szCs w:val="24"/>
              </w:rPr>
              <w:t>Methotrexate</w:t>
            </w:r>
            <w:proofErr w:type="spellEnd"/>
            <w:r w:rsidR="007109FD">
              <w:rPr>
                <w:sz w:val="24"/>
                <w:szCs w:val="24"/>
              </w:rPr>
              <w:t xml:space="preserve"> ”Orion” (</w:t>
            </w:r>
            <w:proofErr w:type="spellStart"/>
            <w:r w:rsidR="007109FD">
              <w:rPr>
                <w:color w:val="222222"/>
                <w:sz w:val="24"/>
                <w:szCs w:val="24"/>
              </w:rPr>
              <w:t>methotrexat</w:t>
            </w:r>
            <w:proofErr w:type="spellEnd"/>
            <w:r w:rsidR="007109FD">
              <w:rPr>
                <w:color w:val="222222"/>
                <w:sz w:val="24"/>
                <w:szCs w:val="24"/>
              </w:rPr>
              <w:t xml:space="preserve">) </w:t>
            </w:r>
            <w:r w:rsidR="007109FD">
              <w:rPr>
                <w:b/>
                <w:color w:val="222222"/>
                <w:sz w:val="24"/>
                <w:szCs w:val="24"/>
              </w:rPr>
              <w:t>kun bruges én gang om ugen</w:t>
            </w:r>
            <w:r w:rsidR="007109FD">
              <w:rPr>
                <w:color w:val="222222"/>
                <w:sz w:val="24"/>
                <w:szCs w:val="24"/>
              </w:rPr>
              <w:t xml:space="preserve">. Doseringsfejl ved anvendelse af </w:t>
            </w:r>
            <w:proofErr w:type="spellStart"/>
            <w:r w:rsidR="007109FD">
              <w:rPr>
                <w:sz w:val="24"/>
                <w:szCs w:val="24"/>
              </w:rPr>
              <w:t>Methotrexate</w:t>
            </w:r>
            <w:proofErr w:type="spellEnd"/>
            <w:r w:rsidR="007109FD">
              <w:rPr>
                <w:sz w:val="24"/>
                <w:szCs w:val="24"/>
              </w:rPr>
              <w:t xml:space="preserve"> ”Orion” (</w:t>
            </w:r>
            <w:proofErr w:type="spellStart"/>
            <w:r w:rsidR="007109FD">
              <w:rPr>
                <w:color w:val="222222"/>
                <w:sz w:val="24"/>
                <w:szCs w:val="24"/>
              </w:rPr>
              <w:t>methotrexat</w:t>
            </w:r>
            <w:proofErr w:type="spellEnd"/>
            <w:r w:rsidR="007109FD">
              <w:rPr>
                <w:color w:val="222222"/>
                <w:sz w:val="24"/>
                <w:szCs w:val="24"/>
              </w:rPr>
              <w:t>) kan medføre alvorlige bivirkninger, herunder dødsfald. Læs dette punkt i produktresuméet meget omhyggeligt.</w:t>
            </w:r>
          </w:p>
        </w:tc>
      </w:tr>
    </w:tbl>
    <w:p w:rsidR="007109FD" w:rsidRDefault="007109FD" w:rsidP="007109FD">
      <w:pPr>
        <w:ind w:left="851"/>
        <w:rPr>
          <w:sz w:val="24"/>
          <w:szCs w:val="24"/>
        </w:rPr>
      </w:pPr>
    </w:p>
    <w:p w:rsidR="007109FD" w:rsidRDefault="007109FD" w:rsidP="007109FD">
      <w:pPr>
        <w:ind w:left="851"/>
        <w:rPr>
          <w:sz w:val="24"/>
          <w:szCs w:val="24"/>
        </w:rPr>
      </w:pPr>
      <w:proofErr w:type="spellStart"/>
      <w:r>
        <w:rPr>
          <w:sz w:val="24"/>
          <w:szCs w:val="24"/>
        </w:rPr>
        <w:t>Methotrexat</w:t>
      </w:r>
      <w:proofErr w:type="spellEnd"/>
      <w:r>
        <w:rPr>
          <w:sz w:val="24"/>
          <w:szCs w:val="24"/>
        </w:rPr>
        <w:t xml:space="preserve"> bør kun ordineres af læger med ekspertise i brugen af </w:t>
      </w:r>
      <w:proofErr w:type="spellStart"/>
      <w:r>
        <w:rPr>
          <w:sz w:val="24"/>
          <w:szCs w:val="24"/>
        </w:rPr>
        <w:t>methotrexat</w:t>
      </w:r>
      <w:proofErr w:type="spellEnd"/>
      <w:r>
        <w:rPr>
          <w:sz w:val="24"/>
          <w:szCs w:val="24"/>
        </w:rPr>
        <w:t xml:space="preserve"> og med fuld forståelse for de risici, der er forbundet med </w:t>
      </w:r>
      <w:proofErr w:type="spellStart"/>
      <w:r>
        <w:rPr>
          <w:sz w:val="24"/>
          <w:szCs w:val="24"/>
        </w:rPr>
        <w:t>methotrexat</w:t>
      </w:r>
      <w:proofErr w:type="spellEnd"/>
      <w:r>
        <w:rPr>
          <w:sz w:val="24"/>
          <w:szCs w:val="24"/>
        </w:rPr>
        <w:t>-behandling. Administrationen skal rutinemæssigt udføres af sundhedspersonale. Hvis den kliniske situation tillader det, kan den behandlende læge, i særlige tilfælde, uddelegere administrationen til patienten selv. I disse tilfælde er detaljeret administrationsvejledning af lægen en forudsætning.</w:t>
      </w:r>
    </w:p>
    <w:p w:rsidR="007109FD" w:rsidRDefault="007109FD" w:rsidP="007109FD">
      <w:pPr>
        <w:ind w:left="851"/>
        <w:rPr>
          <w:sz w:val="24"/>
          <w:szCs w:val="24"/>
        </w:rPr>
      </w:pPr>
    </w:p>
    <w:p w:rsidR="007109FD" w:rsidRDefault="007109FD" w:rsidP="007109FD">
      <w:pPr>
        <w:ind w:left="851"/>
        <w:rPr>
          <w:sz w:val="24"/>
          <w:szCs w:val="24"/>
        </w:rPr>
      </w:pPr>
      <w:r>
        <w:rPr>
          <w:sz w:val="24"/>
          <w:szCs w:val="24"/>
        </w:rPr>
        <w:t xml:space="preserve">Patienten skal udtrykkeligt informeres om, at administration er </w:t>
      </w:r>
      <w:r>
        <w:rPr>
          <w:b/>
          <w:sz w:val="24"/>
          <w:szCs w:val="24"/>
        </w:rPr>
        <w:t>én gang om ugen</w:t>
      </w:r>
      <w:r>
        <w:rPr>
          <w:sz w:val="24"/>
          <w:szCs w:val="24"/>
        </w:rPr>
        <w:t>. Det anbefales at fastsætte en fast dag om ugen som injektionsdag.</w:t>
      </w:r>
    </w:p>
    <w:p w:rsidR="007109FD" w:rsidRDefault="007109FD" w:rsidP="007109FD">
      <w:pPr>
        <w:ind w:left="851"/>
        <w:rPr>
          <w:sz w:val="24"/>
          <w:szCs w:val="24"/>
        </w:rPr>
      </w:pPr>
    </w:p>
    <w:p w:rsidR="007109FD" w:rsidRDefault="007109FD" w:rsidP="007109FD">
      <w:pPr>
        <w:ind w:left="851"/>
        <w:rPr>
          <w:sz w:val="24"/>
          <w:szCs w:val="24"/>
        </w:rPr>
      </w:pPr>
      <w:r>
        <w:rPr>
          <w:sz w:val="24"/>
          <w:szCs w:val="24"/>
        </w:rPr>
        <w:t xml:space="preserve">Elimination af </w:t>
      </w:r>
      <w:proofErr w:type="spellStart"/>
      <w:r>
        <w:rPr>
          <w:sz w:val="24"/>
          <w:szCs w:val="24"/>
        </w:rPr>
        <w:t>methotrexat</w:t>
      </w:r>
      <w:proofErr w:type="spellEnd"/>
      <w:r>
        <w:rPr>
          <w:sz w:val="24"/>
          <w:szCs w:val="24"/>
        </w:rPr>
        <w:t xml:space="preserve"> er nedsat hos patienter med et tredje fordelingsrum (</w:t>
      </w:r>
      <w:proofErr w:type="spellStart"/>
      <w:r>
        <w:rPr>
          <w:sz w:val="24"/>
          <w:szCs w:val="24"/>
        </w:rPr>
        <w:t>ascites</w:t>
      </w:r>
      <w:proofErr w:type="spellEnd"/>
      <w:r>
        <w:rPr>
          <w:sz w:val="24"/>
          <w:szCs w:val="24"/>
        </w:rPr>
        <w:t xml:space="preserve">, </w:t>
      </w:r>
      <w:proofErr w:type="spellStart"/>
      <w:r>
        <w:rPr>
          <w:sz w:val="24"/>
          <w:szCs w:val="24"/>
        </w:rPr>
        <w:t>pleuraeffusion</w:t>
      </w:r>
      <w:proofErr w:type="spellEnd"/>
      <w:r>
        <w:rPr>
          <w:sz w:val="24"/>
          <w:szCs w:val="24"/>
        </w:rPr>
        <w:t xml:space="preserve">). Sådanne patienter kræver særlig omhyggelig overvågning for toksicitet og kræver dosisreduktion eller, i nogle tilfælde, </w:t>
      </w:r>
      <w:proofErr w:type="spellStart"/>
      <w:r>
        <w:rPr>
          <w:sz w:val="24"/>
          <w:szCs w:val="24"/>
        </w:rPr>
        <w:t>seponering</w:t>
      </w:r>
      <w:proofErr w:type="spellEnd"/>
      <w:r>
        <w:rPr>
          <w:sz w:val="24"/>
          <w:szCs w:val="24"/>
        </w:rPr>
        <w:t xml:space="preserve"> af </w:t>
      </w:r>
      <w:proofErr w:type="spellStart"/>
      <w:r>
        <w:rPr>
          <w:sz w:val="24"/>
          <w:szCs w:val="24"/>
        </w:rPr>
        <w:t>methotrexatadministration</w:t>
      </w:r>
      <w:proofErr w:type="spellEnd"/>
      <w:r>
        <w:rPr>
          <w:sz w:val="24"/>
          <w:szCs w:val="24"/>
        </w:rPr>
        <w:t xml:space="preserve"> (se pkt.</w:t>
      </w:r>
      <w:r w:rsidR="00074246">
        <w:rPr>
          <w:sz w:val="24"/>
          <w:szCs w:val="24"/>
        </w:rPr>
        <w:t> </w:t>
      </w:r>
      <w:r>
        <w:rPr>
          <w:sz w:val="24"/>
          <w:szCs w:val="24"/>
        </w:rPr>
        <w:t>5.2 og</w:t>
      </w:r>
      <w:r w:rsidR="00074246">
        <w:rPr>
          <w:sz w:val="24"/>
          <w:szCs w:val="24"/>
        </w:rPr>
        <w:t> </w:t>
      </w:r>
      <w:r>
        <w:rPr>
          <w:sz w:val="24"/>
          <w:szCs w:val="24"/>
        </w:rPr>
        <w:t>4.4).</w:t>
      </w:r>
    </w:p>
    <w:p w:rsidR="007A01DF" w:rsidRPr="007E2145" w:rsidRDefault="007A01DF" w:rsidP="007A01DF">
      <w:pPr>
        <w:pStyle w:val="Default"/>
        <w:ind w:left="851"/>
        <w:rPr>
          <w:color w:val="auto"/>
        </w:rPr>
      </w:pPr>
    </w:p>
    <w:p w:rsidR="007A01DF" w:rsidRDefault="007A01DF" w:rsidP="007A01DF">
      <w:pPr>
        <w:ind w:left="851"/>
        <w:rPr>
          <w:b/>
          <w:sz w:val="24"/>
          <w:szCs w:val="24"/>
        </w:rPr>
      </w:pPr>
      <w:r w:rsidRPr="007E2145">
        <w:rPr>
          <w:b/>
          <w:sz w:val="24"/>
          <w:szCs w:val="24"/>
        </w:rPr>
        <w:t>Dosering</w:t>
      </w:r>
    </w:p>
    <w:p w:rsidR="00053E9D" w:rsidRPr="007E2145" w:rsidRDefault="00053E9D" w:rsidP="007A01DF">
      <w:pPr>
        <w:ind w:left="851"/>
        <w:rPr>
          <w:b/>
          <w:sz w:val="24"/>
          <w:szCs w:val="24"/>
        </w:rPr>
      </w:pPr>
    </w:p>
    <w:p w:rsidR="007A01DF" w:rsidRPr="007E2145" w:rsidRDefault="007A01DF" w:rsidP="007A01DF">
      <w:pPr>
        <w:ind w:left="851"/>
        <w:rPr>
          <w:sz w:val="24"/>
          <w:szCs w:val="24"/>
          <w:u w:val="single"/>
        </w:rPr>
      </w:pPr>
      <w:r w:rsidRPr="007E2145">
        <w:rPr>
          <w:sz w:val="24"/>
          <w:szCs w:val="24"/>
          <w:u w:val="single"/>
        </w:rPr>
        <w:t xml:space="preserve">Dosis til patienter med </w:t>
      </w:r>
      <w:proofErr w:type="spellStart"/>
      <w:r w:rsidRPr="007E2145">
        <w:rPr>
          <w:sz w:val="24"/>
          <w:szCs w:val="24"/>
          <w:u w:val="single"/>
        </w:rPr>
        <w:t>reumatoid</w:t>
      </w:r>
      <w:proofErr w:type="spellEnd"/>
      <w:r w:rsidRPr="007E2145">
        <w:rPr>
          <w:sz w:val="24"/>
          <w:szCs w:val="24"/>
          <w:u w:val="single"/>
        </w:rPr>
        <w:t xml:space="preserve"> </w:t>
      </w:r>
      <w:proofErr w:type="spellStart"/>
      <w:r w:rsidRPr="007E2145">
        <w:rPr>
          <w:sz w:val="24"/>
          <w:szCs w:val="24"/>
          <w:u w:val="single"/>
        </w:rPr>
        <w:t>arthritis</w:t>
      </w:r>
      <w:proofErr w:type="spellEnd"/>
      <w:r w:rsidRPr="007E2145">
        <w:rPr>
          <w:sz w:val="24"/>
          <w:szCs w:val="24"/>
          <w:u w:val="single"/>
        </w:rPr>
        <w:t xml:space="preserve"> </w:t>
      </w:r>
    </w:p>
    <w:p w:rsidR="007A01DF" w:rsidRDefault="007A01DF" w:rsidP="007A01DF">
      <w:pPr>
        <w:ind w:left="851"/>
        <w:rPr>
          <w:sz w:val="24"/>
          <w:szCs w:val="24"/>
        </w:rPr>
      </w:pPr>
      <w:r>
        <w:rPr>
          <w:sz w:val="24"/>
          <w:szCs w:val="24"/>
        </w:rPr>
        <w:t xml:space="preserve">Den anbefalede initialdosis er 7,5 mg </w:t>
      </w:r>
      <w:proofErr w:type="spellStart"/>
      <w:r>
        <w:rPr>
          <w:sz w:val="24"/>
          <w:szCs w:val="24"/>
        </w:rPr>
        <w:t>methotrexat</w:t>
      </w:r>
      <w:proofErr w:type="spellEnd"/>
      <w:r>
        <w:rPr>
          <w:sz w:val="24"/>
          <w:szCs w:val="24"/>
        </w:rPr>
        <w:t xml:space="preserve"> </w:t>
      </w:r>
      <w:r>
        <w:rPr>
          <w:b/>
          <w:sz w:val="24"/>
          <w:szCs w:val="24"/>
        </w:rPr>
        <w:t>én gang om ugen</w:t>
      </w:r>
      <w:r>
        <w:rPr>
          <w:sz w:val="24"/>
          <w:szCs w:val="24"/>
        </w:rPr>
        <w:t>, administreret enten subkutant eller intramuskulært (se nedenfor under "Administration").</w:t>
      </w:r>
    </w:p>
    <w:p w:rsidR="007A01DF" w:rsidRDefault="007A01DF" w:rsidP="007A01DF">
      <w:pPr>
        <w:ind w:left="851"/>
        <w:rPr>
          <w:sz w:val="24"/>
          <w:szCs w:val="24"/>
        </w:rPr>
      </w:pPr>
      <w:r>
        <w:rPr>
          <w:sz w:val="24"/>
          <w:szCs w:val="24"/>
        </w:rPr>
        <w:t>Afhængigt af den individuelle patients sygdomsaktivitet og patientens tolerance kan den initiale dosis øges gradvist med 2,5 mg pr. uge.</w:t>
      </w:r>
    </w:p>
    <w:p w:rsidR="007A01DF" w:rsidRDefault="007A01DF" w:rsidP="007A01DF">
      <w:pPr>
        <w:ind w:left="851"/>
        <w:rPr>
          <w:sz w:val="24"/>
          <w:szCs w:val="24"/>
        </w:rPr>
      </w:pPr>
      <w:r>
        <w:rPr>
          <w:sz w:val="24"/>
          <w:szCs w:val="24"/>
        </w:rPr>
        <w:t xml:space="preserve">En </w:t>
      </w:r>
      <w:r>
        <w:rPr>
          <w:sz w:val="24"/>
          <w:szCs w:val="24"/>
          <w:u w:val="single"/>
        </w:rPr>
        <w:t>ugentlig dosis</w:t>
      </w:r>
      <w:r>
        <w:rPr>
          <w:sz w:val="24"/>
          <w:szCs w:val="24"/>
        </w:rPr>
        <w:t xml:space="preserve"> bør normalt ikke overskride 25 mg. Doser over 20 mg/uge kan dog være forbundet med signifikant øget toksicitet, især knoglemarvssuppression. Behandlingsrespons kan forventes efter cirka 4-8 uger. </w:t>
      </w:r>
    </w:p>
    <w:p w:rsidR="007A01DF" w:rsidRPr="007E2145" w:rsidRDefault="007A01DF" w:rsidP="007A01DF">
      <w:pPr>
        <w:ind w:left="851"/>
        <w:rPr>
          <w:sz w:val="24"/>
          <w:szCs w:val="24"/>
        </w:rPr>
      </w:pPr>
    </w:p>
    <w:p w:rsidR="007A01DF" w:rsidRPr="007E2145" w:rsidRDefault="007A01DF" w:rsidP="007A01DF">
      <w:pPr>
        <w:ind w:left="851"/>
        <w:rPr>
          <w:sz w:val="24"/>
          <w:szCs w:val="24"/>
        </w:rPr>
      </w:pPr>
      <w:r w:rsidRPr="007E2145">
        <w:rPr>
          <w:sz w:val="24"/>
          <w:szCs w:val="24"/>
        </w:rPr>
        <w:t xml:space="preserve">Når det ønskede terapeutiske resultat er opnået, bør dosis reduceres gradvist til den lavest mulige effektive vedligeholdelsesdosis. </w:t>
      </w:r>
    </w:p>
    <w:p w:rsidR="007A01DF" w:rsidRPr="007E2145" w:rsidRDefault="007A01DF" w:rsidP="007A01DF">
      <w:pPr>
        <w:ind w:left="851"/>
        <w:rPr>
          <w:sz w:val="24"/>
          <w:szCs w:val="24"/>
        </w:rPr>
      </w:pPr>
      <w:bookmarkStart w:id="0" w:name="OLE_LINK7"/>
    </w:p>
    <w:p w:rsidR="007A01DF" w:rsidRDefault="007A01DF" w:rsidP="007A01DF">
      <w:pPr>
        <w:ind w:left="851"/>
        <w:rPr>
          <w:sz w:val="24"/>
          <w:szCs w:val="24"/>
          <w:u w:val="single"/>
        </w:rPr>
      </w:pPr>
      <w:r>
        <w:rPr>
          <w:sz w:val="24"/>
          <w:szCs w:val="24"/>
          <w:u w:val="single"/>
        </w:rPr>
        <w:t xml:space="preserve">Dosis til patienter med psoriasis </w:t>
      </w:r>
      <w:proofErr w:type="spellStart"/>
      <w:r>
        <w:rPr>
          <w:sz w:val="24"/>
          <w:szCs w:val="24"/>
          <w:u w:val="single"/>
        </w:rPr>
        <w:t>vulgaris</w:t>
      </w:r>
      <w:proofErr w:type="spellEnd"/>
      <w:r>
        <w:rPr>
          <w:sz w:val="24"/>
          <w:szCs w:val="24"/>
          <w:u w:val="single"/>
        </w:rPr>
        <w:t xml:space="preserve"> og </w:t>
      </w:r>
      <w:proofErr w:type="spellStart"/>
      <w:r>
        <w:rPr>
          <w:sz w:val="24"/>
          <w:szCs w:val="24"/>
          <w:u w:val="single"/>
        </w:rPr>
        <w:t>arthritis</w:t>
      </w:r>
      <w:proofErr w:type="spellEnd"/>
      <w:r>
        <w:rPr>
          <w:sz w:val="24"/>
          <w:szCs w:val="24"/>
          <w:u w:val="single"/>
        </w:rPr>
        <w:t xml:space="preserve"> </w:t>
      </w:r>
      <w:proofErr w:type="spellStart"/>
      <w:r>
        <w:rPr>
          <w:sz w:val="24"/>
          <w:szCs w:val="24"/>
          <w:u w:val="single"/>
        </w:rPr>
        <w:t>psoriatica</w:t>
      </w:r>
      <w:proofErr w:type="spellEnd"/>
    </w:p>
    <w:p w:rsidR="007A01DF" w:rsidRDefault="007A01DF" w:rsidP="007A01DF">
      <w:pPr>
        <w:ind w:left="851"/>
        <w:rPr>
          <w:sz w:val="24"/>
          <w:szCs w:val="24"/>
        </w:rPr>
      </w:pPr>
      <w:r>
        <w:rPr>
          <w:sz w:val="24"/>
          <w:szCs w:val="24"/>
        </w:rPr>
        <w:t xml:space="preserve">Det anbefales, at en testdosis på </w:t>
      </w:r>
      <w:r w:rsidR="00074246">
        <w:rPr>
          <w:sz w:val="24"/>
          <w:szCs w:val="24"/>
        </w:rPr>
        <w:t>5 – 10 </w:t>
      </w:r>
      <w:r>
        <w:rPr>
          <w:sz w:val="24"/>
          <w:szCs w:val="24"/>
        </w:rPr>
        <w:t xml:space="preserve">mg administreres parenteralt en uge før behandlingsstart for at påvise idiosynkratiske bivirkninger.  </w:t>
      </w:r>
    </w:p>
    <w:p w:rsidR="007A01DF" w:rsidRDefault="007A01DF" w:rsidP="007A01DF">
      <w:pPr>
        <w:ind w:left="851"/>
        <w:rPr>
          <w:sz w:val="24"/>
          <w:szCs w:val="24"/>
        </w:rPr>
      </w:pPr>
      <w:r>
        <w:rPr>
          <w:sz w:val="24"/>
          <w:szCs w:val="24"/>
        </w:rPr>
        <w:lastRenderedPageBreak/>
        <w:t xml:space="preserve">Den anbefalede initiale dosis er 7,5 mg </w:t>
      </w:r>
      <w:proofErr w:type="spellStart"/>
      <w:r>
        <w:rPr>
          <w:sz w:val="24"/>
          <w:szCs w:val="24"/>
        </w:rPr>
        <w:t>methotrexat</w:t>
      </w:r>
      <w:proofErr w:type="spellEnd"/>
      <w:r>
        <w:rPr>
          <w:sz w:val="24"/>
          <w:szCs w:val="24"/>
        </w:rPr>
        <w:t xml:space="preserve"> én gang om ugen administreret enten subkutant eller intramuskulært.</w:t>
      </w:r>
    </w:p>
    <w:p w:rsidR="007A01DF" w:rsidRDefault="007A01DF" w:rsidP="007A01DF">
      <w:pPr>
        <w:ind w:left="851"/>
        <w:rPr>
          <w:sz w:val="24"/>
          <w:szCs w:val="24"/>
        </w:rPr>
      </w:pPr>
      <w:r>
        <w:rPr>
          <w:sz w:val="24"/>
          <w:szCs w:val="24"/>
        </w:rPr>
        <w:t xml:space="preserve">Dosis skal øges gradvist, men bør normalt ikke overstige en </w:t>
      </w:r>
      <w:r>
        <w:rPr>
          <w:sz w:val="24"/>
          <w:szCs w:val="24"/>
          <w:u w:val="single"/>
        </w:rPr>
        <w:t>ugentlig dosis</w:t>
      </w:r>
      <w:r>
        <w:rPr>
          <w:sz w:val="24"/>
          <w:szCs w:val="24"/>
        </w:rPr>
        <w:t xml:space="preserve"> på 25 mg </w:t>
      </w:r>
      <w:proofErr w:type="spellStart"/>
      <w:r>
        <w:rPr>
          <w:sz w:val="24"/>
          <w:szCs w:val="24"/>
        </w:rPr>
        <w:t>methotrexat</w:t>
      </w:r>
      <w:proofErr w:type="spellEnd"/>
      <w:r>
        <w:rPr>
          <w:sz w:val="24"/>
          <w:szCs w:val="24"/>
        </w:rPr>
        <w:t>. Doser, som overstiger 20 mg ugentlig kan associeres med signifikant stigning i toksicitet, især knoglemarvssuppression.</w:t>
      </w:r>
    </w:p>
    <w:p w:rsidR="007A01DF" w:rsidRDefault="007A01DF" w:rsidP="007A01DF">
      <w:pPr>
        <w:ind w:left="851"/>
        <w:rPr>
          <w:sz w:val="24"/>
          <w:szCs w:val="24"/>
        </w:rPr>
      </w:pPr>
    </w:p>
    <w:p w:rsidR="007A01DF" w:rsidRDefault="007A01DF" w:rsidP="007A01DF">
      <w:pPr>
        <w:ind w:left="851"/>
        <w:rPr>
          <w:sz w:val="24"/>
          <w:szCs w:val="24"/>
        </w:rPr>
      </w:pPr>
      <w:r>
        <w:rPr>
          <w:sz w:val="24"/>
          <w:szCs w:val="24"/>
        </w:rPr>
        <w:t>Behandlingsrespons kan forventes efter cirka 2</w:t>
      </w:r>
      <w:r w:rsidR="00074246">
        <w:rPr>
          <w:sz w:val="24"/>
          <w:szCs w:val="24"/>
        </w:rPr>
        <w:t> – </w:t>
      </w:r>
      <w:r>
        <w:rPr>
          <w:sz w:val="24"/>
          <w:szCs w:val="24"/>
        </w:rPr>
        <w:t xml:space="preserve">6 uger. Når det ønskede terapeutiske resultat er opnået, bør dosis reduceres gradvist til den lavest mulige effektive vedligeholdelsesdosis. </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Dosis bør øges efter behov, men bør normalt ikke overstige den anbefalede maksimale dosis på 25 mg ugentlig. I enkeltstående tilfælde kan en højere dosis klinisk set retfærdiggøres, men bør ikke overstige et maksimum på 30 mg </w:t>
      </w:r>
      <w:proofErr w:type="spellStart"/>
      <w:r>
        <w:rPr>
          <w:sz w:val="24"/>
          <w:szCs w:val="24"/>
        </w:rPr>
        <w:t>methotrexat</w:t>
      </w:r>
      <w:proofErr w:type="spellEnd"/>
      <w:r>
        <w:rPr>
          <w:sz w:val="24"/>
          <w:szCs w:val="24"/>
        </w:rPr>
        <w:t xml:space="preserve"> ugentlig, fordi toksiciteten vil stige signifikant</w:t>
      </w:r>
      <w:r w:rsidR="00C02127">
        <w:rPr>
          <w:sz w:val="24"/>
          <w:szCs w:val="24"/>
        </w:rPr>
        <w:t>.</w:t>
      </w:r>
    </w:p>
    <w:p w:rsidR="00C02127" w:rsidRPr="00C02127" w:rsidRDefault="00C02127" w:rsidP="00C02127">
      <w:pPr>
        <w:ind w:left="851"/>
        <w:rPr>
          <w:sz w:val="24"/>
          <w:szCs w:val="24"/>
        </w:rPr>
      </w:pPr>
    </w:p>
    <w:p w:rsidR="00C02127" w:rsidRPr="00C02127" w:rsidRDefault="00C02127" w:rsidP="00C02127">
      <w:pPr>
        <w:ind w:left="851"/>
        <w:rPr>
          <w:sz w:val="24"/>
          <w:szCs w:val="24"/>
        </w:rPr>
      </w:pPr>
      <w:r w:rsidRPr="00C02127">
        <w:rPr>
          <w:sz w:val="24"/>
          <w:szCs w:val="24"/>
        </w:rPr>
        <w:t xml:space="preserve">Dosering til voksne patienter med </w:t>
      </w:r>
      <w:proofErr w:type="spellStart"/>
      <w:r w:rsidRPr="00C02127">
        <w:rPr>
          <w:sz w:val="24"/>
          <w:szCs w:val="24"/>
        </w:rPr>
        <w:t>Crohns</w:t>
      </w:r>
      <w:proofErr w:type="spellEnd"/>
      <w:r w:rsidRPr="00C02127">
        <w:rPr>
          <w:sz w:val="24"/>
          <w:szCs w:val="24"/>
        </w:rPr>
        <w:t xml:space="preserve"> sygdom</w:t>
      </w:r>
    </w:p>
    <w:p w:rsidR="00C02127" w:rsidRPr="00C02127" w:rsidRDefault="00C02127" w:rsidP="00C02127">
      <w:pPr>
        <w:pStyle w:val="Listeafsnit"/>
        <w:numPr>
          <w:ilvl w:val="0"/>
          <w:numId w:val="10"/>
        </w:numPr>
        <w:ind w:left="1418" w:hanging="567"/>
      </w:pPr>
      <w:r w:rsidRPr="00C02127">
        <w:t xml:space="preserve">Induktionsbehandling: 25 mg/uge administreret intramuskulært eller subkutant. Når patienter har reageret tilstrækkeligt på kombinationsbehandling, bør </w:t>
      </w:r>
      <w:proofErr w:type="spellStart"/>
      <w:r w:rsidRPr="00C02127">
        <w:t>kortikosteroiderne</w:t>
      </w:r>
      <w:proofErr w:type="spellEnd"/>
      <w:r w:rsidRPr="00C02127">
        <w:t xml:space="preserve"> nedtrappes. Svar på behandling kan forventes efter 8 til 12</w:t>
      </w:r>
      <w:r w:rsidR="00074246">
        <w:t> </w:t>
      </w:r>
      <w:r w:rsidRPr="00C02127">
        <w:t xml:space="preserve">uger. </w:t>
      </w:r>
    </w:p>
    <w:p w:rsidR="00C02127" w:rsidRPr="00C02127" w:rsidRDefault="00C02127" w:rsidP="00C02127">
      <w:pPr>
        <w:pStyle w:val="Listeafsnit"/>
        <w:numPr>
          <w:ilvl w:val="0"/>
          <w:numId w:val="10"/>
        </w:numPr>
        <w:ind w:left="1418" w:hanging="567"/>
      </w:pPr>
      <w:r w:rsidRPr="00C02127">
        <w:t>Vedligeholdelsesbehandling: 15 mg/uge administreret intramuskulært eller subkutant som monoterapi, hvis patienten er i remission.</w:t>
      </w:r>
    </w:p>
    <w:p w:rsidR="007A01DF" w:rsidRPr="007E2145" w:rsidRDefault="007A01DF" w:rsidP="007A01DF">
      <w:pPr>
        <w:pStyle w:val="Default"/>
        <w:ind w:left="851"/>
        <w:rPr>
          <w:b/>
          <w:color w:val="auto"/>
        </w:rPr>
      </w:pPr>
    </w:p>
    <w:p w:rsidR="007A01DF" w:rsidRPr="007E2145" w:rsidRDefault="007A01DF" w:rsidP="007A01DF">
      <w:pPr>
        <w:ind w:left="851"/>
        <w:rPr>
          <w:b/>
          <w:sz w:val="24"/>
          <w:szCs w:val="24"/>
        </w:rPr>
      </w:pPr>
      <w:r w:rsidRPr="007E2145">
        <w:rPr>
          <w:b/>
          <w:sz w:val="24"/>
          <w:szCs w:val="24"/>
        </w:rPr>
        <w:t>Særlige populationer</w:t>
      </w:r>
    </w:p>
    <w:p w:rsidR="007A01DF" w:rsidRPr="007E2145" w:rsidRDefault="007A01DF" w:rsidP="007A01DF">
      <w:pPr>
        <w:ind w:left="851"/>
        <w:rPr>
          <w:sz w:val="24"/>
          <w:szCs w:val="24"/>
        </w:rPr>
      </w:pPr>
    </w:p>
    <w:bookmarkEnd w:id="0"/>
    <w:p w:rsidR="007A01DF" w:rsidRPr="007E2145" w:rsidRDefault="007A01DF" w:rsidP="007A01DF">
      <w:pPr>
        <w:ind w:left="851"/>
        <w:rPr>
          <w:sz w:val="24"/>
          <w:szCs w:val="24"/>
          <w:u w:val="single"/>
        </w:rPr>
      </w:pPr>
      <w:r w:rsidRPr="007E2145">
        <w:rPr>
          <w:sz w:val="24"/>
          <w:szCs w:val="24"/>
          <w:u w:val="single"/>
        </w:rPr>
        <w:t>Anvendelse til ældre patienter</w:t>
      </w:r>
    </w:p>
    <w:p w:rsidR="007A01DF" w:rsidRPr="007E2145" w:rsidRDefault="007A01DF" w:rsidP="007A01DF">
      <w:pPr>
        <w:ind w:left="851"/>
        <w:rPr>
          <w:sz w:val="24"/>
          <w:szCs w:val="24"/>
        </w:rPr>
      </w:pPr>
      <w:r w:rsidRPr="007E2145">
        <w:rPr>
          <w:sz w:val="24"/>
          <w:szCs w:val="24"/>
        </w:rPr>
        <w:t xml:space="preserve">Hos ældre patienter bør dosisreduktion overvejes på grund af nedsat lever- og nyrefunktion, samt lave </w:t>
      </w:r>
      <w:proofErr w:type="spellStart"/>
      <w:r w:rsidRPr="007E2145">
        <w:rPr>
          <w:sz w:val="24"/>
          <w:szCs w:val="24"/>
        </w:rPr>
        <w:t>folatreserver</w:t>
      </w:r>
      <w:proofErr w:type="spellEnd"/>
      <w:r w:rsidRPr="007E2145">
        <w:rPr>
          <w:sz w:val="24"/>
          <w:szCs w:val="24"/>
        </w:rPr>
        <w:t>, som forekommer med fremskreden alder.</w:t>
      </w:r>
    </w:p>
    <w:p w:rsidR="007A01DF" w:rsidRPr="007E2145" w:rsidRDefault="007A01DF" w:rsidP="007A01DF">
      <w:pPr>
        <w:ind w:left="851"/>
        <w:rPr>
          <w:sz w:val="24"/>
          <w:szCs w:val="24"/>
          <w:u w:val="single"/>
        </w:rPr>
      </w:pPr>
    </w:p>
    <w:p w:rsidR="007A01DF" w:rsidRPr="007E2145" w:rsidRDefault="007A01DF" w:rsidP="007A01DF">
      <w:pPr>
        <w:ind w:left="851"/>
        <w:rPr>
          <w:sz w:val="24"/>
          <w:szCs w:val="24"/>
          <w:u w:val="single"/>
        </w:rPr>
      </w:pPr>
      <w:r w:rsidRPr="007E2145">
        <w:rPr>
          <w:sz w:val="24"/>
          <w:szCs w:val="24"/>
          <w:u w:val="single"/>
        </w:rPr>
        <w:t>Dosis til patienter med nedsat nyrefunktion</w:t>
      </w:r>
    </w:p>
    <w:p w:rsidR="007A01DF" w:rsidRPr="007E2145" w:rsidRDefault="007A01DF" w:rsidP="007A01DF">
      <w:pPr>
        <w:ind w:left="851"/>
        <w:rPr>
          <w:sz w:val="24"/>
          <w:szCs w:val="24"/>
        </w:rPr>
      </w:pPr>
      <w:proofErr w:type="spellStart"/>
      <w:r w:rsidRPr="007E2145">
        <w:rPr>
          <w:sz w:val="24"/>
          <w:szCs w:val="24"/>
        </w:rPr>
        <w:t>Methotrexat</w:t>
      </w:r>
      <w:proofErr w:type="spellEnd"/>
      <w:r w:rsidRPr="007E2145">
        <w:rPr>
          <w:sz w:val="24"/>
          <w:szCs w:val="24"/>
        </w:rPr>
        <w:t xml:space="preserve"> bør anvendes med forsigtighed til patienter med nedsat nyrefunktion. Dosis bør justeres på følgende måde: </w:t>
      </w:r>
    </w:p>
    <w:p w:rsidR="007A01DF" w:rsidRPr="00D74103" w:rsidRDefault="007A01DF" w:rsidP="007A01DF">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tblGrid>
      <w:tr w:rsidR="007A01DF" w:rsidRPr="00D74103" w:rsidTr="005229EF">
        <w:tc>
          <w:tcPr>
            <w:tcW w:w="3119" w:type="dxa"/>
            <w:shd w:val="clear" w:color="auto" w:fill="auto"/>
          </w:tcPr>
          <w:p w:rsidR="007A01DF" w:rsidRPr="00D74103" w:rsidRDefault="007A01DF" w:rsidP="005229EF">
            <w:pPr>
              <w:ind w:left="851" w:hanging="851"/>
              <w:rPr>
                <w:sz w:val="24"/>
                <w:szCs w:val="24"/>
              </w:rPr>
            </w:pPr>
            <w:proofErr w:type="spellStart"/>
            <w:r w:rsidRPr="00D74103">
              <w:rPr>
                <w:sz w:val="24"/>
                <w:szCs w:val="24"/>
              </w:rPr>
              <w:t>Kreatininclearance</w:t>
            </w:r>
            <w:proofErr w:type="spellEnd"/>
            <w:r w:rsidRPr="00D74103">
              <w:rPr>
                <w:sz w:val="24"/>
                <w:szCs w:val="24"/>
              </w:rPr>
              <w:t xml:space="preserve"> (ml/ min)</w:t>
            </w:r>
          </w:p>
        </w:tc>
        <w:tc>
          <w:tcPr>
            <w:tcW w:w="3685" w:type="dxa"/>
            <w:shd w:val="clear" w:color="auto" w:fill="auto"/>
          </w:tcPr>
          <w:p w:rsidR="007A01DF" w:rsidRPr="00D74103" w:rsidRDefault="007A01DF" w:rsidP="005229EF">
            <w:pPr>
              <w:ind w:left="851" w:hanging="851"/>
              <w:rPr>
                <w:sz w:val="24"/>
                <w:szCs w:val="24"/>
              </w:rPr>
            </w:pPr>
            <w:r w:rsidRPr="00D74103">
              <w:rPr>
                <w:sz w:val="24"/>
                <w:szCs w:val="24"/>
              </w:rPr>
              <w:t>Dosering</w:t>
            </w:r>
          </w:p>
        </w:tc>
      </w:tr>
      <w:tr w:rsidR="007A01DF" w:rsidRPr="00D74103" w:rsidTr="005229EF">
        <w:tc>
          <w:tcPr>
            <w:tcW w:w="3119" w:type="dxa"/>
            <w:shd w:val="clear" w:color="auto" w:fill="auto"/>
          </w:tcPr>
          <w:p w:rsidR="007A01DF" w:rsidRPr="00991931" w:rsidRDefault="007A01DF" w:rsidP="005229EF">
            <w:pPr>
              <w:ind w:left="851" w:hanging="851"/>
              <w:rPr>
                <w:sz w:val="24"/>
                <w:szCs w:val="24"/>
              </w:rPr>
            </w:pPr>
            <w:r w:rsidRPr="00991931">
              <w:rPr>
                <w:sz w:val="24"/>
                <w:szCs w:val="24"/>
              </w:rPr>
              <w:t>≥ 60</w:t>
            </w:r>
            <w:r w:rsidRPr="00991931">
              <w:rPr>
                <w:sz w:val="24"/>
                <w:szCs w:val="24"/>
              </w:rPr>
              <w:tab/>
            </w:r>
          </w:p>
        </w:tc>
        <w:tc>
          <w:tcPr>
            <w:tcW w:w="3685" w:type="dxa"/>
            <w:shd w:val="clear" w:color="auto" w:fill="auto"/>
          </w:tcPr>
          <w:p w:rsidR="007A01DF" w:rsidRPr="00D74103" w:rsidRDefault="007A01DF" w:rsidP="005229EF">
            <w:pPr>
              <w:ind w:left="851" w:hanging="851"/>
              <w:rPr>
                <w:sz w:val="24"/>
                <w:szCs w:val="24"/>
              </w:rPr>
            </w:pPr>
            <w:r>
              <w:rPr>
                <w:sz w:val="24"/>
                <w:szCs w:val="24"/>
              </w:rPr>
              <w:t>100%</w:t>
            </w:r>
          </w:p>
        </w:tc>
      </w:tr>
      <w:tr w:rsidR="007A01DF" w:rsidRPr="00D74103" w:rsidTr="005229EF">
        <w:tc>
          <w:tcPr>
            <w:tcW w:w="3119" w:type="dxa"/>
            <w:shd w:val="clear" w:color="auto" w:fill="auto"/>
          </w:tcPr>
          <w:p w:rsidR="007A01DF" w:rsidRPr="00991931" w:rsidRDefault="007A01DF" w:rsidP="005229EF">
            <w:pPr>
              <w:ind w:left="851" w:hanging="851"/>
              <w:rPr>
                <w:sz w:val="24"/>
                <w:szCs w:val="24"/>
              </w:rPr>
            </w:pPr>
            <w:r w:rsidRPr="00991931">
              <w:rPr>
                <w:sz w:val="24"/>
                <w:szCs w:val="24"/>
              </w:rPr>
              <w:t>30</w:t>
            </w:r>
            <w:r w:rsidR="00074246">
              <w:rPr>
                <w:sz w:val="24"/>
                <w:szCs w:val="24"/>
              </w:rPr>
              <w:t> – </w:t>
            </w:r>
            <w:r w:rsidRPr="00991931">
              <w:rPr>
                <w:sz w:val="24"/>
                <w:szCs w:val="24"/>
              </w:rPr>
              <w:t>59</w:t>
            </w:r>
          </w:p>
        </w:tc>
        <w:tc>
          <w:tcPr>
            <w:tcW w:w="3685" w:type="dxa"/>
            <w:shd w:val="clear" w:color="auto" w:fill="auto"/>
          </w:tcPr>
          <w:p w:rsidR="007A01DF" w:rsidRPr="00D74103" w:rsidRDefault="007A01DF" w:rsidP="005229EF">
            <w:pPr>
              <w:ind w:left="851" w:hanging="851"/>
              <w:rPr>
                <w:sz w:val="24"/>
                <w:szCs w:val="24"/>
              </w:rPr>
            </w:pPr>
            <w:r>
              <w:rPr>
                <w:sz w:val="24"/>
                <w:szCs w:val="24"/>
              </w:rPr>
              <w:t>50 %</w:t>
            </w:r>
          </w:p>
        </w:tc>
      </w:tr>
      <w:tr w:rsidR="007A01DF" w:rsidRPr="00D74103" w:rsidTr="005229EF">
        <w:tc>
          <w:tcPr>
            <w:tcW w:w="3119" w:type="dxa"/>
            <w:shd w:val="clear" w:color="auto" w:fill="auto"/>
          </w:tcPr>
          <w:p w:rsidR="007A01DF" w:rsidRPr="00991931" w:rsidRDefault="007A01DF" w:rsidP="005229EF">
            <w:pPr>
              <w:ind w:left="851" w:hanging="851"/>
              <w:rPr>
                <w:sz w:val="24"/>
                <w:szCs w:val="24"/>
              </w:rPr>
            </w:pPr>
            <w:r w:rsidRPr="00991931">
              <w:rPr>
                <w:sz w:val="24"/>
                <w:szCs w:val="24"/>
              </w:rPr>
              <w:t>&lt; 30</w:t>
            </w:r>
            <w:r w:rsidRPr="00991931">
              <w:rPr>
                <w:sz w:val="24"/>
                <w:szCs w:val="24"/>
              </w:rPr>
              <w:tab/>
            </w:r>
          </w:p>
        </w:tc>
        <w:tc>
          <w:tcPr>
            <w:tcW w:w="3685" w:type="dxa"/>
            <w:shd w:val="clear" w:color="auto" w:fill="auto"/>
          </w:tcPr>
          <w:p w:rsidR="007A01DF" w:rsidRPr="00D74103" w:rsidRDefault="007A01DF" w:rsidP="005229EF">
            <w:pPr>
              <w:ind w:left="851" w:hanging="851"/>
              <w:rPr>
                <w:sz w:val="24"/>
                <w:szCs w:val="24"/>
              </w:rPr>
            </w:pPr>
            <w:proofErr w:type="spellStart"/>
            <w:r>
              <w:rPr>
                <w:sz w:val="24"/>
                <w:szCs w:val="24"/>
              </w:rPr>
              <w:t>Methotrexat</w:t>
            </w:r>
            <w:proofErr w:type="spellEnd"/>
            <w:r>
              <w:rPr>
                <w:sz w:val="24"/>
                <w:szCs w:val="24"/>
              </w:rPr>
              <w:t xml:space="preserve"> må ikke anvendes</w:t>
            </w:r>
          </w:p>
        </w:tc>
      </w:tr>
    </w:tbl>
    <w:p w:rsidR="007A01DF" w:rsidRPr="00D74103" w:rsidRDefault="007A01DF" w:rsidP="007A01DF">
      <w:pPr>
        <w:pStyle w:val="Default"/>
        <w:ind w:left="851" w:hanging="851"/>
        <w:outlineLvl w:val="0"/>
        <w:rPr>
          <w:u w:val="single"/>
        </w:rPr>
      </w:pPr>
    </w:p>
    <w:p w:rsidR="007A01DF" w:rsidRPr="00D74103" w:rsidRDefault="007A01DF" w:rsidP="007A01DF">
      <w:pPr>
        <w:ind w:left="851"/>
        <w:rPr>
          <w:sz w:val="24"/>
          <w:szCs w:val="24"/>
        </w:rPr>
      </w:pPr>
      <w:r w:rsidRPr="00D74103">
        <w:rPr>
          <w:sz w:val="24"/>
          <w:szCs w:val="24"/>
        </w:rPr>
        <w:t>Se pkt. 4.3.</w:t>
      </w:r>
    </w:p>
    <w:p w:rsidR="007A01DF" w:rsidRPr="00D74103" w:rsidRDefault="007A01DF" w:rsidP="007A01DF">
      <w:pPr>
        <w:ind w:left="851"/>
        <w:rPr>
          <w:sz w:val="24"/>
          <w:szCs w:val="24"/>
        </w:rPr>
      </w:pPr>
    </w:p>
    <w:p w:rsidR="007A01DF" w:rsidRPr="00D74103" w:rsidRDefault="007A01DF" w:rsidP="007A01DF">
      <w:pPr>
        <w:ind w:left="851"/>
        <w:rPr>
          <w:sz w:val="24"/>
          <w:szCs w:val="24"/>
          <w:u w:val="single"/>
        </w:rPr>
      </w:pPr>
      <w:r w:rsidRPr="00D74103">
        <w:rPr>
          <w:sz w:val="24"/>
          <w:szCs w:val="24"/>
          <w:u w:val="single"/>
        </w:rPr>
        <w:t xml:space="preserve">Patienter med nedsat leverfunktion </w:t>
      </w:r>
    </w:p>
    <w:p w:rsidR="007A01DF" w:rsidRPr="00D74103" w:rsidRDefault="007A01DF" w:rsidP="007A01DF">
      <w:pPr>
        <w:ind w:left="851"/>
        <w:rPr>
          <w:sz w:val="24"/>
          <w:szCs w:val="24"/>
        </w:rPr>
      </w:pPr>
      <w:proofErr w:type="spellStart"/>
      <w:r w:rsidRPr="00D74103">
        <w:rPr>
          <w:sz w:val="24"/>
          <w:szCs w:val="24"/>
        </w:rPr>
        <w:t>Methotrexat</w:t>
      </w:r>
      <w:proofErr w:type="spellEnd"/>
      <w:r w:rsidRPr="00D74103">
        <w:rPr>
          <w:sz w:val="24"/>
          <w:szCs w:val="24"/>
        </w:rPr>
        <w:t xml:space="preserve"> bør administreres med stor forsigtighed, hvis overhovedet, til patienter med signifikant aktuel eller tidligere leversygdom, især hvis det er forårsaget af alkohol. Hvis bilirubin er &gt;</w:t>
      </w:r>
      <w:r w:rsidR="00074246">
        <w:rPr>
          <w:sz w:val="24"/>
          <w:szCs w:val="24"/>
        </w:rPr>
        <w:t> </w:t>
      </w:r>
      <w:r w:rsidRPr="00D74103">
        <w:rPr>
          <w:sz w:val="24"/>
          <w:szCs w:val="24"/>
        </w:rPr>
        <w:t xml:space="preserve">5 mg/dl (85,5 mmol/l), er </w:t>
      </w:r>
      <w:proofErr w:type="spellStart"/>
      <w:r w:rsidRPr="00D74103">
        <w:rPr>
          <w:sz w:val="24"/>
          <w:szCs w:val="24"/>
        </w:rPr>
        <w:t>methotrexat</w:t>
      </w:r>
      <w:proofErr w:type="spellEnd"/>
      <w:r w:rsidRPr="00D74103">
        <w:rPr>
          <w:sz w:val="24"/>
          <w:szCs w:val="24"/>
        </w:rPr>
        <w:t xml:space="preserve"> kontraindiceret (se pkt.</w:t>
      </w:r>
      <w:r w:rsidR="00074246">
        <w:rPr>
          <w:sz w:val="24"/>
          <w:szCs w:val="24"/>
        </w:rPr>
        <w:t> </w:t>
      </w:r>
      <w:r w:rsidRPr="00D74103">
        <w:rPr>
          <w:sz w:val="24"/>
          <w:szCs w:val="24"/>
        </w:rPr>
        <w:t xml:space="preserve">4.3). </w:t>
      </w:r>
    </w:p>
    <w:p w:rsidR="007A01DF" w:rsidRPr="00D74103" w:rsidRDefault="007A01DF" w:rsidP="007A01DF">
      <w:pPr>
        <w:ind w:left="851"/>
        <w:rPr>
          <w:sz w:val="24"/>
          <w:szCs w:val="24"/>
        </w:rPr>
      </w:pPr>
    </w:p>
    <w:p w:rsidR="007A01DF" w:rsidRPr="00D74103" w:rsidRDefault="007A01DF" w:rsidP="00E854C3">
      <w:pPr>
        <w:keepNext/>
        <w:ind w:left="851"/>
        <w:rPr>
          <w:sz w:val="24"/>
          <w:szCs w:val="24"/>
          <w:u w:val="single"/>
        </w:rPr>
      </w:pPr>
      <w:r w:rsidRPr="00D74103">
        <w:rPr>
          <w:sz w:val="24"/>
          <w:szCs w:val="24"/>
          <w:u w:val="single"/>
        </w:rPr>
        <w:t>Anvendelse til patienter med et tredje fordelingsrum (</w:t>
      </w:r>
      <w:proofErr w:type="spellStart"/>
      <w:r w:rsidRPr="00D74103">
        <w:rPr>
          <w:sz w:val="24"/>
          <w:szCs w:val="24"/>
          <w:u w:val="single"/>
        </w:rPr>
        <w:t>pleuraeffusion</w:t>
      </w:r>
      <w:proofErr w:type="spellEnd"/>
      <w:r w:rsidRPr="00D74103">
        <w:rPr>
          <w:sz w:val="24"/>
          <w:szCs w:val="24"/>
          <w:u w:val="single"/>
        </w:rPr>
        <w:t xml:space="preserve">, </w:t>
      </w:r>
      <w:proofErr w:type="spellStart"/>
      <w:r w:rsidRPr="00D74103">
        <w:rPr>
          <w:sz w:val="24"/>
          <w:szCs w:val="24"/>
          <w:u w:val="single"/>
        </w:rPr>
        <w:t>ascites</w:t>
      </w:r>
      <w:proofErr w:type="spellEnd"/>
      <w:r w:rsidRPr="00D74103">
        <w:rPr>
          <w:sz w:val="24"/>
          <w:szCs w:val="24"/>
          <w:u w:val="single"/>
        </w:rPr>
        <w:t>)</w:t>
      </w:r>
    </w:p>
    <w:p w:rsidR="007A01DF" w:rsidRDefault="007A01DF" w:rsidP="007A01DF">
      <w:pPr>
        <w:ind w:left="851"/>
        <w:rPr>
          <w:sz w:val="24"/>
          <w:szCs w:val="24"/>
        </w:rPr>
      </w:pPr>
      <w:r w:rsidRPr="00D74103">
        <w:rPr>
          <w:sz w:val="24"/>
          <w:szCs w:val="24"/>
        </w:rPr>
        <w:t xml:space="preserve">Fordi </w:t>
      </w:r>
      <w:proofErr w:type="spellStart"/>
      <w:r w:rsidRPr="00D74103">
        <w:rPr>
          <w:sz w:val="24"/>
          <w:szCs w:val="24"/>
        </w:rPr>
        <w:t>methotrexats</w:t>
      </w:r>
      <w:proofErr w:type="spellEnd"/>
      <w:r w:rsidRPr="00D74103">
        <w:rPr>
          <w:sz w:val="24"/>
          <w:szCs w:val="24"/>
        </w:rPr>
        <w:t xml:space="preserve"> halveringstid kan være op til 4 gange længere end den normale længde hos patienter med et tredje fordelingsrum kan dosisreduktion eller, i nogle tilfælde, </w:t>
      </w:r>
      <w:proofErr w:type="spellStart"/>
      <w:r w:rsidRPr="00D74103">
        <w:rPr>
          <w:sz w:val="24"/>
          <w:szCs w:val="24"/>
        </w:rPr>
        <w:t>seponering</w:t>
      </w:r>
      <w:proofErr w:type="spellEnd"/>
      <w:r w:rsidRPr="00D74103">
        <w:rPr>
          <w:sz w:val="24"/>
          <w:szCs w:val="24"/>
        </w:rPr>
        <w:t xml:space="preserve"> af administration af </w:t>
      </w:r>
      <w:proofErr w:type="spellStart"/>
      <w:r w:rsidRPr="00D74103">
        <w:rPr>
          <w:sz w:val="24"/>
          <w:szCs w:val="24"/>
        </w:rPr>
        <w:t>methotrexat</w:t>
      </w:r>
      <w:proofErr w:type="spellEnd"/>
      <w:r w:rsidRPr="00D74103">
        <w:rPr>
          <w:sz w:val="24"/>
          <w:szCs w:val="24"/>
        </w:rPr>
        <w:t xml:space="preserve"> være påkrævet (se pkt. 4.4 og 5.2).</w:t>
      </w:r>
    </w:p>
    <w:p w:rsidR="00C02127" w:rsidRDefault="00C02127" w:rsidP="00C02127">
      <w:pPr>
        <w:ind w:left="851"/>
        <w:rPr>
          <w:sz w:val="24"/>
          <w:szCs w:val="24"/>
        </w:rPr>
      </w:pPr>
    </w:p>
    <w:p w:rsidR="00C02127" w:rsidRPr="00C02127" w:rsidRDefault="00C02127" w:rsidP="00F9604D">
      <w:pPr>
        <w:keepNext/>
        <w:ind w:left="851"/>
        <w:rPr>
          <w:sz w:val="24"/>
          <w:szCs w:val="24"/>
        </w:rPr>
      </w:pPr>
      <w:r w:rsidRPr="00C02127">
        <w:rPr>
          <w:i/>
          <w:sz w:val="24"/>
          <w:szCs w:val="24"/>
        </w:rPr>
        <w:lastRenderedPageBreak/>
        <w:t>Pædiatrisk population</w:t>
      </w:r>
    </w:p>
    <w:p w:rsidR="00C02127" w:rsidRPr="00C02127" w:rsidRDefault="00C02127" w:rsidP="00F9604D">
      <w:pPr>
        <w:pStyle w:val="Default"/>
        <w:keepNext/>
        <w:ind w:left="851"/>
        <w:rPr>
          <w:color w:val="auto"/>
        </w:rPr>
      </w:pPr>
    </w:p>
    <w:p w:rsidR="00C02127" w:rsidRPr="00C02127" w:rsidRDefault="00C02127" w:rsidP="00C02127">
      <w:pPr>
        <w:ind w:left="851"/>
        <w:rPr>
          <w:sz w:val="24"/>
          <w:szCs w:val="24"/>
        </w:rPr>
      </w:pPr>
      <w:r w:rsidRPr="00C02127">
        <w:rPr>
          <w:sz w:val="24"/>
          <w:szCs w:val="24"/>
        </w:rPr>
        <w:t xml:space="preserve">Dosis til børn og unge i alderen under 16 år med </w:t>
      </w:r>
      <w:proofErr w:type="spellStart"/>
      <w:r w:rsidRPr="00C02127">
        <w:rPr>
          <w:sz w:val="24"/>
          <w:szCs w:val="24"/>
        </w:rPr>
        <w:t>polyarthritiske</w:t>
      </w:r>
      <w:proofErr w:type="spellEnd"/>
      <w:r w:rsidRPr="00C02127">
        <w:rPr>
          <w:sz w:val="24"/>
          <w:szCs w:val="24"/>
        </w:rPr>
        <w:t xml:space="preserve"> former for juvenil idiopatisk </w:t>
      </w:r>
      <w:proofErr w:type="spellStart"/>
      <w:r w:rsidRPr="00C02127">
        <w:rPr>
          <w:sz w:val="24"/>
          <w:szCs w:val="24"/>
        </w:rPr>
        <w:t>arthritis</w:t>
      </w:r>
      <w:proofErr w:type="spellEnd"/>
      <w:r w:rsidRPr="00C02127">
        <w:rPr>
          <w:sz w:val="24"/>
          <w:szCs w:val="24"/>
        </w:rPr>
        <w:t>.</w:t>
      </w:r>
    </w:p>
    <w:p w:rsidR="00C02127" w:rsidRPr="00C02127" w:rsidRDefault="00C02127" w:rsidP="00C02127">
      <w:pPr>
        <w:ind w:left="851"/>
        <w:rPr>
          <w:sz w:val="24"/>
          <w:szCs w:val="24"/>
        </w:rPr>
      </w:pPr>
      <w:r w:rsidRPr="00C02127">
        <w:rPr>
          <w:sz w:val="24"/>
          <w:szCs w:val="24"/>
        </w:rPr>
        <w:t>Den anbefalede dosis er 10 </w:t>
      </w:r>
      <w:r w:rsidRPr="00C02127">
        <w:rPr>
          <w:sz w:val="22"/>
          <w:szCs w:val="22"/>
        </w:rPr>
        <w:t>–</w:t>
      </w:r>
      <w:r w:rsidRPr="00C02127">
        <w:rPr>
          <w:sz w:val="24"/>
          <w:szCs w:val="24"/>
        </w:rPr>
        <w:t> 15 mg/m² legemsoverflade (BSA) én gang om ugen. Ved behandlingsresistente tilfælde kan den ugentlige dosis øges op til 20 mg/m</w:t>
      </w:r>
      <w:r w:rsidRPr="00C02127">
        <w:rPr>
          <w:sz w:val="24"/>
          <w:szCs w:val="24"/>
          <w:vertAlign w:val="superscript"/>
        </w:rPr>
        <w:t>2</w:t>
      </w:r>
      <w:r w:rsidRPr="00C02127">
        <w:rPr>
          <w:sz w:val="24"/>
          <w:szCs w:val="24"/>
        </w:rPr>
        <w:t xml:space="preserve"> legems</w:t>
      </w:r>
      <w:r w:rsidRPr="00C02127">
        <w:rPr>
          <w:sz w:val="24"/>
          <w:szCs w:val="24"/>
        </w:rPr>
        <w:softHyphen/>
        <w:t xml:space="preserve">overflade én gang om ugen. Imidlertid er en øget overvågningsfrekvens indiceret, når dosis øges. </w:t>
      </w:r>
    </w:p>
    <w:p w:rsidR="00C02127" w:rsidRPr="00C02127" w:rsidRDefault="00C02127" w:rsidP="00C02127">
      <w:pPr>
        <w:ind w:left="851"/>
        <w:rPr>
          <w:sz w:val="24"/>
          <w:szCs w:val="24"/>
        </w:rPr>
      </w:pPr>
    </w:p>
    <w:p w:rsidR="00C02127" w:rsidRPr="00C02127" w:rsidRDefault="00C02127" w:rsidP="00C02127">
      <w:pPr>
        <w:ind w:left="851"/>
        <w:rPr>
          <w:sz w:val="24"/>
          <w:szCs w:val="24"/>
        </w:rPr>
      </w:pPr>
      <w:r w:rsidRPr="00C02127">
        <w:rPr>
          <w:sz w:val="24"/>
          <w:szCs w:val="24"/>
        </w:rPr>
        <w:t>Patienter med JIA bør altid henvises til en reumatologisk afdeling, der er specialiseret i behandling af børn/unge.</w:t>
      </w:r>
    </w:p>
    <w:p w:rsidR="00C02127" w:rsidRPr="00C02127" w:rsidRDefault="00C02127" w:rsidP="00C02127">
      <w:pPr>
        <w:ind w:left="851"/>
        <w:rPr>
          <w:sz w:val="24"/>
          <w:szCs w:val="24"/>
        </w:rPr>
      </w:pPr>
    </w:p>
    <w:p w:rsidR="00C02127" w:rsidRPr="00C02127" w:rsidRDefault="00C02127" w:rsidP="00C02127">
      <w:pPr>
        <w:ind w:left="851"/>
        <w:rPr>
          <w:sz w:val="24"/>
          <w:szCs w:val="24"/>
        </w:rPr>
      </w:pPr>
      <w:r w:rsidRPr="00C02127">
        <w:rPr>
          <w:sz w:val="24"/>
          <w:szCs w:val="24"/>
        </w:rPr>
        <w:t>Anvendelse til børn i alderen under 3 år frarådes, fordi der ikke foreligger tilstrækkelige data om virkning og sikkerhed hos denne befolkningsgruppe (se pkt. 4.4).</w:t>
      </w:r>
    </w:p>
    <w:p w:rsidR="00C02127" w:rsidRPr="00C02127" w:rsidRDefault="00C02127" w:rsidP="00C02127">
      <w:pPr>
        <w:rPr>
          <w:sz w:val="24"/>
          <w:szCs w:val="24"/>
        </w:rPr>
      </w:pPr>
    </w:p>
    <w:p w:rsidR="00C02127" w:rsidRPr="00C02127" w:rsidRDefault="00C02127" w:rsidP="00C02127">
      <w:pPr>
        <w:ind w:left="851"/>
        <w:rPr>
          <w:b/>
          <w:bCs/>
          <w:sz w:val="24"/>
          <w:szCs w:val="24"/>
        </w:rPr>
      </w:pPr>
      <w:r w:rsidRPr="00C02127">
        <w:rPr>
          <w:b/>
          <w:sz w:val="24"/>
          <w:szCs w:val="24"/>
        </w:rPr>
        <w:t xml:space="preserve">Varighed og administration </w:t>
      </w:r>
    </w:p>
    <w:p w:rsidR="00C02127" w:rsidRDefault="00C02127" w:rsidP="00C02127">
      <w:pPr>
        <w:ind w:left="851"/>
        <w:rPr>
          <w:sz w:val="24"/>
          <w:szCs w:val="24"/>
        </w:rPr>
      </w:pPr>
      <w:proofErr w:type="spellStart"/>
      <w:r w:rsidRPr="00C02127">
        <w:rPr>
          <w:sz w:val="24"/>
          <w:szCs w:val="24"/>
        </w:rPr>
        <w:t>Methotrexat</w:t>
      </w:r>
      <w:proofErr w:type="spellEnd"/>
      <w:r w:rsidRPr="00C02127">
        <w:rPr>
          <w:sz w:val="24"/>
          <w:szCs w:val="24"/>
        </w:rPr>
        <w:t xml:space="preserve"> kan gives subkutant eller intramuskulært. Egnetheden af intramuskulær injektion skal vurderes individuelt og afhænger af det subkutane vævs individuelle tykkelse.</w:t>
      </w:r>
    </w:p>
    <w:p w:rsidR="00C02127" w:rsidRDefault="00C02127" w:rsidP="007A01DF">
      <w:pPr>
        <w:ind w:left="851"/>
        <w:rPr>
          <w:sz w:val="24"/>
          <w:szCs w:val="24"/>
        </w:rPr>
      </w:pPr>
    </w:p>
    <w:p w:rsidR="007A01DF" w:rsidRPr="00D74103" w:rsidRDefault="007A01DF" w:rsidP="007A01DF">
      <w:pPr>
        <w:ind w:left="851"/>
        <w:rPr>
          <w:sz w:val="24"/>
          <w:szCs w:val="24"/>
        </w:rPr>
      </w:pPr>
      <w:r w:rsidRPr="00D74103">
        <w:rPr>
          <w:sz w:val="24"/>
          <w:szCs w:val="24"/>
        </w:rPr>
        <w:t>Kun til engangsbrug.</w:t>
      </w:r>
    </w:p>
    <w:p w:rsidR="007A01DF" w:rsidRPr="00D74103" w:rsidRDefault="007A01DF" w:rsidP="007A01DF">
      <w:pPr>
        <w:ind w:left="851"/>
        <w:rPr>
          <w:sz w:val="24"/>
          <w:szCs w:val="24"/>
        </w:rPr>
      </w:pPr>
    </w:p>
    <w:p w:rsidR="007A01DF" w:rsidRPr="00D74103" w:rsidRDefault="007A01DF" w:rsidP="007A01DF">
      <w:pPr>
        <w:ind w:left="851"/>
        <w:rPr>
          <w:sz w:val="24"/>
          <w:szCs w:val="24"/>
        </w:rPr>
      </w:pPr>
      <w:r w:rsidRPr="00D74103">
        <w:rPr>
          <w:sz w:val="24"/>
          <w:szCs w:val="24"/>
        </w:rPr>
        <w:t xml:space="preserve">Den overordnede behandlingsvarighed fastsættes af lægen. </w:t>
      </w:r>
    </w:p>
    <w:p w:rsidR="002932D5" w:rsidRDefault="002932D5" w:rsidP="002932D5">
      <w:pPr>
        <w:ind w:left="851"/>
        <w:rPr>
          <w:sz w:val="24"/>
          <w:szCs w:val="24"/>
        </w:rPr>
      </w:pPr>
    </w:p>
    <w:p w:rsidR="002932D5" w:rsidRDefault="002932D5" w:rsidP="00AF7C87">
      <w:pPr>
        <w:ind w:left="851"/>
        <w:rPr>
          <w:sz w:val="24"/>
          <w:szCs w:val="24"/>
        </w:rPr>
      </w:pPr>
      <w:r>
        <w:rPr>
          <w:sz w:val="24"/>
          <w:szCs w:val="24"/>
        </w:rPr>
        <w:t>Patienterne skal undervises og oplæres i korrekt injektionsteknik, hvis de skal selvinjicere</w:t>
      </w:r>
      <w:r w:rsidR="00AF7C87">
        <w:rPr>
          <w:sz w:val="24"/>
          <w:szCs w:val="24"/>
        </w:rPr>
        <w:t xml:space="preserve"> </w:t>
      </w:r>
      <w:proofErr w:type="spellStart"/>
      <w:r>
        <w:rPr>
          <w:sz w:val="24"/>
          <w:szCs w:val="24"/>
        </w:rPr>
        <w:t>methotrexat</w:t>
      </w:r>
      <w:proofErr w:type="spellEnd"/>
      <w:r>
        <w:rPr>
          <w:sz w:val="24"/>
          <w:szCs w:val="24"/>
        </w:rPr>
        <w:t xml:space="preserve">. Den første injektion af </w:t>
      </w:r>
      <w:proofErr w:type="spellStart"/>
      <w:r>
        <w:rPr>
          <w:sz w:val="24"/>
          <w:szCs w:val="24"/>
        </w:rPr>
        <w:t>Methotrexate</w:t>
      </w:r>
      <w:proofErr w:type="spellEnd"/>
      <w:r>
        <w:rPr>
          <w:sz w:val="24"/>
          <w:szCs w:val="24"/>
        </w:rPr>
        <w:t xml:space="preserve"> Orion bør udføres under direkte medicinsk overvågning.</w:t>
      </w:r>
    </w:p>
    <w:p w:rsidR="002932D5" w:rsidRDefault="002932D5" w:rsidP="002932D5">
      <w:pPr>
        <w:ind w:left="851"/>
        <w:rPr>
          <w:sz w:val="24"/>
          <w:szCs w:val="24"/>
        </w:rPr>
      </w:pPr>
    </w:p>
    <w:p w:rsidR="007A01DF" w:rsidRPr="00D609F7" w:rsidRDefault="007A01DF" w:rsidP="007A01DF">
      <w:pPr>
        <w:ind w:left="851"/>
        <w:rPr>
          <w:sz w:val="24"/>
          <w:szCs w:val="24"/>
          <w:u w:val="single"/>
        </w:rPr>
      </w:pPr>
      <w:r w:rsidRPr="00D609F7">
        <w:rPr>
          <w:sz w:val="24"/>
          <w:szCs w:val="24"/>
          <w:u w:val="single"/>
        </w:rPr>
        <w:t>Bemærk</w:t>
      </w:r>
    </w:p>
    <w:p w:rsidR="007A01DF" w:rsidRPr="00D74103" w:rsidRDefault="007A01DF" w:rsidP="007A01DF">
      <w:pPr>
        <w:ind w:left="851"/>
        <w:rPr>
          <w:sz w:val="24"/>
          <w:szCs w:val="24"/>
        </w:rPr>
      </w:pPr>
      <w:r w:rsidRPr="00D74103">
        <w:rPr>
          <w:sz w:val="24"/>
          <w:szCs w:val="24"/>
        </w:rPr>
        <w:t xml:space="preserve">Hvis der skiftes fra oral anvendelse til parenteral anvendelse, kan det være nødvendigt at nedsætte dosis pga. </w:t>
      </w:r>
      <w:proofErr w:type="spellStart"/>
      <w:r w:rsidRPr="00D74103">
        <w:rPr>
          <w:sz w:val="24"/>
          <w:szCs w:val="24"/>
        </w:rPr>
        <w:t>methotrexats</w:t>
      </w:r>
      <w:proofErr w:type="spellEnd"/>
      <w:r w:rsidRPr="00D74103">
        <w:rPr>
          <w:sz w:val="24"/>
          <w:szCs w:val="24"/>
        </w:rPr>
        <w:t xml:space="preserve"> varierende biotilgængelighed efter peroral administration.</w:t>
      </w:r>
    </w:p>
    <w:p w:rsidR="007A01DF" w:rsidRPr="00D74103" w:rsidRDefault="007A01DF" w:rsidP="007A01DF">
      <w:pPr>
        <w:ind w:left="851"/>
        <w:rPr>
          <w:sz w:val="24"/>
          <w:szCs w:val="24"/>
        </w:rPr>
      </w:pPr>
    </w:p>
    <w:p w:rsidR="007A01DF" w:rsidRPr="00D74103" w:rsidRDefault="007A01DF" w:rsidP="007A01DF">
      <w:pPr>
        <w:ind w:left="851"/>
        <w:rPr>
          <w:sz w:val="24"/>
          <w:szCs w:val="24"/>
        </w:rPr>
      </w:pPr>
      <w:proofErr w:type="spellStart"/>
      <w:r w:rsidRPr="00D74103">
        <w:rPr>
          <w:sz w:val="24"/>
          <w:szCs w:val="24"/>
        </w:rPr>
        <w:t>Folsyre</w:t>
      </w:r>
      <w:proofErr w:type="spellEnd"/>
      <w:r>
        <w:rPr>
          <w:sz w:val="24"/>
          <w:szCs w:val="24"/>
        </w:rPr>
        <w:t>-</w:t>
      </w:r>
      <w:r w:rsidRPr="00D74103">
        <w:rPr>
          <w:sz w:val="24"/>
          <w:szCs w:val="24"/>
        </w:rPr>
        <w:t xml:space="preserve"> eller </w:t>
      </w:r>
      <w:proofErr w:type="spellStart"/>
      <w:r w:rsidRPr="00D74103">
        <w:rPr>
          <w:sz w:val="24"/>
          <w:szCs w:val="24"/>
        </w:rPr>
        <w:t>folinsyretilskud</w:t>
      </w:r>
      <w:proofErr w:type="spellEnd"/>
      <w:r w:rsidRPr="00D74103">
        <w:rPr>
          <w:sz w:val="24"/>
          <w:szCs w:val="24"/>
        </w:rPr>
        <w:t xml:space="preserve"> kan ske i henhold til gældende behandlingsretningslinjer.</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4.3</w:t>
      </w:r>
      <w:r w:rsidRPr="00D74103">
        <w:rPr>
          <w:b/>
          <w:sz w:val="24"/>
          <w:szCs w:val="24"/>
        </w:rPr>
        <w:tab/>
        <w:t>Kontraindikationer</w:t>
      </w:r>
    </w:p>
    <w:p w:rsidR="007A01DF" w:rsidRDefault="007A01DF" w:rsidP="007A01DF">
      <w:pPr>
        <w:autoSpaceDE w:val="0"/>
        <w:autoSpaceDN w:val="0"/>
        <w:adjustRightInd w:val="0"/>
        <w:ind w:left="851"/>
        <w:rPr>
          <w:sz w:val="24"/>
          <w:szCs w:val="24"/>
        </w:rPr>
      </w:pPr>
      <w:proofErr w:type="spellStart"/>
      <w:r>
        <w:rPr>
          <w:sz w:val="24"/>
          <w:szCs w:val="24"/>
        </w:rPr>
        <w:t>Methotrexate</w:t>
      </w:r>
      <w:proofErr w:type="spellEnd"/>
      <w:r>
        <w:rPr>
          <w:sz w:val="24"/>
          <w:szCs w:val="24"/>
        </w:rPr>
        <w:t xml:space="preserve"> ”Orion” er kontraindiceret ved: </w:t>
      </w:r>
    </w:p>
    <w:p w:rsidR="007A01DF" w:rsidRDefault="007A01DF" w:rsidP="007A01DF">
      <w:pPr>
        <w:pStyle w:val="Listeafsnit"/>
        <w:numPr>
          <w:ilvl w:val="0"/>
          <w:numId w:val="7"/>
        </w:numPr>
        <w:autoSpaceDE w:val="0"/>
        <w:autoSpaceDN w:val="0"/>
        <w:adjustRightInd w:val="0"/>
        <w:ind w:left="1276" w:hanging="425"/>
      </w:pPr>
      <w:r>
        <w:t xml:space="preserve">Overfølsomhed over for </w:t>
      </w:r>
      <w:proofErr w:type="spellStart"/>
      <w:r>
        <w:t>methotrexat</w:t>
      </w:r>
      <w:proofErr w:type="spellEnd"/>
      <w:r>
        <w:t xml:space="preserve"> eller over for et eller flere af hjælpestofferne anført i pkt.</w:t>
      </w:r>
      <w:r w:rsidR="00074246">
        <w:t> </w:t>
      </w:r>
      <w:r>
        <w:t>6.1</w:t>
      </w:r>
    </w:p>
    <w:p w:rsidR="007A01DF" w:rsidRDefault="007A01DF" w:rsidP="007A01DF">
      <w:pPr>
        <w:numPr>
          <w:ilvl w:val="0"/>
          <w:numId w:val="7"/>
        </w:numPr>
        <w:autoSpaceDE w:val="0"/>
        <w:autoSpaceDN w:val="0"/>
        <w:adjustRightInd w:val="0"/>
        <w:ind w:left="1276" w:hanging="425"/>
        <w:rPr>
          <w:sz w:val="24"/>
          <w:szCs w:val="24"/>
        </w:rPr>
      </w:pPr>
      <w:r>
        <w:rPr>
          <w:sz w:val="24"/>
          <w:szCs w:val="24"/>
        </w:rPr>
        <w:t>Alvorlig nedsat leverfunktion (se pkt.</w:t>
      </w:r>
      <w:r w:rsidR="00074246">
        <w:rPr>
          <w:sz w:val="24"/>
          <w:szCs w:val="24"/>
        </w:rPr>
        <w:t> </w:t>
      </w:r>
      <w:r>
        <w:rPr>
          <w:sz w:val="24"/>
          <w:szCs w:val="24"/>
        </w:rPr>
        <w:t>4.2)</w:t>
      </w:r>
    </w:p>
    <w:p w:rsidR="007A01DF" w:rsidRDefault="007A01DF" w:rsidP="007A01DF">
      <w:pPr>
        <w:numPr>
          <w:ilvl w:val="0"/>
          <w:numId w:val="7"/>
        </w:numPr>
        <w:autoSpaceDE w:val="0"/>
        <w:autoSpaceDN w:val="0"/>
        <w:adjustRightInd w:val="0"/>
        <w:ind w:left="1276" w:hanging="425"/>
        <w:rPr>
          <w:sz w:val="24"/>
          <w:szCs w:val="24"/>
        </w:rPr>
      </w:pPr>
      <w:r>
        <w:rPr>
          <w:sz w:val="24"/>
          <w:szCs w:val="24"/>
        </w:rPr>
        <w:t>Alkoholmisbrug</w:t>
      </w:r>
    </w:p>
    <w:p w:rsidR="007A01DF" w:rsidRDefault="007A01DF" w:rsidP="007A01DF">
      <w:pPr>
        <w:numPr>
          <w:ilvl w:val="0"/>
          <w:numId w:val="7"/>
        </w:numPr>
        <w:autoSpaceDE w:val="0"/>
        <w:autoSpaceDN w:val="0"/>
        <w:adjustRightInd w:val="0"/>
        <w:ind w:left="1276" w:hanging="425"/>
        <w:rPr>
          <w:color w:val="000000"/>
          <w:sz w:val="24"/>
          <w:szCs w:val="24"/>
        </w:rPr>
      </w:pPr>
      <w:r>
        <w:rPr>
          <w:sz w:val="24"/>
          <w:szCs w:val="24"/>
        </w:rPr>
        <w:t>Alvorlig nedsat nyrefunktion</w:t>
      </w:r>
      <w:r>
        <w:rPr>
          <w:color w:val="000000"/>
          <w:sz w:val="24"/>
          <w:szCs w:val="24"/>
        </w:rPr>
        <w:t xml:space="preserve"> (</w:t>
      </w:r>
      <w:proofErr w:type="spellStart"/>
      <w:r>
        <w:rPr>
          <w:color w:val="000000"/>
          <w:sz w:val="24"/>
          <w:szCs w:val="24"/>
        </w:rPr>
        <w:t>kreatininclearance</w:t>
      </w:r>
      <w:proofErr w:type="spellEnd"/>
      <w:r>
        <w:rPr>
          <w:color w:val="000000"/>
          <w:sz w:val="24"/>
          <w:szCs w:val="24"/>
        </w:rPr>
        <w:t xml:space="preserve"> mindre end 30 ml/min, </w:t>
      </w:r>
      <w:r>
        <w:rPr>
          <w:sz w:val="24"/>
          <w:szCs w:val="24"/>
        </w:rPr>
        <w:t>se pkt. 4.2 og 4.4</w:t>
      </w:r>
      <w:r>
        <w:rPr>
          <w:color w:val="000000"/>
          <w:sz w:val="24"/>
          <w:szCs w:val="24"/>
        </w:rPr>
        <w:t>)</w:t>
      </w:r>
    </w:p>
    <w:p w:rsidR="007A01DF" w:rsidRDefault="007A01DF" w:rsidP="007A01DF">
      <w:pPr>
        <w:numPr>
          <w:ilvl w:val="0"/>
          <w:numId w:val="7"/>
        </w:numPr>
        <w:autoSpaceDE w:val="0"/>
        <w:autoSpaceDN w:val="0"/>
        <w:adjustRightInd w:val="0"/>
        <w:ind w:left="1276" w:hanging="425"/>
        <w:rPr>
          <w:sz w:val="24"/>
          <w:szCs w:val="24"/>
        </w:rPr>
      </w:pPr>
      <w:r>
        <w:rPr>
          <w:sz w:val="24"/>
          <w:szCs w:val="24"/>
        </w:rPr>
        <w:t xml:space="preserve">Allerede eksisterende </w:t>
      </w:r>
      <w:proofErr w:type="spellStart"/>
      <w:r>
        <w:rPr>
          <w:sz w:val="24"/>
          <w:szCs w:val="24"/>
        </w:rPr>
        <w:t>bloddyskrasi</w:t>
      </w:r>
      <w:proofErr w:type="spellEnd"/>
      <w:r>
        <w:rPr>
          <w:sz w:val="24"/>
          <w:szCs w:val="24"/>
        </w:rPr>
        <w:t xml:space="preserve"> såsom </w:t>
      </w:r>
      <w:proofErr w:type="spellStart"/>
      <w:r>
        <w:rPr>
          <w:sz w:val="24"/>
          <w:szCs w:val="24"/>
        </w:rPr>
        <w:t>knoglemarvshypoplasi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eller signifikant anæmi</w:t>
      </w:r>
    </w:p>
    <w:p w:rsidR="007A01DF" w:rsidRDefault="007A01DF" w:rsidP="007A01DF">
      <w:pPr>
        <w:numPr>
          <w:ilvl w:val="0"/>
          <w:numId w:val="7"/>
        </w:numPr>
        <w:autoSpaceDE w:val="0"/>
        <w:autoSpaceDN w:val="0"/>
        <w:adjustRightInd w:val="0"/>
        <w:ind w:left="1276" w:hanging="425"/>
        <w:rPr>
          <w:sz w:val="24"/>
          <w:szCs w:val="24"/>
        </w:rPr>
      </w:pPr>
      <w:r>
        <w:rPr>
          <w:sz w:val="24"/>
          <w:szCs w:val="24"/>
        </w:rPr>
        <w:t>Alvorlige, akutte eller kroniske infektioner, såsom tuberkulose og hiv</w:t>
      </w:r>
    </w:p>
    <w:p w:rsidR="007A01DF" w:rsidRDefault="007A01DF" w:rsidP="007A01DF">
      <w:pPr>
        <w:numPr>
          <w:ilvl w:val="0"/>
          <w:numId w:val="7"/>
        </w:numPr>
        <w:autoSpaceDE w:val="0"/>
        <w:autoSpaceDN w:val="0"/>
        <w:adjustRightInd w:val="0"/>
        <w:ind w:left="1276" w:hanging="425"/>
        <w:rPr>
          <w:sz w:val="24"/>
          <w:szCs w:val="24"/>
        </w:rPr>
      </w:pPr>
      <w:proofErr w:type="spellStart"/>
      <w:r>
        <w:rPr>
          <w:sz w:val="24"/>
          <w:szCs w:val="24"/>
        </w:rPr>
        <w:t>Stomatitis</w:t>
      </w:r>
      <w:proofErr w:type="spellEnd"/>
      <w:r>
        <w:rPr>
          <w:sz w:val="24"/>
          <w:szCs w:val="24"/>
        </w:rPr>
        <w:t xml:space="preserve">, sår i mundhulen og kendt aktiv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p>
    <w:p w:rsidR="007A01DF" w:rsidRDefault="007A01DF" w:rsidP="007A01DF">
      <w:pPr>
        <w:numPr>
          <w:ilvl w:val="0"/>
          <w:numId w:val="7"/>
        </w:numPr>
        <w:autoSpaceDE w:val="0"/>
        <w:autoSpaceDN w:val="0"/>
        <w:adjustRightInd w:val="0"/>
        <w:ind w:left="1276" w:hanging="425"/>
        <w:rPr>
          <w:b/>
          <w:bCs/>
          <w:sz w:val="24"/>
          <w:szCs w:val="24"/>
        </w:rPr>
      </w:pPr>
      <w:r>
        <w:rPr>
          <w:sz w:val="24"/>
          <w:szCs w:val="24"/>
        </w:rPr>
        <w:t>Graviditet og amning (se pkt. 4. 6)</w:t>
      </w:r>
    </w:p>
    <w:p w:rsidR="007A01DF" w:rsidRDefault="007A01DF" w:rsidP="007A01DF">
      <w:pPr>
        <w:numPr>
          <w:ilvl w:val="0"/>
          <w:numId w:val="7"/>
        </w:numPr>
        <w:autoSpaceDE w:val="0"/>
        <w:autoSpaceDN w:val="0"/>
        <w:adjustRightInd w:val="0"/>
        <w:ind w:left="1276" w:hanging="425"/>
        <w:rPr>
          <w:b/>
          <w:bCs/>
          <w:sz w:val="24"/>
          <w:szCs w:val="24"/>
        </w:rPr>
      </w:pPr>
      <w:r>
        <w:rPr>
          <w:sz w:val="24"/>
          <w:szCs w:val="24"/>
        </w:rPr>
        <w:t>Samtidig vaccination med levende vacciner.</w:t>
      </w:r>
    </w:p>
    <w:p w:rsidR="007A01DF" w:rsidRPr="00D74103" w:rsidRDefault="007A01DF" w:rsidP="007A01DF">
      <w:pPr>
        <w:ind w:left="851" w:hanging="851"/>
        <w:rPr>
          <w:sz w:val="24"/>
          <w:szCs w:val="24"/>
        </w:rPr>
      </w:pPr>
    </w:p>
    <w:p w:rsidR="007A01DF" w:rsidRPr="00D74103" w:rsidRDefault="007A01DF" w:rsidP="00F9604D">
      <w:pPr>
        <w:keepNext/>
        <w:ind w:left="851" w:hanging="851"/>
        <w:rPr>
          <w:b/>
          <w:sz w:val="24"/>
          <w:szCs w:val="24"/>
        </w:rPr>
      </w:pPr>
      <w:r w:rsidRPr="00D74103">
        <w:rPr>
          <w:b/>
          <w:sz w:val="24"/>
          <w:szCs w:val="24"/>
        </w:rPr>
        <w:lastRenderedPageBreak/>
        <w:t>4.4</w:t>
      </w:r>
      <w:r w:rsidRPr="00D74103">
        <w:rPr>
          <w:b/>
          <w:sz w:val="24"/>
          <w:szCs w:val="24"/>
        </w:rPr>
        <w:tab/>
        <w:t>Særlige advarsler og forsigtighedsregler vedrørende brugen</w:t>
      </w:r>
    </w:p>
    <w:p w:rsidR="007A01DF" w:rsidRDefault="007A01DF" w:rsidP="007A01DF">
      <w:pPr>
        <w:pStyle w:val="Default"/>
        <w:ind w:left="851" w:hanging="851"/>
      </w:pPr>
      <w:r w:rsidRPr="00D74103">
        <w:tab/>
      </w:r>
      <w:r>
        <w:t xml:space="preserve">Patienterne skal informeres tydeligt om, at </w:t>
      </w:r>
      <w:proofErr w:type="spellStart"/>
      <w:r>
        <w:t>Methotrexate</w:t>
      </w:r>
      <w:proofErr w:type="spellEnd"/>
      <w:r>
        <w:t xml:space="preserve"> ”Orion” skal administreres </w:t>
      </w:r>
      <w:r>
        <w:rPr>
          <w:b/>
        </w:rPr>
        <w:t>én gang om ugen</w:t>
      </w:r>
      <w:r>
        <w:t xml:space="preserve">, ikke hver dag. Patienter skal informeres grundigt om, at behandlingen kun skal tages én gang om ugen, og at forkert anvendelse af </w:t>
      </w:r>
      <w:proofErr w:type="spellStart"/>
      <w:r>
        <w:t>methotrexat</w:t>
      </w:r>
      <w:proofErr w:type="spellEnd"/>
      <w:r>
        <w:t xml:space="preserve"> kan føre til alvorlige og endda fatale reaktioner.</w:t>
      </w:r>
    </w:p>
    <w:p w:rsidR="007A01DF" w:rsidRDefault="007A01DF" w:rsidP="007A01DF">
      <w:pPr>
        <w:pStyle w:val="Default"/>
        <w:ind w:left="851" w:hanging="851"/>
      </w:pPr>
    </w:p>
    <w:p w:rsidR="007A01DF" w:rsidRDefault="007A01DF" w:rsidP="007A01DF">
      <w:pPr>
        <w:pStyle w:val="Default"/>
        <w:ind w:left="851"/>
      </w:pPr>
      <w:r>
        <w:t xml:space="preserve">Patienter i behandling skal overvåges på hensigtsmæssig vis under behandling, så tegn på mulige toksiske virkninger eller bivirkninger kan opdages og evalueres med minimal forsinkelse. Særlig tæt overvågning er indiceret ved patienter der skal have stråleterapi (navnlig af </w:t>
      </w:r>
      <w:proofErr w:type="spellStart"/>
      <w:r>
        <w:t>pelvis</w:t>
      </w:r>
      <w:proofErr w:type="spellEnd"/>
      <w:r>
        <w:t xml:space="preserve">), nedsat funktion af det </w:t>
      </w:r>
      <w:proofErr w:type="spellStart"/>
      <w:r>
        <w:t>hæmatopoietiske</w:t>
      </w:r>
      <w:proofErr w:type="spellEnd"/>
      <w:r>
        <w:t xml:space="preserve"> system (f.eks. efter forudgående stråle- eller kemoterapi), nedsat almentilstand samt høj alder eller meget unge børn. </w:t>
      </w:r>
    </w:p>
    <w:p w:rsidR="007A01DF" w:rsidRDefault="007A01DF" w:rsidP="007A01DF">
      <w:pPr>
        <w:pStyle w:val="Default"/>
        <w:ind w:left="851"/>
      </w:pPr>
      <w:proofErr w:type="spellStart"/>
      <w:r>
        <w:t>Methotrexat</w:t>
      </w:r>
      <w:proofErr w:type="spellEnd"/>
      <w:r>
        <w:t xml:space="preserve"> bør derfor kun administreres af, eller under overvågning af læger, der har viden om og erfaring med anvendelse af </w:t>
      </w:r>
      <w:proofErr w:type="spellStart"/>
      <w:r>
        <w:t>antimetabolitbehandling</w:t>
      </w:r>
      <w:proofErr w:type="spellEnd"/>
      <w:r>
        <w:t xml:space="preserve">. På grund af risikoen for alvorlige eller endog fatale toksiske reaktioner skal patienterne informeres grundigt af den behandlende læge om risici (inklusiv tidlige tegn og symptomer på toksicitet) og de anbefalede sikkerhedsforanstaltninger. Patienter skal informeres om straks at kontakte lægen, hvis de får symptomer på overdosering, og at symptomerne (herunder jævnlige laboratorieprøver) for en overdosis skal overvåges. </w:t>
      </w:r>
    </w:p>
    <w:p w:rsidR="007A01DF" w:rsidRDefault="007A01DF" w:rsidP="007A01DF">
      <w:pPr>
        <w:pStyle w:val="Default"/>
        <w:ind w:left="851"/>
      </w:pPr>
      <w:r>
        <w:t>Doser over 20 mg/uge kan være forbundet med signifikant øget toksicitet, især knoglemarvssuppression.</w:t>
      </w:r>
    </w:p>
    <w:p w:rsidR="007A01DF" w:rsidRDefault="007A01DF" w:rsidP="007A01DF">
      <w:pPr>
        <w:pStyle w:val="Default"/>
        <w:ind w:left="851"/>
      </w:pPr>
    </w:p>
    <w:p w:rsidR="007A01DF" w:rsidRDefault="007A01DF" w:rsidP="007A01DF">
      <w:pPr>
        <w:pStyle w:val="Default"/>
        <w:ind w:left="851"/>
        <w:rPr>
          <w:color w:val="auto"/>
        </w:rPr>
      </w:pPr>
      <w:r>
        <w:t xml:space="preserve">Patienter med nedsat nyrefunktion skal behandles med særlig forsigtighed på grund af den langsomme udskillelse af </w:t>
      </w:r>
      <w:proofErr w:type="spellStart"/>
      <w:r>
        <w:t>methotrexat</w:t>
      </w:r>
      <w:proofErr w:type="spellEnd"/>
      <w:r>
        <w:t xml:space="preserve">, og </w:t>
      </w:r>
      <w:proofErr w:type="spellStart"/>
      <w:r>
        <w:t>methotrexat</w:t>
      </w:r>
      <w:proofErr w:type="spellEnd"/>
      <w:r>
        <w:t xml:space="preserve"> bør kun anvendes i lave doser (se pkt. 4.2 og 4.3).</w:t>
      </w:r>
    </w:p>
    <w:p w:rsidR="007A01DF" w:rsidRDefault="007A01DF" w:rsidP="007A01DF">
      <w:pPr>
        <w:pStyle w:val="Default"/>
        <w:ind w:left="851"/>
        <w:rPr>
          <w:color w:val="auto"/>
        </w:rPr>
      </w:pPr>
      <w:r>
        <w:rPr>
          <w:color w:val="auto"/>
        </w:rPr>
        <w:t xml:space="preserve">Hvis </w:t>
      </w:r>
      <w:proofErr w:type="spellStart"/>
      <w:r>
        <w:rPr>
          <w:color w:val="auto"/>
        </w:rPr>
        <w:t>methotrexat</w:t>
      </w:r>
      <w:proofErr w:type="spellEnd"/>
      <w:r>
        <w:rPr>
          <w:color w:val="auto"/>
        </w:rPr>
        <w:t xml:space="preserve"> overhovedet anvendes hos patienter med signifikant leversygdom, skal det ske med stor forsigtighed, især ved alkoholforårsaget leversygdom (se pkt. 4.2 og 4.3).</w:t>
      </w:r>
    </w:p>
    <w:p w:rsidR="007A01DF" w:rsidRDefault="007A01DF" w:rsidP="007A01DF">
      <w:pPr>
        <w:pStyle w:val="Default"/>
        <w:ind w:left="851"/>
        <w:rPr>
          <w:color w:val="auto"/>
        </w:rPr>
      </w:pPr>
    </w:p>
    <w:p w:rsidR="007A01DF" w:rsidRDefault="007A01DF" w:rsidP="007A01DF">
      <w:pPr>
        <w:pStyle w:val="Default"/>
        <w:ind w:left="851"/>
        <w:rPr>
          <w:color w:val="auto"/>
        </w:rPr>
      </w:pPr>
      <w:r>
        <w:rPr>
          <w:color w:val="auto"/>
        </w:rPr>
        <w:t xml:space="preserve">Der skal undgås kontakt med hud og slimhinder med </w:t>
      </w:r>
      <w:proofErr w:type="spellStart"/>
      <w:r>
        <w:rPr>
          <w:color w:val="auto"/>
        </w:rPr>
        <w:t>methotrexat</w:t>
      </w:r>
      <w:proofErr w:type="spellEnd"/>
      <w:r>
        <w:rPr>
          <w:color w:val="auto"/>
        </w:rPr>
        <w:t xml:space="preserve"> injektionsvæske.</w:t>
      </w:r>
    </w:p>
    <w:p w:rsidR="007A01DF" w:rsidRDefault="007A01DF" w:rsidP="007A01DF">
      <w:pPr>
        <w:pStyle w:val="Default"/>
        <w:rPr>
          <w:color w:val="auto"/>
        </w:rPr>
      </w:pPr>
    </w:p>
    <w:p w:rsidR="007A01DF" w:rsidRPr="00991931" w:rsidRDefault="007A01DF" w:rsidP="007A01DF">
      <w:pPr>
        <w:pStyle w:val="Default"/>
        <w:ind w:left="851"/>
        <w:rPr>
          <w:color w:val="auto"/>
        </w:rPr>
      </w:pPr>
      <w:r w:rsidRPr="00991931">
        <w:rPr>
          <w:color w:val="auto"/>
          <w:u w:val="single"/>
        </w:rPr>
        <w:t>Fertilitet og reproduktion</w:t>
      </w:r>
    </w:p>
    <w:p w:rsidR="007A01DF" w:rsidRPr="00991931" w:rsidRDefault="007A01DF" w:rsidP="007A01DF">
      <w:pPr>
        <w:pStyle w:val="Default"/>
        <w:ind w:left="851"/>
        <w:rPr>
          <w:color w:val="auto"/>
        </w:rPr>
      </w:pPr>
    </w:p>
    <w:p w:rsidR="007A01DF" w:rsidRPr="00991931" w:rsidRDefault="007A01DF" w:rsidP="007A01DF">
      <w:pPr>
        <w:pStyle w:val="Default"/>
        <w:ind w:left="851"/>
        <w:rPr>
          <w:color w:val="auto"/>
          <w:u w:val="single"/>
        </w:rPr>
      </w:pPr>
      <w:r w:rsidRPr="00991931">
        <w:rPr>
          <w:color w:val="auto"/>
          <w:u w:val="single"/>
        </w:rPr>
        <w:t>Fertilitet</w:t>
      </w:r>
    </w:p>
    <w:p w:rsidR="007A01DF" w:rsidRPr="00991931" w:rsidRDefault="007A01DF" w:rsidP="00AF7C87">
      <w:pPr>
        <w:pStyle w:val="Default"/>
        <w:ind w:left="851"/>
        <w:rPr>
          <w:color w:val="auto"/>
        </w:rPr>
      </w:pPr>
      <w:r w:rsidRPr="00991931">
        <w:rPr>
          <w:color w:val="auto"/>
        </w:rPr>
        <w:t xml:space="preserve">Der er rapporter om, at </w:t>
      </w:r>
      <w:proofErr w:type="spellStart"/>
      <w:r w:rsidRPr="00991931">
        <w:rPr>
          <w:color w:val="auto"/>
        </w:rPr>
        <w:t>methotrexat</w:t>
      </w:r>
      <w:proofErr w:type="spellEnd"/>
      <w:r w:rsidRPr="00991931">
        <w:rPr>
          <w:color w:val="auto"/>
        </w:rPr>
        <w:t xml:space="preserve"> har medført </w:t>
      </w:r>
      <w:proofErr w:type="spellStart"/>
      <w:r w:rsidRPr="00991931">
        <w:rPr>
          <w:color w:val="auto"/>
        </w:rPr>
        <w:t>oligospermi</w:t>
      </w:r>
      <w:proofErr w:type="spellEnd"/>
      <w:r w:rsidRPr="00991931">
        <w:rPr>
          <w:color w:val="auto"/>
        </w:rPr>
        <w:t xml:space="preserve">, </w:t>
      </w:r>
      <w:proofErr w:type="spellStart"/>
      <w:r w:rsidRPr="00991931">
        <w:rPr>
          <w:color w:val="auto"/>
        </w:rPr>
        <w:t>menstruel</w:t>
      </w:r>
      <w:proofErr w:type="spellEnd"/>
      <w:r w:rsidRPr="00991931">
        <w:rPr>
          <w:color w:val="auto"/>
        </w:rPr>
        <w:t xml:space="preserve"> dysfunktion o</w:t>
      </w:r>
      <w:r w:rsidR="00AF7C87">
        <w:rPr>
          <w:color w:val="auto"/>
        </w:rPr>
        <w:t xml:space="preserve">g </w:t>
      </w:r>
      <w:proofErr w:type="spellStart"/>
      <w:r w:rsidRPr="00991931">
        <w:t>amenorré</w:t>
      </w:r>
      <w:proofErr w:type="spellEnd"/>
      <w:r w:rsidRPr="00991931">
        <w:t xml:space="preserve"> hos mennesker under og i en kort periode efter behandlingen, og at det har medført</w:t>
      </w:r>
      <w:r w:rsidRPr="00991931">
        <w:rPr>
          <w:color w:val="auto"/>
        </w:rPr>
        <w:t xml:space="preserve"> </w:t>
      </w:r>
      <w:r w:rsidRPr="00991931">
        <w:t xml:space="preserve">nedsat fertilitet samt påvirket </w:t>
      </w:r>
      <w:proofErr w:type="spellStart"/>
      <w:r w:rsidRPr="00991931">
        <w:t>spermatogenesen</w:t>
      </w:r>
      <w:proofErr w:type="spellEnd"/>
      <w:r w:rsidRPr="00991931">
        <w:t xml:space="preserve"> og </w:t>
      </w:r>
      <w:proofErr w:type="spellStart"/>
      <w:r w:rsidRPr="00991931">
        <w:t>oogenesen</w:t>
      </w:r>
      <w:proofErr w:type="spellEnd"/>
      <w:r w:rsidRPr="00991931">
        <w:t xml:space="preserve"> i behandlingsperioden. Disse</w:t>
      </w:r>
      <w:r w:rsidRPr="00991931">
        <w:rPr>
          <w:color w:val="auto"/>
        </w:rPr>
        <w:t xml:space="preserve"> bivirkninger synes at være reversible efter </w:t>
      </w:r>
      <w:proofErr w:type="spellStart"/>
      <w:r w:rsidRPr="00991931">
        <w:rPr>
          <w:color w:val="auto"/>
        </w:rPr>
        <w:t>seponering</w:t>
      </w:r>
      <w:proofErr w:type="spellEnd"/>
      <w:r w:rsidRPr="00991931">
        <w:rPr>
          <w:color w:val="auto"/>
        </w:rPr>
        <w:t>.</w:t>
      </w:r>
    </w:p>
    <w:p w:rsidR="007A01DF" w:rsidRPr="00991931" w:rsidRDefault="007A01DF" w:rsidP="007A01DF">
      <w:pPr>
        <w:pStyle w:val="Default"/>
        <w:ind w:left="851"/>
        <w:rPr>
          <w:color w:val="auto"/>
        </w:rPr>
      </w:pPr>
    </w:p>
    <w:p w:rsidR="007A01DF" w:rsidRPr="00991931" w:rsidRDefault="007A01DF" w:rsidP="007A01DF">
      <w:pPr>
        <w:pStyle w:val="Default"/>
        <w:ind w:left="851"/>
        <w:rPr>
          <w:color w:val="auto"/>
          <w:u w:val="single"/>
        </w:rPr>
      </w:pPr>
      <w:proofErr w:type="spellStart"/>
      <w:r w:rsidRPr="00991931">
        <w:rPr>
          <w:color w:val="auto"/>
          <w:u w:val="single"/>
        </w:rPr>
        <w:t>Teratogenicitet</w:t>
      </w:r>
      <w:proofErr w:type="spellEnd"/>
      <w:r w:rsidRPr="00991931">
        <w:rPr>
          <w:color w:val="auto"/>
          <w:u w:val="single"/>
        </w:rPr>
        <w:t xml:space="preserve"> </w:t>
      </w:r>
      <w:r w:rsidR="00074246">
        <w:rPr>
          <w:color w:val="auto"/>
          <w:u w:val="single"/>
        </w:rPr>
        <w:t>-</w:t>
      </w:r>
      <w:r w:rsidRPr="00991931">
        <w:rPr>
          <w:color w:val="auto"/>
          <w:u w:val="single"/>
        </w:rPr>
        <w:t xml:space="preserve"> reproduktionsrisiko</w:t>
      </w:r>
    </w:p>
    <w:p w:rsidR="007A01DF" w:rsidRPr="00991931" w:rsidRDefault="007A01DF" w:rsidP="007A01DF">
      <w:pPr>
        <w:pStyle w:val="Default"/>
        <w:ind w:left="851"/>
        <w:rPr>
          <w:color w:val="auto"/>
        </w:rPr>
      </w:pPr>
      <w:r w:rsidRPr="00991931">
        <w:rPr>
          <w:color w:val="auto"/>
        </w:rPr>
        <w:t xml:space="preserve">Hos mennesker medfører </w:t>
      </w:r>
      <w:proofErr w:type="spellStart"/>
      <w:r w:rsidRPr="00991931">
        <w:rPr>
          <w:color w:val="auto"/>
        </w:rPr>
        <w:t>methotrexat</w:t>
      </w:r>
      <w:proofErr w:type="spellEnd"/>
      <w:r w:rsidRPr="00991931">
        <w:rPr>
          <w:color w:val="auto"/>
        </w:rPr>
        <w:t xml:space="preserve"> desuden embryotoksicitet, abort og fosterdefekter.</w:t>
      </w:r>
    </w:p>
    <w:p w:rsidR="007A01DF" w:rsidRPr="00991931" w:rsidRDefault="007A01DF" w:rsidP="007A01DF">
      <w:pPr>
        <w:pStyle w:val="Default"/>
        <w:ind w:left="851"/>
        <w:rPr>
          <w:color w:val="auto"/>
        </w:rPr>
      </w:pPr>
      <w:r w:rsidRPr="00991931">
        <w:t>Derfor bør de mulige risici for påvirkning af reproduktionsevnen, spontan abort og medfødte</w:t>
      </w:r>
      <w:r w:rsidRPr="00991931">
        <w:rPr>
          <w:color w:val="auto"/>
        </w:rPr>
        <w:t xml:space="preserve"> </w:t>
      </w:r>
      <w:r w:rsidRPr="00991931">
        <w:t>misdannelser drøftes med kvindelige, fertile patienter (se pkt. 4.6). Graviditet skal være</w:t>
      </w:r>
      <w:r w:rsidRPr="00991931">
        <w:rPr>
          <w:color w:val="auto"/>
        </w:rPr>
        <w:t xml:space="preserve"> </w:t>
      </w:r>
      <w:r w:rsidRPr="00991931">
        <w:t xml:space="preserve">udelukket, før </w:t>
      </w:r>
      <w:proofErr w:type="spellStart"/>
      <w:r w:rsidRPr="00991931">
        <w:t>Methotrexate</w:t>
      </w:r>
      <w:proofErr w:type="spellEnd"/>
      <w:r w:rsidRPr="00991931">
        <w:t xml:space="preserve"> ”Orion” anvendes. Hvis kønsmodne kvinder behandles, skal de anvende</w:t>
      </w:r>
      <w:r w:rsidRPr="00991931">
        <w:rPr>
          <w:color w:val="auto"/>
        </w:rPr>
        <w:t xml:space="preserve"> sikker prævention under og i mindst seks måneder efter behandlingen.</w:t>
      </w:r>
    </w:p>
    <w:p w:rsidR="007A01DF" w:rsidRDefault="007A01DF" w:rsidP="007A01DF">
      <w:pPr>
        <w:pStyle w:val="Default"/>
        <w:ind w:left="851"/>
        <w:rPr>
          <w:color w:val="auto"/>
        </w:rPr>
      </w:pPr>
      <w:r w:rsidRPr="00991931">
        <w:rPr>
          <w:color w:val="auto"/>
        </w:rPr>
        <w:t>Se præventionsrådene til mænd i pkt. 4.6.</w:t>
      </w:r>
    </w:p>
    <w:p w:rsidR="007A01DF" w:rsidRDefault="007A01DF" w:rsidP="007A01DF">
      <w:pPr>
        <w:pStyle w:val="Default"/>
        <w:ind w:left="851" w:hanging="851"/>
        <w:rPr>
          <w:color w:val="auto"/>
        </w:rPr>
      </w:pPr>
    </w:p>
    <w:p w:rsidR="007A01DF" w:rsidRDefault="007A01DF" w:rsidP="007A01DF">
      <w:pPr>
        <w:ind w:left="851"/>
        <w:rPr>
          <w:sz w:val="24"/>
          <w:szCs w:val="24"/>
        </w:rPr>
      </w:pPr>
      <w:r>
        <w:rPr>
          <w:sz w:val="24"/>
          <w:szCs w:val="24"/>
        </w:rPr>
        <w:t>Anbefalede undersøgelser og sikkerhedsforanstaltninger:</w:t>
      </w:r>
    </w:p>
    <w:p w:rsidR="007A01DF" w:rsidRDefault="007A01DF" w:rsidP="007A01DF">
      <w:pPr>
        <w:pStyle w:val="Default"/>
        <w:ind w:left="851" w:hanging="851"/>
        <w:rPr>
          <w:color w:val="auto"/>
        </w:rPr>
      </w:pPr>
    </w:p>
    <w:p w:rsidR="007A01DF" w:rsidRDefault="007A01DF" w:rsidP="00F9604D">
      <w:pPr>
        <w:keepNext/>
        <w:ind w:left="851"/>
        <w:rPr>
          <w:sz w:val="24"/>
          <w:szCs w:val="24"/>
        </w:rPr>
      </w:pPr>
      <w:r>
        <w:rPr>
          <w:b/>
          <w:sz w:val="24"/>
          <w:szCs w:val="24"/>
        </w:rPr>
        <w:lastRenderedPageBreak/>
        <w:t xml:space="preserve">Før påbegyndelse af </w:t>
      </w:r>
      <w:proofErr w:type="spellStart"/>
      <w:r>
        <w:rPr>
          <w:b/>
          <w:sz w:val="24"/>
          <w:szCs w:val="24"/>
        </w:rPr>
        <w:t>methotrexatbehandling</w:t>
      </w:r>
      <w:proofErr w:type="spellEnd"/>
      <w:r>
        <w:rPr>
          <w:sz w:val="24"/>
          <w:szCs w:val="24"/>
        </w:rPr>
        <w:t xml:space="preserve"> eller genoptagelse heraf efter en pause: </w:t>
      </w:r>
    </w:p>
    <w:p w:rsidR="007A01DF" w:rsidRDefault="007A01DF" w:rsidP="007A01DF">
      <w:pPr>
        <w:pStyle w:val="Default"/>
        <w:ind w:left="851"/>
      </w:pPr>
      <w:r>
        <w:t xml:space="preserve">Fuldstændig blodtælling med </w:t>
      </w:r>
      <w:proofErr w:type="spellStart"/>
      <w:r>
        <w:t>differentialblodtælling</w:t>
      </w:r>
      <w:proofErr w:type="spellEnd"/>
      <w:r>
        <w:t xml:space="preserve"> og </w:t>
      </w:r>
      <w:proofErr w:type="spellStart"/>
      <w:r>
        <w:t>trombocytter</w:t>
      </w:r>
      <w:proofErr w:type="spellEnd"/>
      <w:r>
        <w:t>, leverenzymer, bilirubin, serumalbumin, røntgen af thorax og lever- og nyrefunktionstest. Hvis klinisk indiceret, skal tuberkulose og hepatitis udelukkes.</w:t>
      </w:r>
    </w:p>
    <w:p w:rsidR="007A01DF" w:rsidRDefault="007A01DF" w:rsidP="007A01DF">
      <w:pPr>
        <w:pStyle w:val="Default"/>
        <w:ind w:left="851" w:hanging="851"/>
        <w:rPr>
          <w:color w:val="auto"/>
        </w:rPr>
      </w:pPr>
    </w:p>
    <w:p w:rsidR="007A01DF" w:rsidRDefault="007A01DF" w:rsidP="007A01DF">
      <w:pPr>
        <w:ind w:left="851"/>
        <w:rPr>
          <w:sz w:val="24"/>
          <w:szCs w:val="24"/>
        </w:rPr>
      </w:pPr>
      <w:r>
        <w:rPr>
          <w:b/>
          <w:sz w:val="24"/>
          <w:szCs w:val="24"/>
        </w:rPr>
        <w:t xml:space="preserve">Under behandling </w:t>
      </w:r>
      <w:r>
        <w:rPr>
          <w:sz w:val="24"/>
          <w:szCs w:val="24"/>
        </w:rPr>
        <w:t xml:space="preserve">(mindst én gang om måneden i de første seks måneder og derefter hver tredje måned): </w:t>
      </w:r>
    </w:p>
    <w:p w:rsidR="007A01DF" w:rsidRDefault="007A01DF" w:rsidP="007A01DF">
      <w:pPr>
        <w:ind w:left="851"/>
        <w:rPr>
          <w:sz w:val="24"/>
          <w:szCs w:val="24"/>
        </w:rPr>
      </w:pPr>
      <w:r>
        <w:rPr>
          <w:sz w:val="24"/>
          <w:szCs w:val="24"/>
        </w:rPr>
        <w:t>Øget overvågningshyppighed bør også overvejes, når dosis øges.</w:t>
      </w:r>
    </w:p>
    <w:p w:rsidR="007A01DF" w:rsidRDefault="007A01DF" w:rsidP="007A01DF">
      <w:pPr>
        <w:ind w:left="851" w:hanging="851"/>
        <w:rPr>
          <w:sz w:val="24"/>
          <w:szCs w:val="24"/>
        </w:rPr>
      </w:pPr>
    </w:p>
    <w:p w:rsidR="007A01DF" w:rsidRDefault="007A01DF" w:rsidP="007A01DF">
      <w:pPr>
        <w:ind w:left="360" w:firstLine="491"/>
        <w:rPr>
          <w:sz w:val="24"/>
          <w:szCs w:val="24"/>
        </w:rPr>
      </w:pPr>
      <w:r>
        <w:rPr>
          <w:sz w:val="24"/>
          <w:szCs w:val="24"/>
        </w:rPr>
        <w:t>1. Undersøgelse af mundhulen og svælget for slimhindeforandringer.</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2. Fuldstændig blodtælling med </w:t>
      </w:r>
      <w:proofErr w:type="spellStart"/>
      <w:r>
        <w:rPr>
          <w:sz w:val="24"/>
          <w:szCs w:val="24"/>
        </w:rPr>
        <w:t>differentialblodtælling</w:t>
      </w:r>
      <w:proofErr w:type="spellEnd"/>
      <w:r>
        <w:rPr>
          <w:sz w:val="24"/>
          <w:szCs w:val="24"/>
        </w:rPr>
        <w:t xml:space="preserve"> og </w:t>
      </w:r>
      <w:proofErr w:type="spellStart"/>
      <w:r>
        <w:rPr>
          <w:sz w:val="24"/>
          <w:szCs w:val="24"/>
        </w:rPr>
        <w:t>trombocytter</w:t>
      </w:r>
      <w:proofErr w:type="spellEnd"/>
      <w:r>
        <w:rPr>
          <w:sz w:val="24"/>
          <w:szCs w:val="24"/>
        </w:rPr>
        <w:t xml:space="preserve">. </w:t>
      </w:r>
      <w:proofErr w:type="spellStart"/>
      <w:r>
        <w:rPr>
          <w:sz w:val="24"/>
          <w:szCs w:val="24"/>
        </w:rPr>
        <w:t>Hæmopoietisk</w:t>
      </w:r>
      <w:proofErr w:type="spellEnd"/>
      <w:r>
        <w:rPr>
          <w:sz w:val="24"/>
          <w:szCs w:val="24"/>
        </w:rPr>
        <w:t xml:space="preserve"> suppression induceret af </w:t>
      </w:r>
      <w:proofErr w:type="spellStart"/>
      <w:r>
        <w:rPr>
          <w:sz w:val="24"/>
          <w:szCs w:val="24"/>
        </w:rPr>
        <w:t>methotrexat</w:t>
      </w:r>
      <w:proofErr w:type="spellEnd"/>
      <w:r>
        <w:rPr>
          <w:sz w:val="24"/>
          <w:szCs w:val="24"/>
        </w:rPr>
        <w:t xml:space="preserve"> kan opstå pludseligt og med tilsyneladende sikre doser. I tilfælde af udtalt fald i leukocyt- eller </w:t>
      </w:r>
      <w:proofErr w:type="spellStart"/>
      <w:r>
        <w:rPr>
          <w:sz w:val="24"/>
          <w:szCs w:val="24"/>
        </w:rPr>
        <w:t>trombocyttal</w:t>
      </w:r>
      <w:proofErr w:type="spellEnd"/>
      <w:r>
        <w:rPr>
          <w:sz w:val="24"/>
          <w:szCs w:val="24"/>
        </w:rPr>
        <w:t xml:space="preserve"> skal behandlingen øjeblikkelig seponeres og passende understøttende behandling iværksættes. Patienterne skal instrueres i, at de skal rapportere alle tegn og symptomer, som tyder på infektion. Patienter, der tager </w:t>
      </w:r>
      <w:proofErr w:type="spellStart"/>
      <w:r>
        <w:rPr>
          <w:sz w:val="24"/>
          <w:szCs w:val="24"/>
        </w:rPr>
        <w:t>hæmatotoksiske</w:t>
      </w:r>
      <w:proofErr w:type="spellEnd"/>
      <w:r>
        <w:rPr>
          <w:sz w:val="24"/>
          <w:szCs w:val="24"/>
        </w:rPr>
        <w:t xml:space="preserve"> lægemidler (f.eks. </w:t>
      </w:r>
      <w:proofErr w:type="spellStart"/>
      <w:r>
        <w:rPr>
          <w:sz w:val="24"/>
          <w:szCs w:val="24"/>
        </w:rPr>
        <w:t>leflunomid</w:t>
      </w:r>
      <w:proofErr w:type="spellEnd"/>
      <w:r>
        <w:rPr>
          <w:sz w:val="24"/>
          <w:szCs w:val="24"/>
        </w:rPr>
        <w:t xml:space="preserve">) samtidigt, bør overvåges tæt med blodtælling og </w:t>
      </w:r>
      <w:proofErr w:type="spellStart"/>
      <w:r>
        <w:rPr>
          <w:sz w:val="24"/>
          <w:szCs w:val="24"/>
        </w:rPr>
        <w:t>trombocytter</w:t>
      </w:r>
      <w:proofErr w:type="spellEnd"/>
      <w:r>
        <w:rPr>
          <w:sz w:val="24"/>
          <w:szCs w:val="24"/>
        </w:rPr>
        <w:t>.</w:t>
      </w:r>
    </w:p>
    <w:p w:rsidR="007A01DF" w:rsidRDefault="007A01DF" w:rsidP="007A01DF">
      <w:pPr>
        <w:ind w:left="851"/>
        <w:rPr>
          <w:sz w:val="24"/>
          <w:szCs w:val="24"/>
        </w:rPr>
      </w:pPr>
    </w:p>
    <w:p w:rsidR="00074246" w:rsidRDefault="007A01DF" w:rsidP="007A01DF">
      <w:pPr>
        <w:ind w:left="851"/>
        <w:rPr>
          <w:sz w:val="24"/>
          <w:szCs w:val="24"/>
        </w:rPr>
      </w:pPr>
      <w:r>
        <w:rPr>
          <w:sz w:val="24"/>
          <w:szCs w:val="24"/>
        </w:rPr>
        <w:t xml:space="preserve">3. Leverfunktionsprøver: </w:t>
      </w:r>
    </w:p>
    <w:p w:rsidR="00074246" w:rsidRDefault="00074246" w:rsidP="00074246">
      <w:pPr>
        <w:ind w:left="851"/>
        <w:rPr>
          <w:sz w:val="24"/>
          <w:szCs w:val="24"/>
        </w:rPr>
      </w:pPr>
      <w:r>
        <w:rPr>
          <w:sz w:val="24"/>
          <w:szCs w:val="24"/>
        </w:rPr>
        <w:t xml:space="preserve">Behandlingen bør ikke initieres eller bør seponeres, hvis der er vedvarende eller signifikante abnormiteter i leverfunktionsprøver, andre ikke-invasive undersøgelser af leverfibrose eller leverbiopsier. </w:t>
      </w:r>
    </w:p>
    <w:p w:rsidR="00074246" w:rsidRDefault="00074246" w:rsidP="00074246">
      <w:pPr>
        <w:ind w:left="851"/>
        <w:rPr>
          <w:sz w:val="24"/>
          <w:szCs w:val="24"/>
        </w:rPr>
      </w:pPr>
    </w:p>
    <w:p w:rsidR="00074246" w:rsidRDefault="00074246" w:rsidP="00074246">
      <w:pPr>
        <w:ind w:left="851"/>
        <w:rPr>
          <w:sz w:val="24"/>
          <w:szCs w:val="24"/>
        </w:rPr>
      </w:pPr>
      <w:r>
        <w:rPr>
          <w:sz w:val="24"/>
          <w:szCs w:val="24"/>
        </w:rPr>
        <w:t xml:space="preserve">Midlertidige stigninger i </w:t>
      </w:r>
      <w:proofErr w:type="spellStart"/>
      <w:r>
        <w:rPr>
          <w:sz w:val="24"/>
          <w:szCs w:val="24"/>
        </w:rPr>
        <w:t>transaminaser</w:t>
      </w:r>
      <w:proofErr w:type="spellEnd"/>
      <w:r>
        <w:rPr>
          <w:sz w:val="24"/>
          <w:szCs w:val="24"/>
        </w:rPr>
        <w:t xml:space="preserve"> til to eller tre gange den øvre normalgrænse er blevet rapporteret hos patienter med en frekvens på 13 – 20 %. Vedvarende forhøjelse af leverenzymer og/eller fald i serumalbumin kan være tegn på alvorlig </w:t>
      </w:r>
      <w:proofErr w:type="spellStart"/>
      <w:r>
        <w:rPr>
          <w:sz w:val="24"/>
          <w:szCs w:val="24"/>
        </w:rPr>
        <w:t>hepatotoksicitet</w:t>
      </w:r>
      <w:proofErr w:type="spellEnd"/>
      <w:r>
        <w:rPr>
          <w:sz w:val="24"/>
          <w:szCs w:val="24"/>
        </w:rPr>
        <w:t xml:space="preserve">. I tilfælde af vedvarende stigning i leverenzymer bør det overvejes at reducere dosis eller afbryde behandlingen. Histologiske ændringer, fibrose og mere sjældent levercirrose kan ikke </w:t>
      </w:r>
      <w:proofErr w:type="spellStart"/>
      <w:r>
        <w:rPr>
          <w:sz w:val="24"/>
          <w:szCs w:val="24"/>
        </w:rPr>
        <w:t>forudgås</w:t>
      </w:r>
      <w:proofErr w:type="spellEnd"/>
      <w:r>
        <w:rPr>
          <w:sz w:val="24"/>
          <w:szCs w:val="24"/>
        </w:rPr>
        <w:t xml:space="preserve"> af unormale leverfunktionstests. Der er tilfælde i cirrose, hvor </w:t>
      </w:r>
      <w:proofErr w:type="spellStart"/>
      <w:r>
        <w:rPr>
          <w:sz w:val="24"/>
          <w:szCs w:val="24"/>
        </w:rPr>
        <w:t>transaminaser</w:t>
      </w:r>
      <w:proofErr w:type="spellEnd"/>
      <w:r>
        <w:rPr>
          <w:sz w:val="24"/>
          <w:szCs w:val="24"/>
        </w:rPr>
        <w:t xml:space="preserve"> er normale.</w:t>
      </w:r>
      <w:r>
        <w:t xml:space="preserve"> </w:t>
      </w:r>
      <w:r>
        <w:rPr>
          <w:sz w:val="24"/>
          <w:szCs w:val="24"/>
        </w:rPr>
        <w:t xml:space="preserve">Derfor bør ikke-invasive diagnostiske metoder til monitorering af levertilstand overvejes ud over leverfunktionstests. Leverbiopsi bør overvejes på individuel basis under hensyntagen til patientens </w:t>
      </w:r>
      <w:proofErr w:type="spellStart"/>
      <w:r>
        <w:rPr>
          <w:sz w:val="24"/>
          <w:szCs w:val="24"/>
        </w:rPr>
        <w:t>komorbiditet</w:t>
      </w:r>
      <w:proofErr w:type="spellEnd"/>
      <w:r>
        <w:rPr>
          <w:sz w:val="24"/>
          <w:szCs w:val="24"/>
        </w:rPr>
        <w:t xml:space="preserve">, sygehistorie og risici forbundet med biopsi. Risikofaktorer for levertoksicitet omfatter, tidligere overdreven alkoholindtagelse, vedvarende forhøjelse af leverenzymer, leversygdom i anamnesen, familiehistorie med arvelige leversygdomme, diabetes mellitus, fedme og tidligere kontakt med </w:t>
      </w:r>
      <w:proofErr w:type="spellStart"/>
      <w:r>
        <w:rPr>
          <w:sz w:val="24"/>
          <w:szCs w:val="24"/>
        </w:rPr>
        <w:t>hepatotoksiske</w:t>
      </w:r>
      <w:proofErr w:type="spellEnd"/>
      <w:r>
        <w:rPr>
          <w:sz w:val="24"/>
          <w:szCs w:val="24"/>
        </w:rPr>
        <w:t xml:space="preserve"> lægemidler eller kemikalier og langvarig </w:t>
      </w:r>
      <w:proofErr w:type="spellStart"/>
      <w:r>
        <w:rPr>
          <w:sz w:val="24"/>
          <w:szCs w:val="24"/>
        </w:rPr>
        <w:t>methotrexatbehandling</w:t>
      </w:r>
      <w:proofErr w:type="spellEnd"/>
      <w:r>
        <w:rPr>
          <w:sz w:val="24"/>
          <w:szCs w:val="24"/>
        </w:rPr>
        <w:t xml:space="preserve">. </w:t>
      </w:r>
    </w:p>
    <w:p w:rsidR="00074246" w:rsidRDefault="00074246" w:rsidP="00074246">
      <w:pPr>
        <w:ind w:left="851"/>
        <w:rPr>
          <w:sz w:val="24"/>
          <w:szCs w:val="24"/>
        </w:rPr>
      </w:pPr>
    </w:p>
    <w:p w:rsidR="00074246" w:rsidRDefault="00074246" w:rsidP="00074246">
      <w:pPr>
        <w:ind w:left="851"/>
        <w:rPr>
          <w:sz w:val="24"/>
          <w:szCs w:val="24"/>
        </w:rPr>
      </w:pPr>
      <w:r>
        <w:rPr>
          <w:sz w:val="24"/>
          <w:szCs w:val="24"/>
        </w:rPr>
        <w:t xml:space="preserve">Yderligere </w:t>
      </w:r>
      <w:proofErr w:type="spellStart"/>
      <w:r>
        <w:rPr>
          <w:sz w:val="24"/>
          <w:szCs w:val="24"/>
        </w:rPr>
        <w:t>hepatotoksiske</w:t>
      </w:r>
      <w:proofErr w:type="spellEnd"/>
      <w:r>
        <w:rPr>
          <w:sz w:val="24"/>
          <w:szCs w:val="24"/>
        </w:rPr>
        <w:t xml:space="preserve"> lægemidler bør ikke gives under behandling med </w:t>
      </w:r>
      <w:proofErr w:type="spellStart"/>
      <w:r>
        <w:rPr>
          <w:sz w:val="24"/>
          <w:szCs w:val="24"/>
        </w:rPr>
        <w:t>methotrexat</w:t>
      </w:r>
      <w:proofErr w:type="spellEnd"/>
      <w:r>
        <w:rPr>
          <w:sz w:val="24"/>
          <w:szCs w:val="24"/>
        </w:rPr>
        <w:t xml:space="preserve">, medmindre det er strengt nødvendigt. Indtagelse af alkohol bør undgås (se pkt. 4.3 og 4.5). Tættere monitorering af leverenzymer bør udføres hos patienter, der samtidig tager andre </w:t>
      </w:r>
      <w:proofErr w:type="spellStart"/>
      <w:r>
        <w:rPr>
          <w:sz w:val="24"/>
          <w:szCs w:val="24"/>
        </w:rPr>
        <w:t>hepatotoksiske</w:t>
      </w:r>
      <w:proofErr w:type="spellEnd"/>
      <w:r>
        <w:rPr>
          <w:sz w:val="24"/>
          <w:szCs w:val="24"/>
        </w:rPr>
        <w:t xml:space="preserve"> lægemidler.</w:t>
      </w:r>
    </w:p>
    <w:p w:rsidR="00074246" w:rsidRDefault="00074246" w:rsidP="00074246">
      <w:pPr>
        <w:ind w:left="851"/>
        <w:rPr>
          <w:sz w:val="24"/>
          <w:szCs w:val="24"/>
        </w:rPr>
      </w:pPr>
      <w:r>
        <w:rPr>
          <w:sz w:val="24"/>
          <w:szCs w:val="24"/>
        </w:rPr>
        <w:t xml:space="preserve">Der bør udvises øget forsigtighed hos patienter med insulinafhængig diabetes mellitus, da der i isolerede tilfælde er set levercirrose uden nogen forhøjelse af </w:t>
      </w:r>
      <w:proofErr w:type="spellStart"/>
      <w:r>
        <w:rPr>
          <w:sz w:val="24"/>
          <w:szCs w:val="24"/>
        </w:rPr>
        <w:t>transaminaser</w:t>
      </w:r>
      <w:proofErr w:type="spellEnd"/>
      <w:r>
        <w:rPr>
          <w:sz w:val="24"/>
          <w:szCs w:val="24"/>
        </w:rPr>
        <w:t xml:space="preserve"> under behandling med </w:t>
      </w:r>
      <w:proofErr w:type="spellStart"/>
      <w:r>
        <w:rPr>
          <w:sz w:val="24"/>
          <w:szCs w:val="24"/>
        </w:rPr>
        <w:t>methotrexat</w:t>
      </w:r>
      <w:proofErr w:type="spellEnd"/>
      <w:r>
        <w:rPr>
          <w:sz w:val="24"/>
          <w:szCs w:val="24"/>
        </w:rPr>
        <w:t>.</w:t>
      </w:r>
    </w:p>
    <w:p w:rsidR="007A01DF" w:rsidRDefault="007A01DF" w:rsidP="007A01DF">
      <w:pPr>
        <w:ind w:left="851" w:hanging="851"/>
        <w:rPr>
          <w:sz w:val="24"/>
          <w:szCs w:val="24"/>
        </w:rPr>
      </w:pPr>
    </w:p>
    <w:p w:rsidR="007A01DF" w:rsidRDefault="007A01DF" w:rsidP="00F9604D">
      <w:pPr>
        <w:keepNext/>
        <w:ind w:left="851"/>
        <w:rPr>
          <w:sz w:val="24"/>
          <w:szCs w:val="24"/>
        </w:rPr>
      </w:pPr>
      <w:r>
        <w:rPr>
          <w:sz w:val="24"/>
          <w:szCs w:val="24"/>
        </w:rPr>
        <w:t xml:space="preserve">4. Nyrefunktionen bør overvåges ved hjælp af nyrefunktionstest og urinanalyse (se også pkt. 4.2 og 4.3): </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Da </w:t>
      </w:r>
      <w:proofErr w:type="spellStart"/>
      <w:r>
        <w:rPr>
          <w:sz w:val="24"/>
          <w:szCs w:val="24"/>
        </w:rPr>
        <w:t>methotrexat</w:t>
      </w:r>
      <w:proofErr w:type="spellEnd"/>
      <w:r>
        <w:rPr>
          <w:sz w:val="24"/>
          <w:szCs w:val="24"/>
        </w:rPr>
        <w:t xml:space="preserve"> hovedsageligt elimineres </w:t>
      </w:r>
      <w:proofErr w:type="spellStart"/>
      <w:r>
        <w:rPr>
          <w:sz w:val="24"/>
          <w:szCs w:val="24"/>
        </w:rPr>
        <w:t>renalt</w:t>
      </w:r>
      <w:proofErr w:type="spellEnd"/>
      <w:r>
        <w:rPr>
          <w:sz w:val="24"/>
          <w:szCs w:val="24"/>
        </w:rPr>
        <w:t xml:space="preserve">, kan der forventes øgede serumkoncentrationer i tilfælde af nyreinsufficiens, hvilket kan forårsage alvorlige </w:t>
      </w:r>
      <w:r>
        <w:rPr>
          <w:sz w:val="24"/>
          <w:szCs w:val="24"/>
        </w:rPr>
        <w:lastRenderedPageBreak/>
        <w:t xml:space="preserve">bivirkninger. </w:t>
      </w:r>
      <w:proofErr w:type="spellStart"/>
      <w:r>
        <w:rPr>
          <w:sz w:val="24"/>
          <w:szCs w:val="24"/>
        </w:rPr>
        <w:t>Methotrexat</w:t>
      </w:r>
      <w:proofErr w:type="spellEnd"/>
      <w:r>
        <w:rPr>
          <w:sz w:val="24"/>
          <w:szCs w:val="24"/>
        </w:rPr>
        <w:t xml:space="preserve"> dosis skal reduceres hos patienter med nyreinsufficiens. Behandling med moderat høje og høje doser af </w:t>
      </w:r>
      <w:proofErr w:type="spellStart"/>
      <w:r>
        <w:rPr>
          <w:sz w:val="24"/>
          <w:szCs w:val="24"/>
        </w:rPr>
        <w:t>methotrexat</w:t>
      </w:r>
      <w:proofErr w:type="spellEnd"/>
      <w:r>
        <w:rPr>
          <w:sz w:val="24"/>
          <w:szCs w:val="24"/>
        </w:rPr>
        <w:t xml:space="preserve"> bør ikke initieres ved urin pH mindre end</w:t>
      </w:r>
      <w:r w:rsidR="00074246">
        <w:rPr>
          <w:sz w:val="24"/>
          <w:szCs w:val="24"/>
        </w:rPr>
        <w:t> </w:t>
      </w:r>
      <w:r>
        <w:rPr>
          <w:sz w:val="24"/>
          <w:szCs w:val="24"/>
        </w:rPr>
        <w:t xml:space="preserve">7. </w:t>
      </w:r>
      <w:proofErr w:type="spellStart"/>
      <w:r>
        <w:rPr>
          <w:sz w:val="24"/>
          <w:szCs w:val="24"/>
        </w:rPr>
        <w:t>Alkalisering</w:t>
      </w:r>
      <w:proofErr w:type="spellEnd"/>
      <w:r>
        <w:rPr>
          <w:sz w:val="24"/>
          <w:szCs w:val="24"/>
        </w:rPr>
        <w:t xml:space="preserve"> af urinen skal testes med gentagne pH-målinger (værdier ≥</w:t>
      </w:r>
      <w:r w:rsidR="00074246">
        <w:rPr>
          <w:sz w:val="24"/>
          <w:szCs w:val="24"/>
        </w:rPr>
        <w:t> </w:t>
      </w:r>
      <w:r>
        <w:rPr>
          <w:sz w:val="24"/>
          <w:szCs w:val="24"/>
        </w:rPr>
        <w:t xml:space="preserve">6,8) i mindst 24 timer efter initiering af </w:t>
      </w:r>
      <w:proofErr w:type="spellStart"/>
      <w:r>
        <w:rPr>
          <w:sz w:val="24"/>
          <w:szCs w:val="24"/>
        </w:rPr>
        <w:t>methotrexatbehandling</w:t>
      </w:r>
      <w:proofErr w:type="spellEnd"/>
      <w:r>
        <w:rPr>
          <w:sz w:val="24"/>
          <w:szCs w:val="24"/>
        </w:rPr>
        <w:t>.</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Alvorlig nyreinsufficiens er kontraindiceret med </w:t>
      </w:r>
      <w:proofErr w:type="spellStart"/>
      <w:r>
        <w:rPr>
          <w:sz w:val="24"/>
          <w:szCs w:val="24"/>
        </w:rPr>
        <w:t>methotrexatbehandling</w:t>
      </w:r>
      <w:proofErr w:type="spellEnd"/>
      <w:r>
        <w:rPr>
          <w:sz w:val="24"/>
          <w:szCs w:val="24"/>
        </w:rPr>
        <w:t xml:space="preserve"> (se pkt. 4.3).</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Overvågning bør udføres hyppigere, hvis nyrefunktionen er kompromitteret (f.eks. hos ældre). Dette gælder især, når der samtidigt administreres lægemidler, som påvirker udskillelsen af </w:t>
      </w:r>
      <w:proofErr w:type="spellStart"/>
      <w:r>
        <w:rPr>
          <w:sz w:val="24"/>
          <w:szCs w:val="24"/>
        </w:rPr>
        <w:t>methotrexat</w:t>
      </w:r>
      <w:proofErr w:type="spellEnd"/>
      <w:r>
        <w:rPr>
          <w:sz w:val="24"/>
          <w:szCs w:val="24"/>
        </w:rPr>
        <w:t>, der forårsager nyreskader (f.eks. non-</w:t>
      </w:r>
      <w:proofErr w:type="spellStart"/>
      <w:r>
        <w:rPr>
          <w:sz w:val="24"/>
          <w:szCs w:val="24"/>
        </w:rPr>
        <w:t>steroide</w:t>
      </w:r>
      <w:proofErr w:type="spellEnd"/>
      <w:r>
        <w:rPr>
          <w:sz w:val="24"/>
          <w:szCs w:val="24"/>
        </w:rPr>
        <w:t xml:space="preserve"> antiinflammatoriske lægemidler) eller som potentielt kan medføre nedsat </w:t>
      </w:r>
      <w:proofErr w:type="spellStart"/>
      <w:r>
        <w:rPr>
          <w:sz w:val="24"/>
          <w:szCs w:val="24"/>
        </w:rPr>
        <w:t>hæmatopoiese</w:t>
      </w:r>
      <w:proofErr w:type="spellEnd"/>
      <w:r>
        <w:rPr>
          <w:sz w:val="24"/>
          <w:szCs w:val="24"/>
        </w:rPr>
        <w:t xml:space="preserve">. Dehydrering kan også forstærke </w:t>
      </w:r>
      <w:proofErr w:type="spellStart"/>
      <w:r>
        <w:rPr>
          <w:sz w:val="24"/>
          <w:szCs w:val="24"/>
        </w:rPr>
        <w:t>methotrexats</w:t>
      </w:r>
      <w:proofErr w:type="spellEnd"/>
      <w:r>
        <w:rPr>
          <w:sz w:val="24"/>
          <w:szCs w:val="24"/>
        </w:rPr>
        <w:t xml:space="preserve"> toksicitet. </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5. Vurdering af luftveje: Patienten skal udspørges om eventuelle lungedysfunktioner. Om nødvendigt udføres lungefunktionstest. Akut eller kronisk </w:t>
      </w:r>
      <w:proofErr w:type="spellStart"/>
      <w:r>
        <w:rPr>
          <w:sz w:val="24"/>
          <w:szCs w:val="24"/>
        </w:rPr>
        <w:t>interstitiel</w:t>
      </w:r>
      <w:proofErr w:type="spellEnd"/>
      <w:r>
        <w:rPr>
          <w:sz w:val="24"/>
          <w:szCs w:val="24"/>
        </w:rPr>
        <w:t xml:space="preserve"> pneumonitis, ofte forbundet med </w:t>
      </w:r>
      <w:proofErr w:type="spellStart"/>
      <w:r>
        <w:rPr>
          <w:sz w:val="24"/>
          <w:szCs w:val="24"/>
        </w:rPr>
        <w:t>blodeosinofili</w:t>
      </w:r>
      <w:proofErr w:type="spellEnd"/>
      <w:r>
        <w:rPr>
          <w:sz w:val="24"/>
          <w:szCs w:val="24"/>
        </w:rPr>
        <w:t>, kan forekomme, og der er blevet rapporteret dødsfald. Symptomerne omfatter typisk dyspnø, hoste (især tør ikke-produktiv hoste), brystsmerter og feber, som patienterne skal undersøges for ved hver kontrolundersøgelse. Patienterne skal informeres om risikoen for pneumonitis og tilrådes at kontakte deres læge omgående, hvis de udvikler vedvarende hoste eller dyspnø.</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Derudover er der indberettet tilfælde af </w:t>
      </w:r>
      <w:proofErr w:type="spellStart"/>
      <w:r>
        <w:rPr>
          <w:sz w:val="24"/>
          <w:szCs w:val="24"/>
        </w:rPr>
        <w:t>pulmonal</w:t>
      </w:r>
      <w:proofErr w:type="spellEnd"/>
      <w:r>
        <w:rPr>
          <w:sz w:val="24"/>
          <w:szCs w:val="24"/>
        </w:rPr>
        <w:t xml:space="preserve"> alveolær blødning ved anvendelse af </w:t>
      </w:r>
      <w:proofErr w:type="spellStart"/>
      <w:r>
        <w:rPr>
          <w:sz w:val="24"/>
          <w:szCs w:val="24"/>
        </w:rPr>
        <w:t>methotrexat</w:t>
      </w:r>
      <w:proofErr w:type="spellEnd"/>
      <w:r>
        <w:rPr>
          <w:sz w:val="24"/>
          <w:szCs w:val="24"/>
        </w:rPr>
        <w:t xml:space="preserve"> i reumatologiske og relaterede indikationer. Denne bivirkning kan også være forbundet med </w:t>
      </w:r>
      <w:proofErr w:type="spellStart"/>
      <w:r>
        <w:rPr>
          <w:sz w:val="24"/>
          <w:szCs w:val="24"/>
        </w:rPr>
        <w:t>vaskulitis</w:t>
      </w:r>
      <w:proofErr w:type="spellEnd"/>
      <w:r>
        <w:rPr>
          <w:sz w:val="24"/>
          <w:szCs w:val="24"/>
        </w:rPr>
        <w:t xml:space="preserve"> og andre </w:t>
      </w:r>
      <w:proofErr w:type="spellStart"/>
      <w:r>
        <w:rPr>
          <w:sz w:val="24"/>
          <w:szCs w:val="24"/>
        </w:rPr>
        <w:t>komorbiditeter</w:t>
      </w:r>
      <w:proofErr w:type="spellEnd"/>
      <w:r>
        <w:rPr>
          <w:sz w:val="24"/>
          <w:szCs w:val="24"/>
        </w:rPr>
        <w:t xml:space="preserve">. Hvis der er mistanke om </w:t>
      </w:r>
      <w:proofErr w:type="spellStart"/>
      <w:r>
        <w:rPr>
          <w:sz w:val="24"/>
          <w:szCs w:val="24"/>
        </w:rPr>
        <w:t>pulmonal</w:t>
      </w:r>
      <w:proofErr w:type="spellEnd"/>
      <w:r>
        <w:rPr>
          <w:sz w:val="24"/>
          <w:szCs w:val="24"/>
        </w:rPr>
        <w:t xml:space="preserve"> alveolær blødning, skal dette øjeblikkeligt undersøges med henblik på at stille en diagnose.</w:t>
      </w:r>
    </w:p>
    <w:p w:rsidR="007A01DF" w:rsidRDefault="007A01DF" w:rsidP="007A01DF">
      <w:pPr>
        <w:ind w:left="851"/>
        <w:rPr>
          <w:sz w:val="24"/>
          <w:szCs w:val="24"/>
        </w:rPr>
      </w:pPr>
    </w:p>
    <w:p w:rsidR="007A01DF" w:rsidRDefault="007A01DF" w:rsidP="007A01DF">
      <w:pPr>
        <w:ind w:left="851"/>
        <w:rPr>
          <w:sz w:val="24"/>
          <w:szCs w:val="24"/>
        </w:rPr>
      </w:pPr>
      <w:proofErr w:type="spellStart"/>
      <w:r>
        <w:rPr>
          <w:sz w:val="24"/>
          <w:szCs w:val="24"/>
        </w:rPr>
        <w:t>Methotrexat</w:t>
      </w:r>
      <w:proofErr w:type="spellEnd"/>
      <w:r>
        <w:rPr>
          <w:sz w:val="24"/>
          <w:szCs w:val="24"/>
        </w:rPr>
        <w:t xml:space="preserve"> skal seponeres hos patienter med lungesymptomer og en grundig undersøgelse (herunder røntgen af thorax) skal gennemføres for at udelukke en infektion og tumorer. Hvis der er mistanke om </w:t>
      </w:r>
      <w:proofErr w:type="spellStart"/>
      <w:r>
        <w:rPr>
          <w:sz w:val="24"/>
          <w:szCs w:val="24"/>
        </w:rPr>
        <w:t>methotrexatinduceret</w:t>
      </w:r>
      <w:proofErr w:type="spellEnd"/>
      <w:r>
        <w:rPr>
          <w:sz w:val="24"/>
          <w:szCs w:val="24"/>
        </w:rPr>
        <w:t xml:space="preserve"> lungesygdom, bør en behandling med </w:t>
      </w:r>
      <w:proofErr w:type="spellStart"/>
      <w:r>
        <w:rPr>
          <w:sz w:val="24"/>
          <w:szCs w:val="24"/>
        </w:rPr>
        <w:t>kortikosteroider</w:t>
      </w:r>
      <w:proofErr w:type="spellEnd"/>
      <w:r>
        <w:rPr>
          <w:sz w:val="24"/>
          <w:szCs w:val="24"/>
        </w:rPr>
        <w:t xml:space="preserve"> initieres og </w:t>
      </w:r>
      <w:proofErr w:type="spellStart"/>
      <w:r>
        <w:rPr>
          <w:sz w:val="24"/>
          <w:szCs w:val="24"/>
        </w:rPr>
        <w:t>methotrexatbehandlingen</w:t>
      </w:r>
      <w:proofErr w:type="spellEnd"/>
      <w:r>
        <w:rPr>
          <w:sz w:val="24"/>
          <w:szCs w:val="24"/>
        </w:rPr>
        <w:t xml:space="preserve"> bør ikke genstartes.</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Lungesymptomer kræver en hurtig diagnose og </w:t>
      </w:r>
      <w:proofErr w:type="spellStart"/>
      <w:r>
        <w:rPr>
          <w:sz w:val="24"/>
          <w:szCs w:val="24"/>
        </w:rPr>
        <w:t>seponering</w:t>
      </w:r>
      <w:proofErr w:type="spellEnd"/>
      <w:r>
        <w:rPr>
          <w:sz w:val="24"/>
          <w:szCs w:val="24"/>
        </w:rPr>
        <w:t xml:space="preserve"> af </w:t>
      </w:r>
      <w:proofErr w:type="spellStart"/>
      <w:r>
        <w:rPr>
          <w:sz w:val="24"/>
          <w:szCs w:val="24"/>
        </w:rPr>
        <w:t>methotrexat</w:t>
      </w:r>
      <w:proofErr w:type="spellEnd"/>
      <w:r>
        <w:rPr>
          <w:sz w:val="24"/>
          <w:szCs w:val="24"/>
        </w:rPr>
        <w:t xml:space="preserve">. </w:t>
      </w:r>
      <w:proofErr w:type="spellStart"/>
      <w:r>
        <w:rPr>
          <w:sz w:val="24"/>
          <w:szCs w:val="24"/>
        </w:rPr>
        <w:t>Methotrexatinduceret</w:t>
      </w:r>
      <w:proofErr w:type="spellEnd"/>
      <w:r>
        <w:rPr>
          <w:sz w:val="24"/>
          <w:szCs w:val="24"/>
        </w:rPr>
        <w:t xml:space="preserve"> lungesygdom, for eksempel pneumonitis, kan opstå akut på et vilkårligt tidspunkt under behandlingen. Det er ikke altid komplet </w:t>
      </w:r>
      <w:proofErr w:type="gramStart"/>
      <w:r>
        <w:rPr>
          <w:sz w:val="24"/>
          <w:szCs w:val="24"/>
        </w:rPr>
        <w:t>reversibel</w:t>
      </w:r>
      <w:proofErr w:type="gramEnd"/>
      <w:r>
        <w:rPr>
          <w:sz w:val="24"/>
          <w:szCs w:val="24"/>
        </w:rPr>
        <w:t xml:space="preserve"> og er indberettet ved alle dosisniveauer (herunder lave doser på 7,5 mg/uge).</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6. </w:t>
      </w:r>
      <w:proofErr w:type="spellStart"/>
      <w:r>
        <w:rPr>
          <w:sz w:val="24"/>
          <w:szCs w:val="24"/>
        </w:rPr>
        <w:t>Methotrexat</w:t>
      </w:r>
      <w:proofErr w:type="spellEnd"/>
      <w:r>
        <w:rPr>
          <w:sz w:val="24"/>
          <w:szCs w:val="24"/>
        </w:rPr>
        <w:t xml:space="preserve"> kan, på grund af dets virkning på immunsystemet, nedsætte responset på vaccinationer og påvirke resultatet af immunologiske undersøgelser. På grund af risiko for aktivering skal der udvises særlig forsigtighed ved tilstedeværelse af inaktive, kroniske infektioner (f.eks. herpes </w:t>
      </w:r>
      <w:proofErr w:type="spellStart"/>
      <w:r>
        <w:rPr>
          <w:sz w:val="24"/>
          <w:szCs w:val="24"/>
        </w:rPr>
        <w:t>zoster</w:t>
      </w:r>
      <w:proofErr w:type="spellEnd"/>
      <w:r>
        <w:rPr>
          <w:sz w:val="24"/>
          <w:szCs w:val="24"/>
        </w:rPr>
        <w:t xml:space="preserve">, tuberkulose, hepatitis B eller C). Samtidig vaccination med levende vacciner må ikke foretages (se pkt. 4.3). </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Maligne </w:t>
      </w:r>
      <w:proofErr w:type="spellStart"/>
      <w:r>
        <w:rPr>
          <w:sz w:val="24"/>
          <w:szCs w:val="24"/>
        </w:rPr>
        <w:t>lymfomer</w:t>
      </w:r>
      <w:proofErr w:type="spellEnd"/>
      <w:r>
        <w:rPr>
          <w:sz w:val="24"/>
          <w:szCs w:val="24"/>
        </w:rPr>
        <w:t xml:space="preserve"> kan forekomme hos patienter, der får lave doser </w:t>
      </w:r>
      <w:proofErr w:type="spellStart"/>
      <w:r>
        <w:rPr>
          <w:sz w:val="24"/>
          <w:szCs w:val="24"/>
        </w:rPr>
        <w:t>methotrexat</w:t>
      </w:r>
      <w:proofErr w:type="spellEnd"/>
      <w:r>
        <w:rPr>
          <w:sz w:val="24"/>
          <w:szCs w:val="24"/>
        </w:rPr>
        <w:t xml:space="preserve">, og </w:t>
      </w:r>
      <w:proofErr w:type="spellStart"/>
      <w:r>
        <w:rPr>
          <w:sz w:val="24"/>
          <w:szCs w:val="24"/>
        </w:rPr>
        <w:t>methotrexat</w:t>
      </w:r>
      <w:proofErr w:type="spellEnd"/>
      <w:r>
        <w:rPr>
          <w:sz w:val="24"/>
          <w:szCs w:val="24"/>
        </w:rPr>
        <w:t xml:space="preserve"> skal i givet fald seponeres. Hvis </w:t>
      </w:r>
      <w:proofErr w:type="spellStart"/>
      <w:r>
        <w:rPr>
          <w:sz w:val="24"/>
          <w:szCs w:val="24"/>
        </w:rPr>
        <w:t>lymfomet</w:t>
      </w:r>
      <w:proofErr w:type="spellEnd"/>
      <w:r>
        <w:rPr>
          <w:sz w:val="24"/>
          <w:szCs w:val="24"/>
        </w:rPr>
        <w:t xml:space="preserve"> ikke viser tegn på spontan regression, skal en </w:t>
      </w:r>
      <w:proofErr w:type="spellStart"/>
      <w:r>
        <w:rPr>
          <w:sz w:val="24"/>
          <w:szCs w:val="24"/>
        </w:rPr>
        <w:t>cytotoksisk</w:t>
      </w:r>
      <w:proofErr w:type="spellEnd"/>
      <w:r>
        <w:rPr>
          <w:sz w:val="24"/>
          <w:szCs w:val="24"/>
        </w:rPr>
        <w:t xml:space="preserve"> behandling initieres.</w:t>
      </w:r>
    </w:p>
    <w:p w:rsidR="007A01DF" w:rsidRDefault="007A01DF" w:rsidP="007A01DF">
      <w:pPr>
        <w:ind w:left="851"/>
        <w:rPr>
          <w:sz w:val="24"/>
          <w:szCs w:val="24"/>
        </w:rPr>
      </w:pPr>
      <w:r>
        <w:rPr>
          <w:sz w:val="24"/>
          <w:szCs w:val="24"/>
        </w:rPr>
        <w:t xml:space="preserve">I sjældne tilfælde er samtidig administration af </w:t>
      </w:r>
      <w:proofErr w:type="spellStart"/>
      <w:r>
        <w:rPr>
          <w:sz w:val="24"/>
          <w:szCs w:val="24"/>
        </w:rPr>
        <w:t>folatantagonister</w:t>
      </w:r>
      <w:proofErr w:type="spellEnd"/>
      <w:r>
        <w:rPr>
          <w:sz w:val="24"/>
          <w:szCs w:val="24"/>
        </w:rPr>
        <w:t xml:space="preserve"> såsom </w:t>
      </w:r>
      <w:proofErr w:type="spellStart"/>
      <w:r>
        <w:rPr>
          <w:sz w:val="24"/>
          <w:szCs w:val="24"/>
        </w:rPr>
        <w:t>trimethoprim</w:t>
      </w:r>
      <w:proofErr w:type="spellEnd"/>
      <w:r>
        <w:rPr>
          <w:sz w:val="24"/>
          <w:szCs w:val="24"/>
        </w:rPr>
        <w:t>/</w:t>
      </w:r>
      <w:proofErr w:type="spellStart"/>
      <w:r>
        <w:rPr>
          <w:sz w:val="24"/>
          <w:szCs w:val="24"/>
        </w:rPr>
        <w:t>sulfamethoxazol</w:t>
      </w:r>
      <w:proofErr w:type="spellEnd"/>
      <w:r>
        <w:rPr>
          <w:sz w:val="24"/>
          <w:szCs w:val="24"/>
        </w:rPr>
        <w:t xml:space="preserve"> blevet rapporteret at forårsage en akut </w:t>
      </w:r>
      <w:proofErr w:type="spellStart"/>
      <w:r>
        <w:rPr>
          <w:sz w:val="24"/>
          <w:szCs w:val="24"/>
        </w:rPr>
        <w:t>megaloblastisk</w:t>
      </w:r>
      <w:proofErr w:type="spellEnd"/>
      <w:r>
        <w:rPr>
          <w:sz w:val="24"/>
          <w:szCs w:val="24"/>
        </w:rPr>
        <w:t xml:space="preserve"> </w:t>
      </w:r>
      <w:proofErr w:type="spellStart"/>
      <w:r>
        <w:rPr>
          <w:sz w:val="24"/>
          <w:szCs w:val="24"/>
        </w:rPr>
        <w:t>pancytopeni</w:t>
      </w:r>
      <w:proofErr w:type="spellEnd"/>
      <w:r>
        <w:rPr>
          <w:sz w:val="24"/>
          <w:szCs w:val="24"/>
        </w:rPr>
        <w:t>.</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Elimination af </w:t>
      </w:r>
      <w:proofErr w:type="spellStart"/>
      <w:r>
        <w:rPr>
          <w:sz w:val="24"/>
          <w:szCs w:val="24"/>
        </w:rPr>
        <w:t>methotrexat</w:t>
      </w:r>
      <w:proofErr w:type="spellEnd"/>
      <w:r>
        <w:rPr>
          <w:sz w:val="24"/>
          <w:szCs w:val="24"/>
        </w:rPr>
        <w:t xml:space="preserve"> er nedsat hos patienter med et tredje fordelingsrum (</w:t>
      </w:r>
      <w:proofErr w:type="spellStart"/>
      <w:r>
        <w:rPr>
          <w:sz w:val="24"/>
          <w:szCs w:val="24"/>
        </w:rPr>
        <w:t>ascites</w:t>
      </w:r>
      <w:proofErr w:type="spellEnd"/>
      <w:r>
        <w:rPr>
          <w:sz w:val="24"/>
          <w:szCs w:val="24"/>
        </w:rPr>
        <w:t xml:space="preserve">, </w:t>
      </w:r>
      <w:proofErr w:type="spellStart"/>
      <w:r>
        <w:rPr>
          <w:sz w:val="24"/>
          <w:szCs w:val="24"/>
        </w:rPr>
        <w:t>pleuraeffusion</w:t>
      </w:r>
      <w:proofErr w:type="spellEnd"/>
      <w:r>
        <w:rPr>
          <w:sz w:val="24"/>
          <w:szCs w:val="24"/>
        </w:rPr>
        <w:t xml:space="preserve">). Sådanne patienter kræver særlig omhyggelig overvågning for toksicitet og </w:t>
      </w:r>
      <w:r>
        <w:rPr>
          <w:sz w:val="24"/>
          <w:szCs w:val="24"/>
        </w:rPr>
        <w:lastRenderedPageBreak/>
        <w:t xml:space="preserve">kræver dosisreduktion eller, i nogle tilfælde, </w:t>
      </w:r>
      <w:proofErr w:type="spellStart"/>
      <w:r>
        <w:rPr>
          <w:sz w:val="24"/>
          <w:szCs w:val="24"/>
        </w:rPr>
        <w:t>seponering</w:t>
      </w:r>
      <w:proofErr w:type="spellEnd"/>
      <w:r>
        <w:rPr>
          <w:sz w:val="24"/>
          <w:szCs w:val="24"/>
        </w:rPr>
        <w:t xml:space="preserve"> af </w:t>
      </w:r>
      <w:proofErr w:type="spellStart"/>
      <w:r>
        <w:rPr>
          <w:sz w:val="24"/>
          <w:szCs w:val="24"/>
        </w:rPr>
        <w:t>methotrexatadministration</w:t>
      </w:r>
      <w:proofErr w:type="spellEnd"/>
      <w:r>
        <w:rPr>
          <w:sz w:val="24"/>
          <w:szCs w:val="24"/>
        </w:rPr>
        <w:t xml:space="preserve">. </w:t>
      </w:r>
      <w:proofErr w:type="spellStart"/>
      <w:r>
        <w:rPr>
          <w:sz w:val="24"/>
          <w:szCs w:val="24"/>
        </w:rPr>
        <w:t>Pleuraeffussion</w:t>
      </w:r>
      <w:proofErr w:type="spellEnd"/>
      <w:r>
        <w:rPr>
          <w:sz w:val="24"/>
          <w:szCs w:val="24"/>
        </w:rPr>
        <w:t xml:space="preserve"> og </w:t>
      </w:r>
      <w:proofErr w:type="spellStart"/>
      <w:r>
        <w:rPr>
          <w:sz w:val="24"/>
          <w:szCs w:val="24"/>
        </w:rPr>
        <w:t>ascites</w:t>
      </w:r>
      <w:proofErr w:type="spellEnd"/>
      <w:r>
        <w:rPr>
          <w:sz w:val="24"/>
          <w:szCs w:val="24"/>
        </w:rPr>
        <w:t xml:space="preserve"> bør drænes før initiering af </w:t>
      </w:r>
      <w:proofErr w:type="spellStart"/>
      <w:r>
        <w:rPr>
          <w:sz w:val="24"/>
          <w:szCs w:val="24"/>
        </w:rPr>
        <w:t>methotrexatbehandling</w:t>
      </w:r>
      <w:proofErr w:type="spellEnd"/>
      <w:r>
        <w:rPr>
          <w:sz w:val="24"/>
          <w:szCs w:val="24"/>
        </w:rPr>
        <w:t xml:space="preserve"> (se pkt. 5.2).</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Diarré og </w:t>
      </w:r>
      <w:proofErr w:type="spellStart"/>
      <w:r>
        <w:rPr>
          <w:sz w:val="24"/>
          <w:szCs w:val="24"/>
        </w:rPr>
        <w:t>ulcerativ</w:t>
      </w:r>
      <w:proofErr w:type="spellEnd"/>
      <w:r>
        <w:rPr>
          <w:sz w:val="24"/>
          <w:szCs w:val="24"/>
        </w:rPr>
        <w:t xml:space="preserve"> </w:t>
      </w:r>
      <w:proofErr w:type="spellStart"/>
      <w:r>
        <w:rPr>
          <w:sz w:val="24"/>
          <w:szCs w:val="24"/>
        </w:rPr>
        <w:t>stomatitis</w:t>
      </w:r>
      <w:proofErr w:type="spellEnd"/>
      <w:r>
        <w:rPr>
          <w:sz w:val="24"/>
          <w:szCs w:val="24"/>
        </w:rPr>
        <w:t xml:space="preserve"> kan være toksiske virkninger og kræver afbrydelse af behandlingen, da </w:t>
      </w:r>
      <w:proofErr w:type="spellStart"/>
      <w:r>
        <w:rPr>
          <w:sz w:val="24"/>
          <w:szCs w:val="24"/>
        </w:rPr>
        <w:t>hæmorragisk</w:t>
      </w:r>
      <w:proofErr w:type="spellEnd"/>
      <w:r>
        <w:rPr>
          <w:sz w:val="24"/>
          <w:szCs w:val="24"/>
        </w:rPr>
        <w:t xml:space="preserve"> </w:t>
      </w:r>
      <w:proofErr w:type="spellStart"/>
      <w:r>
        <w:rPr>
          <w:sz w:val="24"/>
          <w:szCs w:val="24"/>
        </w:rPr>
        <w:t>enteritis</w:t>
      </w:r>
      <w:proofErr w:type="spellEnd"/>
      <w:r>
        <w:rPr>
          <w:sz w:val="24"/>
          <w:szCs w:val="24"/>
        </w:rPr>
        <w:t xml:space="preserve"> og død på grund af </w:t>
      </w:r>
      <w:proofErr w:type="spellStart"/>
      <w:r>
        <w:rPr>
          <w:sz w:val="24"/>
          <w:szCs w:val="24"/>
        </w:rPr>
        <w:t>intestinal</w:t>
      </w:r>
      <w:proofErr w:type="spellEnd"/>
      <w:r>
        <w:rPr>
          <w:sz w:val="24"/>
          <w:szCs w:val="24"/>
        </w:rPr>
        <w:t xml:space="preserve"> perforation i modsat fald kan forekomme. Hvis der optræder </w:t>
      </w:r>
      <w:proofErr w:type="spellStart"/>
      <w:r>
        <w:rPr>
          <w:sz w:val="24"/>
          <w:szCs w:val="24"/>
        </w:rPr>
        <w:t>hæmatemesis</w:t>
      </w:r>
      <w:proofErr w:type="spellEnd"/>
      <w:r>
        <w:rPr>
          <w:sz w:val="24"/>
          <w:szCs w:val="24"/>
        </w:rPr>
        <w:t>, sortfarvet afføring eller blod i afføringen skal behandlingen stoppes.</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Derudover kan andre tilstande der forårsager dehydrering, såsom </w:t>
      </w:r>
      <w:proofErr w:type="spellStart"/>
      <w:r>
        <w:rPr>
          <w:sz w:val="24"/>
          <w:szCs w:val="24"/>
        </w:rPr>
        <w:t>emesis</w:t>
      </w:r>
      <w:proofErr w:type="spellEnd"/>
      <w:r>
        <w:rPr>
          <w:sz w:val="24"/>
          <w:szCs w:val="24"/>
        </w:rPr>
        <w:t xml:space="preserve">, diarré eller </w:t>
      </w:r>
      <w:proofErr w:type="spellStart"/>
      <w:r>
        <w:rPr>
          <w:sz w:val="24"/>
          <w:szCs w:val="24"/>
        </w:rPr>
        <w:t>stomatitis</w:t>
      </w:r>
      <w:proofErr w:type="spellEnd"/>
      <w:r>
        <w:rPr>
          <w:sz w:val="24"/>
          <w:szCs w:val="24"/>
        </w:rPr>
        <w:t xml:space="preserve"> forstærke toksiciteten af </w:t>
      </w:r>
      <w:proofErr w:type="spellStart"/>
      <w:r>
        <w:rPr>
          <w:sz w:val="24"/>
          <w:szCs w:val="24"/>
        </w:rPr>
        <w:t>methotrexat</w:t>
      </w:r>
      <w:proofErr w:type="spellEnd"/>
      <w:r>
        <w:rPr>
          <w:sz w:val="24"/>
          <w:szCs w:val="24"/>
        </w:rPr>
        <w:t>, grundet de øgede niveauer af det aktive indholdsstof. I disse tilfælde bør behandlingen stoppes indtil symptomerne forsvinder. Det er vigtigt, at bestemme enhver forøgelse af det aktive indholdsstof indenfor 48 timer af behandlingen, da der ellers kan opstå irreversibel toksicitet.</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Ved akut toksicitet af </w:t>
      </w:r>
      <w:proofErr w:type="spellStart"/>
      <w:r>
        <w:rPr>
          <w:sz w:val="24"/>
          <w:szCs w:val="24"/>
        </w:rPr>
        <w:t>methotrexat</w:t>
      </w:r>
      <w:proofErr w:type="spellEnd"/>
      <w:r>
        <w:rPr>
          <w:sz w:val="24"/>
          <w:szCs w:val="24"/>
        </w:rPr>
        <w:t xml:space="preserve"> kan behandling med </w:t>
      </w:r>
      <w:proofErr w:type="spellStart"/>
      <w:r>
        <w:rPr>
          <w:sz w:val="24"/>
          <w:szCs w:val="24"/>
        </w:rPr>
        <w:t>folinsyre</w:t>
      </w:r>
      <w:proofErr w:type="spellEnd"/>
      <w:r>
        <w:rPr>
          <w:sz w:val="24"/>
          <w:szCs w:val="24"/>
        </w:rPr>
        <w:t xml:space="preserve"> være nødvendig. Hos patienter med </w:t>
      </w:r>
      <w:proofErr w:type="spellStart"/>
      <w:r>
        <w:rPr>
          <w:sz w:val="24"/>
          <w:szCs w:val="24"/>
        </w:rPr>
        <w:t>reumatoid</w:t>
      </w:r>
      <w:proofErr w:type="spellEnd"/>
      <w:r>
        <w:rPr>
          <w:sz w:val="24"/>
          <w:szCs w:val="24"/>
        </w:rPr>
        <w:t xml:space="preserve"> artritis eller psoriasis kan tilskud af </w:t>
      </w:r>
      <w:proofErr w:type="spellStart"/>
      <w:r>
        <w:rPr>
          <w:sz w:val="24"/>
          <w:szCs w:val="24"/>
        </w:rPr>
        <w:t>folsyre</w:t>
      </w:r>
      <w:proofErr w:type="spellEnd"/>
      <w:r>
        <w:rPr>
          <w:sz w:val="24"/>
          <w:szCs w:val="24"/>
        </w:rPr>
        <w:t xml:space="preserve"> eller </w:t>
      </w:r>
      <w:proofErr w:type="spellStart"/>
      <w:r>
        <w:rPr>
          <w:sz w:val="24"/>
          <w:szCs w:val="24"/>
        </w:rPr>
        <w:t>folinsyre</w:t>
      </w:r>
      <w:proofErr w:type="spellEnd"/>
      <w:r>
        <w:rPr>
          <w:sz w:val="24"/>
          <w:szCs w:val="24"/>
        </w:rPr>
        <w:t xml:space="preserve"> nedsætte </w:t>
      </w:r>
      <w:proofErr w:type="spellStart"/>
      <w:r>
        <w:rPr>
          <w:sz w:val="24"/>
          <w:szCs w:val="24"/>
        </w:rPr>
        <w:t>methotrexat</w:t>
      </w:r>
      <w:proofErr w:type="spellEnd"/>
      <w:r>
        <w:rPr>
          <w:sz w:val="24"/>
          <w:szCs w:val="24"/>
        </w:rPr>
        <w:t xml:space="preserve"> toksicitet såsom </w:t>
      </w:r>
      <w:proofErr w:type="spellStart"/>
      <w:r>
        <w:rPr>
          <w:sz w:val="24"/>
          <w:szCs w:val="24"/>
        </w:rPr>
        <w:t>gastrointestinale</w:t>
      </w:r>
      <w:proofErr w:type="spellEnd"/>
      <w:r>
        <w:rPr>
          <w:sz w:val="24"/>
          <w:szCs w:val="24"/>
        </w:rPr>
        <w:t xml:space="preserve"> symptomer, </w:t>
      </w:r>
      <w:proofErr w:type="spellStart"/>
      <w:r>
        <w:rPr>
          <w:sz w:val="24"/>
          <w:szCs w:val="24"/>
        </w:rPr>
        <w:t>stomatitis</w:t>
      </w:r>
      <w:proofErr w:type="spellEnd"/>
      <w:r>
        <w:rPr>
          <w:sz w:val="24"/>
          <w:szCs w:val="24"/>
        </w:rPr>
        <w:t xml:space="preserve">, </w:t>
      </w:r>
      <w:proofErr w:type="spellStart"/>
      <w:r>
        <w:rPr>
          <w:sz w:val="24"/>
          <w:szCs w:val="24"/>
        </w:rPr>
        <w:t>alopeci</w:t>
      </w:r>
      <w:proofErr w:type="spellEnd"/>
      <w:r>
        <w:rPr>
          <w:sz w:val="24"/>
          <w:szCs w:val="24"/>
        </w:rPr>
        <w:t xml:space="preserve"> og forhøjede leverenzymer.</w:t>
      </w:r>
    </w:p>
    <w:p w:rsidR="007A01DF" w:rsidRDefault="007A01DF" w:rsidP="007A01DF">
      <w:pPr>
        <w:ind w:left="851"/>
        <w:rPr>
          <w:sz w:val="24"/>
          <w:szCs w:val="24"/>
        </w:rPr>
      </w:pPr>
    </w:p>
    <w:p w:rsidR="007A01DF" w:rsidRDefault="007A01DF" w:rsidP="007A01DF">
      <w:pPr>
        <w:ind w:left="851"/>
        <w:rPr>
          <w:sz w:val="24"/>
          <w:szCs w:val="24"/>
        </w:rPr>
      </w:pPr>
      <w:r>
        <w:rPr>
          <w:sz w:val="24"/>
          <w:szCs w:val="24"/>
        </w:rPr>
        <w:t>Det anbefales, at kontrollere patientens vitamin B</w:t>
      </w:r>
      <w:r>
        <w:rPr>
          <w:sz w:val="24"/>
          <w:szCs w:val="24"/>
          <w:vertAlign w:val="subscript"/>
        </w:rPr>
        <w:t>12</w:t>
      </w:r>
      <w:r>
        <w:rPr>
          <w:sz w:val="24"/>
          <w:szCs w:val="24"/>
        </w:rPr>
        <w:t xml:space="preserve">-niveau før initiering af tilskud af </w:t>
      </w:r>
      <w:proofErr w:type="spellStart"/>
      <w:r>
        <w:rPr>
          <w:sz w:val="24"/>
          <w:szCs w:val="24"/>
        </w:rPr>
        <w:t>folsyre</w:t>
      </w:r>
      <w:proofErr w:type="spellEnd"/>
      <w:r>
        <w:rPr>
          <w:sz w:val="24"/>
          <w:szCs w:val="24"/>
        </w:rPr>
        <w:t>, navnlig hos patienter over 50</w:t>
      </w:r>
      <w:r w:rsidR="00074246">
        <w:rPr>
          <w:sz w:val="24"/>
          <w:szCs w:val="24"/>
        </w:rPr>
        <w:t> </w:t>
      </w:r>
      <w:r>
        <w:rPr>
          <w:sz w:val="24"/>
          <w:szCs w:val="24"/>
        </w:rPr>
        <w:t xml:space="preserve">år, da indtagelse af </w:t>
      </w:r>
      <w:proofErr w:type="spellStart"/>
      <w:r>
        <w:rPr>
          <w:sz w:val="24"/>
          <w:szCs w:val="24"/>
        </w:rPr>
        <w:t>folsyre</w:t>
      </w:r>
      <w:proofErr w:type="spellEnd"/>
      <w:r>
        <w:rPr>
          <w:sz w:val="24"/>
          <w:szCs w:val="24"/>
        </w:rPr>
        <w:t xml:space="preserve"> kan maskere vitamin B</w:t>
      </w:r>
      <w:r>
        <w:rPr>
          <w:sz w:val="24"/>
          <w:szCs w:val="24"/>
          <w:vertAlign w:val="subscript"/>
        </w:rPr>
        <w:t>12</w:t>
      </w:r>
      <w:r>
        <w:rPr>
          <w:sz w:val="24"/>
          <w:szCs w:val="24"/>
        </w:rPr>
        <w:t>-mangel.</w:t>
      </w:r>
    </w:p>
    <w:p w:rsidR="007A01DF" w:rsidRDefault="007A01DF" w:rsidP="007A01DF">
      <w:pPr>
        <w:ind w:left="851"/>
        <w:rPr>
          <w:sz w:val="24"/>
          <w:szCs w:val="24"/>
        </w:rPr>
      </w:pPr>
    </w:p>
    <w:p w:rsidR="007A01DF" w:rsidRDefault="007A01DF" w:rsidP="007A01DF">
      <w:pPr>
        <w:ind w:left="851"/>
        <w:rPr>
          <w:sz w:val="24"/>
          <w:szCs w:val="24"/>
        </w:rPr>
      </w:pPr>
      <w:r>
        <w:rPr>
          <w:sz w:val="24"/>
          <w:szCs w:val="24"/>
        </w:rPr>
        <w:t>7. Anvendelse til børn i alderen under 3 år frarådes, fordi der ikke foreligger tilstrækkelige data om virkning og sikkerhed hos denne befolkningsgruppe (se pkt. 4.2).</w:t>
      </w:r>
    </w:p>
    <w:p w:rsidR="007A01DF" w:rsidRDefault="007A01DF" w:rsidP="007A01DF">
      <w:pPr>
        <w:shd w:val="clear" w:color="auto" w:fill="FFFFFF"/>
        <w:ind w:left="851"/>
        <w:rPr>
          <w:b/>
          <w:bCs/>
          <w:sz w:val="24"/>
          <w:szCs w:val="24"/>
        </w:rPr>
      </w:pPr>
    </w:p>
    <w:p w:rsidR="00AF7C87" w:rsidRPr="00AF7C87" w:rsidRDefault="00AF7C87" w:rsidP="00AF7C87">
      <w:pPr>
        <w:ind w:left="851"/>
        <w:rPr>
          <w:sz w:val="24"/>
          <w:szCs w:val="24"/>
          <w:u w:val="single"/>
        </w:rPr>
      </w:pPr>
      <w:r w:rsidRPr="00AF7C87">
        <w:rPr>
          <w:sz w:val="24"/>
          <w:szCs w:val="24"/>
          <w:u w:val="single"/>
        </w:rPr>
        <w:t>Fotosensitivitet</w:t>
      </w:r>
    </w:p>
    <w:p w:rsidR="00AF7C87" w:rsidRDefault="00AF7C87" w:rsidP="00AF7C87">
      <w:pPr>
        <w:shd w:val="clear" w:color="auto" w:fill="FFFFFF"/>
        <w:ind w:left="851"/>
        <w:rPr>
          <w:b/>
          <w:bCs/>
          <w:sz w:val="24"/>
          <w:szCs w:val="24"/>
        </w:rPr>
      </w:pPr>
      <w:r w:rsidRPr="00AF7C87">
        <w:rPr>
          <w:sz w:val="24"/>
          <w:szCs w:val="24"/>
        </w:rPr>
        <w:t xml:space="preserve">Der er observeret fotosensitivitet manifesteret ved en overdreven solforbrændingsreaktion hos nogle personer, der tager </w:t>
      </w:r>
      <w:proofErr w:type="spellStart"/>
      <w:r w:rsidRPr="00AF7C87">
        <w:rPr>
          <w:sz w:val="24"/>
          <w:szCs w:val="24"/>
        </w:rPr>
        <w:t>methotrexat</w:t>
      </w:r>
      <w:proofErr w:type="spellEnd"/>
      <w:r w:rsidRPr="00AF7C87">
        <w:rPr>
          <w:sz w:val="24"/>
          <w:szCs w:val="24"/>
        </w:rPr>
        <w:t xml:space="preserve"> (se pkt. 4.8). Eksponering for intenst sollys eller UV-stråler bør undgås, medmindre det er medicinsk indiceret. Patienterne bør anvende tilstrækkelig solbeskyttelse for at beskytte sig mod intenst sollys.</w:t>
      </w:r>
    </w:p>
    <w:p w:rsidR="00AF7C87" w:rsidRDefault="00AF7C87" w:rsidP="007A01DF">
      <w:pPr>
        <w:shd w:val="clear" w:color="auto" w:fill="FFFFFF"/>
        <w:ind w:left="851"/>
        <w:rPr>
          <w:b/>
          <w:bCs/>
          <w:sz w:val="24"/>
          <w:szCs w:val="24"/>
        </w:rPr>
      </w:pPr>
    </w:p>
    <w:p w:rsidR="007A01DF" w:rsidRDefault="007A01DF" w:rsidP="007A01DF">
      <w:pPr>
        <w:ind w:left="851"/>
        <w:rPr>
          <w:sz w:val="24"/>
          <w:szCs w:val="24"/>
        </w:rPr>
      </w:pPr>
      <w:r>
        <w:rPr>
          <w:sz w:val="24"/>
          <w:szCs w:val="24"/>
        </w:rPr>
        <w:t xml:space="preserve">Strålingsinduceret </w:t>
      </w:r>
      <w:proofErr w:type="spellStart"/>
      <w:r>
        <w:rPr>
          <w:sz w:val="24"/>
          <w:szCs w:val="24"/>
        </w:rPr>
        <w:t>dermatitis</w:t>
      </w:r>
      <w:proofErr w:type="spellEnd"/>
      <w:r>
        <w:rPr>
          <w:sz w:val="24"/>
          <w:szCs w:val="24"/>
        </w:rPr>
        <w:t xml:space="preserve"> og solskoldning kan fremkomme på ny under </w:t>
      </w:r>
      <w:proofErr w:type="spellStart"/>
      <w:r>
        <w:rPr>
          <w:sz w:val="24"/>
          <w:szCs w:val="24"/>
        </w:rPr>
        <w:t>methotrexatbehandling</w:t>
      </w:r>
      <w:proofErr w:type="spellEnd"/>
      <w:r>
        <w:rPr>
          <w:sz w:val="24"/>
          <w:szCs w:val="24"/>
        </w:rPr>
        <w:t xml:space="preserve"> (</w:t>
      </w:r>
      <w:proofErr w:type="spellStart"/>
      <w:r>
        <w:rPr>
          <w:sz w:val="24"/>
          <w:szCs w:val="24"/>
        </w:rPr>
        <w:t>recall</w:t>
      </w:r>
      <w:proofErr w:type="spellEnd"/>
      <w:r>
        <w:rPr>
          <w:sz w:val="24"/>
          <w:szCs w:val="24"/>
        </w:rPr>
        <w:t xml:space="preserve">-reaktion). Psoriasislæsioner kan forværres under UV-bestråling og samtidig administration af </w:t>
      </w:r>
      <w:proofErr w:type="spellStart"/>
      <w:r>
        <w:rPr>
          <w:sz w:val="24"/>
          <w:szCs w:val="24"/>
        </w:rPr>
        <w:t>methotrexat</w:t>
      </w:r>
      <w:proofErr w:type="spellEnd"/>
      <w:r>
        <w:rPr>
          <w:sz w:val="24"/>
          <w:szCs w:val="24"/>
        </w:rPr>
        <w:t>.</w:t>
      </w:r>
    </w:p>
    <w:p w:rsidR="007A01DF" w:rsidRDefault="007A01DF" w:rsidP="007A01DF">
      <w:pPr>
        <w:ind w:left="851"/>
        <w:rPr>
          <w:sz w:val="24"/>
          <w:szCs w:val="24"/>
        </w:rPr>
      </w:pPr>
    </w:p>
    <w:p w:rsidR="007A01DF" w:rsidRDefault="007A01DF" w:rsidP="007A01DF">
      <w:pPr>
        <w:ind w:left="851"/>
        <w:rPr>
          <w:sz w:val="24"/>
          <w:szCs w:val="24"/>
        </w:rPr>
      </w:pPr>
      <w:r>
        <w:rPr>
          <w:sz w:val="24"/>
          <w:szCs w:val="24"/>
        </w:rPr>
        <w:t xml:space="preserve">Der er rapporteret alvorlige og til tider fatale dermatologiske reaktioner,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Lyells</w:t>
      </w:r>
      <w:proofErr w:type="spellEnd"/>
      <w:r>
        <w:rPr>
          <w:sz w:val="24"/>
          <w:szCs w:val="24"/>
        </w:rPr>
        <w:t xml:space="preserve"> syndrom) eller Stevens-Johnsons syndrom, efter enkeltdoser eller gentagne doser af </w:t>
      </w:r>
      <w:proofErr w:type="spellStart"/>
      <w:r>
        <w:rPr>
          <w:sz w:val="24"/>
          <w:szCs w:val="24"/>
        </w:rPr>
        <w:t>methotrexat</w:t>
      </w:r>
      <w:proofErr w:type="spellEnd"/>
      <w:r>
        <w:rPr>
          <w:sz w:val="24"/>
          <w:szCs w:val="24"/>
        </w:rPr>
        <w:t>.</w:t>
      </w:r>
    </w:p>
    <w:p w:rsidR="007A01DF" w:rsidRDefault="007A01DF" w:rsidP="007A01DF">
      <w:pPr>
        <w:pStyle w:val="Default"/>
        <w:ind w:left="851"/>
        <w:rPr>
          <w:color w:val="auto"/>
        </w:rPr>
      </w:pPr>
    </w:p>
    <w:p w:rsidR="00C02127" w:rsidRDefault="007A01DF" w:rsidP="007A01DF">
      <w:pPr>
        <w:pStyle w:val="Default"/>
        <w:ind w:left="851"/>
      </w:pPr>
      <w:r>
        <w:t>Der er rapporteret om encefalopati/</w:t>
      </w:r>
      <w:proofErr w:type="spellStart"/>
      <w:r>
        <w:t>leukoencefalopati</w:t>
      </w:r>
      <w:proofErr w:type="spellEnd"/>
      <w:r>
        <w:t xml:space="preserve"> hos onkologiske patienter, der fik </w:t>
      </w:r>
      <w:proofErr w:type="spellStart"/>
      <w:r>
        <w:t>methotrexatbehandling</w:t>
      </w:r>
      <w:proofErr w:type="spellEnd"/>
      <w:r>
        <w:t xml:space="preserve">, og det kan ikke udelukkes, at sådanne hændelser kan opstå ved ikke-onkologiske indikationer. </w:t>
      </w:r>
    </w:p>
    <w:p w:rsidR="00C02127" w:rsidRDefault="00C02127" w:rsidP="007A01DF">
      <w:pPr>
        <w:pStyle w:val="Default"/>
        <w:ind w:left="851"/>
      </w:pPr>
    </w:p>
    <w:p w:rsidR="00C02127" w:rsidRDefault="00C02127" w:rsidP="00C02127">
      <w:pPr>
        <w:pStyle w:val="Default"/>
        <w:ind w:left="851"/>
        <w:rPr>
          <w:i/>
          <w:iCs/>
        </w:rPr>
      </w:pPr>
      <w:r>
        <w:rPr>
          <w:i/>
          <w:iCs/>
        </w:rPr>
        <w:t xml:space="preserve">Progressiv multifokal </w:t>
      </w:r>
      <w:proofErr w:type="spellStart"/>
      <w:r>
        <w:rPr>
          <w:i/>
          <w:iCs/>
        </w:rPr>
        <w:t>leukoencefalopati</w:t>
      </w:r>
      <w:proofErr w:type="spellEnd"/>
      <w:r>
        <w:rPr>
          <w:i/>
          <w:iCs/>
        </w:rPr>
        <w:t xml:space="preserve"> (PML) </w:t>
      </w:r>
    </w:p>
    <w:p w:rsidR="007A01DF" w:rsidRDefault="00C02127" w:rsidP="007A01DF">
      <w:pPr>
        <w:pStyle w:val="Default"/>
        <w:ind w:left="851"/>
        <w:rPr>
          <w:color w:val="auto"/>
        </w:rPr>
      </w:pPr>
      <w:r>
        <w:t xml:space="preserve">Der er indberettet tilfælde af progressiv multifokal </w:t>
      </w:r>
      <w:proofErr w:type="spellStart"/>
      <w:r>
        <w:t>leukoencefalopati</w:t>
      </w:r>
      <w:proofErr w:type="spellEnd"/>
      <w:r>
        <w:t xml:space="preserve"> (PML) hos patienter, der får </w:t>
      </w:r>
      <w:proofErr w:type="spellStart"/>
      <w:r>
        <w:t>methotrexat</w:t>
      </w:r>
      <w:proofErr w:type="spellEnd"/>
      <w:r>
        <w:t xml:space="preserve">, hovedsagelig i kombination med andre immunsuppressive lægemidler. PML kan være dødeligt og bør overvejes ved </w:t>
      </w:r>
      <w:proofErr w:type="spellStart"/>
      <w:r>
        <w:t>differentialdiagnosticering</w:t>
      </w:r>
      <w:proofErr w:type="spellEnd"/>
      <w:r>
        <w:t xml:space="preserve"> af immunsvækkede patienter med nye eller forværrede neurologiske symptomer.</w:t>
      </w:r>
      <w:r>
        <w:br/>
      </w:r>
    </w:p>
    <w:p w:rsidR="00AF7C87" w:rsidRDefault="00AF7C87" w:rsidP="00AF7C87">
      <w:pPr>
        <w:pStyle w:val="Default"/>
        <w:ind w:left="851"/>
      </w:pPr>
      <w:r>
        <w:lastRenderedPageBreak/>
        <w:t xml:space="preserve">Dette lægemiddel indeholder mindre end 1 mmol (23 mg) natrium pr. dosis, dvs. det er i det væsentlige natriumfri. </w:t>
      </w:r>
    </w:p>
    <w:p w:rsidR="007A01DF" w:rsidRPr="00D74103" w:rsidRDefault="007A01DF" w:rsidP="007A01DF">
      <w:pPr>
        <w:ind w:left="851" w:hanging="851"/>
        <w:rPr>
          <w:sz w:val="24"/>
          <w:szCs w:val="24"/>
        </w:rPr>
      </w:pPr>
    </w:p>
    <w:p w:rsidR="007A01DF" w:rsidRPr="00D11B60" w:rsidRDefault="007A01DF" w:rsidP="00074246">
      <w:pPr>
        <w:keepNext/>
        <w:ind w:left="851" w:hanging="851"/>
        <w:rPr>
          <w:b/>
          <w:sz w:val="24"/>
          <w:szCs w:val="24"/>
        </w:rPr>
      </w:pPr>
      <w:r w:rsidRPr="00D74103">
        <w:rPr>
          <w:b/>
          <w:sz w:val="24"/>
          <w:szCs w:val="24"/>
        </w:rPr>
        <w:t>4.5</w:t>
      </w:r>
      <w:r w:rsidRPr="00D74103">
        <w:rPr>
          <w:b/>
          <w:sz w:val="24"/>
          <w:szCs w:val="24"/>
        </w:rPr>
        <w:tab/>
        <w:t>Interaktion med andre lægemidler og andre former for interaktion</w:t>
      </w:r>
    </w:p>
    <w:p w:rsidR="00074246" w:rsidRDefault="00074246" w:rsidP="00074246">
      <w:pPr>
        <w:pStyle w:val="Default"/>
        <w:keepNext/>
        <w:ind w:left="851"/>
        <w:rPr>
          <w:b/>
        </w:rPr>
      </w:pPr>
    </w:p>
    <w:p w:rsidR="007A01DF" w:rsidRDefault="00074246" w:rsidP="00074246">
      <w:pPr>
        <w:pStyle w:val="Default"/>
        <w:keepNext/>
        <w:ind w:left="851"/>
        <w:rPr>
          <w:b/>
        </w:rPr>
      </w:pPr>
      <w:proofErr w:type="spellStart"/>
      <w:r>
        <w:rPr>
          <w:b/>
        </w:rPr>
        <w:t>F</w:t>
      </w:r>
      <w:r w:rsidR="007A01DF">
        <w:rPr>
          <w:b/>
        </w:rPr>
        <w:t>armakodynamiske</w:t>
      </w:r>
      <w:proofErr w:type="spellEnd"/>
      <w:r w:rsidR="007A01DF">
        <w:rPr>
          <w:b/>
        </w:rPr>
        <w:t xml:space="preserve"> interaktioner</w:t>
      </w:r>
    </w:p>
    <w:p w:rsidR="007A01DF" w:rsidRDefault="007A01DF" w:rsidP="00074246">
      <w:pPr>
        <w:pStyle w:val="Default"/>
        <w:keepNext/>
        <w:ind w:left="851"/>
        <w:rPr>
          <w:u w:val="single"/>
        </w:rPr>
      </w:pPr>
    </w:p>
    <w:p w:rsidR="007A01DF" w:rsidRDefault="007A01DF" w:rsidP="007A01DF">
      <w:pPr>
        <w:pStyle w:val="Default"/>
        <w:ind w:left="851"/>
        <w:rPr>
          <w:u w:val="single"/>
        </w:rPr>
      </w:pPr>
      <w:proofErr w:type="spellStart"/>
      <w:r>
        <w:rPr>
          <w:i/>
          <w:u w:val="single"/>
        </w:rPr>
        <w:t>Hepatotoksiske</w:t>
      </w:r>
      <w:proofErr w:type="spellEnd"/>
      <w:r>
        <w:rPr>
          <w:i/>
          <w:u w:val="single"/>
        </w:rPr>
        <w:t xml:space="preserve"> lægemidler</w:t>
      </w:r>
    </w:p>
    <w:p w:rsidR="007A01DF" w:rsidRDefault="007A01DF" w:rsidP="007A01DF">
      <w:pPr>
        <w:pStyle w:val="Default"/>
        <w:ind w:left="851"/>
      </w:pPr>
      <w:r>
        <w:t xml:space="preserve">Pga. den potentielle toksiske effekt på leveren, bør yderligere </w:t>
      </w:r>
      <w:proofErr w:type="spellStart"/>
      <w:r>
        <w:t>hepatotoksiske</w:t>
      </w:r>
      <w:proofErr w:type="spellEnd"/>
      <w:r>
        <w:t xml:space="preserve"> lægemidler ikke bruges samtidig med behandling med </w:t>
      </w:r>
      <w:proofErr w:type="spellStart"/>
      <w:r>
        <w:t>methotrexat</w:t>
      </w:r>
      <w:proofErr w:type="spellEnd"/>
      <w:r>
        <w:t>. Hvis samtidig administration ikke kan undgås, bør patienter overvåges nøje for tegn og symptomer på levertoksicitet inklusive tættere monitorering af leverenzymer (se pkt.</w:t>
      </w:r>
      <w:r w:rsidR="00074246">
        <w:t xml:space="preserve"> </w:t>
      </w:r>
      <w:r>
        <w:t>4.4). Indtagelse af alkohol bør undgås eller minimeres.</w:t>
      </w:r>
    </w:p>
    <w:p w:rsidR="007A01DF" w:rsidRDefault="007A01DF" w:rsidP="007A01DF">
      <w:pPr>
        <w:pStyle w:val="Default"/>
        <w:ind w:left="851"/>
        <w:rPr>
          <w:u w:val="single"/>
        </w:rPr>
      </w:pPr>
    </w:p>
    <w:p w:rsidR="007A01DF" w:rsidRDefault="007A01DF" w:rsidP="007A01DF">
      <w:pPr>
        <w:pStyle w:val="Default"/>
        <w:ind w:left="851"/>
      </w:pPr>
      <w:r>
        <w:t xml:space="preserve">Potentielle </w:t>
      </w:r>
      <w:proofErr w:type="spellStart"/>
      <w:r>
        <w:t>hepatotoksiske</w:t>
      </w:r>
      <w:proofErr w:type="spellEnd"/>
      <w:r>
        <w:t xml:space="preserve"> lægemidler inkluderer f.eks. </w:t>
      </w:r>
      <w:proofErr w:type="spellStart"/>
      <w:r>
        <w:t>retinoider</w:t>
      </w:r>
      <w:proofErr w:type="spellEnd"/>
      <w:r>
        <w:t xml:space="preserve"> (f.eks. </w:t>
      </w:r>
      <w:proofErr w:type="spellStart"/>
      <w:r>
        <w:t>aciretin</w:t>
      </w:r>
      <w:proofErr w:type="spellEnd"/>
      <w:r>
        <w:t xml:space="preserve">, </w:t>
      </w:r>
      <w:proofErr w:type="spellStart"/>
      <w:r>
        <w:t>etrenitat</w:t>
      </w:r>
      <w:proofErr w:type="spellEnd"/>
      <w:r>
        <w:t xml:space="preserve">, </w:t>
      </w:r>
      <w:proofErr w:type="spellStart"/>
      <w:r>
        <w:t>azathioprin</w:t>
      </w:r>
      <w:proofErr w:type="spellEnd"/>
      <w:r>
        <w:t xml:space="preserve">) og </w:t>
      </w:r>
      <w:proofErr w:type="spellStart"/>
      <w:r>
        <w:t>leflunomid</w:t>
      </w:r>
      <w:proofErr w:type="spellEnd"/>
      <w:r>
        <w:t>.</w:t>
      </w:r>
    </w:p>
    <w:p w:rsidR="007A01DF" w:rsidRDefault="007A01DF" w:rsidP="007A01DF">
      <w:pPr>
        <w:pStyle w:val="Default"/>
        <w:ind w:left="851"/>
        <w:rPr>
          <w:u w:val="single"/>
        </w:rPr>
      </w:pPr>
    </w:p>
    <w:p w:rsidR="007A01DF" w:rsidRDefault="007A01DF" w:rsidP="007A01DF">
      <w:pPr>
        <w:pStyle w:val="Default"/>
        <w:ind w:left="851"/>
        <w:rPr>
          <w:u w:val="single"/>
        </w:rPr>
      </w:pPr>
      <w:proofErr w:type="spellStart"/>
      <w:r>
        <w:rPr>
          <w:i/>
          <w:u w:val="single"/>
        </w:rPr>
        <w:t>Hæmatotoksiske</w:t>
      </w:r>
      <w:proofErr w:type="spellEnd"/>
      <w:r>
        <w:rPr>
          <w:i/>
          <w:u w:val="single"/>
        </w:rPr>
        <w:t xml:space="preserve"> lægemidler</w:t>
      </w:r>
    </w:p>
    <w:p w:rsidR="007A01DF" w:rsidRDefault="007A01DF" w:rsidP="007A01DF">
      <w:pPr>
        <w:pStyle w:val="Default"/>
        <w:ind w:left="851"/>
        <w:rPr>
          <w:u w:val="single"/>
        </w:rPr>
      </w:pPr>
    </w:p>
    <w:p w:rsidR="007A01DF" w:rsidRDefault="007A01DF" w:rsidP="007A01DF">
      <w:pPr>
        <w:pStyle w:val="Default"/>
        <w:ind w:left="851"/>
      </w:pPr>
      <w:proofErr w:type="spellStart"/>
      <w:r>
        <w:t>Hæmatotoksiske</w:t>
      </w:r>
      <w:proofErr w:type="spellEnd"/>
      <w:r>
        <w:t xml:space="preserve"> lægemidler bør ikke tages samtidig med behandling med </w:t>
      </w:r>
      <w:proofErr w:type="spellStart"/>
      <w:r>
        <w:t>methotrexat</w:t>
      </w:r>
      <w:proofErr w:type="spellEnd"/>
      <w:r>
        <w:t xml:space="preserve">. Hvis samtidig administration ikke kan undgås, bør patienter overvåges nøje for tegn og symptomer på </w:t>
      </w:r>
      <w:proofErr w:type="spellStart"/>
      <w:r>
        <w:t>hæmatotoksicitet</w:t>
      </w:r>
      <w:proofErr w:type="spellEnd"/>
      <w:r>
        <w:t xml:space="preserve"> inklusive tæt monitorering af blodtal og blodpladetal. </w:t>
      </w:r>
    </w:p>
    <w:p w:rsidR="00AF7C87" w:rsidRDefault="00AF7C87" w:rsidP="00AF7C87">
      <w:pPr>
        <w:pStyle w:val="Default"/>
      </w:pPr>
    </w:p>
    <w:p w:rsidR="00AF7C87" w:rsidRDefault="00AF7C87" w:rsidP="00AF7C87">
      <w:pPr>
        <w:pStyle w:val="Default"/>
        <w:ind w:left="851"/>
      </w:pPr>
      <w:r w:rsidRPr="00AF7C87">
        <w:t xml:space="preserve">Administration af andre </w:t>
      </w:r>
      <w:proofErr w:type="spellStart"/>
      <w:r w:rsidRPr="00AF7C87">
        <w:t>hæmatotoksiske</w:t>
      </w:r>
      <w:proofErr w:type="spellEnd"/>
      <w:r w:rsidRPr="00AF7C87">
        <w:t xml:space="preserve"> lægemidler øger risikoen for alvorlige </w:t>
      </w:r>
      <w:proofErr w:type="spellStart"/>
      <w:r w:rsidRPr="00AF7C87">
        <w:t>hæmatotoksiske</w:t>
      </w:r>
      <w:proofErr w:type="spellEnd"/>
      <w:r w:rsidRPr="00AF7C87">
        <w:t xml:space="preserve"> bivirkninger af </w:t>
      </w:r>
      <w:proofErr w:type="spellStart"/>
      <w:r w:rsidRPr="00AF7C87">
        <w:t>methotrexat</w:t>
      </w:r>
      <w:proofErr w:type="spellEnd"/>
      <w:r w:rsidRPr="00AF7C87">
        <w:t xml:space="preserve">. Samtidig administration af </w:t>
      </w:r>
      <w:proofErr w:type="spellStart"/>
      <w:r w:rsidRPr="00AF7C87">
        <w:t>metamizol</w:t>
      </w:r>
      <w:proofErr w:type="spellEnd"/>
      <w:r w:rsidRPr="00AF7C87">
        <w:t xml:space="preserve"> og </w:t>
      </w:r>
      <w:proofErr w:type="spellStart"/>
      <w:r w:rsidRPr="00AF7C87">
        <w:t>methotrexat</w:t>
      </w:r>
      <w:proofErr w:type="spellEnd"/>
      <w:r w:rsidRPr="00AF7C87">
        <w:t xml:space="preserve"> kan øge </w:t>
      </w:r>
      <w:proofErr w:type="spellStart"/>
      <w:r w:rsidRPr="00AF7C87">
        <w:t>methotrexats</w:t>
      </w:r>
      <w:proofErr w:type="spellEnd"/>
      <w:r w:rsidRPr="00AF7C87">
        <w:t xml:space="preserve"> </w:t>
      </w:r>
      <w:proofErr w:type="spellStart"/>
      <w:r w:rsidRPr="00AF7C87">
        <w:t>hæmatotoksiske</w:t>
      </w:r>
      <w:proofErr w:type="spellEnd"/>
      <w:r w:rsidRPr="00AF7C87">
        <w:t xml:space="preserve"> virkning, især hos ældre patienter. Samtidig administration bør derfor undgås. Samtidig administration af </w:t>
      </w:r>
      <w:proofErr w:type="spellStart"/>
      <w:r w:rsidRPr="00AF7C87">
        <w:t>leflunomid</w:t>
      </w:r>
      <w:proofErr w:type="spellEnd"/>
      <w:r w:rsidRPr="00AF7C87">
        <w:t xml:space="preserve"> øger risikoen for </w:t>
      </w:r>
      <w:proofErr w:type="spellStart"/>
      <w:r w:rsidRPr="00AF7C87">
        <w:t>pancytopeni</w:t>
      </w:r>
      <w:proofErr w:type="spellEnd"/>
      <w:r w:rsidRPr="00AF7C87">
        <w:t>.</w:t>
      </w:r>
    </w:p>
    <w:p w:rsidR="007A01DF" w:rsidRDefault="007A01DF" w:rsidP="007A01DF">
      <w:pPr>
        <w:pStyle w:val="Default"/>
        <w:ind w:left="851"/>
      </w:pPr>
    </w:p>
    <w:p w:rsidR="007A01DF" w:rsidRDefault="007A01DF" w:rsidP="007A01DF">
      <w:pPr>
        <w:pStyle w:val="Default"/>
        <w:ind w:left="851"/>
      </w:pPr>
      <w:r>
        <w:t xml:space="preserve">I tilfælde af (for-)behandling med lægemidler, som kan have bivirkninger på knoglemarven (f.eks. sulfonamider, </w:t>
      </w:r>
      <w:proofErr w:type="spellStart"/>
      <w:r>
        <w:t>trimethoprim-sulfamethoxazol</w:t>
      </w:r>
      <w:proofErr w:type="spellEnd"/>
      <w:r>
        <w:t xml:space="preserve">, </w:t>
      </w:r>
      <w:proofErr w:type="spellStart"/>
      <w:r>
        <w:t>chloramphenicol</w:t>
      </w:r>
      <w:proofErr w:type="spellEnd"/>
      <w:r>
        <w:t xml:space="preserve">, </w:t>
      </w:r>
      <w:proofErr w:type="spellStart"/>
      <w:r>
        <w:t>pyrimethamin</w:t>
      </w:r>
      <w:proofErr w:type="spellEnd"/>
      <w:r>
        <w:t xml:space="preserve">), skal der tages højde for risikoen for udtalte forstyrrelser af </w:t>
      </w:r>
      <w:proofErr w:type="spellStart"/>
      <w:r>
        <w:t>hæmatopoiesen</w:t>
      </w:r>
      <w:proofErr w:type="spellEnd"/>
      <w:r>
        <w:t xml:space="preserve">. Samtidig administration af </w:t>
      </w:r>
      <w:proofErr w:type="spellStart"/>
      <w:r>
        <w:t>folatantagonister</w:t>
      </w:r>
      <w:proofErr w:type="spellEnd"/>
      <w:r>
        <w:t xml:space="preserve"> såsom </w:t>
      </w:r>
      <w:proofErr w:type="spellStart"/>
      <w:r>
        <w:t>trimethoprim-sulfamethoxazol</w:t>
      </w:r>
      <w:proofErr w:type="spellEnd"/>
      <w:r>
        <w:t xml:space="preserve"> er i sjældne tilfælde blevet rapporteret til at forårsage akut </w:t>
      </w:r>
      <w:proofErr w:type="spellStart"/>
      <w:r>
        <w:t>megaloblastisk</w:t>
      </w:r>
      <w:proofErr w:type="spellEnd"/>
      <w:r>
        <w:t xml:space="preserve"> </w:t>
      </w:r>
      <w:proofErr w:type="spellStart"/>
      <w:r>
        <w:t>pancytopeni</w:t>
      </w:r>
      <w:proofErr w:type="spellEnd"/>
      <w:r>
        <w:t>.</w:t>
      </w:r>
    </w:p>
    <w:p w:rsidR="007A01DF" w:rsidRDefault="007A01DF" w:rsidP="007A01DF">
      <w:pPr>
        <w:pStyle w:val="Default"/>
        <w:ind w:left="851"/>
      </w:pPr>
    </w:p>
    <w:p w:rsidR="007A01DF" w:rsidRDefault="007A01DF" w:rsidP="007A01DF">
      <w:pPr>
        <w:pStyle w:val="Default"/>
        <w:ind w:left="851"/>
        <w:rPr>
          <w:i/>
          <w:u w:val="single"/>
        </w:rPr>
      </w:pPr>
      <w:proofErr w:type="spellStart"/>
      <w:r>
        <w:rPr>
          <w:i/>
          <w:u w:val="single"/>
        </w:rPr>
        <w:t>Lægemidller</w:t>
      </w:r>
      <w:proofErr w:type="spellEnd"/>
      <w:r>
        <w:rPr>
          <w:i/>
          <w:u w:val="single"/>
        </w:rPr>
        <w:t xml:space="preserve">, der påvirker </w:t>
      </w:r>
      <w:proofErr w:type="spellStart"/>
      <w:r>
        <w:rPr>
          <w:i/>
          <w:u w:val="single"/>
        </w:rPr>
        <w:t>folatniveauerne</w:t>
      </w:r>
      <w:proofErr w:type="spellEnd"/>
      <w:r>
        <w:rPr>
          <w:i/>
          <w:u w:val="single"/>
        </w:rPr>
        <w:t xml:space="preserve"> og </w:t>
      </w:r>
      <w:proofErr w:type="spellStart"/>
      <w:r>
        <w:rPr>
          <w:i/>
          <w:u w:val="single"/>
        </w:rPr>
        <w:t>folinsyreindeholdende</w:t>
      </w:r>
      <w:proofErr w:type="spellEnd"/>
      <w:r>
        <w:rPr>
          <w:i/>
          <w:u w:val="single"/>
        </w:rPr>
        <w:t xml:space="preserve"> vitaminprodukter</w:t>
      </w:r>
    </w:p>
    <w:p w:rsidR="007A01DF" w:rsidRDefault="007A01DF" w:rsidP="007A01DF">
      <w:pPr>
        <w:pStyle w:val="Default"/>
        <w:ind w:left="851"/>
        <w:rPr>
          <w:i/>
          <w:u w:val="single"/>
        </w:rPr>
      </w:pPr>
    </w:p>
    <w:p w:rsidR="007A01DF" w:rsidRDefault="007A01DF" w:rsidP="007A01DF">
      <w:pPr>
        <w:pStyle w:val="Default"/>
        <w:ind w:left="851"/>
      </w:pPr>
      <w:r>
        <w:t xml:space="preserve">Samtidig administration af lægemidler, der forårsager </w:t>
      </w:r>
      <w:proofErr w:type="spellStart"/>
      <w:r>
        <w:t>folatmangel</w:t>
      </w:r>
      <w:proofErr w:type="spellEnd"/>
      <w:r>
        <w:t xml:space="preserve"> (f.eks. sulfonamider, </w:t>
      </w:r>
      <w:proofErr w:type="spellStart"/>
      <w:r>
        <w:t>trimethoprim-sulfamethoxazol</w:t>
      </w:r>
      <w:proofErr w:type="spellEnd"/>
      <w:r>
        <w:t xml:space="preserve">), kan føre til øget </w:t>
      </w:r>
      <w:proofErr w:type="spellStart"/>
      <w:r>
        <w:t>methotrexattoksicitet</w:t>
      </w:r>
      <w:proofErr w:type="spellEnd"/>
      <w:r>
        <w:t xml:space="preserve">. Derfor skal der udvises særlig forsigtighed ved eksisterende </w:t>
      </w:r>
      <w:proofErr w:type="spellStart"/>
      <w:r>
        <w:t>folsyremangel</w:t>
      </w:r>
      <w:proofErr w:type="spellEnd"/>
      <w:r>
        <w:t xml:space="preserve">. </w:t>
      </w:r>
    </w:p>
    <w:p w:rsidR="007A01DF" w:rsidRDefault="007A01DF" w:rsidP="007A01DF">
      <w:pPr>
        <w:pStyle w:val="Default"/>
        <w:ind w:left="851"/>
      </w:pPr>
    </w:p>
    <w:p w:rsidR="002932D5" w:rsidRDefault="007A01DF" w:rsidP="002932D5">
      <w:pPr>
        <w:ind w:left="851"/>
        <w:rPr>
          <w:sz w:val="24"/>
          <w:szCs w:val="24"/>
        </w:rPr>
      </w:pPr>
      <w:r w:rsidRPr="00991931">
        <w:rPr>
          <w:sz w:val="24"/>
          <w:szCs w:val="24"/>
        </w:rPr>
        <w:t xml:space="preserve">Anvendelse af </w:t>
      </w:r>
      <w:proofErr w:type="spellStart"/>
      <w:r w:rsidRPr="00991931">
        <w:rPr>
          <w:sz w:val="24"/>
          <w:szCs w:val="24"/>
        </w:rPr>
        <w:t>dinitrogenoxid</w:t>
      </w:r>
      <w:proofErr w:type="spellEnd"/>
      <w:r w:rsidRPr="00991931">
        <w:rPr>
          <w:sz w:val="24"/>
          <w:szCs w:val="24"/>
        </w:rPr>
        <w:t xml:space="preserve"> forstærker </w:t>
      </w:r>
      <w:proofErr w:type="spellStart"/>
      <w:r w:rsidRPr="00991931">
        <w:rPr>
          <w:sz w:val="24"/>
          <w:szCs w:val="24"/>
        </w:rPr>
        <w:t>methotrexats</w:t>
      </w:r>
      <w:proofErr w:type="spellEnd"/>
      <w:r w:rsidRPr="00991931">
        <w:rPr>
          <w:sz w:val="24"/>
          <w:szCs w:val="24"/>
        </w:rPr>
        <w:t xml:space="preserve"> indvirkning på </w:t>
      </w:r>
      <w:proofErr w:type="spellStart"/>
      <w:r w:rsidRPr="00991931">
        <w:rPr>
          <w:sz w:val="24"/>
          <w:szCs w:val="24"/>
        </w:rPr>
        <w:t>folat</w:t>
      </w:r>
      <w:proofErr w:type="spellEnd"/>
      <w:r w:rsidRPr="00991931">
        <w:rPr>
          <w:sz w:val="24"/>
          <w:szCs w:val="24"/>
        </w:rPr>
        <w:t xml:space="preserve">, hvilket kan medføre øget toksicitet i form af f.eks. uforudsigelig </w:t>
      </w:r>
      <w:proofErr w:type="spellStart"/>
      <w:r w:rsidRPr="00991931">
        <w:rPr>
          <w:sz w:val="24"/>
          <w:szCs w:val="24"/>
        </w:rPr>
        <w:t>myelosuppression</w:t>
      </w:r>
      <w:proofErr w:type="spellEnd"/>
      <w:r w:rsidRPr="00991931">
        <w:rPr>
          <w:sz w:val="24"/>
          <w:szCs w:val="24"/>
        </w:rPr>
        <w:t xml:space="preserve"> og </w:t>
      </w:r>
      <w:proofErr w:type="spellStart"/>
      <w:r w:rsidRPr="00991931">
        <w:rPr>
          <w:sz w:val="24"/>
          <w:szCs w:val="24"/>
        </w:rPr>
        <w:t>stomatit</w:t>
      </w:r>
      <w:proofErr w:type="spellEnd"/>
      <w:r w:rsidRPr="00991931">
        <w:rPr>
          <w:sz w:val="24"/>
          <w:szCs w:val="24"/>
        </w:rPr>
        <w:t xml:space="preserve">. </w:t>
      </w:r>
      <w:r w:rsidR="002932D5">
        <w:rPr>
          <w:sz w:val="24"/>
          <w:szCs w:val="24"/>
        </w:rPr>
        <w:t xml:space="preserve">Selvom denne interaktion kan reduceres ved at administrere </w:t>
      </w:r>
      <w:proofErr w:type="spellStart"/>
      <w:r w:rsidR="002932D5">
        <w:rPr>
          <w:sz w:val="24"/>
          <w:szCs w:val="24"/>
        </w:rPr>
        <w:t>calciumfolinat</w:t>
      </w:r>
      <w:proofErr w:type="spellEnd"/>
      <w:r w:rsidR="002932D5">
        <w:rPr>
          <w:sz w:val="24"/>
          <w:szCs w:val="24"/>
        </w:rPr>
        <w:t xml:space="preserve">, bør samtidig anvendelse af </w:t>
      </w:r>
      <w:proofErr w:type="spellStart"/>
      <w:r w:rsidR="002932D5">
        <w:rPr>
          <w:sz w:val="24"/>
          <w:szCs w:val="24"/>
        </w:rPr>
        <w:t>dinitrogenoxid</w:t>
      </w:r>
      <w:proofErr w:type="spellEnd"/>
      <w:r w:rsidR="002932D5">
        <w:rPr>
          <w:sz w:val="24"/>
          <w:szCs w:val="24"/>
        </w:rPr>
        <w:t xml:space="preserve"> og </w:t>
      </w:r>
      <w:proofErr w:type="spellStart"/>
      <w:r w:rsidR="002932D5">
        <w:rPr>
          <w:sz w:val="24"/>
          <w:szCs w:val="24"/>
        </w:rPr>
        <w:t>methotrexat</w:t>
      </w:r>
      <w:proofErr w:type="spellEnd"/>
      <w:r w:rsidR="002932D5">
        <w:rPr>
          <w:sz w:val="24"/>
          <w:szCs w:val="24"/>
        </w:rPr>
        <w:t xml:space="preserve"> undgås.</w:t>
      </w:r>
    </w:p>
    <w:p w:rsidR="007A01DF" w:rsidRDefault="007A01DF" w:rsidP="002932D5">
      <w:pPr>
        <w:ind w:left="851"/>
        <w:rPr>
          <w:u w:val="single"/>
        </w:rPr>
      </w:pPr>
    </w:p>
    <w:p w:rsidR="007A01DF" w:rsidRPr="001E76AB" w:rsidRDefault="007A01DF" w:rsidP="007A01DF">
      <w:pPr>
        <w:pStyle w:val="Default"/>
        <w:ind w:left="851"/>
      </w:pPr>
      <w:r>
        <w:t xml:space="preserve">Selvom kombinationen af </w:t>
      </w:r>
      <w:proofErr w:type="spellStart"/>
      <w:r>
        <w:t>methotrexat</w:t>
      </w:r>
      <w:proofErr w:type="spellEnd"/>
      <w:r>
        <w:t xml:space="preserve"> og </w:t>
      </w:r>
      <w:proofErr w:type="spellStart"/>
      <w:r>
        <w:t>sulfasalazin</w:t>
      </w:r>
      <w:proofErr w:type="spellEnd"/>
      <w:r>
        <w:t xml:space="preserve"> kan forstærke </w:t>
      </w:r>
      <w:proofErr w:type="spellStart"/>
      <w:r>
        <w:t>methotrexats</w:t>
      </w:r>
      <w:proofErr w:type="spellEnd"/>
      <w:r>
        <w:t xml:space="preserve"> virkning ved </w:t>
      </w:r>
      <w:proofErr w:type="spellStart"/>
      <w:r>
        <w:t>sulfasalazinrelateret</w:t>
      </w:r>
      <w:proofErr w:type="spellEnd"/>
      <w:r>
        <w:t xml:space="preserve"> hæmning af </w:t>
      </w:r>
      <w:proofErr w:type="spellStart"/>
      <w:r>
        <w:t>folsyresyntese</w:t>
      </w:r>
      <w:proofErr w:type="spellEnd"/>
      <w:r>
        <w:t xml:space="preserve"> og dermed resultere i øget risiko for </w:t>
      </w:r>
      <w:r w:rsidRPr="001E76AB">
        <w:t>bivirkninger, er sådanne bivirkninger kun observeret i sjældne tilfælde hos enkelte patienter i adskillige studier.</w:t>
      </w:r>
    </w:p>
    <w:p w:rsidR="007A01DF" w:rsidRPr="001E76AB" w:rsidRDefault="007A01DF" w:rsidP="007A01DF">
      <w:pPr>
        <w:pStyle w:val="Default"/>
        <w:ind w:left="851"/>
      </w:pPr>
    </w:p>
    <w:p w:rsidR="007A01DF" w:rsidRPr="001E76AB" w:rsidRDefault="007A01DF" w:rsidP="007A01DF">
      <w:pPr>
        <w:pStyle w:val="Default"/>
        <w:ind w:left="851"/>
      </w:pPr>
      <w:r w:rsidRPr="001E76AB">
        <w:lastRenderedPageBreak/>
        <w:t xml:space="preserve">Vitaminpræparater eller andre produkter indeholdende </w:t>
      </w:r>
      <w:proofErr w:type="spellStart"/>
      <w:r w:rsidRPr="001E76AB">
        <w:t>folsyre</w:t>
      </w:r>
      <w:proofErr w:type="spellEnd"/>
      <w:r w:rsidRPr="001E76AB">
        <w:t xml:space="preserve">, </w:t>
      </w:r>
      <w:proofErr w:type="spellStart"/>
      <w:r w:rsidRPr="001E76AB">
        <w:t>folinsyre</w:t>
      </w:r>
      <w:proofErr w:type="spellEnd"/>
      <w:r w:rsidRPr="001E76AB">
        <w:t xml:space="preserve"> eller derivater heraf kan nedsætte virkningen af </w:t>
      </w:r>
      <w:proofErr w:type="spellStart"/>
      <w:r w:rsidRPr="001E76AB">
        <w:t>methotrexat</w:t>
      </w:r>
      <w:proofErr w:type="spellEnd"/>
      <w:r w:rsidRPr="001E76AB">
        <w:t>.</w:t>
      </w:r>
    </w:p>
    <w:p w:rsidR="007A01DF" w:rsidRPr="001E76AB" w:rsidRDefault="007A01DF" w:rsidP="007A01DF">
      <w:pPr>
        <w:pStyle w:val="Default"/>
        <w:ind w:left="851"/>
        <w:rPr>
          <w:u w:val="single"/>
        </w:rPr>
      </w:pPr>
    </w:p>
    <w:p w:rsidR="007A01DF" w:rsidRPr="001E76AB" w:rsidRDefault="007A01DF" w:rsidP="009C1C56">
      <w:pPr>
        <w:pStyle w:val="Default"/>
        <w:keepNext/>
        <w:ind w:left="851"/>
        <w:rPr>
          <w:i/>
          <w:u w:val="single"/>
        </w:rPr>
      </w:pPr>
      <w:proofErr w:type="spellStart"/>
      <w:r w:rsidRPr="001E76AB">
        <w:rPr>
          <w:i/>
          <w:u w:val="single"/>
        </w:rPr>
        <w:t>Ciclosporin</w:t>
      </w:r>
      <w:proofErr w:type="spellEnd"/>
    </w:p>
    <w:p w:rsidR="007A01DF" w:rsidRPr="001E76AB" w:rsidRDefault="007A01DF" w:rsidP="009C1C56">
      <w:pPr>
        <w:pStyle w:val="Default"/>
        <w:keepNext/>
        <w:ind w:left="851"/>
        <w:rPr>
          <w:u w:val="single"/>
        </w:rPr>
      </w:pPr>
    </w:p>
    <w:p w:rsidR="007A01DF" w:rsidRPr="001E76AB" w:rsidRDefault="007A01DF" w:rsidP="007A01DF">
      <w:pPr>
        <w:pStyle w:val="Default"/>
        <w:ind w:left="851"/>
      </w:pPr>
      <w:proofErr w:type="spellStart"/>
      <w:r w:rsidRPr="001E76AB">
        <w:t>Ciclosporin</w:t>
      </w:r>
      <w:proofErr w:type="spellEnd"/>
      <w:r w:rsidRPr="001E76AB">
        <w:t xml:space="preserve"> kan potensere </w:t>
      </w:r>
      <w:proofErr w:type="spellStart"/>
      <w:r w:rsidRPr="001E76AB">
        <w:t>methotrexats</w:t>
      </w:r>
      <w:proofErr w:type="spellEnd"/>
      <w:r w:rsidRPr="001E76AB">
        <w:t xml:space="preserve"> virkning og toksicitet. Kombination medfører risiko for excessiv immunsuppression med risiko for </w:t>
      </w:r>
      <w:proofErr w:type="spellStart"/>
      <w:r w:rsidRPr="001E76AB">
        <w:t>lymfoproliferation</w:t>
      </w:r>
      <w:proofErr w:type="spellEnd"/>
      <w:r w:rsidRPr="001E76AB">
        <w:t>.</w:t>
      </w:r>
    </w:p>
    <w:p w:rsidR="007A01DF" w:rsidRPr="001E76AB" w:rsidRDefault="007A01DF" w:rsidP="007A01DF">
      <w:pPr>
        <w:pStyle w:val="Default"/>
        <w:ind w:left="851"/>
      </w:pPr>
    </w:p>
    <w:p w:rsidR="007A01DF" w:rsidRPr="001E76AB" w:rsidRDefault="00074246" w:rsidP="007A01DF">
      <w:pPr>
        <w:pStyle w:val="Default"/>
        <w:ind w:left="851"/>
        <w:rPr>
          <w:b/>
        </w:rPr>
      </w:pPr>
      <w:proofErr w:type="spellStart"/>
      <w:r>
        <w:rPr>
          <w:b/>
        </w:rPr>
        <w:t>F</w:t>
      </w:r>
      <w:r w:rsidR="007A01DF" w:rsidRPr="001E76AB">
        <w:rPr>
          <w:b/>
        </w:rPr>
        <w:t>armakokinetiske</w:t>
      </w:r>
      <w:proofErr w:type="spellEnd"/>
      <w:r w:rsidR="007A01DF" w:rsidRPr="001E76AB">
        <w:rPr>
          <w:b/>
        </w:rPr>
        <w:t xml:space="preserve"> interaktioner</w:t>
      </w:r>
    </w:p>
    <w:p w:rsidR="007A01DF" w:rsidRPr="001E76AB" w:rsidRDefault="007A01DF" w:rsidP="007A01DF">
      <w:pPr>
        <w:pStyle w:val="Default"/>
        <w:ind w:left="851"/>
      </w:pPr>
    </w:p>
    <w:p w:rsidR="007A01DF" w:rsidRPr="001E76AB" w:rsidRDefault="007A01DF" w:rsidP="007A01DF">
      <w:pPr>
        <w:pStyle w:val="Default"/>
        <w:ind w:left="851"/>
        <w:rPr>
          <w:u w:val="single"/>
        </w:rPr>
      </w:pPr>
      <w:r w:rsidRPr="001E76AB">
        <w:rPr>
          <w:i/>
          <w:u w:val="single"/>
        </w:rPr>
        <w:t xml:space="preserve">Interaktioner, der kan øge niveauerne af </w:t>
      </w:r>
      <w:proofErr w:type="spellStart"/>
      <w:r w:rsidRPr="001E76AB">
        <w:rPr>
          <w:i/>
          <w:u w:val="single"/>
        </w:rPr>
        <w:t>methotrexat</w:t>
      </w:r>
      <w:proofErr w:type="spellEnd"/>
    </w:p>
    <w:p w:rsidR="007A01DF" w:rsidRPr="001E76AB" w:rsidRDefault="007A01DF" w:rsidP="007A01DF">
      <w:pPr>
        <w:pStyle w:val="Default"/>
        <w:ind w:left="851"/>
        <w:rPr>
          <w:u w:val="single"/>
        </w:rPr>
      </w:pPr>
    </w:p>
    <w:p w:rsidR="007A01DF" w:rsidRPr="001E76AB" w:rsidRDefault="007A01DF" w:rsidP="007A01DF">
      <w:pPr>
        <w:pStyle w:val="Default"/>
        <w:ind w:left="851"/>
      </w:pPr>
      <w:r w:rsidRPr="001E76AB">
        <w:t xml:space="preserve">Hyppig monitorering af patienter er nødvendig, især hvis høje doser af </w:t>
      </w:r>
      <w:proofErr w:type="spellStart"/>
      <w:r w:rsidRPr="001E76AB">
        <w:t>methotrexat</w:t>
      </w:r>
      <w:proofErr w:type="spellEnd"/>
      <w:r w:rsidRPr="001E76AB">
        <w:t xml:space="preserve"> gives samtidig med lægemidler, der reducerer </w:t>
      </w:r>
      <w:proofErr w:type="spellStart"/>
      <w:r w:rsidRPr="001E76AB">
        <w:t>methotrexats</w:t>
      </w:r>
      <w:proofErr w:type="spellEnd"/>
      <w:r w:rsidRPr="001E76AB">
        <w:t xml:space="preserve"> proteinbinding, elimination af </w:t>
      </w:r>
      <w:proofErr w:type="spellStart"/>
      <w:r w:rsidRPr="001E76AB">
        <w:t>methotrexat</w:t>
      </w:r>
      <w:proofErr w:type="spellEnd"/>
      <w:r w:rsidRPr="001E76AB">
        <w:t xml:space="preserve"> eller som forårsager nyreskade. Hvis samtidig brug ikke kan undgås, bør dosisjustering af </w:t>
      </w:r>
      <w:proofErr w:type="spellStart"/>
      <w:r w:rsidRPr="001E76AB">
        <w:t>methotrexat</w:t>
      </w:r>
      <w:proofErr w:type="spellEnd"/>
      <w:r w:rsidRPr="001E76AB">
        <w:t xml:space="preserve"> overvejes. Monitorering af serumniveauerne af </w:t>
      </w:r>
      <w:proofErr w:type="spellStart"/>
      <w:r w:rsidRPr="001E76AB">
        <w:t>methotrexat</w:t>
      </w:r>
      <w:proofErr w:type="spellEnd"/>
      <w:r w:rsidRPr="001E76AB">
        <w:t xml:space="preserve"> kan være nyttigt.</w:t>
      </w:r>
    </w:p>
    <w:p w:rsidR="007A01DF" w:rsidRPr="001E76AB" w:rsidRDefault="007A01DF" w:rsidP="007A01DF">
      <w:pPr>
        <w:pStyle w:val="Default"/>
        <w:ind w:left="851"/>
        <w:rPr>
          <w:u w:val="single"/>
        </w:rPr>
      </w:pPr>
    </w:p>
    <w:p w:rsidR="007A01DF" w:rsidRDefault="007A01DF" w:rsidP="007A01DF">
      <w:pPr>
        <w:pStyle w:val="Default"/>
        <w:ind w:left="851"/>
      </w:pPr>
      <w:proofErr w:type="spellStart"/>
      <w:r>
        <w:t>Probenecid</w:t>
      </w:r>
      <w:proofErr w:type="spellEnd"/>
      <w:r>
        <w:t>, svage organiske syrer, såsom loop-</w:t>
      </w:r>
      <w:proofErr w:type="spellStart"/>
      <w:r>
        <w:t>diuretika</w:t>
      </w:r>
      <w:proofErr w:type="spellEnd"/>
      <w:r>
        <w:t xml:space="preserve"> og </w:t>
      </w:r>
      <w:proofErr w:type="spellStart"/>
      <w:r>
        <w:t>pyrazoler</w:t>
      </w:r>
      <w:proofErr w:type="spellEnd"/>
      <w:r>
        <w:t xml:space="preserve"> (</w:t>
      </w:r>
      <w:proofErr w:type="spellStart"/>
      <w:r>
        <w:t>phenylbutazon</w:t>
      </w:r>
      <w:proofErr w:type="spellEnd"/>
      <w:r>
        <w:t xml:space="preserve">) kan reducere eliminationen af </w:t>
      </w:r>
      <w:proofErr w:type="spellStart"/>
      <w:r>
        <w:t>methotrexat</w:t>
      </w:r>
      <w:proofErr w:type="spellEnd"/>
      <w:r>
        <w:t xml:space="preserve"> og højere serumkoncentrationer kan forventes at inducere højere hæmatologisk toksicitet. </w:t>
      </w:r>
    </w:p>
    <w:p w:rsidR="007A01DF" w:rsidRDefault="007A01DF" w:rsidP="007A01DF">
      <w:pPr>
        <w:pStyle w:val="Default"/>
        <w:ind w:left="851"/>
      </w:pPr>
    </w:p>
    <w:p w:rsidR="007A01DF" w:rsidRDefault="007A01DF" w:rsidP="007A01DF">
      <w:pPr>
        <w:pStyle w:val="Default"/>
        <w:ind w:left="851"/>
      </w:pPr>
      <w:proofErr w:type="spellStart"/>
      <w:r>
        <w:t>Methotrexat</w:t>
      </w:r>
      <w:proofErr w:type="spellEnd"/>
      <w:r>
        <w:t xml:space="preserve"> er bundet til plasmaproteiner, og bestemte lægemidler, såsom orale </w:t>
      </w:r>
      <w:proofErr w:type="spellStart"/>
      <w:r>
        <w:t>antidiabetika</w:t>
      </w:r>
      <w:proofErr w:type="spellEnd"/>
      <w:r>
        <w:t xml:space="preserve">, </w:t>
      </w:r>
      <w:proofErr w:type="spellStart"/>
      <w:r>
        <w:t>thiaziddiuretika</w:t>
      </w:r>
      <w:proofErr w:type="spellEnd"/>
      <w:r>
        <w:t xml:space="preserve">, sulfonamider, </w:t>
      </w:r>
      <w:proofErr w:type="spellStart"/>
      <w:r>
        <w:t>phenytoin</w:t>
      </w:r>
      <w:proofErr w:type="spellEnd"/>
      <w:r>
        <w:t xml:space="preserve">, barbiturater, beroligende midler, orale </w:t>
      </w:r>
      <w:proofErr w:type="spellStart"/>
      <w:r>
        <w:t>antikonceptiva</w:t>
      </w:r>
      <w:proofErr w:type="spellEnd"/>
      <w:r>
        <w:t xml:space="preserve">, </w:t>
      </w:r>
      <w:proofErr w:type="spellStart"/>
      <w:r>
        <w:t>amidopyrin</w:t>
      </w:r>
      <w:proofErr w:type="spellEnd"/>
      <w:r>
        <w:t xml:space="preserve">-derivater, </w:t>
      </w:r>
      <w:proofErr w:type="spellStart"/>
      <w:r>
        <w:t>doxorubicin</w:t>
      </w:r>
      <w:proofErr w:type="spellEnd"/>
      <w:r>
        <w:t xml:space="preserve">, p-aminobenzoesyre og nogle antibiotika såsom penicillin, </w:t>
      </w:r>
      <w:proofErr w:type="spellStart"/>
      <w:r>
        <w:t>tetracycliner</w:t>
      </w:r>
      <w:proofErr w:type="spellEnd"/>
      <w:r>
        <w:t xml:space="preserve">, </w:t>
      </w:r>
      <w:proofErr w:type="spellStart"/>
      <w:r>
        <w:t>chloramphenicol</w:t>
      </w:r>
      <w:proofErr w:type="spellEnd"/>
      <w:r>
        <w:t>, mindsker denne binding, som kan føre til øget toksicitet, når de anvendes samtidig.</w:t>
      </w:r>
    </w:p>
    <w:p w:rsidR="007A01DF" w:rsidRDefault="007A01DF" w:rsidP="007A01DF">
      <w:pPr>
        <w:pStyle w:val="Default"/>
        <w:ind w:left="851"/>
      </w:pPr>
    </w:p>
    <w:p w:rsidR="007A01DF" w:rsidRDefault="007A01DF" w:rsidP="007A01DF">
      <w:pPr>
        <w:pStyle w:val="Default"/>
        <w:ind w:left="851"/>
        <w:rPr>
          <w:u w:val="single"/>
        </w:rPr>
      </w:pPr>
      <w:r>
        <w:t xml:space="preserve">Der er også risiko for øget toksicitet, når lavdosis </w:t>
      </w:r>
      <w:proofErr w:type="spellStart"/>
      <w:r>
        <w:t>methotrexat</w:t>
      </w:r>
      <w:proofErr w:type="spellEnd"/>
      <w:r>
        <w:t xml:space="preserve"> og non-</w:t>
      </w:r>
      <w:proofErr w:type="spellStart"/>
      <w:r>
        <w:t>steroide</w:t>
      </w:r>
      <w:proofErr w:type="spellEnd"/>
      <w:r>
        <w:t xml:space="preserve"> antiinflammatoriske lægemidler eller </w:t>
      </w:r>
      <w:proofErr w:type="spellStart"/>
      <w:r>
        <w:t>salicylater</w:t>
      </w:r>
      <w:proofErr w:type="spellEnd"/>
      <w:r>
        <w:t xml:space="preserve"> kombineres. </w:t>
      </w:r>
      <w:proofErr w:type="spellStart"/>
      <w:r>
        <w:t>NSAID</w:t>
      </w:r>
      <w:r w:rsidR="00AF7C87">
        <w:t>’</w:t>
      </w:r>
      <w:r>
        <w:t>er</w:t>
      </w:r>
      <w:proofErr w:type="spellEnd"/>
      <w:r>
        <w:t xml:space="preserve"> kan føre til nyreskader. </w:t>
      </w:r>
    </w:p>
    <w:p w:rsidR="007A01DF" w:rsidRDefault="007A01DF" w:rsidP="007A01DF">
      <w:pPr>
        <w:pStyle w:val="Default"/>
        <w:ind w:left="851"/>
        <w:rPr>
          <w:u w:val="single"/>
        </w:rPr>
      </w:pPr>
    </w:p>
    <w:p w:rsidR="007A01DF" w:rsidRDefault="007A01DF" w:rsidP="007A01DF">
      <w:pPr>
        <w:pStyle w:val="Default"/>
        <w:ind w:left="851"/>
      </w:pPr>
      <w:r>
        <w:t xml:space="preserve">Samtidig administration af </w:t>
      </w:r>
      <w:proofErr w:type="spellStart"/>
      <w:r>
        <w:t>methotrexat</w:t>
      </w:r>
      <w:proofErr w:type="spellEnd"/>
      <w:r>
        <w:t xml:space="preserve"> og </w:t>
      </w:r>
      <w:proofErr w:type="spellStart"/>
      <w:r>
        <w:t>levetiracetam</w:t>
      </w:r>
      <w:proofErr w:type="spellEnd"/>
      <w:r>
        <w:t xml:space="preserve"> er blevet rapporteret til at sænke </w:t>
      </w:r>
      <w:proofErr w:type="spellStart"/>
      <w:r>
        <w:t>clearance</w:t>
      </w:r>
      <w:proofErr w:type="spellEnd"/>
      <w:r>
        <w:t xml:space="preserve"> af </w:t>
      </w:r>
      <w:proofErr w:type="spellStart"/>
      <w:r>
        <w:t>methotrexat</w:t>
      </w:r>
      <w:proofErr w:type="spellEnd"/>
      <w:r>
        <w:t xml:space="preserve">, hvilket resulterer i øget/forlænget </w:t>
      </w:r>
      <w:proofErr w:type="spellStart"/>
      <w:r>
        <w:t>methotrexatkoncentration</w:t>
      </w:r>
      <w:proofErr w:type="spellEnd"/>
      <w:r>
        <w:t xml:space="preserve"> i blodet til potentielle toksiske niveauer. Niveauer af </w:t>
      </w:r>
      <w:proofErr w:type="spellStart"/>
      <w:r>
        <w:t>methotrexat</w:t>
      </w:r>
      <w:proofErr w:type="spellEnd"/>
      <w:r>
        <w:t xml:space="preserve"> og </w:t>
      </w:r>
      <w:proofErr w:type="spellStart"/>
      <w:r>
        <w:t>levetiracetam</w:t>
      </w:r>
      <w:proofErr w:type="spellEnd"/>
      <w:r>
        <w:t xml:space="preserve"> i blodet skal nøje overvåges hos patienter der behandles med begge lægemidler.</w:t>
      </w:r>
    </w:p>
    <w:p w:rsidR="007A01DF" w:rsidRDefault="007A01DF" w:rsidP="007A01DF">
      <w:pPr>
        <w:pStyle w:val="Default"/>
        <w:ind w:left="851"/>
        <w:rPr>
          <w:u w:val="single"/>
        </w:rPr>
      </w:pPr>
    </w:p>
    <w:p w:rsidR="007A01DF" w:rsidRDefault="007A01DF" w:rsidP="007A01DF">
      <w:pPr>
        <w:pStyle w:val="Default"/>
        <w:ind w:left="851"/>
      </w:pPr>
      <w:r>
        <w:t xml:space="preserve">Samtidig administration af </w:t>
      </w:r>
      <w:proofErr w:type="spellStart"/>
      <w:r>
        <w:t>protonpumpehæmmere</w:t>
      </w:r>
      <w:proofErr w:type="spellEnd"/>
      <w:r>
        <w:t xml:space="preserve"> såsom </w:t>
      </w:r>
      <w:proofErr w:type="spellStart"/>
      <w:r>
        <w:t>omeprazol</w:t>
      </w:r>
      <w:proofErr w:type="spellEnd"/>
      <w:r>
        <w:t xml:space="preserve"> eller </w:t>
      </w:r>
      <w:proofErr w:type="spellStart"/>
      <w:r>
        <w:t>pantoprazol</w:t>
      </w:r>
      <w:proofErr w:type="spellEnd"/>
      <w:r>
        <w:t xml:space="preserve"> kan forårsage interaktioner: Samtidig administration af </w:t>
      </w:r>
      <w:proofErr w:type="spellStart"/>
      <w:r>
        <w:t>methotrexat</w:t>
      </w:r>
      <w:proofErr w:type="spellEnd"/>
      <w:r>
        <w:t xml:space="preserve"> og </w:t>
      </w:r>
      <w:proofErr w:type="spellStart"/>
      <w:r>
        <w:t>omeprazol</w:t>
      </w:r>
      <w:proofErr w:type="spellEnd"/>
      <w:r>
        <w:t xml:space="preserve"> har forårsaget forsinket </w:t>
      </w:r>
      <w:proofErr w:type="spellStart"/>
      <w:r>
        <w:t>renal</w:t>
      </w:r>
      <w:proofErr w:type="spellEnd"/>
      <w:r>
        <w:t xml:space="preserve"> elimination af </w:t>
      </w:r>
      <w:proofErr w:type="spellStart"/>
      <w:r>
        <w:t>methotrexat</w:t>
      </w:r>
      <w:proofErr w:type="spellEnd"/>
      <w:r>
        <w:t xml:space="preserve">. I ét tilfælde er der rapporteret om hæmmet </w:t>
      </w:r>
      <w:proofErr w:type="spellStart"/>
      <w:r>
        <w:t>renal</w:t>
      </w:r>
      <w:proofErr w:type="spellEnd"/>
      <w:r>
        <w:t xml:space="preserve"> elimination af metabolitten 7-hydroxymethotrexat med myalgi og kulderystelser ved samtidig administration af </w:t>
      </w:r>
      <w:proofErr w:type="spellStart"/>
      <w:r>
        <w:t>pantoprazol</w:t>
      </w:r>
      <w:proofErr w:type="spellEnd"/>
      <w:r>
        <w:t>.</w:t>
      </w:r>
    </w:p>
    <w:p w:rsidR="007A01DF" w:rsidRDefault="007A01DF" w:rsidP="007A01DF">
      <w:pPr>
        <w:pStyle w:val="Default"/>
        <w:ind w:left="851"/>
      </w:pPr>
    </w:p>
    <w:p w:rsidR="007A01DF" w:rsidRDefault="007A01DF" w:rsidP="007A01DF">
      <w:pPr>
        <w:pStyle w:val="Default"/>
        <w:ind w:left="851"/>
      </w:pPr>
      <w:r>
        <w:t xml:space="preserve">Penicilliner, </w:t>
      </w:r>
      <w:r w:rsidR="00053E9D" w:rsidRPr="00053E9D">
        <w:t xml:space="preserve">(f.eks. </w:t>
      </w:r>
      <w:proofErr w:type="spellStart"/>
      <w:r w:rsidR="00053E9D" w:rsidRPr="00053E9D">
        <w:t>amoxicillin</w:t>
      </w:r>
      <w:proofErr w:type="spellEnd"/>
      <w:r w:rsidR="00053E9D" w:rsidRPr="005D6ECD">
        <w:t>)</w:t>
      </w:r>
      <w:r w:rsidR="00053E9D">
        <w:t xml:space="preserve">, </w:t>
      </w:r>
      <w:proofErr w:type="spellStart"/>
      <w:r>
        <w:t>glycopeptider</w:t>
      </w:r>
      <w:proofErr w:type="spellEnd"/>
      <w:r>
        <w:t xml:space="preserve">, sulfonamider, </w:t>
      </w:r>
      <w:proofErr w:type="spellStart"/>
      <w:r>
        <w:t>ciprofloxacin</w:t>
      </w:r>
      <w:proofErr w:type="spellEnd"/>
      <w:r>
        <w:t xml:space="preserve"> og </w:t>
      </w:r>
      <w:proofErr w:type="spellStart"/>
      <w:r>
        <w:t>cefalotin</w:t>
      </w:r>
      <w:proofErr w:type="spellEnd"/>
      <w:r>
        <w:t xml:space="preserve"> kan i enkelte tilfælde reducere </w:t>
      </w:r>
      <w:proofErr w:type="spellStart"/>
      <w:r>
        <w:t>methotrexats</w:t>
      </w:r>
      <w:proofErr w:type="spellEnd"/>
      <w:r>
        <w:t xml:space="preserve"> </w:t>
      </w:r>
      <w:proofErr w:type="spellStart"/>
      <w:r>
        <w:t>renale</w:t>
      </w:r>
      <w:proofErr w:type="spellEnd"/>
      <w:r>
        <w:t xml:space="preserve"> </w:t>
      </w:r>
      <w:proofErr w:type="spellStart"/>
      <w:r>
        <w:t>clearance</w:t>
      </w:r>
      <w:proofErr w:type="spellEnd"/>
      <w:r>
        <w:t xml:space="preserve">, således at øgede serumkoncentrationer af </w:t>
      </w:r>
      <w:proofErr w:type="spellStart"/>
      <w:r>
        <w:t>methotrexat</w:t>
      </w:r>
      <w:proofErr w:type="spellEnd"/>
      <w:r>
        <w:t xml:space="preserve"> med samtidig hæmatologisk- og </w:t>
      </w:r>
      <w:proofErr w:type="spellStart"/>
      <w:r>
        <w:t>gastrointestinal</w:t>
      </w:r>
      <w:proofErr w:type="spellEnd"/>
      <w:r>
        <w:t xml:space="preserve"> toksicitet kan forekomme.</w:t>
      </w:r>
    </w:p>
    <w:p w:rsidR="007A01DF" w:rsidRDefault="007A01DF" w:rsidP="007A01DF">
      <w:pPr>
        <w:pStyle w:val="Default"/>
        <w:ind w:left="851"/>
        <w:rPr>
          <w:u w:val="single"/>
        </w:rPr>
      </w:pPr>
    </w:p>
    <w:p w:rsidR="007A01DF" w:rsidRDefault="007A01DF" w:rsidP="007A01DF">
      <w:pPr>
        <w:pStyle w:val="Default"/>
        <w:ind w:left="851"/>
      </w:pPr>
      <w:r>
        <w:t xml:space="preserve">Anvendelsen af </w:t>
      </w:r>
      <w:proofErr w:type="spellStart"/>
      <w:r>
        <w:t>procarbazin</w:t>
      </w:r>
      <w:proofErr w:type="spellEnd"/>
      <w:r>
        <w:t xml:space="preserve"> samtidig med højdosis </w:t>
      </w:r>
      <w:proofErr w:type="spellStart"/>
      <w:r>
        <w:t>methotrexatbehandling</w:t>
      </w:r>
      <w:proofErr w:type="spellEnd"/>
      <w:r>
        <w:t xml:space="preserve"> øger risikoen for nedsat nyrefunktion. Forsinket </w:t>
      </w:r>
      <w:proofErr w:type="spellStart"/>
      <w:r>
        <w:t>clearance</w:t>
      </w:r>
      <w:proofErr w:type="spellEnd"/>
      <w:r>
        <w:t xml:space="preserve"> af </w:t>
      </w:r>
      <w:proofErr w:type="spellStart"/>
      <w:r>
        <w:t>methotrexat</w:t>
      </w:r>
      <w:proofErr w:type="spellEnd"/>
      <w:r>
        <w:t xml:space="preserve"> bør også overvejes i kombination med andre </w:t>
      </w:r>
      <w:proofErr w:type="spellStart"/>
      <w:r>
        <w:t>cytostatika</w:t>
      </w:r>
      <w:proofErr w:type="spellEnd"/>
      <w:r>
        <w:t>.</w:t>
      </w:r>
    </w:p>
    <w:p w:rsidR="007A01DF" w:rsidRDefault="007A01DF" w:rsidP="007A01DF">
      <w:pPr>
        <w:pStyle w:val="Default"/>
        <w:ind w:left="851"/>
        <w:rPr>
          <w:u w:val="single"/>
        </w:rPr>
      </w:pPr>
    </w:p>
    <w:p w:rsidR="007A01DF" w:rsidRDefault="007A01DF" w:rsidP="00F9604D">
      <w:pPr>
        <w:pStyle w:val="Default"/>
        <w:keepNext/>
        <w:ind w:left="851"/>
        <w:rPr>
          <w:u w:val="single"/>
        </w:rPr>
      </w:pPr>
      <w:r>
        <w:rPr>
          <w:i/>
          <w:u w:val="single"/>
        </w:rPr>
        <w:t xml:space="preserve">Interaktioner, som kan reducere niveauerne af </w:t>
      </w:r>
      <w:proofErr w:type="spellStart"/>
      <w:r>
        <w:rPr>
          <w:i/>
          <w:u w:val="single"/>
        </w:rPr>
        <w:t>methotrexat</w:t>
      </w:r>
      <w:proofErr w:type="spellEnd"/>
    </w:p>
    <w:p w:rsidR="007A01DF" w:rsidRDefault="007A01DF" w:rsidP="00F9604D">
      <w:pPr>
        <w:pStyle w:val="Default"/>
        <w:keepNext/>
        <w:ind w:left="851"/>
        <w:rPr>
          <w:u w:val="single"/>
        </w:rPr>
      </w:pPr>
    </w:p>
    <w:p w:rsidR="007A01DF" w:rsidRDefault="007A01DF" w:rsidP="007A01DF">
      <w:pPr>
        <w:pStyle w:val="Default"/>
        <w:ind w:left="851"/>
      </w:pPr>
      <w:r>
        <w:t xml:space="preserve">Samtidig brug af enzyminducerende </w:t>
      </w:r>
      <w:proofErr w:type="spellStart"/>
      <w:r>
        <w:t>antikonvulsiva</w:t>
      </w:r>
      <w:proofErr w:type="spellEnd"/>
      <w:r>
        <w:t xml:space="preserve"> (</w:t>
      </w:r>
      <w:proofErr w:type="spellStart"/>
      <w:r>
        <w:t>carbamazepin</w:t>
      </w:r>
      <w:proofErr w:type="spellEnd"/>
      <w:r>
        <w:t xml:space="preserve">, </w:t>
      </w:r>
      <w:proofErr w:type="spellStart"/>
      <w:r>
        <w:t>phenytoin</w:t>
      </w:r>
      <w:proofErr w:type="spellEnd"/>
      <w:r>
        <w:t xml:space="preserve">, </w:t>
      </w:r>
      <w:proofErr w:type="spellStart"/>
      <w:r>
        <w:t>phenobarbital</w:t>
      </w:r>
      <w:proofErr w:type="spellEnd"/>
      <w:r>
        <w:t xml:space="preserve">, </w:t>
      </w:r>
      <w:proofErr w:type="spellStart"/>
      <w:r>
        <w:t>primidon</w:t>
      </w:r>
      <w:proofErr w:type="spellEnd"/>
      <w:r>
        <w:t xml:space="preserve">) kan sænke </w:t>
      </w:r>
      <w:proofErr w:type="spellStart"/>
      <w:r>
        <w:t>methotrexateksponeringen</w:t>
      </w:r>
      <w:proofErr w:type="spellEnd"/>
      <w:r>
        <w:t xml:space="preserve"> og hæmme dens terapeutiske effekt. I tilfælde af samtidig brug, bør justering af </w:t>
      </w:r>
      <w:proofErr w:type="spellStart"/>
      <w:r>
        <w:t>methotrexatdosis</w:t>
      </w:r>
      <w:proofErr w:type="spellEnd"/>
      <w:r>
        <w:t xml:space="preserve"> overvejes. Monitorering af serumniveauer af </w:t>
      </w:r>
      <w:proofErr w:type="spellStart"/>
      <w:r>
        <w:t>methotrexat</w:t>
      </w:r>
      <w:proofErr w:type="spellEnd"/>
      <w:r>
        <w:t xml:space="preserve"> kan være nyttigt.</w:t>
      </w:r>
    </w:p>
    <w:p w:rsidR="007A01DF" w:rsidRDefault="007A01DF" w:rsidP="007A01DF">
      <w:pPr>
        <w:pStyle w:val="Default"/>
        <w:ind w:left="851"/>
        <w:rPr>
          <w:u w:val="single"/>
        </w:rPr>
      </w:pPr>
    </w:p>
    <w:p w:rsidR="007A01DF" w:rsidRDefault="007A01DF" w:rsidP="007A01DF">
      <w:pPr>
        <w:pStyle w:val="Default"/>
        <w:ind w:left="851"/>
      </w:pPr>
      <w:proofErr w:type="spellStart"/>
      <w:r>
        <w:t>Colestyramin</w:t>
      </w:r>
      <w:proofErr w:type="spellEnd"/>
      <w:r>
        <w:t xml:space="preserve"> kan øge den ikke-</w:t>
      </w:r>
      <w:proofErr w:type="spellStart"/>
      <w:r>
        <w:t>renale</w:t>
      </w:r>
      <w:proofErr w:type="spellEnd"/>
      <w:r>
        <w:t xml:space="preserve"> udskillelse af </w:t>
      </w:r>
      <w:proofErr w:type="spellStart"/>
      <w:r>
        <w:t>methotrexat</w:t>
      </w:r>
      <w:proofErr w:type="spellEnd"/>
      <w:r>
        <w:t xml:space="preserve"> ved at interferere med det </w:t>
      </w:r>
      <w:proofErr w:type="spellStart"/>
      <w:r>
        <w:t>enterohepatiske</w:t>
      </w:r>
      <w:proofErr w:type="spellEnd"/>
      <w:r>
        <w:t xml:space="preserve"> kredsløb. Hvis administration af </w:t>
      </w:r>
      <w:proofErr w:type="spellStart"/>
      <w:r>
        <w:t>colestyramin</w:t>
      </w:r>
      <w:proofErr w:type="spellEnd"/>
      <w:r>
        <w:t xml:space="preserve"> ikke kan undgås, bør doseringerne af </w:t>
      </w:r>
      <w:proofErr w:type="spellStart"/>
      <w:r>
        <w:t>colestyramin</w:t>
      </w:r>
      <w:proofErr w:type="spellEnd"/>
      <w:r>
        <w:t xml:space="preserve"> og </w:t>
      </w:r>
      <w:proofErr w:type="spellStart"/>
      <w:r>
        <w:t>methotrexat</w:t>
      </w:r>
      <w:proofErr w:type="spellEnd"/>
      <w:r>
        <w:t xml:space="preserve"> foregå med så stort mellemrum som muligt.</w:t>
      </w:r>
    </w:p>
    <w:p w:rsidR="007A01DF" w:rsidRDefault="007A01DF" w:rsidP="007A01DF">
      <w:pPr>
        <w:pStyle w:val="Default"/>
        <w:ind w:left="851"/>
      </w:pPr>
    </w:p>
    <w:p w:rsidR="007A01DF" w:rsidRDefault="007A01DF" w:rsidP="007A01DF">
      <w:pPr>
        <w:pStyle w:val="Default"/>
        <w:ind w:left="851"/>
      </w:pPr>
      <w:r>
        <w:t xml:space="preserve">Orale antibiotika såsom </w:t>
      </w:r>
      <w:proofErr w:type="spellStart"/>
      <w:r>
        <w:t>tetracycliner</w:t>
      </w:r>
      <w:proofErr w:type="spellEnd"/>
      <w:r>
        <w:t xml:space="preserve">, </w:t>
      </w:r>
      <w:proofErr w:type="spellStart"/>
      <w:r>
        <w:t>chloramphenicol</w:t>
      </w:r>
      <w:proofErr w:type="spellEnd"/>
      <w:r>
        <w:t xml:space="preserve"> og ikke-absorberbare bredspektrede antibiotika kan påvirke den </w:t>
      </w:r>
      <w:proofErr w:type="spellStart"/>
      <w:r>
        <w:t>enterohepatiske</w:t>
      </w:r>
      <w:proofErr w:type="spellEnd"/>
      <w:r>
        <w:t xml:space="preserve"> cirkulation på grund af hæmning af tarmfloraen eller undertrykkelse af bakteriemetabolisme.</w:t>
      </w:r>
    </w:p>
    <w:p w:rsidR="007A01DF" w:rsidRDefault="007A01DF" w:rsidP="007A01DF">
      <w:pPr>
        <w:pStyle w:val="Default"/>
        <w:ind w:left="851"/>
      </w:pPr>
    </w:p>
    <w:p w:rsidR="007A01DF" w:rsidRDefault="007A01DF" w:rsidP="007A01DF">
      <w:pPr>
        <w:pStyle w:val="Default"/>
        <w:ind w:left="851"/>
      </w:pPr>
      <w:proofErr w:type="spellStart"/>
      <w:r>
        <w:rPr>
          <w:i/>
        </w:rPr>
        <w:t>Methotrexats</w:t>
      </w:r>
      <w:proofErr w:type="spellEnd"/>
      <w:r>
        <w:rPr>
          <w:i/>
        </w:rPr>
        <w:t xml:space="preserve"> effekter på andre lægemidler</w:t>
      </w:r>
    </w:p>
    <w:p w:rsidR="007A01DF" w:rsidRDefault="007A01DF" w:rsidP="007A01DF">
      <w:pPr>
        <w:pStyle w:val="Default"/>
        <w:ind w:left="851"/>
      </w:pPr>
    </w:p>
    <w:p w:rsidR="007A01DF" w:rsidRDefault="007A01DF" w:rsidP="007A01DF">
      <w:pPr>
        <w:pStyle w:val="Default"/>
        <w:ind w:left="851"/>
      </w:pPr>
      <w:proofErr w:type="spellStart"/>
      <w:r>
        <w:t>Methotrexat</w:t>
      </w:r>
      <w:proofErr w:type="spellEnd"/>
      <w:r>
        <w:t xml:space="preserve"> øger plasmaniveauerne af </w:t>
      </w:r>
      <w:proofErr w:type="spellStart"/>
      <w:r>
        <w:t>mercaptopurin</w:t>
      </w:r>
      <w:proofErr w:type="spellEnd"/>
      <w:r>
        <w:t xml:space="preserve">. Kombinationen af </w:t>
      </w:r>
      <w:proofErr w:type="spellStart"/>
      <w:r>
        <w:t>methotrexat</w:t>
      </w:r>
      <w:proofErr w:type="spellEnd"/>
      <w:r>
        <w:t xml:space="preserve"> og </w:t>
      </w:r>
      <w:proofErr w:type="spellStart"/>
      <w:r>
        <w:t>mercaptopurin</w:t>
      </w:r>
      <w:proofErr w:type="spellEnd"/>
      <w:r>
        <w:t xml:space="preserve"> kan derfor kræve dosisjustering.</w:t>
      </w:r>
    </w:p>
    <w:p w:rsidR="007A01DF" w:rsidRDefault="007A01DF" w:rsidP="007A01DF">
      <w:pPr>
        <w:pStyle w:val="Default"/>
        <w:ind w:left="851"/>
        <w:rPr>
          <w:u w:val="single"/>
        </w:rPr>
      </w:pPr>
    </w:p>
    <w:p w:rsidR="007A01DF" w:rsidRDefault="007A01DF" w:rsidP="007A01DF">
      <w:pPr>
        <w:pStyle w:val="Default"/>
        <w:ind w:left="851"/>
      </w:pPr>
      <w:r>
        <w:t xml:space="preserve">Opmærksomheden skal være rettet imod </w:t>
      </w:r>
      <w:proofErr w:type="spellStart"/>
      <w:r>
        <w:t>farmakokinetiske</w:t>
      </w:r>
      <w:proofErr w:type="spellEnd"/>
      <w:r>
        <w:t xml:space="preserve"> interaktioner mellem </w:t>
      </w:r>
      <w:proofErr w:type="spellStart"/>
      <w:r>
        <w:t>methotrexat</w:t>
      </w:r>
      <w:proofErr w:type="spellEnd"/>
      <w:r>
        <w:t xml:space="preserve"> og 5-fluoruracil (forøget halveringstid af 5-fluoruracil). Hvis samtidig administration er nødvendig, bør patienten monitoreres for tegn på 5-fluorouraciltoksicitet og dosisjusteringer bør overvejes om nødvendigt.</w:t>
      </w:r>
    </w:p>
    <w:p w:rsidR="007A01DF" w:rsidRDefault="007A01DF" w:rsidP="007A01DF">
      <w:pPr>
        <w:pStyle w:val="Default"/>
        <w:ind w:left="851"/>
      </w:pPr>
    </w:p>
    <w:p w:rsidR="007A01DF" w:rsidRDefault="007A01DF" w:rsidP="007A01DF">
      <w:pPr>
        <w:pStyle w:val="Default"/>
        <w:ind w:left="851"/>
        <w:rPr>
          <w:u w:val="single"/>
        </w:rPr>
      </w:pPr>
      <w:r>
        <w:rPr>
          <w:i/>
          <w:u w:val="single"/>
        </w:rPr>
        <w:t>Stråleterapi</w:t>
      </w:r>
    </w:p>
    <w:p w:rsidR="007A01DF" w:rsidRDefault="007A01DF" w:rsidP="007A01DF">
      <w:pPr>
        <w:pStyle w:val="Default"/>
        <w:ind w:left="851"/>
        <w:rPr>
          <w:u w:val="single"/>
        </w:rPr>
      </w:pPr>
    </w:p>
    <w:p w:rsidR="007A01DF" w:rsidRDefault="007A01DF" w:rsidP="007A01DF">
      <w:pPr>
        <w:pStyle w:val="Default"/>
        <w:ind w:left="851"/>
      </w:pPr>
      <w:r>
        <w:t xml:space="preserve">Stråleterapi samtidig med behandling med </w:t>
      </w:r>
      <w:proofErr w:type="spellStart"/>
      <w:r>
        <w:t>methotrexat</w:t>
      </w:r>
      <w:proofErr w:type="spellEnd"/>
      <w:r>
        <w:t xml:space="preserve"> kan øge risikoen for nekrose af bløddele og knogler.</w:t>
      </w:r>
    </w:p>
    <w:p w:rsidR="007A01DF" w:rsidRDefault="007A01DF" w:rsidP="007A01DF">
      <w:pPr>
        <w:pStyle w:val="Default"/>
        <w:ind w:left="851"/>
        <w:rPr>
          <w:u w:val="single"/>
        </w:rPr>
      </w:pPr>
    </w:p>
    <w:p w:rsidR="007A01DF" w:rsidRDefault="007A01DF" w:rsidP="007A01DF">
      <w:pPr>
        <w:pStyle w:val="Default"/>
        <w:keepNext/>
        <w:ind w:left="851"/>
        <w:rPr>
          <w:i/>
        </w:rPr>
      </w:pPr>
      <w:proofErr w:type="spellStart"/>
      <w:r>
        <w:rPr>
          <w:i/>
        </w:rPr>
        <w:t>Theophyllin</w:t>
      </w:r>
      <w:proofErr w:type="spellEnd"/>
      <w:r>
        <w:rPr>
          <w:i/>
        </w:rPr>
        <w:t xml:space="preserve"> og koffein</w:t>
      </w:r>
    </w:p>
    <w:p w:rsidR="007A01DF" w:rsidRDefault="007A01DF" w:rsidP="007A01DF">
      <w:pPr>
        <w:pStyle w:val="Default"/>
        <w:keepNext/>
        <w:ind w:left="851"/>
      </w:pPr>
    </w:p>
    <w:p w:rsidR="007A01DF" w:rsidRDefault="007A01DF" w:rsidP="007A01DF">
      <w:pPr>
        <w:pStyle w:val="Default"/>
        <w:ind w:left="851"/>
      </w:pPr>
      <w:proofErr w:type="spellStart"/>
      <w:r>
        <w:t>Methotrexat</w:t>
      </w:r>
      <w:proofErr w:type="spellEnd"/>
      <w:r>
        <w:t xml:space="preserve"> kan nedsætte </w:t>
      </w:r>
      <w:proofErr w:type="spellStart"/>
      <w:r>
        <w:t>theophyllins</w:t>
      </w:r>
      <w:proofErr w:type="spellEnd"/>
      <w:r>
        <w:t xml:space="preserve"> </w:t>
      </w:r>
      <w:proofErr w:type="spellStart"/>
      <w:r>
        <w:t>clearance</w:t>
      </w:r>
      <w:proofErr w:type="spellEnd"/>
      <w:r>
        <w:t xml:space="preserve">. Derfor bør </w:t>
      </w:r>
      <w:proofErr w:type="spellStart"/>
      <w:r>
        <w:t>theophyllin</w:t>
      </w:r>
      <w:proofErr w:type="spellEnd"/>
      <w:r>
        <w:t xml:space="preserve">-niveauerne overvåges under samtidig administration af </w:t>
      </w:r>
      <w:proofErr w:type="spellStart"/>
      <w:r>
        <w:t>methotrexat</w:t>
      </w:r>
      <w:proofErr w:type="spellEnd"/>
      <w:r>
        <w:t>.</w:t>
      </w:r>
    </w:p>
    <w:p w:rsidR="007A01DF" w:rsidRDefault="007A01DF" w:rsidP="007A01DF">
      <w:pPr>
        <w:pStyle w:val="Default"/>
        <w:ind w:left="851"/>
      </w:pPr>
    </w:p>
    <w:p w:rsidR="007A01DF" w:rsidRDefault="007A01DF" w:rsidP="007A01DF">
      <w:pPr>
        <w:pStyle w:val="Default"/>
        <w:ind w:left="851"/>
      </w:pPr>
      <w:r>
        <w:t xml:space="preserve">Overdreven indtagelse af drikke, der indeholder koffein- eller </w:t>
      </w:r>
      <w:proofErr w:type="spellStart"/>
      <w:r>
        <w:t>theophyllin</w:t>
      </w:r>
      <w:proofErr w:type="spellEnd"/>
      <w:r>
        <w:t xml:space="preserve"> (kaffe, læskedrikke der indeholder koffein, sort te) bør undgås under behandling med </w:t>
      </w:r>
      <w:proofErr w:type="spellStart"/>
      <w:r>
        <w:t>methotrexat</w:t>
      </w:r>
      <w:proofErr w:type="spellEnd"/>
      <w:r>
        <w:t>,</w:t>
      </w:r>
      <w:r>
        <w:rPr>
          <w:sz w:val="22"/>
          <w:szCs w:val="22"/>
        </w:rPr>
        <w:t xml:space="preserve"> </w:t>
      </w:r>
      <w:r>
        <w:t xml:space="preserve">da </w:t>
      </w:r>
      <w:proofErr w:type="spellStart"/>
      <w:r>
        <w:t>methotrexats</w:t>
      </w:r>
      <w:proofErr w:type="spellEnd"/>
      <w:r>
        <w:t xml:space="preserve"> virkning kan nedsættes på grund af en mulig interaktion mellem </w:t>
      </w:r>
      <w:proofErr w:type="spellStart"/>
      <w:r>
        <w:t>methotrexat</w:t>
      </w:r>
      <w:proofErr w:type="spellEnd"/>
      <w:r>
        <w:t xml:space="preserve"> og </w:t>
      </w:r>
      <w:proofErr w:type="spellStart"/>
      <w:r>
        <w:t>methylxanthiner</w:t>
      </w:r>
      <w:proofErr w:type="spellEnd"/>
      <w:r>
        <w:t xml:space="preserve"> på </w:t>
      </w:r>
      <w:proofErr w:type="spellStart"/>
      <w:r>
        <w:t>adenosinreceptorerne</w:t>
      </w:r>
      <w:proofErr w:type="spellEnd"/>
      <w:r>
        <w:t>.</w:t>
      </w:r>
    </w:p>
    <w:p w:rsidR="007A01DF" w:rsidRDefault="007A01DF" w:rsidP="007A01DF">
      <w:pPr>
        <w:pStyle w:val="Default"/>
        <w:ind w:left="851"/>
        <w:rPr>
          <w:u w:val="single"/>
        </w:rPr>
      </w:pPr>
    </w:p>
    <w:p w:rsidR="007A01DF" w:rsidRDefault="007A01DF" w:rsidP="007A01DF">
      <w:pPr>
        <w:pStyle w:val="Default"/>
        <w:keepNext/>
        <w:ind w:left="851"/>
        <w:rPr>
          <w:u w:val="single"/>
        </w:rPr>
      </w:pPr>
      <w:r>
        <w:rPr>
          <w:i/>
          <w:u w:val="single"/>
        </w:rPr>
        <w:t>Infektionsrisiko og vacciner</w:t>
      </w:r>
    </w:p>
    <w:p w:rsidR="007A01DF" w:rsidRDefault="007A01DF" w:rsidP="007A01DF">
      <w:pPr>
        <w:pStyle w:val="Default"/>
        <w:keepNext/>
        <w:ind w:left="851"/>
        <w:rPr>
          <w:u w:val="single"/>
        </w:rPr>
      </w:pPr>
    </w:p>
    <w:p w:rsidR="007A01DF" w:rsidRDefault="007A01DF" w:rsidP="007A01DF">
      <w:pPr>
        <w:pStyle w:val="Default"/>
        <w:ind w:left="851"/>
      </w:pPr>
      <w:r>
        <w:t xml:space="preserve">Vaccination med levende vacciner kan forårsage alvorlige og fatale infektioner hos patienter der er i behandling med kemoterapeutika (se pkt. 4.3). På grund af </w:t>
      </w:r>
      <w:proofErr w:type="spellStart"/>
      <w:r>
        <w:t>methotrexats</w:t>
      </w:r>
      <w:proofErr w:type="spellEnd"/>
      <w:r>
        <w:t xml:space="preserve"> mulige virkninger på immunsystemet kan det være årsag til falske vaccinations- og prøveresultater (immunologiske procedurer til vurdering af immunreaktionen). Under behandling med </w:t>
      </w:r>
      <w:proofErr w:type="spellStart"/>
      <w:r>
        <w:t>methotrexat</w:t>
      </w:r>
      <w:proofErr w:type="spellEnd"/>
      <w:r>
        <w:t xml:space="preserve"> bør vaccination med levende vacciner undgås (se pkt. 4.3 og 4.4).</w:t>
      </w:r>
    </w:p>
    <w:p w:rsidR="007A01DF" w:rsidRDefault="007A01DF" w:rsidP="007A01DF">
      <w:pPr>
        <w:pStyle w:val="Default"/>
        <w:ind w:left="851"/>
      </w:pPr>
    </w:p>
    <w:p w:rsidR="007A01DF" w:rsidRDefault="007A01DF" w:rsidP="007A01DF">
      <w:pPr>
        <w:pStyle w:val="Default"/>
        <w:ind w:left="851"/>
      </w:pPr>
      <w:r>
        <w:lastRenderedPageBreak/>
        <w:t xml:space="preserve">Specielt i tilfælde af ortopædkirurgi skal der udvises forsigtighed ved kombinationsbehandling med </w:t>
      </w:r>
      <w:proofErr w:type="spellStart"/>
      <w:r>
        <w:t>methotrexat</w:t>
      </w:r>
      <w:proofErr w:type="spellEnd"/>
      <w:r>
        <w:t xml:space="preserve"> og immunmodulerende lægemidler på grund af den høje infektionsrisiko.</w:t>
      </w:r>
    </w:p>
    <w:p w:rsidR="007A01DF" w:rsidRPr="00D74103" w:rsidRDefault="007A01DF" w:rsidP="007A01DF">
      <w:pPr>
        <w:ind w:left="851" w:hanging="851"/>
        <w:rPr>
          <w:sz w:val="24"/>
          <w:szCs w:val="24"/>
        </w:rPr>
      </w:pPr>
    </w:p>
    <w:p w:rsidR="007A01DF" w:rsidRDefault="007A01DF" w:rsidP="007A01DF">
      <w:pPr>
        <w:ind w:left="851" w:hanging="851"/>
        <w:rPr>
          <w:b/>
          <w:sz w:val="24"/>
          <w:szCs w:val="24"/>
        </w:rPr>
      </w:pPr>
      <w:r w:rsidRPr="00D74103">
        <w:rPr>
          <w:b/>
          <w:sz w:val="24"/>
          <w:szCs w:val="24"/>
        </w:rPr>
        <w:t>4.6</w:t>
      </w:r>
      <w:r w:rsidRPr="00D74103">
        <w:rPr>
          <w:b/>
          <w:sz w:val="24"/>
          <w:szCs w:val="24"/>
        </w:rPr>
        <w:tab/>
      </w:r>
      <w:r w:rsidR="00053E9D">
        <w:rPr>
          <w:b/>
          <w:sz w:val="24"/>
          <w:szCs w:val="24"/>
        </w:rPr>
        <w:t>Fertilitet, g</w:t>
      </w:r>
      <w:r w:rsidRPr="00D74103">
        <w:rPr>
          <w:b/>
          <w:sz w:val="24"/>
          <w:szCs w:val="24"/>
        </w:rPr>
        <w:t>raviditet og amning</w:t>
      </w:r>
    </w:p>
    <w:p w:rsidR="000961C7" w:rsidRPr="00213F73" w:rsidRDefault="000961C7" w:rsidP="007A01DF">
      <w:pPr>
        <w:ind w:left="851" w:hanging="851"/>
        <w:rPr>
          <w:b/>
          <w:sz w:val="24"/>
          <w:szCs w:val="24"/>
        </w:rPr>
      </w:pPr>
    </w:p>
    <w:p w:rsidR="007A01DF" w:rsidRPr="00991931" w:rsidRDefault="007A01DF" w:rsidP="007A01DF">
      <w:pPr>
        <w:pStyle w:val="Default"/>
        <w:ind w:firstLine="851"/>
        <w:rPr>
          <w:sz w:val="28"/>
        </w:rPr>
      </w:pPr>
      <w:r w:rsidRPr="00991931">
        <w:rPr>
          <w:szCs w:val="22"/>
          <w:u w:val="single"/>
        </w:rPr>
        <w:t>Fertile kvinder/prævention hos kvinder</w:t>
      </w:r>
    </w:p>
    <w:p w:rsidR="007A01DF" w:rsidRPr="00991931" w:rsidRDefault="007A01DF" w:rsidP="007A01DF">
      <w:pPr>
        <w:autoSpaceDE w:val="0"/>
        <w:autoSpaceDN w:val="0"/>
        <w:adjustRightInd w:val="0"/>
        <w:ind w:left="851"/>
        <w:rPr>
          <w:sz w:val="24"/>
          <w:szCs w:val="24"/>
          <w:u w:val="single"/>
        </w:rPr>
      </w:pPr>
      <w:r w:rsidRPr="00991931">
        <w:rPr>
          <w:sz w:val="24"/>
          <w:szCs w:val="22"/>
        </w:rPr>
        <w:t xml:space="preserve">Kvinder må ikke blive gravide under behandling med </w:t>
      </w:r>
      <w:proofErr w:type="spellStart"/>
      <w:r w:rsidRPr="00991931">
        <w:rPr>
          <w:sz w:val="24"/>
          <w:szCs w:val="22"/>
        </w:rPr>
        <w:t>methotrexat</w:t>
      </w:r>
      <w:proofErr w:type="spellEnd"/>
      <w:r w:rsidRPr="00991931">
        <w:rPr>
          <w:sz w:val="24"/>
          <w:szCs w:val="22"/>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991931">
        <w:rPr>
          <w:sz w:val="24"/>
          <w:szCs w:val="22"/>
        </w:rPr>
        <w:t>methotrexat</w:t>
      </w:r>
      <w:proofErr w:type="spellEnd"/>
      <w:r w:rsidRPr="00991931">
        <w:rPr>
          <w:sz w:val="24"/>
          <w:szCs w:val="22"/>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7A01DF" w:rsidRPr="00991931" w:rsidRDefault="007A01DF" w:rsidP="007A01DF">
      <w:pPr>
        <w:autoSpaceDE w:val="0"/>
        <w:autoSpaceDN w:val="0"/>
        <w:adjustRightInd w:val="0"/>
        <w:ind w:left="851"/>
        <w:rPr>
          <w:sz w:val="24"/>
          <w:szCs w:val="24"/>
          <w:u w:val="single"/>
        </w:rPr>
      </w:pPr>
    </w:p>
    <w:p w:rsidR="007A01DF" w:rsidRPr="00991931" w:rsidRDefault="007A01DF" w:rsidP="007A01DF">
      <w:pPr>
        <w:autoSpaceDE w:val="0"/>
        <w:autoSpaceDN w:val="0"/>
        <w:adjustRightInd w:val="0"/>
        <w:ind w:left="851"/>
        <w:rPr>
          <w:sz w:val="24"/>
          <w:szCs w:val="24"/>
          <w:u w:val="single"/>
        </w:rPr>
      </w:pPr>
      <w:r w:rsidRPr="00991931">
        <w:rPr>
          <w:sz w:val="24"/>
          <w:szCs w:val="24"/>
          <w:u w:val="single"/>
        </w:rPr>
        <w:t>Prævention hos mænd</w:t>
      </w:r>
    </w:p>
    <w:p w:rsidR="007A01DF" w:rsidRPr="00991931" w:rsidRDefault="007A01DF" w:rsidP="007A01DF">
      <w:pPr>
        <w:autoSpaceDE w:val="0"/>
        <w:autoSpaceDN w:val="0"/>
        <w:adjustRightInd w:val="0"/>
        <w:ind w:left="851"/>
        <w:rPr>
          <w:sz w:val="24"/>
          <w:szCs w:val="24"/>
        </w:rPr>
      </w:pPr>
      <w:r w:rsidRPr="00991931">
        <w:rPr>
          <w:sz w:val="24"/>
          <w:szCs w:val="24"/>
        </w:rPr>
        <w:t xml:space="preserve">Det vides ikke, om </w:t>
      </w:r>
      <w:proofErr w:type="spellStart"/>
      <w:r w:rsidRPr="00991931">
        <w:rPr>
          <w:sz w:val="24"/>
          <w:szCs w:val="24"/>
        </w:rPr>
        <w:t>methotrexat</w:t>
      </w:r>
      <w:proofErr w:type="spellEnd"/>
      <w:r w:rsidRPr="00991931">
        <w:rPr>
          <w:sz w:val="24"/>
          <w:szCs w:val="24"/>
        </w:rPr>
        <w:t xml:space="preserve"> udskilles i sæd. Det er i dyreforsøg påvist, at </w:t>
      </w:r>
      <w:proofErr w:type="spellStart"/>
      <w:r w:rsidRPr="00991931">
        <w:rPr>
          <w:sz w:val="24"/>
          <w:szCs w:val="24"/>
        </w:rPr>
        <w:t>methotrexat</w:t>
      </w:r>
      <w:proofErr w:type="spellEnd"/>
      <w:r w:rsidRPr="00991931">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991931">
        <w:rPr>
          <w:sz w:val="24"/>
          <w:szCs w:val="24"/>
        </w:rPr>
        <w:t>paternel</w:t>
      </w:r>
      <w:proofErr w:type="spellEnd"/>
      <w:r w:rsidRPr="00991931">
        <w:rPr>
          <w:sz w:val="24"/>
          <w:szCs w:val="24"/>
        </w:rPr>
        <w:t xml:space="preserve"> eksponering for </w:t>
      </w:r>
      <w:proofErr w:type="spellStart"/>
      <w:r w:rsidRPr="00991931">
        <w:rPr>
          <w:sz w:val="24"/>
          <w:szCs w:val="24"/>
        </w:rPr>
        <w:t>methotrexat</w:t>
      </w:r>
      <w:proofErr w:type="spellEnd"/>
      <w:r w:rsidRPr="00991931">
        <w:rPr>
          <w:sz w:val="24"/>
          <w:szCs w:val="24"/>
        </w:rPr>
        <w:t xml:space="preserve"> i lave doser (mindre end 30</w:t>
      </w:r>
      <w:r w:rsidR="00074246">
        <w:rPr>
          <w:sz w:val="24"/>
          <w:szCs w:val="24"/>
        </w:rPr>
        <w:t> </w:t>
      </w:r>
      <w:r w:rsidRPr="00991931">
        <w:rPr>
          <w:sz w:val="24"/>
          <w:szCs w:val="24"/>
        </w:rPr>
        <w:t xml:space="preserve">mg pr. uge). Hvad angår højere doser, er der ikke tilstrækkelige data til at estimere risikoen for misdannelser eller abort efter </w:t>
      </w:r>
      <w:proofErr w:type="spellStart"/>
      <w:r w:rsidRPr="00991931">
        <w:rPr>
          <w:sz w:val="24"/>
          <w:szCs w:val="24"/>
        </w:rPr>
        <w:t>paternel</w:t>
      </w:r>
      <w:proofErr w:type="spellEnd"/>
      <w:r w:rsidRPr="00991931">
        <w:rPr>
          <w:sz w:val="24"/>
          <w:szCs w:val="24"/>
        </w:rPr>
        <w:t xml:space="preserve"> eksponering.</w:t>
      </w:r>
    </w:p>
    <w:p w:rsidR="007A01DF" w:rsidRPr="00991931" w:rsidRDefault="007A01DF" w:rsidP="007A01DF">
      <w:pPr>
        <w:autoSpaceDE w:val="0"/>
        <w:autoSpaceDN w:val="0"/>
        <w:adjustRightInd w:val="0"/>
        <w:ind w:left="851"/>
        <w:rPr>
          <w:sz w:val="24"/>
          <w:szCs w:val="24"/>
        </w:rPr>
      </w:pPr>
    </w:p>
    <w:p w:rsidR="007A01DF" w:rsidRPr="00991931" w:rsidRDefault="007A01DF" w:rsidP="007A01DF">
      <w:pPr>
        <w:autoSpaceDE w:val="0"/>
        <w:autoSpaceDN w:val="0"/>
        <w:adjustRightInd w:val="0"/>
        <w:ind w:left="851"/>
        <w:rPr>
          <w:sz w:val="24"/>
          <w:szCs w:val="24"/>
        </w:rPr>
      </w:pPr>
      <w:r w:rsidRPr="00991931">
        <w:rPr>
          <w:sz w:val="24"/>
          <w:szCs w:val="24"/>
        </w:rPr>
        <w:t xml:space="preserve">Som forholdsregel anbefales seksuelt aktive mandlige patienter eller deres kvindelige partnere at anvende sikker prævention under behandlingen af den mandlige patient og i mindst </w:t>
      </w:r>
      <w:r w:rsidR="00053E9D">
        <w:rPr>
          <w:sz w:val="24"/>
          <w:szCs w:val="24"/>
        </w:rPr>
        <w:t>tre</w:t>
      </w:r>
      <w:r w:rsidRPr="00991931">
        <w:rPr>
          <w:sz w:val="24"/>
          <w:szCs w:val="24"/>
        </w:rPr>
        <w:t xml:space="preserve"> måneder efter </w:t>
      </w:r>
      <w:proofErr w:type="spellStart"/>
      <w:r w:rsidRPr="00991931">
        <w:rPr>
          <w:sz w:val="24"/>
          <w:szCs w:val="24"/>
        </w:rPr>
        <w:t>seponering</w:t>
      </w:r>
      <w:proofErr w:type="spellEnd"/>
      <w:r w:rsidRPr="00991931">
        <w:rPr>
          <w:sz w:val="24"/>
          <w:szCs w:val="24"/>
        </w:rPr>
        <w:t xml:space="preserve">. Mænd bør ikke donere sæd under behandling med </w:t>
      </w:r>
      <w:proofErr w:type="spellStart"/>
      <w:r w:rsidRPr="00991931">
        <w:rPr>
          <w:sz w:val="24"/>
          <w:szCs w:val="24"/>
        </w:rPr>
        <w:t>methotrexat</w:t>
      </w:r>
      <w:proofErr w:type="spellEnd"/>
      <w:r w:rsidRPr="00991931">
        <w:rPr>
          <w:sz w:val="24"/>
          <w:szCs w:val="24"/>
        </w:rPr>
        <w:t xml:space="preserve"> og i </w:t>
      </w:r>
      <w:r w:rsidR="00053E9D">
        <w:rPr>
          <w:sz w:val="24"/>
          <w:szCs w:val="24"/>
        </w:rPr>
        <w:t>tre</w:t>
      </w:r>
      <w:r w:rsidRPr="00991931">
        <w:rPr>
          <w:sz w:val="24"/>
          <w:szCs w:val="24"/>
        </w:rPr>
        <w:t xml:space="preserve"> måneder efter </w:t>
      </w:r>
      <w:proofErr w:type="spellStart"/>
      <w:r w:rsidRPr="00991931">
        <w:rPr>
          <w:sz w:val="24"/>
          <w:szCs w:val="24"/>
        </w:rPr>
        <w:t>seponering</w:t>
      </w:r>
      <w:proofErr w:type="spellEnd"/>
      <w:r w:rsidRPr="00991931">
        <w:rPr>
          <w:sz w:val="24"/>
          <w:szCs w:val="24"/>
        </w:rPr>
        <w:t>.</w:t>
      </w:r>
    </w:p>
    <w:p w:rsidR="007A01DF" w:rsidRPr="00991931" w:rsidRDefault="007A01DF" w:rsidP="007A01DF">
      <w:pPr>
        <w:autoSpaceDE w:val="0"/>
        <w:autoSpaceDN w:val="0"/>
        <w:adjustRightInd w:val="0"/>
        <w:ind w:left="851"/>
        <w:rPr>
          <w:sz w:val="24"/>
          <w:szCs w:val="24"/>
          <w:u w:val="single"/>
        </w:rPr>
      </w:pPr>
    </w:p>
    <w:p w:rsidR="007A01DF" w:rsidRPr="00991931" w:rsidRDefault="007A01DF" w:rsidP="007A01DF">
      <w:pPr>
        <w:autoSpaceDE w:val="0"/>
        <w:autoSpaceDN w:val="0"/>
        <w:adjustRightInd w:val="0"/>
        <w:ind w:left="851"/>
        <w:rPr>
          <w:sz w:val="24"/>
          <w:szCs w:val="24"/>
          <w:u w:val="single"/>
        </w:rPr>
      </w:pPr>
      <w:r w:rsidRPr="00991931">
        <w:rPr>
          <w:sz w:val="24"/>
          <w:szCs w:val="24"/>
          <w:u w:val="single"/>
        </w:rPr>
        <w:t>Graviditet</w:t>
      </w:r>
    </w:p>
    <w:p w:rsidR="007A01DF" w:rsidRPr="00991931" w:rsidRDefault="007A01DF" w:rsidP="007A01DF">
      <w:pPr>
        <w:autoSpaceDE w:val="0"/>
        <w:autoSpaceDN w:val="0"/>
        <w:adjustRightInd w:val="0"/>
        <w:ind w:left="851"/>
        <w:rPr>
          <w:sz w:val="24"/>
          <w:szCs w:val="24"/>
        </w:rPr>
      </w:pPr>
      <w:proofErr w:type="spellStart"/>
      <w:r w:rsidRPr="00991931">
        <w:rPr>
          <w:sz w:val="24"/>
          <w:szCs w:val="24"/>
        </w:rPr>
        <w:t>Methotrexat</w:t>
      </w:r>
      <w:proofErr w:type="spellEnd"/>
      <w:r w:rsidRPr="00991931">
        <w:rPr>
          <w:sz w:val="24"/>
          <w:szCs w:val="24"/>
        </w:rPr>
        <w:t xml:space="preserve"> er kontraindiceret under graviditet ved ikke-onkologiske indikationer (se pkt. 4.3). Hvis der opstår graviditet under eller op til seks måneder efter behandling med </w:t>
      </w:r>
      <w:proofErr w:type="spellStart"/>
      <w:r w:rsidRPr="00991931">
        <w:rPr>
          <w:sz w:val="24"/>
          <w:szCs w:val="24"/>
        </w:rPr>
        <w:t>methotrexat</w:t>
      </w:r>
      <w:proofErr w:type="spellEnd"/>
      <w:r w:rsidRPr="00991931">
        <w:rPr>
          <w:sz w:val="24"/>
          <w:szCs w:val="24"/>
        </w:rPr>
        <w:t>, bør patienten rådgives om risikoen for, at behandlingen skader barnet, og det bør ved ultralydsscanninger bekræftes, at fosterudviklingen er normal.</w:t>
      </w:r>
    </w:p>
    <w:p w:rsidR="007A01DF" w:rsidRPr="00991931" w:rsidRDefault="007A01DF" w:rsidP="007A01DF">
      <w:pPr>
        <w:autoSpaceDE w:val="0"/>
        <w:autoSpaceDN w:val="0"/>
        <w:adjustRightInd w:val="0"/>
        <w:ind w:left="851"/>
        <w:rPr>
          <w:sz w:val="24"/>
          <w:szCs w:val="24"/>
        </w:rPr>
      </w:pPr>
    </w:p>
    <w:p w:rsidR="007A01DF" w:rsidRPr="00991931" w:rsidRDefault="007A01DF" w:rsidP="007A01DF">
      <w:pPr>
        <w:autoSpaceDE w:val="0"/>
        <w:autoSpaceDN w:val="0"/>
        <w:adjustRightInd w:val="0"/>
        <w:ind w:left="851"/>
        <w:rPr>
          <w:sz w:val="24"/>
          <w:szCs w:val="24"/>
        </w:rPr>
      </w:pPr>
      <w:proofErr w:type="spellStart"/>
      <w:r w:rsidRPr="00991931">
        <w:rPr>
          <w:sz w:val="24"/>
          <w:szCs w:val="24"/>
        </w:rPr>
        <w:t>Methotrexat</w:t>
      </w:r>
      <w:proofErr w:type="spellEnd"/>
      <w:r w:rsidRPr="00991931">
        <w:rPr>
          <w:sz w:val="24"/>
          <w:szCs w:val="24"/>
        </w:rPr>
        <w:t xml:space="preserve"> har udvist reproduktionstoksicitet i dyreforsøg, navnlig i første tredjedel af drægtighedsperioden (se pkt. 5.3). Det er påvist, at </w:t>
      </w:r>
      <w:proofErr w:type="spellStart"/>
      <w:r w:rsidRPr="00991931">
        <w:rPr>
          <w:sz w:val="24"/>
          <w:szCs w:val="24"/>
        </w:rPr>
        <w:t>methotrexat</w:t>
      </w:r>
      <w:proofErr w:type="spellEnd"/>
      <w:r w:rsidRPr="00991931">
        <w:rPr>
          <w:sz w:val="24"/>
          <w:szCs w:val="24"/>
        </w:rPr>
        <w:t xml:space="preserve"> er </w:t>
      </w:r>
      <w:proofErr w:type="spellStart"/>
      <w:r w:rsidRPr="00991931">
        <w:rPr>
          <w:sz w:val="24"/>
          <w:szCs w:val="24"/>
        </w:rPr>
        <w:t>teratogent</w:t>
      </w:r>
      <w:proofErr w:type="spellEnd"/>
      <w:r w:rsidRPr="00991931">
        <w:rPr>
          <w:sz w:val="24"/>
          <w:szCs w:val="24"/>
        </w:rPr>
        <w:t xml:space="preserve"> for mennesker, idet der er rapporteret om fosterdød, aborter og/eller medfødte </w:t>
      </w:r>
      <w:proofErr w:type="spellStart"/>
      <w:r w:rsidRPr="00991931">
        <w:rPr>
          <w:sz w:val="24"/>
          <w:szCs w:val="24"/>
        </w:rPr>
        <w:t>anomaliteter</w:t>
      </w:r>
      <w:proofErr w:type="spellEnd"/>
      <w:r w:rsidRPr="00991931">
        <w:rPr>
          <w:sz w:val="24"/>
          <w:szCs w:val="24"/>
        </w:rPr>
        <w:t xml:space="preserve"> (f.eks. i kraniet/ansigtet, hjertet/blodkarrene, centralnervesystemet og ekstremiteterne). </w:t>
      </w:r>
    </w:p>
    <w:p w:rsidR="007A01DF" w:rsidRPr="00991931" w:rsidRDefault="007A01DF" w:rsidP="007A01DF">
      <w:pPr>
        <w:autoSpaceDE w:val="0"/>
        <w:autoSpaceDN w:val="0"/>
        <w:adjustRightInd w:val="0"/>
        <w:ind w:left="851"/>
        <w:rPr>
          <w:sz w:val="24"/>
          <w:szCs w:val="24"/>
        </w:rPr>
      </w:pPr>
    </w:p>
    <w:p w:rsidR="007A01DF" w:rsidRPr="00991931" w:rsidRDefault="007A01DF" w:rsidP="007A01DF">
      <w:pPr>
        <w:autoSpaceDE w:val="0"/>
        <w:autoSpaceDN w:val="0"/>
        <w:adjustRightInd w:val="0"/>
        <w:ind w:left="851"/>
        <w:rPr>
          <w:sz w:val="24"/>
          <w:szCs w:val="24"/>
        </w:rPr>
      </w:pPr>
      <w:proofErr w:type="spellStart"/>
      <w:r w:rsidRPr="00991931">
        <w:rPr>
          <w:sz w:val="24"/>
          <w:szCs w:val="24"/>
        </w:rPr>
        <w:t>Methotrexat</w:t>
      </w:r>
      <w:proofErr w:type="spellEnd"/>
      <w:r w:rsidRPr="00991931">
        <w:rPr>
          <w:sz w:val="24"/>
          <w:szCs w:val="24"/>
        </w:rPr>
        <w:t xml:space="preserve"> er et kraftigt humant </w:t>
      </w:r>
      <w:proofErr w:type="spellStart"/>
      <w:r w:rsidRPr="00991931">
        <w:rPr>
          <w:sz w:val="24"/>
          <w:szCs w:val="24"/>
        </w:rPr>
        <w:t>teratogen</w:t>
      </w:r>
      <w:proofErr w:type="spellEnd"/>
      <w:r w:rsidRPr="00991931">
        <w:rPr>
          <w:sz w:val="24"/>
          <w:szCs w:val="24"/>
        </w:rPr>
        <w:t>, der medfører øget risiko for spontan abort, intrauterin vækstbegrænsning og medfødte misdannelser i tilfælde af eksponering under graviditet.</w:t>
      </w:r>
    </w:p>
    <w:p w:rsidR="007A01DF" w:rsidRPr="00991931" w:rsidRDefault="007A01DF" w:rsidP="007A01DF">
      <w:pPr>
        <w:pStyle w:val="Listeafsnit"/>
        <w:numPr>
          <w:ilvl w:val="0"/>
          <w:numId w:val="8"/>
        </w:numPr>
        <w:autoSpaceDE w:val="0"/>
        <w:autoSpaceDN w:val="0"/>
        <w:adjustRightInd w:val="0"/>
      </w:pPr>
      <w:r w:rsidRPr="00991931">
        <w:t xml:space="preserve">Der er rapporteret om spontane aborter hos 42,5 % af de gravide kvinder, der blev behandlet med </w:t>
      </w:r>
      <w:proofErr w:type="spellStart"/>
      <w:r w:rsidRPr="00991931">
        <w:t>methotrexat</w:t>
      </w:r>
      <w:proofErr w:type="spellEnd"/>
      <w:r w:rsidRPr="00991931">
        <w:t xml:space="preserve"> i lave doser (mindre end 30 mg pr. uge), sammenholdt med en rapporteret forekomst på 22,5 % hos sygdomsmatchede patienter, der blev behandlet med andre lægemidler end </w:t>
      </w:r>
      <w:proofErr w:type="spellStart"/>
      <w:r w:rsidRPr="00991931">
        <w:t>methotrexat</w:t>
      </w:r>
      <w:proofErr w:type="spellEnd"/>
      <w:r w:rsidRPr="00991931">
        <w:t>.</w:t>
      </w:r>
    </w:p>
    <w:p w:rsidR="007A01DF" w:rsidRPr="00991931" w:rsidRDefault="007A01DF" w:rsidP="007A01DF">
      <w:pPr>
        <w:pStyle w:val="Listeafsnit"/>
        <w:numPr>
          <w:ilvl w:val="0"/>
          <w:numId w:val="8"/>
        </w:numPr>
        <w:autoSpaceDE w:val="0"/>
        <w:autoSpaceDN w:val="0"/>
        <w:adjustRightInd w:val="0"/>
      </w:pPr>
      <w:r w:rsidRPr="00991931">
        <w:t xml:space="preserve">Alvorlige fødselsdefekter sås hos 6,6 % af de levendefødte børn af kvinder, der var blevet behandlet med </w:t>
      </w:r>
      <w:proofErr w:type="spellStart"/>
      <w:r w:rsidRPr="00991931">
        <w:t>methotrexat</w:t>
      </w:r>
      <w:proofErr w:type="spellEnd"/>
      <w:r w:rsidRPr="00991931">
        <w:t xml:space="preserve"> i lave doser (mindre end 30 mg/uge) under graviditeten, sammenholdt med ca. 4 % af de levendefødte børn af sygdomsmatchede patienter, der var blevet behandlet med andre lægemidler end </w:t>
      </w:r>
      <w:proofErr w:type="spellStart"/>
      <w:r w:rsidRPr="00991931">
        <w:t>methotrexat</w:t>
      </w:r>
      <w:proofErr w:type="spellEnd"/>
      <w:r w:rsidRPr="00991931">
        <w:t>.</w:t>
      </w:r>
    </w:p>
    <w:p w:rsidR="007A01DF" w:rsidRPr="00991931" w:rsidRDefault="007A01DF" w:rsidP="007A01DF">
      <w:pPr>
        <w:autoSpaceDE w:val="0"/>
        <w:autoSpaceDN w:val="0"/>
        <w:adjustRightInd w:val="0"/>
        <w:ind w:left="851"/>
        <w:rPr>
          <w:sz w:val="24"/>
          <w:szCs w:val="24"/>
        </w:rPr>
      </w:pPr>
    </w:p>
    <w:p w:rsidR="007A01DF" w:rsidRPr="00991931" w:rsidRDefault="007A01DF" w:rsidP="007A01DF">
      <w:pPr>
        <w:autoSpaceDE w:val="0"/>
        <w:autoSpaceDN w:val="0"/>
        <w:adjustRightInd w:val="0"/>
        <w:ind w:left="851"/>
        <w:rPr>
          <w:sz w:val="24"/>
          <w:szCs w:val="24"/>
        </w:rPr>
      </w:pPr>
      <w:r w:rsidRPr="00991931">
        <w:rPr>
          <w:sz w:val="24"/>
          <w:szCs w:val="24"/>
        </w:rPr>
        <w:t xml:space="preserve">De tilgængelige data for eksponering for </w:t>
      </w:r>
      <w:proofErr w:type="spellStart"/>
      <w:r w:rsidRPr="00991931">
        <w:rPr>
          <w:sz w:val="24"/>
          <w:szCs w:val="24"/>
        </w:rPr>
        <w:t>methotrexat</w:t>
      </w:r>
      <w:proofErr w:type="spellEnd"/>
      <w:r w:rsidRPr="00991931">
        <w:rPr>
          <w:sz w:val="24"/>
          <w:szCs w:val="24"/>
        </w:rPr>
        <w:t>-doser over 30 mg/uge under graviditet er begrænsede, men der forventes en højere forekomst af spontane aborter og medfødte misdannelser.</w:t>
      </w:r>
    </w:p>
    <w:p w:rsidR="007A01DF" w:rsidRPr="00991931" w:rsidRDefault="007A01DF" w:rsidP="007A01DF">
      <w:pPr>
        <w:autoSpaceDE w:val="0"/>
        <w:autoSpaceDN w:val="0"/>
        <w:adjustRightInd w:val="0"/>
        <w:ind w:left="851"/>
        <w:rPr>
          <w:sz w:val="24"/>
          <w:szCs w:val="24"/>
        </w:rPr>
      </w:pPr>
    </w:p>
    <w:p w:rsidR="007A01DF" w:rsidRPr="00991931" w:rsidRDefault="007A01DF" w:rsidP="007A01DF">
      <w:pPr>
        <w:autoSpaceDE w:val="0"/>
        <w:autoSpaceDN w:val="0"/>
        <w:adjustRightInd w:val="0"/>
        <w:ind w:left="851"/>
        <w:rPr>
          <w:sz w:val="24"/>
          <w:szCs w:val="24"/>
        </w:rPr>
      </w:pPr>
      <w:r w:rsidRPr="00991931">
        <w:rPr>
          <w:sz w:val="24"/>
          <w:szCs w:val="24"/>
        </w:rPr>
        <w:t xml:space="preserve">Når </w:t>
      </w:r>
      <w:proofErr w:type="spellStart"/>
      <w:r w:rsidRPr="00991931">
        <w:rPr>
          <w:sz w:val="24"/>
          <w:szCs w:val="24"/>
        </w:rPr>
        <w:t>methotrexat</w:t>
      </w:r>
      <w:proofErr w:type="spellEnd"/>
      <w:r w:rsidRPr="00991931">
        <w:rPr>
          <w:sz w:val="24"/>
          <w:szCs w:val="24"/>
        </w:rPr>
        <w:t xml:space="preserve"> blev seponeret inden undfangelsen, blev der beskrevet normale graviditeter.</w:t>
      </w:r>
    </w:p>
    <w:p w:rsidR="007A01DF" w:rsidRPr="00991931" w:rsidRDefault="007A01DF" w:rsidP="007A01DF">
      <w:pPr>
        <w:ind w:left="851"/>
        <w:rPr>
          <w:sz w:val="24"/>
          <w:szCs w:val="24"/>
        </w:rPr>
      </w:pPr>
    </w:p>
    <w:p w:rsidR="007A01DF" w:rsidRPr="00991931" w:rsidRDefault="007A01DF" w:rsidP="007A01DF">
      <w:pPr>
        <w:autoSpaceDE w:val="0"/>
        <w:autoSpaceDN w:val="0"/>
        <w:adjustRightInd w:val="0"/>
        <w:ind w:left="851"/>
        <w:rPr>
          <w:sz w:val="24"/>
          <w:szCs w:val="24"/>
          <w:u w:val="single"/>
        </w:rPr>
      </w:pPr>
      <w:r w:rsidRPr="00991931">
        <w:rPr>
          <w:sz w:val="24"/>
          <w:szCs w:val="24"/>
          <w:u w:val="single"/>
        </w:rPr>
        <w:t xml:space="preserve">Amning </w:t>
      </w:r>
    </w:p>
    <w:p w:rsidR="007A01DF" w:rsidRPr="00991931" w:rsidRDefault="007A01DF" w:rsidP="007A01DF">
      <w:pPr>
        <w:autoSpaceDE w:val="0"/>
        <w:autoSpaceDN w:val="0"/>
        <w:adjustRightInd w:val="0"/>
        <w:ind w:left="851"/>
        <w:rPr>
          <w:sz w:val="24"/>
          <w:szCs w:val="24"/>
        </w:rPr>
      </w:pPr>
      <w:proofErr w:type="spellStart"/>
      <w:r w:rsidRPr="00991931">
        <w:rPr>
          <w:sz w:val="24"/>
          <w:szCs w:val="24"/>
        </w:rPr>
        <w:t>Methotrexat</w:t>
      </w:r>
      <w:proofErr w:type="spellEnd"/>
      <w:r w:rsidRPr="00991931">
        <w:rPr>
          <w:sz w:val="24"/>
          <w:szCs w:val="24"/>
        </w:rPr>
        <w:t xml:space="preserve"> udskilles i human mælk og kan medføre toksicitet hos barnet, der ammes. Behandlingen er kontraindiceret under amning (se pkt.</w:t>
      </w:r>
      <w:r w:rsidR="00E20C9E">
        <w:rPr>
          <w:sz w:val="24"/>
          <w:szCs w:val="24"/>
        </w:rPr>
        <w:t> </w:t>
      </w:r>
      <w:r w:rsidRPr="00991931">
        <w:rPr>
          <w:sz w:val="24"/>
          <w:szCs w:val="24"/>
        </w:rPr>
        <w:t>4.3). Hvis anvendelse under amning bliver nødvendig, skal amning afbrydes inden behandlingen.</w:t>
      </w:r>
    </w:p>
    <w:p w:rsidR="007A01DF" w:rsidRPr="00991931" w:rsidRDefault="007A01DF" w:rsidP="007A01DF">
      <w:pPr>
        <w:shd w:val="clear" w:color="auto" w:fill="FFFFFF"/>
        <w:ind w:left="851"/>
        <w:rPr>
          <w:sz w:val="24"/>
          <w:szCs w:val="24"/>
          <w:u w:val="single"/>
        </w:rPr>
      </w:pPr>
    </w:p>
    <w:p w:rsidR="007A01DF" w:rsidRPr="00991931" w:rsidRDefault="007A01DF" w:rsidP="007A01DF">
      <w:pPr>
        <w:shd w:val="clear" w:color="auto" w:fill="FFFFFF"/>
        <w:ind w:left="851"/>
        <w:rPr>
          <w:sz w:val="24"/>
          <w:szCs w:val="24"/>
          <w:u w:val="single"/>
        </w:rPr>
      </w:pPr>
      <w:r w:rsidRPr="00991931">
        <w:rPr>
          <w:sz w:val="24"/>
          <w:szCs w:val="24"/>
          <w:u w:val="single"/>
        </w:rPr>
        <w:t>Fertilitet</w:t>
      </w:r>
    </w:p>
    <w:p w:rsidR="007A01DF" w:rsidRDefault="007A01DF" w:rsidP="007A01DF">
      <w:pPr>
        <w:shd w:val="clear" w:color="auto" w:fill="FFFFFF"/>
        <w:ind w:left="851"/>
        <w:rPr>
          <w:sz w:val="24"/>
          <w:szCs w:val="24"/>
        </w:rPr>
      </w:pPr>
      <w:proofErr w:type="spellStart"/>
      <w:r w:rsidRPr="00991931">
        <w:rPr>
          <w:sz w:val="24"/>
          <w:szCs w:val="24"/>
        </w:rPr>
        <w:t>Methotrexat</w:t>
      </w:r>
      <w:proofErr w:type="spellEnd"/>
      <w:r w:rsidRPr="00991931">
        <w:rPr>
          <w:sz w:val="24"/>
          <w:szCs w:val="24"/>
        </w:rPr>
        <w:t xml:space="preserve"> påvirker </w:t>
      </w:r>
      <w:proofErr w:type="spellStart"/>
      <w:r w:rsidRPr="00991931">
        <w:rPr>
          <w:sz w:val="24"/>
          <w:szCs w:val="24"/>
        </w:rPr>
        <w:t>spermatogenesen</w:t>
      </w:r>
      <w:proofErr w:type="spellEnd"/>
      <w:r w:rsidRPr="00991931">
        <w:rPr>
          <w:sz w:val="24"/>
          <w:szCs w:val="24"/>
        </w:rPr>
        <w:t xml:space="preserve"> og </w:t>
      </w:r>
      <w:proofErr w:type="spellStart"/>
      <w:r w:rsidRPr="00991931">
        <w:rPr>
          <w:sz w:val="24"/>
          <w:szCs w:val="24"/>
        </w:rPr>
        <w:t>oogenesen</w:t>
      </w:r>
      <w:proofErr w:type="spellEnd"/>
      <w:r w:rsidRPr="00991931">
        <w:rPr>
          <w:sz w:val="24"/>
          <w:szCs w:val="24"/>
        </w:rPr>
        <w:t xml:space="preserve"> og kan medføre nedsat fertilitet. Der er rapporter om, at </w:t>
      </w:r>
      <w:proofErr w:type="spellStart"/>
      <w:r w:rsidRPr="00991931">
        <w:rPr>
          <w:sz w:val="24"/>
          <w:szCs w:val="24"/>
        </w:rPr>
        <w:t>methotrexat</w:t>
      </w:r>
      <w:proofErr w:type="spellEnd"/>
      <w:r w:rsidRPr="00991931">
        <w:rPr>
          <w:sz w:val="24"/>
          <w:szCs w:val="24"/>
        </w:rPr>
        <w:t xml:space="preserve"> hos mennesker medfører </w:t>
      </w:r>
      <w:proofErr w:type="spellStart"/>
      <w:r w:rsidRPr="00991931">
        <w:rPr>
          <w:sz w:val="24"/>
          <w:szCs w:val="24"/>
        </w:rPr>
        <w:t>oligospermi</w:t>
      </w:r>
      <w:proofErr w:type="spellEnd"/>
      <w:r w:rsidRPr="00991931">
        <w:rPr>
          <w:sz w:val="24"/>
          <w:szCs w:val="24"/>
        </w:rPr>
        <w:t xml:space="preserve">, </w:t>
      </w:r>
      <w:proofErr w:type="spellStart"/>
      <w:r w:rsidRPr="00991931">
        <w:rPr>
          <w:sz w:val="24"/>
          <w:szCs w:val="24"/>
        </w:rPr>
        <w:t>menstruel</w:t>
      </w:r>
      <w:proofErr w:type="spellEnd"/>
      <w:r w:rsidRPr="00991931">
        <w:rPr>
          <w:sz w:val="24"/>
          <w:szCs w:val="24"/>
        </w:rPr>
        <w:t xml:space="preserve"> dysfunktion og </w:t>
      </w:r>
      <w:proofErr w:type="spellStart"/>
      <w:r w:rsidRPr="00991931">
        <w:rPr>
          <w:sz w:val="24"/>
          <w:szCs w:val="24"/>
        </w:rPr>
        <w:t>amenorré</w:t>
      </w:r>
      <w:proofErr w:type="spellEnd"/>
      <w:r w:rsidRPr="00991931">
        <w:rPr>
          <w:sz w:val="24"/>
          <w:szCs w:val="24"/>
        </w:rPr>
        <w:t xml:space="preserve">. Disse bivirkninger synes at være reversible efter </w:t>
      </w:r>
      <w:proofErr w:type="spellStart"/>
      <w:r w:rsidRPr="00991931">
        <w:rPr>
          <w:sz w:val="24"/>
          <w:szCs w:val="24"/>
        </w:rPr>
        <w:t>seponering</w:t>
      </w:r>
      <w:proofErr w:type="spellEnd"/>
      <w:r w:rsidRPr="00991931">
        <w:rPr>
          <w:sz w:val="24"/>
          <w:szCs w:val="24"/>
        </w:rPr>
        <w:t xml:space="preserve"> af behandlingen i de fleste tilfælde.</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4.7</w:t>
      </w:r>
      <w:r w:rsidRPr="00D74103">
        <w:rPr>
          <w:b/>
          <w:sz w:val="24"/>
          <w:szCs w:val="24"/>
        </w:rPr>
        <w:tab/>
        <w:t>Virkning på evnen til at føre motorkøretøj</w:t>
      </w:r>
      <w:r w:rsidR="00053E9D">
        <w:rPr>
          <w:b/>
          <w:sz w:val="24"/>
          <w:szCs w:val="24"/>
        </w:rPr>
        <w:t xml:space="preserve"> og</w:t>
      </w:r>
      <w:r w:rsidRPr="00D74103">
        <w:rPr>
          <w:b/>
          <w:sz w:val="24"/>
          <w:szCs w:val="24"/>
        </w:rPr>
        <w:t xml:space="preserve"> betjene maskiner</w:t>
      </w:r>
    </w:p>
    <w:p w:rsidR="007A01DF" w:rsidRDefault="007A01DF" w:rsidP="007A01DF">
      <w:pPr>
        <w:pStyle w:val="Default"/>
        <w:ind w:left="851" w:hanging="851"/>
      </w:pPr>
      <w:r w:rsidRPr="00D74103">
        <w:tab/>
      </w:r>
      <w:r>
        <w:t>Ikke mærkning.</w:t>
      </w:r>
    </w:p>
    <w:p w:rsidR="007A01DF" w:rsidRPr="00D74103" w:rsidRDefault="007A01DF" w:rsidP="007A01DF">
      <w:pPr>
        <w:pStyle w:val="Default"/>
        <w:ind w:left="851"/>
      </w:pPr>
      <w:r w:rsidRPr="00D74103">
        <w:t xml:space="preserve">CNS-symptomer såsom træthed og svimmelhed kan forekomme under behandlingen, og derfor kan </w:t>
      </w:r>
      <w:proofErr w:type="spellStart"/>
      <w:r w:rsidRPr="00D74103">
        <w:t>methotrexat</w:t>
      </w:r>
      <w:proofErr w:type="spellEnd"/>
      <w:r w:rsidRPr="00D74103">
        <w:t xml:space="preserve"> i mindre eller moderat grad påvirke evnen til at føre motorkøretøj og betjene maskiner i enkelte tilfælde. </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4.8</w:t>
      </w:r>
      <w:r w:rsidRPr="00D74103">
        <w:rPr>
          <w:b/>
          <w:sz w:val="24"/>
          <w:szCs w:val="24"/>
        </w:rPr>
        <w:tab/>
        <w:t>Bivirkninger</w:t>
      </w:r>
    </w:p>
    <w:p w:rsidR="00005293" w:rsidRDefault="007A01DF" w:rsidP="00005293">
      <w:pPr>
        <w:autoSpaceDE w:val="0"/>
        <w:autoSpaceDN w:val="0"/>
        <w:adjustRightInd w:val="0"/>
        <w:ind w:left="851" w:hanging="851"/>
        <w:rPr>
          <w:sz w:val="28"/>
          <w:szCs w:val="24"/>
        </w:rPr>
      </w:pPr>
      <w:r w:rsidRPr="00D74103">
        <w:rPr>
          <w:sz w:val="24"/>
          <w:szCs w:val="24"/>
        </w:rPr>
        <w:tab/>
      </w:r>
      <w:r w:rsidR="00005293">
        <w:rPr>
          <w:sz w:val="24"/>
          <w:szCs w:val="24"/>
        </w:rPr>
        <w:t xml:space="preserve">Generelt set er hyppigheden og sværhedsgraden af bivirkninger af </w:t>
      </w:r>
      <w:proofErr w:type="spellStart"/>
      <w:r w:rsidR="00005293">
        <w:rPr>
          <w:sz w:val="24"/>
          <w:szCs w:val="24"/>
        </w:rPr>
        <w:t>methotrexat</w:t>
      </w:r>
      <w:proofErr w:type="spellEnd"/>
      <w:r w:rsidR="00005293">
        <w:rPr>
          <w:sz w:val="24"/>
          <w:szCs w:val="24"/>
        </w:rPr>
        <w:t xml:space="preserve"> (MTX) relateret til dosis, dosisfrekvens, administrationsvej og eksponeringsvarighed.</w:t>
      </w:r>
    </w:p>
    <w:p w:rsidR="00005293" w:rsidRDefault="00005293" w:rsidP="00005293">
      <w:pPr>
        <w:autoSpaceDE w:val="0"/>
        <w:autoSpaceDN w:val="0"/>
        <w:adjustRightInd w:val="0"/>
        <w:ind w:left="851"/>
        <w:rPr>
          <w:sz w:val="28"/>
          <w:szCs w:val="24"/>
        </w:rPr>
      </w:pPr>
    </w:p>
    <w:p w:rsidR="00005293" w:rsidRDefault="00005293" w:rsidP="00005293">
      <w:pPr>
        <w:autoSpaceDE w:val="0"/>
        <w:autoSpaceDN w:val="0"/>
        <w:adjustRightInd w:val="0"/>
        <w:ind w:left="851"/>
        <w:rPr>
          <w:sz w:val="24"/>
          <w:szCs w:val="22"/>
        </w:rPr>
      </w:pPr>
      <w:r>
        <w:rPr>
          <w:sz w:val="24"/>
          <w:szCs w:val="22"/>
        </w:rPr>
        <w:t xml:space="preserve">De mest alvorlige bivirkninger for </w:t>
      </w:r>
      <w:proofErr w:type="spellStart"/>
      <w:r>
        <w:rPr>
          <w:sz w:val="24"/>
          <w:szCs w:val="22"/>
        </w:rPr>
        <w:t>methotrexat</w:t>
      </w:r>
      <w:proofErr w:type="spellEnd"/>
      <w:r>
        <w:rPr>
          <w:sz w:val="24"/>
          <w:szCs w:val="22"/>
        </w:rPr>
        <w:t xml:space="preserve"> er knoglemarvssuppression, </w:t>
      </w:r>
      <w:proofErr w:type="spellStart"/>
      <w:r>
        <w:rPr>
          <w:sz w:val="24"/>
          <w:szCs w:val="22"/>
        </w:rPr>
        <w:t>pulmonal</w:t>
      </w:r>
      <w:proofErr w:type="spellEnd"/>
      <w:r>
        <w:rPr>
          <w:sz w:val="24"/>
          <w:szCs w:val="22"/>
        </w:rPr>
        <w:t xml:space="preserve"> toksicitet, </w:t>
      </w:r>
      <w:proofErr w:type="spellStart"/>
      <w:r>
        <w:rPr>
          <w:sz w:val="24"/>
          <w:szCs w:val="22"/>
        </w:rPr>
        <w:t>hepatotoksicitet</w:t>
      </w:r>
      <w:proofErr w:type="spellEnd"/>
      <w:r>
        <w:rPr>
          <w:sz w:val="24"/>
          <w:szCs w:val="22"/>
        </w:rPr>
        <w:t xml:space="preserve">, </w:t>
      </w:r>
      <w:proofErr w:type="spellStart"/>
      <w:r>
        <w:rPr>
          <w:sz w:val="24"/>
          <w:szCs w:val="22"/>
        </w:rPr>
        <w:t>renaltoksicitet</w:t>
      </w:r>
      <w:proofErr w:type="spellEnd"/>
      <w:r>
        <w:rPr>
          <w:sz w:val="24"/>
          <w:szCs w:val="22"/>
        </w:rPr>
        <w:t xml:space="preserve">, </w:t>
      </w:r>
      <w:proofErr w:type="spellStart"/>
      <w:r>
        <w:rPr>
          <w:sz w:val="24"/>
          <w:szCs w:val="22"/>
        </w:rPr>
        <w:t>neurotoksicitet</w:t>
      </w:r>
      <w:proofErr w:type="spellEnd"/>
      <w:r>
        <w:rPr>
          <w:sz w:val="24"/>
          <w:szCs w:val="22"/>
        </w:rPr>
        <w:t xml:space="preserve">, </w:t>
      </w:r>
      <w:proofErr w:type="spellStart"/>
      <w:r>
        <w:rPr>
          <w:sz w:val="24"/>
          <w:szCs w:val="22"/>
        </w:rPr>
        <w:t>tromboemboliske</w:t>
      </w:r>
      <w:proofErr w:type="spellEnd"/>
      <w:r>
        <w:rPr>
          <w:sz w:val="24"/>
          <w:szCs w:val="22"/>
        </w:rPr>
        <w:t xml:space="preserve"> hændelser, </w:t>
      </w:r>
      <w:proofErr w:type="spellStart"/>
      <w:r>
        <w:rPr>
          <w:sz w:val="24"/>
          <w:szCs w:val="22"/>
        </w:rPr>
        <w:t>anafylaktisk</w:t>
      </w:r>
      <w:proofErr w:type="spellEnd"/>
      <w:r>
        <w:rPr>
          <w:sz w:val="24"/>
          <w:szCs w:val="22"/>
        </w:rPr>
        <w:t xml:space="preserve"> chok og Stevens-Johnsons syndrom.</w:t>
      </w:r>
    </w:p>
    <w:p w:rsidR="00005293" w:rsidRDefault="00005293" w:rsidP="00005293">
      <w:pPr>
        <w:autoSpaceDE w:val="0"/>
        <w:autoSpaceDN w:val="0"/>
        <w:adjustRightInd w:val="0"/>
        <w:ind w:left="851"/>
        <w:rPr>
          <w:sz w:val="28"/>
          <w:szCs w:val="24"/>
        </w:rPr>
      </w:pPr>
    </w:p>
    <w:p w:rsidR="00005293" w:rsidRDefault="00005293" w:rsidP="00005293">
      <w:pPr>
        <w:autoSpaceDE w:val="0"/>
        <w:autoSpaceDN w:val="0"/>
        <w:adjustRightInd w:val="0"/>
        <w:ind w:left="851"/>
        <w:rPr>
          <w:sz w:val="24"/>
          <w:szCs w:val="22"/>
        </w:rPr>
      </w:pPr>
      <w:r>
        <w:rPr>
          <w:sz w:val="24"/>
          <w:szCs w:val="22"/>
        </w:rPr>
        <w:t xml:space="preserve">De hyppigste bivirkninger af </w:t>
      </w:r>
      <w:proofErr w:type="spellStart"/>
      <w:r>
        <w:rPr>
          <w:sz w:val="24"/>
          <w:szCs w:val="22"/>
        </w:rPr>
        <w:t>methotrexat</w:t>
      </w:r>
      <w:proofErr w:type="spellEnd"/>
      <w:r>
        <w:rPr>
          <w:sz w:val="24"/>
          <w:szCs w:val="22"/>
        </w:rPr>
        <w:t xml:space="preserve"> er </w:t>
      </w:r>
      <w:proofErr w:type="spellStart"/>
      <w:r>
        <w:rPr>
          <w:sz w:val="24"/>
          <w:szCs w:val="22"/>
        </w:rPr>
        <w:t>gastrointestinale</w:t>
      </w:r>
      <w:proofErr w:type="spellEnd"/>
      <w:r>
        <w:rPr>
          <w:sz w:val="24"/>
          <w:szCs w:val="22"/>
        </w:rPr>
        <w:t xml:space="preserve"> lidelser (f.eks. </w:t>
      </w:r>
      <w:proofErr w:type="spellStart"/>
      <w:r>
        <w:rPr>
          <w:sz w:val="24"/>
          <w:szCs w:val="22"/>
        </w:rPr>
        <w:t>stomatitis</w:t>
      </w:r>
      <w:proofErr w:type="spellEnd"/>
      <w:r>
        <w:rPr>
          <w:sz w:val="24"/>
          <w:szCs w:val="22"/>
        </w:rPr>
        <w:t xml:space="preserve">, dyspepsi, </w:t>
      </w:r>
      <w:proofErr w:type="spellStart"/>
      <w:r>
        <w:rPr>
          <w:sz w:val="24"/>
          <w:szCs w:val="22"/>
        </w:rPr>
        <w:t>abdominalsmerter</w:t>
      </w:r>
      <w:proofErr w:type="spellEnd"/>
      <w:r>
        <w:rPr>
          <w:sz w:val="24"/>
          <w:szCs w:val="22"/>
        </w:rPr>
        <w:t xml:space="preserve">, kvalme, appetitløshed) og unormale leverfunktionsprøver (f.eks. forhøjet </w:t>
      </w:r>
      <w:proofErr w:type="spellStart"/>
      <w:r>
        <w:rPr>
          <w:sz w:val="24"/>
          <w:szCs w:val="22"/>
        </w:rPr>
        <w:t>alanin-aminotransferase</w:t>
      </w:r>
      <w:proofErr w:type="spellEnd"/>
      <w:r>
        <w:rPr>
          <w:sz w:val="24"/>
          <w:szCs w:val="22"/>
        </w:rPr>
        <w:t xml:space="preserve"> (ALAT), </w:t>
      </w:r>
      <w:proofErr w:type="spellStart"/>
      <w:r>
        <w:rPr>
          <w:sz w:val="24"/>
          <w:szCs w:val="22"/>
        </w:rPr>
        <w:t>aspartat-aminotransferase</w:t>
      </w:r>
      <w:proofErr w:type="spellEnd"/>
      <w:r>
        <w:rPr>
          <w:sz w:val="24"/>
          <w:szCs w:val="22"/>
        </w:rPr>
        <w:t xml:space="preserve"> (ASAT), bilirubin og alkalisk fosfatase). Andre hyppige bivirkninger er </w:t>
      </w:r>
      <w:proofErr w:type="spellStart"/>
      <w:r>
        <w:rPr>
          <w:sz w:val="24"/>
          <w:szCs w:val="22"/>
        </w:rPr>
        <w:t>leukopeni</w:t>
      </w:r>
      <w:proofErr w:type="spellEnd"/>
      <w:r>
        <w:rPr>
          <w:sz w:val="24"/>
          <w:szCs w:val="22"/>
        </w:rPr>
        <w:t xml:space="preserve">, anæmi, </w:t>
      </w:r>
      <w:proofErr w:type="spellStart"/>
      <w:r>
        <w:rPr>
          <w:sz w:val="24"/>
          <w:szCs w:val="22"/>
        </w:rPr>
        <w:t>trombocytopeni</w:t>
      </w:r>
      <w:proofErr w:type="spellEnd"/>
      <w:r>
        <w:rPr>
          <w:sz w:val="24"/>
          <w:szCs w:val="22"/>
        </w:rPr>
        <w:t xml:space="preserve">, hovedpine, træthed, døsighed, pneumoni, </w:t>
      </w:r>
      <w:proofErr w:type="spellStart"/>
      <w:r>
        <w:rPr>
          <w:sz w:val="24"/>
          <w:szCs w:val="22"/>
        </w:rPr>
        <w:t>interstitiel</w:t>
      </w:r>
      <w:proofErr w:type="spellEnd"/>
      <w:r>
        <w:rPr>
          <w:sz w:val="24"/>
          <w:szCs w:val="22"/>
        </w:rPr>
        <w:t xml:space="preserve"> </w:t>
      </w:r>
      <w:proofErr w:type="spellStart"/>
      <w:r>
        <w:rPr>
          <w:sz w:val="24"/>
          <w:szCs w:val="22"/>
        </w:rPr>
        <w:t>alveolitis</w:t>
      </w:r>
      <w:proofErr w:type="spellEnd"/>
      <w:r>
        <w:rPr>
          <w:sz w:val="24"/>
          <w:szCs w:val="22"/>
        </w:rPr>
        <w:t xml:space="preserve">/pneumonitis ofte ledsaget af </w:t>
      </w:r>
      <w:proofErr w:type="spellStart"/>
      <w:r>
        <w:rPr>
          <w:sz w:val="24"/>
          <w:szCs w:val="22"/>
        </w:rPr>
        <w:t>eosinofili</w:t>
      </w:r>
      <w:proofErr w:type="spellEnd"/>
      <w:r>
        <w:rPr>
          <w:sz w:val="24"/>
          <w:szCs w:val="22"/>
        </w:rPr>
        <w:t xml:space="preserve">, sår i munden, diarré, </w:t>
      </w:r>
      <w:proofErr w:type="spellStart"/>
      <w:r>
        <w:rPr>
          <w:sz w:val="24"/>
          <w:szCs w:val="22"/>
        </w:rPr>
        <w:t>eksantem</w:t>
      </w:r>
      <w:proofErr w:type="spellEnd"/>
      <w:r>
        <w:rPr>
          <w:sz w:val="24"/>
          <w:szCs w:val="22"/>
        </w:rPr>
        <w:t xml:space="preserve">, </w:t>
      </w:r>
      <w:proofErr w:type="spellStart"/>
      <w:r>
        <w:rPr>
          <w:sz w:val="24"/>
          <w:szCs w:val="22"/>
        </w:rPr>
        <w:t>erytem</w:t>
      </w:r>
      <w:proofErr w:type="spellEnd"/>
      <w:r>
        <w:rPr>
          <w:sz w:val="24"/>
          <w:szCs w:val="22"/>
        </w:rPr>
        <w:t xml:space="preserve"> og </w:t>
      </w:r>
      <w:proofErr w:type="spellStart"/>
      <w:r>
        <w:rPr>
          <w:sz w:val="24"/>
          <w:szCs w:val="22"/>
        </w:rPr>
        <w:t>pruritus</w:t>
      </w:r>
      <w:proofErr w:type="spellEnd"/>
      <w:r>
        <w:rPr>
          <w:sz w:val="24"/>
          <w:szCs w:val="22"/>
        </w:rPr>
        <w:t>.</w:t>
      </w:r>
    </w:p>
    <w:p w:rsidR="00005293" w:rsidRDefault="00005293" w:rsidP="00005293">
      <w:pPr>
        <w:autoSpaceDE w:val="0"/>
        <w:autoSpaceDN w:val="0"/>
        <w:adjustRightInd w:val="0"/>
        <w:ind w:left="851"/>
        <w:rPr>
          <w:sz w:val="24"/>
          <w:szCs w:val="22"/>
        </w:rPr>
      </w:pPr>
    </w:p>
    <w:p w:rsidR="00005293" w:rsidRDefault="00005293" w:rsidP="00005293">
      <w:pPr>
        <w:autoSpaceDE w:val="0"/>
        <w:autoSpaceDN w:val="0"/>
        <w:adjustRightInd w:val="0"/>
        <w:ind w:left="851"/>
        <w:rPr>
          <w:sz w:val="24"/>
          <w:szCs w:val="22"/>
        </w:rPr>
      </w:pPr>
      <w:r>
        <w:rPr>
          <w:sz w:val="24"/>
          <w:szCs w:val="22"/>
        </w:rPr>
        <w:t xml:space="preserve">De fleste bivirkninger er reversible, hvis de opdages tidligt. Hvis bivirkninger opstår, bør dosis nedsættes eller behandlingen afbrydes, og der bør træffes passende modforanstaltninger. Dette inkluderer administration af </w:t>
      </w:r>
      <w:proofErr w:type="spellStart"/>
      <w:r>
        <w:rPr>
          <w:sz w:val="24"/>
          <w:szCs w:val="22"/>
        </w:rPr>
        <w:t>calciumfolinat</w:t>
      </w:r>
      <w:proofErr w:type="spellEnd"/>
      <w:r>
        <w:rPr>
          <w:sz w:val="24"/>
          <w:szCs w:val="22"/>
        </w:rPr>
        <w:t xml:space="preserve">. Eventuel genoptagelse af </w:t>
      </w:r>
      <w:proofErr w:type="spellStart"/>
      <w:r>
        <w:rPr>
          <w:sz w:val="24"/>
          <w:szCs w:val="22"/>
        </w:rPr>
        <w:t>methotrexatbehandling</w:t>
      </w:r>
      <w:proofErr w:type="spellEnd"/>
      <w:r>
        <w:rPr>
          <w:sz w:val="24"/>
          <w:szCs w:val="22"/>
        </w:rPr>
        <w:t xml:space="preserve"> bør kun ske med særlig forsigtighed, efter nøje overvejelse af behandlingsbehovet og med skærpet overvågning for, om bivirkningen vender tilbage.</w:t>
      </w:r>
    </w:p>
    <w:p w:rsidR="00005293" w:rsidRDefault="00005293" w:rsidP="00005293">
      <w:pPr>
        <w:autoSpaceDE w:val="0"/>
        <w:autoSpaceDN w:val="0"/>
        <w:adjustRightInd w:val="0"/>
        <w:ind w:left="851"/>
        <w:rPr>
          <w:sz w:val="28"/>
          <w:szCs w:val="24"/>
        </w:rPr>
      </w:pPr>
    </w:p>
    <w:p w:rsidR="00005293" w:rsidRDefault="00005293" w:rsidP="00005293">
      <w:pPr>
        <w:autoSpaceDE w:val="0"/>
        <w:autoSpaceDN w:val="0"/>
        <w:adjustRightInd w:val="0"/>
        <w:ind w:left="851"/>
        <w:rPr>
          <w:sz w:val="24"/>
          <w:szCs w:val="24"/>
        </w:rPr>
      </w:pPr>
      <w:r>
        <w:rPr>
          <w:sz w:val="24"/>
          <w:szCs w:val="24"/>
        </w:rPr>
        <w:t xml:space="preserve">De mest relevante bivirkninger er suppression af det </w:t>
      </w:r>
      <w:proofErr w:type="spellStart"/>
      <w:r>
        <w:rPr>
          <w:sz w:val="24"/>
          <w:szCs w:val="24"/>
        </w:rPr>
        <w:t>hæmatopoietiske</w:t>
      </w:r>
      <w:proofErr w:type="spellEnd"/>
      <w:r>
        <w:rPr>
          <w:sz w:val="24"/>
          <w:szCs w:val="24"/>
        </w:rPr>
        <w:t xml:space="preserve"> system og </w:t>
      </w:r>
      <w:proofErr w:type="spellStart"/>
      <w:r>
        <w:rPr>
          <w:sz w:val="24"/>
          <w:szCs w:val="24"/>
        </w:rPr>
        <w:t>gastrointestinale</w:t>
      </w:r>
      <w:proofErr w:type="spellEnd"/>
      <w:r>
        <w:rPr>
          <w:sz w:val="24"/>
          <w:szCs w:val="24"/>
        </w:rPr>
        <w:t xml:space="preserve"> lidelser.</w:t>
      </w:r>
    </w:p>
    <w:p w:rsidR="00005293" w:rsidRDefault="00005293" w:rsidP="00005293">
      <w:pPr>
        <w:autoSpaceDE w:val="0"/>
        <w:autoSpaceDN w:val="0"/>
        <w:adjustRightInd w:val="0"/>
        <w:ind w:left="851" w:hanging="851"/>
        <w:rPr>
          <w:sz w:val="24"/>
          <w:szCs w:val="24"/>
        </w:rPr>
      </w:pPr>
    </w:p>
    <w:p w:rsidR="00005293" w:rsidRDefault="00005293" w:rsidP="00F9604D">
      <w:pPr>
        <w:keepNext/>
        <w:autoSpaceDE w:val="0"/>
        <w:autoSpaceDN w:val="0"/>
        <w:adjustRightInd w:val="0"/>
        <w:ind w:left="851"/>
        <w:rPr>
          <w:sz w:val="24"/>
          <w:szCs w:val="24"/>
        </w:rPr>
      </w:pPr>
      <w:r>
        <w:rPr>
          <w:sz w:val="24"/>
          <w:szCs w:val="24"/>
        </w:rPr>
        <w:lastRenderedPageBreak/>
        <w:t>Følgende kategorier er anvendt til opdeling af bivirkninger efter hyppigheder:</w:t>
      </w:r>
    </w:p>
    <w:p w:rsidR="00005293" w:rsidRDefault="00005293" w:rsidP="00005293">
      <w:pPr>
        <w:autoSpaceDE w:val="0"/>
        <w:autoSpaceDN w:val="0"/>
        <w:adjustRightInd w:val="0"/>
        <w:ind w:left="851"/>
        <w:rPr>
          <w:sz w:val="24"/>
          <w:szCs w:val="24"/>
        </w:rPr>
      </w:pPr>
      <w:r>
        <w:rPr>
          <w:sz w:val="24"/>
          <w:szCs w:val="24"/>
        </w:rPr>
        <w:t>Meget almindelig (≥</w:t>
      </w:r>
      <w:r w:rsidR="00E20C9E">
        <w:rPr>
          <w:sz w:val="24"/>
          <w:szCs w:val="24"/>
        </w:rPr>
        <w:t> </w:t>
      </w:r>
      <w:r>
        <w:rPr>
          <w:sz w:val="24"/>
          <w:szCs w:val="24"/>
        </w:rPr>
        <w:t>1/10), almindelig (≥</w:t>
      </w:r>
      <w:r w:rsidR="00E20C9E">
        <w:rPr>
          <w:sz w:val="24"/>
          <w:szCs w:val="24"/>
        </w:rPr>
        <w:t> </w:t>
      </w:r>
      <w:r>
        <w:rPr>
          <w:sz w:val="24"/>
          <w:szCs w:val="24"/>
        </w:rPr>
        <w:t>1/100 og &lt;</w:t>
      </w:r>
      <w:r w:rsidR="00E20C9E">
        <w:rPr>
          <w:sz w:val="24"/>
          <w:szCs w:val="24"/>
        </w:rPr>
        <w:t> </w:t>
      </w:r>
      <w:r>
        <w:rPr>
          <w:sz w:val="24"/>
          <w:szCs w:val="24"/>
        </w:rPr>
        <w:t>1/10), ikke almindelig (≥</w:t>
      </w:r>
      <w:r w:rsidR="00E20C9E">
        <w:rPr>
          <w:sz w:val="24"/>
          <w:szCs w:val="24"/>
        </w:rPr>
        <w:t> </w:t>
      </w:r>
      <w:r>
        <w:rPr>
          <w:sz w:val="24"/>
          <w:szCs w:val="24"/>
        </w:rPr>
        <w:t>1/1.000 og &lt;</w:t>
      </w:r>
      <w:r w:rsidR="00E20C9E">
        <w:rPr>
          <w:sz w:val="24"/>
          <w:szCs w:val="24"/>
        </w:rPr>
        <w:t> </w:t>
      </w:r>
      <w:r>
        <w:rPr>
          <w:sz w:val="24"/>
          <w:szCs w:val="24"/>
        </w:rPr>
        <w:t>1/100), sjælden (≥</w:t>
      </w:r>
      <w:r w:rsidR="00E20C9E">
        <w:rPr>
          <w:sz w:val="24"/>
          <w:szCs w:val="24"/>
        </w:rPr>
        <w:t> </w:t>
      </w:r>
      <w:r>
        <w:rPr>
          <w:sz w:val="24"/>
          <w:szCs w:val="24"/>
        </w:rPr>
        <w:t>1/10.000 og &lt;</w:t>
      </w:r>
      <w:r w:rsidR="00E20C9E">
        <w:rPr>
          <w:sz w:val="24"/>
          <w:szCs w:val="24"/>
        </w:rPr>
        <w:t> </w:t>
      </w:r>
      <w:r>
        <w:rPr>
          <w:sz w:val="24"/>
          <w:szCs w:val="24"/>
        </w:rPr>
        <w:t>1/1.000), meget sjælden (&lt;</w:t>
      </w:r>
      <w:r w:rsidR="00E20C9E">
        <w:rPr>
          <w:sz w:val="24"/>
          <w:szCs w:val="24"/>
        </w:rPr>
        <w:t> </w:t>
      </w:r>
      <w:r>
        <w:rPr>
          <w:sz w:val="24"/>
          <w:szCs w:val="24"/>
        </w:rPr>
        <w:t>1/10.000), ikke kendt (kan ikke estimeres ud fra forhåndenværende data)</w:t>
      </w:r>
      <w:r w:rsidR="00E20C9E">
        <w:rPr>
          <w:sz w:val="24"/>
          <w:szCs w:val="24"/>
        </w:rPr>
        <w:t>.</w:t>
      </w:r>
    </w:p>
    <w:p w:rsidR="00005293" w:rsidRDefault="00005293" w:rsidP="00005293">
      <w:pPr>
        <w:autoSpaceDE w:val="0"/>
        <w:autoSpaceDN w:val="0"/>
        <w:adjustRightInd w:val="0"/>
        <w:ind w:left="851"/>
        <w:rPr>
          <w:sz w:val="24"/>
          <w:szCs w:val="24"/>
        </w:rPr>
      </w:pPr>
    </w:p>
    <w:p w:rsidR="00005293" w:rsidRDefault="00005293" w:rsidP="00E20C9E">
      <w:pPr>
        <w:keepNext/>
        <w:autoSpaceDE w:val="0"/>
        <w:autoSpaceDN w:val="0"/>
        <w:adjustRightInd w:val="0"/>
        <w:ind w:left="851"/>
        <w:rPr>
          <w:iCs/>
          <w:sz w:val="24"/>
          <w:szCs w:val="24"/>
          <w:u w:val="single"/>
        </w:rPr>
      </w:pPr>
      <w:r>
        <w:rPr>
          <w:iCs/>
          <w:sz w:val="24"/>
          <w:szCs w:val="24"/>
          <w:u w:val="single"/>
        </w:rPr>
        <w:t>Infektioner og parasitære sygdomme</w:t>
      </w:r>
    </w:p>
    <w:p w:rsidR="00005293" w:rsidRDefault="00005293" w:rsidP="00005293">
      <w:pPr>
        <w:autoSpaceDE w:val="0"/>
        <w:autoSpaceDN w:val="0"/>
        <w:adjustRightInd w:val="0"/>
        <w:ind w:left="851"/>
        <w:rPr>
          <w:sz w:val="24"/>
          <w:szCs w:val="24"/>
        </w:rPr>
      </w:pPr>
      <w:r>
        <w:rPr>
          <w:sz w:val="24"/>
          <w:szCs w:val="24"/>
        </w:rPr>
        <w:t>Sjælden:</w:t>
      </w:r>
      <w:r>
        <w:rPr>
          <w:i/>
          <w:sz w:val="24"/>
          <w:szCs w:val="24"/>
        </w:rPr>
        <w:t xml:space="preserve"> </w:t>
      </w:r>
      <w:r>
        <w:rPr>
          <w:sz w:val="22"/>
          <w:szCs w:val="22"/>
        </w:rPr>
        <w:t xml:space="preserve">Infektion (herunder reaktivering af latent kronisk infektion), </w:t>
      </w:r>
      <w:r>
        <w:rPr>
          <w:sz w:val="24"/>
          <w:szCs w:val="24"/>
        </w:rPr>
        <w:t>sepsis.</w:t>
      </w:r>
      <w:r>
        <w:rPr>
          <w:i/>
          <w:sz w:val="24"/>
          <w:szCs w:val="24"/>
        </w:rPr>
        <w:t xml:space="preserve"> </w:t>
      </w:r>
      <w:proofErr w:type="spellStart"/>
      <w:r>
        <w:rPr>
          <w:i/>
          <w:sz w:val="24"/>
          <w:szCs w:val="24"/>
        </w:rPr>
        <w:t>Pneumocystis</w:t>
      </w:r>
      <w:proofErr w:type="spellEnd"/>
      <w:r>
        <w:rPr>
          <w:i/>
          <w:sz w:val="24"/>
          <w:szCs w:val="24"/>
        </w:rPr>
        <w:t xml:space="preserve"> </w:t>
      </w:r>
      <w:proofErr w:type="spellStart"/>
      <w:r>
        <w:rPr>
          <w:i/>
          <w:sz w:val="24"/>
          <w:szCs w:val="24"/>
        </w:rPr>
        <w:t>jiroveci</w:t>
      </w:r>
      <w:proofErr w:type="spellEnd"/>
      <w:r>
        <w:rPr>
          <w:sz w:val="24"/>
          <w:szCs w:val="24"/>
        </w:rPr>
        <w:t xml:space="preserve"> pneumoni.</w:t>
      </w:r>
    </w:p>
    <w:p w:rsidR="00005293" w:rsidRDefault="00005293" w:rsidP="00005293">
      <w:pPr>
        <w:autoSpaceDE w:val="0"/>
        <w:autoSpaceDN w:val="0"/>
        <w:adjustRightInd w:val="0"/>
        <w:ind w:left="851"/>
        <w:rPr>
          <w:sz w:val="24"/>
          <w:szCs w:val="24"/>
          <w:u w:val="single"/>
        </w:rPr>
      </w:pPr>
    </w:p>
    <w:p w:rsidR="00005293" w:rsidRDefault="00005293" w:rsidP="00005293">
      <w:pPr>
        <w:autoSpaceDE w:val="0"/>
        <w:autoSpaceDN w:val="0"/>
        <w:adjustRightInd w:val="0"/>
        <w:ind w:left="851"/>
        <w:rPr>
          <w:sz w:val="24"/>
          <w:szCs w:val="24"/>
          <w:u w:val="single"/>
        </w:rPr>
      </w:pPr>
      <w:r>
        <w:rPr>
          <w:sz w:val="24"/>
          <w:szCs w:val="24"/>
          <w:u w:val="single"/>
        </w:rPr>
        <w:t>Benigne, maligne og uspecificerede tumorer (inkl. cyster og polypper):</w:t>
      </w:r>
    </w:p>
    <w:p w:rsidR="00005293" w:rsidRPr="00991931" w:rsidRDefault="00005293" w:rsidP="00005293">
      <w:pPr>
        <w:autoSpaceDE w:val="0"/>
        <w:autoSpaceDN w:val="0"/>
        <w:adjustRightInd w:val="0"/>
        <w:ind w:left="851"/>
        <w:rPr>
          <w:sz w:val="24"/>
          <w:szCs w:val="24"/>
        </w:rPr>
      </w:pPr>
      <w:r>
        <w:rPr>
          <w:sz w:val="24"/>
          <w:szCs w:val="24"/>
        </w:rPr>
        <w:t xml:space="preserve">Meget </w:t>
      </w:r>
      <w:r w:rsidRPr="00991931">
        <w:rPr>
          <w:sz w:val="24"/>
          <w:szCs w:val="24"/>
        </w:rPr>
        <w:t xml:space="preserve">sjælden: </w:t>
      </w:r>
      <w:proofErr w:type="spellStart"/>
      <w:r w:rsidRPr="00991931">
        <w:rPr>
          <w:sz w:val="24"/>
          <w:szCs w:val="24"/>
        </w:rPr>
        <w:t>Lymfomer</w:t>
      </w:r>
      <w:proofErr w:type="spellEnd"/>
      <w:r w:rsidRPr="00991931">
        <w:rPr>
          <w:sz w:val="24"/>
          <w:szCs w:val="24"/>
        </w:rPr>
        <w:t xml:space="preserve"> (se afsnittet "Beskrivelse af udvalgte bivirkninger" nedenfor).</w:t>
      </w:r>
    </w:p>
    <w:p w:rsidR="00005293" w:rsidRPr="00991931" w:rsidRDefault="00005293" w:rsidP="00005293">
      <w:pPr>
        <w:autoSpaceDE w:val="0"/>
        <w:autoSpaceDN w:val="0"/>
        <w:adjustRightInd w:val="0"/>
        <w:ind w:left="851"/>
        <w:rPr>
          <w:sz w:val="24"/>
          <w:szCs w:val="24"/>
        </w:rPr>
      </w:pPr>
    </w:p>
    <w:p w:rsidR="00005293" w:rsidRPr="00991931" w:rsidRDefault="00005293" w:rsidP="00005293">
      <w:pPr>
        <w:autoSpaceDE w:val="0"/>
        <w:autoSpaceDN w:val="0"/>
        <w:adjustRightInd w:val="0"/>
        <w:ind w:left="851"/>
        <w:rPr>
          <w:sz w:val="24"/>
          <w:szCs w:val="24"/>
          <w:u w:val="single"/>
        </w:rPr>
      </w:pPr>
      <w:r w:rsidRPr="00991931">
        <w:rPr>
          <w:sz w:val="24"/>
          <w:szCs w:val="24"/>
          <w:u w:val="single"/>
        </w:rPr>
        <w:t>Blod og lymfesystem</w:t>
      </w:r>
    </w:p>
    <w:p w:rsidR="00005293" w:rsidRPr="00991931" w:rsidRDefault="00005293" w:rsidP="00005293">
      <w:pPr>
        <w:autoSpaceDE w:val="0"/>
        <w:autoSpaceDN w:val="0"/>
        <w:adjustRightInd w:val="0"/>
        <w:ind w:left="851"/>
        <w:rPr>
          <w:sz w:val="24"/>
          <w:szCs w:val="24"/>
        </w:rPr>
      </w:pPr>
      <w:r w:rsidRPr="00991931">
        <w:rPr>
          <w:sz w:val="24"/>
          <w:szCs w:val="24"/>
        </w:rPr>
        <w:t xml:space="preserve">Almindelig: </w:t>
      </w:r>
      <w:proofErr w:type="spellStart"/>
      <w:r w:rsidRPr="00991931">
        <w:rPr>
          <w:sz w:val="24"/>
          <w:szCs w:val="24"/>
        </w:rPr>
        <w:t>Leukopeni</w:t>
      </w:r>
      <w:proofErr w:type="spellEnd"/>
      <w:r w:rsidRPr="00991931">
        <w:rPr>
          <w:sz w:val="24"/>
          <w:szCs w:val="24"/>
        </w:rPr>
        <w:t xml:space="preserve">, anæmi, </w:t>
      </w:r>
      <w:proofErr w:type="spellStart"/>
      <w:r w:rsidRPr="00991931">
        <w:rPr>
          <w:sz w:val="24"/>
          <w:szCs w:val="24"/>
        </w:rPr>
        <w:t>trombocytopeni</w:t>
      </w:r>
      <w:proofErr w:type="spellEnd"/>
      <w:r w:rsidRPr="00991931">
        <w:rPr>
          <w:sz w:val="24"/>
          <w:szCs w:val="24"/>
        </w:rPr>
        <w:t>.</w:t>
      </w:r>
    </w:p>
    <w:p w:rsidR="00005293" w:rsidRPr="00991931" w:rsidRDefault="00005293" w:rsidP="00005293">
      <w:pPr>
        <w:autoSpaceDE w:val="0"/>
        <w:autoSpaceDN w:val="0"/>
        <w:adjustRightInd w:val="0"/>
        <w:ind w:left="851"/>
        <w:rPr>
          <w:sz w:val="24"/>
          <w:szCs w:val="24"/>
        </w:rPr>
      </w:pPr>
      <w:r w:rsidRPr="00991931">
        <w:rPr>
          <w:sz w:val="24"/>
          <w:szCs w:val="24"/>
        </w:rPr>
        <w:t xml:space="preserve">Ikke almindelig: </w:t>
      </w:r>
      <w:proofErr w:type="spellStart"/>
      <w:r w:rsidRPr="00991931">
        <w:rPr>
          <w:sz w:val="24"/>
          <w:szCs w:val="24"/>
        </w:rPr>
        <w:t>Pancytopeni</w:t>
      </w:r>
      <w:proofErr w:type="spellEnd"/>
    </w:p>
    <w:p w:rsidR="00005293" w:rsidRPr="00991931" w:rsidRDefault="00005293" w:rsidP="00005293">
      <w:pPr>
        <w:autoSpaceDE w:val="0"/>
        <w:autoSpaceDN w:val="0"/>
        <w:adjustRightInd w:val="0"/>
        <w:ind w:left="851"/>
        <w:rPr>
          <w:sz w:val="24"/>
          <w:szCs w:val="24"/>
        </w:rPr>
      </w:pPr>
      <w:r w:rsidRPr="00991931">
        <w:rPr>
          <w:sz w:val="24"/>
          <w:szCs w:val="24"/>
        </w:rPr>
        <w:t xml:space="preserve">Meget sjælden: </w:t>
      </w:r>
      <w:proofErr w:type="spellStart"/>
      <w:r w:rsidRPr="00991931">
        <w:rPr>
          <w:sz w:val="24"/>
          <w:szCs w:val="24"/>
        </w:rPr>
        <w:t>Agranulocytose</w:t>
      </w:r>
      <w:proofErr w:type="spellEnd"/>
      <w:r w:rsidRPr="00991931">
        <w:rPr>
          <w:sz w:val="24"/>
          <w:szCs w:val="24"/>
        </w:rPr>
        <w:t>, alvorlig</w:t>
      </w:r>
      <w:r w:rsidR="00F12FF3">
        <w:rPr>
          <w:sz w:val="24"/>
          <w:szCs w:val="24"/>
        </w:rPr>
        <w:t>e</w:t>
      </w:r>
      <w:r w:rsidRPr="00991931">
        <w:rPr>
          <w:sz w:val="24"/>
          <w:szCs w:val="24"/>
        </w:rPr>
        <w:t xml:space="preserve"> tilfælde af knoglemarvsdepression</w:t>
      </w:r>
      <w:r w:rsidRPr="00991931">
        <w:t xml:space="preserve">, </w:t>
      </w:r>
      <w:proofErr w:type="spellStart"/>
      <w:r w:rsidRPr="00991931">
        <w:rPr>
          <w:sz w:val="24"/>
          <w:szCs w:val="24"/>
        </w:rPr>
        <w:t>lymfoproliferative</w:t>
      </w:r>
      <w:proofErr w:type="spellEnd"/>
      <w:r w:rsidRPr="00991931">
        <w:rPr>
          <w:sz w:val="24"/>
          <w:szCs w:val="24"/>
        </w:rPr>
        <w:t xml:space="preserve"> sygdomme (se afsnittet "Beskrivelse af udvalgte bivirkninger" nedenfor)</w:t>
      </w:r>
    </w:p>
    <w:p w:rsidR="00005293" w:rsidRDefault="00005293" w:rsidP="00005293">
      <w:pPr>
        <w:autoSpaceDE w:val="0"/>
        <w:autoSpaceDN w:val="0"/>
        <w:adjustRightInd w:val="0"/>
        <w:ind w:left="851"/>
        <w:rPr>
          <w:sz w:val="24"/>
          <w:szCs w:val="24"/>
        </w:rPr>
      </w:pPr>
      <w:r w:rsidRPr="00991931">
        <w:rPr>
          <w:sz w:val="24"/>
          <w:szCs w:val="24"/>
        </w:rPr>
        <w:t xml:space="preserve">Ikke kendt: </w:t>
      </w:r>
      <w:proofErr w:type="spellStart"/>
      <w:r w:rsidRPr="00991931">
        <w:rPr>
          <w:sz w:val="24"/>
          <w:szCs w:val="24"/>
        </w:rPr>
        <w:t>Eosinofili</w:t>
      </w:r>
      <w:proofErr w:type="spellEnd"/>
      <w:r w:rsidRPr="00991931">
        <w:rPr>
          <w:sz w:val="24"/>
          <w:szCs w:val="24"/>
        </w:rPr>
        <w:t>.</w:t>
      </w:r>
    </w:p>
    <w:p w:rsidR="00005293" w:rsidRDefault="00005293" w:rsidP="00005293">
      <w:pPr>
        <w:autoSpaceDE w:val="0"/>
        <w:autoSpaceDN w:val="0"/>
        <w:adjustRightInd w:val="0"/>
        <w:ind w:left="851"/>
        <w:rPr>
          <w:sz w:val="24"/>
          <w:szCs w:val="24"/>
        </w:rPr>
      </w:pPr>
    </w:p>
    <w:p w:rsidR="00005293" w:rsidRDefault="00005293" w:rsidP="00005293">
      <w:pPr>
        <w:keepNext/>
        <w:autoSpaceDE w:val="0"/>
        <w:autoSpaceDN w:val="0"/>
        <w:adjustRightInd w:val="0"/>
        <w:ind w:left="851"/>
        <w:rPr>
          <w:iCs/>
          <w:sz w:val="24"/>
          <w:szCs w:val="24"/>
          <w:u w:val="single"/>
        </w:rPr>
      </w:pPr>
      <w:r>
        <w:rPr>
          <w:iCs/>
          <w:sz w:val="24"/>
          <w:szCs w:val="24"/>
          <w:u w:val="single"/>
        </w:rPr>
        <w:t>Immunsystemet</w:t>
      </w:r>
    </w:p>
    <w:p w:rsidR="00005293" w:rsidRDefault="00005293" w:rsidP="00005293">
      <w:pPr>
        <w:autoSpaceDE w:val="0"/>
        <w:autoSpaceDN w:val="0"/>
        <w:adjustRightInd w:val="0"/>
        <w:ind w:left="851"/>
        <w:rPr>
          <w:sz w:val="24"/>
          <w:szCs w:val="24"/>
        </w:rPr>
      </w:pPr>
      <w:r>
        <w:rPr>
          <w:sz w:val="24"/>
          <w:szCs w:val="24"/>
        </w:rPr>
        <w:t xml:space="preserve">Sjælden: Allergiske reaktioner, </w:t>
      </w:r>
      <w:proofErr w:type="spellStart"/>
      <w:r>
        <w:rPr>
          <w:sz w:val="24"/>
          <w:szCs w:val="24"/>
        </w:rPr>
        <w:t>anafylaktisk</w:t>
      </w:r>
      <w:proofErr w:type="spellEnd"/>
      <w:r>
        <w:rPr>
          <w:sz w:val="24"/>
          <w:szCs w:val="24"/>
        </w:rPr>
        <w:t xml:space="preserve"> chok</w:t>
      </w:r>
    </w:p>
    <w:p w:rsidR="00005293" w:rsidRDefault="00005293" w:rsidP="00005293">
      <w:pPr>
        <w:autoSpaceDE w:val="0"/>
        <w:autoSpaceDN w:val="0"/>
        <w:adjustRightInd w:val="0"/>
        <w:ind w:left="851"/>
        <w:rPr>
          <w:sz w:val="24"/>
          <w:szCs w:val="24"/>
        </w:rPr>
      </w:pPr>
      <w:r>
        <w:rPr>
          <w:sz w:val="24"/>
          <w:szCs w:val="24"/>
        </w:rPr>
        <w:t xml:space="preserve">Ikke kendt: </w:t>
      </w:r>
      <w:proofErr w:type="spellStart"/>
      <w:r>
        <w:rPr>
          <w:sz w:val="24"/>
          <w:szCs w:val="24"/>
        </w:rPr>
        <w:t>Anafylaktisk</w:t>
      </w:r>
      <w:proofErr w:type="spellEnd"/>
      <w:r>
        <w:rPr>
          <w:sz w:val="24"/>
          <w:szCs w:val="24"/>
        </w:rPr>
        <w:t xml:space="preserve"> reaktion, immunsuppression.</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 xml:space="preserve">Metabolisme og ernæring </w:t>
      </w:r>
    </w:p>
    <w:p w:rsidR="00005293" w:rsidRDefault="00005293" w:rsidP="00005293">
      <w:pPr>
        <w:autoSpaceDE w:val="0"/>
        <w:autoSpaceDN w:val="0"/>
        <w:adjustRightInd w:val="0"/>
        <w:ind w:left="851"/>
        <w:rPr>
          <w:sz w:val="24"/>
          <w:szCs w:val="24"/>
        </w:rPr>
      </w:pPr>
      <w:r>
        <w:rPr>
          <w:sz w:val="24"/>
          <w:szCs w:val="24"/>
        </w:rPr>
        <w:t xml:space="preserve">Ikke almindelig: Udvikling af diabetes mellitus. </w:t>
      </w:r>
    </w:p>
    <w:p w:rsidR="00005293" w:rsidRDefault="00005293" w:rsidP="00005293">
      <w:pPr>
        <w:autoSpaceDE w:val="0"/>
        <w:autoSpaceDN w:val="0"/>
        <w:adjustRightInd w:val="0"/>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Psykiske forstyrrelser</w:t>
      </w:r>
    </w:p>
    <w:p w:rsidR="00005293" w:rsidRDefault="00005293" w:rsidP="00005293">
      <w:pPr>
        <w:autoSpaceDE w:val="0"/>
        <w:autoSpaceDN w:val="0"/>
        <w:adjustRightInd w:val="0"/>
        <w:ind w:left="851"/>
        <w:rPr>
          <w:sz w:val="24"/>
          <w:szCs w:val="24"/>
        </w:rPr>
      </w:pPr>
      <w:r>
        <w:rPr>
          <w:sz w:val="24"/>
          <w:szCs w:val="24"/>
        </w:rPr>
        <w:t>Ikke almindelig: Depression, konfusion</w:t>
      </w:r>
    </w:p>
    <w:p w:rsidR="00005293" w:rsidRDefault="00005293" w:rsidP="00005293">
      <w:pPr>
        <w:autoSpaceDE w:val="0"/>
        <w:autoSpaceDN w:val="0"/>
        <w:adjustRightInd w:val="0"/>
        <w:ind w:left="851"/>
        <w:rPr>
          <w:sz w:val="24"/>
          <w:szCs w:val="24"/>
        </w:rPr>
      </w:pPr>
      <w:r>
        <w:rPr>
          <w:sz w:val="24"/>
          <w:szCs w:val="24"/>
        </w:rPr>
        <w:t>Sjælden: Humørsvingninger</w:t>
      </w:r>
    </w:p>
    <w:p w:rsidR="00005293" w:rsidRDefault="00005293" w:rsidP="00005293">
      <w:pPr>
        <w:autoSpaceDE w:val="0"/>
        <w:autoSpaceDN w:val="0"/>
        <w:adjustRightInd w:val="0"/>
        <w:ind w:left="851"/>
        <w:rPr>
          <w:sz w:val="24"/>
          <w:szCs w:val="24"/>
        </w:rPr>
      </w:pPr>
    </w:p>
    <w:p w:rsidR="00005293" w:rsidRDefault="00005293" w:rsidP="00005293">
      <w:pPr>
        <w:keepNext/>
        <w:autoSpaceDE w:val="0"/>
        <w:autoSpaceDN w:val="0"/>
        <w:adjustRightInd w:val="0"/>
        <w:ind w:left="851"/>
        <w:rPr>
          <w:sz w:val="24"/>
          <w:szCs w:val="24"/>
          <w:u w:val="single"/>
        </w:rPr>
      </w:pPr>
      <w:r>
        <w:rPr>
          <w:sz w:val="24"/>
          <w:szCs w:val="24"/>
          <w:u w:val="single"/>
        </w:rPr>
        <w:t>Nervesystemet</w:t>
      </w:r>
    </w:p>
    <w:p w:rsidR="00005293" w:rsidRDefault="00005293" w:rsidP="00005293">
      <w:pPr>
        <w:autoSpaceDE w:val="0"/>
        <w:autoSpaceDN w:val="0"/>
        <w:adjustRightInd w:val="0"/>
        <w:ind w:left="851"/>
        <w:rPr>
          <w:sz w:val="24"/>
          <w:szCs w:val="24"/>
        </w:rPr>
      </w:pPr>
      <w:r>
        <w:rPr>
          <w:sz w:val="24"/>
          <w:szCs w:val="24"/>
        </w:rPr>
        <w:t>Almindelig: Hovedpine, træthed, døsighed.</w:t>
      </w:r>
    </w:p>
    <w:p w:rsidR="00005293" w:rsidRDefault="00005293" w:rsidP="00005293">
      <w:pPr>
        <w:autoSpaceDE w:val="0"/>
        <w:autoSpaceDN w:val="0"/>
        <w:adjustRightInd w:val="0"/>
        <w:ind w:left="851"/>
        <w:rPr>
          <w:sz w:val="24"/>
          <w:szCs w:val="24"/>
        </w:rPr>
      </w:pPr>
      <w:r>
        <w:rPr>
          <w:sz w:val="24"/>
          <w:szCs w:val="24"/>
        </w:rPr>
        <w:t>Ikke almindelig: Svimmelhed</w:t>
      </w:r>
    </w:p>
    <w:p w:rsidR="002932D5" w:rsidRDefault="002932D5" w:rsidP="002932D5">
      <w:pPr>
        <w:autoSpaceDE w:val="0"/>
        <w:autoSpaceDN w:val="0"/>
        <w:adjustRightInd w:val="0"/>
        <w:ind w:left="851"/>
        <w:rPr>
          <w:sz w:val="24"/>
          <w:szCs w:val="24"/>
        </w:rPr>
      </w:pPr>
      <w:r>
        <w:rPr>
          <w:sz w:val="24"/>
          <w:szCs w:val="24"/>
        </w:rPr>
        <w:t xml:space="preserve">Meget sjælden: Smerte, muskulær asteni, </w:t>
      </w:r>
      <w:proofErr w:type="spellStart"/>
      <w:r>
        <w:rPr>
          <w:sz w:val="24"/>
          <w:szCs w:val="24"/>
        </w:rPr>
        <w:t>paræstesi</w:t>
      </w:r>
      <w:proofErr w:type="spellEnd"/>
      <w:r>
        <w:rPr>
          <w:sz w:val="24"/>
          <w:szCs w:val="24"/>
        </w:rPr>
        <w:t>/</w:t>
      </w:r>
      <w:proofErr w:type="spellStart"/>
      <w:r>
        <w:rPr>
          <w:sz w:val="24"/>
          <w:szCs w:val="24"/>
        </w:rPr>
        <w:t>hypoæstesi</w:t>
      </w:r>
      <w:proofErr w:type="spellEnd"/>
      <w:r>
        <w:rPr>
          <w:sz w:val="24"/>
          <w:szCs w:val="24"/>
        </w:rPr>
        <w:t>, ændringer i smagssansen (metalsmag), kramper, meningitis,</w:t>
      </w:r>
      <w:r>
        <w:t xml:space="preserve"> </w:t>
      </w:r>
      <w:r>
        <w:rPr>
          <w:sz w:val="24"/>
          <w:szCs w:val="24"/>
        </w:rPr>
        <w:t>akut aseptisk meningitis, lammelse.</w:t>
      </w:r>
    </w:p>
    <w:p w:rsidR="00005293" w:rsidRDefault="00005293" w:rsidP="00005293">
      <w:pPr>
        <w:autoSpaceDE w:val="0"/>
        <w:autoSpaceDN w:val="0"/>
        <w:adjustRightInd w:val="0"/>
        <w:ind w:left="851"/>
        <w:rPr>
          <w:sz w:val="24"/>
          <w:szCs w:val="24"/>
        </w:rPr>
      </w:pPr>
      <w:r>
        <w:rPr>
          <w:sz w:val="24"/>
          <w:szCs w:val="24"/>
        </w:rPr>
        <w:t>Ikke kendt:</w:t>
      </w:r>
      <w:r>
        <w:t xml:space="preserve"> </w:t>
      </w:r>
      <w:r>
        <w:rPr>
          <w:sz w:val="24"/>
          <w:szCs w:val="24"/>
        </w:rPr>
        <w:t>Encefalopati/</w:t>
      </w:r>
      <w:proofErr w:type="spellStart"/>
      <w:r>
        <w:rPr>
          <w:sz w:val="24"/>
          <w:szCs w:val="24"/>
        </w:rPr>
        <w:t>leukoencefalopati</w:t>
      </w:r>
      <w:proofErr w:type="spellEnd"/>
      <w:r>
        <w:rPr>
          <w:sz w:val="24"/>
          <w:szCs w:val="24"/>
        </w:rPr>
        <w:t>.</w:t>
      </w:r>
    </w:p>
    <w:p w:rsidR="00005293" w:rsidRDefault="00005293" w:rsidP="00005293">
      <w:pPr>
        <w:autoSpaceDE w:val="0"/>
        <w:autoSpaceDN w:val="0"/>
        <w:adjustRightInd w:val="0"/>
        <w:ind w:left="851"/>
        <w:rPr>
          <w:sz w:val="24"/>
          <w:szCs w:val="24"/>
          <w:u w:val="single"/>
        </w:rPr>
      </w:pPr>
    </w:p>
    <w:p w:rsidR="00005293" w:rsidRDefault="00005293" w:rsidP="00005293">
      <w:pPr>
        <w:autoSpaceDE w:val="0"/>
        <w:autoSpaceDN w:val="0"/>
        <w:adjustRightInd w:val="0"/>
        <w:ind w:left="851"/>
        <w:rPr>
          <w:sz w:val="24"/>
          <w:szCs w:val="24"/>
          <w:u w:val="single"/>
        </w:rPr>
      </w:pPr>
      <w:r>
        <w:rPr>
          <w:sz w:val="24"/>
          <w:szCs w:val="24"/>
          <w:u w:val="single"/>
        </w:rPr>
        <w:t xml:space="preserve">Øjne </w:t>
      </w:r>
    </w:p>
    <w:p w:rsidR="00005293" w:rsidRDefault="00005293" w:rsidP="00005293">
      <w:pPr>
        <w:autoSpaceDE w:val="0"/>
        <w:autoSpaceDN w:val="0"/>
        <w:adjustRightInd w:val="0"/>
        <w:ind w:left="851"/>
        <w:rPr>
          <w:sz w:val="24"/>
          <w:szCs w:val="24"/>
        </w:rPr>
      </w:pPr>
      <w:r>
        <w:rPr>
          <w:sz w:val="24"/>
          <w:szCs w:val="24"/>
        </w:rPr>
        <w:t xml:space="preserve">Sjælden: Synsforstyrrelser, </w:t>
      </w:r>
      <w:proofErr w:type="spellStart"/>
      <w:r>
        <w:rPr>
          <w:sz w:val="24"/>
          <w:szCs w:val="24"/>
        </w:rPr>
        <w:t>konjunktivitis</w:t>
      </w:r>
      <w:proofErr w:type="spellEnd"/>
      <w:r>
        <w:rPr>
          <w:sz w:val="24"/>
          <w:szCs w:val="24"/>
        </w:rPr>
        <w:t xml:space="preserve">. </w:t>
      </w:r>
    </w:p>
    <w:p w:rsidR="00005293" w:rsidRDefault="00005293" w:rsidP="00005293">
      <w:pPr>
        <w:autoSpaceDE w:val="0"/>
        <w:autoSpaceDN w:val="0"/>
        <w:adjustRightInd w:val="0"/>
        <w:ind w:left="851"/>
        <w:rPr>
          <w:sz w:val="24"/>
          <w:szCs w:val="24"/>
        </w:rPr>
      </w:pPr>
      <w:r>
        <w:rPr>
          <w:sz w:val="24"/>
          <w:szCs w:val="24"/>
        </w:rPr>
        <w:t xml:space="preserve">Meget sjælden: Nedsat syn, </w:t>
      </w:r>
      <w:proofErr w:type="spellStart"/>
      <w:r>
        <w:rPr>
          <w:sz w:val="24"/>
          <w:szCs w:val="24"/>
        </w:rPr>
        <w:t>retinopati</w:t>
      </w:r>
      <w:proofErr w:type="spellEnd"/>
      <w:r>
        <w:rPr>
          <w:sz w:val="24"/>
          <w:szCs w:val="24"/>
        </w:rPr>
        <w:t xml:space="preserve">. </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 xml:space="preserve">Hjerte </w:t>
      </w:r>
    </w:p>
    <w:p w:rsidR="00005293" w:rsidRDefault="00005293" w:rsidP="00005293">
      <w:pPr>
        <w:autoSpaceDE w:val="0"/>
        <w:autoSpaceDN w:val="0"/>
        <w:adjustRightInd w:val="0"/>
        <w:ind w:left="851"/>
        <w:rPr>
          <w:sz w:val="24"/>
          <w:szCs w:val="24"/>
        </w:rPr>
      </w:pPr>
      <w:r>
        <w:rPr>
          <w:sz w:val="24"/>
          <w:szCs w:val="24"/>
        </w:rPr>
        <w:t xml:space="preserve">Sjælden: </w:t>
      </w:r>
      <w:proofErr w:type="spellStart"/>
      <w:r>
        <w:rPr>
          <w:sz w:val="24"/>
          <w:szCs w:val="24"/>
        </w:rPr>
        <w:t>Perikarditis</w:t>
      </w:r>
      <w:proofErr w:type="spellEnd"/>
      <w:r>
        <w:rPr>
          <w:sz w:val="24"/>
          <w:szCs w:val="24"/>
        </w:rPr>
        <w:t xml:space="preserve">, </w:t>
      </w:r>
      <w:proofErr w:type="spellStart"/>
      <w:r>
        <w:rPr>
          <w:sz w:val="24"/>
          <w:szCs w:val="24"/>
        </w:rPr>
        <w:t>perikardiel</w:t>
      </w:r>
      <w:proofErr w:type="spellEnd"/>
      <w:r>
        <w:rPr>
          <w:sz w:val="24"/>
          <w:szCs w:val="24"/>
        </w:rPr>
        <w:t xml:space="preserve"> </w:t>
      </w:r>
      <w:proofErr w:type="spellStart"/>
      <w:r>
        <w:rPr>
          <w:sz w:val="24"/>
          <w:szCs w:val="24"/>
        </w:rPr>
        <w:t>effusion</w:t>
      </w:r>
      <w:proofErr w:type="spellEnd"/>
      <w:r>
        <w:rPr>
          <w:sz w:val="24"/>
          <w:szCs w:val="24"/>
        </w:rPr>
        <w:t xml:space="preserve">, </w:t>
      </w:r>
      <w:proofErr w:type="spellStart"/>
      <w:r>
        <w:rPr>
          <w:sz w:val="24"/>
          <w:szCs w:val="24"/>
        </w:rPr>
        <w:t>perikardiel</w:t>
      </w:r>
      <w:proofErr w:type="spellEnd"/>
      <w:r>
        <w:rPr>
          <w:sz w:val="24"/>
          <w:szCs w:val="24"/>
        </w:rPr>
        <w:t xml:space="preserve"> tamponade.</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proofErr w:type="spellStart"/>
      <w:r>
        <w:rPr>
          <w:sz w:val="24"/>
          <w:szCs w:val="24"/>
          <w:u w:val="single"/>
        </w:rPr>
        <w:t>Vaskulære</w:t>
      </w:r>
      <w:proofErr w:type="spellEnd"/>
      <w:r>
        <w:rPr>
          <w:sz w:val="24"/>
          <w:szCs w:val="24"/>
          <w:u w:val="single"/>
        </w:rPr>
        <w:t xml:space="preserve"> sygdomme</w:t>
      </w:r>
    </w:p>
    <w:p w:rsidR="00005293" w:rsidRDefault="00005293" w:rsidP="00005293">
      <w:pPr>
        <w:autoSpaceDE w:val="0"/>
        <w:autoSpaceDN w:val="0"/>
        <w:adjustRightInd w:val="0"/>
        <w:ind w:left="851"/>
        <w:rPr>
          <w:sz w:val="24"/>
          <w:szCs w:val="24"/>
        </w:rPr>
      </w:pPr>
      <w:r>
        <w:rPr>
          <w:sz w:val="24"/>
          <w:szCs w:val="24"/>
        </w:rPr>
        <w:t xml:space="preserve">Sjælden: Hypotension, </w:t>
      </w:r>
      <w:proofErr w:type="spellStart"/>
      <w:r>
        <w:rPr>
          <w:sz w:val="24"/>
          <w:szCs w:val="24"/>
        </w:rPr>
        <w:t>tromboemboliske</w:t>
      </w:r>
      <w:proofErr w:type="spellEnd"/>
      <w:r>
        <w:rPr>
          <w:sz w:val="24"/>
          <w:szCs w:val="24"/>
        </w:rPr>
        <w:t xml:space="preserve"> hændelser.</w:t>
      </w:r>
    </w:p>
    <w:p w:rsidR="00005293" w:rsidRDefault="00005293" w:rsidP="00005293">
      <w:pPr>
        <w:autoSpaceDE w:val="0"/>
        <w:autoSpaceDN w:val="0"/>
        <w:adjustRightInd w:val="0"/>
        <w:ind w:left="851"/>
        <w:rPr>
          <w:sz w:val="24"/>
          <w:szCs w:val="24"/>
        </w:rPr>
      </w:pPr>
    </w:p>
    <w:p w:rsidR="00005293" w:rsidRDefault="00005293" w:rsidP="00F9604D">
      <w:pPr>
        <w:keepNext/>
        <w:autoSpaceDE w:val="0"/>
        <w:autoSpaceDN w:val="0"/>
        <w:adjustRightInd w:val="0"/>
        <w:ind w:left="851"/>
        <w:rPr>
          <w:sz w:val="24"/>
          <w:szCs w:val="24"/>
          <w:u w:val="single"/>
        </w:rPr>
      </w:pPr>
      <w:r>
        <w:rPr>
          <w:sz w:val="24"/>
          <w:szCs w:val="24"/>
          <w:u w:val="single"/>
        </w:rPr>
        <w:lastRenderedPageBreak/>
        <w:t xml:space="preserve">Luftveje, thorax og </w:t>
      </w:r>
      <w:proofErr w:type="spellStart"/>
      <w:r>
        <w:rPr>
          <w:sz w:val="24"/>
          <w:szCs w:val="24"/>
          <w:u w:val="single"/>
        </w:rPr>
        <w:t>mediastinum</w:t>
      </w:r>
      <w:proofErr w:type="spellEnd"/>
    </w:p>
    <w:p w:rsidR="00005293" w:rsidRDefault="00005293" w:rsidP="00005293">
      <w:pPr>
        <w:autoSpaceDE w:val="0"/>
        <w:autoSpaceDN w:val="0"/>
        <w:adjustRightInd w:val="0"/>
        <w:ind w:left="851"/>
        <w:rPr>
          <w:sz w:val="24"/>
          <w:szCs w:val="24"/>
        </w:rPr>
      </w:pPr>
      <w:r>
        <w:rPr>
          <w:sz w:val="24"/>
          <w:szCs w:val="24"/>
        </w:rPr>
        <w:t xml:space="preserve">Almindelig: Pneumoni, </w:t>
      </w:r>
      <w:proofErr w:type="spellStart"/>
      <w:r>
        <w:rPr>
          <w:sz w:val="24"/>
          <w:szCs w:val="24"/>
        </w:rPr>
        <w:t>interstitiel</w:t>
      </w:r>
      <w:proofErr w:type="spellEnd"/>
      <w:r>
        <w:rPr>
          <w:sz w:val="24"/>
          <w:szCs w:val="24"/>
        </w:rPr>
        <w:t xml:space="preserve"> </w:t>
      </w:r>
      <w:proofErr w:type="spellStart"/>
      <w:r>
        <w:rPr>
          <w:sz w:val="24"/>
          <w:szCs w:val="24"/>
        </w:rPr>
        <w:t>alveolitis</w:t>
      </w:r>
      <w:proofErr w:type="spellEnd"/>
      <w:r>
        <w:rPr>
          <w:sz w:val="24"/>
          <w:szCs w:val="24"/>
        </w:rPr>
        <w:t xml:space="preserve">/pneumonitis som ofte er forbundet med </w:t>
      </w:r>
      <w:proofErr w:type="spellStart"/>
      <w:r>
        <w:rPr>
          <w:sz w:val="24"/>
          <w:szCs w:val="24"/>
        </w:rPr>
        <w:t>eosinofili</w:t>
      </w:r>
      <w:proofErr w:type="spellEnd"/>
      <w:r>
        <w:rPr>
          <w:sz w:val="24"/>
          <w:szCs w:val="24"/>
        </w:rPr>
        <w:t xml:space="preserve"> (se pkt. 4.4). Symptomer der indikerer potentielt svær lungeskade (</w:t>
      </w:r>
      <w:proofErr w:type="spellStart"/>
      <w:r>
        <w:rPr>
          <w:sz w:val="24"/>
          <w:szCs w:val="24"/>
        </w:rPr>
        <w:t>interstitiel</w:t>
      </w:r>
      <w:proofErr w:type="spellEnd"/>
      <w:r>
        <w:rPr>
          <w:sz w:val="24"/>
          <w:szCs w:val="24"/>
        </w:rPr>
        <w:t xml:space="preserve"> pneumonitis), er: tør, ikke-produktiv hoste, åndenød og feber (se pkt. 4.4).</w:t>
      </w:r>
    </w:p>
    <w:p w:rsidR="00005293" w:rsidRDefault="00005293" w:rsidP="00005293">
      <w:pPr>
        <w:autoSpaceDE w:val="0"/>
        <w:autoSpaceDN w:val="0"/>
        <w:adjustRightInd w:val="0"/>
        <w:ind w:left="851"/>
        <w:rPr>
          <w:sz w:val="24"/>
          <w:szCs w:val="24"/>
        </w:rPr>
      </w:pPr>
      <w:r>
        <w:rPr>
          <w:sz w:val="24"/>
          <w:szCs w:val="24"/>
        </w:rPr>
        <w:t xml:space="preserve">Ikke almindelige: </w:t>
      </w:r>
      <w:proofErr w:type="spellStart"/>
      <w:r>
        <w:rPr>
          <w:sz w:val="24"/>
          <w:szCs w:val="24"/>
        </w:rPr>
        <w:t>Pharyngitis</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Sjælden: Lungefibrose, åndenød og bronkial astma, </w:t>
      </w:r>
      <w:proofErr w:type="spellStart"/>
      <w:r>
        <w:rPr>
          <w:sz w:val="24"/>
          <w:szCs w:val="24"/>
        </w:rPr>
        <w:t>pleural</w:t>
      </w:r>
      <w:proofErr w:type="spellEnd"/>
      <w:r>
        <w:rPr>
          <w:sz w:val="24"/>
          <w:szCs w:val="24"/>
        </w:rPr>
        <w:t xml:space="preserve"> </w:t>
      </w:r>
      <w:proofErr w:type="spellStart"/>
      <w:r>
        <w:rPr>
          <w:sz w:val="24"/>
          <w:szCs w:val="24"/>
        </w:rPr>
        <w:t>effusion</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Ikke kendt: </w:t>
      </w:r>
      <w:proofErr w:type="spellStart"/>
      <w:r>
        <w:rPr>
          <w:sz w:val="24"/>
          <w:szCs w:val="24"/>
        </w:rPr>
        <w:t>Epistaxis</w:t>
      </w:r>
      <w:proofErr w:type="spellEnd"/>
      <w:r>
        <w:rPr>
          <w:sz w:val="24"/>
          <w:szCs w:val="24"/>
        </w:rPr>
        <w:t xml:space="preserve">, </w:t>
      </w:r>
      <w:proofErr w:type="spellStart"/>
      <w:r>
        <w:rPr>
          <w:sz w:val="24"/>
          <w:szCs w:val="24"/>
        </w:rPr>
        <w:t>pulmonal</w:t>
      </w:r>
      <w:proofErr w:type="spellEnd"/>
      <w:r>
        <w:rPr>
          <w:sz w:val="24"/>
          <w:szCs w:val="24"/>
        </w:rPr>
        <w:t xml:space="preserve"> alveolær blødning.</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Mave-tarm-kanalen</w:t>
      </w:r>
    </w:p>
    <w:p w:rsidR="00005293" w:rsidRDefault="00005293" w:rsidP="00005293">
      <w:pPr>
        <w:autoSpaceDE w:val="0"/>
        <w:autoSpaceDN w:val="0"/>
        <w:adjustRightInd w:val="0"/>
        <w:ind w:left="851"/>
        <w:rPr>
          <w:sz w:val="24"/>
          <w:szCs w:val="24"/>
        </w:rPr>
      </w:pPr>
      <w:r>
        <w:rPr>
          <w:sz w:val="24"/>
          <w:szCs w:val="24"/>
        </w:rPr>
        <w:t xml:space="preserve">Meget almindelig: </w:t>
      </w:r>
      <w:proofErr w:type="spellStart"/>
      <w:r>
        <w:rPr>
          <w:sz w:val="24"/>
          <w:szCs w:val="24"/>
        </w:rPr>
        <w:t>Stomatitis</w:t>
      </w:r>
      <w:proofErr w:type="spellEnd"/>
      <w:r>
        <w:rPr>
          <w:sz w:val="24"/>
          <w:szCs w:val="24"/>
        </w:rPr>
        <w:t xml:space="preserve">, dyspepsi, kvalme, appetitløshed, </w:t>
      </w:r>
      <w:proofErr w:type="spellStart"/>
      <w:r>
        <w:rPr>
          <w:sz w:val="24"/>
          <w:szCs w:val="24"/>
        </w:rPr>
        <w:t>abdominalsmerter</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Almindelig: Orale </w:t>
      </w:r>
      <w:proofErr w:type="spellStart"/>
      <w:r>
        <w:rPr>
          <w:sz w:val="24"/>
          <w:szCs w:val="24"/>
        </w:rPr>
        <w:t>ulcerationer</w:t>
      </w:r>
      <w:proofErr w:type="spellEnd"/>
      <w:r>
        <w:rPr>
          <w:sz w:val="24"/>
          <w:szCs w:val="24"/>
        </w:rPr>
        <w:t>, diarré.</w:t>
      </w:r>
    </w:p>
    <w:p w:rsidR="00005293" w:rsidRDefault="00005293" w:rsidP="00005293">
      <w:pPr>
        <w:autoSpaceDE w:val="0"/>
        <w:autoSpaceDN w:val="0"/>
        <w:adjustRightInd w:val="0"/>
        <w:ind w:left="851"/>
        <w:rPr>
          <w:sz w:val="24"/>
          <w:szCs w:val="24"/>
        </w:rPr>
      </w:pPr>
      <w:r>
        <w:rPr>
          <w:sz w:val="24"/>
          <w:szCs w:val="24"/>
        </w:rPr>
        <w:t xml:space="preserve">Ikke almindelig: </w:t>
      </w:r>
      <w:proofErr w:type="spellStart"/>
      <w:r>
        <w:rPr>
          <w:sz w:val="22"/>
          <w:szCs w:val="22"/>
        </w:rPr>
        <w:t>Gastrointestinale</w:t>
      </w:r>
      <w:proofErr w:type="spellEnd"/>
      <w:r>
        <w:rPr>
          <w:sz w:val="22"/>
          <w:szCs w:val="22"/>
        </w:rPr>
        <w:t xml:space="preserve"> </w:t>
      </w:r>
      <w:proofErr w:type="spellStart"/>
      <w:r>
        <w:rPr>
          <w:sz w:val="22"/>
          <w:szCs w:val="22"/>
        </w:rPr>
        <w:t>ulcera</w:t>
      </w:r>
      <w:proofErr w:type="spellEnd"/>
      <w:r>
        <w:rPr>
          <w:sz w:val="22"/>
          <w:szCs w:val="22"/>
        </w:rPr>
        <w:t xml:space="preserve"> og blødning, </w:t>
      </w:r>
      <w:proofErr w:type="spellStart"/>
      <w:r>
        <w:rPr>
          <w:sz w:val="24"/>
          <w:szCs w:val="24"/>
        </w:rPr>
        <w:t>enteritis</w:t>
      </w:r>
      <w:proofErr w:type="spellEnd"/>
      <w:r>
        <w:rPr>
          <w:sz w:val="24"/>
          <w:szCs w:val="24"/>
        </w:rPr>
        <w:t xml:space="preserve">, opkastning, </w:t>
      </w:r>
      <w:proofErr w:type="spellStart"/>
      <w:r>
        <w:rPr>
          <w:sz w:val="24"/>
          <w:szCs w:val="24"/>
        </w:rPr>
        <w:t>pankreatitis</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Sjælden: </w:t>
      </w:r>
      <w:proofErr w:type="spellStart"/>
      <w:r>
        <w:rPr>
          <w:sz w:val="24"/>
          <w:szCs w:val="24"/>
        </w:rPr>
        <w:t>Gingivitis</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Meget sjælden: </w:t>
      </w:r>
      <w:proofErr w:type="spellStart"/>
      <w:r>
        <w:rPr>
          <w:sz w:val="24"/>
          <w:szCs w:val="24"/>
        </w:rPr>
        <w:t>Hæmatemese</w:t>
      </w:r>
      <w:proofErr w:type="spellEnd"/>
      <w:r>
        <w:rPr>
          <w:sz w:val="24"/>
          <w:szCs w:val="24"/>
        </w:rPr>
        <w:t xml:space="preserve">, </w:t>
      </w:r>
      <w:proofErr w:type="spellStart"/>
      <w:r>
        <w:rPr>
          <w:sz w:val="24"/>
          <w:szCs w:val="24"/>
        </w:rPr>
        <w:t>hæmatorré</w:t>
      </w:r>
      <w:proofErr w:type="spellEnd"/>
      <w:r>
        <w:rPr>
          <w:sz w:val="24"/>
          <w:szCs w:val="24"/>
        </w:rPr>
        <w:t xml:space="preserve">, toksisk </w:t>
      </w:r>
      <w:proofErr w:type="spellStart"/>
      <w:r>
        <w:rPr>
          <w:sz w:val="24"/>
          <w:szCs w:val="24"/>
        </w:rPr>
        <w:t>megacolon</w:t>
      </w:r>
      <w:proofErr w:type="spellEnd"/>
      <w:r>
        <w:rPr>
          <w:sz w:val="24"/>
          <w:szCs w:val="24"/>
        </w:rPr>
        <w:t>.</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Lever og galdeveje (se pkt. 4.4)</w:t>
      </w:r>
    </w:p>
    <w:p w:rsidR="00005293" w:rsidRDefault="00005293" w:rsidP="00005293">
      <w:pPr>
        <w:autoSpaceDE w:val="0"/>
        <w:autoSpaceDN w:val="0"/>
        <w:adjustRightInd w:val="0"/>
        <w:ind w:left="851"/>
        <w:rPr>
          <w:sz w:val="24"/>
          <w:szCs w:val="24"/>
        </w:rPr>
      </w:pPr>
      <w:r>
        <w:rPr>
          <w:sz w:val="24"/>
          <w:szCs w:val="24"/>
        </w:rPr>
        <w:t xml:space="preserve">Meget almindelig: Forhøjede </w:t>
      </w:r>
      <w:proofErr w:type="spellStart"/>
      <w:r>
        <w:rPr>
          <w:sz w:val="24"/>
          <w:szCs w:val="24"/>
        </w:rPr>
        <w:t>transaminaser</w:t>
      </w:r>
      <w:proofErr w:type="spellEnd"/>
      <w:r>
        <w:rPr>
          <w:sz w:val="24"/>
          <w:szCs w:val="24"/>
        </w:rPr>
        <w:t xml:space="preserve"> (ASAT, ALAT), alkalisk </w:t>
      </w:r>
      <w:proofErr w:type="spellStart"/>
      <w:r>
        <w:rPr>
          <w:sz w:val="24"/>
          <w:szCs w:val="24"/>
        </w:rPr>
        <w:t>phosphatase</w:t>
      </w:r>
      <w:proofErr w:type="spellEnd"/>
      <w:r>
        <w:rPr>
          <w:sz w:val="24"/>
          <w:szCs w:val="24"/>
        </w:rPr>
        <w:t xml:space="preserve"> og bilirubin.</w:t>
      </w:r>
    </w:p>
    <w:p w:rsidR="00005293" w:rsidRDefault="00005293" w:rsidP="00005293">
      <w:pPr>
        <w:autoSpaceDE w:val="0"/>
        <w:autoSpaceDN w:val="0"/>
        <w:adjustRightInd w:val="0"/>
        <w:ind w:left="851"/>
        <w:rPr>
          <w:sz w:val="24"/>
          <w:szCs w:val="24"/>
        </w:rPr>
      </w:pPr>
      <w:r>
        <w:rPr>
          <w:sz w:val="24"/>
          <w:szCs w:val="24"/>
        </w:rPr>
        <w:t>Ikke almindelig: Cirrose, fibrose og fedtdegeneration af leveren, fald i serumalbumin.</w:t>
      </w:r>
    </w:p>
    <w:p w:rsidR="00005293" w:rsidRDefault="00005293" w:rsidP="00005293">
      <w:pPr>
        <w:autoSpaceDE w:val="0"/>
        <w:autoSpaceDN w:val="0"/>
        <w:adjustRightInd w:val="0"/>
        <w:ind w:left="851"/>
        <w:rPr>
          <w:sz w:val="24"/>
          <w:szCs w:val="24"/>
        </w:rPr>
      </w:pPr>
      <w:r>
        <w:rPr>
          <w:sz w:val="24"/>
          <w:szCs w:val="24"/>
        </w:rPr>
        <w:t>Sjælden: Akut hepatitis.</w:t>
      </w:r>
    </w:p>
    <w:p w:rsidR="00005293" w:rsidRDefault="00005293" w:rsidP="00005293">
      <w:pPr>
        <w:autoSpaceDE w:val="0"/>
        <w:autoSpaceDN w:val="0"/>
        <w:adjustRightInd w:val="0"/>
        <w:ind w:left="851"/>
        <w:rPr>
          <w:sz w:val="24"/>
          <w:szCs w:val="24"/>
        </w:rPr>
      </w:pPr>
      <w:r>
        <w:rPr>
          <w:sz w:val="24"/>
          <w:szCs w:val="24"/>
        </w:rPr>
        <w:t>Meget sjælden: Leversvigt.</w:t>
      </w:r>
    </w:p>
    <w:p w:rsidR="00005293" w:rsidRDefault="00005293" w:rsidP="00005293">
      <w:pPr>
        <w:autoSpaceDE w:val="0"/>
        <w:autoSpaceDN w:val="0"/>
        <w:adjustRightInd w:val="0"/>
        <w:ind w:left="851"/>
        <w:rPr>
          <w:sz w:val="24"/>
          <w:szCs w:val="24"/>
        </w:rPr>
      </w:pPr>
    </w:p>
    <w:p w:rsidR="00005293" w:rsidRDefault="00005293" w:rsidP="00005293">
      <w:pPr>
        <w:keepNext/>
        <w:autoSpaceDE w:val="0"/>
        <w:autoSpaceDN w:val="0"/>
        <w:adjustRightInd w:val="0"/>
        <w:ind w:left="851"/>
        <w:rPr>
          <w:sz w:val="24"/>
          <w:szCs w:val="24"/>
          <w:u w:val="single"/>
        </w:rPr>
      </w:pPr>
      <w:r>
        <w:rPr>
          <w:sz w:val="24"/>
          <w:szCs w:val="24"/>
          <w:u w:val="single"/>
        </w:rPr>
        <w:t>Hud og subkutane væv</w:t>
      </w:r>
    </w:p>
    <w:p w:rsidR="00005293" w:rsidRDefault="00005293" w:rsidP="00005293">
      <w:pPr>
        <w:autoSpaceDE w:val="0"/>
        <w:autoSpaceDN w:val="0"/>
        <w:adjustRightInd w:val="0"/>
        <w:ind w:left="851"/>
        <w:rPr>
          <w:sz w:val="24"/>
          <w:szCs w:val="24"/>
        </w:rPr>
      </w:pPr>
      <w:r>
        <w:rPr>
          <w:sz w:val="24"/>
          <w:szCs w:val="24"/>
        </w:rPr>
        <w:t xml:space="preserve">Almindelig: </w:t>
      </w:r>
      <w:proofErr w:type="spellStart"/>
      <w:r>
        <w:rPr>
          <w:sz w:val="24"/>
          <w:szCs w:val="24"/>
        </w:rPr>
        <w:t>Eksantem</w:t>
      </w:r>
      <w:proofErr w:type="spellEnd"/>
      <w:r>
        <w:rPr>
          <w:sz w:val="24"/>
          <w:szCs w:val="24"/>
        </w:rPr>
        <w:t xml:space="preserve">, </w:t>
      </w:r>
      <w:proofErr w:type="spellStart"/>
      <w:r>
        <w:rPr>
          <w:sz w:val="24"/>
          <w:szCs w:val="24"/>
        </w:rPr>
        <w:t>erytem</w:t>
      </w:r>
      <w:proofErr w:type="spellEnd"/>
      <w:r>
        <w:rPr>
          <w:sz w:val="24"/>
          <w:szCs w:val="24"/>
        </w:rPr>
        <w:t xml:space="preserve">, </w:t>
      </w:r>
      <w:proofErr w:type="spellStart"/>
      <w:r>
        <w:rPr>
          <w:sz w:val="24"/>
          <w:szCs w:val="24"/>
        </w:rPr>
        <w:t>pruritus</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Ikke almindelig: </w:t>
      </w:r>
      <w:r w:rsidR="00AF7C87" w:rsidRPr="00AF7C87">
        <w:rPr>
          <w:sz w:val="24"/>
          <w:szCs w:val="24"/>
        </w:rPr>
        <w:t xml:space="preserve">Reaktioner på fotosensitivitet, </w:t>
      </w:r>
      <w:r w:rsidRPr="00AF7C87">
        <w:rPr>
          <w:sz w:val="24"/>
          <w:szCs w:val="24"/>
        </w:rPr>
        <w:t>hårtab</w:t>
      </w:r>
      <w:r>
        <w:rPr>
          <w:sz w:val="24"/>
          <w:szCs w:val="24"/>
        </w:rPr>
        <w:t xml:space="preserve">, stigning i reumatiske knuder, herpes </w:t>
      </w:r>
      <w:proofErr w:type="spellStart"/>
      <w:r>
        <w:rPr>
          <w:sz w:val="24"/>
          <w:szCs w:val="24"/>
        </w:rPr>
        <w:t>zoster</w:t>
      </w:r>
      <w:proofErr w:type="spellEnd"/>
      <w:r>
        <w:rPr>
          <w:sz w:val="24"/>
          <w:szCs w:val="24"/>
        </w:rPr>
        <w:t xml:space="preserve">, </w:t>
      </w:r>
      <w:proofErr w:type="spellStart"/>
      <w:r>
        <w:rPr>
          <w:sz w:val="24"/>
          <w:szCs w:val="24"/>
        </w:rPr>
        <w:t>vaskulitis</w:t>
      </w:r>
      <w:proofErr w:type="spellEnd"/>
      <w:r>
        <w:rPr>
          <w:sz w:val="24"/>
          <w:szCs w:val="24"/>
        </w:rPr>
        <w:t xml:space="preserve">, </w:t>
      </w:r>
      <w:proofErr w:type="spellStart"/>
      <w:r>
        <w:rPr>
          <w:sz w:val="24"/>
          <w:szCs w:val="24"/>
        </w:rPr>
        <w:t>herpetiforme</w:t>
      </w:r>
      <w:proofErr w:type="spellEnd"/>
      <w:r>
        <w:rPr>
          <w:sz w:val="24"/>
          <w:szCs w:val="24"/>
        </w:rPr>
        <w:t xml:space="preserve"> hududslæt, nældefeber.</w:t>
      </w:r>
    </w:p>
    <w:p w:rsidR="00005293" w:rsidRDefault="00005293" w:rsidP="00005293">
      <w:pPr>
        <w:autoSpaceDE w:val="0"/>
        <w:autoSpaceDN w:val="0"/>
        <w:adjustRightInd w:val="0"/>
        <w:ind w:left="851"/>
        <w:rPr>
          <w:sz w:val="24"/>
          <w:szCs w:val="24"/>
        </w:rPr>
      </w:pPr>
      <w:r>
        <w:rPr>
          <w:sz w:val="24"/>
          <w:szCs w:val="24"/>
        </w:rPr>
        <w:t xml:space="preserve">Sjælden: Øget pigmentering, akne, </w:t>
      </w:r>
      <w:proofErr w:type="spellStart"/>
      <w:r>
        <w:rPr>
          <w:sz w:val="24"/>
          <w:szCs w:val="24"/>
        </w:rPr>
        <w:t>ekkymose</w:t>
      </w:r>
      <w:proofErr w:type="spellEnd"/>
      <w:r>
        <w:rPr>
          <w:sz w:val="24"/>
          <w:szCs w:val="24"/>
        </w:rPr>
        <w:t xml:space="preserve">, </w:t>
      </w:r>
      <w:proofErr w:type="spellStart"/>
      <w:r>
        <w:rPr>
          <w:sz w:val="24"/>
          <w:szCs w:val="24"/>
        </w:rPr>
        <w:t>petekkier</w:t>
      </w:r>
      <w:proofErr w:type="spellEnd"/>
      <w:r>
        <w:rPr>
          <w:sz w:val="24"/>
          <w:szCs w:val="24"/>
        </w:rPr>
        <w:t xml:space="preserve">, allergisk </w:t>
      </w:r>
      <w:proofErr w:type="spellStart"/>
      <w:r>
        <w:rPr>
          <w:sz w:val="24"/>
          <w:szCs w:val="24"/>
        </w:rPr>
        <w:t>vaskulitis</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Meget sjælden: Stevens-Johnson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proofErr w:type="spellStart"/>
      <w:r>
        <w:rPr>
          <w:sz w:val="24"/>
          <w:szCs w:val="24"/>
        </w:rPr>
        <w:t>Lyells</w:t>
      </w:r>
      <w:proofErr w:type="spellEnd"/>
      <w:r>
        <w:rPr>
          <w:sz w:val="24"/>
          <w:szCs w:val="24"/>
        </w:rPr>
        <w:t xml:space="preserve"> syndrom), øget pigmentændringer af negle, akut </w:t>
      </w:r>
      <w:proofErr w:type="spellStart"/>
      <w:r>
        <w:rPr>
          <w:sz w:val="24"/>
          <w:szCs w:val="24"/>
        </w:rPr>
        <w:t>paronychion</w:t>
      </w:r>
      <w:proofErr w:type="spellEnd"/>
      <w:r>
        <w:rPr>
          <w:sz w:val="24"/>
          <w:szCs w:val="24"/>
        </w:rPr>
        <w:t xml:space="preserve">, </w:t>
      </w:r>
      <w:proofErr w:type="spellStart"/>
      <w:r>
        <w:rPr>
          <w:sz w:val="24"/>
          <w:szCs w:val="24"/>
        </w:rPr>
        <w:t>furunkulose</w:t>
      </w:r>
      <w:proofErr w:type="spellEnd"/>
      <w:r>
        <w:rPr>
          <w:sz w:val="24"/>
          <w:szCs w:val="24"/>
        </w:rPr>
        <w:t xml:space="preserve">, </w:t>
      </w:r>
      <w:proofErr w:type="spellStart"/>
      <w:r>
        <w:rPr>
          <w:sz w:val="24"/>
          <w:szCs w:val="24"/>
        </w:rPr>
        <w:t>telangiektasi</w:t>
      </w:r>
      <w:proofErr w:type="spellEnd"/>
      <w:r>
        <w:rPr>
          <w:sz w:val="24"/>
          <w:szCs w:val="24"/>
        </w:rPr>
        <w:t>.</w:t>
      </w:r>
    </w:p>
    <w:p w:rsidR="002932D5" w:rsidRDefault="002932D5" w:rsidP="002932D5">
      <w:pPr>
        <w:autoSpaceDE w:val="0"/>
        <w:autoSpaceDN w:val="0"/>
        <w:adjustRightInd w:val="0"/>
        <w:ind w:left="851"/>
        <w:rPr>
          <w:sz w:val="24"/>
          <w:szCs w:val="24"/>
        </w:rPr>
      </w:pPr>
      <w:r>
        <w:rPr>
          <w:sz w:val="24"/>
          <w:szCs w:val="24"/>
        </w:rPr>
        <w:t xml:space="preserve">Ikke kendt: </w:t>
      </w:r>
      <w:proofErr w:type="spellStart"/>
      <w:r>
        <w:rPr>
          <w:sz w:val="24"/>
          <w:szCs w:val="24"/>
        </w:rPr>
        <w:t>Hidradenitis</w:t>
      </w:r>
      <w:proofErr w:type="spellEnd"/>
      <w:r>
        <w:rPr>
          <w:sz w:val="24"/>
          <w:szCs w:val="24"/>
        </w:rPr>
        <w:t xml:space="preserve">, </w:t>
      </w:r>
      <w:proofErr w:type="spellStart"/>
      <w:r>
        <w:rPr>
          <w:sz w:val="24"/>
          <w:szCs w:val="24"/>
        </w:rPr>
        <w:t>erythema</w:t>
      </w:r>
      <w:proofErr w:type="spellEnd"/>
      <w:r>
        <w:rPr>
          <w:sz w:val="24"/>
          <w:szCs w:val="24"/>
        </w:rPr>
        <w:t xml:space="preserve"> multiforme,</w:t>
      </w:r>
      <w:r>
        <w:t xml:space="preserve"> </w:t>
      </w:r>
      <w:proofErr w:type="spellStart"/>
      <w:r>
        <w:rPr>
          <w:sz w:val="24"/>
          <w:szCs w:val="24"/>
        </w:rPr>
        <w:t>onykolyse</w:t>
      </w:r>
      <w:proofErr w:type="spellEnd"/>
      <w:r>
        <w:rPr>
          <w:sz w:val="24"/>
          <w:szCs w:val="24"/>
        </w:rPr>
        <w:t xml:space="preserve">, </w:t>
      </w:r>
      <w:proofErr w:type="spellStart"/>
      <w:r>
        <w:rPr>
          <w:sz w:val="24"/>
          <w:szCs w:val="24"/>
        </w:rPr>
        <w:t>hudeksfoliation</w:t>
      </w:r>
      <w:proofErr w:type="spellEnd"/>
      <w:r>
        <w:rPr>
          <w:sz w:val="24"/>
          <w:szCs w:val="24"/>
        </w:rPr>
        <w:t>/</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rPr>
      </w:pPr>
      <w:r>
        <w:rPr>
          <w:sz w:val="24"/>
          <w:szCs w:val="24"/>
        </w:rPr>
        <w:t xml:space="preserve">Psoriasislæsioner kan forværres ved samtidig UV-terapi. </w:t>
      </w:r>
      <w:proofErr w:type="spellStart"/>
      <w:r>
        <w:rPr>
          <w:sz w:val="24"/>
          <w:szCs w:val="24"/>
        </w:rPr>
        <w:t>Stråledermatitis</w:t>
      </w:r>
      <w:proofErr w:type="spellEnd"/>
      <w:r>
        <w:rPr>
          <w:sz w:val="24"/>
          <w:szCs w:val="24"/>
        </w:rPr>
        <w:t xml:space="preserve"> og solforbrænding kan vende tilbage (”</w:t>
      </w:r>
      <w:proofErr w:type="spellStart"/>
      <w:r>
        <w:rPr>
          <w:sz w:val="24"/>
          <w:szCs w:val="24"/>
        </w:rPr>
        <w:t>recalled</w:t>
      </w:r>
      <w:proofErr w:type="spellEnd"/>
      <w:r>
        <w:rPr>
          <w:sz w:val="24"/>
          <w:szCs w:val="24"/>
        </w:rPr>
        <w:t>”).</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Knogler, led, muskler og bindevæv</w:t>
      </w:r>
    </w:p>
    <w:p w:rsidR="00005293" w:rsidRDefault="00005293" w:rsidP="00005293">
      <w:pPr>
        <w:autoSpaceDE w:val="0"/>
        <w:autoSpaceDN w:val="0"/>
        <w:adjustRightInd w:val="0"/>
        <w:ind w:left="851"/>
        <w:rPr>
          <w:sz w:val="24"/>
          <w:szCs w:val="24"/>
        </w:rPr>
      </w:pPr>
      <w:r>
        <w:rPr>
          <w:sz w:val="24"/>
          <w:szCs w:val="24"/>
        </w:rPr>
        <w:t xml:space="preserve">Ikke almindelig: </w:t>
      </w:r>
      <w:proofErr w:type="spellStart"/>
      <w:r>
        <w:rPr>
          <w:sz w:val="24"/>
          <w:szCs w:val="24"/>
        </w:rPr>
        <w:t>Arthralgi</w:t>
      </w:r>
      <w:proofErr w:type="spellEnd"/>
      <w:r>
        <w:rPr>
          <w:sz w:val="24"/>
          <w:szCs w:val="24"/>
        </w:rPr>
        <w:t>, myalgi, osteoporose.</w:t>
      </w:r>
    </w:p>
    <w:p w:rsidR="00005293" w:rsidRPr="00991931" w:rsidRDefault="00005293" w:rsidP="00005293">
      <w:pPr>
        <w:autoSpaceDE w:val="0"/>
        <w:autoSpaceDN w:val="0"/>
        <w:adjustRightInd w:val="0"/>
        <w:ind w:left="851"/>
        <w:rPr>
          <w:sz w:val="24"/>
          <w:szCs w:val="24"/>
        </w:rPr>
      </w:pPr>
      <w:r w:rsidRPr="00991931">
        <w:rPr>
          <w:sz w:val="24"/>
          <w:szCs w:val="24"/>
        </w:rPr>
        <w:t>Sjælden: Stressfraktur</w:t>
      </w:r>
    </w:p>
    <w:p w:rsidR="00005293" w:rsidRDefault="00005293" w:rsidP="00005293">
      <w:pPr>
        <w:autoSpaceDE w:val="0"/>
        <w:autoSpaceDN w:val="0"/>
        <w:adjustRightInd w:val="0"/>
        <w:ind w:left="851"/>
        <w:rPr>
          <w:sz w:val="24"/>
          <w:szCs w:val="24"/>
        </w:rPr>
      </w:pPr>
      <w:r w:rsidRPr="00991931">
        <w:rPr>
          <w:sz w:val="24"/>
          <w:szCs w:val="24"/>
        </w:rPr>
        <w:t xml:space="preserve">Ikke kendt: </w:t>
      </w:r>
      <w:proofErr w:type="spellStart"/>
      <w:r w:rsidRPr="00991931">
        <w:rPr>
          <w:sz w:val="24"/>
          <w:szCs w:val="24"/>
        </w:rPr>
        <w:t>Osteonekrose</w:t>
      </w:r>
      <w:proofErr w:type="spellEnd"/>
      <w:r w:rsidRPr="00991931">
        <w:rPr>
          <w:sz w:val="24"/>
          <w:szCs w:val="24"/>
        </w:rPr>
        <w:t xml:space="preserve"> i kæberne (sekundært til </w:t>
      </w:r>
      <w:proofErr w:type="spellStart"/>
      <w:r w:rsidRPr="00991931">
        <w:rPr>
          <w:sz w:val="24"/>
          <w:szCs w:val="24"/>
        </w:rPr>
        <w:t>lymfoproliferative</w:t>
      </w:r>
      <w:proofErr w:type="spellEnd"/>
      <w:r w:rsidRPr="00991931">
        <w:rPr>
          <w:sz w:val="24"/>
          <w:szCs w:val="24"/>
        </w:rPr>
        <w:t xml:space="preserve"> sygdomme).</w:t>
      </w:r>
    </w:p>
    <w:p w:rsidR="00005293" w:rsidRDefault="00005293" w:rsidP="00005293">
      <w:pPr>
        <w:autoSpaceDE w:val="0"/>
        <w:autoSpaceDN w:val="0"/>
        <w:adjustRightInd w:val="0"/>
        <w:ind w:left="851"/>
        <w:rPr>
          <w:sz w:val="24"/>
          <w:szCs w:val="24"/>
        </w:rPr>
      </w:pPr>
    </w:p>
    <w:p w:rsidR="00005293" w:rsidRDefault="00005293" w:rsidP="00F12FF3">
      <w:pPr>
        <w:keepNext/>
        <w:autoSpaceDE w:val="0"/>
        <w:autoSpaceDN w:val="0"/>
        <w:adjustRightInd w:val="0"/>
        <w:ind w:left="851"/>
        <w:rPr>
          <w:sz w:val="24"/>
          <w:szCs w:val="24"/>
          <w:u w:val="single"/>
        </w:rPr>
      </w:pPr>
      <w:r>
        <w:rPr>
          <w:sz w:val="24"/>
          <w:szCs w:val="24"/>
          <w:u w:val="single"/>
        </w:rPr>
        <w:t>Nyrer og urinveje</w:t>
      </w:r>
    </w:p>
    <w:p w:rsidR="00005293" w:rsidRDefault="00005293" w:rsidP="00005293">
      <w:pPr>
        <w:autoSpaceDE w:val="0"/>
        <w:autoSpaceDN w:val="0"/>
        <w:adjustRightInd w:val="0"/>
        <w:ind w:left="851"/>
        <w:rPr>
          <w:sz w:val="24"/>
          <w:szCs w:val="24"/>
        </w:rPr>
      </w:pPr>
      <w:r>
        <w:rPr>
          <w:sz w:val="24"/>
          <w:szCs w:val="24"/>
        </w:rPr>
        <w:t xml:space="preserve">Ikke almindelig: Inflammation og </w:t>
      </w:r>
      <w:proofErr w:type="spellStart"/>
      <w:r>
        <w:rPr>
          <w:sz w:val="24"/>
          <w:szCs w:val="24"/>
        </w:rPr>
        <w:t>ulceration</w:t>
      </w:r>
      <w:proofErr w:type="spellEnd"/>
      <w:r>
        <w:rPr>
          <w:sz w:val="24"/>
          <w:szCs w:val="24"/>
        </w:rPr>
        <w:t xml:space="preserve"> i urinblæren, nedsat nyrefunktion, forstyrret vandladning.</w:t>
      </w:r>
    </w:p>
    <w:p w:rsidR="00005293" w:rsidRDefault="00005293" w:rsidP="00005293">
      <w:pPr>
        <w:autoSpaceDE w:val="0"/>
        <w:autoSpaceDN w:val="0"/>
        <w:adjustRightInd w:val="0"/>
        <w:ind w:left="851"/>
        <w:rPr>
          <w:sz w:val="24"/>
          <w:szCs w:val="24"/>
        </w:rPr>
      </w:pPr>
      <w:r>
        <w:rPr>
          <w:sz w:val="24"/>
          <w:szCs w:val="24"/>
        </w:rPr>
        <w:t xml:space="preserve">Sjælden: Nyresvigt, </w:t>
      </w:r>
      <w:proofErr w:type="spellStart"/>
      <w:r>
        <w:rPr>
          <w:sz w:val="24"/>
          <w:szCs w:val="24"/>
        </w:rPr>
        <w:t>oliguri</w:t>
      </w:r>
      <w:proofErr w:type="spellEnd"/>
      <w:r>
        <w:rPr>
          <w:sz w:val="24"/>
          <w:szCs w:val="24"/>
        </w:rPr>
        <w:t xml:space="preserve">, </w:t>
      </w:r>
      <w:proofErr w:type="spellStart"/>
      <w:r>
        <w:rPr>
          <w:sz w:val="24"/>
          <w:szCs w:val="24"/>
        </w:rPr>
        <w:t>anuri</w:t>
      </w:r>
      <w:proofErr w:type="spellEnd"/>
      <w:r>
        <w:rPr>
          <w:sz w:val="24"/>
          <w:szCs w:val="24"/>
        </w:rPr>
        <w:t>, elektrolytforstyrrelser.</w:t>
      </w:r>
    </w:p>
    <w:p w:rsidR="00005293" w:rsidRDefault="00005293" w:rsidP="00005293">
      <w:pPr>
        <w:autoSpaceDE w:val="0"/>
        <w:autoSpaceDN w:val="0"/>
        <w:adjustRightInd w:val="0"/>
        <w:ind w:left="851"/>
        <w:rPr>
          <w:sz w:val="24"/>
          <w:szCs w:val="24"/>
        </w:rPr>
      </w:pPr>
      <w:r>
        <w:rPr>
          <w:sz w:val="24"/>
          <w:szCs w:val="24"/>
        </w:rPr>
        <w:t xml:space="preserve">Ikke kendt: </w:t>
      </w:r>
      <w:proofErr w:type="spellStart"/>
      <w:r>
        <w:rPr>
          <w:sz w:val="24"/>
          <w:szCs w:val="24"/>
        </w:rPr>
        <w:t>Proteinuri</w:t>
      </w:r>
      <w:proofErr w:type="spellEnd"/>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t>Det reproduktive system og mammae</w:t>
      </w:r>
    </w:p>
    <w:p w:rsidR="00005293" w:rsidRDefault="00005293" w:rsidP="00005293">
      <w:pPr>
        <w:autoSpaceDE w:val="0"/>
        <w:autoSpaceDN w:val="0"/>
        <w:adjustRightInd w:val="0"/>
        <w:ind w:left="851"/>
        <w:rPr>
          <w:sz w:val="24"/>
          <w:szCs w:val="24"/>
        </w:rPr>
      </w:pPr>
      <w:r>
        <w:rPr>
          <w:sz w:val="24"/>
          <w:szCs w:val="24"/>
        </w:rPr>
        <w:t xml:space="preserve">Ikke almindelig: Inflammation og </w:t>
      </w:r>
      <w:proofErr w:type="spellStart"/>
      <w:r>
        <w:rPr>
          <w:sz w:val="24"/>
          <w:szCs w:val="24"/>
        </w:rPr>
        <w:t>ulceration</w:t>
      </w:r>
      <w:proofErr w:type="spellEnd"/>
      <w:r>
        <w:rPr>
          <w:sz w:val="24"/>
          <w:szCs w:val="24"/>
        </w:rPr>
        <w:t xml:space="preserve"> i vagina.</w:t>
      </w:r>
    </w:p>
    <w:p w:rsidR="00005293" w:rsidRDefault="00005293" w:rsidP="00005293">
      <w:pPr>
        <w:autoSpaceDE w:val="0"/>
        <w:autoSpaceDN w:val="0"/>
        <w:adjustRightInd w:val="0"/>
        <w:ind w:left="851"/>
        <w:rPr>
          <w:sz w:val="24"/>
          <w:szCs w:val="24"/>
        </w:rPr>
      </w:pPr>
      <w:r>
        <w:rPr>
          <w:sz w:val="24"/>
          <w:szCs w:val="24"/>
        </w:rPr>
        <w:t xml:space="preserve">Meget sjælden: Manglende libido, impotens, </w:t>
      </w:r>
      <w:proofErr w:type="spellStart"/>
      <w:r>
        <w:rPr>
          <w:sz w:val="24"/>
          <w:szCs w:val="24"/>
        </w:rPr>
        <w:t>gynækomasti</w:t>
      </w:r>
      <w:proofErr w:type="spellEnd"/>
      <w:r>
        <w:rPr>
          <w:sz w:val="24"/>
          <w:szCs w:val="24"/>
        </w:rPr>
        <w:t xml:space="preserve">, </w:t>
      </w:r>
      <w:proofErr w:type="spellStart"/>
      <w:r>
        <w:rPr>
          <w:sz w:val="24"/>
          <w:szCs w:val="24"/>
        </w:rPr>
        <w:t>oligospermi</w:t>
      </w:r>
      <w:proofErr w:type="spellEnd"/>
      <w:r>
        <w:rPr>
          <w:sz w:val="24"/>
          <w:szCs w:val="24"/>
        </w:rPr>
        <w:t>, nedsat menstruation, vaginalt udflåd.</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u w:val="single"/>
        </w:rPr>
      </w:pPr>
      <w:r>
        <w:rPr>
          <w:sz w:val="24"/>
          <w:szCs w:val="24"/>
          <w:u w:val="single"/>
        </w:rPr>
        <w:lastRenderedPageBreak/>
        <w:t>Almene symptomer og reaktioner på administrationsstedet</w:t>
      </w:r>
    </w:p>
    <w:p w:rsidR="00005293" w:rsidRDefault="00005293" w:rsidP="00005293">
      <w:pPr>
        <w:autoSpaceDE w:val="0"/>
        <w:autoSpaceDN w:val="0"/>
        <w:adjustRightInd w:val="0"/>
        <w:ind w:left="851"/>
        <w:rPr>
          <w:sz w:val="24"/>
          <w:szCs w:val="24"/>
        </w:rPr>
      </w:pPr>
      <w:r>
        <w:rPr>
          <w:sz w:val="24"/>
          <w:szCs w:val="24"/>
        </w:rPr>
        <w:t xml:space="preserve">Sjælden: Feber, infektion, nedsat sårheling, </w:t>
      </w:r>
      <w:proofErr w:type="spellStart"/>
      <w:r>
        <w:rPr>
          <w:sz w:val="24"/>
          <w:szCs w:val="24"/>
        </w:rPr>
        <w:t>hypogammaglobulinæmi</w:t>
      </w:r>
      <w:proofErr w:type="spellEnd"/>
      <w:r>
        <w:rPr>
          <w:sz w:val="24"/>
          <w:szCs w:val="24"/>
        </w:rPr>
        <w:t>.</w:t>
      </w:r>
    </w:p>
    <w:p w:rsidR="00005293" w:rsidRDefault="00005293" w:rsidP="00005293">
      <w:pPr>
        <w:autoSpaceDE w:val="0"/>
        <w:autoSpaceDN w:val="0"/>
        <w:adjustRightInd w:val="0"/>
        <w:ind w:left="851"/>
        <w:rPr>
          <w:sz w:val="24"/>
          <w:szCs w:val="24"/>
        </w:rPr>
      </w:pPr>
      <w:r>
        <w:rPr>
          <w:sz w:val="24"/>
          <w:szCs w:val="24"/>
        </w:rPr>
        <w:t xml:space="preserve">Meget sjælden: Lokal skade (dannelse af steril </w:t>
      </w:r>
      <w:proofErr w:type="spellStart"/>
      <w:r>
        <w:rPr>
          <w:sz w:val="24"/>
          <w:szCs w:val="24"/>
        </w:rPr>
        <w:t>abscess</w:t>
      </w:r>
      <w:proofErr w:type="spellEnd"/>
      <w:r>
        <w:rPr>
          <w:sz w:val="24"/>
          <w:szCs w:val="24"/>
        </w:rPr>
        <w:t xml:space="preserve">, </w:t>
      </w:r>
      <w:proofErr w:type="spellStart"/>
      <w:r>
        <w:rPr>
          <w:sz w:val="24"/>
          <w:szCs w:val="24"/>
        </w:rPr>
        <w:t>lipodystrofi</w:t>
      </w:r>
      <w:proofErr w:type="spellEnd"/>
      <w:r>
        <w:rPr>
          <w:sz w:val="24"/>
          <w:szCs w:val="24"/>
        </w:rPr>
        <w:t>) på injektionsstedet efter intramuskulær eller subkutan administration.</w:t>
      </w:r>
    </w:p>
    <w:p w:rsidR="00005293" w:rsidRDefault="00005293" w:rsidP="00005293">
      <w:pPr>
        <w:autoSpaceDE w:val="0"/>
        <w:autoSpaceDN w:val="0"/>
        <w:adjustRightInd w:val="0"/>
        <w:ind w:left="851"/>
        <w:rPr>
          <w:sz w:val="24"/>
          <w:szCs w:val="24"/>
        </w:rPr>
      </w:pPr>
      <w:r>
        <w:rPr>
          <w:sz w:val="24"/>
          <w:szCs w:val="24"/>
        </w:rPr>
        <w:t>Ikke kendt: Kuldegysninger, asteni, n</w:t>
      </w:r>
      <w:r w:rsidRPr="00242A8E">
        <w:rPr>
          <w:sz w:val="24"/>
          <w:szCs w:val="24"/>
        </w:rPr>
        <w:t>ekrose på injektionsstedet</w:t>
      </w:r>
      <w:r w:rsidR="002932D5">
        <w:rPr>
          <w:sz w:val="24"/>
          <w:szCs w:val="24"/>
        </w:rPr>
        <w:t>, ødem.</w:t>
      </w:r>
    </w:p>
    <w:p w:rsidR="00005293" w:rsidRDefault="00005293" w:rsidP="00005293">
      <w:pPr>
        <w:autoSpaceDE w:val="0"/>
        <w:autoSpaceDN w:val="0"/>
        <w:adjustRightInd w:val="0"/>
        <w:ind w:left="851"/>
        <w:rPr>
          <w:sz w:val="24"/>
          <w:szCs w:val="24"/>
        </w:rPr>
      </w:pPr>
    </w:p>
    <w:p w:rsidR="00005293" w:rsidRPr="00991931" w:rsidRDefault="00005293" w:rsidP="00005293">
      <w:pPr>
        <w:autoSpaceDE w:val="0"/>
        <w:autoSpaceDN w:val="0"/>
        <w:adjustRightInd w:val="0"/>
        <w:ind w:left="851"/>
        <w:rPr>
          <w:sz w:val="24"/>
          <w:szCs w:val="24"/>
          <w:u w:val="single"/>
        </w:rPr>
      </w:pPr>
      <w:r w:rsidRPr="00991931">
        <w:rPr>
          <w:sz w:val="24"/>
          <w:szCs w:val="24"/>
          <w:u w:val="single"/>
        </w:rPr>
        <w:t>Beskrivelse af udvalgte bivirkninger</w:t>
      </w:r>
    </w:p>
    <w:p w:rsidR="00005293" w:rsidRDefault="00005293" w:rsidP="00005293">
      <w:pPr>
        <w:autoSpaceDE w:val="0"/>
        <w:autoSpaceDN w:val="0"/>
        <w:adjustRightInd w:val="0"/>
        <w:ind w:left="851"/>
        <w:rPr>
          <w:sz w:val="24"/>
          <w:szCs w:val="24"/>
        </w:rPr>
      </w:pPr>
      <w:proofErr w:type="spellStart"/>
      <w:r w:rsidRPr="00991931">
        <w:rPr>
          <w:sz w:val="24"/>
          <w:szCs w:val="24"/>
        </w:rPr>
        <w:t>Lymfomer</w:t>
      </w:r>
      <w:proofErr w:type="spellEnd"/>
      <w:r w:rsidRPr="00991931">
        <w:rPr>
          <w:sz w:val="24"/>
          <w:szCs w:val="24"/>
        </w:rPr>
        <w:t>/</w:t>
      </w:r>
      <w:proofErr w:type="spellStart"/>
      <w:r w:rsidRPr="00991931">
        <w:rPr>
          <w:sz w:val="24"/>
          <w:szCs w:val="24"/>
        </w:rPr>
        <w:t>lymfoproliferative</w:t>
      </w:r>
      <w:proofErr w:type="spellEnd"/>
      <w:r w:rsidRPr="00991931">
        <w:rPr>
          <w:sz w:val="24"/>
          <w:szCs w:val="24"/>
        </w:rPr>
        <w:t xml:space="preserve"> sygdomme: Der er rapporteret om enkelte tilfælde af </w:t>
      </w:r>
      <w:proofErr w:type="spellStart"/>
      <w:r w:rsidRPr="00991931">
        <w:rPr>
          <w:sz w:val="24"/>
          <w:szCs w:val="24"/>
        </w:rPr>
        <w:t>lymfomer</w:t>
      </w:r>
      <w:proofErr w:type="spellEnd"/>
      <w:r w:rsidRPr="00991931">
        <w:rPr>
          <w:sz w:val="24"/>
          <w:szCs w:val="24"/>
        </w:rPr>
        <w:t xml:space="preserve"> og andre </w:t>
      </w:r>
      <w:proofErr w:type="spellStart"/>
      <w:r w:rsidRPr="00991931">
        <w:rPr>
          <w:sz w:val="24"/>
          <w:szCs w:val="24"/>
        </w:rPr>
        <w:t>lymfoproliferative</w:t>
      </w:r>
      <w:proofErr w:type="spellEnd"/>
      <w:r w:rsidRPr="00991931">
        <w:rPr>
          <w:sz w:val="24"/>
          <w:szCs w:val="24"/>
        </w:rPr>
        <w:t xml:space="preserve"> sygdomme, der i en række tilfælde fortog sig efter </w:t>
      </w:r>
      <w:proofErr w:type="spellStart"/>
      <w:r w:rsidRPr="00991931">
        <w:rPr>
          <w:sz w:val="24"/>
          <w:szCs w:val="24"/>
        </w:rPr>
        <w:t>seponering</w:t>
      </w:r>
      <w:proofErr w:type="spellEnd"/>
      <w:r w:rsidRPr="00991931">
        <w:rPr>
          <w:sz w:val="24"/>
          <w:szCs w:val="24"/>
        </w:rPr>
        <w:t xml:space="preserve"> af </w:t>
      </w:r>
      <w:proofErr w:type="spellStart"/>
      <w:r w:rsidRPr="00991931">
        <w:rPr>
          <w:sz w:val="24"/>
          <w:szCs w:val="24"/>
        </w:rPr>
        <w:t>methotrexatbehandlingen</w:t>
      </w:r>
      <w:proofErr w:type="spellEnd"/>
      <w:r w:rsidRPr="00991931">
        <w:rPr>
          <w:sz w:val="24"/>
          <w:szCs w:val="24"/>
        </w:rPr>
        <w:t>.</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rPr>
      </w:pPr>
      <w:r>
        <w:rPr>
          <w:sz w:val="24"/>
          <w:szCs w:val="24"/>
        </w:rPr>
        <w:t>Forekomsten og sværhedsgraden af bivirkninger afhænger af dosisniveau og administrationshyppigheden. Det er imidlertid strengt nødvendigt, at patienterne kontrolleres regelmæssigt af lægen med korte mellemrum, da alvorlige bivirkninger kan forekomme selv ved lave doser.</w:t>
      </w:r>
    </w:p>
    <w:p w:rsidR="00005293" w:rsidRDefault="00005293" w:rsidP="00005293">
      <w:pPr>
        <w:autoSpaceDE w:val="0"/>
        <w:autoSpaceDN w:val="0"/>
        <w:adjustRightInd w:val="0"/>
        <w:ind w:left="851"/>
        <w:rPr>
          <w:sz w:val="24"/>
          <w:szCs w:val="24"/>
        </w:rPr>
      </w:pPr>
    </w:p>
    <w:p w:rsidR="00005293" w:rsidRDefault="00005293" w:rsidP="00005293">
      <w:pPr>
        <w:autoSpaceDE w:val="0"/>
        <w:autoSpaceDN w:val="0"/>
        <w:adjustRightInd w:val="0"/>
        <w:ind w:left="851"/>
        <w:rPr>
          <w:sz w:val="24"/>
          <w:szCs w:val="24"/>
        </w:rPr>
      </w:pPr>
      <w:r>
        <w:rPr>
          <w:sz w:val="24"/>
          <w:szCs w:val="24"/>
        </w:rPr>
        <w:t xml:space="preserve">Subkutan applikation af </w:t>
      </w:r>
      <w:proofErr w:type="spellStart"/>
      <w:r>
        <w:rPr>
          <w:sz w:val="24"/>
          <w:szCs w:val="24"/>
        </w:rPr>
        <w:t>methotrexat</w:t>
      </w:r>
      <w:proofErr w:type="spellEnd"/>
      <w:r>
        <w:rPr>
          <w:sz w:val="24"/>
          <w:szCs w:val="24"/>
        </w:rPr>
        <w:t xml:space="preserve"> er lokalt veltolereret. Kun lette lokale hudreaktioner blev observeret med faldende hyppighed i løbet af behandlingen.</w:t>
      </w:r>
    </w:p>
    <w:p w:rsidR="00005293" w:rsidRPr="00D74103" w:rsidRDefault="00005293" w:rsidP="00005293">
      <w:pPr>
        <w:autoSpaceDE w:val="0"/>
        <w:autoSpaceDN w:val="0"/>
        <w:adjustRightInd w:val="0"/>
        <w:ind w:left="851" w:hanging="851"/>
        <w:rPr>
          <w:sz w:val="24"/>
          <w:szCs w:val="24"/>
        </w:rPr>
      </w:pPr>
    </w:p>
    <w:p w:rsidR="00005293" w:rsidRPr="00D74103" w:rsidRDefault="00005293" w:rsidP="00005293">
      <w:pPr>
        <w:pStyle w:val="Default"/>
        <w:ind w:left="851"/>
        <w:outlineLvl w:val="0"/>
        <w:rPr>
          <w:u w:val="single"/>
        </w:rPr>
      </w:pPr>
      <w:r w:rsidRPr="00D74103">
        <w:rPr>
          <w:u w:val="single"/>
        </w:rPr>
        <w:t xml:space="preserve">Indberetning af </w:t>
      </w:r>
      <w:r>
        <w:rPr>
          <w:u w:val="single"/>
        </w:rPr>
        <w:t>formodede</w:t>
      </w:r>
      <w:r w:rsidRPr="00D74103">
        <w:rPr>
          <w:u w:val="single"/>
        </w:rPr>
        <w:t xml:space="preserve"> bivirkninger</w:t>
      </w:r>
    </w:p>
    <w:p w:rsidR="007109FD" w:rsidRDefault="007109FD" w:rsidP="007109FD">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46FFF" w:rsidRDefault="00D46FFF" w:rsidP="007109FD">
      <w:pPr>
        <w:ind w:left="851"/>
        <w:rPr>
          <w:sz w:val="24"/>
          <w:szCs w:val="24"/>
        </w:rPr>
      </w:pPr>
    </w:p>
    <w:p w:rsidR="00D46FFF" w:rsidRDefault="007109FD" w:rsidP="007109FD">
      <w:pPr>
        <w:ind w:left="851"/>
        <w:rPr>
          <w:sz w:val="24"/>
          <w:szCs w:val="24"/>
        </w:rPr>
      </w:pPr>
      <w:r>
        <w:rPr>
          <w:sz w:val="24"/>
          <w:szCs w:val="24"/>
        </w:rPr>
        <w:t>Lægemiddelstyrelsen</w:t>
      </w:r>
    </w:p>
    <w:p w:rsidR="00D46FFF" w:rsidRDefault="007109FD" w:rsidP="007109FD">
      <w:pPr>
        <w:ind w:left="851"/>
        <w:rPr>
          <w:sz w:val="24"/>
          <w:szCs w:val="24"/>
        </w:rPr>
      </w:pPr>
      <w:r>
        <w:rPr>
          <w:sz w:val="24"/>
          <w:szCs w:val="24"/>
        </w:rPr>
        <w:t>Axel Heides Gade 1</w:t>
      </w:r>
    </w:p>
    <w:p w:rsidR="00D46FFF" w:rsidRDefault="007109FD" w:rsidP="007109FD">
      <w:pPr>
        <w:ind w:left="851"/>
        <w:rPr>
          <w:sz w:val="24"/>
          <w:szCs w:val="24"/>
        </w:rPr>
      </w:pPr>
      <w:r>
        <w:rPr>
          <w:sz w:val="24"/>
          <w:szCs w:val="24"/>
        </w:rPr>
        <w:t>DK-2300 København S</w:t>
      </w:r>
    </w:p>
    <w:p w:rsidR="00D46FFF" w:rsidRDefault="007109FD" w:rsidP="007109FD">
      <w:pPr>
        <w:ind w:left="851"/>
        <w:rPr>
          <w:sz w:val="24"/>
          <w:szCs w:val="24"/>
        </w:rPr>
      </w:pPr>
      <w:r>
        <w:rPr>
          <w:sz w:val="24"/>
          <w:szCs w:val="24"/>
        </w:rPr>
        <w:t xml:space="preserve">Websted: </w:t>
      </w:r>
      <w:hyperlink r:id="rId8" w:history="1">
        <w:r w:rsidR="00D46FFF" w:rsidRPr="0055136E">
          <w:rPr>
            <w:rStyle w:val="Hyperlink"/>
            <w:sz w:val="24"/>
            <w:szCs w:val="24"/>
          </w:rPr>
          <w:t>www.meldenbivirkning.dk</w:t>
        </w:r>
      </w:hyperlink>
    </w:p>
    <w:p w:rsidR="007A01DF" w:rsidRPr="00D74103" w:rsidRDefault="007A01DF" w:rsidP="007109FD">
      <w:pPr>
        <w:ind w:left="851"/>
        <w:rPr>
          <w:szCs w:val="24"/>
        </w:rPr>
      </w:pPr>
    </w:p>
    <w:p w:rsidR="007A01DF" w:rsidRPr="00D74103" w:rsidRDefault="007A01DF" w:rsidP="007A01DF">
      <w:pPr>
        <w:ind w:left="851" w:hanging="851"/>
        <w:rPr>
          <w:b/>
          <w:sz w:val="24"/>
          <w:szCs w:val="24"/>
        </w:rPr>
      </w:pPr>
      <w:r w:rsidRPr="00D74103">
        <w:rPr>
          <w:b/>
          <w:sz w:val="24"/>
          <w:szCs w:val="24"/>
        </w:rPr>
        <w:t>4.9</w:t>
      </w:r>
      <w:r w:rsidRPr="00D74103">
        <w:rPr>
          <w:b/>
          <w:sz w:val="24"/>
          <w:szCs w:val="24"/>
        </w:rPr>
        <w:tab/>
        <w:t>Overdosering</w:t>
      </w:r>
    </w:p>
    <w:p w:rsidR="00053E9D" w:rsidRDefault="007A01DF" w:rsidP="007A01DF">
      <w:pPr>
        <w:ind w:left="851" w:hanging="851"/>
        <w:rPr>
          <w:sz w:val="24"/>
          <w:szCs w:val="24"/>
        </w:rPr>
      </w:pPr>
      <w:r w:rsidRPr="00D74103">
        <w:rPr>
          <w:sz w:val="24"/>
          <w:szCs w:val="24"/>
        </w:rPr>
        <w:tab/>
      </w:r>
    </w:p>
    <w:p w:rsidR="007A01DF" w:rsidRPr="00D74103" w:rsidRDefault="007A01DF" w:rsidP="00053E9D">
      <w:pPr>
        <w:ind w:left="851"/>
        <w:rPr>
          <w:bCs/>
          <w:color w:val="000000"/>
          <w:sz w:val="24"/>
          <w:szCs w:val="24"/>
          <w:u w:val="single"/>
        </w:rPr>
      </w:pPr>
      <w:r w:rsidRPr="00D74103">
        <w:rPr>
          <w:color w:val="000000"/>
          <w:sz w:val="24"/>
          <w:szCs w:val="24"/>
          <w:u w:val="single"/>
        </w:rPr>
        <w:t>Symptomer på overdosering</w:t>
      </w:r>
    </w:p>
    <w:p w:rsidR="007A01DF" w:rsidRPr="00D74103" w:rsidRDefault="007A01DF" w:rsidP="00005293">
      <w:pPr>
        <w:ind w:left="851"/>
        <w:rPr>
          <w:bCs/>
          <w:color w:val="000000"/>
          <w:sz w:val="24"/>
          <w:szCs w:val="24"/>
        </w:rPr>
      </w:pPr>
      <w:proofErr w:type="spellStart"/>
      <w:r w:rsidRPr="00D74103">
        <w:rPr>
          <w:color w:val="000000"/>
          <w:sz w:val="24"/>
          <w:szCs w:val="24"/>
        </w:rPr>
        <w:t>Methotrexats</w:t>
      </w:r>
      <w:proofErr w:type="spellEnd"/>
      <w:r w:rsidRPr="00D74103">
        <w:rPr>
          <w:color w:val="000000"/>
          <w:sz w:val="24"/>
          <w:szCs w:val="24"/>
        </w:rPr>
        <w:t xml:space="preserve"> toksicitet påvirker hovedsageligt det </w:t>
      </w:r>
      <w:proofErr w:type="spellStart"/>
      <w:r w:rsidRPr="00D74103">
        <w:rPr>
          <w:color w:val="000000"/>
          <w:sz w:val="24"/>
          <w:szCs w:val="24"/>
        </w:rPr>
        <w:t>hæmatopoietiske</w:t>
      </w:r>
      <w:proofErr w:type="spellEnd"/>
      <w:r w:rsidRPr="00D74103">
        <w:rPr>
          <w:color w:val="000000"/>
          <w:sz w:val="24"/>
          <w:szCs w:val="24"/>
        </w:rPr>
        <w:t xml:space="preserve"> system. </w:t>
      </w:r>
    </w:p>
    <w:p w:rsidR="007A01DF" w:rsidRPr="00D74103" w:rsidRDefault="007A01DF" w:rsidP="007A01DF">
      <w:pPr>
        <w:ind w:left="851"/>
        <w:rPr>
          <w:bCs/>
          <w:color w:val="000000"/>
          <w:sz w:val="24"/>
          <w:szCs w:val="24"/>
        </w:rPr>
      </w:pPr>
    </w:p>
    <w:p w:rsidR="007A01DF" w:rsidRPr="00D74103" w:rsidRDefault="007A01DF" w:rsidP="007A01DF">
      <w:pPr>
        <w:keepNext/>
        <w:ind w:left="851"/>
        <w:rPr>
          <w:bCs/>
          <w:color w:val="000000"/>
          <w:sz w:val="24"/>
          <w:szCs w:val="24"/>
          <w:u w:val="single"/>
        </w:rPr>
      </w:pPr>
      <w:r w:rsidRPr="00D74103">
        <w:rPr>
          <w:color w:val="000000"/>
          <w:sz w:val="24"/>
          <w:szCs w:val="24"/>
          <w:u w:val="single"/>
        </w:rPr>
        <w:t>Behandling af overdosering</w:t>
      </w:r>
    </w:p>
    <w:p w:rsidR="007A01DF" w:rsidRPr="00D74103" w:rsidRDefault="007A01DF" w:rsidP="007A01DF">
      <w:pPr>
        <w:ind w:left="851"/>
        <w:rPr>
          <w:bCs/>
          <w:color w:val="000000"/>
          <w:sz w:val="24"/>
          <w:szCs w:val="24"/>
        </w:rPr>
      </w:pPr>
      <w:proofErr w:type="spellStart"/>
      <w:r w:rsidRPr="00D74103">
        <w:rPr>
          <w:color w:val="000000"/>
          <w:sz w:val="24"/>
          <w:szCs w:val="24"/>
        </w:rPr>
        <w:t>Calciumfolinat</w:t>
      </w:r>
      <w:proofErr w:type="spellEnd"/>
      <w:r w:rsidRPr="00D74103">
        <w:rPr>
          <w:color w:val="000000"/>
          <w:sz w:val="24"/>
          <w:szCs w:val="24"/>
        </w:rPr>
        <w:t xml:space="preserve"> er det specifikke </w:t>
      </w:r>
      <w:proofErr w:type="spellStart"/>
      <w:r w:rsidRPr="00D74103">
        <w:rPr>
          <w:color w:val="000000"/>
          <w:sz w:val="24"/>
          <w:szCs w:val="24"/>
        </w:rPr>
        <w:t>antidot</w:t>
      </w:r>
      <w:proofErr w:type="spellEnd"/>
      <w:r w:rsidRPr="00D74103">
        <w:rPr>
          <w:color w:val="000000"/>
          <w:sz w:val="24"/>
          <w:szCs w:val="24"/>
        </w:rPr>
        <w:t xml:space="preserve"> til neutralisering af </w:t>
      </w:r>
      <w:proofErr w:type="spellStart"/>
      <w:r w:rsidRPr="00D74103">
        <w:rPr>
          <w:color w:val="000000"/>
          <w:sz w:val="24"/>
          <w:szCs w:val="24"/>
        </w:rPr>
        <w:t>methotrexats</w:t>
      </w:r>
      <w:proofErr w:type="spellEnd"/>
      <w:r w:rsidRPr="00D74103">
        <w:rPr>
          <w:color w:val="000000"/>
          <w:sz w:val="24"/>
          <w:szCs w:val="24"/>
        </w:rPr>
        <w:t xml:space="preserve"> toksiske bivirkninger.</w:t>
      </w:r>
    </w:p>
    <w:p w:rsidR="007A01DF" w:rsidRPr="00D74103" w:rsidRDefault="007A01DF" w:rsidP="007A01DF">
      <w:pPr>
        <w:ind w:left="851"/>
        <w:rPr>
          <w:bCs/>
          <w:color w:val="000000"/>
          <w:sz w:val="24"/>
          <w:szCs w:val="24"/>
        </w:rPr>
      </w:pPr>
    </w:p>
    <w:p w:rsidR="007A01DF" w:rsidRPr="00D74103" w:rsidRDefault="007A01DF" w:rsidP="007A01DF">
      <w:pPr>
        <w:ind w:left="851"/>
        <w:rPr>
          <w:bCs/>
          <w:color w:val="000000"/>
          <w:sz w:val="24"/>
          <w:szCs w:val="24"/>
        </w:rPr>
      </w:pPr>
      <w:r w:rsidRPr="00D74103">
        <w:rPr>
          <w:color w:val="000000"/>
          <w:sz w:val="24"/>
          <w:szCs w:val="24"/>
        </w:rPr>
        <w:t xml:space="preserve">I tilfælde af utilsigtet overdosering bør en dosis </w:t>
      </w:r>
      <w:proofErr w:type="spellStart"/>
      <w:r w:rsidRPr="00D74103">
        <w:rPr>
          <w:color w:val="000000"/>
          <w:sz w:val="24"/>
          <w:szCs w:val="24"/>
        </w:rPr>
        <w:t>calciumfolinat</w:t>
      </w:r>
      <w:proofErr w:type="spellEnd"/>
      <w:r w:rsidRPr="00D74103">
        <w:rPr>
          <w:color w:val="000000"/>
          <w:sz w:val="24"/>
          <w:szCs w:val="24"/>
        </w:rPr>
        <w:t xml:space="preserve"> svarende til eller højere end overdosis af </w:t>
      </w:r>
      <w:proofErr w:type="spellStart"/>
      <w:r w:rsidRPr="00D74103">
        <w:rPr>
          <w:color w:val="000000"/>
          <w:sz w:val="24"/>
          <w:szCs w:val="24"/>
        </w:rPr>
        <w:t>methotrexat</w:t>
      </w:r>
      <w:proofErr w:type="spellEnd"/>
      <w:r w:rsidRPr="00D74103">
        <w:rPr>
          <w:color w:val="000000"/>
          <w:sz w:val="24"/>
          <w:szCs w:val="24"/>
        </w:rPr>
        <w:t xml:space="preserve"> administreres intravenøst eller intramuskulært inden for en time, og denne dosering skal fortsætte, indtil serumniveauerne af </w:t>
      </w:r>
      <w:proofErr w:type="spellStart"/>
      <w:r w:rsidRPr="00D74103">
        <w:rPr>
          <w:color w:val="000000"/>
          <w:sz w:val="24"/>
          <w:szCs w:val="24"/>
        </w:rPr>
        <w:t>methotrexat</w:t>
      </w:r>
      <w:proofErr w:type="spellEnd"/>
      <w:r w:rsidRPr="00D74103">
        <w:rPr>
          <w:color w:val="000000"/>
          <w:sz w:val="24"/>
          <w:szCs w:val="24"/>
        </w:rPr>
        <w:t xml:space="preserve"> er under 10</w:t>
      </w:r>
      <w:r w:rsidRPr="00D74103">
        <w:rPr>
          <w:color w:val="000000"/>
          <w:sz w:val="24"/>
          <w:szCs w:val="24"/>
          <w:vertAlign w:val="superscript"/>
        </w:rPr>
        <w:t>-7 </w:t>
      </w:r>
      <w:r w:rsidRPr="00D74103">
        <w:rPr>
          <w:color w:val="000000"/>
          <w:sz w:val="24"/>
          <w:szCs w:val="24"/>
        </w:rPr>
        <w:t xml:space="preserve">mol/l. </w:t>
      </w:r>
    </w:p>
    <w:p w:rsidR="007A01DF" w:rsidRPr="00D74103" w:rsidRDefault="007A01DF" w:rsidP="007A01DF">
      <w:pPr>
        <w:ind w:left="851"/>
        <w:rPr>
          <w:bCs/>
          <w:color w:val="000000"/>
          <w:sz w:val="24"/>
          <w:szCs w:val="24"/>
        </w:rPr>
      </w:pPr>
    </w:p>
    <w:p w:rsidR="007A01DF" w:rsidRPr="00D74103" w:rsidRDefault="007A01DF" w:rsidP="007A01DF">
      <w:pPr>
        <w:ind w:left="851"/>
        <w:rPr>
          <w:bCs/>
          <w:color w:val="000000"/>
          <w:sz w:val="24"/>
          <w:szCs w:val="24"/>
        </w:rPr>
      </w:pPr>
      <w:r w:rsidRPr="00D74103">
        <w:rPr>
          <w:color w:val="000000"/>
          <w:sz w:val="24"/>
          <w:szCs w:val="24"/>
        </w:rPr>
        <w:t xml:space="preserve">I tilfælde af massiv overdosering kan hydrering og </w:t>
      </w:r>
      <w:proofErr w:type="spellStart"/>
      <w:r w:rsidRPr="00D74103">
        <w:rPr>
          <w:color w:val="000000"/>
          <w:sz w:val="24"/>
          <w:szCs w:val="24"/>
        </w:rPr>
        <w:t>urinalkalinisation</w:t>
      </w:r>
      <w:proofErr w:type="spellEnd"/>
      <w:r w:rsidRPr="00D74103">
        <w:rPr>
          <w:color w:val="000000"/>
          <w:sz w:val="24"/>
          <w:szCs w:val="24"/>
        </w:rPr>
        <w:t xml:space="preserve"> være nødvendig for at forebygge udfældning af </w:t>
      </w:r>
      <w:proofErr w:type="spellStart"/>
      <w:r w:rsidRPr="00D74103">
        <w:rPr>
          <w:color w:val="000000"/>
          <w:sz w:val="24"/>
          <w:szCs w:val="24"/>
        </w:rPr>
        <w:t>methotrexat</w:t>
      </w:r>
      <w:proofErr w:type="spellEnd"/>
      <w:r w:rsidRPr="00D74103">
        <w:rPr>
          <w:color w:val="000000"/>
          <w:sz w:val="24"/>
          <w:szCs w:val="24"/>
        </w:rPr>
        <w:t xml:space="preserve"> og/eller dets metabolitter i de </w:t>
      </w:r>
      <w:proofErr w:type="spellStart"/>
      <w:r w:rsidRPr="00D74103">
        <w:rPr>
          <w:color w:val="000000"/>
          <w:sz w:val="24"/>
          <w:szCs w:val="24"/>
        </w:rPr>
        <w:t>renale</w:t>
      </w:r>
      <w:proofErr w:type="spellEnd"/>
      <w:r w:rsidRPr="00D74103">
        <w:rPr>
          <w:color w:val="000000"/>
          <w:sz w:val="24"/>
          <w:szCs w:val="24"/>
        </w:rPr>
        <w:t xml:space="preserve"> </w:t>
      </w:r>
      <w:proofErr w:type="spellStart"/>
      <w:r w:rsidRPr="00D74103">
        <w:rPr>
          <w:color w:val="000000"/>
          <w:sz w:val="24"/>
          <w:szCs w:val="24"/>
        </w:rPr>
        <w:t>tubuli</w:t>
      </w:r>
      <w:proofErr w:type="spellEnd"/>
      <w:r w:rsidRPr="00D74103">
        <w:rPr>
          <w:color w:val="000000"/>
          <w:sz w:val="24"/>
          <w:szCs w:val="24"/>
        </w:rPr>
        <w:t xml:space="preserve">. Hverken hæmodialyse eller </w:t>
      </w:r>
      <w:proofErr w:type="spellStart"/>
      <w:r w:rsidRPr="00D74103">
        <w:rPr>
          <w:color w:val="000000"/>
          <w:sz w:val="24"/>
          <w:szCs w:val="24"/>
        </w:rPr>
        <w:t>peritoneal</w:t>
      </w:r>
      <w:proofErr w:type="spellEnd"/>
      <w:r w:rsidRPr="00D74103">
        <w:rPr>
          <w:color w:val="000000"/>
          <w:sz w:val="24"/>
          <w:szCs w:val="24"/>
        </w:rPr>
        <w:t xml:space="preserve"> dialyse er vist at forbedre </w:t>
      </w:r>
      <w:proofErr w:type="spellStart"/>
      <w:r w:rsidRPr="00D74103">
        <w:rPr>
          <w:color w:val="000000"/>
          <w:sz w:val="24"/>
          <w:szCs w:val="24"/>
        </w:rPr>
        <w:t>methotrexatelimination</w:t>
      </w:r>
      <w:proofErr w:type="spellEnd"/>
      <w:r w:rsidRPr="00D74103">
        <w:rPr>
          <w:color w:val="000000"/>
          <w:sz w:val="24"/>
          <w:szCs w:val="24"/>
        </w:rPr>
        <w:t xml:space="preserve">. Der er rapporteret om effektiv </w:t>
      </w:r>
      <w:proofErr w:type="spellStart"/>
      <w:r w:rsidRPr="00D74103">
        <w:rPr>
          <w:color w:val="000000"/>
          <w:sz w:val="24"/>
          <w:szCs w:val="24"/>
        </w:rPr>
        <w:t>clearance</w:t>
      </w:r>
      <w:proofErr w:type="spellEnd"/>
      <w:r w:rsidRPr="00D74103">
        <w:rPr>
          <w:color w:val="000000"/>
          <w:sz w:val="24"/>
          <w:szCs w:val="24"/>
        </w:rPr>
        <w:t xml:space="preserve"> af </w:t>
      </w:r>
      <w:proofErr w:type="spellStart"/>
      <w:r w:rsidRPr="00D74103">
        <w:rPr>
          <w:color w:val="000000"/>
          <w:sz w:val="24"/>
          <w:szCs w:val="24"/>
        </w:rPr>
        <w:t>methotrexat</w:t>
      </w:r>
      <w:proofErr w:type="spellEnd"/>
      <w:r w:rsidRPr="00D74103">
        <w:rPr>
          <w:color w:val="000000"/>
          <w:sz w:val="24"/>
          <w:szCs w:val="24"/>
        </w:rPr>
        <w:t xml:space="preserve"> ved akut periodisk hæmodialyse ved hjælp af en high flux-dialysemaskine.</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4.10</w:t>
      </w:r>
      <w:r w:rsidRPr="00D74103">
        <w:rPr>
          <w:b/>
          <w:sz w:val="24"/>
          <w:szCs w:val="24"/>
        </w:rPr>
        <w:tab/>
        <w:t>Udlevering</w:t>
      </w:r>
    </w:p>
    <w:p w:rsidR="007A01DF" w:rsidRPr="00D74103" w:rsidRDefault="007A01DF" w:rsidP="007A01DF">
      <w:pPr>
        <w:ind w:left="851" w:hanging="851"/>
        <w:rPr>
          <w:sz w:val="24"/>
          <w:szCs w:val="24"/>
        </w:rPr>
      </w:pPr>
      <w:r w:rsidRPr="00D74103">
        <w:rPr>
          <w:sz w:val="24"/>
          <w:szCs w:val="24"/>
        </w:rPr>
        <w:tab/>
        <w:t>A</w:t>
      </w:r>
    </w:p>
    <w:p w:rsidR="007A01DF" w:rsidRDefault="007A01DF" w:rsidP="007A01DF">
      <w:pPr>
        <w:ind w:left="851" w:hanging="851"/>
        <w:rPr>
          <w:sz w:val="24"/>
          <w:szCs w:val="24"/>
        </w:rPr>
      </w:pP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5.</w:t>
      </w:r>
      <w:r w:rsidRPr="00D74103">
        <w:rPr>
          <w:b/>
          <w:sz w:val="24"/>
          <w:szCs w:val="24"/>
        </w:rPr>
        <w:tab/>
        <w:t>FARMAKOLOGISKE EGENSKABER</w:t>
      </w:r>
    </w:p>
    <w:p w:rsidR="007A01DF" w:rsidRPr="00D74103" w:rsidRDefault="007A01DF" w:rsidP="007A01DF">
      <w:pPr>
        <w:pStyle w:val="Default"/>
        <w:ind w:left="851" w:hanging="851"/>
        <w:outlineLvl w:val="0"/>
      </w:pPr>
    </w:p>
    <w:p w:rsidR="007A01DF" w:rsidRPr="00D74103" w:rsidRDefault="007A01DF" w:rsidP="007A01DF">
      <w:pPr>
        <w:ind w:left="851" w:hanging="851"/>
        <w:rPr>
          <w:b/>
          <w:sz w:val="24"/>
          <w:szCs w:val="24"/>
        </w:rPr>
      </w:pPr>
      <w:r w:rsidRPr="00D74103">
        <w:rPr>
          <w:b/>
          <w:sz w:val="24"/>
          <w:szCs w:val="24"/>
        </w:rPr>
        <w:t>5.1</w:t>
      </w:r>
      <w:r w:rsidRPr="00D74103">
        <w:rPr>
          <w:b/>
          <w:sz w:val="24"/>
          <w:szCs w:val="24"/>
        </w:rPr>
        <w:tab/>
      </w:r>
      <w:proofErr w:type="spellStart"/>
      <w:r w:rsidRPr="00D74103">
        <w:rPr>
          <w:b/>
          <w:sz w:val="24"/>
          <w:szCs w:val="24"/>
        </w:rPr>
        <w:t>Farmakodynamiske</w:t>
      </w:r>
      <w:proofErr w:type="spellEnd"/>
      <w:r w:rsidRPr="00D74103">
        <w:rPr>
          <w:b/>
          <w:sz w:val="24"/>
          <w:szCs w:val="24"/>
        </w:rPr>
        <w:t xml:space="preserve"> egenskaber</w:t>
      </w:r>
    </w:p>
    <w:p w:rsidR="00053E9D" w:rsidRDefault="007A01DF" w:rsidP="00A56C3D">
      <w:pPr>
        <w:pStyle w:val="Default"/>
        <w:ind w:left="851" w:hanging="851"/>
      </w:pPr>
      <w:r w:rsidRPr="00D74103">
        <w:tab/>
      </w:r>
    </w:p>
    <w:p w:rsidR="00053E9D" w:rsidRDefault="00053E9D" w:rsidP="00AF7C87">
      <w:pPr>
        <w:pStyle w:val="Default"/>
        <w:ind w:left="851" w:hanging="851"/>
      </w:pPr>
      <w:r>
        <w:tab/>
      </w:r>
      <w:proofErr w:type="spellStart"/>
      <w:r>
        <w:t>Farmakoterapeutisk</w:t>
      </w:r>
      <w:proofErr w:type="spellEnd"/>
      <w:r>
        <w:t xml:space="preserve"> klassifikation: </w:t>
      </w:r>
      <w:r w:rsidRPr="00A56C3D">
        <w:t>Immunsuppressive, andre</w:t>
      </w:r>
      <w:r>
        <w:t xml:space="preserve"> </w:t>
      </w:r>
      <w:proofErr w:type="spellStart"/>
      <w:r>
        <w:t>immunosuppressive</w:t>
      </w:r>
      <w:proofErr w:type="spellEnd"/>
      <w:r>
        <w:t>.</w:t>
      </w:r>
      <w:r w:rsidR="00AF7C87">
        <w:t xml:space="preserve"> </w:t>
      </w:r>
      <w:r>
        <w:t>ATC-kode: L04AX03.</w:t>
      </w:r>
    </w:p>
    <w:p w:rsidR="00053E9D" w:rsidRDefault="00053E9D" w:rsidP="00A56C3D">
      <w:pPr>
        <w:pStyle w:val="Default"/>
        <w:ind w:left="851" w:hanging="851"/>
      </w:pPr>
    </w:p>
    <w:p w:rsidR="00A56C3D" w:rsidRPr="00A56C3D" w:rsidRDefault="00A56C3D" w:rsidP="00053E9D">
      <w:pPr>
        <w:pStyle w:val="Default"/>
        <w:ind w:left="851"/>
      </w:pPr>
      <w:r w:rsidRPr="00A56C3D">
        <w:t xml:space="preserve">Antireumatisk lægemiddel til behandling af kroniske, inflammatoriske reumatiske sygdomme og </w:t>
      </w:r>
      <w:proofErr w:type="spellStart"/>
      <w:r w:rsidRPr="00A56C3D">
        <w:t>polyarthritiske</w:t>
      </w:r>
      <w:proofErr w:type="spellEnd"/>
      <w:r w:rsidRPr="00A56C3D">
        <w:t xml:space="preserve"> former for juvenil idiopatisk </w:t>
      </w:r>
      <w:proofErr w:type="spellStart"/>
      <w:r w:rsidRPr="00A56C3D">
        <w:t>arthritis</w:t>
      </w:r>
      <w:proofErr w:type="spellEnd"/>
      <w:r w:rsidRPr="00A56C3D">
        <w:t>. Immunmodulerende og antiinflammatorisk lægemiddel.</w:t>
      </w:r>
    </w:p>
    <w:p w:rsidR="00A56C3D" w:rsidRPr="00A56C3D" w:rsidRDefault="00A56C3D" w:rsidP="00A56C3D">
      <w:pPr>
        <w:pStyle w:val="Default"/>
        <w:ind w:left="851" w:hanging="851"/>
      </w:pPr>
    </w:p>
    <w:p w:rsidR="00A56C3D" w:rsidRPr="00A56C3D" w:rsidRDefault="00A56C3D" w:rsidP="00A56C3D">
      <w:pPr>
        <w:pStyle w:val="Default"/>
        <w:ind w:left="851"/>
        <w:rPr>
          <w:u w:val="single"/>
        </w:rPr>
      </w:pPr>
      <w:r w:rsidRPr="00A56C3D">
        <w:rPr>
          <w:u w:val="single"/>
        </w:rPr>
        <w:t xml:space="preserve">Virkningsmekanisme </w:t>
      </w:r>
    </w:p>
    <w:p w:rsidR="00A56C3D" w:rsidRPr="00A56C3D" w:rsidRDefault="00A56C3D" w:rsidP="00A56C3D">
      <w:pPr>
        <w:pStyle w:val="Default"/>
        <w:ind w:left="851"/>
      </w:pPr>
      <w:proofErr w:type="spellStart"/>
      <w:r w:rsidRPr="00A56C3D">
        <w:t>Methotrexat</w:t>
      </w:r>
      <w:proofErr w:type="spellEnd"/>
      <w:r w:rsidRPr="00A56C3D">
        <w:t xml:space="preserve"> er en </w:t>
      </w:r>
      <w:proofErr w:type="spellStart"/>
      <w:r w:rsidRPr="00A56C3D">
        <w:t>folsyreantagonist</w:t>
      </w:r>
      <w:proofErr w:type="spellEnd"/>
      <w:r w:rsidRPr="00A56C3D">
        <w:t xml:space="preserve">, der tilhører gruppen af </w:t>
      </w:r>
      <w:proofErr w:type="spellStart"/>
      <w:r w:rsidRPr="00A56C3D">
        <w:t>cytotoksiske</w:t>
      </w:r>
      <w:proofErr w:type="spellEnd"/>
      <w:r w:rsidRPr="00A56C3D">
        <w:t xml:space="preserve"> stoffer, der er kendt som antimetabolitter. Det virker ved </w:t>
      </w:r>
      <w:proofErr w:type="spellStart"/>
      <w:r w:rsidRPr="00A56C3D">
        <w:t>kompetitiv</w:t>
      </w:r>
      <w:proofErr w:type="spellEnd"/>
      <w:r w:rsidRPr="00A56C3D">
        <w:t xml:space="preserve"> hæmning af enzymet </w:t>
      </w:r>
      <w:proofErr w:type="spellStart"/>
      <w:r w:rsidRPr="00A56C3D">
        <w:t>dihydrofolatreduktase</w:t>
      </w:r>
      <w:proofErr w:type="spellEnd"/>
      <w:r w:rsidRPr="00A56C3D">
        <w:t xml:space="preserve"> og hæmmer derved DNA- og RNA-syntesen. Det er endnu ikke klarlagt, om </w:t>
      </w:r>
      <w:proofErr w:type="spellStart"/>
      <w:r w:rsidRPr="00A56C3D">
        <w:t>methotrexats</w:t>
      </w:r>
      <w:proofErr w:type="spellEnd"/>
      <w:r w:rsidRPr="00A56C3D">
        <w:t xml:space="preserve"> virkning ved behandling af psoriasis, </w:t>
      </w:r>
      <w:proofErr w:type="spellStart"/>
      <w:r w:rsidRPr="00A56C3D">
        <w:t>arthritis</w:t>
      </w:r>
      <w:proofErr w:type="spellEnd"/>
      <w:r w:rsidRPr="00A56C3D">
        <w:t xml:space="preserve"> </w:t>
      </w:r>
      <w:proofErr w:type="spellStart"/>
      <w:r w:rsidRPr="00A56C3D">
        <w:t>psoriatica</w:t>
      </w:r>
      <w:proofErr w:type="spellEnd"/>
      <w:r w:rsidRPr="00A56C3D">
        <w:t xml:space="preserve">, </w:t>
      </w:r>
      <w:proofErr w:type="spellStart"/>
      <w:r w:rsidRPr="00A56C3D">
        <w:t>reumatoid</w:t>
      </w:r>
      <w:proofErr w:type="spellEnd"/>
      <w:r w:rsidRPr="00A56C3D">
        <w:t xml:space="preserve"> </w:t>
      </w:r>
      <w:proofErr w:type="spellStart"/>
      <w:r w:rsidRPr="00A56C3D">
        <w:t>arthritis</w:t>
      </w:r>
      <w:proofErr w:type="spellEnd"/>
      <w:r w:rsidRPr="00A56C3D">
        <w:t xml:space="preserve"> og </w:t>
      </w:r>
      <w:proofErr w:type="spellStart"/>
      <w:r w:rsidRPr="00A56C3D">
        <w:t>Crohns</w:t>
      </w:r>
      <w:proofErr w:type="spellEnd"/>
      <w:r w:rsidRPr="00A56C3D">
        <w:t xml:space="preserve"> sygdom skyldes en antiinflammatorisk eller en immunsupprimerende virkning, og i hvilken grad en </w:t>
      </w:r>
      <w:proofErr w:type="spellStart"/>
      <w:r w:rsidRPr="00A56C3D">
        <w:t>methotrexatinduceret</w:t>
      </w:r>
      <w:proofErr w:type="spellEnd"/>
      <w:r w:rsidRPr="00A56C3D">
        <w:t xml:space="preserve"> stigning i den ekstracellulære </w:t>
      </w:r>
      <w:proofErr w:type="spellStart"/>
      <w:r w:rsidRPr="00A56C3D">
        <w:t>adenosinkoncentration</w:t>
      </w:r>
      <w:proofErr w:type="spellEnd"/>
      <w:r w:rsidRPr="00A56C3D">
        <w:t xml:space="preserve"> ved inflammerede steder bidrager til disse virkninger.</w:t>
      </w:r>
    </w:p>
    <w:p w:rsidR="00A56C3D" w:rsidRPr="00A56C3D" w:rsidRDefault="00A56C3D" w:rsidP="00A56C3D">
      <w:pPr>
        <w:pStyle w:val="Default"/>
        <w:ind w:left="851"/>
      </w:pPr>
    </w:p>
    <w:p w:rsidR="00A56C3D" w:rsidRPr="00A56C3D" w:rsidRDefault="00A56C3D" w:rsidP="00A56C3D">
      <w:pPr>
        <w:pStyle w:val="Default"/>
        <w:ind w:left="851"/>
      </w:pPr>
      <w:r w:rsidRPr="00A56C3D">
        <w:t xml:space="preserve">Et klinisk studie af ugentlige injektioner af </w:t>
      </w:r>
      <w:proofErr w:type="spellStart"/>
      <w:r w:rsidRPr="00A56C3D">
        <w:t>methotrexat</w:t>
      </w:r>
      <w:proofErr w:type="spellEnd"/>
      <w:r w:rsidRPr="00A56C3D">
        <w:t xml:space="preserve"> i en gruppe patienter med kronisk aktiv </w:t>
      </w:r>
      <w:proofErr w:type="spellStart"/>
      <w:r w:rsidRPr="00A56C3D">
        <w:t>Crohns</w:t>
      </w:r>
      <w:proofErr w:type="spellEnd"/>
      <w:r w:rsidRPr="00A56C3D">
        <w:t xml:space="preserve"> sygdom (på trods af mindst tre måneders </w:t>
      </w:r>
      <w:proofErr w:type="spellStart"/>
      <w:r w:rsidRPr="00A56C3D">
        <w:t>prednisonbehandling</w:t>
      </w:r>
      <w:proofErr w:type="spellEnd"/>
      <w:r w:rsidRPr="00A56C3D">
        <w:t xml:space="preserve">) viste, at </w:t>
      </w:r>
      <w:proofErr w:type="spellStart"/>
      <w:r w:rsidRPr="00A56C3D">
        <w:t>methotrexat</w:t>
      </w:r>
      <w:proofErr w:type="spellEnd"/>
      <w:r w:rsidRPr="00A56C3D">
        <w:t xml:space="preserve"> var mere effektiv end placebo til forbedring af symptomer og reduktion af kravene til </w:t>
      </w:r>
      <w:proofErr w:type="spellStart"/>
      <w:r w:rsidRPr="00A56C3D">
        <w:t>prednison</w:t>
      </w:r>
      <w:proofErr w:type="spellEnd"/>
      <w:r w:rsidRPr="00A56C3D">
        <w:t>. I alt 141</w:t>
      </w:r>
      <w:r w:rsidR="00E20C9E">
        <w:t> </w:t>
      </w:r>
      <w:r w:rsidRPr="00A56C3D">
        <w:t xml:space="preserve">patienter blev randomiseret i forholdet 2:1 til </w:t>
      </w:r>
      <w:proofErr w:type="spellStart"/>
      <w:r w:rsidRPr="00A56C3D">
        <w:t>methotrexat</w:t>
      </w:r>
      <w:proofErr w:type="spellEnd"/>
      <w:r w:rsidRPr="00A56C3D">
        <w:t xml:space="preserve"> (25 mg ugentligt) eller placebo. Efter 16 uger var 37 patienter (39,4 %) i klinisk remission i </w:t>
      </w:r>
      <w:proofErr w:type="spellStart"/>
      <w:r w:rsidRPr="00A56C3D">
        <w:t>methotrexatgruppen</w:t>
      </w:r>
      <w:proofErr w:type="spellEnd"/>
      <w:r w:rsidRPr="00A56C3D">
        <w:t xml:space="preserve"> sammenlignet med 9 patienter (19,4 %, p = 0,025;) i placebogruppen. Patienterne i </w:t>
      </w:r>
      <w:proofErr w:type="spellStart"/>
      <w:r w:rsidRPr="00A56C3D">
        <w:t>methotrexatgruppen</w:t>
      </w:r>
      <w:proofErr w:type="spellEnd"/>
      <w:r w:rsidRPr="00A56C3D">
        <w:t xml:space="preserve"> fik samlet set mindre </w:t>
      </w:r>
      <w:proofErr w:type="spellStart"/>
      <w:r w:rsidRPr="00A56C3D">
        <w:t>prednison</w:t>
      </w:r>
      <w:proofErr w:type="spellEnd"/>
      <w:r w:rsidRPr="00A56C3D">
        <w:t xml:space="preserve">, og deres gennemsnitlige score på </w:t>
      </w:r>
      <w:proofErr w:type="spellStart"/>
      <w:r w:rsidRPr="00A56C3D">
        <w:t>Crohns</w:t>
      </w:r>
      <w:proofErr w:type="spellEnd"/>
      <w:r w:rsidRPr="00A56C3D">
        <w:t xml:space="preserve"> sygdomsaktivitetsindeks var signifikant lavere end i placebogruppen (henholdsvis p = 0,026 og p = 0,002). [</w:t>
      </w:r>
      <w:proofErr w:type="spellStart"/>
      <w:r w:rsidRPr="00A56C3D">
        <w:t>Feagan</w:t>
      </w:r>
      <w:proofErr w:type="spellEnd"/>
      <w:r w:rsidRPr="00A56C3D">
        <w:t xml:space="preserve"> et al (1995)]</w:t>
      </w:r>
    </w:p>
    <w:p w:rsidR="00A56C3D" w:rsidRPr="00A56C3D" w:rsidRDefault="00A56C3D" w:rsidP="00A56C3D">
      <w:pPr>
        <w:pStyle w:val="Default"/>
        <w:ind w:left="851"/>
      </w:pPr>
    </w:p>
    <w:p w:rsidR="00A56C3D" w:rsidRPr="00A56C3D" w:rsidRDefault="00A56C3D" w:rsidP="00A56C3D">
      <w:pPr>
        <w:pStyle w:val="Default"/>
        <w:ind w:left="851"/>
      </w:pPr>
      <w:r w:rsidRPr="00A56C3D">
        <w:t>Et klinisk studie i patienter, der var gået i remission efter 16</w:t>
      </w:r>
      <w:r w:rsidR="00E20C9E">
        <w:t> </w:t>
      </w:r>
      <w:r w:rsidRPr="00A56C3D">
        <w:t>til</w:t>
      </w:r>
      <w:r w:rsidR="00E20C9E">
        <w:t> </w:t>
      </w:r>
      <w:r w:rsidRPr="00A56C3D">
        <w:t>24 ugers behandling med 25</w:t>
      </w:r>
      <w:r w:rsidR="00E20C9E">
        <w:t> </w:t>
      </w:r>
      <w:r w:rsidRPr="00A56C3D">
        <w:t xml:space="preserve">mg </w:t>
      </w:r>
      <w:proofErr w:type="spellStart"/>
      <w:r w:rsidRPr="00A56C3D">
        <w:t>methotrexat</w:t>
      </w:r>
      <w:proofErr w:type="spellEnd"/>
      <w:r w:rsidRPr="00A56C3D">
        <w:t xml:space="preserve">, viste, at en lav dosis </w:t>
      </w:r>
      <w:proofErr w:type="spellStart"/>
      <w:r w:rsidRPr="00A56C3D">
        <w:t>methotrexat</w:t>
      </w:r>
      <w:proofErr w:type="spellEnd"/>
      <w:r w:rsidRPr="00A56C3D">
        <w:t xml:space="preserve"> opretholder remission. Patienter blev randomiseret til enten </w:t>
      </w:r>
      <w:proofErr w:type="spellStart"/>
      <w:r w:rsidRPr="00A56C3D">
        <w:t>methotrexat</w:t>
      </w:r>
      <w:proofErr w:type="spellEnd"/>
      <w:r w:rsidRPr="00A56C3D">
        <w:t xml:space="preserve"> i en dosis på 15 mg intramuskulært en gang ugentligt eller placebo i 40</w:t>
      </w:r>
      <w:r w:rsidR="00E20C9E">
        <w:t> </w:t>
      </w:r>
      <w:r w:rsidRPr="00A56C3D">
        <w:t>uger. I uge</w:t>
      </w:r>
      <w:r w:rsidR="00E20C9E">
        <w:t> </w:t>
      </w:r>
      <w:r w:rsidRPr="00A56C3D">
        <w:t>40 var 26</w:t>
      </w:r>
      <w:r w:rsidR="00E20C9E">
        <w:t> </w:t>
      </w:r>
      <w:r w:rsidRPr="00A56C3D">
        <w:t xml:space="preserve">patienter (65 %) i remission i </w:t>
      </w:r>
      <w:proofErr w:type="spellStart"/>
      <w:r w:rsidRPr="00A56C3D">
        <w:t>methotrexatgruppen</w:t>
      </w:r>
      <w:proofErr w:type="spellEnd"/>
      <w:r w:rsidRPr="00A56C3D">
        <w:t xml:space="preserve">, og færre havde brug for </w:t>
      </w:r>
      <w:proofErr w:type="spellStart"/>
      <w:r w:rsidRPr="00A56C3D">
        <w:t>prednison</w:t>
      </w:r>
      <w:proofErr w:type="spellEnd"/>
      <w:r w:rsidRPr="00A56C3D">
        <w:t xml:space="preserve"> til tilbagefald (28 %) sammenlignet med placebogruppen (henholdsvis 39 %; p = 0,04 og 58 %, p = 0,01). [</w:t>
      </w:r>
      <w:proofErr w:type="spellStart"/>
      <w:r w:rsidRPr="00A56C3D">
        <w:t>Feagan</w:t>
      </w:r>
      <w:proofErr w:type="spellEnd"/>
      <w:r w:rsidRPr="00A56C3D">
        <w:t xml:space="preserve"> et al (2000)]</w:t>
      </w:r>
    </w:p>
    <w:p w:rsidR="00A56C3D" w:rsidRPr="00A56C3D" w:rsidRDefault="00A56C3D" w:rsidP="00A56C3D">
      <w:pPr>
        <w:pStyle w:val="Default"/>
        <w:ind w:left="851"/>
      </w:pPr>
    </w:p>
    <w:p w:rsidR="007A01DF" w:rsidRPr="00A56C3D" w:rsidRDefault="00A56C3D" w:rsidP="00A56C3D">
      <w:pPr>
        <w:pStyle w:val="Default"/>
        <w:ind w:left="851"/>
      </w:pPr>
      <w:r w:rsidRPr="00A56C3D">
        <w:t xml:space="preserve">De bivirkninger, der blev observeret i undersøgelserne udført med </w:t>
      </w:r>
      <w:proofErr w:type="spellStart"/>
      <w:r w:rsidRPr="00A56C3D">
        <w:t>methotrexat</w:t>
      </w:r>
      <w:proofErr w:type="spellEnd"/>
      <w:r w:rsidRPr="00A56C3D">
        <w:t xml:space="preserve"> for </w:t>
      </w:r>
      <w:proofErr w:type="spellStart"/>
      <w:r w:rsidRPr="00A56C3D">
        <w:t>Crohns</w:t>
      </w:r>
      <w:proofErr w:type="spellEnd"/>
      <w:r w:rsidRPr="00A56C3D">
        <w:t xml:space="preserve"> sygdom ved kumulative doser, har ikke vist en anden sikkerhedsprofil for </w:t>
      </w:r>
      <w:proofErr w:type="spellStart"/>
      <w:r w:rsidRPr="00A56C3D">
        <w:t>methotrexat</w:t>
      </w:r>
      <w:proofErr w:type="spellEnd"/>
      <w:r w:rsidRPr="00A56C3D">
        <w:t xml:space="preserve"> end den profil, der allerede er kendt. Derfor skal der tages tilsvarende forholdsregler ved brug af </w:t>
      </w:r>
      <w:proofErr w:type="spellStart"/>
      <w:r w:rsidRPr="00A56C3D">
        <w:t>methotrexat</w:t>
      </w:r>
      <w:proofErr w:type="spellEnd"/>
      <w:r w:rsidRPr="00A56C3D">
        <w:t xml:space="preserve"> til behandling af </w:t>
      </w:r>
      <w:proofErr w:type="spellStart"/>
      <w:r w:rsidRPr="00A56C3D">
        <w:t>Crohns</w:t>
      </w:r>
      <w:proofErr w:type="spellEnd"/>
      <w:r w:rsidRPr="00A56C3D">
        <w:t xml:space="preserve"> sygdom som ved andre reumatiske og ikke-reumatiske indikationer af </w:t>
      </w:r>
      <w:proofErr w:type="spellStart"/>
      <w:r w:rsidRPr="00A56C3D">
        <w:t>methotrexat</w:t>
      </w:r>
      <w:proofErr w:type="spellEnd"/>
      <w:r w:rsidRPr="00A56C3D">
        <w:t xml:space="preserve"> (se pkt.</w:t>
      </w:r>
      <w:r w:rsidR="00E20C9E">
        <w:t> </w:t>
      </w:r>
      <w:r w:rsidRPr="00A56C3D">
        <w:t>4.4 og</w:t>
      </w:r>
      <w:r w:rsidR="00E20C9E">
        <w:t xml:space="preserve"> </w:t>
      </w:r>
      <w:r w:rsidRPr="00A56C3D">
        <w:t>4.6).</w:t>
      </w:r>
    </w:p>
    <w:p w:rsidR="00A56C3D" w:rsidRPr="00D74103" w:rsidRDefault="00A56C3D" w:rsidP="00A56C3D">
      <w:pPr>
        <w:pStyle w:val="Default"/>
        <w:ind w:left="851" w:hanging="851"/>
      </w:pPr>
    </w:p>
    <w:p w:rsidR="007A01DF" w:rsidRPr="00D74103" w:rsidRDefault="007A01DF" w:rsidP="007A01DF">
      <w:pPr>
        <w:ind w:left="851" w:hanging="851"/>
        <w:rPr>
          <w:b/>
          <w:sz w:val="24"/>
          <w:szCs w:val="24"/>
        </w:rPr>
      </w:pPr>
      <w:r w:rsidRPr="00D74103">
        <w:rPr>
          <w:b/>
          <w:sz w:val="24"/>
          <w:szCs w:val="24"/>
        </w:rPr>
        <w:t>5.2</w:t>
      </w:r>
      <w:r w:rsidRPr="00D74103">
        <w:rPr>
          <w:b/>
          <w:sz w:val="24"/>
          <w:szCs w:val="24"/>
        </w:rPr>
        <w:tab/>
      </w:r>
      <w:proofErr w:type="spellStart"/>
      <w:r w:rsidRPr="00D74103">
        <w:rPr>
          <w:b/>
          <w:sz w:val="24"/>
          <w:szCs w:val="24"/>
        </w:rPr>
        <w:t>Farmakokinetiske</w:t>
      </w:r>
      <w:proofErr w:type="spellEnd"/>
      <w:r w:rsidRPr="00D74103">
        <w:rPr>
          <w:b/>
          <w:sz w:val="24"/>
          <w:szCs w:val="24"/>
        </w:rPr>
        <w:t xml:space="preserve"> egenskaber</w:t>
      </w:r>
    </w:p>
    <w:p w:rsidR="00053E9D" w:rsidRDefault="007A01DF" w:rsidP="007A01DF">
      <w:pPr>
        <w:shd w:val="clear" w:color="auto" w:fill="FFFFFF"/>
        <w:ind w:left="851" w:hanging="851"/>
        <w:rPr>
          <w:sz w:val="24"/>
          <w:szCs w:val="24"/>
        </w:rPr>
      </w:pPr>
      <w:r w:rsidRPr="00D74103">
        <w:rPr>
          <w:sz w:val="24"/>
          <w:szCs w:val="24"/>
        </w:rPr>
        <w:tab/>
      </w:r>
    </w:p>
    <w:p w:rsidR="007A01DF" w:rsidRPr="00D74103" w:rsidRDefault="007A01DF" w:rsidP="00053E9D">
      <w:pPr>
        <w:shd w:val="clear" w:color="auto" w:fill="FFFFFF"/>
        <w:ind w:left="851"/>
        <w:rPr>
          <w:sz w:val="24"/>
          <w:szCs w:val="24"/>
          <w:u w:val="single"/>
        </w:rPr>
      </w:pPr>
      <w:r w:rsidRPr="00D74103">
        <w:rPr>
          <w:sz w:val="24"/>
          <w:szCs w:val="24"/>
          <w:u w:val="single"/>
        </w:rPr>
        <w:t xml:space="preserve">Absorption </w:t>
      </w:r>
    </w:p>
    <w:p w:rsidR="007A01DF" w:rsidRPr="00D74103" w:rsidRDefault="007A01DF" w:rsidP="007A01DF">
      <w:pPr>
        <w:shd w:val="clear" w:color="auto" w:fill="FFFFFF"/>
        <w:ind w:left="851"/>
        <w:rPr>
          <w:sz w:val="24"/>
          <w:szCs w:val="24"/>
        </w:rPr>
      </w:pPr>
      <w:r w:rsidRPr="00D74103">
        <w:rPr>
          <w:sz w:val="24"/>
          <w:szCs w:val="24"/>
        </w:rPr>
        <w:t>Biotilgængeligheden af subkutan, intravenøs og intramuskulær injektion er sammenlignelig og næsten 100</w:t>
      </w:r>
      <w:r w:rsidR="00A56C3D">
        <w:rPr>
          <w:sz w:val="24"/>
          <w:szCs w:val="24"/>
        </w:rPr>
        <w:t> </w:t>
      </w:r>
      <w:r w:rsidRPr="00D74103">
        <w:rPr>
          <w:sz w:val="24"/>
          <w:szCs w:val="24"/>
        </w:rPr>
        <w:t>%.</w:t>
      </w:r>
    </w:p>
    <w:p w:rsidR="007A01DF" w:rsidRPr="00D74103" w:rsidRDefault="007A01DF" w:rsidP="007A01DF">
      <w:pPr>
        <w:shd w:val="clear" w:color="auto" w:fill="FFFFFF"/>
        <w:ind w:left="851" w:hanging="851"/>
        <w:rPr>
          <w:sz w:val="24"/>
          <w:szCs w:val="24"/>
        </w:rPr>
      </w:pPr>
    </w:p>
    <w:p w:rsidR="007A01DF" w:rsidRPr="00D74103" w:rsidRDefault="007A01DF" w:rsidP="007A01DF">
      <w:pPr>
        <w:shd w:val="clear" w:color="auto" w:fill="FFFFFF"/>
        <w:ind w:left="851"/>
        <w:rPr>
          <w:sz w:val="24"/>
          <w:szCs w:val="24"/>
          <w:u w:val="single"/>
        </w:rPr>
      </w:pPr>
      <w:r w:rsidRPr="00D74103">
        <w:rPr>
          <w:sz w:val="24"/>
          <w:szCs w:val="24"/>
          <w:u w:val="single"/>
        </w:rPr>
        <w:lastRenderedPageBreak/>
        <w:t>Fordeling</w:t>
      </w:r>
    </w:p>
    <w:p w:rsidR="007A01DF" w:rsidRPr="00D74103" w:rsidRDefault="007A01DF" w:rsidP="007A01DF">
      <w:pPr>
        <w:shd w:val="clear" w:color="auto" w:fill="FFFFFF"/>
        <w:ind w:left="851"/>
        <w:rPr>
          <w:sz w:val="24"/>
          <w:szCs w:val="24"/>
        </w:rPr>
      </w:pPr>
      <w:r w:rsidRPr="00D74103">
        <w:rPr>
          <w:sz w:val="24"/>
          <w:szCs w:val="24"/>
        </w:rPr>
        <w:t>Ca. 50</w:t>
      </w:r>
      <w:r w:rsidR="00A56C3D">
        <w:rPr>
          <w:sz w:val="24"/>
          <w:szCs w:val="24"/>
        </w:rPr>
        <w:t> </w:t>
      </w:r>
      <w:r w:rsidRPr="00D74103">
        <w:rPr>
          <w:sz w:val="24"/>
          <w:szCs w:val="24"/>
        </w:rPr>
        <w:t xml:space="preserve">% af </w:t>
      </w:r>
      <w:proofErr w:type="spellStart"/>
      <w:r w:rsidRPr="00D74103">
        <w:rPr>
          <w:sz w:val="24"/>
          <w:szCs w:val="24"/>
        </w:rPr>
        <w:t>methotrexat</w:t>
      </w:r>
      <w:proofErr w:type="spellEnd"/>
      <w:r w:rsidRPr="00D74103">
        <w:rPr>
          <w:sz w:val="24"/>
          <w:szCs w:val="24"/>
        </w:rPr>
        <w:t xml:space="preserve"> er bundet til serumproteiner. Efter fordeling i kropsvæv, ses der især høje koncentrationer i form af polyglutamater i lever, nyrer og milt, som kan vedvare i uger eller måneder. Ved administration i små doser, passerer </w:t>
      </w:r>
      <w:proofErr w:type="spellStart"/>
      <w:r w:rsidRPr="00D74103">
        <w:rPr>
          <w:sz w:val="24"/>
          <w:szCs w:val="24"/>
        </w:rPr>
        <w:t>methotrexat</w:t>
      </w:r>
      <w:proofErr w:type="spellEnd"/>
      <w:r w:rsidRPr="00D74103">
        <w:rPr>
          <w:sz w:val="24"/>
          <w:szCs w:val="24"/>
        </w:rPr>
        <w:t xml:space="preserve"> over i kropsvæsken i små mængder. </w:t>
      </w:r>
    </w:p>
    <w:p w:rsidR="007A01DF" w:rsidRPr="00D74103" w:rsidRDefault="007A01DF" w:rsidP="007A01DF">
      <w:pPr>
        <w:shd w:val="clear" w:color="auto" w:fill="FFFFFF"/>
        <w:ind w:left="851"/>
        <w:rPr>
          <w:sz w:val="24"/>
          <w:szCs w:val="24"/>
        </w:rPr>
      </w:pPr>
    </w:p>
    <w:p w:rsidR="007A01DF" w:rsidRPr="00D74103" w:rsidRDefault="007A01DF" w:rsidP="007A01DF">
      <w:pPr>
        <w:shd w:val="clear" w:color="auto" w:fill="FFFFFF"/>
        <w:ind w:left="851"/>
        <w:rPr>
          <w:sz w:val="24"/>
          <w:szCs w:val="24"/>
          <w:u w:val="single"/>
        </w:rPr>
      </w:pPr>
      <w:r w:rsidRPr="00D74103">
        <w:rPr>
          <w:sz w:val="24"/>
          <w:szCs w:val="24"/>
          <w:u w:val="single"/>
        </w:rPr>
        <w:t>Biotransformation</w:t>
      </w:r>
    </w:p>
    <w:p w:rsidR="007A01DF" w:rsidRPr="00D74103" w:rsidRDefault="007A01DF" w:rsidP="007A01DF">
      <w:pPr>
        <w:shd w:val="clear" w:color="auto" w:fill="FFFFFF"/>
        <w:ind w:left="851"/>
        <w:rPr>
          <w:sz w:val="24"/>
          <w:szCs w:val="24"/>
        </w:rPr>
      </w:pPr>
      <w:r w:rsidRPr="00D74103">
        <w:rPr>
          <w:sz w:val="24"/>
          <w:szCs w:val="24"/>
        </w:rPr>
        <w:t>Ca. 10</w:t>
      </w:r>
      <w:r w:rsidR="00A56C3D">
        <w:rPr>
          <w:sz w:val="24"/>
          <w:szCs w:val="24"/>
        </w:rPr>
        <w:t> </w:t>
      </w:r>
      <w:r w:rsidRPr="00D74103">
        <w:rPr>
          <w:sz w:val="24"/>
          <w:szCs w:val="24"/>
        </w:rPr>
        <w:t xml:space="preserve">% af den administrerede </w:t>
      </w:r>
      <w:proofErr w:type="spellStart"/>
      <w:r w:rsidRPr="00D74103">
        <w:rPr>
          <w:sz w:val="24"/>
          <w:szCs w:val="24"/>
        </w:rPr>
        <w:t>methotrexatdosis</w:t>
      </w:r>
      <w:proofErr w:type="spellEnd"/>
      <w:r w:rsidRPr="00D74103">
        <w:rPr>
          <w:sz w:val="24"/>
          <w:szCs w:val="24"/>
        </w:rPr>
        <w:t xml:space="preserve"> </w:t>
      </w:r>
      <w:proofErr w:type="spellStart"/>
      <w:r w:rsidRPr="00D74103">
        <w:rPr>
          <w:sz w:val="24"/>
          <w:szCs w:val="24"/>
        </w:rPr>
        <w:t>metaboliseres</w:t>
      </w:r>
      <w:proofErr w:type="spellEnd"/>
      <w:r w:rsidRPr="00D74103">
        <w:rPr>
          <w:sz w:val="24"/>
          <w:szCs w:val="24"/>
        </w:rPr>
        <w:t xml:space="preserve"> </w:t>
      </w:r>
      <w:proofErr w:type="spellStart"/>
      <w:r w:rsidRPr="00D74103">
        <w:rPr>
          <w:sz w:val="24"/>
          <w:szCs w:val="24"/>
        </w:rPr>
        <w:t>intrahepatisk</w:t>
      </w:r>
      <w:proofErr w:type="spellEnd"/>
      <w:r w:rsidRPr="00D74103">
        <w:rPr>
          <w:sz w:val="24"/>
          <w:szCs w:val="24"/>
        </w:rPr>
        <w:t>. Den primære metabolit er 7-hydroxymethotrexat.</w:t>
      </w:r>
    </w:p>
    <w:p w:rsidR="007A01DF" w:rsidRPr="00D74103" w:rsidRDefault="007A01DF" w:rsidP="007A01DF">
      <w:pPr>
        <w:shd w:val="clear" w:color="auto" w:fill="FFFFFF"/>
        <w:ind w:left="851"/>
        <w:rPr>
          <w:sz w:val="24"/>
          <w:szCs w:val="24"/>
        </w:rPr>
      </w:pPr>
    </w:p>
    <w:p w:rsidR="007A01DF" w:rsidRPr="00D74103" w:rsidRDefault="007A01DF" w:rsidP="00E854C3">
      <w:pPr>
        <w:keepNext/>
        <w:shd w:val="clear" w:color="auto" w:fill="FFFFFF"/>
        <w:ind w:left="851"/>
        <w:rPr>
          <w:sz w:val="24"/>
          <w:szCs w:val="24"/>
          <w:u w:val="single"/>
        </w:rPr>
      </w:pPr>
      <w:r w:rsidRPr="00D74103">
        <w:rPr>
          <w:sz w:val="24"/>
          <w:szCs w:val="24"/>
          <w:u w:val="single"/>
        </w:rPr>
        <w:t>Elimination</w:t>
      </w:r>
    </w:p>
    <w:p w:rsidR="007A01DF" w:rsidRPr="00D74103" w:rsidRDefault="007A01DF" w:rsidP="007A01DF">
      <w:pPr>
        <w:shd w:val="clear" w:color="auto" w:fill="FFFFFF"/>
        <w:ind w:left="851"/>
        <w:rPr>
          <w:sz w:val="24"/>
          <w:szCs w:val="24"/>
        </w:rPr>
      </w:pPr>
      <w:r w:rsidRPr="00D74103">
        <w:rPr>
          <w:sz w:val="24"/>
          <w:szCs w:val="24"/>
        </w:rPr>
        <w:t xml:space="preserve">Udskillelse sker hovedsageligt som </w:t>
      </w:r>
      <w:proofErr w:type="spellStart"/>
      <w:r w:rsidRPr="00D74103">
        <w:rPr>
          <w:sz w:val="24"/>
          <w:szCs w:val="24"/>
        </w:rPr>
        <w:t>uomdannet</w:t>
      </w:r>
      <w:proofErr w:type="spellEnd"/>
      <w:r w:rsidRPr="00D74103">
        <w:rPr>
          <w:sz w:val="24"/>
          <w:szCs w:val="24"/>
        </w:rPr>
        <w:t xml:space="preserve"> stof og primært </w:t>
      </w:r>
      <w:proofErr w:type="spellStart"/>
      <w:r w:rsidRPr="00D74103">
        <w:rPr>
          <w:sz w:val="24"/>
          <w:szCs w:val="24"/>
        </w:rPr>
        <w:t>renalt</w:t>
      </w:r>
      <w:proofErr w:type="spellEnd"/>
      <w:r w:rsidRPr="00D74103">
        <w:rPr>
          <w:sz w:val="24"/>
          <w:szCs w:val="24"/>
        </w:rPr>
        <w:t xml:space="preserve"> via </w:t>
      </w:r>
      <w:proofErr w:type="spellStart"/>
      <w:r w:rsidRPr="00D74103">
        <w:rPr>
          <w:sz w:val="24"/>
          <w:szCs w:val="24"/>
        </w:rPr>
        <w:t>glomerulær</w:t>
      </w:r>
      <w:proofErr w:type="spellEnd"/>
      <w:r w:rsidRPr="00D74103">
        <w:rPr>
          <w:sz w:val="24"/>
          <w:szCs w:val="24"/>
        </w:rPr>
        <w:t xml:space="preserve"> filtration og aktiv udskillelse i den proksimale </w:t>
      </w:r>
      <w:proofErr w:type="spellStart"/>
      <w:r w:rsidRPr="00D74103">
        <w:rPr>
          <w:sz w:val="24"/>
          <w:szCs w:val="24"/>
        </w:rPr>
        <w:t>tubulus</w:t>
      </w:r>
      <w:proofErr w:type="spellEnd"/>
      <w:r w:rsidRPr="00D74103">
        <w:rPr>
          <w:sz w:val="24"/>
          <w:szCs w:val="24"/>
        </w:rPr>
        <w:t xml:space="preserve">. </w:t>
      </w:r>
    </w:p>
    <w:p w:rsidR="007A01DF" w:rsidRPr="00D74103" w:rsidRDefault="007A01DF" w:rsidP="007A01DF">
      <w:pPr>
        <w:shd w:val="clear" w:color="auto" w:fill="FFFFFF"/>
        <w:ind w:left="851"/>
        <w:rPr>
          <w:sz w:val="24"/>
          <w:szCs w:val="24"/>
        </w:rPr>
      </w:pPr>
      <w:r w:rsidRPr="004560D0">
        <w:rPr>
          <w:sz w:val="24"/>
          <w:szCs w:val="24"/>
          <w:lang w:val="nb-NO"/>
        </w:rPr>
        <w:t>Ca. 5</w:t>
      </w:r>
      <w:r w:rsidR="00E20C9E">
        <w:rPr>
          <w:sz w:val="24"/>
          <w:szCs w:val="24"/>
          <w:lang w:val="nb-NO"/>
        </w:rPr>
        <w:t> – </w:t>
      </w:r>
      <w:r w:rsidRPr="004560D0">
        <w:rPr>
          <w:sz w:val="24"/>
          <w:szCs w:val="24"/>
          <w:lang w:val="nb-NO"/>
        </w:rPr>
        <w:t>20</w:t>
      </w:r>
      <w:r w:rsidR="00A56C3D" w:rsidRPr="004560D0">
        <w:rPr>
          <w:sz w:val="24"/>
          <w:szCs w:val="24"/>
          <w:lang w:val="nb-NO"/>
        </w:rPr>
        <w:t> </w:t>
      </w:r>
      <w:r w:rsidRPr="004560D0">
        <w:rPr>
          <w:sz w:val="24"/>
          <w:szCs w:val="24"/>
          <w:lang w:val="nb-NO"/>
        </w:rPr>
        <w:t>% methotrexat og 1</w:t>
      </w:r>
      <w:r w:rsidR="00E20C9E">
        <w:rPr>
          <w:sz w:val="24"/>
          <w:szCs w:val="24"/>
          <w:lang w:val="nb-NO"/>
        </w:rPr>
        <w:t> – </w:t>
      </w:r>
      <w:r w:rsidRPr="004560D0">
        <w:rPr>
          <w:sz w:val="24"/>
          <w:szCs w:val="24"/>
          <w:lang w:val="nb-NO"/>
        </w:rPr>
        <w:t>5</w:t>
      </w:r>
      <w:r w:rsidR="00A56C3D" w:rsidRPr="004560D0">
        <w:rPr>
          <w:sz w:val="24"/>
          <w:szCs w:val="24"/>
          <w:lang w:val="nb-NO"/>
        </w:rPr>
        <w:t> </w:t>
      </w:r>
      <w:r w:rsidRPr="004560D0">
        <w:rPr>
          <w:sz w:val="24"/>
          <w:szCs w:val="24"/>
          <w:lang w:val="nb-NO"/>
        </w:rPr>
        <w:t>% 7</w:t>
      </w:r>
      <w:r w:rsidR="00E20C9E" w:rsidRPr="004560D0">
        <w:rPr>
          <w:sz w:val="24"/>
          <w:szCs w:val="24"/>
          <w:lang w:val="nb-NO"/>
        </w:rPr>
        <w:t> </w:t>
      </w:r>
      <w:r w:rsidRPr="004560D0">
        <w:rPr>
          <w:sz w:val="24"/>
          <w:szCs w:val="24"/>
          <w:lang w:val="nb-NO"/>
        </w:rPr>
        <w:t xml:space="preserve">hydroxymethotrexat elimineres biliært. </w:t>
      </w:r>
      <w:r w:rsidRPr="00D74103">
        <w:rPr>
          <w:sz w:val="24"/>
          <w:szCs w:val="24"/>
        </w:rPr>
        <w:t xml:space="preserve">Der er udtalt </w:t>
      </w:r>
      <w:proofErr w:type="spellStart"/>
      <w:r w:rsidRPr="00D74103">
        <w:rPr>
          <w:sz w:val="24"/>
          <w:szCs w:val="24"/>
        </w:rPr>
        <w:t>enterohepatisk</w:t>
      </w:r>
      <w:proofErr w:type="spellEnd"/>
      <w:r w:rsidRPr="00D74103">
        <w:rPr>
          <w:sz w:val="24"/>
          <w:szCs w:val="24"/>
        </w:rPr>
        <w:t xml:space="preserve"> cirkulation. </w:t>
      </w:r>
    </w:p>
    <w:p w:rsidR="007A01DF" w:rsidRPr="00D74103" w:rsidRDefault="007A01DF" w:rsidP="007A01DF">
      <w:pPr>
        <w:shd w:val="clear" w:color="auto" w:fill="FFFFFF"/>
        <w:ind w:left="851"/>
        <w:rPr>
          <w:sz w:val="24"/>
          <w:szCs w:val="24"/>
        </w:rPr>
      </w:pPr>
    </w:p>
    <w:p w:rsidR="007A01DF" w:rsidRPr="00D74103" w:rsidRDefault="007A01DF" w:rsidP="007A01DF">
      <w:pPr>
        <w:shd w:val="clear" w:color="auto" w:fill="FFFFFF"/>
        <w:ind w:left="851"/>
        <w:rPr>
          <w:sz w:val="24"/>
          <w:szCs w:val="24"/>
        </w:rPr>
      </w:pPr>
      <w:r w:rsidRPr="00D74103">
        <w:rPr>
          <w:sz w:val="24"/>
          <w:szCs w:val="24"/>
        </w:rPr>
        <w:t xml:space="preserve">Den terminale </w:t>
      </w:r>
      <w:r>
        <w:rPr>
          <w:sz w:val="24"/>
          <w:szCs w:val="24"/>
        </w:rPr>
        <w:t>halveringstid er i gennemsnit 6-</w:t>
      </w:r>
      <w:r w:rsidRPr="00D74103">
        <w:rPr>
          <w:sz w:val="24"/>
          <w:szCs w:val="24"/>
        </w:rPr>
        <w:t>7 timer, og demonstrerer betydelig variation (3-17 timer). Halveringstiden kan forlænges til 4 gange den normale længde hos patienter med et tredje fordelingsrum (</w:t>
      </w:r>
      <w:proofErr w:type="spellStart"/>
      <w:r w:rsidRPr="00D74103">
        <w:rPr>
          <w:sz w:val="24"/>
          <w:szCs w:val="24"/>
        </w:rPr>
        <w:t>pleuraeffusion</w:t>
      </w:r>
      <w:proofErr w:type="spellEnd"/>
      <w:r w:rsidRPr="00D74103">
        <w:rPr>
          <w:sz w:val="24"/>
          <w:szCs w:val="24"/>
        </w:rPr>
        <w:t xml:space="preserve">, </w:t>
      </w:r>
      <w:proofErr w:type="spellStart"/>
      <w:r w:rsidRPr="00D74103">
        <w:rPr>
          <w:sz w:val="24"/>
          <w:szCs w:val="24"/>
        </w:rPr>
        <w:t>ascites</w:t>
      </w:r>
      <w:proofErr w:type="spellEnd"/>
      <w:r w:rsidRPr="00D74103">
        <w:rPr>
          <w:sz w:val="24"/>
          <w:szCs w:val="24"/>
        </w:rPr>
        <w:t xml:space="preserve">). </w:t>
      </w:r>
    </w:p>
    <w:p w:rsidR="007A01DF" w:rsidRPr="00D74103" w:rsidRDefault="007A01DF" w:rsidP="007A01DF">
      <w:pPr>
        <w:shd w:val="clear" w:color="auto" w:fill="FFFFFF"/>
        <w:ind w:left="851"/>
        <w:rPr>
          <w:sz w:val="24"/>
          <w:szCs w:val="24"/>
        </w:rPr>
      </w:pPr>
    </w:p>
    <w:p w:rsidR="007A01DF" w:rsidRPr="00D74103" w:rsidRDefault="007A01DF" w:rsidP="007A01DF">
      <w:pPr>
        <w:shd w:val="clear" w:color="auto" w:fill="FFFFFF"/>
        <w:ind w:left="851"/>
        <w:rPr>
          <w:sz w:val="24"/>
          <w:szCs w:val="24"/>
          <w:u w:val="single"/>
        </w:rPr>
      </w:pPr>
      <w:r w:rsidRPr="00D74103">
        <w:rPr>
          <w:sz w:val="24"/>
          <w:szCs w:val="24"/>
          <w:u w:val="single"/>
        </w:rPr>
        <w:t>Særlige populationer</w:t>
      </w:r>
    </w:p>
    <w:p w:rsidR="007A01DF" w:rsidRPr="00D74103" w:rsidRDefault="007A01DF" w:rsidP="007A01DF">
      <w:pPr>
        <w:shd w:val="clear" w:color="auto" w:fill="FFFFFF"/>
        <w:ind w:left="851"/>
        <w:rPr>
          <w:sz w:val="24"/>
          <w:szCs w:val="24"/>
        </w:rPr>
      </w:pPr>
      <w:r w:rsidRPr="00D74103">
        <w:rPr>
          <w:sz w:val="24"/>
          <w:szCs w:val="24"/>
        </w:rPr>
        <w:t>I tilfælde af nyreinsufficiens forsinkes eliminationen betydeligt. Nedsat elimination med hensyn til leverinsufficiens er ikke kendt.</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5.3</w:t>
      </w:r>
      <w:r w:rsidRPr="00D74103">
        <w:rPr>
          <w:b/>
          <w:sz w:val="24"/>
          <w:szCs w:val="24"/>
        </w:rPr>
        <w:tab/>
      </w:r>
      <w:r w:rsidR="00053E9D">
        <w:rPr>
          <w:b/>
          <w:sz w:val="24"/>
          <w:szCs w:val="24"/>
        </w:rPr>
        <w:t>Non-</w:t>
      </w:r>
      <w:r w:rsidRPr="00D74103">
        <w:rPr>
          <w:b/>
          <w:sz w:val="24"/>
          <w:szCs w:val="24"/>
        </w:rPr>
        <w:t>kliniske sikkerhedsdata</w:t>
      </w:r>
    </w:p>
    <w:p w:rsidR="00053E9D" w:rsidRDefault="00053E9D" w:rsidP="007A01DF">
      <w:pPr>
        <w:ind w:left="851"/>
        <w:rPr>
          <w:sz w:val="24"/>
          <w:szCs w:val="24"/>
          <w:u w:val="single"/>
        </w:rPr>
      </w:pPr>
    </w:p>
    <w:p w:rsidR="007A01DF" w:rsidRPr="007E2145" w:rsidRDefault="007A01DF" w:rsidP="007A01DF">
      <w:pPr>
        <w:ind w:left="851"/>
        <w:rPr>
          <w:sz w:val="24"/>
          <w:szCs w:val="24"/>
          <w:u w:val="single"/>
        </w:rPr>
      </w:pPr>
      <w:r w:rsidRPr="007E2145">
        <w:rPr>
          <w:sz w:val="24"/>
          <w:szCs w:val="24"/>
          <w:u w:val="single"/>
        </w:rPr>
        <w:t xml:space="preserve">Kronisk toksicitet </w:t>
      </w:r>
    </w:p>
    <w:p w:rsidR="007A01DF" w:rsidRPr="00D74103" w:rsidRDefault="007A01DF" w:rsidP="007A01DF">
      <w:pPr>
        <w:ind w:left="851"/>
        <w:rPr>
          <w:sz w:val="24"/>
          <w:szCs w:val="24"/>
        </w:rPr>
      </w:pPr>
      <w:r w:rsidRPr="00D74103">
        <w:rPr>
          <w:sz w:val="24"/>
          <w:szCs w:val="24"/>
        </w:rPr>
        <w:t xml:space="preserve">Kroniske toksicitetsstudier med mus, rotter og hunde viste toksiske virkninger i form af </w:t>
      </w:r>
      <w:proofErr w:type="spellStart"/>
      <w:r w:rsidRPr="00D74103">
        <w:rPr>
          <w:sz w:val="24"/>
          <w:szCs w:val="24"/>
        </w:rPr>
        <w:t>gastrointestinale</w:t>
      </w:r>
      <w:proofErr w:type="spellEnd"/>
      <w:r w:rsidRPr="00D74103">
        <w:rPr>
          <w:sz w:val="24"/>
          <w:szCs w:val="24"/>
        </w:rPr>
        <w:t xml:space="preserve"> læsioner, </w:t>
      </w:r>
      <w:proofErr w:type="spellStart"/>
      <w:r w:rsidRPr="00D74103">
        <w:rPr>
          <w:sz w:val="24"/>
          <w:szCs w:val="24"/>
        </w:rPr>
        <w:t>myelosuppression</w:t>
      </w:r>
      <w:proofErr w:type="spellEnd"/>
      <w:r w:rsidRPr="00D74103">
        <w:rPr>
          <w:sz w:val="24"/>
          <w:szCs w:val="24"/>
        </w:rPr>
        <w:t xml:space="preserve"> og </w:t>
      </w:r>
      <w:proofErr w:type="spellStart"/>
      <w:r w:rsidRPr="00D74103">
        <w:rPr>
          <w:sz w:val="24"/>
          <w:szCs w:val="24"/>
        </w:rPr>
        <w:t>hepatotoksicitet</w:t>
      </w:r>
      <w:proofErr w:type="spellEnd"/>
      <w:r w:rsidRPr="00D74103">
        <w:rPr>
          <w:sz w:val="24"/>
          <w:szCs w:val="24"/>
        </w:rPr>
        <w:t xml:space="preserve">. </w:t>
      </w:r>
    </w:p>
    <w:p w:rsidR="007A01DF" w:rsidRPr="00D74103" w:rsidRDefault="007A01DF" w:rsidP="007A01DF">
      <w:pPr>
        <w:ind w:left="851"/>
        <w:rPr>
          <w:sz w:val="24"/>
          <w:szCs w:val="24"/>
        </w:rPr>
      </w:pPr>
    </w:p>
    <w:p w:rsidR="007A01DF" w:rsidRPr="007E2145" w:rsidRDefault="007A01DF" w:rsidP="007A01DF">
      <w:pPr>
        <w:ind w:left="851"/>
        <w:rPr>
          <w:sz w:val="24"/>
          <w:szCs w:val="24"/>
          <w:u w:val="single"/>
        </w:rPr>
      </w:pPr>
      <w:r w:rsidRPr="007E2145">
        <w:rPr>
          <w:sz w:val="24"/>
          <w:szCs w:val="24"/>
          <w:u w:val="single"/>
        </w:rPr>
        <w:t xml:space="preserve">Mutagent og </w:t>
      </w:r>
      <w:proofErr w:type="spellStart"/>
      <w:r w:rsidRPr="007E2145">
        <w:rPr>
          <w:sz w:val="24"/>
          <w:szCs w:val="24"/>
          <w:u w:val="single"/>
        </w:rPr>
        <w:t>karcinogent</w:t>
      </w:r>
      <w:proofErr w:type="spellEnd"/>
      <w:r w:rsidRPr="007E2145">
        <w:rPr>
          <w:sz w:val="24"/>
          <w:szCs w:val="24"/>
          <w:u w:val="single"/>
        </w:rPr>
        <w:t xml:space="preserve"> potentiale </w:t>
      </w:r>
    </w:p>
    <w:p w:rsidR="007A01DF" w:rsidRPr="00D74103" w:rsidRDefault="007A01DF" w:rsidP="007A01DF">
      <w:pPr>
        <w:ind w:left="851"/>
        <w:rPr>
          <w:sz w:val="24"/>
          <w:szCs w:val="24"/>
        </w:rPr>
      </w:pPr>
      <w:r w:rsidRPr="00D74103">
        <w:rPr>
          <w:sz w:val="24"/>
          <w:szCs w:val="24"/>
        </w:rPr>
        <w:t xml:space="preserve">Langtidsstudier med rotter, mus og hamstere viste ingen tegn på </w:t>
      </w:r>
      <w:proofErr w:type="spellStart"/>
      <w:r w:rsidRPr="00D74103">
        <w:rPr>
          <w:sz w:val="24"/>
          <w:szCs w:val="24"/>
        </w:rPr>
        <w:t>tumorigent</w:t>
      </w:r>
      <w:proofErr w:type="spellEnd"/>
      <w:r w:rsidRPr="00D74103">
        <w:rPr>
          <w:sz w:val="24"/>
          <w:szCs w:val="24"/>
        </w:rPr>
        <w:t xml:space="preserve"> potentiale for </w:t>
      </w:r>
      <w:proofErr w:type="spellStart"/>
      <w:r w:rsidRPr="00D74103">
        <w:rPr>
          <w:sz w:val="24"/>
          <w:szCs w:val="24"/>
        </w:rPr>
        <w:t>methotrexat</w:t>
      </w:r>
      <w:proofErr w:type="spellEnd"/>
      <w:r w:rsidRPr="00D74103">
        <w:rPr>
          <w:sz w:val="24"/>
          <w:szCs w:val="24"/>
        </w:rPr>
        <w:t xml:space="preserve">. </w:t>
      </w:r>
      <w:proofErr w:type="spellStart"/>
      <w:r w:rsidRPr="00D74103">
        <w:rPr>
          <w:sz w:val="24"/>
          <w:szCs w:val="24"/>
        </w:rPr>
        <w:t>Methotrexat</w:t>
      </w:r>
      <w:proofErr w:type="spellEnd"/>
      <w:r w:rsidRPr="00D74103">
        <w:rPr>
          <w:sz w:val="24"/>
          <w:szCs w:val="24"/>
        </w:rPr>
        <w:t xml:space="preserve"> inducerer gen- og kromosommutationer både </w:t>
      </w:r>
      <w:r w:rsidRPr="00D74103">
        <w:rPr>
          <w:i/>
          <w:sz w:val="24"/>
          <w:szCs w:val="24"/>
        </w:rPr>
        <w:t xml:space="preserve">in </w:t>
      </w:r>
      <w:proofErr w:type="spellStart"/>
      <w:r w:rsidRPr="00D74103">
        <w:rPr>
          <w:i/>
          <w:sz w:val="24"/>
          <w:szCs w:val="24"/>
        </w:rPr>
        <w:t>vitro</w:t>
      </w:r>
      <w:proofErr w:type="spellEnd"/>
      <w:r w:rsidRPr="00D74103">
        <w:rPr>
          <w:sz w:val="24"/>
          <w:szCs w:val="24"/>
        </w:rPr>
        <w:t xml:space="preserve"> og </w:t>
      </w:r>
      <w:r w:rsidRPr="00D74103">
        <w:rPr>
          <w:i/>
          <w:sz w:val="24"/>
          <w:szCs w:val="24"/>
        </w:rPr>
        <w:t xml:space="preserve">in </w:t>
      </w:r>
      <w:proofErr w:type="spellStart"/>
      <w:r w:rsidRPr="00D74103">
        <w:rPr>
          <w:i/>
          <w:sz w:val="24"/>
          <w:szCs w:val="24"/>
        </w:rPr>
        <w:t>vivo</w:t>
      </w:r>
      <w:proofErr w:type="spellEnd"/>
      <w:r w:rsidRPr="00D74103">
        <w:rPr>
          <w:sz w:val="24"/>
          <w:szCs w:val="24"/>
        </w:rPr>
        <w:t xml:space="preserve">. Der er mistanke om en mutagen virkning hos mennesker. </w:t>
      </w:r>
    </w:p>
    <w:p w:rsidR="007A01DF" w:rsidRPr="00D74103" w:rsidRDefault="007A01DF" w:rsidP="007A01DF">
      <w:pPr>
        <w:ind w:left="851"/>
        <w:rPr>
          <w:sz w:val="24"/>
          <w:szCs w:val="24"/>
        </w:rPr>
      </w:pPr>
    </w:p>
    <w:p w:rsidR="007A01DF" w:rsidRPr="007E2145" w:rsidRDefault="007A01DF" w:rsidP="007A01DF">
      <w:pPr>
        <w:ind w:left="851"/>
        <w:rPr>
          <w:sz w:val="24"/>
          <w:szCs w:val="24"/>
          <w:u w:val="single"/>
        </w:rPr>
      </w:pPr>
      <w:r w:rsidRPr="007E2145">
        <w:rPr>
          <w:sz w:val="24"/>
          <w:szCs w:val="24"/>
          <w:u w:val="single"/>
        </w:rPr>
        <w:t xml:space="preserve">Reproduktionstoksicitet </w:t>
      </w:r>
    </w:p>
    <w:p w:rsidR="007A01DF" w:rsidRPr="00D74103" w:rsidRDefault="007A01DF" w:rsidP="007A01DF">
      <w:pPr>
        <w:ind w:left="851"/>
        <w:rPr>
          <w:sz w:val="24"/>
          <w:szCs w:val="24"/>
        </w:rPr>
      </w:pPr>
      <w:r w:rsidRPr="00D74103">
        <w:rPr>
          <w:sz w:val="24"/>
          <w:szCs w:val="24"/>
        </w:rPr>
        <w:t xml:space="preserve">Der er blevet identificeret </w:t>
      </w:r>
      <w:proofErr w:type="spellStart"/>
      <w:r w:rsidRPr="00D74103">
        <w:rPr>
          <w:sz w:val="24"/>
          <w:szCs w:val="24"/>
        </w:rPr>
        <w:t>teratogene</w:t>
      </w:r>
      <w:proofErr w:type="spellEnd"/>
      <w:r w:rsidRPr="00D74103">
        <w:rPr>
          <w:sz w:val="24"/>
          <w:szCs w:val="24"/>
        </w:rPr>
        <w:t xml:space="preserve"> virkninger hos fire dyrearter (rotter, mus, kaniner, katte). I rhesusaber er der ikke set misdannelser, der er sammenlignelige for mennesker. </w:t>
      </w:r>
    </w:p>
    <w:p w:rsidR="007A01DF" w:rsidRPr="00D74103" w:rsidRDefault="007A01DF" w:rsidP="007A01DF">
      <w:pPr>
        <w:ind w:left="851" w:hanging="851"/>
        <w:rPr>
          <w:sz w:val="24"/>
          <w:szCs w:val="24"/>
        </w:rPr>
      </w:pP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6.</w:t>
      </w:r>
      <w:r w:rsidRPr="00D74103">
        <w:rPr>
          <w:b/>
          <w:sz w:val="24"/>
          <w:szCs w:val="24"/>
        </w:rPr>
        <w:tab/>
        <w:t>FARMACEUTISKE OPLYSNINGER</w:t>
      </w:r>
    </w:p>
    <w:p w:rsidR="007A01DF" w:rsidRPr="00D74103" w:rsidRDefault="007A01DF" w:rsidP="007A01DF">
      <w:pPr>
        <w:ind w:left="851" w:hanging="851"/>
        <w:rPr>
          <w:b/>
          <w:sz w:val="24"/>
          <w:szCs w:val="24"/>
        </w:rPr>
      </w:pPr>
    </w:p>
    <w:p w:rsidR="007A01DF" w:rsidRPr="00D74103" w:rsidRDefault="007A01DF" w:rsidP="007A01DF">
      <w:pPr>
        <w:ind w:left="851" w:hanging="851"/>
        <w:rPr>
          <w:b/>
          <w:sz w:val="24"/>
          <w:szCs w:val="24"/>
        </w:rPr>
      </w:pPr>
      <w:r w:rsidRPr="00D74103">
        <w:rPr>
          <w:b/>
          <w:sz w:val="24"/>
          <w:szCs w:val="24"/>
        </w:rPr>
        <w:t>6.1</w:t>
      </w:r>
      <w:r w:rsidRPr="00D74103">
        <w:rPr>
          <w:b/>
          <w:sz w:val="24"/>
          <w:szCs w:val="24"/>
        </w:rPr>
        <w:tab/>
        <w:t>Hjælpestoffer</w:t>
      </w:r>
    </w:p>
    <w:p w:rsidR="007A01DF" w:rsidRPr="00D74103" w:rsidRDefault="007A01DF" w:rsidP="007A01DF">
      <w:pPr>
        <w:pStyle w:val="Default"/>
        <w:ind w:left="851" w:hanging="851"/>
        <w:outlineLvl w:val="0"/>
      </w:pPr>
      <w:r w:rsidRPr="00D74103">
        <w:tab/>
      </w:r>
      <w:proofErr w:type="spellStart"/>
      <w:r w:rsidRPr="00D74103">
        <w:t>Natriumchlorid</w:t>
      </w:r>
      <w:proofErr w:type="spellEnd"/>
      <w:r w:rsidRPr="00D74103">
        <w:t xml:space="preserve"> </w:t>
      </w:r>
    </w:p>
    <w:p w:rsidR="007A01DF" w:rsidRPr="00D74103" w:rsidRDefault="007A01DF" w:rsidP="007A01DF">
      <w:pPr>
        <w:ind w:left="851"/>
        <w:rPr>
          <w:color w:val="000000"/>
          <w:sz w:val="24"/>
          <w:szCs w:val="24"/>
        </w:rPr>
      </w:pPr>
      <w:r w:rsidRPr="00D74103">
        <w:rPr>
          <w:color w:val="000000"/>
          <w:sz w:val="24"/>
          <w:szCs w:val="24"/>
        </w:rPr>
        <w:t>Natriumhydroxid (til pH-justering)</w:t>
      </w:r>
    </w:p>
    <w:p w:rsidR="007A01DF" w:rsidRPr="00D74103" w:rsidRDefault="007A01DF" w:rsidP="007A01DF">
      <w:pPr>
        <w:pStyle w:val="Default"/>
        <w:ind w:left="851"/>
      </w:pPr>
      <w:r w:rsidRPr="00D74103">
        <w:t xml:space="preserve">Vand til injektionsvæsker </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6.2</w:t>
      </w:r>
      <w:r w:rsidRPr="00D74103">
        <w:rPr>
          <w:b/>
          <w:sz w:val="24"/>
          <w:szCs w:val="24"/>
        </w:rPr>
        <w:tab/>
        <w:t>Uforligeligheder</w:t>
      </w:r>
    </w:p>
    <w:p w:rsidR="007A01DF" w:rsidRPr="00D74103" w:rsidRDefault="007A01DF" w:rsidP="007A01DF">
      <w:pPr>
        <w:pStyle w:val="Default"/>
        <w:ind w:left="851" w:hanging="851"/>
      </w:pPr>
      <w:r w:rsidRPr="00D74103">
        <w:tab/>
        <w:t xml:space="preserve">Da der ikke foreligger studier af eventuelle uforligeligheder, må dette lægemiddel ikke blandes med andre lægemidler.  </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lastRenderedPageBreak/>
        <w:t>6.3</w:t>
      </w:r>
      <w:r w:rsidRPr="00D74103">
        <w:rPr>
          <w:b/>
          <w:sz w:val="24"/>
          <w:szCs w:val="24"/>
        </w:rPr>
        <w:tab/>
        <w:t>Opbevaringstid</w:t>
      </w:r>
    </w:p>
    <w:p w:rsidR="007A01DF" w:rsidRPr="00D74103" w:rsidRDefault="007A01DF" w:rsidP="007A01DF">
      <w:pPr>
        <w:pStyle w:val="Default"/>
        <w:ind w:left="851" w:hanging="851"/>
      </w:pPr>
      <w:r w:rsidRPr="00D74103">
        <w:tab/>
        <w:t>2 år</w:t>
      </w:r>
    </w:p>
    <w:p w:rsidR="007A01DF" w:rsidRPr="00D74103" w:rsidRDefault="007A01DF" w:rsidP="007A01DF">
      <w:pPr>
        <w:ind w:left="851" w:hanging="851"/>
        <w:rPr>
          <w:sz w:val="24"/>
          <w:szCs w:val="24"/>
        </w:rPr>
      </w:pPr>
    </w:p>
    <w:p w:rsidR="007A01DF" w:rsidRPr="00D74103" w:rsidRDefault="007A01DF" w:rsidP="00F9604D">
      <w:pPr>
        <w:keepNext/>
        <w:ind w:left="851" w:hanging="851"/>
        <w:rPr>
          <w:b/>
          <w:sz w:val="24"/>
          <w:szCs w:val="24"/>
        </w:rPr>
      </w:pPr>
      <w:r w:rsidRPr="00D74103">
        <w:rPr>
          <w:b/>
          <w:sz w:val="24"/>
          <w:szCs w:val="24"/>
        </w:rPr>
        <w:t>6.4</w:t>
      </w:r>
      <w:r w:rsidRPr="00D74103">
        <w:rPr>
          <w:b/>
          <w:sz w:val="24"/>
          <w:szCs w:val="24"/>
        </w:rPr>
        <w:tab/>
        <w:t>Særlige opbevaringsforhold</w:t>
      </w:r>
    </w:p>
    <w:p w:rsidR="007A01DF" w:rsidRPr="00D74103" w:rsidRDefault="007A01DF" w:rsidP="007A01DF">
      <w:pPr>
        <w:ind w:left="851"/>
        <w:rPr>
          <w:sz w:val="24"/>
          <w:szCs w:val="24"/>
        </w:rPr>
      </w:pPr>
      <w:r w:rsidRPr="00D74103">
        <w:rPr>
          <w:sz w:val="24"/>
          <w:szCs w:val="24"/>
        </w:rPr>
        <w:t>Må ikke opbevares ved temperaturer over 25°</w:t>
      </w:r>
      <w:r w:rsidR="00053E9D">
        <w:rPr>
          <w:sz w:val="24"/>
          <w:szCs w:val="24"/>
        </w:rPr>
        <w:t xml:space="preserve"> </w:t>
      </w:r>
      <w:r w:rsidRPr="00D74103">
        <w:rPr>
          <w:sz w:val="24"/>
          <w:szCs w:val="24"/>
        </w:rPr>
        <w:t xml:space="preserve">C. </w:t>
      </w:r>
    </w:p>
    <w:p w:rsidR="007A01DF" w:rsidRPr="00D74103" w:rsidRDefault="007A01DF" w:rsidP="007A01DF">
      <w:pPr>
        <w:ind w:left="851"/>
        <w:rPr>
          <w:sz w:val="24"/>
          <w:szCs w:val="24"/>
        </w:rPr>
      </w:pPr>
      <w:r w:rsidRPr="00D74103">
        <w:rPr>
          <w:sz w:val="24"/>
          <w:szCs w:val="24"/>
        </w:rPr>
        <w:t xml:space="preserve">Må ikke opbevares i køleskab eller nedfryses. </w:t>
      </w:r>
    </w:p>
    <w:p w:rsidR="007A01DF" w:rsidRPr="00D74103" w:rsidRDefault="007A01DF" w:rsidP="007A01DF">
      <w:pPr>
        <w:ind w:left="851"/>
        <w:rPr>
          <w:sz w:val="24"/>
          <w:szCs w:val="24"/>
        </w:rPr>
      </w:pPr>
      <w:r w:rsidRPr="00D74103">
        <w:rPr>
          <w:sz w:val="24"/>
          <w:szCs w:val="24"/>
        </w:rPr>
        <w:t xml:space="preserve">Opbevar de fyldte </w:t>
      </w:r>
      <w:r>
        <w:rPr>
          <w:sz w:val="24"/>
          <w:szCs w:val="24"/>
        </w:rPr>
        <w:t>injektions</w:t>
      </w:r>
      <w:r w:rsidRPr="00D74103">
        <w:rPr>
          <w:sz w:val="24"/>
          <w:szCs w:val="24"/>
        </w:rPr>
        <w:t>sprøjter i den ydre karton for at beskytte mod lys.</w:t>
      </w:r>
    </w:p>
    <w:p w:rsidR="007A01DF" w:rsidRPr="00D74103" w:rsidRDefault="007A01DF" w:rsidP="007A01DF">
      <w:pPr>
        <w:ind w:left="851" w:hanging="851"/>
        <w:rPr>
          <w:sz w:val="24"/>
          <w:szCs w:val="24"/>
        </w:rPr>
      </w:pPr>
    </w:p>
    <w:p w:rsidR="007A01DF" w:rsidRPr="00D74103" w:rsidRDefault="007A01DF" w:rsidP="007A01DF">
      <w:pPr>
        <w:keepNext/>
        <w:ind w:left="851" w:hanging="851"/>
        <w:rPr>
          <w:b/>
          <w:sz w:val="24"/>
          <w:szCs w:val="24"/>
        </w:rPr>
      </w:pPr>
      <w:r w:rsidRPr="00D74103">
        <w:rPr>
          <w:b/>
          <w:sz w:val="24"/>
          <w:szCs w:val="24"/>
        </w:rPr>
        <w:t>6.5</w:t>
      </w:r>
      <w:r w:rsidRPr="00D74103">
        <w:rPr>
          <w:b/>
          <w:sz w:val="24"/>
          <w:szCs w:val="24"/>
        </w:rPr>
        <w:tab/>
        <w:t>Emballagetype og pakningsstørrelser</w:t>
      </w:r>
    </w:p>
    <w:p w:rsidR="007A01DF" w:rsidRPr="00D74103" w:rsidRDefault="007A01DF" w:rsidP="007A01DF">
      <w:pPr>
        <w:pStyle w:val="NormalWeb"/>
        <w:spacing w:before="0" w:beforeAutospacing="0" w:after="0" w:afterAutospacing="0"/>
        <w:ind w:left="851" w:hanging="851"/>
      </w:pPr>
      <w:r w:rsidRPr="00D74103">
        <w:tab/>
        <w:t xml:space="preserve">Lægemidlet fås i fyldte </w:t>
      </w:r>
      <w:r>
        <w:t>injektions</w:t>
      </w:r>
      <w:r w:rsidRPr="00D74103">
        <w:t>sprøjter med farveløst glas (type I) med 1</w:t>
      </w:r>
      <w:r w:rsidR="00E20C9E">
        <w:t> </w:t>
      </w:r>
      <w:r w:rsidRPr="00D74103">
        <w:t xml:space="preserve">ml kapacitet med et stempel af </w:t>
      </w:r>
      <w:proofErr w:type="spellStart"/>
      <w:r w:rsidRPr="00D74103">
        <w:t>chlorobutylgummi</w:t>
      </w:r>
      <w:proofErr w:type="spellEnd"/>
      <w:r w:rsidRPr="00D74103">
        <w:t xml:space="preserve"> (type I) og fastgjort kanyle og kanylebeskytter. </w:t>
      </w:r>
    </w:p>
    <w:p w:rsidR="007A01DF" w:rsidRPr="00D74103" w:rsidRDefault="007A01DF" w:rsidP="007A01DF">
      <w:pPr>
        <w:pStyle w:val="Default"/>
        <w:ind w:left="851" w:hanging="851"/>
        <w:rPr>
          <w:color w:val="auto"/>
        </w:rPr>
      </w:pPr>
    </w:p>
    <w:p w:rsidR="007A01DF" w:rsidRPr="00D74103" w:rsidRDefault="007A01DF" w:rsidP="007A01DF">
      <w:pPr>
        <w:ind w:left="851"/>
        <w:rPr>
          <w:sz w:val="24"/>
          <w:szCs w:val="24"/>
        </w:rPr>
      </w:pPr>
      <w:r w:rsidRPr="00D74103">
        <w:rPr>
          <w:sz w:val="24"/>
          <w:szCs w:val="24"/>
        </w:rPr>
        <w:t xml:space="preserve">0,3 ml fyldt </w:t>
      </w:r>
      <w:r>
        <w:rPr>
          <w:sz w:val="24"/>
          <w:szCs w:val="24"/>
        </w:rPr>
        <w:t>injektions</w:t>
      </w:r>
      <w:r w:rsidRPr="00D74103">
        <w:rPr>
          <w:sz w:val="24"/>
          <w:szCs w:val="24"/>
        </w:rPr>
        <w:t xml:space="preserve">sprøjte, i pakninger med 1, 4, 5, 6, 10 eller 12 </w:t>
      </w:r>
    </w:p>
    <w:p w:rsidR="007A01DF" w:rsidRPr="00D74103" w:rsidRDefault="007A01DF" w:rsidP="007A01DF">
      <w:pPr>
        <w:ind w:left="851"/>
        <w:rPr>
          <w:sz w:val="24"/>
          <w:szCs w:val="24"/>
        </w:rPr>
      </w:pPr>
      <w:r w:rsidRPr="00D74103">
        <w:rPr>
          <w:sz w:val="24"/>
          <w:szCs w:val="24"/>
        </w:rPr>
        <w:t xml:space="preserve">0,4 ml fyldt </w:t>
      </w:r>
      <w:r>
        <w:rPr>
          <w:sz w:val="24"/>
          <w:szCs w:val="24"/>
        </w:rPr>
        <w:t>injektions</w:t>
      </w:r>
      <w:r w:rsidRPr="00D74103">
        <w:rPr>
          <w:sz w:val="24"/>
          <w:szCs w:val="24"/>
        </w:rPr>
        <w:t xml:space="preserve">sprøjte, i pakninger med 1, 4, 5, 6, 10 eller 12 </w:t>
      </w:r>
    </w:p>
    <w:p w:rsidR="007A01DF" w:rsidRPr="00D74103" w:rsidRDefault="007A01DF" w:rsidP="007A01DF">
      <w:pPr>
        <w:ind w:left="851"/>
        <w:rPr>
          <w:sz w:val="24"/>
          <w:szCs w:val="24"/>
        </w:rPr>
      </w:pPr>
      <w:r w:rsidRPr="00D74103">
        <w:rPr>
          <w:sz w:val="24"/>
          <w:szCs w:val="24"/>
        </w:rPr>
        <w:t xml:space="preserve">0,6 ml fyldt </w:t>
      </w:r>
      <w:r>
        <w:rPr>
          <w:sz w:val="24"/>
          <w:szCs w:val="24"/>
        </w:rPr>
        <w:t>injektions</w:t>
      </w:r>
      <w:r w:rsidRPr="00D74103">
        <w:rPr>
          <w:sz w:val="24"/>
          <w:szCs w:val="24"/>
        </w:rPr>
        <w:t xml:space="preserve">sprøjte, i pakninger med 1, 4, 5, 6, 10 eller 12 </w:t>
      </w:r>
    </w:p>
    <w:p w:rsidR="007A01DF" w:rsidRPr="00D74103" w:rsidRDefault="007A01DF" w:rsidP="007A01DF">
      <w:pPr>
        <w:ind w:left="851"/>
        <w:rPr>
          <w:sz w:val="24"/>
          <w:szCs w:val="24"/>
        </w:rPr>
      </w:pPr>
      <w:r w:rsidRPr="00D74103">
        <w:rPr>
          <w:sz w:val="24"/>
          <w:szCs w:val="24"/>
        </w:rPr>
        <w:t xml:space="preserve">0,8 ml fyldt </w:t>
      </w:r>
      <w:r>
        <w:rPr>
          <w:sz w:val="24"/>
          <w:szCs w:val="24"/>
        </w:rPr>
        <w:t>injektions</w:t>
      </w:r>
      <w:r w:rsidRPr="00D74103">
        <w:rPr>
          <w:sz w:val="24"/>
          <w:szCs w:val="24"/>
        </w:rPr>
        <w:t xml:space="preserve">sprøjte, i pakninger med 1, 4, 5, 6, 10 eller 12 </w:t>
      </w:r>
    </w:p>
    <w:p w:rsidR="007A01DF" w:rsidRPr="00D74103" w:rsidRDefault="007A01DF" w:rsidP="007A01DF">
      <w:pPr>
        <w:ind w:left="851"/>
        <w:rPr>
          <w:sz w:val="24"/>
          <w:szCs w:val="24"/>
        </w:rPr>
      </w:pPr>
      <w:r w:rsidRPr="00D74103">
        <w:rPr>
          <w:sz w:val="24"/>
          <w:szCs w:val="24"/>
        </w:rPr>
        <w:t xml:space="preserve">1,0 ml fyldt </w:t>
      </w:r>
      <w:r>
        <w:rPr>
          <w:sz w:val="24"/>
          <w:szCs w:val="24"/>
        </w:rPr>
        <w:t>injektions</w:t>
      </w:r>
      <w:r w:rsidRPr="00D74103">
        <w:rPr>
          <w:sz w:val="24"/>
          <w:szCs w:val="24"/>
        </w:rPr>
        <w:t xml:space="preserve">sprøjte, i pakninger med 1, 4, 5, 6, 10 eller 12 </w:t>
      </w:r>
    </w:p>
    <w:p w:rsidR="007A01DF" w:rsidRPr="00D74103" w:rsidRDefault="007A01DF" w:rsidP="007A01DF">
      <w:pPr>
        <w:ind w:left="851"/>
        <w:rPr>
          <w:sz w:val="24"/>
          <w:szCs w:val="24"/>
        </w:rPr>
      </w:pPr>
    </w:p>
    <w:p w:rsidR="007A01DF" w:rsidRDefault="007A01DF" w:rsidP="007A01DF">
      <w:pPr>
        <w:ind w:left="851"/>
        <w:rPr>
          <w:sz w:val="24"/>
          <w:szCs w:val="24"/>
        </w:rPr>
      </w:pPr>
      <w:r w:rsidRPr="00D74103">
        <w:rPr>
          <w:sz w:val="24"/>
          <w:szCs w:val="24"/>
        </w:rPr>
        <w:t>Ikke alle pakningsstørrelser er nødvendigvis markedsført.</w:t>
      </w:r>
    </w:p>
    <w:p w:rsidR="007A01DF" w:rsidRPr="00D74103" w:rsidRDefault="007A01DF" w:rsidP="007A01DF">
      <w:pPr>
        <w:ind w:left="851"/>
        <w:rPr>
          <w:sz w:val="24"/>
          <w:szCs w:val="24"/>
        </w:rPr>
      </w:pPr>
    </w:p>
    <w:p w:rsidR="007A01DF" w:rsidRPr="00213F73" w:rsidRDefault="007A01DF" w:rsidP="007A01DF">
      <w:pPr>
        <w:ind w:left="851" w:hanging="851"/>
        <w:rPr>
          <w:b/>
          <w:sz w:val="24"/>
          <w:szCs w:val="24"/>
        </w:rPr>
      </w:pPr>
      <w:r w:rsidRPr="00D74103">
        <w:rPr>
          <w:b/>
          <w:sz w:val="24"/>
          <w:szCs w:val="24"/>
        </w:rPr>
        <w:t>6.6</w:t>
      </w:r>
      <w:r w:rsidRPr="00D74103">
        <w:rPr>
          <w:b/>
          <w:sz w:val="24"/>
          <w:szCs w:val="24"/>
        </w:rPr>
        <w:tab/>
        <w:t xml:space="preserve">Regler for </w:t>
      </w:r>
      <w:r w:rsidR="00053E9D">
        <w:rPr>
          <w:b/>
          <w:sz w:val="24"/>
          <w:szCs w:val="24"/>
        </w:rPr>
        <w:t>bortskaffelse</w:t>
      </w:r>
      <w:r w:rsidRPr="00D74103">
        <w:rPr>
          <w:b/>
          <w:sz w:val="24"/>
          <w:szCs w:val="24"/>
        </w:rPr>
        <w:t xml:space="preserve"> og anden håndtering</w:t>
      </w:r>
    </w:p>
    <w:p w:rsidR="007A01DF" w:rsidRDefault="007A01DF" w:rsidP="007A01DF">
      <w:pPr>
        <w:autoSpaceDE w:val="0"/>
        <w:autoSpaceDN w:val="0"/>
        <w:adjustRightInd w:val="0"/>
        <w:ind w:left="851"/>
        <w:rPr>
          <w:color w:val="000000"/>
          <w:sz w:val="24"/>
          <w:szCs w:val="24"/>
        </w:rPr>
      </w:pPr>
      <w:r>
        <w:rPr>
          <w:sz w:val="24"/>
          <w:szCs w:val="24"/>
        </w:rPr>
        <w:t xml:space="preserve">Dette lægemiddel skal håndteres og bortskaffes på samme vis som andre </w:t>
      </w:r>
      <w:proofErr w:type="spellStart"/>
      <w:r>
        <w:rPr>
          <w:sz w:val="24"/>
          <w:szCs w:val="24"/>
        </w:rPr>
        <w:t>cytotoksiske</w:t>
      </w:r>
      <w:proofErr w:type="spellEnd"/>
      <w:r>
        <w:rPr>
          <w:sz w:val="24"/>
          <w:szCs w:val="24"/>
        </w:rPr>
        <w:t xml:space="preserve"> præparater i overensstemmelse med de lokale retningslinjer.</w:t>
      </w:r>
    </w:p>
    <w:p w:rsidR="007A01DF" w:rsidRDefault="007A01DF" w:rsidP="007A01DF">
      <w:pPr>
        <w:autoSpaceDE w:val="0"/>
        <w:autoSpaceDN w:val="0"/>
        <w:adjustRightInd w:val="0"/>
        <w:ind w:left="851" w:hanging="851"/>
        <w:rPr>
          <w:color w:val="000000"/>
          <w:sz w:val="24"/>
          <w:szCs w:val="24"/>
        </w:rPr>
      </w:pPr>
    </w:p>
    <w:p w:rsidR="007A01DF" w:rsidRDefault="007A01DF" w:rsidP="007A01DF">
      <w:pPr>
        <w:pStyle w:val="Default"/>
        <w:ind w:left="851"/>
      </w:pPr>
      <w:r>
        <w:t xml:space="preserve">Ikke anvendte lægemiddel samt affald heraf skal bortskaffes i henhold til lokale retningslinjer for </w:t>
      </w:r>
      <w:proofErr w:type="spellStart"/>
      <w:r>
        <w:t>cytotoksiske</w:t>
      </w:r>
      <w:proofErr w:type="spellEnd"/>
      <w:r>
        <w:t xml:space="preserve"> præparater.</w:t>
      </w:r>
    </w:p>
    <w:p w:rsidR="007A01DF" w:rsidRDefault="007A01DF" w:rsidP="007A01DF">
      <w:pPr>
        <w:pStyle w:val="Default"/>
        <w:ind w:left="851" w:hanging="851"/>
      </w:pPr>
    </w:p>
    <w:p w:rsidR="007A01DF" w:rsidRDefault="007A01DF" w:rsidP="007A01DF">
      <w:pPr>
        <w:pStyle w:val="Default"/>
        <w:ind w:left="851"/>
      </w:pPr>
      <w:r>
        <w:t xml:space="preserve">Kvinder, som er gravide, planlægger graviditet eller ammer, bør ikke håndtere </w:t>
      </w:r>
      <w:proofErr w:type="spellStart"/>
      <w:r>
        <w:t>methotrexat</w:t>
      </w:r>
      <w:proofErr w:type="spellEnd"/>
      <w:r>
        <w:t xml:space="preserve">. </w:t>
      </w:r>
    </w:p>
    <w:p w:rsidR="007A01DF" w:rsidRDefault="007A01DF" w:rsidP="007A01DF">
      <w:pPr>
        <w:pStyle w:val="Default"/>
        <w:ind w:left="851"/>
      </w:pPr>
    </w:p>
    <w:p w:rsidR="007A01DF" w:rsidRDefault="007A01DF" w:rsidP="007A01DF">
      <w:pPr>
        <w:pStyle w:val="Default"/>
        <w:ind w:left="851"/>
      </w:pPr>
      <w:r>
        <w:t xml:space="preserve">Forældre, omsorgspersoner og patienter skal informeres om at opbevare </w:t>
      </w:r>
      <w:proofErr w:type="spellStart"/>
      <w:r>
        <w:t>methotrexat</w:t>
      </w:r>
      <w:proofErr w:type="spellEnd"/>
      <w:r>
        <w:t xml:space="preserve"> utilgængeligt for børn, helst i aflåst skab.</w:t>
      </w:r>
    </w:p>
    <w:p w:rsidR="007A01DF" w:rsidRDefault="007A01DF" w:rsidP="007A01DF">
      <w:pPr>
        <w:pStyle w:val="Default"/>
        <w:ind w:left="851"/>
      </w:pPr>
    </w:p>
    <w:p w:rsidR="007A01DF" w:rsidRDefault="007A01DF" w:rsidP="007A01DF">
      <w:pPr>
        <w:pStyle w:val="Default"/>
        <w:ind w:left="851"/>
      </w:pPr>
      <w:r>
        <w:t>Utilsigtet indtagelse kan være dødelig for børn.</w:t>
      </w:r>
    </w:p>
    <w:p w:rsidR="007A01DF" w:rsidRDefault="007A01DF" w:rsidP="007A01DF">
      <w:pPr>
        <w:pStyle w:val="Default"/>
        <w:ind w:left="851"/>
      </w:pPr>
    </w:p>
    <w:p w:rsidR="007A01DF" w:rsidRDefault="007A01DF" w:rsidP="007A01DF">
      <w:pPr>
        <w:pStyle w:val="Default"/>
        <w:ind w:left="851"/>
      </w:pPr>
      <w:r>
        <w:t xml:space="preserve">Alle, der håndterer </w:t>
      </w:r>
      <w:proofErr w:type="spellStart"/>
      <w:r>
        <w:t>methotrexat</w:t>
      </w:r>
      <w:proofErr w:type="spellEnd"/>
      <w:r>
        <w:t xml:space="preserve">, bør vaske hænder før og efter administration af en dosis. Forældre og omsorgspersoner bør bruge engangshandsker, når de håndterer </w:t>
      </w:r>
      <w:proofErr w:type="spellStart"/>
      <w:r>
        <w:t>methotrexat</w:t>
      </w:r>
      <w:proofErr w:type="spellEnd"/>
      <w:r>
        <w:t>, for at nedsætte risikoen for eksponering.</w:t>
      </w:r>
    </w:p>
    <w:p w:rsidR="007A01DF" w:rsidRDefault="007A01DF" w:rsidP="007A01DF">
      <w:pPr>
        <w:pStyle w:val="Default"/>
        <w:ind w:left="851"/>
      </w:pPr>
    </w:p>
    <w:p w:rsidR="007A01DF" w:rsidRDefault="007A01DF" w:rsidP="007A01DF">
      <w:pPr>
        <w:pStyle w:val="Default"/>
        <w:ind w:left="851"/>
      </w:pPr>
      <w:r>
        <w:t xml:space="preserve">Kontakt med hud og slimhinder skal undgås. Hvis </w:t>
      </w:r>
      <w:proofErr w:type="spellStart"/>
      <w:r>
        <w:t>methotrexat</w:t>
      </w:r>
      <w:proofErr w:type="spellEnd"/>
      <w:r>
        <w:t xml:space="preserve"> kommer i kontakt med hud eller slimhinder, skal området straks vaskes grundigt med sæbe og vand.</w:t>
      </w:r>
    </w:p>
    <w:p w:rsidR="007A01DF" w:rsidRDefault="007A01DF" w:rsidP="007A01DF">
      <w:pPr>
        <w:pStyle w:val="Default"/>
        <w:ind w:left="851"/>
      </w:pPr>
    </w:p>
    <w:p w:rsidR="007A01DF" w:rsidRDefault="007A01DF" w:rsidP="007A01DF">
      <w:pPr>
        <w:pStyle w:val="Default"/>
        <w:ind w:left="851"/>
      </w:pPr>
      <w:r>
        <w:t>Spild skal straks tørres op.</w:t>
      </w:r>
    </w:p>
    <w:p w:rsidR="007A01DF" w:rsidRDefault="007A01DF" w:rsidP="007A01DF">
      <w:pPr>
        <w:pStyle w:val="Default"/>
        <w:ind w:left="851" w:hanging="851"/>
      </w:pPr>
    </w:p>
    <w:p w:rsidR="007A01DF" w:rsidRDefault="007A01DF" w:rsidP="007A01DF">
      <w:pPr>
        <w:pStyle w:val="Default"/>
        <w:ind w:left="851"/>
      </w:pPr>
      <w:r>
        <w:t>Dette lægemiddel skal inspiceres visuelt før anvendelsen. Opløsningen må kun anvendes, hvis den er klar og fri for partikler og beholderen er ubeskadiget.</w:t>
      </w:r>
    </w:p>
    <w:p w:rsidR="007A01DF" w:rsidRPr="00D74103" w:rsidRDefault="007A01DF" w:rsidP="007A01DF">
      <w:pPr>
        <w:ind w:left="851" w:hanging="851"/>
        <w:jc w:val="both"/>
        <w:rPr>
          <w:sz w:val="24"/>
          <w:szCs w:val="24"/>
        </w:rPr>
      </w:pPr>
    </w:p>
    <w:p w:rsidR="007A01DF" w:rsidRPr="00D74103" w:rsidRDefault="007A01DF" w:rsidP="007A01DF">
      <w:pPr>
        <w:ind w:left="851" w:hanging="851"/>
        <w:rPr>
          <w:b/>
          <w:sz w:val="24"/>
          <w:szCs w:val="24"/>
        </w:rPr>
      </w:pPr>
      <w:r w:rsidRPr="00D74103">
        <w:rPr>
          <w:b/>
          <w:sz w:val="24"/>
          <w:szCs w:val="24"/>
        </w:rPr>
        <w:t>7.</w:t>
      </w:r>
      <w:r w:rsidRPr="00D74103">
        <w:rPr>
          <w:b/>
          <w:sz w:val="24"/>
          <w:szCs w:val="24"/>
        </w:rPr>
        <w:tab/>
        <w:t>INDEHAVER AF MARKEDSFØRINGSTILLADELSEN</w:t>
      </w:r>
    </w:p>
    <w:p w:rsidR="007A01DF" w:rsidRPr="00D74103" w:rsidRDefault="007A01DF" w:rsidP="007A01DF">
      <w:pPr>
        <w:ind w:left="851"/>
        <w:rPr>
          <w:sz w:val="24"/>
          <w:szCs w:val="24"/>
        </w:rPr>
      </w:pPr>
      <w:r w:rsidRPr="00D74103">
        <w:rPr>
          <w:sz w:val="24"/>
          <w:szCs w:val="24"/>
        </w:rPr>
        <w:t>Orion Corporation</w:t>
      </w:r>
    </w:p>
    <w:p w:rsidR="007A01DF" w:rsidRPr="00D74103" w:rsidRDefault="007A01DF" w:rsidP="007A01DF">
      <w:pPr>
        <w:ind w:left="851"/>
        <w:rPr>
          <w:sz w:val="24"/>
          <w:szCs w:val="24"/>
        </w:rPr>
      </w:pPr>
      <w:proofErr w:type="spellStart"/>
      <w:r w:rsidRPr="00D74103">
        <w:rPr>
          <w:sz w:val="24"/>
          <w:szCs w:val="24"/>
        </w:rPr>
        <w:t>Orionintie</w:t>
      </w:r>
      <w:proofErr w:type="spellEnd"/>
      <w:r w:rsidRPr="00D74103">
        <w:rPr>
          <w:sz w:val="24"/>
          <w:szCs w:val="24"/>
        </w:rPr>
        <w:t xml:space="preserve"> 1</w:t>
      </w:r>
    </w:p>
    <w:p w:rsidR="007A01DF" w:rsidRPr="00D74103" w:rsidRDefault="007A01DF" w:rsidP="007A01DF">
      <w:pPr>
        <w:ind w:left="851"/>
        <w:rPr>
          <w:sz w:val="24"/>
          <w:szCs w:val="24"/>
          <w:lang w:val="en-US"/>
        </w:rPr>
      </w:pPr>
      <w:r w:rsidRPr="00D74103">
        <w:rPr>
          <w:sz w:val="24"/>
          <w:szCs w:val="24"/>
          <w:lang w:val="en-US"/>
        </w:rPr>
        <w:t>FI-02200 Espoo</w:t>
      </w:r>
    </w:p>
    <w:p w:rsidR="007A01DF" w:rsidRPr="00D74103" w:rsidRDefault="007A01DF" w:rsidP="007A01DF">
      <w:pPr>
        <w:ind w:left="851"/>
        <w:rPr>
          <w:sz w:val="24"/>
          <w:szCs w:val="24"/>
          <w:lang w:val="en-US"/>
        </w:rPr>
      </w:pPr>
      <w:r w:rsidRPr="00D74103">
        <w:rPr>
          <w:sz w:val="24"/>
          <w:szCs w:val="24"/>
          <w:lang w:val="en-US"/>
        </w:rPr>
        <w:t>Finland</w:t>
      </w:r>
    </w:p>
    <w:p w:rsidR="007A01DF" w:rsidRPr="00D74103" w:rsidRDefault="007A01DF" w:rsidP="007A01DF">
      <w:pPr>
        <w:ind w:left="851"/>
        <w:rPr>
          <w:sz w:val="24"/>
          <w:szCs w:val="24"/>
          <w:lang w:val="en-US"/>
        </w:rPr>
      </w:pPr>
    </w:p>
    <w:p w:rsidR="007A01DF" w:rsidRPr="00D74103" w:rsidRDefault="007A01DF" w:rsidP="00F9604D">
      <w:pPr>
        <w:keepNext/>
        <w:ind w:left="851"/>
        <w:rPr>
          <w:b/>
          <w:sz w:val="24"/>
          <w:szCs w:val="24"/>
          <w:lang w:val="en-US"/>
        </w:rPr>
      </w:pPr>
      <w:proofErr w:type="spellStart"/>
      <w:r w:rsidRPr="00D74103">
        <w:rPr>
          <w:b/>
          <w:sz w:val="24"/>
          <w:szCs w:val="24"/>
          <w:lang w:val="en-US"/>
        </w:rPr>
        <w:t>Repræsentant</w:t>
      </w:r>
      <w:proofErr w:type="spellEnd"/>
    </w:p>
    <w:p w:rsidR="007A01DF" w:rsidRPr="00D74103" w:rsidRDefault="007A01DF" w:rsidP="00F9604D">
      <w:pPr>
        <w:keepNext/>
        <w:ind w:left="851"/>
        <w:rPr>
          <w:sz w:val="24"/>
          <w:szCs w:val="24"/>
          <w:lang w:val="en-US"/>
        </w:rPr>
      </w:pPr>
      <w:r w:rsidRPr="00D74103">
        <w:rPr>
          <w:sz w:val="24"/>
          <w:szCs w:val="24"/>
          <w:lang w:val="en-US"/>
        </w:rPr>
        <w:t>Orion Pharma A/S</w:t>
      </w:r>
    </w:p>
    <w:p w:rsidR="007A01DF" w:rsidRPr="00FF1C75" w:rsidRDefault="007A01DF" w:rsidP="007A01DF">
      <w:pPr>
        <w:ind w:left="851"/>
        <w:rPr>
          <w:bCs/>
          <w:sz w:val="24"/>
          <w:szCs w:val="24"/>
        </w:rPr>
      </w:pPr>
      <w:r w:rsidRPr="00FF1C75">
        <w:rPr>
          <w:bCs/>
          <w:sz w:val="24"/>
          <w:szCs w:val="24"/>
        </w:rPr>
        <w:t>Ørestads Boulevard 73</w:t>
      </w:r>
    </w:p>
    <w:p w:rsidR="007A01DF" w:rsidRPr="00602D22" w:rsidRDefault="007A01DF" w:rsidP="007A01DF">
      <w:pPr>
        <w:ind w:left="851"/>
        <w:rPr>
          <w:bCs/>
          <w:sz w:val="24"/>
          <w:szCs w:val="24"/>
        </w:rPr>
      </w:pPr>
      <w:r>
        <w:rPr>
          <w:sz w:val="24"/>
          <w:szCs w:val="24"/>
        </w:rPr>
        <w:t>2300 København S</w:t>
      </w:r>
    </w:p>
    <w:p w:rsidR="007A01DF" w:rsidRPr="00D74103" w:rsidRDefault="007A01DF" w:rsidP="007A01DF">
      <w:pPr>
        <w:ind w:left="851" w:hanging="851"/>
        <w:rPr>
          <w:sz w:val="24"/>
          <w:szCs w:val="24"/>
        </w:rPr>
      </w:pPr>
    </w:p>
    <w:p w:rsidR="007A01DF" w:rsidRPr="00D74103" w:rsidRDefault="007A01DF" w:rsidP="007A01DF">
      <w:pPr>
        <w:ind w:left="851" w:hanging="851"/>
        <w:rPr>
          <w:b/>
          <w:sz w:val="24"/>
          <w:szCs w:val="24"/>
        </w:rPr>
      </w:pPr>
      <w:r w:rsidRPr="00D74103">
        <w:rPr>
          <w:b/>
          <w:sz w:val="24"/>
          <w:szCs w:val="24"/>
        </w:rPr>
        <w:t>8.</w:t>
      </w:r>
      <w:r w:rsidRPr="00D74103">
        <w:rPr>
          <w:b/>
          <w:sz w:val="24"/>
          <w:szCs w:val="24"/>
        </w:rPr>
        <w:tab/>
        <w:t>MARKEDSFØRINGSTILLADELSESNUMMER (</w:t>
      </w:r>
      <w:r w:rsidR="00053E9D">
        <w:rPr>
          <w:b/>
          <w:sz w:val="24"/>
          <w:szCs w:val="24"/>
        </w:rPr>
        <w:t>-</w:t>
      </w:r>
      <w:r w:rsidRPr="00D74103">
        <w:rPr>
          <w:b/>
          <w:sz w:val="24"/>
          <w:szCs w:val="24"/>
        </w:rPr>
        <w:t>NUMRE)</w:t>
      </w:r>
    </w:p>
    <w:p w:rsidR="007A01DF" w:rsidRPr="00D74103" w:rsidRDefault="007A01DF" w:rsidP="007A01DF">
      <w:pPr>
        <w:ind w:left="851" w:hanging="851"/>
        <w:rPr>
          <w:sz w:val="24"/>
          <w:szCs w:val="24"/>
        </w:rPr>
      </w:pPr>
      <w:r w:rsidRPr="00D74103">
        <w:rPr>
          <w:sz w:val="24"/>
          <w:szCs w:val="24"/>
        </w:rPr>
        <w:tab/>
        <w:t>53849</w:t>
      </w:r>
    </w:p>
    <w:p w:rsidR="007A01DF" w:rsidRPr="00D74103" w:rsidRDefault="007A01DF" w:rsidP="007A01DF">
      <w:pPr>
        <w:ind w:left="851" w:hanging="851"/>
        <w:jc w:val="both"/>
        <w:rPr>
          <w:sz w:val="24"/>
          <w:szCs w:val="24"/>
        </w:rPr>
      </w:pPr>
    </w:p>
    <w:p w:rsidR="007A01DF" w:rsidRPr="00D74103" w:rsidRDefault="007A01DF" w:rsidP="007A01DF">
      <w:pPr>
        <w:ind w:left="851" w:hanging="851"/>
        <w:rPr>
          <w:b/>
          <w:sz w:val="24"/>
          <w:szCs w:val="24"/>
        </w:rPr>
      </w:pPr>
      <w:r w:rsidRPr="00D74103">
        <w:rPr>
          <w:b/>
          <w:sz w:val="24"/>
          <w:szCs w:val="24"/>
        </w:rPr>
        <w:t>9.</w:t>
      </w:r>
      <w:r w:rsidRPr="00D74103">
        <w:rPr>
          <w:b/>
          <w:sz w:val="24"/>
          <w:szCs w:val="24"/>
        </w:rPr>
        <w:tab/>
        <w:t>DATO FOR FØRSTE MARKEDSFØRINGSTILLADELSE</w:t>
      </w:r>
    </w:p>
    <w:p w:rsidR="007A01DF" w:rsidRPr="00D74103" w:rsidRDefault="007A01DF" w:rsidP="007A01DF">
      <w:pPr>
        <w:ind w:left="851" w:hanging="851"/>
        <w:rPr>
          <w:sz w:val="24"/>
          <w:szCs w:val="24"/>
        </w:rPr>
      </w:pPr>
      <w:r w:rsidRPr="00D74103">
        <w:rPr>
          <w:sz w:val="24"/>
          <w:szCs w:val="24"/>
        </w:rPr>
        <w:tab/>
        <w:t>15. april 2015</w:t>
      </w:r>
    </w:p>
    <w:p w:rsidR="007A01DF" w:rsidRPr="00D74103" w:rsidRDefault="007A01DF" w:rsidP="007A01DF">
      <w:pPr>
        <w:rPr>
          <w:sz w:val="24"/>
          <w:szCs w:val="24"/>
        </w:rPr>
      </w:pPr>
    </w:p>
    <w:p w:rsidR="007A01DF" w:rsidRPr="00D74103" w:rsidRDefault="007A01DF" w:rsidP="007A01DF">
      <w:pPr>
        <w:ind w:left="851" w:hanging="851"/>
        <w:rPr>
          <w:b/>
          <w:sz w:val="24"/>
          <w:szCs w:val="24"/>
        </w:rPr>
      </w:pPr>
      <w:r w:rsidRPr="00D74103">
        <w:rPr>
          <w:b/>
          <w:sz w:val="24"/>
          <w:szCs w:val="24"/>
        </w:rPr>
        <w:t>10.</w:t>
      </w:r>
      <w:r w:rsidRPr="00D74103">
        <w:rPr>
          <w:b/>
          <w:sz w:val="24"/>
          <w:szCs w:val="24"/>
        </w:rPr>
        <w:tab/>
        <w:t>DATO FOR ÆNDRING AF TEKSTEN</w:t>
      </w:r>
    </w:p>
    <w:p w:rsidR="007A01DF" w:rsidRPr="00D74103" w:rsidRDefault="007A01DF" w:rsidP="007A01DF">
      <w:pPr>
        <w:ind w:left="851" w:hanging="851"/>
        <w:rPr>
          <w:sz w:val="24"/>
          <w:szCs w:val="24"/>
        </w:rPr>
      </w:pPr>
      <w:r w:rsidRPr="00D74103">
        <w:rPr>
          <w:sz w:val="24"/>
          <w:szCs w:val="24"/>
        </w:rPr>
        <w:tab/>
      </w:r>
      <w:r w:rsidR="00053E9D">
        <w:rPr>
          <w:sz w:val="24"/>
          <w:szCs w:val="24"/>
        </w:rPr>
        <w:t>1</w:t>
      </w:r>
      <w:r w:rsidR="00902FB4">
        <w:rPr>
          <w:sz w:val="24"/>
          <w:szCs w:val="24"/>
        </w:rPr>
        <w:t>2</w:t>
      </w:r>
      <w:bookmarkStart w:id="1" w:name="_GoBack"/>
      <w:bookmarkEnd w:id="1"/>
      <w:r w:rsidR="00C32EC0" w:rsidRPr="00C32EC0">
        <w:rPr>
          <w:sz w:val="24"/>
          <w:szCs w:val="24"/>
        </w:rPr>
        <w:t xml:space="preserve">. </w:t>
      </w:r>
      <w:r w:rsidR="00AF7C87">
        <w:rPr>
          <w:sz w:val="24"/>
          <w:szCs w:val="24"/>
        </w:rPr>
        <w:t>marts</w:t>
      </w:r>
      <w:r w:rsidR="00C32EC0" w:rsidRPr="00C32EC0">
        <w:rPr>
          <w:sz w:val="24"/>
          <w:szCs w:val="24"/>
        </w:rPr>
        <w:t xml:space="preserve"> 202</w:t>
      </w:r>
      <w:r w:rsidR="00AF7C87">
        <w:rPr>
          <w:sz w:val="24"/>
          <w:szCs w:val="24"/>
        </w:rPr>
        <w:t>5</w:t>
      </w:r>
    </w:p>
    <w:p w:rsidR="007A01DF" w:rsidRPr="00AD3C33" w:rsidRDefault="007A01DF" w:rsidP="007A01DF"/>
    <w:p w:rsidR="007A01DF" w:rsidRPr="00347710" w:rsidRDefault="007A01DF" w:rsidP="007A01DF"/>
    <w:p w:rsidR="009260DE" w:rsidRPr="007A01DF" w:rsidRDefault="009260DE" w:rsidP="007A01DF"/>
    <w:sectPr w:rsidR="009260DE" w:rsidRPr="007A01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3E9D" w:rsidRDefault="00053E9D">
      <w:r>
        <w:separator/>
      </w:r>
    </w:p>
  </w:endnote>
  <w:endnote w:type="continuationSeparator" w:id="0">
    <w:p w:rsidR="00053E9D" w:rsidRDefault="00053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3E9D" w:rsidRDefault="00053E9D">
    <w:pPr>
      <w:pStyle w:val="Sidefod"/>
      <w:pBdr>
        <w:bottom w:val="single" w:sz="6" w:space="1" w:color="auto"/>
      </w:pBdr>
    </w:pPr>
  </w:p>
  <w:p w:rsidR="00053E9D" w:rsidRDefault="00053E9D" w:rsidP="00C42586">
    <w:pPr>
      <w:pStyle w:val="Sidefod"/>
      <w:tabs>
        <w:tab w:val="clear" w:pos="4819"/>
        <w:tab w:val="left" w:pos="8505"/>
      </w:tabs>
      <w:rPr>
        <w:i/>
        <w:sz w:val="18"/>
        <w:szCs w:val="18"/>
      </w:rPr>
    </w:pPr>
  </w:p>
  <w:p w:rsidR="00053E9D" w:rsidRPr="00B373D7" w:rsidRDefault="00053E9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Methotrexate Orion, injektionsvæske, opløsning i fyldt injektionssprøjte 25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3E9D" w:rsidRDefault="00053E9D">
      <w:r>
        <w:separator/>
      </w:r>
    </w:p>
  </w:footnote>
  <w:footnote w:type="continuationSeparator" w:id="0">
    <w:p w:rsidR="00053E9D" w:rsidRDefault="00053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D6969CB"/>
    <w:multiLevelType w:val="hybridMultilevel"/>
    <w:tmpl w:val="C096B7D4"/>
    <w:lvl w:ilvl="0" w:tplc="E34A445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356698A"/>
    <w:multiLevelType w:val="hybridMultilevel"/>
    <w:tmpl w:val="4C443952"/>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7" w15:restartNumberingAfterBreak="0">
    <w:nsid w:val="7ECB186C"/>
    <w:multiLevelType w:val="hybridMultilevel"/>
    <w:tmpl w:val="1E7AB1FA"/>
    <w:lvl w:ilvl="0" w:tplc="0407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7F1C259D"/>
    <w:multiLevelType w:val="hybridMultilevel"/>
    <w:tmpl w:val="73AAD422"/>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DF"/>
    <w:rsid w:val="0000335F"/>
    <w:rsid w:val="00005293"/>
    <w:rsid w:val="00011A1E"/>
    <w:rsid w:val="00024AA4"/>
    <w:rsid w:val="000259B9"/>
    <w:rsid w:val="00041491"/>
    <w:rsid w:val="00050D16"/>
    <w:rsid w:val="00053E9D"/>
    <w:rsid w:val="00074246"/>
    <w:rsid w:val="00074F2A"/>
    <w:rsid w:val="000961C7"/>
    <w:rsid w:val="000A1CA8"/>
    <w:rsid w:val="000A466B"/>
    <w:rsid w:val="000B058C"/>
    <w:rsid w:val="000E4EE6"/>
    <w:rsid w:val="000F7899"/>
    <w:rsid w:val="001454E2"/>
    <w:rsid w:val="001759D6"/>
    <w:rsid w:val="001C4888"/>
    <w:rsid w:val="00206CE8"/>
    <w:rsid w:val="0021526C"/>
    <w:rsid w:val="00226B00"/>
    <w:rsid w:val="00283A2B"/>
    <w:rsid w:val="002932D5"/>
    <w:rsid w:val="002954B6"/>
    <w:rsid w:val="002B30AD"/>
    <w:rsid w:val="002C2C01"/>
    <w:rsid w:val="0035316A"/>
    <w:rsid w:val="003A29AE"/>
    <w:rsid w:val="003A32D7"/>
    <w:rsid w:val="003B4074"/>
    <w:rsid w:val="003C769A"/>
    <w:rsid w:val="003F1838"/>
    <w:rsid w:val="003F3266"/>
    <w:rsid w:val="0042200B"/>
    <w:rsid w:val="004560D0"/>
    <w:rsid w:val="0045746C"/>
    <w:rsid w:val="0049104B"/>
    <w:rsid w:val="004B29F5"/>
    <w:rsid w:val="004B73F8"/>
    <w:rsid w:val="004D201A"/>
    <w:rsid w:val="004E3B12"/>
    <w:rsid w:val="005229EF"/>
    <w:rsid w:val="00532310"/>
    <w:rsid w:val="00560ECC"/>
    <w:rsid w:val="00565F0F"/>
    <w:rsid w:val="00594A86"/>
    <w:rsid w:val="00596D86"/>
    <w:rsid w:val="005D54CB"/>
    <w:rsid w:val="005E32E2"/>
    <w:rsid w:val="00637F5A"/>
    <w:rsid w:val="006560B1"/>
    <w:rsid w:val="006756DD"/>
    <w:rsid w:val="006F0647"/>
    <w:rsid w:val="007109FD"/>
    <w:rsid w:val="00737275"/>
    <w:rsid w:val="00740EEC"/>
    <w:rsid w:val="00777641"/>
    <w:rsid w:val="0078011A"/>
    <w:rsid w:val="00782AF4"/>
    <w:rsid w:val="00790EE7"/>
    <w:rsid w:val="007A01DF"/>
    <w:rsid w:val="007B6649"/>
    <w:rsid w:val="007F78C5"/>
    <w:rsid w:val="0081546F"/>
    <w:rsid w:val="0082576E"/>
    <w:rsid w:val="0083127C"/>
    <w:rsid w:val="008664EA"/>
    <w:rsid w:val="00902FB4"/>
    <w:rsid w:val="00907F75"/>
    <w:rsid w:val="009260DE"/>
    <w:rsid w:val="0093258A"/>
    <w:rsid w:val="009C1C56"/>
    <w:rsid w:val="009C7BA3"/>
    <w:rsid w:val="009D1F5A"/>
    <w:rsid w:val="00A56C3D"/>
    <w:rsid w:val="00A771D6"/>
    <w:rsid w:val="00AF7C87"/>
    <w:rsid w:val="00B003BF"/>
    <w:rsid w:val="00B373D7"/>
    <w:rsid w:val="00B37E08"/>
    <w:rsid w:val="00B76439"/>
    <w:rsid w:val="00B87383"/>
    <w:rsid w:val="00BC0CBA"/>
    <w:rsid w:val="00C02127"/>
    <w:rsid w:val="00C32EC0"/>
    <w:rsid w:val="00C36276"/>
    <w:rsid w:val="00C42586"/>
    <w:rsid w:val="00C60CCD"/>
    <w:rsid w:val="00C84483"/>
    <w:rsid w:val="00C95551"/>
    <w:rsid w:val="00CB0FDA"/>
    <w:rsid w:val="00CB20D7"/>
    <w:rsid w:val="00D020B0"/>
    <w:rsid w:val="00D11748"/>
    <w:rsid w:val="00D366CF"/>
    <w:rsid w:val="00D46FFF"/>
    <w:rsid w:val="00D74CEA"/>
    <w:rsid w:val="00DC4AEA"/>
    <w:rsid w:val="00E108AA"/>
    <w:rsid w:val="00E20C9E"/>
    <w:rsid w:val="00E31812"/>
    <w:rsid w:val="00E3749A"/>
    <w:rsid w:val="00E469F0"/>
    <w:rsid w:val="00E61896"/>
    <w:rsid w:val="00E7437F"/>
    <w:rsid w:val="00E854C3"/>
    <w:rsid w:val="00E865B8"/>
    <w:rsid w:val="00EC0B9B"/>
    <w:rsid w:val="00ED5E9F"/>
    <w:rsid w:val="00EF4B26"/>
    <w:rsid w:val="00F12FF3"/>
    <w:rsid w:val="00F66D4F"/>
    <w:rsid w:val="00F9604D"/>
    <w:rsid w:val="00FB682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A192D"/>
  <w15:chartTrackingRefBased/>
  <w15:docId w15:val="{213233AC-A551-4317-836F-8E66A5CBB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7A01DF"/>
    <w:pPr>
      <w:autoSpaceDE w:val="0"/>
      <w:autoSpaceDN w:val="0"/>
      <w:adjustRightInd w:val="0"/>
    </w:pPr>
    <w:rPr>
      <w:color w:val="000000"/>
      <w:sz w:val="24"/>
      <w:szCs w:val="24"/>
      <w:lang w:bidi="da-DK"/>
    </w:rPr>
  </w:style>
  <w:style w:type="paragraph" w:styleId="Listeafsnit">
    <w:name w:val="List Paragraph"/>
    <w:basedOn w:val="Normal"/>
    <w:uiPriority w:val="34"/>
    <w:qFormat/>
    <w:rsid w:val="007A01DF"/>
    <w:pPr>
      <w:ind w:left="720"/>
      <w:contextualSpacing/>
    </w:pPr>
    <w:rPr>
      <w:sz w:val="24"/>
      <w:szCs w:val="24"/>
      <w:lang w:eastAsia="da-DK" w:bidi="da-DK"/>
    </w:rPr>
  </w:style>
  <w:style w:type="paragraph" w:styleId="NormalWeb">
    <w:name w:val="Normal (Web)"/>
    <w:basedOn w:val="Normal"/>
    <w:uiPriority w:val="99"/>
    <w:rsid w:val="007A01DF"/>
    <w:pPr>
      <w:spacing w:before="100" w:beforeAutospacing="1" w:after="100" w:afterAutospacing="1"/>
    </w:pPr>
    <w:rPr>
      <w:sz w:val="24"/>
      <w:szCs w:val="24"/>
      <w:lang w:eastAsia="da-DK" w:bidi="da-DK"/>
    </w:rPr>
  </w:style>
  <w:style w:type="character" w:styleId="Hyperlink">
    <w:name w:val="Hyperlink"/>
    <w:basedOn w:val="Standardskrifttypeiafsnit"/>
    <w:uiPriority w:val="99"/>
    <w:unhideWhenUsed/>
    <w:rsid w:val="007A01DF"/>
    <w:rPr>
      <w:color w:val="0563C1" w:themeColor="hyperlink"/>
      <w:u w:val="single"/>
    </w:rPr>
  </w:style>
  <w:style w:type="table" w:styleId="Tabel-Gitter">
    <w:name w:val="Table Grid"/>
    <w:basedOn w:val="Tabel-Normal"/>
    <w:uiPriority w:val="59"/>
    <w:rsid w:val="007A01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0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376038">
      <w:bodyDiv w:val="1"/>
      <w:marLeft w:val="0"/>
      <w:marRight w:val="0"/>
      <w:marTop w:val="0"/>
      <w:marBottom w:val="0"/>
      <w:divBdr>
        <w:top w:val="none" w:sz="0" w:space="0" w:color="auto"/>
        <w:left w:val="none" w:sz="0" w:space="0" w:color="auto"/>
        <w:bottom w:val="none" w:sz="0" w:space="0" w:color="auto"/>
        <w:right w:val="none" w:sz="0" w:space="0" w:color="auto"/>
      </w:divBdr>
    </w:div>
    <w:div w:id="200171983">
      <w:bodyDiv w:val="1"/>
      <w:marLeft w:val="0"/>
      <w:marRight w:val="0"/>
      <w:marTop w:val="0"/>
      <w:marBottom w:val="0"/>
      <w:divBdr>
        <w:top w:val="none" w:sz="0" w:space="0" w:color="auto"/>
        <w:left w:val="none" w:sz="0" w:space="0" w:color="auto"/>
        <w:bottom w:val="none" w:sz="0" w:space="0" w:color="auto"/>
        <w:right w:val="none" w:sz="0" w:space="0" w:color="auto"/>
      </w:divBdr>
    </w:div>
    <w:div w:id="286787842">
      <w:bodyDiv w:val="1"/>
      <w:marLeft w:val="0"/>
      <w:marRight w:val="0"/>
      <w:marTop w:val="0"/>
      <w:marBottom w:val="0"/>
      <w:divBdr>
        <w:top w:val="none" w:sz="0" w:space="0" w:color="auto"/>
        <w:left w:val="none" w:sz="0" w:space="0" w:color="auto"/>
        <w:bottom w:val="none" w:sz="0" w:space="0" w:color="auto"/>
        <w:right w:val="none" w:sz="0" w:space="0" w:color="auto"/>
      </w:divBdr>
    </w:div>
    <w:div w:id="423107986">
      <w:bodyDiv w:val="1"/>
      <w:marLeft w:val="0"/>
      <w:marRight w:val="0"/>
      <w:marTop w:val="0"/>
      <w:marBottom w:val="0"/>
      <w:divBdr>
        <w:top w:val="none" w:sz="0" w:space="0" w:color="auto"/>
        <w:left w:val="none" w:sz="0" w:space="0" w:color="auto"/>
        <w:bottom w:val="none" w:sz="0" w:space="0" w:color="auto"/>
        <w:right w:val="none" w:sz="0" w:space="0" w:color="auto"/>
      </w:divBdr>
    </w:div>
    <w:div w:id="433525068">
      <w:bodyDiv w:val="1"/>
      <w:marLeft w:val="0"/>
      <w:marRight w:val="0"/>
      <w:marTop w:val="0"/>
      <w:marBottom w:val="0"/>
      <w:divBdr>
        <w:top w:val="none" w:sz="0" w:space="0" w:color="auto"/>
        <w:left w:val="none" w:sz="0" w:space="0" w:color="auto"/>
        <w:bottom w:val="none" w:sz="0" w:space="0" w:color="auto"/>
        <w:right w:val="none" w:sz="0" w:space="0" w:color="auto"/>
      </w:divBdr>
    </w:div>
    <w:div w:id="485899213">
      <w:bodyDiv w:val="1"/>
      <w:marLeft w:val="0"/>
      <w:marRight w:val="0"/>
      <w:marTop w:val="0"/>
      <w:marBottom w:val="0"/>
      <w:divBdr>
        <w:top w:val="none" w:sz="0" w:space="0" w:color="auto"/>
        <w:left w:val="none" w:sz="0" w:space="0" w:color="auto"/>
        <w:bottom w:val="none" w:sz="0" w:space="0" w:color="auto"/>
        <w:right w:val="none" w:sz="0" w:space="0" w:color="auto"/>
      </w:divBdr>
    </w:div>
    <w:div w:id="789780322">
      <w:bodyDiv w:val="1"/>
      <w:marLeft w:val="0"/>
      <w:marRight w:val="0"/>
      <w:marTop w:val="0"/>
      <w:marBottom w:val="0"/>
      <w:divBdr>
        <w:top w:val="none" w:sz="0" w:space="0" w:color="auto"/>
        <w:left w:val="none" w:sz="0" w:space="0" w:color="auto"/>
        <w:bottom w:val="none" w:sz="0" w:space="0" w:color="auto"/>
        <w:right w:val="none" w:sz="0" w:space="0" w:color="auto"/>
      </w:divBdr>
    </w:div>
    <w:div w:id="837042196">
      <w:bodyDiv w:val="1"/>
      <w:marLeft w:val="0"/>
      <w:marRight w:val="0"/>
      <w:marTop w:val="0"/>
      <w:marBottom w:val="0"/>
      <w:divBdr>
        <w:top w:val="none" w:sz="0" w:space="0" w:color="auto"/>
        <w:left w:val="none" w:sz="0" w:space="0" w:color="auto"/>
        <w:bottom w:val="none" w:sz="0" w:space="0" w:color="auto"/>
        <w:right w:val="none" w:sz="0" w:space="0" w:color="auto"/>
      </w:divBdr>
    </w:div>
    <w:div w:id="843397079">
      <w:bodyDiv w:val="1"/>
      <w:marLeft w:val="0"/>
      <w:marRight w:val="0"/>
      <w:marTop w:val="0"/>
      <w:marBottom w:val="0"/>
      <w:divBdr>
        <w:top w:val="none" w:sz="0" w:space="0" w:color="auto"/>
        <w:left w:val="none" w:sz="0" w:space="0" w:color="auto"/>
        <w:bottom w:val="none" w:sz="0" w:space="0" w:color="auto"/>
        <w:right w:val="none" w:sz="0" w:space="0" w:color="auto"/>
      </w:divBdr>
    </w:div>
    <w:div w:id="1008210940">
      <w:bodyDiv w:val="1"/>
      <w:marLeft w:val="0"/>
      <w:marRight w:val="0"/>
      <w:marTop w:val="0"/>
      <w:marBottom w:val="0"/>
      <w:divBdr>
        <w:top w:val="none" w:sz="0" w:space="0" w:color="auto"/>
        <w:left w:val="none" w:sz="0" w:space="0" w:color="auto"/>
        <w:bottom w:val="none" w:sz="0" w:space="0" w:color="auto"/>
        <w:right w:val="none" w:sz="0" w:space="0" w:color="auto"/>
      </w:divBdr>
    </w:div>
    <w:div w:id="1862933327">
      <w:bodyDiv w:val="1"/>
      <w:marLeft w:val="0"/>
      <w:marRight w:val="0"/>
      <w:marTop w:val="0"/>
      <w:marBottom w:val="0"/>
      <w:divBdr>
        <w:top w:val="none" w:sz="0" w:space="0" w:color="auto"/>
        <w:left w:val="none" w:sz="0" w:space="0" w:color="auto"/>
        <w:bottom w:val="none" w:sz="0" w:space="0" w:color="auto"/>
        <w:right w:val="none" w:sz="0" w:space="0" w:color="auto"/>
      </w:divBdr>
    </w:div>
    <w:div w:id="1901790935">
      <w:bodyDiv w:val="1"/>
      <w:marLeft w:val="0"/>
      <w:marRight w:val="0"/>
      <w:marTop w:val="0"/>
      <w:marBottom w:val="0"/>
      <w:divBdr>
        <w:top w:val="none" w:sz="0" w:space="0" w:color="auto"/>
        <w:left w:val="none" w:sz="0" w:space="0" w:color="auto"/>
        <w:bottom w:val="none" w:sz="0" w:space="0" w:color="auto"/>
        <w:right w:val="none" w:sz="0" w:space="0" w:color="auto"/>
      </w:divBdr>
    </w:div>
    <w:div w:id="1953048384">
      <w:bodyDiv w:val="1"/>
      <w:marLeft w:val="0"/>
      <w:marRight w:val="0"/>
      <w:marTop w:val="0"/>
      <w:marBottom w:val="0"/>
      <w:divBdr>
        <w:top w:val="none" w:sz="0" w:space="0" w:color="auto"/>
        <w:left w:val="none" w:sz="0" w:space="0" w:color="auto"/>
        <w:bottom w:val="none" w:sz="0" w:space="0" w:color="auto"/>
        <w:right w:val="none" w:sz="0" w:space="0" w:color="auto"/>
      </w:divBdr>
    </w:div>
    <w:div w:id="1970164683">
      <w:bodyDiv w:val="1"/>
      <w:marLeft w:val="0"/>
      <w:marRight w:val="0"/>
      <w:marTop w:val="0"/>
      <w:marBottom w:val="0"/>
      <w:divBdr>
        <w:top w:val="none" w:sz="0" w:space="0" w:color="auto"/>
        <w:left w:val="none" w:sz="0" w:space="0" w:color="auto"/>
        <w:bottom w:val="none" w:sz="0" w:space="0" w:color="auto"/>
        <w:right w:val="none" w:sz="0" w:space="0" w:color="auto"/>
      </w:divBdr>
    </w:div>
    <w:div w:id="207049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6088</Words>
  <Characters>42008</Characters>
  <Application>Microsoft Office Word</Application>
  <DocSecurity>0</DocSecurity>
  <Lines>350</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2023111195_x000d_
SPC pkt. 4.4, 4.5, 4.8</dc:description>
  <cp:lastModifiedBy>Victoria Alexsandra Ringgaard</cp:lastModifiedBy>
  <cp:revision>4</cp:revision>
  <cp:lastPrinted>2012-08-22T08:53:00Z</cp:lastPrinted>
  <dcterms:created xsi:type="dcterms:W3CDTF">2025-03-07T15:04:00Z</dcterms:created>
  <dcterms:modified xsi:type="dcterms:W3CDTF">2025-03-12T15:36:00Z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