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72927" w14:textId="77777777" w:rsidR="009260DE" w:rsidRPr="007E13D2" w:rsidRDefault="0021526C" w:rsidP="009260DE">
      <w:pPr>
        <w:rPr>
          <w:sz w:val="24"/>
          <w:szCs w:val="24"/>
        </w:rPr>
      </w:pPr>
      <w:bookmarkStart w:id="0" w:name="_GoBack"/>
      <w:bookmarkEnd w:id="0"/>
      <w:r w:rsidRPr="007E13D2">
        <w:rPr>
          <w:noProof/>
          <w:sz w:val="24"/>
          <w:szCs w:val="24"/>
          <w:lang w:eastAsia="da-DK"/>
        </w:rPr>
        <w:drawing>
          <wp:anchor distT="0" distB="0" distL="114300" distR="114300" simplePos="0" relativeHeight="251658240" behindDoc="0" locked="0" layoutInCell="1" allowOverlap="1" wp14:anchorId="5ACAA4F5" wp14:editId="2B2720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E13D2">
        <w:rPr>
          <w:sz w:val="24"/>
          <w:szCs w:val="24"/>
        </w:rPr>
        <w:br w:type="textWrapping" w:clear="all"/>
      </w:r>
    </w:p>
    <w:p w14:paraId="4C1378E1" w14:textId="36A4E60D" w:rsidR="009260DE" w:rsidRPr="007E13D2" w:rsidRDefault="009260DE" w:rsidP="009260DE">
      <w:pPr>
        <w:pStyle w:val="Titel"/>
        <w:tabs>
          <w:tab w:val="right" w:pos="9356"/>
        </w:tabs>
        <w:jc w:val="left"/>
        <w:rPr>
          <w:b w:val="0"/>
          <w:szCs w:val="24"/>
          <w:lang w:eastAsia="en-US"/>
        </w:rPr>
      </w:pPr>
      <w:r w:rsidRPr="007E13D2">
        <w:rPr>
          <w:b w:val="0"/>
          <w:szCs w:val="24"/>
          <w:lang w:eastAsia="en-US"/>
        </w:rPr>
        <w:tab/>
      </w:r>
      <w:r w:rsidR="00D0191F">
        <w:rPr>
          <w:szCs w:val="24"/>
        </w:rPr>
        <w:t>21. december 2021</w:t>
      </w:r>
    </w:p>
    <w:p w14:paraId="22113F02" w14:textId="77777777" w:rsidR="009260DE" w:rsidRPr="007E13D2" w:rsidRDefault="009260DE" w:rsidP="009260DE">
      <w:pPr>
        <w:pStyle w:val="Titel"/>
        <w:tabs>
          <w:tab w:val="left" w:pos="8222"/>
        </w:tabs>
        <w:jc w:val="left"/>
        <w:rPr>
          <w:b w:val="0"/>
          <w:szCs w:val="24"/>
        </w:rPr>
      </w:pPr>
    </w:p>
    <w:p w14:paraId="0AAAFF74" w14:textId="77777777" w:rsidR="009260DE" w:rsidRPr="007E13D2" w:rsidRDefault="009260DE" w:rsidP="009260DE">
      <w:pPr>
        <w:pStyle w:val="Titel"/>
        <w:jc w:val="left"/>
        <w:rPr>
          <w:b w:val="0"/>
          <w:szCs w:val="24"/>
        </w:rPr>
      </w:pPr>
    </w:p>
    <w:p w14:paraId="5D16C2CE" w14:textId="77777777" w:rsidR="009260DE" w:rsidRPr="007E13D2" w:rsidRDefault="009260DE" w:rsidP="009260DE">
      <w:pPr>
        <w:pStyle w:val="Titel"/>
        <w:jc w:val="left"/>
        <w:rPr>
          <w:b w:val="0"/>
          <w:szCs w:val="24"/>
        </w:rPr>
      </w:pPr>
    </w:p>
    <w:p w14:paraId="4D3C457B" w14:textId="77777777" w:rsidR="009260DE" w:rsidRPr="007E13D2" w:rsidRDefault="009260DE" w:rsidP="009260DE">
      <w:pPr>
        <w:jc w:val="center"/>
        <w:rPr>
          <w:b/>
          <w:sz w:val="24"/>
          <w:szCs w:val="24"/>
        </w:rPr>
      </w:pPr>
      <w:r w:rsidRPr="007E13D2">
        <w:rPr>
          <w:b/>
          <w:sz w:val="24"/>
          <w:szCs w:val="24"/>
        </w:rPr>
        <w:t>PRODUKTRESUMÉ</w:t>
      </w:r>
    </w:p>
    <w:p w14:paraId="1C426810" w14:textId="77777777" w:rsidR="009260DE" w:rsidRPr="007E13D2" w:rsidRDefault="009260DE" w:rsidP="009260DE">
      <w:pPr>
        <w:jc w:val="center"/>
        <w:rPr>
          <w:b/>
          <w:sz w:val="24"/>
          <w:szCs w:val="24"/>
        </w:rPr>
      </w:pPr>
    </w:p>
    <w:p w14:paraId="3A9EE243" w14:textId="77777777" w:rsidR="009260DE" w:rsidRPr="007E13D2" w:rsidRDefault="009260DE" w:rsidP="009260DE">
      <w:pPr>
        <w:jc w:val="center"/>
        <w:rPr>
          <w:b/>
          <w:sz w:val="24"/>
          <w:szCs w:val="24"/>
        </w:rPr>
      </w:pPr>
      <w:r w:rsidRPr="007E13D2">
        <w:rPr>
          <w:b/>
          <w:sz w:val="24"/>
          <w:szCs w:val="24"/>
        </w:rPr>
        <w:t>for</w:t>
      </w:r>
    </w:p>
    <w:p w14:paraId="7C5B03DF" w14:textId="77777777" w:rsidR="000B058C" w:rsidRPr="007E13D2" w:rsidRDefault="000B058C" w:rsidP="009260DE">
      <w:pPr>
        <w:jc w:val="center"/>
        <w:rPr>
          <w:b/>
          <w:sz w:val="24"/>
          <w:szCs w:val="24"/>
        </w:rPr>
      </w:pPr>
    </w:p>
    <w:p w14:paraId="4AB0728E" w14:textId="00A0B888" w:rsidR="009260DE" w:rsidRPr="007E13D2" w:rsidRDefault="00281D61" w:rsidP="009260DE">
      <w:pPr>
        <w:jc w:val="center"/>
        <w:rPr>
          <w:b/>
          <w:sz w:val="24"/>
          <w:szCs w:val="24"/>
        </w:rPr>
      </w:pPr>
      <w:proofErr w:type="spellStart"/>
      <w:r w:rsidRPr="007E13D2">
        <w:rPr>
          <w:b/>
          <w:sz w:val="24"/>
          <w:szCs w:val="24"/>
        </w:rPr>
        <w:t>Methoxsalen</w:t>
      </w:r>
      <w:proofErr w:type="spellEnd"/>
      <w:r w:rsidRPr="007E13D2">
        <w:rPr>
          <w:b/>
          <w:sz w:val="24"/>
          <w:szCs w:val="24"/>
        </w:rPr>
        <w:t xml:space="preserve"> </w:t>
      </w:r>
      <w:r w:rsidR="000F1080">
        <w:rPr>
          <w:b/>
          <w:sz w:val="24"/>
          <w:szCs w:val="24"/>
        </w:rPr>
        <w:t>"</w:t>
      </w:r>
      <w:proofErr w:type="spellStart"/>
      <w:r w:rsidRPr="007E13D2">
        <w:rPr>
          <w:b/>
          <w:sz w:val="24"/>
          <w:szCs w:val="24"/>
        </w:rPr>
        <w:t>Macopharma</w:t>
      </w:r>
      <w:proofErr w:type="spellEnd"/>
      <w:r w:rsidR="000F1080">
        <w:rPr>
          <w:b/>
          <w:sz w:val="24"/>
          <w:szCs w:val="24"/>
        </w:rPr>
        <w:t>"</w:t>
      </w:r>
      <w:r w:rsidRPr="007E13D2">
        <w:rPr>
          <w:b/>
          <w:sz w:val="24"/>
          <w:szCs w:val="24"/>
        </w:rPr>
        <w:t xml:space="preserve">, opløsning til </w:t>
      </w:r>
      <w:r w:rsidR="00F95CB2" w:rsidRPr="007E13D2">
        <w:rPr>
          <w:b/>
          <w:sz w:val="24"/>
          <w:szCs w:val="24"/>
        </w:rPr>
        <w:t>modificering</w:t>
      </w:r>
      <w:r w:rsidR="005A03EA" w:rsidRPr="007E13D2">
        <w:rPr>
          <w:b/>
          <w:sz w:val="24"/>
          <w:szCs w:val="24"/>
        </w:rPr>
        <w:t xml:space="preserve"> af blodfraktioner</w:t>
      </w:r>
    </w:p>
    <w:p w14:paraId="6E2784D4" w14:textId="77777777" w:rsidR="009260DE" w:rsidRPr="007E13D2" w:rsidRDefault="009260DE" w:rsidP="009260DE">
      <w:pPr>
        <w:jc w:val="both"/>
        <w:rPr>
          <w:sz w:val="24"/>
          <w:szCs w:val="24"/>
        </w:rPr>
      </w:pPr>
    </w:p>
    <w:p w14:paraId="7D1FB1A6" w14:textId="77777777" w:rsidR="009260DE" w:rsidRPr="007E13D2" w:rsidRDefault="009260DE" w:rsidP="009260DE">
      <w:pPr>
        <w:jc w:val="both"/>
        <w:rPr>
          <w:sz w:val="24"/>
          <w:szCs w:val="24"/>
        </w:rPr>
      </w:pPr>
    </w:p>
    <w:p w14:paraId="43EF183A" w14:textId="77777777" w:rsidR="009260DE" w:rsidRPr="007E13D2" w:rsidRDefault="009260DE" w:rsidP="009260DE">
      <w:pPr>
        <w:tabs>
          <w:tab w:val="left" w:pos="851"/>
        </w:tabs>
        <w:ind w:left="851" w:hanging="851"/>
        <w:rPr>
          <w:b/>
          <w:sz w:val="24"/>
          <w:szCs w:val="24"/>
        </w:rPr>
      </w:pPr>
      <w:r w:rsidRPr="007E13D2">
        <w:rPr>
          <w:b/>
          <w:sz w:val="24"/>
          <w:szCs w:val="24"/>
        </w:rPr>
        <w:t>0.</w:t>
      </w:r>
      <w:r w:rsidRPr="007E13D2">
        <w:rPr>
          <w:b/>
          <w:sz w:val="24"/>
          <w:szCs w:val="24"/>
        </w:rPr>
        <w:tab/>
        <w:t>D.SP.NR.</w:t>
      </w:r>
    </w:p>
    <w:p w14:paraId="46814AB4" w14:textId="46A19169" w:rsidR="009260DE" w:rsidRPr="007E13D2" w:rsidRDefault="005A03EA" w:rsidP="009260DE">
      <w:pPr>
        <w:tabs>
          <w:tab w:val="left" w:pos="851"/>
        </w:tabs>
        <w:ind w:left="851"/>
        <w:rPr>
          <w:sz w:val="24"/>
          <w:szCs w:val="24"/>
        </w:rPr>
      </w:pPr>
      <w:r w:rsidRPr="007E13D2">
        <w:rPr>
          <w:sz w:val="24"/>
          <w:szCs w:val="24"/>
        </w:rPr>
        <w:t>32101</w:t>
      </w:r>
    </w:p>
    <w:p w14:paraId="691BA8DD" w14:textId="77777777" w:rsidR="009260DE" w:rsidRPr="007E13D2" w:rsidRDefault="009260DE" w:rsidP="009260DE">
      <w:pPr>
        <w:tabs>
          <w:tab w:val="left" w:pos="851"/>
        </w:tabs>
        <w:ind w:left="851"/>
        <w:rPr>
          <w:sz w:val="24"/>
          <w:szCs w:val="24"/>
        </w:rPr>
      </w:pPr>
    </w:p>
    <w:p w14:paraId="652A1F71" w14:textId="77777777" w:rsidR="009260DE" w:rsidRPr="007E13D2" w:rsidRDefault="009260DE" w:rsidP="009260DE">
      <w:pPr>
        <w:tabs>
          <w:tab w:val="left" w:pos="851"/>
        </w:tabs>
        <w:ind w:left="851" w:hanging="851"/>
        <w:rPr>
          <w:b/>
          <w:sz w:val="24"/>
          <w:szCs w:val="24"/>
        </w:rPr>
      </w:pPr>
      <w:r w:rsidRPr="007E13D2">
        <w:rPr>
          <w:b/>
          <w:sz w:val="24"/>
          <w:szCs w:val="24"/>
        </w:rPr>
        <w:t>1.</w:t>
      </w:r>
      <w:r w:rsidRPr="007E13D2">
        <w:rPr>
          <w:b/>
          <w:sz w:val="24"/>
          <w:szCs w:val="24"/>
        </w:rPr>
        <w:tab/>
        <w:t>LÆGEMIDLETS NAVN</w:t>
      </w:r>
    </w:p>
    <w:p w14:paraId="1C05273E" w14:textId="7556EC41" w:rsidR="009260DE" w:rsidRPr="007E13D2" w:rsidRDefault="005A03EA" w:rsidP="009260DE">
      <w:pPr>
        <w:tabs>
          <w:tab w:val="left" w:pos="851"/>
        </w:tabs>
        <w:ind w:left="851"/>
        <w:rPr>
          <w:sz w:val="24"/>
          <w:szCs w:val="24"/>
        </w:rPr>
      </w:pP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p>
    <w:p w14:paraId="0CBF2C4D" w14:textId="77777777" w:rsidR="009260DE" w:rsidRPr="007E13D2" w:rsidRDefault="009260DE" w:rsidP="009260DE">
      <w:pPr>
        <w:tabs>
          <w:tab w:val="left" w:pos="851"/>
        </w:tabs>
        <w:ind w:left="851"/>
        <w:rPr>
          <w:sz w:val="24"/>
          <w:szCs w:val="24"/>
        </w:rPr>
      </w:pPr>
    </w:p>
    <w:p w14:paraId="1D1330FC" w14:textId="77777777" w:rsidR="009260DE" w:rsidRPr="007E13D2" w:rsidRDefault="009260DE" w:rsidP="009260DE">
      <w:pPr>
        <w:tabs>
          <w:tab w:val="left" w:pos="851"/>
        </w:tabs>
        <w:ind w:left="851" w:hanging="851"/>
        <w:rPr>
          <w:b/>
          <w:sz w:val="24"/>
          <w:szCs w:val="24"/>
        </w:rPr>
      </w:pPr>
      <w:r w:rsidRPr="007E13D2">
        <w:rPr>
          <w:b/>
          <w:sz w:val="24"/>
          <w:szCs w:val="24"/>
        </w:rPr>
        <w:t>2.</w:t>
      </w:r>
      <w:r w:rsidRPr="007E13D2">
        <w:rPr>
          <w:b/>
          <w:sz w:val="24"/>
          <w:szCs w:val="24"/>
        </w:rPr>
        <w:tab/>
        <w:t>KVALITATIV OG KVANTITATIV SAMMENSÆTNING</w:t>
      </w:r>
    </w:p>
    <w:p w14:paraId="769A0566" w14:textId="77777777" w:rsidR="005A03EA" w:rsidRPr="007E13D2" w:rsidRDefault="005A03EA" w:rsidP="003C6497">
      <w:pPr>
        <w:ind w:left="851"/>
        <w:rPr>
          <w:bCs/>
          <w:noProof/>
          <w:sz w:val="24"/>
          <w:szCs w:val="24"/>
        </w:rPr>
      </w:pPr>
      <w:r w:rsidRPr="007E13D2">
        <w:rPr>
          <w:noProof/>
          <w:sz w:val="24"/>
          <w:szCs w:val="24"/>
        </w:rPr>
        <w:t>En ml opløsning indeholder 20 mikrogram methoxsalen.</w:t>
      </w:r>
    </w:p>
    <w:p w14:paraId="0DCE219A" w14:textId="77777777" w:rsidR="005A03EA" w:rsidRPr="007E13D2" w:rsidRDefault="005A03EA" w:rsidP="003C6497">
      <w:pPr>
        <w:ind w:left="851"/>
        <w:rPr>
          <w:bCs/>
          <w:noProof/>
          <w:sz w:val="24"/>
          <w:szCs w:val="24"/>
        </w:rPr>
      </w:pPr>
      <w:r w:rsidRPr="007E13D2">
        <w:rPr>
          <w:noProof/>
          <w:sz w:val="24"/>
          <w:szCs w:val="24"/>
        </w:rPr>
        <w:t>En 5 ml ampul indeholder 100 mikrogram methoxsalen.</w:t>
      </w:r>
    </w:p>
    <w:p w14:paraId="37EBDB0D" w14:textId="77777777" w:rsidR="005A03EA" w:rsidRPr="007E13D2" w:rsidRDefault="005A03EA" w:rsidP="003C6497">
      <w:pPr>
        <w:ind w:left="851"/>
        <w:rPr>
          <w:sz w:val="24"/>
          <w:szCs w:val="24"/>
          <w:u w:val="single"/>
        </w:rPr>
      </w:pPr>
    </w:p>
    <w:p w14:paraId="6E3F4DD9" w14:textId="77777777" w:rsidR="005A03EA" w:rsidRPr="007E13D2" w:rsidRDefault="005A03EA" w:rsidP="003C6497">
      <w:pPr>
        <w:ind w:left="851"/>
        <w:rPr>
          <w:noProof/>
          <w:sz w:val="24"/>
          <w:szCs w:val="24"/>
        </w:rPr>
      </w:pPr>
      <w:r w:rsidRPr="007E13D2">
        <w:rPr>
          <w:sz w:val="24"/>
          <w:szCs w:val="24"/>
          <w:u w:val="single"/>
        </w:rPr>
        <w:t>Hjælpestoffer, som behandleren skal være opmærksom på</w:t>
      </w:r>
      <w:r w:rsidRPr="007E13D2">
        <w:rPr>
          <w:noProof/>
          <w:sz w:val="24"/>
          <w:szCs w:val="24"/>
          <w:u w:val="single"/>
        </w:rPr>
        <w:t>:</w:t>
      </w:r>
      <w:r w:rsidRPr="007E13D2">
        <w:rPr>
          <w:noProof/>
          <w:sz w:val="24"/>
          <w:szCs w:val="24"/>
        </w:rPr>
        <w:t xml:space="preserve"> </w:t>
      </w:r>
    </w:p>
    <w:p w14:paraId="0D9A6CA8" w14:textId="77777777" w:rsidR="005A03EA" w:rsidRPr="007E13D2" w:rsidRDefault="005A03EA" w:rsidP="003C6497">
      <w:pPr>
        <w:ind w:left="851"/>
        <w:rPr>
          <w:iCs/>
          <w:sz w:val="24"/>
          <w:szCs w:val="24"/>
          <w:u w:val="single"/>
        </w:rPr>
      </w:pPr>
      <w:r w:rsidRPr="007E13D2">
        <w:rPr>
          <w:noProof/>
          <w:sz w:val="24"/>
          <w:szCs w:val="24"/>
        </w:rPr>
        <w:t>10,4 mg ethanol 96 %, 17,7 mg natrium pr. ampul</w:t>
      </w:r>
    </w:p>
    <w:p w14:paraId="78470F04" w14:textId="77777777" w:rsidR="005A03EA" w:rsidRPr="007E13D2" w:rsidRDefault="005A03EA" w:rsidP="003C6497">
      <w:pPr>
        <w:ind w:left="851"/>
        <w:rPr>
          <w:sz w:val="24"/>
          <w:szCs w:val="24"/>
        </w:rPr>
      </w:pPr>
      <w:r w:rsidRPr="007E13D2">
        <w:rPr>
          <w:sz w:val="24"/>
          <w:szCs w:val="24"/>
        </w:rPr>
        <w:t>Alle hjælpestoffer er anført under pkt. 6.1.</w:t>
      </w:r>
    </w:p>
    <w:p w14:paraId="4A0ED186" w14:textId="77777777" w:rsidR="009260DE" w:rsidRPr="007E13D2" w:rsidRDefault="009260DE" w:rsidP="009260DE">
      <w:pPr>
        <w:tabs>
          <w:tab w:val="left" w:pos="851"/>
        </w:tabs>
        <w:ind w:left="851"/>
        <w:rPr>
          <w:sz w:val="24"/>
          <w:szCs w:val="24"/>
        </w:rPr>
      </w:pPr>
    </w:p>
    <w:p w14:paraId="3588CBEF" w14:textId="77777777" w:rsidR="009260DE" w:rsidRPr="007E13D2" w:rsidRDefault="009260DE" w:rsidP="009260DE">
      <w:pPr>
        <w:tabs>
          <w:tab w:val="left" w:pos="851"/>
        </w:tabs>
        <w:ind w:left="851" w:hanging="851"/>
        <w:rPr>
          <w:b/>
          <w:sz w:val="24"/>
          <w:szCs w:val="24"/>
        </w:rPr>
      </w:pPr>
      <w:r w:rsidRPr="007E13D2">
        <w:rPr>
          <w:b/>
          <w:sz w:val="24"/>
          <w:szCs w:val="24"/>
        </w:rPr>
        <w:t>3.</w:t>
      </w:r>
      <w:r w:rsidRPr="007E13D2">
        <w:rPr>
          <w:b/>
          <w:sz w:val="24"/>
          <w:szCs w:val="24"/>
        </w:rPr>
        <w:tab/>
        <w:t>LÆGEMIDDELFORM</w:t>
      </w:r>
    </w:p>
    <w:p w14:paraId="7CB46E50" w14:textId="77777777" w:rsidR="005A03EA" w:rsidRPr="007E13D2" w:rsidRDefault="005A03EA" w:rsidP="003C6497">
      <w:pPr>
        <w:ind w:left="851"/>
        <w:rPr>
          <w:sz w:val="24"/>
          <w:szCs w:val="24"/>
        </w:rPr>
      </w:pPr>
      <w:r w:rsidRPr="007E13D2">
        <w:rPr>
          <w:sz w:val="24"/>
          <w:szCs w:val="24"/>
        </w:rPr>
        <w:t xml:space="preserve">Opløsning til modificering af blodfraktioner </w:t>
      </w:r>
    </w:p>
    <w:p w14:paraId="30F8E8DA" w14:textId="77777777" w:rsidR="005A03EA" w:rsidRPr="007E13D2" w:rsidRDefault="005A03EA" w:rsidP="003C6497">
      <w:pPr>
        <w:ind w:left="851"/>
        <w:rPr>
          <w:sz w:val="24"/>
          <w:szCs w:val="24"/>
        </w:rPr>
      </w:pPr>
      <w:r w:rsidRPr="007E13D2">
        <w:rPr>
          <w:sz w:val="24"/>
          <w:szCs w:val="24"/>
        </w:rPr>
        <w:t>Klar, farveløs opløsning fri for synlige partikler</w:t>
      </w:r>
    </w:p>
    <w:p w14:paraId="5809BB5A" w14:textId="77777777" w:rsidR="005A03EA" w:rsidRPr="007E13D2" w:rsidRDefault="005A03EA" w:rsidP="003C6497">
      <w:pPr>
        <w:ind w:left="851"/>
        <w:rPr>
          <w:sz w:val="24"/>
          <w:szCs w:val="24"/>
        </w:rPr>
      </w:pPr>
      <w:r w:rsidRPr="007E13D2">
        <w:rPr>
          <w:sz w:val="24"/>
          <w:szCs w:val="24"/>
        </w:rPr>
        <w:t>pH 5,0 til 7,0</w:t>
      </w:r>
    </w:p>
    <w:p w14:paraId="305F100B" w14:textId="77777777" w:rsidR="009260DE" w:rsidRPr="007E13D2" w:rsidRDefault="009260DE" w:rsidP="009260DE">
      <w:pPr>
        <w:tabs>
          <w:tab w:val="left" w:pos="851"/>
        </w:tabs>
        <w:ind w:left="851"/>
        <w:rPr>
          <w:sz w:val="24"/>
          <w:szCs w:val="24"/>
        </w:rPr>
      </w:pPr>
    </w:p>
    <w:p w14:paraId="49F74306" w14:textId="77777777" w:rsidR="009260DE" w:rsidRPr="007E13D2" w:rsidRDefault="009260DE" w:rsidP="009260DE">
      <w:pPr>
        <w:tabs>
          <w:tab w:val="left" w:pos="851"/>
        </w:tabs>
        <w:ind w:left="851"/>
        <w:rPr>
          <w:sz w:val="24"/>
          <w:szCs w:val="24"/>
        </w:rPr>
      </w:pPr>
    </w:p>
    <w:p w14:paraId="2DD30C88" w14:textId="77777777" w:rsidR="009260DE" w:rsidRPr="007E13D2" w:rsidRDefault="009260DE" w:rsidP="009260DE">
      <w:pPr>
        <w:tabs>
          <w:tab w:val="left" w:pos="851"/>
        </w:tabs>
        <w:ind w:left="851" w:hanging="851"/>
        <w:rPr>
          <w:b/>
          <w:sz w:val="24"/>
          <w:szCs w:val="24"/>
        </w:rPr>
      </w:pPr>
      <w:r w:rsidRPr="007E13D2">
        <w:rPr>
          <w:b/>
          <w:sz w:val="24"/>
          <w:szCs w:val="24"/>
        </w:rPr>
        <w:t>4.</w:t>
      </w:r>
      <w:r w:rsidRPr="007E13D2">
        <w:rPr>
          <w:b/>
          <w:sz w:val="24"/>
          <w:szCs w:val="24"/>
        </w:rPr>
        <w:tab/>
        <w:t>KLINISKE OPLYSNINGER</w:t>
      </w:r>
    </w:p>
    <w:p w14:paraId="14947E99" w14:textId="77777777" w:rsidR="009260DE" w:rsidRPr="007E13D2" w:rsidRDefault="009260DE" w:rsidP="009260DE">
      <w:pPr>
        <w:tabs>
          <w:tab w:val="left" w:pos="851"/>
        </w:tabs>
        <w:ind w:left="851"/>
        <w:rPr>
          <w:b/>
          <w:sz w:val="24"/>
          <w:szCs w:val="24"/>
        </w:rPr>
      </w:pPr>
    </w:p>
    <w:p w14:paraId="1FC9681C" w14:textId="77777777" w:rsidR="009260DE" w:rsidRPr="007E13D2" w:rsidRDefault="009260DE" w:rsidP="009260DE">
      <w:pPr>
        <w:tabs>
          <w:tab w:val="left" w:pos="851"/>
        </w:tabs>
        <w:ind w:left="851" w:hanging="851"/>
        <w:rPr>
          <w:b/>
          <w:sz w:val="24"/>
          <w:szCs w:val="24"/>
          <w:u w:val="single"/>
        </w:rPr>
      </w:pPr>
      <w:r w:rsidRPr="007E13D2">
        <w:rPr>
          <w:b/>
          <w:sz w:val="24"/>
          <w:szCs w:val="24"/>
        </w:rPr>
        <w:t>4.1</w:t>
      </w:r>
      <w:r w:rsidRPr="007E13D2">
        <w:rPr>
          <w:b/>
          <w:sz w:val="24"/>
          <w:szCs w:val="24"/>
        </w:rPr>
        <w:tab/>
        <w:t>Terapeutiske indikationer</w:t>
      </w:r>
    </w:p>
    <w:p w14:paraId="5C105C5E" w14:textId="1C8DD020" w:rsidR="005A03EA" w:rsidRPr="007E13D2" w:rsidRDefault="005A03EA" w:rsidP="003C6497">
      <w:pPr>
        <w:ind w:left="851"/>
        <w:rPr>
          <w:i/>
          <w:color w:val="000000"/>
          <w:sz w:val="24"/>
          <w:szCs w:val="24"/>
        </w:rPr>
      </w:pP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-opløsningen er indiceret til voksne til ekstrakorporal anvendelse til palliativ behandling af </w:t>
      </w:r>
      <w:proofErr w:type="spellStart"/>
      <w:r w:rsidRPr="007E13D2">
        <w:rPr>
          <w:sz w:val="24"/>
          <w:szCs w:val="24"/>
        </w:rPr>
        <w:t>kutant</w:t>
      </w:r>
      <w:proofErr w:type="spellEnd"/>
      <w:r w:rsidRPr="007E13D2">
        <w:rPr>
          <w:sz w:val="24"/>
          <w:szCs w:val="24"/>
        </w:rPr>
        <w:t xml:space="preserve"> T-</w:t>
      </w:r>
      <w:proofErr w:type="spellStart"/>
      <w:r w:rsidRPr="007E13D2">
        <w:rPr>
          <w:sz w:val="24"/>
          <w:szCs w:val="24"/>
        </w:rPr>
        <w:t>cellelymfom</w:t>
      </w:r>
      <w:proofErr w:type="spellEnd"/>
      <w:r w:rsidRPr="007E13D2">
        <w:rPr>
          <w:sz w:val="24"/>
          <w:szCs w:val="24"/>
        </w:rPr>
        <w:t xml:space="preserve"> i fremskredent stadium hos patienter, der ikke har reageret på andre former for behandling.</w:t>
      </w:r>
      <w:r w:rsidRPr="007E13D2">
        <w:rPr>
          <w:i/>
          <w:iCs/>
          <w:color w:val="000000"/>
          <w:sz w:val="24"/>
          <w:szCs w:val="24"/>
        </w:rPr>
        <w:t xml:space="preserve"> </w:t>
      </w:r>
    </w:p>
    <w:p w14:paraId="3317551F" w14:textId="77777777" w:rsidR="009260DE" w:rsidRPr="007E13D2" w:rsidRDefault="009260DE" w:rsidP="009260DE">
      <w:pPr>
        <w:tabs>
          <w:tab w:val="left" w:pos="851"/>
        </w:tabs>
        <w:ind w:left="851"/>
        <w:rPr>
          <w:sz w:val="24"/>
          <w:szCs w:val="24"/>
        </w:rPr>
      </w:pPr>
    </w:p>
    <w:p w14:paraId="212959BC" w14:textId="77777777" w:rsidR="009260DE" w:rsidRPr="007E13D2" w:rsidRDefault="009260DE" w:rsidP="009260DE">
      <w:pPr>
        <w:tabs>
          <w:tab w:val="left" w:pos="851"/>
        </w:tabs>
        <w:ind w:left="851" w:hanging="851"/>
        <w:rPr>
          <w:b/>
          <w:sz w:val="24"/>
          <w:szCs w:val="24"/>
        </w:rPr>
      </w:pPr>
      <w:r w:rsidRPr="007E13D2">
        <w:rPr>
          <w:b/>
          <w:sz w:val="24"/>
          <w:szCs w:val="24"/>
        </w:rPr>
        <w:t>4.2</w:t>
      </w:r>
      <w:r w:rsidRPr="007E13D2">
        <w:rPr>
          <w:b/>
          <w:sz w:val="24"/>
          <w:szCs w:val="24"/>
        </w:rPr>
        <w:tab/>
        <w:t>Dosering og indgivelsesmåde</w:t>
      </w:r>
    </w:p>
    <w:p w14:paraId="727FFF0F" w14:textId="53E45E63" w:rsidR="005A03EA" w:rsidRPr="007E13D2" w:rsidRDefault="005A03EA" w:rsidP="003C6497">
      <w:pPr>
        <w:ind w:left="851"/>
        <w:rPr>
          <w:sz w:val="24"/>
          <w:szCs w:val="24"/>
        </w:rPr>
      </w:pPr>
      <w:proofErr w:type="spellStart"/>
      <w:r w:rsidRPr="007E13D2">
        <w:rPr>
          <w:color w:val="000000"/>
          <w:sz w:val="24"/>
          <w:szCs w:val="24"/>
        </w:rPr>
        <w:t>Methoxsalen</w:t>
      </w:r>
      <w:proofErr w:type="spellEnd"/>
      <w:r w:rsidRPr="007E13D2">
        <w:rPr>
          <w:color w:val="000000"/>
          <w:sz w:val="24"/>
          <w:szCs w:val="24"/>
        </w:rPr>
        <w:t xml:space="preserve"> </w:t>
      </w:r>
      <w:r w:rsidR="000F1080">
        <w:rPr>
          <w:color w:val="000000"/>
          <w:sz w:val="24"/>
          <w:szCs w:val="24"/>
        </w:rPr>
        <w:t>"</w:t>
      </w:r>
      <w:proofErr w:type="spellStart"/>
      <w:r w:rsidRPr="007E13D2">
        <w:rPr>
          <w:color w:val="000000"/>
          <w:sz w:val="24"/>
          <w:szCs w:val="24"/>
        </w:rPr>
        <w:t>Macopharma</w:t>
      </w:r>
      <w:proofErr w:type="spellEnd"/>
      <w:r w:rsidR="000F1080">
        <w:rPr>
          <w:color w:val="000000"/>
          <w:sz w:val="24"/>
          <w:szCs w:val="24"/>
        </w:rPr>
        <w:t>"</w:t>
      </w:r>
      <w:r w:rsidRPr="007E13D2">
        <w:rPr>
          <w:color w:val="000000"/>
          <w:sz w:val="24"/>
          <w:szCs w:val="24"/>
        </w:rPr>
        <w:t xml:space="preserve"> må ikke injiceres direkte i patienten</w:t>
      </w:r>
    </w:p>
    <w:p w14:paraId="3368DC6F" w14:textId="0E9FDA70" w:rsidR="00FF58EC" w:rsidRDefault="00FF58EC">
      <w:pPr>
        <w:rPr>
          <w:sz w:val="24"/>
          <w:szCs w:val="24"/>
        </w:rPr>
      </w:pPr>
      <w:r>
        <w:rPr>
          <w:sz w:val="24"/>
          <w:szCs w:val="24"/>
        </w:rPr>
        <w:br w:type="page"/>
      </w:r>
    </w:p>
    <w:p w14:paraId="258BBCED" w14:textId="77777777" w:rsidR="005A03EA" w:rsidRPr="007E13D2" w:rsidRDefault="005A03EA" w:rsidP="003C6497">
      <w:pPr>
        <w:ind w:left="851"/>
        <w:rPr>
          <w:sz w:val="24"/>
          <w:szCs w:val="24"/>
        </w:rPr>
      </w:pPr>
    </w:p>
    <w:p w14:paraId="58DD5D13" w14:textId="77777777" w:rsidR="005A03EA" w:rsidRPr="007E13D2" w:rsidRDefault="005A03EA" w:rsidP="003C6497">
      <w:pPr>
        <w:tabs>
          <w:tab w:val="left" w:pos="1304"/>
        </w:tabs>
        <w:ind w:left="851"/>
        <w:rPr>
          <w:sz w:val="24"/>
          <w:szCs w:val="24"/>
          <w:u w:val="single"/>
        </w:rPr>
      </w:pPr>
      <w:r w:rsidRPr="007E13D2">
        <w:rPr>
          <w:sz w:val="24"/>
          <w:szCs w:val="24"/>
          <w:u w:val="single"/>
        </w:rPr>
        <w:t>Dosering</w:t>
      </w:r>
    </w:p>
    <w:p w14:paraId="3F487812" w14:textId="77777777" w:rsidR="005A03EA" w:rsidRPr="007E13D2" w:rsidRDefault="005A03EA" w:rsidP="003C6497">
      <w:pPr>
        <w:tabs>
          <w:tab w:val="left" w:pos="1304"/>
        </w:tabs>
        <w:ind w:left="851"/>
        <w:rPr>
          <w:sz w:val="24"/>
          <w:szCs w:val="24"/>
          <w:u w:val="single"/>
        </w:rPr>
      </w:pPr>
    </w:p>
    <w:p w14:paraId="5A332008" w14:textId="77777777" w:rsidR="005A03EA" w:rsidRPr="007E13D2" w:rsidRDefault="005A03EA" w:rsidP="003C6497">
      <w:pPr>
        <w:tabs>
          <w:tab w:val="left" w:pos="1304"/>
        </w:tabs>
        <w:ind w:left="851"/>
        <w:rPr>
          <w:bCs/>
          <w:i/>
          <w:iCs/>
          <w:sz w:val="24"/>
          <w:szCs w:val="24"/>
        </w:rPr>
      </w:pPr>
      <w:r w:rsidRPr="007E13D2">
        <w:rPr>
          <w:i/>
          <w:iCs/>
          <w:sz w:val="24"/>
          <w:szCs w:val="24"/>
        </w:rPr>
        <w:t>Voksne</w:t>
      </w:r>
    </w:p>
    <w:p w14:paraId="7742BC5F" w14:textId="77777777" w:rsidR="005A03EA" w:rsidRPr="007E13D2" w:rsidRDefault="005A03EA" w:rsidP="003C6497">
      <w:pPr>
        <w:tabs>
          <w:tab w:val="left" w:pos="1304"/>
        </w:tabs>
        <w:autoSpaceDE w:val="0"/>
        <w:autoSpaceDN w:val="0"/>
        <w:adjustRightInd w:val="0"/>
        <w:ind w:left="851"/>
        <w:rPr>
          <w:sz w:val="24"/>
          <w:szCs w:val="24"/>
        </w:rPr>
      </w:pPr>
      <w:r w:rsidRPr="007E13D2">
        <w:rPr>
          <w:sz w:val="24"/>
          <w:szCs w:val="24"/>
        </w:rPr>
        <w:t xml:space="preserve">Ved hver </w:t>
      </w:r>
      <w:proofErr w:type="spellStart"/>
      <w:r w:rsidRPr="007E13D2">
        <w:rPr>
          <w:sz w:val="24"/>
          <w:szCs w:val="24"/>
        </w:rPr>
        <w:t>fotoferesebehandling</w:t>
      </w:r>
      <w:proofErr w:type="spellEnd"/>
      <w:r w:rsidRPr="007E13D2">
        <w:rPr>
          <w:sz w:val="24"/>
          <w:szCs w:val="24"/>
        </w:rPr>
        <w:t xml:space="preserve"> med </w:t>
      </w:r>
      <w:proofErr w:type="spellStart"/>
      <w:r w:rsidRPr="007E13D2">
        <w:rPr>
          <w:sz w:val="24"/>
          <w:szCs w:val="24"/>
        </w:rPr>
        <w:t>methoxsalen</w:t>
      </w:r>
      <w:proofErr w:type="spellEnd"/>
      <w:r w:rsidRPr="007E13D2">
        <w:rPr>
          <w:sz w:val="24"/>
          <w:szCs w:val="24"/>
        </w:rPr>
        <w:t xml:space="preserve"> beregnes doseringen i henhold til behandlingsvolumenet ved brug af nedenstående formel:</w:t>
      </w:r>
    </w:p>
    <w:p w14:paraId="56418DCF" w14:textId="77777777" w:rsidR="005A03EA" w:rsidRPr="007E13D2" w:rsidRDefault="005A03EA" w:rsidP="003C6497">
      <w:pPr>
        <w:tabs>
          <w:tab w:val="left" w:pos="1304"/>
        </w:tabs>
        <w:autoSpaceDE w:val="0"/>
        <w:autoSpaceDN w:val="0"/>
        <w:adjustRightInd w:val="0"/>
        <w:ind w:left="851"/>
        <w:rPr>
          <w:sz w:val="24"/>
          <w:szCs w:val="24"/>
        </w:rPr>
      </w:pPr>
    </w:p>
    <w:p w14:paraId="2BEA1D6F" w14:textId="0F9ACA50" w:rsidR="005A03EA" w:rsidRPr="007E13D2" w:rsidRDefault="005A03EA" w:rsidP="00FF58EC">
      <w:pPr>
        <w:tabs>
          <w:tab w:val="left" w:pos="1304"/>
        </w:tabs>
        <w:autoSpaceDE w:val="0"/>
        <w:autoSpaceDN w:val="0"/>
        <w:adjustRightInd w:val="0"/>
        <w:ind w:left="851"/>
        <w:jc w:val="center"/>
        <w:rPr>
          <w:sz w:val="24"/>
          <w:szCs w:val="24"/>
        </w:rPr>
      </w:pPr>
      <w:r w:rsidRPr="007E13D2">
        <w:rPr>
          <w:sz w:val="24"/>
          <w:szCs w:val="24"/>
        </w:rPr>
        <w:t xml:space="preserve">Behandlingsvolumen </w:t>
      </w:r>
      <w:r w:rsidR="00FF58EC">
        <w:rPr>
          <w:sz w:val="24"/>
          <w:szCs w:val="24"/>
        </w:rPr>
        <w:t>×</w:t>
      </w:r>
      <w:r w:rsidRPr="007E13D2">
        <w:rPr>
          <w:sz w:val="24"/>
          <w:szCs w:val="24"/>
        </w:rPr>
        <w:t xml:space="preserve"> 0,017 ml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ved hver behandling</w:t>
      </w:r>
    </w:p>
    <w:p w14:paraId="4F77FFFE" w14:textId="77777777" w:rsidR="005A03EA" w:rsidRPr="007E13D2" w:rsidRDefault="005A03EA" w:rsidP="003C6497">
      <w:pPr>
        <w:tabs>
          <w:tab w:val="left" w:pos="1304"/>
        </w:tabs>
        <w:autoSpaceDE w:val="0"/>
        <w:autoSpaceDN w:val="0"/>
        <w:adjustRightInd w:val="0"/>
        <w:ind w:left="851"/>
        <w:rPr>
          <w:sz w:val="24"/>
          <w:szCs w:val="24"/>
        </w:rPr>
      </w:pPr>
    </w:p>
    <w:p w14:paraId="49A496DA" w14:textId="5E7BE06B" w:rsidR="005A03EA" w:rsidRPr="007E13D2" w:rsidRDefault="005A03EA" w:rsidP="003C6497">
      <w:pPr>
        <w:tabs>
          <w:tab w:val="left" w:pos="1304"/>
        </w:tabs>
        <w:autoSpaceDE w:val="0"/>
        <w:autoSpaceDN w:val="0"/>
        <w:adjustRightInd w:val="0"/>
        <w:ind w:left="851"/>
        <w:rPr>
          <w:sz w:val="24"/>
          <w:szCs w:val="24"/>
        </w:rPr>
      </w:pPr>
      <w:r w:rsidRPr="007E13D2">
        <w:rPr>
          <w:sz w:val="24"/>
          <w:szCs w:val="24"/>
          <w:u w:val="single"/>
        </w:rPr>
        <w:t>For eksempel:</w:t>
      </w:r>
      <w:r w:rsidRPr="007E13D2">
        <w:rPr>
          <w:sz w:val="24"/>
          <w:szCs w:val="24"/>
        </w:rPr>
        <w:t xml:space="preserve"> Behandlingsvolumen = 240 ml </w:t>
      </w:r>
      <w:r w:rsidR="00FF58EC">
        <w:rPr>
          <w:sz w:val="24"/>
          <w:szCs w:val="24"/>
        </w:rPr>
        <w:t>×</w:t>
      </w:r>
      <w:r w:rsidRPr="007E13D2">
        <w:rPr>
          <w:sz w:val="24"/>
          <w:szCs w:val="24"/>
        </w:rPr>
        <w:t xml:space="preserve"> 0,017 = 4,1 ml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p>
    <w:p w14:paraId="4A3C1265" w14:textId="77777777" w:rsidR="005A03EA" w:rsidRPr="007E13D2" w:rsidRDefault="005A03EA" w:rsidP="003C6497">
      <w:pPr>
        <w:tabs>
          <w:tab w:val="left" w:pos="1304"/>
        </w:tabs>
        <w:ind w:left="851"/>
        <w:rPr>
          <w:bCs/>
          <w:i/>
          <w:iCs/>
          <w:sz w:val="24"/>
          <w:szCs w:val="24"/>
        </w:rPr>
      </w:pPr>
    </w:p>
    <w:p w14:paraId="7D9A876D" w14:textId="77777777" w:rsidR="005A03EA" w:rsidRPr="007E13D2" w:rsidRDefault="005A03EA" w:rsidP="003C6497">
      <w:pPr>
        <w:tabs>
          <w:tab w:val="left" w:pos="1304"/>
        </w:tabs>
        <w:ind w:left="851"/>
        <w:rPr>
          <w:bCs/>
          <w:i/>
          <w:iCs/>
          <w:sz w:val="24"/>
          <w:szCs w:val="24"/>
        </w:rPr>
      </w:pPr>
      <w:r w:rsidRPr="007E13D2">
        <w:rPr>
          <w:i/>
          <w:iCs/>
          <w:sz w:val="24"/>
          <w:szCs w:val="24"/>
        </w:rPr>
        <w:t>Pædiatrisk population</w:t>
      </w:r>
    </w:p>
    <w:p w14:paraId="3C3F8C7E" w14:textId="07F03FB9" w:rsidR="005A03EA" w:rsidRPr="007E13D2" w:rsidRDefault="005A03EA" w:rsidP="003C6497">
      <w:pPr>
        <w:tabs>
          <w:tab w:val="left" w:pos="1304"/>
        </w:tabs>
        <w:autoSpaceDE w:val="0"/>
        <w:autoSpaceDN w:val="0"/>
        <w:adjustRightInd w:val="0"/>
        <w:ind w:left="851"/>
        <w:rPr>
          <w:sz w:val="24"/>
          <w:szCs w:val="24"/>
        </w:rPr>
      </w:pPr>
      <w:r w:rsidRPr="007E13D2">
        <w:rPr>
          <w:sz w:val="24"/>
          <w:szCs w:val="24"/>
        </w:rPr>
        <w:t xml:space="preserve">Sikkerheden og virkningen af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hos børn og unge (under 18 år) er ikke blevet evalueret for denne indikation.</w:t>
      </w:r>
    </w:p>
    <w:p w14:paraId="6CFD9E6E" w14:textId="77777777" w:rsidR="005A03EA" w:rsidRPr="007E13D2" w:rsidRDefault="005A03EA" w:rsidP="003C6497">
      <w:pPr>
        <w:tabs>
          <w:tab w:val="left" w:pos="1304"/>
        </w:tabs>
        <w:autoSpaceDE w:val="0"/>
        <w:autoSpaceDN w:val="0"/>
        <w:adjustRightInd w:val="0"/>
        <w:ind w:left="851"/>
        <w:rPr>
          <w:sz w:val="24"/>
          <w:szCs w:val="24"/>
        </w:rPr>
      </w:pPr>
    </w:p>
    <w:p w14:paraId="58B3C7F0" w14:textId="77777777" w:rsidR="005A03EA" w:rsidRPr="007E13D2" w:rsidRDefault="005A03EA" w:rsidP="003C6497">
      <w:pPr>
        <w:tabs>
          <w:tab w:val="left" w:pos="1304"/>
        </w:tabs>
        <w:ind w:left="851"/>
        <w:rPr>
          <w:bCs/>
          <w:i/>
          <w:iCs/>
          <w:sz w:val="24"/>
          <w:szCs w:val="24"/>
        </w:rPr>
      </w:pPr>
      <w:r w:rsidRPr="007E13D2">
        <w:rPr>
          <w:i/>
          <w:iCs/>
          <w:sz w:val="24"/>
          <w:szCs w:val="24"/>
        </w:rPr>
        <w:t>Nedsat lever- eller nyrefunktion</w:t>
      </w:r>
    </w:p>
    <w:p w14:paraId="040A2446" w14:textId="5FF46C23" w:rsidR="005A03EA" w:rsidRPr="007E13D2" w:rsidRDefault="005A03EA" w:rsidP="003C6497">
      <w:pPr>
        <w:tabs>
          <w:tab w:val="left" w:pos="1304"/>
        </w:tabs>
        <w:autoSpaceDE w:val="0"/>
        <w:autoSpaceDN w:val="0"/>
        <w:adjustRightInd w:val="0"/>
        <w:ind w:left="851"/>
        <w:rPr>
          <w:sz w:val="24"/>
          <w:szCs w:val="24"/>
        </w:rPr>
      </w:pP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er ikke blevet klinisk testet hos patienter med nedsat nyre- eller leverfunktion.</w:t>
      </w:r>
    </w:p>
    <w:p w14:paraId="141E3BFE" w14:textId="77777777" w:rsidR="005A03EA" w:rsidRPr="007E13D2" w:rsidRDefault="005A03EA" w:rsidP="003C6497">
      <w:pPr>
        <w:tabs>
          <w:tab w:val="left" w:pos="1304"/>
        </w:tabs>
        <w:autoSpaceDE w:val="0"/>
        <w:autoSpaceDN w:val="0"/>
        <w:adjustRightInd w:val="0"/>
        <w:ind w:left="851"/>
        <w:rPr>
          <w:sz w:val="24"/>
          <w:szCs w:val="24"/>
        </w:rPr>
      </w:pPr>
      <w:r w:rsidRPr="007E13D2">
        <w:rPr>
          <w:sz w:val="24"/>
          <w:szCs w:val="24"/>
        </w:rPr>
        <w:t>Leverenzymer bør overvåges regelmæssigt før og under behandlingen (se pkt. 4.4).</w:t>
      </w:r>
    </w:p>
    <w:p w14:paraId="66F03957" w14:textId="77777777" w:rsidR="005A03EA" w:rsidRPr="008D6E34" w:rsidRDefault="005A03EA" w:rsidP="003C6497">
      <w:pPr>
        <w:tabs>
          <w:tab w:val="left" w:pos="1304"/>
        </w:tabs>
        <w:autoSpaceDE w:val="0"/>
        <w:autoSpaceDN w:val="0"/>
        <w:adjustRightInd w:val="0"/>
        <w:ind w:left="851"/>
        <w:rPr>
          <w:sz w:val="24"/>
          <w:szCs w:val="24"/>
        </w:rPr>
      </w:pPr>
    </w:p>
    <w:p w14:paraId="28D4B60B" w14:textId="77777777" w:rsidR="005A03EA" w:rsidRPr="007E13D2" w:rsidRDefault="005A03EA" w:rsidP="003C6497">
      <w:pPr>
        <w:tabs>
          <w:tab w:val="left" w:pos="1304"/>
        </w:tabs>
        <w:ind w:left="851"/>
        <w:rPr>
          <w:sz w:val="24"/>
          <w:szCs w:val="24"/>
          <w:u w:val="single"/>
        </w:rPr>
      </w:pPr>
      <w:r w:rsidRPr="007E13D2">
        <w:rPr>
          <w:sz w:val="24"/>
          <w:szCs w:val="24"/>
          <w:u w:val="single"/>
        </w:rPr>
        <w:t xml:space="preserve">Administration </w:t>
      </w:r>
    </w:p>
    <w:p w14:paraId="76FFCB31" w14:textId="77777777" w:rsidR="005A03EA" w:rsidRPr="007E13D2" w:rsidRDefault="005A03EA" w:rsidP="003C6497">
      <w:pPr>
        <w:autoSpaceDE w:val="0"/>
        <w:autoSpaceDN w:val="0"/>
        <w:adjustRightInd w:val="0"/>
        <w:ind w:left="851"/>
        <w:rPr>
          <w:sz w:val="24"/>
          <w:szCs w:val="24"/>
        </w:rPr>
      </w:pPr>
      <w:r w:rsidRPr="007E13D2">
        <w:rPr>
          <w:sz w:val="24"/>
          <w:szCs w:val="24"/>
        </w:rPr>
        <w:t>Ekstrakorporal anvendelse.</w:t>
      </w:r>
    </w:p>
    <w:p w14:paraId="30A6F099" w14:textId="77777777" w:rsidR="005A03EA" w:rsidRPr="007E13D2" w:rsidRDefault="005A03EA" w:rsidP="003C6497">
      <w:pPr>
        <w:autoSpaceDE w:val="0"/>
        <w:autoSpaceDN w:val="0"/>
        <w:adjustRightInd w:val="0"/>
        <w:ind w:left="851"/>
        <w:rPr>
          <w:sz w:val="24"/>
          <w:szCs w:val="24"/>
        </w:rPr>
      </w:pPr>
    </w:p>
    <w:p w14:paraId="0F68EA76" w14:textId="77777777" w:rsidR="005A03EA" w:rsidRPr="007E13D2" w:rsidRDefault="005A03EA" w:rsidP="00422739">
      <w:pPr>
        <w:pBdr>
          <w:top w:val="single" w:sz="4" w:space="1" w:color="auto"/>
          <w:left w:val="single" w:sz="4" w:space="4" w:color="auto"/>
          <w:bottom w:val="single" w:sz="4" w:space="1" w:color="auto"/>
          <w:right w:val="single" w:sz="4" w:space="4" w:color="auto"/>
        </w:pBdr>
        <w:autoSpaceDE w:val="0"/>
        <w:autoSpaceDN w:val="0"/>
        <w:adjustRightInd w:val="0"/>
        <w:ind w:left="851"/>
        <w:rPr>
          <w:i/>
          <w:sz w:val="24"/>
          <w:szCs w:val="24"/>
        </w:rPr>
      </w:pPr>
      <w:r w:rsidRPr="007E13D2">
        <w:rPr>
          <w:i/>
          <w:iCs/>
          <w:sz w:val="24"/>
          <w:szCs w:val="24"/>
        </w:rPr>
        <w:t>Bemærk:</w:t>
      </w:r>
    </w:p>
    <w:p w14:paraId="46F77248" w14:textId="77777777" w:rsidR="005A03EA" w:rsidRPr="007E13D2" w:rsidRDefault="005A03EA" w:rsidP="00422739">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rPr>
      </w:pPr>
      <w:r w:rsidRPr="007E13D2">
        <w:rPr>
          <w:sz w:val="24"/>
          <w:szCs w:val="24"/>
        </w:rPr>
        <w:t>Ekstrakorporal fotokemoterapi må kun udføres af personer med passende uddannelse og på institutioner, der bortskaffer udstyret til denne behandling på en passende måde.</w:t>
      </w:r>
    </w:p>
    <w:p w14:paraId="1DE7FD97" w14:textId="77777777" w:rsidR="005A03EA" w:rsidRPr="007E13D2" w:rsidRDefault="005A03EA" w:rsidP="00422739">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rPr>
      </w:pPr>
      <w:proofErr w:type="spellStart"/>
      <w:r w:rsidRPr="007E13D2">
        <w:rPr>
          <w:sz w:val="24"/>
          <w:szCs w:val="24"/>
        </w:rPr>
        <w:t>Psoralen</w:t>
      </w:r>
      <w:proofErr w:type="spellEnd"/>
      <w:r w:rsidRPr="007E13D2">
        <w:rPr>
          <w:sz w:val="24"/>
          <w:szCs w:val="24"/>
        </w:rPr>
        <w:t xml:space="preserve"> og UV-bestrålingsterapi skal foregå under konstant opsyn af en læge med passende uddannelse.</w:t>
      </w:r>
    </w:p>
    <w:p w14:paraId="67F83DA1" w14:textId="77777777" w:rsidR="005A03EA" w:rsidRPr="007E13D2" w:rsidRDefault="005A03EA" w:rsidP="00422739">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rPr>
      </w:pPr>
      <w:r w:rsidRPr="007E13D2">
        <w:rPr>
          <w:sz w:val="24"/>
          <w:szCs w:val="24"/>
        </w:rPr>
        <w:t>Arbejdsgangen for proceduren (i henhold til det firma, der fremstiller det anvendte udstyr og/eller de seneste retningslinjer) skal nøje følges.</w:t>
      </w:r>
    </w:p>
    <w:p w14:paraId="61891D2C" w14:textId="77777777" w:rsidR="005A03EA" w:rsidRPr="007E13D2" w:rsidRDefault="005A03EA" w:rsidP="005A03EA">
      <w:pPr>
        <w:autoSpaceDE w:val="0"/>
        <w:autoSpaceDN w:val="0"/>
        <w:adjustRightInd w:val="0"/>
        <w:jc w:val="both"/>
        <w:rPr>
          <w:sz w:val="24"/>
          <w:szCs w:val="24"/>
        </w:rPr>
      </w:pPr>
    </w:p>
    <w:p w14:paraId="64311712" w14:textId="05C420FF" w:rsidR="005A03EA" w:rsidRPr="007E13D2" w:rsidRDefault="005A03EA" w:rsidP="00422739">
      <w:pPr>
        <w:autoSpaceDE w:val="0"/>
        <w:autoSpaceDN w:val="0"/>
        <w:adjustRightInd w:val="0"/>
        <w:ind w:left="851"/>
        <w:rPr>
          <w:sz w:val="24"/>
          <w:szCs w:val="24"/>
        </w:rPr>
      </w:pPr>
      <w:r w:rsidRPr="007E13D2">
        <w:rPr>
          <w:sz w:val="24"/>
          <w:szCs w:val="24"/>
        </w:rPr>
        <w:t xml:space="preserve">I </w:t>
      </w:r>
      <w:proofErr w:type="spellStart"/>
      <w:r w:rsidRPr="007E13D2">
        <w:rPr>
          <w:sz w:val="24"/>
          <w:szCs w:val="24"/>
        </w:rPr>
        <w:t>fotofereseprocessen</w:t>
      </w:r>
      <w:proofErr w:type="spellEnd"/>
      <w:r w:rsidRPr="007E13D2">
        <w:rPr>
          <w:sz w:val="24"/>
          <w:szCs w:val="24"/>
        </w:rPr>
        <w:t xml:space="preserve"> adskilles komponenterne i helblodet. Erytrocytterne og overskydende plasma sendes tilbage til patienten med det samme, mens </w:t>
      </w:r>
      <w:proofErr w:type="spellStart"/>
      <w:r w:rsidRPr="007E13D2">
        <w:rPr>
          <w:sz w:val="24"/>
          <w:szCs w:val="24"/>
        </w:rPr>
        <w:t>buffy</w:t>
      </w:r>
      <w:proofErr w:type="spellEnd"/>
      <w:r w:rsidRPr="007E13D2">
        <w:rPr>
          <w:sz w:val="24"/>
          <w:szCs w:val="24"/>
        </w:rPr>
        <w:t xml:space="preserve"> coat (leukocytberiget blod) og noget plasma opsamles.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tilsættes, bestråles med UV-lys og </w:t>
      </w:r>
      <w:proofErr w:type="spellStart"/>
      <w:r w:rsidRPr="007E13D2">
        <w:rPr>
          <w:sz w:val="24"/>
          <w:szCs w:val="24"/>
        </w:rPr>
        <w:t>geninfunderes</w:t>
      </w:r>
      <w:proofErr w:type="spellEnd"/>
      <w:r w:rsidRPr="007E13D2">
        <w:rPr>
          <w:sz w:val="24"/>
          <w:szCs w:val="24"/>
        </w:rPr>
        <w:t xml:space="preserve"> derefter i patienten.</w:t>
      </w:r>
    </w:p>
    <w:p w14:paraId="4A4EF191" w14:textId="77777777" w:rsidR="005A03EA" w:rsidRPr="007E13D2" w:rsidRDefault="005A03EA" w:rsidP="00422739">
      <w:pPr>
        <w:autoSpaceDE w:val="0"/>
        <w:autoSpaceDN w:val="0"/>
        <w:adjustRightInd w:val="0"/>
        <w:ind w:left="851"/>
        <w:rPr>
          <w:sz w:val="24"/>
          <w:szCs w:val="24"/>
        </w:rPr>
      </w:pPr>
    </w:p>
    <w:p w14:paraId="51963452" w14:textId="77777777" w:rsidR="005A03EA" w:rsidRPr="007E13D2" w:rsidRDefault="005A03EA" w:rsidP="00422739">
      <w:pPr>
        <w:autoSpaceDE w:val="0"/>
        <w:autoSpaceDN w:val="0"/>
        <w:adjustRightInd w:val="0"/>
        <w:ind w:left="851"/>
        <w:rPr>
          <w:sz w:val="24"/>
          <w:szCs w:val="24"/>
        </w:rPr>
      </w:pPr>
      <w:r w:rsidRPr="007E13D2">
        <w:rPr>
          <w:sz w:val="24"/>
          <w:szCs w:val="24"/>
        </w:rPr>
        <w:t>Følgende grundlæggende regler skal følges:</w:t>
      </w:r>
    </w:p>
    <w:p w14:paraId="0A62162B"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 xml:space="preserve">Hæmatokrit af den adskilte blodfraktion bør ikke overstige 5 %, så eksponering for </w:t>
      </w:r>
      <w:proofErr w:type="spellStart"/>
      <w:r w:rsidRPr="007E13D2">
        <w:rPr>
          <w:sz w:val="24"/>
          <w:szCs w:val="24"/>
          <w:lang w:val="da-DK"/>
        </w:rPr>
        <w:t>UVA-stråling</w:t>
      </w:r>
      <w:proofErr w:type="spellEnd"/>
      <w:r w:rsidRPr="007E13D2">
        <w:rPr>
          <w:sz w:val="24"/>
          <w:szCs w:val="24"/>
          <w:lang w:val="da-DK"/>
        </w:rPr>
        <w:t xml:space="preserve"> ikke blokeres og virkningen af behandlingen derved nedsættes.</w:t>
      </w:r>
    </w:p>
    <w:p w14:paraId="6FF92411" w14:textId="124B7DE0"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 xml:space="preserve">Før bestråling med UVA-lys (i strålingsposen) tilsættes </w:t>
      </w:r>
      <w:proofErr w:type="spellStart"/>
      <w:r w:rsidRPr="007E13D2">
        <w:rPr>
          <w:sz w:val="24"/>
          <w:szCs w:val="24"/>
          <w:lang w:val="da-DK"/>
        </w:rPr>
        <w:t>heparin</w:t>
      </w:r>
      <w:proofErr w:type="spellEnd"/>
      <w:r w:rsidRPr="007E13D2">
        <w:rPr>
          <w:sz w:val="24"/>
          <w:szCs w:val="24"/>
          <w:lang w:val="da-DK"/>
        </w:rPr>
        <w:t xml:space="preserve">, isotonisk saltopløsning og den foreskrevne mængde </w:t>
      </w:r>
      <w:proofErr w:type="spellStart"/>
      <w:r w:rsidRPr="007E13D2">
        <w:rPr>
          <w:sz w:val="24"/>
          <w:szCs w:val="24"/>
          <w:lang w:val="da-DK"/>
        </w:rPr>
        <w:t>Methoxsalen</w:t>
      </w:r>
      <w:proofErr w:type="spellEnd"/>
      <w:r w:rsidRPr="007E13D2">
        <w:rPr>
          <w:sz w:val="24"/>
          <w:szCs w:val="24"/>
          <w:lang w:val="da-DK"/>
        </w:rPr>
        <w:t xml:space="preserve"> </w:t>
      </w:r>
      <w:r w:rsidR="000F1080">
        <w:rPr>
          <w:sz w:val="24"/>
          <w:szCs w:val="24"/>
          <w:lang w:val="da-DK"/>
        </w:rPr>
        <w:t>"</w:t>
      </w:r>
      <w:proofErr w:type="spellStart"/>
      <w:r w:rsidRPr="007E13D2">
        <w:rPr>
          <w:sz w:val="24"/>
          <w:szCs w:val="24"/>
          <w:lang w:val="da-DK"/>
        </w:rPr>
        <w:t>Macopharma</w:t>
      </w:r>
      <w:proofErr w:type="spellEnd"/>
      <w:r w:rsidR="000F1080">
        <w:rPr>
          <w:sz w:val="24"/>
          <w:szCs w:val="24"/>
          <w:lang w:val="da-DK"/>
        </w:rPr>
        <w:t>"</w:t>
      </w:r>
      <w:r w:rsidRPr="007E13D2">
        <w:rPr>
          <w:sz w:val="24"/>
          <w:szCs w:val="24"/>
          <w:lang w:val="da-DK"/>
        </w:rPr>
        <w:t xml:space="preserve"> til leukocytterne.</w:t>
      </w:r>
    </w:p>
    <w:p w14:paraId="43E9A613"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Mængden, der opsamles til behandlingen, kan variere (fra 120 ml til 540 ml), afhængigt af patientens kropsvægt, blodvolumen og anvendt behandlingsmetode (online- eller offline-metode).</w:t>
      </w:r>
    </w:p>
    <w:p w14:paraId="7594F127"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Under fotoaktivering bestråles det leukocytberigede blod med UVA-lys (1 til 2 J/cm</w:t>
      </w:r>
      <w:r w:rsidRPr="007E13D2">
        <w:rPr>
          <w:sz w:val="24"/>
          <w:szCs w:val="24"/>
          <w:vertAlign w:val="superscript"/>
          <w:lang w:val="da-DK"/>
        </w:rPr>
        <w:t>2</w:t>
      </w:r>
      <w:r w:rsidRPr="007E13D2">
        <w:rPr>
          <w:sz w:val="24"/>
          <w:szCs w:val="24"/>
          <w:lang w:val="da-DK"/>
        </w:rPr>
        <w:t>).</w:t>
      </w:r>
    </w:p>
    <w:p w14:paraId="6DF46598"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rPr>
      </w:pPr>
      <w:r w:rsidRPr="007E13D2">
        <w:rPr>
          <w:sz w:val="24"/>
          <w:szCs w:val="24"/>
          <w:lang w:val="da-DK"/>
        </w:rPr>
        <w:t xml:space="preserve">Ved afslutningen af fotoaktiveringscyklussen </w:t>
      </w:r>
      <w:proofErr w:type="spellStart"/>
      <w:r w:rsidRPr="007E13D2">
        <w:rPr>
          <w:sz w:val="24"/>
          <w:szCs w:val="24"/>
          <w:lang w:val="da-DK"/>
        </w:rPr>
        <w:t>geninfunderes</w:t>
      </w:r>
      <w:proofErr w:type="spellEnd"/>
      <w:r w:rsidRPr="007E13D2">
        <w:rPr>
          <w:sz w:val="24"/>
          <w:szCs w:val="24"/>
          <w:lang w:val="da-DK"/>
        </w:rPr>
        <w:t xml:space="preserve"> de fotoaktiverede celler ved intravenøst drop. Den anbefalede varighed af </w:t>
      </w:r>
      <w:proofErr w:type="spellStart"/>
      <w:r w:rsidRPr="007E13D2">
        <w:rPr>
          <w:sz w:val="24"/>
          <w:szCs w:val="24"/>
          <w:lang w:val="da-DK"/>
        </w:rPr>
        <w:t>reinfusionen</w:t>
      </w:r>
      <w:proofErr w:type="spellEnd"/>
      <w:r w:rsidRPr="007E13D2">
        <w:rPr>
          <w:sz w:val="24"/>
          <w:szCs w:val="24"/>
          <w:lang w:val="da-DK"/>
        </w:rPr>
        <w:t xml:space="preserve"> er 15 til 20 minutter.</w:t>
      </w:r>
    </w:p>
    <w:p w14:paraId="53EA5EF2"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proofErr w:type="spellStart"/>
      <w:r w:rsidRPr="007E13D2">
        <w:rPr>
          <w:sz w:val="24"/>
          <w:szCs w:val="24"/>
          <w:lang w:val="da-DK"/>
        </w:rPr>
        <w:t>Buffy</w:t>
      </w:r>
      <w:proofErr w:type="spellEnd"/>
      <w:r w:rsidRPr="007E13D2">
        <w:rPr>
          <w:sz w:val="24"/>
          <w:szCs w:val="24"/>
          <w:lang w:val="da-DK"/>
        </w:rPr>
        <w:t xml:space="preserve"> coat-opsamlingscyklussen gentages op til seks gange, og den komplette </w:t>
      </w:r>
      <w:proofErr w:type="spellStart"/>
      <w:r w:rsidRPr="007E13D2">
        <w:rPr>
          <w:sz w:val="24"/>
          <w:szCs w:val="24"/>
          <w:lang w:val="da-DK"/>
        </w:rPr>
        <w:t>fotofereseprocedure</w:t>
      </w:r>
      <w:proofErr w:type="spellEnd"/>
      <w:r w:rsidRPr="007E13D2">
        <w:rPr>
          <w:sz w:val="24"/>
          <w:szCs w:val="24"/>
          <w:lang w:val="da-DK"/>
        </w:rPr>
        <w:t xml:space="preserve"> varer ca. 3 til 4 timer.</w:t>
      </w:r>
    </w:p>
    <w:p w14:paraId="614944F3"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lastRenderedPageBreak/>
        <w:t>Under behandlingen skal blodtryk, puls og kropstemperatur overvåges.</w:t>
      </w:r>
    </w:p>
    <w:p w14:paraId="52E712B7" w14:textId="77777777" w:rsidR="005A03EA" w:rsidRPr="007E13D2" w:rsidRDefault="005A03EA" w:rsidP="005A03EA">
      <w:pPr>
        <w:autoSpaceDE w:val="0"/>
        <w:autoSpaceDN w:val="0"/>
        <w:adjustRightInd w:val="0"/>
        <w:rPr>
          <w:sz w:val="24"/>
          <w:szCs w:val="24"/>
        </w:rPr>
      </w:pPr>
    </w:p>
    <w:p w14:paraId="05C5DAAA" w14:textId="77777777" w:rsidR="005A03EA" w:rsidRPr="007E13D2" w:rsidRDefault="005A03EA" w:rsidP="00422739">
      <w:pPr>
        <w:autoSpaceDE w:val="0"/>
        <w:autoSpaceDN w:val="0"/>
        <w:adjustRightInd w:val="0"/>
        <w:ind w:left="851"/>
        <w:rPr>
          <w:sz w:val="24"/>
          <w:szCs w:val="24"/>
          <w:u w:val="single"/>
        </w:rPr>
      </w:pPr>
      <w:r w:rsidRPr="007E13D2">
        <w:rPr>
          <w:sz w:val="24"/>
          <w:szCs w:val="24"/>
          <w:u w:val="single"/>
        </w:rPr>
        <w:t>Behandlingens varighed</w:t>
      </w:r>
    </w:p>
    <w:p w14:paraId="1262599E" w14:textId="77777777" w:rsidR="005A03EA" w:rsidRPr="007E13D2" w:rsidRDefault="005A03EA" w:rsidP="00422739">
      <w:pPr>
        <w:autoSpaceDE w:val="0"/>
        <w:autoSpaceDN w:val="0"/>
        <w:adjustRightInd w:val="0"/>
        <w:ind w:left="851"/>
        <w:rPr>
          <w:sz w:val="24"/>
          <w:szCs w:val="24"/>
        </w:rPr>
      </w:pPr>
      <w:r w:rsidRPr="007E13D2">
        <w:rPr>
          <w:sz w:val="24"/>
          <w:szCs w:val="24"/>
        </w:rPr>
        <w:t>I løbet af de første tre måneder anbefales det at udføre behandlingen to på hinanden følgende dage hver 2. til 4. uge. Derefter anbefales 2-dages behandlingscyklusser hver 3. til 4. uge.</w:t>
      </w:r>
    </w:p>
    <w:p w14:paraId="6214BC2B" w14:textId="77777777" w:rsidR="005A03EA" w:rsidRPr="007E13D2" w:rsidRDefault="005A03EA" w:rsidP="00422739">
      <w:pPr>
        <w:autoSpaceDE w:val="0"/>
        <w:autoSpaceDN w:val="0"/>
        <w:adjustRightInd w:val="0"/>
        <w:ind w:left="851"/>
        <w:rPr>
          <w:sz w:val="24"/>
          <w:szCs w:val="24"/>
        </w:rPr>
      </w:pPr>
      <w:r w:rsidRPr="007E13D2">
        <w:rPr>
          <w:sz w:val="24"/>
          <w:szCs w:val="24"/>
        </w:rPr>
        <w:t>Det er blevet vist, at højere behandlingsfrekvenser ikke fører til bedre behandlingsresultater.</w:t>
      </w:r>
    </w:p>
    <w:p w14:paraId="5083992F" w14:textId="77777777" w:rsidR="005A03EA" w:rsidRPr="007E13D2" w:rsidRDefault="005A03EA" w:rsidP="00422739">
      <w:pPr>
        <w:autoSpaceDE w:val="0"/>
        <w:autoSpaceDN w:val="0"/>
        <w:adjustRightInd w:val="0"/>
        <w:ind w:left="851"/>
        <w:rPr>
          <w:sz w:val="24"/>
          <w:szCs w:val="24"/>
        </w:rPr>
      </w:pPr>
      <w:r w:rsidRPr="007E13D2">
        <w:rPr>
          <w:sz w:val="24"/>
          <w:szCs w:val="24"/>
        </w:rPr>
        <w:t>Så snart maksimal behandlingsrespons er opnået, skal intervallerne gradvist forlænges til 4 til 8 uger. Derefter fortsættes hver 8. uge som vedligeholdelsesbehandling.</w:t>
      </w:r>
    </w:p>
    <w:p w14:paraId="63987890" w14:textId="77777777" w:rsidR="005A03EA" w:rsidRPr="007E13D2" w:rsidRDefault="005A03EA" w:rsidP="00422739">
      <w:pPr>
        <w:autoSpaceDE w:val="0"/>
        <w:autoSpaceDN w:val="0"/>
        <w:adjustRightInd w:val="0"/>
        <w:ind w:left="851"/>
        <w:rPr>
          <w:sz w:val="24"/>
          <w:szCs w:val="24"/>
        </w:rPr>
      </w:pPr>
    </w:p>
    <w:p w14:paraId="6B561A01" w14:textId="77777777" w:rsidR="005A03EA" w:rsidRPr="007E13D2" w:rsidRDefault="005A03EA" w:rsidP="00422739">
      <w:pPr>
        <w:autoSpaceDE w:val="0"/>
        <w:autoSpaceDN w:val="0"/>
        <w:adjustRightInd w:val="0"/>
        <w:ind w:left="851"/>
        <w:rPr>
          <w:sz w:val="24"/>
          <w:szCs w:val="24"/>
        </w:rPr>
      </w:pPr>
      <w:r w:rsidRPr="007E13D2">
        <w:rPr>
          <w:sz w:val="24"/>
          <w:szCs w:val="24"/>
        </w:rPr>
        <w:t xml:space="preserve">Varigheden af </w:t>
      </w:r>
      <w:proofErr w:type="spellStart"/>
      <w:r w:rsidRPr="007E13D2">
        <w:rPr>
          <w:sz w:val="24"/>
          <w:szCs w:val="24"/>
        </w:rPr>
        <w:t>fotoferesebehandling</w:t>
      </w:r>
      <w:proofErr w:type="spellEnd"/>
      <w:r w:rsidRPr="007E13D2">
        <w:rPr>
          <w:sz w:val="24"/>
          <w:szCs w:val="24"/>
        </w:rPr>
        <w:t xml:space="preserve"> skal være mindst 6 måneder. Hos patienter med god respons på behandlingen, eller hvis sygdom kan stabiliseres, så de derigennem opnår en god livskvalitet, kan </w:t>
      </w:r>
      <w:proofErr w:type="spellStart"/>
      <w:r w:rsidRPr="007E13D2">
        <w:rPr>
          <w:sz w:val="24"/>
          <w:szCs w:val="24"/>
        </w:rPr>
        <w:t>fotoferese</w:t>
      </w:r>
      <w:proofErr w:type="spellEnd"/>
      <w:r w:rsidRPr="007E13D2">
        <w:rPr>
          <w:sz w:val="24"/>
          <w:szCs w:val="24"/>
        </w:rPr>
        <w:t xml:space="preserve"> udføres i 2 år eller mere.</w:t>
      </w:r>
    </w:p>
    <w:p w14:paraId="61309591" w14:textId="77777777" w:rsidR="005A03EA" w:rsidRPr="007E13D2" w:rsidRDefault="005A03EA" w:rsidP="00422739">
      <w:pPr>
        <w:autoSpaceDE w:val="0"/>
        <w:autoSpaceDN w:val="0"/>
        <w:adjustRightInd w:val="0"/>
        <w:ind w:left="851"/>
        <w:rPr>
          <w:sz w:val="24"/>
          <w:szCs w:val="24"/>
        </w:rPr>
      </w:pPr>
    </w:p>
    <w:p w14:paraId="4A64421C" w14:textId="705D6562" w:rsidR="009260DE" w:rsidRPr="007E13D2" w:rsidRDefault="005A03EA" w:rsidP="008D6E34">
      <w:pPr>
        <w:autoSpaceDE w:val="0"/>
        <w:autoSpaceDN w:val="0"/>
        <w:adjustRightInd w:val="0"/>
        <w:ind w:left="851"/>
        <w:rPr>
          <w:sz w:val="24"/>
          <w:szCs w:val="24"/>
        </w:rPr>
      </w:pPr>
      <w:r w:rsidRPr="007E13D2">
        <w:rPr>
          <w:sz w:val="24"/>
          <w:szCs w:val="24"/>
        </w:rPr>
        <w:t>Ovenstående anbefalinger er generelle retningslinjer. Behandlingscyklusserne kan tilpasses til det specifikke kliniske billede hos hver enkelt patient og patientens respons. Se også pkt. 6.6</w:t>
      </w:r>
      <w:r w:rsidR="008D6E34">
        <w:rPr>
          <w:sz w:val="24"/>
          <w:szCs w:val="24"/>
        </w:rPr>
        <w:t>.</w:t>
      </w:r>
    </w:p>
    <w:p w14:paraId="03490A96" w14:textId="77777777" w:rsidR="009260DE" w:rsidRPr="007E13D2" w:rsidRDefault="009260DE" w:rsidP="009260DE">
      <w:pPr>
        <w:tabs>
          <w:tab w:val="left" w:pos="851"/>
        </w:tabs>
        <w:ind w:left="851"/>
        <w:rPr>
          <w:sz w:val="24"/>
          <w:szCs w:val="24"/>
        </w:rPr>
      </w:pPr>
    </w:p>
    <w:p w14:paraId="2427CAE0" w14:textId="77777777" w:rsidR="009260DE" w:rsidRPr="007E13D2" w:rsidRDefault="009260DE" w:rsidP="009260DE">
      <w:pPr>
        <w:tabs>
          <w:tab w:val="left" w:pos="851"/>
        </w:tabs>
        <w:ind w:left="851" w:hanging="851"/>
        <w:rPr>
          <w:b/>
          <w:sz w:val="24"/>
          <w:szCs w:val="24"/>
        </w:rPr>
      </w:pPr>
      <w:r w:rsidRPr="007E13D2">
        <w:rPr>
          <w:b/>
          <w:sz w:val="24"/>
          <w:szCs w:val="24"/>
        </w:rPr>
        <w:t>4.3</w:t>
      </w:r>
      <w:r w:rsidRPr="007E13D2">
        <w:rPr>
          <w:b/>
          <w:sz w:val="24"/>
          <w:szCs w:val="24"/>
        </w:rPr>
        <w:tab/>
        <w:t>Kontraindikationer</w:t>
      </w:r>
    </w:p>
    <w:p w14:paraId="53802DD5"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 xml:space="preserve">Overfølsomhed over for det aktive stof, andre </w:t>
      </w:r>
      <w:proofErr w:type="spellStart"/>
      <w:r w:rsidRPr="007E13D2">
        <w:rPr>
          <w:sz w:val="24"/>
          <w:szCs w:val="24"/>
          <w:lang w:val="da-DK"/>
        </w:rPr>
        <w:t>psoralenforbindelser</w:t>
      </w:r>
      <w:proofErr w:type="spellEnd"/>
      <w:r w:rsidRPr="007E13D2">
        <w:rPr>
          <w:sz w:val="24"/>
          <w:szCs w:val="24"/>
          <w:lang w:val="da-DK"/>
        </w:rPr>
        <w:t xml:space="preserve"> eller over for et eller flere af hjælpestofferne anført i pkt. 6.1.</w:t>
      </w:r>
    </w:p>
    <w:p w14:paraId="776B1466"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 xml:space="preserve">Samtidig ondartet hudtumor (f.eks. melanom, </w:t>
      </w:r>
      <w:proofErr w:type="spellStart"/>
      <w:r w:rsidRPr="007E13D2">
        <w:rPr>
          <w:sz w:val="24"/>
          <w:szCs w:val="24"/>
          <w:lang w:val="da-DK"/>
        </w:rPr>
        <w:t>basalcellecarcinom</w:t>
      </w:r>
      <w:proofErr w:type="spellEnd"/>
      <w:r w:rsidRPr="007E13D2">
        <w:rPr>
          <w:sz w:val="24"/>
          <w:szCs w:val="24"/>
          <w:lang w:val="da-DK"/>
        </w:rPr>
        <w:t>)</w:t>
      </w:r>
    </w:p>
    <w:p w14:paraId="61FA8CF5"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 xml:space="preserve">Fotosensitiv sygdom (f.eks. </w:t>
      </w:r>
      <w:proofErr w:type="spellStart"/>
      <w:r w:rsidRPr="007E13D2">
        <w:rPr>
          <w:sz w:val="24"/>
          <w:szCs w:val="24"/>
          <w:lang w:val="da-DK"/>
        </w:rPr>
        <w:t>porfyri</w:t>
      </w:r>
      <w:proofErr w:type="spellEnd"/>
      <w:r w:rsidRPr="007E13D2">
        <w:rPr>
          <w:sz w:val="24"/>
          <w:szCs w:val="24"/>
          <w:lang w:val="da-DK"/>
        </w:rPr>
        <w:t xml:space="preserve">, systemisk lupus </w:t>
      </w:r>
      <w:proofErr w:type="spellStart"/>
      <w:r w:rsidRPr="007E13D2">
        <w:rPr>
          <w:sz w:val="24"/>
          <w:szCs w:val="24"/>
          <w:lang w:val="da-DK"/>
        </w:rPr>
        <w:t>erythematosus</w:t>
      </w:r>
      <w:proofErr w:type="spellEnd"/>
      <w:r w:rsidRPr="007E13D2">
        <w:rPr>
          <w:sz w:val="24"/>
          <w:szCs w:val="24"/>
          <w:lang w:val="da-DK"/>
        </w:rPr>
        <w:t xml:space="preserve"> eller albinisme)</w:t>
      </w:r>
    </w:p>
    <w:p w14:paraId="63FE6F3D"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Seksuelt aktive mænd og seksuelt aktive kvinder i den fødedygtige alder, medmindre effektiv antikonception anvendes i behandlingsperioden (se pkt. 4.6).</w:t>
      </w:r>
    </w:p>
    <w:p w14:paraId="32FE6801"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rPr>
      </w:pPr>
      <w:proofErr w:type="spellStart"/>
      <w:r w:rsidRPr="007E13D2">
        <w:rPr>
          <w:sz w:val="24"/>
          <w:szCs w:val="24"/>
          <w:lang w:val="da-DK"/>
        </w:rPr>
        <w:t>Afaki</w:t>
      </w:r>
      <w:proofErr w:type="spellEnd"/>
    </w:p>
    <w:p w14:paraId="64E8B6F8"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rPr>
      </w:pPr>
      <w:r w:rsidRPr="007E13D2">
        <w:rPr>
          <w:sz w:val="24"/>
          <w:szCs w:val="24"/>
          <w:lang w:val="da-DK"/>
        </w:rPr>
        <w:t>Graviditet og amning.</w:t>
      </w:r>
    </w:p>
    <w:p w14:paraId="4EC0224F" w14:textId="77777777" w:rsidR="005A03EA" w:rsidRPr="007E13D2" w:rsidRDefault="005A03EA" w:rsidP="005A03EA">
      <w:pPr>
        <w:rPr>
          <w:sz w:val="24"/>
          <w:szCs w:val="24"/>
        </w:rPr>
      </w:pPr>
    </w:p>
    <w:p w14:paraId="3BF0FEDA" w14:textId="77777777" w:rsidR="005A03EA" w:rsidRPr="007E13D2" w:rsidRDefault="005A03EA" w:rsidP="00422739">
      <w:pPr>
        <w:ind w:left="851"/>
        <w:rPr>
          <w:sz w:val="24"/>
          <w:szCs w:val="24"/>
        </w:rPr>
      </w:pPr>
      <w:r w:rsidRPr="007E13D2">
        <w:rPr>
          <w:sz w:val="24"/>
          <w:szCs w:val="24"/>
        </w:rPr>
        <w:t xml:space="preserve">Kontraindikationer for </w:t>
      </w:r>
      <w:proofErr w:type="spellStart"/>
      <w:r w:rsidRPr="007E13D2">
        <w:rPr>
          <w:sz w:val="24"/>
          <w:szCs w:val="24"/>
        </w:rPr>
        <w:t>fotoferese</w:t>
      </w:r>
      <w:proofErr w:type="spellEnd"/>
      <w:r w:rsidRPr="007E13D2">
        <w:rPr>
          <w:sz w:val="24"/>
          <w:szCs w:val="24"/>
        </w:rPr>
        <w:t>:</w:t>
      </w:r>
    </w:p>
    <w:p w14:paraId="276DB5FB"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lang w:val="da-DK"/>
        </w:rPr>
      </w:pPr>
      <w:r w:rsidRPr="007E13D2">
        <w:rPr>
          <w:sz w:val="24"/>
          <w:szCs w:val="24"/>
          <w:lang w:val="da-DK"/>
        </w:rPr>
        <w:t>Manglende tolerans over for det midlertidige tab af volumen (f.eks. på grund af alvorlig hjertesygdom, svær anæmi osv.)</w:t>
      </w:r>
    </w:p>
    <w:p w14:paraId="36EB2E48"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rPr>
      </w:pPr>
      <w:r w:rsidRPr="007E13D2">
        <w:rPr>
          <w:sz w:val="24"/>
          <w:szCs w:val="24"/>
          <w:lang w:val="da-DK"/>
        </w:rPr>
        <w:t xml:space="preserve">Tidligere </w:t>
      </w:r>
      <w:proofErr w:type="spellStart"/>
      <w:r w:rsidRPr="007E13D2">
        <w:rPr>
          <w:sz w:val="24"/>
          <w:szCs w:val="24"/>
          <w:lang w:val="da-DK"/>
        </w:rPr>
        <w:t>splenektomi</w:t>
      </w:r>
      <w:proofErr w:type="spellEnd"/>
    </w:p>
    <w:p w14:paraId="775B60A9"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rPr>
      </w:pPr>
      <w:r w:rsidRPr="007E13D2">
        <w:rPr>
          <w:sz w:val="24"/>
          <w:szCs w:val="24"/>
          <w:lang w:val="da-DK"/>
        </w:rPr>
        <w:t>Koagulationsforstyrrelse</w:t>
      </w:r>
    </w:p>
    <w:p w14:paraId="079831CD" w14:textId="77777777" w:rsidR="005A03EA" w:rsidRPr="007E13D2" w:rsidRDefault="005A03EA" w:rsidP="00422739">
      <w:pPr>
        <w:pStyle w:val="Listeafsnit"/>
        <w:numPr>
          <w:ilvl w:val="0"/>
          <w:numId w:val="6"/>
        </w:numPr>
        <w:tabs>
          <w:tab w:val="clear" w:pos="567"/>
        </w:tabs>
        <w:autoSpaceDE w:val="0"/>
        <w:autoSpaceDN w:val="0"/>
        <w:adjustRightInd w:val="0"/>
        <w:spacing w:line="240" w:lineRule="auto"/>
        <w:ind w:left="1276" w:hanging="425"/>
        <w:rPr>
          <w:sz w:val="24"/>
          <w:szCs w:val="24"/>
        </w:rPr>
      </w:pPr>
      <w:proofErr w:type="spellStart"/>
      <w:r w:rsidRPr="007E13D2">
        <w:rPr>
          <w:sz w:val="24"/>
          <w:szCs w:val="24"/>
          <w:lang w:val="da-DK"/>
        </w:rPr>
        <w:t>Leucocytantal</w:t>
      </w:r>
      <w:proofErr w:type="spellEnd"/>
      <w:r w:rsidRPr="007E13D2">
        <w:rPr>
          <w:sz w:val="24"/>
          <w:szCs w:val="24"/>
          <w:lang w:val="da-DK"/>
        </w:rPr>
        <w:t xml:space="preserve"> over 25.000/mm³.</w:t>
      </w:r>
    </w:p>
    <w:p w14:paraId="54F4E508" w14:textId="77777777" w:rsidR="009260DE" w:rsidRPr="007E13D2" w:rsidRDefault="009260DE" w:rsidP="009260DE">
      <w:pPr>
        <w:tabs>
          <w:tab w:val="left" w:pos="851"/>
        </w:tabs>
        <w:ind w:left="851"/>
        <w:rPr>
          <w:sz w:val="24"/>
          <w:szCs w:val="24"/>
        </w:rPr>
      </w:pPr>
    </w:p>
    <w:p w14:paraId="520335F4" w14:textId="77777777" w:rsidR="009260DE" w:rsidRPr="007E13D2" w:rsidRDefault="009260DE" w:rsidP="009260DE">
      <w:pPr>
        <w:tabs>
          <w:tab w:val="left" w:pos="851"/>
        </w:tabs>
        <w:ind w:left="851" w:hanging="851"/>
        <w:rPr>
          <w:b/>
          <w:sz w:val="24"/>
          <w:szCs w:val="24"/>
        </w:rPr>
      </w:pPr>
      <w:r w:rsidRPr="007E13D2">
        <w:rPr>
          <w:b/>
          <w:sz w:val="24"/>
          <w:szCs w:val="24"/>
        </w:rPr>
        <w:t>4.4</w:t>
      </w:r>
      <w:r w:rsidRPr="007E13D2">
        <w:rPr>
          <w:b/>
          <w:sz w:val="24"/>
          <w:szCs w:val="24"/>
        </w:rPr>
        <w:tab/>
        <w:t>Særlige advarsler og forsigtighedsregler vedrørende brugen</w:t>
      </w:r>
    </w:p>
    <w:p w14:paraId="2F70FDD3" w14:textId="77777777" w:rsidR="00392BED" w:rsidRPr="007E13D2" w:rsidRDefault="00392BED" w:rsidP="00422739">
      <w:pPr>
        <w:ind w:left="851"/>
        <w:rPr>
          <w:sz w:val="24"/>
          <w:szCs w:val="24"/>
        </w:rPr>
      </w:pPr>
      <w:r w:rsidRPr="007E13D2">
        <w:rPr>
          <w:sz w:val="24"/>
          <w:szCs w:val="24"/>
        </w:rPr>
        <w:t>Ekstrakorporal fotokemoterapi må kun udføres af personer med passende uddannelse og på institutioner, der bortskaffer udstyret til denne behandling på en passende måde.</w:t>
      </w:r>
    </w:p>
    <w:p w14:paraId="1CC65D73" w14:textId="77777777" w:rsidR="00392BED" w:rsidRPr="007E13D2" w:rsidRDefault="00392BED" w:rsidP="00422739">
      <w:pPr>
        <w:ind w:left="851"/>
        <w:rPr>
          <w:sz w:val="24"/>
          <w:szCs w:val="24"/>
        </w:rPr>
      </w:pPr>
      <w:proofErr w:type="spellStart"/>
      <w:r w:rsidRPr="007E13D2">
        <w:rPr>
          <w:sz w:val="24"/>
          <w:szCs w:val="24"/>
        </w:rPr>
        <w:t>Psoralen</w:t>
      </w:r>
      <w:proofErr w:type="spellEnd"/>
      <w:r w:rsidRPr="007E13D2">
        <w:rPr>
          <w:sz w:val="24"/>
          <w:szCs w:val="24"/>
        </w:rPr>
        <w:t xml:space="preserve"> og UV-bestrålingsterapi skal foregå under konstant opsyn af en læge med passende uddannelse.</w:t>
      </w:r>
    </w:p>
    <w:p w14:paraId="00FBB76F" w14:textId="77777777" w:rsidR="00392BED" w:rsidRPr="007E13D2" w:rsidRDefault="00392BED" w:rsidP="00422739">
      <w:pPr>
        <w:ind w:left="851"/>
        <w:rPr>
          <w:sz w:val="24"/>
          <w:szCs w:val="24"/>
        </w:rPr>
      </w:pPr>
      <w:r w:rsidRPr="007E13D2">
        <w:rPr>
          <w:sz w:val="24"/>
          <w:szCs w:val="24"/>
        </w:rPr>
        <w:t>På grund af muligheden for irreversible øjenskader som en bivirkning, bør patienten modtage fyldestgørende oplysninger om de risici, der er forbundet med denne type behandling.</w:t>
      </w:r>
    </w:p>
    <w:p w14:paraId="53B8C8B5" w14:textId="77777777" w:rsidR="00392BED" w:rsidRPr="007E13D2" w:rsidRDefault="00392BED" w:rsidP="00422739">
      <w:pPr>
        <w:ind w:left="851"/>
        <w:rPr>
          <w:sz w:val="24"/>
          <w:szCs w:val="24"/>
        </w:rPr>
      </w:pPr>
    </w:p>
    <w:p w14:paraId="72F8A81C" w14:textId="5E881FDC" w:rsidR="00392BED" w:rsidRPr="007E13D2" w:rsidRDefault="00392BED" w:rsidP="00422739">
      <w:pPr>
        <w:ind w:left="851"/>
        <w:rPr>
          <w:sz w:val="24"/>
          <w:szCs w:val="24"/>
        </w:rPr>
      </w:pP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bør kun anvendes ex </w:t>
      </w:r>
      <w:proofErr w:type="spellStart"/>
      <w:r w:rsidRPr="007E13D2">
        <w:rPr>
          <w:sz w:val="24"/>
          <w:szCs w:val="24"/>
        </w:rPr>
        <w:t>vivo</w:t>
      </w:r>
      <w:proofErr w:type="spellEnd"/>
      <w:r w:rsidRPr="007E13D2">
        <w:rPr>
          <w:sz w:val="24"/>
          <w:szCs w:val="24"/>
        </w:rPr>
        <w:t xml:space="preserve"> tilsat direkte til de adskilte leukocytter. Hvis der er en mulighed for, at blodet er blevet beskadiget under proceduren, bør det kun </w:t>
      </w:r>
      <w:proofErr w:type="spellStart"/>
      <w:r w:rsidRPr="007E13D2">
        <w:rPr>
          <w:sz w:val="24"/>
          <w:szCs w:val="24"/>
        </w:rPr>
        <w:t>infunderes</w:t>
      </w:r>
      <w:proofErr w:type="spellEnd"/>
      <w:r w:rsidRPr="007E13D2">
        <w:rPr>
          <w:sz w:val="24"/>
          <w:szCs w:val="24"/>
        </w:rPr>
        <w:t xml:space="preserve"> til patienten igen, hvis </w:t>
      </w:r>
      <w:proofErr w:type="spellStart"/>
      <w:r w:rsidRPr="007E13D2">
        <w:rPr>
          <w:sz w:val="24"/>
          <w:szCs w:val="24"/>
        </w:rPr>
        <w:t>hæmolyse</w:t>
      </w:r>
      <w:proofErr w:type="spellEnd"/>
      <w:r w:rsidRPr="007E13D2">
        <w:rPr>
          <w:sz w:val="24"/>
          <w:szCs w:val="24"/>
        </w:rPr>
        <w:t xml:space="preserve"> ikke har fundet sted.</w:t>
      </w:r>
    </w:p>
    <w:p w14:paraId="4856361A" w14:textId="7E70AE78" w:rsidR="00410495" w:rsidRDefault="00410495">
      <w:pPr>
        <w:rPr>
          <w:sz w:val="24"/>
          <w:szCs w:val="24"/>
        </w:rPr>
      </w:pPr>
      <w:r>
        <w:rPr>
          <w:sz w:val="24"/>
          <w:szCs w:val="24"/>
        </w:rPr>
        <w:br w:type="page"/>
      </w:r>
    </w:p>
    <w:p w14:paraId="43E227F9" w14:textId="77777777" w:rsidR="00392BED" w:rsidRPr="007E13D2" w:rsidRDefault="00392BED" w:rsidP="00422739">
      <w:pPr>
        <w:ind w:left="851"/>
        <w:rPr>
          <w:sz w:val="24"/>
          <w:szCs w:val="24"/>
        </w:rPr>
      </w:pPr>
    </w:p>
    <w:p w14:paraId="2E666E12" w14:textId="77777777" w:rsidR="00392BED" w:rsidRPr="007E13D2" w:rsidRDefault="00392BED" w:rsidP="00422739">
      <w:pPr>
        <w:ind w:left="851"/>
        <w:rPr>
          <w:sz w:val="24"/>
          <w:szCs w:val="24"/>
          <w:u w:val="single"/>
        </w:rPr>
      </w:pPr>
      <w:r w:rsidRPr="007E13D2">
        <w:rPr>
          <w:sz w:val="24"/>
          <w:szCs w:val="24"/>
          <w:u w:val="single"/>
        </w:rPr>
        <w:t>Hypotension</w:t>
      </w:r>
    </w:p>
    <w:p w14:paraId="2A996E39" w14:textId="77777777" w:rsidR="00392BED" w:rsidRPr="007E13D2" w:rsidRDefault="00392BED" w:rsidP="00422739">
      <w:pPr>
        <w:ind w:left="851"/>
        <w:rPr>
          <w:sz w:val="24"/>
          <w:szCs w:val="24"/>
        </w:rPr>
      </w:pPr>
      <w:r w:rsidRPr="007E13D2">
        <w:rPr>
          <w:sz w:val="24"/>
          <w:szCs w:val="24"/>
        </w:rPr>
        <w:t xml:space="preserve">Forbigående hypotension kan forekomme hos nogle patienter under behandlingen. De fleste patienter forbliver asymptomatiske og blodtrykket bliver igen normalt efter </w:t>
      </w:r>
      <w:proofErr w:type="spellStart"/>
      <w:r w:rsidRPr="007E13D2">
        <w:rPr>
          <w:sz w:val="24"/>
          <w:szCs w:val="24"/>
        </w:rPr>
        <w:t>reinfusion</w:t>
      </w:r>
      <w:proofErr w:type="spellEnd"/>
      <w:r w:rsidRPr="007E13D2">
        <w:rPr>
          <w:sz w:val="24"/>
          <w:szCs w:val="24"/>
        </w:rPr>
        <w:t xml:space="preserve"> af blodet. I sporadiske tilfælde kan det være nødvendigt at </w:t>
      </w:r>
      <w:proofErr w:type="spellStart"/>
      <w:r w:rsidRPr="007E13D2">
        <w:rPr>
          <w:sz w:val="24"/>
          <w:szCs w:val="24"/>
        </w:rPr>
        <w:t>infundere</w:t>
      </w:r>
      <w:proofErr w:type="spellEnd"/>
      <w:r w:rsidRPr="007E13D2">
        <w:rPr>
          <w:sz w:val="24"/>
          <w:szCs w:val="24"/>
        </w:rPr>
        <w:t xml:space="preserve"> </w:t>
      </w:r>
      <w:proofErr w:type="gramStart"/>
      <w:r w:rsidRPr="007E13D2">
        <w:rPr>
          <w:sz w:val="24"/>
          <w:szCs w:val="24"/>
        </w:rPr>
        <w:t>en normalt saltopløsning</w:t>
      </w:r>
      <w:proofErr w:type="gramEnd"/>
      <w:r w:rsidRPr="007E13D2">
        <w:rPr>
          <w:sz w:val="24"/>
          <w:szCs w:val="24"/>
        </w:rPr>
        <w:t xml:space="preserve"> under </w:t>
      </w:r>
      <w:proofErr w:type="spellStart"/>
      <w:r w:rsidRPr="007E13D2">
        <w:rPr>
          <w:sz w:val="24"/>
          <w:szCs w:val="24"/>
        </w:rPr>
        <w:t>fotoferese</w:t>
      </w:r>
      <w:proofErr w:type="spellEnd"/>
      <w:r w:rsidRPr="007E13D2">
        <w:rPr>
          <w:sz w:val="24"/>
          <w:szCs w:val="24"/>
        </w:rPr>
        <w:t xml:space="preserve"> for at stabilisere blodtrykket. Patienter, der regelmæssigt tager </w:t>
      </w:r>
      <w:proofErr w:type="spellStart"/>
      <w:r w:rsidRPr="007E13D2">
        <w:rPr>
          <w:sz w:val="24"/>
          <w:szCs w:val="24"/>
        </w:rPr>
        <w:t>antihypertensiva</w:t>
      </w:r>
      <w:proofErr w:type="spellEnd"/>
      <w:r w:rsidRPr="007E13D2">
        <w:rPr>
          <w:sz w:val="24"/>
          <w:szCs w:val="24"/>
        </w:rPr>
        <w:t xml:space="preserve">, skal vente med indtagelsen indtil afslutningen af </w:t>
      </w:r>
      <w:proofErr w:type="spellStart"/>
      <w:r w:rsidRPr="007E13D2">
        <w:rPr>
          <w:sz w:val="24"/>
          <w:szCs w:val="24"/>
        </w:rPr>
        <w:t>fotofereseproceduren</w:t>
      </w:r>
      <w:proofErr w:type="spellEnd"/>
      <w:r w:rsidRPr="007E13D2">
        <w:rPr>
          <w:sz w:val="24"/>
          <w:szCs w:val="24"/>
        </w:rPr>
        <w:t xml:space="preserve"> (se pkt. 4.8).</w:t>
      </w:r>
    </w:p>
    <w:p w14:paraId="5B2657B3" w14:textId="77777777" w:rsidR="00392BED" w:rsidRPr="007E13D2" w:rsidRDefault="00392BED" w:rsidP="00422739">
      <w:pPr>
        <w:ind w:left="851"/>
        <w:rPr>
          <w:sz w:val="24"/>
          <w:szCs w:val="24"/>
        </w:rPr>
      </w:pPr>
    </w:p>
    <w:p w14:paraId="68FF4372" w14:textId="77777777" w:rsidR="00392BED" w:rsidRPr="007E13D2" w:rsidRDefault="00392BED" w:rsidP="00422739">
      <w:pPr>
        <w:ind w:left="851"/>
        <w:rPr>
          <w:sz w:val="24"/>
          <w:szCs w:val="24"/>
          <w:u w:val="single"/>
        </w:rPr>
      </w:pPr>
      <w:proofErr w:type="spellStart"/>
      <w:r w:rsidRPr="007E13D2">
        <w:rPr>
          <w:sz w:val="24"/>
          <w:szCs w:val="24"/>
          <w:u w:val="single"/>
        </w:rPr>
        <w:t>Hypertriglyceridæmi</w:t>
      </w:r>
      <w:proofErr w:type="spellEnd"/>
    </w:p>
    <w:p w14:paraId="23CB48F4" w14:textId="77777777" w:rsidR="00392BED" w:rsidRPr="007E13D2" w:rsidRDefault="00392BED" w:rsidP="00422739">
      <w:pPr>
        <w:ind w:left="851"/>
        <w:rPr>
          <w:sz w:val="24"/>
          <w:szCs w:val="24"/>
        </w:rPr>
      </w:pPr>
      <w:r w:rsidRPr="007E13D2">
        <w:rPr>
          <w:sz w:val="24"/>
          <w:szCs w:val="24"/>
        </w:rPr>
        <w:t xml:space="preserve">Hos patienter med forhøjede triglyceridniveauer i blodet kan virkningen af behandlingen være begrænset, fordi </w:t>
      </w:r>
      <w:proofErr w:type="spellStart"/>
      <w:r w:rsidRPr="007E13D2">
        <w:rPr>
          <w:sz w:val="24"/>
          <w:szCs w:val="24"/>
        </w:rPr>
        <w:t>fotofereseinstrumenterne</w:t>
      </w:r>
      <w:proofErr w:type="spellEnd"/>
      <w:r w:rsidRPr="007E13D2">
        <w:rPr>
          <w:sz w:val="24"/>
          <w:szCs w:val="24"/>
        </w:rPr>
        <w:t xml:space="preserve"> ikke kan adskille hvide blodlegemer fra fedtholdigt blod. Derfor bør patienter, der skal i </w:t>
      </w:r>
      <w:proofErr w:type="spellStart"/>
      <w:r w:rsidRPr="007E13D2">
        <w:rPr>
          <w:sz w:val="24"/>
          <w:szCs w:val="24"/>
        </w:rPr>
        <w:t>fotoferesebehandling</w:t>
      </w:r>
      <w:proofErr w:type="spellEnd"/>
      <w:r w:rsidRPr="007E13D2">
        <w:rPr>
          <w:sz w:val="24"/>
          <w:szCs w:val="24"/>
        </w:rPr>
        <w:t>, faste før behandlingen. Deres triglyceridniveau skal være lavere end 300 mg/dl ved starten af behandlingen.</w:t>
      </w:r>
    </w:p>
    <w:p w14:paraId="48BA78A1" w14:textId="77777777" w:rsidR="00392BED" w:rsidRPr="007E13D2" w:rsidRDefault="00392BED" w:rsidP="00422739">
      <w:pPr>
        <w:ind w:left="851"/>
        <w:rPr>
          <w:sz w:val="24"/>
          <w:szCs w:val="24"/>
        </w:rPr>
      </w:pPr>
    </w:p>
    <w:p w14:paraId="34B296F9" w14:textId="77777777" w:rsidR="00392BED" w:rsidRPr="007E13D2" w:rsidRDefault="00392BED" w:rsidP="00422739">
      <w:pPr>
        <w:ind w:left="851"/>
        <w:rPr>
          <w:sz w:val="24"/>
          <w:szCs w:val="24"/>
          <w:u w:val="single"/>
        </w:rPr>
      </w:pPr>
      <w:r w:rsidRPr="007E13D2">
        <w:rPr>
          <w:sz w:val="24"/>
          <w:szCs w:val="24"/>
          <w:u w:val="single"/>
        </w:rPr>
        <w:t>Kataraktdannelse</w:t>
      </w:r>
    </w:p>
    <w:p w14:paraId="4256AA2B" w14:textId="0D74B29A" w:rsidR="00392BED" w:rsidRPr="007E13D2" w:rsidRDefault="00392BED" w:rsidP="00422739">
      <w:pPr>
        <w:ind w:left="851"/>
        <w:rPr>
          <w:sz w:val="24"/>
          <w:szCs w:val="24"/>
        </w:rPr>
      </w:pPr>
      <w:r w:rsidRPr="007E13D2">
        <w:rPr>
          <w:sz w:val="24"/>
          <w:szCs w:val="24"/>
        </w:rPr>
        <w:t xml:space="preserve">Eksponering for store doser af UVA-lys forårsager katarakt hos dyr. Denne virkning forstærkes ved oral administration af </w:t>
      </w:r>
      <w:proofErr w:type="spellStart"/>
      <w:r w:rsidRPr="007E13D2">
        <w:rPr>
          <w:sz w:val="24"/>
          <w:szCs w:val="24"/>
        </w:rPr>
        <w:t>methoxsalen</w:t>
      </w:r>
      <w:proofErr w:type="spellEnd"/>
      <w:r w:rsidRPr="007E13D2">
        <w:rPr>
          <w:sz w:val="24"/>
          <w:szCs w:val="24"/>
        </w:rPr>
        <w:t xml:space="preserve">. Da koncentrationen af </w:t>
      </w:r>
      <w:proofErr w:type="spellStart"/>
      <w:r w:rsidRPr="007E13D2">
        <w:rPr>
          <w:sz w:val="24"/>
          <w:szCs w:val="24"/>
        </w:rPr>
        <w:t>methoxsalen</w:t>
      </w:r>
      <w:proofErr w:type="spellEnd"/>
      <w:r w:rsidRPr="007E13D2">
        <w:rPr>
          <w:sz w:val="24"/>
          <w:szCs w:val="24"/>
        </w:rPr>
        <w:t xml:space="preserve"> i linsen hos mennesker er proportional med serumniveauet, vil koncentrationen være væsentligt lavere efter ex </w:t>
      </w:r>
      <w:proofErr w:type="spellStart"/>
      <w:r w:rsidRPr="007E13D2">
        <w:rPr>
          <w:sz w:val="24"/>
          <w:szCs w:val="24"/>
        </w:rPr>
        <w:t>vivo</w:t>
      </w:r>
      <w:proofErr w:type="spellEnd"/>
      <w:r w:rsidRPr="007E13D2">
        <w:rPr>
          <w:sz w:val="24"/>
          <w:szCs w:val="24"/>
        </w:rPr>
        <w:t xml:space="preserve"> </w:t>
      </w:r>
      <w:proofErr w:type="spellStart"/>
      <w:r w:rsidRPr="007E13D2">
        <w:rPr>
          <w:sz w:val="24"/>
          <w:szCs w:val="24"/>
        </w:rPr>
        <w:t>methoxsalen</w:t>
      </w:r>
      <w:proofErr w:type="spellEnd"/>
      <w:r w:rsidRPr="007E13D2">
        <w:rPr>
          <w:sz w:val="24"/>
          <w:szCs w:val="24"/>
        </w:rPr>
        <w:t xml:space="preserve">-behandling (med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sammenlignet med koncentrationen efter oral administration. Dog kan fotokemisk virkning føre til irreversibel binding af </w:t>
      </w:r>
      <w:proofErr w:type="spellStart"/>
      <w:r w:rsidRPr="007E13D2">
        <w:rPr>
          <w:sz w:val="24"/>
          <w:szCs w:val="24"/>
        </w:rPr>
        <w:t>methoxsalen</w:t>
      </w:r>
      <w:proofErr w:type="spellEnd"/>
      <w:r w:rsidRPr="007E13D2">
        <w:rPr>
          <w:sz w:val="24"/>
          <w:szCs w:val="24"/>
        </w:rPr>
        <w:t xml:space="preserve"> til protein- og DNA-komponenter i linsen, hvis den udsættes for UVA-lys i den tid, </w:t>
      </w:r>
      <w:proofErr w:type="spellStart"/>
      <w:r w:rsidRPr="007E13D2">
        <w:rPr>
          <w:sz w:val="24"/>
          <w:szCs w:val="24"/>
        </w:rPr>
        <w:t>methoxsalen</w:t>
      </w:r>
      <w:proofErr w:type="spellEnd"/>
      <w:r w:rsidRPr="007E13D2">
        <w:rPr>
          <w:sz w:val="24"/>
          <w:szCs w:val="24"/>
        </w:rPr>
        <w:t xml:space="preserve"> er til stede i linsen. Patientens øjne skal derfor beskyttes mod UVA-lys ved hjælp af tætsiddende solbriller med UVA-beskyttelse. Solbrillerne skal bæres under behandlingscyklussen og i de efterfølgende 24 timer (se pkt. 4.8).</w:t>
      </w:r>
    </w:p>
    <w:p w14:paraId="11CB1A0D" w14:textId="77777777" w:rsidR="00392BED" w:rsidRPr="007E13D2" w:rsidRDefault="00392BED" w:rsidP="00422739">
      <w:pPr>
        <w:ind w:left="851"/>
        <w:rPr>
          <w:sz w:val="24"/>
          <w:szCs w:val="24"/>
        </w:rPr>
      </w:pPr>
    </w:p>
    <w:p w14:paraId="37B323D0" w14:textId="77777777" w:rsidR="00392BED" w:rsidRPr="007E13D2" w:rsidRDefault="00392BED" w:rsidP="00422739">
      <w:pPr>
        <w:ind w:left="851"/>
        <w:rPr>
          <w:sz w:val="24"/>
          <w:szCs w:val="24"/>
          <w:u w:val="single"/>
        </w:rPr>
      </w:pPr>
      <w:r w:rsidRPr="007E13D2">
        <w:rPr>
          <w:sz w:val="24"/>
          <w:szCs w:val="24"/>
          <w:u w:val="single"/>
        </w:rPr>
        <w:t>Bivirkninger på huden</w:t>
      </w:r>
    </w:p>
    <w:p w14:paraId="6E71BA27" w14:textId="31746449" w:rsidR="00392BED" w:rsidRPr="007E13D2" w:rsidRDefault="00392BED" w:rsidP="00422739">
      <w:pPr>
        <w:ind w:left="851"/>
        <w:rPr>
          <w:sz w:val="24"/>
          <w:szCs w:val="24"/>
        </w:rPr>
      </w:pPr>
      <w:r w:rsidRPr="007E13D2">
        <w:rPr>
          <w:sz w:val="24"/>
          <w:szCs w:val="24"/>
        </w:rPr>
        <w:t xml:space="preserve">Efter oral administration af </w:t>
      </w:r>
      <w:proofErr w:type="spellStart"/>
      <w:r w:rsidRPr="007E13D2">
        <w:rPr>
          <w:sz w:val="24"/>
          <w:szCs w:val="24"/>
        </w:rPr>
        <w:t>psoralen</w:t>
      </w:r>
      <w:proofErr w:type="spellEnd"/>
      <w:r w:rsidRPr="007E13D2">
        <w:rPr>
          <w:sz w:val="24"/>
          <w:szCs w:val="24"/>
        </w:rPr>
        <w:t xml:space="preserve"> (hvor serumkoncentrationerne kan overstige 200</w:t>
      </w:r>
      <w:r w:rsidR="00D0191F">
        <w:rPr>
          <w:sz w:val="24"/>
          <w:szCs w:val="24"/>
        </w:rPr>
        <w:t> </w:t>
      </w:r>
      <w:proofErr w:type="spellStart"/>
      <w:r w:rsidRPr="007E13D2">
        <w:rPr>
          <w:sz w:val="24"/>
          <w:szCs w:val="24"/>
        </w:rPr>
        <w:t>ng</w:t>
      </w:r>
      <w:proofErr w:type="spellEnd"/>
      <w:r w:rsidRPr="007E13D2">
        <w:rPr>
          <w:sz w:val="24"/>
          <w:szCs w:val="24"/>
        </w:rPr>
        <w:t>/ml), kan eksponering for sollys eller ultraviolet bestråling (selv igennem vinduesruder) forårsage svære forbrændinger og på længere sigt fremskyndet ældning af huden.</w:t>
      </w:r>
    </w:p>
    <w:p w14:paraId="1BFF50F9" w14:textId="7E058355" w:rsidR="00392BED" w:rsidRPr="007E13D2" w:rsidRDefault="00392BED" w:rsidP="00422739">
      <w:pPr>
        <w:ind w:left="851"/>
        <w:rPr>
          <w:sz w:val="24"/>
          <w:szCs w:val="24"/>
        </w:rPr>
      </w:pPr>
      <w:r w:rsidRPr="007E13D2">
        <w:rPr>
          <w:sz w:val="24"/>
          <w:szCs w:val="24"/>
        </w:rPr>
        <w:t xml:space="preserve">Ekstrakorporal anvendelse af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-opløsningen er forbundet med en betydeligt lavere systemisk eksponering for </w:t>
      </w:r>
      <w:proofErr w:type="spellStart"/>
      <w:r w:rsidRPr="007E13D2">
        <w:rPr>
          <w:sz w:val="24"/>
          <w:szCs w:val="24"/>
        </w:rPr>
        <w:t>methoxsalen</w:t>
      </w:r>
      <w:proofErr w:type="spellEnd"/>
      <w:r w:rsidRPr="007E13D2">
        <w:rPr>
          <w:sz w:val="24"/>
          <w:szCs w:val="24"/>
        </w:rPr>
        <w:t xml:space="preserve"> (mere end 80 % af blodprøver, der blev udtaget 30 minutter efter </w:t>
      </w:r>
      <w:proofErr w:type="spellStart"/>
      <w:r w:rsidRPr="007E13D2">
        <w:rPr>
          <w:sz w:val="24"/>
          <w:szCs w:val="24"/>
        </w:rPr>
        <w:t>reinfusion</w:t>
      </w:r>
      <w:proofErr w:type="spellEnd"/>
      <w:r w:rsidRPr="007E13D2">
        <w:rPr>
          <w:sz w:val="24"/>
          <w:szCs w:val="24"/>
        </w:rPr>
        <w:t xml:space="preserve"> af den fotoaktiverede </w:t>
      </w:r>
      <w:proofErr w:type="spellStart"/>
      <w:r w:rsidRPr="007E13D2">
        <w:rPr>
          <w:sz w:val="24"/>
          <w:szCs w:val="24"/>
        </w:rPr>
        <w:t>buffy</w:t>
      </w:r>
      <w:proofErr w:type="spellEnd"/>
      <w:r w:rsidRPr="007E13D2">
        <w:rPr>
          <w:sz w:val="24"/>
          <w:szCs w:val="24"/>
        </w:rPr>
        <w:t xml:space="preserve"> coat, havde </w:t>
      </w:r>
      <w:proofErr w:type="spellStart"/>
      <w:r w:rsidRPr="007E13D2">
        <w:rPr>
          <w:sz w:val="24"/>
          <w:szCs w:val="24"/>
        </w:rPr>
        <w:t>methoxsalenniveauer</w:t>
      </w:r>
      <w:proofErr w:type="spellEnd"/>
      <w:r w:rsidRPr="007E13D2">
        <w:rPr>
          <w:sz w:val="24"/>
          <w:szCs w:val="24"/>
        </w:rPr>
        <w:t xml:space="preserve"> på &lt;10 </w:t>
      </w:r>
      <w:proofErr w:type="spellStart"/>
      <w:r w:rsidRPr="007E13D2">
        <w:rPr>
          <w:sz w:val="24"/>
          <w:szCs w:val="24"/>
        </w:rPr>
        <w:t>ng</w:t>
      </w:r>
      <w:proofErr w:type="spellEnd"/>
      <w:r w:rsidRPr="007E13D2">
        <w:rPr>
          <w:sz w:val="24"/>
          <w:szCs w:val="24"/>
        </w:rPr>
        <w:t xml:space="preserve">/ml og gennemsnitskoncentrationen af </w:t>
      </w:r>
      <w:proofErr w:type="spellStart"/>
      <w:r w:rsidRPr="007E13D2">
        <w:rPr>
          <w:sz w:val="24"/>
          <w:szCs w:val="24"/>
        </w:rPr>
        <w:t>methoxsalen</w:t>
      </w:r>
      <w:proofErr w:type="spellEnd"/>
      <w:r w:rsidRPr="007E13D2">
        <w:rPr>
          <w:sz w:val="24"/>
          <w:szCs w:val="24"/>
        </w:rPr>
        <w:t xml:space="preserve"> i plasma var cirka 25 </w:t>
      </w:r>
      <w:proofErr w:type="spellStart"/>
      <w:r w:rsidRPr="007E13D2">
        <w:rPr>
          <w:sz w:val="24"/>
          <w:szCs w:val="24"/>
        </w:rPr>
        <w:t>ng</w:t>
      </w:r>
      <w:proofErr w:type="spellEnd"/>
      <w:r w:rsidRPr="007E13D2">
        <w:rPr>
          <w:sz w:val="24"/>
          <w:szCs w:val="24"/>
        </w:rPr>
        <w:t xml:space="preserve">/ml). Graden af fototoksicitet ved disse niveauer er dog ikke blevet undersøgt systematisk. Som en sikkerhedsforanstaltning skal patienten derfor undgå sollys i 24 timer efter behandlingen med </w:t>
      </w:r>
      <w:proofErr w:type="spellStart"/>
      <w:r w:rsidRPr="007E13D2">
        <w:rPr>
          <w:sz w:val="24"/>
          <w:szCs w:val="24"/>
        </w:rPr>
        <w:t>fotoferese</w:t>
      </w:r>
      <w:proofErr w:type="spellEnd"/>
      <w:r w:rsidRPr="007E13D2">
        <w:rPr>
          <w:sz w:val="24"/>
          <w:szCs w:val="24"/>
        </w:rPr>
        <w:t>.</w:t>
      </w:r>
    </w:p>
    <w:p w14:paraId="2CD21C07" w14:textId="77777777" w:rsidR="00392BED" w:rsidRPr="007E13D2" w:rsidRDefault="00392BED" w:rsidP="00422739">
      <w:pPr>
        <w:ind w:left="851"/>
        <w:rPr>
          <w:sz w:val="24"/>
          <w:szCs w:val="24"/>
        </w:rPr>
      </w:pPr>
    </w:p>
    <w:p w14:paraId="1389FB88" w14:textId="77777777" w:rsidR="00392BED" w:rsidRPr="007E13D2" w:rsidRDefault="00392BED" w:rsidP="00422739">
      <w:pPr>
        <w:ind w:left="851"/>
        <w:rPr>
          <w:sz w:val="24"/>
          <w:szCs w:val="24"/>
          <w:u w:val="single"/>
        </w:rPr>
      </w:pPr>
      <w:r w:rsidRPr="007E13D2">
        <w:rPr>
          <w:sz w:val="24"/>
          <w:szCs w:val="24"/>
          <w:u w:val="single"/>
        </w:rPr>
        <w:t>Nedsat leverfunktion</w:t>
      </w:r>
    </w:p>
    <w:p w14:paraId="2F8352B8" w14:textId="77777777" w:rsidR="00392BED" w:rsidRPr="007E13D2" w:rsidRDefault="00392BED" w:rsidP="00422739">
      <w:pPr>
        <w:ind w:left="851"/>
        <w:rPr>
          <w:sz w:val="24"/>
          <w:szCs w:val="24"/>
        </w:rPr>
      </w:pPr>
      <w:r w:rsidRPr="007E13D2">
        <w:rPr>
          <w:sz w:val="24"/>
          <w:szCs w:val="24"/>
        </w:rPr>
        <w:t xml:space="preserve">Da biotransformation i leveren er nødvendig for udskillelsen af urin, er det muligt, at nedsat leverfunktion kan resultere i en forlænget halveringstid for </w:t>
      </w:r>
      <w:proofErr w:type="spellStart"/>
      <w:r w:rsidRPr="007E13D2">
        <w:rPr>
          <w:sz w:val="24"/>
          <w:szCs w:val="24"/>
        </w:rPr>
        <w:t>methoxsalen</w:t>
      </w:r>
      <w:proofErr w:type="spellEnd"/>
      <w:r w:rsidRPr="007E13D2">
        <w:rPr>
          <w:sz w:val="24"/>
          <w:szCs w:val="24"/>
        </w:rPr>
        <w:t>. Dette kan resultere i forlænget fotosensibilitet. Hos patienter med leversygdomme bør beskyttelsen mod udsættelse for sollys derfor forlænges, hvis nødvendigt.</w:t>
      </w:r>
    </w:p>
    <w:p w14:paraId="5C092D2A" w14:textId="6EE23D41" w:rsidR="00392BED" w:rsidRPr="007E13D2" w:rsidRDefault="00392BED" w:rsidP="00422739">
      <w:pPr>
        <w:ind w:left="851"/>
        <w:rPr>
          <w:sz w:val="24"/>
          <w:szCs w:val="24"/>
        </w:rPr>
      </w:pPr>
      <w:r w:rsidRPr="007E13D2">
        <w:rPr>
          <w:sz w:val="24"/>
          <w:szCs w:val="24"/>
        </w:rPr>
        <w:t xml:space="preserve">Der findes ingen specifik information om brugen af </w:t>
      </w:r>
      <w:proofErr w:type="spellStart"/>
      <w:r w:rsidRPr="007E13D2">
        <w:rPr>
          <w:sz w:val="24"/>
          <w:szCs w:val="24"/>
        </w:rPr>
        <w:t>fotoferese</w:t>
      </w:r>
      <w:proofErr w:type="spellEnd"/>
      <w:r w:rsidRPr="007E13D2">
        <w:rPr>
          <w:sz w:val="24"/>
          <w:szCs w:val="24"/>
        </w:rPr>
        <w:t xml:space="preserve"> med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til patienter med nedsat leverfunktion.</w:t>
      </w:r>
    </w:p>
    <w:p w14:paraId="671699AB" w14:textId="59380914" w:rsidR="00D0191F" w:rsidRDefault="00D0191F">
      <w:pPr>
        <w:rPr>
          <w:sz w:val="24"/>
          <w:szCs w:val="24"/>
        </w:rPr>
      </w:pPr>
      <w:r>
        <w:rPr>
          <w:sz w:val="24"/>
          <w:szCs w:val="24"/>
        </w:rPr>
        <w:br w:type="page"/>
      </w:r>
    </w:p>
    <w:p w14:paraId="55C125D2" w14:textId="77777777" w:rsidR="00392BED" w:rsidRPr="007E13D2" w:rsidRDefault="00392BED" w:rsidP="00422739">
      <w:pPr>
        <w:ind w:left="851"/>
        <w:rPr>
          <w:sz w:val="24"/>
          <w:szCs w:val="24"/>
        </w:rPr>
      </w:pPr>
    </w:p>
    <w:p w14:paraId="69122729" w14:textId="77777777" w:rsidR="00392BED" w:rsidRPr="007E13D2" w:rsidRDefault="00392BED" w:rsidP="00422739">
      <w:pPr>
        <w:ind w:left="851"/>
        <w:rPr>
          <w:sz w:val="24"/>
          <w:szCs w:val="24"/>
          <w:u w:val="single"/>
        </w:rPr>
      </w:pPr>
      <w:r w:rsidRPr="007E13D2">
        <w:rPr>
          <w:sz w:val="24"/>
          <w:szCs w:val="24"/>
          <w:u w:val="single"/>
        </w:rPr>
        <w:t>Nedsat nyrefunktion</w:t>
      </w:r>
    </w:p>
    <w:p w14:paraId="78753B43" w14:textId="77777777" w:rsidR="00392BED" w:rsidRPr="007E13D2" w:rsidRDefault="00392BED" w:rsidP="00422739">
      <w:pPr>
        <w:ind w:left="851"/>
        <w:rPr>
          <w:sz w:val="24"/>
          <w:szCs w:val="24"/>
        </w:rPr>
      </w:pPr>
      <w:r w:rsidRPr="007E13D2">
        <w:rPr>
          <w:sz w:val="24"/>
          <w:szCs w:val="24"/>
        </w:rPr>
        <w:t xml:space="preserve">Selvom adskillige nyretransplanterede patienter med forringet nyrefunktion er blevet behandlet med </w:t>
      </w:r>
      <w:proofErr w:type="spellStart"/>
      <w:r w:rsidRPr="007E13D2">
        <w:rPr>
          <w:sz w:val="24"/>
          <w:szCs w:val="24"/>
        </w:rPr>
        <w:t>fotoferese</w:t>
      </w:r>
      <w:proofErr w:type="spellEnd"/>
      <w:r w:rsidRPr="007E13D2">
        <w:rPr>
          <w:sz w:val="24"/>
          <w:szCs w:val="24"/>
        </w:rPr>
        <w:t xml:space="preserve">, er der kun få oplysninger tilgængelige om brugen af </w:t>
      </w:r>
      <w:proofErr w:type="spellStart"/>
      <w:r w:rsidRPr="007E13D2">
        <w:rPr>
          <w:sz w:val="24"/>
          <w:szCs w:val="24"/>
        </w:rPr>
        <w:lastRenderedPageBreak/>
        <w:t>methoxsalen</w:t>
      </w:r>
      <w:proofErr w:type="spellEnd"/>
      <w:r w:rsidRPr="007E13D2">
        <w:rPr>
          <w:sz w:val="24"/>
          <w:szCs w:val="24"/>
        </w:rPr>
        <w:t xml:space="preserve"> hos patienter med nedsat nyrefunktion. Ved de få nyretransplanterede patienter, som er blevet behandlet med </w:t>
      </w:r>
      <w:proofErr w:type="spellStart"/>
      <w:r w:rsidRPr="007E13D2">
        <w:rPr>
          <w:sz w:val="24"/>
          <w:szCs w:val="24"/>
        </w:rPr>
        <w:t>fotoferese</w:t>
      </w:r>
      <w:proofErr w:type="spellEnd"/>
      <w:r w:rsidRPr="007E13D2">
        <w:rPr>
          <w:sz w:val="24"/>
          <w:szCs w:val="24"/>
        </w:rPr>
        <w:t>, blev der ikke truffet yderligere sikkerhedsforanstaltninger, såsom dosisreduktion eller længere tids beskyttelse mod UV-lys, og procedurerne blev godt tolereret og var effektive.</w:t>
      </w:r>
    </w:p>
    <w:p w14:paraId="446F84B5" w14:textId="77777777" w:rsidR="00392BED" w:rsidRPr="007E13D2" w:rsidRDefault="00392BED" w:rsidP="00422739">
      <w:pPr>
        <w:ind w:left="851"/>
        <w:rPr>
          <w:sz w:val="24"/>
          <w:szCs w:val="24"/>
        </w:rPr>
      </w:pPr>
    </w:p>
    <w:p w14:paraId="0542E7E7" w14:textId="77777777" w:rsidR="00392BED" w:rsidRPr="007E13D2" w:rsidRDefault="00392BED" w:rsidP="00422739">
      <w:pPr>
        <w:ind w:left="851"/>
        <w:rPr>
          <w:sz w:val="24"/>
          <w:szCs w:val="24"/>
          <w:u w:val="single"/>
        </w:rPr>
      </w:pPr>
      <w:r w:rsidRPr="007E13D2">
        <w:rPr>
          <w:sz w:val="24"/>
          <w:szCs w:val="24"/>
          <w:u w:val="single"/>
        </w:rPr>
        <w:t>Oplysninger om visse hjælpestoffer</w:t>
      </w:r>
    </w:p>
    <w:p w14:paraId="72C73BB7" w14:textId="36FDBBF1" w:rsidR="00392BED" w:rsidRPr="007E13D2" w:rsidRDefault="00392BED" w:rsidP="00422739">
      <w:pPr>
        <w:ind w:left="851"/>
        <w:rPr>
          <w:noProof/>
          <w:sz w:val="24"/>
          <w:szCs w:val="24"/>
        </w:rPr>
      </w:pPr>
      <w:r w:rsidRPr="007E13D2">
        <w:rPr>
          <w:noProof/>
          <w:sz w:val="24"/>
          <w:szCs w:val="24"/>
        </w:rPr>
        <w:t xml:space="preserve">Dette lægemiddel indeholder små mængder 96 % ethanol (alkohol): Ved et antaget behandlingsvolumen på 240 ml eksponeres patienten for 4,1 ml Methoxsalen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w:t>
      </w:r>
      <w:r w:rsidRPr="007E13D2">
        <w:rPr>
          <w:noProof/>
          <w:sz w:val="24"/>
          <w:szCs w:val="24"/>
        </w:rPr>
        <w:t>og som følge heraf 8,528 mg ethanol 96 % (2,08 mg ethanol 96%/ml).</w:t>
      </w:r>
    </w:p>
    <w:p w14:paraId="604AE187" w14:textId="77777777" w:rsidR="00392BED" w:rsidRPr="007E13D2" w:rsidRDefault="00392BED" w:rsidP="00422739">
      <w:pPr>
        <w:ind w:left="851"/>
        <w:rPr>
          <w:noProof/>
          <w:sz w:val="24"/>
          <w:szCs w:val="24"/>
        </w:rPr>
      </w:pPr>
      <w:r w:rsidRPr="007E13D2">
        <w:rPr>
          <w:sz w:val="24"/>
          <w:szCs w:val="24"/>
        </w:rPr>
        <w:t>Dette lægemiddel indeholder 9,984 mg alkohol (</w:t>
      </w:r>
      <w:proofErr w:type="spellStart"/>
      <w:r w:rsidRPr="007E13D2">
        <w:rPr>
          <w:sz w:val="24"/>
          <w:szCs w:val="24"/>
        </w:rPr>
        <w:t>ethanol</w:t>
      </w:r>
      <w:proofErr w:type="spellEnd"/>
      <w:r w:rsidRPr="007E13D2">
        <w:rPr>
          <w:sz w:val="24"/>
          <w:szCs w:val="24"/>
        </w:rPr>
        <w:t>) pr. ampul. Mængden i én ampul (5 ml) af denne medicin svarer til mindre end 0,25 ml øl eller 0,1 ml vin.</w:t>
      </w:r>
    </w:p>
    <w:p w14:paraId="33BAD03C" w14:textId="77777777" w:rsidR="00392BED" w:rsidRPr="007E13D2" w:rsidRDefault="00392BED" w:rsidP="00422739">
      <w:pPr>
        <w:ind w:left="851"/>
        <w:rPr>
          <w:noProof/>
          <w:sz w:val="24"/>
          <w:szCs w:val="24"/>
        </w:rPr>
      </w:pPr>
      <w:r w:rsidRPr="007E13D2">
        <w:rPr>
          <w:noProof/>
          <w:sz w:val="24"/>
          <w:szCs w:val="24"/>
        </w:rPr>
        <w:t>Ved ekstrakorporal administration forventes den systemiske eksponering at være lav, og kliniske effekter heraf er endnu ikke blevet observeret. Dog bør den ordinerende læge være opmærksom på mulige interaktioner med andre lægemidler. Navnlig tilrådes forsigtighed ved leversygdom, alkoholisme, epilepsi, hjerneskade eller hjernesygdom.</w:t>
      </w:r>
    </w:p>
    <w:p w14:paraId="20D35F9F" w14:textId="77777777" w:rsidR="00392BED" w:rsidRPr="007E13D2" w:rsidRDefault="00392BED" w:rsidP="00422739">
      <w:pPr>
        <w:ind w:left="851"/>
        <w:rPr>
          <w:noProof/>
          <w:sz w:val="24"/>
          <w:szCs w:val="24"/>
        </w:rPr>
      </w:pPr>
    </w:p>
    <w:p w14:paraId="680817B9" w14:textId="77777777" w:rsidR="00392BED" w:rsidRPr="007E13D2" w:rsidRDefault="00392BED" w:rsidP="00422739">
      <w:pPr>
        <w:ind w:left="851"/>
        <w:rPr>
          <w:noProof/>
          <w:sz w:val="24"/>
          <w:szCs w:val="24"/>
        </w:rPr>
      </w:pPr>
      <w:r w:rsidRPr="007E13D2">
        <w:rPr>
          <w:noProof/>
          <w:sz w:val="24"/>
          <w:szCs w:val="24"/>
        </w:rPr>
        <w:t>Dette lægemiddel indeholder mindre end 1 mmol natrium (23 mg) pr. milliliter og er således i det væsentlige natriumfrit.</w:t>
      </w:r>
    </w:p>
    <w:p w14:paraId="1983008E" w14:textId="77777777" w:rsidR="00392BED" w:rsidRPr="007E13D2" w:rsidRDefault="00392BED" w:rsidP="00422739">
      <w:pPr>
        <w:ind w:left="851"/>
        <w:rPr>
          <w:noProof/>
          <w:sz w:val="24"/>
          <w:szCs w:val="24"/>
        </w:rPr>
      </w:pPr>
    </w:p>
    <w:p w14:paraId="51B91416" w14:textId="77777777" w:rsidR="00392BED" w:rsidRPr="007E13D2" w:rsidRDefault="00392BED" w:rsidP="00422739">
      <w:pPr>
        <w:ind w:left="851"/>
        <w:rPr>
          <w:noProof/>
          <w:sz w:val="24"/>
          <w:szCs w:val="24"/>
        </w:rPr>
      </w:pPr>
      <w:r w:rsidRPr="007E13D2">
        <w:rPr>
          <w:sz w:val="24"/>
          <w:szCs w:val="24"/>
        </w:rPr>
        <w:t>Dette lægemiddel indeholder 35,4 mg natrium i to ampuller (10 ml). Dette svarer til 1,77 % af WHO's anbefalede maksimale daglige indtag på 2 mg af natrium hos en voksen.</w:t>
      </w:r>
    </w:p>
    <w:p w14:paraId="1EDC0636" w14:textId="77777777" w:rsidR="009260DE" w:rsidRPr="007E13D2" w:rsidRDefault="009260DE" w:rsidP="009260DE">
      <w:pPr>
        <w:tabs>
          <w:tab w:val="left" w:pos="851"/>
        </w:tabs>
        <w:ind w:left="851"/>
        <w:rPr>
          <w:sz w:val="24"/>
          <w:szCs w:val="24"/>
        </w:rPr>
      </w:pPr>
    </w:p>
    <w:p w14:paraId="79E7133D" w14:textId="77777777" w:rsidR="009260DE" w:rsidRPr="007E13D2" w:rsidRDefault="009260DE" w:rsidP="009260DE">
      <w:pPr>
        <w:tabs>
          <w:tab w:val="left" w:pos="851"/>
        </w:tabs>
        <w:ind w:left="851" w:hanging="851"/>
        <w:rPr>
          <w:b/>
          <w:sz w:val="24"/>
          <w:szCs w:val="24"/>
        </w:rPr>
      </w:pPr>
      <w:r w:rsidRPr="007E13D2">
        <w:rPr>
          <w:b/>
          <w:sz w:val="24"/>
          <w:szCs w:val="24"/>
        </w:rPr>
        <w:t>4.5</w:t>
      </w:r>
      <w:r w:rsidRPr="007E13D2">
        <w:rPr>
          <w:b/>
          <w:sz w:val="24"/>
          <w:szCs w:val="24"/>
        </w:rPr>
        <w:tab/>
        <w:t>Interaktion med andre lægemidler og andre former for interaktion</w:t>
      </w:r>
    </w:p>
    <w:p w14:paraId="4898F0EC" w14:textId="77777777" w:rsidR="00410495" w:rsidRDefault="00410495" w:rsidP="00422739">
      <w:pPr>
        <w:ind w:left="851"/>
        <w:rPr>
          <w:sz w:val="24"/>
          <w:szCs w:val="24"/>
        </w:rPr>
      </w:pPr>
    </w:p>
    <w:p w14:paraId="58682AA7" w14:textId="562445DC" w:rsidR="00392BED" w:rsidRPr="00410495" w:rsidRDefault="00392BED" w:rsidP="00422739">
      <w:pPr>
        <w:ind w:left="851"/>
        <w:rPr>
          <w:i/>
          <w:sz w:val="24"/>
          <w:szCs w:val="24"/>
        </w:rPr>
      </w:pPr>
      <w:proofErr w:type="spellStart"/>
      <w:r w:rsidRPr="00410495">
        <w:rPr>
          <w:i/>
          <w:sz w:val="24"/>
          <w:szCs w:val="24"/>
        </w:rPr>
        <w:t>Phenytoin</w:t>
      </w:r>
      <w:proofErr w:type="spellEnd"/>
    </w:p>
    <w:p w14:paraId="2F3927C1" w14:textId="77777777" w:rsidR="00392BED" w:rsidRPr="007E13D2" w:rsidRDefault="00392BED" w:rsidP="00422739">
      <w:pPr>
        <w:ind w:left="851"/>
        <w:rPr>
          <w:sz w:val="24"/>
          <w:szCs w:val="24"/>
        </w:rPr>
      </w:pPr>
      <w:proofErr w:type="spellStart"/>
      <w:r w:rsidRPr="007E13D2">
        <w:rPr>
          <w:sz w:val="24"/>
          <w:szCs w:val="24"/>
        </w:rPr>
        <w:t>Phenytoin</w:t>
      </w:r>
      <w:proofErr w:type="spellEnd"/>
      <w:r w:rsidRPr="007E13D2">
        <w:rPr>
          <w:sz w:val="24"/>
          <w:szCs w:val="24"/>
        </w:rPr>
        <w:t xml:space="preserve"> kan påvirke </w:t>
      </w:r>
      <w:proofErr w:type="spellStart"/>
      <w:r w:rsidRPr="007E13D2">
        <w:rPr>
          <w:sz w:val="24"/>
          <w:szCs w:val="24"/>
        </w:rPr>
        <w:t>metaboliseringen</w:t>
      </w:r>
      <w:proofErr w:type="spellEnd"/>
      <w:r w:rsidRPr="007E13D2">
        <w:rPr>
          <w:sz w:val="24"/>
          <w:szCs w:val="24"/>
        </w:rPr>
        <w:t xml:space="preserve"> af </w:t>
      </w:r>
      <w:proofErr w:type="spellStart"/>
      <w:r w:rsidRPr="007E13D2">
        <w:rPr>
          <w:sz w:val="24"/>
          <w:szCs w:val="24"/>
        </w:rPr>
        <w:t>psoralens</w:t>
      </w:r>
      <w:proofErr w:type="spellEnd"/>
      <w:r w:rsidRPr="007E13D2">
        <w:rPr>
          <w:sz w:val="24"/>
          <w:szCs w:val="24"/>
        </w:rPr>
        <w:t xml:space="preserve">. Mislykket behandling med </w:t>
      </w:r>
      <w:proofErr w:type="spellStart"/>
      <w:r w:rsidRPr="007E13D2">
        <w:rPr>
          <w:sz w:val="24"/>
          <w:szCs w:val="24"/>
        </w:rPr>
        <w:t>methoxsalen</w:t>
      </w:r>
      <w:proofErr w:type="spellEnd"/>
      <w:r w:rsidRPr="007E13D2">
        <w:rPr>
          <w:sz w:val="24"/>
          <w:szCs w:val="24"/>
        </w:rPr>
        <w:t xml:space="preserve"> kan eventuelt skyldes denne interaktion, hvis det administreres samtidig med </w:t>
      </w:r>
      <w:proofErr w:type="spellStart"/>
      <w:r w:rsidRPr="007E13D2">
        <w:rPr>
          <w:sz w:val="24"/>
          <w:szCs w:val="24"/>
        </w:rPr>
        <w:t>phenytoin</w:t>
      </w:r>
      <w:proofErr w:type="spellEnd"/>
      <w:r w:rsidRPr="007E13D2">
        <w:rPr>
          <w:sz w:val="24"/>
          <w:szCs w:val="24"/>
        </w:rPr>
        <w:t>.</w:t>
      </w:r>
    </w:p>
    <w:p w14:paraId="3EB6DDD9" w14:textId="77777777" w:rsidR="00392BED" w:rsidRPr="007E13D2" w:rsidRDefault="00392BED" w:rsidP="00422739">
      <w:pPr>
        <w:ind w:left="851"/>
        <w:rPr>
          <w:sz w:val="24"/>
          <w:szCs w:val="24"/>
        </w:rPr>
      </w:pPr>
    </w:p>
    <w:p w14:paraId="0869934B" w14:textId="77777777" w:rsidR="00392BED" w:rsidRPr="00410495" w:rsidRDefault="00392BED" w:rsidP="00422739">
      <w:pPr>
        <w:ind w:left="851"/>
        <w:rPr>
          <w:i/>
          <w:sz w:val="24"/>
          <w:szCs w:val="24"/>
        </w:rPr>
      </w:pPr>
      <w:proofErr w:type="spellStart"/>
      <w:r w:rsidRPr="00410495">
        <w:rPr>
          <w:i/>
          <w:sz w:val="24"/>
          <w:szCs w:val="24"/>
        </w:rPr>
        <w:t>Tolbutamid</w:t>
      </w:r>
      <w:proofErr w:type="spellEnd"/>
    </w:p>
    <w:p w14:paraId="55446655" w14:textId="77777777" w:rsidR="00392BED" w:rsidRPr="007E13D2" w:rsidRDefault="00392BED" w:rsidP="00422739">
      <w:pPr>
        <w:ind w:left="851"/>
        <w:rPr>
          <w:sz w:val="24"/>
          <w:szCs w:val="24"/>
        </w:rPr>
      </w:pPr>
      <w:proofErr w:type="spellStart"/>
      <w:r w:rsidRPr="007E13D2">
        <w:rPr>
          <w:sz w:val="24"/>
          <w:szCs w:val="24"/>
        </w:rPr>
        <w:t>Methoxsalen</w:t>
      </w:r>
      <w:proofErr w:type="spellEnd"/>
      <w:r w:rsidRPr="007E13D2">
        <w:rPr>
          <w:sz w:val="24"/>
          <w:szCs w:val="24"/>
        </w:rPr>
        <w:t xml:space="preserve"> er stærkt bundet til serumalbumin, men kan også fortrænges, navnlig af </w:t>
      </w:r>
      <w:proofErr w:type="spellStart"/>
      <w:r w:rsidRPr="007E13D2">
        <w:rPr>
          <w:sz w:val="24"/>
          <w:szCs w:val="24"/>
        </w:rPr>
        <w:t>tolbutamid</w:t>
      </w:r>
      <w:proofErr w:type="spellEnd"/>
      <w:r w:rsidRPr="007E13D2">
        <w:rPr>
          <w:sz w:val="24"/>
          <w:szCs w:val="24"/>
        </w:rPr>
        <w:t xml:space="preserve">. Samtidig brug af </w:t>
      </w:r>
      <w:proofErr w:type="spellStart"/>
      <w:r w:rsidRPr="007E13D2">
        <w:rPr>
          <w:sz w:val="24"/>
          <w:szCs w:val="24"/>
        </w:rPr>
        <w:t>methoxsalen</w:t>
      </w:r>
      <w:proofErr w:type="spellEnd"/>
      <w:r w:rsidRPr="007E13D2">
        <w:rPr>
          <w:sz w:val="24"/>
          <w:szCs w:val="24"/>
        </w:rPr>
        <w:t xml:space="preserve"> og </w:t>
      </w:r>
      <w:proofErr w:type="spellStart"/>
      <w:r w:rsidRPr="007E13D2">
        <w:rPr>
          <w:sz w:val="24"/>
          <w:szCs w:val="24"/>
        </w:rPr>
        <w:t>tolbutamid</w:t>
      </w:r>
      <w:proofErr w:type="spellEnd"/>
      <w:r w:rsidRPr="007E13D2">
        <w:rPr>
          <w:sz w:val="24"/>
          <w:szCs w:val="24"/>
        </w:rPr>
        <w:t xml:space="preserve"> kan føre til øget fotosensitivitet.</w:t>
      </w:r>
    </w:p>
    <w:p w14:paraId="3C16ACA9" w14:textId="77777777" w:rsidR="00392BED" w:rsidRPr="007E13D2" w:rsidRDefault="00392BED" w:rsidP="00422739">
      <w:pPr>
        <w:ind w:left="851"/>
        <w:rPr>
          <w:sz w:val="24"/>
          <w:szCs w:val="24"/>
        </w:rPr>
      </w:pPr>
    </w:p>
    <w:p w14:paraId="4CEAAACE" w14:textId="77777777" w:rsidR="00392BED" w:rsidRPr="00410495" w:rsidRDefault="00392BED" w:rsidP="00422739">
      <w:pPr>
        <w:ind w:left="851"/>
        <w:rPr>
          <w:i/>
          <w:sz w:val="24"/>
          <w:szCs w:val="24"/>
        </w:rPr>
      </w:pPr>
      <w:proofErr w:type="spellStart"/>
      <w:r w:rsidRPr="00410495">
        <w:rPr>
          <w:i/>
          <w:sz w:val="24"/>
          <w:szCs w:val="24"/>
        </w:rPr>
        <w:t>Cytokrom</w:t>
      </w:r>
      <w:proofErr w:type="spellEnd"/>
      <w:r w:rsidRPr="00410495">
        <w:rPr>
          <w:i/>
          <w:sz w:val="24"/>
          <w:szCs w:val="24"/>
        </w:rPr>
        <w:t xml:space="preserve"> P450</w:t>
      </w:r>
    </w:p>
    <w:p w14:paraId="61A791C0" w14:textId="77777777" w:rsidR="00392BED" w:rsidRPr="007E13D2" w:rsidRDefault="00392BED" w:rsidP="00422739">
      <w:pPr>
        <w:ind w:left="851"/>
        <w:rPr>
          <w:sz w:val="24"/>
          <w:szCs w:val="24"/>
        </w:rPr>
      </w:pPr>
      <w:proofErr w:type="spellStart"/>
      <w:r w:rsidRPr="007E13D2">
        <w:rPr>
          <w:sz w:val="24"/>
          <w:szCs w:val="24"/>
        </w:rPr>
        <w:t>Methoxsalen</w:t>
      </w:r>
      <w:proofErr w:type="spellEnd"/>
      <w:r w:rsidRPr="007E13D2">
        <w:rPr>
          <w:sz w:val="24"/>
          <w:szCs w:val="24"/>
        </w:rPr>
        <w:t xml:space="preserve"> </w:t>
      </w:r>
      <w:proofErr w:type="spellStart"/>
      <w:r w:rsidRPr="007E13D2">
        <w:rPr>
          <w:sz w:val="24"/>
          <w:szCs w:val="24"/>
        </w:rPr>
        <w:t>metaboliseres</w:t>
      </w:r>
      <w:proofErr w:type="spellEnd"/>
      <w:r w:rsidRPr="007E13D2">
        <w:rPr>
          <w:sz w:val="24"/>
          <w:szCs w:val="24"/>
        </w:rPr>
        <w:t xml:space="preserve"> via </w:t>
      </w:r>
      <w:proofErr w:type="spellStart"/>
      <w:r w:rsidRPr="007E13D2">
        <w:rPr>
          <w:sz w:val="24"/>
          <w:szCs w:val="24"/>
        </w:rPr>
        <w:t>cytochrom</w:t>
      </w:r>
      <w:proofErr w:type="spellEnd"/>
      <w:r w:rsidRPr="007E13D2">
        <w:rPr>
          <w:sz w:val="24"/>
          <w:szCs w:val="24"/>
        </w:rPr>
        <w:t xml:space="preserve"> P450 (CYP1A2). Forsigtighed er derfor påkrævet, hvis lægemidler, der overvejende </w:t>
      </w:r>
      <w:proofErr w:type="spellStart"/>
      <w:r w:rsidRPr="007E13D2">
        <w:rPr>
          <w:sz w:val="24"/>
          <w:szCs w:val="24"/>
        </w:rPr>
        <w:t>metaboliseres</w:t>
      </w:r>
      <w:proofErr w:type="spellEnd"/>
      <w:r w:rsidRPr="007E13D2">
        <w:rPr>
          <w:sz w:val="24"/>
          <w:szCs w:val="24"/>
        </w:rPr>
        <w:t xml:space="preserve"> af CYP1A2 (</w:t>
      </w:r>
      <w:proofErr w:type="spellStart"/>
      <w:r w:rsidRPr="007E13D2">
        <w:rPr>
          <w:sz w:val="24"/>
          <w:szCs w:val="24"/>
        </w:rPr>
        <w:t>melatonin</w:t>
      </w:r>
      <w:proofErr w:type="spellEnd"/>
      <w:r w:rsidRPr="007E13D2">
        <w:rPr>
          <w:sz w:val="24"/>
          <w:szCs w:val="24"/>
        </w:rPr>
        <w:t xml:space="preserve">, </w:t>
      </w:r>
      <w:proofErr w:type="spellStart"/>
      <w:r w:rsidRPr="007E13D2">
        <w:rPr>
          <w:sz w:val="24"/>
          <w:szCs w:val="24"/>
        </w:rPr>
        <w:t>xanthiner</w:t>
      </w:r>
      <w:proofErr w:type="spellEnd"/>
      <w:r w:rsidRPr="007E13D2">
        <w:rPr>
          <w:sz w:val="24"/>
          <w:szCs w:val="24"/>
        </w:rPr>
        <w:t xml:space="preserve">, som f.eks. koffein, </w:t>
      </w:r>
      <w:proofErr w:type="spellStart"/>
      <w:r w:rsidRPr="007E13D2">
        <w:rPr>
          <w:sz w:val="24"/>
          <w:szCs w:val="24"/>
        </w:rPr>
        <w:t>theophyllin</w:t>
      </w:r>
      <w:proofErr w:type="spellEnd"/>
      <w:r w:rsidRPr="007E13D2">
        <w:rPr>
          <w:sz w:val="24"/>
          <w:szCs w:val="24"/>
        </w:rPr>
        <w:t xml:space="preserve">) administreres samtidigt. Samtidig administration kan forlænge halveringstiden for </w:t>
      </w:r>
      <w:proofErr w:type="spellStart"/>
      <w:r w:rsidRPr="007E13D2">
        <w:rPr>
          <w:sz w:val="24"/>
          <w:szCs w:val="24"/>
        </w:rPr>
        <w:t>methoxsalen</w:t>
      </w:r>
      <w:proofErr w:type="spellEnd"/>
      <w:r w:rsidRPr="007E13D2">
        <w:rPr>
          <w:sz w:val="24"/>
          <w:szCs w:val="24"/>
        </w:rPr>
        <w:t xml:space="preserve"> og resultere i langvarig fotosensitivitet.</w:t>
      </w:r>
    </w:p>
    <w:p w14:paraId="748F68AF" w14:textId="77777777" w:rsidR="00392BED" w:rsidRPr="007E13D2" w:rsidRDefault="00392BED" w:rsidP="00422739">
      <w:pPr>
        <w:ind w:left="851"/>
        <w:rPr>
          <w:sz w:val="24"/>
          <w:szCs w:val="24"/>
        </w:rPr>
      </w:pPr>
    </w:p>
    <w:p w14:paraId="46B14782" w14:textId="00E39A10" w:rsidR="00410495" w:rsidRDefault="00392BED" w:rsidP="0003147B">
      <w:pPr>
        <w:ind w:left="851"/>
        <w:rPr>
          <w:sz w:val="24"/>
          <w:szCs w:val="24"/>
        </w:rPr>
      </w:pPr>
      <w:r w:rsidRPr="007E13D2">
        <w:rPr>
          <w:sz w:val="24"/>
          <w:szCs w:val="24"/>
        </w:rPr>
        <w:t xml:space="preserve">Selvom </w:t>
      </w:r>
      <w:proofErr w:type="spellStart"/>
      <w:r w:rsidRPr="007E13D2">
        <w:rPr>
          <w:sz w:val="24"/>
          <w:szCs w:val="24"/>
        </w:rPr>
        <w:t>methoxsalen</w:t>
      </w:r>
      <w:proofErr w:type="spellEnd"/>
      <w:r w:rsidRPr="007E13D2">
        <w:rPr>
          <w:sz w:val="24"/>
          <w:szCs w:val="24"/>
        </w:rPr>
        <w:t xml:space="preserve"> har vist sig at være i stand til både induktion og </w:t>
      </w:r>
      <w:proofErr w:type="spellStart"/>
      <w:r w:rsidRPr="007E13D2">
        <w:rPr>
          <w:sz w:val="24"/>
          <w:szCs w:val="24"/>
        </w:rPr>
        <w:t>inhibering</w:t>
      </w:r>
      <w:proofErr w:type="spellEnd"/>
      <w:r w:rsidRPr="007E13D2">
        <w:rPr>
          <w:sz w:val="24"/>
          <w:szCs w:val="24"/>
        </w:rPr>
        <w:t xml:space="preserve"> af leverenzymer, synes det hos mennesker primært at fungere som en potent hæmmer af </w:t>
      </w:r>
      <w:proofErr w:type="spellStart"/>
      <w:r w:rsidRPr="007E13D2">
        <w:rPr>
          <w:sz w:val="24"/>
          <w:szCs w:val="24"/>
        </w:rPr>
        <w:t>mikrosomale</w:t>
      </w:r>
      <w:proofErr w:type="spellEnd"/>
      <w:r w:rsidRPr="007E13D2">
        <w:rPr>
          <w:sz w:val="24"/>
          <w:szCs w:val="24"/>
        </w:rPr>
        <w:t xml:space="preserve"> </w:t>
      </w:r>
      <w:proofErr w:type="spellStart"/>
      <w:r w:rsidRPr="007E13D2">
        <w:rPr>
          <w:sz w:val="24"/>
          <w:szCs w:val="24"/>
        </w:rPr>
        <w:t>oxidative</w:t>
      </w:r>
      <w:proofErr w:type="spellEnd"/>
      <w:r w:rsidRPr="007E13D2">
        <w:rPr>
          <w:sz w:val="24"/>
          <w:szCs w:val="24"/>
        </w:rPr>
        <w:t xml:space="preserve"> metaboliske processer. Det kan derfor forventes, at interaktioner vil forekomme mellem </w:t>
      </w:r>
      <w:proofErr w:type="spellStart"/>
      <w:r w:rsidRPr="007E13D2">
        <w:rPr>
          <w:sz w:val="24"/>
          <w:szCs w:val="24"/>
        </w:rPr>
        <w:t>methoxsalen</w:t>
      </w:r>
      <w:proofErr w:type="spellEnd"/>
      <w:r w:rsidRPr="007E13D2">
        <w:rPr>
          <w:sz w:val="24"/>
          <w:szCs w:val="24"/>
        </w:rPr>
        <w:t xml:space="preserve"> og andre lægemidler, hvis </w:t>
      </w:r>
      <w:proofErr w:type="spellStart"/>
      <w:r w:rsidRPr="007E13D2">
        <w:rPr>
          <w:sz w:val="24"/>
          <w:szCs w:val="24"/>
        </w:rPr>
        <w:t>metabolisering</w:t>
      </w:r>
      <w:proofErr w:type="spellEnd"/>
      <w:r w:rsidRPr="007E13D2">
        <w:rPr>
          <w:sz w:val="24"/>
          <w:szCs w:val="24"/>
        </w:rPr>
        <w:t xml:space="preserve"> involverer </w:t>
      </w:r>
      <w:proofErr w:type="spellStart"/>
      <w:r w:rsidRPr="007E13D2">
        <w:rPr>
          <w:sz w:val="24"/>
          <w:szCs w:val="24"/>
        </w:rPr>
        <w:t>cytochrom</w:t>
      </w:r>
      <w:proofErr w:type="spellEnd"/>
      <w:r w:rsidRPr="007E13D2">
        <w:rPr>
          <w:sz w:val="24"/>
          <w:szCs w:val="24"/>
        </w:rPr>
        <w:t xml:space="preserve"> P450-systemet (navnlig CYP1A2). </w:t>
      </w:r>
      <w:proofErr w:type="spellStart"/>
      <w:r w:rsidRPr="007E13D2">
        <w:rPr>
          <w:sz w:val="24"/>
          <w:szCs w:val="24"/>
        </w:rPr>
        <w:t>Clearancehastighederne</w:t>
      </w:r>
      <w:proofErr w:type="spellEnd"/>
      <w:r w:rsidRPr="007E13D2">
        <w:rPr>
          <w:sz w:val="24"/>
          <w:szCs w:val="24"/>
        </w:rPr>
        <w:t xml:space="preserve"> for koffein blev markant reduceret efter behandling med </w:t>
      </w:r>
      <w:proofErr w:type="spellStart"/>
      <w:r w:rsidRPr="007E13D2">
        <w:rPr>
          <w:sz w:val="24"/>
          <w:szCs w:val="24"/>
        </w:rPr>
        <w:t>methoxsalen</w:t>
      </w:r>
      <w:proofErr w:type="spellEnd"/>
      <w:r w:rsidRPr="007E13D2">
        <w:rPr>
          <w:sz w:val="24"/>
          <w:szCs w:val="24"/>
        </w:rPr>
        <w:t>. Både konjugerede og ikke-konjugerede metabolitter er blevet identificeret, men ingen af disse udviste farmakologisk relevant aktivitet.</w:t>
      </w:r>
    </w:p>
    <w:p w14:paraId="1DC1BC51" w14:textId="77777777" w:rsidR="00392BED" w:rsidRPr="007E13D2" w:rsidRDefault="00392BED" w:rsidP="00422739">
      <w:pPr>
        <w:ind w:left="851"/>
        <w:rPr>
          <w:sz w:val="24"/>
          <w:szCs w:val="24"/>
        </w:rPr>
      </w:pPr>
    </w:p>
    <w:p w14:paraId="1A110E76" w14:textId="77777777" w:rsidR="00392BED" w:rsidRPr="00410495" w:rsidRDefault="00392BED" w:rsidP="00422739">
      <w:pPr>
        <w:ind w:left="851"/>
        <w:rPr>
          <w:i/>
          <w:sz w:val="24"/>
          <w:szCs w:val="24"/>
        </w:rPr>
      </w:pPr>
      <w:bookmarkStart w:id="1" w:name="_Hlk89351620"/>
      <w:r w:rsidRPr="00410495">
        <w:rPr>
          <w:i/>
          <w:sz w:val="24"/>
          <w:szCs w:val="24"/>
        </w:rPr>
        <w:t>Fotosensibiliserende</w:t>
      </w:r>
      <w:bookmarkEnd w:id="1"/>
      <w:r w:rsidRPr="00410495">
        <w:rPr>
          <w:i/>
          <w:sz w:val="24"/>
          <w:szCs w:val="24"/>
        </w:rPr>
        <w:t xml:space="preserve"> midler</w:t>
      </w:r>
    </w:p>
    <w:p w14:paraId="1B647C3E" w14:textId="77777777" w:rsidR="00392BED" w:rsidRPr="007E13D2" w:rsidRDefault="00392BED" w:rsidP="00422739">
      <w:pPr>
        <w:ind w:left="851"/>
        <w:rPr>
          <w:sz w:val="24"/>
          <w:szCs w:val="24"/>
        </w:rPr>
      </w:pPr>
      <w:r w:rsidRPr="007E13D2">
        <w:rPr>
          <w:sz w:val="24"/>
          <w:szCs w:val="24"/>
        </w:rPr>
        <w:t xml:space="preserve">Forsigtighed er endvidere påkrævet hos patienter i samtidig behandling med </w:t>
      </w:r>
      <w:proofErr w:type="spellStart"/>
      <w:r w:rsidRPr="007E13D2">
        <w:rPr>
          <w:sz w:val="24"/>
          <w:szCs w:val="24"/>
        </w:rPr>
        <w:t>cytotoksiske</w:t>
      </w:r>
      <w:proofErr w:type="spellEnd"/>
      <w:r w:rsidRPr="007E13D2">
        <w:rPr>
          <w:sz w:val="24"/>
          <w:szCs w:val="24"/>
        </w:rPr>
        <w:t xml:space="preserve"> eller andre fotosensibiliserende stoffer:</w:t>
      </w:r>
    </w:p>
    <w:p w14:paraId="78FF12EA" w14:textId="77777777" w:rsidR="00392BED" w:rsidRPr="007E13D2" w:rsidRDefault="00392BED" w:rsidP="00422739">
      <w:pPr>
        <w:ind w:left="851"/>
        <w:rPr>
          <w:sz w:val="24"/>
          <w:szCs w:val="24"/>
        </w:rPr>
      </w:pPr>
      <w:proofErr w:type="spellStart"/>
      <w:r w:rsidRPr="007E13D2">
        <w:rPr>
          <w:sz w:val="24"/>
          <w:szCs w:val="24"/>
        </w:rPr>
        <w:t>Fluoroquinoloner</w:t>
      </w:r>
      <w:proofErr w:type="spellEnd"/>
      <w:r w:rsidRPr="007E13D2">
        <w:rPr>
          <w:sz w:val="24"/>
          <w:szCs w:val="24"/>
        </w:rPr>
        <w:t xml:space="preserve">, </w:t>
      </w:r>
      <w:proofErr w:type="spellStart"/>
      <w:r w:rsidRPr="007E13D2">
        <w:rPr>
          <w:sz w:val="24"/>
          <w:szCs w:val="24"/>
        </w:rPr>
        <w:t>furosemid</w:t>
      </w:r>
      <w:proofErr w:type="spellEnd"/>
      <w:r w:rsidRPr="007E13D2">
        <w:rPr>
          <w:sz w:val="24"/>
          <w:szCs w:val="24"/>
        </w:rPr>
        <w:t xml:space="preserve">, </w:t>
      </w:r>
      <w:proofErr w:type="spellStart"/>
      <w:r w:rsidRPr="007E13D2">
        <w:rPr>
          <w:sz w:val="24"/>
          <w:szCs w:val="24"/>
        </w:rPr>
        <w:t>retinoider</w:t>
      </w:r>
      <w:proofErr w:type="spellEnd"/>
      <w:r w:rsidRPr="007E13D2">
        <w:rPr>
          <w:sz w:val="24"/>
          <w:szCs w:val="24"/>
        </w:rPr>
        <w:t xml:space="preserve">, </w:t>
      </w:r>
      <w:proofErr w:type="spellStart"/>
      <w:r w:rsidRPr="007E13D2">
        <w:rPr>
          <w:sz w:val="24"/>
          <w:szCs w:val="24"/>
        </w:rPr>
        <w:t>sulfonylurinstoffer</w:t>
      </w:r>
      <w:proofErr w:type="spellEnd"/>
      <w:r w:rsidRPr="007E13D2">
        <w:rPr>
          <w:sz w:val="24"/>
          <w:szCs w:val="24"/>
        </w:rPr>
        <w:t xml:space="preserve">, </w:t>
      </w:r>
      <w:proofErr w:type="spellStart"/>
      <w:r w:rsidRPr="007E13D2">
        <w:rPr>
          <w:sz w:val="24"/>
          <w:szCs w:val="24"/>
        </w:rPr>
        <w:t>anthralin</w:t>
      </w:r>
      <w:proofErr w:type="spellEnd"/>
      <w:r w:rsidRPr="007E13D2">
        <w:rPr>
          <w:sz w:val="24"/>
          <w:szCs w:val="24"/>
        </w:rPr>
        <w:t xml:space="preserve">, kultjære, </w:t>
      </w:r>
      <w:proofErr w:type="spellStart"/>
      <w:r w:rsidRPr="007E13D2">
        <w:rPr>
          <w:sz w:val="24"/>
          <w:szCs w:val="24"/>
        </w:rPr>
        <w:t>griseofulvin</w:t>
      </w:r>
      <w:proofErr w:type="spellEnd"/>
      <w:r w:rsidRPr="007E13D2">
        <w:rPr>
          <w:sz w:val="24"/>
          <w:szCs w:val="24"/>
        </w:rPr>
        <w:t>,</w:t>
      </w:r>
    </w:p>
    <w:p w14:paraId="6C858448" w14:textId="77777777" w:rsidR="00392BED" w:rsidRPr="007E13D2" w:rsidRDefault="00392BED" w:rsidP="00422739">
      <w:pPr>
        <w:ind w:left="851"/>
        <w:rPr>
          <w:sz w:val="24"/>
          <w:szCs w:val="24"/>
        </w:rPr>
      </w:pPr>
      <w:proofErr w:type="spellStart"/>
      <w:r w:rsidRPr="007E13D2">
        <w:rPr>
          <w:sz w:val="24"/>
          <w:szCs w:val="24"/>
        </w:rPr>
        <w:t>nalidixinsyre</w:t>
      </w:r>
      <w:proofErr w:type="spellEnd"/>
      <w:r w:rsidRPr="007E13D2">
        <w:rPr>
          <w:sz w:val="24"/>
          <w:szCs w:val="24"/>
        </w:rPr>
        <w:t xml:space="preserve">, sulfonamider, </w:t>
      </w:r>
      <w:proofErr w:type="spellStart"/>
      <w:r w:rsidRPr="007E13D2">
        <w:rPr>
          <w:sz w:val="24"/>
          <w:szCs w:val="24"/>
        </w:rPr>
        <w:t>tetracycliner</w:t>
      </w:r>
      <w:proofErr w:type="spellEnd"/>
      <w:r w:rsidRPr="007E13D2">
        <w:rPr>
          <w:sz w:val="24"/>
          <w:szCs w:val="24"/>
        </w:rPr>
        <w:t xml:space="preserve">, </w:t>
      </w:r>
      <w:proofErr w:type="spellStart"/>
      <w:r w:rsidRPr="007E13D2">
        <w:rPr>
          <w:sz w:val="24"/>
          <w:szCs w:val="24"/>
        </w:rPr>
        <w:t>halogenerede</w:t>
      </w:r>
      <w:proofErr w:type="spellEnd"/>
      <w:r w:rsidRPr="007E13D2">
        <w:rPr>
          <w:sz w:val="24"/>
          <w:szCs w:val="24"/>
        </w:rPr>
        <w:t xml:space="preserve"> </w:t>
      </w:r>
      <w:proofErr w:type="spellStart"/>
      <w:r w:rsidRPr="007E13D2">
        <w:rPr>
          <w:sz w:val="24"/>
          <w:szCs w:val="24"/>
        </w:rPr>
        <w:t>salicylanilinderivater</w:t>
      </w:r>
      <w:proofErr w:type="spellEnd"/>
      <w:r w:rsidRPr="007E13D2">
        <w:rPr>
          <w:sz w:val="24"/>
          <w:szCs w:val="24"/>
        </w:rPr>
        <w:t xml:space="preserve">, </w:t>
      </w:r>
      <w:proofErr w:type="spellStart"/>
      <w:r w:rsidRPr="007E13D2">
        <w:rPr>
          <w:sz w:val="24"/>
          <w:szCs w:val="24"/>
        </w:rPr>
        <w:t>thiazider</w:t>
      </w:r>
      <w:proofErr w:type="spellEnd"/>
      <w:r w:rsidRPr="007E13D2">
        <w:rPr>
          <w:sz w:val="24"/>
          <w:szCs w:val="24"/>
        </w:rPr>
        <w:t>,</w:t>
      </w:r>
    </w:p>
    <w:p w14:paraId="59309FF0" w14:textId="77777777" w:rsidR="00392BED" w:rsidRPr="007E13D2" w:rsidRDefault="00392BED" w:rsidP="00422739">
      <w:pPr>
        <w:ind w:left="851"/>
        <w:rPr>
          <w:sz w:val="24"/>
          <w:szCs w:val="24"/>
          <w:lang w:val="en-GB"/>
        </w:rPr>
      </w:pPr>
      <w:proofErr w:type="spellStart"/>
      <w:r w:rsidRPr="007E13D2">
        <w:rPr>
          <w:sz w:val="24"/>
          <w:szCs w:val="24"/>
          <w:lang w:val="en-US"/>
        </w:rPr>
        <w:t>phenothiaziner</w:t>
      </w:r>
      <w:proofErr w:type="spellEnd"/>
      <w:r w:rsidRPr="007E13D2">
        <w:rPr>
          <w:sz w:val="24"/>
          <w:szCs w:val="24"/>
          <w:lang w:val="en-US"/>
        </w:rPr>
        <w:t xml:space="preserve">, </w:t>
      </w:r>
      <w:proofErr w:type="spellStart"/>
      <w:r w:rsidRPr="007E13D2">
        <w:rPr>
          <w:sz w:val="24"/>
          <w:szCs w:val="24"/>
          <w:lang w:val="en-US"/>
        </w:rPr>
        <w:t>methylenblåt</w:t>
      </w:r>
      <w:proofErr w:type="spellEnd"/>
      <w:r w:rsidRPr="007E13D2">
        <w:rPr>
          <w:sz w:val="24"/>
          <w:szCs w:val="24"/>
          <w:lang w:val="en-US"/>
        </w:rPr>
        <w:t xml:space="preserve">, </w:t>
      </w:r>
      <w:proofErr w:type="spellStart"/>
      <w:r w:rsidRPr="007E13D2">
        <w:rPr>
          <w:sz w:val="24"/>
          <w:szCs w:val="24"/>
          <w:lang w:val="en-US"/>
        </w:rPr>
        <w:t>toloniumchlorid</w:t>
      </w:r>
      <w:proofErr w:type="spellEnd"/>
      <w:r w:rsidRPr="007E13D2">
        <w:rPr>
          <w:sz w:val="24"/>
          <w:szCs w:val="24"/>
          <w:lang w:val="en-US"/>
        </w:rPr>
        <w:t xml:space="preserve">, rose </w:t>
      </w:r>
      <w:proofErr w:type="spellStart"/>
      <w:r w:rsidRPr="007E13D2">
        <w:rPr>
          <w:sz w:val="24"/>
          <w:szCs w:val="24"/>
          <w:lang w:val="en-US"/>
        </w:rPr>
        <w:t>bengal</w:t>
      </w:r>
      <w:proofErr w:type="spellEnd"/>
      <w:r w:rsidRPr="007E13D2">
        <w:rPr>
          <w:sz w:val="24"/>
          <w:szCs w:val="24"/>
          <w:lang w:val="en-US"/>
        </w:rPr>
        <w:t xml:space="preserve">, </w:t>
      </w:r>
      <w:proofErr w:type="spellStart"/>
      <w:r w:rsidRPr="007E13D2">
        <w:rPr>
          <w:sz w:val="24"/>
          <w:szCs w:val="24"/>
          <w:lang w:val="en-US"/>
        </w:rPr>
        <w:t>methylorange</w:t>
      </w:r>
      <w:proofErr w:type="spellEnd"/>
      <w:r w:rsidRPr="007E13D2">
        <w:rPr>
          <w:sz w:val="24"/>
          <w:szCs w:val="24"/>
          <w:lang w:val="en-US"/>
        </w:rPr>
        <w:t xml:space="preserve">, </w:t>
      </w:r>
      <w:proofErr w:type="spellStart"/>
      <w:r w:rsidRPr="007E13D2">
        <w:rPr>
          <w:sz w:val="24"/>
          <w:szCs w:val="24"/>
          <w:lang w:val="en-US"/>
        </w:rPr>
        <w:t>orale</w:t>
      </w:r>
      <w:proofErr w:type="spellEnd"/>
    </w:p>
    <w:p w14:paraId="397495AD" w14:textId="77777777" w:rsidR="00392BED" w:rsidRPr="007E13D2" w:rsidRDefault="00392BED" w:rsidP="00422739">
      <w:pPr>
        <w:ind w:left="851"/>
        <w:rPr>
          <w:sz w:val="24"/>
          <w:szCs w:val="24"/>
        </w:rPr>
      </w:pPr>
      <w:proofErr w:type="spellStart"/>
      <w:r w:rsidRPr="007E13D2">
        <w:rPr>
          <w:sz w:val="24"/>
          <w:szCs w:val="24"/>
        </w:rPr>
        <w:t>coumarin</w:t>
      </w:r>
      <w:proofErr w:type="spellEnd"/>
      <w:r w:rsidRPr="007E13D2">
        <w:rPr>
          <w:sz w:val="24"/>
          <w:szCs w:val="24"/>
        </w:rPr>
        <w:t xml:space="preserve"> </w:t>
      </w:r>
      <w:proofErr w:type="spellStart"/>
      <w:r w:rsidRPr="007E13D2">
        <w:rPr>
          <w:sz w:val="24"/>
          <w:szCs w:val="24"/>
        </w:rPr>
        <w:t>antikoagulantia</w:t>
      </w:r>
      <w:proofErr w:type="spellEnd"/>
      <w:r w:rsidRPr="007E13D2">
        <w:rPr>
          <w:sz w:val="24"/>
          <w:szCs w:val="24"/>
        </w:rPr>
        <w:t>.</w:t>
      </w:r>
    </w:p>
    <w:p w14:paraId="38FB34A2" w14:textId="77777777" w:rsidR="009260DE" w:rsidRPr="007E13D2" w:rsidRDefault="009260DE" w:rsidP="009260DE">
      <w:pPr>
        <w:tabs>
          <w:tab w:val="left" w:pos="851"/>
        </w:tabs>
        <w:ind w:left="851"/>
        <w:rPr>
          <w:sz w:val="24"/>
          <w:szCs w:val="24"/>
        </w:rPr>
      </w:pPr>
    </w:p>
    <w:p w14:paraId="181F0FB5" w14:textId="77777777" w:rsidR="009260DE" w:rsidRPr="007E13D2" w:rsidRDefault="009260DE" w:rsidP="009260DE">
      <w:pPr>
        <w:tabs>
          <w:tab w:val="left" w:pos="851"/>
        </w:tabs>
        <w:ind w:left="851" w:hanging="851"/>
        <w:rPr>
          <w:b/>
          <w:sz w:val="24"/>
          <w:szCs w:val="24"/>
        </w:rPr>
      </w:pPr>
      <w:r w:rsidRPr="007E13D2">
        <w:rPr>
          <w:b/>
          <w:sz w:val="24"/>
          <w:szCs w:val="24"/>
        </w:rPr>
        <w:t>4.6</w:t>
      </w:r>
      <w:r w:rsidRPr="007E13D2">
        <w:rPr>
          <w:b/>
          <w:sz w:val="24"/>
          <w:szCs w:val="24"/>
        </w:rPr>
        <w:tab/>
        <w:t>Graviditet og amning</w:t>
      </w:r>
    </w:p>
    <w:p w14:paraId="109D81E4" w14:textId="77777777" w:rsidR="00392BED" w:rsidRPr="007E13D2" w:rsidRDefault="00392BED" w:rsidP="00422739">
      <w:pPr>
        <w:ind w:left="851"/>
        <w:rPr>
          <w:noProof/>
          <w:sz w:val="24"/>
          <w:szCs w:val="24"/>
        </w:rPr>
      </w:pPr>
      <w:r w:rsidRPr="007E13D2">
        <w:rPr>
          <w:noProof/>
          <w:sz w:val="24"/>
          <w:szCs w:val="24"/>
        </w:rPr>
        <w:t>Antikonception hos mænd og kvinder:</w:t>
      </w:r>
    </w:p>
    <w:p w14:paraId="058CD3E3" w14:textId="77777777" w:rsidR="00392BED" w:rsidRPr="007E13D2" w:rsidRDefault="00392BED" w:rsidP="00422739">
      <w:pPr>
        <w:ind w:left="851"/>
        <w:rPr>
          <w:i/>
          <w:sz w:val="24"/>
          <w:szCs w:val="24"/>
        </w:rPr>
      </w:pPr>
    </w:p>
    <w:p w14:paraId="06A95218" w14:textId="178F0C25" w:rsidR="00392BED" w:rsidRPr="007E13D2" w:rsidRDefault="00392BED" w:rsidP="00422739">
      <w:pPr>
        <w:ind w:left="851"/>
        <w:rPr>
          <w:noProof/>
          <w:sz w:val="24"/>
          <w:szCs w:val="24"/>
        </w:rPr>
      </w:pPr>
      <w:r w:rsidRPr="007E13D2">
        <w:rPr>
          <w:noProof/>
          <w:sz w:val="24"/>
          <w:szCs w:val="24"/>
        </w:rPr>
        <w:t xml:space="preserve">Både mænd og kvinder, der behandles med Methoxsalen </w:t>
      </w:r>
      <w:r w:rsidR="000F1080">
        <w:rPr>
          <w:sz w:val="24"/>
          <w:szCs w:val="24"/>
        </w:rPr>
        <w:t>"</w:t>
      </w:r>
      <w:proofErr w:type="spellStart"/>
      <w:r w:rsidRPr="007E13D2">
        <w:rPr>
          <w:sz w:val="24"/>
          <w:szCs w:val="24"/>
        </w:rPr>
        <w:t>Macopharma</w:t>
      </w:r>
      <w:proofErr w:type="spellEnd"/>
      <w:r w:rsidR="000F1080">
        <w:rPr>
          <w:sz w:val="24"/>
          <w:szCs w:val="24"/>
        </w:rPr>
        <w:t>"</w:t>
      </w:r>
      <w:r w:rsidRPr="007E13D2">
        <w:rPr>
          <w:noProof/>
          <w:sz w:val="24"/>
          <w:szCs w:val="24"/>
        </w:rPr>
        <w:t>, skal anvende passende antikonceptionsmetoder under fosforeseterapi.</w:t>
      </w:r>
    </w:p>
    <w:p w14:paraId="28BF1B67" w14:textId="77777777" w:rsidR="00392BED" w:rsidRPr="007E13D2" w:rsidRDefault="00392BED" w:rsidP="00422739">
      <w:pPr>
        <w:ind w:left="851"/>
        <w:rPr>
          <w:noProof/>
          <w:sz w:val="24"/>
          <w:szCs w:val="24"/>
        </w:rPr>
      </w:pPr>
      <w:r w:rsidRPr="007E13D2">
        <w:rPr>
          <w:noProof/>
          <w:sz w:val="24"/>
          <w:szCs w:val="24"/>
        </w:rPr>
        <w:t>Både mænd og kvinder bør forsat benytte antikonception i henholdsvis 3 måneder og 6 måneder efter afslutning af den sidste cyklus af fotofereseterapi.</w:t>
      </w:r>
    </w:p>
    <w:p w14:paraId="468B14D9" w14:textId="77777777" w:rsidR="00392BED" w:rsidRPr="007E13D2" w:rsidRDefault="00392BED" w:rsidP="00422739">
      <w:pPr>
        <w:ind w:left="851"/>
        <w:rPr>
          <w:noProof/>
          <w:sz w:val="24"/>
          <w:szCs w:val="24"/>
          <w:u w:val="single"/>
        </w:rPr>
      </w:pPr>
    </w:p>
    <w:p w14:paraId="60ABA388" w14:textId="77777777" w:rsidR="00392BED" w:rsidRPr="007E13D2" w:rsidRDefault="00392BED" w:rsidP="00422739">
      <w:pPr>
        <w:ind w:left="851"/>
        <w:rPr>
          <w:noProof/>
          <w:sz w:val="24"/>
          <w:szCs w:val="24"/>
          <w:u w:val="single"/>
        </w:rPr>
      </w:pPr>
      <w:r w:rsidRPr="007E13D2">
        <w:rPr>
          <w:noProof/>
          <w:sz w:val="24"/>
          <w:szCs w:val="24"/>
          <w:u w:val="single"/>
        </w:rPr>
        <w:t>Graviditet</w:t>
      </w:r>
    </w:p>
    <w:p w14:paraId="33AD80B5" w14:textId="77777777" w:rsidR="00392BED" w:rsidRPr="007E13D2" w:rsidRDefault="00392BED" w:rsidP="00422739">
      <w:pPr>
        <w:ind w:left="851"/>
        <w:rPr>
          <w:noProof/>
          <w:sz w:val="24"/>
          <w:szCs w:val="24"/>
        </w:rPr>
      </w:pPr>
      <w:r w:rsidRPr="007E13D2">
        <w:rPr>
          <w:noProof/>
          <w:sz w:val="24"/>
          <w:szCs w:val="24"/>
        </w:rPr>
        <w:t>Til dato forligger der ingen eller kun en begrænset mængde data fra brugen af methoxsalen hos gravide kvinder. Derfor er methoxsalen kontraindiceret under graviditet.</w:t>
      </w:r>
    </w:p>
    <w:p w14:paraId="222F739A" w14:textId="77777777" w:rsidR="00392BED" w:rsidRPr="007E13D2" w:rsidRDefault="00392BED" w:rsidP="00422739">
      <w:pPr>
        <w:ind w:left="851"/>
        <w:rPr>
          <w:noProof/>
          <w:sz w:val="24"/>
          <w:szCs w:val="24"/>
        </w:rPr>
      </w:pPr>
      <w:r w:rsidRPr="007E13D2">
        <w:rPr>
          <w:noProof/>
          <w:sz w:val="24"/>
          <w:szCs w:val="24"/>
        </w:rPr>
        <w:t>Prækliniske data indikerer, at methoxsalen muligvis kan skade fosteret, når det anvendes ved drægtige dyr.</w:t>
      </w:r>
    </w:p>
    <w:p w14:paraId="1172983D" w14:textId="77777777" w:rsidR="00392BED" w:rsidRPr="007E13D2" w:rsidRDefault="00392BED" w:rsidP="00422739">
      <w:pPr>
        <w:ind w:left="851"/>
        <w:rPr>
          <w:noProof/>
          <w:sz w:val="24"/>
          <w:szCs w:val="24"/>
          <w:u w:val="single"/>
        </w:rPr>
      </w:pPr>
    </w:p>
    <w:p w14:paraId="744725F6" w14:textId="77777777" w:rsidR="00392BED" w:rsidRPr="007E13D2" w:rsidRDefault="00392BED" w:rsidP="00422739">
      <w:pPr>
        <w:ind w:left="851"/>
        <w:rPr>
          <w:noProof/>
          <w:sz w:val="24"/>
          <w:szCs w:val="24"/>
          <w:u w:val="single"/>
        </w:rPr>
      </w:pPr>
      <w:r w:rsidRPr="007E13D2">
        <w:rPr>
          <w:noProof/>
          <w:sz w:val="24"/>
          <w:szCs w:val="24"/>
          <w:u w:val="single"/>
        </w:rPr>
        <w:t>Amning</w:t>
      </w:r>
    </w:p>
    <w:p w14:paraId="68884B58" w14:textId="77777777" w:rsidR="00392BED" w:rsidRPr="007E13D2" w:rsidRDefault="00392BED" w:rsidP="00422739">
      <w:pPr>
        <w:ind w:left="851"/>
        <w:rPr>
          <w:noProof/>
          <w:sz w:val="24"/>
          <w:szCs w:val="24"/>
        </w:rPr>
      </w:pPr>
      <w:r w:rsidRPr="007E13D2">
        <w:rPr>
          <w:noProof/>
          <w:sz w:val="24"/>
          <w:szCs w:val="24"/>
        </w:rPr>
        <w:t>Det vides ikke, om methoxsalen udskilles i menneskets modermælk. Derfor er amning en kontraindikation.</w:t>
      </w:r>
    </w:p>
    <w:p w14:paraId="4FBF6E45" w14:textId="77777777" w:rsidR="00392BED" w:rsidRPr="007E13D2" w:rsidRDefault="00392BED" w:rsidP="00422739">
      <w:pPr>
        <w:ind w:left="851"/>
        <w:rPr>
          <w:noProof/>
          <w:sz w:val="24"/>
          <w:szCs w:val="24"/>
          <w:u w:val="single"/>
        </w:rPr>
      </w:pPr>
    </w:p>
    <w:p w14:paraId="7DF63E34" w14:textId="77777777" w:rsidR="00392BED" w:rsidRPr="007E13D2" w:rsidRDefault="00392BED" w:rsidP="00422739">
      <w:pPr>
        <w:ind w:left="851"/>
        <w:rPr>
          <w:noProof/>
          <w:sz w:val="24"/>
          <w:szCs w:val="24"/>
          <w:u w:val="single"/>
        </w:rPr>
      </w:pPr>
      <w:r w:rsidRPr="007E13D2">
        <w:rPr>
          <w:noProof/>
          <w:sz w:val="24"/>
          <w:szCs w:val="24"/>
          <w:u w:val="single"/>
        </w:rPr>
        <w:t>Fertilitet</w:t>
      </w:r>
    </w:p>
    <w:p w14:paraId="6ABD5BBB" w14:textId="77777777" w:rsidR="00392BED" w:rsidRPr="007E13D2" w:rsidRDefault="00392BED" w:rsidP="00422739">
      <w:pPr>
        <w:ind w:left="851"/>
        <w:rPr>
          <w:noProof/>
          <w:sz w:val="24"/>
          <w:szCs w:val="24"/>
        </w:rPr>
      </w:pPr>
      <w:r w:rsidRPr="007E13D2">
        <w:rPr>
          <w:noProof/>
          <w:sz w:val="24"/>
          <w:szCs w:val="24"/>
        </w:rPr>
        <w:t>Der foreligger ingen kliniske fertilitetsdata.</w:t>
      </w:r>
    </w:p>
    <w:p w14:paraId="7D750519" w14:textId="77777777" w:rsidR="00392BED" w:rsidRPr="007E13D2" w:rsidRDefault="00392BED" w:rsidP="00422739">
      <w:pPr>
        <w:ind w:left="851"/>
        <w:rPr>
          <w:noProof/>
          <w:sz w:val="24"/>
          <w:szCs w:val="24"/>
        </w:rPr>
      </w:pPr>
      <w:r w:rsidRPr="007E13D2">
        <w:rPr>
          <w:noProof/>
          <w:sz w:val="24"/>
          <w:szCs w:val="24"/>
        </w:rPr>
        <w:t>Prækliniske data indikerer, at langvarig eksponering for oral psoralens i høj dosis kan have negative virkninger på fertiliteten hos mænd og kvinder.</w:t>
      </w:r>
    </w:p>
    <w:p w14:paraId="7423B6C5" w14:textId="77777777" w:rsidR="009260DE" w:rsidRPr="007E13D2" w:rsidRDefault="009260DE" w:rsidP="009260DE">
      <w:pPr>
        <w:tabs>
          <w:tab w:val="left" w:pos="851"/>
        </w:tabs>
        <w:ind w:left="851"/>
        <w:rPr>
          <w:sz w:val="24"/>
          <w:szCs w:val="24"/>
        </w:rPr>
      </w:pPr>
    </w:p>
    <w:p w14:paraId="1927A8DE" w14:textId="77777777" w:rsidR="009260DE" w:rsidRPr="007E13D2" w:rsidRDefault="009260DE" w:rsidP="009260DE">
      <w:pPr>
        <w:tabs>
          <w:tab w:val="left" w:pos="851"/>
        </w:tabs>
        <w:ind w:left="851" w:hanging="851"/>
        <w:rPr>
          <w:b/>
          <w:sz w:val="24"/>
          <w:szCs w:val="24"/>
        </w:rPr>
      </w:pPr>
      <w:r w:rsidRPr="007E13D2">
        <w:rPr>
          <w:b/>
          <w:sz w:val="24"/>
          <w:szCs w:val="24"/>
        </w:rPr>
        <w:t>4.7</w:t>
      </w:r>
      <w:r w:rsidRPr="007E13D2">
        <w:rPr>
          <w:b/>
          <w:sz w:val="24"/>
          <w:szCs w:val="24"/>
        </w:rPr>
        <w:tab/>
        <w:t>Virkninger på evnen til at føre motorkøretøj eller betjene maskiner</w:t>
      </w:r>
    </w:p>
    <w:p w14:paraId="57057EB3" w14:textId="77777777" w:rsidR="00392BED" w:rsidRPr="007E13D2" w:rsidRDefault="00392BED" w:rsidP="00422739">
      <w:pPr>
        <w:ind w:left="851"/>
        <w:rPr>
          <w:sz w:val="24"/>
          <w:szCs w:val="24"/>
        </w:rPr>
      </w:pPr>
      <w:r w:rsidRPr="007E13D2">
        <w:rPr>
          <w:sz w:val="24"/>
          <w:szCs w:val="24"/>
        </w:rPr>
        <w:t>Mærkning.</w:t>
      </w:r>
    </w:p>
    <w:p w14:paraId="08DA8108" w14:textId="77777777" w:rsidR="00392BED" w:rsidRPr="007E13D2" w:rsidRDefault="00392BED" w:rsidP="00422739">
      <w:pPr>
        <w:ind w:left="851"/>
        <w:rPr>
          <w:sz w:val="24"/>
          <w:szCs w:val="24"/>
        </w:rPr>
      </w:pPr>
      <w:r w:rsidRPr="007E13D2">
        <w:rPr>
          <w:sz w:val="24"/>
          <w:szCs w:val="24"/>
        </w:rPr>
        <w:t xml:space="preserve">Som et resultat af den specielle indgivelsesmåde (ekstrakorporal anvendelse) kan der forekomme forbigående </w:t>
      </w:r>
      <w:proofErr w:type="spellStart"/>
      <w:r w:rsidRPr="007E13D2">
        <w:rPr>
          <w:sz w:val="24"/>
          <w:szCs w:val="24"/>
        </w:rPr>
        <w:t>kardiovaskulær</w:t>
      </w:r>
      <w:proofErr w:type="spellEnd"/>
      <w:r w:rsidRPr="007E13D2">
        <w:rPr>
          <w:sz w:val="24"/>
          <w:szCs w:val="24"/>
        </w:rPr>
        <w:t xml:space="preserve"> ustabilitet. Endvidere skal patienten bære solbriller efter </w:t>
      </w:r>
      <w:proofErr w:type="spellStart"/>
      <w:r w:rsidRPr="007E13D2">
        <w:rPr>
          <w:sz w:val="24"/>
          <w:szCs w:val="24"/>
        </w:rPr>
        <w:t>fotoferesebehandling</w:t>
      </w:r>
      <w:proofErr w:type="spellEnd"/>
      <w:r w:rsidRPr="007E13D2">
        <w:rPr>
          <w:sz w:val="24"/>
          <w:szCs w:val="24"/>
        </w:rPr>
        <w:t xml:space="preserve"> (se pkt. 4.4). Derfor bør patienter ikke føre motorkøretøj eller betjene maskiner umiddelbart efter behandling med </w:t>
      </w:r>
      <w:proofErr w:type="spellStart"/>
      <w:r w:rsidRPr="007E13D2">
        <w:rPr>
          <w:sz w:val="24"/>
          <w:szCs w:val="24"/>
        </w:rPr>
        <w:t>fotoferese</w:t>
      </w:r>
      <w:proofErr w:type="spellEnd"/>
      <w:r w:rsidRPr="007E13D2">
        <w:rPr>
          <w:sz w:val="24"/>
          <w:szCs w:val="24"/>
        </w:rPr>
        <w:t>.</w:t>
      </w:r>
    </w:p>
    <w:p w14:paraId="2D8E93FD" w14:textId="77777777" w:rsidR="009260DE" w:rsidRPr="007E13D2" w:rsidRDefault="009260DE" w:rsidP="009260DE">
      <w:pPr>
        <w:tabs>
          <w:tab w:val="left" w:pos="851"/>
        </w:tabs>
        <w:ind w:left="851"/>
        <w:rPr>
          <w:sz w:val="24"/>
          <w:szCs w:val="24"/>
        </w:rPr>
      </w:pPr>
    </w:p>
    <w:p w14:paraId="51D00E20" w14:textId="77777777" w:rsidR="009260DE" w:rsidRPr="007E13D2" w:rsidRDefault="009260DE" w:rsidP="009260DE">
      <w:pPr>
        <w:tabs>
          <w:tab w:val="left" w:pos="851"/>
        </w:tabs>
        <w:ind w:left="851" w:hanging="851"/>
        <w:rPr>
          <w:b/>
          <w:sz w:val="24"/>
          <w:szCs w:val="24"/>
        </w:rPr>
      </w:pPr>
      <w:r w:rsidRPr="007E13D2">
        <w:rPr>
          <w:b/>
          <w:sz w:val="24"/>
          <w:szCs w:val="24"/>
        </w:rPr>
        <w:t>4.8</w:t>
      </w:r>
      <w:r w:rsidRPr="007E13D2">
        <w:rPr>
          <w:b/>
          <w:sz w:val="24"/>
          <w:szCs w:val="24"/>
        </w:rPr>
        <w:tab/>
        <w:t>Bivirkninger</w:t>
      </w:r>
    </w:p>
    <w:p w14:paraId="02F1C3CC" w14:textId="77777777" w:rsidR="00392BED" w:rsidRPr="007E13D2" w:rsidRDefault="00392BED" w:rsidP="00422739">
      <w:pPr>
        <w:ind w:left="851"/>
        <w:rPr>
          <w:sz w:val="24"/>
          <w:szCs w:val="24"/>
        </w:rPr>
      </w:pPr>
      <w:r w:rsidRPr="007E13D2">
        <w:rPr>
          <w:sz w:val="24"/>
          <w:szCs w:val="24"/>
        </w:rPr>
        <w:t xml:space="preserve">De hyppigst rapporterede bivirkninger ved ekstrakorporal brug af </w:t>
      </w:r>
      <w:proofErr w:type="spellStart"/>
      <w:r w:rsidRPr="007E13D2">
        <w:rPr>
          <w:sz w:val="24"/>
          <w:szCs w:val="24"/>
        </w:rPr>
        <w:t>methoxsalen</w:t>
      </w:r>
      <w:proofErr w:type="spellEnd"/>
      <w:r w:rsidRPr="007E13D2">
        <w:rPr>
          <w:sz w:val="24"/>
          <w:szCs w:val="24"/>
        </w:rPr>
        <w:t xml:space="preserve"> var fototoksiske reaktioner, kvalme, opkastning, kongestiv hjerteinsufficiens og hypotension. I løbet af behandlingen kan sværhedsgraden og hyppigheden af uønskede virkninger falde og kræver generelt ikke </w:t>
      </w:r>
      <w:proofErr w:type="spellStart"/>
      <w:r w:rsidRPr="007E13D2">
        <w:rPr>
          <w:sz w:val="24"/>
          <w:szCs w:val="24"/>
        </w:rPr>
        <w:t>seponering</w:t>
      </w:r>
      <w:proofErr w:type="spellEnd"/>
      <w:r w:rsidRPr="007E13D2">
        <w:rPr>
          <w:sz w:val="24"/>
          <w:szCs w:val="24"/>
        </w:rPr>
        <w:t xml:space="preserve"> af behandlingen.</w:t>
      </w:r>
    </w:p>
    <w:p w14:paraId="0FF11000" w14:textId="77777777" w:rsidR="00392BED" w:rsidRPr="007E13D2" w:rsidRDefault="00392BED" w:rsidP="00422739">
      <w:pPr>
        <w:ind w:left="851"/>
        <w:rPr>
          <w:sz w:val="24"/>
          <w:szCs w:val="24"/>
        </w:rPr>
      </w:pPr>
    </w:p>
    <w:p w14:paraId="2DFF8DE5" w14:textId="77777777" w:rsidR="00392BED" w:rsidRPr="007E13D2" w:rsidRDefault="00392BED" w:rsidP="00422739">
      <w:pPr>
        <w:ind w:left="851"/>
        <w:rPr>
          <w:sz w:val="24"/>
          <w:szCs w:val="24"/>
        </w:rPr>
      </w:pPr>
      <w:r w:rsidRPr="007E13D2">
        <w:rPr>
          <w:sz w:val="24"/>
          <w:szCs w:val="24"/>
        </w:rPr>
        <w:t xml:space="preserve">Meget almindelig: </w:t>
      </w:r>
      <w:r w:rsidRPr="007E13D2">
        <w:rPr>
          <w:sz w:val="24"/>
          <w:szCs w:val="24"/>
        </w:rPr>
        <w:tab/>
        <w:t>≥1/10</w:t>
      </w:r>
    </w:p>
    <w:p w14:paraId="3FF35605" w14:textId="77777777" w:rsidR="00392BED" w:rsidRPr="007E13D2" w:rsidRDefault="00392BED" w:rsidP="00422739">
      <w:pPr>
        <w:ind w:left="851"/>
        <w:rPr>
          <w:sz w:val="24"/>
          <w:szCs w:val="24"/>
        </w:rPr>
      </w:pPr>
      <w:r w:rsidRPr="007E13D2">
        <w:rPr>
          <w:sz w:val="24"/>
          <w:szCs w:val="24"/>
        </w:rPr>
        <w:t xml:space="preserve">Almindelig: </w:t>
      </w:r>
      <w:r w:rsidRPr="007E13D2">
        <w:rPr>
          <w:sz w:val="24"/>
          <w:szCs w:val="24"/>
        </w:rPr>
        <w:tab/>
      </w:r>
      <w:r w:rsidRPr="007E13D2">
        <w:rPr>
          <w:sz w:val="24"/>
          <w:szCs w:val="24"/>
        </w:rPr>
        <w:tab/>
        <w:t>≥ 1/100 til &lt;1/10</w:t>
      </w:r>
    </w:p>
    <w:p w14:paraId="7537D0C2" w14:textId="35B0301E" w:rsidR="00392BED" w:rsidRPr="007E13D2" w:rsidRDefault="00392BED" w:rsidP="00422739">
      <w:pPr>
        <w:ind w:left="851"/>
        <w:rPr>
          <w:sz w:val="24"/>
          <w:szCs w:val="24"/>
        </w:rPr>
      </w:pPr>
      <w:r w:rsidRPr="007E13D2">
        <w:rPr>
          <w:sz w:val="24"/>
          <w:szCs w:val="24"/>
        </w:rPr>
        <w:t xml:space="preserve">Ikke almindelig: </w:t>
      </w:r>
      <w:r w:rsidRPr="007E13D2">
        <w:rPr>
          <w:sz w:val="24"/>
          <w:szCs w:val="24"/>
        </w:rPr>
        <w:tab/>
      </w:r>
      <w:r w:rsidR="00DF27C0">
        <w:rPr>
          <w:sz w:val="24"/>
          <w:szCs w:val="24"/>
        </w:rPr>
        <w:tab/>
      </w:r>
      <w:r w:rsidRPr="007E13D2">
        <w:rPr>
          <w:sz w:val="24"/>
          <w:szCs w:val="24"/>
        </w:rPr>
        <w:t>≥ 1/1.000 til &lt;1/100</w:t>
      </w:r>
    </w:p>
    <w:p w14:paraId="7950A599" w14:textId="77777777" w:rsidR="00392BED" w:rsidRPr="007E13D2" w:rsidRDefault="00392BED" w:rsidP="00422739">
      <w:pPr>
        <w:ind w:left="851"/>
        <w:rPr>
          <w:sz w:val="24"/>
          <w:szCs w:val="24"/>
        </w:rPr>
      </w:pPr>
      <w:r w:rsidRPr="007E13D2">
        <w:rPr>
          <w:sz w:val="24"/>
          <w:szCs w:val="24"/>
        </w:rPr>
        <w:t xml:space="preserve">Sjælden: </w:t>
      </w:r>
      <w:r w:rsidRPr="007E13D2">
        <w:rPr>
          <w:sz w:val="24"/>
          <w:szCs w:val="24"/>
        </w:rPr>
        <w:tab/>
      </w:r>
      <w:r w:rsidRPr="007E13D2">
        <w:rPr>
          <w:sz w:val="24"/>
          <w:szCs w:val="24"/>
        </w:rPr>
        <w:tab/>
        <w:t>≥1/10.000 til &lt;1/1.000</w:t>
      </w:r>
    </w:p>
    <w:p w14:paraId="25EDD9FE" w14:textId="77777777" w:rsidR="00392BED" w:rsidRPr="007E13D2" w:rsidRDefault="00392BED" w:rsidP="00422739">
      <w:pPr>
        <w:ind w:left="851"/>
        <w:rPr>
          <w:sz w:val="24"/>
          <w:szCs w:val="24"/>
        </w:rPr>
      </w:pPr>
      <w:r w:rsidRPr="007E13D2">
        <w:rPr>
          <w:sz w:val="24"/>
          <w:szCs w:val="24"/>
        </w:rPr>
        <w:t xml:space="preserve">Meget sjælden: </w:t>
      </w:r>
      <w:r w:rsidRPr="007E13D2">
        <w:rPr>
          <w:sz w:val="24"/>
          <w:szCs w:val="24"/>
        </w:rPr>
        <w:tab/>
      </w:r>
      <w:r w:rsidRPr="007E13D2">
        <w:rPr>
          <w:sz w:val="24"/>
          <w:szCs w:val="24"/>
        </w:rPr>
        <w:tab/>
        <w:t>&lt;1/10.000</w:t>
      </w:r>
    </w:p>
    <w:p w14:paraId="30D09F0B" w14:textId="77777777" w:rsidR="00392BED" w:rsidRPr="007E13D2" w:rsidRDefault="00392BED" w:rsidP="00422739">
      <w:pPr>
        <w:ind w:left="851"/>
        <w:rPr>
          <w:sz w:val="24"/>
          <w:szCs w:val="24"/>
        </w:rPr>
      </w:pPr>
      <w:r w:rsidRPr="007E13D2">
        <w:rPr>
          <w:sz w:val="24"/>
          <w:szCs w:val="24"/>
        </w:rPr>
        <w:lastRenderedPageBreak/>
        <w:t xml:space="preserve">Ukendt: </w:t>
      </w:r>
      <w:r w:rsidRPr="007E13D2">
        <w:rPr>
          <w:sz w:val="24"/>
          <w:szCs w:val="24"/>
        </w:rPr>
        <w:tab/>
      </w:r>
      <w:r w:rsidRPr="007E13D2">
        <w:rPr>
          <w:sz w:val="24"/>
          <w:szCs w:val="24"/>
        </w:rPr>
        <w:tab/>
        <w:t>Frekvensen kan ikke estimeres ud fra de tilgængelige data</w:t>
      </w:r>
    </w:p>
    <w:p w14:paraId="4E72448F" w14:textId="77777777" w:rsidR="00392BED" w:rsidRPr="007E13D2" w:rsidRDefault="00392BED" w:rsidP="00392BED">
      <w:pPr>
        <w:rPr>
          <w:sz w:val="24"/>
          <w:szCs w:val="24"/>
          <w:u w:val="single"/>
        </w:rPr>
      </w:pPr>
    </w:p>
    <w:tbl>
      <w:tblPr>
        <w:tblStyle w:val="Tabel-Gitter"/>
        <w:tblW w:w="4564" w:type="pct"/>
        <w:tblInd w:w="846" w:type="dxa"/>
        <w:tblLook w:val="04A0" w:firstRow="1" w:lastRow="0" w:firstColumn="1" w:lastColumn="0" w:noHBand="0" w:noVBand="1"/>
      </w:tblPr>
      <w:tblGrid>
        <w:gridCol w:w="4109"/>
        <w:gridCol w:w="4679"/>
      </w:tblGrid>
      <w:tr w:rsidR="00392BED" w:rsidRPr="007E13D2" w14:paraId="7B54B2B1"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CFA71" w14:textId="77777777" w:rsidR="00392BED" w:rsidRPr="007E13D2" w:rsidRDefault="00392BED">
            <w:pPr>
              <w:rPr>
                <w:b/>
                <w:sz w:val="24"/>
                <w:szCs w:val="24"/>
              </w:rPr>
            </w:pPr>
            <w:r w:rsidRPr="007E13D2">
              <w:rPr>
                <w:b/>
                <w:bCs/>
                <w:sz w:val="24"/>
                <w:szCs w:val="24"/>
                <w:lang w:val="da-DK"/>
              </w:rPr>
              <w:t>Almindelig</w:t>
            </w:r>
          </w:p>
          <w:p w14:paraId="3CE08862" w14:textId="77777777" w:rsidR="00392BED" w:rsidRPr="007E13D2" w:rsidRDefault="00392BED">
            <w:pPr>
              <w:rPr>
                <w:sz w:val="24"/>
                <w:szCs w:val="24"/>
              </w:rPr>
            </w:pPr>
            <w:r w:rsidRPr="007E13D2">
              <w:rPr>
                <w:sz w:val="24"/>
                <w:szCs w:val="24"/>
                <w:lang w:val="da-DK"/>
              </w:rPr>
              <w:t>≥ 1/100 til &lt;1/10</w:t>
            </w:r>
          </w:p>
          <w:p w14:paraId="0CDCEE72" w14:textId="77777777" w:rsidR="00392BED" w:rsidRPr="007E13D2" w:rsidRDefault="00392BED">
            <w:pPr>
              <w:rPr>
                <w:sz w:val="24"/>
                <w:szCs w:val="24"/>
              </w:rPr>
            </w:pPr>
          </w:p>
        </w:tc>
        <w:tc>
          <w:tcPr>
            <w:tcW w:w="26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B452E6" w14:textId="77777777" w:rsidR="00392BED" w:rsidRPr="007E13D2" w:rsidRDefault="00392BED" w:rsidP="00D94087">
            <w:pPr>
              <w:rPr>
                <w:b/>
                <w:sz w:val="24"/>
                <w:szCs w:val="24"/>
                <w:lang w:val="da-DK"/>
              </w:rPr>
            </w:pPr>
            <w:r w:rsidRPr="007E13D2">
              <w:rPr>
                <w:b/>
                <w:bCs/>
                <w:sz w:val="24"/>
                <w:szCs w:val="24"/>
                <w:lang w:val="da-DK"/>
              </w:rPr>
              <w:t>Ikke kendt</w:t>
            </w:r>
          </w:p>
          <w:p w14:paraId="2ADCFFF9" w14:textId="77777777" w:rsidR="00392BED" w:rsidRPr="007E13D2" w:rsidRDefault="00392BED" w:rsidP="00D94087">
            <w:pPr>
              <w:rPr>
                <w:sz w:val="24"/>
                <w:szCs w:val="24"/>
                <w:lang w:val="da-DK"/>
              </w:rPr>
            </w:pPr>
            <w:r w:rsidRPr="007E13D2">
              <w:rPr>
                <w:sz w:val="24"/>
                <w:szCs w:val="24"/>
                <w:lang w:val="da-DK"/>
              </w:rPr>
              <w:t>(Frekvensen kan ikke estimeres ud fra forhåndenværende data)</w:t>
            </w:r>
          </w:p>
        </w:tc>
      </w:tr>
      <w:tr w:rsidR="00392BED" w:rsidRPr="007E13D2" w14:paraId="030A0270" w14:textId="77777777" w:rsidTr="007E13D2">
        <w:trPr>
          <w:trHeight w:val="25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583C30" w14:textId="77777777" w:rsidR="00392BED" w:rsidRPr="007E13D2" w:rsidRDefault="00392BED" w:rsidP="00D94087">
            <w:pPr>
              <w:rPr>
                <w:sz w:val="24"/>
                <w:szCs w:val="24"/>
                <w:u w:val="single"/>
              </w:rPr>
            </w:pPr>
            <w:r w:rsidRPr="007E13D2">
              <w:rPr>
                <w:b/>
                <w:bCs/>
                <w:sz w:val="24"/>
                <w:szCs w:val="24"/>
                <w:lang w:val="da-DK"/>
              </w:rPr>
              <w:t>Infektioner og parasitære sygdomme</w:t>
            </w:r>
          </w:p>
        </w:tc>
      </w:tr>
      <w:tr w:rsidR="00392BED" w:rsidRPr="007E13D2" w14:paraId="330DDDAD"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hideMark/>
          </w:tcPr>
          <w:p w14:paraId="320C460D" w14:textId="77777777" w:rsidR="00392BED" w:rsidRPr="007E13D2" w:rsidRDefault="00392BED">
            <w:pPr>
              <w:rPr>
                <w:b/>
                <w:sz w:val="24"/>
                <w:szCs w:val="24"/>
              </w:rPr>
            </w:pPr>
            <w:r w:rsidRPr="007E13D2">
              <w:rPr>
                <w:sz w:val="24"/>
                <w:szCs w:val="24"/>
                <w:lang w:val="da-DK"/>
              </w:rPr>
              <w:t>Infektioner</w:t>
            </w:r>
          </w:p>
        </w:tc>
        <w:tc>
          <w:tcPr>
            <w:tcW w:w="2662" w:type="pct"/>
            <w:tcBorders>
              <w:top w:val="single" w:sz="4" w:space="0" w:color="auto"/>
              <w:left w:val="single" w:sz="4" w:space="0" w:color="auto"/>
              <w:bottom w:val="single" w:sz="4" w:space="0" w:color="auto"/>
              <w:right w:val="single" w:sz="4" w:space="0" w:color="auto"/>
            </w:tcBorders>
          </w:tcPr>
          <w:p w14:paraId="1BE81F84" w14:textId="77777777" w:rsidR="00392BED" w:rsidRPr="007E13D2" w:rsidRDefault="00392BED" w:rsidP="00D94087">
            <w:pPr>
              <w:rPr>
                <w:sz w:val="24"/>
                <w:szCs w:val="24"/>
                <w:u w:val="single"/>
              </w:rPr>
            </w:pPr>
          </w:p>
        </w:tc>
      </w:tr>
      <w:tr w:rsidR="00392BED" w:rsidRPr="007E13D2" w14:paraId="6BFAC3A5" w14:textId="77777777" w:rsidTr="007E13D2">
        <w:trPr>
          <w:trHeight w:val="25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FDFDB4" w14:textId="77777777" w:rsidR="00392BED" w:rsidRPr="007E13D2" w:rsidRDefault="00392BED" w:rsidP="00D94087">
            <w:pPr>
              <w:rPr>
                <w:sz w:val="24"/>
                <w:szCs w:val="24"/>
                <w:u w:val="single"/>
              </w:rPr>
            </w:pPr>
            <w:r w:rsidRPr="007E13D2">
              <w:rPr>
                <w:b/>
                <w:bCs/>
                <w:sz w:val="24"/>
                <w:szCs w:val="24"/>
                <w:lang w:val="da-DK"/>
              </w:rPr>
              <w:t>Øjne</w:t>
            </w:r>
          </w:p>
        </w:tc>
      </w:tr>
      <w:tr w:rsidR="00392BED" w:rsidRPr="007E13D2" w14:paraId="551D6B49"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tcPr>
          <w:p w14:paraId="0E30884E" w14:textId="77777777" w:rsidR="00392BED" w:rsidRPr="007E13D2" w:rsidRDefault="00392BED">
            <w:pPr>
              <w:rPr>
                <w:b/>
                <w:sz w:val="24"/>
                <w:szCs w:val="24"/>
              </w:rPr>
            </w:pPr>
          </w:p>
        </w:tc>
        <w:tc>
          <w:tcPr>
            <w:tcW w:w="2662" w:type="pct"/>
            <w:tcBorders>
              <w:top w:val="single" w:sz="4" w:space="0" w:color="auto"/>
              <w:left w:val="single" w:sz="4" w:space="0" w:color="auto"/>
              <w:bottom w:val="single" w:sz="4" w:space="0" w:color="auto"/>
              <w:right w:val="single" w:sz="4" w:space="0" w:color="auto"/>
            </w:tcBorders>
            <w:hideMark/>
          </w:tcPr>
          <w:p w14:paraId="0447E4B3" w14:textId="7031CB8D" w:rsidR="00392BED" w:rsidRPr="00D94087" w:rsidRDefault="00392BED" w:rsidP="00D94087">
            <w:pPr>
              <w:rPr>
                <w:sz w:val="24"/>
                <w:szCs w:val="24"/>
                <w:lang w:val="da-DK"/>
              </w:rPr>
            </w:pPr>
            <w:r w:rsidRPr="007E13D2">
              <w:rPr>
                <w:sz w:val="24"/>
                <w:szCs w:val="24"/>
                <w:lang w:val="da-DK"/>
              </w:rPr>
              <w:t>Fototoksiske reaktioner, f.eks. dannelse af katarakt,</w:t>
            </w:r>
            <w:r w:rsidR="00D94087">
              <w:rPr>
                <w:sz w:val="24"/>
                <w:szCs w:val="24"/>
                <w:lang w:val="da-DK"/>
              </w:rPr>
              <w:t xml:space="preserve"> </w:t>
            </w:r>
            <w:proofErr w:type="spellStart"/>
            <w:r w:rsidRPr="007E13D2">
              <w:rPr>
                <w:sz w:val="24"/>
                <w:szCs w:val="24"/>
                <w:lang w:val="da-DK"/>
              </w:rPr>
              <w:t>chorioretinitis</w:t>
            </w:r>
            <w:proofErr w:type="spellEnd"/>
            <w:r w:rsidRPr="007E13D2">
              <w:rPr>
                <w:sz w:val="24"/>
                <w:szCs w:val="24"/>
                <w:lang w:val="da-DK"/>
              </w:rPr>
              <w:t xml:space="preserve"> (se pkt.4.4)</w:t>
            </w:r>
          </w:p>
        </w:tc>
      </w:tr>
      <w:tr w:rsidR="00392BED" w:rsidRPr="007E13D2" w14:paraId="5E8D80AA" w14:textId="77777777" w:rsidTr="007E13D2">
        <w:trPr>
          <w:trHeight w:val="24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A9BB90" w14:textId="77777777" w:rsidR="00392BED" w:rsidRPr="007E13D2" w:rsidRDefault="00392BED" w:rsidP="00D94087">
            <w:pPr>
              <w:rPr>
                <w:sz w:val="24"/>
                <w:szCs w:val="24"/>
                <w:u w:val="single"/>
              </w:rPr>
            </w:pPr>
            <w:proofErr w:type="spellStart"/>
            <w:r w:rsidRPr="007E13D2">
              <w:rPr>
                <w:b/>
                <w:bCs/>
                <w:sz w:val="24"/>
                <w:szCs w:val="24"/>
                <w:lang w:val="da-DK"/>
              </w:rPr>
              <w:t>Vaskulære</w:t>
            </w:r>
            <w:proofErr w:type="spellEnd"/>
            <w:r w:rsidRPr="007E13D2">
              <w:rPr>
                <w:b/>
                <w:bCs/>
                <w:sz w:val="24"/>
                <w:szCs w:val="24"/>
                <w:lang w:val="da-DK"/>
              </w:rPr>
              <w:t xml:space="preserve"> sygdomme</w:t>
            </w:r>
          </w:p>
        </w:tc>
      </w:tr>
      <w:tr w:rsidR="00392BED" w:rsidRPr="007E13D2" w14:paraId="5869B150"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hideMark/>
          </w:tcPr>
          <w:p w14:paraId="758DF589" w14:textId="77777777" w:rsidR="00392BED" w:rsidRPr="007E13D2" w:rsidRDefault="00392BED">
            <w:pPr>
              <w:rPr>
                <w:sz w:val="24"/>
                <w:szCs w:val="24"/>
              </w:rPr>
            </w:pPr>
            <w:r w:rsidRPr="007E13D2">
              <w:rPr>
                <w:sz w:val="24"/>
                <w:szCs w:val="24"/>
                <w:lang w:val="da-DK"/>
              </w:rPr>
              <w:t>Hypotension</w:t>
            </w:r>
          </w:p>
          <w:p w14:paraId="62118BAB" w14:textId="77777777" w:rsidR="00392BED" w:rsidRPr="007E13D2" w:rsidRDefault="00392BED">
            <w:pPr>
              <w:rPr>
                <w:b/>
                <w:sz w:val="24"/>
                <w:szCs w:val="24"/>
              </w:rPr>
            </w:pPr>
            <w:r w:rsidRPr="007E13D2">
              <w:rPr>
                <w:sz w:val="24"/>
                <w:szCs w:val="24"/>
                <w:lang w:val="da-DK"/>
              </w:rPr>
              <w:t>Svimmelhed</w:t>
            </w:r>
          </w:p>
        </w:tc>
        <w:tc>
          <w:tcPr>
            <w:tcW w:w="2662" w:type="pct"/>
            <w:tcBorders>
              <w:top w:val="single" w:sz="4" w:space="0" w:color="auto"/>
              <w:left w:val="single" w:sz="4" w:space="0" w:color="auto"/>
              <w:bottom w:val="single" w:sz="4" w:space="0" w:color="auto"/>
              <w:right w:val="single" w:sz="4" w:space="0" w:color="auto"/>
            </w:tcBorders>
          </w:tcPr>
          <w:p w14:paraId="5628058C" w14:textId="77777777" w:rsidR="00392BED" w:rsidRPr="007E13D2" w:rsidRDefault="00392BED" w:rsidP="00D94087">
            <w:pPr>
              <w:rPr>
                <w:sz w:val="24"/>
                <w:szCs w:val="24"/>
                <w:u w:val="single"/>
              </w:rPr>
            </w:pPr>
          </w:p>
        </w:tc>
      </w:tr>
      <w:tr w:rsidR="00392BED" w:rsidRPr="007E13D2" w14:paraId="244BEA79" w14:textId="77777777" w:rsidTr="007E13D2">
        <w:trPr>
          <w:trHeight w:val="25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C421A7" w14:textId="77777777" w:rsidR="00392BED" w:rsidRPr="007E13D2" w:rsidRDefault="00392BED" w:rsidP="00D94087">
            <w:pPr>
              <w:rPr>
                <w:sz w:val="24"/>
                <w:szCs w:val="24"/>
                <w:u w:val="single"/>
              </w:rPr>
            </w:pPr>
            <w:r w:rsidRPr="007E13D2">
              <w:rPr>
                <w:b/>
                <w:bCs/>
                <w:sz w:val="24"/>
                <w:szCs w:val="24"/>
                <w:lang w:val="da-DK"/>
              </w:rPr>
              <w:t>Mave-tarm-kanalen</w:t>
            </w:r>
          </w:p>
        </w:tc>
      </w:tr>
      <w:tr w:rsidR="00392BED" w:rsidRPr="007E13D2" w14:paraId="6454FEAA"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hideMark/>
          </w:tcPr>
          <w:p w14:paraId="0F6EDF87" w14:textId="77777777" w:rsidR="00392BED" w:rsidRPr="007E13D2" w:rsidRDefault="00392BED">
            <w:pPr>
              <w:rPr>
                <w:sz w:val="24"/>
                <w:szCs w:val="24"/>
              </w:rPr>
            </w:pPr>
            <w:r w:rsidRPr="007E13D2">
              <w:rPr>
                <w:sz w:val="24"/>
                <w:szCs w:val="24"/>
                <w:lang w:val="da-DK"/>
              </w:rPr>
              <w:t>Kvalme</w:t>
            </w:r>
          </w:p>
          <w:p w14:paraId="2B820108" w14:textId="77777777" w:rsidR="00392BED" w:rsidRPr="007E13D2" w:rsidRDefault="00392BED">
            <w:pPr>
              <w:rPr>
                <w:b/>
                <w:sz w:val="24"/>
                <w:szCs w:val="24"/>
              </w:rPr>
            </w:pPr>
            <w:r w:rsidRPr="007E13D2">
              <w:rPr>
                <w:sz w:val="24"/>
                <w:szCs w:val="24"/>
                <w:lang w:val="da-DK"/>
              </w:rPr>
              <w:t>Opkastning</w:t>
            </w:r>
          </w:p>
        </w:tc>
        <w:tc>
          <w:tcPr>
            <w:tcW w:w="2662" w:type="pct"/>
            <w:tcBorders>
              <w:top w:val="single" w:sz="4" w:space="0" w:color="auto"/>
              <w:left w:val="single" w:sz="4" w:space="0" w:color="auto"/>
              <w:bottom w:val="single" w:sz="4" w:space="0" w:color="auto"/>
              <w:right w:val="single" w:sz="4" w:space="0" w:color="auto"/>
            </w:tcBorders>
          </w:tcPr>
          <w:p w14:paraId="356E5238" w14:textId="77777777" w:rsidR="00392BED" w:rsidRPr="007E13D2" w:rsidRDefault="00392BED" w:rsidP="00D94087">
            <w:pPr>
              <w:rPr>
                <w:sz w:val="24"/>
                <w:szCs w:val="24"/>
                <w:u w:val="single"/>
              </w:rPr>
            </w:pPr>
          </w:p>
        </w:tc>
      </w:tr>
      <w:tr w:rsidR="00392BED" w:rsidRPr="007E13D2" w14:paraId="34C524AA" w14:textId="77777777" w:rsidTr="007E13D2">
        <w:trPr>
          <w:trHeight w:val="25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BAB52C" w14:textId="77777777" w:rsidR="00392BED" w:rsidRPr="007E13D2" w:rsidRDefault="00392BED" w:rsidP="00D94087">
            <w:pPr>
              <w:rPr>
                <w:sz w:val="24"/>
                <w:szCs w:val="24"/>
                <w:u w:val="single"/>
              </w:rPr>
            </w:pPr>
            <w:r w:rsidRPr="007E13D2">
              <w:rPr>
                <w:b/>
                <w:bCs/>
                <w:sz w:val="24"/>
                <w:szCs w:val="24"/>
                <w:lang w:val="da-DK"/>
              </w:rPr>
              <w:t>Hud og subkutane væv</w:t>
            </w:r>
          </w:p>
        </w:tc>
      </w:tr>
      <w:tr w:rsidR="00392BED" w:rsidRPr="007E13D2" w14:paraId="33E6B14C"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tcPr>
          <w:p w14:paraId="0A1C52C5" w14:textId="77777777" w:rsidR="00392BED" w:rsidRPr="007E13D2" w:rsidRDefault="00392BED">
            <w:pPr>
              <w:rPr>
                <w:b/>
                <w:sz w:val="24"/>
                <w:szCs w:val="24"/>
              </w:rPr>
            </w:pPr>
          </w:p>
        </w:tc>
        <w:tc>
          <w:tcPr>
            <w:tcW w:w="2662" w:type="pct"/>
            <w:tcBorders>
              <w:top w:val="single" w:sz="4" w:space="0" w:color="auto"/>
              <w:left w:val="single" w:sz="4" w:space="0" w:color="auto"/>
              <w:bottom w:val="single" w:sz="4" w:space="0" w:color="auto"/>
              <w:right w:val="single" w:sz="4" w:space="0" w:color="auto"/>
            </w:tcBorders>
            <w:hideMark/>
          </w:tcPr>
          <w:p w14:paraId="464DDB66" w14:textId="520259BA" w:rsidR="00392BED" w:rsidRPr="00D94087" w:rsidRDefault="00392BED" w:rsidP="00D94087">
            <w:pPr>
              <w:rPr>
                <w:sz w:val="24"/>
                <w:szCs w:val="24"/>
                <w:u w:val="single"/>
                <w:lang w:val="da-DK"/>
              </w:rPr>
            </w:pPr>
            <w:r w:rsidRPr="007E13D2">
              <w:rPr>
                <w:sz w:val="24"/>
                <w:szCs w:val="24"/>
                <w:lang w:val="da-DK"/>
              </w:rPr>
              <w:t xml:space="preserve">Fototoksiske reaktioner, f.eks. kløe eller </w:t>
            </w:r>
            <w:proofErr w:type="spellStart"/>
            <w:r w:rsidRPr="007E13D2">
              <w:rPr>
                <w:sz w:val="24"/>
                <w:szCs w:val="24"/>
                <w:lang w:val="da-DK"/>
              </w:rPr>
              <w:t>erytem</w:t>
            </w:r>
            <w:proofErr w:type="spellEnd"/>
            <w:r w:rsidRPr="007E13D2">
              <w:rPr>
                <w:sz w:val="24"/>
                <w:szCs w:val="24"/>
                <w:lang w:val="da-DK"/>
              </w:rPr>
              <w:t xml:space="preserve"> (se</w:t>
            </w:r>
            <w:r w:rsidR="00D94087">
              <w:rPr>
                <w:sz w:val="24"/>
                <w:szCs w:val="24"/>
                <w:lang w:val="da-DK"/>
              </w:rPr>
              <w:t xml:space="preserve"> </w:t>
            </w:r>
            <w:r w:rsidRPr="007E13D2">
              <w:rPr>
                <w:sz w:val="24"/>
                <w:szCs w:val="24"/>
                <w:lang w:val="da-DK"/>
              </w:rPr>
              <w:t>pkt. 4.4)</w:t>
            </w:r>
          </w:p>
        </w:tc>
      </w:tr>
      <w:tr w:rsidR="00392BED" w:rsidRPr="007E13D2" w14:paraId="27F3FB8D" w14:textId="77777777" w:rsidTr="007E13D2">
        <w:trPr>
          <w:trHeight w:val="25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2C70E6" w14:textId="77777777" w:rsidR="00392BED" w:rsidRPr="007E13D2" w:rsidRDefault="00392BED" w:rsidP="00D94087">
            <w:pPr>
              <w:rPr>
                <w:sz w:val="24"/>
                <w:szCs w:val="24"/>
                <w:u w:val="single"/>
                <w:lang w:val="da-DK"/>
              </w:rPr>
            </w:pPr>
            <w:r w:rsidRPr="007E13D2">
              <w:rPr>
                <w:b/>
                <w:bCs/>
                <w:sz w:val="24"/>
                <w:szCs w:val="24"/>
                <w:lang w:val="da-DK"/>
              </w:rPr>
              <w:t>Almene symptomer og reaktioner på administrationsstedet</w:t>
            </w:r>
          </w:p>
        </w:tc>
      </w:tr>
      <w:tr w:rsidR="00392BED" w:rsidRPr="007E13D2" w14:paraId="3D377660"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tcPr>
          <w:p w14:paraId="56061B73" w14:textId="77777777" w:rsidR="00392BED" w:rsidRPr="007E13D2" w:rsidRDefault="00392BED">
            <w:pPr>
              <w:rPr>
                <w:b/>
                <w:sz w:val="24"/>
                <w:szCs w:val="24"/>
                <w:lang w:val="da-DK"/>
              </w:rPr>
            </w:pPr>
          </w:p>
        </w:tc>
        <w:tc>
          <w:tcPr>
            <w:tcW w:w="2662" w:type="pct"/>
            <w:tcBorders>
              <w:top w:val="single" w:sz="4" w:space="0" w:color="auto"/>
              <w:left w:val="single" w:sz="4" w:space="0" w:color="auto"/>
              <w:bottom w:val="single" w:sz="4" w:space="0" w:color="auto"/>
              <w:right w:val="single" w:sz="4" w:space="0" w:color="auto"/>
            </w:tcBorders>
            <w:hideMark/>
          </w:tcPr>
          <w:p w14:paraId="2006BAC2" w14:textId="0BB6BAA3" w:rsidR="00392BED" w:rsidRPr="00D94087" w:rsidRDefault="00392BED" w:rsidP="00D94087">
            <w:pPr>
              <w:rPr>
                <w:sz w:val="24"/>
                <w:szCs w:val="24"/>
                <w:u w:val="single"/>
                <w:lang w:val="da-DK"/>
              </w:rPr>
            </w:pPr>
            <w:r w:rsidRPr="007E13D2">
              <w:rPr>
                <w:sz w:val="24"/>
                <w:szCs w:val="24"/>
                <w:lang w:val="da-DK"/>
              </w:rPr>
              <w:t>Feber (lav feber 2 til 12 timer efter behandling</w:t>
            </w:r>
            <w:r w:rsidR="00D94087">
              <w:rPr>
                <w:sz w:val="24"/>
                <w:szCs w:val="24"/>
                <w:lang w:val="da-DK"/>
              </w:rPr>
              <w:t xml:space="preserve"> </w:t>
            </w:r>
            <w:r w:rsidRPr="007E13D2">
              <w:rPr>
                <w:sz w:val="24"/>
                <w:szCs w:val="24"/>
                <w:lang w:val="da-DK"/>
              </w:rPr>
              <w:t>kan forekomme)</w:t>
            </w:r>
          </w:p>
        </w:tc>
      </w:tr>
      <w:tr w:rsidR="00392BED" w:rsidRPr="007E13D2" w14:paraId="08EFAF11" w14:textId="77777777" w:rsidTr="007E13D2">
        <w:trPr>
          <w:trHeight w:val="253"/>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C508CF" w14:textId="77777777" w:rsidR="00392BED" w:rsidRPr="007E13D2" w:rsidRDefault="00392BED" w:rsidP="00D94087">
            <w:pPr>
              <w:rPr>
                <w:sz w:val="24"/>
                <w:szCs w:val="24"/>
                <w:u w:val="single"/>
                <w:lang w:val="da-DK"/>
              </w:rPr>
            </w:pPr>
            <w:r w:rsidRPr="007E13D2">
              <w:rPr>
                <w:b/>
                <w:bCs/>
                <w:sz w:val="24"/>
                <w:szCs w:val="24"/>
                <w:lang w:val="da-DK"/>
              </w:rPr>
              <w:t>Traumer, forgiftninger og behandlingskomplikationer</w:t>
            </w:r>
          </w:p>
        </w:tc>
      </w:tr>
      <w:tr w:rsidR="00392BED" w:rsidRPr="007E13D2" w14:paraId="72607DA7" w14:textId="77777777" w:rsidTr="007E13D2">
        <w:trPr>
          <w:trHeight w:val="253"/>
        </w:trPr>
        <w:tc>
          <w:tcPr>
            <w:tcW w:w="2338" w:type="pct"/>
            <w:tcBorders>
              <w:top w:val="single" w:sz="4" w:space="0" w:color="auto"/>
              <w:left w:val="single" w:sz="4" w:space="0" w:color="auto"/>
              <w:bottom w:val="single" w:sz="4" w:space="0" w:color="auto"/>
              <w:right w:val="single" w:sz="4" w:space="0" w:color="auto"/>
            </w:tcBorders>
            <w:hideMark/>
          </w:tcPr>
          <w:p w14:paraId="3A7BD8B7" w14:textId="5C41CA0C" w:rsidR="00392BED" w:rsidRPr="00D94087" w:rsidRDefault="00392BED" w:rsidP="00D94087">
            <w:pPr>
              <w:rPr>
                <w:b/>
                <w:bCs/>
                <w:sz w:val="24"/>
                <w:szCs w:val="24"/>
                <w:lang w:val="da-DK"/>
              </w:rPr>
            </w:pPr>
            <w:r w:rsidRPr="007E13D2">
              <w:rPr>
                <w:sz w:val="24"/>
                <w:szCs w:val="24"/>
                <w:lang w:val="da-DK"/>
              </w:rPr>
              <w:t>Komplikationer ved venøs adgang efter gentagne</w:t>
            </w:r>
            <w:r w:rsidR="00D94087">
              <w:rPr>
                <w:sz w:val="24"/>
                <w:szCs w:val="24"/>
                <w:lang w:val="da-DK"/>
              </w:rPr>
              <w:t xml:space="preserve"> </w:t>
            </w:r>
            <w:r w:rsidRPr="007E13D2">
              <w:rPr>
                <w:sz w:val="24"/>
                <w:szCs w:val="24"/>
                <w:lang w:val="da-DK"/>
              </w:rPr>
              <w:t>venepunkturer</w:t>
            </w:r>
          </w:p>
        </w:tc>
        <w:tc>
          <w:tcPr>
            <w:tcW w:w="2662" w:type="pct"/>
            <w:tcBorders>
              <w:top w:val="single" w:sz="4" w:space="0" w:color="auto"/>
              <w:left w:val="single" w:sz="4" w:space="0" w:color="auto"/>
              <w:bottom w:val="single" w:sz="4" w:space="0" w:color="auto"/>
              <w:right w:val="single" w:sz="4" w:space="0" w:color="auto"/>
            </w:tcBorders>
          </w:tcPr>
          <w:p w14:paraId="3C35ADFC" w14:textId="77777777" w:rsidR="00392BED" w:rsidRPr="00D94087" w:rsidRDefault="00392BED" w:rsidP="00D94087">
            <w:pPr>
              <w:rPr>
                <w:sz w:val="24"/>
                <w:szCs w:val="24"/>
                <w:u w:val="single"/>
                <w:lang w:val="da-DK"/>
              </w:rPr>
            </w:pPr>
          </w:p>
        </w:tc>
      </w:tr>
    </w:tbl>
    <w:p w14:paraId="7AC15917" w14:textId="77777777" w:rsidR="00392BED" w:rsidRPr="00D94087" w:rsidRDefault="00392BED" w:rsidP="00392BED">
      <w:pPr>
        <w:rPr>
          <w:sz w:val="24"/>
          <w:szCs w:val="24"/>
          <w:u w:val="single"/>
        </w:rPr>
      </w:pPr>
    </w:p>
    <w:p w14:paraId="7F54E8F0" w14:textId="77777777" w:rsidR="001E3CD6" w:rsidRPr="007E13D2" w:rsidRDefault="001E3CD6" w:rsidP="001E3CD6">
      <w:pPr>
        <w:autoSpaceDE w:val="0"/>
        <w:autoSpaceDN w:val="0"/>
        <w:ind w:left="851"/>
        <w:rPr>
          <w:sz w:val="24"/>
          <w:szCs w:val="24"/>
          <w:u w:val="single"/>
        </w:rPr>
      </w:pPr>
      <w:r w:rsidRPr="007E13D2">
        <w:rPr>
          <w:sz w:val="24"/>
          <w:szCs w:val="24"/>
          <w:u w:val="single"/>
        </w:rPr>
        <w:t>Indberetning af formodede bivirkninger</w:t>
      </w:r>
    </w:p>
    <w:p w14:paraId="777947A1" w14:textId="77777777" w:rsidR="001E3CD6" w:rsidRPr="007E13D2" w:rsidRDefault="001E3CD6" w:rsidP="001E3CD6">
      <w:pPr>
        <w:ind w:left="851"/>
        <w:rPr>
          <w:sz w:val="24"/>
          <w:szCs w:val="24"/>
        </w:rPr>
      </w:pPr>
      <w:r w:rsidRPr="007E13D2">
        <w:rPr>
          <w:sz w:val="24"/>
          <w:szCs w:val="24"/>
        </w:rPr>
        <w:t>Når lægemidlet er godkendt, er indberetning af formodede bivirkninger vigtig. Det muliggør løbende overvågning af benefit/</w:t>
      </w:r>
      <w:proofErr w:type="spellStart"/>
      <w:r w:rsidRPr="007E13D2">
        <w:rPr>
          <w:sz w:val="24"/>
          <w:szCs w:val="24"/>
        </w:rPr>
        <w:t>risk</w:t>
      </w:r>
      <w:proofErr w:type="spellEnd"/>
      <w:r w:rsidRPr="007E13D2">
        <w:rPr>
          <w:sz w:val="24"/>
          <w:szCs w:val="24"/>
        </w:rPr>
        <w:t>-forholdet for lægemidlet. Sundhedspersoner anmodes om at indberette alle formodede bivirkninger via:</w:t>
      </w:r>
    </w:p>
    <w:p w14:paraId="02BDE2DA" w14:textId="77777777" w:rsidR="001E3CD6" w:rsidRPr="007E13D2" w:rsidRDefault="001E3CD6" w:rsidP="001E3CD6">
      <w:pPr>
        <w:tabs>
          <w:tab w:val="left" w:pos="2440"/>
        </w:tabs>
        <w:ind w:left="851"/>
        <w:rPr>
          <w:sz w:val="24"/>
          <w:szCs w:val="24"/>
        </w:rPr>
      </w:pPr>
    </w:p>
    <w:p w14:paraId="49B4864F" w14:textId="77777777" w:rsidR="001E3CD6" w:rsidRPr="007E13D2" w:rsidRDefault="001E3CD6" w:rsidP="001E3CD6">
      <w:pPr>
        <w:ind w:left="851"/>
        <w:rPr>
          <w:sz w:val="24"/>
          <w:szCs w:val="24"/>
        </w:rPr>
      </w:pPr>
      <w:r w:rsidRPr="007E13D2">
        <w:rPr>
          <w:sz w:val="24"/>
          <w:szCs w:val="24"/>
        </w:rPr>
        <w:t>Lægemiddelstyrelsen</w:t>
      </w:r>
    </w:p>
    <w:p w14:paraId="2D91589F" w14:textId="77777777" w:rsidR="001E3CD6" w:rsidRPr="007E13D2" w:rsidRDefault="001E3CD6" w:rsidP="001E3CD6">
      <w:pPr>
        <w:ind w:left="851"/>
        <w:rPr>
          <w:sz w:val="24"/>
          <w:szCs w:val="24"/>
        </w:rPr>
      </w:pPr>
      <w:r w:rsidRPr="007E13D2">
        <w:rPr>
          <w:sz w:val="24"/>
          <w:szCs w:val="24"/>
        </w:rPr>
        <w:t>Axel Heides Gade 1</w:t>
      </w:r>
    </w:p>
    <w:p w14:paraId="3C01A706" w14:textId="77777777" w:rsidR="001E3CD6" w:rsidRPr="007E13D2" w:rsidRDefault="001E3CD6" w:rsidP="001E3CD6">
      <w:pPr>
        <w:ind w:left="851"/>
        <w:rPr>
          <w:sz w:val="24"/>
          <w:szCs w:val="24"/>
        </w:rPr>
      </w:pPr>
      <w:r w:rsidRPr="007E13D2">
        <w:rPr>
          <w:sz w:val="24"/>
          <w:szCs w:val="24"/>
        </w:rPr>
        <w:t>DK-2300 København S</w:t>
      </w:r>
    </w:p>
    <w:p w14:paraId="26717429" w14:textId="77777777" w:rsidR="001E3CD6" w:rsidRPr="007E13D2" w:rsidRDefault="001E3CD6" w:rsidP="001E3CD6">
      <w:pPr>
        <w:ind w:left="851"/>
        <w:rPr>
          <w:sz w:val="24"/>
          <w:szCs w:val="24"/>
        </w:rPr>
      </w:pPr>
      <w:r w:rsidRPr="007E13D2">
        <w:rPr>
          <w:sz w:val="24"/>
          <w:szCs w:val="24"/>
        </w:rPr>
        <w:t xml:space="preserve">Websted: </w:t>
      </w:r>
      <w:hyperlink r:id="rId8" w:history="1">
        <w:r w:rsidRPr="007E13D2">
          <w:rPr>
            <w:rStyle w:val="Hyperlink"/>
            <w:sz w:val="24"/>
            <w:szCs w:val="24"/>
          </w:rPr>
          <w:t>www.meldenbivirkning.dk</w:t>
        </w:r>
      </w:hyperlink>
    </w:p>
    <w:p w14:paraId="5A03DB64" w14:textId="77777777" w:rsidR="009260DE" w:rsidRPr="007E13D2" w:rsidRDefault="009260DE" w:rsidP="00A10294">
      <w:pPr>
        <w:tabs>
          <w:tab w:val="left" w:pos="851"/>
        </w:tabs>
        <w:ind w:left="851"/>
        <w:rPr>
          <w:sz w:val="24"/>
          <w:szCs w:val="24"/>
        </w:rPr>
      </w:pPr>
    </w:p>
    <w:p w14:paraId="610463E4" w14:textId="77777777" w:rsidR="009260DE" w:rsidRPr="007E13D2" w:rsidRDefault="009260DE" w:rsidP="009260DE">
      <w:pPr>
        <w:tabs>
          <w:tab w:val="left" w:pos="851"/>
        </w:tabs>
        <w:ind w:left="851" w:hanging="851"/>
        <w:rPr>
          <w:b/>
          <w:sz w:val="24"/>
          <w:szCs w:val="24"/>
        </w:rPr>
      </w:pPr>
      <w:r w:rsidRPr="007E13D2">
        <w:rPr>
          <w:b/>
          <w:sz w:val="24"/>
          <w:szCs w:val="24"/>
        </w:rPr>
        <w:t>4.9</w:t>
      </w:r>
      <w:r w:rsidRPr="007E13D2">
        <w:rPr>
          <w:b/>
          <w:sz w:val="24"/>
          <w:szCs w:val="24"/>
        </w:rPr>
        <w:tab/>
        <w:t>Overdosering</w:t>
      </w:r>
    </w:p>
    <w:p w14:paraId="71DA6B83" w14:textId="77777777" w:rsidR="00392BED" w:rsidRPr="007E13D2" w:rsidRDefault="00392BED" w:rsidP="007E13D2">
      <w:pPr>
        <w:ind w:left="851"/>
        <w:rPr>
          <w:noProof/>
          <w:sz w:val="24"/>
          <w:szCs w:val="24"/>
        </w:rPr>
      </w:pPr>
      <w:r w:rsidRPr="007E13D2">
        <w:rPr>
          <w:noProof/>
          <w:sz w:val="24"/>
          <w:szCs w:val="24"/>
        </w:rPr>
        <w:t>Farlig overdosering af ekstrakorporal methoxsalen er meget usandsynlig. Der foreligger til dato ingen kendte tilfælde.</w:t>
      </w:r>
    </w:p>
    <w:p w14:paraId="635B7374" w14:textId="77777777" w:rsidR="00392BED" w:rsidRPr="007E13D2" w:rsidRDefault="00392BED" w:rsidP="007E13D2">
      <w:pPr>
        <w:ind w:left="851"/>
        <w:rPr>
          <w:noProof/>
          <w:sz w:val="24"/>
          <w:szCs w:val="24"/>
        </w:rPr>
      </w:pPr>
      <w:r w:rsidRPr="007E13D2">
        <w:rPr>
          <w:noProof/>
          <w:sz w:val="24"/>
          <w:szCs w:val="24"/>
        </w:rPr>
        <w:t>Ved oral forgiftning er de mest sandsynlige symptomer kvalme, intens opkastning og svimmelhed.</w:t>
      </w:r>
    </w:p>
    <w:p w14:paraId="46691483" w14:textId="77777777" w:rsidR="00392BED" w:rsidRPr="007E13D2" w:rsidRDefault="00392BED" w:rsidP="007E13D2">
      <w:pPr>
        <w:ind w:left="851"/>
        <w:rPr>
          <w:noProof/>
          <w:sz w:val="24"/>
          <w:szCs w:val="24"/>
        </w:rPr>
      </w:pPr>
    </w:p>
    <w:p w14:paraId="4844CA98" w14:textId="77777777" w:rsidR="00392BED" w:rsidRPr="007E13D2" w:rsidRDefault="00392BED" w:rsidP="007E13D2">
      <w:pPr>
        <w:ind w:left="851"/>
        <w:rPr>
          <w:noProof/>
          <w:sz w:val="24"/>
          <w:szCs w:val="24"/>
        </w:rPr>
      </w:pPr>
      <w:r w:rsidRPr="007E13D2">
        <w:rPr>
          <w:noProof/>
          <w:sz w:val="24"/>
          <w:szCs w:val="24"/>
        </w:rPr>
        <w:t>I tilfælde af overdosering med methoxsalen skal patienten opholde sig i et mørkt rum i mindst 24 timer.</w:t>
      </w:r>
    </w:p>
    <w:p w14:paraId="4060B27F" w14:textId="77777777" w:rsidR="009260DE" w:rsidRPr="007E13D2" w:rsidRDefault="009260DE" w:rsidP="009260DE">
      <w:pPr>
        <w:tabs>
          <w:tab w:val="left" w:pos="851"/>
        </w:tabs>
        <w:ind w:left="851"/>
        <w:rPr>
          <w:sz w:val="24"/>
          <w:szCs w:val="24"/>
        </w:rPr>
      </w:pPr>
    </w:p>
    <w:p w14:paraId="58AC79FE" w14:textId="77777777" w:rsidR="009260DE" w:rsidRPr="007E13D2" w:rsidRDefault="009260DE" w:rsidP="009260DE">
      <w:pPr>
        <w:tabs>
          <w:tab w:val="left" w:pos="851"/>
        </w:tabs>
        <w:ind w:left="851" w:hanging="851"/>
        <w:rPr>
          <w:b/>
          <w:sz w:val="24"/>
          <w:szCs w:val="24"/>
        </w:rPr>
      </w:pPr>
      <w:r w:rsidRPr="007E13D2">
        <w:rPr>
          <w:b/>
          <w:sz w:val="24"/>
          <w:szCs w:val="24"/>
        </w:rPr>
        <w:t>4.10</w:t>
      </w:r>
      <w:r w:rsidRPr="007E13D2">
        <w:rPr>
          <w:b/>
          <w:sz w:val="24"/>
          <w:szCs w:val="24"/>
        </w:rPr>
        <w:tab/>
        <w:t>Udlevering</w:t>
      </w:r>
    </w:p>
    <w:p w14:paraId="6BD0F1FE" w14:textId="5B84D4F2" w:rsidR="009260DE" w:rsidRPr="007E13D2" w:rsidRDefault="001E3CD6" w:rsidP="009260DE">
      <w:pPr>
        <w:tabs>
          <w:tab w:val="left" w:pos="851"/>
        </w:tabs>
        <w:ind w:left="851"/>
        <w:rPr>
          <w:sz w:val="24"/>
          <w:szCs w:val="24"/>
        </w:rPr>
      </w:pPr>
      <w:r w:rsidRPr="007E13D2">
        <w:rPr>
          <w:sz w:val="24"/>
          <w:szCs w:val="24"/>
        </w:rPr>
        <w:t>BEGR – kun til sygehuse</w:t>
      </w:r>
    </w:p>
    <w:p w14:paraId="49E08C9E" w14:textId="77777777" w:rsidR="009260DE" w:rsidRPr="007E13D2" w:rsidRDefault="009260DE" w:rsidP="009260DE">
      <w:pPr>
        <w:tabs>
          <w:tab w:val="left" w:pos="851"/>
        </w:tabs>
        <w:ind w:left="851"/>
        <w:rPr>
          <w:sz w:val="24"/>
          <w:szCs w:val="24"/>
        </w:rPr>
      </w:pPr>
    </w:p>
    <w:p w14:paraId="467F603E" w14:textId="62F10CB1" w:rsidR="00D94087" w:rsidRDefault="00D94087">
      <w:pPr>
        <w:rPr>
          <w:sz w:val="24"/>
          <w:szCs w:val="24"/>
        </w:rPr>
      </w:pPr>
      <w:r>
        <w:rPr>
          <w:sz w:val="24"/>
          <w:szCs w:val="24"/>
        </w:rPr>
        <w:br w:type="page"/>
      </w:r>
    </w:p>
    <w:p w14:paraId="5480D670" w14:textId="77777777" w:rsidR="009260DE" w:rsidRPr="007E13D2" w:rsidRDefault="009260DE" w:rsidP="009260DE">
      <w:pPr>
        <w:tabs>
          <w:tab w:val="left" w:pos="851"/>
        </w:tabs>
        <w:ind w:left="851"/>
        <w:rPr>
          <w:sz w:val="24"/>
          <w:szCs w:val="24"/>
        </w:rPr>
      </w:pPr>
    </w:p>
    <w:p w14:paraId="1F9BF202" w14:textId="77777777" w:rsidR="009260DE" w:rsidRPr="007E13D2" w:rsidRDefault="009260DE" w:rsidP="009260DE">
      <w:pPr>
        <w:tabs>
          <w:tab w:val="left" w:pos="851"/>
        </w:tabs>
        <w:ind w:left="851" w:hanging="851"/>
        <w:rPr>
          <w:b/>
          <w:sz w:val="24"/>
          <w:szCs w:val="24"/>
        </w:rPr>
      </w:pPr>
      <w:r w:rsidRPr="007E13D2">
        <w:rPr>
          <w:b/>
          <w:sz w:val="24"/>
          <w:szCs w:val="24"/>
        </w:rPr>
        <w:t>5.</w:t>
      </w:r>
      <w:r w:rsidRPr="007E13D2">
        <w:rPr>
          <w:b/>
          <w:sz w:val="24"/>
          <w:szCs w:val="24"/>
        </w:rPr>
        <w:tab/>
        <w:t>FARMAKOLOGISKE EGENSKABER</w:t>
      </w:r>
    </w:p>
    <w:p w14:paraId="3C9FF524" w14:textId="77777777" w:rsidR="009260DE" w:rsidRPr="007E13D2" w:rsidRDefault="009260DE" w:rsidP="009260DE">
      <w:pPr>
        <w:tabs>
          <w:tab w:val="left" w:pos="851"/>
        </w:tabs>
        <w:ind w:left="851"/>
        <w:rPr>
          <w:sz w:val="24"/>
          <w:szCs w:val="24"/>
        </w:rPr>
      </w:pPr>
    </w:p>
    <w:p w14:paraId="5F8C4BAE" w14:textId="77777777" w:rsidR="009260DE" w:rsidRPr="007E13D2" w:rsidRDefault="009260DE" w:rsidP="009260DE">
      <w:pPr>
        <w:tabs>
          <w:tab w:val="left" w:pos="851"/>
        </w:tabs>
        <w:ind w:left="851" w:hanging="851"/>
        <w:rPr>
          <w:b/>
          <w:sz w:val="24"/>
          <w:szCs w:val="24"/>
        </w:rPr>
      </w:pPr>
      <w:r w:rsidRPr="007E13D2">
        <w:rPr>
          <w:b/>
          <w:sz w:val="24"/>
          <w:szCs w:val="24"/>
        </w:rPr>
        <w:t>5.0</w:t>
      </w:r>
      <w:r w:rsidRPr="007E13D2">
        <w:rPr>
          <w:b/>
          <w:sz w:val="24"/>
          <w:szCs w:val="24"/>
        </w:rPr>
        <w:tab/>
        <w:t>Terapeutisk klassifikation</w:t>
      </w:r>
    </w:p>
    <w:p w14:paraId="76BF6FB8" w14:textId="0F823E5E" w:rsidR="00392BED" w:rsidRPr="007E13D2" w:rsidRDefault="00392BED" w:rsidP="007E13D2">
      <w:pPr>
        <w:ind w:left="851"/>
        <w:rPr>
          <w:noProof/>
          <w:sz w:val="24"/>
          <w:szCs w:val="24"/>
        </w:rPr>
      </w:pPr>
      <w:r w:rsidRPr="007E13D2">
        <w:rPr>
          <w:sz w:val="24"/>
          <w:szCs w:val="24"/>
        </w:rPr>
        <w:t>ATC-kode: L</w:t>
      </w:r>
      <w:r w:rsidR="00DF27C0">
        <w:rPr>
          <w:sz w:val="24"/>
          <w:szCs w:val="24"/>
        </w:rPr>
        <w:t xml:space="preserve"> </w:t>
      </w:r>
      <w:r w:rsidRPr="007E13D2">
        <w:rPr>
          <w:sz w:val="24"/>
          <w:szCs w:val="24"/>
        </w:rPr>
        <w:t>03</w:t>
      </w:r>
      <w:r w:rsidR="00DF27C0">
        <w:rPr>
          <w:sz w:val="24"/>
          <w:szCs w:val="24"/>
        </w:rPr>
        <w:t xml:space="preserve"> </w:t>
      </w:r>
      <w:r w:rsidRPr="007E13D2">
        <w:rPr>
          <w:sz w:val="24"/>
          <w:szCs w:val="24"/>
        </w:rPr>
        <w:t xml:space="preserve">AX. </w:t>
      </w:r>
      <w:proofErr w:type="spellStart"/>
      <w:r w:rsidRPr="007E13D2">
        <w:rPr>
          <w:sz w:val="24"/>
          <w:szCs w:val="24"/>
        </w:rPr>
        <w:t>Antineoplastiske</w:t>
      </w:r>
      <w:proofErr w:type="spellEnd"/>
      <w:r w:rsidRPr="007E13D2">
        <w:rPr>
          <w:sz w:val="24"/>
          <w:szCs w:val="24"/>
        </w:rPr>
        <w:t xml:space="preserve"> og </w:t>
      </w:r>
      <w:proofErr w:type="spellStart"/>
      <w:r w:rsidRPr="007E13D2">
        <w:rPr>
          <w:sz w:val="24"/>
          <w:szCs w:val="24"/>
        </w:rPr>
        <w:t>immunomodulerende</w:t>
      </w:r>
      <w:proofErr w:type="spellEnd"/>
      <w:r w:rsidRPr="007E13D2">
        <w:rPr>
          <w:sz w:val="24"/>
          <w:szCs w:val="24"/>
        </w:rPr>
        <w:t xml:space="preserve"> midler, andre </w:t>
      </w:r>
      <w:proofErr w:type="spellStart"/>
      <w:r w:rsidRPr="007E13D2">
        <w:rPr>
          <w:sz w:val="24"/>
          <w:szCs w:val="24"/>
        </w:rPr>
        <w:t>immunstimulanter</w:t>
      </w:r>
      <w:proofErr w:type="spellEnd"/>
      <w:r w:rsidRPr="007E13D2">
        <w:rPr>
          <w:sz w:val="24"/>
          <w:szCs w:val="24"/>
        </w:rPr>
        <w:t xml:space="preserve">. </w:t>
      </w:r>
    </w:p>
    <w:p w14:paraId="4EA72C38" w14:textId="77777777" w:rsidR="009260DE" w:rsidRPr="007E13D2" w:rsidRDefault="009260DE" w:rsidP="009260DE">
      <w:pPr>
        <w:tabs>
          <w:tab w:val="left" w:pos="851"/>
        </w:tabs>
        <w:ind w:left="851"/>
        <w:rPr>
          <w:sz w:val="24"/>
          <w:szCs w:val="24"/>
        </w:rPr>
      </w:pPr>
    </w:p>
    <w:p w14:paraId="7E584305" w14:textId="77777777" w:rsidR="009260DE" w:rsidRPr="007E13D2" w:rsidRDefault="009260DE" w:rsidP="009260DE">
      <w:pPr>
        <w:tabs>
          <w:tab w:val="num" w:pos="851"/>
        </w:tabs>
        <w:ind w:left="851" w:hanging="851"/>
        <w:rPr>
          <w:b/>
          <w:sz w:val="24"/>
          <w:szCs w:val="24"/>
        </w:rPr>
      </w:pPr>
      <w:r w:rsidRPr="007E13D2">
        <w:rPr>
          <w:b/>
          <w:sz w:val="24"/>
          <w:szCs w:val="24"/>
        </w:rPr>
        <w:t>5.1</w:t>
      </w:r>
      <w:r w:rsidRPr="007E13D2">
        <w:rPr>
          <w:b/>
          <w:sz w:val="24"/>
          <w:szCs w:val="24"/>
        </w:rPr>
        <w:tab/>
      </w:r>
      <w:proofErr w:type="spellStart"/>
      <w:r w:rsidRPr="007E13D2">
        <w:rPr>
          <w:b/>
          <w:sz w:val="24"/>
          <w:szCs w:val="24"/>
        </w:rPr>
        <w:t>Farmakodynamiske</w:t>
      </w:r>
      <w:proofErr w:type="spellEnd"/>
      <w:r w:rsidRPr="007E13D2">
        <w:rPr>
          <w:b/>
          <w:sz w:val="24"/>
          <w:szCs w:val="24"/>
        </w:rPr>
        <w:t xml:space="preserve"> egenskaber</w:t>
      </w:r>
    </w:p>
    <w:p w14:paraId="06F7A532" w14:textId="77777777" w:rsidR="00DF27C0" w:rsidRDefault="00DF27C0" w:rsidP="007E13D2">
      <w:pPr>
        <w:ind w:left="851"/>
        <w:rPr>
          <w:sz w:val="24"/>
          <w:szCs w:val="24"/>
        </w:rPr>
      </w:pPr>
    </w:p>
    <w:p w14:paraId="7D421380" w14:textId="129F5E77" w:rsidR="00392BED" w:rsidRPr="005306CC" w:rsidRDefault="00392BED" w:rsidP="007E13D2">
      <w:pPr>
        <w:ind w:left="851"/>
        <w:rPr>
          <w:sz w:val="24"/>
          <w:szCs w:val="24"/>
          <w:u w:val="single"/>
        </w:rPr>
      </w:pPr>
      <w:r w:rsidRPr="005306CC">
        <w:rPr>
          <w:sz w:val="24"/>
          <w:szCs w:val="24"/>
          <w:u w:val="single"/>
        </w:rPr>
        <w:t>Virkningsmekanisme</w:t>
      </w:r>
    </w:p>
    <w:p w14:paraId="6AF32057" w14:textId="77777777" w:rsidR="00392BED" w:rsidRPr="007E13D2" w:rsidRDefault="00392BED" w:rsidP="007E13D2">
      <w:pPr>
        <w:ind w:left="851"/>
        <w:rPr>
          <w:sz w:val="24"/>
          <w:szCs w:val="24"/>
        </w:rPr>
      </w:pPr>
      <w:proofErr w:type="spellStart"/>
      <w:r w:rsidRPr="007E13D2">
        <w:rPr>
          <w:sz w:val="24"/>
          <w:szCs w:val="24"/>
        </w:rPr>
        <w:t>Methoxsalen</w:t>
      </w:r>
      <w:proofErr w:type="spellEnd"/>
      <w:r w:rsidRPr="007E13D2">
        <w:rPr>
          <w:sz w:val="24"/>
          <w:szCs w:val="24"/>
        </w:rPr>
        <w:t xml:space="preserve"> er et fotosensibiliserende middel. Selvom fotokemoterapi har været anvendt klinisk i mange år, er den mekanisme, som gør behandlingen effektiv, stadig under udforskning. Den generelle antagelse er, at de molekylære processer, der fører til </w:t>
      </w:r>
      <w:proofErr w:type="spellStart"/>
      <w:r w:rsidRPr="007E13D2">
        <w:rPr>
          <w:sz w:val="24"/>
          <w:szCs w:val="24"/>
        </w:rPr>
        <w:t>apoptotisk</w:t>
      </w:r>
      <w:proofErr w:type="spellEnd"/>
      <w:r w:rsidRPr="007E13D2">
        <w:rPr>
          <w:sz w:val="24"/>
          <w:szCs w:val="24"/>
        </w:rPr>
        <w:t xml:space="preserve"> </w:t>
      </w:r>
      <w:proofErr w:type="spellStart"/>
      <w:r w:rsidRPr="007E13D2">
        <w:rPr>
          <w:sz w:val="24"/>
          <w:szCs w:val="24"/>
        </w:rPr>
        <w:t>celledød</w:t>
      </w:r>
      <w:proofErr w:type="spellEnd"/>
      <w:r w:rsidRPr="007E13D2">
        <w:rPr>
          <w:sz w:val="24"/>
          <w:szCs w:val="24"/>
        </w:rPr>
        <w:t xml:space="preserve">, involverer </w:t>
      </w:r>
      <w:proofErr w:type="spellStart"/>
      <w:r w:rsidRPr="007E13D2">
        <w:rPr>
          <w:sz w:val="24"/>
          <w:szCs w:val="24"/>
        </w:rPr>
        <w:t>interkalering</w:t>
      </w:r>
      <w:proofErr w:type="spellEnd"/>
      <w:r w:rsidRPr="007E13D2">
        <w:rPr>
          <w:sz w:val="24"/>
          <w:szCs w:val="24"/>
        </w:rPr>
        <w:t xml:space="preserve"> af </w:t>
      </w:r>
      <w:proofErr w:type="spellStart"/>
      <w:r w:rsidRPr="007E13D2">
        <w:rPr>
          <w:sz w:val="24"/>
          <w:szCs w:val="24"/>
        </w:rPr>
        <w:t>methoxsalen</w:t>
      </w:r>
      <w:proofErr w:type="spellEnd"/>
      <w:r w:rsidRPr="007E13D2">
        <w:rPr>
          <w:sz w:val="24"/>
          <w:szCs w:val="24"/>
        </w:rPr>
        <w:t xml:space="preserve"> i det dobbeltstrengede DNA-molekyle inde i kernen. Nukleinsyre-</w:t>
      </w:r>
      <w:proofErr w:type="spellStart"/>
      <w:r w:rsidRPr="007E13D2">
        <w:rPr>
          <w:sz w:val="24"/>
          <w:szCs w:val="24"/>
        </w:rPr>
        <w:t>furocoumarin</w:t>
      </w:r>
      <w:proofErr w:type="spellEnd"/>
      <w:r w:rsidRPr="007E13D2">
        <w:rPr>
          <w:sz w:val="24"/>
          <w:szCs w:val="24"/>
        </w:rPr>
        <w:t xml:space="preserve">-komplekserne, der dannes i denne </w:t>
      </w:r>
      <w:proofErr w:type="spellStart"/>
      <w:r w:rsidRPr="007E13D2">
        <w:rPr>
          <w:sz w:val="24"/>
          <w:szCs w:val="24"/>
        </w:rPr>
        <w:t>interkaleringsproces</w:t>
      </w:r>
      <w:proofErr w:type="spellEnd"/>
      <w:r w:rsidRPr="007E13D2">
        <w:rPr>
          <w:sz w:val="24"/>
          <w:szCs w:val="24"/>
        </w:rPr>
        <w:t xml:space="preserve">, involverer svage bindingskræfter såsom van der </w:t>
      </w:r>
      <w:proofErr w:type="spellStart"/>
      <w:r w:rsidRPr="007E13D2">
        <w:rPr>
          <w:sz w:val="24"/>
          <w:szCs w:val="24"/>
        </w:rPr>
        <w:t>Waals</w:t>
      </w:r>
      <w:proofErr w:type="spellEnd"/>
      <w:r w:rsidRPr="007E13D2">
        <w:rPr>
          <w:sz w:val="24"/>
          <w:szCs w:val="24"/>
        </w:rPr>
        <w:t xml:space="preserve"> kræfter, hydrogenbinding og hydrofile kræfter. Disse bindingskræfter kan nemt reverseres, og i fravær af fotoaktivering er de uden farmakologisk konsekvens. Efter aktivering ved absorption af UVA-lys binder </w:t>
      </w:r>
      <w:proofErr w:type="spellStart"/>
      <w:r w:rsidRPr="007E13D2">
        <w:rPr>
          <w:sz w:val="24"/>
          <w:szCs w:val="24"/>
        </w:rPr>
        <w:t>methoxsalen</w:t>
      </w:r>
      <w:proofErr w:type="spellEnd"/>
      <w:r w:rsidRPr="007E13D2">
        <w:rPr>
          <w:sz w:val="24"/>
          <w:szCs w:val="24"/>
        </w:rPr>
        <w:t xml:space="preserve"> imidlertid til </w:t>
      </w:r>
      <w:proofErr w:type="spellStart"/>
      <w:r w:rsidRPr="007E13D2">
        <w:rPr>
          <w:sz w:val="24"/>
          <w:szCs w:val="24"/>
        </w:rPr>
        <w:t>pyrimidinbaserne</w:t>
      </w:r>
      <w:proofErr w:type="spellEnd"/>
      <w:r w:rsidRPr="007E13D2">
        <w:rPr>
          <w:sz w:val="24"/>
          <w:szCs w:val="24"/>
        </w:rPr>
        <w:t xml:space="preserve"> i nukleinsyren (thymin, cytosin og </w:t>
      </w:r>
      <w:proofErr w:type="spellStart"/>
      <w:r w:rsidRPr="007E13D2">
        <w:rPr>
          <w:sz w:val="24"/>
          <w:szCs w:val="24"/>
        </w:rPr>
        <w:t>uracil</w:t>
      </w:r>
      <w:proofErr w:type="spellEnd"/>
      <w:r w:rsidRPr="007E13D2">
        <w:rPr>
          <w:sz w:val="24"/>
          <w:szCs w:val="24"/>
        </w:rPr>
        <w:t>) og danner kovalente tværbindinger mellem de to DNA-tråde.</w:t>
      </w:r>
    </w:p>
    <w:p w14:paraId="0C2C99C7" w14:textId="77777777" w:rsidR="00392BED" w:rsidRPr="007E13D2" w:rsidRDefault="00392BED" w:rsidP="007E13D2">
      <w:pPr>
        <w:ind w:left="851"/>
        <w:rPr>
          <w:sz w:val="24"/>
          <w:szCs w:val="24"/>
        </w:rPr>
      </w:pPr>
    </w:p>
    <w:p w14:paraId="261417A0" w14:textId="77777777" w:rsidR="00392BED" w:rsidRPr="007E13D2" w:rsidRDefault="00392BED" w:rsidP="007E13D2">
      <w:pPr>
        <w:ind w:left="851"/>
        <w:rPr>
          <w:sz w:val="24"/>
          <w:szCs w:val="24"/>
        </w:rPr>
      </w:pPr>
      <w:r w:rsidRPr="007E13D2">
        <w:rPr>
          <w:sz w:val="24"/>
          <w:szCs w:val="24"/>
        </w:rPr>
        <w:t>Reaktionen finder sted i nogle få mikrosekunder, og når strålingen afbrydes, vender det aktive stof straks tilbage til sin inerte form.</w:t>
      </w:r>
    </w:p>
    <w:p w14:paraId="6BDB0EAB" w14:textId="77777777" w:rsidR="00392BED" w:rsidRPr="007E13D2" w:rsidRDefault="00392BED" w:rsidP="007E13D2">
      <w:pPr>
        <w:ind w:left="851"/>
        <w:rPr>
          <w:sz w:val="24"/>
          <w:szCs w:val="24"/>
        </w:rPr>
      </w:pPr>
    </w:p>
    <w:p w14:paraId="4DCEA324" w14:textId="77777777" w:rsidR="00392BED" w:rsidRPr="007E13D2" w:rsidRDefault="00392BED" w:rsidP="007E13D2">
      <w:pPr>
        <w:ind w:left="851"/>
        <w:rPr>
          <w:sz w:val="24"/>
          <w:szCs w:val="24"/>
        </w:rPr>
      </w:pPr>
      <w:r w:rsidRPr="007E13D2">
        <w:rPr>
          <w:sz w:val="24"/>
          <w:szCs w:val="24"/>
        </w:rPr>
        <w:t xml:space="preserve">Mekanismen, hvormed </w:t>
      </w:r>
      <w:proofErr w:type="spellStart"/>
      <w:r w:rsidRPr="007E13D2">
        <w:rPr>
          <w:sz w:val="24"/>
          <w:szCs w:val="24"/>
        </w:rPr>
        <w:t>fotofereseproceduren</w:t>
      </w:r>
      <w:proofErr w:type="spellEnd"/>
      <w:r w:rsidRPr="007E13D2">
        <w:rPr>
          <w:sz w:val="24"/>
          <w:szCs w:val="24"/>
        </w:rPr>
        <w:t xml:space="preserve"> virker, er blevet undersøgt ved at observere visse proteiner, der inducerer </w:t>
      </w:r>
      <w:proofErr w:type="spellStart"/>
      <w:r w:rsidRPr="007E13D2">
        <w:rPr>
          <w:sz w:val="24"/>
          <w:szCs w:val="24"/>
        </w:rPr>
        <w:t>apoptose</w:t>
      </w:r>
      <w:proofErr w:type="spellEnd"/>
      <w:r w:rsidRPr="007E13D2">
        <w:rPr>
          <w:sz w:val="24"/>
          <w:szCs w:val="24"/>
        </w:rPr>
        <w:t xml:space="preserve"> (bcl-2 og fas). Lymfocytter til stede i perifert blod blev isoleret umiddelbart før og 24 timer efter behandling, og antallet af bcl-2 og fas blev registreret og sammenlignet med en ubehandlet kontrolgruppe. Det blev vist, at andelen af fas-proteiner var signifikant højere efter behandling, mens den forblev uændret for bcl-2. </w:t>
      </w:r>
      <w:proofErr w:type="spellStart"/>
      <w:r w:rsidRPr="007E13D2">
        <w:rPr>
          <w:sz w:val="24"/>
          <w:szCs w:val="24"/>
        </w:rPr>
        <w:t>Fotofereseproceduren</w:t>
      </w:r>
      <w:proofErr w:type="spellEnd"/>
      <w:r w:rsidRPr="007E13D2">
        <w:rPr>
          <w:sz w:val="24"/>
          <w:szCs w:val="24"/>
        </w:rPr>
        <w:t xml:space="preserve"> blev også vist at øge andelen af </w:t>
      </w:r>
      <w:proofErr w:type="spellStart"/>
      <w:r w:rsidRPr="007E13D2">
        <w:rPr>
          <w:sz w:val="24"/>
          <w:szCs w:val="24"/>
        </w:rPr>
        <w:t>apoptotiske</w:t>
      </w:r>
      <w:proofErr w:type="spellEnd"/>
      <w:r w:rsidRPr="007E13D2">
        <w:rPr>
          <w:sz w:val="24"/>
          <w:szCs w:val="24"/>
        </w:rPr>
        <w:t xml:space="preserve"> celler i dyrkede lymfocytter. Disse </w:t>
      </w:r>
      <w:proofErr w:type="spellStart"/>
      <w:r w:rsidRPr="007E13D2">
        <w:rPr>
          <w:sz w:val="24"/>
          <w:szCs w:val="24"/>
        </w:rPr>
        <w:t>apoptotiske</w:t>
      </w:r>
      <w:proofErr w:type="spellEnd"/>
      <w:r w:rsidRPr="007E13D2">
        <w:rPr>
          <w:sz w:val="24"/>
          <w:szCs w:val="24"/>
        </w:rPr>
        <w:t xml:space="preserve"> celler synes at blive absorberet af </w:t>
      </w:r>
      <w:proofErr w:type="spellStart"/>
      <w:r w:rsidRPr="007E13D2">
        <w:rPr>
          <w:sz w:val="24"/>
          <w:szCs w:val="24"/>
        </w:rPr>
        <w:t>dendritiske</w:t>
      </w:r>
      <w:proofErr w:type="spellEnd"/>
      <w:r w:rsidRPr="007E13D2">
        <w:rPr>
          <w:sz w:val="24"/>
          <w:szCs w:val="24"/>
        </w:rPr>
        <w:t xml:space="preserve"> celler og præsenteret som antigener, så et specifikt cellemedieret immunrespons udløses og aktiveres umiddelbart.</w:t>
      </w:r>
    </w:p>
    <w:p w14:paraId="0B558103" w14:textId="77777777" w:rsidR="00392BED" w:rsidRPr="007E13D2" w:rsidRDefault="00392BED" w:rsidP="007E13D2">
      <w:pPr>
        <w:ind w:left="851"/>
        <w:rPr>
          <w:sz w:val="24"/>
          <w:szCs w:val="24"/>
        </w:rPr>
      </w:pPr>
      <w:r w:rsidRPr="007E13D2">
        <w:rPr>
          <w:sz w:val="24"/>
          <w:szCs w:val="24"/>
        </w:rPr>
        <w:t>Den nøjagtige mekanisme er ikke belyst i detaljer.</w:t>
      </w:r>
    </w:p>
    <w:p w14:paraId="6A42F6E7" w14:textId="77777777" w:rsidR="00392BED" w:rsidRPr="007E13D2" w:rsidRDefault="00392BED" w:rsidP="007E13D2">
      <w:pPr>
        <w:ind w:left="851"/>
        <w:rPr>
          <w:sz w:val="24"/>
          <w:szCs w:val="24"/>
        </w:rPr>
      </w:pPr>
    </w:p>
    <w:p w14:paraId="2606D935" w14:textId="77777777" w:rsidR="00392BED" w:rsidRPr="005306CC" w:rsidRDefault="00392BED" w:rsidP="007E13D2">
      <w:pPr>
        <w:ind w:left="851"/>
        <w:rPr>
          <w:sz w:val="24"/>
          <w:szCs w:val="24"/>
          <w:u w:val="single"/>
        </w:rPr>
      </w:pPr>
      <w:proofErr w:type="spellStart"/>
      <w:r w:rsidRPr="005306CC">
        <w:rPr>
          <w:sz w:val="24"/>
          <w:szCs w:val="24"/>
          <w:u w:val="single"/>
        </w:rPr>
        <w:t>Farmakodynamiske</w:t>
      </w:r>
      <w:proofErr w:type="spellEnd"/>
      <w:r w:rsidRPr="005306CC">
        <w:rPr>
          <w:sz w:val="24"/>
          <w:szCs w:val="24"/>
          <w:u w:val="single"/>
        </w:rPr>
        <w:t xml:space="preserve"> virkninger</w:t>
      </w:r>
    </w:p>
    <w:p w14:paraId="6FC77F32" w14:textId="77777777" w:rsidR="00392BED" w:rsidRPr="007E13D2" w:rsidRDefault="00392BED" w:rsidP="007E13D2">
      <w:pPr>
        <w:ind w:left="851"/>
        <w:rPr>
          <w:sz w:val="24"/>
          <w:szCs w:val="24"/>
        </w:rPr>
      </w:pPr>
    </w:p>
    <w:p w14:paraId="5367A32A" w14:textId="77777777" w:rsidR="00392BED" w:rsidRPr="007E13D2" w:rsidRDefault="00392BED" w:rsidP="007E13D2">
      <w:pPr>
        <w:ind w:left="851"/>
        <w:rPr>
          <w:sz w:val="24"/>
          <w:szCs w:val="24"/>
        </w:rPr>
      </w:pPr>
      <w:r w:rsidRPr="007E13D2">
        <w:rPr>
          <w:sz w:val="24"/>
          <w:szCs w:val="24"/>
        </w:rPr>
        <w:t xml:space="preserve">Dannelsen af </w:t>
      </w:r>
      <w:proofErr w:type="spellStart"/>
      <w:r w:rsidRPr="007E13D2">
        <w:rPr>
          <w:sz w:val="24"/>
          <w:szCs w:val="24"/>
        </w:rPr>
        <w:t>fotoaddukter</w:t>
      </w:r>
      <w:proofErr w:type="spellEnd"/>
      <w:r w:rsidRPr="007E13D2">
        <w:rPr>
          <w:sz w:val="24"/>
          <w:szCs w:val="24"/>
        </w:rPr>
        <w:t xml:space="preserve"> resulterer i </w:t>
      </w:r>
      <w:proofErr w:type="spellStart"/>
      <w:r w:rsidRPr="007E13D2">
        <w:rPr>
          <w:sz w:val="24"/>
          <w:szCs w:val="24"/>
        </w:rPr>
        <w:t>proliferativ</w:t>
      </w:r>
      <w:proofErr w:type="spellEnd"/>
      <w:r w:rsidRPr="007E13D2">
        <w:rPr>
          <w:sz w:val="24"/>
          <w:szCs w:val="24"/>
        </w:rPr>
        <w:t xml:space="preserve"> standsning af lymfocytter, som dør i løbet af en periode på ca. 72 timer. Denne akutte virkning på T-cellen er sandsynligvis en mindre betydelig effekt for så vidt angår den behandlingsmæssige virkning. Der foreligger en stigende grad af evidens for, at </w:t>
      </w:r>
      <w:proofErr w:type="spellStart"/>
      <w:r w:rsidRPr="007E13D2">
        <w:rPr>
          <w:sz w:val="24"/>
          <w:szCs w:val="24"/>
        </w:rPr>
        <w:t>fotoferesen</w:t>
      </w:r>
      <w:proofErr w:type="spellEnd"/>
      <w:r w:rsidRPr="007E13D2">
        <w:rPr>
          <w:sz w:val="24"/>
          <w:szCs w:val="24"/>
        </w:rPr>
        <w:t xml:space="preserve"> kan fungere som </w:t>
      </w:r>
      <w:proofErr w:type="spellStart"/>
      <w:r w:rsidRPr="007E13D2">
        <w:rPr>
          <w:sz w:val="24"/>
          <w:szCs w:val="24"/>
        </w:rPr>
        <w:t>immunmodulator</w:t>
      </w:r>
      <w:proofErr w:type="spellEnd"/>
      <w:r w:rsidRPr="007E13D2">
        <w:rPr>
          <w:sz w:val="24"/>
          <w:szCs w:val="24"/>
        </w:rPr>
        <w:t xml:space="preserve"> og fremkalde stigningen i systemiske </w:t>
      </w:r>
      <w:proofErr w:type="spellStart"/>
      <w:r w:rsidRPr="007E13D2">
        <w:rPr>
          <w:sz w:val="24"/>
          <w:szCs w:val="24"/>
        </w:rPr>
        <w:t>antitumorreaktioner</w:t>
      </w:r>
      <w:proofErr w:type="spellEnd"/>
      <w:r w:rsidRPr="007E13D2">
        <w:rPr>
          <w:sz w:val="24"/>
          <w:szCs w:val="24"/>
        </w:rPr>
        <w:t>.</w:t>
      </w:r>
    </w:p>
    <w:p w14:paraId="49EB61CB" w14:textId="77777777" w:rsidR="00392BED" w:rsidRPr="007E13D2" w:rsidRDefault="00392BED" w:rsidP="007E13D2">
      <w:pPr>
        <w:ind w:left="851"/>
        <w:rPr>
          <w:sz w:val="24"/>
          <w:szCs w:val="24"/>
        </w:rPr>
      </w:pPr>
    </w:p>
    <w:p w14:paraId="661372EC" w14:textId="77777777" w:rsidR="00392BED" w:rsidRPr="005306CC" w:rsidRDefault="00392BED" w:rsidP="007E13D2">
      <w:pPr>
        <w:ind w:left="851"/>
        <w:rPr>
          <w:sz w:val="24"/>
          <w:szCs w:val="24"/>
          <w:u w:val="single"/>
        </w:rPr>
      </w:pPr>
      <w:r w:rsidRPr="005306CC">
        <w:rPr>
          <w:sz w:val="24"/>
          <w:szCs w:val="24"/>
          <w:u w:val="single"/>
        </w:rPr>
        <w:t>Klinisk virkning og sikkerhed</w:t>
      </w:r>
    </w:p>
    <w:p w14:paraId="132CC132" w14:textId="658917D9" w:rsidR="00392BED" w:rsidRDefault="00392BED" w:rsidP="007E13D2">
      <w:pPr>
        <w:ind w:left="851"/>
        <w:rPr>
          <w:sz w:val="24"/>
          <w:szCs w:val="24"/>
        </w:rPr>
      </w:pPr>
      <w:r w:rsidRPr="007E13D2">
        <w:rPr>
          <w:sz w:val="24"/>
          <w:szCs w:val="24"/>
        </w:rPr>
        <w:t xml:space="preserve">41 patienter med en række sygdomme (CTCL, GVHD, systemisk sklerose) modtog i alt 1.210 </w:t>
      </w:r>
      <w:proofErr w:type="spellStart"/>
      <w:r w:rsidRPr="007E13D2">
        <w:rPr>
          <w:sz w:val="24"/>
          <w:szCs w:val="24"/>
        </w:rPr>
        <w:t>fotoferesebehandlinger</w:t>
      </w:r>
      <w:proofErr w:type="spellEnd"/>
      <w:r w:rsidRPr="007E13D2">
        <w:rPr>
          <w:sz w:val="24"/>
          <w:szCs w:val="24"/>
        </w:rPr>
        <w:t xml:space="preserve">. CTCL-patienterne med </w:t>
      </w:r>
      <w:proofErr w:type="spellStart"/>
      <w:r w:rsidRPr="007E13D2">
        <w:rPr>
          <w:sz w:val="24"/>
          <w:szCs w:val="24"/>
        </w:rPr>
        <w:t>erythroderma</w:t>
      </w:r>
      <w:proofErr w:type="spellEnd"/>
      <w:r w:rsidRPr="007E13D2">
        <w:rPr>
          <w:sz w:val="24"/>
          <w:szCs w:val="24"/>
        </w:rPr>
        <w:t xml:space="preserve"> og intakt immunkompetence var dem, der reagerede mest gunstigt, men selv CTCL-tumor på avanceret stadium blev behandlet med succes.</w:t>
      </w:r>
    </w:p>
    <w:p w14:paraId="5764D1DF" w14:textId="5DACF750" w:rsidR="005306CC" w:rsidRDefault="005306CC">
      <w:pPr>
        <w:rPr>
          <w:sz w:val="24"/>
          <w:szCs w:val="24"/>
        </w:rPr>
      </w:pPr>
      <w:r>
        <w:rPr>
          <w:sz w:val="24"/>
          <w:szCs w:val="24"/>
        </w:rPr>
        <w:br w:type="page"/>
      </w:r>
    </w:p>
    <w:p w14:paraId="4F98A169" w14:textId="77777777" w:rsidR="00DF27C0" w:rsidRPr="007E13D2" w:rsidRDefault="00DF27C0" w:rsidP="007E13D2">
      <w:pPr>
        <w:ind w:left="851"/>
        <w:rPr>
          <w:sz w:val="24"/>
          <w:szCs w:val="24"/>
        </w:rPr>
      </w:pPr>
    </w:p>
    <w:p w14:paraId="69450E71" w14:textId="77777777" w:rsidR="009260DE" w:rsidRPr="007E13D2" w:rsidRDefault="009260DE" w:rsidP="009260DE">
      <w:pPr>
        <w:tabs>
          <w:tab w:val="left" w:pos="851"/>
        </w:tabs>
        <w:ind w:left="851" w:hanging="851"/>
        <w:rPr>
          <w:b/>
          <w:sz w:val="24"/>
          <w:szCs w:val="24"/>
        </w:rPr>
      </w:pPr>
      <w:r w:rsidRPr="007E13D2">
        <w:rPr>
          <w:b/>
          <w:sz w:val="24"/>
          <w:szCs w:val="24"/>
        </w:rPr>
        <w:t>5.2</w:t>
      </w:r>
      <w:r w:rsidRPr="007E13D2">
        <w:rPr>
          <w:b/>
          <w:sz w:val="24"/>
          <w:szCs w:val="24"/>
        </w:rPr>
        <w:tab/>
      </w:r>
      <w:proofErr w:type="spellStart"/>
      <w:r w:rsidRPr="007E13D2">
        <w:rPr>
          <w:b/>
          <w:sz w:val="24"/>
          <w:szCs w:val="24"/>
        </w:rPr>
        <w:t>Farmakokinetiske</w:t>
      </w:r>
      <w:proofErr w:type="spellEnd"/>
      <w:r w:rsidRPr="007E13D2">
        <w:rPr>
          <w:b/>
          <w:sz w:val="24"/>
          <w:szCs w:val="24"/>
        </w:rPr>
        <w:t xml:space="preserve"> egenskaber</w:t>
      </w:r>
    </w:p>
    <w:p w14:paraId="019F459E" w14:textId="77777777" w:rsidR="005306CC" w:rsidRDefault="005306CC" w:rsidP="007E13D2">
      <w:pPr>
        <w:ind w:left="851"/>
        <w:rPr>
          <w:noProof/>
          <w:sz w:val="24"/>
          <w:szCs w:val="24"/>
        </w:rPr>
      </w:pPr>
    </w:p>
    <w:p w14:paraId="6115FC6B" w14:textId="2D7521D2" w:rsidR="00392BED" w:rsidRPr="005306CC" w:rsidRDefault="00392BED" w:rsidP="007E13D2">
      <w:pPr>
        <w:ind w:left="851"/>
        <w:rPr>
          <w:iCs/>
          <w:noProof/>
          <w:sz w:val="24"/>
          <w:szCs w:val="24"/>
          <w:u w:val="single"/>
        </w:rPr>
      </w:pPr>
      <w:r w:rsidRPr="005306CC">
        <w:rPr>
          <w:noProof/>
          <w:sz w:val="24"/>
          <w:szCs w:val="24"/>
          <w:u w:val="single"/>
        </w:rPr>
        <w:t>Indgivelsesmåde</w:t>
      </w:r>
    </w:p>
    <w:p w14:paraId="23817B9A" w14:textId="77777777" w:rsidR="00392BED" w:rsidRPr="007E13D2" w:rsidRDefault="00392BED" w:rsidP="007E13D2">
      <w:pPr>
        <w:ind w:left="851"/>
        <w:rPr>
          <w:iCs/>
          <w:noProof/>
          <w:sz w:val="24"/>
          <w:szCs w:val="24"/>
        </w:rPr>
      </w:pPr>
      <w:r w:rsidRPr="007E13D2">
        <w:rPr>
          <w:noProof/>
          <w:sz w:val="24"/>
          <w:szCs w:val="24"/>
        </w:rPr>
        <w:t>Under fotoferese separeres helblodskomponenterne. Erytrocytter og overskydende plasma geninfunderes i patienten med det samme, mens buffy coat (leukocytberiget blod) og noget plasma opsamles, behandles med methoxsalen, bestråles med UVA-lys (320 til 400 nm) og geninjiceres eller geninfunderes derefter i patienten.</w:t>
      </w:r>
    </w:p>
    <w:p w14:paraId="396F778C" w14:textId="77777777" w:rsidR="00392BED" w:rsidRPr="007E13D2" w:rsidRDefault="00392BED" w:rsidP="007E13D2">
      <w:pPr>
        <w:ind w:left="851"/>
        <w:rPr>
          <w:iCs/>
          <w:noProof/>
          <w:sz w:val="24"/>
          <w:szCs w:val="24"/>
        </w:rPr>
      </w:pPr>
      <w:r w:rsidRPr="007E13D2">
        <w:rPr>
          <w:noProof/>
          <w:sz w:val="24"/>
          <w:szCs w:val="24"/>
        </w:rPr>
        <w:t>I en undersøgelse udført med 16 patienter blev den nødvendige mængde methoxsalen til ekstrakorporal anvendelse sammenlignet med den nødvendige mængde oral methoxsalen for at opnå samme niveau af aktivt stof i leukocytfraktionen. Det blev vist, at der til den ekstrakorporale metode blev anvendt mellem 1/250 og 1/500 af den orale mængde.</w:t>
      </w:r>
    </w:p>
    <w:p w14:paraId="0449FCF8" w14:textId="77777777" w:rsidR="00392BED" w:rsidRPr="007E13D2" w:rsidRDefault="00392BED" w:rsidP="007E13D2">
      <w:pPr>
        <w:ind w:left="851"/>
        <w:rPr>
          <w:iCs/>
          <w:noProof/>
          <w:sz w:val="24"/>
          <w:szCs w:val="24"/>
        </w:rPr>
      </w:pPr>
    </w:p>
    <w:p w14:paraId="257A7808" w14:textId="77777777" w:rsidR="00392BED" w:rsidRPr="005306CC" w:rsidRDefault="00392BED" w:rsidP="007E13D2">
      <w:pPr>
        <w:ind w:left="851"/>
        <w:rPr>
          <w:iCs/>
          <w:noProof/>
          <w:sz w:val="24"/>
          <w:szCs w:val="24"/>
          <w:u w:val="single"/>
        </w:rPr>
      </w:pPr>
      <w:r w:rsidRPr="005306CC">
        <w:rPr>
          <w:noProof/>
          <w:sz w:val="24"/>
          <w:szCs w:val="24"/>
          <w:u w:val="single"/>
        </w:rPr>
        <w:t>Distribution og biotransformation</w:t>
      </w:r>
    </w:p>
    <w:p w14:paraId="665B9EC0" w14:textId="77777777" w:rsidR="00392BED" w:rsidRPr="007E13D2" w:rsidRDefault="00392BED" w:rsidP="007E13D2">
      <w:pPr>
        <w:ind w:left="851"/>
        <w:rPr>
          <w:iCs/>
          <w:noProof/>
          <w:sz w:val="24"/>
          <w:szCs w:val="24"/>
        </w:rPr>
      </w:pPr>
      <w:r w:rsidRPr="007E13D2">
        <w:rPr>
          <w:noProof/>
          <w:sz w:val="24"/>
          <w:szCs w:val="24"/>
        </w:rPr>
        <w:t>Plasmahalveringstiden er ca. 2 timer.</w:t>
      </w:r>
    </w:p>
    <w:p w14:paraId="63E60F67" w14:textId="77777777" w:rsidR="00392BED" w:rsidRPr="007E13D2" w:rsidRDefault="00392BED" w:rsidP="007E13D2">
      <w:pPr>
        <w:ind w:left="851"/>
        <w:rPr>
          <w:iCs/>
          <w:noProof/>
          <w:sz w:val="24"/>
          <w:szCs w:val="24"/>
        </w:rPr>
      </w:pPr>
      <w:r w:rsidRPr="007E13D2">
        <w:rPr>
          <w:noProof/>
          <w:sz w:val="24"/>
          <w:szCs w:val="24"/>
        </w:rPr>
        <w:t>Methoxsalen metaboliseres næsten fuldstændigt i leveren ved hydroxylering og glukuronidering.</w:t>
      </w:r>
    </w:p>
    <w:p w14:paraId="0BE9D297" w14:textId="77777777" w:rsidR="00392BED" w:rsidRPr="007E13D2" w:rsidRDefault="00392BED" w:rsidP="007E13D2">
      <w:pPr>
        <w:ind w:left="851"/>
        <w:rPr>
          <w:iCs/>
          <w:noProof/>
          <w:sz w:val="24"/>
          <w:szCs w:val="24"/>
        </w:rPr>
      </w:pPr>
    </w:p>
    <w:p w14:paraId="24409B1C" w14:textId="77777777" w:rsidR="00392BED" w:rsidRPr="005306CC" w:rsidRDefault="00392BED" w:rsidP="007E13D2">
      <w:pPr>
        <w:ind w:left="851"/>
        <w:rPr>
          <w:iCs/>
          <w:noProof/>
          <w:sz w:val="24"/>
          <w:szCs w:val="24"/>
          <w:u w:val="single"/>
        </w:rPr>
      </w:pPr>
      <w:r w:rsidRPr="005306CC">
        <w:rPr>
          <w:noProof/>
          <w:sz w:val="24"/>
          <w:szCs w:val="24"/>
          <w:u w:val="single"/>
        </w:rPr>
        <w:t>Elimination</w:t>
      </w:r>
    </w:p>
    <w:p w14:paraId="5D8B5A1C" w14:textId="77777777" w:rsidR="00392BED" w:rsidRPr="007E13D2" w:rsidRDefault="00392BED" w:rsidP="007E13D2">
      <w:pPr>
        <w:ind w:left="851"/>
        <w:rPr>
          <w:sz w:val="24"/>
          <w:szCs w:val="24"/>
        </w:rPr>
      </w:pPr>
      <w:r w:rsidRPr="007E13D2">
        <w:rPr>
          <w:sz w:val="24"/>
          <w:szCs w:val="24"/>
        </w:rPr>
        <w:t>Metabolitterne elimineres overvejende gennem nyrerne. 90 % af den indgivne dosis findes i urinen efter 6 til 8 timer.</w:t>
      </w:r>
    </w:p>
    <w:p w14:paraId="460CD550" w14:textId="77777777" w:rsidR="00392BED" w:rsidRPr="007E13D2" w:rsidRDefault="00392BED" w:rsidP="007E13D2">
      <w:pPr>
        <w:ind w:left="851"/>
        <w:rPr>
          <w:sz w:val="24"/>
          <w:szCs w:val="24"/>
        </w:rPr>
      </w:pPr>
    </w:p>
    <w:p w14:paraId="1947FD9D" w14:textId="7E406D73" w:rsidR="009260DE" w:rsidRPr="007E13D2" w:rsidRDefault="00392BED" w:rsidP="00DF27C0">
      <w:pPr>
        <w:ind w:left="851"/>
        <w:rPr>
          <w:sz w:val="24"/>
          <w:szCs w:val="24"/>
        </w:rPr>
      </w:pPr>
      <w:r w:rsidRPr="007E13D2">
        <w:rPr>
          <w:sz w:val="24"/>
          <w:szCs w:val="24"/>
        </w:rPr>
        <w:t xml:space="preserve">Specifikke </w:t>
      </w:r>
      <w:proofErr w:type="spellStart"/>
      <w:r w:rsidRPr="007E13D2">
        <w:rPr>
          <w:sz w:val="24"/>
          <w:szCs w:val="24"/>
        </w:rPr>
        <w:t>farmakokinetiske</w:t>
      </w:r>
      <w:proofErr w:type="spellEnd"/>
      <w:r w:rsidRPr="007E13D2">
        <w:rPr>
          <w:sz w:val="24"/>
          <w:szCs w:val="24"/>
        </w:rPr>
        <w:t xml:space="preserve"> undersøgelser med patienter med lever- eller nyreinsufficiens, ældre patienter eller den pædiatriske population er ikke udført.</w:t>
      </w:r>
    </w:p>
    <w:p w14:paraId="79D92D79" w14:textId="77777777" w:rsidR="009260DE" w:rsidRPr="007E13D2" w:rsidRDefault="009260DE" w:rsidP="009260DE">
      <w:pPr>
        <w:tabs>
          <w:tab w:val="left" w:pos="851"/>
        </w:tabs>
        <w:ind w:left="851"/>
        <w:rPr>
          <w:sz w:val="24"/>
          <w:szCs w:val="24"/>
        </w:rPr>
      </w:pPr>
    </w:p>
    <w:p w14:paraId="1BB27910" w14:textId="77777777" w:rsidR="009260DE" w:rsidRPr="007E13D2" w:rsidRDefault="009260DE" w:rsidP="009260DE">
      <w:pPr>
        <w:tabs>
          <w:tab w:val="left" w:pos="851"/>
        </w:tabs>
        <w:ind w:left="851" w:hanging="851"/>
        <w:rPr>
          <w:b/>
          <w:sz w:val="24"/>
          <w:szCs w:val="24"/>
        </w:rPr>
      </w:pPr>
      <w:r w:rsidRPr="007E13D2">
        <w:rPr>
          <w:b/>
          <w:sz w:val="24"/>
          <w:szCs w:val="24"/>
        </w:rPr>
        <w:t>5.3</w:t>
      </w:r>
      <w:r w:rsidRPr="007E13D2">
        <w:rPr>
          <w:b/>
          <w:sz w:val="24"/>
          <w:szCs w:val="24"/>
        </w:rPr>
        <w:tab/>
        <w:t>Prækliniske sikkerhedsdata</w:t>
      </w:r>
    </w:p>
    <w:p w14:paraId="3285483B" w14:textId="77777777" w:rsidR="00392BED" w:rsidRPr="007E13D2" w:rsidRDefault="00392BED" w:rsidP="007E13D2">
      <w:pPr>
        <w:ind w:left="851"/>
        <w:rPr>
          <w:sz w:val="24"/>
          <w:szCs w:val="24"/>
        </w:rPr>
      </w:pPr>
      <w:r w:rsidRPr="007E13D2">
        <w:rPr>
          <w:sz w:val="24"/>
          <w:szCs w:val="24"/>
        </w:rPr>
        <w:t>Der blev der kun iagttaget prækliniske virkninger ved eksponeringer, som væsentligt overstiger den maksimale eksponering hos mennesker, hvilket indikerer, at disse kun har ringe relevans for den kliniske anvendelse.</w:t>
      </w:r>
    </w:p>
    <w:p w14:paraId="3E30C4D1" w14:textId="77777777" w:rsidR="00392BED" w:rsidRPr="007E13D2" w:rsidRDefault="00392BED" w:rsidP="007E13D2">
      <w:pPr>
        <w:ind w:left="851"/>
        <w:rPr>
          <w:sz w:val="24"/>
          <w:szCs w:val="24"/>
        </w:rPr>
      </w:pPr>
      <w:r w:rsidRPr="007E13D2">
        <w:rPr>
          <w:sz w:val="24"/>
          <w:szCs w:val="24"/>
        </w:rPr>
        <w:t xml:space="preserve">Kronisk administration af 12 mg/kg dagligt hos mus over 1 år har ikke ført til toksiske virkninger. Kronisk </w:t>
      </w:r>
      <w:proofErr w:type="spellStart"/>
      <w:r w:rsidRPr="007E13D2">
        <w:rPr>
          <w:sz w:val="24"/>
          <w:szCs w:val="24"/>
        </w:rPr>
        <w:t>intraperitoneal</w:t>
      </w:r>
      <w:proofErr w:type="spellEnd"/>
      <w:r w:rsidRPr="007E13D2">
        <w:rPr>
          <w:sz w:val="24"/>
          <w:szCs w:val="24"/>
        </w:rPr>
        <w:t xml:space="preserve"> administration af 4 mg </w:t>
      </w:r>
      <w:proofErr w:type="spellStart"/>
      <w:r w:rsidRPr="007E13D2">
        <w:rPr>
          <w:sz w:val="24"/>
          <w:szCs w:val="24"/>
        </w:rPr>
        <w:t>methoxsalen</w:t>
      </w:r>
      <w:proofErr w:type="spellEnd"/>
      <w:r w:rsidRPr="007E13D2">
        <w:rPr>
          <w:sz w:val="24"/>
          <w:szCs w:val="24"/>
        </w:rPr>
        <w:t xml:space="preserve"> i kombination med UV-lys (320 til 400 nm) har ført til toksiske reaktioner i hud og lever. </w:t>
      </w:r>
      <w:proofErr w:type="spellStart"/>
      <w:r w:rsidRPr="007E13D2">
        <w:rPr>
          <w:sz w:val="24"/>
          <w:szCs w:val="24"/>
        </w:rPr>
        <w:t>Oculotoksiske</w:t>
      </w:r>
      <w:proofErr w:type="spellEnd"/>
      <w:r w:rsidRPr="007E13D2">
        <w:rPr>
          <w:sz w:val="24"/>
          <w:szCs w:val="24"/>
        </w:rPr>
        <w:t xml:space="preserve"> effekter er observeret for </w:t>
      </w:r>
      <w:proofErr w:type="spellStart"/>
      <w:r w:rsidRPr="007E13D2">
        <w:rPr>
          <w:sz w:val="24"/>
          <w:szCs w:val="24"/>
        </w:rPr>
        <w:t>methoxsalen</w:t>
      </w:r>
      <w:proofErr w:type="spellEnd"/>
      <w:r w:rsidRPr="007E13D2">
        <w:rPr>
          <w:sz w:val="24"/>
          <w:szCs w:val="24"/>
        </w:rPr>
        <w:t xml:space="preserve"> i kombination med UVA-lys.</w:t>
      </w:r>
    </w:p>
    <w:p w14:paraId="6FFB6768" w14:textId="77777777" w:rsidR="00392BED" w:rsidRPr="007E13D2" w:rsidRDefault="00392BED" w:rsidP="007E13D2">
      <w:pPr>
        <w:ind w:left="851"/>
        <w:rPr>
          <w:sz w:val="24"/>
          <w:szCs w:val="24"/>
        </w:rPr>
      </w:pPr>
    </w:p>
    <w:p w14:paraId="1ABAE6B0" w14:textId="77777777" w:rsidR="00392BED" w:rsidRPr="007E13D2" w:rsidRDefault="00392BED" w:rsidP="007E13D2">
      <w:pPr>
        <w:ind w:left="851"/>
        <w:rPr>
          <w:sz w:val="24"/>
          <w:szCs w:val="24"/>
        </w:rPr>
      </w:pPr>
      <w:r w:rsidRPr="007E13D2">
        <w:rPr>
          <w:sz w:val="24"/>
          <w:szCs w:val="24"/>
        </w:rPr>
        <w:t xml:space="preserve">Potentialet for fototoksicitet er blevet grundigt undersøgt i dyremodeller. Manifestationer af fototoksiske reaktioner er blevet identificeret i huden og øjet efter oral dosering og i leveren efter </w:t>
      </w:r>
      <w:proofErr w:type="spellStart"/>
      <w:r w:rsidRPr="007E13D2">
        <w:rPr>
          <w:sz w:val="24"/>
          <w:szCs w:val="24"/>
        </w:rPr>
        <w:t>intraperitoneal</w:t>
      </w:r>
      <w:proofErr w:type="spellEnd"/>
      <w:r w:rsidRPr="007E13D2">
        <w:rPr>
          <w:sz w:val="24"/>
          <w:szCs w:val="24"/>
        </w:rPr>
        <w:t xml:space="preserve"> dosering. Undersøgelser på mennesker har vist, at fototoksiske reaktioner sandsynligvis ikke vil forekomme, medmindre systemisk eksponering udgør mindst 30 </w:t>
      </w:r>
      <w:proofErr w:type="spellStart"/>
      <w:r w:rsidRPr="007E13D2">
        <w:rPr>
          <w:sz w:val="24"/>
          <w:szCs w:val="24"/>
        </w:rPr>
        <w:t>ng</w:t>
      </w:r>
      <w:proofErr w:type="spellEnd"/>
      <w:r w:rsidRPr="007E13D2">
        <w:rPr>
          <w:sz w:val="24"/>
          <w:szCs w:val="24"/>
        </w:rPr>
        <w:t>/ml.</w:t>
      </w:r>
    </w:p>
    <w:p w14:paraId="0F30A29E" w14:textId="77777777" w:rsidR="00392BED" w:rsidRPr="007E13D2" w:rsidRDefault="00392BED" w:rsidP="007E13D2">
      <w:pPr>
        <w:ind w:left="851"/>
        <w:rPr>
          <w:sz w:val="24"/>
          <w:szCs w:val="24"/>
        </w:rPr>
      </w:pPr>
    </w:p>
    <w:p w14:paraId="57DB2F1C" w14:textId="77777777" w:rsidR="00392BED" w:rsidRPr="007E13D2" w:rsidRDefault="00392BED" w:rsidP="007E13D2">
      <w:pPr>
        <w:ind w:left="851"/>
        <w:rPr>
          <w:sz w:val="24"/>
          <w:szCs w:val="24"/>
        </w:rPr>
      </w:pPr>
      <w:r w:rsidRPr="007E13D2">
        <w:rPr>
          <w:sz w:val="24"/>
          <w:szCs w:val="24"/>
        </w:rPr>
        <w:t xml:space="preserve">Daglige doser på mellem 15 og 150 mg/kg resulterede i dosisafhængig nedsat </w:t>
      </w:r>
      <w:proofErr w:type="spellStart"/>
      <w:r w:rsidRPr="007E13D2">
        <w:rPr>
          <w:sz w:val="24"/>
          <w:szCs w:val="24"/>
        </w:rPr>
        <w:t>reproduktivitet</w:t>
      </w:r>
      <w:proofErr w:type="spellEnd"/>
      <w:r w:rsidRPr="007E13D2">
        <w:rPr>
          <w:sz w:val="24"/>
          <w:szCs w:val="24"/>
        </w:rPr>
        <w:t xml:space="preserve"> hos rotter. Fostervækst, levedygtighed og morfologisk udvikling blev negativt påvirket.</w:t>
      </w:r>
    </w:p>
    <w:p w14:paraId="0EAB295B" w14:textId="77777777" w:rsidR="00392BED" w:rsidRPr="007E13D2" w:rsidRDefault="00392BED" w:rsidP="007E13D2">
      <w:pPr>
        <w:ind w:left="851"/>
        <w:rPr>
          <w:sz w:val="24"/>
          <w:szCs w:val="24"/>
        </w:rPr>
      </w:pPr>
    </w:p>
    <w:p w14:paraId="575E35EA" w14:textId="77777777" w:rsidR="00392BED" w:rsidRPr="007E13D2" w:rsidRDefault="00392BED" w:rsidP="007E13D2">
      <w:pPr>
        <w:ind w:left="851"/>
        <w:rPr>
          <w:sz w:val="24"/>
          <w:szCs w:val="24"/>
        </w:rPr>
      </w:pPr>
      <w:r w:rsidRPr="007E13D2">
        <w:rPr>
          <w:sz w:val="24"/>
          <w:szCs w:val="24"/>
        </w:rPr>
        <w:t xml:space="preserve">Undersøgelseseksperimenter har vist, at </w:t>
      </w:r>
      <w:proofErr w:type="spellStart"/>
      <w:r w:rsidRPr="007E13D2">
        <w:rPr>
          <w:sz w:val="24"/>
          <w:szCs w:val="24"/>
        </w:rPr>
        <w:t>methoxsalen</w:t>
      </w:r>
      <w:proofErr w:type="spellEnd"/>
      <w:r w:rsidRPr="007E13D2">
        <w:rPr>
          <w:sz w:val="24"/>
          <w:szCs w:val="24"/>
        </w:rPr>
        <w:t xml:space="preserve"> kan øge modtageligheden for </w:t>
      </w:r>
      <w:proofErr w:type="spellStart"/>
      <w:r w:rsidRPr="007E13D2">
        <w:rPr>
          <w:sz w:val="24"/>
          <w:szCs w:val="24"/>
        </w:rPr>
        <w:t>hudkarcinogenese</w:t>
      </w:r>
      <w:proofErr w:type="spellEnd"/>
      <w:r w:rsidRPr="007E13D2">
        <w:rPr>
          <w:sz w:val="24"/>
          <w:szCs w:val="24"/>
        </w:rPr>
        <w:t xml:space="preserve"> som følge af eksponering for UV-lys. </w:t>
      </w:r>
      <w:proofErr w:type="spellStart"/>
      <w:r w:rsidRPr="007E13D2">
        <w:rPr>
          <w:sz w:val="24"/>
          <w:szCs w:val="24"/>
        </w:rPr>
        <w:t>Methoxsalen</w:t>
      </w:r>
      <w:proofErr w:type="spellEnd"/>
      <w:r w:rsidRPr="007E13D2">
        <w:rPr>
          <w:sz w:val="24"/>
          <w:szCs w:val="24"/>
        </w:rPr>
        <w:t xml:space="preserve"> rapporteres at have induceret en stigning i nyre-, subkutane- og lungetumorer hos hanrotter efter oral administration i doser på 37,5 og 75 mg/kg/dag i op til to år.</w:t>
      </w:r>
    </w:p>
    <w:p w14:paraId="54473224" w14:textId="77777777" w:rsidR="00392BED" w:rsidRPr="007E13D2" w:rsidRDefault="00392BED" w:rsidP="007E13D2">
      <w:pPr>
        <w:ind w:left="851"/>
        <w:rPr>
          <w:sz w:val="24"/>
          <w:szCs w:val="24"/>
        </w:rPr>
      </w:pPr>
    </w:p>
    <w:p w14:paraId="4A5B6AA4" w14:textId="77777777" w:rsidR="00392BED" w:rsidRPr="007E13D2" w:rsidRDefault="00392BED" w:rsidP="007E13D2">
      <w:pPr>
        <w:ind w:left="851"/>
        <w:rPr>
          <w:sz w:val="24"/>
          <w:szCs w:val="24"/>
        </w:rPr>
      </w:pPr>
      <w:r w:rsidRPr="007E13D2">
        <w:rPr>
          <w:sz w:val="24"/>
          <w:szCs w:val="24"/>
        </w:rPr>
        <w:t xml:space="preserve">Ikke-fotoaktiveret </w:t>
      </w:r>
      <w:proofErr w:type="spellStart"/>
      <w:r w:rsidRPr="007E13D2">
        <w:rPr>
          <w:sz w:val="24"/>
          <w:szCs w:val="24"/>
        </w:rPr>
        <w:t>methoxsalen</w:t>
      </w:r>
      <w:proofErr w:type="spellEnd"/>
      <w:r w:rsidRPr="007E13D2">
        <w:rPr>
          <w:sz w:val="24"/>
          <w:szCs w:val="24"/>
        </w:rPr>
        <w:t xml:space="preserve"> har vist sig at inducere genmutationer i bakterier såvel som kromosomale afvigelser og </w:t>
      </w:r>
      <w:proofErr w:type="spellStart"/>
      <w:r w:rsidRPr="007E13D2">
        <w:rPr>
          <w:sz w:val="24"/>
          <w:szCs w:val="24"/>
        </w:rPr>
        <w:t>søsterkromatidudvekslinger</w:t>
      </w:r>
      <w:proofErr w:type="spellEnd"/>
      <w:r w:rsidRPr="007E13D2">
        <w:rPr>
          <w:sz w:val="24"/>
          <w:szCs w:val="24"/>
        </w:rPr>
        <w:t xml:space="preserve"> i pattedyrceller.</w:t>
      </w:r>
    </w:p>
    <w:p w14:paraId="3016EE12" w14:textId="77777777" w:rsidR="00392BED" w:rsidRPr="007E13D2" w:rsidRDefault="00392BED" w:rsidP="007E13D2">
      <w:pPr>
        <w:ind w:left="851"/>
        <w:rPr>
          <w:sz w:val="24"/>
          <w:szCs w:val="24"/>
        </w:rPr>
      </w:pPr>
    </w:p>
    <w:p w14:paraId="7AB7EFDE" w14:textId="77777777" w:rsidR="00392BED" w:rsidRPr="007E13D2" w:rsidRDefault="00392BED" w:rsidP="007E13D2">
      <w:pPr>
        <w:ind w:left="851"/>
        <w:rPr>
          <w:noProof/>
          <w:sz w:val="24"/>
          <w:szCs w:val="24"/>
          <w:u w:val="single"/>
        </w:rPr>
      </w:pPr>
      <w:r w:rsidRPr="007E13D2">
        <w:rPr>
          <w:sz w:val="24"/>
          <w:szCs w:val="24"/>
        </w:rPr>
        <w:t xml:space="preserve">Baseret på dets virkningsmekanisme kan muligheden for </w:t>
      </w:r>
      <w:proofErr w:type="spellStart"/>
      <w:r w:rsidRPr="007E13D2">
        <w:rPr>
          <w:sz w:val="24"/>
          <w:szCs w:val="24"/>
        </w:rPr>
        <w:t>teratogene</w:t>
      </w:r>
      <w:proofErr w:type="spellEnd"/>
      <w:r w:rsidRPr="007E13D2">
        <w:rPr>
          <w:sz w:val="24"/>
          <w:szCs w:val="24"/>
        </w:rPr>
        <w:t xml:space="preserve"> eller embryotoksiske virkninger ikke udelukkes for </w:t>
      </w:r>
      <w:proofErr w:type="spellStart"/>
      <w:r w:rsidRPr="007E13D2">
        <w:rPr>
          <w:sz w:val="24"/>
          <w:szCs w:val="24"/>
        </w:rPr>
        <w:t>methoxsalen</w:t>
      </w:r>
      <w:proofErr w:type="spellEnd"/>
      <w:r w:rsidRPr="007E13D2">
        <w:rPr>
          <w:sz w:val="24"/>
          <w:szCs w:val="24"/>
        </w:rPr>
        <w:t>.</w:t>
      </w:r>
    </w:p>
    <w:p w14:paraId="7ACACFFE" w14:textId="77777777" w:rsidR="009260DE" w:rsidRPr="007E13D2" w:rsidRDefault="009260DE" w:rsidP="009260DE">
      <w:pPr>
        <w:tabs>
          <w:tab w:val="left" w:pos="851"/>
        </w:tabs>
        <w:ind w:left="851"/>
        <w:rPr>
          <w:sz w:val="24"/>
          <w:szCs w:val="24"/>
        </w:rPr>
      </w:pPr>
    </w:p>
    <w:p w14:paraId="519A4F9D" w14:textId="77777777" w:rsidR="009260DE" w:rsidRPr="007E13D2" w:rsidRDefault="009260DE" w:rsidP="009260DE">
      <w:pPr>
        <w:tabs>
          <w:tab w:val="left" w:pos="851"/>
        </w:tabs>
        <w:ind w:left="851"/>
        <w:rPr>
          <w:sz w:val="24"/>
          <w:szCs w:val="24"/>
        </w:rPr>
      </w:pPr>
    </w:p>
    <w:p w14:paraId="27ED1C1E" w14:textId="77777777" w:rsidR="009260DE" w:rsidRPr="007E13D2" w:rsidRDefault="009260DE" w:rsidP="009260DE">
      <w:pPr>
        <w:tabs>
          <w:tab w:val="left" w:pos="851"/>
        </w:tabs>
        <w:ind w:left="851" w:hanging="851"/>
        <w:rPr>
          <w:b/>
          <w:sz w:val="24"/>
          <w:szCs w:val="24"/>
        </w:rPr>
      </w:pPr>
      <w:r w:rsidRPr="007E13D2">
        <w:rPr>
          <w:b/>
          <w:sz w:val="24"/>
          <w:szCs w:val="24"/>
        </w:rPr>
        <w:t>6.</w:t>
      </w:r>
      <w:r w:rsidRPr="007E13D2">
        <w:rPr>
          <w:b/>
          <w:sz w:val="24"/>
          <w:szCs w:val="24"/>
        </w:rPr>
        <w:tab/>
        <w:t>FARMACEUTISKE OPLYSNINGER</w:t>
      </w:r>
    </w:p>
    <w:p w14:paraId="4E5C7BD2" w14:textId="77777777" w:rsidR="009260DE" w:rsidRPr="007E13D2" w:rsidRDefault="009260DE" w:rsidP="009260DE">
      <w:pPr>
        <w:tabs>
          <w:tab w:val="left" w:pos="851"/>
        </w:tabs>
        <w:ind w:left="851"/>
        <w:rPr>
          <w:sz w:val="24"/>
          <w:szCs w:val="24"/>
        </w:rPr>
      </w:pPr>
    </w:p>
    <w:p w14:paraId="4D0707B9" w14:textId="77777777" w:rsidR="009260DE" w:rsidRPr="007E13D2" w:rsidRDefault="009260DE" w:rsidP="009260DE">
      <w:pPr>
        <w:tabs>
          <w:tab w:val="left" w:pos="851"/>
        </w:tabs>
        <w:ind w:left="851" w:hanging="851"/>
        <w:rPr>
          <w:b/>
          <w:sz w:val="24"/>
          <w:szCs w:val="24"/>
        </w:rPr>
      </w:pPr>
      <w:r w:rsidRPr="007E13D2">
        <w:rPr>
          <w:b/>
          <w:sz w:val="24"/>
          <w:szCs w:val="24"/>
        </w:rPr>
        <w:t>6.1</w:t>
      </w:r>
      <w:r w:rsidRPr="007E13D2">
        <w:rPr>
          <w:b/>
          <w:sz w:val="24"/>
          <w:szCs w:val="24"/>
        </w:rPr>
        <w:tab/>
        <w:t>Hjælpestoffer</w:t>
      </w:r>
    </w:p>
    <w:p w14:paraId="265135D5" w14:textId="77777777" w:rsidR="00392BED" w:rsidRPr="007E13D2" w:rsidRDefault="00392BED" w:rsidP="007E13D2">
      <w:pPr>
        <w:ind w:left="851"/>
        <w:rPr>
          <w:noProof/>
          <w:sz w:val="24"/>
          <w:szCs w:val="24"/>
        </w:rPr>
      </w:pPr>
      <w:r w:rsidRPr="007E13D2">
        <w:rPr>
          <w:noProof/>
          <w:sz w:val="24"/>
          <w:szCs w:val="24"/>
        </w:rPr>
        <w:t>Natriumchlorid</w:t>
      </w:r>
    </w:p>
    <w:p w14:paraId="148AFEF4" w14:textId="77777777" w:rsidR="00392BED" w:rsidRPr="007E13D2" w:rsidRDefault="00392BED" w:rsidP="007E13D2">
      <w:pPr>
        <w:ind w:left="851"/>
        <w:rPr>
          <w:noProof/>
          <w:sz w:val="24"/>
          <w:szCs w:val="24"/>
        </w:rPr>
      </w:pPr>
      <w:r w:rsidRPr="007E13D2">
        <w:rPr>
          <w:noProof/>
          <w:sz w:val="24"/>
          <w:szCs w:val="24"/>
        </w:rPr>
        <w:t>Ethanol 96 %</w:t>
      </w:r>
    </w:p>
    <w:p w14:paraId="33639090" w14:textId="77777777" w:rsidR="00392BED" w:rsidRPr="007E13D2" w:rsidRDefault="00392BED" w:rsidP="007E13D2">
      <w:pPr>
        <w:ind w:left="851"/>
        <w:rPr>
          <w:noProof/>
          <w:sz w:val="24"/>
          <w:szCs w:val="24"/>
        </w:rPr>
      </w:pPr>
      <w:r w:rsidRPr="007E13D2">
        <w:rPr>
          <w:noProof/>
          <w:sz w:val="24"/>
          <w:szCs w:val="24"/>
        </w:rPr>
        <w:t>Vand til injektionsvæsker</w:t>
      </w:r>
    </w:p>
    <w:p w14:paraId="60FD3329" w14:textId="77777777" w:rsidR="009260DE" w:rsidRPr="007E13D2" w:rsidRDefault="009260DE" w:rsidP="009260DE">
      <w:pPr>
        <w:tabs>
          <w:tab w:val="left" w:pos="851"/>
        </w:tabs>
        <w:ind w:left="851"/>
        <w:rPr>
          <w:sz w:val="24"/>
          <w:szCs w:val="24"/>
        </w:rPr>
      </w:pPr>
    </w:p>
    <w:p w14:paraId="6CA09B16" w14:textId="77777777" w:rsidR="009260DE" w:rsidRPr="007E13D2" w:rsidRDefault="009260DE" w:rsidP="009260DE">
      <w:pPr>
        <w:tabs>
          <w:tab w:val="left" w:pos="851"/>
        </w:tabs>
        <w:ind w:left="851" w:hanging="851"/>
        <w:rPr>
          <w:b/>
          <w:sz w:val="24"/>
          <w:szCs w:val="24"/>
        </w:rPr>
      </w:pPr>
      <w:r w:rsidRPr="007E13D2">
        <w:rPr>
          <w:b/>
          <w:sz w:val="24"/>
          <w:szCs w:val="24"/>
        </w:rPr>
        <w:t>6.2</w:t>
      </w:r>
      <w:r w:rsidRPr="007E13D2">
        <w:rPr>
          <w:b/>
          <w:sz w:val="24"/>
          <w:szCs w:val="24"/>
        </w:rPr>
        <w:tab/>
        <w:t>Uforligeligheder</w:t>
      </w:r>
    </w:p>
    <w:p w14:paraId="5AA86BF2" w14:textId="77777777" w:rsidR="00392BED" w:rsidRPr="007E13D2" w:rsidRDefault="00392BED" w:rsidP="007E13D2">
      <w:pPr>
        <w:ind w:left="851"/>
        <w:rPr>
          <w:sz w:val="24"/>
          <w:szCs w:val="24"/>
        </w:rPr>
      </w:pPr>
      <w:proofErr w:type="spellStart"/>
      <w:r w:rsidRPr="007E13D2">
        <w:rPr>
          <w:sz w:val="24"/>
          <w:szCs w:val="24"/>
        </w:rPr>
        <w:t>Methoxsalen</w:t>
      </w:r>
      <w:proofErr w:type="spellEnd"/>
      <w:r w:rsidRPr="007E13D2">
        <w:rPr>
          <w:sz w:val="24"/>
          <w:szCs w:val="24"/>
        </w:rPr>
        <w:t xml:space="preserve"> kan absorbere på PVC og andre syntetiske materialer.</w:t>
      </w:r>
    </w:p>
    <w:p w14:paraId="0A41F809" w14:textId="4CFF9974" w:rsidR="00392BED" w:rsidRPr="007E13D2" w:rsidRDefault="00392BED" w:rsidP="007E13D2">
      <w:pPr>
        <w:ind w:left="851"/>
        <w:rPr>
          <w:sz w:val="24"/>
          <w:szCs w:val="24"/>
        </w:rPr>
      </w:pPr>
      <w:r w:rsidRPr="007E13D2">
        <w:rPr>
          <w:sz w:val="24"/>
          <w:szCs w:val="24"/>
        </w:rPr>
        <w:t xml:space="preserve">Når </w:t>
      </w: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-opløsningen er suget op i en plastsprøjte, skal den straks injiceres i fotoaktiveringsposen.</w:t>
      </w:r>
    </w:p>
    <w:p w14:paraId="1FD531EF" w14:textId="77777777" w:rsidR="00392BED" w:rsidRPr="007E13D2" w:rsidRDefault="00392BED" w:rsidP="007E13D2">
      <w:pPr>
        <w:ind w:left="851"/>
        <w:rPr>
          <w:sz w:val="24"/>
          <w:szCs w:val="24"/>
        </w:rPr>
      </w:pPr>
    </w:p>
    <w:p w14:paraId="50E96E4C" w14:textId="77777777" w:rsidR="00392BED" w:rsidRPr="007E13D2" w:rsidRDefault="00392BED" w:rsidP="007E13D2">
      <w:pPr>
        <w:ind w:left="851"/>
        <w:rPr>
          <w:sz w:val="24"/>
          <w:szCs w:val="24"/>
        </w:rPr>
      </w:pPr>
      <w:r w:rsidRPr="007E13D2">
        <w:rPr>
          <w:sz w:val="24"/>
          <w:szCs w:val="24"/>
        </w:rPr>
        <w:t>Dette lægemiddel må ikke blandes med andre lægemidler eller infusionsopløsninger.</w:t>
      </w:r>
    </w:p>
    <w:p w14:paraId="5A413C65" w14:textId="77777777" w:rsidR="009260DE" w:rsidRPr="007E13D2" w:rsidRDefault="009260DE" w:rsidP="009260DE">
      <w:pPr>
        <w:tabs>
          <w:tab w:val="left" w:pos="851"/>
        </w:tabs>
        <w:ind w:left="851"/>
        <w:rPr>
          <w:sz w:val="24"/>
          <w:szCs w:val="24"/>
        </w:rPr>
      </w:pPr>
    </w:p>
    <w:p w14:paraId="13B6E1EF" w14:textId="77777777" w:rsidR="009260DE" w:rsidRPr="007E13D2" w:rsidRDefault="009260DE" w:rsidP="009260DE">
      <w:pPr>
        <w:tabs>
          <w:tab w:val="left" w:pos="851"/>
        </w:tabs>
        <w:ind w:left="851" w:hanging="851"/>
        <w:rPr>
          <w:b/>
          <w:sz w:val="24"/>
          <w:szCs w:val="24"/>
        </w:rPr>
      </w:pPr>
      <w:r w:rsidRPr="007E13D2">
        <w:rPr>
          <w:b/>
          <w:sz w:val="24"/>
          <w:szCs w:val="24"/>
        </w:rPr>
        <w:t>6.3</w:t>
      </w:r>
      <w:r w:rsidRPr="007E13D2">
        <w:rPr>
          <w:b/>
          <w:sz w:val="24"/>
          <w:szCs w:val="24"/>
        </w:rPr>
        <w:tab/>
        <w:t>Opbevaringstid</w:t>
      </w:r>
    </w:p>
    <w:p w14:paraId="6A064F3C" w14:textId="5D151BAC" w:rsidR="009260DE" w:rsidRPr="007E13D2" w:rsidRDefault="00392BED" w:rsidP="00DF27C0">
      <w:pPr>
        <w:ind w:firstLine="851"/>
        <w:rPr>
          <w:sz w:val="24"/>
          <w:szCs w:val="24"/>
        </w:rPr>
      </w:pPr>
      <w:r w:rsidRPr="007E13D2">
        <w:rPr>
          <w:sz w:val="24"/>
          <w:szCs w:val="24"/>
        </w:rPr>
        <w:t>5 år</w:t>
      </w:r>
      <w:r w:rsidR="00DF27C0">
        <w:rPr>
          <w:sz w:val="24"/>
          <w:szCs w:val="24"/>
        </w:rPr>
        <w:t>.</w:t>
      </w:r>
    </w:p>
    <w:p w14:paraId="0F1AA098" w14:textId="77777777" w:rsidR="009260DE" w:rsidRPr="007E13D2" w:rsidRDefault="009260DE" w:rsidP="009260DE">
      <w:pPr>
        <w:tabs>
          <w:tab w:val="left" w:pos="851"/>
        </w:tabs>
        <w:ind w:left="851"/>
        <w:rPr>
          <w:sz w:val="24"/>
          <w:szCs w:val="24"/>
        </w:rPr>
      </w:pPr>
    </w:p>
    <w:p w14:paraId="0B8F9AFF" w14:textId="77777777" w:rsidR="009260DE" w:rsidRPr="007E13D2" w:rsidRDefault="009260DE" w:rsidP="009260DE">
      <w:pPr>
        <w:tabs>
          <w:tab w:val="left" w:pos="851"/>
        </w:tabs>
        <w:ind w:left="851" w:hanging="851"/>
        <w:rPr>
          <w:b/>
          <w:sz w:val="24"/>
          <w:szCs w:val="24"/>
        </w:rPr>
      </w:pPr>
      <w:r w:rsidRPr="007E13D2">
        <w:rPr>
          <w:b/>
          <w:sz w:val="24"/>
          <w:szCs w:val="24"/>
        </w:rPr>
        <w:t>6.4</w:t>
      </w:r>
      <w:r w:rsidRPr="007E13D2">
        <w:rPr>
          <w:b/>
          <w:sz w:val="24"/>
          <w:szCs w:val="24"/>
        </w:rPr>
        <w:tab/>
        <w:t>Særlige opbevaringsforhold</w:t>
      </w:r>
    </w:p>
    <w:p w14:paraId="54C55A84" w14:textId="77777777" w:rsidR="00392BED" w:rsidRPr="007E13D2" w:rsidRDefault="00392BED" w:rsidP="007E13D2">
      <w:pPr>
        <w:ind w:left="851"/>
        <w:rPr>
          <w:noProof/>
          <w:sz w:val="24"/>
          <w:szCs w:val="24"/>
        </w:rPr>
      </w:pPr>
      <w:r w:rsidRPr="007E13D2">
        <w:rPr>
          <w:noProof/>
          <w:sz w:val="24"/>
          <w:szCs w:val="24"/>
        </w:rPr>
        <w:t xml:space="preserve">Opbevares i den originale emballage for at beskytte mod lys. </w:t>
      </w:r>
      <w:r w:rsidRPr="007E13D2">
        <w:rPr>
          <w:sz w:val="24"/>
          <w:szCs w:val="24"/>
        </w:rPr>
        <w:t>Dette lægemiddel skal bruges umiddelbart efter åbning.</w:t>
      </w:r>
    </w:p>
    <w:p w14:paraId="0CB21433" w14:textId="77777777" w:rsidR="009260DE" w:rsidRPr="007E13D2" w:rsidRDefault="009260DE" w:rsidP="009260DE">
      <w:pPr>
        <w:tabs>
          <w:tab w:val="left" w:pos="851"/>
        </w:tabs>
        <w:ind w:left="851"/>
        <w:rPr>
          <w:sz w:val="24"/>
          <w:szCs w:val="24"/>
        </w:rPr>
      </w:pPr>
    </w:p>
    <w:p w14:paraId="26BD91E4" w14:textId="77777777" w:rsidR="009260DE" w:rsidRPr="007E13D2" w:rsidRDefault="009260DE" w:rsidP="009260DE">
      <w:pPr>
        <w:tabs>
          <w:tab w:val="left" w:pos="851"/>
        </w:tabs>
        <w:ind w:left="851" w:hanging="851"/>
        <w:rPr>
          <w:b/>
          <w:sz w:val="24"/>
          <w:szCs w:val="24"/>
        </w:rPr>
      </w:pPr>
      <w:r w:rsidRPr="007E13D2">
        <w:rPr>
          <w:b/>
          <w:sz w:val="24"/>
          <w:szCs w:val="24"/>
        </w:rPr>
        <w:t>6.5</w:t>
      </w:r>
      <w:r w:rsidRPr="007E13D2">
        <w:rPr>
          <w:b/>
          <w:sz w:val="24"/>
          <w:szCs w:val="24"/>
        </w:rPr>
        <w:tab/>
        <w:t>Emballagetyper og pakningsstørrelser</w:t>
      </w:r>
    </w:p>
    <w:p w14:paraId="557378FF" w14:textId="77777777" w:rsidR="00392BED" w:rsidRPr="007E13D2" w:rsidRDefault="00392BED" w:rsidP="007E13D2">
      <w:pPr>
        <w:ind w:left="851"/>
        <w:rPr>
          <w:sz w:val="24"/>
          <w:szCs w:val="24"/>
        </w:rPr>
      </w:pPr>
      <w:r w:rsidRPr="007E13D2">
        <w:rPr>
          <w:sz w:val="24"/>
          <w:szCs w:val="24"/>
        </w:rPr>
        <w:t>Brun glasampul, 5 ml</w:t>
      </w:r>
    </w:p>
    <w:p w14:paraId="49F5A40E" w14:textId="77777777" w:rsidR="00392BED" w:rsidRPr="007E13D2" w:rsidRDefault="00392BED" w:rsidP="007E13D2">
      <w:pPr>
        <w:ind w:left="851"/>
        <w:rPr>
          <w:sz w:val="24"/>
          <w:szCs w:val="24"/>
        </w:rPr>
      </w:pPr>
      <w:r w:rsidRPr="007E13D2">
        <w:rPr>
          <w:sz w:val="24"/>
          <w:szCs w:val="24"/>
        </w:rPr>
        <w:t xml:space="preserve">Pakningsstørrelser: 50 ampuller </w:t>
      </w:r>
    </w:p>
    <w:p w14:paraId="7F7DEF6A" w14:textId="77777777" w:rsidR="009260DE" w:rsidRPr="007E13D2" w:rsidRDefault="009260DE" w:rsidP="009260DE">
      <w:pPr>
        <w:tabs>
          <w:tab w:val="left" w:pos="851"/>
        </w:tabs>
        <w:ind w:left="851"/>
        <w:rPr>
          <w:sz w:val="24"/>
          <w:szCs w:val="24"/>
        </w:rPr>
      </w:pPr>
    </w:p>
    <w:p w14:paraId="1D56C440" w14:textId="77777777" w:rsidR="009260DE" w:rsidRPr="007E13D2" w:rsidRDefault="009260DE" w:rsidP="009260DE">
      <w:pPr>
        <w:tabs>
          <w:tab w:val="left" w:pos="851"/>
        </w:tabs>
        <w:ind w:left="851" w:hanging="851"/>
        <w:rPr>
          <w:b/>
          <w:sz w:val="24"/>
          <w:szCs w:val="24"/>
        </w:rPr>
      </w:pPr>
      <w:r w:rsidRPr="007E13D2">
        <w:rPr>
          <w:b/>
          <w:sz w:val="24"/>
          <w:szCs w:val="24"/>
        </w:rPr>
        <w:t>6.6</w:t>
      </w:r>
      <w:r w:rsidRPr="007E13D2">
        <w:rPr>
          <w:b/>
          <w:sz w:val="24"/>
          <w:szCs w:val="24"/>
        </w:rPr>
        <w:tab/>
        <w:t>Regler for destruktion og anden håndtering</w:t>
      </w:r>
    </w:p>
    <w:p w14:paraId="3AB908C7" w14:textId="768B27B0" w:rsidR="00392BED" w:rsidRPr="007E13D2" w:rsidRDefault="00392BED" w:rsidP="007E13D2">
      <w:pPr>
        <w:ind w:left="851"/>
        <w:rPr>
          <w:sz w:val="24"/>
          <w:szCs w:val="24"/>
        </w:rPr>
      </w:pPr>
      <w:proofErr w:type="spellStart"/>
      <w:r w:rsidRPr="007E13D2">
        <w:rPr>
          <w:sz w:val="24"/>
          <w:szCs w:val="24"/>
        </w:rPr>
        <w:t>Methoxsalen</w:t>
      </w:r>
      <w:proofErr w:type="spellEnd"/>
      <w:r w:rsidRPr="007E13D2">
        <w:rPr>
          <w:sz w:val="24"/>
          <w:szCs w:val="24"/>
        </w:rPr>
        <w:t xml:space="preserve"> </w:t>
      </w:r>
      <w:r w:rsidR="000F1080">
        <w:rPr>
          <w:sz w:val="24"/>
          <w:szCs w:val="24"/>
        </w:rPr>
        <w:t>"</w:t>
      </w:r>
      <w:proofErr w:type="spellStart"/>
      <w:r w:rsidRPr="007E13D2">
        <w:rPr>
          <w:sz w:val="24"/>
          <w:szCs w:val="24"/>
        </w:rPr>
        <w:t>Macopharma</w:t>
      </w:r>
      <w:proofErr w:type="spellEnd"/>
      <w:r w:rsidR="000F1080">
        <w:rPr>
          <w:sz w:val="24"/>
          <w:szCs w:val="24"/>
        </w:rPr>
        <w:t>"</w:t>
      </w:r>
      <w:r w:rsidRPr="007E13D2">
        <w:rPr>
          <w:sz w:val="24"/>
          <w:szCs w:val="24"/>
        </w:rPr>
        <w:t xml:space="preserve"> må ikke fortyndes.</w:t>
      </w:r>
    </w:p>
    <w:p w14:paraId="67927C14" w14:textId="77777777" w:rsidR="00392BED" w:rsidRPr="007E13D2" w:rsidRDefault="00392BED" w:rsidP="007E13D2">
      <w:pPr>
        <w:ind w:left="851"/>
        <w:rPr>
          <w:sz w:val="24"/>
          <w:szCs w:val="24"/>
        </w:rPr>
      </w:pPr>
      <w:r w:rsidRPr="007E13D2">
        <w:rPr>
          <w:sz w:val="24"/>
          <w:szCs w:val="24"/>
        </w:rPr>
        <w:t>Indholdet af ampullen må ikke injiceres direkte i patienten. Se også pkt. 4.2</w:t>
      </w:r>
    </w:p>
    <w:p w14:paraId="79AEF789" w14:textId="77777777" w:rsidR="00392BED" w:rsidRPr="007E13D2" w:rsidRDefault="00392BED" w:rsidP="007E13D2">
      <w:pPr>
        <w:ind w:left="851"/>
        <w:rPr>
          <w:sz w:val="24"/>
          <w:szCs w:val="24"/>
        </w:rPr>
      </w:pPr>
    </w:p>
    <w:p w14:paraId="485B2EAB" w14:textId="77777777" w:rsidR="00392BED" w:rsidRPr="007E13D2" w:rsidRDefault="00392BED" w:rsidP="007E13D2">
      <w:pPr>
        <w:ind w:left="851"/>
        <w:rPr>
          <w:sz w:val="24"/>
          <w:szCs w:val="24"/>
        </w:rPr>
      </w:pPr>
      <w:r w:rsidRPr="007E13D2">
        <w:rPr>
          <w:sz w:val="24"/>
          <w:szCs w:val="24"/>
        </w:rPr>
        <w:t>Ikke anvendt lægemiddel samt affald heraf skal bortskaffes i henhold til lokale retningslinjer.</w:t>
      </w:r>
    </w:p>
    <w:p w14:paraId="1539B56F" w14:textId="77777777" w:rsidR="009260DE" w:rsidRPr="007E13D2" w:rsidRDefault="009260DE" w:rsidP="000730CA">
      <w:pPr>
        <w:tabs>
          <w:tab w:val="left" w:pos="851"/>
        </w:tabs>
        <w:ind w:left="851"/>
        <w:rPr>
          <w:sz w:val="24"/>
          <w:szCs w:val="24"/>
        </w:rPr>
      </w:pPr>
    </w:p>
    <w:p w14:paraId="61F22961" w14:textId="77777777" w:rsidR="009260DE" w:rsidRPr="007E13D2" w:rsidRDefault="009260DE" w:rsidP="009260DE">
      <w:pPr>
        <w:tabs>
          <w:tab w:val="left" w:pos="851"/>
        </w:tabs>
        <w:ind w:left="851" w:hanging="851"/>
        <w:rPr>
          <w:b/>
          <w:sz w:val="24"/>
          <w:szCs w:val="24"/>
        </w:rPr>
      </w:pPr>
      <w:r w:rsidRPr="007E13D2">
        <w:rPr>
          <w:b/>
          <w:sz w:val="24"/>
          <w:szCs w:val="24"/>
        </w:rPr>
        <w:t>7.</w:t>
      </w:r>
      <w:r w:rsidRPr="007E13D2">
        <w:rPr>
          <w:b/>
          <w:sz w:val="24"/>
          <w:szCs w:val="24"/>
        </w:rPr>
        <w:tab/>
        <w:t>INDEHAVER AF MARKEDSFØRINGSTILLADELSEN</w:t>
      </w:r>
    </w:p>
    <w:p w14:paraId="222A6813" w14:textId="4D9D9350" w:rsidR="009260DE" w:rsidRPr="007E13D2" w:rsidRDefault="00295591" w:rsidP="009260DE">
      <w:pPr>
        <w:tabs>
          <w:tab w:val="left" w:pos="851"/>
        </w:tabs>
        <w:ind w:left="851"/>
        <w:rPr>
          <w:sz w:val="24"/>
          <w:szCs w:val="24"/>
        </w:rPr>
      </w:pPr>
      <w:r w:rsidRPr="007E13D2">
        <w:rPr>
          <w:sz w:val="24"/>
          <w:szCs w:val="24"/>
        </w:rPr>
        <w:t>Maco Pharma</w:t>
      </w:r>
    </w:p>
    <w:p w14:paraId="31293117" w14:textId="6F92D348" w:rsidR="00EF0ECF" w:rsidRPr="007E13D2" w:rsidRDefault="00EF0ECF" w:rsidP="009260DE">
      <w:pPr>
        <w:tabs>
          <w:tab w:val="left" w:pos="851"/>
        </w:tabs>
        <w:ind w:left="851"/>
        <w:rPr>
          <w:sz w:val="24"/>
          <w:szCs w:val="24"/>
        </w:rPr>
      </w:pPr>
      <w:r w:rsidRPr="007E13D2">
        <w:rPr>
          <w:sz w:val="24"/>
          <w:szCs w:val="24"/>
        </w:rPr>
        <w:t xml:space="preserve">Rue </w:t>
      </w:r>
      <w:proofErr w:type="spellStart"/>
      <w:r w:rsidRPr="007E13D2">
        <w:rPr>
          <w:sz w:val="24"/>
          <w:szCs w:val="24"/>
        </w:rPr>
        <w:t>Lorthiois</w:t>
      </w:r>
      <w:proofErr w:type="spellEnd"/>
    </w:p>
    <w:p w14:paraId="6EC058B4" w14:textId="438475F3" w:rsidR="00EF0ECF" w:rsidRPr="007E13D2" w:rsidRDefault="00EF0ECF" w:rsidP="009260DE">
      <w:pPr>
        <w:tabs>
          <w:tab w:val="left" w:pos="851"/>
        </w:tabs>
        <w:ind w:left="851"/>
        <w:rPr>
          <w:sz w:val="24"/>
          <w:szCs w:val="24"/>
        </w:rPr>
      </w:pPr>
      <w:r w:rsidRPr="007E13D2">
        <w:rPr>
          <w:sz w:val="24"/>
          <w:szCs w:val="24"/>
        </w:rPr>
        <w:t xml:space="preserve">59420 </w:t>
      </w:r>
      <w:proofErr w:type="spellStart"/>
      <w:r w:rsidRPr="007E13D2">
        <w:rPr>
          <w:sz w:val="24"/>
          <w:szCs w:val="24"/>
        </w:rPr>
        <w:t>Mouvaux</w:t>
      </w:r>
      <w:proofErr w:type="spellEnd"/>
    </w:p>
    <w:p w14:paraId="4BADBE73" w14:textId="55C72849" w:rsidR="00EF0ECF" w:rsidRPr="007E13D2" w:rsidRDefault="00EF0ECF" w:rsidP="009260DE">
      <w:pPr>
        <w:tabs>
          <w:tab w:val="left" w:pos="851"/>
        </w:tabs>
        <w:ind w:left="851"/>
        <w:rPr>
          <w:sz w:val="24"/>
          <w:szCs w:val="24"/>
        </w:rPr>
      </w:pPr>
      <w:r w:rsidRPr="007E13D2">
        <w:rPr>
          <w:sz w:val="24"/>
          <w:szCs w:val="24"/>
        </w:rPr>
        <w:t>Frankrig</w:t>
      </w:r>
    </w:p>
    <w:p w14:paraId="4FE761B7" w14:textId="77777777" w:rsidR="009260DE" w:rsidRPr="007E13D2" w:rsidRDefault="009260DE" w:rsidP="009260DE">
      <w:pPr>
        <w:tabs>
          <w:tab w:val="left" w:pos="851"/>
        </w:tabs>
        <w:ind w:left="851"/>
        <w:rPr>
          <w:sz w:val="24"/>
          <w:szCs w:val="24"/>
        </w:rPr>
      </w:pPr>
    </w:p>
    <w:p w14:paraId="7A9C87E3" w14:textId="77777777" w:rsidR="009260DE" w:rsidRPr="007E13D2" w:rsidRDefault="009260DE" w:rsidP="009260DE">
      <w:pPr>
        <w:tabs>
          <w:tab w:val="left" w:pos="851"/>
        </w:tabs>
        <w:ind w:left="851" w:hanging="851"/>
        <w:rPr>
          <w:b/>
          <w:sz w:val="24"/>
          <w:szCs w:val="24"/>
        </w:rPr>
      </w:pPr>
      <w:r w:rsidRPr="007E13D2">
        <w:rPr>
          <w:b/>
          <w:sz w:val="24"/>
          <w:szCs w:val="24"/>
        </w:rPr>
        <w:t>8.</w:t>
      </w:r>
      <w:r w:rsidRPr="007E13D2">
        <w:rPr>
          <w:b/>
          <w:sz w:val="24"/>
          <w:szCs w:val="24"/>
        </w:rPr>
        <w:tab/>
        <w:t>MARKEDSFØRINGSTILLADELSESNUMMER (NUMRE)</w:t>
      </w:r>
    </w:p>
    <w:p w14:paraId="62160A92" w14:textId="0E72D272" w:rsidR="009260DE" w:rsidRPr="007E13D2" w:rsidRDefault="00DC20E4" w:rsidP="009260DE">
      <w:pPr>
        <w:tabs>
          <w:tab w:val="left" w:pos="851"/>
        </w:tabs>
        <w:ind w:left="851"/>
        <w:rPr>
          <w:sz w:val="24"/>
          <w:szCs w:val="24"/>
        </w:rPr>
      </w:pPr>
      <w:r w:rsidRPr="007E13D2">
        <w:rPr>
          <w:sz w:val="24"/>
          <w:szCs w:val="24"/>
        </w:rPr>
        <w:t>64583</w:t>
      </w:r>
    </w:p>
    <w:p w14:paraId="02A06DAB" w14:textId="77777777" w:rsidR="009260DE" w:rsidRPr="007E13D2" w:rsidRDefault="009260DE" w:rsidP="009260DE">
      <w:pPr>
        <w:tabs>
          <w:tab w:val="left" w:pos="851"/>
        </w:tabs>
        <w:ind w:left="851"/>
        <w:jc w:val="both"/>
        <w:rPr>
          <w:sz w:val="24"/>
          <w:szCs w:val="24"/>
        </w:rPr>
      </w:pPr>
    </w:p>
    <w:p w14:paraId="5F9BD871" w14:textId="77777777" w:rsidR="009260DE" w:rsidRPr="007E13D2" w:rsidRDefault="009260DE" w:rsidP="009260DE">
      <w:pPr>
        <w:tabs>
          <w:tab w:val="left" w:pos="851"/>
        </w:tabs>
        <w:ind w:left="851" w:hanging="851"/>
        <w:rPr>
          <w:b/>
          <w:sz w:val="24"/>
          <w:szCs w:val="24"/>
        </w:rPr>
      </w:pPr>
      <w:r w:rsidRPr="007E13D2">
        <w:rPr>
          <w:b/>
          <w:sz w:val="24"/>
          <w:szCs w:val="24"/>
        </w:rPr>
        <w:t>9.</w:t>
      </w:r>
      <w:r w:rsidRPr="007E13D2">
        <w:rPr>
          <w:b/>
          <w:sz w:val="24"/>
          <w:szCs w:val="24"/>
        </w:rPr>
        <w:tab/>
        <w:t>DATO FOR FØRSTE MARKEDSFØRINGSTILLADELSE</w:t>
      </w:r>
    </w:p>
    <w:p w14:paraId="78CB3E0B" w14:textId="1CAA2C64" w:rsidR="009260DE" w:rsidRPr="007E13D2" w:rsidRDefault="0003147B" w:rsidP="009260DE">
      <w:pPr>
        <w:tabs>
          <w:tab w:val="left" w:pos="851"/>
        </w:tabs>
        <w:ind w:left="851"/>
        <w:rPr>
          <w:sz w:val="24"/>
          <w:szCs w:val="24"/>
        </w:rPr>
      </w:pPr>
      <w:r>
        <w:rPr>
          <w:sz w:val="24"/>
          <w:szCs w:val="24"/>
        </w:rPr>
        <w:t>21. december 2021</w:t>
      </w:r>
    </w:p>
    <w:p w14:paraId="2818186B" w14:textId="77777777" w:rsidR="009260DE" w:rsidRPr="007E13D2" w:rsidRDefault="009260DE" w:rsidP="009260DE">
      <w:pPr>
        <w:tabs>
          <w:tab w:val="left" w:pos="851"/>
        </w:tabs>
        <w:ind w:left="851"/>
        <w:rPr>
          <w:sz w:val="24"/>
          <w:szCs w:val="24"/>
        </w:rPr>
      </w:pPr>
    </w:p>
    <w:p w14:paraId="3F6D946B" w14:textId="77777777" w:rsidR="009260DE" w:rsidRPr="007E13D2" w:rsidRDefault="009260DE" w:rsidP="009260DE">
      <w:pPr>
        <w:tabs>
          <w:tab w:val="left" w:pos="851"/>
        </w:tabs>
        <w:ind w:left="851" w:hanging="851"/>
        <w:rPr>
          <w:b/>
          <w:sz w:val="24"/>
          <w:szCs w:val="24"/>
        </w:rPr>
      </w:pPr>
      <w:r w:rsidRPr="007E13D2">
        <w:rPr>
          <w:b/>
          <w:sz w:val="24"/>
          <w:szCs w:val="24"/>
        </w:rPr>
        <w:t>10.</w:t>
      </w:r>
      <w:r w:rsidRPr="007E13D2">
        <w:rPr>
          <w:b/>
          <w:sz w:val="24"/>
          <w:szCs w:val="24"/>
        </w:rPr>
        <w:tab/>
        <w:t>DATO FOR ÆNDRING AF TEKSTEN</w:t>
      </w:r>
    </w:p>
    <w:p w14:paraId="69E394A6" w14:textId="37E26B1E" w:rsidR="009260DE" w:rsidRPr="007E13D2" w:rsidRDefault="00DC20E4" w:rsidP="009260DE">
      <w:pPr>
        <w:tabs>
          <w:tab w:val="left" w:pos="851"/>
        </w:tabs>
        <w:ind w:left="851"/>
        <w:rPr>
          <w:sz w:val="24"/>
          <w:szCs w:val="24"/>
        </w:rPr>
      </w:pPr>
      <w:r w:rsidRPr="007E13D2">
        <w:rPr>
          <w:sz w:val="24"/>
          <w:szCs w:val="24"/>
        </w:rPr>
        <w:t>-</w:t>
      </w:r>
    </w:p>
    <w:sectPr w:rsidR="009260DE" w:rsidRPr="007E13D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7880B" w14:textId="77777777" w:rsidR="00E76E38" w:rsidRDefault="00E76E38">
      <w:r>
        <w:separator/>
      </w:r>
    </w:p>
  </w:endnote>
  <w:endnote w:type="continuationSeparator" w:id="0">
    <w:p w14:paraId="407247B0" w14:textId="77777777" w:rsidR="00E76E38" w:rsidRDefault="00E7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53D53" w14:textId="77777777" w:rsidR="000259B9" w:rsidRDefault="000259B9">
    <w:pPr>
      <w:pStyle w:val="Sidefod"/>
      <w:pBdr>
        <w:bottom w:val="single" w:sz="6" w:space="1" w:color="auto"/>
      </w:pBdr>
    </w:pPr>
  </w:p>
  <w:p w14:paraId="671E6D98" w14:textId="77777777" w:rsidR="000259B9" w:rsidRDefault="000259B9" w:rsidP="00C42586">
    <w:pPr>
      <w:pStyle w:val="Sidefod"/>
      <w:tabs>
        <w:tab w:val="clear" w:pos="4819"/>
        <w:tab w:val="left" w:pos="8505"/>
      </w:tabs>
      <w:rPr>
        <w:i/>
        <w:sz w:val="18"/>
        <w:szCs w:val="18"/>
      </w:rPr>
    </w:pPr>
  </w:p>
  <w:p w14:paraId="155F5542" w14:textId="5EA1540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0191F">
      <w:rPr>
        <w:i/>
        <w:noProof/>
        <w:sz w:val="18"/>
        <w:szCs w:val="18"/>
      </w:rPr>
      <w:t>Methoxsalen Macopharma, opløsning til modificering af blodfraktioner 20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D79C" w14:textId="77777777" w:rsidR="00E76E38" w:rsidRDefault="00E76E38">
      <w:r>
        <w:separator/>
      </w:r>
    </w:p>
  </w:footnote>
  <w:footnote w:type="continuationSeparator" w:id="0">
    <w:p w14:paraId="10FAA302" w14:textId="77777777" w:rsidR="00E76E38" w:rsidRDefault="00E76E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C217CB"/>
    <w:multiLevelType w:val="hybridMultilevel"/>
    <w:tmpl w:val="026E8AA4"/>
    <w:lvl w:ilvl="0" w:tplc="FFFFFFFF">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38"/>
    <w:rsid w:val="000259B9"/>
    <w:rsid w:val="0003147B"/>
    <w:rsid w:val="00041491"/>
    <w:rsid w:val="00050D16"/>
    <w:rsid w:val="000730CA"/>
    <w:rsid w:val="00074F2A"/>
    <w:rsid w:val="000A1CA8"/>
    <w:rsid w:val="000A466B"/>
    <w:rsid w:val="000B058C"/>
    <w:rsid w:val="000E4EE6"/>
    <w:rsid w:val="000F1080"/>
    <w:rsid w:val="001454E2"/>
    <w:rsid w:val="001E3CD6"/>
    <w:rsid w:val="00206CE8"/>
    <w:rsid w:val="0021526C"/>
    <w:rsid w:val="00281D61"/>
    <w:rsid w:val="00283A2B"/>
    <w:rsid w:val="00295591"/>
    <w:rsid w:val="002B30AD"/>
    <w:rsid w:val="002C2C01"/>
    <w:rsid w:val="00392BED"/>
    <w:rsid w:val="003A29AE"/>
    <w:rsid w:val="003A32D7"/>
    <w:rsid w:val="003B4074"/>
    <w:rsid w:val="003C6497"/>
    <w:rsid w:val="003C769A"/>
    <w:rsid w:val="003F1838"/>
    <w:rsid w:val="00410495"/>
    <w:rsid w:val="00422739"/>
    <w:rsid w:val="0045746C"/>
    <w:rsid w:val="0049104B"/>
    <w:rsid w:val="004E3B12"/>
    <w:rsid w:val="00511449"/>
    <w:rsid w:val="005306CC"/>
    <w:rsid w:val="00532310"/>
    <w:rsid w:val="00565F0F"/>
    <w:rsid w:val="00594A86"/>
    <w:rsid w:val="00596D86"/>
    <w:rsid w:val="005A03EA"/>
    <w:rsid w:val="00637F5A"/>
    <w:rsid w:val="006560B1"/>
    <w:rsid w:val="00663221"/>
    <w:rsid w:val="006756DD"/>
    <w:rsid w:val="00737275"/>
    <w:rsid w:val="00740EEC"/>
    <w:rsid w:val="0078011A"/>
    <w:rsid w:val="00782AF4"/>
    <w:rsid w:val="00790EE7"/>
    <w:rsid w:val="007B6649"/>
    <w:rsid w:val="007E13D2"/>
    <w:rsid w:val="0082576E"/>
    <w:rsid w:val="008D6E34"/>
    <w:rsid w:val="00907F75"/>
    <w:rsid w:val="009260DE"/>
    <w:rsid w:val="0093258A"/>
    <w:rsid w:val="009C7BA3"/>
    <w:rsid w:val="009D1F5A"/>
    <w:rsid w:val="00A10294"/>
    <w:rsid w:val="00B003BF"/>
    <w:rsid w:val="00B373D7"/>
    <w:rsid w:val="00C36276"/>
    <w:rsid w:val="00C42586"/>
    <w:rsid w:val="00C60CCD"/>
    <w:rsid w:val="00C84483"/>
    <w:rsid w:val="00C95551"/>
    <w:rsid w:val="00CB20D7"/>
    <w:rsid w:val="00D0191F"/>
    <w:rsid w:val="00D020B0"/>
    <w:rsid w:val="00D11748"/>
    <w:rsid w:val="00D366CF"/>
    <w:rsid w:val="00D94087"/>
    <w:rsid w:val="00DC20E4"/>
    <w:rsid w:val="00DF27C0"/>
    <w:rsid w:val="00E108AA"/>
    <w:rsid w:val="00E3749A"/>
    <w:rsid w:val="00E7437F"/>
    <w:rsid w:val="00E76E38"/>
    <w:rsid w:val="00E865B8"/>
    <w:rsid w:val="00EC0B9B"/>
    <w:rsid w:val="00ED5E9F"/>
    <w:rsid w:val="00EF0ECF"/>
    <w:rsid w:val="00F66D4F"/>
    <w:rsid w:val="00F95CB2"/>
    <w:rsid w:val="00FB6D01"/>
    <w:rsid w:val="00FF58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020E3"/>
  <w15:chartTrackingRefBased/>
  <w15:docId w15:val="{ECB65B4F-EB9B-4973-91C9-1703754C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A03EA"/>
    <w:pPr>
      <w:spacing w:before="120" w:after="120"/>
      <w:jc w:val="both"/>
    </w:pPr>
    <w:rPr>
      <w:sz w:val="22"/>
      <w:lang w:val="en-US"/>
    </w:rPr>
  </w:style>
  <w:style w:type="paragraph" w:styleId="Listeafsnit">
    <w:name w:val="List Paragraph"/>
    <w:basedOn w:val="Normal"/>
    <w:uiPriority w:val="34"/>
    <w:qFormat/>
    <w:rsid w:val="005A03EA"/>
    <w:pPr>
      <w:tabs>
        <w:tab w:val="left" w:pos="567"/>
      </w:tabs>
      <w:spacing w:line="260" w:lineRule="exact"/>
      <w:ind w:left="720"/>
      <w:contextualSpacing/>
    </w:pPr>
    <w:rPr>
      <w:sz w:val="22"/>
      <w:lang w:val="en-GB"/>
    </w:rPr>
  </w:style>
  <w:style w:type="character" w:styleId="Hyperlink">
    <w:name w:val="Hyperlink"/>
    <w:semiHidden/>
    <w:unhideWhenUsed/>
    <w:rsid w:val="00392BED"/>
    <w:rPr>
      <w:color w:val="0000FF"/>
      <w:u w:val="single"/>
    </w:rPr>
  </w:style>
  <w:style w:type="table" w:styleId="Tabel-Gitter">
    <w:name w:val="Table Grid"/>
    <w:basedOn w:val="Tabel-Normal"/>
    <w:rsid w:val="00392BE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73457">
      <w:bodyDiv w:val="1"/>
      <w:marLeft w:val="0"/>
      <w:marRight w:val="0"/>
      <w:marTop w:val="0"/>
      <w:marBottom w:val="0"/>
      <w:divBdr>
        <w:top w:val="none" w:sz="0" w:space="0" w:color="auto"/>
        <w:left w:val="none" w:sz="0" w:space="0" w:color="auto"/>
        <w:bottom w:val="none" w:sz="0" w:space="0" w:color="auto"/>
        <w:right w:val="none" w:sz="0" w:space="0" w:color="auto"/>
      </w:divBdr>
    </w:div>
    <w:div w:id="937897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399330">
      <w:bodyDiv w:val="1"/>
      <w:marLeft w:val="0"/>
      <w:marRight w:val="0"/>
      <w:marTop w:val="0"/>
      <w:marBottom w:val="0"/>
      <w:divBdr>
        <w:top w:val="none" w:sz="0" w:space="0" w:color="auto"/>
        <w:left w:val="none" w:sz="0" w:space="0" w:color="auto"/>
        <w:bottom w:val="none" w:sz="0" w:space="0" w:color="auto"/>
        <w:right w:val="none" w:sz="0" w:space="0" w:color="auto"/>
      </w:divBdr>
    </w:div>
    <w:div w:id="214781030">
      <w:bodyDiv w:val="1"/>
      <w:marLeft w:val="0"/>
      <w:marRight w:val="0"/>
      <w:marTop w:val="0"/>
      <w:marBottom w:val="0"/>
      <w:divBdr>
        <w:top w:val="none" w:sz="0" w:space="0" w:color="auto"/>
        <w:left w:val="none" w:sz="0" w:space="0" w:color="auto"/>
        <w:bottom w:val="none" w:sz="0" w:space="0" w:color="auto"/>
        <w:right w:val="none" w:sz="0" w:space="0" w:color="auto"/>
      </w:divBdr>
    </w:div>
    <w:div w:id="232744812">
      <w:bodyDiv w:val="1"/>
      <w:marLeft w:val="0"/>
      <w:marRight w:val="0"/>
      <w:marTop w:val="0"/>
      <w:marBottom w:val="0"/>
      <w:divBdr>
        <w:top w:val="none" w:sz="0" w:space="0" w:color="auto"/>
        <w:left w:val="none" w:sz="0" w:space="0" w:color="auto"/>
        <w:bottom w:val="none" w:sz="0" w:space="0" w:color="auto"/>
        <w:right w:val="none" w:sz="0" w:space="0" w:color="auto"/>
      </w:divBdr>
    </w:div>
    <w:div w:id="247151877">
      <w:bodyDiv w:val="1"/>
      <w:marLeft w:val="0"/>
      <w:marRight w:val="0"/>
      <w:marTop w:val="0"/>
      <w:marBottom w:val="0"/>
      <w:divBdr>
        <w:top w:val="none" w:sz="0" w:space="0" w:color="auto"/>
        <w:left w:val="none" w:sz="0" w:space="0" w:color="auto"/>
        <w:bottom w:val="none" w:sz="0" w:space="0" w:color="auto"/>
        <w:right w:val="none" w:sz="0" w:space="0" w:color="auto"/>
      </w:divBdr>
    </w:div>
    <w:div w:id="268901336">
      <w:bodyDiv w:val="1"/>
      <w:marLeft w:val="0"/>
      <w:marRight w:val="0"/>
      <w:marTop w:val="0"/>
      <w:marBottom w:val="0"/>
      <w:divBdr>
        <w:top w:val="none" w:sz="0" w:space="0" w:color="auto"/>
        <w:left w:val="none" w:sz="0" w:space="0" w:color="auto"/>
        <w:bottom w:val="none" w:sz="0" w:space="0" w:color="auto"/>
        <w:right w:val="none" w:sz="0" w:space="0" w:color="auto"/>
      </w:divBdr>
    </w:div>
    <w:div w:id="317734650">
      <w:bodyDiv w:val="1"/>
      <w:marLeft w:val="0"/>
      <w:marRight w:val="0"/>
      <w:marTop w:val="0"/>
      <w:marBottom w:val="0"/>
      <w:divBdr>
        <w:top w:val="none" w:sz="0" w:space="0" w:color="auto"/>
        <w:left w:val="none" w:sz="0" w:space="0" w:color="auto"/>
        <w:bottom w:val="none" w:sz="0" w:space="0" w:color="auto"/>
        <w:right w:val="none" w:sz="0" w:space="0" w:color="auto"/>
      </w:divBdr>
    </w:div>
    <w:div w:id="379474733">
      <w:bodyDiv w:val="1"/>
      <w:marLeft w:val="0"/>
      <w:marRight w:val="0"/>
      <w:marTop w:val="0"/>
      <w:marBottom w:val="0"/>
      <w:divBdr>
        <w:top w:val="none" w:sz="0" w:space="0" w:color="auto"/>
        <w:left w:val="none" w:sz="0" w:space="0" w:color="auto"/>
        <w:bottom w:val="none" w:sz="0" w:space="0" w:color="auto"/>
        <w:right w:val="none" w:sz="0" w:space="0" w:color="auto"/>
      </w:divBdr>
    </w:div>
    <w:div w:id="433483745">
      <w:bodyDiv w:val="1"/>
      <w:marLeft w:val="0"/>
      <w:marRight w:val="0"/>
      <w:marTop w:val="0"/>
      <w:marBottom w:val="0"/>
      <w:divBdr>
        <w:top w:val="none" w:sz="0" w:space="0" w:color="auto"/>
        <w:left w:val="none" w:sz="0" w:space="0" w:color="auto"/>
        <w:bottom w:val="none" w:sz="0" w:space="0" w:color="auto"/>
        <w:right w:val="none" w:sz="0" w:space="0" w:color="auto"/>
      </w:divBdr>
    </w:div>
    <w:div w:id="576742451">
      <w:bodyDiv w:val="1"/>
      <w:marLeft w:val="0"/>
      <w:marRight w:val="0"/>
      <w:marTop w:val="0"/>
      <w:marBottom w:val="0"/>
      <w:divBdr>
        <w:top w:val="none" w:sz="0" w:space="0" w:color="auto"/>
        <w:left w:val="none" w:sz="0" w:space="0" w:color="auto"/>
        <w:bottom w:val="none" w:sz="0" w:space="0" w:color="auto"/>
        <w:right w:val="none" w:sz="0" w:space="0" w:color="auto"/>
      </w:divBdr>
    </w:div>
    <w:div w:id="751657321">
      <w:bodyDiv w:val="1"/>
      <w:marLeft w:val="0"/>
      <w:marRight w:val="0"/>
      <w:marTop w:val="0"/>
      <w:marBottom w:val="0"/>
      <w:divBdr>
        <w:top w:val="none" w:sz="0" w:space="0" w:color="auto"/>
        <w:left w:val="none" w:sz="0" w:space="0" w:color="auto"/>
        <w:bottom w:val="none" w:sz="0" w:space="0" w:color="auto"/>
        <w:right w:val="none" w:sz="0" w:space="0" w:color="auto"/>
      </w:divBdr>
    </w:div>
    <w:div w:id="776095626">
      <w:bodyDiv w:val="1"/>
      <w:marLeft w:val="0"/>
      <w:marRight w:val="0"/>
      <w:marTop w:val="0"/>
      <w:marBottom w:val="0"/>
      <w:divBdr>
        <w:top w:val="none" w:sz="0" w:space="0" w:color="auto"/>
        <w:left w:val="none" w:sz="0" w:space="0" w:color="auto"/>
        <w:bottom w:val="none" w:sz="0" w:space="0" w:color="auto"/>
        <w:right w:val="none" w:sz="0" w:space="0" w:color="auto"/>
      </w:divBdr>
    </w:div>
    <w:div w:id="1075400125">
      <w:bodyDiv w:val="1"/>
      <w:marLeft w:val="0"/>
      <w:marRight w:val="0"/>
      <w:marTop w:val="0"/>
      <w:marBottom w:val="0"/>
      <w:divBdr>
        <w:top w:val="none" w:sz="0" w:space="0" w:color="auto"/>
        <w:left w:val="none" w:sz="0" w:space="0" w:color="auto"/>
        <w:bottom w:val="none" w:sz="0" w:space="0" w:color="auto"/>
        <w:right w:val="none" w:sz="0" w:space="0" w:color="auto"/>
      </w:divBdr>
    </w:div>
    <w:div w:id="1144078378">
      <w:bodyDiv w:val="1"/>
      <w:marLeft w:val="0"/>
      <w:marRight w:val="0"/>
      <w:marTop w:val="0"/>
      <w:marBottom w:val="0"/>
      <w:divBdr>
        <w:top w:val="none" w:sz="0" w:space="0" w:color="auto"/>
        <w:left w:val="none" w:sz="0" w:space="0" w:color="auto"/>
        <w:bottom w:val="none" w:sz="0" w:space="0" w:color="auto"/>
        <w:right w:val="none" w:sz="0" w:space="0" w:color="auto"/>
      </w:divBdr>
    </w:div>
    <w:div w:id="1293097932">
      <w:bodyDiv w:val="1"/>
      <w:marLeft w:val="0"/>
      <w:marRight w:val="0"/>
      <w:marTop w:val="0"/>
      <w:marBottom w:val="0"/>
      <w:divBdr>
        <w:top w:val="none" w:sz="0" w:space="0" w:color="auto"/>
        <w:left w:val="none" w:sz="0" w:space="0" w:color="auto"/>
        <w:bottom w:val="none" w:sz="0" w:space="0" w:color="auto"/>
        <w:right w:val="none" w:sz="0" w:space="0" w:color="auto"/>
      </w:divBdr>
    </w:div>
    <w:div w:id="1689326961">
      <w:bodyDiv w:val="1"/>
      <w:marLeft w:val="0"/>
      <w:marRight w:val="0"/>
      <w:marTop w:val="0"/>
      <w:marBottom w:val="0"/>
      <w:divBdr>
        <w:top w:val="none" w:sz="0" w:space="0" w:color="auto"/>
        <w:left w:val="none" w:sz="0" w:space="0" w:color="auto"/>
        <w:bottom w:val="none" w:sz="0" w:space="0" w:color="auto"/>
        <w:right w:val="none" w:sz="0" w:space="0" w:color="auto"/>
      </w:divBdr>
    </w:div>
    <w:div w:id="1841848786">
      <w:bodyDiv w:val="1"/>
      <w:marLeft w:val="0"/>
      <w:marRight w:val="0"/>
      <w:marTop w:val="0"/>
      <w:marBottom w:val="0"/>
      <w:divBdr>
        <w:top w:val="none" w:sz="0" w:space="0" w:color="auto"/>
        <w:left w:val="none" w:sz="0" w:space="0" w:color="auto"/>
        <w:bottom w:val="none" w:sz="0" w:space="0" w:color="auto"/>
        <w:right w:val="none" w:sz="0" w:space="0" w:color="auto"/>
      </w:divBdr>
    </w:div>
    <w:div w:id="1856918838">
      <w:bodyDiv w:val="1"/>
      <w:marLeft w:val="0"/>
      <w:marRight w:val="0"/>
      <w:marTop w:val="0"/>
      <w:marBottom w:val="0"/>
      <w:divBdr>
        <w:top w:val="none" w:sz="0" w:space="0" w:color="auto"/>
        <w:left w:val="none" w:sz="0" w:space="0" w:color="auto"/>
        <w:bottom w:val="none" w:sz="0" w:space="0" w:color="auto"/>
        <w:right w:val="none" w:sz="0" w:space="0" w:color="auto"/>
      </w:divBdr>
    </w:div>
    <w:div w:id="1878425406">
      <w:bodyDiv w:val="1"/>
      <w:marLeft w:val="0"/>
      <w:marRight w:val="0"/>
      <w:marTop w:val="0"/>
      <w:marBottom w:val="0"/>
      <w:divBdr>
        <w:top w:val="none" w:sz="0" w:space="0" w:color="auto"/>
        <w:left w:val="none" w:sz="0" w:space="0" w:color="auto"/>
        <w:bottom w:val="none" w:sz="0" w:space="0" w:color="auto"/>
        <w:right w:val="none" w:sz="0" w:space="0" w:color="auto"/>
      </w:divBdr>
    </w:div>
    <w:div w:id="1900706566">
      <w:bodyDiv w:val="1"/>
      <w:marLeft w:val="0"/>
      <w:marRight w:val="0"/>
      <w:marTop w:val="0"/>
      <w:marBottom w:val="0"/>
      <w:divBdr>
        <w:top w:val="none" w:sz="0" w:space="0" w:color="auto"/>
        <w:left w:val="none" w:sz="0" w:space="0" w:color="auto"/>
        <w:bottom w:val="none" w:sz="0" w:space="0" w:color="auto"/>
        <w:right w:val="none" w:sz="0" w:space="0" w:color="auto"/>
      </w:divBdr>
    </w:div>
    <w:div w:id="196938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52</TotalTime>
  <Pages>10</Pages>
  <Words>2918</Words>
  <Characters>19484</Characters>
  <Application>Microsoft Office Word</Application>
  <DocSecurity>0</DocSecurity>
  <Lines>162</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2020061686, MT</dc:description>
  <cp:lastModifiedBy>Gitte Jørgensen</cp:lastModifiedBy>
  <cp:revision>9</cp:revision>
  <cp:lastPrinted>2012-08-22T08:53:00Z</cp:lastPrinted>
  <dcterms:created xsi:type="dcterms:W3CDTF">2021-12-20T08:00:00Z</dcterms:created>
  <dcterms:modified xsi:type="dcterms:W3CDTF">2021-12-21T07:20:00Z</dcterms:modified>
</cp:coreProperties>
</file>