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AD7" w:rsidRDefault="008E4AD7" w:rsidP="008E4AD7">
      <w:pPr>
        <w:rPr>
          <w:sz w:val="24"/>
          <w:szCs w:val="24"/>
        </w:rPr>
      </w:pPr>
      <w:r>
        <w:rPr>
          <w:noProof/>
          <w:sz w:val="24"/>
          <w:szCs w:val="24"/>
          <w:lang w:eastAsia="da-DK"/>
        </w:rPr>
        <w:drawing>
          <wp:inline distT="0" distB="0" distL="0" distR="0" wp14:anchorId="33B8FD99" wp14:editId="5AE5B5AA">
            <wp:extent cx="2466975" cy="685800"/>
            <wp:effectExtent l="0" t="0" r="9525" b="0"/>
            <wp:docPr id="4" name="Billede 4"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r w:rsidRPr="00BF3CBC">
        <w:rPr>
          <w:sz w:val="24"/>
          <w:szCs w:val="24"/>
        </w:rPr>
        <w:br w:type="textWrapping" w:clear="all"/>
      </w:r>
    </w:p>
    <w:p w:rsidR="008E4AD7" w:rsidRPr="006C645D" w:rsidRDefault="008E4AD7" w:rsidP="008E4AD7">
      <w:pPr>
        <w:pStyle w:val="Titel"/>
        <w:tabs>
          <w:tab w:val="right" w:pos="9356"/>
        </w:tabs>
        <w:jc w:val="left"/>
        <w:rPr>
          <w:szCs w:val="24"/>
          <w:lang w:eastAsia="en-US"/>
        </w:rPr>
      </w:pPr>
      <w:r>
        <w:rPr>
          <w:b w:val="0"/>
          <w:szCs w:val="24"/>
          <w:lang w:eastAsia="en-US"/>
        </w:rPr>
        <w:tab/>
      </w:r>
      <w:r w:rsidR="002967FB">
        <w:rPr>
          <w:szCs w:val="24"/>
          <w:lang w:eastAsia="en-US"/>
        </w:rPr>
        <w:t>8. august 2024</w:t>
      </w:r>
    </w:p>
    <w:p w:rsidR="008E4AD7" w:rsidRPr="00BF3CBC" w:rsidRDefault="008E4AD7" w:rsidP="008E4AD7">
      <w:pPr>
        <w:pStyle w:val="Titel"/>
        <w:tabs>
          <w:tab w:val="left" w:pos="8222"/>
        </w:tabs>
        <w:jc w:val="left"/>
        <w:rPr>
          <w:b w:val="0"/>
          <w:szCs w:val="24"/>
        </w:rPr>
      </w:pPr>
    </w:p>
    <w:p w:rsidR="008E4AD7" w:rsidRDefault="008E4AD7" w:rsidP="008E4AD7">
      <w:pPr>
        <w:pStyle w:val="Titel"/>
        <w:jc w:val="left"/>
        <w:rPr>
          <w:b w:val="0"/>
          <w:szCs w:val="24"/>
        </w:rPr>
      </w:pPr>
    </w:p>
    <w:p w:rsidR="002967FB" w:rsidRPr="00BF3CBC" w:rsidRDefault="002967FB" w:rsidP="008E4AD7">
      <w:pPr>
        <w:pStyle w:val="Titel"/>
        <w:jc w:val="left"/>
        <w:rPr>
          <w:b w:val="0"/>
          <w:szCs w:val="24"/>
        </w:rPr>
      </w:pPr>
    </w:p>
    <w:p w:rsidR="008E4AD7" w:rsidRPr="00BF3CBC" w:rsidRDefault="008E4AD7" w:rsidP="002967FB">
      <w:pPr>
        <w:jc w:val="center"/>
        <w:rPr>
          <w:b/>
          <w:sz w:val="24"/>
          <w:szCs w:val="24"/>
        </w:rPr>
      </w:pPr>
      <w:r w:rsidRPr="00BF3CBC">
        <w:rPr>
          <w:b/>
          <w:sz w:val="24"/>
          <w:szCs w:val="24"/>
        </w:rPr>
        <w:t>PRODUKTRESUMÉ</w:t>
      </w:r>
    </w:p>
    <w:p w:rsidR="008E4AD7" w:rsidRPr="00BF3CBC" w:rsidRDefault="008E4AD7" w:rsidP="002967FB">
      <w:pPr>
        <w:tabs>
          <w:tab w:val="left" w:pos="689"/>
        </w:tabs>
        <w:jc w:val="center"/>
        <w:rPr>
          <w:b/>
          <w:sz w:val="24"/>
          <w:szCs w:val="24"/>
        </w:rPr>
      </w:pPr>
    </w:p>
    <w:p w:rsidR="008E4AD7" w:rsidRPr="00BF3CBC" w:rsidRDefault="008E4AD7" w:rsidP="002967FB">
      <w:pPr>
        <w:tabs>
          <w:tab w:val="center" w:pos="4819"/>
        </w:tabs>
        <w:jc w:val="center"/>
        <w:rPr>
          <w:b/>
          <w:sz w:val="24"/>
          <w:szCs w:val="24"/>
        </w:rPr>
      </w:pPr>
      <w:r w:rsidRPr="00BF3CBC">
        <w:rPr>
          <w:b/>
          <w:sz w:val="24"/>
          <w:szCs w:val="24"/>
        </w:rPr>
        <w:t>for</w:t>
      </w:r>
    </w:p>
    <w:p w:rsidR="008E4AD7" w:rsidRPr="00BF3CBC" w:rsidRDefault="008E4AD7" w:rsidP="002967FB">
      <w:pPr>
        <w:jc w:val="center"/>
        <w:rPr>
          <w:b/>
          <w:sz w:val="24"/>
          <w:szCs w:val="24"/>
        </w:rPr>
      </w:pPr>
    </w:p>
    <w:p w:rsidR="008E4AD7" w:rsidRPr="00BF3CBC" w:rsidRDefault="008E4AD7" w:rsidP="002967FB">
      <w:pPr>
        <w:jc w:val="center"/>
        <w:rPr>
          <w:b/>
          <w:sz w:val="24"/>
          <w:szCs w:val="24"/>
        </w:rPr>
      </w:pPr>
      <w:proofErr w:type="spellStart"/>
      <w:r w:rsidRPr="00BF3CBC">
        <w:rPr>
          <w:b/>
          <w:sz w:val="24"/>
          <w:szCs w:val="24"/>
        </w:rPr>
        <w:t>Methylphenidate</w:t>
      </w:r>
      <w:proofErr w:type="spellEnd"/>
      <w:r w:rsidRPr="00BF3CBC">
        <w:rPr>
          <w:b/>
          <w:sz w:val="24"/>
          <w:szCs w:val="24"/>
        </w:rPr>
        <w:t xml:space="preserve"> </w:t>
      </w:r>
      <w:r>
        <w:rPr>
          <w:b/>
          <w:sz w:val="24"/>
          <w:szCs w:val="24"/>
        </w:rPr>
        <w:t>"</w:t>
      </w:r>
      <w:proofErr w:type="spellStart"/>
      <w:r w:rsidRPr="00BF3CBC">
        <w:rPr>
          <w:b/>
          <w:sz w:val="24"/>
          <w:szCs w:val="24"/>
        </w:rPr>
        <w:t>Actavis</w:t>
      </w:r>
      <w:proofErr w:type="spellEnd"/>
      <w:r>
        <w:rPr>
          <w:b/>
          <w:sz w:val="24"/>
          <w:szCs w:val="24"/>
        </w:rPr>
        <w:t>"</w:t>
      </w:r>
      <w:r w:rsidRPr="00BF3CBC">
        <w:rPr>
          <w:b/>
          <w:sz w:val="24"/>
          <w:szCs w:val="24"/>
        </w:rPr>
        <w:t>, depottabletter</w:t>
      </w:r>
    </w:p>
    <w:p w:rsidR="008E4AD7" w:rsidRPr="00BF3CBC" w:rsidRDefault="008E4AD7" w:rsidP="008E4AD7">
      <w:pPr>
        <w:jc w:val="both"/>
        <w:rPr>
          <w:sz w:val="24"/>
          <w:szCs w:val="24"/>
        </w:rPr>
      </w:pPr>
    </w:p>
    <w:p w:rsidR="008E4AD7" w:rsidRPr="00BF3CBC" w:rsidRDefault="008E4AD7" w:rsidP="008E4AD7">
      <w:pPr>
        <w:ind w:left="851" w:hanging="851"/>
        <w:jc w:val="both"/>
        <w:rPr>
          <w:sz w:val="24"/>
          <w:szCs w:val="24"/>
        </w:rPr>
      </w:pPr>
    </w:p>
    <w:p w:rsidR="00657134" w:rsidRPr="00C84483" w:rsidRDefault="00657134" w:rsidP="00657134">
      <w:pPr>
        <w:tabs>
          <w:tab w:val="left" w:pos="851"/>
        </w:tabs>
        <w:ind w:left="851" w:hanging="851"/>
        <w:rPr>
          <w:b/>
          <w:sz w:val="24"/>
          <w:szCs w:val="24"/>
        </w:rPr>
      </w:pPr>
      <w:r w:rsidRPr="00C84483">
        <w:rPr>
          <w:b/>
          <w:sz w:val="24"/>
          <w:szCs w:val="24"/>
        </w:rPr>
        <w:t>0.</w:t>
      </w:r>
      <w:r w:rsidRPr="00C84483">
        <w:rPr>
          <w:b/>
          <w:sz w:val="24"/>
          <w:szCs w:val="24"/>
        </w:rPr>
        <w:tab/>
        <w:t>D.SP.NR.</w:t>
      </w:r>
    </w:p>
    <w:p w:rsidR="008E4AD7" w:rsidRPr="00BF3CBC" w:rsidRDefault="008E4AD7" w:rsidP="008E4AD7">
      <w:pPr>
        <w:tabs>
          <w:tab w:val="left" w:pos="851"/>
        </w:tabs>
        <w:ind w:left="851" w:hanging="851"/>
        <w:rPr>
          <w:sz w:val="24"/>
          <w:szCs w:val="24"/>
        </w:rPr>
      </w:pPr>
      <w:r w:rsidRPr="00BF3CBC">
        <w:rPr>
          <w:sz w:val="24"/>
          <w:szCs w:val="24"/>
        </w:rPr>
        <w:tab/>
        <w:t>29875</w:t>
      </w:r>
    </w:p>
    <w:p w:rsidR="008E4AD7" w:rsidRPr="00BF3CBC" w:rsidRDefault="008E4AD7" w:rsidP="008E4AD7">
      <w:pPr>
        <w:tabs>
          <w:tab w:val="left" w:pos="851"/>
        </w:tabs>
        <w:ind w:left="851" w:hanging="851"/>
        <w:rPr>
          <w:sz w:val="24"/>
          <w:szCs w:val="24"/>
        </w:rPr>
      </w:pPr>
    </w:p>
    <w:p w:rsidR="00657134" w:rsidRPr="00C84483" w:rsidRDefault="00657134" w:rsidP="00657134">
      <w:pPr>
        <w:tabs>
          <w:tab w:val="left" w:pos="851"/>
        </w:tabs>
        <w:ind w:left="851" w:hanging="851"/>
        <w:rPr>
          <w:b/>
          <w:sz w:val="24"/>
          <w:szCs w:val="24"/>
        </w:rPr>
      </w:pPr>
      <w:r w:rsidRPr="00C84483">
        <w:rPr>
          <w:b/>
          <w:sz w:val="24"/>
          <w:szCs w:val="24"/>
        </w:rPr>
        <w:t>1.</w:t>
      </w:r>
      <w:r w:rsidRPr="00C84483">
        <w:rPr>
          <w:b/>
          <w:sz w:val="24"/>
          <w:szCs w:val="24"/>
        </w:rPr>
        <w:tab/>
        <w:t>LÆGEMIDLETS NAVN</w:t>
      </w:r>
    </w:p>
    <w:p w:rsidR="008E4AD7" w:rsidRPr="00BF3CBC" w:rsidRDefault="008E4AD7" w:rsidP="008E4AD7">
      <w:pPr>
        <w:tabs>
          <w:tab w:val="left" w:pos="851"/>
        </w:tabs>
        <w:ind w:left="851" w:hanging="851"/>
        <w:rPr>
          <w:sz w:val="24"/>
          <w:szCs w:val="24"/>
        </w:rPr>
      </w:pPr>
      <w:r w:rsidRPr="00BF3CBC">
        <w:rPr>
          <w:sz w:val="24"/>
          <w:szCs w:val="24"/>
        </w:rPr>
        <w:tab/>
      </w:r>
      <w:proofErr w:type="spellStart"/>
      <w:r w:rsidRPr="00BF3CBC">
        <w:rPr>
          <w:sz w:val="24"/>
          <w:szCs w:val="24"/>
        </w:rPr>
        <w:t>Methylphenidate</w:t>
      </w:r>
      <w:proofErr w:type="spellEnd"/>
      <w:r w:rsidRPr="00BF3CBC">
        <w:rPr>
          <w:sz w:val="24"/>
          <w:szCs w:val="24"/>
        </w:rPr>
        <w:t xml:space="preserve"> </w:t>
      </w:r>
      <w:r>
        <w:rPr>
          <w:sz w:val="24"/>
          <w:szCs w:val="24"/>
        </w:rPr>
        <w:t>"</w:t>
      </w:r>
      <w:proofErr w:type="spellStart"/>
      <w:r w:rsidRPr="00BF3CBC">
        <w:rPr>
          <w:sz w:val="24"/>
          <w:szCs w:val="24"/>
        </w:rPr>
        <w:t>Actavis</w:t>
      </w:r>
      <w:proofErr w:type="spellEnd"/>
      <w:r>
        <w:rPr>
          <w:sz w:val="24"/>
          <w:szCs w:val="24"/>
        </w:rPr>
        <w:t>"</w:t>
      </w:r>
    </w:p>
    <w:p w:rsidR="008E4AD7" w:rsidRPr="00BF3CBC" w:rsidRDefault="008E4AD7" w:rsidP="008E4AD7">
      <w:pPr>
        <w:tabs>
          <w:tab w:val="left" w:pos="851"/>
        </w:tabs>
        <w:ind w:left="851" w:hanging="851"/>
        <w:rPr>
          <w:sz w:val="24"/>
          <w:szCs w:val="24"/>
        </w:rPr>
      </w:pPr>
    </w:p>
    <w:p w:rsidR="00657134" w:rsidRPr="00C84483" w:rsidRDefault="00657134" w:rsidP="00657134">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8E4AD7" w:rsidRPr="00BF3CBC" w:rsidRDefault="008E4AD7" w:rsidP="002967FB">
      <w:pPr>
        <w:tabs>
          <w:tab w:val="left" w:pos="851"/>
        </w:tabs>
        <w:spacing w:line="240" w:lineRule="atLeast"/>
        <w:ind w:left="851"/>
        <w:rPr>
          <w:sz w:val="24"/>
          <w:szCs w:val="24"/>
        </w:rPr>
      </w:pPr>
      <w:r w:rsidRPr="00BF3CBC">
        <w:rPr>
          <w:sz w:val="24"/>
          <w:szCs w:val="24"/>
        </w:rPr>
        <w:t>18 mg:</w:t>
      </w:r>
    </w:p>
    <w:p w:rsidR="008E4AD7" w:rsidRPr="00BF3CBC" w:rsidRDefault="008E4AD7" w:rsidP="002967FB">
      <w:pPr>
        <w:tabs>
          <w:tab w:val="left" w:pos="851"/>
        </w:tabs>
        <w:spacing w:line="240" w:lineRule="atLeast"/>
        <w:ind w:left="851"/>
        <w:rPr>
          <w:sz w:val="24"/>
          <w:szCs w:val="24"/>
        </w:rPr>
      </w:pPr>
      <w:r w:rsidRPr="00BF3CBC">
        <w:rPr>
          <w:sz w:val="24"/>
          <w:szCs w:val="24"/>
        </w:rPr>
        <w:t xml:space="preserve">En depottablet indeholder 18 mg </w:t>
      </w:r>
      <w:proofErr w:type="spellStart"/>
      <w:r w:rsidRPr="00BF3CBC">
        <w:rPr>
          <w:sz w:val="24"/>
          <w:szCs w:val="24"/>
        </w:rPr>
        <w:t>methylphenidathydrochlorid</w:t>
      </w:r>
      <w:proofErr w:type="spellEnd"/>
      <w:r>
        <w:rPr>
          <w:sz w:val="24"/>
          <w:szCs w:val="24"/>
        </w:rPr>
        <w:t xml:space="preserve"> svarende til 15,6 mg </w:t>
      </w:r>
      <w:proofErr w:type="spellStart"/>
      <w:r w:rsidRPr="00BF3CBC">
        <w:rPr>
          <w:sz w:val="24"/>
          <w:szCs w:val="24"/>
        </w:rPr>
        <w:t>methylphenidat</w:t>
      </w:r>
      <w:proofErr w:type="spellEnd"/>
      <w:r w:rsidRPr="00BF3CBC">
        <w:rPr>
          <w:sz w:val="24"/>
          <w:szCs w:val="24"/>
        </w:rPr>
        <w:t>.</w:t>
      </w:r>
    </w:p>
    <w:p w:rsidR="008E4AD7" w:rsidRPr="00BF3CBC" w:rsidRDefault="008E4AD7" w:rsidP="002967FB">
      <w:pPr>
        <w:tabs>
          <w:tab w:val="left" w:pos="851"/>
        </w:tabs>
        <w:spacing w:line="240" w:lineRule="atLeast"/>
        <w:ind w:left="851"/>
        <w:rPr>
          <w:sz w:val="24"/>
          <w:szCs w:val="24"/>
        </w:rPr>
      </w:pPr>
      <w:r w:rsidRPr="00BF3CBC">
        <w:rPr>
          <w:sz w:val="24"/>
          <w:szCs w:val="24"/>
          <w:u w:val="single"/>
        </w:rPr>
        <w:t>Hjælpestoffer, som behandleren skal være opmærksom på:</w:t>
      </w:r>
      <w:r w:rsidRPr="00BF3CBC">
        <w:rPr>
          <w:sz w:val="24"/>
          <w:szCs w:val="24"/>
        </w:rPr>
        <w:t xml:space="preserve"> indeholder 183,8 mg </w:t>
      </w:r>
      <w:proofErr w:type="spellStart"/>
      <w:r w:rsidRPr="00BF3CBC">
        <w:rPr>
          <w:sz w:val="24"/>
          <w:szCs w:val="24"/>
        </w:rPr>
        <w:t>la</w:t>
      </w:r>
      <w:r w:rsidR="00A32A6A">
        <w:rPr>
          <w:sz w:val="24"/>
          <w:szCs w:val="24"/>
        </w:rPr>
        <w:t>c</w:t>
      </w:r>
      <w:r w:rsidRPr="00BF3CBC">
        <w:rPr>
          <w:sz w:val="24"/>
          <w:szCs w:val="24"/>
        </w:rPr>
        <w:t>tose</w:t>
      </w:r>
      <w:proofErr w:type="spellEnd"/>
      <w:r w:rsidRPr="00BF3CBC">
        <w:rPr>
          <w:sz w:val="24"/>
          <w:szCs w:val="24"/>
        </w:rPr>
        <w:t>.</w:t>
      </w:r>
    </w:p>
    <w:p w:rsidR="008E4AD7" w:rsidRPr="00BF3CBC" w:rsidRDefault="008E4AD7" w:rsidP="002967FB">
      <w:pPr>
        <w:tabs>
          <w:tab w:val="left" w:pos="851"/>
        </w:tabs>
        <w:spacing w:line="240" w:lineRule="atLeast"/>
        <w:ind w:left="851"/>
        <w:rPr>
          <w:sz w:val="24"/>
          <w:szCs w:val="24"/>
        </w:rPr>
      </w:pPr>
    </w:p>
    <w:p w:rsidR="008E4AD7" w:rsidRPr="00BF3CBC" w:rsidRDefault="008E4AD7" w:rsidP="002967FB">
      <w:pPr>
        <w:tabs>
          <w:tab w:val="left" w:pos="851"/>
        </w:tabs>
        <w:spacing w:line="240" w:lineRule="atLeast"/>
        <w:ind w:left="851"/>
        <w:rPr>
          <w:sz w:val="24"/>
          <w:szCs w:val="24"/>
        </w:rPr>
      </w:pPr>
      <w:r w:rsidRPr="00BF3CBC">
        <w:rPr>
          <w:sz w:val="24"/>
          <w:szCs w:val="24"/>
        </w:rPr>
        <w:t>27 mg:</w:t>
      </w:r>
    </w:p>
    <w:p w:rsidR="008E4AD7" w:rsidRPr="00BF3CBC" w:rsidRDefault="008E4AD7" w:rsidP="002967FB">
      <w:pPr>
        <w:tabs>
          <w:tab w:val="left" w:pos="851"/>
        </w:tabs>
        <w:spacing w:line="240" w:lineRule="atLeast"/>
        <w:ind w:left="851"/>
        <w:rPr>
          <w:sz w:val="24"/>
          <w:szCs w:val="24"/>
        </w:rPr>
      </w:pPr>
      <w:r w:rsidRPr="00BF3CBC">
        <w:rPr>
          <w:sz w:val="24"/>
          <w:szCs w:val="24"/>
        </w:rPr>
        <w:t xml:space="preserve">En depottablet indeholder 27 mg </w:t>
      </w:r>
      <w:proofErr w:type="spellStart"/>
      <w:r w:rsidRPr="00BF3CBC">
        <w:rPr>
          <w:sz w:val="24"/>
          <w:szCs w:val="24"/>
        </w:rPr>
        <w:t>methylphenidathydrochlorid</w:t>
      </w:r>
      <w:proofErr w:type="spellEnd"/>
      <w:r>
        <w:rPr>
          <w:sz w:val="24"/>
          <w:szCs w:val="24"/>
        </w:rPr>
        <w:t xml:space="preserve"> svarende til 23,3 mg </w:t>
      </w:r>
      <w:proofErr w:type="spellStart"/>
      <w:r w:rsidRPr="00BF3CBC">
        <w:rPr>
          <w:sz w:val="24"/>
          <w:szCs w:val="24"/>
        </w:rPr>
        <w:t>methylphenidat</w:t>
      </w:r>
      <w:proofErr w:type="spellEnd"/>
      <w:r w:rsidRPr="00BF3CBC">
        <w:rPr>
          <w:sz w:val="24"/>
          <w:szCs w:val="24"/>
        </w:rPr>
        <w:t>.</w:t>
      </w:r>
    </w:p>
    <w:p w:rsidR="008E4AD7" w:rsidRPr="00BF3CBC" w:rsidRDefault="008E4AD7" w:rsidP="002967FB">
      <w:pPr>
        <w:tabs>
          <w:tab w:val="left" w:pos="851"/>
        </w:tabs>
        <w:spacing w:line="240" w:lineRule="atLeast"/>
        <w:ind w:left="851"/>
        <w:rPr>
          <w:sz w:val="24"/>
          <w:szCs w:val="24"/>
        </w:rPr>
      </w:pPr>
      <w:r w:rsidRPr="00BF3CBC">
        <w:rPr>
          <w:sz w:val="24"/>
          <w:szCs w:val="24"/>
          <w:u w:val="single"/>
        </w:rPr>
        <w:t>Hjælpestoffer, som behandleren skal være opmærksom på:</w:t>
      </w:r>
      <w:r w:rsidRPr="00BF3CBC">
        <w:rPr>
          <w:sz w:val="24"/>
          <w:szCs w:val="24"/>
        </w:rPr>
        <w:t xml:space="preserve"> indeholder 184,5 mg </w:t>
      </w:r>
      <w:proofErr w:type="spellStart"/>
      <w:r w:rsidRPr="00BF3CBC">
        <w:rPr>
          <w:sz w:val="24"/>
          <w:szCs w:val="24"/>
        </w:rPr>
        <w:t>la</w:t>
      </w:r>
      <w:r w:rsidR="00A32A6A">
        <w:rPr>
          <w:sz w:val="24"/>
          <w:szCs w:val="24"/>
        </w:rPr>
        <w:t>c</w:t>
      </w:r>
      <w:r w:rsidRPr="00BF3CBC">
        <w:rPr>
          <w:sz w:val="24"/>
          <w:szCs w:val="24"/>
        </w:rPr>
        <w:t>tose</w:t>
      </w:r>
      <w:proofErr w:type="spellEnd"/>
      <w:r w:rsidRPr="00BF3CBC">
        <w:rPr>
          <w:sz w:val="24"/>
          <w:szCs w:val="24"/>
        </w:rPr>
        <w:t>.</w:t>
      </w:r>
    </w:p>
    <w:p w:rsidR="008E4AD7" w:rsidRPr="00BF3CBC" w:rsidRDefault="008E4AD7" w:rsidP="002967FB">
      <w:pPr>
        <w:tabs>
          <w:tab w:val="left" w:pos="851"/>
        </w:tabs>
        <w:spacing w:line="240" w:lineRule="atLeast"/>
        <w:ind w:left="851"/>
        <w:rPr>
          <w:sz w:val="24"/>
          <w:szCs w:val="24"/>
        </w:rPr>
      </w:pPr>
    </w:p>
    <w:p w:rsidR="008E4AD7" w:rsidRPr="00BF3CBC" w:rsidRDefault="008E4AD7" w:rsidP="002967FB">
      <w:pPr>
        <w:tabs>
          <w:tab w:val="left" w:pos="851"/>
        </w:tabs>
        <w:spacing w:line="240" w:lineRule="atLeast"/>
        <w:ind w:left="851"/>
        <w:rPr>
          <w:sz w:val="24"/>
          <w:szCs w:val="24"/>
        </w:rPr>
      </w:pPr>
      <w:r w:rsidRPr="00BF3CBC">
        <w:rPr>
          <w:sz w:val="24"/>
          <w:szCs w:val="24"/>
        </w:rPr>
        <w:t>36 mg:</w:t>
      </w:r>
    </w:p>
    <w:p w:rsidR="008E4AD7" w:rsidRPr="00BF3CBC" w:rsidRDefault="008E4AD7" w:rsidP="002967FB">
      <w:pPr>
        <w:tabs>
          <w:tab w:val="left" w:pos="851"/>
        </w:tabs>
        <w:spacing w:line="240" w:lineRule="atLeast"/>
        <w:ind w:left="851"/>
        <w:rPr>
          <w:sz w:val="24"/>
          <w:szCs w:val="24"/>
        </w:rPr>
      </w:pPr>
      <w:r w:rsidRPr="00BF3CBC">
        <w:rPr>
          <w:sz w:val="24"/>
          <w:szCs w:val="24"/>
        </w:rPr>
        <w:t xml:space="preserve">En depottablet indeholder 36 mg </w:t>
      </w:r>
      <w:proofErr w:type="spellStart"/>
      <w:r w:rsidRPr="00BF3CBC">
        <w:rPr>
          <w:sz w:val="24"/>
          <w:szCs w:val="24"/>
        </w:rPr>
        <w:t>methylphenidathydrochlorid</w:t>
      </w:r>
      <w:proofErr w:type="spellEnd"/>
      <w:r>
        <w:rPr>
          <w:sz w:val="24"/>
          <w:szCs w:val="24"/>
        </w:rPr>
        <w:t xml:space="preserve"> svarende til 31,1 mg </w:t>
      </w:r>
      <w:proofErr w:type="spellStart"/>
      <w:r w:rsidRPr="00BF3CBC">
        <w:rPr>
          <w:sz w:val="24"/>
          <w:szCs w:val="24"/>
        </w:rPr>
        <w:t>methylphenidat</w:t>
      </w:r>
      <w:proofErr w:type="spellEnd"/>
      <w:r w:rsidRPr="00BF3CBC">
        <w:rPr>
          <w:sz w:val="24"/>
          <w:szCs w:val="24"/>
        </w:rPr>
        <w:t>.</w:t>
      </w:r>
    </w:p>
    <w:p w:rsidR="008E4AD7" w:rsidRPr="00BF3CBC" w:rsidRDefault="008E4AD7" w:rsidP="002967FB">
      <w:pPr>
        <w:tabs>
          <w:tab w:val="left" w:pos="851"/>
        </w:tabs>
        <w:spacing w:line="240" w:lineRule="atLeast"/>
        <w:ind w:left="851"/>
        <w:rPr>
          <w:sz w:val="24"/>
          <w:szCs w:val="24"/>
        </w:rPr>
      </w:pPr>
      <w:r w:rsidRPr="00BF3CBC">
        <w:rPr>
          <w:sz w:val="24"/>
          <w:szCs w:val="24"/>
          <w:u w:val="single"/>
        </w:rPr>
        <w:t>Hjælpestoffer, som behandleren skal være opmærksom på:</w:t>
      </w:r>
      <w:r w:rsidRPr="00BF3CBC">
        <w:rPr>
          <w:sz w:val="24"/>
          <w:szCs w:val="24"/>
        </w:rPr>
        <w:t xml:space="preserve"> indeholder 178,1 mg </w:t>
      </w:r>
      <w:proofErr w:type="spellStart"/>
      <w:r w:rsidRPr="00BF3CBC">
        <w:rPr>
          <w:sz w:val="24"/>
          <w:szCs w:val="24"/>
        </w:rPr>
        <w:t>la</w:t>
      </w:r>
      <w:r w:rsidR="00A32A6A">
        <w:rPr>
          <w:sz w:val="24"/>
          <w:szCs w:val="24"/>
        </w:rPr>
        <w:t>c</w:t>
      </w:r>
      <w:r w:rsidRPr="00BF3CBC">
        <w:rPr>
          <w:sz w:val="24"/>
          <w:szCs w:val="24"/>
        </w:rPr>
        <w:t>tose</w:t>
      </w:r>
      <w:proofErr w:type="spellEnd"/>
      <w:r w:rsidRPr="00BF3CBC">
        <w:rPr>
          <w:sz w:val="24"/>
          <w:szCs w:val="24"/>
        </w:rPr>
        <w:t>.</w:t>
      </w:r>
    </w:p>
    <w:p w:rsidR="008E4AD7" w:rsidRPr="00BF3CBC" w:rsidRDefault="008E4AD7" w:rsidP="002967FB">
      <w:pPr>
        <w:tabs>
          <w:tab w:val="left" w:pos="851"/>
        </w:tabs>
        <w:spacing w:line="240" w:lineRule="atLeast"/>
        <w:ind w:left="851"/>
        <w:rPr>
          <w:sz w:val="24"/>
          <w:szCs w:val="24"/>
        </w:rPr>
      </w:pPr>
    </w:p>
    <w:p w:rsidR="008E4AD7" w:rsidRPr="00BF3CBC" w:rsidRDefault="008E4AD7" w:rsidP="002967FB">
      <w:pPr>
        <w:tabs>
          <w:tab w:val="left" w:pos="851"/>
        </w:tabs>
        <w:spacing w:line="240" w:lineRule="atLeast"/>
        <w:ind w:left="851"/>
        <w:rPr>
          <w:sz w:val="24"/>
          <w:szCs w:val="24"/>
        </w:rPr>
      </w:pPr>
      <w:r w:rsidRPr="00BF3CBC">
        <w:rPr>
          <w:sz w:val="24"/>
          <w:szCs w:val="24"/>
        </w:rPr>
        <w:t>54 mg:</w:t>
      </w:r>
    </w:p>
    <w:p w:rsidR="008E4AD7" w:rsidRPr="00BF3CBC" w:rsidRDefault="008E4AD7" w:rsidP="002967FB">
      <w:pPr>
        <w:tabs>
          <w:tab w:val="left" w:pos="851"/>
        </w:tabs>
        <w:spacing w:line="240" w:lineRule="atLeast"/>
        <w:ind w:left="851"/>
        <w:rPr>
          <w:sz w:val="24"/>
          <w:szCs w:val="24"/>
        </w:rPr>
      </w:pPr>
      <w:r w:rsidRPr="00BF3CBC">
        <w:rPr>
          <w:sz w:val="24"/>
          <w:szCs w:val="24"/>
        </w:rPr>
        <w:t xml:space="preserve">En depottablet indeholder 54 mg </w:t>
      </w:r>
      <w:proofErr w:type="spellStart"/>
      <w:r w:rsidRPr="00BF3CBC">
        <w:rPr>
          <w:sz w:val="24"/>
          <w:szCs w:val="24"/>
        </w:rPr>
        <w:t>methylphenidathydrochlorid</w:t>
      </w:r>
      <w:proofErr w:type="spellEnd"/>
      <w:r>
        <w:rPr>
          <w:sz w:val="24"/>
          <w:szCs w:val="24"/>
        </w:rPr>
        <w:t xml:space="preserve"> svarende til 46,7 mg </w:t>
      </w:r>
      <w:proofErr w:type="spellStart"/>
      <w:r w:rsidRPr="00BF3CBC">
        <w:rPr>
          <w:sz w:val="24"/>
          <w:szCs w:val="24"/>
        </w:rPr>
        <w:t>methylphenidat</w:t>
      </w:r>
      <w:proofErr w:type="spellEnd"/>
      <w:r w:rsidRPr="00BF3CBC">
        <w:rPr>
          <w:sz w:val="24"/>
          <w:szCs w:val="24"/>
        </w:rPr>
        <w:t>.</w:t>
      </w:r>
    </w:p>
    <w:p w:rsidR="008E4AD7" w:rsidRPr="00BF3CBC" w:rsidRDefault="008E4AD7" w:rsidP="002967FB">
      <w:pPr>
        <w:tabs>
          <w:tab w:val="left" w:pos="851"/>
        </w:tabs>
        <w:spacing w:line="240" w:lineRule="atLeast"/>
        <w:ind w:left="851"/>
        <w:rPr>
          <w:sz w:val="24"/>
          <w:szCs w:val="24"/>
        </w:rPr>
      </w:pPr>
      <w:r w:rsidRPr="00BF3CBC">
        <w:rPr>
          <w:sz w:val="24"/>
          <w:szCs w:val="24"/>
          <w:u w:val="single"/>
        </w:rPr>
        <w:t>Hjælpestoffer, som behandleren skal være opmærksom på:</w:t>
      </w:r>
      <w:r w:rsidRPr="00BF3CBC">
        <w:rPr>
          <w:sz w:val="24"/>
          <w:szCs w:val="24"/>
        </w:rPr>
        <w:t xml:space="preserve"> indeholder 165,3 mg </w:t>
      </w:r>
      <w:proofErr w:type="spellStart"/>
      <w:r w:rsidRPr="00BF3CBC">
        <w:rPr>
          <w:sz w:val="24"/>
          <w:szCs w:val="24"/>
        </w:rPr>
        <w:t>la</w:t>
      </w:r>
      <w:r w:rsidR="00A32A6A">
        <w:rPr>
          <w:sz w:val="24"/>
          <w:szCs w:val="24"/>
        </w:rPr>
        <w:t>c</w:t>
      </w:r>
      <w:r w:rsidRPr="00BF3CBC">
        <w:rPr>
          <w:sz w:val="24"/>
          <w:szCs w:val="24"/>
        </w:rPr>
        <w:t>tose</w:t>
      </w:r>
      <w:proofErr w:type="spellEnd"/>
      <w:r w:rsidRPr="00BF3CBC">
        <w:rPr>
          <w:sz w:val="24"/>
          <w:szCs w:val="24"/>
        </w:rPr>
        <w:t>.</w:t>
      </w:r>
    </w:p>
    <w:p w:rsidR="008E4AD7" w:rsidRPr="00BF3CBC" w:rsidRDefault="008E4AD7" w:rsidP="002967FB">
      <w:pPr>
        <w:tabs>
          <w:tab w:val="left" w:pos="851"/>
        </w:tabs>
        <w:spacing w:line="240" w:lineRule="atLeast"/>
        <w:ind w:left="851"/>
        <w:rPr>
          <w:sz w:val="24"/>
          <w:szCs w:val="24"/>
        </w:rPr>
      </w:pPr>
    </w:p>
    <w:p w:rsidR="008E4AD7" w:rsidRPr="00BF3CBC" w:rsidRDefault="008E4AD7" w:rsidP="002967FB">
      <w:pPr>
        <w:tabs>
          <w:tab w:val="left" w:pos="851"/>
        </w:tabs>
        <w:spacing w:line="240" w:lineRule="atLeast"/>
        <w:ind w:left="851"/>
        <w:rPr>
          <w:sz w:val="24"/>
          <w:szCs w:val="24"/>
        </w:rPr>
      </w:pPr>
      <w:r w:rsidRPr="00BF3CBC">
        <w:rPr>
          <w:sz w:val="24"/>
          <w:szCs w:val="24"/>
        </w:rPr>
        <w:t>Alle hjælpestoffer er anført under pkt. 6.1.</w:t>
      </w:r>
    </w:p>
    <w:p w:rsidR="008E4AD7" w:rsidRPr="00BF3CBC" w:rsidRDefault="008E4AD7" w:rsidP="002967FB">
      <w:pPr>
        <w:tabs>
          <w:tab w:val="left" w:pos="851"/>
        </w:tabs>
        <w:ind w:left="851"/>
        <w:rPr>
          <w:sz w:val="24"/>
          <w:szCs w:val="24"/>
        </w:rPr>
      </w:pPr>
    </w:p>
    <w:p w:rsidR="00657134" w:rsidRPr="00C84483" w:rsidRDefault="00657134" w:rsidP="00657134">
      <w:pPr>
        <w:tabs>
          <w:tab w:val="left" w:pos="851"/>
        </w:tabs>
        <w:ind w:left="851" w:hanging="851"/>
        <w:rPr>
          <w:b/>
          <w:sz w:val="24"/>
          <w:szCs w:val="24"/>
        </w:rPr>
      </w:pPr>
      <w:r w:rsidRPr="00C84483">
        <w:rPr>
          <w:b/>
          <w:sz w:val="24"/>
          <w:szCs w:val="24"/>
        </w:rPr>
        <w:t>3.</w:t>
      </w:r>
      <w:r w:rsidRPr="00C84483">
        <w:rPr>
          <w:b/>
          <w:sz w:val="24"/>
          <w:szCs w:val="24"/>
        </w:rPr>
        <w:tab/>
        <w:t>LÆGEMIDDELFORM</w:t>
      </w:r>
    </w:p>
    <w:p w:rsidR="008E4AD7" w:rsidRPr="00BF3CBC" w:rsidRDefault="008E4AD7" w:rsidP="008E4AD7">
      <w:pPr>
        <w:ind w:left="851"/>
        <w:rPr>
          <w:sz w:val="24"/>
          <w:szCs w:val="24"/>
        </w:rPr>
      </w:pPr>
      <w:r w:rsidRPr="00BF3CBC">
        <w:rPr>
          <w:sz w:val="24"/>
          <w:szCs w:val="24"/>
        </w:rPr>
        <w:t>Depottabletter</w:t>
      </w:r>
    </w:p>
    <w:p w:rsidR="008E4AD7" w:rsidRPr="00BF3CBC" w:rsidRDefault="008E4AD7" w:rsidP="008E4AD7">
      <w:pPr>
        <w:ind w:left="851" w:hanging="851"/>
        <w:rPr>
          <w:sz w:val="24"/>
          <w:szCs w:val="24"/>
        </w:rPr>
      </w:pPr>
    </w:p>
    <w:p w:rsidR="008E4AD7" w:rsidRPr="00BF3CBC" w:rsidRDefault="008E4AD7" w:rsidP="00A32A6A">
      <w:pPr>
        <w:ind w:left="851"/>
        <w:rPr>
          <w:sz w:val="24"/>
          <w:szCs w:val="24"/>
        </w:rPr>
      </w:pPr>
      <w:r w:rsidRPr="00BF3CBC">
        <w:rPr>
          <w:sz w:val="24"/>
          <w:szCs w:val="24"/>
        </w:rPr>
        <w:t xml:space="preserve">18 mg tablet: Kapselformet, </w:t>
      </w:r>
      <w:proofErr w:type="spellStart"/>
      <w:r w:rsidRPr="00BF3CBC">
        <w:rPr>
          <w:sz w:val="24"/>
          <w:szCs w:val="24"/>
        </w:rPr>
        <w:t>bikonveks</w:t>
      </w:r>
      <w:proofErr w:type="spellEnd"/>
      <w:r w:rsidRPr="00BF3CBC">
        <w:rPr>
          <w:sz w:val="24"/>
          <w:szCs w:val="24"/>
        </w:rPr>
        <w:t>, gul tablet, 6,6 mm</w:t>
      </w:r>
      <w:r w:rsidR="002A2EEA">
        <w:rPr>
          <w:sz w:val="24"/>
          <w:szCs w:val="24"/>
        </w:rPr>
        <w:t>×</w:t>
      </w:r>
      <w:r w:rsidRPr="00BF3CBC">
        <w:rPr>
          <w:sz w:val="24"/>
          <w:szCs w:val="24"/>
        </w:rPr>
        <w:t xml:space="preserve">11,9 mm, med </w:t>
      </w:r>
      <w:r>
        <w:rPr>
          <w:sz w:val="24"/>
          <w:szCs w:val="24"/>
        </w:rPr>
        <w:t>"</w:t>
      </w:r>
      <w:r w:rsidRPr="00BF3CBC">
        <w:rPr>
          <w:sz w:val="24"/>
          <w:szCs w:val="24"/>
        </w:rPr>
        <w:t>2392</w:t>
      </w:r>
      <w:r>
        <w:rPr>
          <w:sz w:val="24"/>
          <w:szCs w:val="24"/>
        </w:rPr>
        <w:t>"</w:t>
      </w:r>
      <w:r w:rsidRPr="00BF3CBC">
        <w:rPr>
          <w:sz w:val="24"/>
          <w:szCs w:val="24"/>
        </w:rPr>
        <w:t xml:space="preserve"> påtrykt den ene side med sort blæk.</w:t>
      </w:r>
    </w:p>
    <w:p w:rsidR="008E4AD7" w:rsidRPr="00BF3CBC" w:rsidRDefault="008E4AD7" w:rsidP="008E4AD7">
      <w:pPr>
        <w:ind w:left="851"/>
        <w:rPr>
          <w:sz w:val="24"/>
          <w:szCs w:val="24"/>
        </w:rPr>
      </w:pPr>
      <w:r w:rsidRPr="00BF3CBC">
        <w:rPr>
          <w:sz w:val="24"/>
          <w:szCs w:val="24"/>
        </w:rPr>
        <w:lastRenderedPageBreak/>
        <w:t xml:space="preserve">27 mg tablet: Kapselformet, </w:t>
      </w:r>
      <w:proofErr w:type="spellStart"/>
      <w:r w:rsidRPr="00BF3CBC">
        <w:rPr>
          <w:sz w:val="24"/>
          <w:szCs w:val="24"/>
        </w:rPr>
        <w:t>bikonveks</w:t>
      </w:r>
      <w:proofErr w:type="spellEnd"/>
      <w:r w:rsidRPr="00BF3CBC">
        <w:rPr>
          <w:sz w:val="24"/>
          <w:szCs w:val="24"/>
        </w:rPr>
        <w:t>, grå tablet, 6,7 mm</w:t>
      </w:r>
      <w:r w:rsidR="002A2EEA">
        <w:rPr>
          <w:sz w:val="24"/>
          <w:szCs w:val="24"/>
        </w:rPr>
        <w:t>×</w:t>
      </w:r>
      <w:r w:rsidRPr="00BF3CBC">
        <w:rPr>
          <w:sz w:val="24"/>
          <w:szCs w:val="24"/>
        </w:rPr>
        <w:t xml:space="preserve">12,0 mm, med </w:t>
      </w:r>
      <w:r>
        <w:rPr>
          <w:sz w:val="24"/>
          <w:szCs w:val="24"/>
        </w:rPr>
        <w:t>"</w:t>
      </w:r>
      <w:r w:rsidRPr="00BF3CBC">
        <w:rPr>
          <w:sz w:val="24"/>
          <w:szCs w:val="24"/>
        </w:rPr>
        <w:t>2393</w:t>
      </w:r>
      <w:r>
        <w:rPr>
          <w:sz w:val="24"/>
          <w:szCs w:val="24"/>
        </w:rPr>
        <w:t>"</w:t>
      </w:r>
      <w:r w:rsidRPr="00BF3CBC">
        <w:rPr>
          <w:sz w:val="24"/>
          <w:szCs w:val="24"/>
        </w:rPr>
        <w:t xml:space="preserve"> påtrykt den ene side med sort blæk.</w:t>
      </w:r>
    </w:p>
    <w:p w:rsidR="008E4AD7" w:rsidRPr="00BF3CBC" w:rsidRDefault="008E4AD7" w:rsidP="008E4AD7">
      <w:pPr>
        <w:ind w:left="851"/>
        <w:rPr>
          <w:sz w:val="24"/>
          <w:szCs w:val="24"/>
        </w:rPr>
      </w:pPr>
      <w:r w:rsidRPr="00BF3CBC">
        <w:rPr>
          <w:sz w:val="24"/>
          <w:szCs w:val="24"/>
        </w:rPr>
        <w:t xml:space="preserve">36 mg tablet: Kapselformet, </w:t>
      </w:r>
      <w:proofErr w:type="spellStart"/>
      <w:r w:rsidRPr="00BF3CBC">
        <w:rPr>
          <w:sz w:val="24"/>
          <w:szCs w:val="24"/>
        </w:rPr>
        <w:t>bikonveks</w:t>
      </w:r>
      <w:proofErr w:type="spellEnd"/>
      <w:r w:rsidRPr="00BF3CBC">
        <w:rPr>
          <w:sz w:val="24"/>
          <w:szCs w:val="24"/>
        </w:rPr>
        <w:t>, hvid tablet, 6,7 mm</w:t>
      </w:r>
      <w:r w:rsidR="002A2EEA">
        <w:rPr>
          <w:sz w:val="24"/>
          <w:szCs w:val="24"/>
        </w:rPr>
        <w:t>×</w:t>
      </w:r>
      <w:r w:rsidRPr="00BF3CBC">
        <w:rPr>
          <w:sz w:val="24"/>
          <w:szCs w:val="24"/>
        </w:rPr>
        <w:t xml:space="preserve">12,0 mm, med </w:t>
      </w:r>
      <w:r>
        <w:rPr>
          <w:sz w:val="24"/>
          <w:szCs w:val="24"/>
        </w:rPr>
        <w:t>"</w:t>
      </w:r>
      <w:r w:rsidRPr="00BF3CBC">
        <w:rPr>
          <w:sz w:val="24"/>
          <w:szCs w:val="24"/>
        </w:rPr>
        <w:t>2394</w:t>
      </w:r>
      <w:r>
        <w:rPr>
          <w:sz w:val="24"/>
          <w:szCs w:val="24"/>
        </w:rPr>
        <w:t>"</w:t>
      </w:r>
      <w:r w:rsidRPr="00BF3CBC">
        <w:rPr>
          <w:sz w:val="24"/>
          <w:szCs w:val="24"/>
        </w:rPr>
        <w:t xml:space="preserve"> påtrykt den ene side med sort blæk.</w:t>
      </w:r>
    </w:p>
    <w:p w:rsidR="008E4AD7" w:rsidRPr="00BF3CBC" w:rsidRDefault="008E4AD7" w:rsidP="008E4AD7">
      <w:pPr>
        <w:ind w:left="851"/>
        <w:rPr>
          <w:sz w:val="24"/>
          <w:szCs w:val="24"/>
        </w:rPr>
      </w:pPr>
      <w:r w:rsidRPr="00BF3CBC">
        <w:rPr>
          <w:sz w:val="24"/>
          <w:szCs w:val="24"/>
        </w:rPr>
        <w:t xml:space="preserve">54 mg tablet: Kapselformet, </w:t>
      </w:r>
      <w:proofErr w:type="spellStart"/>
      <w:r w:rsidRPr="00BF3CBC">
        <w:rPr>
          <w:sz w:val="24"/>
          <w:szCs w:val="24"/>
        </w:rPr>
        <w:t>bikonveks</w:t>
      </w:r>
      <w:proofErr w:type="spellEnd"/>
      <w:r w:rsidRPr="00BF3CBC">
        <w:rPr>
          <w:sz w:val="24"/>
          <w:szCs w:val="24"/>
        </w:rPr>
        <w:t>, rødbrun tablet, 6,8 mm</w:t>
      </w:r>
      <w:r w:rsidR="002A2EEA">
        <w:rPr>
          <w:sz w:val="24"/>
          <w:szCs w:val="24"/>
        </w:rPr>
        <w:t>×</w:t>
      </w:r>
      <w:r w:rsidRPr="00BF3CBC">
        <w:rPr>
          <w:sz w:val="24"/>
          <w:szCs w:val="24"/>
        </w:rPr>
        <w:t xml:space="preserve">12,0 mm, med </w:t>
      </w:r>
      <w:r>
        <w:rPr>
          <w:sz w:val="24"/>
          <w:szCs w:val="24"/>
        </w:rPr>
        <w:t>"</w:t>
      </w:r>
      <w:r w:rsidRPr="00BF3CBC">
        <w:rPr>
          <w:sz w:val="24"/>
          <w:szCs w:val="24"/>
        </w:rPr>
        <w:t>2395</w:t>
      </w:r>
      <w:r>
        <w:rPr>
          <w:sz w:val="24"/>
          <w:szCs w:val="24"/>
        </w:rPr>
        <w:t>"</w:t>
      </w:r>
      <w:r w:rsidRPr="00BF3CBC">
        <w:rPr>
          <w:sz w:val="24"/>
          <w:szCs w:val="24"/>
        </w:rPr>
        <w:t xml:space="preserve"> påtrykt den ene side med sort blæk.</w:t>
      </w:r>
    </w:p>
    <w:p w:rsidR="008E4AD7" w:rsidRPr="00BF3CBC" w:rsidRDefault="008E4AD7" w:rsidP="008E4AD7">
      <w:pPr>
        <w:tabs>
          <w:tab w:val="left" w:pos="851"/>
        </w:tabs>
        <w:ind w:left="851" w:hanging="851"/>
        <w:rPr>
          <w:sz w:val="24"/>
          <w:szCs w:val="24"/>
        </w:rPr>
      </w:pPr>
    </w:p>
    <w:p w:rsidR="008E4AD7" w:rsidRPr="00BF3CBC" w:rsidRDefault="008E4AD7" w:rsidP="008E4AD7">
      <w:pPr>
        <w:tabs>
          <w:tab w:val="left" w:pos="851"/>
        </w:tabs>
        <w:ind w:left="851" w:hanging="851"/>
        <w:rPr>
          <w:sz w:val="24"/>
          <w:szCs w:val="24"/>
        </w:rPr>
      </w:pPr>
    </w:p>
    <w:p w:rsidR="00657134" w:rsidRPr="00C84483" w:rsidRDefault="00657134" w:rsidP="00657134">
      <w:pPr>
        <w:tabs>
          <w:tab w:val="left" w:pos="851"/>
        </w:tabs>
        <w:ind w:left="851" w:hanging="851"/>
        <w:rPr>
          <w:b/>
          <w:sz w:val="24"/>
          <w:szCs w:val="24"/>
        </w:rPr>
      </w:pPr>
      <w:r w:rsidRPr="00C84483">
        <w:rPr>
          <w:b/>
          <w:sz w:val="24"/>
          <w:szCs w:val="24"/>
        </w:rPr>
        <w:t>4.</w:t>
      </w:r>
      <w:r w:rsidRPr="00C84483">
        <w:rPr>
          <w:b/>
          <w:sz w:val="24"/>
          <w:szCs w:val="24"/>
        </w:rPr>
        <w:tab/>
        <w:t>KLINISKE OPLYSNINGER</w:t>
      </w:r>
    </w:p>
    <w:p w:rsidR="00657134" w:rsidRPr="00C84483" w:rsidRDefault="00657134" w:rsidP="00657134">
      <w:pPr>
        <w:tabs>
          <w:tab w:val="left" w:pos="851"/>
        </w:tabs>
        <w:ind w:left="851"/>
        <w:rPr>
          <w:b/>
          <w:sz w:val="24"/>
          <w:szCs w:val="24"/>
        </w:rPr>
      </w:pPr>
    </w:p>
    <w:p w:rsidR="00657134" w:rsidRPr="00C84483" w:rsidRDefault="00657134" w:rsidP="00657134">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657134" w:rsidRDefault="00657134" w:rsidP="008E4AD7">
      <w:pPr>
        <w:ind w:left="851"/>
        <w:rPr>
          <w:sz w:val="24"/>
          <w:szCs w:val="24"/>
          <w:u w:val="single" w:color="000000"/>
        </w:rPr>
      </w:pPr>
    </w:p>
    <w:p w:rsidR="008E4AD7" w:rsidRPr="00657134" w:rsidRDefault="008E4AD7" w:rsidP="008E4AD7">
      <w:pPr>
        <w:ind w:left="851"/>
        <w:rPr>
          <w:sz w:val="24"/>
          <w:szCs w:val="24"/>
          <w:lang w:val="en-US"/>
        </w:rPr>
      </w:pPr>
      <w:r w:rsidRPr="00657134">
        <w:rPr>
          <w:sz w:val="24"/>
          <w:szCs w:val="24"/>
          <w:u w:val="single" w:color="000000"/>
          <w:lang w:val="en-US"/>
        </w:rPr>
        <w:t>Attention deficit hyperactivity disorder (ADHD)</w:t>
      </w:r>
    </w:p>
    <w:p w:rsidR="00994D29" w:rsidRDefault="00994D29" w:rsidP="00994D29">
      <w:pPr>
        <w:ind w:left="851"/>
        <w:rPr>
          <w:sz w:val="24"/>
          <w:szCs w:val="24"/>
        </w:rPr>
      </w:pPr>
      <w:proofErr w:type="spellStart"/>
      <w:r>
        <w:rPr>
          <w:sz w:val="24"/>
          <w:szCs w:val="24"/>
        </w:rPr>
        <w:t>Methylphenidate</w:t>
      </w:r>
      <w:proofErr w:type="spellEnd"/>
      <w:r>
        <w:rPr>
          <w:sz w:val="24"/>
          <w:szCs w:val="24"/>
        </w:rPr>
        <w:t xml:space="preserve"> "</w:t>
      </w:r>
      <w:proofErr w:type="spellStart"/>
      <w:r>
        <w:rPr>
          <w:sz w:val="24"/>
          <w:szCs w:val="24"/>
        </w:rPr>
        <w:t>Actavis</w:t>
      </w:r>
      <w:proofErr w:type="spellEnd"/>
      <w:r>
        <w:rPr>
          <w:sz w:val="24"/>
          <w:szCs w:val="24"/>
        </w:rPr>
        <w:t xml:space="preserve">" er indiceret som del af et omfattende behandlingsprogram for ADHD (attention deficit </w:t>
      </w:r>
      <w:proofErr w:type="spellStart"/>
      <w:r>
        <w:rPr>
          <w:sz w:val="24"/>
          <w:szCs w:val="24"/>
        </w:rPr>
        <w:t>hyperactivity</w:t>
      </w:r>
      <w:proofErr w:type="spellEnd"/>
      <w:r>
        <w:rPr>
          <w:sz w:val="24"/>
          <w:szCs w:val="24"/>
        </w:rPr>
        <w:t xml:space="preserve"> </w:t>
      </w:r>
      <w:proofErr w:type="spellStart"/>
      <w:r>
        <w:rPr>
          <w:sz w:val="24"/>
          <w:szCs w:val="24"/>
        </w:rPr>
        <w:t>disorder</w:t>
      </w:r>
      <w:proofErr w:type="spellEnd"/>
      <w:r>
        <w:rPr>
          <w:sz w:val="24"/>
          <w:szCs w:val="24"/>
        </w:rPr>
        <w:t>) hos børn på 6 år og voksne, hvis afhjælpende tiltag alene har vist sig utilstrækkelige.</w:t>
      </w:r>
    </w:p>
    <w:p w:rsidR="00994D29" w:rsidRDefault="00994D29" w:rsidP="00994D29">
      <w:pPr>
        <w:ind w:left="851"/>
        <w:rPr>
          <w:sz w:val="24"/>
          <w:szCs w:val="24"/>
        </w:rPr>
      </w:pPr>
      <w:r>
        <w:rPr>
          <w:b/>
          <w:bCs/>
          <w:sz w:val="24"/>
          <w:szCs w:val="24"/>
        </w:rPr>
        <w:t>Behandlingen skal initieres og superviseres af en læge med speciale i behandling af ADHD som f.eks. en pædiatrisk speciallæge, en børne- og ungepsykiater eller en voksenpsykiater.</w:t>
      </w:r>
    </w:p>
    <w:p w:rsidR="00994D29" w:rsidRDefault="00994D29" w:rsidP="00994D29">
      <w:pPr>
        <w:ind w:left="851"/>
        <w:rPr>
          <w:sz w:val="24"/>
          <w:szCs w:val="24"/>
        </w:rPr>
      </w:pPr>
    </w:p>
    <w:p w:rsidR="00994D29" w:rsidRDefault="00994D29" w:rsidP="00994D29">
      <w:pPr>
        <w:ind w:left="851"/>
        <w:rPr>
          <w:sz w:val="24"/>
          <w:szCs w:val="24"/>
        </w:rPr>
      </w:pPr>
      <w:r>
        <w:rPr>
          <w:sz w:val="24"/>
          <w:szCs w:val="24"/>
          <w:u w:val="single"/>
        </w:rPr>
        <w:t>Særlige diagnostiske overvejelser ved ADHD hos børn</w:t>
      </w:r>
      <w:r>
        <w:rPr>
          <w:sz w:val="24"/>
          <w:szCs w:val="24"/>
        </w:rPr>
        <w:br/>
        <w:t xml:space="preserve">Diagnosen skal stilles i henhold til gældende DSM-kriterier eller </w:t>
      </w:r>
      <w:proofErr w:type="gramStart"/>
      <w:r>
        <w:rPr>
          <w:sz w:val="24"/>
          <w:szCs w:val="24"/>
        </w:rPr>
        <w:t>ICD retningslinjer</w:t>
      </w:r>
      <w:proofErr w:type="gramEnd"/>
      <w:r>
        <w:rPr>
          <w:sz w:val="24"/>
          <w:szCs w:val="24"/>
        </w:rPr>
        <w:t>, og den skal være baseret på en udtømmende anamnese og vurdering af patienten. Det er ønskeligt med bekræftelse fra en tredjepart, og en diagnose kan ikke stilles alene ud fra tilstedeværelsen af ét eller flere symptomer.</w:t>
      </w:r>
    </w:p>
    <w:p w:rsidR="008E4AD7" w:rsidRPr="00BF3CBC" w:rsidRDefault="008E4AD7" w:rsidP="008E4AD7">
      <w:pPr>
        <w:ind w:left="851" w:hanging="851"/>
        <w:rPr>
          <w:sz w:val="24"/>
          <w:szCs w:val="24"/>
        </w:rPr>
      </w:pPr>
    </w:p>
    <w:p w:rsidR="008E4AD7" w:rsidRPr="00BF3CBC" w:rsidRDefault="008E4AD7" w:rsidP="008E4AD7">
      <w:pPr>
        <w:ind w:left="851"/>
        <w:rPr>
          <w:sz w:val="24"/>
          <w:szCs w:val="24"/>
        </w:rPr>
      </w:pPr>
      <w:r w:rsidRPr="00BF3CBC">
        <w:rPr>
          <w:sz w:val="24"/>
          <w:szCs w:val="24"/>
        </w:rPr>
        <w:t>Syndromets specifikke ætiologi er ukendt, og der findes ingen enkeltstående diagnostisk test. En tilstrækkelig diagnose kræver, at lægefaglig samt specialiseret psykologisk, pædagogisk og social arbejdskraft inddrages.</w:t>
      </w:r>
    </w:p>
    <w:p w:rsidR="008E4AD7" w:rsidRPr="00BF3CBC" w:rsidRDefault="008E4AD7" w:rsidP="008E4AD7">
      <w:pPr>
        <w:ind w:left="851" w:hanging="851"/>
        <w:rPr>
          <w:sz w:val="24"/>
          <w:szCs w:val="24"/>
        </w:rPr>
      </w:pPr>
    </w:p>
    <w:p w:rsidR="008E4AD7" w:rsidRPr="00BF3CBC" w:rsidRDefault="008E4AD7" w:rsidP="008E4AD7">
      <w:pPr>
        <w:ind w:left="851"/>
        <w:rPr>
          <w:sz w:val="24"/>
          <w:szCs w:val="24"/>
        </w:rPr>
      </w:pPr>
      <w:r w:rsidRPr="00BF3CBC">
        <w:rPr>
          <w:sz w:val="24"/>
          <w:szCs w:val="24"/>
        </w:rPr>
        <w:t xml:space="preserve">Et dækkende behandlingsprogram vil almindeligvis omfatte psykologiske, pædagogiske og sociale tiltag samt </w:t>
      </w:r>
      <w:proofErr w:type="spellStart"/>
      <w:r w:rsidRPr="00BF3CBC">
        <w:rPr>
          <w:sz w:val="24"/>
          <w:szCs w:val="24"/>
        </w:rPr>
        <w:t>farmakoterapi</w:t>
      </w:r>
      <w:proofErr w:type="spellEnd"/>
      <w:r w:rsidRPr="00BF3CBC">
        <w:rPr>
          <w:sz w:val="24"/>
          <w:szCs w:val="24"/>
        </w:rPr>
        <w:t xml:space="preserve"> med henblik på at stabilisere børn med et adfærdssyndrom, der kendetegnes af symptomer, som kan omfatte et varigt forløb med kort opmærksomhedsspændvidde, distraktion, følelsesmæssig labilitet, impulsivitet, moderat til svær hyperaktivitet, mindre neurologiske tegn og unormal EEG. Indlæringsevnen kan være svækket, men ikke nødvendigvis.</w:t>
      </w:r>
    </w:p>
    <w:p w:rsidR="008E4AD7" w:rsidRPr="00BF3CBC" w:rsidRDefault="008E4AD7" w:rsidP="008E4AD7">
      <w:pPr>
        <w:ind w:left="851" w:hanging="851"/>
        <w:rPr>
          <w:sz w:val="24"/>
          <w:szCs w:val="24"/>
        </w:rPr>
      </w:pPr>
    </w:p>
    <w:p w:rsidR="008E4AD7" w:rsidRPr="00BF3CBC" w:rsidRDefault="008E4AD7" w:rsidP="008E4AD7">
      <w:pPr>
        <w:ind w:left="851"/>
        <w:rPr>
          <w:sz w:val="24"/>
          <w:szCs w:val="24"/>
        </w:rPr>
      </w:pPr>
      <w:r w:rsidRPr="00BF3CBC">
        <w:rPr>
          <w:sz w:val="24"/>
          <w:szCs w:val="24"/>
        </w:rPr>
        <w:t xml:space="preserve">Behandling med </w:t>
      </w:r>
      <w:proofErr w:type="spellStart"/>
      <w:r w:rsidR="00994D29">
        <w:rPr>
          <w:sz w:val="24"/>
          <w:szCs w:val="24"/>
        </w:rPr>
        <w:t>m</w:t>
      </w:r>
      <w:r w:rsidRPr="00BF3CBC">
        <w:rPr>
          <w:sz w:val="24"/>
          <w:szCs w:val="24"/>
        </w:rPr>
        <w:t>ethylphenidat</w:t>
      </w:r>
      <w:proofErr w:type="spellEnd"/>
      <w:r w:rsidRPr="00BF3CBC">
        <w:rPr>
          <w:sz w:val="24"/>
          <w:szCs w:val="24"/>
        </w:rPr>
        <w:t xml:space="preserve"> er ikke indiceret til alle børn med ADHD, og beslutningen om at anvende lægemidlet skal bygge på en meget grundig vurdering af sværhedsgrad og varighed af barnets symptomer i forhold til dets alder.</w:t>
      </w:r>
    </w:p>
    <w:p w:rsidR="008E4AD7" w:rsidRPr="00BF3CBC" w:rsidRDefault="008E4AD7" w:rsidP="008E4AD7">
      <w:pPr>
        <w:ind w:left="851" w:hanging="851"/>
        <w:rPr>
          <w:sz w:val="24"/>
          <w:szCs w:val="24"/>
        </w:rPr>
      </w:pPr>
    </w:p>
    <w:p w:rsidR="008E4AD7" w:rsidRDefault="008E4AD7" w:rsidP="008E4AD7">
      <w:pPr>
        <w:ind w:left="851"/>
        <w:rPr>
          <w:sz w:val="24"/>
          <w:szCs w:val="24"/>
        </w:rPr>
      </w:pPr>
      <w:r w:rsidRPr="00BF3CBC">
        <w:rPr>
          <w:sz w:val="24"/>
          <w:szCs w:val="24"/>
        </w:rPr>
        <w:t xml:space="preserve">Relevant pædagogisk støtte er meget vigtig, og psykosocial intervention er sædvanligvis nødvendig. Når afhjælpende tiltag alene har vist sig utilstrækkelige, skal beslutningen om at ordinere et stimulerende middel bygge på en meget indgående vurdering af sværhedsgraden af barnets symptomer. </w:t>
      </w:r>
      <w:proofErr w:type="spellStart"/>
      <w:r w:rsidRPr="00BF3CBC">
        <w:rPr>
          <w:sz w:val="24"/>
          <w:szCs w:val="24"/>
        </w:rPr>
        <w:t>Methylphenidat</w:t>
      </w:r>
      <w:proofErr w:type="spellEnd"/>
      <w:r w:rsidRPr="00BF3CBC">
        <w:rPr>
          <w:sz w:val="24"/>
          <w:szCs w:val="24"/>
        </w:rPr>
        <w:t xml:space="preserve"> skal altid anvendes på denne måde i henhold til den godkendte indikation samt retningslinjer for ordination og diagnostik.</w:t>
      </w:r>
    </w:p>
    <w:p w:rsidR="00994D29" w:rsidRDefault="00994D29" w:rsidP="008E4AD7">
      <w:pPr>
        <w:ind w:left="851"/>
        <w:rPr>
          <w:sz w:val="24"/>
          <w:szCs w:val="24"/>
        </w:rPr>
      </w:pPr>
    </w:p>
    <w:p w:rsidR="00994D29" w:rsidRDefault="00994D29" w:rsidP="00994D29">
      <w:pPr>
        <w:ind w:left="851"/>
        <w:rPr>
          <w:sz w:val="24"/>
          <w:szCs w:val="24"/>
          <w:u w:val="single"/>
        </w:rPr>
      </w:pPr>
      <w:r>
        <w:rPr>
          <w:sz w:val="24"/>
          <w:szCs w:val="24"/>
          <w:u w:val="single"/>
        </w:rPr>
        <w:t>Særlige diagnostiske overvejelser ved ADHD hos voksne</w:t>
      </w:r>
    </w:p>
    <w:p w:rsidR="00994D29" w:rsidRDefault="00994D29" w:rsidP="00994D29">
      <w:pPr>
        <w:ind w:left="851"/>
        <w:rPr>
          <w:sz w:val="24"/>
          <w:szCs w:val="24"/>
        </w:rPr>
      </w:pPr>
      <w:r>
        <w:rPr>
          <w:sz w:val="24"/>
          <w:szCs w:val="24"/>
        </w:rPr>
        <w:t>En diagnose skal foretages i overensstemmelse med de aktuelle DSM-kriterier eller ICD-retningslinjer, og skal være baseret på en komplet anamnese og vurdering af patienten.</w:t>
      </w:r>
    </w:p>
    <w:p w:rsidR="00994D29" w:rsidRDefault="00994D29" w:rsidP="00994D29">
      <w:pPr>
        <w:ind w:left="851"/>
        <w:rPr>
          <w:sz w:val="24"/>
          <w:szCs w:val="24"/>
        </w:rPr>
      </w:pPr>
    </w:p>
    <w:p w:rsidR="00994D29" w:rsidRDefault="00994D29" w:rsidP="00994D29">
      <w:pPr>
        <w:ind w:left="851"/>
        <w:rPr>
          <w:sz w:val="24"/>
          <w:szCs w:val="24"/>
        </w:rPr>
      </w:pPr>
      <w:r>
        <w:rPr>
          <w:sz w:val="24"/>
          <w:szCs w:val="24"/>
        </w:rPr>
        <w:t xml:space="preserve">Syndromets specifikke ætiologi er ukendt, og kan ikke diagnosticeres på baggrund af en enkelt diagnostisk test. Voksne med ADHD har symptommønstre, der er kendetegnet ved rastløshed, utålmodighed og uopmærksomhed. Symptomer som f.eks. hyperaktivitet har tendens til at mindskes med stigende alder, muligvis på grund af adaptation, </w:t>
      </w:r>
      <w:proofErr w:type="spellStart"/>
      <w:r>
        <w:rPr>
          <w:sz w:val="24"/>
          <w:szCs w:val="24"/>
        </w:rPr>
        <w:t>neuro</w:t>
      </w:r>
      <w:r w:rsidR="00DD68A2">
        <w:rPr>
          <w:sz w:val="24"/>
          <w:szCs w:val="24"/>
        </w:rPr>
        <w:softHyphen/>
      </w:r>
      <w:r>
        <w:rPr>
          <w:sz w:val="24"/>
          <w:szCs w:val="24"/>
        </w:rPr>
        <w:t>udvikling</w:t>
      </w:r>
      <w:proofErr w:type="spellEnd"/>
      <w:r>
        <w:rPr>
          <w:sz w:val="24"/>
          <w:szCs w:val="24"/>
        </w:rPr>
        <w:t xml:space="preserve"> og selvmedicinering. Symptomer på uopmærksomhed er mere fremtrædende og har en kraftigere indvirkning på voksne med ADHD. Diagnosticeringen af voksne skal omfatte et struktureret patientinterview til bestemmelse af de aktuelle symptomer. En anamnese med ADHD, i barndommen, er en forudsætning og skal bestemmes retrospektivt (ved hjælp af patientens journal eller, hvis denne ikke er tilgængelig, ved hjælp af passende og strukturerede instrumenter/interviews). Det er ønskeligt med bekræftelse fra en tredjepart, og behandling må ikke påbegyndes, hvis verificering af </w:t>
      </w:r>
      <w:proofErr w:type="gramStart"/>
      <w:r>
        <w:rPr>
          <w:sz w:val="24"/>
          <w:szCs w:val="24"/>
        </w:rPr>
        <w:t>ADHD symptomer</w:t>
      </w:r>
      <w:proofErr w:type="gramEnd"/>
      <w:r>
        <w:rPr>
          <w:sz w:val="24"/>
          <w:szCs w:val="24"/>
        </w:rPr>
        <w:t xml:space="preserve"> i barndommen er usikker. En diagnose må ikke udelukkende baseres på tilstedeværelse af et eller flere symptomer. Beslutningen om at anvende stimulerende midler hos voksne skal baseres på meget grundig vurdering, og diagnosen skal omfatte moderat til svær funktionsnedsættelse i mindst 2 miljøer (for eksempel social, akademisk og/eller erhvervsmæssig funktionsevne), som påvirker flere aspekter af personens liv.</w:t>
      </w:r>
    </w:p>
    <w:p w:rsidR="008E4AD7" w:rsidRPr="00BF3CBC" w:rsidRDefault="008E4AD7" w:rsidP="008E4AD7">
      <w:pPr>
        <w:tabs>
          <w:tab w:val="left" w:pos="851"/>
        </w:tabs>
        <w:ind w:left="851" w:hanging="851"/>
        <w:rPr>
          <w:sz w:val="24"/>
          <w:szCs w:val="24"/>
        </w:rPr>
      </w:pPr>
    </w:p>
    <w:p w:rsidR="00657134" w:rsidRPr="00C84483" w:rsidRDefault="00657134" w:rsidP="00657134">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8E4AD7" w:rsidRDefault="008E4AD7" w:rsidP="008E4AD7">
      <w:pPr>
        <w:ind w:left="851"/>
        <w:rPr>
          <w:sz w:val="24"/>
          <w:szCs w:val="24"/>
        </w:rPr>
      </w:pPr>
    </w:p>
    <w:p w:rsidR="00994D29" w:rsidRDefault="00994D29" w:rsidP="00994D29">
      <w:pPr>
        <w:ind w:left="851"/>
        <w:rPr>
          <w:b/>
          <w:sz w:val="24"/>
          <w:szCs w:val="24"/>
        </w:rPr>
      </w:pPr>
      <w:r>
        <w:rPr>
          <w:b/>
          <w:sz w:val="24"/>
          <w:szCs w:val="24"/>
        </w:rPr>
        <w:t>Behandlingen skal påbegyndes og superviseres af en læge med speciale i behandling af ADHD som f.eks. en pædiatrisk speciallæge, en børne- og ungepsykiater eller en voksenpsykiater.</w:t>
      </w:r>
    </w:p>
    <w:p w:rsidR="008E4AD7" w:rsidRPr="00BF3CBC" w:rsidRDefault="008E4AD7" w:rsidP="00E90286">
      <w:pPr>
        <w:ind w:left="851"/>
        <w:rPr>
          <w:sz w:val="24"/>
          <w:szCs w:val="24"/>
        </w:rPr>
      </w:pPr>
    </w:p>
    <w:p w:rsidR="008E4AD7" w:rsidRPr="00BF3CBC" w:rsidRDefault="008E4AD7" w:rsidP="00E90286">
      <w:pPr>
        <w:ind w:left="851"/>
        <w:rPr>
          <w:sz w:val="24"/>
          <w:szCs w:val="24"/>
        </w:rPr>
      </w:pPr>
      <w:r w:rsidRPr="00BF3CBC">
        <w:rPr>
          <w:sz w:val="24"/>
          <w:szCs w:val="24"/>
          <w:u w:val="single" w:color="000000"/>
        </w:rPr>
        <w:t>Undersøgelser før behandling:</w:t>
      </w:r>
    </w:p>
    <w:p w:rsidR="00994D29" w:rsidRDefault="00994D29" w:rsidP="00E90286">
      <w:pPr>
        <w:ind w:left="851"/>
        <w:rPr>
          <w:sz w:val="24"/>
          <w:szCs w:val="24"/>
        </w:rPr>
      </w:pPr>
    </w:p>
    <w:p w:rsidR="00994D29" w:rsidRDefault="00994D29" w:rsidP="00E90286">
      <w:pPr>
        <w:ind w:left="851"/>
        <w:rPr>
          <w:sz w:val="24"/>
          <w:szCs w:val="24"/>
        </w:rPr>
      </w:pPr>
      <w:r>
        <w:rPr>
          <w:sz w:val="24"/>
          <w:szCs w:val="24"/>
        </w:rPr>
        <w:t xml:space="preserve">Hos voksne, der ikke tidligere har fået </w:t>
      </w:r>
      <w:proofErr w:type="spellStart"/>
      <w:r>
        <w:rPr>
          <w:sz w:val="24"/>
          <w:szCs w:val="24"/>
        </w:rPr>
        <w:t>Methylphenidate</w:t>
      </w:r>
      <w:proofErr w:type="spellEnd"/>
      <w:r>
        <w:rPr>
          <w:sz w:val="24"/>
          <w:szCs w:val="24"/>
        </w:rPr>
        <w:t xml:space="preserve"> "</w:t>
      </w:r>
      <w:proofErr w:type="spellStart"/>
      <w:r>
        <w:rPr>
          <w:sz w:val="24"/>
          <w:szCs w:val="24"/>
        </w:rPr>
        <w:t>Actavis</w:t>
      </w:r>
      <w:proofErr w:type="spellEnd"/>
      <w:r>
        <w:rPr>
          <w:sz w:val="24"/>
          <w:szCs w:val="24"/>
        </w:rPr>
        <w:t xml:space="preserve">", og hvis national praksis kræver det, skal en kardiolog konsulteres, inden behandlingen påbegyndes, med henblik på at kontrollere, at der ikke er nogen </w:t>
      </w:r>
      <w:proofErr w:type="spellStart"/>
      <w:r>
        <w:rPr>
          <w:sz w:val="24"/>
          <w:szCs w:val="24"/>
        </w:rPr>
        <w:t>kardiovaskulære</w:t>
      </w:r>
      <w:proofErr w:type="spellEnd"/>
      <w:r>
        <w:rPr>
          <w:sz w:val="24"/>
          <w:szCs w:val="24"/>
        </w:rPr>
        <w:t xml:space="preserve"> kontraindikationer. </w:t>
      </w:r>
    </w:p>
    <w:p w:rsidR="008E4AD7" w:rsidRPr="00BF3CBC" w:rsidRDefault="008E4AD7" w:rsidP="00E90286">
      <w:pPr>
        <w:ind w:left="851"/>
        <w:rPr>
          <w:sz w:val="24"/>
          <w:szCs w:val="24"/>
        </w:rPr>
      </w:pPr>
      <w:r w:rsidRPr="00BF3CBC">
        <w:rPr>
          <w:sz w:val="24"/>
          <w:szCs w:val="24"/>
        </w:rPr>
        <w:t xml:space="preserve">Forud for ordination er det nødvendigt at udføre en baseline-evaluering af patientens </w:t>
      </w:r>
      <w:proofErr w:type="spellStart"/>
      <w:r w:rsidRPr="00BF3CBC">
        <w:rPr>
          <w:sz w:val="24"/>
          <w:szCs w:val="24"/>
        </w:rPr>
        <w:t>kardiovaskulære</w:t>
      </w:r>
      <w:proofErr w:type="spellEnd"/>
      <w:r w:rsidRPr="00BF3CBC">
        <w:rPr>
          <w:sz w:val="24"/>
          <w:szCs w:val="24"/>
        </w:rPr>
        <w:t xml:space="preserve"> tilstand, herunder blodtryk og hjertefrekvens. En detaljeret anamnese skal dokumentere ledsagende medicinering, nuværende og tidligere </w:t>
      </w:r>
      <w:proofErr w:type="spellStart"/>
      <w:r w:rsidRPr="00BF3CBC">
        <w:rPr>
          <w:sz w:val="24"/>
          <w:szCs w:val="24"/>
        </w:rPr>
        <w:t>komorbide</w:t>
      </w:r>
      <w:proofErr w:type="spellEnd"/>
      <w:r w:rsidRPr="00BF3CBC">
        <w:rPr>
          <w:sz w:val="24"/>
          <w:szCs w:val="24"/>
        </w:rPr>
        <w:t xml:space="preserve"> medicinske og psykiatriske sygdomme eller symptomer, familieanamnese vedrørende pludselig hjertedød/uforklarlig død samt præcis angivelse af højde og vægt på en vækstkurve (se </w:t>
      </w:r>
      <w:r>
        <w:rPr>
          <w:sz w:val="24"/>
          <w:szCs w:val="24"/>
        </w:rPr>
        <w:t>pkt.</w:t>
      </w:r>
      <w:r w:rsidRPr="00BF3CBC">
        <w:rPr>
          <w:sz w:val="24"/>
          <w:szCs w:val="24"/>
        </w:rPr>
        <w:t xml:space="preserve"> 4.3 og 4.4).</w:t>
      </w:r>
    </w:p>
    <w:p w:rsidR="008E4AD7" w:rsidRPr="00BF3CBC" w:rsidRDefault="008E4AD7" w:rsidP="00E90286">
      <w:pPr>
        <w:ind w:left="851"/>
        <w:rPr>
          <w:sz w:val="24"/>
          <w:szCs w:val="24"/>
        </w:rPr>
      </w:pPr>
    </w:p>
    <w:p w:rsidR="008E4AD7" w:rsidRPr="00BF3CBC" w:rsidRDefault="008E4AD7" w:rsidP="00E90286">
      <w:pPr>
        <w:ind w:left="851"/>
        <w:rPr>
          <w:sz w:val="24"/>
          <w:szCs w:val="24"/>
        </w:rPr>
      </w:pPr>
      <w:r w:rsidRPr="00BF3CBC">
        <w:rPr>
          <w:sz w:val="24"/>
          <w:szCs w:val="24"/>
          <w:u w:val="single" w:color="000000"/>
        </w:rPr>
        <w:t>Løbende monitorering:</w:t>
      </w:r>
    </w:p>
    <w:p w:rsidR="008E4AD7" w:rsidRPr="00BF3CBC" w:rsidRDefault="008E4AD7" w:rsidP="00E90286">
      <w:pPr>
        <w:ind w:left="851"/>
        <w:rPr>
          <w:sz w:val="24"/>
          <w:szCs w:val="24"/>
        </w:rPr>
      </w:pPr>
      <w:r w:rsidRPr="00BF3CBC">
        <w:rPr>
          <w:sz w:val="24"/>
          <w:szCs w:val="24"/>
        </w:rPr>
        <w:t xml:space="preserve">Patientens vækst, psykiatriske status og </w:t>
      </w:r>
      <w:proofErr w:type="spellStart"/>
      <w:r w:rsidRPr="00BF3CBC">
        <w:rPr>
          <w:sz w:val="24"/>
          <w:szCs w:val="24"/>
        </w:rPr>
        <w:t>kardiovaskulære</w:t>
      </w:r>
      <w:proofErr w:type="spellEnd"/>
      <w:r w:rsidRPr="00BF3CBC">
        <w:rPr>
          <w:sz w:val="24"/>
          <w:szCs w:val="24"/>
        </w:rPr>
        <w:t xml:space="preserve"> status skal monitoreres kontinuerligt (se også </w:t>
      </w:r>
      <w:r>
        <w:rPr>
          <w:sz w:val="24"/>
          <w:szCs w:val="24"/>
        </w:rPr>
        <w:t>pkt.</w:t>
      </w:r>
      <w:r w:rsidRPr="00BF3CBC">
        <w:rPr>
          <w:sz w:val="24"/>
          <w:szCs w:val="24"/>
        </w:rPr>
        <w:t xml:space="preserve"> 4.4).</w:t>
      </w:r>
    </w:p>
    <w:p w:rsidR="008E4AD7" w:rsidRPr="00BF3CBC" w:rsidRDefault="008E4AD7" w:rsidP="00E90286">
      <w:pPr>
        <w:ind w:left="851"/>
        <w:rPr>
          <w:sz w:val="24"/>
          <w:szCs w:val="24"/>
        </w:rPr>
      </w:pPr>
    </w:p>
    <w:p w:rsidR="00994D29" w:rsidRDefault="00994D29" w:rsidP="00994D29">
      <w:pPr>
        <w:numPr>
          <w:ilvl w:val="0"/>
          <w:numId w:val="9"/>
        </w:numPr>
        <w:ind w:left="1276" w:hanging="425"/>
        <w:rPr>
          <w:sz w:val="24"/>
          <w:szCs w:val="24"/>
        </w:rPr>
      </w:pPr>
      <w:r>
        <w:rPr>
          <w:sz w:val="24"/>
          <w:szCs w:val="24"/>
        </w:rPr>
        <w:t xml:space="preserve">Blodtryk og puls skal kontrolleres og anføres på en </w:t>
      </w:r>
      <w:proofErr w:type="spellStart"/>
      <w:r>
        <w:rPr>
          <w:sz w:val="24"/>
          <w:szCs w:val="24"/>
        </w:rPr>
        <w:t>percentil</w:t>
      </w:r>
      <w:proofErr w:type="spellEnd"/>
      <w:r>
        <w:rPr>
          <w:sz w:val="24"/>
          <w:szCs w:val="24"/>
        </w:rPr>
        <w:t xml:space="preserve"> kurve ved hver dosisjustering og derefter mindst hver 6. måned.</w:t>
      </w:r>
    </w:p>
    <w:p w:rsidR="00994D29" w:rsidRDefault="00994D29" w:rsidP="00994D29">
      <w:pPr>
        <w:numPr>
          <w:ilvl w:val="0"/>
          <w:numId w:val="9"/>
        </w:numPr>
        <w:ind w:left="1276" w:hanging="425"/>
        <w:rPr>
          <w:sz w:val="24"/>
          <w:szCs w:val="24"/>
        </w:rPr>
      </w:pPr>
      <w:r>
        <w:rPr>
          <w:sz w:val="24"/>
          <w:szCs w:val="24"/>
        </w:rPr>
        <w:t>Hos børn skal højde, vægt og appetit registreres mindst hver 6. måned og ajourføres på en vækstkurve.</w:t>
      </w:r>
    </w:p>
    <w:p w:rsidR="00994D29" w:rsidRDefault="00994D29" w:rsidP="00994D29">
      <w:pPr>
        <w:numPr>
          <w:ilvl w:val="0"/>
          <w:numId w:val="9"/>
        </w:numPr>
        <w:ind w:left="1276" w:hanging="425"/>
        <w:rPr>
          <w:sz w:val="24"/>
          <w:szCs w:val="24"/>
        </w:rPr>
      </w:pPr>
      <w:r>
        <w:rPr>
          <w:sz w:val="24"/>
          <w:szCs w:val="24"/>
        </w:rPr>
        <w:t>Hos voksne skal vægt kontrolleres jævnligt.</w:t>
      </w:r>
    </w:p>
    <w:p w:rsidR="00994D29" w:rsidRDefault="00994D29" w:rsidP="00994D29">
      <w:pPr>
        <w:numPr>
          <w:ilvl w:val="0"/>
          <w:numId w:val="9"/>
        </w:numPr>
        <w:ind w:left="1276" w:hanging="425"/>
        <w:rPr>
          <w:sz w:val="24"/>
          <w:szCs w:val="24"/>
        </w:rPr>
      </w:pPr>
      <w:r>
        <w:rPr>
          <w:sz w:val="24"/>
          <w:szCs w:val="24"/>
        </w:rPr>
        <w:t xml:space="preserve">Udvikling af nye eller forværring af </w:t>
      </w:r>
      <w:proofErr w:type="spellStart"/>
      <w:r>
        <w:rPr>
          <w:sz w:val="24"/>
          <w:szCs w:val="24"/>
        </w:rPr>
        <w:t>forudeksisterende</w:t>
      </w:r>
      <w:proofErr w:type="spellEnd"/>
      <w:r>
        <w:rPr>
          <w:sz w:val="24"/>
          <w:szCs w:val="24"/>
        </w:rPr>
        <w:t xml:space="preserve"> psykiatriske sygdomme skal kontrolleres ved hver dosisjustering og efterfølgende mindst hver 6. måned samt ved hver konsultation.</w:t>
      </w:r>
    </w:p>
    <w:p w:rsidR="008E4AD7" w:rsidRPr="00BF3CBC" w:rsidRDefault="008E4AD7" w:rsidP="00E90286">
      <w:pPr>
        <w:ind w:left="851"/>
        <w:rPr>
          <w:sz w:val="24"/>
          <w:szCs w:val="24"/>
        </w:rPr>
      </w:pPr>
    </w:p>
    <w:p w:rsidR="008E4AD7" w:rsidRPr="00BF3CBC" w:rsidRDefault="008E4AD7" w:rsidP="00E90286">
      <w:pPr>
        <w:ind w:left="851"/>
        <w:rPr>
          <w:sz w:val="24"/>
          <w:szCs w:val="24"/>
        </w:rPr>
      </w:pPr>
      <w:r w:rsidRPr="00BF3CBC">
        <w:rPr>
          <w:sz w:val="24"/>
          <w:szCs w:val="24"/>
        </w:rPr>
        <w:t xml:space="preserve">Patienterne skal monitoreres for risikoen for videresalg, forkert brug og misbrug af </w:t>
      </w:r>
      <w:proofErr w:type="spellStart"/>
      <w:r w:rsidRPr="00BF3CBC">
        <w:rPr>
          <w:sz w:val="24"/>
          <w:szCs w:val="24"/>
        </w:rPr>
        <w:t>methylphenidat</w:t>
      </w:r>
      <w:proofErr w:type="spellEnd"/>
      <w:r w:rsidRPr="00BF3CBC">
        <w:rPr>
          <w:sz w:val="24"/>
          <w:szCs w:val="24"/>
        </w:rPr>
        <w:t>.</w:t>
      </w:r>
    </w:p>
    <w:p w:rsidR="008E4AD7" w:rsidRDefault="008E4AD7" w:rsidP="00E90286">
      <w:pPr>
        <w:ind w:left="851"/>
        <w:rPr>
          <w:sz w:val="24"/>
          <w:szCs w:val="24"/>
        </w:rPr>
      </w:pPr>
    </w:p>
    <w:p w:rsidR="008E4AD7" w:rsidRPr="00994D29" w:rsidRDefault="008E4AD7" w:rsidP="00E90286">
      <w:pPr>
        <w:ind w:left="851"/>
        <w:rPr>
          <w:sz w:val="24"/>
          <w:szCs w:val="24"/>
          <w:u w:val="single"/>
        </w:rPr>
      </w:pPr>
      <w:r w:rsidRPr="00994D29">
        <w:rPr>
          <w:sz w:val="24"/>
          <w:szCs w:val="24"/>
          <w:u w:val="single"/>
        </w:rPr>
        <w:t>Dosistitrering</w:t>
      </w:r>
    </w:p>
    <w:p w:rsidR="00994D29" w:rsidRDefault="00994D29" w:rsidP="00E90286">
      <w:pPr>
        <w:ind w:left="851"/>
        <w:rPr>
          <w:sz w:val="24"/>
          <w:szCs w:val="24"/>
        </w:rPr>
      </w:pPr>
    </w:p>
    <w:p w:rsidR="008E4AD7" w:rsidRPr="00BF3CBC" w:rsidRDefault="008E4AD7" w:rsidP="00E90286">
      <w:pPr>
        <w:ind w:left="851"/>
        <w:rPr>
          <w:sz w:val="24"/>
          <w:szCs w:val="24"/>
        </w:rPr>
      </w:pPr>
      <w:r w:rsidRPr="00BF3CBC">
        <w:rPr>
          <w:sz w:val="24"/>
          <w:szCs w:val="24"/>
        </w:rPr>
        <w:t xml:space="preserve">Omhyggelig dosistitrering er nødvendig ved opstart af behandling med </w:t>
      </w:r>
      <w:proofErr w:type="spellStart"/>
      <w:r w:rsidR="00653458">
        <w:rPr>
          <w:sz w:val="24"/>
          <w:szCs w:val="24"/>
        </w:rPr>
        <w:t>m</w:t>
      </w:r>
      <w:r w:rsidRPr="00BF3CBC">
        <w:rPr>
          <w:sz w:val="24"/>
          <w:szCs w:val="24"/>
        </w:rPr>
        <w:t>ethylphenidat</w:t>
      </w:r>
      <w:proofErr w:type="spellEnd"/>
      <w:r w:rsidRPr="00BF3CBC">
        <w:rPr>
          <w:sz w:val="24"/>
          <w:szCs w:val="24"/>
        </w:rPr>
        <w:t>. Dosistitrering bør begynde ved lavest mulige dosis. 27 mg dosisstyrke er til rådighed, såfremt behandleren ønsker at ordinere dosis midt imellem 18 mg og 36 mg.</w:t>
      </w:r>
    </w:p>
    <w:p w:rsidR="008E4AD7" w:rsidRPr="00BF3CBC" w:rsidRDefault="008E4AD7" w:rsidP="00E90286">
      <w:pPr>
        <w:ind w:left="851"/>
        <w:rPr>
          <w:sz w:val="24"/>
          <w:szCs w:val="24"/>
        </w:rPr>
      </w:pPr>
    </w:p>
    <w:p w:rsidR="008E4AD7" w:rsidRPr="00BF3CBC" w:rsidRDefault="008E4AD7" w:rsidP="00E90286">
      <w:pPr>
        <w:ind w:left="851"/>
        <w:rPr>
          <w:sz w:val="24"/>
          <w:szCs w:val="24"/>
        </w:rPr>
      </w:pPr>
      <w:r w:rsidRPr="00BF3CBC">
        <w:rPr>
          <w:sz w:val="24"/>
          <w:szCs w:val="24"/>
        </w:rPr>
        <w:t>Hvis dosis ikke kan gennemføres/praktiseres med dette lægemiddel, er der andre styrker og lægemidler til rådighed.</w:t>
      </w:r>
    </w:p>
    <w:p w:rsidR="008E4AD7" w:rsidRPr="00BF3CBC" w:rsidRDefault="008E4AD7" w:rsidP="00E90286">
      <w:pPr>
        <w:tabs>
          <w:tab w:val="left" w:pos="9498"/>
        </w:tabs>
        <w:ind w:left="851"/>
        <w:rPr>
          <w:sz w:val="24"/>
          <w:szCs w:val="24"/>
        </w:rPr>
      </w:pPr>
      <w:r w:rsidRPr="00BF3CBC">
        <w:rPr>
          <w:sz w:val="24"/>
          <w:szCs w:val="24"/>
        </w:rPr>
        <w:tab/>
        <w:t>Dosis kan justeres i trin à 18 mg. I almindelighed kan dosisjusteringen ske med omtrent en uges mellemrum.</w:t>
      </w:r>
    </w:p>
    <w:p w:rsidR="008E4AD7" w:rsidRPr="00BF3CBC" w:rsidRDefault="008E4AD7" w:rsidP="00E90286">
      <w:pPr>
        <w:tabs>
          <w:tab w:val="left" w:pos="9498"/>
        </w:tabs>
        <w:ind w:left="851"/>
        <w:rPr>
          <w:sz w:val="24"/>
          <w:szCs w:val="24"/>
        </w:rPr>
      </w:pPr>
    </w:p>
    <w:p w:rsidR="00994D29" w:rsidRDefault="00994D29" w:rsidP="00E90286">
      <w:pPr>
        <w:tabs>
          <w:tab w:val="left" w:pos="9498"/>
        </w:tabs>
        <w:ind w:left="851"/>
        <w:rPr>
          <w:sz w:val="24"/>
          <w:szCs w:val="24"/>
        </w:rPr>
      </w:pPr>
      <w:r>
        <w:rPr>
          <w:i/>
          <w:iCs/>
          <w:sz w:val="24"/>
          <w:szCs w:val="24"/>
        </w:rPr>
        <w:t>Børn</w:t>
      </w:r>
    </w:p>
    <w:p w:rsidR="00994D29" w:rsidRDefault="00994D29" w:rsidP="00E90286">
      <w:pPr>
        <w:ind w:left="851"/>
        <w:rPr>
          <w:sz w:val="24"/>
          <w:szCs w:val="24"/>
        </w:rPr>
      </w:pPr>
      <w:r>
        <w:rPr>
          <w:sz w:val="24"/>
          <w:szCs w:val="24"/>
        </w:rPr>
        <w:t>Den maksimale daglige dosis er 54 mg.</w:t>
      </w:r>
    </w:p>
    <w:p w:rsidR="00994D29" w:rsidRDefault="00994D29" w:rsidP="00E90286">
      <w:pPr>
        <w:ind w:left="851"/>
        <w:rPr>
          <w:sz w:val="24"/>
          <w:szCs w:val="24"/>
        </w:rPr>
      </w:pPr>
    </w:p>
    <w:p w:rsidR="00994D29" w:rsidRDefault="00994D29" w:rsidP="00E90286">
      <w:pPr>
        <w:ind w:left="851"/>
        <w:rPr>
          <w:i/>
          <w:iCs/>
          <w:sz w:val="24"/>
          <w:szCs w:val="24"/>
        </w:rPr>
      </w:pPr>
      <w:r>
        <w:rPr>
          <w:i/>
          <w:iCs/>
          <w:sz w:val="24"/>
          <w:szCs w:val="24"/>
        </w:rPr>
        <w:t>Voksne</w:t>
      </w:r>
    </w:p>
    <w:p w:rsidR="00994D29" w:rsidRDefault="00994D29" w:rsidP="00E90286">
      <w:pPr>
        <w:ind w:left="851"/>
        <w:rPr>
          <w:sz w:val="24"/>
          <w:szCs w:val="24"/>
        </w:rPr>
      </w:pPr>
      <w:r>
        <w:rPr>
          <w:sz w:val="24"/>
          <w:szCs w:val="24"/>
        </w:rPr>
        <w:t>Den maksimale daglige dosis er 72 mg.</w:t>
      </w:r>
    </w:p>
    <w:p w:rsidR="00994D29" w:rsidRDefault="00994D29" w:rsidP="00E90286">
      <w:pPr>
        <w:ind w:left="851"/>
        <w:rPr>
          <w:sz w:val="24"/>
          <w:szCs w:val="24"/>
        </w:rPr>
      </w:pPr>
    </w:p>
    <w:p w:rsidR="00994D29" w:rsidRDefault="00994D29" w:rsidP="00E90286">
      <w:pPr>
        <w:ind w:left="851"/>
        <w:rPr>
          <w:sz w:val="24"/>
          <w:szCs w:val="24"/>
        </w:rPr>
      </w:pPr>
      <w:r>
        <w:rPr>
          <w:sz w:val="24"/>
          <w:szCs w:val="24"/>
          <w:u w:val="single" w:color="000000"/>
        </w:rPr>
        <w:t>Dosering</w:t>
      </w:r>
    </w:p>
    <w:p w:rsidR="00994D29" w:rsidRDefault="00994D29" w:rsidP="00E90286">
      <w:pPr>
        <w:ind w:left="851"/>
        <w:rPr>
          <w:sz w:val="24"/>
          <w:szCs w:val="24"/>
        </w:rPr>
      </w:pPr>
    </w:p>
    <w:p w:rsidR="00994D29" w:rsidRDefault="00994D29" w:rsidP="00E90286">
      <w:pPr>
        <w:tabs>
          <w:tab w:val="left" w:pos="9498"/>
        </w:tabs>
        <w:ind w:left="851"/>
        <w:rPr>
          <w:sz w:val="24"/>
          <w:szCs w:val="24"/>
        </w:rPr>
      </w:pPr>
      <w:r>
        <w:rPr>
          <w:i/>
          <w:iCs/>
          <w:sz w:val="24"/>
          <w:szCs w:val="24"/>
        </w:rPr>
        <w:t xml:space="preserve">Børn/voksne, der ikke tidligere har fået </w:t>
      </w:r>
      <w:proofErr w:type="spellStart"/>
      <w:r>
        <w:rPr>
          <w:i/>
          <w:iCs/>
          <w:sz w:val="24"/>
          <w:szCs w:val="24"/>
        </w:rPr>
        <w:t>methylphenidat</w:t>
      </w:r>
      <w:proofErr w:type="spellEnd"/>
      <w:r>
        <w:rPr>
          <w:i/>
          <w:iCs/>
          <w:sz w:val="24"/>
          <w:szCs w:val="24"/>
        </w:rPr>
        <w:t>:</w:t>
      </w:r>
      <w:r>
        <w:rPr>
          <w:sz w:val="24"/>
          <w:szCs w:val="24"/>
        </w:rPr>
        <w:t xml:space="preserve"> </w:t>
      </w:r>
      <w:proofErr w:type="spellStart"/>
      <w:r>
        <w:rPr>
          <w:sz w:val="24"/>
          <w:szCs w:val="24"/>
        </w:rPr>
        <w:t>Methylphenidate</w:t>
      </w:r>
      <w:proofErr w:type="spellEnd"/>
      <w:r>
        <w:rPr>
          <w:sz w:val="24"/>
          <w:szCs w:val="24"/>
        </w:rPr>
        <w:t xml:space="preserve"> "</w:t>
      </w:r>
      <w:proofErr w:type="spellStart"/>
      <w:r>
        <w:rPr>
          <w:sz w:val="24"/>
          <w:szCs w:val="24"/>
        </w:rPr>
        <w:t>Actavis</w:t>
      </w:r>
      <w:proofErr w:type="spellEnd"/>
      <w:r>
        <w:rPr>
          <w:sz w:val="24"/>
          <w:szCs w:val="24"/>
        </w:rPr>
        <w:t xml:space="preserve">" er ikke indiceret til alle børn/voksne med ADHD-syndrom. Lavere doser af korttidsvirkende </w:t>
      </w:r>
      <w:proofErr w:type="spellStart"/>
      <w:r>
        <w:rPr>
          <w:sz w:val="24"/>
          <w:szCs w:val="24"/>
        </w:rPr>
        <w:t>methylphenidatformuleringer</w:t>
      </w:r>
      <w:proofErr w:type="spellEnd"/>
      <w:r>
        <w:rPr>
          <w:sz w:val="24"/>
          <w:szCs w:val="24"/>
        </w:rPr>
        <w:t xml:space="preserve"> kan ofte anses for tilstrækkeligt til behandling af børn/voksne, der ikke tidligere har fået </w:t>
      </w:r>
      <w:proofErr w:type="spellStart"/>
      <w:r>
        <w:rPr>
          <w:sz w:val="24"/>
          <w:szCs w:val="24"/>
        </w:rPr>
        <w:t>methylphenidat</w:t>
      </w:r>
      <w:proofErr w:type="spellEnd"/>
      <w:r>
        <w:rPr>
          <w:sz w:val="24"/>
          <w:szCs w:val="24"/>
        </w:rPr>
        <w:t xml:space="preserve">. Omhyggelig dosistitrering foretaget af den ansvarlige læge er påkrævet for at undgå unødvendigt høje doser af </w:t>
      </w:r>
      <w:proofErr w:type="spellStart"/>
      <w:r>
        <w:rPr>
          <w:sz w:val="24"/>
          <w:szCs w:val="24"/>
        </w:rPr>
        <w:t>methylphenidat</w:t>
      </w:r>
      <w:proofErr w:type="spellEnd"/>
      <w:r>
        <w:rPr>
          <w:sz w:val="24"/>
          <w:szCs w:val="24"/>
        </w:rPr>
        <w:t xml:space="preserve">. Den anbefalede startdosis af </w:t>
      </w:r>
      <w:proofErr w:type="spellStart"/>
      <w:r>
        <w:rPr>
          <w:sz w:val="24"/>
          <w:szCs w:val="24"/>
        </w:rPr>
        <w:t>Methylphenidate</w:t>
      </w:r>
      <w:proofErr w:type="spellEnd"/>
      <w:r>
        <w:rPr>
          <w:sz w:val="24"/>
          <w:szCs w:val="24"/>
        </w:rPr>
        <w:t xml:space="preserve"> "</w:t>
      </w:r>
      <w:proofErr w:type="spellStart"/>
      <w:r>
        <w:rPr>
          <w:sz w:val="24"/>
          <w:szCs w:val="24"/>
        </w:rPr>
        <w:t>Actavis</w:t>
      </w:r>
      <w:proofErr w:type="spellEnd"/>
      <w:r>
        <w:rPr>
          <w:sz w:val="24"/>
          <w:szCs w:val="24"/>
        </w:rPr>
        <w:t xml:space="preserve">" til børn/voksne, der ikke aktuelt tager </w:t>
      </w:r>
      <w:proofErr w:type="spellStart"/>
      <w:r>
        <w:rPr>
          <w:sz w:val="24"/>
          <w:szCs w:val="24"/>
        </w:rPr>
        <w:t>methylphenidat</w:t>
      </w:r>
      <w:proofErr w:type="spellEnd"/>
      <w:r>
        <w:rPr>
          <w:sz w:val="24"/>
          <w:szCs w:val="24"/>
        </w:rPr>
        <w:t xml:space="preserve">, eller til børn/voksne, der tager andre stimulerende midler end </w:t>
      </w:r>
      <w:proofErr w:type="spellStart"/>
      <w:r>
        <w:rPr>
          <w:sz w:val="24"/>
          <w:szCs w:val="24"/>
        </w:rPr>
        <w:t>methylphenidat</w:t>
      </w:r>
      <w:proofErr w:type="spellEnd"/>
      <w:r>
        <w:rPr>
          <w:sz w:val="24"/>
          <w:szCs w:val="24"/>
        </w:rPr>
        <w:t>, er 18 mg én gang daglig.</w:t>
      </w:r>
    </w:p>
    <w:p w:rsidR="00994D29" w:rsidRDefault="00994D29" w:rsidP="00E90286">
      <w:pPr>
        <w:ind w:left="851"/>
        <w:rPr>
          <w:sz w:val="24"/>
          <w:szCs w:val="24"/>
        </w:rPr>
      </w:pPr>
    </w:p>
    <w:p w:rsidR="00994D29" w:rsidRDefault="00994D29" w:rsidP="00E90286">
      <w:pPr>
        <w:ind w:left="851"/>
        <w:rPr>
          <w:sz w:val="24"/>
          <w:szCs w:val="24"/>
        </w:rPr>
      </w:pPr>
      <w:r>
        <w:rPr>
          <w:i/>
          <w:iCs/>
          <w:sz w:val="24"/>
          <w:szCs w:val="24"/>
        </w:rPr>
        <w:t>Patienter, der allerede</w:t>
      </w:r>
      <w:r w:rsidR="00DD68A2">
        <w:rPr>
          <w:i/>
          <w:iCs/>
          <w:sz w:val="24"/>
          <w:szCs w:val="24"/>
        </w:rPr>
        <w:t xml:space="preserve"> </w:t>
      </w:r>
      <w:r>
        <w:rPr>
          <w:i/>
          <w:iCs/>
          <w:sz w:val="24"/>
          <w:szCs w:val="24"/>
        </w:rPr>
        <w:t xml:space="preserve">tager </w:t>
      </w:r>
      <w:proofErr w:type="spellStart"/>
      <w:r>
        <w:rPr>
          <w:i/>
          <w:iCs/>
          <w:sz w:val="24"/>
          <w:szCs w:val="24"/>
        </w:rPr>
        <w:t>methylphenidat</w:t>
      </w:r>
      <w:proofErr w:type="spellEnd"/>
      <w:r>
        <w:rPr>
          <w:i/>
          <w:iCs/>
          <w:sz w:val="24"/>
          <w:szCs w:val="24"/>
        </w:rPr>
        <w:t>:</w:t>
      </w:r>
      <w:r>
        <w:rPr>
          <w:sz w:val="24"/>
          <w:szCs w:val="24"/>
        </w:rPr>
        <w:t xml:space="preserve"> Den anbefalede dosis af </w:t>
      </w:r>
      <w:proofErr w:type="spellStart"/>
      <w:r>
        <w:rPr>
          <w:sz w:val="24"/>
          <w:szCs w:val="24"/>
        </w:rPr>
        <w:t>Methylphenidate</w:t>
      </w:r>
      <w:proofErr w:type="spellEnd"/>
      <w:r>
        <w:rPr>
          <w:sz w:val="24"/>
          <w:szCs w:val="24"/>
        </w:rPr>
        <w:t xml:space="preserve"> "</w:t>
      </w:r>
      <w:proofErr w:type="spellStart"/>
      <w:r>
        <w:rPr>
          <w:sz w:val="24"/>
          <w:szCs w:val="24"/>
        </w:rPr>
        <w:t>Actavis</w:t>
      </w:r>
      <w:proofErr w:type="spellEnd"/>
      <w:r>
        <w:rPr>
          <w:sz w:val="24"/>
          <w:szCs w:val="24"/>
        </w:rPr>
        <w:t xml:space="preserve">" til patienter, der aktuelt tager </w:t>
      </w:r>
      <w:proofErr w:type="spellStart"/>
      <w:r>
        <w:rPr>
          <w:sz w:val="24"/>
          <w:szCs w:val="24"/>
        </w:rPr>
        <w:t>methylphenidat</w:t>
      </w:r>
      <w:proofErr w:type="spellEnd"/>
      <w:r>
        <w:rPr>
          <w:sz w:val="24"/>
          <w:szCs w:val="24"/>
        </w:rPr>
        <w:t xml:space="preserve"> tre gange daglig i doser på 15</w:t>
      </w:r>
      <w:r>
        <w:rPr>
          <w:sz w:val="24"/>
          <w:szCs w:val="24"/>
        </w:rPr>
        <w:noBreakHyphen/>
        <w:t>60 mg/dag, fremgår af tabel 1. Dosisanbefalingerne tager udgangspunkt i aktuelt dosisregime og klinisk bedømmelse.</w:t>
      </w:r>
    </w:p>
    <w:p w:rsidR="008E4AD7" w:rsidRDefault="008E4AD7" w:rsidP="00E90286">
      <w:pPr>
        <w:ind w:left="851"/>
        <w:rPr>
          <w:sz w:val="24"/>
          <w:szCs w:val="24"/>
        </w:rPr>
      </w:pPr>
    </w:p>
    <w:p w:rsidR="008E4AD7" w:rsidRPr="00994D29" w:rsidRDefault="008E4AD7" w:rsidP="008E4AD7">
      <w:pPr>
        <w:ind w:left="851"/>
        <w:rPr>
          <w:b/>
          <w:sz w:val="24"/>
          <w:szCs w:val="24"/>
        </w:rPr>
      </w:pPr>
      <w:r w:rsidRPr="00994D29">
        <w:rPr>
          <w:b/>
          <w:sz w:val="24"/>
          <w:szCs w:val="24"/>
        </w:rPr>
        <w:t>TABEL 1</w:t>
      </w:r>
    </w:p>
    <w:p w:rsidR="008E4AD7" w:rsidRPr="00994D29" w:rsidRDefault="008E4AD7" w:rsidP="008E4AD7">
      <w:pPr>
        <w:ind w:left="851"/>
        <w:rPr>
          <w:b/>
          <w:sz w:val="24"/>
          <w:szCs w:val="24"/>
        </w:rPr>
      </w:pPr>
      <w:r w:rsidRPr="00994D29">
        <w:rPr>
          <w:b/>
          <w:sz w:val="24"/>
          <w:szCs w:val="24"/>
        </w:rPr>
        <w:t xml:space="preserve">Anbefalet dosiskonvertering fra andre regimer med </w:t>
      </w:r>
      <w:proofErr w:type="spellStart"/>
      <w:r w:rsidRPr="00994D29">
        <w:rPr>
          <w:b/>
          <w:sz w:val="24"/>
          <w:szCs w:val="24"/>
        </w:rPr>
        <w:t>methylphenidathydrochlorid</w:t>
      </w:r>
      <w:proofErr w:type="spellEnd"/>
      <w:r w:rsidRPr="00994D29">
        <w:rPr>
          <w:b/>
          <w:sz w:val="24"/>
          <w:szCs w:val="24"/>
        </w:rPr>
        <w:t xml:space="preserve">, hvis relevant, til </w:t>
      </w:r>
      <w:proofErr w:type="spellStart"/>
      <w:r w:rsidRPr="00994D29">
        <w:rPr>
          <w:b/>
          <w:sz w:val="24"/>
          <w:szCs w:val="24"/>
        </w:rPr>
        <w:t>Methylphenidate</w:t>
      </w:r>
      <w:proofErr w:type="spellEnd"/>
      <w:r w:rsidRPr="00994D29">
        <w:rPr>
          <w:b/>
          <w:sz w:val="24"/>
          <w:szCs w:val="24"/>
        </w:rPr>
        <w:t xml:space="preserve"> "</w:t>
      </w:r>
      <w:proofErr w:type="spellStart"/>
      <w:r w:rsidRPr="00994D29">
        <w:rPr>
          <w:b/>
          <w:sz w:val="24"/>
          <w:szCs w:val="24"/>
        </w:rPr>
        <w:t>Actavis</w:t>
      </w:r>
      <w:proofErr w:type="spellEnd"/>
      <w:r w:rsidRPr="00994D29">
        <w:rPr>
          <w:b/>
          <w:sz w:val="24"/>
          <w:szCs w:val="24"/>
        </w:rPr>
        <w:t>"</w:t>
      </w:r>
    </w:p>
    <w:p w:rsidR="008E4AD7" w:rsidRDefault="008E4AD7" w:rsidP="008E4AD7">
      <w:pPr>
        <w:ind w:left="851" w:hanging="851"/>
        <w:rPr>
          <w:sz w:val="24"/>
          <w:szCs w:val="24"/>
        </w:rPr>
      </w:pPr>
    </w:p>
    <w:tbl>
      <w:tblPr>
        <w:tblW w:w="0" w:type="dxa"/>
        <w:tblInd w:w="845" w:type="dxa"/>
        <w:tblLayout w:type="fixed"/>
        <w:tblCellMar>
          <w:left w:w="0" w:type="dxa"/>
          <w:right w:w="0" w:type="dxa"/>
        </w:tblCellMar>
        <w:tblLook w:val="01E0" w:firstRow="1" w:lastRow="1" w:firstColumn="1" w:lastColumn="1" w:noHBand="0" w:noVBand="0"/>
      </w:tblPr>
      <w:tblGrid>
        <w:gridCol w:w="5333"/>
        <w:gridCol w:w="3314"/>
      </w:tblGrid>
      <w:tr w:rsidR="00A46903" w:rsidTr="0024574C">
        <w:tc>
          <w:tcPr>
            <w:tcW w:w="5333" w:type="dxa"/>
            <w:tcBorders>
              <w:top w:val="single" w:sz="6" w:space="0" w:color="101010"/>
              <w:left w:val="single" w:sz="6" w:space="0" w:color="101010"/>
              <w:bottom w:val="single" w:sz="6" w:space="0" w:color="101010"/>
              <w:right w:val="single" w:sz="6" w:space="0" w:color="101010"/>
            </w:tcBorders>
            <w:hideMark/>
          </w:tcPr>
          <w:p w:rsidR="00A46903" w:rsidRDefault="00A46903" w:rsidP="0024574C">
            <w:pPr>
              <w:ind w:left="130"/>
              <w:rPr>
                <w:b/>
                <w:sz w:val="24"/>
                <w:szCs w:val="24"/>
              </w:rPr>
            </w:pPr>
            <w:r>
              <w:rPr>
                <w:b/>
                <w:sz w:val="24"/>
                <w:szCs w:val="24"/>
              </w:rPr>
              <w:t xml:space="preserve">Tidligere daglig dosis af </w:t>
            </w:r>
            <w:proofErr w:type="spellStart"/>
            <w:r>
              <w:rPr>
                <w:b/>
                <w:sz w:val="24"/>
                <w:szCs w:val="24"/>
              </w:rPr>
              <w:t>methylphenidathydrochlorid</w:t>
            </w:r>
            <w:proofErr w:type="spellEnd"/>
          </w:p>
        </w:tc>
        <w:tc>
          <w:tcPr>
            <w:tcW w:w="3314" w:type="dxa"/>
            <w:tcBorders>
              <w:top w:val="single" w:sz="6" w:space="0" w:color="101010"/>
              <w:left w:val="single" w:sz="6" w:space="0" w:color="101010"/>
              <w:bottom w:val="single" w:sz="6" w:space="0" w:color="101010"/>
              <w:right w:val="single" w:sz="6" w:space="0" w:color="3F3F3F"/>
            </w:tcBorders>
            <w:hideMark/>
          </w:tcPr>
          <w:p w:rsidR="00A46903" w:rsidRDefault="00994D29" w:rsidP="0024574C">
            <w:pPr>
              <w:ind w:left="130"/>
              <w:rPr>
                <w:b/>
                <w:sz w:val="24"/>
                <w:szCs w:val="24"/>
              </w:rPr>
            </w:pPr>
            <w:r>
              <w:rPr>
                <w:b/>
                <w:sz w:val="24"/>
                <w:szCs w:val="24"/>
              </w:rPr>
              <w:t xml:space="preserve">Anbefalet dosis af </w:t>
            </w:r>
            <w:proofErr w:type="spellStart"/>
            <w:r>
              <w:rPr>
                <w:b/>
                <w:sz w:val="24"/>
                <w:szCs w:val="24"/>
              </w:rPr>
              <w:t>Methylphenidate</w:t>
            </w:r>
            <w:proofErr w:type="spellEnd"/>
            <w:r>
              <w:rPr>
                <w:b/>
                <w:sz w:val="24"/>
                <w:szCs w:val="24"/>
              </w:rPr>
              <w:t xml:space="preserve"> "</w:t>
            </w:r>
            <w:proofErr w:type="spellStart"/>
            <w:r>
              <w:rPr>
                <w:b/>
                <w:sz w:val="24"/>
                <w:szCs w:val="24"/>
              </w:rPr>
              <w:t>Actavis</w:t>
            </w:r>
            <w:proofErr w:type="spellEnd"/>
            <w:r>
              <w:rPr>
                <w:b/>
                <w:sz w:val="24"/>
                <w:szCs w:val="24"/>
              </w:rPr>
              <w:t>"</w:t>
            </w:r>
          </w:p>
        </w:tc>
      </w:tr>
      <w:tr w:rsidR="00A46903" w:rsidTr="0024574C">
        <w:trPr>
          <w:trHeight w:hRule="exact" w:val="387"/>
        </w:trPr>
        <w:tc>
          <w:tcPr>
            <w:tcW w:w="5333" w:type="dxa"/>
            <w:tcBorders>
              <w:top w:val="single" w:sz="6" w:space="0" w:color="101010"/>
              <w:left w:val="single" w:sz="6" w:space="0" w:color="101010"/>
              <w:bottom w:val="single" w:sz="6" w:space="0" w:color="101010"/>
              <w:right w:val="single" w:sz="6" w:space="0" w:color="101010"/>
            </w:tcBorders>
            <w:hideMark/>
          </w:tcPr>
          <w:p w:rsidR="00A46903" w:rsidRDefault="00A46903" w:rsidP="0024574C">
            <w:pPr>
              <w:ind w:left="130"/>
              <w:rPr>
                <w:sz w:val="24"/>
                <w:szCs w:val="24"/>
              </w:rPr>
            </w:pPr>
            <w:r>
              <w:rPr>
                <w:sz w:val="24"/>
                <w:szCs w:val="24"/>
              </w:rPr>
              <w:t>5 mg tre gange daglig</w:t>
            </w:r>
          </w:p>
        </w:tc>
        <w:tc>
          <w:tcPr>
            <w:tcW w:w="3314" w:type="dxa"/>
            <w:tcBorders>
              <w:top w:val="single" w:sz="6" w:space="0" w:color="101010"/>
              <w:left w:val="single" w:sz="6" w:space="0" w:color="101010"/>
              <w:bottom w:val="single" w:sz="6" w:space="0" w:color="101010"/>
              <w:right w:val="single" w:sz="6" w:space="0" w:color="3F3F3F"/>
            </w:tcBorders>
            <w:hideMark/>
          </w:tcPr>
          <w:p w:rsidR="00A46903" w:rsidRDefault="00A46903" w:rsidP="0024574C">
            <w:pPr>
              <w:ind w:left="130"/>
              <w:rPr>
                <w:sz w:val="24"/>
                <w:szCs w:val="24"/>
              </w:rPr>
            </w:pPr>
            <w:r>
              <w:rPr>
                <w:sz w:val="24"/>
                <w:szCs w:val="24"/>
              </w:rPr>
              <w:t>18 mg én gang daglig</w:t>
            </w:r>
          </w:p>
        </w:tc>
      </w:tr>
      <w:tr w:rsidR="00A46903" w:rsidTr="0024574C">
        <w:trPr>
          <w:trHeight w:hRule="exact" w:val="387"/>
        </w:trPr>
        <w:tc>
          <w:tcPr>
            <w:tcW w:w="5333" w:type="dxa"/>
            <w:tcBorders>
              <w:top w:val="single" w:sz="6" w:space="0" w:color="101010"/>
              <w:left w:val="single" w:sz="6" w:space="0" w:color="101010"/>
              <w:bottom w:val="single" w:sz="6" w:space="0" w:color="101010"/>
              <w:right w:val="single" w:sz="6" w:space="0" w:color="101010"/>
            </w:tcBorders>
            <w:hideMark/>
          </w:tcPr>
          <w:p w:rsidR="00A46903" w:rsidRDefault="00A46903" w:rsidP="0024574C">
            <w:pPr>
              <w:ind w:left="130"/>
              <w:rPr>
                <w:sz w:val="24"/>
                <w:szCs w:val="24"/>
              </w:rPr>
            </w:pPr>
            <w:r>
              <w:rPr>
                <w:sz w:val="24"/>
                <w:szCs w:val="24"/>
              </w:rPr>
              <w:t>10 mg tre gange daglig</w:t>
            </w:r>
          </w:p>
        </w:tc>
        <w:tc>
          <w:tcPr>
            <w:tcW w:w="3314" w:type="dxa"/>
            <w:tcBorders>
              <w:top w:val="single" w:sz="6" w:space="0" w:color="101010"/>
              <w:left w:val="single" w:sz="6" w:space="0" w:color="101010"/>
              <w:bottom w:val="single" w:sz="6" w:space="0" w:color="101010"/>
              <w:right w:val="single" w:sz="6" w:space="0" w:color="3F3F3F"/>
            </w:tcBorders>
            <w:hideMark/>
          </w:tcPr>
          <w:p w:rsidR="00A46903" w:rsidRDefault="00A46903" w:rsidP="0024574C">
            <w:pPr>
              <w:ind w:left="130"/>
              <w:rPr>
                <w:sz w:val="24"/>
                <w:szCs w:val="24"/>
              </w:rPr>
            </w:pPr>
            <w:r>
              <w:rPr>
                <w:sz w:val="24"/>
                <w:szCs w:val="24"/>
              </w:rPr>
              <w:t>36 mg én gang daglig</w:t>
            </w:r>
          </w:p>
        </w:tc>
      </w:tr>
      <w:tr w:rsidR="00A46903" w:rsidTr="00994D29">
        <w:trPr>
          <w:trHeight w:hRule="exact" w:val="386"/>
        </w:trPr>
        <w:tc>
          <w:tcPr>
            <w:tcW w:w="5333" w:type="dxa"/>
            <w:tcBorders>
              <w:top w:val="single" w:sz="6" w:space="0" w:color="101010"/>
              <w:left w:val="single" w:sz="6" w:space="0" w:color="101010"/>
              <w:bottom w:val="single" w:sz="6" w:space="0" w:color="101010"/>
              <w:right w:val="single" w:sz="6" w:space="0" w:color="101010"/>
            </w:tcBorders>
            <w:hideMark/>
          </w:tcPr>
          <w:p w:rsidR="00A46903" w:rsidRDefault="00A46903" w:rsidP="0024574C">
            <w:pPr>
              <w:ind w:left="130"/>
              <w:rPr>
                <w:sz w:val="24"/>
                <w:szCs w:val="24"/>
              </w:rPr>
            </w:pPr>
            <w:r>
              <w:rPr>
                <w:sz w:val="24"/>
                <w:szCs w:val="24"/>
              </w:rPr>
              <w:t>15 mg tre gange daglig</w:t>
            </w:r>
          </w:p>
        </w:tc>
        <w:tc>
          <w:tcPr>
            <w:tcW w:w="3314" w:type="dxa"/>
            <w:tcBorders>
              <w:top w:val="single" w:sz="6" w:space="0" w:color="101010"/>
              <w:left w:val="single" w:sz="6" w:space="0" w:color="101010"/>
              <w:bottom w:val="single" w:sz="6" w:space="0" w:color="101010"/>
              <w:right w:val="single" w:sz="6" w:space="0" w:color="3F3F3F"/>
            </w:tcBorders>
            <w:hideMark/>
          </w:tcPr>
          <w:p w:rsidR="00A46903" w:rsidRDefault="00A46903" w:rsidP="0024574C">
            <w:pPr>
              <w:ind w:left="130"/>
              <w:rPr>
                <w:sz w:val="24"/>
                <w:szCs w:val="24"/>
              </w:rPr>
            </w:pPr>
            <w:r>
              <w:rPr>
                <w:sz w:val="24"/>
                <w:szCs w:val="24"/>
              </w:rPr>
              <w:t>54 mg én gang daglig</w:t>
            </w:r>
          </w:p>
        </w:tc>
      </w:tr>
      <w:tr w:rsidR="00994D29" w:rsidTr="0024574C">
        <w:trPr>
          <w:trHeight w:hRule="exact" w:val="386"/>
        </w:trPr>
        <w:tc>
          <w:tcPr>
            <w:tcW w:w="5333" w:type="dxa"/>
            <w:tcBorders>
              <w:top w:val="single" w:sz="6" w:space="0" w:color="101010"/>
              <w:left w:val="single" w:sz="6" w:space="0" w:color="101010"/>
              <w:bottom w:val="single" w:sz="6" w:space="0" w:color="3F3F3F"/>
              <w:right w:val="single" w:sz="6" w:space="0" w:color="101010"/>
            </w:tcBorders>
          </w:tcPr>
          <w:p w:rsidR="00994D29" w:rsidRDefault="00994D29" w:rsidP="0024574C">
            <w:pPr>
              <w:ind w:left="130"/>
              <w:rPr>
                <w:sz w:val="24"/>
                <w:szCs w:val="24"/>
              </w:rPr>
            </w:pPr>
            <w:r>
              <w:rPr>
                <w:sz w:val="24"/>
                <w:szCs w:val="24"/>
              </w:rPr>
              <w:t>20 mg tre gange daglig</w:t>
            </w:r>
          </w:p>
        </w:tc>
        <w:tc>
          <w:tcPr>
            <w:tcW w:w="3314" w:type="dxa"/>
            <w:tcBorders>
              <w:top w:val="single" w:sz="6" w:space="0" w:color="101010"/>
              <w:left w:val="single" w:sz="6" w:space="0" w:color="101010"/>
              <w:bottom w:val="single" w:sz="6" w:space="0" w:color="3F3F3F"/>
              <w:right w:val="single" w:sz="6" w:space="0" w:color="3F3F3F"/>
            </w:tcBorders>
          </w:tcPr>
          <w:p w:rsidR="00994D29" w:rsidRDefault="00994D29" w:rsidP="0024574C">
            <w:pPr>
              <w:ind w:left="130"/>
              <w:rPr>
                <w:sz w:val="24"/>
                <w:szCs w:val="24"/>
              </w:rPr>
            </w:pPr>
            <w:r>
              <w:rPr>
                <w:sz w:val="24"/>
                <w:szCs w:val="24"/>
              </w:rPr>
              <w:t>72 mg én gang daglig</w:t>
            </w:r>
          </w:p>
        </w:tc>
      </w:tr>
    </w:tbl>
    <w:p w:rsidR="008E4AD7" w:rsidRDefault="008E4AD7" w:rsidP="008E4AD7">
      <w:pPr>
        <w:ind w:left="851"/>
        <w:rPr>
          <w:sz w:val="24"/>
          <w:szCs w:val="24"/>
        </w:rPr>
      </w:pPr>
      <w:r>
        <w:rPr>
          <w:sz w:val="24"/>
          <w:szCs w:val="24"/>
        </w:rPr>
        <w:t>Hvis der ikke observeres forbedring efter korrekt dosisjustering i løbet af en måned, bør lægemidlet seponeres.</w:t>
      </w:r>
    </w:p>
    <w:p w:rsidR="008E4AD7" w:rsidRDefault="008E4AD7" w:rsidP="008E4AD7">
      <w:pPr>
        <w:ind w:left="851" w:hanging="851"/>
        <w:rPr>
          <w:sz w:val="24"/>
          <w:szCs w:val="24"/>
        </w:rPr>
      </w:pPr>
    </w:p>
    <w:p w:rsidR="00994D29" w:rsidRDefault="00994D29" w:rsidP="00994D29">
      <w:pPr>
        <w:ind w:firstLine="851"/>
        <w:rPr>
          <w:i/>
          <w:sz w:val="24"/>
          <w:szCs w:val="24"/>
        </w:rPr>
      </w:pPr>
      <w:r>
        <w:rPr>
          <w:i/>
          <w:sz w:val="24"/>
          <w:szCs w:val="24"/>
        </w:rPr>
        <w:t>Langvarig anvendelse (over 12 måneder)</w:t>
      </w:r>
    </w:p>
    <w:p w:rsidR="00994D29" w:rsidRDefault="00994D29" w:rsidP="00994D29">
      <w:pPr>
        <w:ind w:left="851"/>
        <w:rPr>
          <w:sz w:val="24"/>
          <w:szCs w:val="24"/>
        </w:rPr>
      </w:pPr>
      <w:r>
        <w:rPr>
          <w:sz w:val="24"/>
          <w:szCs w:val="24"/>
        </w:rPr>
        <w:t xml:space="preserve">Sikkerheden og virkningen ved langvarig anvendelse af </w:t>
      </w:r>
      <w:proofErr w:type="spellStart"/>
      <w:r>
        <w:rPr>
          <w:sz w:val="24"/>
          <w:szCs w:val="24"/>
        </w:rPr>
        <w:t>methylphenidat</w:t>
      </w:r>
      <w:proofErr w:type="spellEnd"/>
      <w:r>
        <w:rPr>
          <w:sz w:val="24"/>
          <w:szCs w:val="24"/>
        </w:rPr>
        <w:t xml:space="preserve"> er ikke systematisk undersøgt i kontrollerede forsøg. Behandling med </w:t>
      </w:r>
      <w:proofErr w:type="spellStart"/>
      <w:r>
        <w:rPr>
          <w:sz w:val="24"/>
          <w:szCs w:val="24"/>
        </w:rPr>
        <w:t>methylphenidat</w:t>
      </w:r>
      <w:proofErr w:type="spellEnd"/>
      <w:r>
        <w:rPr>
          <w:sz w:val="24"/>
          <w:szCs w:val="24"/>
        </w:rPr>
        <w:t xml:space="preserve"> bør ikke og behøver ikke være på ubestemt tid. Hos børn og unge seponeres behandling med </w:t>
      </w:r>
      <w:proofErr w:type="spellStart"/>
      <w:r>
        <w:rPr>
          <w:sz w:val="24"/>
          <w:szCs w:val="24"/>
        </w:rPr>
        <w:t>methylphenidat</w:t>
      </w:r>
      <w:proofErr w:type="spellEnd"/>
      <w:r>
        <w:rPr>
          <w:sz w:val="24"/>
          <w:szCs w:val="24"/>
        </w:rPr>
        <w:t xml:space="preserve"> sædvanligvis under eller efter puberteten. Læger, som vælger at anvende </w:t>
      </w:r>
      <w:proofErr w:type="spellStart"/>
      <w:r>
        <w:rPr>
          <w:sz w:val="24"/>
          <w:szCs w:val="24"/>
        </w:rPr>
        <w:t>methylphenidat</w:t>
      </w:r>
      <w:proofErr w:type="spellEnd"/>
      <w:r>
        <w:rPr>
          <w:sz w:val="24"/>
          <w:szCs w:val="24"/>
        </w:rPr>
        <w:t xml:space="preserve"> i længere perioder (over 12 måneder) til patienter</w:t>
      </w:r>
      <w:r w:rsidR="00DD68A2">
        <w:rPr>
          <w:sz w:val="24"/>
          <w:szCs w:val="24"/>
        </w:rPr>
        <w:t xml:space="preserve"> </w:t>
      </w:r>
      <w:r>
        <w:rPr>
          <w:sz w:val="24"/>
          <w:szCs w:val="24"/>
        </w:rPr>
        <w:t xml:space="preserve">med ADHD, bør jævnligt genoverveje, om lægemidlet er gavnligt på lang sigt for den enkelte patient, med prøveperioder uden medicin for at vurdere, hvordan patienten fungerer uden </w:t>
      </w:r>
      <w:proofErr w:type="spellStart"/>
      <w:r>
        <w:rPr>
          <w:sz w:val="24"/>
          <w:szCs w:val="24"/>
        </w:rPr>
        <w:t>farmakoterapi</w:t>
      </w:r>
      <w:proofErr w:type="spellEnd"/>
      <w:r>
        <w:rPr>
          <w:sz w:val="24"/>
          <w:szCs w:val="24"/>
        </w:rPr>
        <w:t>.</w:t>
      </w:r>
    </w:p>
    <w:p w:rsidR="00994D29" w:rsidRDefault="00994D29" w:rsidP="00994D29">
      <w:pPr>
        <w:ind w:left="851"/>
        <w:rPr>
          <w:sz w:val="24"/>
          <w:szCs w:val="24"/>
        </w:rPr>
      </w:pPr>
      <w:r>
        <w:rPr>
          <w:sz w:val="24"/>
          <w:szCs w:val="24"/>
        </w:rPr>
        <w:t xml:space="preserve">Det anbefales, at </w:t>
      </w:r>
      <w:proofErr w:type="spellStart"/>
      <w:r>
        <w:rPr>
          <w:sz w:val="24"/>
          <w:szCs w:val="24"/>
        </w:rPr>
        <w:t>methylphenidat</w:t>
      </w:r>
      <w:proofErr w:type="spellEnd"/>
      <w:r>
        <w:rPr>
          <w:sz w:val="24"/>
          <w:szCs w:val="24"/>
        </w:rPr>
        <w:t xml:space="preserve"> seponeres forsøgsmæssigt mindst én gang årligt for at vurdere patientens tilstand (for børn helst i skoleferier). Forbedringer kan eventuelt være vedvarende, selv om lægemidlet seponeres midlertidigt eller permanent.</w:t>
      </w:r>
    </w:p>
    <w:p w:rsidR="008E4AD7" w:rsidRDefault="008E4AD7" w:rsidP="008E4AD7">
      <w:pPr>
        <w:ind w:left="851" w:hanging="851"/>
        <w:rPr>
          <w:sz w:val="24"/>
          <w:szCs w:val="24"/>
        </w:rPr>
      </w:pPr>
    </w:p>
    <w:p w:rsidR="008E4AD7" w:rsidRDefault="008E4AD7" w:rsidP="008E4AD7">
      <w:pPr>
        <w:ind w:left="851"/>
        <w:rPr>
          <w:i/>
          <w:sz w:val="24"/>
          <w:szCs w:val="24"/>
        </w:rPr>
      </w:pPr>
      <w:r>
        <w:rPr>
          <w:i/>
          <w:sz w:val="24"/>
          <w:szCs w:val="24"/>
        </w:rPr>
        <w:t xml:space="preserve">Dosisreduktion og </w:t>
      </w:r>
      <w:proofErr w:type="spellStart"/>
      <w:r>
        <w:rPr>
          <w:i/>
          <w:sz w:val="24"/>
          <w:szCs w:val="24"/>
        </w:rPr>
        <w:t>seponering</w:t>
      </w:r>
      <w:proofErr w:type="spellEnd"/>
    </w:p>
    <w:p w:rsidR="008E4AD7" w:rsidRDefault="008E4AD7" w:rsidP="008E4AD7">
      <w:pPr>
        <w:ind w:left="851"/>
        <w:rPr>
          <w:sz w:val="24"/>
          <w:szCs w:val="24"/>
        </w:rPr>
      </w:pPr>
      <w:r>
        <w:rPr>
          <w:sz w:val="24"/>
          <w:szCs w:val="24"/>
        </w:rPr>
        <w:t>Hvis der ikke observeres forbedring af symptomerne efter korrekt dosisjustering i løbet af en måned, skal behandlingen ophøre. Hvis der opstår paradoksal forværring af symptomer eller andre alvorlige bivirkninger, skal dosis reduceres eller seponeres.</w:t>
      </w:r>
    </w:p>
    <w:p w:rsidR="008E4AD7" w:rsidRDefault="008E4AD7" w:rsidP="008E4AD7">
      <w:pPr>
        <w:ind w:left="851" w:hanging="851"/>
        <w:rPr>
          <w:i/>
          <w:sz w:val="24"/>
          <w:szCs w:val="24"/>
        </w:rPr>
      </w:pPr>
    </w:p>
    <w:p w:rsidR="00994D29" w:rsidRDefault="00994D29" w:rsidP="008E4AD7">
      <w:pPr>
        <w:ind w:left="851"/>
        <w:rPr>
          <w:sz w:val="24"/>
          <w:szCs w:val="24"/>
          <w:u w:val="single"/>
        </w:rPr>
      </w:pPr>
      <w:r>
        <w:rPr>
          <w:sz w:val="24"/>
          <w:szCs w:val="24"/>
          <w:u w:val="single"/>
        </w:rPr>
        <w:t>Særlige populationer</w:t>
      </w:r>
    </w:p>
    <w:p w:rsidR="00994D29" w:rsidRDefault="00994D29" w:rsidP="008E4AD7">
      <w:pPr>
        <w:ind w:left="851"/>
        <w:rPr>
          <w:i/>
          <w:sz w:val="24"/>
          <w:szCs w:val="24"/>
        </w:rPr>
      </w:pPr>
    </w:p>
    <w:p w:rsidR="008E4AD7" w:rsidRDefault="008E4AD7" w:rsidP="008E4AD7">
      <w:pPr>
        <w:ind w:left="851"/>
        <w:rPr>
          <w:i/>
          <w:sz w:val="24"/>
          <w:szCs w:val="24"/>
        </w:rPr>
      </w:pPr>
      <w:r>
        <w:rPr>
          <w:i/>
          <w:sz w:val="24"/>
          <w:szCs w:val="24"/>
        </w:rPr>
        <w:t>Ældre</w:t>
      </w:r>
    </w:p>
    <w:p w:rsidR="00994D29" w:rsidRDefault="008E4AD7" w:rsidP="00994D29">
      <w:pPr>
        <w:ind w:left="851"/>
        <w:rPr>
          <w:sz w:val="24"/>
          <w:szCs w:val="24"/>
        </w:rPr>
      </w:pPr>
      <w:proofErr w:type="spellStart"/>
      <w:r>
        <w:rPr>
          <w:sz w:val="24"/>
          <w:szCs w:val="24"/>
        </w:rPr>
        <w:t>Methylphenidat</w:t>
      </w:r>
      <w:proofErr w:type="spellEnd"/>
      <w:r>
        <w:rPr>
          <w:sz w:val="24"/>
          <w:szCs w:val="24"/>
        </w:rPr>
        <w:t xml:space="preserve"> bør ikke anvendes til ældre. Sikkerhed og virkning hos denne aldersgruppe er ikke fastslået.</w:t>
      </w:r>
      <w:r w:rsidR="00994D29">
        <w:rPr>
          <w:sz w:val="24"/>
          <w:szCs w:val="24"/>
        </w:rPr>
        <w:t xml:space="preserve"> </w:t>
      </w:r>
      <w:proofErr w:type="spellStart"/>
      <w:r w:rsidR="00994D29">
        <w:rPr>
          <w:sz w:val="24"/>
          <w:szCs w:val="24"/>
        </w:rPr>
        <w:t>Methylphenidat</w:t>
      </w:r>
      <w:proofErr w:type="spellEnd"/>
      <w:r w:rsidR="00994D29">
        <w:rPr>
          <w:sz w:val="24"/>
          <w:szCs w:val="24"/>
        </w:rPr>
        <w:t xml:space="preserve"> er ikke blevet undersøgt hos ADHD-patienter over 65 år.</w:t>
      </w:r>
    </w:p>
    <w:p w:rsidR="00994D29" w:rsidRDefault="00994D29" w:rsidP="00994D29">
      <w:pPr>
        <w:ind w:left="851"/>
        <w:rPr>
          <w:sz w:val="24"/>
          <w:szCs w:val="24"/>
        </w:rPr>
      </w:pPr>
    </w:p>
    <w:p w:rsidR="00994D29" w:rsidRDefault="00994D29" w:rsidP="00994D29">
      <w:pPr>
        <w:ind w:left="851"/>
        <w:rPr>
          <w:i/>
          <w:iCs/>
          <w:sz w:val="24"/>
          <w:szCs w:val="24"/>
        </w:rPr>
      </w:pPr>
      <w:r>
        <w:rPr>
          <w:i/>
          <w:iCs/>
          <w:sz w:val="24"/>
          <w:szCs w:val="24"/>
        </w:rPr>
        <w:t>Nedsat lever- eller nyrefunktion</w:t>
      </w:r>
    </w:p>
    <w:p w:rsidR="00994D29" w:rsidRDefault="00994D29" w:rsidP="00994D29">
      <w:pPr>
        <w:ind w:left="851"/>
        <w:rPr>
          <w:sz w:val="24"/>
          <w:szCs w:val="24"/>
        </w:rPr>
      </w:pPr>
      <w:proofErr w:type="spellStart"/>
      <w:r>
        <w:rPr>
          <w:sz w:val="24"/>
          <w:szCs w:val="24"/>
        </w:rPr>
        <w:t>Methylphenidat</w:t>
      </w:r>
      <w:proofErr w:type="spellEnd"/>
      <w:r>
        <w:rPr>
          <w:sz w:val="24"/>
          <w:szCs w:val="24"/>
        </w:rPr>
        <w:t xml:space="preserve"> er ikke blevet undersøgt hos patienter med nedsat lever- eller nyrefunktion.</w:t>
      </w:r>
    </w:p>
    <w:p w:rsidR="008E4AD7" w:rsidRDefault="008E4AD7" w:rsidP="008E4AD7">
      <w:pPr>
        <w:ind w:left="851" w:hanging="851"/>
        <w:rPr>
          <w:sz w:val="24"/>
          <w:szCs w:val="24"/>
        </w:rPr>
      </w:pPr>
    </w:p>
    <w:p w:rsidR="008E4AD7" w:rsidRDefault="008E4AD7" w:rsidP="008E4AD7">
      <w:pPr>
        <w:ind w:left="851"/>
        <w:rPr>
          <w:i/>
          <w:sz w:val="24"/>
          <w:szCs w:val="24"/>
        </w:rPr>
      </w:pPr>
      <w:r>
        <w:rPr>
          <w:i/>
          <w:sz w:val="24"/>
          <w:szCs w:val="24"/>
        </w:rPr>
        <w:t>Børn under 6 år</w:t>
      </w:r>
    </w:p>
    <w:p w:rsidR="008E4AD7" w:rsidRDefault="008E4AD7" w:rsidP="008E4AD7">
      <w:pPr>
        <w:ind w:left="851"/>
        <w:rPr>
          <w:sz w:val="24"/>
          <w:szCs w:val="24"/>
        </w:rPr>
      </w:pPr>
      <w:proofErr w:type="spellStart"/>
      <w:r>
        <w:rPr>
          <w:sz w:val="24"/>
          <w:szCs w:val="24"/>
        </w:rPr>
        <w:t>Methylphenidat</w:t>
      </w:r>
      <w:proofErr w:type="spellEnd"/>
      <w:r>
        <w:rPr>
          <w:sz w:val="24"/>
          <w:szCs w:val="24"/>
        </w:rPr>
        <w:t xml:space="preserve"> bør ikke anvendes til børn under 6 år. Sikkerhed og virkning hos denne aldersgruppe er ikke fastslået.</w:t>
      </w:r>
    </w:p>
    <w:p w:rsidR="008E4AD7" w:rsidRDefault="008E4AD7" w:rsidP="008E4AD7">
      <w:pPr>
        <w:ind w:left="851" w:hanging="851"/>
        <w:rPr>
          <w:sz w:val="24"/>
          <w:szCs w:val="24"/>
        </w:rPr>
      </w:pPr>
    </w:p>
    <w:p w:rsidR="00A46903" w:rsidRDefault="00A46903" w:rsidP="00A46903">
      <w:pPr>
        <w:ind w:left="851"/>
        <w:rPr>
          <w:sz w:val="24"/>
          <w:szCs w:val="24"/>
          <w:u w:val="single"/>
        </w:rPr>
      </w:pPr>
      <w:r>
        <w:rPr>
          <w:sz w:val="24"/>
          <w:szCs w:val="24"/>
          <w:u w:val="single"/>
        </w:rPr>
        <w:t>Administration</w:t>
      </w:r>
    </w:p>
    <w:p w:rsidR="00994D29" w:rsidRDefault="00994D29" w:rsidP="00994D29">
      <w:pPr>
        <w:ind w:left="851"/>
        <w:rPr>
          <w:sz w:val="24"/>
          <w:szCs w:val="24"/>
        </w:rPr>
      </w:pPr>
      <w:proofErr w:type="spellStart"/>
      <w:r>
        <w:rPr>
          <w:sz w:val="24"/>
          <w:szCs w:val="24"/>
        </w:rPr>
        <w:t>Methylphenidate</w:t>
      </w:r>
      <w:proofErr w:type="spellEnd"/>
      <w:r>
        <w:rPr>
          <w:sz w:val="24"/>
          <w:szCs w:val="24"/>
        </w:rPr>
        <w:t xml:space="preserve"> "</w:t>
      </w:r>
      <w:proofErr w:type="spellStart"/>
      <w:r>
        <w:rPr>
          <w:sz w:val="24"/>
          <w:szCs w:val="24"/>
        </w:rPr>
        <w:t>Actavis</w:t>
      </w:r>
      <w:proofErr w:type="spellEnd"/>
      <w:r>
        <w:rPr>
          <w:sz w:val="24"/>
          <w:szCs w:val="24"/>
        </w:rPr>
        <w:t>" er til oral anvendelse én gang dagligt om morgenen.</w:t>
      </w:r>
    </w:p>
    <w:p w:rsidR="00994D29" w:rsidRDefault="00994D29" w:rsidP="00994D29">
      <w:pPr>
        <w:ind w:left="851"/>
        <w:rPr>
          <w:sz w:val="24"/>
          <w:szCs w:val="24"/>
        </w:rPr>
      </w:pPr>
    </w:p>
    <w:p w:rsidR="00994D29" w:rsidRDefault="00994D29" w:rsidP="00994D29">
      <w:pPr>
        <w:ind w:left="851"/>
        <w:rPr>
          <w:sz w:val="24"/>
          <w:szCs w:val="24"/>
        </w:rPr>
      </w:pPr>
      <w:proofErr w:type="spellStart"/>
      <w:r>
        <w:rPr>
          <w:sz w:val="24"/>
          <w:szCs w:val="24"/>
        </w:rPr>
        <w:t>Methylphenidate</w:t>
      </w:r>
      <w:proofErr w:type="spellEnd"/>
      <w:r>
        <w:rPr>
          <w:sz w:val="24"/>
          <w:szCs w:val="24"/>
        </w:rPr>
        <w:t xml:space="preserve"> "</w:t>
      </w:r>
      <w:proofErr w:type="spellStart"/>
      <w:r>
        <w:rPr>
          <w:sz w:val="24"/>
          <w:szCs w:val="24"/>
        </w:rPr>
        <w:t>Actavis</w:t>
      </w:r>
      <w:proofErr w:type="spellEnd"/>
      <w:r>
        <w:rPr>
          <w:sz w:val="24"/>
          <w:szCs w:val="24"/>
        </w:rPr>
        <w:t>" kan administreres med eller uden mad (se pkt. 5.2).</w:t>
      </w:r>
    </w:p>
    <w:p w:rsidR="00994D29" w:rsidRDefault="00994D29" w:rsidP="00994D29">
      <w:pPr>
        <w:ind w:left="851"/>
        <w:rPr>
          <w:sz w:val="24"/>
          <w:szCs w:val="24"/>
        </w:rPr>
      </w:pPr>
    </w:p>
    <w:p w:rsidR="00994D29" w:rsidRDefault="00994D29" w:rsidP="00994D29">
      <w:pPr>
        <w:ind w:left="851"/>
        <w:rPr>
          <w:sz w:val="24"/>
          <w:szCs w:val="24"/>
        </w:rPr>
      </w:pPr>
      <w:r>
        <w:rPr>
          <w:sz w:val="24"/>
          <w:szCs w:val="24"/>
        </w:rPr>
        <w:t>Depottabletterne skal synkes hele med væske og må ikke tygges, deles eller knuses (se pkt. 4.4).</w:t>
      </w:r>
    </w:p>
    <w:p w:rsidR="008E4AD7" w:rsidRPr="00BF3CBC" w:rsidRDefault="008E4AD7" w:rsidP="008E4AD7">
      <w:pPr>
        <w:tabs>
          <w:tab w:val="left" w:pos="851"/>
        </w:tabs>
        <w:ind w:left="851" w:hanging="851"/>
        <w:rPr>
          <w:sz w:val="24"/>
          <w:szCs w:val="24"/>
        </w:rPr>
      </w:pPr>
    </w:p>
    <w:p w:rsidR="00657134" w:rsidRPr="00657134" w:rsidRDefault="00657134" w:rsidP="00657134">
      <w:pPr>
        <w:tabs>
          <w:tab w:val="left" w:pos="851"/>
        </w:tabs>
        <w:ind w:left="851" w:hanging="851"/>
        <w:rPr>
          <w:b/>
          <w:sz w:val="24"/>
          <w:szCs w:val="24"/>
        </w:rPr>
      </w:pPr>
      <w:r w:rsidRPr="00657134">
        <w:rPr>
          <w:b/>
          <w:sz w:val="24"/>
          <w:szCs w:val="24"/>
        </w:rPr>
        <w:t>4.3</w:t>
      </w:r>
      <w:r w:rsidRPr="00657134">
        <w:rPr>
          <w:b/>
          <w:sz w:val="24"/>
          <w:szCs w:val="24"/>
        </w:rPr>
        <w:tab/>
        <w:t>Kontraindikationer</w:t>
      </w:r>
    </w:p>
    <w:p w:rsidR="008E4AD7" w:rsidRPr="00BF3CBC" w:rsidRDefault="008E4AD7" w:rsidP="008E4AD7">
      <w:pPr>
        <w:numPr>
          <w:ilvl w:val="0"/>
          <w:numId w:val="7"/>
        </w:numPr>
        <w:spacing w:line="260" w:lineRule="exact"/>
        <w:ind w:left="1276" w:hanging="425"/>
        <w:rPr>
          <w:sz w:val="24"/>
          <w:szCs w:val="24"/>
        </w:rPr>
      </w:pPr>
      <w:r w:rsidRPr="00BF3CBC">
        <w:rPr>
          <w:sz w:val="24"/>
          <w:szCs w:val="24"/>
        </w:rPr>
        <w:t xml:space="preserve">Overfølsomhed over for det aktive stof eller over for et eller flere af hjælpestofferne anført i </w:t>
      </w:r>
      <w:r>
        <w:rPr>
          <w:sz w:val="24"/>
          <w:szCs w:val="24"/>
        </w:rPr>
        <w:t>pkt.</w:t>
      </w:r>
      <w:r w:rsidRPr="00BF3CBC">
        <w:rPr>
          <w:sz w:val="24"/>
          <w:szCs w:val="24"/>
        </w:rPr>
        <w:t xml:space="preserve"> 6.1.</w:t>
      </w:r>
    </w:p>
    <w:p w:rsidR="008E4AD7" w:rsidRPr="00BF3CBC" w:rsidRDefault="008E4AD7" w:rsidP="008E4AD7">
      <w:pPr>
        <w:numPr>
          <w:ilvl w:val="0"/>
          <w:numId w:val="7"/>
        </w:numPr>
        <w:ind w:left="1276" w:hanging="425"/>
        <w:rPr>
          <w:sz w:val="24"/>
          <w:szCs w:val="24"/>
        </w:rPr>
      </w:pPr>
      <w:proofErr w:type="spellStart"/>
      <w:r w:rsidRPr="00BF3CBC">
        <w:rPr>
          <w:sz w:val="24"/>
          <w:szCs w:val="24"/>
        </w:rPr>
        <w:t>Glaukom</w:t>
      </w:r>
      <w:proofErr w:type="spellEnd"/>
    </w:p>
    <w:p w:rsidR="008E4AD7" w:rsidRPr="00BF3CBC" w:rsidRDefault="008E4AD7" w:rsidP="008E4AD7">
      <w:pPr>
        <w:numPr>
          <w:ilvl w:val="0"/>
          <w:numId w:val="7"/>
        </w:numPr>
        <w:ind w:left="1276" w:hanging="425"/>
        <w:rPr>
          <w:sz w:val="24"/>
          <w:szCs w:val="24"/>
        </w:rPr>
      </w:pPr>
      <w:proofErr w:type="spellStart"/>
      <w:r w:rsidRPr="00BF3CBC">
        <w:rPr>
          <w:sz w:val="24"/>
          <w:szCs w:val="24"/>
        </w:rPr>
        <w:t>Fæokromocytom</w:t>
      </w:r>
      <w:proofErr w:type="spellEnd"/>
    </w:p>
    <w:p w:rsidR="008E4AD7" w:rsidRPr="00BF3CBC" w:rsidRDefault="008E4AD7" w:rsidP="008E4AD7">
      <w:pPr>
        <w:numPr>
          <w:ilvl w:val="0"/>
          <w:numId w:val="7"/>
        </w:numPr>
        <w:ind w:left="1276" w:hanging="425"/>
        <w:rPr>
          <w:sz w:val="24"/>
          <w:szCs w:val="24"/>
        </w:rPr>
      </w:pPr>
      <w:r w:rsidRPr="00BF3CBC">
        <w:rPr>
          <w:sz w:val="24"/>
          <w:szCs w:val="24"/>
        </w:rPr>
        <w:t xml:space="preserve">Under behandling med ikke-selektive, irreversible </w:t>
      </w:r>
      <w:proofErr w:type="spellStart"/>
      <w:r w:rsidRPr="00BF3CBC">
        <w:rPr>
          <w:sz w:val="24"/>
          <w:szCs w:val="24"/>
        </w:rPr>
        <w:t>monoaminoxidasehæmmere</w:t>
      </w:r>
      <w:proofErr w:type="spellEnd"/>
      <w:r w:rsidRPr="00BF3CBC">
        <w:rPr>
          <w:sz w:val="24"/>
          <w:szCs w:val="24"/>
        </w:rPr>
        <w:t xml:space="preserve"> (MAO-</w:t>
      </w:r>
      <w:proofErr w:type="spellStart"/>
      <w:r w:rsidRPr="00BF3CBC">
        <w:rPr>
          <w:sz w:val="24"/>
          <w:szCs w:val="24"/>
        </w:rPr>
        <w:t>hæmmere</w:t>
      </w:r>
      <w:proofErr w:type="spellEnd"/>
      <w:r w:rsidRPr="00BF3CBC">
        <w:rPr>
          <w:sz w:val="24"/>
          <w:szCs w:val="24"/>
        </w:rPr>
        <w:t xml:space="preserve">) eller inden for de første 14 dage efter </w:t>
      </w:r>
      <w:proofErr w:type="spellStart"/>
      <w:r w:rsidRPr="00BF3CBC">
        <w:rPr>
          <w:sz w:val="24"/>
          <w:szCs w:val="24"/>
        </w:rPr>
        <w:t>seponering</w:t>
      </w:r>
      <w:proofErr w:type="spellEnd"/>
      <w:r w:rsidRPr="00BF3CBC">
        <w:rPr>
          <w:sz w:val="24"/>
          <w:szCs w:val="24"/>
        </w:rPr>
        <w:t xml:space="preserve"> af disse lægemidler, på grund af risiko for </w:t>
      </w:r>
      <w:proofErr w:type="spellStart"/>
      <w:r w:rsidRPr="00BF3CBC">
        <w:rPr>
          <w:sz w:val="24"/>
          <w:szCs w:val="24"/>
        </w:rPr>
        <w:t>hypertensiv</w:t>
      </w:r>
      <w:proofErr w:type="spellEnd"/>
      <w:r w:rsidRPr="00BF3CBC">
        <w:rPr>
          <w:sz w:val="24"/>
          <w:szCs w:val="24"/>
        </w:rPr>
        <w:t xml:space="preserve"> krise (se </w:t>
      </w:r>
      <w:r>
        <w:rPr>
          <w:sz w:val="24"/>
          <w:szCs w:val="24"/>
        </w:rPr>
        <w:t>pkt.</w:t>
      </w:r>
      <w:r w:rsidRPr="00BF3CBC">
        <w:rPr>
          <w:sz w:val="24"/>
          <w:szCs w:val="24"/>
        </w:rPr>
        <w:t xml:space="preserve"> 4.5)</w:t>
      </w:r>
    </w:p>
    <w:p w:rsidR="008E4AD7" w:rsidRPr="00BF3CBC" w:rsidRDefault="008E4AD7" w:rsidP="008E4AD7">
      <w:pPr>
        <w:numPr>
          <w:ilvl w:val="0"/>
          <w:numId w:val="7"/>
        </w:numPr>
        <w:ind w:left="1276" w:hanging="425"/>
        <w:rPr>
          <w:sz w:val="24"/>
          <w:szCs w:val="24"/>
        </w:rPr>
      </w:pPr>
      <w:proofErr w:type="spellStart"/>
      <w:r w:rsidRPr="00BF3CBC">
        <w:rPr>
          <w:sz w:val="24"/>
          <w:szCs w:val="24"/>
        </w:rPr>
        <w:t>Hyperthyreosis</w:t>
      </w:r>
      <w:proofErr w:type="spellEnd"/>
      <w:r w:rsidRPr="00BF3CBC">
        <w:rPr>
          <w:sz w:val="24"/>
          <w:szCs w:val="24"/>
        </w:rPr>
        <w:t xml:space="preserve"> eller </w:t>
      </w:r>
      <w:proofErr w:type="spellStart"/>
      <w:r w:rsidRPr="00BF3CBC">
        <w:rPr>
          <w:sz w:val="24"/>
          <w:szCs w:val="24"/>
        </w:rPr>
        <w:t>thyrotoksikose</w:t>
      </w:r>
      <w:proofErr w:type="spellEnd"/>
    </w:p>
    <w:p w:rsidR="008E4AD7" w:rsidRPr="00BF3CBC" w:rsidRDefault="008E4AD7" w:rsidP="008E4AD7">
      <w:pPr>
        <w:numPr>
          <w:ilvl w:val="0"/>
          <w:numId w:val="7"/>
        </w:numPr>
        <w:ind w:left="1276" w:hanging="425"/>
        <w:rPr>
          <w:sz w:val="24"/>
          <w:szCs w:val="24"/>
        </w:rPr>
      </w:pPr>
      <w:r w:rsidRPr="00BF3CBC">
        <w:rPr>
          <w:sz w:val="24"/>
          <w:szCs w:val="24"/>
        </w:rPr>
        <w:t xml:space="preserve">Diagnose eller anamnese med svær depression, nervøs anoreksi/anorektiske lidelser, selvmordstendenser, psykotiske symptomer, svære stemningsforstyrrelser, mani, skizofreni, </w:t>
      </w:r>
      <w:proofErr w:type="spellStart"/>
      <w:r w:rsidRPr="00BF3CBC">
        <w:rPr>
          <w:sz w:val="24"/>
          <w:szCs w:val="24"/>
        </w:rPr>
        <w:t>dyssocial</w:t>
      </w:r>
      <w:proofErr w:type="spellEnd"/>
      <w:r w:rsidRPr="00BF3CBC">
        <w:rPr>
          <w:sz w:val="24"/>
          <w:szCs w:val="24"/>
        </w:rPr>
        <w:t>/borderline personlighedsforstyrrelse</w:t>
      </w:r>
    </w:p>
    <w:p w:rsidR="008E4AD7" w:rsidRPr="00BF3CBC" w:rsidRDefault="008E4AD7" w:rsidP="008E4AD7">
      <w:pPr>
        <w:numPr>
          <w:ilvl w:val="0"/>
          <w:numId w:val="7"/>
        </w:numPr>
        <w:ind w:left="1276" w:hanging="425"/>
        <w:rPr>
          <w:sz w:val="24"/>
          <w:szCs w:val="24"/>
        </w:rPr>
      </w:pPr>
      <w:r w:rsidRPr="00BF3CBC">
        <w:rPr>
          <w:sz w:val="24"/>
          <w:szCs w:val="24"/>
        </w:rPr>
        <w:t xml:space="preserve">Diagnose eller anamnese med </w:t>
      </w:r>
      <w:r>
        <w:rPr>
          <w:sz w:val="24"/>
          <w:szCs w:val="24"/>
        </w:rPr>
        <w:t xml:space="preserve">svær og </w:t>
      </w:r>
      <w:r w:rsidRPr="00BF3CBC">
        <w:rPr>
          <w:sz w:val="24"/>
          <w:szCs w:val="24"/>
        </w:rPr>
        <w:t>episodisk (type I) bipolar (affektiv) sindslidelse (som ikke er velkontrolleret)</w:t>
      </w:r>
    </w:p>
    <w:p w:rsidR="008E4AD7" w:rsidRPr="00BF3CBC" w:rsidRDefault="008E4AD7" w:rsidP="008E4AD7">
      <w:pPr>
        <w:numPr>
          <w:ilvl w:val="0"/>
          <w:numId w:val="7"/>
        </w:numPr>
        <w:ind w:left="1276" w:hanging="425"/>
        <w:rPr>
          <w:sz w:val="24"/>
          <w:szCs w:val="24"/>
        </w:rPr>
      </w:pPr>
      <w:proofErr w:type="spellStart"/>
      <w:r w:rsidRPr="00BF3CBC">
        <w:rPr>
          <w:sz w:val="24"/>
          <w:szCs w:val="24"/>
        </w:rPr>
        <w:t>Forudeksisterende</w:t>
      </w:r>
      <w:proofErr w:type="spellEnd"/>
      <w:r w:rsidRPr="00BF3CBC">
        <w:rPr>
          <w:sz w:val="24"/>
          <w:szCs w:val="24"/>
        </w:rPr>
        <w:t xml:space="preserve"> </w:t>
      </w:r>
      <w:proofErr w:type="spellStart"/>
      <w:r w:rsidRPr="00BF3CBC">
        <w:rPr>
          <w:sz w:val="24"/>
          <w:szCs w:val="24"/>
        </w:rPr>
        <w:t>kardiovaskulære</w:t>
      </w:r>
      <w:proofErr w:type="spellEnd"/>
      <w:r w:rsidRPr="00BF3CBC">
        <w:rPr>
          <w:sz w:val="24"/>
          <w:szCs w:val="24"/>
        </w:rPr>
        <w:t xml:space="preserve"> lidelser, der omfatter svær hypertension, hjertesvigt, arteriel </w:t>
      </w:r>
      <w:proofErr w:type="spellStart"/>
      <w:r w:rsidRPr="00BF3CBC">
        <w:rPr>
          <w:sz w:val="24"/>
          <w:szCs w:val="24"/>
        </w:rPr>
        <w:t>okklusiv</w:t>
      </w:r>
      <w:proofErr w:type="spellEnd"/>
      <w:r w:rsidRPr="00BF3CBC">
        <w:rPr>
          <w:sz w:val="24"/>
          <w:szCs w:val="24"/>
        </w:rPr>
        <w:t xml:space="preserve"> sygdom, angina pectoris, </w:t>
      </w:r>
      <w:proofErr w:type="spellStart"/>
      <w:r w:rsidRPr="00BF3CBC">
        <w:rPr>
          <w:sz w:val="24"/>
          <w:szCs w:val="24"/>
        </w:rPr>
        <w:t>hæmodynamisk</w:t>
      </w:r>
      <w:proofErr w:type="spellEnd"/>
      <w:r w:rsidRPr="00BF3CBC">
        <w:rPr>
          <w:sz w:val="24"/>
          <w:szCs w:val="24"/>
        </w:rPr>
        <w:t xml:space="preserve"> signifikant medfødt hjertesygdom, </w:t>
      </w:r>
      <w:proofErr w:type="spellStart"/>
      <w:r w:rsidRPr="00BF3CBC">
        <w:rPr>
          <w:sz w:val="24"/>
          <w:szCs w:val="24"/>
        </w:rPr>
        <w:t>kardiomyopatier</w:t>
      </w:r>
      <w:proofErr w:type="spellEnd"/>
      <w:r w:rsidRPr="00BF3CBC">
        <w:rPr>
          <w:sz w:val="24"/>
          <w:szCs w:val="24"/>
        </w:rPr>
        <w:t xml:space="preserve">, myokardieinfarkt, potentielt livstruende </w:t>
      </w:r>
      <w:proofErr w:type="spellStart"/>
      <w:r w:rsidRPr="00BF3CBC">
        <w:rPr>
          <w:sz w:val="24"/>
          <w:szCs w:val="24"/>
        </w:rPr>
        <w:t>hjertearrytmier</w:t>
      </w:r>
      <w:proofErr w:type="spellEnd"/>
      <w:r w:rsidRPr="00BF3CBC">
        <w:rPr>
          <w:sz w:val="24"/>
          <w:szCs w:val="24"/>
        </w:rPr>
        <w:t xml:space="preserve"> og </w:t>
      </w:r>
      <w:proofErr w:type="spellStart"/>
      <w:r w:rsidRPr="00BF3CBC">
        <w:rPr>
          <w:sz w:val="24"/>
          <w:szCs w:val="24"/>
        </w:rPr>
        <w:t>kanalopatier</w:t>
      </w:r>
      <w:proofErr w:type="spellEnd"/>
      <w:r w:rsidRPr="00BF3CBC">
        <w:rPr>
          <w:sz w:val="24"/>
          <w:szCs w:val="24"/>
        </w:rPr>
        <w:t xml:space="preserve"> (sygdomme, der skyldes dysfunktion af ionkanaler)</w:t>
      </w:r>
    </w:p>
    <w:p w:rsidR="008E4AD7" w:rsidRPr="00BF3CBC" w:rsidRDefault="008E4AD7" w:rsidP="008E4AD7">
      <w:pPr>
        <w:numPr>
          <w:ilvl w:val="0"/>
          <w:numId w:val="7"/>
        </w:numPr>
        <w:ind w:left="1276" w:hanging="425"/>
        <w:rPr>
          <w:sz w:val="24"/>
          <w:szCs w:val="24"/>
        </w:rPr>
      </w:pPr>
      <w:proofErr w:type="spellStart"/>
      <w:r w:rsidRPr="00BF3CBC">
        <w:rPr>
          <w:sz w:val="24"/>
          <w:szCs w:val="24"/>
        </w:rPr>
        <w:t>Forudeksisterende</w:t>
      </w:r>
      <w:proofErr w:type="spellEnd"/>
      <w:r w:rsidRPr="00BF3CBC">
        <w:rPr>
          <w:sz w:val="24"/>
          <w:szCs w:val="24"/>
        </w:rPr>
        <w:t xml:space="preserve"> </w:t>
      </w:r>
      <w:proofErr w:type="spellStart"/>
      <w:r w:rsidRPr="00BF3CBC">
        <w:rPr>
          <w:sz w:val="24"/>
          <w:szCs w:val="24"/>
        </w:rPr>
        <w:t>cerebrovaskulære</w:t>
      </w:r>
      <w:proofErr w:type="spellEnd"/>
      <w:r w:rsidRPr="00BF3CBC">
        <w:rPr>
          <w:sz w:val="24"/>
          <w:szCs w:val="24"/>
        </w:rPr>
        <w:t xml:space="preserve"> sygdomme, cerebral </w:t>
      </w:r>
      <w:proofErr w:type="spellStart"/>
      <w:r w:rsidRPr="00BF3CBC">
        <w:rPr>
          <w:sz w:val="24"/>
          <w:szCs w:val="24"/>
        </w:rPr>
        <w:t>aneurisme</w:t>
      </w:r>
      <w:proofErr w:type="spellEnd"/>
      <w:r w:rsidRPr="00BF3CBC">
        <w:rPr>
          <w:sz w:val="24"/>
          <w:szCs w:val="24"/>
        </w:rPr>
        <w:t xml:space="preserve">, </w:t>
      </w:r>
      <w:proofErr w:type="spellStart"/>
      <w:r w:rsidRPr="00BF3CBC">
        <w:rPr>
          <w:sz w:val="24"/>
          <w:szCs w:val="24"/>
        </w:rPr>
        <w:t>vaskulære</w:t>
      </w:r>
      <w:proofErr w:type="spellEnd"/>
      <w:r w:rsidRPr="00BF3CBC">
        <w:rPr>
          <w:sz w:val="24"/>
          <w:szCs w:val="24"/>
        </w:rPr>
        <w:t xml:space="preserve"> </w:t>
      </w:r>
      <w:proofErr w:type="spellStart"/>
      <w:r w:rsidRPr="00BF3CBC">
        <w:rPr>
          <w:sz w:val="24"/>
          <w:szCs w:val="24"/>
        </w:rPr>
        <w:t>abnormaliteter</w:t>
      </w:r>
      <w:proofErr w:type="spellEnd"/>
      <w:r w:rsidRPr="00BF3CBC">
        <w:rPr>
          <w:sz w:val="24"/>
          <w:szCs w:val="24"/>
        </w:rPr>
        <w:t xml:space="preserve">, der omfatter </w:t>
      </w:r>
      <w:proofErr w:type="spellStart"/>
      <w:r w:rsidRPr="00BF3CBC">
        <w:rPr>
          <w:sz w:val="24"/>
          <w:szCs w:val="24"/>
        </w:rPr>
        <w:t>vaskulitis</w:t>
      </w:r>
      <w:proofErr w:type="spellEnd"/>
      <w:r w:rsidRPr="00BF3CBC">
        <w:rPr>
          <w:sz w:val="24"/>
          <w:szCs w:val="24"/>
        </w:rPr>
        <w:t xml:space="preserve"> eller slagtilfælde</w:t>
      </w:r>
    </w:p>
    <w:p w:rsidR="008E4AD7" w:rsidRPr="00BF3CBC" w:rsidRDefault="008E4AD7" w:rsidP="008E4AD7">
      <w:pPr>
        <w:tabs>
          <w:tab w:val="left" w:pos="851"/>
        </w:tabs>
        <w:ind w:left="851" w:hanging="851"/>
        <w:rPr>
          <w:sz w:val="24"/>
          <w:szCs w:val="24"/>
        </w:rPr>
      </w:pPr>
    </w:p>
    <w:p w:rsidR="00657134" w:rsidRPr="00C84483" w:rsidRDefault="00657134" w:rsidP="00657134">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994D29" w:rsidRDefault="00994D29" w:rsidP="00994D29">
      <w:pPr>
        <w:ind w:left="851"/>
        <w:rPr>
          <w:sz w:val="24"/>
          <w:szCs w:val="24"/>
        </w:rPr>
      </w:pPr>
      <w:r>
        <w:rPr>
          <w:sz w:val="24"/>
          <w:szCs w:val="24"/>
        </w:rPr>
        <w:t xml:space="preserve">Behandling med </w:t>
      </w:r>
      <w:proofErr w:type="spellStart"/>
      <w:r>
        <w:rPr>
          <w:sz w:val="24"/>
          <w:szCs w:val="24"/>
        </w:rPr>
        <w:t>methylphenidat</w:t>
      </w:r>
      <w:proofErr w:type="spellEnd"/>
      <w:r>
        <w:rPr>
          <w:sz w:val="24"/>
          <w:szCs w:val="24"/>
        </w:rPr>
        <w:t xml:space="preserve"> er ikke indiceret til alle patienter med ADHD, og beslutningen om at anvende stoffet skal bygge på en meget grundig vurdering af sværhedsgrad og varighed af patientens symptomer.</w:t>
      </w:r>
      <w:r>
        <w:t xml:space="preserve"> </w:t>
      </w:r>
      <w:r>
        <w:rPr>
          <w:sz w:val="24"/>
          <w:szCs w:val="24"/>
        </w:rPr>
        <w:t>Når behandling af et barn overvejes, skal vurderingen af sværhedsgrad og varighed af barnets symptomer ske i forhold til barnets alder (6-18 år).</w:t>
      </w:r>
    </w:p>
    <w:p w:rsidR="008E4AD7" w:rsidRPr="00BF3CBC" w:rsidRDefault="008E4AD7" w:rsidP="008E4AD7">
      <w:pPr>
        <w:ind w:left="851" w:hanging="851"/>
        <w:rPr>
          <w:sz w:val="24"/>
          <w:szCs w:val="24"/>
        </w:rPr>
      </w:pPr>
    </w:p>
    <w:p w:rsidR="008E4AD7" w:rsidRPr="00BF3CBC" w:rsidRDefault="008E4AD7" w:rsidP="008E4AD7">
      <w:pPr>
        <w:ind w:left="851"/>
        <w:rPr>
          <w:sz w:val="24"/>
          <w:szCs w:val="24"/>
        </w:rPr>
      </w:pPr>
      <w:r w:rsidRPr="00BF3CBC">
        <w:rPr>
          <w:sz w:val="24"/>
          <w:szCs w:val="24"/>
          <w:u w:val="single" w:color="000000"/>
        </w:rPr>
        <w:t>Langvarig anvendelse (over 12 måneder)</w:t>
      </w:r>
    </w:p>
    <w:p w:rsidR="00994D29" w:rsidRDefault="00994D29" w:rsidP="008E4AD7">
      <w:pPr>
        <w:ind w:left="851"/>
        <w:rPr>
          <w:sz w:val="24"/>
          <w:szCs w:val="24"/>
        </w:rPr>
      </w:pPr>
    </w:p>
    <w:p w:rsidR="008E4AD7" w:rsidRPr="00BF3CBC" w:rsidRDefault="008E4AD7" w:rsidP="008E4AD7">
      <w:pPr>
        <w:ind w:left="851"/>
        <w:rPr>
          <w:sz w:val="24"/>
          <w:szCs w:val="24"/>
        </w:rPr>
      </w:pPr>
      <w:r w:rsidRPr="00BF3CBC">
        <w:rPr>
          <w:sz w:val="24"/>
          <w:szCs w:val="24"/>
        </w:rPr>
        <w:t xml:space="preserve">Sikkerheden og virkningen ved langvarig anvendelse af </w:t>
      </w:r>
      <w:proofErr w:type="spellStart"/>
      <w:r w:rsidRPr="00BF3CBC">
        <w:rPr>
          <w:sz w:val="24"/>
          <w:szCs w:val="24"/>
        </w:rPr>
        <w:t>methylphenidat</w:t>
      </w:r>
      <w:proofErr w:type="spellEnd"/>
      <w:r w:rsidRPr="00BF3CBC">
        <w:rPr>
          <w:sz w:val="24"/>
          <w:szCs w:val="24"/>
        </w:rPr>
        <w:t xml:space="preserve"> er ikke systematisk undersøgt i kontrollerede forsøg. Behandling med </w:t>
      </w:r>
      <w:proofErr w:type="spellStart"/>
      <w:r w:rsidRPr="00BF3CBC">
        <w:rPr>
          <w:sz w:val="24"/>
          <w:szCs w:val="24"/>
        </w:rPr>
        <w:t>methylphenidat</w:t>
      </w:r>
      <w:proofErr w:type="spellEnd"/>
      <w:r w:rsidRPr="00BF3CBC">
        <w:rPr>
          <w:sz w:val="24"/>
          <w:szCs w:val="24"/>
        </w:rPr>
        <w:t xml:space="preserve"> bør ikke og behøver ikke være på ubestemt tid. </w:t>
      </w:r>
      <w:r w:rsidR="00994D29">
        <w:rPr>
          <w:sz w:val="24"/>
          <w:szCs w:val="24"/>
        </w:rPr>
        <w:t xml:space="preserve">Hos børn og unge seponeres behandling </w:t>
      </w:r>
      <w:r w:rsidRPr="00BF3CBC">
        <w:rPr>
          <w:sz w:val="24"/>
          <w:szCs w:val="24"/>
        </w:rPr>
        <w:t xml:space="preserve">med </w:t>
      </w:r>
      <w:proofErr w:type="spellStart"/>
      <w:r w:rsidRPr="00BF3CBC">
        <w:rPr>
          <w:sz w:val="24"/>
          <w:szCs w:val="24"/>
        </w:rPr>
        <w:t>methylphenidat</w:t>
      </w:r>
      <w:proofErr w:type="spellEnd"/>
      <w:r w:rsidRPr="00BF3CBC">
        <w:rPr>
          <w:sz w:val="24"/>
          <w:szCs w:val="24"/>
        </w:rPr>
        <w:t xml:space="preserve"> seponeres sædvanligvis under eller efter puberteten. Patienter i langvarig behandling (dvs. over 12 måneder) skal i overensstemmelse med anvisningerne i </w:t>
      </w:r>
      <w:r>
        <w:rPr>
          <w:sz w:val="24"/>
          <w:szCs w:val="24"/>
        </w:rPr>
        <w:t>pkt.</w:t>
      </w:r>
      <w:r w:rsidRPr="00BF3CBC">
        <w:rPr>
          <w:sz w:val="24"/>
          <w:szCs w:val="24"/>
        </w:rPr>
        <w:t xml:space="preserve"> 4.2 og 4.4 have omhyggelig og vedvarende monitorering af </w:t>
      </w:r>
      <w:proofErr w:type="spellStart"/>
      <w:r w:rsidRPr="00BF3CBC">
        <w:rPr>
          <w:sz w:val="24"/>
          <w:szCs w:val="24"/>
        </w:rPr>
        <w:t>kardiovaskulær</w:t>
      </w:r>
      <w:proofErr w:type="spellEnd"/>
      <w:r w:rsidRPr="00BF3CBC">
        <w:rPr>
          <w:sz w:val="24"/>
          <w:szCs w:val="24"/>
        </w:rPr>
        <w:t xml:space="preserve"> status, </w:t>
      </w:r>
      <w:r w:rsidR="00994D29">
        <w:rPr>
          <w:sz w:val="24"/>
          <w:szCs w:val="24"/>
        </w:rPr>
        <w:t>vækst (børn), vægt,</w:t>
      </w:r>
      <w:r w:rsidRPr="00BF3CBC">
        <w:rPr>
          <w:sz w:val="24"/>
          <w:szCs w:val="24"/>
        </w:rPr>
        <w:t xml:space="preserve"> appetit samt for udvikling af nye eller forværring af </w:t>
      </w:r>
      <w:proofErr w:type="spellStart"/>
      <w:r w:rsidRPr="00BF3CBC">
        <w:rPr>
          <w:sz w:val="24"/>
          <w:szCs w:val="24"/>
        </w:rPr>
        <w:t>forudeksisterende</w:t>
      </w:r>
      <w:proofErr w:type="spellEnd"/>
      <w:r w:rsidRPr="00BF3CBC">
        <w:rPr>
          <w:sz w:val="24"/>
          <w:szCs w:val="24"/>
        </w:rPr>
        <w:t xml:space="preserve"> psykiatriske tilstande. De psykiatriske tilstande, der monitoreres for, er beskrevet nedenfor og omfatter (men begrænser sig ikke til) motoriske og vokale tics, aggressiv eller fjendtlig adfærd, agitation, angst, depression, psykose, mani, vrangforestillinger, irritabilitet, tab af spontanitet, tilbagetrækning og overdreven perseveration.</w:t>
      </w:r>
    </w:p>
    <w:p w:rsidR="008E4AD7" w:rsidRPr="00BF3CBC" w:rsidRDefault="008E4AD7" w:rsidP="008E4AD7">
      <w:pPr>
        <w:ind w:left="851" w:hanging="851"/>
        <w:rPr>
          <w:sz w:val="24"/>
          <w:szCs w:val="24"/>
        </w:rPr>
      </w:pPr>
    </w:p>
    <w:p w:rsidR="00994D29" w:rsidRDefault="008E4AD7" w:rsidP="00994D29">
      <w:pPr>
        <w:ind w:left="851"/>
        <w:rPr>
          <w:sz w:val="24"/>
          <w:szCs w:val="24"/>
        </w:rPr>
      </w:pPr>
      <w:r w:rsidRPr="00BF3CBC">
        <w:rPr>
          <w:noProof/>
          <w:sz w:val="24"/>
          <w:szCs w:val="24"/>
          <w:lang w:eastAsia="da-DK"/>
        </w:rPr>
        <mc:AlternateContent>
          <mc:Choice Requires="wpg">
            <w:drawing>
              <wp:anchor distT="0" distB="0" distL="114300" distR="114300" simplePos="0" relativeHeight="251659264" behindDoc="1" locked="0" layoutInCell="1" allowOverlap="1" wp14:anchorId="397727DB" wp14:editId="2B40C205">
                <wp:simplePos x="0" y="0"/>
                <wp:positionH relativeFrom="page">
                  <wp:posOffset>4989830</wp:posOffset>
                </wp:positionH>
                <wp:positionV relativeFrom="paragraph">
                  <wp:posOffset>506095</wp:posOffset>
                </wp:positionV>
                <wp:extent cx="36830" cy="8255"/>
                <wp:effectExtent l="0" t="0" r="20320" b="10795"/>
                <wp:wrapNone/>
                <wp:docPr id="2" name="Grup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 cy="8255"/>
                          <a:chOff x="7858" y="797"/>
                          <a:chExt cx="58" cy="13"/>
                        </a:xfrm>
                      </wpg:grpSpPr>
                      <wps:wsp>
                        <wps:cNvPr id="3" name="Freeform 4"/>
                        <wps:cNvSpPr>
                          <a:spLocks/>
                        </wps:cNvSpPr>
                        <wps:spPr bwMode="auto">
                          <a:xfrm>
                            <a:off x="7858" y="797"/>
                            <a:ext cx="58" cy="13"/>
                          </a:xfrm>
                          <a:custGeom>
                            <a:avLst/>
                            <a:gdLst>
                              <a:gd name="T0" fmla="+- 0 7858 7858"/>
                              <a:gd name="T1" fmla="*/ T0 w 58"/>
                              <a:gd name="T2" fmla="+- 0 803 797"/>
                              <a:gd name="T3" fmla="*/ 803 h 13"/>
                              <a:gd name="T4" fmla="+- 0 7915 7858"/>
                              <a:gd name="T5" fmla="*/ T4 w 58"/>
                              <a:gd name="T6" fmla="+- 0 803 797"/>
                              <a:gd name="T7" fmla="*/ 803 h 13"/>
                            </a:gdLst>
                            <a:ahLst/>
                            <a:cxnLst>
                              <a:cxn ang="0">
                                <a:pos x="T1" y="T3"/>
                              </a:cxn>
                              <a:cxn ang="0">
                                <a:pos x="T5" y="T7"/>
                              </a:cxn>
                            </a:cxnLst>
                            <a:rect l="0" t="0" r="r" b="b"/>
                            <a:pathLst>
                              <a:path w="58" h="13">
                                <a:moveTo>
                                  <a:pt x="0" y="6"/>
                                </a:moveTo>
                                <a:lnTo>
                                  <a:pt x="57" y="6"/>
                                </a:lnTo>
                              </a:path>
                            </a:pathLst>
                          </a:custGeom>
                          <a:noFill/>
                          <a:ln w="9652">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2AA3E3" id="Gruppe 2" o:spid="_x0000_s1026" style="position:absolute;margin-left:392.9pt;margin-top:39.85pt;width:2.9pt;height:.65pt;z-index:-251657216;mso-position-horizontal-relative:page" coordorigin="7858,797" coordsize="5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">
                <v:shape id="Freeform 4" o:spid="_x0000_s1027" style="position:absolute;left:7858;top:797;width:58;height:13;visibility:visible;mso-wrap-style:square;v-text-anchor:top" coordsize="5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" path="m,6r57,e" filled="f" strokeweight=".76pt">
                  <v:path arrowok="t" o:connecttype="custom" o:connectlocs="0,803;57,803" o:connectangles="0,0"/>
                </v:shape>
                <w10:wrap anchorx="page"/>
              </v:group>
            </w:pict>
          </mc:Fallback>
        </mc:AlternateContent>
      </w:r>
      <w:r w:rsidRPr="00BF3CBC">
        <w:rPr>
          <w:sz w:val="24"/>
          <w:szCs w:val="24"/>
        </w:rPr>
        <w:t xml:space="preserve">Læger, som vælger at anvende </w:t>
      </w:r>
      <w:proofErr w:type="spellStart"/>
      <w:r w:rsidRPr="00BF3CBC">
        <w:rPr>
          <w:sz w:val="24"/>
          <w:szCs w:val="24"/>
        </w:rPr>
        <w:t>methylphenidat</w:t>
      </w:r>
      <w:proofErr w:type="spellEnd"/>
      <w:r w:rsidRPr="00BF3CBC">
        <w:rPr>
          <w:sz w:val="24"/>
          <w:szCs w:val="24"/>
        </w:rPr>
        <w:t xml:space="preserve"> i længere perioder (over 12 måneder) bør jævnligt genoverveje, om lægemidlet er gavnligt på lang sigt for den enkelte patient, med prøveperioder uden medicin for at vurdere, hvordan patienten fungerer uden </w:t>
      </w:r>
      <w:proofErr w:type="spellStart"/>
      <w:r w:rsidRPr="00BF3CBC">
        <w:rPr>
          <w:sz w:val="24"/>
          <w:szCs w:val="24"/>
        </w:rPr>
        <w:t>farmakoterapi</w:t>
      </w:r>
      <w:proofErr w:type="spellEnd"/>
      <w:r w:rsidRPr="00BF3CBC">
        <w:rPr>
          <w:sz w:val="24"/>
          <w:szCs w:val="24"/>
        </w:rPr>
        <w:t xml:space="preserve">. </w:t>
      </w:r>
      <w:r w:rsidR="00994D29">
        <w:rPr>
          <w:sz w:val="24"/>
          <w:szCs w:val="24"/>
        </w:rPr>
        <w:t xml:space="preserve">Det anbefales, at </w:t>
      </w:r>
      <w:proofErr w:type="spellStart"/>
      <w:r w:rsidR="00994D29">
        <w:rPr>
          <w:sz w:val="24"/>
          <w:szCs w:val="24"/>
        </w:rPr>
        <w:t>methylphenidat</w:t>
      </w:r>
      <w:proofErr w:type="spellEnd"/>
      <w:r w:rsidR="00994D29">
        <w:rPr>
          <w:sz w:val="24"/>
          <w:szCs w:val="24"/>
        </w:rPr>
        <w:t xml:space="preserve"> seponeres forsøgsmæssigt mindst én gang årligt for at vurdere patientens tilstand (for børn helst i skoleferier). Forbedringer kan eventuelt være vedvarende, selv om lægemidlet seponeres midlertidigt eller permanent.</w:t>
      </w:r>
    </w:p>
    <w:p w:rsidR="008E4AD7" w:rsidRPr="00BF3CBC" w:rsidRDefault="008E4AD7" w:rsidP="00994D29">
      <w:pPr>
        <w:ind w:left="851"/>
        <w:rPr>
          <w:sz w:val="24"/>
          <w:szCs w:val="24"/>
        </w:rPr>
      </w:pPr>
    </w:p>
    <w:p w:rsidR="008E4AD7" w:rsidRPr="00BF3CBC" w:rsidRDefault="008E4AD7" w:rsidP="008E4AD7">
      <w:pPr>
        <w:ind w:left="851"/>
        <w:rPr>
          <w:sz w:val="24"/>
          <w:szCs w:val="24"/>
        </w:rPr>
      </w:pPr>
      <w:r w:rsidRPr="00BF3CBC">
        <w:rPr>
          <w:sz w:val="24"/>
          <w:szCs w:val="24"/>
          <w:u w:val="single" w:color="000000"/>
        </w:rPr>
        <w:t>Brug til ældre</w:t>
      </w:r>
    </w:p>
    <w:p w:rsidR="008E4AD7" w:rsidRPr="00BF3CBC" w:rsidRDefault="008E4AD7" w:rsidP="008E4AD7">
      <w:pPr>
        <w:ind w:left="851"/>
        <w:rPr>
          <w:sz w:val="24"/>
          <w:szCs w:val="24"/>
        </w:rPr>
      </w:pPr>
      <w:proofErr w:type="spellStart"/>
      <w:r w:rsidRPr="00BF3CBC">
        <w:rPr>
          <w:sz w:val="24"/>
          <w:szCs w:val="24"/>
        </w:rPr>
        <w:t>Methylphenidat</w:t>
      </w:r>
      <w:proofErr w:type="spellEnd"/>
      <w:r w:rsidRPr="00BF3CBC">
        <w:rPr>
          <w:sz w:val="24"/>
          <w:szCs w:val="24"/>
        </w:rPr>
        <w:t xml:space="preserve"> bør ikke anvendes til ældre. Sikkerhed og virkning hos denne aldersgruppe er ikke fastslået.</w:t>
      </w:r>
      <w:r w:rsidR="00994D29">
        <w:rPr>
          <w:sz w:val="24"/>
          <w:szCs w:val="24"/>
        </w:rPr>
        <w:t xml:space="preserve"> </w:t>
      </w:r>
      <w:proofErr w:type="spellStart"/>
      <w:r w:rsidR="00994D29">
        <w:rPr>
          <w:sz w:val="24"/>
          <w:szCs w:val="24"/>
        </w:rPr>
        <w:t>Methylphenidat</w:t>
      </w:r>
      <w:proofErr w:type="spellEnd"/>
      <w:r w:rsidR="00994D29">
        <w:rPr>
          <w:sz w:val="24"/>
          <w:szCs w:val="24"/>
        </w:rPr>
        <w:t xml:space="preserve"> er ikke blevet undersøgt hos ADHD-patienter over 65 år.</w:t>
      </w:r>
    </w:p>
    <w:p w:rsidR="008E4AD7" w:rsidRPr="00BF3CBC" w:rsidRDefault="008E4AD7" w:rsidP="008E4AD7">
      <w:pPr>
        <w:ind w:left="851" w:hanging="851"/>
        <w:rPr>
          <w:sz w:val="24"/>
          <w:szCs w:val="24"/>
        </w:rPr>
      </w:pPr>
    </w:p>
    <w:p w:rsidR="008E4AD7" w:rsidRPr="00BF3CBC" w:rsidRDefault="008E4AD7" w:rsidP="008E4AD7">
      <w:pPr>
        <w:ind w:left="851"/>
        <w:rPr>
          <w:sz w:val="24"/>
          <w:szCs w:val="24"/>
        </w:rPr>
      </w:pPr>
      <w:r w:rsidRPr="00BF3CBC">
        <w:rPr>
          <w:sz w:val="24"/>
          <w:szCs w:val="24"/>
          <w:u w:val="single" w:color="000000"/>
        </w:rPr>
        <w:t>Brug til børn under 6 år</w:t>
      </w:r>
    </w:p>
    <w:p w:rsidR="008E4AD7" w:rsidRPr="00BF3CBC" w:rsidRDefault="008E4AD7" w:rsidP="008E4AD7">
      <w:pPr>
        <w:ind w:left="851"/>
        <w:rPr>
          <w:sz w:val="24"/>
          <w:szCs w:val="24"/>
        </w:rPr>
      </w:pPr>
      <w:proofErr w:type="spellStart"/>
      <w:r w:rsidRPr="00BF3CBC">
        <w:rPr>
          <w:sz w:val="24"/>
          <w:szCs w:val="24"/>
        </w:rPr>
        <w:t>Methylphenidat</w:t>
      </w:r>
      <w:proofErr w:type="spellEnd"/>
      <w:r w:rsidRPr="00BF3CBC">
        <w:rPr>
          <w:sz w:val="24"/>
          <w:szCs w:val="24"/>
        </w:rPr>
        <w:t xml:space="preserve"> bør ikke anvendes til børn under 6 år. Sikkerhed og virkning hos denne aldersgruppe er ikke fastslået.</w:t>
      </w:r>
    </w:p>
    <w:p w:rsidR="008E4AD7" w:rsidRPr="00BF3CBC" w:rsidRDefault="008E4AD7" w:rsidP="008E4AD7">
      <w:pPr>
        <w:ind w:left="851" w:hanging="851"/>
        <w:rPr>
          <w:sz w:val="24"/>
          <w:szCs w:val="24"/>
        </w:rPr>
      </w:pPr>
    </w:p>
    <w:p w:rsidR="008E4AD7" w:rsidRPr="00BF3CBC" w:rsidRDefault="008E4AD7" w:rsidP="008E4AD7">
      <w:pPr>
        <w:ind w:left="851"/>
        <w:rPr>
          <w:sz w:val="24"/>
          <w:szCs w:val="24"/>
        </w:rPr>
      </w:pPr>
      <w:proofErr w:type="spellStart"/>
      <w:r w:rsidRPr="00BF3CBC">
        <w:rPr>
          <w:sz w:val="24"/>
          <w:szCs w:val="24"/>
          <w:u w:val="single" w:color="000000"/>
        </w:rPr>
        <w:t>Kardiovaskulær</w:t>
      </w:r>
      <w:proofErr w:type="spellEnd"/>
      <w:r w:rsidRPr="00BF3CBC">
        <w:rPr>
          <w:sz w:val="24"/>
          <w:szCs w:val="24"/>
          <w:u w:val="single" w:color="000000"/>
        </w:rPr>
        <w:t xml:space="preserve"> status</w:t>
      </w:r>
    </w:p>
    <w:p w:rsidR="008E4AD7" w:rsidRPr="00BF3CBC" w:rsidRDefault="008E4AD7" w:rsidP="008E4AD7">
      <w:pPr>
        <w:ind w:left="851"/>
        <w:rPr>
          <w:sz w:val="24"/>
          <w:szCs w:val="24"/>
        </w:rPr>
      </w:pPr>
      <w:r w:rsidRPr="00BF3CBC">
        <w:rPr>
          <w:sz w:val="24"/>
          <w:szCs w:val="24"/>
        </w:rPr>
        <w:t xml:space="preserve">Patienter, der overvejes sat i behandling med stimulerende lægemidler, skal have udført en detaljeret anamnese (herunder familieanamnese vedrørende pludselig hjertedød, uforklarlig død eller malign </w:t>
      </w:r>
      <w:proofErr w:type="spellStart"/>
      <w:r w:rsidRPr="00BF3CBC">
        <w:rPr>
          <w:sz w:val="24"/>
          <w:szCs w:val="24"/>
        </w:rPr>
        <w:t>arrytmi</w:t>
      </w:r>
      <w:proofErr w:type="spellEnd"/>
      <w:r w:rsidRPr="00BF3CBC">
        <w:rPr>
          <w:sz w:val="24"/>
          <w:szCs w:val="24"/>
        </w:rPr>
        <w:t xml:space="preserve">) samt en fysisk undersøgelse for at vurdere tilstedeværelsen af hjertesygdom, og der bør yderligere foretages vurdering af hjertet hos speciallæge, hvis de indledende fund peger på en sådan anamnese eller sygdom. Patienter, der under behandling med </w:t>
      </w:r>
      <w:proofErr w:type="spellStart"/>
      <w:r w:rsidRPr="00BF3CBC">
        <w:rPr>
          <w:sz w:val="24"/>
          <w:szCs w:val="24"/>
        </w:rPr>
        <w:t>methylphenidat</w:t>
      </w:r>
      <w:proofErr w:type="spellEnd"/>
      <w:r w:rsidRPr="00BF3CBC">
        <w:rPr>
          <w:sz w:val="24"/>
          <w:szCs w:val="24"/>
        </w:rPr>
        <w:t xml:space="preserve"> får symptomer som </w:t>
      </w:r>
      <w:proofErr w:type="spellStart"/>
      <w:r w:rsidRPr="00BF3CBC">
        <w:rPr>
          <w:sz w:val="24"/>
          <w:szCs w:val="24"/>
        </w:rPr>
        <w:t>palpitationer</w:t>
      </w:r>
      <w:proofErr w:type="spellEnd"/>
      <w:r w:rsidRPr="00BF3CBC">
        <w:rPr>
          <w:sz w:val="24"/>
          <w:szCs w:val="24"/>
        </w:rPr>
        <w:t>, brystsmerter udløst af anstrengelse, uforklarlig besvimelse, dyspnø eller andre symptomer, der tyder på hjertesygdom, skal omgående have hjertet undersøgt af en speciallæge.</w:t>
      </w:r>
    </w:p>
    <w:p w:rsidR="008E4AD7" w:rsidRPr="00BF3CBC" w:rsidRDefault="008E4AD7" w:rsidP="008E4AD7">
      <w:pPr>
        <w:ind w:left="851" w:hanging="851"/>
        <w:rPr>
          <w:sz w:val="24"/>
          <w:szCs w:val="24"/>
        </w:rPr>
      </w:pPr>
    </w:p>
    <w:p w:rsidR="00A46903" w:rsidRPr="00BF3CBC" w:rsidRDefault="00A46903" w:rsidP="00A46903">
      <w:pPr>
        <w:ind w:left="851"/>
        <w:rPr>
          <w:sz w:val="24"/>
          <w:szCs w:val="24"/>
        </w:rPr>
      </w:pPr>
      <w:r w:rsidRPr="00BF3CBC">
        <w:rPr>
          <w:sz w:val="24"/>
          <w:szCs w:val="24"/>
        </w:rPr>
        <w:t xml:space="preserve">Dataanalyser fra kliniske studier med </w:t>
      </w:r>
      <w:proofErr w:type="spellStart"/>
      <w:r w:rsidRPr="00BF3CBC">
        <w:rPr>
          <w:sz w:val="24"/>
          <w:szCs w:val="24"/>
        </w:rPr>
        <w:t>methylphenidat</w:t>
      </w:r>
      <w:proofErr w:type="spellEnd"/>
      <w:r w:rsidRPr="00BF3CBC">
        <w:rPr>
          <w:sz w:val="24"/>
          <w:szCs w:val="24"/>
        </w:rPr>
        <w:t xml:space="preserve"> hos børn og unge med ADHD har påvist, at patienter, der tager </w:t>
      </w:r>
      <w:proofErr w:type="spellStart"/>
      <w:r w:rsidRPr="00BF3CBC">
        <w:rPr>
          <w:sz w:val="24"/>
          <w:szCs w:val="24"/>
        </w:rPr>
        <w:t>methylphenidat</w:t>
      </w:r>
      <w:proofErr w:type="spellEnd"/>
      <w:r w:rsidRPr="00BF3CBC">
        <w:rPr>
          <w:sz w:val="24"/>
          <w:szCs w:val="24"/>
        </w:rPr>
        <w:t xml:space="preserve">, hyppigere oplever ændringer større end 10 mm Hg i diastolisk og systolisk blodtryk sammenlignet med kontrolgruppen. </w:t>
      </w:r>
      <w:r w:rsidR="00994D29">
        <w:rPr>
          <w:sz w:val="24"/>
          <w:szCs w:val="24"/>
        </w:rPr>
        <w:t xml:space="preserve">Stigninger i diastoliske og systoliske blodtryksværdier sås også i kliniske forsøgsdata fra voksne ADHD-patienter. </w:t>
      </w:r>
      <w:r w:rsidRPr="00BF3CBC">
        <w:rPr>
          <w:sz w:val="24"/>
          <w:szCs w:val="24"/>
        </w:rPr>
        <w:t xml:space="preserve">De kort- og langsigtede kliniske følger af disse </w:t>
      </w:r>
      <w:proofErr w:type="spellStart"/>
      <w:r w:rsidRPr="00BF3CBC">
        <w:rPr>
          <w:sz w:val="24"/>
          <w:szCs w:val="24"/>
        </w:rPr>
        <w:t>kardiovaskulære</w:t>
      </w:r>
      <w:proofErr w:type="spellEnd"/>
      <w:r w:rsidRPr="00BF3CBC">
        <w:rPr>
          <w:sz w:val="24"/>
          <w:szCs w:val="24"/>
        </w:rPr>
        <w:t xml:space="preserve"> virkninger hos børn og unge er ikke kendt. Muligheden for kliniske komplikationer kan ikke udelukkes under hensyn til de virkninger, der er observeret i data fra kliniske studier, især når behandling hos børn og unge blev fortsat ind i voksenalderen. </w:t>
      </w:r>
      <w:r w:rsidRPr="005D0B90">
        <w:rPr>
          <w:b/>
          <w:sz w:val="24"/>
          <w:szCs w:val="24"/>
        </w:rPr>
        <w:t>Forsigtighed er påkrævet ved behandling af patienter, hvis underliggende medicinske tilstande kan forværres ved stigning i blodtryk eller hjertefrekvens.</w:t>
      </w:r>
      <w:r w:rsidRPr="00BF3CBC">
        <w:rPr>
          <w:sz w:val="24"/>
          <w:szCs w:val="24"/>
        </w:rPr>
        <w:t xml:space="preserve"> Se </w:t>
      </w:r>
      <w:r>
        <w:rPr>
          <w:sz w:val="24"/>
          <w:szCs w:val="24"/>
        </w:rPr>
        <w:t>pkt.</w:t>
      </w:r>
      <w:r w:rsidRPr="00BF3CBC">
        <w:rPr>
          <w:sz w:val="24"/>
          <w:szCs w:val="24"/>
        </w:rPr>
        <w:t xml:space="preserve"> 4.3 for tilstande, hvor </w:t>
      </w:r>
      <w:proofErr w:type="spellStart"/>
      <w:r w:rsidRPr="00BF3CBC">
        <w:rPr>
          <w:sz w:val="24"/>
          <w:szCs w:val="24"/>
        </w:rPr>
        <w:t>methylphenidatbehandling</w:t>
      </w:r>
      <w:proofErr w:type="spellEnd"/>
      <w:r w:rsidRPr="00BF3CBC">
        <w:rPr>
          <w:sz w:val="24"/>
          <w:szCs w:val="24"/>
        </w:rPr>
        <w:t xml:space="preserve"> er kontraindiceret.</w:t>
      </w:r>
    </w:p>
    <w:p w:rsidR="00A46903" w:rsidRPr="00BF3CBC" w:rsidRDefault="00A46903" w:rsidP="00A46903">
      <w:pPr>
        <w:ind w:left="851" w:hanging="851"/>
        <w:rPr>
          <w:sz w:val="24"/>
          <w:szCs w:val="24"/>
        </w:rPr>
      </w:pPr>
    </w:p>
    <w:p w:rsidR="00A46903" w:rsidRDefault="00A46903" w:rsidP="00A46903">
      <w:pPr>
        <w:ind w:left="851"/>
        <w:rPr>
          <w:b/>
          <w:sz w:val="24"/>
          <w:szCs w:val="24"/>
        </w:rPr>
      </w:pPr>
      <w:proofErr w:type="spellStart"/>
      <w:r w:rsidRPr="005D0B90">
        <w:rPr>
          <w:b/>
          <w:sz w:val="24"/>
          <w:szCs w:val="24"/>
        </w:rPr>
        <w:t>Kardiovaskulær</w:t>
      </w:r>
      <w:proofErr w:type="spellEnd"/>
      <w:r w:rsidRPr="005D0B90">
        <w:rPr>
          <w:b/>
          <w:sz w:val="24"/>
          <w:szCs w:val="24"/>
        </w:rPr>
        <w:t xml:space="preserve"> status skal monitoreres omhyggeligt. Blodtryk og puls skal kontrolleres og anføres på en </w:t>
      </w:r>
      <w:proofErr w:type="spellStart"/>
      <w:r w:rsidRPr="005D0B90">
        <w:rPr>
          <w:b/>
          <w:sz w:val="24"/>
          <w:szCs w:val="24"/>
        </w:rPr>
        <w:t>percentil</w:t>
      </w:r>
      <w:proofErr w:type="spellEnd"/>
      <w:r w:rsidRPr="005D0B90">
        <w:rPr>
          <w:b/>
          <w:sz w:val="24"/>
          <w:szCs w:val="24"/>
        </w:rPr>
        <w:t xml:space="preserve"> kurve ved hver dosisjustering og derefter mindst hver 6. måned.</w:t>
      </w:r>
    </w:p>
    <w:p w:rsidR="00994D29" w:rsidRDefault="00994D29" w:rsidP="00994D29">
      <w:pPr>
        <w:ind w:left="851"/>
        <w:rPr>
          <w:b/>
          <w:sz w:val="24"/>
          <w:szCs w:val="24"/>
        </w:rPr>
      </w:pPr>
      <w:proofErr w:type="spellStart"/>
      <w:r>
        <w:rPr>
          <w:b/>
          <w:sz w:val="24"/>
          <w:szCs w:val="24"/>
        </w:rPr>
        <w:t>Methylphenidat</w:t>
      </w:r>
      <w:proofErr w:type="spellEnd"/>
      <w:r>
        <w:rPr>
          <w:b/>
          <w:sz w:val="24"/>
          <w:szCs w:val="24"/>
        </w:rPr>
        <w:t xml:space="preserve"> skal seponeres hos patienter, som under behandlingen har gentagne målinger af </w:t>
      </w:r>
      <w:proofErr w:type="spellStart"/>
      <w:r>
        <w:rPr>
          <w:b/>
          <w:sz w:val="24"/>
          <w:szCs w:val="24"/>
        </w:rPr>
        <w:t>takykardi</w:t>
      </w:r>
      <w:proofErr w:type="spellEnd"/>
      <w:r>
        <w:rPr>
          <w:b/>
          <w:sz w:val="24"/>
          <w:szCs w:val="24"/>
        </w:rPr>
        <w:t xml:space="preserve">, </w:t>
      </w:r>
      <w:proofErr w:type="spellStart"/>
      <w:r>
        <w:rPr>
          <w:b/>
          <w:sz w:val="24"/>
          <w:szCs w:val="24"/>
        </w:rPr>
        <w:t>arytmi</w:t>
      </w:r>
      <w:proofErr w:type="spellEnd"/>
      <w:r>
        <w:rPr>
          <w:b/>
          <w:sz w:val="24"/>
          <w:szCs w:val="24"/>
        </w:rPr>
        <w:t xml:space="preserve"> eller øget systolisk blodtryk (&gt;95 </w:t>
      </w:r>
      <w:proofErr w:type="spellStart"/>
      <w:r>
        <w:rPr>
          <w:b/>
          <w:sz w:val="24"/>
          <w:szCs w:val="24"/>
        </w:rPr>
        <w:t>percentilen</w:t>
      </w:r>
      <w:proofErr w:type="spellEnd"/>
      <w:r>
        <w:rPr>
          <w:b/>
          <w:sz w:val="24"/>
          <w:szCs w:val="24"/>
        </w:rPr>
        <w:t>), og en henvisning til en kardiolog skal overvejes.</w:t>
      </w:r>
    </w:p>
    <w:p w:rsidR="00A46903" w:rsidRPr="00BF3CBC" w:rsidRDefault="00A46903" w:rsidP="00A46903">
      <w:pPr>
        <w:ind w:left="851" w:hanging="851"/>
        <w:rPr>
          <w:sz w:val="24"/>
          <w:szCs w:val="24"/>
        </w:rPr>
      </w:pPr>
    </w:p>
    <w:p w:rsidR="00A46903" w:rsidRPr="00BF3CBC" w:rsidRDefault="00A46903" w:rsidP="00A46903">
      <w:pPr>
        <w:ind w:left="851"/>
        <w:rPr>
          <w:sz w:val="24"/>
          <w:szCs w:val="24"/>
        </w:rPr>
      </w:pPr>
      <w:r w:rsidRPr="00BF3CBC">
        <w:rPr>
          <w:sz w:val="24"/>
          <w:szCs w:val="24"/>
        </w:rPr>
        <w:t xml:space="preserve">Anvendelse af </w:t>
      </w:r>
      <w:proofErr w:type="spellStart"/>
      <w:r w:rsidRPr="00BF3CBC">
        <w:rPr>
          <w:sz w:val="24"/>
          <w:szCs w:val="24"/>
        </w:rPr>
        <w:t>methylphenidat</w:t>
      </w:r>
      <w:proofErr w:type="spellEnd"/>
      <w:r w:rsidRPr="00BF3CBC">
        <w:rPr>
          <w:sz w:val="24"/>
          <w:szCs w:val="24"/>
        </w:rPr>
        <w:t xml:space="preserve"> er kontraindiceret ved visse </w:t>
      </w:r>
      <w:proofErr w:type="spellStart"/>
      <w:r w:rsidRPr="00BF3CBC">
        <w:rPr>
          <w:sz w:val="24"/>
          <w:szCs w:val="24"/>
        </w:rPr>
        <w:t>forudeksisterende</w:t>
      </w:r>
      <w:proofErr w:type="spellEnd"/>
      <w:r w:rsidRPr="00BF3CBC">
        <w:rPr>
          <w:sz w:val="24"/>
          <w:szCs w:val="24"/>
        </w:rPr>
        <w:t xml:space="preserve"> </w:t>
      </w:r>
      <w:proofErr w:type="spellStart"/>
      <w:r w:rsidRPr="00BF3CBC">
        <w:rPr>
          <w:sz w:val="24"/>
          <w:szCs w:val="24"/>
        </w:rPr>
        <w:t>kardiovaskulære</w:t>
      </w:r>
      <w:proofErr w:type="spellEnd"/>
      <w:r w:rsidRPr="00BF3CBC">
        <w:rPr>
          <w:sz w:val="24"/>
          <w:szCs w:val="24"/>
        </w:rPr>
        <w:t xml:space="preserve"> sygdomme</w:t>
      </w:r>
      <w:r w:rsidRPr="005D0B90">
        <w:rPr>
          <w:b/>
          <w:sz w:val="24"/>
          <w:szCs w:val="24"/>
        </w:rPr>
        <w:t>, medmindre man har rådført sig med en specialist i hjertesygdomme (se pkt. 4.3).</w:t>
      </w:r>
    </w:p>
    <w:p w:rsidR="00A46903" w:rsidRPr="00BF3CBC" w:rsidRDefault="00A46903" w:rsidP="00A46903">
      <w:pPr>
        <w:ind w:left="851" w:hanging="851"/>
        <w:rPr>
          <w:sz w:val="24"/>
          <w:szCs w:val="24"/>
        </w:rPr>
      </w:pPr>
    </w:p>
    <w:p w:rsidR="00A46903" w:rsidRPr="005D0B90" w:rsidRDefault="00A46903" w:rsidP="00A46903">
      <w:pPr>
        <w:ind w:left="851"/>
        <w:rPr>
          <w:i/>
          <w:sz w:val="24"/>
          <w:szCs w:val="24"/>
        </w:rPr>
      </w:pPr>
      <w:r w:rsidRPr="005D0B90">
        <w:rPr>
          <w:i/>
          <w:sz w:val="24"/>
          <w:szCs w:val="24"/>
        </w:rPr>
        <w:t xml:space="preserve">Pludselig død og </w:t>
      </w:r>
      <w:proofErr w:type="spellStart"/>
      <w:r w:rsidRPr="005D0B90">
        <w:rPr>
          <w:i/>
          <w:sz w:val="24"/>
          <w:szCs w:val="24"/>
        </w:rPr>
        <w:t>forudeksisterende</w:t>
      </w:r>
      <w:proofErr w:type="spellEnd"/>
      <w:r w:rsidRPr="005D0B90">
        <w:rPr>
          <w:i/>
          <w:sz w:val="24"/>
          <w:szCs w:val="24"/>
        </w:rPr>
        <w:t xml:space="preserve"> strukturelle misdannelser i hjertet eller andre alvorlige hjertesygdomme.</w:t>
      </w:r>
    </w:p>
    <w:p w:rsidR="008E4AD7" w:rsidRPr="00BF3CBC" w:rsidRDefault="008E4AD7" w:rsidP="008E4AD7">
      <w:pPr>
        <w:ind w:left="851" w:hanging="851"/>
        <w:rPr>
          <w:sz w:val="24"/>
          <w:szCs w:val="24"/>
        </w:rPr>
      </w:pPr>
    </w:p>
    <w:p w:rsidR="008E4AD7" w:rsidRDefault="008E4AD7" w:rsidP="00A46903">
      <w:pPr>
        <w:ind w:left="851"/>
        <w:rPr>
          <w:sz w:val="24"/>
          <w:szCs w:val="24"/>
        </w:rPr>
      </w:pPr>
      <w:r w:rsidRPr="00BF3CBC">
        <w:rPr>
          <w:sz w:val="24"/>
          <w:szCs w:val="24"/>
        </w:rPr>
        <w:t xml:space="preserve">Pludselig død er beskrevet i forbindelse med brug af centralnervestimulerende lægemidler i normal dosis hos </w:t>
      </w:r>
      <w:r w:rsidR="00994D29">
        <w:rPr>
          <w:sz w:val="24"/>
          <w:szCs w:val="24"/>
        </w:rPr>
        <w:t>patienter</w:t>
      </w:r>
      <w:r w:rsidRPr="00BF3CBC">
        <w:rPr>
          <w:sz w:val="24"/>
          <w:szCs w:val="24"/>
        </w:rPr>
        <w:t xml:space="preserve">, hvoraf nogle havde strukturelle misdannelser eller andre alvorlige hjerteproblemer. Selv om visse alvorlige hjerteproblemer i sig selv kan indebære en øget risiko for pludselig død, anbefales stimulerende midler ikke til </w:t>
      </w:r>
      <w:r w:rsidR="00994D29">
        <w:rPr>
          <w:sz w:val="24"/>
          <w:szCs w:val="24"/>
        </w:rPr>
        <w:t xml:space="preserve">patienter </w:t>
      </w:r>
      <w:r w:rsidRPr="00BF3CBC">
        <w:rPr>
          <w:sz w:val="24"/>
          <w:szCs w:val="24"/>
        </w:rPr>
        <w:t xml:space="preserve">med kendte strukturelle misdannelser i hjertet, </w:t>
      </w:r>
      <w:proofErr w:type="spellStart"/>
      <w:r w:rsidRPr="00BF3CBC">
        <w:rPr>
          <w:sz w:val="24"/>
          <w:szCs w:val="24"/>
        </w:rPr>
        <w:t>kardiomyopati</w:t>
      </w:r>
      <w:proofErr w:type="spellEnd"/>
      <w:r w:rsidRPr="00BF3CBC">
        <w:rPr>
          <w:sz w:val="24"/>
          <w:szCs w:val="24"/>
        </w:rPr>
        <w:t xml:space="preserve">, alvorlige forstyrrelser i hjerterytmen eller andre alvorlige hjerteproblemer, som kan medføre øget sårbarhed over for </w:t>
      </w:r>
      <w:proofErr w:type="spellStart"/>
      <w:r w:rsidRPr="00BF3CBC">
        <w:rPr>
          <w:sz w:val="24"/>
          <w:szCs w:val="24"/>
        </w:rPr>
        <w:t>sympatomimetiske</w:t>
      </w:r>
      <w:proofErr w:type="spellEnd"/>
      <w:r w:rsidRPr="00BF3CBC">
        <w:rPr>
          <w:sz w:val="24"/>
          <w:szCs w:val="24"/>
        </w:rPr>
        <w:t xml:space="preserve"> virkninger af et stimulerende lægemiddel.</w:t>
      </w:r>
    </w:p>
    <w:p w:rsidR="00994D29" w:rsidRDefault="00994D29" w:rsidP="00A46903">
      <w:pPr>
        <w:ind w:left="851"/>
        <w:rPr>
          <w:sz w:val="24"/>
          <w:szCs w:val="24"/>
        </w:rPr>
      </w:pPr>
    </w:p>
    <w:p w:rsidR="00994D29" w:rsidRDefault="00994D29" w:rsidP="00994D29">
      <w:pPr>
        <w:ind w:left="851"/>
        <w:rPr>
          <w:sz w:val="24"/>
          <w:szCs w:val="24"/>
        </w:rPr>
      </w:pPr>
      <w:r>
        <w:rPr>
          <w:i/>
          <w:iCs/>
          <w:sz w:val="24"/>
          <w:szCs w:val="24"/>
          <w:u w:val="single"/>
        </w:rPr>
        <w:t>Voksne</w:t>
      </w:r>
    </w:p>
    <w:p w:rsidR="00994D29" w:rsidRDefault="00994D29" w:rsidP="00994D29">
      <w:pPr>
        <w:ind w:left="851"/>
        <w:rPr>
          <w:sz w:val="24"/>
          <w:szCs w:val="24"/>
        </w:rPr>
      </w:pPr>
      <w:r>
        <w:rPr>
          <w:sz w:val="24"/>
          <w:szCs w:val="24"/>
        </w:rPr>
        <w:t xml:space="preserve">Pludselig død, apopleksi og myokardieinfarkt er rapporteret hos voksne, der tog </w:t>
      </w:r>
      <w:proofErr w:type="spellStart"/>
      <w:r>
        <w:rPr>
          <w:sz w:val="24"/>
          <w:szCs w:val="24"/>
        </w:rPr>
        <w:t>stimule-rende</w:t>
      </w:r>
      <w:proofErr w:type="spellEnd"/>
      <w:r>
        <w:rPr>
          <w:sz w:val="24"/>
          <w:szCs w:val="24"/>
        </w:rPr>
        <w:t xml:space="preserve"> lægemidler ved sædvanlige doser mod ADHD. Selv om stimulerende lægemidlers rolle i disse tilfælde hos voksne ikke kendes, har voksne større sandsynlighed end børn for at have alvorlige strukturelle </w:t>
      </w:r>
      <w:proofErr w:type="spellStart"/>
      <w:r>
        <w:rPr>
          <w:sz w:val="24"/>
          <w:szCs w:val="24"/>
        </w:rPr>
        <w:t>kardielle</w:t>
      </w:r>
      <w:proofErr w:type="spellEnd"/>
      <w:r>
        <w:rPr>
          <w:sz w:val="24"/>
          <w:szCs w:val="24"/>
        </w:rPr>
        <w:t xml:space="preserve"> uregelmæssigheder, </w:t>
      </w:r>
      <w:proofErr w:type="spellStart"/>
      <w:r>
        <w:rPr>
          <w:sz w:val="24"/>
          <w:szCs w:val="24"/>
        </w:rPr>
        <w:t>kardiomyopati</w:t>
      </w:r>
      <w:proofErr w:type="spellEnd"/>
      <w:r>
        <w:rPr>
          <w:sz w:val="24"/>
          <w:szCs w:val="24"/>
        </w:rPr>
        <w:t>, alvorlige uregelmæssigheder vedrørende hjerterytmen, koronararteriesygdom eller andre alvorlige hjerteproblemer. Voksne med sådanne uregelmæssige forhold bør desuden generelt ikke behandles med stimulerende lægemidler.</w:t>
      </w:r>
    </w:p>
    <w:p w:rsidR="00A46903" w:rsidRDefault="00A46903" w:rsidP="00A46903">
      <w:pPr>
        <w:ind w:left="851"/>
        <w:rPr>
          <w:i/>
          <w:iCs/>
          <w:sz w:val="24"/>
          <w:szCs w:val="24"/>
        </w:rPr>
      </w:pPr>
    </w:p>
    <w:p w:rsidR="008E4AD7" w:rsidRPr="00BF3CBC" w:rsidRDefault="008E4AD7" w:rsidP="008E4AD7">
      <w:pPr>
        <w:ind w:left="851"/>
        <w:rPr>
          <w:i/>
          <w:iCs/>
          <w:sz w:val="24"/>
          <w:szCs w:val="24"/>
        </w:rPr>
      </w:pPr>
      <w:r w:rsidRPr="00BF3CBC">
        <w:rPr>
          <w:i/>
          <w:iCs/>
          <w:sz w:val="24"/>
          <w:szCs w:val="24"/>
        </w:rPr>
        <w:t xml:space="preserve">Forkert brug og </w:t>
      </w:r>
      <w:proofErr w:type="spellStart"/>
      <w:r w:rsidRPr="00BF3CBC">
        <w:rPr>
          <w:i/>
          <w:iCs/>
          <w:sz w:val="24"/>
          <w:szCs w:val="24"/>
        </w:rPr>
        <w:t>kardiovaskulære</w:t>
      </w:r>
      <w:proofErr w:type="spellEnd"/>
      <w:r w:rsidRPr="00BF3CBC">
        <w:rPr>
          <w:i/>
          <w:iCs/>
          <w:sz w:val="24"/>
          <w:szCs w:val="24"/>
        </w:rPr>
        <w:t xml:space="preserve"> bivirkninger</w:t>
      </w:r>
    </w:p>
    <w:p w:rsidR="008E4AD7" w:rsidRPr="00BF3CBC" w:rsidRDefault="008E4AD7" w:rsidP="008E4AD7">
      <w:pPr>
        <w:ind w:left="851"/>
        <w:rPr>
          <w:sz w:val="24"/>
          <w:szCs w:val="24"/>
        </w:rPr>
      </w:pPr>
      <w:r w:rsidRPr="00BF3CBC">
        <w:rPr>
          <w:sz w:val="24"/>
          <w:szCs w:val="24"/>
        </w:rPr>
        <w:t xml:space="preserve">Forkert brug af centralstimulerende midler kan være forbundet med pludselig død og andre alvorlige </w:t>
      </w:r>
      <w:proofErr w:type="spellStart"/>
      <w:r w:rsidRPr="00BF3CBC">
        <w:rPr>
          <w:sz w:val="24"/>
          <w:szCs w:val="24"/>
        </w:rPr>
        <w:t>kardiovaskulære</w:t>
      </w:r>
      <w:proofErr w:type="spellEnd"/>
      <w:r w:rsidRPr="00BF3CBC">
        <w:rPr>
          <w:sz w:val="24"/>
          <w:szCs w:val="24"/>
        </w:rPr>
        <w:t xml:space="preserve"> bivirkninger.</w:t>
      </w:r>
    </w:p>
    <w:p w:rsidR="00DD68A2" w:rsidRDefault="00DD68A2">
      <w:pPr>
        <w:rPr>
          <w:sz w:val="24"/>
          <w:szCs w:val="24"/>
        </w:rPr>
      </w:pPr>
      <w:r>
        <w:rPr>
          <w:sz w:val="24"/>
          <w:szCs w:val="24"/>
        </w:rPr>
        <w:br w:type="page"/>
      </w:r>
    </w:p>
    <w:p w:rsidR="008E4AD7" w:rsidRPr="00BF3CBC" w:rsidRDefault="008E4AD7" w:rsidP="00DD68A2">
      <w:pPr>
        <w:ind w:left="851"/>
        <w:rPr>
          <w:sz w:val="24"/>
          <w:szCs w:val="24"/>
        </w:rPr>
      </w:pPr>
    </w:p>
    <w:p w:rsidR="008E4AD7" w:rsidRPr="00BF3CBC" w:rsidRDefault="008E4AD7" w:rsidP="008E4AD7">
      <w:pPr>
        <w:ind w:left="851"/>
        <w:rPr>
          <w:sz w:val="24"/>
          <w:szCs w:val="24"/>
        </w:rPr>
      </w:pPr>
      <w:proofErr w:type="spellStart"/>
      <w:r w:rsidRPr="00BF3CBC">
        <w:rPr>
          <w:sz w:val="24"/>
          <w:szCs w:val="24"/>
          <w:u w:val="single" w:color="000000"/>
        </w:rPr>
        <w:t>Cerebrovaskulære</w:t>
      </w:r>
      <w:proofErr w:type="spellEnd"/>
      <w:r w:rsidRPr="00BF3CBC">
        <w:rPr>
          <w:sz w:val="24"/>
          <w:szCs w:val="24"/>
          <w:u w:val="single" w:color="000000"/>
        </w:rPr>
        <w:t xml:space="preserve"> sygdomme</w:t>
      </w:r>
    </w:p>
    <w:p w:rsidR="008E4AD7" w:rsidRPr="00BF3CBC" w:rsidRDefault="008E4AD7" w:rsidP="008E4AD7">
      <w:pPr>
        <w:ind w:left="851"/>
        <w:rPr>
          <w:sz w:val="24"/>
          <w:szCs w:val="24"/>
        </w:rPr>
      </w:pPr>
      <w:r w:rsidRPr="00BF3CBC">
        <w:rPr>
          <w:sz w:val="24"/>
          <w:szCs w:val="24"/>
        </w:rPr>
        <w:t xml:space="preserve">Se </w:t>
      </w:r>
      <w:r>
        <w:rPr>
          <w:sz w:val="24"/>
          <w:szCs w:val="24"/>
        </w:rPr>
        <w:t>pkt.</w:t>
      </w:r>
      <w:r w:rsidRPr="00BF3CBC">
        <w:rPr>
          <w:sz w:val="24"/>
          <w:szCs w:val="24"/>
        </w:rPr>
        <w:t xml:space="preserve"> 4.3 for tilstande, hvor </w:t>
      </w:r>
      <w:proofErr w:type="spellStart"/>
      <w:r w:rsidRPr="00BF3CBC">
        <w:rPr>
          <w:sz w:val="24"/>
          <w:szCs w:val="24"/>
        </w:rPr>
        <w:t>methylphenidatbehandling</w:t>
      </w:r>
      <w:proofErr w:type="spellEnd"/>
      <w:r w:rsidRPr="00BF3CBC">
        <w:rPr>
          <w:sz w:val="24"/>
          <w:szCs w:val="24"/>
        </w:rPr>
        <w:t xml:space="preserve"> er kontraindiceret. Patienter med yderligere risikofaktorer (såsom </w:t>
      </w:r>
      <w:proofErr w:type="spellStart"/>
      <w:r w:rsidRPr="00BF3CBC">
        <w:rPr>
          <w:sz w:val="24"/>
          <w:szCs w:val="24"/>
        </w:rPr>
        <w:t>kardiovaskulær</w:t>
      </w:r>
      <w:proofErr w:type="spellEnd"/>
      <w:r w:rsidRPr="00BF3CBC">
        <w:rPr>
          <w:sz w:val="24"/>
          <w:szCs w:val="24"/>
        </w:rPr>
        <w:t xml:space="preserve"> sygdom i anamnesen, samtidig behandling med lægemidler, der øger blodtrykket) bør undersøges for neurologiske tegn og symptomer ved hver konsultation, når der er påbegyndt behandling med </w:t>
      </w:r>
      <w:proofErr w:type="spellStart"/>
      <w:r w:rsidRPr="00BF3CBC">
        <w:rPr>
          <w:sz w:val="24"/>
          <w:szCs w:val="24"/>
        </w:rPr>
        <w:t>methylphenidat</w:t>
      </w:r>
      <w:proofErr w:type="spellEnd"/>
      <w:r w:rsidRPr="00BF3CBC">
        <w:rPr>
          <w:sz w:val="24"/>
          <w:szCs w:val="24"/>
        </w:rPr>
        <w:t>.</w:t>
      </w:r>
    </w:p>
    <w:p w:rsidR="008E4AD7" w:rsidRPr="00BF3CBC" w:rsidRDefault="008E4AD7" w:rsidP="008E4AD7">
      <w:pPr>
        <w:ind w:left="851" w:hanging="851"/>
        <w:rPr>
          <w:sz w:val="24"/>
          <w:szCs w:val="24"/>
        </w:rPr>
      </w:pPr>
    </w:p>
    <w:p w:rsidR="008E4AD7" w:rsidRPr="00BF3CBC" w:rsidRDefault="008E4AD7" w:rsidP="008E4AD7">
      <w:pPr>
        <w:ind w:left="851"/>
        <w:rPr>
          <w:sz w:val="24"/>
          <w:szCs w:val="24"/>
        </w:rPr>
      </w:pPr>
      <w:r w:rsidRPr="00BF3CBC">
        <w:rPr>
          <w:sz w:val="24"/>
          <w:szCs w:val="24"/>
        </w:rPr>
        <w:t xml:space="preserve">Cerebral </w:t>
      </w:r>
      <w:proofErr w:type="spellStart"/>
      <w:r w:rsidRPr="00BF3CBC">
        <w:rPr>
          <w:sz w:val="24"/>
          <w:szCs w:val="24"/>
        </w:rPr>
        <w:t>vaskulitis</w:t>
      </w:r>
      <w:proofErr w:type="spellEnd"/>
      <w:r w:rsidRPr="00BF3CBC">
        <w:rPr>
          <w:sz w:val="24"/>
          <w:szCs w:val="24"/>
        </w:rPr>
        <w:t xml:space="preserve"> synes at være en meget sjælden, individuel reaktion på eksponering for </w:t>
      </w:r>
      <w:proofErr w:type="spellStart"/>
      <w:r w:rsidRPr="00BF3CBC">
        <w:rPr>
          <w:sz w:val="24"/>
          <w:szCs w:val="24"/>
        </w:rPr>
        <w:t>methylphenidat</w:t>
      </w:r>
      <w:proofErr w:type="spellEnd"/>
      <w:r w:rsidRPr="00BF3CBC">
        <w:rPr>
          <w:sz w:val="24"/>
          <w:szCs w:val="24"/>
        </w:rPr>
        <w:t xml:space="preserve">. Beskeden evidens tyder på, at patienter i risikogruppen kan identificeres, og tidlig fremkomst af symptomer kan være det første tegn på et underliggende klinisk problem. Tidlig diagnosticering, som bør baseres på en høj grad af mistanke, kan føre frem til øjeblikkelig </w:t>
      </w:r>
      <w:proofErr w:type="spellStart"/>
      <w:r w:rsidRPr="00BF3CBC">
        <w:rPr>
          <w:sz w:val="24"/>
          <w:szCs w:val="24"/>
        </w:rPr>
        <w:t>seponering</w:t>
      </w:r>
      <w:proofErr w:type="spellEnd"/>
      <w:r w:rsidRPr="00BF3CBC">
        <w:rPr>
          <w:sz w:val="24"/>
          <w:szCs w:val="24"/>
        </w:rPr>
        <w:t xml:space="preserve"> af </w:t>
      </w:r>
      <w:proofErr w:type="spellStart"/>
      <w:r w:rsidRPr="00BF3CBC">
        <w:rPr>
          <w:sz w:val="24"/>
          <w:szCs w:val="24"/>
        </w:rPr>
        <w:t>methylphenidat</w:t>
      </w:r>
      <w:proofErr w:type="spellEnd"/>
      <w:r w:rsidRPr="00BF3CBC">
        <w:rPr>
          <w:sz w:val="24"/>
          <w:szCs w:val="24"/>
        </w:rPr>
        <w:t xml:space="preserve"> og tidlig behandling. Diagnosen bør derfor overvejes hos enhver patient, der under behandling med </w:t>
      </w:r>
      <w:proofErr w:type="spellStart"/>
      <w:r w:rsidRPr="00BF3CBC">
        <w:rPr>
          <w:sz w:val="24"/>
          <w:szCs w:val="24"/>
        </w:rPr>
        <w:t>methylphenidat</w:t>
      </w:r>
      <w:proofErr w:type="spellEnd"/>
      <w:r w:rsidRPr="00BF3CBC">
        <w:rPr>
          <w:sz w:val="24"/>
          <w:szCs w:val="24"/>
        </w:rPr>
        <w:t xml:space="preserve"> udvikler nye neurologiske symptomer, der kan svare til cerebral iskæmi. Disse symptomer kan omfatte svær hovedpine, følelsesløshed, kraftesløshed, lammelser og svækkelse af koordination, syn, tale, sprog eller hukommelse.</w:t>
      </w:r>
    </w:p>
    <w:p w:rsidR="008E4AD7" w:rsidRPr="00BF3CBC" w:rsidRDefault="008E4AD7" w:rsidP="008E4AD7">
      <w:pPr>
        <w:ind w:left="851" w:hanging="851"/>
        <w:rPr>
          <w:sz w:val="24"/>
          <w:szCs w:val="24"/>
        </w:rPr>
      </w:pPr>
    </w:p>
    <w:p w:rsidR="008E4AD7" w:rsidRPr="00BF3CBC" w:rsidRDefault="008E4AD7" w:rsidP="008E4AD7">
      <w:pPr>
        <w:ind w:left="851"/>
        <w:rPr>
          <w:sz w:val="24"/>
          <w:szCs w:val="24"/>
        </w:rPr>
      </w:pPr>
      <w:r w:rsidRPr="00BF3CBC">
        <w:rPr>
          <w:sz w:val="24"/>
          <w:szCs w:val="24"/>
        </w:rPr>
        <w:t xml:space="preserve">Behandling med </w:t>
      </w:r>
      <w:proofErr w:type="spellStart"/>
      <w:r w:rsidRPr="00BF3CBC">
        <w:rPr>
          <w:sz w:val="24"/>
          <w:szCs w:val="24"/>
        </w:rPr>
        <w:t>methylphenidat</w:t>
      </w:r>
      <w:proofErr w:type="spellEnd"/>
      <w:r w:rsidRPr="00BF3CBC">
        <w:rPr>
          <w:sz w:val="24"/>
          <w:szCs w:val="24"/>
        </w:rPr>
        <w:t xml:space="preserve"> er ikke kontraindiceret hos patienter med </w:t>
      </w:r>
      <w:proofErr w:type="spellStart"/>
      <w:r w:rsidRPr="00BF3CBC">
        <w:rPr>
          <w:sz w:val="24"/>
          <w:szCs w:val="24"/>
        </w:rPr>
        <w:t>hemiplegisk</w:t>
      </w:r>
      <w:proofErr w:type="spellEnd"/>
      <w:r w:rsidRPr="00BF3CBC">
        <w:rPr>
          <w:sz w:val="24"/>
          <w:szCs w:val="24"/>
        </w:rPr>
        <w:t xml:space="preserve"> cerebral lammelse.</w:t>
      </w:r>
    </w:p>
    <w:p w:rsidR="008E4AD7" w:rsidRPr="00BF3CBC" w:rsidRDefault="008E4AD7" w:rsidP="008E4AD7">
      <w:pPr>
        <w:ind w:left="851" w:hanging="851"/>
        <w:rPr>
          <w:sz w:val="24"/>
          <w:szCs w:val="24"/>
        </w:rPr>
      </w:pPr>
    </w:p>
    <w:p w:rsidR="00A46903" w:rsidRPr="00BF3CBC" w:rsidRDefault="00A46903" w:rsidP="00A46903">
      <w:pPr>
        <w:ind w:left="851"/>
        <w:rPr>
          <w:sz w:val="24"/>
          <w:szCs w:val="24"/>
        </w:rPr>
      </w:pPr>
      <w:r w:rsidRPr="00BF3CBC">
        <w:rPr>
          <w:sz w:val="24"/>
          <w:szCs w:val="24"/>
          <w:u w:val="single" w:color="000000"/>
        </w:rPr>
        <w:t>Psykiatriske sygdomme</w:t>
      </w:r>
    </w:p>
    <w:p w:rsidR="00EF1492" w:rsidRDefault="00EF1492" w:rsidP="00A46903">
      <w:pPr>
        <w:ind w:left="851"/>
        <w:rPr>
          <w:sz w:val="24"/>
          <w:szCs w:val="24"/>
        </w:rPr>
      </w:pPr>
    </w:p>
    <w:p w:rsidR="00A46903" w:rsidRDefault="00A46903" w:rsidP="00A46903">
      <w:pPr>
        <w:ind w:left="851"/>
        <w:rPr>
          <w:sz w:val="24"/>
          <w:szCs w:val="24"/>
        </w:rPr>
      </w:pPr>
      <w:proofErr w:type="spellStart"/>
      <w:r>
        <w:rPr>
          <w:sz w:val="24"/>
          <w:szCs w:val="24"/>
        </w:rPr>
        <w:t>Komorbiditet</w:t>
      </w:r>
      <w:proofErr w:type="spellEnd"/>
      <w:r>
        <w:rPr>
          <w:sz w:val="24"/>
          <w:szCs w:val="24"/>
        </w:rPr>
        <w:t xml:space="preserve"> mellem psykiatriske sygdomme og ADHD er almindelig, og dette skal tages i betragtning ved ordination af stimulerende lægemidler. </w:t>
      </w:r>
      <w:r w:rsidR="00EF1492">
        <w:rPr>
          <w:sz w:val="24"/>
          <w:szCs w:val="24"/>
        </w:rPr>
        <w:t xml:space="preserve">Før behandling med </w:t>
      </w:r>
      <w:proofErr w:type="spellStart"/>
      <w:r w:rsidR="00EF1492">
        <w:rPr>
          <w:sz w:val="24"/>
          <w:szCs w:val="24"/>
        </w:rPr>
        <w:t>methylphenidat</w:t>
      </w:r>
      <w:proofErr w:type="spellEnd"/>
      <w:r w:rsidR="00EF1492">
        <w:rPr>
          <w:sz w:val="24"/>
          <w:szCs w:val="24"/>
        </w:rPr>
        <w:t xml:space="preserve"> indledes, skal patienten undersøges for eventuelle psykiatriske lidelser, og der skal indhentes en familieanamnese vedrørende psykiatriske sygdomme (se pkt. 4.2). </w:t>
      </w:r>
      <w:r>
        <w:rPr>
          <w:sz w:val="24"/>
          <w:szCs w:val="24"/>
        </w:rPr>
        <w:t xml:space="preserve">Der bør ikke gives </w:t>
      </w:r>
      <w:proofErr w:type="spellStart"/>
      <w:r>
        <w:rPr>
          <w:sz w:val="24"/>
          <w:szCs w:val="24"/>
        </w:rPr>
        <w:t>methylphenidat</w:t>
      </w:r>
      <w:proofErr w:type="spellEnd"/>
      <w:r>
        <w:rPr>
          <w:sz w:val="24"/>
          <w:szCs w:val="24"/>
        </w:rPr>
        <w:t xml:space="preserve"> i tilfælde af pludselig opståede psykiatriske symptomer eller forværring af </w:t>
      </w:r>
      <w:proofErr w:type="spellStart"/>
      <w:r>
        <w:rPr>
          <w:sz w:val="24"/>
          <w:szCs w:val="24"/>
        </w:rPr>
        <w:t>forudeksisterende</w:t>
      </w:r>
      <w:proofErr w:type="spellEnd"/>
      <w:r>
        <w:rPr>
          <w:sz w:val="24"/>
          <w:szCs w:val="24"/>
        </w:rPr>
        <w:t xml:space="preserve"> psykiatriske sygdomme, med mindre de gavnlige virkninger opvejer risici for patienten.</w:t>
      </w:r>
    </w:p>
    <w:p w:rsidR="008E4AD7" w:rsidRDefault="008E4AD7" w:rsidP="008E4AD7">
      <w:pPr>
        <w:ind w:left="851" w:hanging="851"/>
        <w:rPr>
          <w:sz w:val="24"/>
          <w:szCs w:val="24"/>
        </w:rPr>
      </w:pPr>
    </w:p>
    <w:p w:rsidR="008E4AD7" w:rsidRDefault="008E4AD7" w:rsidP="008E4AD7">
      <w:pPr>
        <w:ind w:left="851"/>
        <w:rPr>
          <w:b/>
          <w:sz w:val="24"/>
          <w:szCs w:val="24"/>
        </w:rPr>
      </w:pPr>
      <w:r>
        <w:rPr>
          <w:b/>
          <w:sz w:val="24"/>
          <w:szCs w:val="24"/>
        </w:rPr>
        <w:t xml:space="preserve">Udvikling eller forværring af psykiatriske sygdomme skal kontrolleres ved hver dosisjustering og efterfølgende mindst hver 6. måned samt ved hver konsultation. </w:t>
      </w:r>
      <w:proofErr w:type="spellStart"/>
      <w:r>
        <w:rPr>
          <w:b/>
          <w:sz w:val="24"/>
          <w:szCs w:val="24"/>
        </w:rPr>
        <w:t>Seponering</w:t>
      </w:r>
      <w:proofErr w:type="spellEnd"/>
      <w:r>
        <w:rPr>
          <w:b/>
          <w:sz w:val="24"/>
          <w:szCs w:val="24"/>
        </w:rPr>
        <w:t xml:space="preserve"> af behandlingen kan være påkrævet.</w:t>
      </w:r>
    </w:p>
    <w:p w:rsidR="008E4AD7" w:rsidRDefault="008E4AD7" w:rsidP="008E4AD7">
      <w:pPr>
        <w:ind w:left="851" w:hanging="851"/>
        <w:rPr>
          <w:sz w:val="24"/>
          <w:szCs w:val="24"/>
        </w:rPr>
      </w:pPr>
    </w:p>
    <w:p w:rsidR="008E4AD7" w:rsidRDefault="008E4AD7" w:rsidP="008E4AD7">
      <w:pPr>
        <w:ind w:left="851"/>
        <w:rPr>
          <w:i/>
          <w:iCs/>
          <w:sz w:val="24"/>
          <w:szCs w:val="24"/>
        </w:rPr>
      </w:pPr>
      <w:r>
        <w:rPr>
          <w:i/>
          <w:iCs/>
          <w:sz w:val="24"/>
          <w:szCs w:val="24"/>
        </w:rPr>
        <w:t xml:space="preserve">Forværring af </w:t>
      </w:r>
      <w:proofErr w:type="spellStart"/>
      <w:r>
        <w:rPr>
          <w:i/>
          <w:iCs/>
          <w:sz w:val="24"/>
          <w:szCs w:val="24"/>
        </w:rPr>
        <w:t>forudeksisterende</w:t>
      </w:r>
      <w:proofErr w:type="spellEnd"/>
      <w:r>
        <w:rPr>
          <w:i/>
          <w:iCs/>
          <w:sz w:val="24"/>
          <w:szCs w:val="24"/>
        </w:rPr>
        <w:t xml:space="preserve"> psykotiske eller maniske symptomer</w:t>
      </w:r>
    </w:p>
    <w:p w:rsidR="008E4AD7" w:rsidRDefault="008E4AD7" w:rsidP="008E4AD7">
      <w:pPr>
        <w:ind w:left="851"/>
        <w:rPr>
          <w:sz w:val="24"/>
          <w:szCs w:val="24"/>
        </w:rPr>
      </w:pPr>
      <w:r>
        <w:rPr>
          <w:sz w:val="24"/>
          <w:szCs w:val="24"/>
        </w:rPr>
        <w:t xml:space="preserve">Administration af </w:t>
      </w:r>
      <w:proofErr w:type="spellStart"/>
      <w:r>
        <w:rPr>
          <w:sz w:val="24"/>
          <w:szCs w:val="24"/>
        </w:rPr>
        <w:t>methylphenidat</w:t>
      </w:r>
      <w:proofErr w:type="spellEnd"/>
      <w:r>
        <w:rPr>
          <w:sz w:val="24"/>
          <w:szCs w:val="24"/>
        </w:rPr>
        <w:t xml:space="preserve"> til psykotiske patienter kan forværre symptomer med adfærdsændringer og tankeforstyrrelser.</w:t>
      </w:r>
    </w:p>
    <w:p w:rsidR="008E4AD7" w:rsidRDefault="008E4AD7" w:rsidP="008E4AD7">
      <w:pPr>
        <w:ind w:left="851" w:hanging="851"/>
        <w:rPr>
          <w:sz w:val="24"/>
          <w:szCs w:val="24"/>
        </w:rPr>
      </w:pPr>
    </w:p>
    <w:p w:rsidR="008E4AD7" w:rsidRDefault="008E4AD7" w:rsidP="008E4AD7">
      <w:pPr>
        <w:ind w:left="851"/>
        <w:rPr>
          <w:i/>
          <w:iCs/>
          <w:sz w:val="24"/>
          <w:szCs w:val="24"/>
        </w:rPr>
      </w:pPr>
      <w:r>
        <w:rPr>
          <w:i/>
          <w:iCs/>
          <w:sz w:val="24"/>
          <w:szCs w:val="24"/>
        </w:rPr>
        <w:t>Fremkomst af nye psykotiske eller maniske symptomer</w:t>
      </w:r>
    </w:p>
    <w:p w:rsidR="008E4AD7" w:rsidRDefault="008E4AD7" w:rsidP="008E4AD7">
      <w:pPr>
        <w:ind w:left="851"/>
        <w:rPr>
          <w:sz w:val="24"/>
          <w:szCs w:val="24"/>
        </w:rPr>
      </w:pPr>
      <w:r>
        <w:rPr>
          <w:sz w:val="24"/>
          <w:szCs w:val="24"/>
        </w:rPr>
        <w:t xml:space="preserve">Behandlingsfremkaldte psykotiske symptomer (visuelle/taktile/auditive hallucinationer og vrangforestillinger) eller mani hos </w:t>
      </w:r>
      <w:r w:rsidR="00EF1492">
        <w:rPr>
          <w:sz w:val="24"/>
          <w:szCs w:val="24"/>
        </w:rPr>
        <w:t>patienter</w:t>
      </w:r>
      <w:r>
        <w:rPr>
          <w:sz w:val="24"/>
          <w:szCs w:val="24"/>
        </w:rPr>
        <w:t xml:space="preserve"> uden psykotisk sygdom eller mani i anamnesen kan forårsages af </w:t>
      </w:r>
      <w:proofErr w:type="spellStart"/>
      <w:r>
        <w:rPr>
          <w:sz w:val="24"/>
          <w:szCs w:val="24"/>
        </w:rPr>
        <w:t>methylphenidat</w:t>
      </w:r>
      <w:proofErr w:type="spellEnd"/>
      <w:r>
        <w:rPr>
          <w:sz w:val="24"/>
          <w:szCs w:val="24"/>
        </w:rPr>
        <w:t xml:space="preserve"> i sædvanlig dosis</w:t>
      </w:r>
      <w:r w:rsidR="00EF1492">
        <w:rPr>
          <w:sz w:val="24"/>
          <w:szCs w:val="24"/>
        </w:rPr>
        <w:t xml:space="preserve"> </w:t>
      </w:r>
      <w:r w:rsidR="00EF1492">
        <w:rPr>
          <w:sz w:val="24"/>
          <w:szCs w:val="24"/>
        </w:rPr>
        <w:t>(se pkt. 4.8)</w:t>
      </w:r>
      <w:r>
        <w:rPr>
          <w:sz w:val="24"/>
          <w:szCs w:val="24"/>
        </w:rPr>
        <w:t xml:space="preserve">. Hvis der forekommer psykotiske eller maniske symptomer, bør en mulig årsagssammenhæng med </w:t>
      </w:r>
      <w:proofErr w:type="spellStart"/>
      <w:r>
        <w:rPr>
          <w:sz w:val="24"/>
          <w:szCs w:val="24"/>
        </w:rPr>
        <w:t>methylphenidat</w:t>
      </w:r>
      <w:proofErr w:type="spellEnd"/>
      <w:r>
        <w:rPr>
          <w:sz w:val="24"/>
          <w:szCs w:val="24"/>
        </w:rPr>
        <w:t xml:space="preserve"> overvejes, og </w:t>
      </w:r>
      <w:proofErr w:type="spellStart"/>
      <w:r>
        <w:rPr>
          <w:sz w:val="24"/>
          <w:szCs w:val="24"/>
        </w:rPr>
        <w:t>seponering</w:t>
      </w:r>
      <w:proofErr w:type="spellEnd"/>
      <w:r>
        <w:rPr>
          <w:sz w:val="24"/>
          <w:szCs w:val="24"/>
        </w:rPr>
        <w:t xml:space="preserve"> af behandlingen kan være påkrævet.</w:t>
      </w:r>
    </w:p>
    <w:p w:rsidR="008E4AD7" w:rsidRDefault="008E4AD7" w:rsidP="008E4AD7">
      <w:pPr>
        <w:ind w:left="851" w:hanging="851"/>
        <w:rPr>
          <w:sz w:val="24"/>
          <w:szCs w:val="24"/>
        </w:rPr>
      </w:pPr>
    </w:p>
    <w:p w:rsidR="008E4AD7" w:rsidRPr="00E90286" w:rsidRDefault="008E4AD7" w:rsidP="00E90286">
      <w:pPr>
        <w:ind w:left="851"/>
        <w:rPr>
          <w:i/>
          <w:sz w:val="24"/>
          <w:szCs w:val="24"/>
        </w:rPr>
      </w:pPr>
      <w:r w:rsidRPr="00E90286">
        <w:rPr>
          <w:i/>
          <w:sz w:val="24"/>
          <w:szCs w:val="24"/>
        </w:rPr>
        <w:t>Aggressiv eller fjendtlig adfærd</w:t>
      </w:r>
    </w:p>
    <w:p w:rsidR="008E4AD7" w:rsidRDefault="008E4AD7" w:rsidP="008E4AD7">
      <w:pPr>
        <w:ind w:left="851"/>
        <w:rPr>
          <w:sz w:val="24"/>
          <w:szCs w:val="24"/>
        </w:rPr>
      </w:pPr>
      <w:r>
        <w:rPr>
          <w:sz w:val="24"/>
          <w:szCs w:val="24"/>
        </w:rPr>
        <w:t xml:space="preserve">Fremkomst eller forværring af aggression eller fjendtlighed kan forårsages af behandling med stimulerende midler. Aggression er blevet indberettet for patienter behandlet med </w:t>
      </w:r>
      <w:proofErr w:type="spellStart"/>
      <w:r>
        <w:rPr>
          <w:sz w:val="24"/>
          <w:szCs w:val="24"/>
        </w:rPr>
        <w:t>methylphenidat</w:t>
      </w:r>
      <w:proofErr w:type="spellEnd"/>
      <w:r>
        <w:rPr>
          <w:sz w:val="24"/>
          <w:szCs w:val="24"/>
        </w:rPr>
        <w:t xml:space="preserve"> (se pkt. 4.8). Patienter, der behandles med </w:t>
      </w:r>
      <w:proofErr w:type="spellStart"/>
      <w:r>
        <w:rPr>
          <w:sz w:val="24"/>
          <w:szCs w:val="24"/>
        </w:rPr>
        <w:t>methylphenidat</w:t>
      </w:r>
      <w:proofErr w:type="spellEnd"/>
      <w:r>
        <w:rPr>
          <w:sz w:val="24"/>
          <w:szCs w:val="24"/>
        </w:rPr>
        <w:t>, bør monitoreres nøje for udvikling eller forværring af aggressiv adfærd eller fjendtlighed ved behandlingsstart, ved hver dosisjustering og efterfølgende mindst hver 6. måned samt ved hver konsultation. Lægen bør vurdere, om der er behov for justering af behandlingen hos patienter, der oplever adfærdsændringer, og være opmærksom på, at der op- eller nedtitrering af dosis kan være påkrævet. Afbrydelse af behandlingen kan overvejes.</w:t>
      </w:r>
    </w:p>
    <w:p w:rsidR="008E4AD7" w:rsidRDefault="008E4AD7" w:rsidP="008E4AD7">
      <w:pPr>
        <w:ind w:left="851" w:hanging="851"/>
        <w:rPr>
          <w:sz w:val="24"/>
          <w:szCs w:val="24"/>
        </w:rPr>
      </w:pPr>
    </w:p>
    <w:p w:rsidR="008E4AD7" w:rsidRDefault="008E4AD7" w:rsidP="008E4AD7">
      <w:pPr>
        <w:ind w:left="851"/>
        <w:rPr>
          <w:i/>
          <w:iCs/>
          <w:sz w:val="24"/>
          <w:szCs w:val="24"/>
        </w:rPr>
      </w:pPr>
      <w:r>
        <w:rPr>
          <w:i/>
          <w:iCs/>
          <w:sz w:val="24"/>
          <w:szCs w:val="24"/>
        </w:rPr>
        <w:t>Selvmordstendens</w:t>
      </w:r>
    </w:p>
    <w:p w:rsidR="008E4AD7" w:rsidRDefault="008E4AD7" w:rsidP="008E4AD7">
      <w:pPr>
        <w:ind w:left="851"/>
        <w:rPr>
          <w:sz w:val="24"/>
          <w:szCs w:val="24"/>
        </w:rPr>
      </w:pPr>
      <w:r>
        <w:rPr>
          <w:sz w:val="24"/>
          <w:szCs w:val="24"/>
        </w:rPr>
        <w:t xml:space="preserve">Patienter, der får selvmordstanker eller udviser selvmordsadfærd under behandlingen for ADHD, skal øjeblikkelig vurderes af lægen. Forværring af underliggende psykiatrisk sygdom og mulig årsagssammenhæng med </w:t>
      </w:r>
      <w:proofErr w:type="spellStart"/>
      <w:r>
        <w:rPr>
          <w:sz w:val="24"/>
          <w:szCs w:val="24"/>
        </w:rPr>
        <w:t>methylphenidatbehandling</w:t>
      </w:r>
      <w:proofErr w:type="spellEnd"/>
      <w:r>
        <w:rPr>
          <w:sz w:val="24"/>
          <w:szCs w:val="24"/>
        </w:rPr>
        <w:t xml:space="preserve"> bør tages under overvejelse. Behandling af en underliggende psykiatrisk lidelse kan være nødvendig, og mulig </w:t>
      </w:r>
      <w:proofErr w:type="spellStart"/>
      <w:r>
        <w:rPr>
          <w:sz w:val="24"/>
          <w:szCs w:val="24"/>
        </w:rPr>
        <w:t>seponering</w:t>
      </w:r>
      <w:proofErr w:type="spellEnd"/>
      <w:r>
        <w:rPr>
          <w:sz w:val="24"/>
          <w:szCs w:val="24"/>
        </w:rPr>
        <w:t xml:space="preserve"> af </w:t>
      </w:r>
      <w:proofErr w:type="spellStart"/>
      <w:r>
        <w:rPr>
          <w:sz w:val="24"/>
          <w:szCs w:val="24"/>
        </w:rPr>
        <w:t>methylphenidat</w:t>
      </w:r>
      <w:proofErr w:type="spellEnd"/>
      <w:r>
        <w:rPr>
          <w:sz w:val="24"/>
          <w:szCs w:val="24"/>
        </w:rPr>
        <w:t xml:space="preserve"> bør overvejes.</w:t>
      </w:r>
    </w:p>
    <w:p w:rsidR="008E4AD7" w:rsidRDefault="008E4AD7" w:rsidP="008E4AD7">
      <w:pPr>
        <w:ind w:left="851" w:hanging="851"/>
        <w:rPr>
          <w:sz w:val="24"/>
          <w:szCs w:val="24"/>
        </w:rPr>
      </w:pPr>
    </w:p>
    <w:p w:rsidR="00A46903" w:rsidRDefault="00A46903" w:rsidP="00A46903">
      <w:pPr>
        <w:ind w:left="851"/>
        <w:rPr>
          <w:i/>
          <w:iCs/>
          <w:sz w:val="24"/>
          <w:szCs w:val="24"/>
        </w:rPr>
      </w:pPr>
      <w:r>
        <w:rPr>
          <w:i/>
          <w:iCs/>
          <w:sz w:val="24"/>
          <w:szCs w:val="24"/>
        </w:rPr>
        <w:t>Tics</w:t>
      </w:r>
    </w:p>
    <w:p w:rsidR="00A46903" w:rsidRDefault="00A46903" w:rsidP="00A46903">
      <w:pPr>
        <w:ind w:left="851"/>
        <w:rPr>
          <w:sz w:val="24"/>
          <w:szCs w:val="24"/>
        </w:rPr>
      </w:pPr>
      <w:proofErr w:type="spellStart"/>
      <w:r>
        <w:rPr>
          <w:sz w:val="24"/>
          <w:szCs w:val="24"/>
        </w:rPr>
        <w:t>Methylphenidat</w:t>
      </w:r>
      <w:proofErr w:type="spellEnd"/>
      <w:r>
        <w:rPr>
          <w:sz w:val="24"/>
          <w:szCs w:val="24"/>
        </w:rPr>
        <w:t xml:space="preserve"> er sat i forbindelse med fremkomst eller forværring af motoriske og verbale tics. Forværring af Tourettes syndrom er også beskrevet</w:t>
      </w:r>
      <w:r w:rsidR="00EF1492">
        <w:rPr>
          <w:sz w:val="24"/>
          <w:szCs w:val="24"/>
        </w:rPr>
        <w:t xml:space="preserve"> </w:t>
      </w:r>
      <w:r w:rsidR="00EF1492">
        <w:rPr>
          <w:sz w:val="24"/>
          <w:szCs w:val="24"/>
        </w:rPr>
        <w:t>(se pkt. 4.8)</w:t>
      </w:r>
      <w:r>
        <w:rPr>
          <w:sz w:val="24"/>
          <w:szCs w:val="24"/>
        </w:rPr>
        <w:t xml:space="preserve">. Familieanamnese skal vurderes, og klinisk vurdering for tics eller Tourettes syndrom skal foretages før anvendelse af </w:t>
      </w:r>
      <w:proofErr w:type="spellStart"/>
      <w:r>
        <w:rPr>
          <w:sz w:val="24"/>
          <w:szCs w:val="24"/>
        </w:rPr>
        <w:t>methylphenidat</w:t>
      </w:r>
      <w:proofErr w:type="spellEnd"/>
      <w:r>
        <w:rPr>
          <w:sz w:val="24"/>
          <w:szCs w:val="24"/>
        </w:rPr>
        <w:t xml:space="preserve">. Patienterne bør regelmæssigt monitoreres for udvikling eller forværring af tics under behandling med </w:t>
      </w:r>
      <w:proofErr w:type="spellStart"/>
      <w:r>
        <w:rPr>
          <w:sz w:val="24"/>
          <w:szCs w:val="24"/>
        </w:rPr>
        <w:t>methylphenidat</w:t>
      </w:r>
      <w:proofErr w:type="spellEnd"/>
      <w:r>
        <w:rPr>
          <w:sz w:val="24"/>
          <w:szCs w:val="24"/>
        </w:rPr>
        <w:t xml:space="preserve">. </w:t>
      </w:r>
      <w:r w:rsidRPr="005D0B90">
        <w:rPr>
          <w:b/>
          <w:sz w:val="24"/>
          <w:szCs w:val="24"/>
        </w:rPr>
        <w:t>Monitorering bør foretages ved hver dosisjustering og derefter mindst hver 6. måned eller ved hver konsultation.</w:t>
      </w:r>
    </w:p>
    <w:p w:rsidR="008E4AD7" w:rsidRDefault="008E4AD7" w:rsidP="008E4AD7">
      <w:pPr>
        <w:ind w:left="851" w:hanging="851"/>
        <w:rPr>
          <w:sz w:val="24"/>
          <w:szCs w:val="24"/>
        </w:rPr>
      </w:pPr>
    </w:p>
    <w:p w:rsidR="008E4AD7" w:rsidRDefault="008E4AD7" w:rsidP="008E4AD7">
      <w:pPr>
        <w:ind w:left="851"/>
        <w:rPr>
          <w:i/>
          <w:iCs/>
          <w:sz w:val="24"/>
          <w:szCs w:val="24"/>
        </w:rPr>
      </w:pPr>
      <w:r>
        <w:rPr>
          <w:i/>
          <w:iCs/>
          <w:sz w:val="24"/>
          <w:szCs w:val="24"/>
        </w:rPr>
        <w:t>Angst, agitation eller anspændthed</w:t>
      </w:r>
    </w:p>
    <w:p w:rsidR="008E4AD7" w:rsidRDefault="008E4AD7" w:rsidP="008E4AD7">
      <w:pPr>
        <w:ind w:left="851"/>
        <w:rPr>
          <w:sz w:val="24"/>
          <w:szCs w:val="24"/>
        </w:rPr>
      </w:pPr>
      <w:r>
        <w:rPr>
          <w:sz w:val="24"/>
          <w:szCs w:val="24"/>
        </w:rPr>
        <w:t xml:space="preserve">Angst, agitation og anspændthed er blevet indberettet for patienter behandlet med </w:t>
      </w:r>
      <w:proofErr w:type="spellStart"/>
      <w:r>
        <w:rPr>
          <w:sz w:val="24"/>
          <w:szCs w:val="24"/>
        </w:rPr>
        <w:t>methylphenidat</w:t>
      </w:r>
      <w:proofErr w:type="spellEnd"/>
      <w:r>
        <w:rPr>
          <w:sz w:val="24"/>
          <w:szCs w:val="24"/>
        </w:rPr>
        <w:t xml:space="preserve"> (se pkt. 4.8). </w:t>
      </w:r>
      <w:proofErr w:type="spellStart"/>
      <w:r>
        <w:rPr>
          <w:sz w:val="24"/>
          <w:szCs w:val="24"/>
        </w:rPr>
        <w:t>Methylphenidat</w:t>
      </w:r>
      <w:proofErr w:type="spellEnd"/>
      <w:r>
        <w:rPr>
          <w:sz w:val="24"/>
          <w:szCs w:val="24"/>
        </w:rPr>
        <w:t xml:space="preserve"> er også forbundet med forværring af </w:t>
      </w:r>
      <w:proofErr w:type="spellStart"/>
      <w:r>
        <w:rPr>
          <w:sz w:val="24"/>
          <w:szCs w:val="24"/>
        </w:rPr>
        <w:t>forudeksisterende</w:t>
      </w:r>
      <w:proofErr w:type="spellEnd"/>
      <w:r>
        <w:rPr>
          <w:sz w:val="24"/>
          <w:szCs w:val="24"/>
        </w:rPr>
        <w:t xml:space="preserve"> angst, agitation eller anspændthed</w:t>
      </w:r>
      <w:r w:rsidR="00EF1492">
        <w:rPr>
          <w:sz w:val="24"/>
          <w:szCs w:val="24"/>
        </w:rPr>
        <w:t xml:space="preserve">. </w:t>
      </w:r>
      <w:r w:rsidR="00EF1492">
        <w:rPr>
          <w:sz w:val="24"/>
          <w:szCs w:val="24"/>
        </w:rPr>
        <w:t>Angst har ledt</w:t>
      </w:r>
      <w:r>
        <w:rPr>
          <w:sz w:val="24"/>
          <w:szCs w:val="24"/>
        </w:rPr>
        <w:t xml:space="preserve"> til </w:t>
      </w:r>
      <w:proofErr w:type="spellStart"/>
      <w:r>
        <w:rPr>
          <w:sz w:val="24"/>
          <w:szCs w:val="24"/>
        </w:rPr>
        <w:t>seponering</w:t>
      </w:r>
      <w:proofErr w:type="spellEnd"/>
      <w:r>
        <w:rPr>
          <w:sz w:val="24"/>
          <w:szCs w:val="24"/>
        </w:rPr>
        <w:t xml:space="preserve"> af </w:t>
      </w:r>
      <w:proofErr w:type="spellStart"/>
      <w:r>
        <w:rPr>
          <w:sz w:val="24"/>
          <w:szCs w:val="24"/>
        </w:rPr>
        <w:t>methylphenidat</w:t>
      </w:r>
      <w:proofErr w:type="spellEnd"/>
      <w:r>
        <w:rPr>
          <w:sz w:val="24"/>
          <w:szCs w:val="24"/>
        </w:rPr>
        <w:t xml:space="preserve"> hos nogle patienter. Klinisk evaluering for angst, agitation eller anspændthed bør gå forud for anvendelse af </w:t>
      </w:r>
      <w:proofErr w:type="spellStart"/>
      <w:r>
        <w:rPr>
          <w:sz w:val="24"/>
          <w:szCs w:val="24"/>
        </w:rPr>
        <w:t>methylphenidat</w:t>
      </w:r>
      <w:proofErr w:type="spellEnd"/>
      <w:r>
        <w:rPr>
          <w:sz w:val="24"/>
          <w:szCs w:val="24"/>
        </w:rPr>
        <w:t xml:space="preserve">, og patienterne bør </w:t>
      </w:r>
      <w:r>
        <w:rPr>
          <w:b/>
          <w:sz w:val="24"/>
          <w:szCs w:val="24"/>
        </w:rPr>
        <w:t>regelmæssigt monitoreres for fremkomst eller forværring af disse symptomer under behandling, ved hver dosisjustering og efterfølgende mindst hver 6. måned eller ved hver konsultation.</w:t>
      </w:r>
    </w:p>
    <w:p w:rsidR="008E4AD7" w:rsidRDefault="008E4AD7" w:rsidP="008E4AD7">
      <w:pPr>
        <w:ind w:left="851" w:hanging="851"/>
        <w:rPr>
          <w:sz w:val="24"/>
          <w:szCs w:val="24"/>
        </w:rPr>
      </w:pPr>
    </w:p>
    <w:p w:rsidR="008E4AD7" w:rsidRDefault="008E4AD7" w:rsidP="008E4AD7">
      <w:pPr>
        <w:ind w:left="851"/>
        <w:rPr>
          <w:i/>
          <w:iCs/>
          <w:sz w:val="24"/>
          <w:szCs w:val="24"/>
        </w:rPr>
      </w:pPr>
      <w:r>
        <w:rPr>
          <w:i/>
          <w:iCs/>
          <w:sz w:val="24"/>
          <w:szCs w:val="24"/>
        </w:rPr>
        <w:t>Typer af bipolar lidelse</w:t>
      </w:r>
    </w:p>
    <w:p w:rsidR="008E4AD7" w:rsidRDefault="008E4AD7" w:rsidP="008E4AD7">
      <w:pPr>
        <w:ind w:left="851"/>
        <w:rPr>
          <w:b/>
          <w:sz w:val="24"/>
          <w:szCs w:val="24"/>
        </w:rPr>
      </w:pPr>
      <w:r>
        <w:rPr>
          <w:sz w:val="24"/>
          <w:szCs w:val="24"/>
        </w:rPr>
        <w:t xml:space="preserve">Der bør udvises særlig forsigtighed ved brug af </w:t>
      </w:r>
      <w:proofErr w:type="spellStart"/>
      <w:r>
        <w:rPr>
          <w:sz w:val="24"/>
          <w:szCs w:val="24"/>
        </w:rPr>
        <w:t>methylphenidat</w:t>
      </w:r>
      <w:proofErr w:type="spellEnd"/>
      <w:r>
        <w:rPr>
          <w:sz w:val="24"/>
          <w:szCs w:val="24"/>
        </w:rPr>
        <w:t xml:space="preserve"> til behandling af ADHD hos patienter med </w:t>
      </w:r>
      <w:proofErr w:type="spellStart"/>
      <w:r>
        <w:rPr>
          <w:sz w:val="24"/>
          <w:szCs w:val="24"/>
        </w:rPr>
        <w:t>komorbid</w:t>
      </w:r>
      <w:proofErr w:type="spellEnd"/>
      <w:r>
        <w:rPr>
          <w:sz w:val="24"/>
          <w:szCs w:val="24"/>
        </w:rPr>
        <w:t xml:space="preserve"> bipolar lidelse (herunder ubehandlet bipolar lidelse type I eller andre former for bipolar lidelse), idet risikoen for at fremskynde en blandet/manisk episode bør undgås hos disse patienter. Før behandlingen med </w:t>
      </w:r>
      <w:proofErr w:type="spellStart"/>
      <w:r>
        <w:rPr>
          <w:sz w:val="24"/>
          <w:szCs w:val="24"/>
        </w:rPr>
        <w:t>methylphenidat</w:t>
      </w:r>
      <w:proofErr w:type="spellEnd"/>
      <w:r>
        <w:rPr>
          <w:sz w:val="24"/>
          <w:szCs w:val="24"/>
        </w:rPr>
        <w:t xml:space="preserve"> indledes, skal patienter med </w:t>
      </w:r>
      <w:proofErr w:type="spellStart"/>
      <w:r>
        <w:rPr>
          <w:sz w:val="24"/>
          <w:szCs w:val="24"/>
        </w:rPr>
        <w:t>komorbide</w:t>
      </w:r>
      <w:proofErr w:type="spellEnd"/>
      <w:r>
        <w:rPr>
          <w:sz w:val="24"/>
          <w:szCs w:val="24"/>
        </w:rPr>
        <w:t xml:space="preserve"> depressive symptomer gennemgå relevant undersøgelse for at afgøre, om de har risiko for bipolar lidelse. En sådan screening skal omfatte detaljeret psykiatrisk anamnese, hvori indgår familieanamnese for selvmord, bipolar lidelse og depression. </w:t>
      </w:r>
      <w:r>
        <w:rPr>
          <w:b/>
          <w:sz w:val="24"/>
          <w:szCs w:val="24"/>
        </w:rPr>
        <w:t>Nær og vedvarende monitorering er meget vigtig hos disse patienter (se ovenfor: "Psykiatriske sygdomme" og pkt. 4.2). Patienter bør monitoreres for symptomer ved hver dosisjustering og efterfølgende mindst hver 6. måned og ved hver konsultation.</w:t>
      </w:r>
    </w:p>
    <w:p w:rsidR="008E4AD7" w:rsidRDefault="008E4AD7" w:rsidP="008E4AD7">
      <w:pPr>
        <w:ind w:left="851" w:hanging="851"/>
        <w:rPr>
          <w:sz w:val="24"/>
          <w:szCs w:val="24"/>
        </w:rPr>
      </w:pPr>
    </w:p>
    <w:p w:rsidR="008E4AD7" w:rsidRDefault="008E4AD7" w:rsidP="008E4AD7">
      <w:pPr>
        <w:ind w:left="851"/>
        <w:rPr>
          <w:sz w:val="24"/>
          <w:szCs w:val="24"/>
        </w:rPr>
      </w:pPr>
      <w:r>
        <w:rPr>
          <w:sz w:val="24"/>
          <w:szCs w:val="24"/>
          <w:u w:val="single" w:color="000000"/>
        </w:rPr>
        <w:t>Vækst</w:t>
      </w:r>
    </w:p>
    <w:p w:rsidR="00EF1492" w:rsidRDefault="008E4AD7" w:rsidP="00EF1492">
      <w:pPr>
        <w:ind w:left="851"/>
        <w:rPr>
          <w:sz w:val="24"/>
          <w:szCs w:val="24"/>
        </w:rPr>
      </w:pPr>
      <w:r>
        <w:rPr>
          <w:sz w:val="24"/>
          <w:szCs w:val="24"/>
        </w:rPr>
        <w:t xml:space="preserve">Der er beskrevet moderat reduceret vægtøgning og væksthæmning ved langvarig anvendelse af </w:t>
      </w:r>
      <w:proofErr w:type="spellStart"/>
      <w:r>
        <w:rPr>
          <w:sz w:val="24"/>
          <w:szCs w:val="24"/>
        </w:rPr>
        <w:t>methylphenidat</w:t>
      </w:r>
      <w:proofErr w:type="spellEnd"/>
      <w:r>
        <w:rPr>
          <w:sz w:val="24"/>
          <w:szCs w:val="24"/>
        </w:rPr>
        <w:t xml:space="preserve"> hos børn.</w:t>
      </w:r>
      <w:r w:rsidR="00EF1492">
        <w:rPr>
          <w:sz w:val="24"/>
          <w:szCs w:val="24"/>
        </w:rPr>
        <w:t xml:space="preserve"> </w:t>
      </w:r>
      <w:r w:rsidR="00EF1492">
        <w:rPr>
          <w:sz w:val="24"/>
          <w:szCs w:val="24"/>
        </w:rPr>
        <w:t xml:space="preserve">Vægttab er blevet rapporteret ved behandling af voksne med </w:t>
      </w:r>
      <w:proofErr w:type="spellStart"/>
      <w:r w:rsidR="00EF1492">
        <w:rPr>
          <w:sz w:val="24"/>
          <w:szCs w:val="24"/>
        </w:rPr>
        <w:t>methylphenidat</w:t>
      </w:r>
      <w:proofErr w:type="spellEnd"/>
      <w:r w:rsidR="00EF1492">
        <w:rPr>
          <w:sz w:val="24"/>
          <w:szCs w:val="24"/>
        </w:rPr>
        <w:t xml:space="preserve"> (se pkt. 4.8).</w:t>
      </w:r>
    </w:p>
    <w:p w:rsidR="008E4AD7" w:rsidRDefault="008E4AD7" w:rsidP="008E4AD7">
      <w:pPr>
        <w:ind w:left="851" w:hanging="851"/>
        <w:rPr>
          <w:sz w:val="24"/>
          <w:szCs w:val="24"/>
        </w:rPr>
      </w:pPr>
    </w:p>
    <w:p w:rsidR="008E4AD7" w:rsidRDefault="008E4AD7" w:rsidP="008E4AD7">
      <w:pPr>
        <w:ind w:left="851"/>
        <w:rPr>
          <w:sz w:val="24"/>
          <w:szCs w:val="24"/>
        </w:rPr>
      </w:pPr>
      <w:r>
        <w:rPr>
          <w:sz w:val="24"/>
          <w:szCs w:val="24"/>
        </w:rPr>
        <w:t xml:space="preserve">Effekten af </w:t>
      </w:r>
      <w:proofErr w:type="spellStart"/>
      <w:r>
        <w:rPr>
          <w:sz w:val="24"/>
          <w:szCs w:val="24"/>
        </w:rPr>
        <w:t>methylphenidat</w:t>
      </w:r>
      <w:proofErr w:type="spellEnd"/>
      <w:r>
        <w:rPr>
          <w:sz w:val="24"/>
          <w:szCs w:val="24"/>
        </w:rPr>
        <w:t xml:space="preserve"> på den endelige højde og vægt er i øjeblikket ukendt, og der pågår undersøgelser.</w:t>
      </w:r>
    </w:p>
    <w:p w:rsidR="008E4AD7" w:rsidRDefault="008E4AD7" w:rsidP="008E4AD7">
      <w:pPr>
        <w:ind w:left="851" w:hanging="851"/>
        <w:rPr>
          <w:sz w:val="24"/>
          <w:szCs w:val="24"/>
        </w:rPr>
      </w:pPr>
    </w:p>
    <w:p w:rsidR="00EF1492" w:rsidRDefault="008E4AD7" w:rsidP="00EF1492">
      <w:pPr>
        <w:ind w:left="851"/>
        <w:rPr>
          <w:sz w:val="24"/>
          <w:szCs w:val="24"/>
        </w:rPr>
      </w:pPr>
      <w:r>
        <w:rPr>
          <w:b/>
          <w:sz w:val="24"/>
          <w:szCs w:val="24"/>
        </w:rPr>
        <w:t xml:space="preserve">Væksten bør monitoreres under behandling med </w:t>
      </w:r>
      <w:proofErr w:type="spellStart"/>
      <w:r>
        <w:rPr>
          <w:b/>
          <w:sz w:val="24"/>
          <w:szCs w:val="24"/>
        </w:rPr>
        <w:t>methylphenidat</w:t>
      </w:r>
      <w:proofErr w:type="spellEnd"/>
      <w:r>
        <w:rPr>
          <w:b/>
          <w:sz w:val="24"/>
          <w:szCs w:val="24"/>
        </w:rPr>
        <w:t>: Højde, vægt og appetit bør registreres minimum hver 6. måned og ajourføres på en vækstkurve</w:t>
      </w:r>
      <w:r>
        <w:rPr>
          <w:sz w:val="24"/>
          <w:szCs w:val="24"/>
        </w:rPr>
        <w:t>. Det kan være nødvendigt at afbryde behandlingen hos patienter, som ikke vokser eller øger højde eller vægt som forventet.</w:t>
      </w:r>
      <w:r w:rsidR="00EF1492">
        <w:rPr>
          <w:sz w:val="24"/>
          <w:szCs w:val="24"/>
        </w:rPr>
        <w:t xml:space="preserve"> </w:t>
      </w:r>
      <w:r w:rsidR="00EF1492">
        <w:rPr>
          <w:sz w:val="24"/>
          <w:szCs w:val="24"/>
        </w:rPr>
        <w:t>Hos voksne skal vægten overvåges regelmæssigt.</w:t>
      </w:r>
    </w:p>
    <w:p w:rsidR="008E4AD7" w:rsidRDefault="008E4AD7" w:rsidP="008E4AD7">
      <w:pPr>
        <w:rPr>
          <w:sz w:val="24"/>
          <w:szCs w:val="24"/>
          <w:u w:val="single" w:color="000000"/>
        </w:rPr>
      </w:pPr>
    </w:p>
    <w:p w:rsidR="008E4AD7" w:rsidRDefault="008E4AD7" w:rsidP="008E4AD7">
      <w:pPr>
        <w:ind w:left="851"/>
        <w:rPr>
          <w:sz w:val="24"/>
          <w:szCs w:val="24"/>
        </w:rPr>
      </w:pPr>
      <w:r>
        <w:rPr>
          <w:sz w:val="24"/>
          <w:szCs w:val="24"/>
          <w:u w:val="single" w:color="000000"/>
        </w:rPr>
        <w:t>Epileptiske anfald</w:t>
      </w:r>
    </w:p>
    <w:p w:rsidR="008E4AD7" w:rsidRDefault="008E4AD7" w:rsidP="008E4AD7">
      <w:pPr>
        <w:ind w:left="851"/>
        <w:rPr>
          <w:sz w:val="24"/>
          <w:szCs w:val="24"/>
        </w:rPr>
      </w:pPr>
      <w:proofErr w:type="spellStart"/>
      <w:r>
        <w:rPr>
          <w:sz w:val="24"/>
          <w:szCs w:val="24"/>
        </w:rPr>
        <w:t>Methylphenidat</w:t>
      </w:r>
      <w:proofErr w:type="spellEnd"/>
      <w:r>
        <w:rPr>
          <w:sz w:val="24"/>
          <w:szCs w:val="24"/>
        </w:rPr>
        <w:t xml:space="preserve"> bør anvendes med forsigtighed til patienter med epilepsi. </w:t>
      </w:r>
      <w:proofErr w:type="spellStart"/>
      <w:r>
        <w:rPr>
          <w:sz w:val="24"/>
          <w:szCs w:val="24"/>
        </w:rPr>
        <w:t>Methylphenidat</w:t>
      </w:r>
      <w:proofErr w:type="spellEnd"/>
      <w:r>
        <w:rPr>
          <w:sz w:val="24"/>
          <w:szCs w:val="24"/>
        </w:rPr>
        <w:t xml:space="preserve"> kan sænke krampetærsklen hos patienter med epileptiske anfald i anamnesen, hos patienter med tidligere abnorme EEG-værdier uden anfald i anamnesen, og i sjældne tilfælde hos patienter uden hverken anfald eller abnorme EEG-værdier i anamnesen. </w:t>
      </w:r>
      <w:proofErr w:type="spellStart"/>
      <w:r>
        <w:rPr>
          <w:sz w:val="24"/>
          <w:szCs w:val="24"/>
        </w:rPr>
        <w:t>Methylphenidat</w:t>
      </w:r>
      <w:proofErr w:type="spellEnd"/>
      <w:r>
        <w:rPr>
          <w:sz w:val="24"/>
          <w:szCs w:val="24"/>
        </w:rPr>
        <w:t xml:space="preserve"> bør seponeres, hvis </w:t>
      </w:r>
      <w:proofErr w:type="spellStart"/>
      <w:r>
        <w:rPr>
          <w:sz w:val="24"/>
          <w:szCs w:val="24"/>
        </w:rPr>
        <w:t>anfaldsfrekvensen</w:t>
      </w:r>
      <w:proofErr w:type="spellEnd"/>
      <w:r>
        <w:rPr>
          <w:sz w:val="24"/>
          <w:szCs w:val="24"/>
        </w:rPr>
        <w:t xml:space="preserve"> stiger eller ved debut af nye anfald.</w:t>
      </w:r>
    </w:p>
    <w:p w:rsidR="008E4AD7" w:rsidRDefault="008E4AD7" w:rsidP="008E4AD7">
      <w:pPr>
        <w:ind w:left="851"/>
        <w:rPr>
          <w:sz w:val="24"/>
          <w:szCs w:val="24"/>
        </w:rPr>
      </w:pPr>
    </w:p>
    <w:p w:rsidR="00A46903" w:rsidRDefault="00A46903" w:rsidP="00A46903">
      <w:pPr>
        <w:pStyle w:val="Default"/>
        <w:ind w:left="851"/>
        <w:rPr>
          <w:rFonts w:ascii="Times New Roman" w:eastAsia="Times New Roman" w:hAnsi="Times New Roman" w:cs="Times New Roman"/>
          <w:color w:val="auto"/>
          <w:u w:val="single"/>
          <w:lang w:val="da-DK"/>
        </w:rPr>
      </w:pPr>
      <w:proofErr w:type="spellStart"/>
      <w:r>
        <w:rPr>
          <w:rFonts w:ascii="Times New Roman" w:eastAsia="Times New Roman" w:hAnsi="Times New Roman" w:cs="Times New Roman"/>
          <w:color w:val="auto"/>
          <w:u w:val="single"/>
          <w:lang w:val="da-DK"/>
        </w:rPr>
        <w:t>Priapisme</w:t>
      </w:r>
      <w:proofErr w:type="spellEnd"/>
    </w:p>
    <w:p w:rsidR="00A46903" w:rsidRDefault="00A46903" w:rsidP="00A46903">
      <w:pPr>
        <w:pStyle w:val="Default"/>
        <w:ind w:left="851"/>
        <w:rPr>
          <w:rFonts w:ascii="Times New Roman" w:eastAsia="Times New Roman" w:hAnsi="Times New Roman" w:cs="Times New Roman"/>
          <w:color w:val="auto"/>
          <w:lang w:val="da-DK"/>
        </w:rPr>
      </w:pPr>
      <w:r>
        <w:rPr>
          <w:rFonts w:ascii="Times New Roman" w:eastAsia="Times New Roman" w:hAnsi="Times New Roman" w:cs="Times New Roman"/>
          <w:color w:val="auto"/>
          <w:lang w:val="da-DK"/>
        </w:rPr>
        <w:t xml:space="preserve">Der er rapporteret om vedvarende og smertefulde erektioner ved brug af præparater, der indeholder </w:t>
      </w:r>
      <w:proofErr w:type="spellStart"/>
      <w:r>
        <w:rPr>
          <w:rFonts w:ascii="Times New Roman" w:eastAsia="Times New Roman" w:hAnsi="Times New Roman" w:cs="Times New Roman"/>
          <w:color w:val="auto"/>
          <w:lang w:val="da-DK"/>
        </w:rPr>
        <w:t>methylphenidat</w:t>
      </w:r>
      <w:proofErr w:type="spellEnd"/>
      <w:r>
        <w:rPr>
          <w:rFonts w:ascii="Times New Roman" w:eastAsia="Times New Roman" w:hAnsi="Times New Roman" w:cs="Times New Roman"/>
          <w:color w:val="auto"/>
          <w:lang w:val="da-DK"/>
        </w:rPr>
        <w:t xml:space="preserve">, navnlig i forbindelse med ændringer i behandlingsregimet. Patienterne skal informeres om at søge lægehjælp øjeblikkeligt, hvis de får unormalt vedvarende eller hyppige og smertefulde erektioner. </w:t>
      </w:r>
    </w:p>
    <w:p w:rsidR="00A46903" w:rsidRDefault="00A46903" w:rsidP="00A46903">
      <w:pPr>
        <w:pStyle w:val="Default"/>
        <w:ind w:left="851"/>
        <w:rPr>
          <w:rFonts w:ascii="Times New Roman" w:eastAsia="Times New Roman" w:hAnsi="Times New Roman" w:cs="Times New Roman"/>
          <w:color w:val="auto"/>
          <w:lang w:val="da-DK"/>
        </w:rPr>
      </w:pPr>
    </w:p>
    <w:p w:rsidR="00A46903" w:rsidRPr="007F745C" w:rsidRDefault="00A46903" w:rsidP="00A46903">
      <w:pPr>
        <w:pStyle w:val="Default"/>
        <w:ind w:left="851"/>
        <w:rPr>
          <w:rFonts w:ascii="Times New Roman" w:hAnsi="Times New Roman" w:cs="Times New Roman"/>
          <w:u w:val="single"/>
          <w:bdr w:val="none" w:sz="0" w:space="0" w:color="auto" w:frame="1"/>
          <w:lang w:val="da-DK"/>
        </w:rPr>
      </w:pPr>
      <w:r w:rsidRPr="007F745C">
        <w:rPr>
          <w:rFonts w:ascii="Times New Roman" w:hAnsi="Times New Roman" w:cs="Times New Roman"/>
          <w:u w:val="single"/>
          <w:bdr w:val="none" w:sz="0" w:space="0" w:color="auto" w:frame="1"/>
          <w:lang w:val="da-DK"/>
        </w:rPr>
        <w:t xml:space="preserve">Brug med </w:t>
      </w:r>
      <w:proofErr w:type="spellStart"/>
      <w:r w:rsidRPr="007F745C">
        <w:rPr>
          <w:rFonts w:ascii="Times New Roman" w:hAnsi="Times New Roman" w:cs="Times New Roman"/>
          <w:u w:val="single"/>
          <w:bdr w:val="none" w:sz="0" w:space="0" w:color="auto" w:frame="1"/>
          <w:lang w:val="da-DK"/>
        </w:rPr>
        <w:t>serotonerge</w:t>
      </w:r>
      <w:proofErr w:type="spellEnd"/>
      <w:r w:rsidRPr="007F745C">
        <w:rPr>
          <w:rFonts w:ascii="Times New Roman" w:hAnsi="Times New Roman" w:cs="Times New Roman"/>
          <w:u w:val="single"/>
          <w:bdr w:val="none" w:sz="0" w:space="0" w:color="auto" w:frame="1"/>
          <w:lang w:val="da-DK"/>
        </w:rPr>
        <w:t xml:space="preserve"> lægemidler</w:t>
      </w:r>
    </w:p>
    <w:p w:rsidR="00A46903" w:rsidRPr="007F745C" w:rsidRDefault="00A46903" w:rsidP="00A46903">
      <w:pPr>
        <w:pStyle w:val="Default"/>
        <w:ind w:left="851"/>
        <w:rPr>
          <w:rFonts w:ascii="Times New Roman" w:hAnsi="Times New Roman" w:cs="Times New Roman"/>
          <w:u w:val="single"/>
          <w:bdr w:val="none" w:sz="0" w:space="0" w:color="auto" w:frame="1"/>
          <w:lang w:val="da-DK"/>
        </w:rPr>
      </w:pPr>
    </w:p>
    <w:p w:rsidR="00A46903" w:rsidRDefault="00A46903" w:rsidP="00A46903">
      <w:pPr>
        <w:pStyle w:val="Default"/>
        <w:ind w:left="851"/>
        <w:rPr>
          <w:rFonts w:ascii="Times New Roman" w:eastAsia="Times New Roman" w:hAnsi="Times New Roman" w:cs="Times New Roman"/>
          <w:color w:val="auto"/>
          <w:lang w:val="da-DK"/>
        </w:rPr>
      </w:pPr>
      <w:r w:rsidRPr="007F745C">
        <w:rPr>
          <w:rFonts w:ascii="Times New Roman" w:hAnsi="Times New Roman" w:cs="Times New Roman"/>
          <w:bdr w:val="none" w:sz="0" w:space="0" w:color="auto" w:frame="1"/>
          <w:lang w:val="da-DK"/>
        </w:rPr>
        <w:t xml:space="preserve">Der er rapporteret om serotoninsyndrom efter samtidig administration af </w:t>
      </w:r>
      <w:proofErr w:type="spellStart"/>
      <w:r w:rsidRPr="007F745C">
        <w:rPr>
          <w:rFonts w:ascii="Times New Roman" w:hAnsi="Times New Roman" w:cs="Times New Roman"/>
          <w:bdr w:val="none" w:sz="0" w:space="0" w:color="auto" w:frame="1"/>
          <w:lang w:val="da-DK"/>
        </w:rPr>
        <w:t>methylphenidat</w:t>
      </w:r>
      <w:proofErr w:type="spellEnd"/>
      <w:r w:rsidRPr="007F745C">
        <w:rPr>
          <w:rFonts w:ascii="Times New Roman" w:hAnsi="Times New Roman" w:cs="Times New Roman"/>
          <w:bdr w:val="none" w:sz="0" w:space="0" w:color="auto" w:frame="1"/>
          <w:lang w:val="da-DK"/>
        </w:rPr>
        <w:t xml:space="preserve"> og </w:t>
      </w:r>
      <w:proofErr w:type="spellStart"/>
      <w:r w:rsidRPr="007F745C">
        <w:rPr>
          <w:rFonts w:ascii="Times New Roman" w:hAnsi="Times New Roman" w:cs="Times New Roman"/>
          <w:bdr w:val="none" w:sz="0" w:space="0" w:color="auto" w:frame="1"/>
          <w:lang w:val="da-DK"/>
        </w:rPr>
        <w:t>serotonerge</w:t>
      </w:r>
      <w:proofErr w:type="spellEnd"/>
      <w:r w:rsidRPr="007F745C">
        <w:rPr>
          <w:rFonts w:ascii="Times New Roman" w:hAnsi="Times New Roman" w:cs="Times New Roman"/>
          <w:bdr w:val="none" w:sz="0" w:space="0" w:color="auto" w:frame="1"/>
          <w:lang w:val="da-DK"/>
        </w:rPr>
        <w:t xml:space="preserve"> lægemidler. Hvis der er behov for samtidig anvendelse af </w:t>
      </w:r>
      <w:proofErr w:type="spellStart"/>
      <w:r w:rsidRPr="007F745C">
        <w:rPr>
          <w:rFonts w:ascii="Times New Roman" w:hAnsi="Times New Roman" w:cs="Times New Roman"/>
          <w:bdr w:val="none" w:sz="0" w:space="0" w:color="auto" w:frame="1"/>
          <w:lang w:val="da-DK"/>
        </w:rPr>
        <w:t>methylphenidat</w:t>
      </w:r>
      <w:proofErr w:type="spellEnd"/>
      <w:r w:rsidRPr="007F745C">
        <w:rPr>
          <w:rFonts w:ascii="Times New Roman" w:hAnsi="Times New Roman" w:cs="Times New Roman"/>
          <w:bdr w:val="none" w:sz="0" w:space="0" w:color="auto" w:frame="1"/>
          <w:lang w:val="da-DK"/>
        </w:rPr>
        <w:t xml:space="preserve"> og et </w:t>
      </w:r>
      <w:proofErr w:type="spellStart"/>
      <w:r w:rsidRPr="007F745C">
        <w:rPr>
          <w:rFonts w:ascii="Times New Roman" w:hAnsi="Times New Roman" w:cs="Times New Roman"/>
          <w:bdr w:val="none" w:sz="0" w:space="0" w:color="auto" w:frame="1"/>
          <w:lang w:val="da-DK"/>
        </w:rPr>
        <w:t>serotonergt</w:t>
      </w:r>
      <w:proofErr w:type="spellEnd"/>
      <w:r w:rsidRPr="007F745C">
        <w:rPr>
          <w:rFonts w:ascii="Times New Roman" w:hAnsi="Times New Roman" w:cs="Times New Roman"/>
          <w:bdr w:val="none" w:sz="0" w:space="0" w:color="auto" w:frame="1"/>
          <w:lang w:val="da-DK"/>
        </w:rPr>
        <w:t xml:space="preserve"> lægemiddel, er det vigtigt at genkende symptomerne på serotoninsyndrom hurtigst muligt. Disse symptomer kan omfatte ændringer i sindstilstand (f.eks. ophidselse, hallucinationer, koma), autonom ustabilitet (f.eks. </w:t>
      </w:r>
      <w:proofErr w:type="spellStart"/>
      <w:r w:rsidRPr="007F745C">
        <w:rPr>
          <w:rFonts w:ascii="Times New Roman" w:hAnsi="Times New Roman" w:cs="Times New Roman"/>
          <w:bdr w:val="none" w:sz="0" w:space="0" w:color="auto" w:frame="1"/>
          <w:lang w:val="da-DK"/>
        </w:rPr>
        <w:t>takykardi</w:t>
      </w:r>
      <w:proofErr w:type="spellEnd"/>
      <w:r w:rsidRPr="007F745C">
        <w:rPr>
          <w:rFonts w:ascii="Times New Roman" w:hAnsi="Times New Roman" w:cs="Times New Roman"/>
          <w:bdr w:val="none" w:sz="0" w:space="0" w:color="auto" w:frame="1"/>
          <w:lang w:val="da-DK"/>
        </w:rPr>
        <w:t xml:space="preserve">, labilt blodtryk, </w:t>
      </w:r>
      <w:proofErr w:type="spellStart"/>
      <w:r w:rsidRPr="007F745C">
        <w:rPr>
          <w:rFonts w:ascii="Times New Roman" w:hAnsi="Times New Roman" w:cs="Times New Roman"/>
          <w:bdr w:val="none" w:sz="0" w:space="0" w:color="auto" w:frame="1"/>
          <w:lang w:val="da-DK"/>
        </w:rPr>
        <w:t>hypertermi</w:t>
      </w:r>
      <w:proofErr w:type="spellEnd"/>
      <w:r w:rsidRPr="007F745C">
        <w:rPr>
          <w:rFonts w:ascii="Times New Roman" w:hAnsi="Times New Roman" w:cs="Times New Roman"/>
          <w:bdr w:val="none" w:sz="0" w:space="0" w:color="auto" w:frame="1"/>
          <w:lang w:val="da-DK"/>
        </w:rPr>
        <w:t xml:space="preserve">), </w:t>
      </w:r>
      <w:proofErr w:type="spellStart"/>
      <w:r w:rsidRPr="007F745C">
        <w:rPr>
          <w:rFonts w:ascii="Times New Roman" w:hAnsi="Times New Roman" w:cs="Times New Roman"/>
          <w:bdr w:val="none" w:sz="0" w:space="0" w:color="auto" w:frame="1"/>
          <w:lang w:val="da-DK"/>
        </w:rPr>
        <w:t>neuromuskulære</w:t>
      </w:r>
      <w:proofErr w:type="spellEnd"/>
      <w:r w:rsidRPr="007F745C">
        <w:rPr>
          <w:rFonts w:ascii="Times New Roman" w:hAnsi="Times New Roman" w:cs="Times New Roman"/>
          <w:bdr w:val="none" w:sz="0" w:space="0" w:color="auto" w:frame="1"/>
          <w:lang w:val="da-DK"/>
        </w:rPr>
        <w:t xml:space="preserve"> abnormiteter (f.eks. </w:t>
      </w:r>
      <w:proofErr w:type="spellStart"/>
      <w:r w:rsidRPr="007F745C">
        <w:rPr>
          <w:rFonts w:ascii="Times New Roman" w:hAnsi="Times New Roman" w:cs="Times New Roman"/>
          <w:bdr w:val="none" w:sz="0" w:space="0" w:color="auto" w:frame="1"/>
          <w:lang w:val="da-DK"/>
        </w:rPr>
        <w:t>hyperrefleksi</w:t>
      </w:r>
      <w:proofErr w:type="spellEnd"/>
      <w:r w:rsidRPr="007F745C">
        <w:rPr>
          <w:rFonts w:ascii="Times New Roman" w:hAnsi="Times New Roman" w:cs="Times New Roman"/>
          <w:bdr w:val="none" w:sz="0" w:space="0" w:color="auto" w:frame="1"/>
          <w:lang w:val="da-DK"/>
        </w:rPr>
        <w:t xml:space="preserve">, manglende koordinationsevne, stivhed) og/eller </w:t>
      </w:r>
      <w:proofErr w:type="spellStart"/>
      <w:r w:rsidRPr="007F745C">
        <w:rPr>
          <w:rFonts w:ascii="Times New Roman" w:hAnsi="Times New Roman" w:cs="Times New Roman"/>
          <w:bdr w:val="none" w:sz="0" w:space="0" w:color="auto" w:frame="1"/>
          <w:lang w:val="da-DK"/>
        </w:rPr>
        <w:t>gastrointestinale</w:t>
      </w:r>
      <w:proofErr w:type="spellEnd"/>
      <w:r w:rsidRPr="007F745C">
        <w:rPr>
          <w:rFonts w:ascii="Times New Roman" w:hAnsi="Times New Roman" w:cs="Times New Roman"/>
          <w:bdr w:val="none" w:sz="0" w:space="0" w:color="auto" w:frame="1"/>
          <w:lang w:val="da-DK"/>
        </w:rPr>
        <w:t xml:space="preserve"> symptomer (f.ek</w:t>
      </w:r>
      <w:r>
        <w:rPr>
          <w:rFonts w:ascii="Times New Roman" w:hAnsi="Times New Roman" w:cs="Times New Roman"/>
          <w:bdr w:val="none" w:sz="0" w:space="0" w:color="auto" w:frame="1"/>
          <w:lang w:val="da-DK"/>
        </w:rPr>
        <w:t xml:space="preserve">s. kvalme, opkastning, diarré). </w:t>
      </w:r>
      <w:proofErr w:type="spellStart"/>
      <w:r w:rsidRPr="007F745C">
        <w:rPr>
          <w:rFonts w:ascii="Times New Roman" w:hAnsi="Times New Roman" w:cs="Times New Roman"/>
          <w:bdr w:val="none" w:sz="0" w:space="0" w:color="auto" w:frame="1"/>
          <w:lang w:val="da-DK"/>
        </w:rPr>
        <w:t>Methylphenidat</w:t>
      </w:r>
      <w:proofErr w:type="spellEnd"/>
      <w:r w:rsidRPr="007F745C">
        <w:rPr>
          <w:rFonts w:ascii="Times New Roman" w:hAnsi="Times New Roman" w:cs="Times New Roman"/>
          <w:bdr w:val="none" w:sz="0" w:space="0" w:color="auto" w:frame="1"/>
          <w:lang w:val="da-DK"/>
        </w:rPr>
        <w:t xml:space="preserve"> skal seponeres hurtigst muligt, hvis der er mistanke om serotoninsyndrom.</w:t>
      </w:r>
    </w:p>
    <w:p w:rsidR="00A46903" w:rsidRDefault="00A46903" w:rsidP="00A46903">
      <w:pPr>
        <w:ind w:left="851" w:hanging="851"/>
        <w:rPr>
          <w:sz w:val="24"/>
          <w:szCs w:val="24"/>
        </w:rPr>
      </w:pPr>
    </w:p>
    <w:p w:rsidR="00A46903" w:rsidRDefault="00A46903" w:rsidP="00A46903">
      <w:pPr>
        <w:ind w:left="851"/>
        <w:rPr>
          <w:sz w:val="24"/>
          <w:szCs w:val="24"/>
        </w:rPr>
      </w:pPr>
      <w:r>
        <w:rPr>
          <w:sz w:val="24"/>
          <w:szCs w:val="24"/>
          <w:u w:val="single" w:color="000000"/>
        </w:rPr>
        <w:t>Misbrug, forkert brug og videresalg</w:t>
      </w:r>
    </w:p>
    <w:p w:rsidR="00A46903" w:rsidRDefault="00A46903" w:rsidP="00A46903">
      <w:pPr>
        <w:ind w:left="851"/>
        <w:rPr>
          <w:sz w:val="24"/>
          <w:szCs w:val="24"/>
        </w:rPr>
      </w:pPr>
      <w:r>
        <w:rPr>
          <w:sz w:val="24"/>
          <w:szCs w:val="24"/>
        </w:rPr>
        <w:t xml:space="preserve">Patienter bør nøje monitoreres for risiko for videresalg og videregivelse, forkert brug eller misbrug af </w:t>
      </w:r>
      <w:proofErr w:type="spellStart"/>
      <w:r>
        <w:rPr>
          <w:sz w:val="24"/>
          <w:szCs w:val="24"/>
        </w:rPr>
        <w:t>methylphenidat</w:t>
      </w:r>
      <w:proofErr w:type="spellEnd"/>
      <w:r>
        <w:rPr>
          <w:sz w:val="24"/>
          <w:szCs w:val="24"/>
        </w:rPr>
        <w:t xml:space="preserve">. </w:t>
      </w:r>
      <w:proofErr w:type="spellStart"/>
      <w:r>
        <w:rPr>
          <w:sz w:val="24"/>
          <w:szCs w:val="24"/>
        </w:rPr>
        <w:t>Methylphenidat</w:t>
      </w:r>
      <w:proofErr w:type="spellEnd"/>
      <w:r>
        <w:rPr>
          <w:sz w:val="24"/>
          <w:szCs w:val="24"/>
        </w:rPr>
        <w:t xml:space="preserve"> bør anvendes med forsigtighed til patienter med kendt stof-, medicin- eller alkoholafhængighed på grund af potentialet for misbrug, forkert brug eller videresalg.</w:t>
      </w:r>
    </w:p>
    <w:p w:rsidR="008E4AD7" w:rsidRDefault="008E4AD7" w:rsidP="008E4AD7">
      <w:pPr>
        <w:ind w:left="851" w:hanging="851"/>
        <w:rPr>
          <w:sz w:val="24"/>
          <w:szCs w:val="24"/>
        </w:rPr>
      </w:pPr>
    </w:p>
    <w:p w:rsidR="008E4AD7" w:rsidRDefault="008E4AD7" w:rsidP="008E4AD7">
      <w:pPr>
        <w:ind w:left="851"/>
        <w:rPr>
          <w:sz w:val="24"/>
          <w:szCs w:val="24"/>
        </w:rPr>
      </w:pPr>
      <w:r>
        <w:rPr>
          <w:sz w:val="24"/>
          <w:szCs w:val="24"/>
        </w:rPr>
        <w:t xml:space="preserve">Kronisk misbrug af </w:t>
      </w:r>
      <w:proofErr w:type="spellStart"/>
      <w:r>
        <w:rPr>
          <w:sz w:val="24"/>
          <w:szCs w:val="24"/>
        </w:rPr>
        <w:t>methylphenidat</w:t>
      </w:r>
      <w:proofErr w:type="spellEnd"/>
      <w:r>
        <w:rPr>
          <w:sz w:val="24"/>
          <w:szCs w:val="24"/>
        </w:rPr>
        <w:t xml:space="preserve"> kan medføre udtalt tolerance og psykisk afhængighed med varierende grader af abnorm adfærd. Regulære psykotiske episoder kan forekomme, især som følge af parenteralt misbrug.</w:t>
      </w:r>
    </w:p>
    <w:p w:rsidR="008E4AD7" w:rsidRDefault="008E4AD7" w:rsidP="008E4AD7">
      <w:pPr>
        <w:ind w:left="851" w:hanging="851"/>
        <w:rPr>
          <w:sz w:val="24"/>
          <w:szCs w:val="24"/>
        </w:rPr>
      </w:pPr>
    </w:p>
    <w:p w:rsidR="008E4AD7" w:rsidRDefault="008E4AD7" w:rsidP="008E4AD7">
      <w:pPr>
        <w:ind w:left="851"/>
        <w:rPr>
          <w:sz w:val="24"/>
          <w:szCs w:val="24"/>
        </w:rPr>
      </w:pPr>
      <w:r>
        <w:rPr>
          <w:sz w:val="24"/>
          <w:szCs w:val="24"/>
        </w:rPr>
        <w:t xml:space="preserve">Når der skal vælges et behandlingsforløb for ADHD, bør man overveje både patientens alder og risikofaktorer for misbrugslidelser (såsom </w:t>
      </w:r>
      <w:proofErr w:type="spellStart"/>
      <w:r>
        <w:rPr>
          <w:sz w:val="24"/>
          <w:szCs w:val="24"/>
        </w:rPr>
        <w:t>komorbid</w:t>
      </w:r>
      <w:proofErr w:type="spellEnd"/>
      <w:r>
        <w:rPr>
          <w:sz w:val="24"/>
          <w:szCs w:val="24"/>
        </w:rPr>
        <w:t xml:space="preserve"> oppositionel adfærdsforstyrrelse, anden adfærdsforstyrrelse eller bipolar lidelse) og tidligere eller nuværende misbrug. Der bør udvises forsigtighed hos emotionelt ustabile patienter, som f.eks. patienter med stof-, medicin- eller alkoholafhængighed i anamnesen, da disse patienter kan øge dosis på eget initiativ.</w:t>
      </w:r>
    </w:p>
    <w:p w:rsidR="008E4AD7" w:rsidRDefault="008E4AD7" w:rsidP="008E4AD7">
      <w:pPr>
        <w:ind w:left="851" w:hanging="851"/>
        <w:rPr>
          <w:sz w:val="24"/>
          <w:szCs w:val="24"/>
        </w:rPr>
      </w:pPr>
    </w:p>
    <w:p w:rsidR="008E4AD7" w:rsidRDefault="008E4AD7" w:rsidP="008E4AD7">
      <w:pPr>
        <w:ind w:left="851"/>
        <w:rPr>
          <w:sz w:val="24"/>
          <w:szCs w:val="24"/>
        </w:rPr>
      </w:pPr>
      <w:proofErr w:type="spellStart"/>
      <w:r>
        <w:rPr>
          <w:sz w:val="24"/>
          <w:szCs w:val="24"/>
        </w:rPr>
        <w:t>Methylphenidat</w:t>
      </w:r>
      <w:proofErr w:type="spellEnd"/>
      <w:r>
        <w:rPr>
          <w:sz w:val="24"/>
          <w:szCs w:val="24"/>
        </w:rPr>
        <w:t xml:space="preserve"> eller andre stimulerende midler kan være uegnet til behandling af nogle patienter, som har høj risiko for stofmisbrug, og i så fald bør ikke-stimulerende behandling overvejes.</w:t>
      </w:r>
    </w:p>
    <w:p w:rsidR="00FA0296" w:rsidRDefault="00FA0296">
      <w:pPr>
        <w:rPr>
          <w:sz w:val="24"/>
          <w:szCs w:val="24"/>
        </w:rPr>
      </w:pPr>
      <w:r>
        <w:rPr>
          <w:sz w:val="24"/>
          <w:szCs w:val="24"/>
        </w:rPr>
        <w:br w:type="page"/>
      </w:r>
    </w:p>
    <w:p w:rsidR="008E4AD7" w:rsidRDefault="008E4AD7" w:rsidP="008E4AD7">
      <w:pPr>
        <w:ind w:left="851" w:hanging="851"/>
        <w:rPr>
          <w:sz w:val="24"/>
          <w:szCs w:val="24"/>
        </w:rPr>
      </w:pPr>
    </w:p>
    <w:p w:rsidR="008E4AD7" w:rsidRDefault="008E4AD7" w:rsidP="008E4AD7">
      <w:pPr>
        <w:ind w:left="851"/>
        <w:rPr>
          <w:sz w:val="24"/>
          <w:szCs w:val="24"/>
        </w:rPr>
      </w:pPr>
      <w:proofErr w:type="spellStart"/>
      <w:r>
        <w:rPr>
          <w:sz w:val="24"/>
          <w:szCs w:val="24"/>
          <w:u w:val="single" w:color="000000"/>
        </w:rPr>
        <w:t>Seponering</w:t>
      </w:r>
      <w:proofErr w:type="spellEnd"/>
    </w:p>
    <w:p w:rsidR="008E4AD7" w:rsidRDefault="008E4AD7" w:rsidP="008E4AD7">
      <w:pPr>
        <w:ind w:left="851"/>
        <w:rPr>
          <w:sz w:val="24"/>
          <w:szCs w:val="24"/>
        </w:rPr>
      </w:pPr>
      <w:r>
        <w:rPr>
          <w:sz w:val="24"/>
          <w:szCs w:val="24"/>
        </w:rPr>
        <w:t xml:space="preserve">Der kræves omhyggelig overvågning ved </w:t>
      </w:r>
      <w:proofErr w:type="spellStart"/>
      <w:r>
        <w:rPr>
          <w:sz w:val="24"/>
          <w:szCs w:val="24"/>
        </w:rPr>
        <w:t>seponering</w:t>
      </w:r>
      <w:proofErr w:type="spellEnd"/>
      <w:r>
        <w:rPr>
          <w:sz w:val="24"/>
          <w:szCs w:val="24"/>
        </w:rPr>
        <w:t xml:space="preserve"> af </w:t>
      </w:r>
      <w:proofErr w:type="spellStart"/>
      <w:r>
        <w:rPr>
          <w:sz w:val="24"/>
          <w:szCs w:val="24"/>
        </w:rPr>
        <w:t>methylphenidat</w:t>
      </w:r>
      <w:proofErr w:type="spellEnd"/>
      <w:r>
        <w:rPr>
          <w:sz w:val="24"/>
          <w:szCs w:val="24"/>
        </w:rPr>
        <w:t>, da dette både kan afsløre latent depression og kronisk hyperaktivitet. Nogle patienter har brug for langvarig opfølgning.</w:t>
      </w:r>
    </w:p>
    <w:p w:rsidR="008E4AD7" w:rsidRDefault="008E4AD7" w:rsidP="008E4AD7">
      <w:pPr>
        <w:ind w:left="851" w:hanging="851"/>
        <w:rPr>
          <w:sz w:val="24"/>
          <w:szCs w:val="24"/>
        </w:rPr>
      </w:pPr>
    </w:p>
    <w:p w:rsidR="008E4AD7" w:rsidRDefault="008E4AD7" w:rsidP="008E4AD7">
      <w:pPr>
        <w:ind w:left="851"/>
        <w:rPr>
          <w:sz w:val="24"/>
          <w:szCs w:val="24"/>
        </w:rPr>
      </w:pPr>
      <w:r>
        <w:rPr>
          <w:sz w:val="24"/>
          <w:szCs w:val="24"/>
        </w:rPr>
        <w:t xml:space="preserve">Der kræves omhyggelig kontrol under </w:t>
      </w:r>
      <w:proofErr w:type="spellStart"/>
      <w:r>
        <w:rPr>
          <w:sz w:val="24"/>
          <w:szCs w:val="24"/>
        </w:rPr>
        <w:t>seponering</w:t>
      </w:r>
      <w:proofErr w:type="spellEnd"/>
      <w:r>
        <w:rPr>
          <w:sz w:val="24"/>
          <w:szCs w:val="24"/>
        </w:rPr>
        <w:t xml:space="preserve"> efter misbrug, da der kan opstå svær depression.</w:t>
      </w:r>
    </w:p>
    <w:p w:rsidR="008E4AD7" w:rsidRDefault="008E4AD7" w:rsidP="008E4AD7">
      <w:pPr>
        <w:ind w:left="851" w:hanging="851"/>
        <w:rPr>
          <w:sz w:val="24"/>
          <w:szCs w:val="24"/>
        </w:rPr>
      </w:pPr>
    </w:p>
    <w:p w:rsidR="008E4AD7" w:rsidRDefault="008E4AD7" w:rsidP="008E4AD7">
      <w:pPr>
        <w:ind w:left="851"/>
        <w:rPr>
          <w:sz w:val="24"/>
          <w:szCs w:val="24"/>
        </w:rPr>
      </w:pPr>
      <w:r>
        <w:rPr>
          <w:sz w:val="24"/>
          <w:szCs w:val="24"/>
          <w:u w:val="single" w:color="000000"/>
        </w:rPr>
        <w:t>Træthed</w:t>
      </w:r>
    </w:p>
    <w:p w:rsidR="008E4AD7" w:rsidRDefault="008E4AD7" w:rsidP="008E4AD7">
      <w:pPr>
        <w:ind w:left="851"/>
        <w:rPr>
          <w:sz w:val="24"/>
          <w:szCs w:val="24"/>
        </w:rPr>
      </w:pPr>
      <w:proofErr w:type="spellStart"/>
      <w:r>
        <w:rPr>
          <w:sz w:val="24"/>
          <w:szCs w:val="24"/>
        </w:rPr>
        <w:t>Methylphenidat</w:t>
      </w:r>
      <w:proofErr w:type="spellEnd"/>
      <w:r>
        <w:rPr>
          <w:sz w:val="24"/>
          <w:szCs w:val="24"/>
        </w:rPr>
        <w:t xml:space="preserve"> bør ikke anvendes til forebyggelse eller behandling af normale træthedstilstande.</w:t>
      </w:r>
    </w:p>
    <w:p w:rsidR="008E4AD7" w:rsidRDefault="008E4AD7" w:rsidP="008E4AD7">
      <w:pPr>
        <w:ind w:left="851" w:hanging="851"/>
        <w:rPr>
          <w:sz w:val="24"/>
          <w:szCs w:val="24"/>
        </w:rPr>
      </w:pPr>
    </w:p>
    <w:p w:rsidR="008E4AD7" w:rsidRDefault="008E4AD7" w:rsidP="008E4AD7">
      <w:pPr>
        <w:ind w:left="851"/>
        <w:rPr>
          <w:sz w:val="24"/>
          <w:szCs w:val="24"/>
        </w:rPr>
      </w:pPr>
      <w:r>
        <w:rPr>
          <w:sz w:val="24"/>
          <w:szCs w:val="24"/>
          <w:u w:val="single" w:color="000000"/>
        </w:rPr>
        <w:t xml:space="preserve">Valg af </w:t>
      </w:r>
      <w:proofErr w:type="spellStart"/>
      <w:r>
        <w:rPr>
          <w:sz w:val="24"/>
          <w:szCs w:val="24"/>
          <w:u w:val="single" w:color="000000"/>
        </w:rPr>
        <w:t>methylphenidatformulering</w:t>
      </w:r>
      <w:proofErr w:type="spellEnd"/>
    </w:p>
    <w:p w:rsidR="008E4AD7" w:rsidRDefault="008E4AD7" w:rsidP="008E4AD7">
      <w:pPr>
        <w:ind w:left="851"/>
        <w:rPr>
          <w:sz w:val="24"/>
          <w:szCs w:val="24"/>
        </w:rPr>
      </w:pPr>
      <w:r>
        <w:rPr>
          <w:sz w:val="24"/>
          <w:szCs w:val="24"/>
        </w:rPr>
        <w:t xml:space="preserve">Når den behandlende specialist træffer beslutning om valg af formulering af det </w:t>
      </w:r>
      <w:proofErr w:type="spellStart"/>
      <w:r>
        <w:rPr>
          <w:sz w:val="24"/>
          <w:szCs w:val="24"/>
        </w:rPr>
        <w:t>methylphenidatholdige</w:t>
      </w:r>
      <w:proofErr w:type="spellEnd"/>
      <w:r>
        <w:rPr>
          <w:sz w:val="24"/>
          <w:szCs w:val="24"/>
        </w:rPr>
        <w:t xml:space="preserve"> lægemiddel, skal det ske på individuel basis og afhængigt af den ønskede virkningsvarighed.</w:t>
      </w:r>
    </w:p>
    <w:p w:rsidR="008E4AD7" w:rsidRDefault="008E4AD7" w:rsidP="008E4AD7">
      <w:pPr>
        <w:ind w:left="851" w:hanging="851"/>
        <w:rPr>
          <w:sz w:val="24"/>
          <w:szCs w:val="24"/>
        </w:rPr>
      </w:pPr>
    </w:p>
    <w:p w:rsidR="008E4AD7" w:rsidRDefault="008E4AD7" w:rsidP="008E4AD7">
      <w:pPr>
        <w:ind w:left="851"/>
        <w:rPr>
          <w:sz w:val="24"/>
          <w:szCs w:val="24"/>
        </w:rPr>
      </w:pPr>
      <w:r>
        <w:rPr>
          <w:sz w:val="24"/>
          <w:szCs w:val="24"/>
          <w:u w:val="single" w:color="000000"/>
        </w:rPr>
        <w:t>Narkotikascreening</w:t>
      </w:r>
    </w:p>
    <w:p w:rsidR="008E4AD7" w:rsidRDefault="008E4AD7" w:rsidP="008E4AD7">
      <w:pPr>
        <w:ind w:left="851"/>
        <w:rPr>
          <w:sz w:val="24"/>
          <w:szCs w:val="24"/>
        </w:rPr>
      </w:pPr>
      <w:r>
        <w:rPr>
          <w:sz w:val="24"/>
          <w:szCs w:val="24"/>
        </w:rPr>
        <w:t xml:space="preserve">Dette lægemiddel indeholder </w:t>
      </w:r>
      <w:proofErr w:type="spellStart"/>
      <w:r>
        <w:rPr>
          <w:sz w:val="24"/>
          <w:szCs w:val="24"/>
        </w:rPr>
        <w:t>methylphenidat</w:t>
      </w:r>
      <w:proofErr w:type="spellEnd"/>
      <w:r>
        <w:rPr>
          <w:sz w:val="24"/>
          <w:szCs w:val="24"/>
        </w:rPr>
        <w:t xml:space="preserve">, hvilket kan give udslag i falsk positiv laboratorietest for amfetamin, især ved </w:t>
      </w:r>
      <w:proofErr w:type="spellStart"/>
      <w:r>
        <w:rPr>
          <w:sz w:val="24"/>
          <w:szCs w:val="24"/>
        </w:rPr>
        <w:t>immunoassay</w:t>
      </w:r>
      <w:proofErr w:type="spellEnd"/>
      <w:r>
        <w:rPr>
          <w:sz w:val="24"/>
          <w:szCs w:val="24"/>
        </w:rPr>
        <w:t xml:space="preserve">-screeningstest. </w:t>
      </w:r>
    </w:p>
    <w:p w:rsidR="008E4AD7" w:rsidRDefault="008E4AD7" w:rsidP="008E4AD7">
      <w:pPr>
        <w:ind w:left="851"/>
        <w:rPr>
          <w:sz w:val="24"/>
          <w:szCs w:val="24"/>
          <w:u w:val="single" w:color="000000"/>
        </w:rPr>
      </w:pPr>
    </w:p>
    <w:p w:rsidR="008E4AD7" w:rsidRDefault="008E4AD7" w:rsidP="008E4AD7">
      <w:pPr>
        <w:ind w:left="851"/>
        <w:rPr>
          <w:sz w:val="24"/>
          <w:szCs w:val="24"/>
        </w:rPr>
      </w:pPr>
      <w:r>
        <w:rPr>
          <w:sz w:val="24"/>
          <w:szCs w:val="24"/>
          <w:u w:val="single" w:color="000000"/>
        </w:rPr>
        <w:t>Nyre- eller leverinsufficiens</w:t>
      </w:r>
    </w:p>
    <w:p w:rsidR="008E4AD7" w:rsidRDefault="008E4AD7" w:rsidP="008E4AD7">
      <w:pPr>
        <w:ind w:left="851"/>
        <w:rPr>
          <w:sz w:val="24"/>
          <w:szCs w:val="24"/>
        </w:rPr>
      </w:pPr>
      <w:r>
        <w:rPr>
          <w:sz w:val="24"/>
          <w:szCs w:val="24"/>
        </w:rPr>
        <w:t xml:space="preserve">Der er ingen erfaring med anvendelse af </w:t>
      </w:r>
      <w:proofErr w:type="spellStart"/>
      <w:r>
        <w:rPr>
          <w:sz w:val="24"/>
          <w:szCs w:val="24"/>
        </w:rPr>
        <w:t>methylphenidat</w:t>
      </w:r>
      <w:proofErr w:type="spellEnd"/>
      <w:r>
        <w:rPr>
          <w:sz w:val="24"/>
          <w:szCs w:val="24"/>
        </w:rPr>
        <w:t xml:space="preserve"> til patienter med nyre- eller leverinsufficiens.</w:t>
      </w:r>
    </w:p>
    <w:p w:rsidR="008E4AD7" w:rsidRDefault="008E4AD7" w:rsidP="008E4AD7">
      <w:pPr>
        <w:ind w:left="851" w:hanging="851"/>
        <w:rPr>
          <w:sz w:val="24"/>
          <w:szCs w:val="24"/>
        </w:rPr>
      </w:pPr>
    </w:p>
    <w:p w:rsidR="008E4AD7" w:rsidRDefault="008E4AD7" w:rsidP="008E4AD7">
      <w:pPr>
        <w:ind w:left="851"/>
        <w:rPr>
          <w:sz w:val="24"/>
          <w:szCs w:val="24"/>
        </w:rPr>
      </w:pPr>
      <w:r>
        <w:rPr>
          <w:sz w:val="24"/>
          <w:szCs w:val="24"/>
          <w:u w:val="single" w:color="000000"/>
        </w:rPr>
        <w:t>Hæmatologiske virkninger</w:t>
      </w:r>
    </w:p>
    <w:p w:rsidR="008E4AD7" w:rsidRDefault="008E4AD7" w:rsidP="008E4AD7">
      <w:pPr>
        <w:ind w:left="851"/>
        <w:rPr>
          <w:sz w:val="24"/>
          <w:szCs w:val="24"/>
        </w:rPr>
      </w:pPr>
      <w:r>
        <w:rPr>
          <w:sz w:val="24"/>
          <w:szCs w:val="24"/>
        </w:rPr>
        <w:t xml:space="preserve">Den langsigtede sikkerhed ved behandling med </w:t>
      </w:r>
      <w:proofErr w:type="spellStart"/>
      <w:r>
        <w:rPr>
          <w:sz w:val="24"/>
          <w:szCs w:val="24"/>
        </w:rPr>
        <w:t>methylphenidat</w:t>
      </w:r>
      <w:proofErr w:type="spellEnd"/>
      <w:r>
        <w:rPr>
          <w:sz w:val="24"/>
          <w:szCs w:val="24"/>
        </w:rPr>
        <w:t xml:space="preserve"> er ikke fuldstændig kendt. I tilfælde af </w:t>
      </w:r>
      <w:proofErr w:type="spellStart"/>
      <w:r>
        <w:rPr>
          <w:sz w:val="24"/>
          <w:szCs w:val="24"/>
        </w:rPr>
        <w:t>leukopeni</w:t>
      </w:r>
      <w:proofErr w:type="spellEnd"/>
      <w:r>
        <w:rPr>
          <w:sz w:val="24"/>
          <w:szCs w:val="24"/>
        </w:rPr>
        <w:t xml:space="preserve">, </w:t>
      </w:r>
      <w:proofErr w:type="spellStart"/>
      <w:r>
        <w:rPr>
          <w:sz w:val="24"/>
          <w:szCs w:val="24"/>
        </w:rPr>
        <w:t>trombocytopeni</w:t>
      </w:r>
      <w:proofErr w:type="spellEnd"/>
      <w:r>
        <w:rPr>
          <w:sz w:val="24"/>
          <w:szCs w:val="24"/>
        </w:rPr>
        <w:t xml:space="preserve">, anæmi eller andre forandringer, herunder tegn på alvorlig nyre- eller leversygdom, bør </w:t>
      </w:r>
      <w:proofErr w:type="spellStart"/>
      <w:r>
        <w:rPr>
          <w:sz w:val="24"/>
          <w:szCs w:val="24"/>
        </w:rPr>
        <w:t>seponering</w:t>
      </w:r>
      <w:proofErr w:type="spellEnd"/>
      <w:r>
        <w:rPr>
          <w:sz w:val="24"/>
          <w:szCs w:val="24"/>
        </w:rPr>
        <w:t xml:space="preserve"> af behandlingen overvejes</w:t>
      </w:r>
      <w:r w:rsidR="00FA0296">
        <w:rPr>
          <w:sz w:val="24"/>
          <w:szCs w:val="24"/>
        </w:rPr>
        <w:t xml:space="preserve"> </w:t>
      </w:r>
      <w:r w:rsidR="00FA0296" w:rsidRPr="00896D3B">
        <w:rPr>
          <w:sz w:val="24"/>
          <w:szCs w:val="24"/>
        </w:rPr>
        <w:t>(se pkt. 4.8)</w:t>
      </w:r>
      <w:r w:rsidR="00FA0296">
        <w:rPr>
          <w:sz w:val="24"/>
          <w:szCs w:val="24"/>
        </w:rPr>
        <w:t>.</w:t>
      </w:r>
    </w:p>
    <w:p w:rsidR="008E4AD7" w:rsidRDefault="008E4AD7" w:rsidP="008E4AD7">
      <w:pPr>
        <w:ind w:left="851" w:hanging="851"/>
        <w:rPr>
          <w:sz w:val="24"/>
          <w:szCs w:val="24"/>
        </w:rPr>
      </w:pPr>
    </w:p>
    <w:p w:rsidR="008E4AD7" w:rsidRDefault="00EF1492" w:rsidP="008E4AD7">
      <w:pPr>
        <w:ind w:left="851"/>
        <w:rPr>
          <w:sz w:val="24"/>
          <w:szCs w:val="24"/>
        </w:rPr>
      </w:pPr>
      <w:r>
        <w:rPr>
          <w:sz w:val="24"/>
          <w:szCs w:val="24"/>
          <w:u w:val="single"/>
        </w:rPr>
        <w:t>Administration</w:t>
      </w:r>
      <w:r>
        <w:rPr>
          <w:sz w:val="24"/>
          <w:szCs w:val="24"/>
        </w:rPr>
        <w:br/>
      </w:r>
      <w:r w:rsidR="008E4AD7">
        <w:rPr>
          <w:sz w:val="24"/>
          <w:szCs w:val="24"/>
        </w:rPr>
        <w:t xml:space="preserve">På grund af tablettens depotudformning bør </w:t>
      </w:r>
      <w:proofErr w:type="spellStart"/>
      <w:r w:rsidR="008E4AD7">
        <w:rPr>
          <w:sz w:val="24"/>
          <w:szCs w:val="24"/>
        </w:rPr>
        <w:t>Methylphenidate</w:t>
      </w:r>
      <w:proofErr w:type="spellEnd"/>
      <w:r w:rsidR="008E4AD7">
        <w:rPr>
          <w:sz w:val="24"/>
          <w:szCs w:val="24"/>
        </w:rPr>
        <w:t xml:space="preserve"> "</w:t>
      </w:r>
      <w:proofErr w:type="spellStart"/>
      <w:r w:rsidR="008E4AD7">
        <w:rPr>
          <w:sz w:val="24"/>
          <w:szCs w:val="24"/>
        </w:rPr>
        <w:t>Actavis</w:t>
      </w:r>
      <w:proofErr w:type="spellEnd"/>
      <w:r w:rsidR="008E4AD7">
        <w:rPr>
          <w:sz w:val="24"/>
          <w:szCs w:val="24"/>
        </w:rPr>
        <w:t xml:space="preserve">" kun anvendes til patienter, som er i stand til at synke tabletten hel. Patienterne bør oplyses om, at </w:t>
      </w:r>
      <w:proofErr w:type="spellStart"/>
      <w:r w:rsidR="008E4AD7">
        <w:rPr>
          <w:sz w:val="24"/>
          <w:szCs w:val="24"/>
        </w:rPr>
        <w:t>Methylphenidate</w:t>
      </w:r>
      <w:proofErr w:type="spellEnd"/>
      <w:r w:rsidR="008E4AD7">
        <w:rPr>
          <w:sz w:val="24"/>
          <w:szCs w:val="24"/>
        </w:rPr>
        <w:t xml:space="preserve"> "</w:t>
      </w:r>
      <w:proofErr w:type="spellStart"/>
      <w:r w:rsidR="008E4AD7">
        <w:rPr>
          <w:sz w:val="24"/>
          <w:szCs w:val="24"/>
        </w:rPr>
        <w:t>Actavis</w:t>
      </w:r>
      <w:proofErr w:type="spellEnd"/>
      <w:r w:rsidR="008E4AD7">
        <w:rPr>
          <w:sz w:val="24"/>
          <w:szCs w:val="24"/>
        </w:rPr>
        <w:t xml:space="preserve">" skal synkes hel sammen med væske. Tabletterne må ikke tygges, deles eller knuses. </w:t>
      </w:r>
    </w:p>
    <w:p w:rsidR="00A46903" w:rsidRDefault="00A46903" w:rsidP="00A46903">
      <w:pPr>
        <w:rPr>
          <w:sz w:val="24"/>
          <w:szCs w:val="24"/>
        </w:rPr>
      </w:pPr>
    </w:p>
    <w:p w:rsidR="00A46903" w:rsidRDefault="00A46903" w:rsidP="00A46903">
      <w:pPr>
        <w:ind w:left="851"/>
        <w:rPr>
          <w:sz w:val="24"/>
          <w:szCs w:val="24"/>
        </w:rPr>
      </w:pPr>
      <w:r>
        <w:rPr>
          <w:sz w:val="24"/>
          <w:szCs w:val="24"/>
          <w:u w:val="single" w:color="000000"/>
        </w:rPr>
        <w:t>Hjælpestof</w:t>
      </w:r>
    </w:p>
    <w:p w:rsidR="00A46903" w:rsidRPr="005D0B90" w:rsidRDefault="00A46903" w:rsidP="00A46903">
      <w:pPr>
        <w:ind w:left="851"/>
        <w:rPr>
          <w:i/>
          <w:sz w:val="24"/>
          <w:szCs w:val="24"/>
        </w:rPr>
      </w:pPr>
      <w:proofErr w:type="spellStart"/>
      <w:r w:rsidRPr="005D0B90">
        <w:rPr>
          <w:i/>
          <w:sz w:val="24"/>
          <w:szCs w:val="24"/>
        </w:rPr>
        <w:t>Lactose</w:t>
      </w:r>
      <w:proofErr w:type="spellEnd"/>
    </w:p>
    <w:p w:rsidR="00A46903" w:rsidRDefault="00A46903" w:rsidP="00A46903">
      <w:pPr>
        <w:ind w:left="851"/>
        <w:rPr>
          <w:sz w:val="24"/>
          <w:szCs w:val="24"/>
        </w:rPr>
      </w:pPr>
      <w:r>
        <w:rPr>
          <w:sz w:val="24"/>
          <w:szCs w:val="24"/>
        </w:rPr>
        <w:t xml:space="preserve">Patienter med de sjældne arvelige tilstande </w:t>
      </w:r>
      <w:proofErr w:type="spellStart"/>
      <w:r>
        <w:rPr>
          <w:sz w:val="24"/>
          <w:szCs w:val="24"/>
        </w:rPr>
        <w:t>galactoseintolerans</w:t>
      </w:r>
      <w:proofErr w:type="spellEnd"/>
      <w:r>
        <w:rPr>
          <w:sz w:val="24"/>
          <w:szCs w:val="24"/>
        </w:rPr>
        <w:t>, total-</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-/galaktose-</w:t>
      </w:r>
      <w:proofErr w:type="spellStart"/>
      <w:r>
        <w:rPr>
          <w:sz w:val="24"/>
          <w:szCs w:val="24"/>
        </w:rPr>
        <w:t>malabsorption</w:t>
      </w:r>
      <w:proofErr w:type="spellEnd"/>
      <w:r>
        <w:rPr>
          <w:sz w:val="24"/>
          <w:szCs w:val="24"/>
        </w:rPr>
        <w:t xml:space="preserve"> bør ikke tage dette lægemiddel.</w:t>
      </w:r>
    </w:p>
    <w:p w:rsidR="008E4AD7" w:rsidRPr="00BF3CBC" w:rsidRDefault="008E4AD7" w:rsidP="008E4AD7">
      <w:pPr>
        <w:tabs>
          <w:tab w:val="left" w:pos="851"/>
        </w:tabs>
        <w:ind w:left="851" w:hanging="851"/>
        <w:rPr>
          <w:sz w:val="24"/>
          <w:szCs w:val="24"/>
        </w:rPr>
      </w:pPr>
    </w:p>
    <w:p w:rsidR="00657134" w:rsidRPr="00C84483" w:rsidRDefault="00657134" w:rsidP="00657134">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657134" w:rsidRDefault="00657134" w:rsidP="008E4AD7">
      <w:pPr>
        <w:ind w:left="851"/>
        <w:rPr>
          <w:sz w:val="24"/>
          <w:szCs w:val="24"/>
          <w:u w:val="single" w:color="000000"/>
        </w:rPr>
      </w:pPr>
    </w:p>
    <w:p w:rsidR="008E4AD7" w:rsidRPr="00BF3CBC" w:rsidRDefault="008E4AD7" w:rsidP="008E4AD7">
      <w:pPr>
        <w:ind w:left="851"/>
        <w:rPr>
          <w:sz w:val="24"/>
          <w:szCs w:val="24"/>
        </w:rPr>
      </w:pPr>
      <w:proofErr w:type="spellStart"/>
      <w:r w:rsidRPr="00BF3CBC">
        <w:rPr>
          <w:sz w:val="24"/>
          <w:szCs w:val="24"/>
          <w:u w:val="single" w:color="000000"/>
        </w:rPr>
        <w:t>Farmakokinetisk</w:t>
      </w:r>
      <w:proofErr w:type="spellEnd"/>
      <w:r w:rsidRPr="00BF3CBC">
        <w:rPr>
          <w:sz w:val="24"/>
          <w:szCs w:val="24"/>
          <w:u w:val="single" w:color="000000"/>
        </w:rPr>
        <w:t xml:space="preserve"> interaktion</w:t>
      </w:r>
    </w:p>
    <w:p w:rsidR="008E4AD7" w:rsidRPr="00BF3CBC" w:rsidRDefault="008E4AD7" w:rsidP="008E4AD7">
      <w:pPr>
        <w:ind w:left="851"/>
        <w:rPr>
          <w:sz w:val="24"/>
          <w:szCs w:val="24"/>
        </w:rPr>
      </w:pPr>
      <w:r w:rsidRPr="00BF3CBC">
        <w:rPr>
          <w:sz w:val="24"/>
          <w:szCs w:val="24"/>
        </w:rPr>
        <w:t xml:space="preserve">Det er ukendt, hvorvidt </w:t>
      </w:r>
      <w:proofErr w:type="spellStart"/>
      <w:r w:rsidRPr="00BF3CBC">
        <w:rPr>
          <w:sz w:val="24"/>
          <w:szCs w:val="24"/>
        </w:rPr>
        <w:t>methylphenidat</w:t>
      </w:r>
      <w:proofErr w:type="spellEnd"/>
      <w:r w:rsidRPr="00BF3CBC">
        <w:rPr>
          <w:sz w:val="24"/>
          <w:szCs w:val="24"/>
        </w:rPr>
        <w:t xml:space="preserve"> kan påvirke plasmakoncentrationen af samtidigt administrerede lægemidler. Forsigtighed anbefales derfor ved samtidig administration af </w:t>
      </w:r>
      <w:proofErr w:type="spellStart"/>
      <w:r w:rsidRPr="00BF3CBC">
        <w:rPr>
          <w:sz w:val="24"/>
          <w:szCs w:val="24"/>
        </w:rPr>
        <w:t>methylphenidat</w:t>
      </w:r>
      <w:proofErr w:type="spellEnd"/>
      <w:r w:rsidRPr="00BF3CBC">
        <w:rPr>
          <w:sz w:val="24"/>
          <w:szCs w:val="24"/>
        </w:rPr>
        <w:t xml:space="preserve"> og andre lægemidler, især lægemidler med et smalt terapeutisk indeks.</w:t>
      </w:r>
    </w:p>
    <w:p w:rsidR="008E4AD7" w:rsidRPr="00BF3CBC" w:rsidRDefault="008E4AD7" w:rsidP="008E4AD7">
      <w:pPr>
        <w:ind w:left="851" w:hanging="851"/>
        <w:rPr>
          <w:sz w:val="24"/>
          <w:szCs w:val="24"/>
        </w:rPr>
      </w:pPr>
    </w:p>
    <w:p w:rsidR="008E4AD7" w:rsidRPr="00BF3CBC" w:rsidRDefault="008E4AD7" w:rsidP="008E4AD7">
      <w:pPr>
        <w:ind w:left="851"/>
        <w:rPr>
          <w:sz w:val="24"/>
          <w:szCs w:val="24"/>
        </w:rPr>
      </w:pPr>
      <w:proofErr w:type="spellStart"/>
      <w:r w:rsidRPr="00BF3CBC">
        <w:rPr>
          <w:sz w:val="24"/>
          <w:szCs w:val="24"/>
        </w:rPr>
        <w:t>Methylphenidat</w:t>
      </w:r>
      <w:proofErr w:type="spellEnd"/>
      <w:r w:rsidRPr="00BF3CBC">
        <w:rPr>
          <w:sz w:val="24"/>
          <w:szCs w:val="24"/>
        </w:rPr>
        <w:t xml:space="preserve"> </w:t>
      </w:r>
      <w:proofErr w:type="spellStart"/>
      <w:r w:rsidRPr="00BF3CBC">
        <w:rPr>
          <w:sz w:val="24"/>
          <w:szCs w:val="24"/>
        </w:rPr>
        <w:t>metaboliseres</w:t>
      </w:r>
      <w:proofErr w:type="spellEnd"/>
      <w:r w:rsidRPr="00BF3CBC">
        <w:rPr>
          <w:sz w:val="24"/>
          <w:szCs w:val="24"/>
        </w:rPr>
        <w:t xml:space="preserve"> ikke i klinisk relevant grad af </w:t>
      </w:r>
      <w:proofErr w:type="spellStart"/>
      <w:r w:rsidRPr="00BF3CBC">
        <w:rPr>
          <w:sz w:val="24"/>
          <w:szCs w:val="24"/>
        </w:rPr>
        <w:t>cytokrom</w:t>
      </w:r>
      <w:proofErr w:type="spellEnd"/>
      <w:r w:rsidRPr="00BF3CBC">
        <w:rPr>
          <w:sz w:val="24"/>
          <w:szCs w:val="24"/>
        </w:rPr>
        <w:t xml:space="preserve"> P450. Stoffer, der inducerer eller hæmmer </w:t>
      </w:r>
      <w:proofErr w:type="spellStart"/>
      <w:r w:rsidRPr="00BF3CBC">
        <w:rPr>
          <w:sz w:val="24"/>
          <w:szCs w:val="24"/>
        </w:rPr>
        <w:t>cytokrom</w:t>
      </w:r>
      <w:proofErr w:type="spellEnd"/>
      <w:r w:rsidRPr="00BF3CBC">
        <w:rPr>
          <w:sz w:val="24"/>
          <w:szCs w:val="24"/>
        </w:rPr>
        <w:t xml:space="preserve"> P450, forventes ikke at have nogen relevant indflydelse på </w:t>
      </w:r>
      <w:proofErr w:type="spellStart"/>
      <w:r w:rsidRPr="00BF3CBC">
        <w:rPr>
          <w:sz w:val="24"/>
          <w:szCs w:val="24"/>
        </w:rPr>
        <w:t>methylphenidats</w:t>
      </w:r>
      <w:proofErr w:type="spellEnd"/>
      <w:r w:rsidRPr="00BF3CBC">
        <w:rPr>
          <w:sz w:val="24"/>
          <w:szCs w:val="24"/>
        </w:rPr>
        <w:t xml:space="preserve"> farmakokinetik. Omvendt hæmmer D- og L-</w:t>
      </w:r>
      <w:proofErr w:type="spellStart"/>
      <w:r w:rsidRPr="00BF3CBC">
        <w:rPr>
          <w:sz w:val="24"/>
          <w:szCs w:val="24"/>
        </w:rPr>
        <w:t>enantiomerene</w:t>
      </w:r>
      <w:proofErr w:type="spellEnd"/>
      <w:r w:rsidRPr="00BF3CBC">
        <w:rPr>
          <w:sz w:val="24"/>
          <w:szCs w:val="24"/>
        </w:rPr>
        <w:t xml:space="preserve"> af </w:t>
      </w:r>
      <w:proofErr w:type="spellStart"/>
      <w:r w:rsidRPr="00BF3CBC">
        <w:rPr>
          <w:sz w:val="24"/>
          <w:szCs w:val="24"/>
        </w:rPr>
        <w:t>methylphenidat</w:t>
      </w:r>
      <w:proofErr w:type="spellEnd"/>
      <w:r w:rsidRPr="00BF3CBC">
        <w:rPr>
          <w:sz w:val="24"/>
          <w:szCs w:val="24"/>
        </w:rPr>
        <w:t xml:space="preserve"> ikke </w:t>
      </w:r>
      <w:proofErr w:type="spellStart"/>
      <w:r w:rsidRPr="00BF3CBC">
        <w:rPr>
          <w:sz w:val="24"/>
          <w:szCs w:val="24"/>
        </w:rPr>
        <w:t>cytochrom</w:t>
      </w:r>
      <w:proofErr w:type="spellEnd"/>
      <w:r w:rsidRPr="00BF3CBC">
        <w:rPr>
          <w:sz w:val="24"/>
          <w:szCs w:val="24"/>
        </w:rPr>
        <w:t xml:space="preserve"> P450 1A2, 2C8, 2C9, 2C19, 2D6, 2E1 eller 3A i relevant grad.</w:t>
      </w:r>
    </w:p>
    <w:p w:rsidR="008E4AD7" w:rsidRPr="00BF3CBC" w:rsidRDefault="008E4AD7" w:rsidP="008E4AD7">
      <w:pPr>
        <w:ind w:left="851" w:hanging="851"/>
        <w:rPr>
          <w:sz w:val="24"/>
          <w:szCs w:val="24"/>
        </w:rPr>
      </w:pPr>
    </w:p>
    <w:p w:rsidR="008E4AD7" w:rsidRDefault="008E4AD7" w:rsidP="008E4AD7">
      <w:pPr>
        <w:ind w:left="851"/>
        <w:rPr>
          <w:sz w:val="24"/>
          <w:szCs w:val="24"/>
        </w:rPr>
      </w:pPr>
      <w:r w:rsidRPr="00BF3CBC">
        <w:rPr>
          <w:sz w:val="24"/>
          <w:szCs w:val="24"/>
        </w:rPr>
        <w:t xml:space="preserve">Der er dog beskrevet tilfælde, der peger på, at </w:t>
      </w:r>
      <w:proofErr w:type="spellStart"/>
      <w:r w:rsidRPr="00BF3CBC">
        <w:rPr>
          <w:sz w:val="24"/>
          <w:szCs w:val="24"/>
        </w:rPr>
        <w:t>methylphenidat</w:t>
      </w:r>
      <w:proofErr w:type="spellEnd"/>
      <w:r w:rsidRPr="00BF3CBC">
        <w:rPr>
          <w:sz w:val="24"/>
          <w:szCs w:val="24"/>
        </w:rPr>
        <w:t xml:space="preserve"> kan hæmme metabolismen af </w:t>
      </w:r>
      <w:proofErr w:type="spellStart"/>
      <w:r w:rsidRPr="00BF3CBC">
        <w:rPr>
          <w:sz w:val="24"/>
          <w:szCs w:val="24"/>
        </w:rPr>
        <w:t>kumarin-antikoagulanter</w:t>
      </w:r>
      <w:proofErr w:type="spellEnd"/>
      <w:r w:rsidRPr="00BF3CBC">
        <w:rPr>
          <w:sz w:val="24"/>
          <w:szCs w:val="24"/>
        </w:rPr>
        <w:t xml:space="preserve">, </w:t>
      </w:r>
      <w:proofErr w:type="spellStart"/>
      <w:r w:rsidRPr="00BF3CBC">
        <w:rPr>
          <w:sz w:val="24"/>
          <w:szCs w:val="24"/>
        </w:rPr>
        <w:t>antikonvulsiva</w:t>
      </w:r>
      <w:proofErr w:type="spellEnd"/>
      <w:r w:rsidRPr="00BF3CBC">
        <w:rPr>
          <w:sz w:val="24"/>
          <w:szCs w:val="24"/>
        </w:rPr>
        <w:t xml:space="preserve"> (f.eks. </w:t>
      </w:r>
      <w:proofErr w:type="spellStart"/>
      <w:r w:rsidRPr="00BF3CBC">
        <w:rPr>
          <w:sz w:val="24"/>
          <w:szCs w:val="24"/>
        </w:rPr>
        <w:t>phenobarbital</w:t>
      </w:r>
      <w:proofErr w:type="spellEnd"/>
      <w:r w:rsidRPr="00BF3CBC">
        <w:rPr>
          <w:sz w:val="24"/>
          <w:szCs w:val="24"/>
        </w:rPr>
        <w:t xml:space="preserve">, </w:t>
      </w:r>
      <w:proofErr w:type="spellStart"/>
      <w:r w:rsidRPr="00BF3CBC">
        <w:rPr>
          <w:sz w:val="24"/>
          <w:szCs w:val="24"/>
        </w:rPr>
        <w:t>phenytoin</w:t>
      </w:r>
      <w:proofErr w:type="spellEnd"/>
      <w:r w:rsidRPr="00BF3CBC">
        <w:rPr>
          <w:sz w:val="24"/>
          <w:szCs w:val="24"/>
        </w:rPr>
        <w:t xml:space="preserve">, </w:t>
      </w:r>
      <w:proofErr w:type="spellStart"/>
      <w:r w:rsidRPr="00BF3CBC">
        <w:rPr>
          <w:sz w:val="24"/>
          <w:szCs w:val="24"/>
        </w:rPr>
        <w:t>primidon</w:t>
      </w:r>
      <w:proofErr w:type="spellEnd"/>
      <w:r w:rsidRPr="00BF3CBC">
        <w:rPr>
          <w:sz w:val="24"/>
          <w:szCs w:val="24"/>
        </w:rPr>
        <w:t xml:space="preserve">), og nogle </w:t>
      </w:r>
      <w:proofErr w:type="spellStart"/>
      <w:r w:rsidRPr="00BF3CBC">
        <w:rPr>
          <w:sz w:val="24"/>
          <w:szCs w:val="24"/>
        </w:rPr>
        <w:t>antidepressiva</w:t>
      </w:r>
      <w:proofErr w:type="spellEnd"/>
      <w:r w:rsidRPr="00BF3CBC">
        <w:rPr>
          <w:sz w:val="24"/>
          <w:szCs w:val="24"/>
        </w:rPr>
        <w:t xml:space="preserve"> (tricykliske </w:t>
      </w:r>
      <w:proofErr w:type="spellStart"/>
      <w:r w:rsidRPr="00BF3CBC">
        <w:rPr>
          <w:sz w:val="24"/>
          <w:szCs w:val="24"/>
        </w:rPr>
        <w:t>antidepressiva</w:t>
      </w:r>
      <w:proofErr w:type="spellEnd"/>
      <w:r w:rsidRPr="00BF3CBC">
        <w:rPr>
          <w:sz w:val="24"/>
          <w:szCs w:val="24"/>
        </w:rPr>
        <w:t xml:space="preserve"> og selektive </w:t>
      </w:r>
      <w:proofErr w:type="spellStart"/>
      <w:r w:rsidRPr="00BF3CBC">
        <w:rPr>
          <w:sz w:val="24"/>
          <w:szCs w:val="24"/>
        </w:rPr>
        <w:t>serotoninoptagelses</w:t>
      </w:r>
      <w:r w:rsidR="00DD68A2">
        <w:rPr>
          <w:sz w:val="24"/>
          <w:szCs w:val="24"/>
        </w:rPr>
        <w:softHyphen/>
      </w:r>
      <w:r w:rsidRPr="00BF3CBC">
        <w:rPr>
          <w:sz w:val="24"/>
          <w:szCs w:val="24"/>
        </w:rPr>
        <w:t>hæmmere</w:t>
      </w:r>
      <w:proofErr w:type="spellEnd"/>
      <w:r w:rsidRPr="00BF3CBC">
        <w:rPr>
          <w:sz w:val="24"/>
          <w:szCs w:val="24"/>
        </w:rPr>
        <w:t xml:space="preserve">). Når </w:t>
      </w:r>
      <w:proofErr w:type="spellStart"/>
      <w:r w:rsidRPr="00BF3CBC">
        <w:rPr>
          <w:sz w:val="24"/>
          <w:szCs w:val="24"/>
        </w:rPr>
        <w:t>methylphenidatbehandling</w:t>
      </w:r>
      <w:proofErr w:type="spellEnd"/>
      <w:r w:rsidRPr="00BF3CBC">
        <w:rPr>
          <w:sz w:val="24"/>
          <w:szCs w:val="24"/>
        </w:rPr>
        <w:t xml:space="preserve"> indledes eller seponeres, kan det være nødvendigt at justere dosis af de øvrige lægemidler og kontrollere plasmakoncentrationen (eller for </w:t>
      </w:r>
      <w:proofErr w:type="spellStart"/>
      <w:r w:rsidRPr="00BF3CBC">
        <w:rPr>
          <w:sz w:val="24"/>
          <w:szCs w:val="24"/>
        </w:rPr>
        <w:t>kumarin</w:t>
      </w:r>
      <w:proofErr w:type="spellEnd"/>
      <w:r w:rsidRPr="00BF3CBC">
        <w:rPr>
          <w:sz w:val="24"/>
          <w:szCs w:val="24"/>
        </w:rPr>
        <w:t>, koagulationstiden).</w:t>
      </w:r>
      <w:r>
        <w:rPr>
          <w:sz w:val="24"/>
          <w:szCs w:val="24"/>
        </w:rPr>
        <w:t xml:space="preserve"> </w:t>
      </w:r>
    </w:p>
    <w:p w:rsidR="008E4AD7" w:rsidRDefault="008E4AD7" w:rsidP="008E4AD7">
      <w:pPr>
        <w:ind w:left="851"/>
        <w:rPr>
          <w:sz w:val="24"/>
          <w:szCs w:val="24"/>
          <w:u w:val="single" w:color="000000"/>
        </w:rPr>
      </w:pPr>
    </w:p>
    <w:p w:rsidR="008E4AD7" w:rsidRPr="00BF3CBC" w:rsidRDefault="008E4AD7" w:rsidP="008E4AD7">
      <w:pPr>
        <w:ind w:left="851"/>
        <w:rPr>
          <w:sz w:val="24"/>
          <w:szCs w:val="24"/>
        </w:rPr>
      </w:pPr>
      <w:proofErr w:type="spellStart"/>
      <w:r w:rsidRPr="00BF3CBC">
        <w:rPr>
          <w:sz w:val="24"/>
          <w:szCs w:val="24"/>
          <w:u w:val="single" w:color="000000"/>
        </w:rPr>
        <w:t>Farmakodynamiske</w:t>
      </w:r>
      <w:proofErr w:type="spellEnd"/>
      <w:r w:rsidRPr="00BF3CBC">
        <w:rPr>
          <w:sz w:val="24"/>
          <w:szCs w:val="24"/>
          <w:u w:val="single" w:color="000000"/>
        </w:rPr>
        <w:t xml:space="preserve"> interaktioner</w:t>
      </w:r>
    </w:p>
    <w:p w:rsidR="008E4AD7" w:rsidRPr="00BF3CBC" w:rsidRDefault="008E4AD7" w:rsidP="008E4AD7">
      <w:pPr>
        <w:ind w:left="851"/>
        <w:rPr>
          <w:i/>
          <w:iCs/>
          <w:sz w:val="24"/>
          <w:szCs w:val="24"/>
        </w:rPr>
      </w:pPr>
      <w:proofErr w:type="spellStart"/>
      <w:r w:rsidRPr="00BF3CBC">
        <w:rPr>
          <w:i/>
          <w:iCs/>
          <w:sz w:val="24"/>
          <w:szCs w:val="24"/>
        </w:rPr>
        <w:t>Antihypertensive</w:t>
      </w:r>
      <w:proofErr w:type="spellEnd"/>
      <w:r w:rsidRPr="00BF3CBC">
        <w:rPr>
          <w:i/>
          <w:iCs/>
          <w:sz w:val="24"/>
          <w:szCs w:val="24"/>
        </w:rPr>
        <w:t xml:space="preserve"> lægemidler</w:t>
      </w:r>
    </w:p>
    <w:p w:rsidR="008E4AD7" w:rsidRPr="00BF3CBC" w:rsidRDefault="008E4AD7" w:rsidP="008E4AD7">
      <w:pPr>
        <w:ind w:left="851"/>
        <w:rPr>
          <w:sz w:val="24"/>
          <w:szCs w:val="24"/>
        </w:rPr>
      </w:pPr>
      <w:proofErr w:type="spellStart"/>
      <w:r w:rsidRPr="00BF3CBC">
        <w:rPr>
          <w:sz w:val="24"/>
          <w:szCs w:val="24"/>
        </w:rPr>
        <w:t>Methylphenidat</w:t>
      </w:r>
      <w:proofErr w:type="spellEnd"/>
      <w:r w:rsidRPr="00BF3CBC">
        <w:rPr>
          <w:sz w:val="24"/>
          <w:szCs w:val="24"/>
        </w:rPr>
        <w:t xml:space="preserve"> kan nedsætte virkningen af lægemidler, som anvendes til behandling af hypertension.</w:t>
      </w:r>
    </w:p>
    <w:p w:rsidR="008E4AD7" w:rsidRPr="00BF3CBC" w:rsidRDefault="008E4AD7" w:rsidP="008E4AD7">
      <w:pPr>
        <w:ind w:left="851" w:hanging="851"/>
        <w:rPr>
          <w:sz w:val="24"/>
          <w:szCs w:val="24"/>
        </w:rPr>
      </w:pPr>
    </w:p>
    <w:p w:rsidR="008E4AD7" w:rsidRPr="00E90286" w:rsidRDefault="008E4AD7" w:rsidP="00E90286">
      <w:pPr>
        <w:ind w:left="851"/>
        <w:rPr>
          <w:i/>
          <w:sz w:val="24"/>
          <w:szCs w:val="24"/>
        </w:rPr>
      </w:pPr>
      <w:r w:rsidRPr="00E90286">
        <w:rPr>
          <w:i/>
          <w:sz w:val="24"/>
          <w:szCs w:val="24"/>
        </w:rPr>
        <w:t>Anvendelse sammen med lægemidler, der øger blodtrykket</w:t>
      </w:r>
    </w:p>
    <w:p w:rsidR="008E4AD7" w:rsidRPr="00BF3CBC" w:rsidRDefault="008E4AD7" w:rsidP="008E4AD7">
      <w:pPr>
        <w:ind w:left="851"/>
        <w:rPr>
          <w:sz w:val="24"/>
          <w:szCs w:val="24"/>
        </w:rPr>
      </w:pPr>
      <w:r w:rsidRPr="00BF3CBC">
        <w:rPr>
          <w:sz w:val="24"/>
          <w:szCs w:val="24"/>
        </w:rPr>
        <w:t xml:space="preserve">Der tilrådes forsigtighed hos patienter, som bliver behandlet med </w:t>
      </w:r>
      <w:proofErr w:type="spellStart"/>
      <w:r w:rsidRPr="00BF3CBC">
        <w:rPr>
          <w:sz w:val="24"/>
          <w:szCs w:val="24"/>
        </w:rPr>
        <w:t>methylphenidat</w:t>
      </w:r>
      <w:proofErr w:type="spellEnd"/>
      <w:r w:rsidRPr="00BF3CBC">
        <w:rPr>
          <w:sz w:val="24"/>
          <w:szCs w:val="24"/>
        </w:rPr>
        <w:t xml:space="preserve"> samtidig med ethvert andet lægemiddel, der også kan øge blodtrykket (se også afsnittene om </w:t>
      </w:r>
      <w:proofErr w:type="spellStart"/>
      <w:r w:rsidRPr="00BF3CBC">
        <w:rPr>
          <w:sz w:val="24"/>
          <w:szCs w:val="24"/>
        </w:rPr>
        <w:t>kardiovaskulære</w:t>
      </w:r>
      <w:proofErr w:type="spellEnd"/>
      <w:r w:rsidRPr="00BF3CBC">
        <w:rPr>
          <w:sz w:val="24"/>
          <w:szCs w:val="24"/>
        </w:rPr>
        <w:t xml:space="preserve"> og </w:t>
      </w:r>
      <w:proofErr w:type="spellStart"/>
      <w:r w:rsidRPr="00BF3CBC">
        <w:rPr>
          <w:sz w:val="24"/>
          <w:szCs w:val="24"/>
        </w:rPr>
        <w:t>cerebrovaskulære</w:t>
      </w:r>
      <w:proofErr w:type="spellEnd"/>
      <w:r w:rsidRPr="00BF3CBC">
        <w:rPr>
          <w:sz w:val="24"/>
          <w:szCs w:val="24"/>
        </w:rPr>
        <w:t xml:space="preserve"> lidelser i </w:t>
      </w:r>
      <w:r>
        <w:rPr>
          <w:sz w:val="24"/>
          <w:szCs w:val="24"/>
        </w:rPr>
        <w:t>pkt.</w:t>
      </w:r>
      <w:r w:rsidRPr="00BF3CBC">
        <w:rPr>
          <w:sz w:val="24"/>
          <w:szCs w:val="24"/>
        </w:rPr>
        <w:t xml:space="preserve"> 4.4).</w:t>
      </w:r>
    </w:p>
    <w:p w:rsidR="008E4AD7" w:rsidRPr="00BF3CBC" w:rsidRDefault="008E4AD7" w:rsidP="008E4AD7">
      <w:pPr>
        <w:ind w:left="851" w:hanging="851"/>
        <w:rPr>
          <w:sz w:val="24"/>
          <w:szCs w:val="24"/>
        </w:rPr>
      </w:pPr>
    </w:p>
    <w:p w:rsidR="008E4AD7" w:rsidRPr="00BF3CBC" w:rsidRDefault="008E4AD7" w:rsidP="008E4AD7">
      <w:pPr>
        <w:ind w:left="851"/>
        <w:rPr>
          <w:sz w:val="24"/>
          <w:szCs w:val="24"/>
        </w:rPr>
      </w:pPr>
      <w:r w:rsidRPr="00BF3CBC">
        <w:rPr>
          <w:sz w:val="24"/>
          <w:szCs w:val="24"/>
        </w:rPr>
        <w:t xml:space="preserve">På grund af risikoen for </w:t>
      </w:r>
      <w:proofErr w:type="spellStart"/>
      <w:r w:rsidRPr="00BF3CBC">
        <w:rPr>
          <w:sz w:val="24"/>
          <w:szCs w:val="24"/>
        </w:rPr>
        <w:t>hypertensiv</w:t>
      </w:r>
      <w:proofErr w:type="spellEnd"/>
      <w:r w:rsidRPr="00BF3CBC">
        <w:rPr>
          <w:sz w:val="24"/>
          <w:szCs w:val="24"/>
        </w:rPr>
        <w:t xml:space="preserve"> krise er </w:t>
      </w:r>
      <w:proofErr w:type="spellStart"/>
      <w:r w:rsidRPr="00BF3CBC">
        <w:rPr>
          <w:sz w:val="24"/>
          <w:szCs w:val="24"/>
        </w:rPr>
        <w:t>methylphenidat</w:t>
      </w:r>
      <w:proofErr w:type="spellEnd"/>
      <w:r w:rsidRPr="00BF3CBC">
        <w:rPr>
          <w:sz w:val="24"/>
          <w:szCs w:val="24"/>
        </w:rPr>
        <w:t xml:space="preserve"> kontraindiceret til patienter, der (aktuelt eller inden for de sidste 2 uger) behandles med ikke-selektive, irreversible MAO-</w:t>
      </w:r>
      <w:proofErr w:type="spellStart"/>
      <w:r w:rsidRPr="00BF3CBC">
        <w:rPr>
          <w:sz w:val="24"/>
          <w:szCs w:val="24"/>
        </w:rPr>
        <w:t>hæmmere</w:t>
      </w:r>
      <w:proofErr w:type="spellEnd"/>
      <w:r w:rsidRPr="00BF3CBC">
        <w:rPr>
          <w:sz w:val="24"/>
          <w:szCs w:val="24"/>
        </w:rPr>
        <w:t xml:space="preserve"> (se </w:t>
      </w:r>
      <w:r>
        <w:rPr>
          <w:sz w:val="24"/>
          <w:szCs w:val="24"/>
        </w:rPr>
        <w:t>pkt.</w:t>
      </w:r>
      <w:r w:rsidRPr="00BF3CBC">
        <w:rPr>
          <w:sz w:val="24"/>
          <w:szCs w:val="24"/>
        </w:rPr>
        <w:t xml:space="preserve"> 4.3).</w:t>
      </w:r>
    </w:p>
    <w:p w:rsidR="008E4AD7" w:rsidRPr="00BF3CBC" w:rsidRDefault="008E4AD7" w:rsidP="008E4AD7">
      <w:pPr>
        <w:ind w:left="851" w:hanging="851"/>
        <w:rPr>
          <w:sz w:val="24"/>
          <w:szCs w:val="24"/>
        </w:rPr>
      </w:pPr>
    </w:p>
    <w:p w:rsidR="00A46903" w:rsidRPr="00BF3CBC" w:rsidRDefault="00A46903" w:rsidP="00A46903">
      <w:pPr>
        <w:ind w:left="851"/>
        <w:rPr>
          <w:i/>
          <w:iCs/>
          <w:sz w:val="24"/>
          <w:szCs w:val="24"/>
        </w:rPr>
      </w:pPr>
      <w:r w:rsidRPr="00BF3CBC">
        <w:rPr>
          <w:i/>
          <w:iCs/>
          <w:sz w:val="24"/>
          <w:szCs w:val="24"/>
        </w:rPr>
        <w:t>Anvendelse sammen med alkohol</w:t>
      </w:r>
    </w:p>
    <w:p w:rsidR="00A46903" w:rsidRDefault="00A46903" w:rsidP="00A46903">
      <w:pPr>
        <w:ind w:left="851"/>
        <w:rPr>
          <w:sz w:val="24"/>
          <w:szCs w:val="24"/>
        </w:rPr>
      </w:pPr>
      <w:r w:rsidRPr="00BF3CBC">
        <w:rPr>
          <w:sz w:val="24"/>
          <w:szCs w:val="24"/>
        </w:rPr>
        <w:t xml:space="preserve">Alkohol kan forværre bivirkninger i CNS af psykofarmaka, herunder af </w:t>
      </w:r>
      <w:proofErr w:type="spellStart"/>
      <w:r w:rsidRPr="00BF3CBC">
        <w:rPr>
          <w:sz w:val="24"/>
          <w:szCs w:val="24"/>
        </w:rPr>
        <w:t>methylphenidat</w:t>
      </w:r>
      <w:proofErr w:type="spellEnd"/>
      <w:r w:rsidRPr="00BF3CBC">
        <w:rPr>
          <w:sz w:val="24"/>
          <w:szCs w:val="24"/>
        </w:rPr>
        <w:t>. Det tilrådes derfor, at patienter afholder sig fra alkohol under behandlingen.</w:t>
      </w:r>
    </w:p>
    <w:p w:rsidR="00A46903" w:rsidRDefault="00A46903" w:rsidP="00A46903">
      <w:pPr>
        <w:ind w:left="851"/>
        <w:rPr>
          <w:sz w:val="24"/>
          <w:szCs w:val="24"/>
        </w:rPr>
      </w:pPr>
    </w:p>
    <w:p w:rsidR="00A46903" w:rsidRPr="000A462B" w:rsidRDefault="00A46903" w:rsidP="00A46903">
      <w:pPr>
        <w:ind w:left="851"/>
        <w:rPr>
          <w:i/>
          <w:color w:val="000000"/>
          <w:sz w:val="24"/>
          <w:szCs w:val="24"/>
          <w:bdr w:val="none" w:sz="0" w:space="0" w:color="auto" w:frame="1"/>
        </w:rPr>
      </w:pPr>
      <w:r w:rsidRPr="005D0B90">
        <w:rPr>
          <w:i/>
          <w:color w:val="000000"/>
          <w:sz w:val="24"/>
          <w:szCs w:val="24"/>
          <w:bdr w:val="none" w:sz="0" w:space="0" w:color="auto" w:frame="1"/>
        </w:rPr>
        <w:t xml:space="preserve">Anvendelse sammen med </w:t>
      </w:r>
      <w:proofErr w:type="spellStart"/>
      <w:r w:rsidRPr="005D0B90">
        <w:rPr>
          <w:i/>
          <w:color w:val="000000"/>
          <w:sz w:val="24"/>
          <w:szCs w:val="24"/>
          <w:bdr w:val="none" w:sz="0" w:space="0" w:color="auto" w:frame="1"/>
        </w:rPr>
        <w:t>s</w:t>
      </w:r>
      <w:r w:rsidRPr="000A462B">
        <w:rPr>
          <w:i/>
          <w:color w:val="000000"/>
          <w:sz w:val="24"/>
          <w:szCs w:val="24"/>
          <w:bdr w:val="none" w:sz="0" w:space="0" w:color="auto" w:frame="1"/>
        </w:rPr>
        <w:t>erotonerge</w:t>
      </w:r>
      <w:proofErr w:type="spellEnd"/>
      <w:r w:rsidRPr="000A462B">
        <w:rPr>
          <w:i/>
          <w:color w:val="000000"/>
          <w:sz w:val="24"/>
          <w:szCs w:val="24"/>
          <w:bdr w:val="none" w:sz="0" w:space="0" w:color="auto" w:frame="1"/>
        </w:rPr>
        <w:t xml:space="preserve"> lægemidler</w:t>
      </w:r>
    </w:p>
    <w:p w:rsidR="00A46903" w:rsidRPr="00BF3CBC" w:rsidRDefault="00A46903" w:rsidP="00A46903">
      <w:pPr>
        <w:ind w:left="851"/>
        <w:rPr>
          <w:sz w:val="24"/>
          <w:szCs w:val="24"/>
        </w:rPr>
      </w:pPr>
      <w:r w:rsidRPr="000A462B">
        <w:rPr>
          <w:color w:val="000000"/>
          <w:sz w:val="24"/>
          <w:szCs w:val="24"/>
          <w:bdr w:val="none" w:sz="0" w:space="0" w:color="auto" w:frame="1"/>
        </w:rPr>
        <w:t xml:space="preserve">Der er rapporteret om serotoninsyndrom efter samtidig administration af </w:t>
      </w:r>
      <w:proofErr w:type="spellStart"/>
      <w:r w:rsidRPr="000A462B">
        <w:rPr>
          <w:color w:val="000000"/>
          <w:sz w:val="24"/>
          <w:szCs w:val="24"/>
          <w:bdr w:val="none" w:sz="0" w:space="0" w:color="auto" w:frame="1"/>
        </w:rPr>
        <w:t>methylphenidat</w:t>
      </w:r>
      <w:proofErr w:type="spellEnd"/>
      <w:r w:rsidRPr="000A462B">
        <w:rPr>
          <w:color w:val="000000"/>
          <w:sz w:val="24"/>
          <w:szCs w:val="24"/>
          <w:bdr w:val="none" w:sz="0" w:space="0" w:color="auto" w:frame="1"/>
        </w:rPr>
        <w:t xml:space="preserve"> og </w:t>
      </w:r>
      <w:proofErr w:type="spellStart"/>
      <w:r w:rsidRPr="000A462B">
        <w:rPr>
          <w:color w:val="000000"/>
          <w:sz w:val="24"/>
          <w:szCs w:val="24"/>
          <w:bdr w:val="none" w:sz="0" w:space="0" w:color="auto" w:frame="1"/>
        </w:rPr>
        <w:t>serotonerge</w:t>
      </w:r>
      <w:proofErr w:type="spellEnd"/>
      <w:r w:rsidRPr="000A462B">
        <w:rPr>
          <w:color w:val="000000"/>
          <w:sz w:val="24"/>
          <w:szCs w:val="24"/>
          <w:bdr w:val="none" w:sz="0" w:space="0" w:color="auto" w:frame="1"/>
        </w:rPr>
        <w:t xml:space="preserve"> lægemidler. Hvis der er behov for samtidig anvendelse af </w:t>
      </w:r>
      <w:proofErr w:type="spellStart"/>
      <w:r w:rsidRPr="000A462B">
        <w:rPr>
          <w:color w:val="000000"/>
          <w:sz w:val="24"/>
          <w:szCs w:val="24"/>
          <w:bdr w:val="none" w:sz="0" w:space="0" w:color="auto" w:frame="1"/>
        </w:rPr>
        <w:t>methylphenidat</w:t>
      </w:r>
      <w:proofErr w:type="spellEnd"/>
      <w:r w:rsidRPr="000A462B">
        <w:rPr>
          <w:color w:val="000000"/>
          <w:sz w:val="24"/>
          <w:szCs w:val="24"/>
          <w:bdr w:val="none" w:sz="0" w:space="0" w:color="auto" w:frame="1"/>
        </w:rPr>
        <w:t xml:space="preserve"> og et </w:t>
      </w:r>
      <w:proofErr w:type="spellStart"/>
      <w:r w:rsidRPr="000A462B">
        <w:rPr>
          <w:color w:val="000000"/>
          <w:sz w:val="24"/>
          <w:szCs w:val="24"/>
          <w:bdr w:val="none" w:sz="0" w:space="0" w:color="auto" w:frame="1"/>
        </w:rPr>
        <w:t>serotonergt</w:t>
      </w:r>
      <w:proofErr w:type="spellEnd"/>
      <w:r w:rsidRPr="000A462B">
        <w:rPr>
          <w:color w:val="000000"/>
          <w:sz w:val="24"/>
          <w:szCs w:val="24"/>
          <w:bdr w:val="none" w:sz="0" w:space="0" w:color="auto" w:frame="1"/>
        </w:rPr>
        <w:t xml:space="preserve"> lægemiddel, er det vigtigt at genkende symptomerne på serotoninsyndrom hurtigst muligt (se pkt. 4.4). </w:t>
      </w:r>
      <w:proofErr w:type="spellStart"/>
      <w:r w:rsidRPr="000A462B">
        <w:rPr>
          <w:color w:val="000000"/>
          <w:sz w:val="24"/>
          <w:szCs w:val="24"/>
          <w:bdr w:val="none" w:sz="0" w:space="0" w:color="auto" w:frame="1"/>
        </w:rPr>
        <w:t>Methylphenidat</w:t>
      </w:r>
      <w:proofErr w:type="spellEnd"/>
      <w:r w:rsidRPr="000A462B">
        <w:rPr>
          <w:color w:val="000000"/>
          <w:sz w:val="24"/>
          <w:szCs w:val="24"/>
          <w:bdr w:val="none" w:sz="0" w:space="0" w:color="auto" w:frame="1"/>
        </w:rPr>
        <w:t xml:space="preserve"> skal seponeres hurtigst muligt, hvis der er mistanke om serotoninsyndrom.</w:t>
      </w:r>
    </w:p>
    <w:p w:rsidR="008E4AD7" w:rsidRPr="00BF3CBC" w:rsidRDefault="008E4AD7" w:rsidP="008E4AD7">
      <w:pPr>
        <w:ind w:left="851" w:hanging="851"/>
        <w:rPr>
          <w:sz w:val="24"/>
          <w:szCs w:val="24"/>
        </w:rPr>
      </w:pPr>
    </w:p>
    <w:p w:rsidR="008E4AD7" w:rsidRPr="00BF3CBC" w:rsidRDefault="008E4AD7" w:rsidP="008E4AD7">
      <w:pPr>
        <w:ind w:left="851"/>
        <w:rPr>
          <w:i/>
          <w:iCs/>
          <w:sz w:val="24"/>
          <w:szCs w:val="24"/>
        </w:rPr>
      </w:pPr>
      <w:r w:rsidRPr="00BF3CBC">
        <w:rPr>
          <w:i/>
          <w:iCs/>
          <w:sz w:val="24"/>
          <w:szCs w:val="24"/>
        </w:rPr>
        <w:t xml:space="preserve">Anvendelse sammen med </w:t>
      </w:r>
      <w:proofErr w:type="spellStart"/>
      <w:r w:rsidRPr="00BF3CBC">
        <w:rPr>
          <w:i/>
          <w:iCs/>
          <w:sz w:val="24"/>
          <w:szCs w:val="24"/>
        </w:rPr>
        <w:t>halogenerede</w:t>
      </w:r>
      <w:proofErr w:type="spellEnd"/>
      <w:r w:rsidRPr="00BF3CBC">
        <w:rPr>
          <w:i/>
          <w:iCs/>
          <w:sz w:val="24"/>
          <w:szCs w:val="24"/>
        </w:rPr>
        <w:t xml:space="preserve"> </w:t>
      </w:r>
      <w:proofErr w:type="spellStart"/>
      <w:r w:rsidRPr="00BF3CBC">
        <w:rPr>
          <w:i/>
          <w:iCs/>
          <w:sz w:val="24"/>
          <w:szCs w:val="24"/>
        </w:rPr>
        <w:t>anæstetika</w:t>
      </w:r>
      <w:proofErr w:type="spellEnd"/>
    </w:p>
    <w:p w:rsidR="008E4AD7" w:rsidRPr="00BF3CBC" w:rsidRDefault="008E4AD7" w:rsidP="008E4AD7">
      <w:pPr>
        <w:ind w:left="851"/>
        <w:rPr>
          <w:sz w:val="24"/>
          <w:szCs w:val="24"/>
        </w:rPr>
      </w:pPr>
      <w:r w:rsidRPr="00BF3CBC">
        <w:rPr>
          <w:sz w:val="24"/>
          <w:szCs w:val="24"/>
        </w:rPr>
        <w:t xml:space="preserve">Der er risiko for pludselig blodtryksstigning </w:t>
      </w:r>
      <w:r w:rsidR="00EF1492">
        <w:rPr>
          <w:sz w:val="24"/>
          <w:szCs w:val="24"/>
        </w:rPr>
        <w:t xml:space="preserve">og øget hjertefrekvens </w:t>
      </w:r>
      <w:r w:rsidRPr="00BF3CBC">
        <w:rPr>
          <w:sz w:val="24"/>
          <w:szCs w:val="24"/>
        </w:rPr>
        <w:t xml:space="preserve">under operation. Hvis operationen er planlagt, bør </w:t>
      </w:r>
      <w:proofErr w:type="spellStart"/>
      <w:r w:rsidRPr="00BF3CBC">
        <w:rPr>
          <w:sz w:val="24"/>
          <w:szCs w:val="24"/>
        </w:rPr>
        <w:t>methylphenidat</w:t>
      </w:r>
      <w:proofErr w:type="spellEnd"/>
      <w:r w:rsidRPr="00BF3CBC">
        <w:rPr>
          <w:sz w:val="24"/>
          <w:szCs w:val="24"/>
        </w:rPr>
        <w:t xml:space="preserve"> ikke anvendes på operationsdagen.</w:t>
      </w:r>
    </w:p>
    <w:p w:rsidR="008E4AD7" w:rsidRPr="00BF3CBC" w:rsidRDefault="008E4AD7" w:rsidP="008E4AD7">
      <w:pPr>
        <w:ind w:left="851" w:hanging="851"/>
        <w:rPr>
          <w:sz w:val="24"/>
          <w:szCs w:val="24"/>
        </w:rPr>
      </w:pPr>
    </w:p>
    <w:p w:rsidR="008E4AD7" w:rsidRPr="00BF3CBC" w:rsidRDefault="008E4AD7" w:rsidP="008E4AD7">
      <w:pPr>
        <w:ind w:left="851"/>
        <w:rPr>
          <w:i/>
          <w:iCs/>
          <w:sz w:val="24"/>
          <w:szCs w:val="24"/>
        </w:rPr>
      </w:pPr>
      <w:r w:rsidRPr="00BF3CBC">
        <w:rPr>
          <w:i/>
          <w:iCs/>
          <w:sz w:val="24"/>
          <w:szCs w:val="24"/>
        </w:rPr>
        <w:t xml:space="preserve">Anvendelse sammen med centralt virkende alfa-2-agonister (f.eks. </w:t>
      </w:r>
      <w:proofErr w:type="spellStart"/>
      <w:r w:rsidRPr="00BF3CBC">
        <w:rPr>
          <w:i/>
          <w:iCs/>
          <w:sz w:val="24"/>
          <w:szCs w:val="24"/>
        </w:rPr>
        <w:t>clonidin</w:t>
      </w:r>
      <w:proofErr w:type="spellEnd"/>
      <w:r w:rsidRPr="00BF3CBC">
        <w:rPr>
          <w:i/>
          <w:iCs/>
          <w:sz w:val="24"/>
          <w:szCs w:val="24"/>
        </w:rPr>
        <w:t>)</w:t>
      </w:r>
    </w:p>
    <w:p w:rsidR="008E4AD7" w:rsidRPr="00BF3CBC" w:rsidRDefault="00EF1492" w:rsidP="008E4AD7">
      <w:pPr>
        <w:ind w:left="851"/>
        <w:rPr>
          <w:sz w:val="24"/>
          <w:szCs w:val="24"/>
        </w:rPr>
      </w:pPr>
      <w:r>
        <w:rPr>
          <w:sz w:val="24"/>
          <w:szCs w:val="24"/>
        </w:rPr>
        <w:t xml:space="preserve">Der er rapporteret alvorlige bivirkninger, herunder pludselig død, ved samtidig brug af </w:t>
      </w:r>
      <w:proofErr w:type="spellStart"/>
      <w:r>
        <w:rPr>
          <w:sz w:val="24"/>
          <w:szCs w:val="24"/>
        </w:rPr>
        <w:t>methylphenidat</w:t>
      </w:r>
      <w:proofErr w:type="spellEnd"/>
      <w:r>
        <w:rPr>
          <w:sz w:val="24"/>
          <w:szCs w:val="24"/>
        </w:rPr>
        <w:t xml:space="preserve"> og </w:t>
      </w:r>
      <w:proofErr w:type="spellStart"/>
      <w:r>
        <w:rPr>
          <w:sz w:val="24"/>
          <w:szCs w:val="24"/>
        </w:rPr>
        <w:t>clonidin</w:t>
      </w:r>
      <w:proofErr w:type="spellEnd"/>
      <w:r>
        <w:rPr>
          <w:sz w:val="24"/>
          <w:szCs w:val="24"/>
        </w:rPr>
        <w:t xml:space="preserve">. </w:t>
      </w:r>
      <w:r w:rsidR="008E4AD7" w:rsidRPr="00BF3CBC">
        <w:rPr>
          <w:sz w:val="24"/>
          <w:szCs w:val="24"/>
        </w:rPr>
        <w:t xml:space="preserve">Den langsigtede sikkerhed ved brug af </w:t>
      </w:r>
      <w:proofErr w:type="spellStart"/>
      <w:r w:rsidR="008E4AD7" w:rsidRPr="00BF3CBC">
        <w:rPr>
          <w:sz w:val="24"/>
          <w:szCs w:val="24"/>
        </w:rPr>
        <w:t>methylphenidat</w:t>
      </w:r>
      <w:proofErr w:type="spellEnd"/>
      <w:r w:rsidR="008E4AD7" w:rsidRPr="00BF3CBC">
        <w:rPr>
          <w:sz w:val="24"/>
          <w:szCs w:val="24"/>
        </w:rPr>
        <w:t xml:space="preserve"> sammen med </w:t>
      </w:r>
      <w:proofErr w:type="spellStart"/>
      <w:r w:rsidR="008E4AD7" w:rsidRPr="00BF3CBC">
        <w:rPr>
          <w:sz w:val="24"/>
          <w:szCs w:val="24"/>
        </w:rPr>
        <w:t>clonidin</w:t>
      </w:r>
      <w:proofErr w:type="spellEnd"/>
      <w:r w:rsidR="008E4AD7" w:rsidRPr="00BF3CBC">
        <w:rPr>
          <w:sz w:val="24"/>
          <w:szCs w:val="24"/>
        </w:rPr>
        <w:t xml:space="preserve"> og andre centralt virkende alfa-2 agonister er ikke blevet systematisk undersøgt.</w:t>
      </w:r>
    </w:p>
    <w:p w:rsidR="008E4AD7" w:rsidRPr="00BF3CBC" w:rsidRDefault="008E4AD7" w:rsidP="008E4AD7">
      <w:pPr>
        <w:ind w:left="851" w:hanging="851"/>
        <w:rPr>
          <w:sz w:val="24"/>
          <w:szCs w:val="24"/>
        </w:rPr>
      </w:pPr>
    </w:p>
    <w:p w:rsidR="008E4AD7" w:rsidRPr="00BF3CBC" w:rsidRDefault="008E4AD7" w:rsidP="008E4AD7">
      <w:pPr>
        <w:ind w:left="851"/>
        <w:rPr>
          <w:i/>
          <w:iCs/>
          <w:sz w:val="24"/>
          <w:szCs w:val="24"/>
        </w:rPr>
      </w:pPr>
      <w:r w:rsidRPr="00BF3CBC">
        <w:rPr>
          <w:i/>
          <w:iCs/>
          <w:sz w:val="24"/>
          <w:szCs w:val="24"/>
        </w:rPr>
        <w:t xml:space="preserve">Anvendelse med </w:t>
      </w:r>
      <w:proofErr w:type="spellStart"/>
      <w:r w:rsidRPr="00BF3CBC">
        <w:rPr>
          <w:i/>
          <w:iCs/>
          <w:sz w:val="24"/>
          <w:szCs w:val="24"/>
        </w:rPr>
        <w:t>dopaminerge</w:t>
      </w:r>
      <w:proofErr w:type="spellEnd"/>
      <w:r w:rsidRPr="00BF3CBC">
        <w:rPr>
          <w:i/>
          <w:iCs/>
          <w:sz w:val="24"/>
          <w:szCs w:val="24"/>
        </w:rPr>
        <w:t xml:space="preserve"> lægemidler</w:t>
      </w:r>
    </w:p>
    <w:p w:rsidR="008E4AD7" w:rsidRPr="00BF3CBC" w:rsidRDefault="008E4AD7" w:rsidP="008E4AD7">
      <w:pPr>
        <w:ind w:left="851"/>
        <w:rPr>
          <w:sz w:val="24"/>
          <w:szCs w:val="24"/>
        </w:rPr>
      </w:pPr>
      <w:r w:rsidRPr="00BF3CBC">
        <w:rPr>
          <w:sz w:val="24"/>
          <w:szCs w:val="24"/>
        </w:rPr>
        <w:t xml:space="preserve">Der bør udvises forsigtighed, når </w:t>
      </w:r>
      <w:proofErr w:type="spellStart"/>
      <w:r w:rsidRPr="00BF3CBC">
        <w:rPr>
          <w:sz w:val="24"/>
          <w:szCs w:val="24"/>
        </w:rPr>
        <w:t>methylphenidat</w:t>
      </w:r>
      <w:proofErr w:type="spellEnd"/>
      <w:r w:rsidRPr="00BF3CBC">
        <w:rPr>
          <w:sz w:val="24"/>
          <w:szCs w:val="24"/>
        </w:rPr>
        <w:t xml:space="preserve"> administreres samtidig med </w:t>
      </w:r>
      <w:proofErr w:type="spellStart"/>
      <w:r w:rsidRPr="00BF3CBC">
        <w:rPr>
          <w:sz w:val="24"/>
          <w:szCs w:val="24"/>
        </w:rPr>
        <w:t>dopaminerge</w:t>
      </w:r>
      <w:proofErr w:type="spellEnd"/>
      <w:r w:rsidRPr="00BF3CBC">
        <w:rPr>
          <w:sz w:val="24"/>
          <w:szCs w:val="24"/>
        </w:rPr>
        <w:t xml:space="preserve"> lægemidler, herunder antipsykotika. Da </w:t>
      </w:r>
      <w:proofErr w:type="spellStart"/>
      <w:r w:rsidRPr="00BF3CBC">
        <w:rPr>
          <w:sz w:val="24"/>
          <w:szCs w:val="24"/>
        </w:rPr>
        <w:t>methylphenidat</w:t>
      </w:r>
      <w:proofErr w:type="spellEnd"/>
      <w:r w:rsidRPr="00BF3CBC">
        <w:rPr>
          <w:sz w:val="24"/>
          <w:szCs w:val="24"/>
        </w:rPr>
        <w:t xml:space="preserve"> i høj grad virker ved at øge ekstracellulære dopaminniveauer, kan </w:t>
      </w:r>
      <w:proofErr w:type="spellStart"/>
      <w:r w:rsidRPr="00BF3CBC">
        <w:rPr>
          <w:sz w:val="24"/>
          <w:szCs w:val="24"/>
        </w:rPr>
        <w:t>methylphenidat</w:t>
      </w:r>
      <w:proofErr w:type="spellEnd"/>
      <w:r w:rsidRPr="00BF3CBC">
        <w:rPr>
          <w:sz w:val="24"/>
          <w:szCs w:val="24"/>
        </w:rPr>
        <w:t xml:space="preserve"> være forbundet med </w:t>
      </w:r>
      <w:proofErr w:type="spellStart"/>
      <w:r w:rsidRPr="00BF3CBC">
        <w:rPr>
          <w:sz w:val="24"/>
          <w:szCs w:val="24"/>
        </w:rPr>
        <w:t>farmakodynamiske</w:t>
      </w:r>
      <w:proofErr w:type="spellEnd"/>
      <w:r w:rsidRPr="00BF3CBC">
        <w:rPr>
          <w:sz w:val="24"/>
          <w:szCs w:val="24"/>
        </w:rPr>
        <w:t xml:space="preserve"> interaktioner, når det administreres samtidig med direkte og indirekte dopaminagonister (herunder DOPA og </w:t>
      </w:r>
      <w:proofErr w:type="spellStart"/>
      <w:r w:rsidRPr="00BF3CBC">
        <w:rPr>
          <w:sz w:val="24"/>
          <w:szCs w:val="24"/>
        </w:rPr>
        <w:t>tricycliske</w:t>
      </w:r>
      <w:proofErr w:type="spellEnd"/>
      <w:r w:rsidRPr="00BF3CBC">
        <w:rPr>
          <w:sz w:val="24"/>
          <w:szCs w:val="24"/>
        </w:rPr>
        <w:t xml:space="preserve"> </w:t>
      </w:r>
      <w:proofErr w:type="spellStart"/>
      <w:r w:rsidRPr="00BF3CBC">
        <w:rPr>
          <w:sz w:val="24"/>
          <w:szCs w:val="24"/>
        </w:rPr>
        <w:t>antidepressiva</w:t>
      </w:r>
      <w:proofErr w:type="spellEnd"/>
      <w:r w:rsidRPr="00BF3CBC">
        <w:rPr>
          <w:sz w:val="24"/>
          <w:szCs w:val="24"/>
        </w:rPr>
        <w:t>) eller med dopaminantagonister, herunder antipsykotika.</w:t>
      </w:r>
    </w:p>
    <w:p w:rsidR="008E4AD7" w:rsidRPr="00BF3CBC" w:rsidRDefault="008E4AD7" w:rsidP="008E4AD7">
      <w:pPr>
        <w:tabs>
          <w:tab w:val="left" w:pos="851"/>
        </w:tabs>
        <w:ind w:left="851" w:hanging="851"/>
        <w:rPr>
          <w:sz w:val="24"/>
          <w:szCs w:val="24"/>
        </w:rPr>
      </w:pPr>
    </w:p>
    <w:p w:rsidR="00657134" w:rsidRPr="00C84483" w:rsidRDefault="00657134" w:rsidP="00657134">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EF1492" w:rsidRDefault="00EF1492" w:rsidP="00EF1492">
      <w:pPr>
        <w:ind w:left="851"/>
        <w:rPr>
          <w:sz w:val="24"/>
          <w:szCs w:val="24"/>
          <w:u w:val="single" w:color="000000"/>
        </w:rPr>
      </w:pPr>
    </w:p>
    <w:p w:rsidR="00EF1492" w:rsidRDefault="00EF1492" w:rsidP="00EF1492">
      <w:pPr>
        <w:ind w:left="851"/>
        <w:rPr>
          <w:sz w:val="24"/>
          <w:szCs w:val="24"/>
        </w:rPr>
      </w:pPr>
      <w:r>
        <w:rPr>
          <w:sz w:val="24"/>
          <w:szCs w:val="24"/>
          <w:u w:val="single" w:color="000000"/>
        </w:rPr>
        <w:t>Graviditet</w:t>
      </w:r>
    </w:p>
    <w:p w:rsidR="00EF1492" w:rsidRDefault="00EF1492" w:rsidP="00A46903">
      <w:pPr>
        <w:ind w:left="851"/>
        <w:rPr>
          <w:sz w:val="24"/>
          <w:szCs w:val="24"/>
        </w:rPr>
      </w:pPr>
    </w:p>
    <w:p w:rsidR="008E4AD7" w:rsidRPr="00BF3CBC" w:rsidRDefault="008E4AD7" w:rsidP="00A46903">
      <w:pPr>
        <w:ind w:left="851"/>
        <w:rPr>
          <w:sz w:val="24"/>
          <w:szCs w:val="24"/>
          <w:u w:val="single" w:color="000000"/>
        </w:rPr>
      </w:pPr>
      <w:r>
        <w:rPr>
          <w:sz w:val="24"/>
          <w:szCs w:val="24"/>
        </w:rPr>
        <w:t xml:space="preserve">Data fra et </w:t>
      </w:r>
      <w:proofErr w:type="spellStart"/>
      <w:r>
        <w:rPr>
          <w:sz w:val="24"/>
          <w:szCs w:val="24"/>
        </w:rPr>
        <w:t>kohortstudie</w:t>
      </w:r>
      <w:proofErr w:type="spellEnd"/>
      <w:r>
        <w:rPr>
          <w:sz w:val="24"/>
          <w:szCs w:val="24"/>
        </w:rPr>
        <w:t xml:space="preserve"> af i alt ca. 3400 graviditeter eksponeret i første trimester tyder ikke på en øget risiko for </w:t>
      </w:r>
      <w:r w:rsidRPr="00325BFD">
        <w:rPr>
          <w:sz w:val="24"/>
          <w:szCs w:val="24"/>
        </w:rPr>
        <w:t>fødselsdefekter overordnet set</w:t>
      </w:r>
      <w:r>
        <w:rPr>
          <w:sz w:val="24"/>
          <w:szCs w:val="24"/>
        </w:rPr>
        <w:t>. Der var en lille stigning i forekomsten af hjertemisdannelser (</w:t>
      </w:r>
      <w:proofErr w:type="spellStart"/>
      <w:r>
        <w:rPr>
          <w:sz w:val="24"/>
          <w:szCs w:val="24"/>
        </w:rPr>
        <w:t>puljet</w:t>
      </w:r>
      <w:proofErr w:type="spellEnd"/>
      <w:r>
        <w:rPr>
          <w:sz w:val="24"/>
          <w:szCs w:val="24"/>
        </w:rPr>
        <w:t xml:space="preserve"> justeret relativ risiko 1,3; 95% CI, 1,0-1,6) svarende til yderligere tre spædbørn født med kongenittehjertemisdannelse for hver 1000 kvinder, der modtog </w:t>
      </w:r>
      <w:proofErr w:type="spellStart"/>
      <w:r>
        <w:rPr>
          <w:sz w:val="24"/>
          <w:szCs w:val="24"/>
        </w:rPr>
        <w:t>methylphenidat</w:t>
      </w:r>
      <w:proofErr w:type="spellEnd"/>
      <w:r>
        <w:rPr>
          <w:sz w:val="24"/>
          <w:szCs w:val="24"/>
        </w:rPr>
        <w:t xml:space="preserve"> i løbet af graviditetens første trimester, sammenlignet med ikke-eksponerede graviditeter.</w:t>
      </w:r>
    </w:p>
    <w:p w:rsidR="008E4AD7" w:rsidRPr="00BF3CBC" w:rsidRDefault="008E4AD7" w:rsidP="008E4AD7">
      <w:pPr>
        <w:ind w:left="851" w:hanging="851"/>
        <w:rPr>
          <w:sz w:val="24"/>
          <w:szCs w:val="24"/>
        </w:rPr>
      </w:pPr>
    </w:p>
    <w:p w:rsidR="008E4AD7" w:rsidRPr="00BF3CBC" w:rsidRDefault="008E4AD7" w:rsidP="008E4AD7">
      <w:pPr>
        <w:ind w:left="851"/>
        <w:rPr>
          <w:sz w:val="24"/>
          <w:szCs w:val="24"/>
        </w:rPr>
      </w:pPr>
      <w:r w:rsidRPr="00BF3CBC">
        <w:rPr>
          <w:sz w:val="24"/>
          <w:szCs w:val="24"/>
        </w:rPr>
        <w:t xml:space="preserve">Der er ved spontan indberetning beskrevet tilfælde af neonatal </w:t>
      </w:r>
      <w:proofErr w:type="spellStart"/>
      <w:r w:rsidRPr="00BF3CBC">
        <w:rPr>
          <w:sz w:val="24"/>
          <w:szCs w:val="24"/>
        </w:rPr>
        <w:t>kardiorespiratorisk</w:t>
      </w:r>
      <w:proofErr w:type="spellEnd"/>
      <w:r w:rsidRPr="00BF3CBC">
        <w:rPr>
          <w:sz w:val="24"/>
          <w:szCs w:val="24"/>
        </w:rPr>
        <w:t xml:space="preserve"> toksicitet, navnlig </w:t>
      </w:r>
      <w:proofErr w:type="spellStart"/>
      <w:r w:rsidRPr="00BF3CBC">
        <w:rPr>
          <w:sz w:val="24"/>
          <w:szCs w:val="24"/>
        </w:rPr>
        <w:t>føtal</w:t>
      </w:r>
      <w:proofErr w:type="spellEnd"/>
      <w:r w:rsidRPr="00BF3CBC">
        <w:rPr>
          <w:sz w:val="24"/>
          <w:szCs w:val="24"/>
        </w:rPr>
        <w:t xml:space="preserve"> </w:t>
      </w:r>
      <w:proofErr w:type="spellStart"/>
      <w:r w:rsidRPr="00BF3CBC">
        <w:rPr>
          <w:sz w:val="24"/>
          <w:szCs w:val="24"/>
        </w:rPr>
        <w:t>takykardi</w:t>
      </w:r>
      <w:proofErr w:type="spellEnd"/>
      <w:r w:rsidRPr="00BF3CBC">
        <w:rPr>
          <w:sz w:val="24"/>
          <w:szCs w:val="24"/>
        </w:rPr>
        <w:t xml:space="preserve"> og respirationsbesvær.</w:t>
      </w:r>
    </w:p>
    <w:p w:rsidR="00FA0296" w:rsidRDefault="00FA0296" w:rsidP="008E4AD7">
      <w:pPr>
        <w:ind w:left="851"/>
        <w:rPr>
          <w:sz w:val="24"/>
          <w:szCs w:val="24"/>
        </w:rPr>
      </w:pPr>
    </w:p>
    <w:p w:rsidR="00FA0296" w:rsidRDefault="008E4AD7" w:rsidP="008E4AD7">
      <w:pPr>
        <w:ind w:left="851"/>
        <w:rPr>
          <w:sz w:val="24"/>
          <w:szCs w:val="24"/>
        </w:rPr>
      </w:pPr>
      <w:r w:rsidRPr="00BF3CBC">
        <w:rPr>
          <w:sz w:val="24"/>
          <w:szCs w:val="24"/>
        </w:rPr>
        <w:t xml:space="preserve">Dyreforsøg har påvist reproduktionstoksicitet ved høje toksiske doser hos mater (se </w:t>
      </w:r>
      <w:r>
        <w:rPr>
          <w:sz w:val="24"/>
          <w:szCs w:val="24"/>
        </w:rPr>
        <w:t>pkt.</w:t>
      </w:r>
      <w:r w:rsidRPr="00BF3CBC">
        <w:rPr>
          <w:sz w:val="24"/>
          <w:szCs w:val="24"/>
        </w:rPr>
        <w:t xml:space="preserve"> 5.3). </w:t>
      </w:r>
    </w:p>
    <w:p w:rsidR="00FA0296" w:rsidRDefault="00FA0296" w:rsidP="008E4AD7">
      <w:pPr>
        <w:ind w:left="851"/>
        <w:rPr>
          <w:sz w:val="24"/>
          <w:szCs w:val="24"/>
        </w:rPr>
      </w:pPr>
    </w:p>
    <w:p w:rsidR="008E4AD7" w:rsidRPr="00BF3CBC" w:rsidRDefault="008E4AD7" w:rsidP="008E4AD7">
      <w:pPr>
        <w:ind w:left="851"/>
        <w:rPr>
          <w:sz w:val="24"/>
          <w:szCs w:val="24"/>
        </w:rPr>
      </w:pPr>
      <w:proofErr w:type="spellStart"/>
      <w:r w:rsidRPr="00BF3CBC">
        <w:rPr>
          <w:sz w:val="24"/>
          <w:szCs w:val="24"/>
        </w:rPr>
        <w:t>Methylphenidat</w:t>
      </w:r>
      <w:proofErr w:type="spellEnd"/>
      <w:r w:rsidRPr="00BF3CBC">
        <w:rPr>
          <w:sz w:val="24"/>
          <w:szCs w:val="24"/>
        </w:rPr>
        <w:t xml:space="preserve"> frarådes under graviditet, medmindre der tages en klinisk beslutning om, at udsættelse af behandling kan udgøre en større risiko for graviditeten.</w:t>
      </w:r>
    </w:p>
    <w:p w:rsidR="008E4AD7" w:rsidRPr="00BF3CBC" w:rsidRDefault="008E4AD7" w:rsidP="008E4AD7">
      <w:pPr>
        <w:ind w:left="851" w:hanging="851"/>
        <w:rPr>
          <w:sz w:val="24"/>
          <w:szCs w:val="24"/>
        </w:rPr>
      </w:pPr>
    </w:p>
    <w:p w:rsidR="008E4AD7" w:rsidRPr="00BF3CBC" w:rsidRDefault="008E4AD7" w:rsidP="008E4AD7">
      <w:pPr>
        <w:ind w:left="851"/>
        <w:rPr>
          <w:sz w:val="24"/>
          <w:szCs w:val="24"/>
        </w:rPr>
      </w:pPr>
      <w:r w:rsidRPr="00BF3CBC">
        <w:rPr>
          <w:sz w:val="24"/>
          <w:szCs w:val="24"/>
          <w:u w:val="single" w:color="000000"/>
        </w:rPr>
        <w:t>Amning</w:t>
      </w:r>
    </w:p>
    <w:p w:rsidR="008E4AD7" w:rsidRPr="00BF3CBC" w:rsidRDefault="008E4AD7" w:rsidP="008E4AD7">
      <w:pPr>
        <w:ind w:left="851"/>
        <w:rPr>
          <w:sz w:val="24"/>
          <w:szCs w:val="24"/>
        </w:rPr>
      </w:pPr>
      <w:r w:rsidRPr="00BF3CBC">
        <w:rPr>
          <w:sz w:val="24"/>
          <w:szCs w:val="24"/>
        </w:rPr>
        <w:t xml:space="preserve">Der er fundet </w:t>
      </w:r>
      <w:proofErr w:type="spellStart"/>
      <w:r w:rsidRPr="00BF3CBC">
        <w:rPr>
          <w:sz w:val="24"/>
          <w:szCs w:val="24"/>
        </w:rPr>
        <w:t>methylphenidat</w:t>
      </w:r>
      <w:proofErr w:type="spellEnd"/>
      <w:r w:rsidRPr="00BF3CBC">
        <w:rPr>
          <w:sz w:val="24"/>
          <w:szCs w:val="24"/>
        </w:rPr>
        <w:t xml:space="preserve"> i brystmælken hos en kvinde i behandling med </w:t>
      </w:r>
      <w:proofErr w:type="spellStart"/>
      <w:r w:rsidRPr="00BF3CBC">
        <w:rPr>
          <w:sz w:val="24"/>
          <w:szCs w:val="24"/>
        </w:rPr>
        <w:t>methylphenidat</w:t>
      </w:r>
      <w:proofErr w:type="spellEnd"/>
      <w:r w:rsidRPr="00BF3CBC">
        <w:rPr>
          <w:sz w:val="24"/>
          <w:szCs w:val="24"/>
        </w:rPr>
        <w:t>.</w:t>
      </w:r>
    </w:p>
    <w:p w:rsidR="008E4AD7" w:rsidRPr="00BF3CBC" w:rsidRDefault="008E4AD7" w:rsidP="008E4AD7">
      <w:pPr>
        <w:ind w:left="851" w:hanging="851"/>
        <w:rPr>
          <w:sz w:val="24"/>
          <w:szCs w:val="24"/>
        </w:rPr>
      </w:pPr>
    </w:p>
    <w:p w:rsidR="008E4AD7" w:rsidRPr="00BF3CBC" w:rsidRDefault="008E4AD7" w:rsidP="008E4AD7">
      <w:pPr>
        <w:ind w:left="851"/>
        <w:rPr>
          <w:sz w:val="24"/>
          <w:szCs w:val="24"/>
        </w:rPr>
      </w:pPr>
      <w:r w:rsidRPr="00BF3CBC">
        <w:rPr>
          <w:sz w:val="24"/>
          <w:szCs w:val="24"/>
        </w:rPr>
        <w:t xml:space="preserve">Der foreligger én beskrivelse af et spædbarn, der fik et uspecificeret vægttab under eksponeringsperioden, men som kom sig og tog på i vægt, efter at moderen seponerede behandlingen med </w:t>
      </w:r>
      <w:proofErr w:type="spellStart"/>
      <w:r w:rsidRPr="00BF3CBC">
        <w:rPr>
          <w:sz w:val="24"/>
          <w:szCs w:val="24"/>
        </w:rPr>
        <w:t>methylphenidat</w:t>
      </w:r>
      <w:proofErr w:type="spellEnd"/>
      <w:r w:rsidRPr="00BF3CBC">
        <w:rPr>
          <w:sz w:val="24"/>
          <w:szCs w:val="24"/>
        </w:rPr>
        <w:t>. En risiko for det diende barn kan ikke udelukkes.</w:t>
      </w:r>
    </w:p>
    <w:p w:rsidR="008E4AD7" w:rsidRPr="00BF3CBC" w:rsidRDefault="008E4AD7" w:rsidP="008E4AD7">
      <w:pPr>
        <w:ind w:left="851" w:hanging="851"/>
        <w:rPr>
          <w:sz w:val="24"/>
          <w:szCs w:val="24"/>
        </w:rPr>
      </w:pPr>
    </w:p>
    <w:p w:rsidR="008E4AD7" w:rsidRDefault="008E4AD7" w:rsidP="008E4AD7">
      <w:pPr>
        <w:ind w:left="851"/>
        <w:rPr>
          <w:sz w:val="24"/>
          <w:szCs w:val="24"/>
        </w:rPr>
      </w:pPr>
      <w:r w:rsidRPr="00BF3CBC">
        <w:rPr>
          <w:sz w:val="24"/>
          <w:szCs w:val="24"/>
        </w:rPr>
        <w:t xml:space="preserve">Det skal besluttes, om amning skal ophøre, eller om man skal seponere/undlade behandling med </w:t>
      </w:r>
      <w:proofErr w:type="spellStart"/>
      <w:r w:rsidRPr="00BF3CBC">
        <w:rPr>
          <w:sz w:val="24"/>
          <w:szCs w:val="24"/>
        </w:rPr>
        <w:t>methylphenidat</w:t>
      </w:r>
      <w:proofErr w:type="spellEnd"/>
      <w:r w:rsidRPr="00BF3CBC">
        <w:rPr>
          <w:sz w:val="24"/>
          <w:szCs w:val="24"/>
        </w:rPr>
        <w:t xml:space="preserve">, idet man overvejer den fordel, amning giver barnet, og vigtigheden af </w:t>
      </w:r>
      <w:proofErr w:type="spellStart"/>
      <w:r w:rsidRPr="00BF3CBC">
        <w:rPr>
          <w:sz w:val="24"/>
          <w:szCs w:val="24"/>
        </w:rPr>
        <w:t>methylphenidatbehandling</w:t>
      </w:r>
      <w:proofErr w:type="spellEnd"/>
      <w:r w:rsidRPr="00BF3CBC">
        <w:rPr>
          <w:sz w:val="24"/>
          <w:szCs w:val="24"/>
        </w:rPr>
        <w:t xml:space="preserve"> for kvinden.</w:t>
      </w:r>
    </w:p>
    <w:p w:rsidR="00EF1492" w:rsidRDefault="00EF1492" w:rsidP="008E4AD7">
      <w:pPr>
        <w:ind w:left="851"/>
        <w:rPr>
          <w:sz w:val="24"/>
          <w:szCs w:val="24"/>
        </w:rPr>
      </w:pPr>
    </w:p>
    <w:p w:rsidR="00EF1492" w:rsidRDefault="00EF1492" w:rsidP="00EF1492">
      <w:pPr>
        <w:ind w:left="851"/>
        <w:rPr>
          <w:sz w:val="24"/>
          <w:szCs w:val="24"/>
          <w:u w:val="single" w:color="000000"/>
        </w:rPr>
      </w:pPr>
      <w:r>
        <w:rPr>
          <w:sz w:val="24"/>
          <w:szCs w:val="24"/>
          <w:u w:val="single" w:color="000000"/>
        </w:rPr>
        <w:t>Fertilitet</w:t>
      </w:r>
    </w:p>
    <w:p w:rsidR="00EF1492" w:rsidRDefault="00EF1492" w:rsidP="00EF1492">
      <w:pPr>
        <w:ind w:left="851"/>
        <w:rPr>
          <w:sz w:val="24"/>
          <w:szCs w:val="24"/>
        </w:rPr>
      </w:pPr>
      <w:r>
        <w:rPr>
          <w:sz w:val="24"/>
          <w:szCs w:val="24"/>
        </w:rPr>
        <w:t xml:space="preserve">Der foreligger ingen humane data om </w:t>
      </w:r>
      <w:proofErr w:type="spellStart"/>
      <w:r>
        <w:rPr>
          <w:sz w:val="24"/>
          <w:szCs w:val="24"/>
        </w:rPr>
        <w:t>methylphenidats</w:t>
      </w:r>
      <w:proofErr w:type="spellEnd"/>
      <w:r>
        <w:rPr>
          <w:sz w:val="24"/>
          <w:szCs w:val="24"/>
        </w:rPr>
        <w:t xml:space="preserve"> indvirkning på fertiliteten. Der er ikke observeret relevante virkninger i ikke-kliniske studier.</w:t>
      </w:r>
    </w:p>
    <w:p w:rsidR="008E4AD7" w:rsidRPr="00BF3CBC" w:rsidRDefault="008E4AD7" w:rsidP="008E4AD7">
      <w:pPr>
        <w:tabs>
          <w:tab w:val="left" w:pos="851"/>
        </w:tabs>
        <w:ind w:left="851" w:hanging="851"/>
        <w:rPr>
          <w:sz w:val="24"/>
          <w:szCs w:val="24"/>
        </w:rPr>
      </w:pPr>
    </w:p>
    <w:p w:rsidR="00657134" w:rsidRPr="00C84483" w:rsidRDefault="00657134" w:rsidP="00657134">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8E4AD7" w:rsidRPr="00BF3CBC" w:rsidRDefault="008E4AD7" w:rsidP="008E4AD7">
      <w:pPr>
        <w:ind w:left="851"/>
        <w:rPr>
          <w:sz w:val="24"/>
          <w:szCs w:val="24"/>
        </w:rPr>
      </w:pPr>
      <w:r w:rsidRPr="00BF3CBC">
        <w:rPr>
          <w:sz w:val="24"/>
          <w:szCs w:val="24"/>
        </w:rPr>
        <w:t>Mærkning.</w:t>
      </w:r>
    </w:p>
    <w:p w:rsidR="008E4AD7" w:rsidRDefault="008E4AD7" w:rsidP="008E4AD7">
      <w:pPr>
        <w:ind w:left="851"/>
        <w:rPr>
          <w:sz w:val="24"/>
          <w:szCs w:val="24"/>
        </w:rPr>
      </w:pPr>
      <w:proofErr w:type="spellStart"/>
      <w:r w:rsidRPr="00BF3CBC">
        <w:rPr>
          <w:sz w:val="24"/>
          <w:szCs w:val="24"/>
        </w:rPr>
        <w:t>Methylphenidat</w:t>
      </w:r>
      <w:proofErr w:type="spellEnd"/>
      <w:r w:rsidRPr="00BF3CBC">
        <w:rPr>
          <w:sz w:val="24"/>
          <w:szCs w:val="24"/>
        </w:rPr>
        <w:t xml:space="preserve"> kan forårsage svimmelhed, døsighed og synsforstyrrelser, herunder </w:t>
      </w:r>
      <w:proofErr w:type="spellStart"/>
      <w:r w:rsidRPr="00BF3CBC">
        <w:rPr>
          <w:sz w:val="24"/>
          <w:szCs w:val="24"/>
        </w:rPr>
        <w:t>akkomodationsbesvær</w:t>
      </w:r>
      <w:proofErr w:type="spellEnd"/>
      <w:r w:rsidRPr="00BF3CBC">
        <w:rPr>
          <w:sz w:val="24"/>
          <w:szCs w:val="24"/>
        </w:rPr>
        <w:t xml:space="preserve">, </w:t>
      </w:r>
      <w:proofErr w:type="spellStart"/>
      <w:r w:rsidRPr="00BF3CBC">
        <w:rPr>
          <w:sz w:val="24"/>
          <w:szCs w:val="24"/>
        </w:rPr>
        <w:t>diplopi</w:t>
      </w:r>
      <w:proofErr w:type="spellEnd"/>
      <w:r w:rsidRPr="00BF3CBC">
        <w:rPr>
          <w:sz w:val="24"/>
          <w:szCs w:val="24"/>
        </w:rPr>
        <w:t xml:space="preserve"> og sløret syn. Det kan have en moderat påvirkning på evnen til at føre motorkøretøj og betjene maskiner. Patienter bør advares om disse mulige bivirkninger, og hvis de påvirkes, bør de rådes til at undgå potentielt farlige aktiviteter som at køre bil eller betjene maskiner.</w:t>
      </w:r>
    </w:p>
    <w:p w:rsidR="008E4AD7" w:rsidRDefault="008E4AD7" w:rsidP="008E4AD7">
      <w:pPr>
        <w:ind w:left="851"/>
        <w:rPr>
          <w:sz w:val="24"/>
          <w:szCs w:val="24"/>
        </w:rPr>
      </w:pPr>
    </w:p>
    <w:p w:rsidR="00657134" w:rsidRPr="00C84483" w:rsidRDefault="00657134" w:rsidP="00657134">
      <w:pPr>
        <w:tabs>
          <w:tab w:val="left" w:pos="851"/>
        </w:tabs>
        <w:ind w:left="851" w:hanging="851"/>
        <w:rPr>
          <w:b/>
          <w:sz w:val="24"/>
          <w:szCs w:val="24"/>
        </w:rPr>
      </w:pPr>
      <w:r w:rsidRPr="00C84483">
        <w:rPr>
          <w:b/>
          <w:sz w:val="24"/>
          <w:szCs w:val="24"/>
        </w:rPr>
        <w:t>4.8</w:t>
      </w:r>
      <w:r w:rsidRPr="00C84483">
        <w:rPr>
          <w:b/>
          <w:sz w:val="24"/>
          <w:szCs w:val="24"/>
        </w:rPr>
        <w:tab/>
        <w:t>Bivirkninger</w:t>
      </w:r>
    </w:p>
    <w:p w:rsidR="008E4AD7" w:rsidRDefault="008E4AD7" w:rsidP="008E4AD7">
      <w:pPr>
        <w:ind w:left="855"/>
        <w:rPr>
          <w:sz w:val="24"/>
          <w:szCs w:val="24"/>
        </w:rPr>
      </w:pPr>
      <w:r>
        <w:rPr>
          <w:sz w:val="24"/>
          <w:szCs w:val="24"/>
        </w:rPr>
        <w:t xml:space="preserve">Tabellen nedenfor viser alle bivirkninger, der er observeret under kliniske forsøg med børn, unge og voksne, samt spontant indberettede bivirkninger med </w:t>
      </w:r>
      <w:proofErr w:type="spellStart"/>
      <w:r>
        <w:rPr>
          <w:sz w:val="24"/>
          <w:szCs w:val="24"/>
        </w:rPr>
        <w:t>methylphenidat</w:t>
      </w:r>
      <w:proofErr w:type="spellEnd"/>
      <w:r>
        <w:rPr>
          <w:sz w:val="24"/>
          <w:szCs w:val="24"/>
        </w:rPr>
        <w:t xml:space="preserve"> depottabletter efter markedsføring, samt bivirkninger, der er beskrevet ved andre formuleringer af </w:t>
      </w:r>
      <w:proofErr w:type="spellStart"/>
      <w:r>
        <w:rPr>
          <w:sz w:val="24"/>
          <w:szCs w:val="24"/>
        </w:rPr>
        <w:t>methylphenidathydrochlorid</w:t>
      </w:r>
      <w:proofErr w:type="spellEnd"/>
      <w:r>
        <w:rPr>
          <w:sz w:val="24"/>
          <w:szCs w:val="24"/>
        </w:rPr>
        <w:t xml:space="preserve">. Hvis bivirkningerne med </w:t>
      </w:r>
      <w:proofErr w:type="spellStart"/>
      <w:r>
        <w:rPr>
          <w:sz w:val="24"/>
          <w:szCs w:val="24"/>
        </w:rPr>
        <w:t>methylphenidat</w:t>
      </w:r>
      <w:proofErr w:type="spellEnd"/>
      <w:r>
        <w:rPr>
          <w:sz w:val="24"/>
          <w:szCs w:val="24"/>
        </w:rPr>
        <w:t xml:space="preserve"> depottabletter og frekvenserne med andre </w:t>
      </w:r>
      <w:proofErr w:type="spellStart"/>
      <w:r>
        <w:rPr>
          <w:sz w:val="24"/>
          <w:szCs w:val="24"/>
        </w:rPr>
        <w:t>methylphenidat</w:t>
      </w:r>
      <w:proofErr w:type="spellEnd"/>
      <w:r>
        <w:rPr>
          <w:sz w:val="24"/>
          <w:szCs w:val="24"/>
        </w:rPr>
        <w:t>-formuleringer var forskellige, blev den højeste frekvens i begge databaser anvendt.</w:t>
      </w:r>
    </w:p>
    <w:p w:rsidR="008E4AD7" w:rsidRPr="00BF3CBC" w:rsidRDefault="008E4AD7" w:rsidP="008E4AD7">
      <w:pPr>
        <w:ind w:left="851" w:hanging="851"/>
        <w:rPr>
          <w:sz w:val="24"/>
          <w:szCs w:val="24"/>
        </w:rPr>
      </w:pPr>
    </w:p>
    <w:p w:rsidR="008E4AD7" w:rsidRPr="00BF3CBC" w:rsidRDefault="008E4AD7" w:rsidP="008E4AD7">
      <w:pPr>
        <w:ind w:left="851"/>
        <w:rPr>
          <w:sz w:val="24"/>
          <w:szCs w:val="24"/>
        </w:rPr>
      </w:pPr>
      <w:r w:rsidRPr="00BF3CBC">
        <w:rPr>
          <w:sz w:val="24"/>
          <w:szCs w:val="24"/>
        </w:rPr>
        <w:t xml:space="preserve">Estimeret hyppighed: </w:t>
      </w:r>
    </w:p>
    <w:p w:rsidR="008E4AD7" w:rsidRPr="00BF3CBC" w:rsidRDefault="008E4AD7" w:rsidP="008E4AD7">
      <w:pPr>
        <w:ind w:left="851"/>
        <w:rPr>
          <w:sz w:val="24"/>
          <w:szCs w:val="24"/>
        </w:rPr>
      </w:pPr>
      <w:r w:rsidRPr="00BF3CBC">
        <w:rPr>
          <w:sz w:val="24"/>
          <w:szCs w:val="24"/>
        </w:rPr>
        <w:t xml:space="preserve">Meget almindelig (≥ 1/10) </w:t>
      </w:r>
    </w:p>
    <w:p w:rsidR="008E4AD7" w:rsidRPr="00BF3CBC" w:rsidRDefault="008E4AD7" w:rsidP="008E4AD7">
      <w:pPr>
        <w:ind w:left="851"/>
        <w:rPr>
          <w:sz w:val="24"/>
          <w:szCs w:val="24"/>
        </w:rPr>
      </w:pPr>
      <w:r w:rsidRPr="00BF3CBC">
        <w:rPr>
          <w:sz w:val="24"/>
          <w:szCs w:val="24"/>
        </w:rPr>
        <w:t>Almindelig (≥1/100 til &lt;1/10)</w:t>
      </w:r>
    </w:p>
    <w:p w:rsidR="008E4AD7" w:rsidRPr="00BF3CBC" w:rsidRDefault="008E4AD7" w:rsidP="008E4AD7">
      <w:pPr>
        <w:ind w:left="851"/>
        <w:rPr>
          <w:sz w:val="24"/>
          <w:szCs w:val="24"/>
        </w:rPr>
      </w:pPr>
      <w:r w:rsidRPr="00BF3CBC">
        <w:rPr>
          <w:sz w:val="24"/>
          <w:szCs w:val="24"/>
        </w:rPr>
        <w:t>Ikke almindelig (≥1/1.000 til &lt;1/100)</w:t>
      </w:r>
    </w:p>
    <w:p w:rsidR="008E4AD7" w:rsidRPr="00BF3CBC" w:rsidRDefault="008E4AD7" w:rsidP="008E4AD7">
      <w:pPr>
        <w:ind w:left="851"/>
        <w:rPr>
          <w:sz w:val="24"/>
          <w:szCs w:val="24"/>
        </w:rPr>
      </w:pPr>
      <w:r w:rsidRPr="00BF3CBC">
        <w:rPr>
          <w:sz w:val="24"/>
          <w:szCs w:val="24"/>
        </w:rPr>
        <w:t>Sjælden (≥1/10.000 til &lt;1/1.000)</w:t>
      </w:r>
    </w:p>
    <w:p w:rsidR="008E4AD7" w:rsidRPr="00BF3CBC" w:rsidRDefault="008E4AD7" w:rsidP="008E4AD7">
      <w:pPr>
        <w:ind w:left="851"/>
        <w:rPr>
          <w:sz w:val="24"/>
          <w:szCs w:val="24"/>
        </w:rPr>
      </w:pPr>
      <w:r w:rsidRPr="00BF3CBC">
        <w:rPr>
          <w:sz w:val="24"/>
          <w:szCs w:val="24"/>
        </w:rPr>
        <w:t>Meget sjælden (&lt;1/10.000)</w:t>
      </w:r>
    </w:p>
    <w:p w:rsidR="008E4AD7" w:rsidRPr="00BF3CBC" w:rsidRDefault="008E4AD7" w:rsidP="008E4AD7">
      <w:pPr>
        <w:ind w:left="851"/>
        <w:rPr>
          <w:sz w:val="24"/>
          <w:szCs w:val="24"/>
        </w:rPr>
      </w:pPr>
      <w:r w:rsidRPr="00BF3CBC">
        <w:rPr>
          <w:sz w:val="24"/>
          <w:szCs w:val="24"/>
        </w:rPr>
        <w:t>Ikke kendt (kan ikke estimeres ud fra forhåndenværende data).</w:t>
      </w:r>
    </w:p>
    <w:p w:rsidR="008E4AD7" w:rsidRDefault="008E4AD7" w:rsidP="008E4AD7">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865"/>
        <w:gridCol w:w="1745"/>
        <w:gridCol w:w="1621"/>
        <w:gridCol w:w="1463"/>
        <w:gridCol w:w="1342"/>
        <w:gridCol w:w="1367"/>
      </w:tblGrid>
      <w:tr w:rsidR="00DD68A2" w:rsidRPr="00DD68A2" w:rsidTr="00DD68A2">
        <w:tc>
          <w:tcPr>
            <w:tcW w:w="636" w:type="pct"/>
            <w:tcBorders>
              <w:top w:val="single" w:sz="4" w:space="0" w:color="auto"/>
              <w:left w:val="single" w:sz="4" w:space="0" w:color="auto"/>
              <w:bottom w:val="single" w:sz="4" w:space="0" w:color="auto"/>
              <w:right w:val="nil"/>
            </w:tcBorders>
            <w:shd w:val="clear" w:color="auto" w:fill="auto"/>
          </w:tcPr>
          <w:p w:rsidR="00DD68A2" w:rsidRDefault="00DD68A2" w:rsidP="0024574C">
            <w:pPr>
              <w:rPr>
                <w:sz w:val="20"/>
              </w:rPr>
            </w:pPr>
            <w:r w:rsidRPr="00DD68A2">
              <w:rPr>
                <w:sz w:val="20"/>
              </w:rPr>
              <w:t>Systemorganklasse</w:t>
            </w:r>
          </w:p>
          <w:p w:rsidR="00DD68A2" w:rsidRPr="00DD68A2" w:rsidRDefault="00DD68A2" w:rsidP="0024574C">
            <w:pPr>
              <w:rPr>
                <w:sz w:val="20"/>
              </w:rPr>
            </w:pPr>
          </w:p>
        </w:tc>
        <w:tc>
          <w:tcPr>
            <w:tcW w:w="4364" w:type="pct"/>
            <w:gridSpan w:val="6"/>
            <w:tcBorders>
              <w:top w:val="single" w:sz="4" w:space="0" w:color="auto"/>
              <w:left w:val="nil"/>
              <w:bottom w:val="single" w:sz="4" w:space="0" w:color="auto"/>
              <w:right w:val="single" w:sz="4" w:space="0" w:color="auto"/>
            </w:tcBorders>
            <w:shd w:val="clear" w:color="auto" w:fill="auto"/>
          </w:tcPr>
          <w:p w:rsidR="00DD68A2" w:rsidRPr="00DD68A2" w:rsidRDefault="00DD68A2" w:rsidP="0024574C">
            <w:pPr>
              <w:rPr>
                <w:sz w:val="20"/>
              </w:rPr>
            </w:pPr>
            <w:r w:rsidRPr="00DD68A2">
              <w:rPr>
                <w:sz w:val="20"/>
              </w:rPr>
              <w:t>Hyppighed</w:t>
            </w:r>
          </w:p>
        </w:tc>
      </w:tr>
      <w:tr w:rsidR="008E4AD7" w:rsidRPr="00DD68A2" w:rsidTr="00DD68A2">
        <w:tc>
          <w:tcPr>
            <w:tcW w:w="636" w:type="pct"/>
            <w:tcBorders>
              <w:top w:val="single" w:sz="4" w:space="0" w:color="auto"/>
              <w:left w:val="single" w:sz="4" w:space="0" w:color="auto"/>
              <w:bottom w:val="single" w:sz="4" w:space="0" w:color="auto"/>
              <w:right w:val="single" w:sz="4" w:space="0" w:color="auto"/>
            </w:tcBorders>
            <w:shd w:val="clear" w:color="auto" w:fill="auto"/>
          </w:tcPr>
          <w:p w:rsidR="008E4AD7" w:rsidRPr="00DD68A2" w:rsidRDefault="008E4AD7" w:rsidP="0024574C">
            <w:pPr>
              <w:rPr>
                <w:sz w:val="20"/>
              </w:rPr>
            </w:pP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8E4AD7" w:rsidRPr="00DD68A2" w:rsidRDefault="008E4AD7" w:rsidP="0024574C">
            <w:pPr>
              <w:rPr>
                <w:sz w:val="20"/>
              </w:rPr>
            </w:pPr>
            <w:r w:rsidRPr="00DD68A2">
              <w:rPr>
                <w:sz w:val="20"/>
              </w:rPr>
              <w:t>Meget almindelig</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8E4AD7" w:rsidRPr="00DD68A2" w:rsidRDefault="008E4AD7" w:rsidP="0024574C">
            <w:pPr>
              <w:rPr>
                <w:sz w:val="20"/>
              </w:rPr>
            </w:pPr>
            <w:r w:rsidRPr="00DD68A2">
              <w:rPr>
                <w:sz w:val="20"/>
              </w:rPr>
              <w:t>Almindelig</w:t>
            </w: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8E4AD7" w:rsidRPr="00DD68A2" w:rsidRDefault="008E4AD7" w:rsidP="0024574C">
            <w:pPr>
              <w:rPr>
                <w:sz w:val="20"/>
              </w:rPr>
            </w:pPr>
            <w:r w:rsidRPr="00DD68A2">
              <w:rPr>
                <w:sz w:val="20"/>
              </w:rPr>
              <w:t>Ikke almindelig</w:t>
            </w: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8E4AD7" w:rsidRPr="00DD68A2" w:rsidRDefault="008E4AD7" w:rsidP="0024574C">
            <w:pPr>
              <w:rPr>
                <w:sz w:val="20"/>
              </w:rPr>
            </w:pPr>
            <w:r w:rsidRPr="00DD68A2">
              <w:rPr>
                <w:sz w:val="20"/>
              </w:rPr>
              <w:t>Sjælden</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8E4AD7" w:rsidRPr="00DD68A2" w:rsidRDefault="008E4AD7" w:rsidP="0024574C">
            <w:pPr>
              <w:rPr>
                <w:sz w:val="20"/>
              </w:rPr>
            </w:pPr>
            <w:r w:rsidRPr="00DD68A2">
              <w:rPr>
                <w:sz w:val="20"/>
              </w:rPr>
              <w:t>Meget sjælden</w:t>
            </w: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8E4AD7" w:rsidRPr="00DD68A2" w:rsidRDefault="008E4AD7" w:rsidP="0024574C">
            <w:pPr>
              <w:rPr>
                <w:sz w:val="20"/>
              </w:rPr>
            </w:pPr>
            <w:r w:rsidRPr="00DD68A2">
              <w:rPr>
                <w:sz w:val="20"/>
              </w:rPr>
              <w:t>Ikke kendt</w:t>
            </w:r>
          </w:p>
        </w:tc>
      </w:tr>
      <w:tr w:rsidR="008E4AD7" w:rsidRPr="00DD68A2" w:rsidTr="00DD68A2">
        <w:tc>
          <w:tcPr>
            <w:tcW w:w="636" w:type="pct"/>
            <w:tcBorders>
              <w:top w:val="single" w:sz="4" w:space="0" w:color="auto"/>
            </w:tcBorders>
            <w:shd w:val="clear" w:color="auto" w:fill="auto"/>
          </w:tcPr>
          <w:p w:rsidR="008E4AD7" w:rsidRPr="00DD68A2" w:rsidRDefault="008E4AD7" w:rsidP="0024574C">
            <w:pPr>
              <w:rPr>
                <w:sz w:val="20"/>
              </w:rPr>
            </w:pPr>
            <w:r w:rsidRPr="00DD68A2">
              <w:rPr>
                <w:sz w:val="20"/>
              </w:rPr>
              <w:t>Infektion og parasitære sygdomme</w:t>
            </w:r>
          </w:p>
        </w:tc>
        <w:tc>
          <w:tcPr>
            <w:tcW w:w="449" w:type="pct"/>
            <w:tcBorders>
              <w:top w:val="single" w:sz="4" w:space="0" w:color="auto"/>
            </w:tcBorders>
            <w:shd w:val="clear" w:color="auto" w:fill="auto"/>
          </w:tcPr>
          <w:p w:rsidR="008E4AD7" w:rsidRPr="00DD68A2" w:rsidRDefault="008E4AD7" w:rsidP="0024574C">
            <w:pPr>
              <w:rPr>
                <w:sz w:val="20"/>
              </w:rPr>
            </w:pPr>
          </w:p>
        </w:tc>
        <w:tc>
          <w:tcPr>
            <w:tcW w:w="906" w:type="pct"/>
            <w:tcBorders>
              <w:top w:val="single" w:sz="4" w:space="0" w:color="auto"/>
            </w:tcBorders>
            <w:shd w:val="clear" w:color="auto" w:fill="auto"/>
          </w:tcPr>
          <w:p w:rsidR="008E4AD7" w:rsidRPr="00DD68A2" w:rsidRDefault="008E4AD7" w:rsidP="0024574C">
            <w:pPr>
              <w:rPr>
                <w:sz w:val="20"/>
              </w:rPr>
            </w:pPr>
            <w:proofErr w:type="spellStart"/>
            <w:r w:rsidRPr="00DD68A2">
              <w:rPr>
                <w:sz w:val="20"/>
              </w:rPr>
              <w:t>Nasofaryngitis</w:t>
            </w:r>
            <w:proofErr w:type="spellEnd"/>
            <w:r w:rsidRPr="00DD68A2">
              <w:rPr>
                <w:sz w:val="20"/>
              </w:rPr>
              <w:t>, øvre luftvejsinfektion</w:t>
            </w:r>
            <w:r w:rsidRPr="00DD68A2">
              <w:rPr>
                <w:sz w:val="20"/>
                <w:vertAlign w:val="superscript"/>
              </w:rPr>
              <w:t>#</w:t>
            </w:r>
            <w:r w:rsidRPr="00DD68A2">
              <w:rPr>
                <w:sz w:val="20"/>
              </w:rPr>
              <w:t xml:space="preserve">, </w:t>
            </w:r>
            <w:proofErr w:type="spellStart"/>
            <w:r w:rsidRPr="00DD68A2">
              <w:rPr>
                <w:sz w:val="20"/>
              </w:rPr>
              <w:t>sinusitis</w:t>
            </w:r>
            <w:proofErr w:type="spellEnd"/>
            <w:r w:rsidRPr="00DD68A2">
              <w:rPr>
                <w:sz w:val="20"/>
                <w:vertAlign w:val="superscript"/>
              </w:rPr>
              <w:t>#</w:t>
            </w:r>
          </w:p>
        </w:tc>
        <w:tc>
          <w:tcPr>
            <w:tcW w:w="842" w:type="pct"/>
            <w:tcBorders>
              <w:top w:val="single" w:sz="4" w:space="0" w:color="auto"/>
            </w:tcBorders>
            <w:shd w:val="clear" w:color="auto" w:fill="auto"/>
          </w:tcPr>
          <w:p w:rsidR="008E4AD7" w:rsidRPr="00DD68A2" w:rsidRDefault="008E4AD7" w:rsidP="0024574C">
            <w:pPr>
              <w:rPr>
                <w:sz w:val="20"/>
              </w:rPr>
            </w:pPr>
          </w:p>
        </w:tc>
        <w:tc>
          <w:tcPr>
            <w:tcW w:w="760" w:type="pct"/>
            <w:tcBorders>
              <w:top w:val="single" w:sz="4" w:space="0" w:color="auto"/>
            </w:tcBorders>
            <w:shd w:val="clear" w:color="auto" w:fill="auto"/>
          </w:tcPr>
          <w:p w:rsidR="008E4AD7" w:rsidRPr="00DD68A2" w:rsidRDefault="008E4AD7" w:rsidP="0024574C">
            <w:pPr>
              <w:rPr>
                <w:sz w:val="20"/>
              </w:rPr>
            </w:pPr>
          </w:p>
        </w:tc>
        <w:tc>
          <w:tcPr>
            <w:tcW w:w="697" w:type="pct"/>
            <w:tcBorders>
              <w:top w:val="single" w:sz="4" w:space="0" w:color="auto"/>
            </w:tcBorders>
            <w:shd w:val="clear" w:color="auto" w:fill="auto"/>
          </w:tcPr>
          <w:p w:rsidR="008E4AD7" w:rsidRPr="00DD68A2" w:rsidRDefault="008E4AD7" w:rsidP="0024574C">
            <w:pPr>
              <w:rPr>
                <w:sz w:val="20"/>
              </w:rPr>
            </w:pPr>
          </w:p>
        </w:tc>
        <w:tc>
          <w:tcPr>
            <w:tcW w:w="710" w:type="pct"/>
            <w:tcBorders>
              <w:top w:val="single" w:sz="4" w:space="0" w:color="auto"/>
            </w:tcBorders>
            <w:shd w:val="clear" w:color="auto" w:fill="auto"/>
          </w:tcPr>
          <w:p w:rsidR="008E4AD7" w:rsidRPr="00DD68A2" w:rsidRDefault="008E4AD7" w:rsidP="0024574C">
            <w:pPr>
              <w:rPr>
                <w:sz w:val="20"/>
              </w:rPr>
            </w:pPr>
          </w:p>
        </w:tc>
      </w:tr>
      <w:tr w:rsidR="008E4AD7" w:rsidRPr="00DD68A2" w:rsidTr="00DD68A2">
        <w:trPr>
          <w:trHeight w:val="1758"/>
        </w:trPr>
        <w:tc>
          <w:tcPr>
            <w:tcW w:w="636" w:type="pct"/>
            <w:shd w:val="clear" w:color="auto" w:fill="auto"/>
          </w:tcPr>
          <w:p w:rsidR="008E4AD7" w:rsidRPr="00DD68A2" w:rsidRDefault="008E4AD7" w:rsidP="0024574C">
            <w:pPr>
              <w:rPr>
                <w:sz w:val="20"/>
              </w:rPr>
            </w:pPr>
            <w:r w:rsidRPr="00DD68A2">
              <w:rPr>
                <w:sz w:val="20"/>
              </w:rPr>
              <w:t>Blod og lymfesystem</w:t>
            </w:r>
          </w:p>
        </w:tc>
        <w:tc>
          <w:tcPr>
            <w:tcW w:w="449" w:type="pct"/>
            <w:shd w:val="clear" w:color="auto" w:fill="auto"/>
          </w:tcPr>
          <w:p w:rsidR="008E4AD7" w:rsidRPr="00DD68A2" w:rsidRDefault="008E4AD7" w:rsidP="0024574C">
            <w:pPr>
              <w:rPr>
                <w:sz w:val="20"/>
              </w:rPr>
            </w:pPr>
          </w:p>
        </w:tc>
        <w:tc>
          <w:tcPr>
            <w:tcW w:w="906" w:type="pct"/>
            <w:shd w:val="clear" w:color="auto" w:fill="auto"/>
          </w:tcPr>
          <w:p w:rsidR="008E4AD7" w:rsidRPr="00DD68A2" w:rsidRDefault="008E4AD7" w:rsidP="0024574C">
            <w:pPr>
              <w:rPr>
                <w:sz w:val="20"/>
              </w:rPr>
            </w:pPr>
          </w:p>
        </w:tc>
        <w:tc>
          <w:tcPr>
            <w:tcW w:w="842" w:type="pct"/>
            <w:shd w:val="clear" w:color="auto" w:fill="auto"/>
          </w:tcPr>
          <w:p w:rsidR="008E4AD7" w:rsidRPr="00DD68A2" w:rsidRDefault="008E4AD7" w:rsidP="0024574C">
            <w:pPr>
              <w:rPr>
                <w:sz w:val="20"/>
              </w:rPr>
            </w:pPr>
          </w:p>
        </w:tc>
        <w:tc>
          <w:tcPr>
            <w:tcW w:w="760" w:type="pct"/>
            <w:shd w:val="clear" w:color="auto" w:fill="auto"/>
          </w:tcPr>
          <w:p w:rsidR="008E4AD7" w:rsidRPr="00DD68A2" w:rsidRDefault="008E4AD7" w:rsidP="0024574C">
            <w:pPr>
              <w:rPr>
                <w:sz w:val="20"/>
              </w:rPr>
            </w:pPr>
          </w:p>
        </w:tc>
        <w:tc>
          <w:tcPr>
            <w:tcW w:w="697" w:type="pct"/>
            <w:shd w:val="clear" w:color="auto" w:fill="auto"/>
          </w:tcPr>
          <w:p w:rsidR="008E4AD7" w:rsidRPr="00DD68A2" w:rsidRDefault="008E4AD7" w:rsidP="0024574C">
            <w:pPr>
              <w:rPr>
                <w:sz w:val="20"/>
                <w:lang w:val="en-US"/>
              </w:rPr>
            </w:pPr>
            <w:proofErr w:type="spellStart"/>
            <w:r w:rsidRPr="00DD68A2">
              <w:rPr>
                <w:sz w:val="20"/>
                <w:lang w:val="en-US"/>
              </w:rPr>
              <w:t>Anæmi</w:t>
            </w:r>
            <w:proofErr w:type="spellEnd"/>
            <w:r w:rsidRPr="00DD68A2">
              <w:rPr>
                <w:sz w:val="20"/>
                <w:vertAlign w:val="superscript"/>
                <w:lang w:val="en-US"/>
              </w:rPr>
              <w:t>†</w:t>
            </w:r>
            <w:r w:rsidRPr="00DD68A2">
              <w:rPr>
                <w:sz w:val="20"/>
                <w:lang w:val="en-US"/>
              </w:rPr>
              <w:t xml:space="preserve">, </w:t>
            </w:r>
            <w:proofErr w:type="spellStart"/>
            <w:r w:rsidRPr="00DD68A2">
              <w:rPr>
                <w:sz w:val="20"/>
                <w:lang w:val="en-US"/>
              </w:rPr>
              <w:t>leukopeni</w:t>
            </w:r>
            <w:proofErr w:type="spellEnd"/>
            <w:r w:rsidRPr="00DD68A2">
              <w:rPr>
                <w:sz w:val="20"/>
                <w:vertAlign w:val="superscript"/>
                <w:lang w:val="en-US"/>
              </w:rPr>
              <w:t>†</w:t>
            </w:r>
            <w:r w:rsidRPr="00DD68A2">
              <w:rPr>
                <w:sz w:val="20"/>
                <w:lang w:val="en-US"/>
              </w:rPr>
              <w:t xml:space="preserve">, </w:t>
            </w:r>
            <w:proofErr w:type="spellStart"/>
            <w:r w:rsidRPr="00DD68A2">
              <w:rPr>
                <w:sz w:val="20"/>
                <w:lang w:val="en-US"/>
              </w:rPr>
              <w:t>trombocytopeni</w:t>
            </w:r>
            <w:proofErr w:type="spellEnd"/>
            <w:r w:rsidRPr="00DD68A2">
              <w:rPr>
                <w:sz w:val="20"/>
                <w:lang w:val="en-US"/>
              </w:rPr>
              <w:t xml:space="preserve">, </w:t>
            </w:r>
            <w:proofErr w:type="spellStart"/>
            <w:r w:rsidRPr="00DD68A2">
              <w:rPr>
                <w:sz w:val="20"/>
                <w:lang w:val="en-US"/>
              </w:rPr>
              <w:t>trombocytopenisk</w:t>
            </w:r>
            <w:proofErr w:type="spellEnd"/>
            <w:r w:rsidRPr="00DD68A2">
              <w:rPr>
                <w:sz w:val="20"/>
                <w:lang w:val="en-US"/>
              </w:rPr>
              <w:t xml:space="preserve"> purpura</w:t>
            </w:r>
          </w:p>
        </w:tc>
        <w:tc>
          <w:tcPr>
            <w:tcW w:w="710" w:type="pct"/>
            <w:shd w:val="clear" w:color="auto" w:fill="auto"/>
          </w:tcPr>
          <w:p w:rsidR="008E4AD7" w:rsidRPr="00DD68A2" w:rsidRDefault="008E4AD7" w:rsidP="0024574C">
            <w:pPr>
              <w:rPr>
                <w:sz w:val="20"/>
              </w:rPr>
            </w:pPr>
            <w:proofErr w:type="spellStart"/>
            <w:r w:rsidRPr="00DD68A2">
              <w:rPr>
                <w:sz w:val="20"/>
              </w:rPr>
              <w:t>Pancytopeni</w:t>
            </w:r>
            <w:proofErr w:type="spellEnd"/>
          </w:p>
        </w:tc>
      </w:tr>
      <w:tr w:rsidR="008E4AD7" w:rsidRPr="00DD68A2" w:rsidTr="00DD68A2">
        <w:tc>
          <w:tcPr>
            <w:tcW w:w="636" w:type="pct"/>
            <w:shd w:val="clear" w:color="auto" w:fill="auto"/>
          </w:tcPr>
          <w:p w:rsidR="008E4AD7" w:rsidRPr="00DD68A2" w:rsidRDefault="008E4AD7" w:rsidP="0024574C">
            <w:pPr>
              <w:rPr>
                <w:sz w:val="20"/>
              </w:rPr>
            </w:pPr>
            <w:r w:rsidRPr="00DD68A2">
              <w:rPr>
                <w:sz w:val="20"/>
              </w:rPr>
              <w:t>Immunsystemet</w:t>
            </w:r>
          </w:p>
        </w:tc>
        <w:tc>
          <w:tcPr>
            <w:tcW w:w="449" w:type="pct"/>
            <w:shd w:val="clear" w:color="auto" w:fill="auto"/>
          </w:tcPr>
          <w:p w:rsidR="008E4AD7" w:rsidRPr="00DD68A2" w:rsidRDefault="008E4AD7" w:rsidP="0024574C">
            <w:pPr>
              <w:rPr>
                <w:sz w:val="20"/>
              </w:rPr>
            </w:pPr>
          </w:p>
        </w:tc>
        <w:tc>
          <w:tcPr>
            <w:tcW w:w="906" w:type="pct"/>
            <w:shd w:val="clear" w:color="auto" w:fill="auto"/>
          </w:tcPr>
          <w:p w:rsidR="008E4AD7" w:rsidRPr="00DD68A2" w:rsidRDefault="008E4AD7" w:rsidP="0024574C">
            <w:pPr>
              <w:rPr>
                <w:sz w:val="20"/>
              </w:rPr>
            </w:pPr>
          </w:p>
        </w:tc>
        <w:tc>
          <w:tcPr>
            <w:tcW w:w="842" w:type="pct"/>
            <w:shd w:val="clear" w:color="auto" w:fill="auto"/>
          </w:tcPr>
          <w:p w:rsidR="008E4AD7" w:rsidRPr="00DD68A2" w:rsidRDefault="008E4AD7" w:rsidP="0024574C">
            <w:pPr>
              <w:rPr>
                <w:sz w:val="20"/>
              </w:rPr>
            </w:pPr>
            <w:r w:rsidRPr="00DD68A2">
              <w:rPr>
                <w:sz w:val="20"/>
              </w:rPr>
              <w:t xml:space="preserve">Overfølsomhedsreaktioner såsom </w:t>
            </w:r>
            <w:proofErr w:type="spellStart"/>
            <w:r w:rsidRPr="00DD68A2">
              <w:rPr>
                <w:sz w:val="20"/>
              </w:rPr>
              <w:t>angioneurotisk</w:t>
            </w:r>
            <w:proofErr w:type="spellEnd"/>
            <w:r w:rsidRPr="00DD68A2">
              <w:rPr>
                <w:sz w:val="20"/>
              </w:rPr>
              <w:t xml:space="preserve"> ødem, </w:t>
            </w:r>
            <w:proofErr w:type="spellStart"/>
            <w:r w:rsidRPr="00DD68A2">
              <w:rPr>
                <w:sz w:val="20"/>
              </w:rPr>
              <w:t>anafylaktiske</w:t>
            </w:r>
            <w:proofErr w:type="spellEnd"/>
            <w:r w:rsidRPr="00DD68A2">
              <w:rPr>
                <w:sz w:val="20"/>
              </w:rPr>
              <w:t xml:space="preserve"> reaktioner, </w:t>
            </w:r>
            <w:proofErr w:type="spellStart"/>
            <w:r w:rsidRPr="00DD68A2">
              <w:rPr>
                <w:sz w:val="20"/>
              </w:rPr>
              <w:t>arikulær</w:t>
            </w:r>
            <w:proofErr w:type="spellEnd"/>
            <w:r w:rsidRPr="00DD68A2">
              <w:rPr>
                <w:sz w:val="20"/>
              </w:rPr>
              <w:t xml:space="preserve"> hævelse, </w:t>
            </w:r>
            <w:proofErr w:type="spellStart"/>
            <w:r w:rsidRPr="00DD68A2">
              <w:rPr>
                <w:sz w:val="20"/>
              </w:rPr>
              <w:t>bulløse</w:t>
            </w:r>
            <w:proofErr w:type="spellEnd"/>
            <w:r w:rsidRPr="00DD68A2">
              <w:rPr>
                <w:sz w:val="20"/>
              </w:rPr>
              <w:t xml:space="preserve"> lidelser, </w:t>
            </w:r>
            <w:proofErr w:type="spellStart"/>
            <w:r w:rsidRPr="00DD68A2">
              <w:rPr>
                <w:sz w:val="20"/>
              </w:rPr>
              <w:t>eksfoliative</w:t>
            </w:r>
            <w:proofErr w:type="spellEnd"/>
            <w:r w:rsidRPr="00DD68A2">
              <w:rPr>
                <w:sz w:val="20"/>
              </w:rPr>
              <w:t xml:space="preserve"> lidelser, </w:t>
            </w:r>
            <w:proofErr w:type="spellStart"/>
            <w:r w:rsidRPr="00DD68A2">
              <w:rPr>
                <w:sz w:val="20"/>
              </w:rPr>
              <w:t>urticaria</w:t>
            </w:r>
            <w:proofErr w:type="spellEnd"/>
            <w:r w:rsidRPr="00DD68A2">
              <w:rPr>
                <w:sz w:val="20"/>
              </w:rPr>
              <w:t xml:space="preserve">, </w:t>
            </w:r>
            <w:proofErr w:type="spellStart"/>
            <w:r w:rsidRPr="00DD68A2">
              <w:rPr>
                <w:sz w:val="20"/>
              </w:rPr>
              <w:t>pruritus</w:t>
            </w:r>
            <w:proofErr w:type="spellEnd"/>
            <w:r w:rsidRPr="00DD68A2">
              <w:rPr>
                <w:sz w:val="20"/>
              </w:rPr>
              <w:t>, udslæt og eruptioner</w:t>
            </w:r>
          </w:p>
        </w:tc>
        <w:tc>
          <w:tcPr>
            <w:tcW w:w="760" w:type="pct"/>
            <w:shd w:val="clear" w:color="auto" w:fill="auto"/>
          </w:tcPr>
          <w:p w:rsidR="008E4AD7" w:rsidRPr="00DD68A2" w:rsidRDefault="008E4AD7" w:rsidP="0024574C">
            <w:pPr>
              <w:rPr>
                <w:sz w:val="20"/>
              </w:rPr>
            </w:pPr>
          </w:p>
        </w:tc>
        <w:tc>
          <w:tcPr>
            <w:tcW w:w="697" w:type="pct"/>
            <w:shd w:val="clear" w:color="auto" w:fill="auto"/>
          </w:tcPr>
          <w:p w:rsidR="008E4AD7" w:rsidRPr="00DD68A2" w:rsidRDefault="008E4AD7" w:rsidP="0024574C">
            <w:pPr>
              <w:rPr>
                <w:sz w:val="20"/>
              </w:rPr>
            </w:pPr>
          </w:p>
        </w:tc>
        <w:tc>
          <w:tcPr>
            <w:tcW w:w="710" w:type="pct"/>
            <w:shd w:val="clear" w:color="auto" w:fill="auto"/>
          </w:tcPr>
          <w:p w:rsidR="008E4AD7" w:rsidRPr="00DD68A2" w:rsidRDefault="008E4AD7" w:rsidP="0024574C">
            <w:pPr>
              <w:rPr>
                <w:sz w:val="20"/>
              </w:rPr>
            </w:pPr>
          </w:p>
        </w:tc>
      </w:tr>
      <w:tr w:rsidR="008E4AD7" w:rsidRPr="00DD68A2" w:rsidTr="00DD68A2">
        <w:tc>
          <w:tcPr>
            <w:tcW w:w="636" w:type="pct"/>
            <w:shd w:val="clear" w:color="auto" w:fill="auto"/>
          </w:tcPr>
          <w:p w:rsidR="008E4AD7" w:rsidRPr="00DD68A2" w:rsidRDefault="008E4AD7" w:rsidP="0024574C">
            <w:pPr>
              <w:rPr>
                <w:sz w:val="20"/>
              </w:rPr>
            </w:pPr>
            <w:r w:rsidRPr="00DD68A2">
              <w:rPr>
                <w:sz w:val="20"/>
              </w:rPr>
              <w:t>Metabolisme og ernæring*</w:t>
            </w:r>
          </w:p>
        </w:tc>
        <w:tc>
          <w:tcPr>
            <w:tcW w:w="449" w:type="pct"/>
            <w:shd w:val="clear" w:color="auto" w:fill="auto"/>
          </w:tcPr>
          <w:p w:rsidR="008E4AD7" w:rsidRPr="00DD68A2" w:rsidRDefault="008E4AD7" w:rsidP="0024574C">
            <w:pPr>
              <w:rPr>
                <w:sz w:val="20"/>
              </w:rPr>
            </w:pPr>
          </w:p>
        </w:tc>
        <w:tc>
          <w:tcPr>
            <w:tcW w:w="906" w:type="pct"/>
            <w:shd w:val="clear" w:color="auto" w:fill="auto"/>
          </w:tcPr>
          <w:p w:rsidR="008E4AD7" w:rsidRPr="00DD68A2" w:rsidRDefault="008E4AD7" w:rsidP="0024574C">
            <w:pPr>
              <w:rPr>
                <w:sz w:val="20"/>
              </w:rPr>
            </w:pPr>
            <w:r w:rsidRPr="00DD68A2">
              <w:rPr>
                <w:sz w:val="20"/>
              </w:rPr>
              <w:t>Anoreksi, nedsat appetit</w:t>
            </w:r>
            <w:r w:rsidRPr="00DD68A2">
              <w:rPr>
                <w:sz w:val="20"/>
                <w:vertAlign w:val="superscript"/>
              </w:rPr>
              <w:t>†</w:t>
            </w:r>
            <w:r w:rsidRPr="00DD68A2">
              <w:rPr>
                <w:sz w:val="20"/>
              </w:rPr>
              <w:t>, moderat nedsat vægtøgning eller højdetilvækst ved langvarig anvendelse hos børn*</w:t>
            </w:r>
          </w:p>
        </w:tc>
        <w:tc>
          <w:tcPr>
            <w:tcW w:w="842" w:type="pct"/>
            <w:shd w:val="clear" w:color="auto" w:fill="auto"/>
          </w:tcPr>
          <w:p w:rsidR="008E4AD7" w:rsidRPr="00DD68A2" w:rsidRDefault="008E4AD7" w:rsidP="0024574C">
            <w:pPr>
              <w:rPr>
                <w:sz w:val="20"/>
              </w:rPr>
            </w:pPr>
          </w:p>
        </w:tc>
        <w:tc>
          <w:tcPr>
            <w:tcW w:w="760" w:type="pct"/>
            <w:shd w:val="clear" w:color="auto" w:fill="auto"/>
          </w:tcPr>
          <w:p w:rsidR="008E4AD7" w:rsidRPr="00DD68A2" w:rsidRDefault="008E4AD7" w:rsidP="0024574C">
            <w:pPr>
              <w:rPr>
                <w:sz w:val="20"/>
              </w:rPr>
            </w:pPr>
          </w:p>
        </w:tc>
        <w:tc>
          <w:tcPr>
            <w:tcW w:w="697" w:type="pct"/>
            <w:shd w:val="clear" w:color="auto" w:fill="auto"/>
          </w:tcPr>
          <w:p w:rsidR="008E4AD7" w:rsidRPr="00DD68A2" w:rsidRDefault="008E4AD7" w:rsidP="0024574C">
            <w:pPr>
              <w:rPr>
                <w:sz w:val="20"/>
              </w:rPr>
            </w:pPr>
          </w:p>
        </w:tc>
        <w:tc>
          <w:tcPr>
            <w:tcW w:w="710" w:type="pct"/>
            <w:shd w:val="clear" w:color="auto" w:fill="auto"/>
          </w:tcPr>
          <w:p w:rsidR="008E4AD7" w:rsidRPr="00DD68A2" w:rsidRDefault="008E4AD7" w:rsidP="0024574C">
            <w:pPr>
              <w:rPr>
                <w:sz w:val="20"/>
              </w:rPr>
            </w:pPr>
          </w:p>
        </w:tc>
      </w:tr>
      <w:tr w:rsidR="008E4AD7" w:rsidRPr="00DD68A2" w:rsidTr="00DD68A2">
        <w:tc>
          <w:tcPr>
            <w:tcW w:w="636" w:type="pct"/>
            <w:shd w:val="clear" w:color="auto" w:fill="auto"/>
          </w:tcPr>
          <w:p w:rsidR="008E4AD7" w:rsidRPr="00DD68A2" w:rsidRDefault="008E4AD7" w:rsidP="0024574C">
            <w:pPr>
              <w:rPr>
                <w:sz w:val="20"/>
              </w:rPr>
            </w:pPr>
            <w:r w:rsidRPr="00DD68A2">
              <w:rPr>
                <w:sz w:val="20"/>
              </w:rPr>
              <w:t>Psykiske forstyrrelser*</w:t>
            </w:r>
          </w:p>
        </w:tc>
        <w:tc>
          <w:tcPr>
            <w:tcW w:w="449" w:type="pct"/>
            <w:shd w:val="clear" w:color="auto" w:fill="auto"/>
          </w:tcPr>
          <w:p w:rsidR="008E4AD7" w:rsidRPr="00DD68A2" w:rsidRDefault="008E4AD7" w:rsidP="0024574C">
            <w:pPr>
              <w:rPr>
                <w:sz w:val="20"/>
              </w:rPr>
            </w:pPr>
            <w:r w:rsidRPr="00DD68A2">
              <w:rPr>
                <w:sz w:val="20"/>
              </w:rPr>
              <w:t>Søvnløshed, nervøsitet</w:t>
            </w:r>
          </w:p>
        </w:tc>
        <w:tc>
          <w:tcPr>
            <w:tcW w:w="906" w:type="pct"/>
            <w:shd w:val="clear" w:color="auto" w:fill="auto"/>
          </w:tcPr>
          <w:p w:rsidR="008E4AD7" w:rsidRPr="00DD68A2" w:rsidRDefault="008E4AD7" w:rsidP="0024574C">
            <w:pPr>
              <w:rPr>
                <w:sz w:val="20"/>
              </w:rPr>
            </w:pPr>
            <w:r w:rsidRPr="00DD68A2">
              <w:rPr>
                <w:sz w:val="20"/>
              </w:rPr>
              <w:t>Anoreksi, affektlabilitet, aggression*, agitation*, angst*</w:t>
            </w:r>
            <w:r w:rsidRPr="00DD68A2">
              <w:rPr>
                <w:sz w:val="20"/>
                <w:vertAlign w:val="superscript"/>
              </w:rPr>
              <w:t>†</w:t>
            </w:r>
            <w:r w:rsidRPr="00DD68A2">
              <w:rPr>
                <w:sz w:val="20"/>
              </w:rPr>
              <w:t xml:space="preserve">, depression*, irritabilitet, unormal opførsel, humørsvingninger, tics*, initial </w:t>
            </w:r>
            <w:proofErr w:type="spellStart"/>
            <w:r w:rsidRPr="00DD68A2">
              <w:rPr>
                <w:sz w:val="20"/>
              </w:rPr>
              <w:t>insomni</w:t>
            </w:r>
            <w:proofErr w:type="spellEnd"/>
            <w:r w:rsidRPr="00DD68A2">
              <w:rPr>
                <w:sz w:val="20"/>
                <w:vertAlign w:val="superscript"/>
              </w:rPr>
              <w:t>#</w:t>
            </w:r>
            <w:r w:rsidRPr="00DD68A2">
              <w:rPr>
                <w:sz w:val="20"/>
              </w:rPr>
              <w:t>, nedsat stemningsleje</w:t>
            </w:r>
            <w:r w:rsidRPr="00DD68A2">
              <w:rPr>
                <w:sz w:val="20"/>
                <w:vertAlign w:val="superscript"/>
              </w:rPr>
              <w:t>#</w:t>
            </w:r>
            <w:r w:rsidRPr="00DD68A2">
              <w:rPr>
                <w:sz w:val="20"/>
              </w:rPr>
              <w:t>, depression</w:t>
            </w:r>
            <w:r w:rsidRPr="00DD68A2">
              <w:rPr>
                <w:sz w:val="20"/>
                <w:vertAlign w:val="superscript"/>
              </w:rPr>
              <w:t>#</w:t>
            </w:r>
            <w:r w:rsidRPr="00DD68A2">
              <w:rPr>
                <w:sz w:val="20"/>
              </w:rPr>
              <w:t>, nedsat libido</w:t>
            </w:r>
            <w:r w:rsidRPr="00DD68A2">
              <w:rPr>
                <w:sz w:val="20"/>
                <w:vertAlign w:val="superscript"/>
              </w:rPr>
              <w:t>#</w:t>
            </w:r>
            <w:r w:rsidRPr="00DD68A2">
              <w:rPr>
                <w:sz w:val="20"/>
              </w:rPr>
              <w:t>, anspændthed</w:t>
            </w:r>
            <w:r w:rsidRPr="00DD68A2">
              <w:rPr>
                <w:sz w:val="20"/>
                <w:vertAlign w:val="superscript"/>
              </w:rPr>
              <w:t>#</w:t>
            </w:r>
            <w:r w:rsidRPr="00DD68A2">
              <w:rPr>
                <w:sz w:val="20"/>
              </w:rPr>
              <w:t xml:space="preserve">, </w:t>
            </w:r>
            <w:proofErr w:type="spellStart"/>
            <w:r w:rsidRPr="00DD68A2">
              <w:rPr>
                <w:sz w:val="20"/>
              </w:rPr>
              <w:t>bruksisme</w:t>
            </w:r>
            <w:proofErr w:type="spellEnd"/>
            <w:r w:rsidRPr="00DD68A2">
              <w:rPr>
                <w:sz w:val="20"/>
                <w:vertAlign w:val="superscript"/>
              </w:rPr>
              <w:t>#</w:t>
            </w:r>
            <w:r w:rsidRPr="00DD68A2">
              <w:rPr>
                <w:sz w:val="20"/>
              </w:rPr>
              <w:t>, panikangst</w:t>
            </w:r>
            <w:r w:rsidRPr="00DD68A2">
              <w:rPr>
                <w:sz w:val="20"/>
                <w:vertAlign w:val="superscript"/>
              </w:rPr>
              <w:t>#</w:t>
            </w:r>
          </w:p>
        </w:tc>
        <w:tc>
          <w:tcPr>
            <w:tcW w:w="842" w:type="pct"/>
            <w:shd w:val="clear" w:color="auto" w:fill="auto"/>
          </w:tcPr>
          <w:p w:rsidR="008E4AD7" w:rsidRPr="00DD68A2" w:rsidRDefault="008E4AD7" w:rsidP="0024574C">
            <w:pPr>
              <w:rPr>
                <w:sz w:val="20"/>
              </w:rPr>
            </w:pPr>
            <w:r w:rsidRPr="00DD68A2">
              <w:rPr>
                <w:sz w:val="20"/>
              </w:rPr>
              <w:t>Psykotiske sygdomme*, hallucinationer* (auditive, visuelle eller taktile), vrede, selvmordstanker*, ændret humør, rastløshed</w:t>
            </w:r>
            <w:r w:rsidRPr="00DD68A2">
              <w:rPr>
                <w:sz w:val="20"/>
                <w:vertAlign w:val="superscript"/>
              </w:rPr>
              <w:t>†</w:t>
            </w:r>
            <w:r w:rsidRPr="00DD68A2">
              <w:rPr>
                <w:sz w:val="20"/>
              </w:rPr>
              <w:t xml:space="preserve">, </w:t>
            </w:r>
            <w:proofErr w:type="spellStart"/>
            <w:r w:rsidRPr="00DD68A2">
              <w:rPr>
                <w:sz w:val="20"/>
              </w:rPr>
              <w:t>grådlabilitet</w:t>
            </w:r>
            <w:proofErr w:type="spellEnd"/>
            <w:r w:rsidRPr="00DD68A2">
              <w:rPr>
                <w:sz w:val="20"/>
              </w:rPr>
              <w:t xml:space="preserve">, forværring af </w:t>
            </w:r>
            <w:proofErr w:type="spellStart"/>
            <w:r w:rsidRPr="00DD68A2">
              <w:rPr>
                <w:sz w:val="20"/>
              </w:rPr>
              <w:t>forudeksisterende</w:t>
            </w:r>
            <w:proofErr w:type="spellEnd"/>
            <w:r w:rsidRPr="00DD68A2">
              <w:rPr>
                <w:sz w:val="20"/>
              </w:rPr>
              <w:t xml:space="preserve"> tics ved Tourettes syndrom*, </w:t>
            </w:r>
            <w:proofErr w:type="spellStart"/>
            <w:r w:rsidRPr="00DD68A2">
              <w:rPr>
                <w:sz w:val="20"/>
              </w:rPr>
              <w:t>logorré</w:t>
            </w:r>
            <w:proofErr w:type="spellEnd"/>
            <w:r w:rsidRPr="00DD68A2">
              <w:rPr>
                <w:sz w:val="20"/>
              </w:rPr>
              <w:t xml:space="preserve">, </w:t>
            </w:r>
            <w:proofErr w:type="spellStart"/>
            <w:r w:rsidRPr="00DD68A2">
              <w:rPr>
                <w:sz w:val="20"/>
              </w:rPr>
              <w:t>hypervigilitet</w:t>
            </w:r>
            <w:proofErr w:type="spellEnd"/>
            <w:r w:rsidRPr="00DD68A2">
              <w:rPr>
                <w:sz w:val="20"/>
              </w:rPr>
              <w:t>, søvnforstyrrelser</w:t>
            </w:r>
          </w:p>
        </w:tc>
        <w:tc>
          <w:tcPr>
            <w:tcW w:w="760" w:type="pct"/>
            <w:shd w:val="clear" w:color="auto" w:fill="auto"/>
          </w:tcPr>
          <w:p w:rsidR="008E4AD7" w:rsidRPr="00DD68A2" w:rsidRDefault="008E4AD7" w:rsidP="0024574C">
            <w:pPr>
              <w:rPr>
                <w:sz w:val="20"/>
              </w:rPr>
            </w:pPr>
            <w:r w:rsidRPr="00DD68A2">
              <w:rPr>
                <w:sz w:val="20"/>
              </w:rPr>
              <w:t>Mani*</w:t>
            </w:r>
            <w:r w:rsidRPr="00DD68A2">
              <w:rPr>
                <w:sz w:val="20"/>
                <w:vertAlign w:val="superscript"/>
              </w:rPr>
              <w:t>†</w:t>
            </w:r>
            <w:r w:rsidRPr="00DD68A2">
              <w:rPr>
                <w:sz w:val="20"/>
              </w:rPr>
              <w:t>, desorientering, libidoforstyrrelse, konfus tilstand</w:t>
            </w:r>
            <w:r w:rsidRPr="00DD68A2">
              <w:rPr>
                <w:sz w:val="20"/>
                <w:vertAlign w:val="superscript"/>
              </w:rPr>
              <w:t>†</w:t>
            </w:r>
          </w:p>
        </w:tc>
        <w:tc>
          <w:tcPr>
            <w:tcW w:w="697" w:type="pct"/>
            <w:shd w:val="clear" w:color="auto" w:fill="auto"/>
          </w:tcPr>
          <w:p w:rsidR="008E4AD7" w:rsidRPr="00DD68A2" w:rsidRDefault="008E4AD7" w:rsidP="0024574C">
            <w:pPr>
              <w:rPr>
                <w:sz w:val="20"/>
              </w:rPr>
            </w:pPr>
            <w:r w:rsidRPr="00DD68A2">
              <w:rPr>
                <w:sz w:val="20"/>
              </w:rPr>
              <w:t xml:space="preserve">Selvmordsforsøg (herunder fuldbyrdet </w:t>
            </w:r>
            <w:proofErr w:type="gramStart"/>
            <w:r w:rsidRPr="00DD68A2">
              <w:rPr>
                <w:sz w:val="20"/>
              </w:rPr>
              <w:t>selvmord)*</w:t>
            </w:r>
            <w:proofErr w:type="gramEnd"/>
            <w:r w:rsidRPr="00DD68A2">
              <w:rPr>
                <w:sz w:val="20"/>
                <w:vertAlign w:val="superscript"/>
              </w:rPr>
              <w:t>†</w:t>
            </w:r>
            <w:r w:rsidRPr="00DD68A2">
              <w:rPr>
                <w:sz w:val="20"/>
              </w:rPr>
              <w:t>, forbigående nedtrykthed*, unormale tanker, apati</w:t>
            </w:r>
            <w:r w:rsidRPr="00DD68A2">
              <w:rPr>
                <w:sz w:val="20"/>
                <w:vertAlign w:val="superscript"/>
              </w:rPr>
              <w:t>†</w:t>
            </w:r>
            <w:r w:rsidRPr="00DD68A2">
              <w:rPr>
                <w:sz w:val="20"/>
              </w:rPr>
              <w:t xml:space="preserve">, </w:t>
            </w:r>
            <w:proofErr w:type="spellStart"/>
            <w:r w:rsidRPr="00DD68A2">
              <w:rPr>
                <w:sz w:val="20"/>
              </w:rPr>
              <w:t>repetitiv</w:t>
            </w:r>
            <w:proofErr w:type="spellEnd"/>
            <w:r w:rsidRPr="00DD68A2">
              <w:rPr>
                <w:sz w:val="20"/>
              </w:rPr>
              <w:t xml:space="preserve"> adfærd, overfokusering</w:t>
            </w:r>
          </w:p>
        </w:tc>
        <w:tc>
          <w:tcPr>
            <w:tcW w:w="710" w:type="pct"/>
            <w:shd w:val="clear" w:color="auto" w:fill="auto"/>
          </w:tcPr>
          <w:p w:rsidR="008E4AD7" w:rsidRPr="00DD68A2" w:rsidRDefault="008E4AD7" w:rsidP="0024574C">
            <w:pPr>
              <w:rPr>
                <w:sz w:val="20"/>
              </w:rPr>
            </w:pPr>
            <w:r w:rsidRPr="00DD68A2">
              <w:rPr>
                <w:sz w:val="20"/>
              </w:rPr>
              <w:t>Vrangforestillinger*</w:t>
            </w:r>
            <w:r w:rsidRPr="00DD68A2">
              <w:rPr>
                <w:sz w:val="20"/>
                <w:vertAlign w:val="superscript"/>
              </w:rPr>
              <w:t>†</w:t>
            </w:r>
            <w:r w:rsidRPr="00DD68A2">
              <w:rPr>
                <w:sz w:val="20"/>
              </w:rPr>
              <w:t>, tankeforstyrrelser*, afhængighed. Tilfælde af misbrug og afhængighed er beskrevet, og oftere ved formuleringer med hurtig frigivelse</w:t>
            </w:r>
          </w:p>
        </w:tc>
      </w:tr>
      <w:tr w:rsidR="008E4AD7" w:rsidRPr="00DD68A2" w:rsidTr="00DD68A2">
        <w:tc>
          <w:tcPr>
            <w:tcW w:w="636" w:type="pct"/>
            <w:shd w:val="clear" w:color="auto" w:fill="auto"/>
          </w:tcPr>
          <w:p w:rsidR="008E4AD7" w:rsidRPr="00DD68A2" w:rsidRDefault="008E4AD7" w:rsidP="0024574C">
            <w:pPr>
              <w:rPr>
                <w:sz w:val="20"/>
              </w:rPr>
            </w:pPr>
            <w:r w:rsidRPr="00DD68A2">
              <w:rPr>
                <w:sz w:val="20"/>
              </w:rPr>
              <w:t>Nervesystemet</w:t>
            </w:r>
          </w:p>
        </w:tc>
        <w:tc>
          <w:tcPr>
            <w:tcW w:w="449" w:type="pct"/>
            <w:shd w:val="clear" w:color="auto" w:fill="auto"/>
          </w:tcPr>
          <w:p w:rsidR="008E4AD7" w:rsidRPr="00DD68A2" w:rsidRDefault="008E4AD7" w:rsidP="0024574C">
            <w:pPr>
              <w:rPr>
                <w:sz w:val="20"/>
              </w:rPr>
            </w:pPr>
            <w:r w:rsidRPr="00DD68A2">
              <w:rPr>
                <w:sz w:val="20"/>
              </w:rPr>
              <w:t>Hovedpine</w:t>
            </w:r>
          </w:p>
        </w:tc>
        <w:tc>
          <w:tcPr>
            <w:tcW w:w="906" w:type="pct"/>
            <w:shd w:val="clear" w:color="auto" w:fill="auto"/>
          </w:tcPr>
          <w:p w:rsidR="008E4AD7" w:rsidRPr="00DD68A2" w:rsidRDefault="008E4AD7" w:rsidP="0024574C">
            <w:pPr>
              <w:rPr>
                <w:sz w:val="20"/>
              </w:rPr>
            </w:pPr>
            <w:r w:rsidRPr="00DD68A2">
              <w:rPr>
                <w:sz w:val="20"/>
              </w:rPr>
              <w:t xml:space="preserve">Svimmelhed, </w:t>
            </w:r>
            <w:proofErr w:type="spellStart"/>
            <w:r w:rsidRPr="00DD68A2">
              <w:rPr>
                <w:sz w:val="20"/>
              </w:rPr>
              <w:t>dyskinesi</w:t>
            </w:r>
            <w:proofErr w:type="spellEnd"/>
            <w:r w:rsidRPr="00DD68A2">
              <w:rPr>
                <w:sz w:val="20"/>
              </w:rPr>
              <w:t xml:space="preserve">, </w:t>
            </w:r>
            <w:proofErr w:type="spellStart"/>
            <w:r w:rsidRPr="00DD68A2">
              <w:rPr>
                <w:sz w:val="20"/>
              </w:rPr>
              <w:t>psykomotorisk</w:t>
            </w:r>
            <w:proofErr w:type="spellEnd"/>
            <w:r w:rsidRPr="00DD68A2">
              <w:rPr>
                <w:sz w:val="20"/>
              </w:rPr>
              <w:t xml:space="preserve"> hyperaktivitet, døsighed, </w:t>
            </w:r>
            <w:proofErr w:type="spellStart"/>
            <w:r w:rsidRPr="00DD68A2">
              <w:rPr>
                <w:sz w:val="20"/>
              </w:rPr>
              <w:t>paræstesi</w:t>
            </w:r>
            <w:proofErr w:type="spellEnd"/>
            <w:r w:rsidRPr="00DD68A2">
              <w:rPr>
                <w:sz w:val="20"/>
                <w:vertAlign w:val="superscript"/>
              </w:rPr>
              <w:t>#</w:t>
            </w:r>
            <w:r w:rsidRPr="00DD68A2">
              <w:rPr>
                <w:sz w:val="20"/>
              </w:rPr>
              <w:t>, spændingshovedpine</w:t>
            </w:r>
            <w:r w:rsidRPr="00DD68A2">
              <w:rPr>
                <w:sz w:val="20"/>
                <w:vertAlign w:val="superscript"/>
              </w:rPr>
              <w:t>#</w:t>
            </w:r>
          </w:p>
        </w:tc>
        <w:tc>
          <w:tcPr>
            <w:tcW w:w="842" w:type="pct"/>
            <w:shd w:val="clear" w:color="auto" w:fill="auto"/>
          </w:tcPr>
          <w:p w:rsidR="008E4AD7" w:rsidRPr="00DD68A2" w:rsidRDefault="008E4AD7" w:rsidP="0024574C">
            <w:pPr>
              <w:rPr>
                <w:sz w:val="20"/>
              </w:rPr>
            </w:pPr>
            <w:r w:rsidRPr="00DD68A2">
              <w:rPr>
                <w:sz w:val="20"/>
              </w:rPr>
              <w:t xml:space="preserve">Sedation, </w:t>
            </w:r>
            <w:proofErr w:type="spellStart"/>
            <w:r w:rsidRPr="00DD68A2">
              <w:rPr>
                <w:sz w:val="20"/>
              </w:rPr>
              <w:t>tremor</w:t>
            </w:r>
            <w:proofErr w:type="spellEnd"/>
            <w:r w:rsidRPr="00DD68A2">
              <w:rPr>
                <w:sz w:val="20"/>
                <w:vertAlign w:val="superscript"/>
              </w:rPr>
              <w:t>†</w:t>
            </w:r>
            <w:r w:rsidRPr="00DD68A2">
              <w:rPr>
                <w:sz w:val="20"/>
              </w:rPr>
              <w:t>, letargi</w:t>
            </w:r>
            <w:r w:rsidRPr="00DD68A2">
              <w:rPr>
                <w:sz w:val="20"/>
                <w:vertAlign w:val="superscript"/>
              </w:rPr>
              <w:t>#</w:t>
            </w:r>
          </w:p>
        </w:tc>
        <w:tc>
          <w:tcPr>
            <w:tcW w:w="760" w:type="pct"/>
            <w:shd w:val="clear" w:color="auto" w:fill="auto"/>
          </w:tcPr>
          <w:p w:rsidR="008E4AD7" w:rsidRPr="00DD68A2" w:rsidRDefault="008E4AD7" w:rsidP="0024574C">
            <w:pPr>
              <w:rPr>
                <w:sz w:val="20"/>
              </w:rPr>
            </w:pPr>
          </w:p>
        </w:tc>
        <w:tc>
          <w:tcPr>
            <w:tcW w:w="697" w:type="pct"/>
            <w:shd w:val="clear" w:color="auto" w:fill="auto"/>
          </w:tcPr>
          <w:p w:rsidR="008E4AD7" w:rsidRPr="00DD68A2" w:rsidRDefault="008E4AD7" w:rsidP="0024574C">
            <w:pPr>
              <w:rPr>
                <w:sz w:val="20"/>
              </w:rPr>
            </w:pPr>
            <w:r w:rsidRPr="00DD68A2">
              <w:rPr>
                <w:sz w:val="20"/>
              </w:rPr>
              <w:t xml:space="preserve">Konvulsioner, </w:t>
            </w:r>
            <w:proofErr w:type="spellStart"/>
            <w:r w:rsidRPr="00DD68A2">
              <w:rPr>
                <w:sz w:val="20"/>
              </w:rPr>
              <w:t>koreoatetoide</w:t>
            </w:r>
            <w:proofErr w:type="spellEnd"/>
            <w:r w:rsidRPr="00DD68A2">
              <w:rPr>
                <w:sz w:val="20"/>
              </w:rPr>
              <w:t xml:space="preserve"> bevægelser, reversibel iskæmisk neurologisk deficit, </w:t>
            </w:r>
            <w:proofErr w:type="spellStart"/>
            <w:r w:rsidRPr="00DD68A2">
              <w:rPr>
                <w:sz w:val="20"/>
              </w:rPr>
              <w:t>neuroleptis</w:t>
            </w:r>
            <w:proofErr w:type="spellEnd"/>
            <w:r w:rsidRPr="00DD68A2">
              <w:rPr>
                <w:sz w:val="20"/>
              </w:rPr>
              <w:t xml:space="preserve"> malignt syndrom (tilfældene var dårligt dokumenteret, og i de fleste tilfælde fik patienten også andre lægemidler, så </w:t>
            </w:r>
            <w:proofErr w:type="spellStart"/>
            <w:r w:rsidRPr="00DD68A2">
              <w:rPr>
                <w:sz w:val="20"/>
              </w:rPr>
              <w:t>methylphenidats</w:t>
            </w:r>
            <w:proofErr w:type="spellEnd"/>
            <w:r w:rsidRPr="00DD68A2">
              <w:rPr>
                <w:sz w:val="20"/>
              </w:rPr>
              <w:t xml:space="preserve"> rolle er uklar).</w:t>
            </w:r>
          </w:p>
        </w:tc>
        <w:tc>
          <w:tcPr>
            <w:tcW w:w="710" w:type="pct"/>
            <w:shd w:val="clear" w:color="auto" w:fill="auto"/>
          </w:tcPr>
          <w:p w:rsidR="008E4AD7" w:rsidRPr="00DD68A2" w:rsidRDefault="008E4AD7" w:rsidP="0024574C">
            <w:pPr>
              <w:rPr>
                <w:sz w:val="20"/>
              </w:rPr>
            </w:pPr>
            <w:proofErr w:type="spellStart"/>
            <w:r w:rsidRPr="00DD68A2">
              <w:rPr>
                <w:sz w:val="20"/>
              </w:rPr>
              <w:t>Cerebrovaskulære</w:t>
            </w:r>
            <w:proofErr w:type="spellEnd"/>
            <w:r w:rsidRPr="00DD68A2">
              <w:rPr>
                <w:sz w:val="20"/>
              </w:rPr>
              <w:t xml:space="preserve"> hændelser*</w:t>
            </w:r>
            <w:r w:rsidRPr="00DD68A2">
              <w:rPr>
                <w:sz w:val="20"/>
                <w:vertAlign w:val="superscript"/>
              </w:rPr>
              <w:t>†</w:t>
            </w:r>
            <w:r w:rsidRPr="00DD68A2">
              <w:rPr>
                <w:sz w:val="20"/>
              </w:rPr>
              <w:t xml:space="preserve"> (herunder </w:t>
            </w:r>
            <w:proofErr w:type="spellStart"/>
            <w:r w:rsidRPr="00DD68A2">
              <w:rPr>
                <w:sz w:val="20"/>
              </w:rPr>
              <w:t>vaskulitis</w:t>
            </w:r>
            <w:proofErr w:type="spellEnd"/>
            <w:r w:rsidRPr="00DD68A2">
              <w:rPr>
                <w:sz w:val="20"/>
              </w:rPr>
              <w:t xml:space="preserve">, cerebral </w:t>
            </w:r>
            <w:proofErr w:type="spellStart"/>
            <w:r w:rsidRPr="00DD68A2">
              <w:rPr>
                <w:sz w:val="20"/>
              </w:rPr>
              <w:t>hæmorrhage</w:t>
            </w:r>
            <w:proofErr w:type="spellEnd"/>
            <w:r w:rsidRPr="00DD68A2">
              <w:rPr>
                <w:sz w:val="20"/>
              </w:rPr>
              <w:t xml:space="preserve"> og </w:t>
            </w:r>
            <w:proofErr w:type="spellStart"/>
            <w:r w:rsidRPr="00DD68A2">
              <w:rPr>
                <w:sz w:val="20"/>
              </w:rPr>
              <w:t>cerebrovaskulære</w:t>
            </w:r>
            <w:proofErr w:type="spellEnd"/>
            <w:r w:rsidRPr="00DD68A2">
              <w:rPr>
                <w:sz w:val="20"/>
              </w:rPr>
              <w:t xml:space="preserve"> hændelser, cerebral </w:t>
            </w:r>
            <w:proofErr w:type="spellStart"/>
            <w:r w:rsidRPr="00DD68A2">
              <w:rPr>
                <w:sz w:val="20"/>
              </w:rPr>
              <w:t>okklusion</w:t>
            </w:r>
            <w:proofErr w:type="spellEnd"/>
            <w:r w:rsidRPr="00DD68A2">
              <w:rPr>
                <w:sz w:val="20"/>
              </w:rPr>
              <w:t xml:space="preserve">), grand mal krampeanfald*, </w:t>
            </w:r>
            <w:r w:rsidR="004255DB" w:rsidRPr="00DD68A2">
              <w:rPr>
                <w:sz w:val="20"/>
              </w:rPr>
              <w:t>migræne</w:t>
            </w:r>
            <w:r w:rsidR="004255DB" w:rsidRPr="00DD68A2">
              <w:rPr>
                <w:sz w:val="20"/>
                <w:vertAlign w:val="superscript"/>
              </w:rPr>
              <w:t>†</w:t>
            </w:r>
            <w:r w:rsidR="004255DB" w:rsidRPr="00DD68A2">
              <w:rPr>
                <w:sz w:val="20"/>
              </w:rPr>
              <w:t xml:space="preserve">, </w:t>
            </w:r>
            <w:proofErr w:type="spellStart"/>
            <w:r w:rsidR="004255DB" w:rsidRPr="00DD68A2">
              <w:rPr>
                <w:sz w:val="20"/>
              </w:rPr>
              <w:t>dysfoni</w:t>
            </w:r>
            <w:proofErr w:type="spellEnd"/>
          </w:p>
        </w:tc>
      </w:tr>
      <w:tr w:rsidR="008E4AD7" w:rsidRPr="00DD68A2" w:rsidTr="00DD68A2">
        <w:tc>
          <w:tcPr>
            <w:tcW w:w="636" w:type="pct"/>
            <w:shd w:val="clear" w:color="auto" w:fill="auto"/>
          </w:tcPr>
          <w:p w:rsidR="008E4AD7" w:rsidRPr="00DD68A2" w:rsidRDefault="008E4AD7" w:rsidP="0024574C">
            <w:pPr>
              <w:rPr>
                <w:sz w:val="20"/>
              </w:rPr>
            </w:pPr>
            <w:r w:rsidRPr="00DD68A2">
              <w:rPr>
                <w:sz w:val="20"/>
              </w:rPr>
              <w:t>Øjne</w:t>
            </w:r>
          </w:p>
        </w:tc>
        <w:tc>
          <w:tcPr>
            <w:tcW w:w="449" w:type="pct"/>
            <w:shd w:val="clear" w:color="auto" w:fill="auto"/>
          </w:tcPr>
          <w:p w:rsidR="008E4AD7" w:rsidRPr="00DD68A2" w:rsidRDefault="008E4AD7" w:rsidP="0024574C">
            <w:pPr>
              <w:rPr>
                <w:sz w:val="20"/>
              </w:rPr>
            </w:pPr>
          </w:p>
        </w:tc>
        <w:tc>
          <w:tcPr>
            <w:tcW w:w="906" w:type="pct"/>
            <w:shd w:val="clear" w:color="auto" w:fill="auto"/>
          </w:tcPr>
          <w:p w:rsidR="008E4AD7" w:rsidRPr="00DD68A2" w:rsidRDefault="008E4AD7" w:rsidP="0024574C">
            <w:pPr>
              <w:rPr>
                <w:sz w:val="20"/>
              </w:rPr>
            </w:pPr>
            <w:proofErr w:type="spellStart"/>
            <w:r w:rsidRPr="00DD68A2">
              <w:rPr>
                <w:sz w:val="20"/>
              </w:rPr>
              <w:t>Akkomodationsforstyrrelser</w:t>
            </w:r>
            <w:proofErr w:type="spellEnd"/>
            <w:r w:rsidRPr="00DD68A2">
              <w:rPr>
                <w:sz w:val="20"/>
                <w:vertAlign w:val="superscript"/>
              </w:rPr>
              <w:t>#</w:t>
            </w:r>
          </w:p>
        </w:tc>
        <w:tc>
          <w:tcPr>
            <w:tcW w:w="842" w:type="pct"/>
            <w:shd w:val="clear" w:color="auto" w:fill="auto"/>
          </w:tcPr>
          <w:p w:rsidR="008E4AD7" w:rsidRPr="00DD68A2" w:rsidRDefault="008E4AD7" w:rsidP="0024574C">
            <w:pPr>
              <w:rPr>
                <w:sz w:val="20"/>
              </w:rPr>
            </w:pPr>
            <w:r w:rsidRPr="00DD68A2">
              <w:rPr>
                <w:sz w:val="20"/>
              </w:rPr>
              <w:t>Sløret syn</w:t>
            </w:r>
            <w:r w:rsidRPr="00DD68A2">
              <w:rPr>
                <w:sz w:val="20"/>
                <w:vertAlign w:val="superscript"/>
              </w:rPr>
              <w:t>†</w:t>
            </w:r>
            <w:r w:rsidRPr="00DD68A2">
              <w:rPr>
                <w:sz w:val="20"/>
              </w:rPr>
              <w:t>, tørre øjne</w:t>
            </w:r>
            <w:r w:rsidRPr="00DD68A2">
              <w:rPr>
                <w:sz w:val="20"/>
                <w:vertAlign w:val="superscript"/>
              </w:rPr>
              <w:t>#</w:t>
            </w:r>
          </w:p>
        </w:tc>
        <w:tc>
          <w:tcPr>
            <w:tcW w:w="760" w:type="pct"/>
            <w:shd w:val="clear" w:color="auto" w:fill="auto"/>
          </w:tcPr>
          <w:p w:rsidR="008E4AD7" w:rsidRPr="00DD68A2" w:rsidRDefault="008E4AD7" w:rsidP="0024574C">
            <w:pPr>
              <w:rPr>
                <w:sz w:val="20"/>
              </w:rPr>
            </w:pPr>
            <w:proofErr w:type="spellStart"/>
            <w:r w:rsidRPr="00DD68A2">
              <w:rPr>
                <w:sz w:val="20"/>
              </w:rPr>
              <w:t>Akkomodationsbesvær</w:t>
            </w:r>
            <w:proofErr w:type="spellEnd"/>
            <w:r w:rsidRPr="00DD68A2">
              <w:rPr>
                <w:sz w:val="20"/>
              </w:rPr>
              <w:t xml:space="preserve">, synstab, </w:t>
            </w:r>
            <w:proofErr w:type="spellStart"/>
            <w:r w:rsidRPr="00DD68A2">
              <w:rPr>
                <w:sz w:val="20"/>
              </w:rPr>
              <w:t>diplopi</w:t>
            </w:r>
            <w:proofErr w:type="spellEnd"/>
          </w:p>
        </w:tc>
        <w:tc>
          <w:tcPr>
            <w:tcW w:w="697" w:type="pct"/>
            <w:shd w:val="clear" w:color="auto" w:fill="auto"/>
          </w:tcPr>
          <w:p w:rsidR="008E4AD7" w:rsidRPr="00DD68A2" w:rsidRDefault="008E4AD7" w:rsidP="0024574C">
            <w:pPr>
              <w:rPr>
                <w:sz w:val="20"/>
              </w:rPr>
            </w:pPr>
          </w:p>
        </w:tc>
        <w:tc>
          <w:tcPr>
            <w:tcW w:w="710" w:type="pct"/>
            <w:shd w:val="clear" w:color="auto" w:fill="auto"/>
          </w:tcPr>
          <w:p w:rsidR="008E4AD7" w:rsidRPr="00DD68A2" w:rsidRDefault="008E4AD7" w:rsidP="0024574C">
            <w:pPr>
              <w:rPr>
                <w:sz w:val="20"/>
              </w:rPr>
            </w:pPr>
            <w:proofErr w:type="spellStart"/>
            <w:r w:rsidRPr="00DD68A2">
              <w:rPr>
                <w:sz w:val="20"/>
              </w:rPr>
              <w:t>Mydriasis</w:t>
            </w:r>
            <w:proofErr w:type="spellEnd"/>
          </w:p>
        </w:tc>
      </w:tr>
      <w:tr w:rsidR="008E4AD7" w:rsidRPr="00DD68A2" w:rsidTr="00DD68A2">
        <w:tc>
          <w:tcPr>
            <w:tcW w:w="636" w:type="pct"/>
            <w:shd w:val="clear" w:color="auto" w:fill="auto"/>
          </w:tcPr>
          <w:p w:rsidR="008E4AD7" w:rsidRPr="00DD68A2" w:rsidRDefault="008E4AD7" w:rsidP="0024574C">
            <w:pPr>
              <w:rPr>
                <w:sz w:val="20"/>
              </w:rPr>
            </w:pPr>
            <w:r w:rsidRPr="00DD68A2">
              <w:rPr>
                <w:sz w:val="20"/>
              </w:rPr>
              <w:t>Øre og labyrint</w:t>
            </w:r>
          </w:p>
        </w:tc>
        <w:tc>
          <w:tcPr>
            <w:tcW w:w="449" w:type="pct"/>
            <w:shd w:val="clear" w:color="auto" w:fill="auto"/>
          </w:tcPr>
          <w:p w:rsidR="008E4AD7" w:rsidRPr="00DD68A2" w:rsidRDefault="008E4AD7" w:rsidP="0024574C">
            <w:pPr>
              <w:rPr>
                <w:sz w:val="20"/>
              </w:rPr>
            </w:pPr>
          </w:p>
        </w:tc>
        <w:tc>
          <w:tcPr>
            <w:tcW w:w="906" w:type="pct"/>
            <w:shd w:val="clear" w:color="auto" w:fill="auto"/>
          </w:tcPr>
          <w:p w:rsidR="008E4AD7" w:rsidRPr="00DD68A2" w:rsidRDefault="008E4AD7" w:rsidP="0024574C">
            <w:pPr>
              <w:rPr>
                <w:sz w:val="20"/>
              </w:rPr>
            </w:pPr>
            <w:r w:rsidRPr="00DD68A2">
              <w:rPr>
                <w:sz w:val="20"/>
              </w:rPr>
              <w:t>Svimmelhed</w:t>
            </w:r>
            <w:r w:rsidRPr="00DD68A2">
              <w:rPr>
                <w:sz w:val="20"/>
                <w:vertAlign w:val="superscript"/>
              </w:rPr>
              <w:t>#</w:t>
            </w:r>
          </w:p>
        </w:tc>
        <w:tc>
          <w:tcPr>
            <w:tcW w:w="842" w:type="pct"/>
            <w:shd w:val="clear" w:color="auto" w:fill="auto"/>
          </w:tcPr>
          <w:p w:rsidR="008E4AD7" w:rsidRPr="00DD68A2" w:rsidRDefault="008E4AD7" w:rsidP="0024574C">
            <w:pPr>
              <w:rPr>
                <w:sz w:val="20"/>
              </w:rPr>
            </w:pPr>
          </w:p>
        </w:tc>
        <w:tc>
          <w:tcPr>
            <w:tcW w:w="760" w:type="pct"/>
            <w:shd w:val="clear" w:color="auto" w:fill="auto"/>
          </w:tcPr>
          <w:p w:rsidR="008E4AD7" w:rsidRPr="00DD68A2" w:rsidRDefault="008E4AD7" w:rsidP="0024574C">
            <w:pPr>
              <w:rPr>
                <w:sz w:val="20"/>
              </w:rPr>
            </w:pPr>
          </w:p>
        </w:tc>
        <w:tc>
          <w:tcPr>
            <w:tcW w:w="697" w:type="pct"/>
            <w:shd w:val="clear" w:color="auto" w:fill="auto"/>
          </w:tcPr>
          <w:p w:rsidR="008E4AD7" w:rsidRPr="00DD68A2" w:rsidRDefault="008E4AD7" w:rsidP="0024574C">
            <w:pPr>
              <w:rPr>
                <w:sz w:val="20"/>
              </w:rPr>
            </w:pPr>
          </w:p>
        </w:tc>
        <w:tc>
          <w:tcPr>
            <w:tcW w:w="710" w:type="pct"/>
            <w:shd w:val="clear" w:color="auto" w:fill="auto"/>
          </w:tcPr>
          <w:p w:rsidR="008E4AD7" w:rsidRPr="00DD68A2" w:rsidRDefault="008E4AD7" w:rsidP="0024574C">
            <w:pPr>
              <w:rPr>
                <w:sz w:val="20"/>
              </w:rPr>
            </w:pPr>
          </w:p>
        </w:tc>
      </w:tr>
      <w:tr w:rsidR="008E4AD7" w:rsidRPr="00DD68A2" w:rsidTr="00DD68A2">
        <w:tc>
          <w:tcPr>
            <w:tcW w:w="636" w:type="pct"/>
            <w:shd w:val="clear" w:color="auto" w:fill="auto"/>
          </w:tcPr>
          <w:p w:rsidR="008E4AD7" w:rsidRPr="00DD68A2" w:rsidRDefault="008E4AD7" w:rsidP="0024574C">
            <w:pPr>
              <w:rPr>
                <w:sz w:val="20"/>
              </w:rPr>
            </w:pPr>
            <w:r w:rsidRPr="00DD68A2">
              <w:rPr>
                <w:sz w:val="20"/>
              </w:rPr>
              <w:t>Hjertelidelser*</w:t>
            </w:r>
          </w:p>
        </w:tc>
        <w:tc>
          <w:tcPr>
            <w:tcW w:w="449" w:type="pct"/>
            <w:shd w:val="clear" w:color="auto" w:fill="auto"/>
          </w:tcPr>
          <w:p w:rsidR="008E4AD7" w:rsidRPr="00DD68A2" w:rsidRDefault="008E4AD7" w:rsidP="0024574C">
            <w:pPr>
              <w:rPr>
                <w:sz w:val="20"/>
              </w:rPr>
            </w:pPr>
          </w:p>
        </w:tc>
        <w:tc>
          <w:tcPr>
            <w:tcW w:w="906" w:type="pct"/>
            <w:shd w:val="clear" w:color="auto" w:fill="auto"/>
          </w:tcPr>
          <w:p w:rsidR="008E4AD7" w:rsidRPr="00DD68A2" w:rsidRDefault="008E4AD7" w:rsidP="0024574C">
            <w:pPr>
              <w:rPr>
                <w:sz w:val="20"/>
              </w:rPr>
            </w:pPr>
            <w:proofErr w:type="spellStart"/>
            <w:r w:rsidRPr="00DD68A2">
              <w:rPr>
                <w:sz w:val="20"/>
              </w:rPr>
              <w:t>Arrytmi</w:t>
            </w:r>
            <w:proofErr w:type="spellEnd"/>
            <w:r w:rsidRPr="00DD68A2">
              <w:rPr>
                <w:sz w:val="20"/>
              </w:rPr>
              <w:t xml:space="preserve">, </w:t>
            </w:r>
            <w:proofErr w:type="spellStart"/>
            <w:r w:rsidRPr="00DD68A2">
              <w:rPr>
                <w:sz w:val="20"/>
              </w:rPr>
              <w:t>takykardi</w:t>
            </w:r>
            <w:proofErr w:type="spellEnd"/>
            <w:r w:rsidRPr="00DD68A2">
              <w:rPr>
                <w:sz w:val="20"/>
              </w:rPr>
              <w:t xml:space="preserve">, </w:t>
            </w:r>
            <w:proofErr w:type="spellStart"/>
            <w:r w:rsidRPr="00DD68A2">
              <w:rPr>
                <w:sz w:val="20"/>
              </w:rPr>
              <w:t>palpitationer</w:t>
            </w:r>
            <w:proofErr w:type="spellEnd"/>
          </w:p>
        </w:tc>
        <w:tc>
          <w:tcPr>
            <w:tcW w:w="842" w:type="pct"/>
            <w:shd w:val="clear" w:color="auto" w:fill="auto"/>
          </w:tcPr>
          <w:p w:rsidR="008E4AD7" w:rsidRPr="00DD68A2" w:rsidRDefault="008E4AD7" w:rsidP="0024574C">
            <w:pPr>
              <w:rPr>
                <w:sz w:val="20"/>
              </w:rPr>
            </w:pPr>
            <w:r w:rsidRPr="00DD68A2">
              <w:rPr>
                <w:sz w:val="20"/>
              </w:rPr>
              <w:t>Brystsmerter</w:t>
            </w:r>
          </w:p>
        </w:tc>
        <w:tc>
          <w:tcPr>
            <w:tcW w:w="760" w:type="pct"/>
            <w:shd w:val="clear" w:color="auto" w:fill="auto"/>
          </w:tcPr>
          <w:p w:rsidR="008E4AD7" w:rsidRPr="00DD68A2" w:rsidRDefault="008E4AD7" w:rsidP="0024574C">
            <w:pPr>
              <w:rPr>
                <w:sz w:val="20"/>
              </w:rPr>
            </w:pPr>
            <w:r w:rsidRPr="00DD68A2">
              <w:rPr>
                <w:sz w:val="20"/>
              </w:rPr>
              <w:t>Angina pectoris</w:t>
            </w:r>
          </w:p>
        </w:tc>
        <w:tc>
          <w:tcPr>
            <w:tcW w:w="697" w:type="pct"/>
            <w:shd w:val="clear" w:color="auto" w:fill="auto"/>
          </w:tcPr>
          <w:p w:rsidR="008E4AD7" w:rsidRPr="00DD68A2" w:rsidRDefault="008E4AD7" w:rsidP="0024574C">
            <w:pPr>
              <w:rPr>
                <w:sz w:val="20"/>
              </w:rPr>
            </w:pPr>
            <w:r w:rsidRPr="00DD68A2">
              <w:rPr>
                <w:sz w:val="20"/>
              </w:rPr>
              <w:t>Hjertestop, myokardieinfarkt</w:t>
            </w:r>
          </w:p>
        </w:tc>
        <w:tc>
          <w:tcPr>
            <w:tcW w:w="710" w:type="pct"/>
            <w:shd w:val="clear" w:color="auto" w:fill="auto"/>
          </w:tcPr>
          <w:p w:rsidR="008E4AD7" w:rsidRPr="00DD68A2" w:rsidRDefault="008E4AD7" w:rsidP="0024574C">
            <w:pPr>
              <w:rPr>
                <w:sz w:val="20"/>
              </w:rPr>
            </w:pPr>
            <w:proofErr w:type="spellStart"/>
            <w:r w:rsidRPr="00DD68A2">
              <w:rPr>
                <w:sz w:val="20"/>
              </w:rPr>
              <w:t>Supraventrikulær</w:t>
            </w:r>
            <w:proofErr w:type="spellEnd"/>
            <w:r w:rsidRPr="00DD68A2">
              <w:rPr>
                <w:sz w:val="20"/>
              </w:rPr>
              <w:t xml:space="preserve"> </w:t>
            </w:r>
            <w:proofErr w:type="spellStart"/>
            <w:r w:rsidRPr="00DD68A2">
              <w:rPr>
                <w:sz w:val="20"/>
              </w:rPr>
              <w:t>takykardi</w:t>
            </w:r>
            <w:proofErr w:type="spellEnd"/>
            <w:r w:rsidRPr="00DD68A2">
              <w:rPr>
                <w:sz w:val="20"/>
              </w:rPr>
              <w:t xml:space="preserve">, bradykardi, </w:t>
            </w:r>
            <w:proofErr w:type="spellStart"/>
            <w:r w:rsidRPr="00DD68A2">
              <w:rPr>
                <w:sz w:val="20"/>
              </w:rPr>
              <w:t>ventrikulære</w:t>
            </w:r>
            <w:proofErr w:type="spellEnd"/>
            <w:r w:rsidRPr="00DD68A2">
              <w:rPr>
                <w:sz w:val="20"/>
              </w:rPr>
              <w:t xml:space="preserve"> </w:t>
            </w:r>
            <w:proofErr w:type="spellStart"/>
            <w:r w:rsidRPr="00DD68A2">
              <w:rPr>
                <w:sz w:val="20"/>
              </w:rPr>
              <w:t>ekstrasystoler</w:t>
            </w:r>
            <w:proofErr w:type="spellEnd"/>
            <w:r w:rsidRPr="00DD68A2">
              <w:rPr>
                <w:sz w:val="20"/>
                <w:vertAlign w:val="superscript"/>
              </w:rPr>
              <w:t>†</w:t>
            </w:r>
            <w:r w:rsidRPr="00DD68A2">
              <w:rPr>
                <w:sz w:val="20"/>
              </w:rPr>
              <w:t xml:space="preserve">, </w:t>
            </w:r>
            <w:proofErr w:type="spellStart"/>
            <w:r w:rsidRPr="00DD68A2">
              <w:rPr>
                <w:sz w:val="20"/>
              </w:rPr>
              <w:t>ekstrasystoler</w:t>
            </w:r>
            <w:proofErr w:type="spellEnd"/>
            <w:r w:rsidRPr="00DD68A2">
              <w:rPr>
                <w:sz w:val="20"/>
                <w:vertAlign w:val="superscript"/>
              </w:rPr>
              <w:t>†</w:t>
            </w:r>
          </w:p>
        </w:tc>
      </w:tr>
      <w:tr w:rsidR="008E4AD7" w:rsidRPr="00DD68A2" w:rsidTr="00DD68A2">
        <w:tc>
          <w:tcPr>
            <w:tcW w:w="636" w:type="pct"/>
            <w:shd w:val="clear" w:color="auto" w:fill="auto"/>
          </w:tcPr>
          <w:p w:rsidR="008E4AD7" w:rsidRPr="00DD68A2" w:rsidRDefault="008E4AD7" w:rsidP="0024574C">
            <w:pPr>
              <w:rPr>
                <w:sz w:val="20"/>
              </w:rPr>
            </w:pPr>
            <w:proofErr w:type="spellStart"/>
            <w:r w:rsidRPr="00DD68A2">
              <w:rPr>
                <w:sz w:val="20"/>
              </w:rPr>
              <w:t>Vaskulære</w:t>
            </w:r>
            <w:proofErr w:type="spellEnd"/>
            <w:r w:rsidRPr="00DD68A2">
              <w:rPr>
                <w:sz w:val="20"/>
              </w:rPr>
              <w:t xml:space="preserve"> sygdomme*</w:t>
            </w:r>
          </w:p>
        </w:tc>
        <w:tc>
          <w:tcPr>
            <w:tcW w:w="449" w:type="pct"/>
            <w:shd w:val="clear" w:color="auto" w:fill="auto"/>
          </w:tcPr>
          <w:p w:rsidR="008E4AD7" w:rsidRPr="00DD68A2" w:rsidRDefault="008E4AD7" w:rsidP="0024574C">
            <w:pPr>
              <w:rPr>
                <w:sz w:val="20"/>
              </w:rPr>
            </w:pPr>
          </w:p>
        </w:tc>
        <w:tc>
          <w:tcPr>
            <w:tcW w:w="906" w:type="pct"/>
            <w:shd w:val="clear" w:color="auto" w:fill="auto"/>
          </w:tcPr>
          <w:p w:rsidR="008E4AD7" w:rsidRPr="00DD68A2" w:rsidRDefault="008E4AD7" w:rsidP="0024574C">
            <w:pPr>
              <w:rPr>
                <w:sz w:val="20"/>
              </w:rPr>
            </w:pPr>
            <w:r w:rsidRPr="00DD68A2">
              <w:rPr>
                <w:sz w:val="20"/>
              </w:rPr>
              <w:t>Hypertension</w:t>
            </w:r>
          </w:p>
        </w:tc>
        <w:tc>
          <w:tcPr>
            <w:tcW w:w="842" w:type="pct"/>
            <w:shd w:val="clear" w:color="auto" w:fill="auto"/>
          </w:tcPr>
          <w:p w:rsidR="008E4AD7" w:rsidRPr="00DD68A2" w:rsidRDefault="008E4AD7" w:rsidP="0024574C">
            <w:pPr>
              <w:rPr>
                <w:sz w:val="20"/>
              </w:rPr>
            </w:pPr>
            <w:r w:rsidRPr="00DD68A2">
              <w:rPr>
                <w:sz w:val="20"/>
              </w:rPr>
              <w:t>Hedeture</w:t>
            </w:r>
            <w:r w:rsidRPr="00DD68A2">
              <w:rPr>
                <w:sz w:val="20"/>
                <w:vertAlign w:val="superscript"/>
              </w:rPr>
              <w:t>#</w:t>
            </w:r>
          </w:p>
        </w:tc>
        <w:tc>
          <w:tcPr>
            <w:tcW w:w="760" w:type="pct"/>
            <w:shd w:val="clear" w:color="auto" w:fill="auto"/>
          </w:tcPr>
          <w:p w:rsidR="008E4AD7" w:rsidRPr="00DD68A2" w:rsidRDefault="008E4AD7" w:rsidP="0024574C">
            <w:pPr>
              <w:rPr>
                <w:sz w:val="20"/>
              </w:rPr>
            </w:pPr>
          </w:p>
        </w:tc>
        <w:tc>
          <w:tcPr>
            <w:tcW w:w="697" w:type="pct"/>
            <w:shd w:val="clear" w:color="auto" w:fill="auto"/>
          </w:tcPr>
          <w:p w:rsidR="008E4AD7" w:rsidRPr="00DD68A2" w:rsidRDefault="008E4AD7" w:rsidP="0024574C">
            <w:pPr>
              <w:rPr>
                <w:sz w:val="20"/>
              </w:rPr>
            </w:pPr>
            <w:r w:rsidRPr="00DD68A2">
              <w:rPr>
                <w:sz w:val="20"/>
              </w:rPr>
              <w:t xml:space="preserve">Cerebral </w:t>
            </w:r>
            <w:proofErr w:type="spellStart"/>
            <w:r w:rsidRPr="00DD68A2">
              <w:rPr>
                <w:sz w:val="20"/>
              </w:rPr>
              <w:t>arteritis</w:t>
            </w:r>
            <w:proofErr w:type="spellEnd"/>
            <w:r w:rsidRPr="00DD68A2">
              <w:rPr>
                <w:sz w:val="20"/>
              </w:rPr>
              <w:t xml:space="preserve"> og/eller </w:t>
            </w:r>
            <w:proofErr w:type="spellStart"/>
            <w:r w:rsidRPr="00DD68A2">
              <w:rPr>
                <w:sz w:val="20"/>
              </w:rPr>
              <w:t>okklusion</w:t>
            </w:r>
            <w:proofErr w:type="spellEnd"/>
            <w:r w:rsidRPr="00DD68A2">
              <w:rPr>
                <w:sz w:val="20"/>
              </w:rPr>
              <w:t>, perifer kulde</w:t>
            </w:r>
            <w:r w:rsidRPr="00DD68A2">
              <w:rPr>
                <w:sz w:val="20"/>
                <w:vertAlign w:val="superscript"/>
              </w:rPr>
              <w:t>†</w:t>
            </w:r>
            <w:r w:rsidRPr="00DD68A2">
              <w:rPr>
                <w:sz w:val="20"/>
              </w:rPr>
              <w:t xml:space="preserve">, </w:t>
            </w:r>
            <w:proofErr w:type="spellStart"/>
            <w:r w:rsidRPr="00DD68A2">
              <w:rPr>
                <w:sz w:val="20"/>
              </w:rPr>
              <w:t>Raynauds</w:t>
            </w:r>
            <w:proofErr w:type="spellEnd"/>
            <w:r w:rsidRPr="00DD68A2">
              <w:rPr>
                <w:sz w:val="20"/>
              </w:rPr>
              <w:t xml:space="preserve"> syndrom</w:t>
            </w:r>
          </w:p>
        </w:tc>
        <w:tc>
          <w:tcPr>
            <w:tcW w:w="710" w:type="pct"/>
            <w:shd w:val="clear" w:color="auto" w:fill="auto"/>
          </w:tcPr>
          <w:p w:rsidR="008E4AD7" w:rsidRPr="00DD68A2" w:rsidRDefault="008E4AD7" w:rsidP="0024574C">
            <w:pPr>
              <w:rPr>
                <w:sz w:val="20"/>
              </w:rPr>
            </w:pPr>
          </w:p>
        </w:tc>
      </w:tr>
      <w:tr w:rsidR="008E4AD7" w:rsidRPr="00DD68A2" w:rsidTr="00DD68A2">
        <w:tc>
          <w:tcPr>
            <w:tcW w:w="636" w:type="pct"/>
            <w:shd w:val="clear" w:color="auto" w:fill="auto"/>
          </w:tcPr>
          <w:p w:rsidR="008E4AD7" w:rsidRPr="00DD68A2" w:rsidRDefault="008E4AD7" w:rsidP="0024574C">
            <w:pPr>
              <w:rPr>
                <w:sz w:val="20"/>
              </w:rPr>
            </w:pPr>
            <w:r w:rsidRPr="00DD68A2">
              <w:rPr>
                <w:sz w:val="20"/>
              </w:rPr>
              <w:t xml:space="preserve">Luftveje, thorax og </w:t>
            </w:r>
            <w:proofErr w:type="spellStart"/>
            <w:r w:rsidRPr="00DD68A2">
              <w:rPr>
                <w:sz w:val="20"/>
              </w:rPr>
              <w:t>mediastinum</w:t>
            </w:r>
            <w:proofErr w:type="spellEnd"/>
          </w:p>
        </w:tc>
        <w:tc>
          <w:tcPr>
            <w:tcW w:w="449" w:type="pct"/>
            <w:shd w:val="clear" w:color="auto" w:fill="auto"/>
          </w:tcPr>
          <w:p w:rsidR="008E4AD7" w:rsidRPr="00DD68A2" w:rsidRDefault="008E4AD7" w:rsidP="0024574C">
            <w:pPr>
              <w:rPr>
                <w:sz w:val="20"/>
              </w:rPr>
            </w:pPr>
          </w:p>
        </w:tc>
        <w:tc>
          <w:tcPr>
            <w:tcW w:w="906" w:type="pct"/>
            <w:shd w:val="clear" w:color="auto" w:fill="auto"/>
          </w:tcPr>
          <w:p w:rsidR="008E4AD7" w:rsidRPr="00DD68A2" w:rsidRDefault="008E4AD7" w:rsidP="0024574C">
            <w:pPr>
              <w:rPr>
                <w:sz w:val="20"/>
              </w:rPr>
            </w:pPr>
            <w:r w:rsidRPr="00DD68A2">
              <w:rPr>
                <w:sz w:val="20"/>
              </w:rPr>
              <w:t xml:space="preserve">Hoste, </w:t>
            </w:r>
            <w:proofErr w:type="spellStart"/>
            <w:r w:rsidRPr="00DD68A2">
              <w:rPr>
                <w:sz w:val="20"/>
              </w:rPr>
              <w:t>orofaryngeale</w:t>
            </w:r>
            <w:proofErr w:type="spellEnd"/>
            <w:r w:rsidRPr="00DD68A2">
              <w:rPr>
                <w:sz w:val="20"/>
              </w:rPr>
              <w:t xml:space="preserve"> smerter</w:t>
            </w:r>
          </w:p>
        </w:tc>
        <w:tc>
          <w:tcPr>
            <w:tcW w:w="842" w:type="pct"/>
            <w:shd w:val="clear" w:color="auto" w:fill="auto"/>
          </w:tcPr>
          <w:p w:rsidR="008E4AD7" w:rsidRPr="00DD68A2" w:rsidRDefault="008E4AD7" w:rsidP="0024574C">
            <w:pPr>
              <w:rPr>
                <w:sz w:val="20"/>
              </w:rPr>
            </w:pPr>
            <w:r w:rsidRPr="00DD68A2">
              <w:rPr>
                <w:sz w:val="20"/>
              </w:rPr>
              <w:t>Dyspnø</w:t>
            </w:r>
            <w:r w:rsidRPr="00DD68A2">
              <w:rPr>
                <w:sz w:val="20"/>
                <w:vertAlign w:val="superscript"/>
              </w:rPr>
              <w:t>†</w:t>
            </w:r>
          </w:p>
        </w:tc>
        <w:tc>
          <w:tcPr>
            <w:tcW w:w="760" w:type="pct"/>
            <w:shd w:val="clear" w:color="auto" w:fill="auto"/>
          </w:tcPr>
          <w:p w:rsidR="008E4AD7" w:rsidRPr="00DD68A2" w:rsidRDefault="008E4AD7" w:rsidP="0024574C">
            <w:pPr>
              <w:rPr>
                <w:sz w:val="20"/>
              </w:rPr>
            </w:pPr>
          </w:p>
        </w:tc>
        <w:tc>
          <w:tcPr>
            <w:tcW w:w="697" w:type="pct"/>
            <w:shd w:val="clear" w:color="auto" w:fill="auto"/>
          </w:tcPr>
          <w:p w:rsidR="008E4AD7" w:rsidRPr="00DD68A2" w:rsidRDefault="008E4AD7" w:rsidP="0024574C">
            <w:pPr>
              <w:rPr>
                <w:sz w:val="20"/>
              </w:rPr>
            </w:pPr>
          </w:p>
        </w:tc>
        <w:tc>
          <w:tcPr>
            <w:tcW w:w="710" w:type="pct"/>
            <w:shd w:val="clear" w:color="auto" w:fill="auto"/>
          </w:tcPr>
          <w:p w:rsidR="008E4AD7" w:rsidRPr="00DD68A2" w:rsidRDefault="00610AF4" w:rsidP="0024574C">
            <w:pPr>
              <w:rPr>
                <w:sz w:val="20"/>
              </w:rPr>
            </w:pPr>
            <w:proofErr w:type="spellStart"/>
            <w:r w:rsidRPr="00DD68A2">
              <w:rPr>
                <w:sz w:val="20"/>
              </w:rPr>
              <w:t>Epistaxis</w:t>
            </w:r>
            <w:proofErr w:type="spellEnd"/>
          </w:p>
        </w:tc>
      </w:tr>
      <w:tr w:rsidR="008E4AD7" w:rsidRPr="00DD68A2" w:rsidTr="00DD68A2">
        <w:tc>
          <w:tcPr>
            <w:tcW w:w="636" w:type="pct"/>
            <w:shd w:val="clear" w:color="auto" w:fill="auto"/>
          </w:tcPr>
          <w:p w:rsidR="008E4AD7" w:rsidRPr="00DD68A2" w:rsidRDefault="008E4AD7" w:rsidP="0024574C">
            <w:pPr>
              <w:rPr>
                <w:sz w:val="20"/>
              </w:rPr>
            </w:pPr>
            <w:r w:rsidRPr="00DD68A2">
              <w:rPr>
                <w:sz w:val="20"/>
              </w:rPr>
              <w:t>Mave-tarm-kanalen</w:t>
            </w:r>
          </w:p>
        </w:tc>
        <w:tc>
          <w:tcPr>
            <w:tcW w:w="449" w:type="pct"/>
            <w:shd w:val="clear" w:color="auto" w:fill="auto"/>
          </w:tcPr>
          <w:p w:rsidR="008E4AD7" w:rsidRPr="00DD68A2" w:rsidRDefault="008E4AD7" w:rsidP="0024574C">
            <w:pPr>
              <w:rPr>
                <w:sz w:val="20"/>
              </w:rPr>
            </w:pPr>
          </w:p>
        </w:tc>
        <w:tc>
          <w:tcPr>
            <w:tcW w:w="906" w:type="pct"/>
            <w:shd w:val="clear" w:color="auto" w:fill="auto"/>
          </w:tcPr>
          <w:p w:rsidR="008E4AD7" w:rsidRPr="00DD68A2" w:rsidRDefault="008E4AD7" w:rsidP="0024574C">
            <w:pPr>
              <w:rPr>
                <w:sz w:val="20"/>
              </w:rPr>
            </w:pPr>
            <w:r w:rsidRPr="00DD68A2">
              <w:rPr>
                <w:sz w:val="20"/>
              </w:rPr>
              <w:t>Smerter i øvre abdomen, diarré, kvalme</w:t>
            </w:r>
            <w:r w:rsidRPr="00DD68A2">
              <w:rPr>
                <w:sz w:val="20"/>
                <w:vertAlign w:val="superscript"/>
              </w:rPr>
              <w:t>†</w:t>
            </w:r>
            <w:r w:rsidRPr="00DD68A2">
              <w:rPr>
                <w:sz w:val="20"/>
              </w:rPr>
              <w:t xml:space="preserve">, </w:t>
            </w:r>
            <w:proofErr w:type="spellStart"/>
            <w:r w:rsidRPr="00DD68A2">
              <w:rPr>
                <w:sz w:val="20"/>
              </w:rPr>
              <w:t>abdominale</w:t>
            </w:r>
            <w:proofErr w:type="spellEnd"/>
            <w:r w:rsidRPr="00DD68A2">
              <w:rPr>
                <w:sz w:val="20"/>
              </w:rPr>
              <w:t xml:space="preserve"> gener, opkastning, mundtørhed</w:t>
            </w:r>
            <w:r w:rsidRPr="00DD68A2">
              <w:rPr>
                <w:sz w:val="20"/>
                <w:vertAlign w:val="superscript"/>
              </w:rPr>
              <w:t>†</w:t>
            </w:r>
            <w:r w:rsidRPr="00DD68A2">
              <w:rPr>
                <w:sz w:val="20"/>
              </w:rPr>
              <w:t>, dyspepsi</w:t>
            </w:r>
            <w:r w:rsidRPr="00DD68A2">
              <w:rPr>
                <w:sz w:val="20"/>
                <w:vertAlign w:val="superscript"/>
              </w:rPr>
              <w:t>#</w:t>
            </w:r>
          </w:p>
        </w:tc>
        <w:tc>
          <w:tcPr>
            <w:tcW w:w="842" w:type="pct"/>
            <w:shd w:val="clear" w:color="auto" w:fill="auto"/>
          </w:tcPr>
          <w:p w:rsidR="008E4AD7" w:rsidRPr="00DD68A2" w:rsidRDefault="008E4AD7" w:rsidP="0024574C">
            <w:pPr>
              <w:rPr>
                <w:sz w:val="20"/>
              </w:rPr>
            </w:pPr>
            <w:r w:rsidRPr="00DD68A2">
              <w:rPr>
                <w:sz w:val="20"/>
              </w:rPr>
              <w:t>Forstoppelse</w:t>
            </w:r>
            <w:r w:rsidRPr="00DD68A2">
              <w:rPr>
                <w:sz w:val="20"/>
                <w:vertAlign w:val="superscript"/>
              </w:rPr>
              <w:t>†</w:t>
            </w:r>
          </w:p>
        </w:tc>
        <w:tc>
          <w:tcPr>
            <w:tcW w:w="760" w:type="pct"/>
            <w:shd w:val="clear" w:color="auto" w:fill="auto"/>
          </w:tcPr>
          <w:p w:rsidR="008E4AD7" w:rsidRPr="00DD68A2" w:rsidRDefault="008E4AD7" w:rsidP="0024574C">
            <w:pPr>
              <w:rPr>
                <w:sz w:val="20"/>
              </w:rPr>
            </w:pPr>
          </w:p>
        </w:tc>
        <w:tc>
          <w:tcPr>
            <w:tcW w:w="697" w:type="pct"/>
            <w:shd w:val="clear" w:color="auto" w:fill="auto"/>
          </w:tcPr>
          <w:p w:rsidR="008E4AD7" w:rsidRPr="00DD68A2" w:rsidRDefault="008E4AD7" w:rsidP="0024574C">
            <w:pPr>
              <w:rPr>
                <w:sz w:val="20"/>
              </w:rPr>
            </w:pPr>
          </w:p>
        </w:tc>
        <w:tc>
          <w:tcPr>
            <w:tcW w:w="710" w:type="pct"/>
            <w:shd w:val="clear" w:color="auto" w:fill="auto"/>
          </w:tcPr>
          <w:p w:rsidR="008E4AD7" w:rsidRPr="00DD68A2" w:rsidRDefault="008E4AD7" w:rsidP="0024574C">
            <w:pPr>
              <w:rPr>
                <w:sz w:val="20"/>
              </w:rPr>
            </w:pPr>
          </w:p>
        </w:tc>
      </w:tr>
      <w:tr w:rsidR="008E4AD7" w:rsidRPr="00DD68A2" w:rsidTr="00DD68A2">
        <w:tc>
          <w:tcPr>
            <w:tcW w:w="636" w:type="pct"/>
            <w:shd w:val="clear" w:color="auto" w:fill="auto"/>
          </w:tcPr>
          <w:p w:rsidR="008E4AD7" w:rsidRPr="00DD68A2" w:rsidRDefault="008E4AD7" w:rsidP="0024574C">
            <w:pPr>
              <w:rPr>
                <w:sz w:val="20"/>
              </w:rPr>
            </w:pPr>
            <w:r w:rsidRPr="00DD68A2">
              <w:rPr>
                <w:sz w:val="20"/>
              </w:rPr>
              <w:t>Lever og galdeveje</w:t>
            </w:r>
          </w:p>
        </w:tc>
        <w:tc>
          <w:tcPr>
            <w:tcW w:w="449" w:type="pct"/>
            <w:shd w:val="clear" w:color="auto" w:fill="auto"/>
          </w:tcPr>
          <w:p w:rsidR="008E4AD7" w:rsidRPr="00DD68A2" w:rsidRDefault="008E4AD7" w:rsidP="0024574C">
            <w:pPr>
              <w:rPr>
                <w:sz w:val="20"/>
              </w:rPr>
            </w:pPr>
          </w:p>
        </w:tc>
        <w:tc>
          <w:tcPr>
            <w:tcW w:w="906" w:type="pct"/>
            <w:shd w:val="clear" w:color="auto" w:fill="auto"/>
          </w:tcPr>
          <w:p w:rsidR="008E4AD7" w:rsidRPr="00DD68A2" w:rsidRDefault="008E4AD7" w:rsidP="0024574C">
            <w:pPr>
              <w:rPr>
                <w:sz w:val="20"/>
              </w:rPr>
            </w:pPr>
          </w:p>
        </w:tc>
        <w:tc>
          <w:tcPr>
            <w:tcW w:w="842" w:type="pct"/>
            <w:shd w:val="clear" w:color="auto" w:fill="auto"/>
          </w:tcPr>
          <w:p w:rsidR="008E4AD7" w:rsidRPr="00DD68A2" w:rsidRDefault="008E4AD7" w:rsidP="0024574C">
            <w:pPr>
              <w:rPr>
                <w:sz w:val="20"/>
              </w:rPr>
            </w:pPr>
            <w:r w:rsidRPr="00DD68A2">
              <w:rPr>
                <w:sz w:val="20"/>
              </w:rPr>
              <w:t>Forhøjede leverenzymer</w:t>
            </w:r>
          </w:p>
        </w:tc>
        <w:tc>
          <w:tcPr>
            <w:tcW w:w="760" w:type="pct"/>
            <w:shd w:val="clear" w:color="auto" w:fill="auto"/>
          </w:tcPr>
          <w:p w:rsidR="008E4AD7" w:rsidRPr="00DD68A2" w:rsidRDefault="008E4AD7" w:rsidP="0024574C">
            <w:pPr>
              <w:rPr>
                <w:sz w:val="20"/>
              </w:rPr>
            </w:pPr>
          </w:p>
        </w:tc>
        <w:tc>
          <w:tcPr>
            <w:tcW w:w="697" w:type="pct"/>
            <w:shd w:val="clear" w:color="auto" w:fill="auto"/>
          </w:tcPr>
          <w:p w:rsidR="008E4AD7" w:rsidRPr="00DD68A2" w:rsidRDefault="008E4AD7" w:rsidP="0024574C">
            <w:pPr>
              <w:rPr>
                <w:sz w:val="20"/>
              </w:rPr>
            </w:pPr>
            <w:r w:rsidRPr="00DD68A2">
              <w:rPr>
                <w:sz w:val="20"/>
              </w:rPr>
              <w:t xml:space="preserve">Unormal leverfunktion, herunder </w:t>
            </w:r>
            <w:proofErr w:type="spellStart"/>
            <w:r w:rsidRPr="00DD68A2">
              <w:rPr>
                <w:sz w:val="20"/>
              </w:rPr>
              <w:t>hepatisk</w:t>
            </w:r>
            <w:proofErr w:type="spellEnd"/>
            <w:r w:rsidRPr="00DD68A2">
              <w:rPr>
                <w:sz w:val="20"/>
              </w:rPr>
              <w:t xml:space="preserve"> koma</w:t>
            </w:r>
          </w:p>
        </w:tc>
        <w:tc>
          <w:tcPr>
            <w:tcW w:w="710" w:type="pct"/>
            <w:shd w:val="clear" w:color="auto" w:fill="auto"/>
          </w:tcPr>
          <w:p w:rsidR="008E4AD7" w:rsidRPr="00DD68A2" w:rsidRDefault="008E4AD7" w:rsidP="0024574C">
            <w:pPr>
              <w:rPr>
                <w:sz w:val="20"/>
              </w:rPr>
            </w:pPr>
          </w:p>
        </w:tc>
      </w:tr>
      <w:tr w:rsidR="008E4AD7" w:rsidRPr="00DD68A2" w:rsidTr="00DD68A2">
        <w:tc>
          <w:tcPr>
            <w:tcW w:w="636" w:type="pct"/>
            <w:shd w:val="clear" w:color="auto" w:fill="auto"/>
          </w:tcPr>
          <w:p w:rsidR="008E4AD7" w:rsidRPr="00DD68A2" w:rsidRDefault="008E4AD7" w:rsidP="0024574C">
            <w:pPr>
              <w:rPr>
                <w:sz w:val="20"/>
              </w:rPr>
            </w:pPr>
            <w:r w:rsidRPr="00DD68A2">
              <w:rPr>
                <w:sz w:val="20"/>
              </w:rPr>
              <w:t>Hud og subkutane væv</w:t>
            </w:r>
          </w:p>
        </w:tc>
        <w:tc>
          <w:tcPr>
            <w:tcW w:w="449" w:type="pct"/>
            <w:shd w:val="clear" w:color="auto" w:fill="auto"/>
          </w:tcPr>
          <w:p w:rsidR="008E4AD7" w:rsidRPr="00DD68A2" w:rsidRDefault="008E4AD7" w:rsidP="0024574C">
            <w:pPr>
              <w:rPr>
                <w:sz w:val="20"/>
              </w:rPr>
            </w:pPr>
          </w:p>
        </w:tc>
        <w:tc>
          <w:tcPr>
            <w:tcW w:w="906" w:type="pct"/>
            <w:shd w:val="clear" w:color="auto" w:fill="auto"/>
          </w:tcPr>
          <w:p w:rsidR="008E4AD7" w:rsidRPr="00DD68A2" w:rsidRDefault="008E4AD7" w:rsidP="0024574C">
            <w:pPr>
              <w:rPr>
                <w:sz w:val="20"/>
                <w:lang w:val="en-US"/>
              </w:rPr>
            </w:pPr>
            <w:proofErr w:type="spellStart"/>
            <w:r w:rsidRPr="00DD68A2">
              <w:rPr>
                <w:sz w:val="20"/>
                <w:lang w:val="en-US"/>
              </w:rPr>
              <w:t>Alopeci</w:t>
            </w:r>
            <w:proofErr w:type="spellEnd"/>
            <w:r w:rsidRPr="00DD68A2">
              <w:rPr>
                <w:sz w:val="20"/>
                <w:lang w:val="en-US"/>
              </w:rPr>
              <w:t xml:space="preserve">, pruritus, </w:t>
            </w:r>
            <w:proofErr w:type="spellStart"/>
            <w:r w:rsidRPr="00DD68A2">
              <w:rPr>
                <w:sz w:val="20"/>
                <w:lang w:val="en-US"/>
              </w:rPr>
              <w:t>udslæt</w:t>
            </w:r>
            <w:proofErr w:type="spellEnd"/>
            <w:r w:rsidRPr="00DD68A2">
              <w:rPr>
                <w:sz w:val="20"/>
                <w:lang w:val="en-US"/>
              </w:rPr>
              <w:t>, urticaria</w:t>
            </w:r>
            <w:r w:rsidR="00EF1492" w:rsidRPr="00DD68A2">
              <w:rPr>
                <w:sz w:val="20"/>
                <w:lang w:val="en-US"/>
              </w:rPr>
              <w:t xml:space="preserve">, </w:t>
            </w:r>
            <w:r w:rsidR="00EF1492" w:rsidRPr="00DD68A2">
              <w:rPr>
                <w:sz w:val="20"/>
                <w:lang w:val="en-US"/>
              </w:rPr>
              <w:br/>
            </w:r>
            <w:proofErr w:type="spellStart"/>
            <w:r w:rsidR="00EF1492" w:rsidRPr="00DD68A2">
              <w:rPr>
                <w:sz w:val="20"/>
                <w:lang w:val="en-US"/>
              </w:rPr>
              <w:t>hyperhidrose</w:t>
            </w:r>
            <w:proofErr w:type="spellEnd"/>
            <w:r w:rsidR="00EF1492" w:rsidRPr="00DD68A2">
              <w:rPr>
                <w:sz w:val="20"/>
                <w:vertAlign w:val="superscript"/>
                <w:lang w:val="en-US"/>
              </w:rPr>
              <w:t>†</w:t>
            </w:r>
          </w:p>
        </w:tc>
        <w:tc>
          <w:tcPr>
            <w:tcW w:w="842" w:type="pct"/>
            <w:shd w:val="clear" w:color="auto" w:fill="auto"/>
          </w:tcPr>
          <w:p w:rsidR="008E4AD7" w:rsidRPr="00DD68A2" w:rsidRDefault="008E4AD7" w:rsidP="0024574C">
            <w:pPr>
              <w:rPr>
                <w:sz w:val="20"/>
              </w:rPr>
            </w:pPr>
            <w:proofErr w:type="spellStart"/>
            <w:r w:rsidRPr="00DD68A2">
              <w:rPr>
                <w:sz w:val="20"/>
              </w:rPr>
              <w:t>Angioneurotisk</w:t>
            </w:r>
            <w:proofErr w:type="spellEnd"/>
            <w:r w:rsidRPr="00DD68A2">
              <w:rPr>
                <w:sz w:val="20"/>
              </w:rPr>
              <w:t xml:space="preserve"> ødem, </w:t>
            </w:r>
            <w:proofErr w:type="spellStart"/>
            <w:r w:rsidRPr="00DD68A2">
              <w:rPr>
                <w:sz w:val="20"/>
              </w:rPr>
              <w:t>bulløse</w:t>
            </w:r>
            <w:proofErr w:type="spellEnd"/>
            <w:r w:rsidRPr="00DD68A2">
              <w:rPr>
                <w:sz w:val="20"/>
              </w:rPr>
              <w:t xml:space="preserve"> tilstande, </w:t>
            </w:r>
            <w:proofErr w:type="spellStart"/>
            <w:r w:rsidRPr="00DD68A2">
              <w:rPr>
                <w:sz w:val="20"/>
              </w:rPr>
              <w:t>eksfoliative</w:t>
            </w:r>
            <w:proofErr w:type="spellEnd"/>
            <w:r w:rsidRPr="00DD68A2">
              <w:rPr>
                <w:sz w:val="20"/>
              </w:rPr>
              <w:t xml:space="preserve"> tilstande</w:t>
            </w:r>
          </w:p>
        </w:tc>
        <w:tc>
          <w:tcPr>
            <w:tcW w:w="760" w:type="pct"/>
            <w:shd w:val="clear" w:color="auto" w:fill="auto"/>
          </w:tcPr>
          <w:p w:rsidR="008E4AD7" w:rsidRPr="00DD68A2" w:rsidRDefault="00EF1492" w:rsidP="0024574C">
            <w:pPr>
              <w:rPr>
                <w:sz w:val="20"/>
              </w:rPr>
            </w:pPr>
            <w:proofErr w:type="spellStart"/>
            <w:r w:rsidRPr="00DD68A2">
              <w:rPr>
                <w:sz w:val="20"/>
              </w:rPr>
              <w:t>M</w:t>
            </w:r>
            <w:r w:rsidR="008E4AD7" w:rsidRPr="00DD68A2">
              <w:rPr>
                <w:sz w:val="20"/>
              </w:rPr>
              <w:t>akuløst</w:t>
            </w:r>
            <w:proofErr w:type="spellEnd"/>
            <w:r w:rsidR="008E4AD7" w:rsidRPr="00DD68A2">
              <w:rPr>
                <w:sz w:val="20"/>
              </w:rPr>
              <w:t xml:space="preserve"> udslæt, </w:t>
            </w:r>
            <w:proofErr w:type="spellStart"/>
            <w:r w:rsidR="008E4AD7" w:rsidRPr="00DD68A2">
              <w:rPr>
                <w:sz w:val="20"/>
              </w:rPr>
              <w:t>erytem</w:t>
            </w:r>
            <w:proofErr w:type="spellEnd"/>
          </w:p>
        </w:tc>
        <w:tc>
          <w:tcPr>
            <w:tcW w:w="697" w:type="pct"/>
            <w:shd w:val="clear" w:color="auto" w:fill="auto"/>
          </w:tcPr>
          <w:p w:rsidR="008E4AD7" w:rsidRPr="00DD68A2" w:rsidRDefault="008E4AD7" w:rsidP="0024574C">
            <w:pPr>
              <w:rPr>
                <w:sz w:val="20"/>
              </w:rPr>
            </w:pPr>
            <w:proofErr w:type="spellStart"/>
            <w:r w:rsidRPr="00DD68A2">
              <w:rPr>
                <w:sz w:val="20"/>
              </w:rPr>
              <w:t>Erythema</w:t>
            </w:r>
            <w:proofErr w:type="spellEnd"/>
            <w:r w:rsidRPr="00DD68A2">
              <w:rPr>
                <w:sz w:val="20"/>
              </w:rPr>
              <w:t xml:space="preserve"> multiforme, </w:t>
            </w:r>
            <w:proofErr w:type="spellStart"/>
            <w:r w:rsidRPr="00DD68A2">
              <w:rPr>
                <w:sz w:val="20"/>
              </w:rPr>
              <w:t>eksfoliativ</w:t>
            </w:r>
            <w:proofErr w:type="spellEnd"/>
            <w:r w:rsidRPr="00DD68A2">
              <w:rPr>
                <w:sz w:val="20"/>
              </w:rPr>
              <w:t xml:space="preserve"> </w:t>
            </w:r>
            <w:proofErr w:type="spellStart"/>
            <w:r w:rsidRPr="00DD68A2">
              <w:rPr>
                <w:sz w:val="20"/>
              </w:rPr>
              <w:t>dermatitis</w:t>
            </w:r>
            <w:proofErr w:type="spellEnd"/>
            <w:r w:rsidRPr="00DD68A2">
              <w:rPr>
                <w:sz w:val="20"/>
              </w:rPr>
              <w:t xml:space="preserve">, lægemiddelfremkaldt lokaliseret </w:t>
            </w:r>
            <w:proofErr w:type="spellStart"/>
            <w:r w:rsidRPr="00DD68A2">
              <w:rPr>
                <w:sz w:val="20"/>
              </w:rPr>
              <w:t>dermatitis</w:t>
            </w:r>
            <w:proofErr w:type="spellEnd"/>
          </w:p>
        </w:tc>
        <w:tc>
          <w:tcPr>
            <w:tcW w:w="710" w:type="pct"/>
            <w:shd w:val="clear" w:color="auto" w:fill="auto"/>
          </w:tcPr>
          <w:p w:rsidR="008E4AD7" w:rsidRPr="00DD68A2" w:rsidRDefault="008E4AD7" w:rsidP="0024574C">
            <w:pPr>
              <w:rPr>
                <w:sz w:val="20"/>
              </w:rPr>
            </w:pPr>
          </w:p>
        </w:tc>
      </w:tr>
      <w:tr w:rsidR="008E4AD7" w:rsidRPr="00DD68A2" w:rsidTr="00DD68A2">
        <w:tc>
          <w:tcPr>
            <w:tcW w:w="636" w:type="pct"/>
            <w:shd w:val="clear" w:color="auto" w:fill="auto"/>
          </w:tcPr>
          <w:p w:rsidR="008E4AD7" w:rsidRPr="00DD68A2" w:rsidRDefault="008E4AD7" w:rsidP="0024574C">
            <w:pPr>
              <w:rPr>
                <w:sz w:val="20"/>
              </w:rPr>
            </w:pPr>
            <w:r w:rsidRPr="00DD68A2">
              <w:rPr>
                <w:sz w:val="20"/>
              </w:rPr>
              <w:t>Knogler, led, muskler og bindevæv</w:t>
            </w:r>
          </w:p>
        </w:tc>
        <w:tc>
          <w:tcPr>
            <w:tcW w:w="449" w:type="pct"/>
            <w:shd w:val="clear" w:color="auto" w:fill="auto"/>
          </w:tcPr>
          <w:p w:rsidR="008E4AD7" w:rsidRPr="00DD68A2" w:rsidRDefault="008E4AD7" w:rsidP="0024574C">
            <w:pPr>
              <w:rPr>
                <w:sz w:val="20"/>
              </w:rPr>
            </w:pPr>
          </w:p>
        </w:tc>
        <w:tc>
          <w:tcPr>
            <w:tcW w:w="906" w:type="pct"/>
            <w:shd w:val="clear" w:color="auto" w:fill="auto"/>
          </w:tcPr>
          <w:p w:rsidR="008E4AD7" w:rsidRPr="00DD68A2" w:rsidRDefault="008E4AD7" w:rsidP="0024574C">
            <w:pPr>
              <w:rPr>
                <w:sz w:val="20"/>
              </w:rPr>
            </w:pPr>
            <w:proofErr w:type="spellStart"/>
            <w:r w:rsidRPr="00DD68A2">
              <w:rPr>
                <w:sz w:val="20"/>
              </w:rPr>
              <w:t>Artralgi</w:t>
            </w:r>
            <w:proofErr w:type="spellEnd"/>
            <w:r w:rsidRPr="00DD68A2">
              <w:rPr>
                <w:sz w:val="20"/>
              </w:rPr>
              <w:t>, muskelstramninger</w:t>
            </w:r>
            <w:r w:rsidRPr="00DD68A2">
              <w:rPr>
                <w:sz w:val="20"/>
                <w:vertAlign w:val="superscript"/>
              </w:rPr>
              <w:t>#</w:t>
            </w:r>
            <w:r w:rsidRPr="00DD68A2">
              <w:rPr>
                <w:sz w:val="20"/>
              </w:rPr>
              <w:t>, muskelspasmer</w:t>
            </w:r>
            <w:r w:rsidRPr="00DD68A2">
              <w:rPr>
                <w:sz w:val="20"/>
                <w:vertAlign w:val="superscript"/>
              </w:rPr>
              <w:t>#</w:t>
            </w:r>
          </w:p>
        </w:tc>
        <w:tc>
          <w:tcPr>
            <w:tcW w:w="842" w:type="pct"/>
            <w:shd w:val="clear" w:color="auto" w:fill="auto"/>
          </w:tcPr>
          <w:p w:rsidR="008E4AD7" w:rsidRPr="00DD68A2" w:rsidRDefault="008E4AD7" w:rsidP="0024574C">
            <w:pPr>
              <w:rPr>
                <w:sz w:val="20"/>
              </w:rPr>
            </w:pPr>
            <w:r w:rsidRPr="00DD68A2">
              <w:rPr>
                <w:sz w:val="20"/>
              </w:rPr>
              <w:t>Myalgi</w:t>
            </w:r>
            <w:r w:rsidRPr="00DD68A2">
              <w:rPr>
                <w:sz w:val="20"/>
                <w:vertAlign w:val="superscript"/>
              </w:rPr>
              <w:t>†</w:t>
            </w:r>
            <w:r w:rsidRPr="00DD68A2">
              <w:rPr>
                <w:sz w:val="20"/>
              </w:rPr>
              <w:t xml:space="preserve">, </w:t>
            </w:r>
            <w:proofErr w:type="spellStart"/>
            <w:r w:rsidRPr="00DD68A2">
              <w:rPr>
                <w:sz w:val="20"/>
              </w:rPr>
              <w:t>muskelsitringer</w:t>
            </w:r>
            <w:proofErr w:type="spellEnd"/>
          </w:p>
        </w:tc>
        <w:tc>
          <w:tcPr>
            <w:tcW w:w="760" w:type="pct"/>
            <w:shd w:val="clear" w:color="auto" w:fill="auto"/>
          </w:tcPr>
          <w:p w:rsidR="008E4AD7" w:rsidRPr="00DD68A2" w:rsidRDefault="008E4AD7" w:rsidP="0024574C">
            <w:pPr>
              <w:rPr>
                <w:sz w:val="20"/>
              </w:rPr>
            </w:pPr>
          </w:p>
        </w:tc>
        <w:tc>
          <w:tcPr>
            <w:tcW w:w="697" w:type="pct"/>
            <w:shd w:val="clear" w:color="auto" w:fill="auto"/>
          </w:tcPr>
          <w:p w:rsidR="008E4AD7" w:rsidRPr="00DD68A2" w:rsidRDefault="008E4AD7" w:rsidP="0024574C">
            <w:pPr>
              <w:rPr>
                <w:sz w:val="20"/>
              </w:rPr>
            </w:pPr>
            <w:r w:rsidRPr="00DD68A2">
              <w:rPr>
                <w:sz w:val="20"/>
              </w:rPr>
              <w:t>Muskelkramper</w:t>
            </w:r>
          </w:p>
        </w:tc>
        <w:tc>
          <w:tcPr>
            <w:tcW w:w="710" w:type="pct"/>
            <w:shd w:val="clear" w:color="auto" w:fill="auto"/>
          </w:tcPr>
          <w:p w:rsidR="008E4AD7" w:rsidRPr="00DD68A2" w:rsidRDefault="008E4AD7" w:rsidP="0024574C">
            <w:pPr>
              <w:rPr>
                <w:sz w:val="20"/>
              </w:rPr>
            </w:pPr>
            <w:proofErr w:type="spellStart"/>
            <w:r w:rsidRPr="00DD68A2">
              <w:rPr>
                <w:sz w:val="20"/>
              </w:rPr>
              <w:t>Trismus</w:t>
            </w:r>
            <w:proofErr w:type="spellEnd"/>
            <w:r w:rsidR="004255DB" w:rsidRPr="00DD68A2">
              <w:rPr>
                <w:rFonts w:eastAsia="Arial"/>
                <w:sz w:val="20"/>
                <w:vertAlign w:val="superscript"/>
              </w:rPr>
              <w:t>∞</w:t>
            </w:r>
          </w:p>
        </w:tc>
      </w:tr>
      <w:tr w:rsidR="008E4AD7" w:rsidRPr="00DD68A2" w:rsidTr="00DD68A2">
        <w:tc>
          <w:tcPr>
            <w:tcW w:w="636" w:type="pct"/>
            <w:shd w:val="clear" w:color="auto" w:fill="auto"/>
          </w:tcPr>
          <w:p w:rsidR="008E4AD7" w:rsidRPr="00DD68A2" w:rsidRDefault="008E4AD7" w:rsidP="0024574C">
            <w:pPr>
              <w:rPr>
                <w:sz w:val="20"/>
              </w:rPr>
            </w:pPr>
            <w:r w:rsidRPr="00DD68A2">
              <w:rPr>
                <w:sz w:val="20"/>
              </w:rPr>
              <w:t>Nyrer og urinveje</w:t>
            </w:r>
          </w:p>
        </w:tc>
        <w:tc>
          <w:tcPr>
            <w:tcW w:w="449" w:type="pct"/>
            <w:shd w:val="clear" w:color="auto" w:fill="auto"/>
          </w:tcPr>
          <w:p w:rsidR="008E4AD7" w:rsidRPr="00DD68A2" w:rsidRDefault="008E4AD7" w:rsidP="0024574C">
            <w:pPr>
              <w:rPr>
                <w:sz w:val="20"/>
              </w:rPr>
            </w:pPr>
          </w:p>
        </w:tc>
        <w:tc>
          <w:tcPr>
            <w:tcW w:w="906" w:type="pct"/>
            <w:shd w:val="clear" w:color="auto" w:fill="auto"/>
          </w:tcPr>
          <w:p w:rsidR="008E4AD7" w:rsidRPr="00DD68A2" w:rsidRDefault="008E4AD7" w:rsidP="0024574C">
            <w:pPr>
              <w:rPr>
                <w:sz w:val="20"/>
              </w:rPr>
            </w:pPr>
          </w:p>
        </w:tc>
        <w:tc>
          <w:tcPr>
            <w:tcW w:w="842" w:type="pct"/>
            <w:shd w:val="clear" w:color="auto" w:fill="auto"/>
          </w:tcPr>
          <w:p w:rsidR="008E4AD7" w:rsidRPr="00DD68A2" w:rsidRDefault="008E4AD7" w:rsidP="0024574C">
            <w:pPr>
              <w:rPr>
                <w:sz w:val="20"/>
              </w:rPr>
            </w:pPr>
            <w:r w:rsidRPr="00DD68A2">
              <w:rPr>
                <w:sz w:val="20"/>
              </w:rPr>
              <w:t xml:space="preserve">Hæmaturi, </w:t>
            </w:r>
            <w:proofErr w:type="spellStart"/>
            <w:r w:rsidRPr="00DD68A2">
              <w:rPr>
                <w:sz w:val="20"/>
              </w:rPr>
              <w:t>pollakisuri</w:t>
            </w:r>
            <w:proofErr w:type="spellEnd"/>
          </w:p>
        </w:tc>
        <w:tc>
          <w:tcPr>
            <w:tcW w:w="760" w:type="pct"/>
            <w:shd w:val="clear" w:color="auto" w:fill="auto"/>
          </w:tcPr>
          <w:p w:rsidR="008E4AD7" w:rsidRPr="00DD68A2" w:rsidRDefault="008E4AD7" w:rsidP="0024574C">
            <w:pPr>
              <w:rPr>
                <w:sz w:val="20"/>
              </w:rPr>
            </w:pPr>
          </w:p>
        </w:tc>
        <w:tc>
          <w:tcPr>
            <w:tcW w:w="697" w:type="pct"/>
            <w:shd w:val="clear" w:color="auto" w:fill="auto"/>
          </w:tcPr>
          <w:p w:rsidR="008E4AD7" w:rsidRPr="00DD68A2" w:rsidRDefault="008E4AD7" w:rsidP="0024574C">
            <w:pPr>
              <w:rPr>
                <w:sz w:val="20"/>
              </w:rPr>
            </w:pPr>
          </w:p>
        </w:tc>
        <w:tc>
          <w:tcPr>
            <w:tcW w:w="710" w:type="pct"/>
            <w:shd w:val="clear" w:color="auto" w:fill="auto"/>
          </w:tcPr>
          <w:p w:rsidR="008E4AD7" w:rsidRPr="00DD68A2" w:rsidRDefault="008E4AD7" w:rsidP="0024574C">
            <w:pPr>
              <w:rPr>
                <w:sz w:val="20"/>
              </w:rPr>
            </w:pPr>
            <w:r w:rsidRPr="00DD68A2">
              <w:rPr>
                <w:sz w:val="20"/>
              </w:rPr>
              <w:t>Inkontinens</w:t>
            </w:r>
          </w:p>
        </w:tc>
      </w:tr>
      <w:tr w:rsidR="008E4AD7" w:rsidRPr="00DD68A2" w:rsidTr="00DD68A2">
        <w:tc>
          <w:tcPr>
            <w:tcW w:w="636" w:type="pct"/>
            <w:shd w:val="clear" w:color="auto" w:fill="auto"/>
          </w:tcPr>
          <w:p w:rsidR="008E4AD7" w:rsidRPr="00DD68A2" w:rsidRDefault="008E4AD7" w:rsidP="0024574C">
            <w:pPr>
              <w:rPr>
                <w:sz w:val="20"/>
              </w:rPr>
            </w:pPr>
            <w:r w:rsidRPr="00DD68A2">
              <w:rPr>
                <w:sz w:val="20"/>
              </w:rPr>
              <w:t>Det reproduktive system og mammae</w:t>
            </w:r>
          </w:p>
        </w:tc>
        <w:tc>
          <w:tcPr>
            <w:tcW w:w="449" w:type="pct"/>
            <w:shd w:val="clear" w:color="auto" w:fill="auto"/>
          </w:tcPr>
          <w:p w:rsidR="008E4AD7" w:rsidRPr="00DD68A2" w:rsidRDefault="008E4AD7" w:rsidP="0024574C">
            <w:pPr>
              <w:rPr>
                <w:sz w:val="20"/>
              </w:rPr>
            </w:pPr>
          </w:p>
        </w:tc>
        <w:tc>
          <w:tcPr>
            <w:tcW w:w="906" w:type="pct"/>
            <w:shd w:val="clear" w:color="auto" w:fill="auto"/>
          </w:tcPr>
          <w:p w:rsidR="008E4AD7" w:rsidRPr="00DD68A2" w:rsidRDefault="008E4AD7" w:rsidP="0024574C">
            <w:pPr>
              <w:rPr>
                <w:sz w:val="20"/>
              </w:rPr>
            </w:pPr>
            <w:proofErr w:type="spellStart"/>
            <w:r w:rsidRPr="00DD68A2">
              <w:rPr>
                <w:sz w:val="20"/>
              </w:rPr>
              <w:t>Erektil</w:t>
            </w:r>
            <w:proofErr w:type="spellEnd"/>
            <w:r w:rsidRPr="00DD68A2">
              <w:rPr>
                <w:sz w:val="20"/>
              </w:rPr>
              <w:t xml:space="preserve"> dysfunktion</w:t>
            </w:r>
            <w:r w:rsidRPr="00DD68A2">
              <w:rPr>
                <w:sz w:val="20"/>
                <w:vertAlign w:val="superscript"/>
              </w:rPr>
              <w:t>#</w:t>
            </w:r>
          </w:p>
        </w:tc>
        <w:tc>
          <w:tcPr>
            <w:tcW w:w="842" w:type="pct"/>
            <w:shd w:val="clear" w:color="auto" w:fill="auto"/>
          </w:tcPr>
          <w:p w:rsidR="008E4AD7" w:rsidRPr="00DD68A2" w:rsidRDefault="008E4AD7" w:rsidP="0024574C">
            <w:pPr>
              <w:rPr>
                <w:sz w:val="20"/>
              </w:rPr>
            </w:pPr>
          </w:p>
        </w:tc>
        <w:tc>
          <w:tcPr>
            <w:tcW w:w="760" w:type="pct"/>
            <w:shd w:val="clear" w:color="auto" w:fill="auto"/>
          </w:tcPr>
          <w:p w:rsidR="008E4AD7" w:rsidRPr="00DD68A2" w:rsidRDefault="008E4AD7" w:rsidP="0024574C">
            <w:pPr>
              <w:rPr>
                <w:sz w:val="20"/>
              </w:rPr>
            </w:pPr>
            <w:proofErr w:type="spellStart"/>
            <w:r w:rsidRPr="00DD68A2">
              <w:rPr>
                <w:sz w:val="20"/>
              </w:rPr>
              <w:t>Gynækomasti</w:t>
            </w:r>
            <w:proofErr w:type="spellEnd"/>
          </w:p>
        </w:tc>
        <w:tc>
          <w:tcPr>
            <w:tcW w:w="697" w:type="pct"/>
            <w:shd w:val="clear" w:color="auto" w:fill="auto"/>
          </w:tcPr>
          <w:p w:rsidR="008E4AD7" w:rsidRPr="00DD68A2" w:rsidRDefault="008E4AD7" w:rsidP="0024574C">
            <w:pPr>
              <w:rPr>
                <w:sz w:val="20"/>
              </w:rPr>
            </w:pPr>
          </w:p>
        </w:tc>
        <w:tc>
          <w:tcPr>
            <w:tcW w:w="710" w:type="pct"/>
            <w:shd w:val="clear" w:color="auto" w:fill="auto"/>
          </w:tcPr>
          <w:p w:rsidR="008E4AD7" w:rsidRPr="00DD68A2" w:rsidRDefault="008E4AD7" w:rsidP="0024574C">
            <w:pPr>
              <w:pStyle w:val="Default"/>
              <w:spacing w:after="140"/>
              <w:rPr>
                <w:sz w:val="20"/>
                <w:szCs w:val="20"/>
                <w:lang w:val="da-DK"/>
              </w:rPr>
            </w:pPr>
            <w:proofErr w:type="spellStart"/>
            <w:r w:rsidRPr="00DD68A2">
              <w:rPr>
                <w:rFonts w:ascii="Times New Roman" w:hAnsi="Times New Roman" w:cs="Times New Roman"/>
                <w:sz w:val="20"/>
                <w:szCs w:val="20"/>
                <w:lang w:val="sv-SE"/>
              </w:rPr>
              <w:t>Priapisme</w:t>
            </w:r>
            <w:proofErr w:type="spellEnd"/>
            <w:r w:rsidRPr="00DD68A2">
              <w:rPr>
                <w:rFonts w:ascii="Times New Roman" w:hAnsi="Times New Roman" w:cs="Times New Roman"/>
                <w:sz w:val="20"/>
                <w:szCs w:val="20"/>
                <w:lang w:val="sv-SE"/>
              </w:rPr>
              <w:t xml:space="preserve">, </w:t>
            </w:r>
            <w:proofErr w:type="spellStart"/>
            <w:r w:rsidRPr="00DD68A2">
              <w:rPr>
                <w:rFonts w:ascii="Times New Roman" w:hAnsi="Times New Roman" w:cs="Times New Roman"/>
                <w:sz w:val="20"/>
                <w:szCs w:val="20"/>
                <w:lang w:val="sv-SE"/>
              </w:rPr>
              <w:t>hyppigere</w:t>
            </w:r>
            <w:proofErr w:type="spellEnd"/>
            <w:r w:rsidRPr="00DD68A2">
              <w:rPr>
                <w:rFonts w:ascii="Times New Roman" w:hAnsi="Times New Roman" w:cs="Times New Roman"/>
                <w:sz w:val="20"/>
                <w:szCs w:val="20"/>
                <w:lang w:val="sv-SE"/>
              </w:rPr>
              <w:t xml:space="preserve"> og </w:t>
            </w:r>
            <w:proofErr w:type="spellStart"/>
            <w:r w:rsidRPr="00DD68A2">
              <w:rPr>
                <w:rFonts w:ascii="Times New Roman" w:hAnsi="Times New Roman" w:cs="Times New Roman"/>
                <w:sz w:val="20"/>
                <w:szCs w:val="20"/>
                <w:lang w:val="sv-SE"/>
              </w:rPr>
              <w:t>vedvarende</w:t>
            </w:r>
            <w:proofErr w:type="spellEnd"/>
            <w:r w:rsidRPr="00DD68A2">
              <w:rPr>
                <w:rFonts w:ascii="Times New Roman" w:hAnsi="Times New Roman" w:cs="Times New Roman"/>
                <w:sz w:val="20"/>
                <w:szCs w:val="20"/>
                <w:lang w:val="sv-SE"/>
              </w:rPr>
              <w:t xml:space="preserve"> erektion </w:t>
            </w:r>
          </w:p>
        </w:tc>
      </w:tr>
      <w:tr w:rsidR="008E4AD7" w:rsidRPr="00DD68A2" w:rsidTr="00DD68A2">
        <w:tc>
          <w:tcPr>
            <w:tcW w:w="636" w:type="pct"/>
            <w:shd w:val="clear" w:color="auto" w:fill="auto"/>
          </w:tcPr>
          <w:p w:rsidR="008E4AD7" w:rsidRPr="00DD68A2" w:rsidRDefault="008E4AD7" w:rsidP="0024574C">
            <w:pPr>
              <w:rPr>
                <w:sz w:val="20"/>
              </w:rPr>
            </w:pPr>
            <w:r w:rsidRPr="00DD68A2">
              <w:rPr>
                <w:sz w:val="20"/>
              </w:rPr>
              <w:t>Almene symptomer og reaktioner på indgivelsesstedet</w:t>
            </w:r>
          </w:p>
        </w:tc>
        <w:tc>
          <w:tcPr>
            <w:tcW w:w="449" w:type="pct"/>
            <w:shd w:val="clear" w:color="auto" w:fill="auto"/>
          </w:tcPr>
          <w:p w:rsidR="008E4AD7" w:rsidRPr="00DD68A2" w:rsidRDefault="008E4AD7" w:rsidP="0024574C">
            <w:pPr>
              <w:rPr>
                <w:sz w:val="20"/>
              </w:rPr>
            </w:pPr>
          </w:p>
        </w:tc>
        <w:tc>
          <w:tcPr>
            <w:tcW w:w="906" w:type="pct"/>
            <w:shd w:val="clear" w:color="auto" w:fill="auto"/>
          </w:tcPr>
          <w:p w:rsidR="008E4AD7" w:rsidRPr="00DD68A2" w:rsidRDefault="008E4AD7" w:rsidP="0024574C">
            <w:pPr>
              <w:rPr>
                <w:sz w:val="20"/>
              </w:rPr>
            </w:pPr>
            <w:proofErr w:type="spellStart"/>
            <w:r w:rsidRPr="00DD68A2">
              <w:rPr>
                <w:sz w:val="20"/>
              </w:rPr>
              <w:t>Pyreksi</w:t>
            </w:r>
            <w:proofErr w:type="spellEnd"/>
            <w:r w:rsidRPr="00DD68A2">
              <w:rPr>
                <w:sz w:val="20"/>
              </w:rPr>
              <w:t>, væksthæmning ved langvarig anvendelse hos børn*, træthed</w:t>
            </w:r>
            <w:r w:rsidRPr="00DD68A2">
              <w:rPr>
                <w:sz w:val="20"/>
                <w:vertAlign w:val="superscript"/>
              </w:rPr>
              <w:t>†</w:t>
            </w:r>
            <w:r w:rsidRPr="00DD68A2">
              <w:rPr>
                <w:sz w:val="20"/>
              </w:rPr>
              <w:t>, irritabilitet</w:t>
            </w:r>
            <w:r w:rsidRPr="00DD68A2">
              <w:rPr>
                <w:sz w:val="20"/>
                <w:vertAlign w:val="superscript"/>
              </w:rPr>
              <w:t>#</w:t>
            </w:r>
            <w:r w:rsidRPr="00DD68A2">
              <w:rPr>
                <w:sz w:val="20"/>
              </w:rPr>
              <w:t>, nervøsitet</w:t>
            </w:r>
            <w:r w:rsidRPr="00DD68A2">
              <w:rPr>
                <w:sz w:val="20"/>
                <w:vertAlign w:val="superscript"/>
              </w:rPr>
              <w:t>#</w:t>
            </w:r>
            <w:r w:rsidRPr="00DD68A2">
              <w:rPr>
                <w:sz w:val="20"/>
              </w:rPr>
              <w:t>, asteni</w:t>
            </w:r>
            <w:r w:rsidRPr="00DD68A2">
              <w:rPr>
                <w:sz w:val="20"/>
                <w:vertAlign w:val="superscript"/>
              </w:rPr>
              <w:t>#</w:t>
            </w:r>
            <w:r w:rsidRPr="00DD68A2">
              <w:rPr>
                <w:sz w:val="20"/>
              </w:rPr>
              <w:t>, tørst</w:t>
            </w:r>
            <w:r w:rsidRPr="00DD68A2">
              <w:rPr>
                <w:sz w:val="20"/>
                <w:vertAlign w:val="superscript"/>
              </w:rPr>
              <w:t>#</w:t>
            </w:r>
          </w:p>
        </w:tc>
        <w:tc>
          <w:tcPr>
            <w:tcW w:w="842" w:type="pct"/>
            <w:shd w:val="clear" w:color="auto" w:fill="auto"/>
          </w:tcPr>
          <w:p w:rsidR="008E4AD7" w:rsidRPr="00DD68A2" w:rsidRDefault="008E4AD7" w:rsidP="0024574C">
            <w:pPr>
              <w:rPr>
                <w:sz w:val="20"/>
              </w:rPr>
            </w:pPr>
            <w:r w:rsidRPr="00DD68A2">
              <w:rPr>
                <w:sz w:val="20"/>
              </w:rPr>
              <w:t>Brystsmerter</w:t>
            </w:r>
          </w:p>
        </w:tc>
        <w:tc>
          <w:tcPr>
            <w:tcW w:w="760" w:type="pct"/>
            <w:shd w:val="clear" w:color="auto" w:fill="auto"/>
          </w:tcPr>
          <w:p w:rsidR="008E4AD7" w:rsidRPr="00DD68A2" w:rsidRDefault="008E4AD7" w:rsidP="0024574C">
            <w:pPr>
              <w:rPr>
                <w:sz w:val="20"/>
              </w:rPr>
            </w:pPr>
          </w:p>
        </w:tc>
        <w:tc>
          <w:tcPr>
            <w:tcW w:w="697" w:type="pct"/>
            <w:shd w:val="clear" w:color="auto" w:fill="auto"/>
          </w:tcPr>
          <w:p w:rsidR="008E4AD7" w:rsidRPr="00DD68A2" w:rsidRDefault="008E4AD7" w:rsidP="0024574C">
            <w:pPr>
              <w:rPr>
                <w:sz w:val="20"/>
              </w:rPr>
            </w:pPr>
            <w:r w:rsidRPr="00DD68A2">
              <w:rPr>
                <w:sz w:val="20"/>
              </w:rPr>
              <w:t>Pludselig hjertedød*</w:t>
            </w:r>
          </w:p>
        </w:tc>
        <w:tc>
          <w:tcPr>
            <w:tcW w:w="710" w:type="pct"/>
            <w:shd w:val="clear" w:color="auto" w:fill="auto"/>
          </w:tcPr>
          <w:p w:rsidR="008E4AD7" w:rsidRPr="00DD68A2" w:rsidRDefault="008E4AD7" w:rsidP="0024574C">
            <w:pPr>
              <w:rPr>
                <w:sz w:val="20"/>
              </w:rPr>
            </w:pPr>
            <w:r w:rsidRPr="00DD68A2">
              <w:rPr>
                <w:sz w:val="20"/>
              </w:rPr>
              <w:t>Brystgener</w:t>
            </w:r>
            <w:r w:rsidRPr="00DD68A2">
              <w:rPr>
                <w:sz w:val="20"/>
                <w:vertAlign w:val="superscript"/>
              </w:rPr>
              <w:t>†</w:t>
            </w:r>
            <w:r w:rsidRPr="00DD68A2">
              <w:rPr>
                <w:sz w:val="20"/>
              </w:rPr>
              <w:t xml:space="preserve">, </w:t>
            </w:r>
            <w:proofErr w:type="spellStart"/>
            <w:r w:rsidRPr="00DD68A2">
              <w:rPr>
                <w:sz w:val="20"/>
              </w:rPr>
              <w:t>hyperpyreksi</w:t>
            </w:r>
            <w:proofErr w:type="spellEnd"/>
          </w:p>
        </w:tc>
      </w:tr>
      <w:tr w:rsidR="008E4AD7" w:rsidRPr="00DD68A2" w:rsidTr="00DD68A2">
        <w:tc>
          <w:tcPr>
            <w:tcW w:w="636" w:type="pct"/>
            <w:shd w:val="clear" w:color="auto" w:fill="auto"/>
          </w:tcPr>
          <w:p w:rsidR="008E4AD7" w:rsidRPr="00DD68A2" w:rsidRDefault="008E4AD7" w:rsidP="0024574C">
            <w:pPr>
              <w:rPr>
                <w:sz w:val="20"/>
              </w:rPr>
            </w:pPr>
            <w:r w:rsidRPr="00DD68A2">
              <w:rPr>
                <w:sz w:val="20"/>
              </w:rPr>
              <w:t>Undersøgelser</w:t>
            </w:r>
          </w:p>
        </w:tc>
        <w:tc>
          <w:tcPr>
            <w:tcW w:w="449" w:type="pct"/>
            <w:shd w:val="clear" w:color="auto" w:fill="auto"/>
          </w:tcPr>
          <w:p w:rsidR="008E4AD7" w:rsidRPr="00DD68A2" w:rsidRDefault="008E4AD7" w:rsidP="0024574C">
            <w:pPr>
              <w:rPr>
                <w:sz w:val="20"/>
              </w:rPr>
            </w:pPr>
          </w:p>
        </w:tc>
        <w:tc>
          <w:tcPr>
            <w:tcW w:w="906" w:type="pct"/>
            <w:shd w:val="clear" w:color="auto" w:fill="auto"/>
          </w:tcPr>
          <w:p w:rsidR="008E4AD7" w:rsidRPr="00DD68A2" w:rsidRDefault="008E4AD7" w:rsidP="0024574C">
            <w:pPr>
              <w:rPr>
                <w:sz w:val="20"/>
              </w:rPr>
            </w:pPr>
            <w:r w:rsidRPr="00DD68A2">
              <w:rPr>
                <w:sz w:val="20"/>
              </w:rPr>
              <w:t xml:space="preserve">Ændringer i blodtryk eller hjertefrekvens (sædvanligvis </w:t>
            </w:r>
            <w:proofErr w:type="gramStart"/>
            <w:r w:rsidRPr="00DD68A2">
              <w:rPr>
                <w:sz w:val="20"/>
              </w:rPr>
              <w:t>stigning)*</w:t>
            </w:r>
            <w:proofErr w:type="gramEnd"/>
            <w:r w:rsidRPr="00DD68A2">
              <w:rPr>
                <w:sz w:val="20"/>
              </w:rPr>
              <w:t xml:space="preserve">, vægttab*, forhøjet </w:t>
            </w:r>
            <w:proofErr w:type="spellStart"/>
            <w:r w:rsidRPr="00DD68A2">
              <w:rPr>
                <w:sz w:val="20"/>
              </w:rPr>
              <w:t>alanin-aminotransferase</w:t>
            </w:r>
            <w:proofErr w:type="spellEnd"/>
            <w:r w:rsidRPr="00DD68A2">
              <w:rPr>
                <w:sz w:val="20"/>
                <w:vertAlign w:val="superscript"/>
              </w:rPr>
              <w:t>#</w:t>
            </w:r>
          </w:p>
        </w:tc>
        <w:tc>
          <w:tcPr>
            <w:tcW w:w="842" w:type="pct"/>
            <w:shd w:val="clear" w:color="auto" w:fill="auto"/>
          </w:tcPr>
          <w:p w:rsidR="008E4AD7" w:rsidRPr="00DD68A2" w:rsidRDefault="008E4AD7" w:rsidP="0024574C">
            <w:pPr>
              <w:rPr>
                <w:sz w:val="20"/>
              </w:rPr>
            </w:pPr>
            <w:r w:rsidRPr="00DD68A2">
              <w:rPr>
                <w:sz w:val="20"/>
              </w:rPr>
              <w:t>Hjertemislyd*, forhøjet leverenzym</w:t>
            </w:r>
          </w:p>
        </w:tc>
        <w:tc>
          <w:tcPr>
            <w:tcW w:w="760" w:type="pct"/>
            <w:shd w:val="clear" w:color="auto" w:fill="auto"/>
          </w:tcPr>
          <w:p w:rsidR="008E4AD7" w:rsidRPr="00DD68A2" w:rsidRDefault="008E4AD7" w:rsidP="0024574C">
            <w:pPr>
              <w:rPr>
                <w:sz w:val="20"/>
              </w:rPr>
            </w:pPr>
          </w:p>
        </w:tc>
        <w:tc>
          <w:tcPr>
            <w:tcW w:w="697" w:type="pct"/>
            <w:shd w:val="clear" w:color="auto" w:fill="auto"/>
          </w:tcPr>
          <w:p w:rsidR="008E4AD7" w:rsidRPr="00DD68A2" w:rsidRDefault="008E4AD7" w:rsidP="0024574C">
            <w:pPr>
              <w:rPr>
                <w:sz w:val="20"/>
              </w:rPr>
            </w:pPr>
            <w:r w:rsidRPr="00DD68A2">
              <w:rPr>
                <w:sz w:val="20"/>
              </w:rPr>
              <w:t>Forhøjet alkalisk fosfatase i blod, forhøjet bilirubin i blod</w:t>
            </w:r>
            <w:r w:rsidRPr="00DD68A2">
              <w:rPr>
                <w:sz w:val="20"/>
                <w:vertAlign w:val="superscript"/>
              </w:rPr>
              <w:t>†</w:t>
            </w:r>
            <w:r w:rsidRPr="00DD68A2">
              <w:rPr>
                <w:sz w:val="20"/>
              </w:rPr>
              <w:t xml:space="preserve">, reduceret </w:t>
            </w:r>
            <w:proofErr w:type="spellStart"/>
            <w:r w:rsidRPr="00DD68A2">
              <w:rPr>
                <w:sz w:val="20"/>
              </w:rPr>
              <w:t>trombocyttal</w:t>
            </w:r>
            <w:proofErr w:type="spellEnd"/>
            <w:r w:rsidRPr="00DD68A2">
              <w:rPr>
                <w:sz w:val="20"/>
              </w:rPr>
              <w:t>, unormalt leukocyttal</w:t>
            </w:r>
          </w:p>
        </w:tc>
        <w:tc>
          <w:tcPr>
            <w:tcW w:w="710" w:type="pct"/>
            <w:shd w:val="clear" w:color="auto" w:fill="auto"/>
          </w:tcPr>
          <w:p w:rsidR="008E4AD7" w:rsidRPr="00DD68A2" w:rsidRDefault="008E4AD7" w:rsidP="0024574C">
            <w:pPr>
              <w:rPr>
                <w:sz w:val="20"/>
              </w:rPr>
            </w:pPr>
          </w:p>
        </w:tc>
      </w:tr>
    </w:tbl>
    <w:p w:rsidR="008E4AD7" w:rsidRDefault="008E4AD7" w:rsidP="008E4AD7">
      <w:pPr>
        <w:rPr>
          <w:sz w:val="24"/>
          <w:szCs w:val="24"/>
        </w:rPr>
      </w:pPr>
      <w:r>
        <w:rPr>
          <w:sz w:val="24"/>
          <w:szCs w:val="24"/>
        </w:rPr>
        <w:t>* Se pkt. 4.4</w:t>
      </w:r>
    </w:p>
    <w:p w:rsidR="008E4AD7" w:rsidRDefault="008E4AD7" w:rsidP="008E4AD7">
      <w:pPr>
        <w:rPr>
          <w:sz w:val="24"/>
          <w:szCs w:val="24"/>
        </w:rPr>
      </w:pPr>
    </w:p>
    <w:p w:rsidR="008E4AD7" w:rsidRDefault="008E4AD7" w:rsidP="008E4AD7">
      <w:pPr>
        <w:tabs>
          <w:tab w:val="left" w:pos="8931"/>
        </w:tabs>
        <w:rPr>
          <w:sz w:val="24"/>
          <w:szCs w:val="24"/>
        </w:rPr>
      </w:pPr>
      <w:r>
        <w:rPr>
          <w:sz w:val="24"/>
          <w:szCs w:val="24"/>
        </w:rPr>
        <w:t># Hyppighed udledt af kliniske forsøg med voksne og ikke fra forsøgsdata for børn og unge; kan dog også være relevant for børn og unge.</w:t>
      </w:r>
    </w:p>
    <w:p w:rsidR="008E4AD7" w:rsidRDefault="008E4AD7" w:rsidP="008E4AD7">
      <w:pPr>
        <w:tabs>
          <w:tab w:val="left" w:pos="8931"/>
        </w:tabs>
        <w:rPr>
          <w:sz w:val="24"/>
          <w:szCs w:val="24"/>
        </w:rPr>
      </w:pPr>
    </w:p>
    <w:p w:rsidR="00EF1492" w:rsidRDefault="00EF1492" w:rsidP="00EF1492">
      <w:pPr>
        <w:rPr>
          <w:sz w:val="24"/>
          <w:szCs w:val="24"/>
        </w:rPr>
      </w:pPr>
      <w:r>
        <w:rPr>
          <w:sz w:val="24"/>
          <w:szCs w:val="24"/>
        </w:rPr>
        <w:t>† Bivirkning, fra kliniske forsøg med voksne patienter, som rapporteredes med en større hyppighed end hos børn og unge.</w:t>
      </w:r>
    </w:p>
    <w:p w:rsidR="008E4AD7" w:rsidRDefault="008E4AD7" w:rsidP="008E4AD7">
      <w:pPr>
        <w:ind w:left="851" w:hanging="851"/>
        <w:rPr>
          <w:sz w:val="24"/>
          <w:szCs w:val="24"/>
        </w:rPr>
      </w:pPr>
    </w:p>
    <w:p w:rsidR="004255DB" w:rsidRDefault="004255DB" w:rsidP="004255DB">
      <w:pPr>
        <w:autoSpaceDE w:val="0"/>
        <w:autoSpaceDN w:val="0"/>
        <w:adjustRightInd w:val="0"/>
        <w:rPr>
          <w:sz w:val="24"/>
          <w:szCs w:val="24"/>
        </w:rPr>
      </w:pPr>
      <w:r w:rsidRPr="0031294D">
        <w:rPr>
          <w:rFonts w:eastAsia="Arial"/>
          <w:sz w:val="24"/>
          <w:szCs w:val="24"/>
        </w:rPr>
        <w:t>∞</w:t>
      </w:r>
      <w:r w:rsidRPr="0031294D">
        <w:rPr>
          <w:rFonts w:eastAsia="Arial"/>
          <w:sz w:val="24"/>
          <w:szCs w:val="24"/>
          <w:vertAlign w:val="superscript"/>
        </w:rPr>
        <w:t xml:space="preserve"> </w:t>
      </w:r>
      <w:r w:rsidRPr="0031294D">
        <w:rPr>
          <w:sz w:val="24"/>
          <w:szCs w:val="24"/>
          <w:lang w:eastAsia="da-DK"/>
        </w:rPr>
        <w:t>Baseret på den hyppighed, der er beregnet i ADHD-studier med voksne (der er ikke rapporteret nogen</w:t>
      </w:r>
      <w:r>
        <w:rPr>
          <w:sz w:val="24"/>
          <w:szCs w:val="24"/>
          <w:lang w:eastAsia="da-DK"/>
        </w:rPr>
        <w:t xml:space="preserve"> </w:t>
      </w:r>
      <w:r w:rsidRPr="0031294D">
        <w:rPr>
          <w:sz w:val="24"/>
          <w:szCs w:val="24"/>
          <w:lang w:eastAsia="da-DK"/>
        </w:rPr>
        <w:t>tilfælde i pædiatriske studier).</w:t>
      </w:r>
    </w:p>
    <w:p w:rsidR="004255DB" w:rsidRDefault="004255DB" w:rsidP="008E4AD7">
      <w:pPr>
        <w:ind w:left="851" w:hanging="851"/>
        <w:rPr>
          <w:sz w:val="24"/>
          <w:szCs w:val="24"/>
        </w:rPr>
      </w:pPr>
    </w:p>
    <w:p w:rsidR="004255DB" w:rsidRPr="00E90286" w:rsidRDefault="004255DB" w:rsidP="00E90286">
      <w:pPr>
        <w:ind w:left="851"/>
        <w:rPr>
          <w:sz w:val="24"/>
          <w:szCs w:val="24"/>
          <w:u w:val="single"/>
        </w:rPr>
      </w:pPr>
      <w:r w:rsidRPr="00E90286">
        <w:rPr>
          <w:sz w:val="24"/>
          <w:szCs w:val="24"/>
          <w:u w:val="single"/>
        </w:rPr>
        <w:t>Indberetning af formodede bivirkninger</w:t>
      </w:r>
    </w:p>
    <w:p w:rsidR="004255DB" w:rsidRDefault="004255DB" w:rsidP="004255DB">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4255DB" w:rsidRDefault="004255DB" w:rsidP="004255DB">
      <w:pPr>
        <w:ind w:left="851"/>
        <w:rPr>
          <w:sz w:val="24"/>
          <w:szCs w:val="24"/>
        </w:rPr>
      </w:pPr>
    </w:p>
    <w:p w:rsidR="004255DB" w:rsidRDefault="004255DB" w:rsidP="004255DB">
      <w:pPr>
        <w:ind w:left="851"/>
        <w:rPr>
          <w:sz w:val="24"/>
          <w:szCs w:val="24"/>
        </w:rPr>
      </w:pPr>
      <w:r>
        <w:rPr>
          <w:sz w:val="24"/>
          <w:szCs w:val="24"/>
        </w:rPr>
        <w:t>Lægemiddelstyrelsen</w:t>
      </w:r>
    </w:p>
    <w:p w:rsidR="004255DB" w:rsidRDefault="004255DB" w:rsidP="004255DB">
      <w:pPr>
        <w:ind w:left="851"/>
        <w:rPr>
          <w:sz w:val="24"/>
          <w:szCs w:val="24"/>
        </w:rPr>
      </w:pPr>
      <w:r>
        <w:rPr>
          <w:sz w:val="24"/>
          <w:szCs w:val="24"/>
        </w:rPr>
        <w:t>Axel Heides Gade 1</w:t>
      </w:r>
    </w:p>
    <w:p w:rsidR="004255DB" w:rsidRDefault="004255DB" w:rsidP="004255DB">
      <w:pPr>
        <w:ind w:left="851"/>
        <w:rPr>
          <w:sz w:val="24"/>
          <w:szCs w:val="24"/>
        </w:rPr>
      </w:pPr>
      <w:r>
        <w:rPr>
          <w:sz w:val="24"/>
          <w:szCs w:val="24"/>
        </w:rPr>
        <w:t>DK-2300 København S</w:t>
      </w:r>
    </w:p>
    <w:p w:rsidR="004255DB" w:rsidRDefault="004255DB" w:rsidP="004255DB">
      <w:pPr>
        <w:ind w:left="851"/>
        <w:rPr>
          <w:sz w:val="24"/>
          <w:szCs w:val="24"/>
        </w:rPr>
      </w:pPr>
      <w:r>
        <w:rPr>
          <w:sz w:val="24"/>
          <w:szCs w:val="24"/>
        </w:rPr>
        <w:t xml:space="preserve">Websted: </w:t>
      </w:r>
      <w:hyperlink r:id="rId8" w:history="1">
        <w:r>
          <w:rPr>
            <w:rStyle w:val="Hyperlink"/>
            <w:sz w:val="24"/>
            <w:szCs w:val="24"/>
          </w:rPr>
          <w:t>www.meldenbivirkning.dk</w:t>
        </w:r>
      </w:hyperlink>
    </w:p>
    <w:p w:rsidR="008E4AD7" w:rsidRPr="00BF3CBC" w:rsidRDefault="008E4AD7" w:rsidP="008E4AD7">
      <w:pPr>
        <w:pStyle w:val="NormalWeb"/>
        <w:shd w:val="clear" w:color="auto" w:fill="FFFFFF"/>
        <w:spacing w:before="0" w:after="0" w:afterAutospacing="0"/>
        <w:ind w:left="851"/>
        <w:rPr>
          <w:szCs w:val="24"/>
        </w:rPr>
      </w:pPr>
    </w:p>
    <w:p w:rsidR="00657134" w:rsidRPr="00C84483" w:rsidRDefault="00657134" w:rsidP="00657134">
      <w:pPr>
        <w:tabs>
          <w:tab w:val="left" w:pos="851"/>
        </w:tabs>
        <w:ind w:left="851" w:hanging="851"/>
        <w:rPr>
          <w:b/>
          <w:sz w:val="24"/>
          <w:szCs w:val="24"/>
        </w:rPr>
      </w:pPr>
      <w:r w:rsidRPr="00C84483">
        <w:rPr>
          <w:b/>
          <w:sz w:val="24"/>
          <w:szCs w:val="24"/>
        </w:rPr>
        <w:t>4.9</w:t>
      </w:r>
      <w:r w:rsidRPr="00C84483">
        <w:rPr>
          <w:b/>
          <w:sz w:val="24"/>
          <w:szCs w:val="24"/>
        </w:rPr>
        <w:tab/>
        <w:t>Overdosering</w:t>
      </w:r>
    </w:p>
    <w:p w:rsidR="008E4AD7" w:rsidRPr="00BF3CBC" w:rsidRDefault="008E4AD7" w:rsidP="008E4AD7">
      <w:pPr>
        <w:ind w:left="851"/>
        <w:rPr>
          <w:sz w:val="24"/>
          <w:szCs w:val="24"/>
        </w:rPr>
      </w:pPr>
      <w:r w:rsidRPr="00BF3CBC">
        <w:rPr>
          <w:sz w:val="24"/>
          <w:szCs w:val="24"/>
        </w:rPr>
        <w:t xml:space="preserve">Ved behandling af patienter med overdosering bør der tages hensyn til den forsinkede frigivelse af </w:t>
      </w:r>
      <w:proofErr w:type="spellStart"/>
      <w:r w:rsidRPr="00BF3CBC">
        <w:rPr>
          <w:sz w:val="24"/>
          <w:szCs w:val="24"/>
        </w:rPr>
        <w:t>methylphenidat</w:t>
      </w:r>
      <w:proofErr w:type="spellEnd"/>
      <w:r w:rsidRPr="00BF3CBC">
        <w:rPr>
          <w:sz w:val="24"/>
          <w:szCs w:val="24"/>
        </w:rPr>
        <w:t xml:space="preserve"> fra formuleringerne med depotvirkning.</w:t>
      </w:r>
    </w:p>
    <w:p w:rsidR="008E4AD7" w:rsidRPr="00BF3CBC" w:rsidRDefault="008E4AD7" w:rsidP="008E4AD7">
      <w:pPr>
        <w:ind w:left="851" w:hanging="851"/>
        <w:rPr>
          <w:sz w:val="24"/>
          <w:szCs w:val="24"/>
        </w:rPr>
      </w:pPr>
    </w:p>
    <w:p w:rsidR="008E4AD7" w:rsidRPr="00BF3CBC" w:rsidRDefault="008E4AD7" w:rsidP="008E4AD7">
      <w:pPr>
        <w:ind w:left="851"/>
        <w:rPr>
          <w:sz w:val="24"/>
          <w:szCs w:val="24"/>
        </w:rPr>
      </w:pPr>
      <w:r w:rsidRPr="00BF3CBC">
        <w:rPr>
          <w:sz w:val="24"/>
          <w:szCs w:val="24"/>
          <w:u w:val="single" w:color="000000"/>
        </w:rPr>
        <w:t>Tegn og symptomer</w:t>
      </w:r>
    </w:p>
    <w:p w:rsidR="008E4AD7" w:rsidRPr="00BF3CBC" w:rsidRDefault="008E4AD7" w:rsidP="008E4AD7">
      <w:pPr>
        <w:ind w:left="851"/>
        <w:rPr>
          <w:sz w:val="24"/>
          <w:szCs w:val="24"/>
        </w:rPr>
      </w:pPr>
      <w:r w:rsidRPr="00BF3CBC">
        <w:rPr>
          <w:sz w:val="24"/>
          <w:szCs w:val="24"/>
        </w:rPr>
        <w:t xml:space="preserve">Akut overdosering, hovedsagelig på grund af overstimulering af det centrale og sympatiske nervesystem, kan medføre opkastning, agitation, </w:t>
      </w:r>
      <w:proofErr w:type="spellStart"/>
      <w:r w:rsidRPr="00BF3CBC">
        <w:rPr>
          <w:sz w:val="24"/>
          <w:szCs w:val="24"/>
        </w:rPr>
        <w:t>tremor</w:t>
      </w:r>
      <w:proofErr w:type="spellEnd"/>
      <w:r w:rsidRPr="00BF3CBC">
        <w:rPr>
          <w:sz w:val="24"/>
          <w:szCs w:val="24"/>
        </w:rPr>
        <w:t xml:space="preserve">, </w:t>
      </w:r>
      <w:proofErr w:type="spellStart"/>
      <w:r w:rsidRPr="00BF3CBC">
        <w:rPr>
          <w:sz w:val="24"/>
          <w:szCs w:val="24"/>
        </w:rPr>
        <w:t>hyperrefleksi</w:t>
      </w:r>
      <w:proofErr w:type="spellEnd"/>
      <w:r w:rsidRPr="00BF3CBC">
        <w:rPr>
          <w:sz w:val="24"/>
          <w:szCs w:val="24"/>
        </w:rPr>
        <w:t xml:space="preserve">, muskeltrækninger, kramper (eventuelt efterfulgt af koma), eufori, konfusion, hallucinationer, delirium, svedtendens, rødmen, hovedpine, </w:t>
      </w:r>
      <w:proofErr w:type="spellStart"/>
      <w:r w:rsidRPr="00BF3CBC">
        <w:rPr>
          <w:sz w:val="24"/>
          <w:szCs w:val="24"/>
        </w:rPr>
        <w:t>hyperpyreksi</w:t>
      </w:r>
      <w:proofErr w:type="spellEnd"/>
      <w:r w:rsidRPr="00BF3CBC">
        <w:rPr>
          <w:sz w:val="24"/>
          <w:szCs w:val="24"/>
        </w:rPr>
        <w:t xml:space="preserve">, </w:t>
      </w:r>
      <w:proofErr w:type="spellStart"/>
      <w:r w:rsidRPr="00BF3CBC">
        <w:rPr>
          <w:sz w:val="24"/>
          <w:szCs w:val="24"/>
        </w:rPr>
        <w:t>takykardi</w:t>
      </w:r>
      <w:proofErr w:type="spellEnd"/>
      <w:r w:rsidRPr="00BF3CBC">
        <w:rPr>
          <w:sz w:val="24"/>
          <w:szCs w:val="24"/>
        </w:rPr>
        <w:t xml:space="preserve">, </w:t>
      </w:r>
      <w:proofErr w:type="spellStart"/>
      <w:r w:rsidRPr="00BF3CBC">
        <w:rPr>
          <w:sz w:val="24"/>
          <w:szCs w:val="24"/>
        </w:rPr>
        <w:t>palpitationer</w:t>
      </w:r>
      <w:proofErr w:type="spellEnd"/>
      <w:r w:rsidRPr="00BF3CBC">
        <w:rPr>
          <w:sz w:val="24"/>
          <w:szCs w:val="24"/>
        </w:rPr>
        <w:t xml:space="preserve">, </w:t>
      </w:r>
      <w:proofErr w:type="spellStart"/>
      <w:r w:rsidRPr="00BF3CBC">
        <w:rPr>
          <w:sz w:val="24"/>
          <w:szCs w:val="24"/>
        </w:rPr>
        <w:t>hjertearrytmier</w:t>
      </w:r>
      <w:proofErr w:type="spellEnd"/>
      <w:r w:rsidRPr="00BF3CBC">
        <w:rPr>
          <w:sz w:val="24"/>
          <w:szCs w:val="24"/>
        </w:rPr>
        <w:t xml:space="preserve">, hypertension, </w:t>
      </w:r>
      <w:proofErr w:type="spellStart"/>
      <w:r w:rsidRPr="00BF3CBC">
        <w:rPr>
          <w:sz w:val="24"/>
          <w:szCs w:val="24"/>
        </w:rPr>
        <w:t>mydriasis</w:t>
      </w:r>
      <w:proofErr w:type="spellEnd"/>
      <w:r w:rsidR="00A32A6A">
        <w:rPr>
          <w:sz w:val="24"/>
          <w:szCs w:val="24"/>
        </w:rPr>
        <w:t>,</w:t>
      </w:r>
      <w:r w:rsidRPr="00BF3CBC">
        <w:rPr>
          <w:sz w:val="24"/>
          <w:szCs w:val="24"/>
        </w:rPr>
        <w:t xml:space="preserve"> tørre slimhinder</w:t>
      </w:r>
      <w:r w:rsidR="00A32A6A">
        <w:rPr>
          <w:sz w:val="24"/>
          <w:szCs w:val="24"/>
        </w:rPr>
        <w:t xml:space="preserve"> og </w:t>
      </w:r>
      <w:proofErr w:type="spellStart"/>
      <w:r w:rsidR="00A32A6A">
        <w:rPr>
          <w:sz w:val="24"/>
          <w:szCs w:val="24"/>
        </w:rPr>
        <w:t>rhabdomyolyse</w:t>
      </w:r>
      <w:proofErr w:type="spellEnd"/>
      <w:r w:rsidR="00A32A6A">
        <w:rPr>
          <w:sz w:val="24"/>
          <w:szCs w:val="24"/>
        </w:rPr>
        <w:t xml:space="preserve">. </w:t>
      </w:r>
    </w:p>
    <w:p w:rsidR="008E4AD7" w:rsidRPr="00BF3CBC" w:rsidRDefault="008E4AD7" w:rsidP="008E4AD7">
      <w:pPr>
        <w:ind w:left="851" w:hanging="851"/>
        <w:rPr>
          <w:sz w:val="24"/>
          <w:szCs w:val="24"/>
        </w:rPr>
      </w:pPr>
    </w:p>
    <w:p w:rsidR="008E4AD7" w:rsidRPr="00BF3CBC" w:rsidRDefault="008E4AD7" w:rsidP="008E4AD7">
      <w:pPr>
        <w:ind w:left="851"/>
        <w:rPr>
          <w:sz w:val="24"/>
          <w:szCs w:val="24"/>
        </w:rPr>
      </w:pPr>
      <w:r w:rsidRPr="00BF3CBC">
        <w:rPr>
          <w:sz w:val="24"/>
          <w:szCs w:val="24"/>
          <w:u w:val="single" w:color="000000"/>
        </w:rPr>
        <w:t>Behandling</w:t>
      </w:r>
    </w:p>
    <w:p w:rsidR="008E4AD7" w:rsidRPr="00BF3CBC" w:rsidRDefault="008E4AD7" w:rsidP="008E4AD7">
      <w:pPr>
        <w:ind w:left="851"/>
        <w:rPr>
          <w:sz w:val="24"/>
          <w:szCs w:val="24"/>
        </w:rPr>
      </w:pPr>
      <w:r w:rsidRPr="00BF3CBC">
        <w:rPr>
          <w:sz w:val="24"/>
          <w:szCs w:val="24"/>
        </w:rPr>
        <w:t xml:space="preserve">Der er ingen specifik </w:t>
      </w:r>
      <w:proofErr w:type="spellStart"/>
      <w:r w:rsidRPr="00BF3CBC">
        <w:rPr>
          <w:sz w:val="24"/>
          <w:szCs w:val="24"/>
        </w:rPr>
        <w:t>antidot</w:t>
      </w:r>
      <w:proofErr w:type="spellEnd"/>
      <w:r w:rsidRPr="00BF3CBC">
        <w:rPr>
          <w:sz w:val="24"/>
          <w:szCs w:val="24"/>
        </w:rPr>
        <w:t xml:space="preserve"> ved overdosering med </w:t>
      </w:r>
      <w:proofErr w:type="spellStart"/>
      <w:r w:rsidRPr="00BF3CBC">
        <w:rPr>
          <w:sz w:val="24"/>
          <w:szCs w:val="24"/>
        </w:rPr>
        <w:t>methylphenidat</w:t>
      </w:r>
      <w:proofErr w:type="spellEnd"/>
      <w:r w:rsidRPr="00BF3CBC">
        <w:rPr>
          <w:sz w:val="24"/>
          <w:szCs w:val="24"/>
        </w:rPr>
        <w:t>. Behandlingen består af nødvendige understøttende tiltag.</w:t>
      </w:r>
    </w:p>
    <w:p w:rsidR="008E4AD7" w:rsidRPr="00BF3CBC" w:rsidRDefault="008E4AD7" w:rsidP="008E4AD7">
      <w:pPr>
        <w:ind w:left="851"/>
        <w:rPr>
          <w:sz w:val="24"/>
          <w:szCs w:val="24"/>
        </w:rPr>
      </w:pPr>
      <w:r w:rsidRPr="00BF3CBC">
        <w:rPr>
          <w:sz w:val="24"/>
          <w:szCs w:val="24"/>
        </w:rPr>
        <w:t>Patienten skal beskyttes mod at gøre skade på sig selv og mod eksterne stimuli, der vil forstærke den overstimulering, som allerede er til stede. Effekten af aktivt kul er ikke fastslået.</w:t>
      </w:r>
    </w:p>
    <w:p w:rsidR="008E4AD7" w:rsidRPr="00BF3CBC" w:rsidRDefault="008E4AD7" w:rsidP="008E4AD7">
      <w:pPr>
        <w:ind w:left="851"/>
        <w:rPr>
          <w:sz w:val="24"/>
          <w:szCs w:val="24"/>
        </w:rPr>
      </w:pPr>
      <w:r w:rsidRPr="00BF3CBC">
        <w:rPr>
          <w:sz w:val="24"/>
          <w:szCs w:val="24"/>
        </w:rPr>
        <w:t xml:space="preserve">Der skal sørges for intensiv pleje for at opretholde tilstrækkelig cirkulation og respiration. Ekstern afkøling kan være nødvendig i tilfælde af </w:t>
      </w:r>
      <w:proofErr w:type="spellStart"/>
      <w:r w:rsidRPr="00BF3CBC">
        <w:rPr>
          <w:sz w:val="24"/>
          <w:szCs w:val="24"/>
        </w:rPr>
        <w:t>hyperpyreksi</w:t>
      </w:r>
      <w:proofErr w:type="spellEnd"/>
      <w:r w:rsidRPr="00BF3CBC">
        <w:rPr>
          <w:sz w:val="24"/>
          <w:szCs w:val="24"/>
        </w:rPr>
        <w:t>.</w:t>
      </w:r>
    </w:p>
    <w:p w:rsidR="008E4AD7" w:rsidRPr="00BF3CBC" w:rsidRDefault="008E4AD7" w:rsidP="008E4AD7">
      <w:pPr>
        <w:ind w:left="851"/>
        <w:rPr>
          <w:sz w:val="24"/>
          <w:szCs w:val="24"/>
        </w:rPr>
      </w:pPr>
      <w:r w:rsidRPr="00BF3CBC">
        <w:rPr>
          <w:sz w:val="24"/>
          <w:szCs w:val="24"/>
        </w:rPr>
        <w:t xml:space="preserve">Effekten af </w:t>
      </w:r>
      <w:proofErr w:type="spellStart"/>
      <w:r w:rsidRPr="00BF3CBC">
        <w:rPr>
          <w:sz w:val="24"/>
          <w:szCs w:val="24"/>
        </w:rPr>
        <w:t>peritonealdialyse</w:t>
      </w:r>
      <w:proofErr w:type="spellEnd"/>
      <w:r w:rsidRPr="00BF3CBC">
        <w:rPr>
          <w:sz w:val="24"/>
          <w:szCs w:val="24"/>
        </w:rPr>
        <w:t xml:space="preserve"> eller ekstrakorporal hæmodialyse ved overdosering af </w:t>
      </w:r>
      <w:proofErr w:type="spellStart"/>
      <w:r w:rsidRPr="00BF3CBC">
        <w:rPr>
          <w:sz w:val="24"/>
          <w:szCs w:val="24"/>
        </w:rPr>
        <w:t>methylphenidat</w:t>
      </w:r>
      <w:proofErr w:type="spellEnd"/>
      <w:r w:rsidRPr="00BF3CBC">
        <w:rPr>
          <w:sz w:val="24"/>
          <w:szCs w:val="24"/>
        </w:rPr>
        <w:t xml:space="preserve"> er ikke fastslået.</w:t>
      </w:r>
    </w:p>
    <w:p w:rsidR="008E4AD7" w:rsidRPr="00BF3CBC" w:rsidRDefault="008E4AD7" w:rsidP="008E4AD7">
      <w:pPr>
        <w:tabs>
          <w:tab w:val="left" w:pos="851"/>
        </w:tabs>
        <w:ind w:left="851" w:hanging="851"/>
        <w:rPr>
          <w:sz w:val="24"/>
          <w:szCs w:val="24"/>
        </w:rPr>
      </w:pPr>
    </w:p>
    <w:p w:rsidR="00657134" w:rsidRPr="00C84483" w:rsidRDefault="00657134" w:rsidP="00657134">
      <w:pPr>
        <w:tabs>
          <w:tab w:val="left" w:pos="851"/>
        </w:tabs>
        <w:ind w:left="851" w:hanging="851"/>
        <w:rPr>
          <w:b/>
          <w:sz w:val="24"/>
          <w:szCs w:val="24"/>
        </w:rPr>
      </w:pPr>
      <w:r w:rsidRPr="00C84483">
        <w:rPr>
          <w:b/>
          <w:sz w:val="24"/>
          <w:szCs w:val="24"/>
        </w:rPr>
        <w:t>4.10</w:t>
      </w:r>
      <w:r w:rsidRPr="00C84483">
        <w:rPr>
          <w:b/>
          <w:sz w:val="24"/>
          <w:szCs w:val="24"/>
        </w:rPr>
        <w:tab/>
        <w:t>Udlevering</w:t>
      </w:r>
    </w:p>
    <w:p w:rsidR="008E4AD7" w:rsidRPr="00BF3CBC" w:rsidRDefault="008E4AD7" w:rsidP="008E4AD7">
      <w:pPr>
        <w:tabs>
          <w:tab w:val="left" w:pos="851"/>
        </w:tabs>
        <w:ind w:left="851" w:hanging="851"/>
        <w:rPr>
          <w:sz w:val="24"/>
          <w:szCs w:val="24"/>
        </w:rPr>
      </w:pPr>
      <w:r w:rsidRPr="00BF3CBC">
        <w:rPr>
          <w:sz w:val="24"/>
          <w:szCs w:val="24"/>
        </w:rPr>
        <w:tab/>
        <w:t>A§4</w:t>
      </w:r>
    </w:p>
    <w:p w:rsidR="008E4AD7" w:rsidRPr="00BF3CBC" w:rsidRDefault="008E4AD7" w:rsidP="008E4AD7">
      <w:pPr>
        <w:tabs>
          <w:tab w:val="left" w:pos="851"/>
        </w:tabs>
        <w:ind w:left="851" w:hanging="851"/>
        <w:rPr>
          <w:sz w:val="24"/>
          <w:szCs w:val="24"/>
        </w:rPr>
      </w:pPr>
    </w:p>
    <w:p w:rsidR="008E4AD7" w:rsidRPr="00BF3CBC" w:rsidRDefault="008E4AD7" w:rsidP="008E4AD7">
      <w:pPr>
        <w:tabs>
          <w:tab w:val="left" w:pos="851"/>
        </w:tabs>
        <w:ind w:left="851" w:hanging="851"/>
        <w:rPr>
          <w:sz w:val="24"/>
          <w:szCs w:val="24"/>
        </w:rPr>
      </w:pPr>
    </w:p>
    <w:p w:rsidR="00657134" w:rsidRPr="00C84483" w:rsidRDefault="00657134" w:rsidP="00657134">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657134" w:rsidRPr="00C84483" w:rsidRDefault="00657134" w:rsidP="00657134">
      <w:pPr>
        <w:tabs>
          <w:tab w:val="left" w:pos="851"/>
        </w:tabs>
        <w:ind w:left="851"/>
        <w:rPr>
          <w:sz w:val="24"/>
          <w:szCs w:val="24"/>
        </w:rPr>
      </w:pPr>
    </w:p>
    <w:p w:rsidR="00657134" w:rsidRPr="00C84483" w:rsidRDefault="00657134" w:rsidP="00657134">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24574C" w:rsidRDefault="0024574C" w:rsidP="008E4AD7">
      <w:pPr>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C</w:t>
      </w:r>
      <w:r w:rsidRPr="00BF3CBC">
        <w:rPr>
          <w:sz w:val="24"/>
          <w:szCs w:val="24"/>
        </w:rPr>
        <w:t xml:space="preserve">entralt virkende </w:t>
      </w:r>
      <w:proofErr w:type="spellStart"/>
      <w:r w:rsidRPr="00BF3CBC">
        <w:rPr>
          <w:sz w:val="24"/>
          <w:szCs w:val="24"/>
        </w:rPr>
        <w:t>sympatomimetika</w:t>
      </w:r>
      <w:proofErr w:type="spellEnd"/>
      <w:r w:rsidR="00EF1492">
        <w:rPr>
          <w:sz w:val="24"/>
          <w:szCs w:val="24"/>
        </w:rPr>
        <w:t xml:space="preserve">, </w:t>
      </w:r>
      <w:r w:rsidRPr="00BF3CBC">
        <w:rPr>
          <w:sz w:val="24"/>
          <w:szCs w:val="24"/>
        </w:rPr>
        <w:t>ATC-kode: N06BA04.</w:t>
      </w:r>
    </w:p>
    <w:p w:rsidR="0024574C" w:rsidRDefault="0024574C" w:rsidP="008E4AD7">
      <w:pPr>
        <w:ind w:left="851"/>
        <w:rPr>
          <w:sz w:val="24"/>
          <w:szCs w:val="24"/>
          <w:u w:val="single" w:color="000000"/>
        </w:rPr>
      </w:pPr>
    </w:p>
    <w:p w:rsidR="008E4AD7" w:rsidRPr="00BF3CBC" w:rsidRDefault="008E4AD7" w:rsidP="008E4AD7">
      <w:pPr>
        <w:ind w:left="851"/>
        <w:rPr>
          <w:sz w:val="24"/>
          <w:szCs w:val="24"/>
        </w:rPr>
      </w:pPr>
      <w:r w:rsidRPr="00BF3CBC">
        <w:rPr>
          <w:sz w:val="24"/>
          <w:szCs w:val="24"/>
          <w:u w:val="single" w:color="000000"/>
        </w:rPr>
        <w:t>Virkningsmekanisme</w:t>
      </w:r>
    </w:p>
    <w:p w:rsidR="008E4AD7" w:rsidRPr="00BF3CBC" w:rsidRDefault="008E4AD7" w:rsidP="008E4AD7">
      <w:pPr>
        <w:ind w:left="851"/>
        <w:rPr>
          <w:sz w:val="24"/>
          <w:szCs w:val="24"/>
        </w:rPr>
      </w:pPr>
      <w:proofErr w:type="spellStart"/>
      <w:r w:rsidRPr="00BF3CBC">
        <w:rPr>
          <w:sz w:val="24"/>
          <w:szCs w:val="24"/>
        </w:rPr>
        <w:t>Methylphenidat-HCl</w:t>
      </w:r>
      <w:proofErr w:type="spellEnd"/>
      <w:r w:rsidRPr="00BF3CBC">
        <w:rPr>
          <w:sz w:val="24"/>
          <w:szCs w:val="24"/>
        </w:rPr>
        <w:t xml:space="preserve"> er et mildt CNS-stimulerende middel. Den terapeutiske virkemåde ved ADHD (attention deficit </w:t>
      </w:r>
      <w:proofErr w:type="spellStart"/>
      <w:r w:rsidRPr="00BF3CBC">
        <w:rPr>
          <w:sz w:val="24"/>
          <w:szCs w:val="24"/>
        </w:rPr>
        <w:t>hyperactivity</w:t>
      </w:r>
      <w:proofErr w:type="spellEnd"/>
      <w:r w:rsidRPr="00BF3CBC">
        <w:rPr>
          <w:sz w:val="24"/>
          <w:szCs w:val="24"/>
        </w:rPr>
        <w:t xml:space="preserve"> </w:t>
      </w:r>
      <w:proofErr w:type="spellStart"/>
      <w:r w:rsidRPr="00BF3CBC">
        <w:rPr>
          <w:sz w:val="24"/>
          <w:szCs w:val="24"/>
        </w:rPr>
        <w:t>disorder</w:t>
      </w:r>
      <w:proofErr w:type="spellEnd"/>
      <w:r w:rsidRPr="00BF3CBC">
        <w:rPr>
          <w:sz w:val="24"/>
          <w:szCs w:val="24"/>
        </w:rPr>
        <w:t xml:space="preserve">) kendes ikke. </w:t>
      </w:r>
      <w:proofErr w:type="spellStart"/>
      <w:r w:rsidRPr="00BF3CBC">
        <w:rPr>
          <w:sz w:val="24"/>
          <w:szCs w:val="24"/>
        </w:rPr>
        <w:t>Methylphenidat</w:t>
      </w:r>
      <w:proofErr w:type="spellEnd"/>
      <w:r w:rsidRPr="00BF3CBC">
        <w:rPr>
          <w:sz w:val="24"/>
          <w:szCs w:val="24"/>
        </w:rPr>
        <w:t xml:space="preserve"> formodes at blokere genoptagelsen af noradrenalin og dopamin i det </w:t>
      </w:r>
      <w:proofErr w:type="spellStart"/>
      <w:r w:rsidRPr="00BF3CBC">
        <w:rPr>
          <w:sz w:val="24"/>
          <w:szCs w:val="24"/>
        </w:rPr>
        <w:t>præsynaptiske</w:t>
      </w:r>
      <w:proofErr w:type="spellEnd"/>
      <w:r w:rsidRPr="00BF3CBC">
        <w:rPr>
          <w:sz w:val="24"/>
          <w:szCs w:val="24"/>
        </w:rPr>
        <w:t xml:space="preserve"> neuron og øge frigivelsen af disse </w:t>
      </w:r>
      <w:proofErr w:type="spellStart"/>
      <w:r w:rsidRPr="00BF3CBC">
        <w:rPr>
          <w:sz w:val="24"/>
          <w:szCs w:val="24"/>
        </w:rPr>
        <w:t>monoaminer</w:t>
      </w:r>
      <w:proofErr w:type="spellEnd"/>
      <w:r w:rsidRPr="00BF3CBC">
        <w:rPr>
          <w:sz w:val="24"/>
          <w:szCs w:val="24"/>
        </w:rPr>
        <w:t xml:space="preserve"> til det ekstraneuronale rum. </w:t>
      </w:r>
      <w:proofErr w:type="spellStart"/>
      <w:r w:rsidRPr="00BF3CBC">
        <w:rPr>
          <w:sz w:val="24"/>
          <w:szCs w:val="24"/>
        </w:rPr>
        <w:t>Methylphenidat</w:t>
      </w:r>
      <w:proofErr w:type="spellEnd"/>
      <w:r w:rsidRPr="00BF3CBC">
        <w:rPr>
          <w:sz w:val="24"/>
          <w:szCs w:val="24"/>
        </w:rPr>
        <w:t xml:space="preserve"> er en </w:t>
      </w:r>
      <w:proofErr w:type="spellStart"/>
      <w:r w:rsidRPr="00BF3CBC">
        <w:rPr>
          <w:sz w:val="24"/>
          <w:szCs w:val="24"/>
        </w:rPr>
        <w:t>racemisk</w:t>
      </w:r>
      <w:proofErr w:type="spellEnd"/>
      <w:r w:rsidRPr="00BF3CBC">
        <w:rPr>
          <w:sz w:val="24"/>
          <w:szCs w:val="24"/>
        </w:rPr>
        <w:t xml:space="preserve"> blanding bestående af D- og L-</w:t>
      </w:r>
      <w:proofErr w:type="spellStart"/>
      <w:r w:rsidRPr="00BF3CBC">
        <w:rPr>
          <w:sz w:val="24"/>
          <w:szCs w:val="24"/>
        </w:rPr>
        <w:t>isomerene</w:t>
      </w:r>
      <w:proofErr w:type="spellEnd"/>
      <w:r w:rsidRPr="00BF3CBC">
        <w:rPr>
          <w:sz w:val="24"/>
          <w:szCs w:val="24"/>
        </w:rPr>
        <w:t>. D-isomeren er mere farmakologisk aktiv end L-isomeren.</w:t>
      </w:r>
    </w:p>
    <w:p w:rsidR="008E4AD7" w:rsidRPr="00BF3CBC" w:rsidRDefault="008E4AD7" w:rsidP="008E4AD7">
      <w:pPr>
        <w:ind w:left="851" w:hanging="851"/>
        <w:rPr>
          <w:sz w:val="24"/>
          <w:szCs w:val="24"/>
        </w:rPr>
      </w:pPr>
    </w:p>
    <w:p w:rsidR="008E4AD7" w:rsidRPr="00BF3CBC" w:rsidRDefault="008E4AD7" w:rsidP="008E4AD7">
      <w:pPr>
        <w:ind w:left="851"/>
        <w:rPr>
          <w:sz w:val="24"/>
          <w:szCs w:val="24"/>
        </w:rPr>
      </w:pPr>
      <w:r w:rsidRPr="00BF3CBC">
        <w:rPr>
          <w:sz w:val="24"/>
          <w:szCs w:val="24"/>
          <w:u w:val="single" w:color="000000"/>
        </w:rPr>
        <w:t>Klinisk virkning og sikkerhed</w:t>
      </w:r>
    </w:p>
    <w:p w:rsidR="00FA0296" w:rsidRDefault="00FA0296" w:rsidP="00EF1492">
      <w:pPr>
        <w:ind w:left="851"/>
        <w:rPr>
          <w:i/>
          <w:iCs/>
          <w:sz w:val="24"/>
          <w:szCs w:val="24"/>
        </w:rPr>
      </w:pPr>
    </w:p>
    <w:p w:rsidR="00EF1492" w:rsidRDefault="00EF1492" w:rsidP="00EF1492">
      <w:pPr>
        <w:ind w:left="851"/>
        <w:rPr>
          <w:i/>
          <w:iCs/>
          <w:sz w:val="24"/>
          <w:szCs w:val="24"/>
        </w:rPr>
      </w:pPr>
      <w:r>
        <w:rPr>
          <w:i/>
          <w:iCs/>
          <w:sz w:val="24"/>
          <w:szCs w:val="24"/>
        </w:rPr>
        <w:t>Børn</w:t>
      </w:r>
    </w:p>
    <w:p w:rsidR="00EF1492" w:rsidRDefault="00EF1492" w:rsidP="00EF1492">
      <w:pPr>
        <w:ind w:left="851"/>
        <w:rPr>
          <w:sz w:val="24"/>
          <w:szCs w:val="24"/>
        </w:rPr>
      </w:pPr>
      <w:r>
        <w:rPr>
          <w:sz w:val="24"/>
          <w:szCs w:val="24"/>
        </w:rPr>
        <w:t xml:space="preserve">I de pivotale kliniske forsøg blev </w:t>
      </w:r>
      <w:proofErr w:type="spellStart"/>
      <w:r>
        <w:rPr>
          <w:color w:val="000000"/>
          <w:sz w:val="24"/>
          <w:szCs w:val="24"/>
        </w:rPr>
        <w:t>methylphenidat</w:t>
      </w:r>
      <w:proofErr w:type="spellEnd"/>
      <w:r>
        <w:rPr>
          <w:color w:val="000000"/>
          <w:sz w:val="24"/>
          <w:szCs w:val="24"/>
        </w:rPr>
        <w:t>-depottabletter</w:t>
      </w:r>
      <w:r>
        <w:rPr>
          <w:sz w:val="24"/>
          <w:szCs w:val="24"/>
        </w:rPr>
        <w:t xml:space="preserve"> vurderet hos 321 pædiatriske patienter, der allerede var stabiliseret på </w:t>
      </w:r>
      <w:proofErr w:type="spellStart"/>
      <w:r>
        <w:rPr>
          <w:sz w:val="24"/>
          <w:szCs w:val="24"/>
        </w:rPr>
        <w:t>methylphenidatformuleringer</w:t>
      </w:r>
      <w:proofErr w:type="spellEnd"/>
      <w:r>
        <w:rPr>
          <w:sz w:val="24"/>
          <w:szCs w:val="24"/>
        </w:rPr>
        <w:t xml:space="preserve"> med øjeblikkelig frigivelse, og hos 95 pædiatriske patienter, der ikke tidligere var behandlet med </w:t>
      </w:r>
      <w:proofErr w:type="spellStart"/>
      <w:r>
        <w:rPr>
          <w:sz w:val="24"/>
          <w:szCs w:val="24"/>
        </w:rPr>
        <w:t>methylphenidatformuleringer</w:t>
      </w:r>
      <w:proofErr w:type="spellEnd"/>
      <w:r>
        <w:rPr>
          <w:sz w:val="24"/>
          <w:szCs w:val="24"/>
        </w:rPr>
        <w:t xml:space="preserve"> med øjeblikkelig frigivelse.</w:t>
      </w:r>
    </w:p>
    <w:p w:rsidR="00EF1492" w:rsidRDefault="00EF1492" w:rsidP="00EF1492">
      <w:pPr>
        <w:ind w:left="851" w:hanging="851"/>
        <w:rPr>
          <w:sz w:val="24"/>
          <w:szCs w:val="24"/>
        </w:rPr>
      </w:pPr>
    </w:p>
    <w:p w:rsidR="00EF1492" w:rsidRDefault="00EF1492" w:rsidP="00EF1492">
      <w:pPr>
        <w:ind w:left="851"/>
        <w:rPr>
          <w:sz w:val="24"/>
          <w:szCs w:val="24"/>
        </w:rPr>
      </w:pPr>
      <w:r>
        <w:rPr>
          <w:sz w:val="24"/>
          <w:szCs w:val="24"/>
        </w:rPr>
        <w:t xml:space="preserve">Kliniske forsøg hos pædiatriske patienter viste, at effekten af </w:t>
      </w:r>
      <w:proofErr w:type="spellStart"/>
      <w:r>
        <w:rPr>
          <w:color w:val="000000"/>
          <w:sz w:val="24"/>
          <w:szCs w:val="24"/>
        </w:rPr>
        <w:t>methylphenidat</w:t>
      </w:r>
      <w:proofErr w:type="spellEnd"/>
      <w:r>
        <w:rPr>
          <w:color w:val="000000"/>
          <w:sz w:val="24"/>
          <w:szCs w:val="24"/>
        </w:rPr>
        <w:t>-depottabletter</w:t>
      </w:r>
      <w:r>
        <w:rPr>
          <w:sz w:val="24"/>
          <w:szCs w:val="24"/>
        </w:rPr>
        <w:t xml:space="preserve"> blev opretholdt indtil 12 timer efter indtagelse, når produktet blev taget én gang daglig om morgenen.</w:t>
      </w:r>
    </w:p>
    <w:p w:rsidR="00EF1492" w:rsidRDefault="00EF1492" w:rsidP="00EF1492">
      <w:pPr>
        <w:ind w:left="851" w:hanging="851"/>
        <w:rPr>
          <w:sz w:val="24"/>
          <w:szCs w:val="24"/>
        </w:rPr>
      </w:pPr>
    </w:p>
    <w:p w:rsidR="00EF1492" w:rsidRDefault="00EF1492" w:rsidP="00EF1492">
      <w:pPr>
        <w:ind w:left="851"/>
        <w:rPr>
          <w:i/>
          <w:iCs/>
          <w:sz w:val="24"/>
          <w:szCs w:val="24"/>
        </w:rPr>
      </w:pPr>
      <w:r>
        <w:rPr>
          <w:i/>
          <w:iCs/>
          <w:sz w:val="24"/>
          <w:szCs w:val="24"/>
        </w:rPr>
        <w:t>Voksne</w:t>
      </w:r>
    </w:p>
    <w:p w:rsidR="00EF1492" w:rsidRDefault="00EF1492" w:rsidP="00EF1492">
      <w:pPr>
        <w:ind w:left="851"/>
        <w:rPr>
          <w:sz w:val="24"/>
          <w:szCs w:val="24"/>
        </w:rPr>
      </w:pPr>
      <w:r>
        <w:rPr>
          <w:sz w:val="24"/>
          <w:szCs w:val="24"/>
        </w:rPr>
        <w:t xml:space="preserve">Der er påvist en vis kortvarig effekt af </w:t>
      </w:r>
      <w:proofErr w:type="spellStart"/>
      <w:r>
        <w:rPr>
          <w:color w:val="000000"/>
          <w:sz w:val="24"/>
          <w:szCs w:val="24"/>
        </w:rPr>
        <w:t>methylphenidat</w:t>
      </w:r>
      <w:proofErr w:type="spellEnd"/>
      <w:r>
        <w:rPr>
          <w:color w:val="000000"/>
          <w:sz w:val="24"/>
          <w:szCs w:val="24"/>
        </w:rPr>
        <w:t>-depottabletter</w:t>
      </w:r>
      <w:r>
        <w:rPr>
          <w:sz w:val="24"/>
          <w:szCs w:val="24"/>
        </w:rPr>
        <w:t xml:space="preserve"> i dosisområdet 18</w:t>
      </w:r>
      <w:r>
        <w:rPr>
          <w:sz w:val="24"/>
          <w:szCs w:val="24"/>
        </w:rPr>
        <w:noBreakHyphen/>
        <w:t>72 mg/dag. 1 523 voksne med ADHD i alderen 18</w:t>
      </w:r>
      <w:r>
        <w:rPr>
          <w:sz w:val="24"/>
          <w:szCs w:val="24"/>
        </w:rPr>
        <w:noBreakHyphen/>
        <w:t>65 år blev evalueret i fem dobbeltblinde, placebo-kontrollerede studier af 5</w:t>
      </w:r>
      <w:r>
        <w:rPr>
          <w:sz w:val="24"/>
          <w:szCs w:val="24"/>
        </w:rPr>
        <w:noBreakHyphen/>
        <w:t xml:space="preserve">13 ugers varighed. </w:t>
      </w:r>
      <w:proofErr w:type="spellStart"/>
      <w:r>
        <w:rPr>
          <w:sz w:val="24"/>
          <w:szCs w:val="24"/>
        </w:rPr>
        <w:t>Methylphenidat</w:t>
      </w:r>
      <w:proofErr w:type="spellEnd"/>
      <w:r>
        <w:rPr>
          <w:sz w:val="24"/>
          <w:szCs w:val="24"/>
        </w:rPr>
        <w:t xml:space="preserve">-depottabletter blev evalueret i 2 studier med faste doser og 3 studier med fleksible doser ved hjælp af DSM IV-baserede instrumenter til vurdering af ADHD-symptomernes sværhedsgrad hos voksne. I to studier med faste doser viste </w:t>
      </w:r>
      <w:proofErr w:type="spellStart"/>
      <w:r>
        <w:rPr>
          <w:sz w:val="24"/>
          <w:szCs w:val="24"/>
        </w:rPr>
        <w:t>Conners</w:t>
      </w:r>
      <w:proofErr w:type="spellEnd"/>
      <w:r>
        <w:rPr>
          <w:sz w:val="24"/>
          <w:szCs w:val="24"/>
        </w:rPr>
        <w:t>’ voksen-ADHD-bedømmelsesskala (</w:t>
      </w:r>
      <w:proofErr w:type="gramStart"/>
      <w:r>
        <w:rPr>
          <w:sz w:val="24"/>
          <w:szCs w:val="24"/>
        </w:rPr>
        <w:t>CAARS skalaen</w:t>
      </w:r>
      <w:proofErr w:type="gramEnd"/>
      <w:r>
        <w:rPr>
          <w:sz w:val="24"/>
          <w:szCs w:val="24"/>
        </w:rPr>
        <w:t xml:space="preserve">), at den samlede score for ADHD-symptomer faldt, hvilket indikerede en bedring i ADHD-symptomernes sværhedsgrad fra baseline til det dobbeltblinde endepunkt. I ét studie med fast dosis viste </w:t>
      </w:r>
      <w:proofErr w:type="spellStart"/>
      <w:r>
        <w:rPr>
          <w:sz w:val="24"/>
          <w:szCs w:val="24"/>
        </w:rPr>
        <w:t>methylphenidat</w:t>
      </w:r>
      <w:proofErr w:type="spellEnd"/>
      <w:r>
        <w:rPr>
          <w:sz w:val="24"/>
          <w:szCs w:val="24"/>
        </w:rPr>
        <w:t xml:space="preserve">-depottabletter ved alle dosisniveauer en klinisk signifikant større symptomkontrol (p &lt; 0,05 for alle dosisniveauer) sammenlignet med placebo som målt ved en reduktion i den samlede CAARS-score. I det andet studie med fast dosis viste behandling med </w:t>
      </w:r>
      <w:proofErr w:type="spellStart"/>
      <w:r>
        <w:rPr>
          <w:sz w:val="24"/>
          <w:szCs w:val="24"/>
        </w:rPr>
        <w:t>methylphenidat</w:t>
      </w:r>
      <w:proofErr w:type="spellEnd"/>
      <w:r>
        <w:rPr>
          <w:sz w:val="24"/>
          <w:szCs w:val="24"/>
        </w:rPr>
        <w:t>-depottabletter på 72 mg/dag, men ikke 54 mg/dag, sig at være statistisk signifikant bedre end placebo til at reducere den samlede CAARS-score for ADHD-symptomer fra baseline til det dobbeltblinde endepunkt hos voksne deltagere med ADHD (p værdi 0,0024).</w:t>
      </w:r>
    </w:p>
    <w:p w:rsidR="00EF1492" w:rsidRDefault="00EF1492" w:rsidP="00EF1492">
      <w:pPr>
        <w:ind w:left="851"/>
        <w:rPr>
          <w:sz w:val="24"/>
          <w:szCs w:val="24"/>
        </w:rPr>
      </w:pPr>
    </w:p>
    <w:p w:rsidR="00EF1492" w:rsidRDefault="00EF1492" w:rsidP="00EF1492">
      <w:pPr>
        <w:ind w:left="851"/>
        <w:rPr>
          <w:sz w:val="24"/>
          <w:szCs w:val="24"/>
        </w:rPr>
      </w:pPr>
      <w:r>
        <w:rPr>
          <w:sz w:val="24"/>
          <w:szCs w:val="24"/>
        </w:rPr>
        <w:t xml:space="preserve">I to studier med fleksible doser var LS middelændringerne fra baseline i den samlede score for voksne på ADHD </w:t>
      </w:r>
      <w:proofErr w:type="spellStart"/>
      <w:r>
        <w:rPr>
          <w:sz w:val="24"/>
          <w:szCs w:val="24"/>
        </w:rPr>
        <w:t>Investigator</w:t>
      </w:r>
      <w:proofErr w:type="spellEnd"/>
      <w:r>
        <w:rPr>
          <w:sz w:val="24"/>
          <w:szCs w:val="24"/>
        </w:rPr>
        <w:t xml:space="preserve"> Symptom Rating </w:t>
      </w:r>
      <w:proofErr w:type="spellStart"/>
      <w:r>
        <w:rPr>
          <w:sz w:val="24"/>
          <w:szCs w:val="24"/>
        </w:rPr>
        <w:t>Scale</w:t>
      </w:r>
      <w:proofErr w:type="spellEnd"/>
      <w:r>
        <w:rPr>
          <w:sz w:val="24"/>
          <w:szCs w:val="24"/>
        </w:rPr>
        <w:t xml:space="preserve"> (AISRS) statistisk signifikante (studie 1: p = 0,012; studie 2: p &lt; 0,001) ved behandling med den endelige dosis </w:t>
      </w:r>
      <w:proofErr w:type="spellStart"/>
      <w:r>
        <w:rPr>
          <w:sz w:val="24"/>
          <w:szCs w:val="24"/>
        </w:rPr>
        <w:t>methylphenidat</w:t>
      </w:r>
      <w:proofErr w:type="spellEnd"/>
      <w:r>
        <w:rPr>
          <w:sz w:val="24"/>
          <w:szCs w:val="24"/>
        </w:rPr>
        <w:t xml:space="preserve">-depottabletter i forhold til placebo (studie 1: </w:t>
      </w:r>
      <w:r>
        <w:rPr>
          <w:sz w:val="24"/>
          <w:szCs w:val="24"/>
        </w:rPr>
        <w:noBreakHyphen/>
        <w:t xml:space="preserve">10,6 for </w:t>
      </w:r>
      <w:proofErr w:type="spellStart"/>
      <w:r>
        <w:rPr>
          <w:sz w:val="24"/>
          <w:szCs w:val="24"/>
        </w:rPr>
        <w:t>methylphenidat</w:t>
      </w:r>
      <w:proofErr w:type="spellEnd"/>
      <w:r>
        <w:rPr>
          <w:sz w:val="24"/>
          <w:szCs w:val="24"/>
        </w:rPr>
        <w:t xml:space="preserve">-depottabletter versus </w:t>
      </w:r>
      <w:r>
        <w:rPr>
          <w:sz w:val="24"/>
          <w:szCs w:val="24"/>
        </w:rPr>
        <w:noBreakHyphen/>
        <w:t xml:space="preserve">6,8 for placebo; studie 2: </w:t>
      </w:r>
      <w:r>
        <w:rPr>
          <w:sz w:val="24"/>
          <w:szCs w:val="24"/>
        </w:rPr>
        <w:noBreakHyphen/>
        <w:t xml:space="preserve">16,9 for </w:t>
      </w:r>
      <w:proofErr w:type="spellStart"/>
      <w:r>
        <w:rPr>
          <w:sz w:val="24"/>
          <w:szCs w:val="24"/>
        </w:rPr>
        <w:t>methylphenidat</w:t>
      </w:r>
      <w:proofErr w:type="spellEnd"/>
      <w:r>
        <w:rPr>
          <w:sz w:val="24"/>
          <w:szCs w:val="24"/>
        </w:rPr>
        <w:t xml:space="preserve">-depottabletter versus </w:t>
      </w:r>
      <w:r>
        <w:rPr>
          <w:sz w:val="24"/>
          <w:szCs w:val="24"/>
        </w:rPr>
        <w:noBreakHyphen/>
        <w:t xml:space="preserve">12,0 for placebo). I det tredje studie med fleksible doser (studie 3) viste </w:t>
      </w:r>
      <w:proofErr w:type="spellStart"/>
      <w:r>
        <w:rPr>
          <w:sz w:val="24"/>
          <w:szCs w:val="24"/>
        </w:rPr>
        <w:t>methylphenidat</w:t>
      </w:r>
      <w:proofErr w:type="spellEnd"/>
      <w:r>
        <w:rPr>
          <w:sz w:val="24"/>
          <w:szCs w:val="24"/>
        </w:rPr>
        <w:t xml:space="preserve">-depottabletter klinisk signifikant bedre symptomkontrol (p &lt; 0,0001) sammenlignet med placebo som målt ved en reduktion i den samlede CAARS-score. LS middelændringen fra baseline til det sidste besøg (uge 8) i den samlede ADHD-symptomscore for CAARS O:SV var </w:t>
      </w:r>
      <w:r>
        <w:rPr>
          <w:sz w:val="24"/>
          <w:szCs w:val="24"/>
        </w:rPr>
        <w:noBreakHyphen/>
        <w:t xml:space="preserve">10,9 i </w:t>
      </w:r>
      <w:proofErr w:type="spellStart"/>
      <w:r>
        <w:rPr>
          <w:sz w:val="24"/>
          <w:szCs w:val="24"/>
        </w:rPr>
        <w:t>methylphenidat</w:t>
      </w:r>
      <w:proofErr w:type="spellEnd"/>
      <w:r>
        <w:rPr>
          <w:sz w:val="24"/>
          <w:szCs w:val="24"/>
        </w:rPr>
        <w:t xml:space="preserve">-depottabletter-gruppen og </w:t>
      </w:r>
      <w:r>
        <w:rPr>
          <w:sz w:val="24"/>
          <w:szCs w:val="24"/>
        </w:rPr>
        <w:noBreakHyphen/>
        <w:t>6,9 i placebogruppen (baseret på ITT populationen).</w:t>
      </w:r>
    </w:p>
    <w:p w:rsidR="00EF1492" w:rsidRDefault="00EF1492" w:rsidP="00EF1492">
      <w:pPr>
        <w:ind w:left="851"/>
        <w:rPr>
          <w:sz w:val="24"/>
          <w:szCs w:val="24"/>
        </w:rPr>
      </w:pPr>
    </w:p>
    <w:p w:rsidR="00EF1492" w:rsidRDefault="00EF1492" w:rsidP="00EF1492">
      <w:pPr>
        <w:ind w:left="851"/>
        <w:rPr>
          <w:sz w:val="24"/>
          <w:szCs w:val="24"/>
        </w:rPr>
      </w:pPr>
      <w:r>
        <w:rPr>
          <w:sz w:val="24"/>
          <w:szCs w:val="24"/>
        </w:rPr>
        <w:t xml:space="preserve">I studie 2 med fleksible doser var omfanget af forbedring i de samlede AISRS-scorer </w:t>
      </w:r>
      <w:proofErr w:type="spellStart"/>
      <w:r>
        <w:rPr>
          <w:sz w:val="24"/>
          <w:szCs w:val="24"/>
        </w:rPr>
        <w:t>stati-stisk</w:t>
      </w:r>
      <w:proofErr w:type="spellEnd"/>
      <w:r>
        <w:rPr>
          <w:sz w:val="24"/>
          <w:szCs w:val="24"/>
        </w:rPr>
        <w:t xml:space="preserve"> signifikant større i </w:t>
      </w:r>
      <w:proofErr w:type="spellStart"/>
      <w:r>
        <w:rPr>
          <w:sz w:val="24"/>
          <w:szCs w:val="24"/>
        </w:rPr>
        <w:t>methylphenidat</w:t>
      </w:r>
      <w:proofErr w:type="spellEnd"/>
      <w:r>
        <w:rPr>
          <w:sz w:val="24"/>
          <w:szCs w:val="24"/>
        </w:rPr>
        <w:t xml:space="preserve">-depottabletter-gruppen i forhold til i placebogruppen (p = 0,0037). LS middelforskel (95 % CI) i forhold til placebo var </w:t>
      </w:r>
      <w:r>
        <w:rPr>
          <w:sz w:val="24"/>
          <w:szCs w:val="24"/>
        </w:rPr>
        <w:noBreakHyphen/>
        <w:t>5,3 (</w:t>
      </w:r>
      <w:r>
        <w:rPr>
          <w:sz w:val="24"/>
          <w:szCs w:val="24"/>
        </w:rPr>
        <w:noBreakHyphen/>
        <w:t xml:space="preserve">8,9; </w:t>
      </w:r>
      <w:r>
        <w:rPr>
          <w:sz w:val="24"/>
          <w:szCs w:val="24"/>
        </w:rPr>
        <w:noBreakHyphen/>
        <w:t xml:space="preserve">1,7). I studie 3 med fleksible doser var omfanget af forbedring i CAARS O:SV-scorer statistisk signifikant større i </w:t>
      </w:r>
      <w:proofErr w:type="spellStart"/>
      <w:r>
        <w:rPr>
          <w:sz w:val="24"/>
          <w:szCs w:val="24"/>
        </w:rPr>
        <w:t>methylphenidat</w:t>
      </w:r>
      <w:proofErr w:type="spellEnd"/>
      <w:r>
        <w:rPr>
          <w:sz w:val="24"/>
          <w:szCs w:val="24"/>
        </w:rPr>
        <w:t>-depottabletter-gruppen i forhold til i placebogruppen (p</w:t>
      </w:r>
      <w:r w:rsidR="00913247">
        <w:rPr>
          <w:sz w:val="24"/>
          <w:szCs w:val="24"/>
        </w:rPr>
        <w:t> </w:t>
      </w:r>
      <w:r>
        <w:rPr>
          <w:sz w:val="24"/>
          <w:szCs w:val="24"/>
        </w:rPr>
        <w:t xml:space="preserve">= 0,0063). LS middelforskel (95 % CI) i forhold til placebo var </w:t>
      </w:r>
      <w:r>
        <w:rPr>
          <w:sz w:val="24"/>
          <w:szCs w:val="24"/>
        </w:rPr>
        <w:noBreakHyphen/>
        <w:t>3,9 (</w:t>
      </w:r>
      <w:r>
        <w:rPr>
          <w:sz w:val="24"/>
          <w:szCs w:val="24"/>
        </w:rPr>
        <w:noBreakHyphen/>
        <w:t xml:space="preserve">6,6; </w:t>
      </w:r>
      <w:r>
        <w:rPr>
          <w:sz w:val="24"/>
          <w:szCs w:val="24"/>
        </w:rPr>
        <w:noBreakHyphen/>
        <w:t>1,1).</w:t>
      </w:r>
    </w:p>
    <w:p w:rsidR="00EF1492" w:rsidRDefault="00EF1492" w:rsidP="00EF1492">
      <w:pPr>
        <w:ind w:left="851"/>
        <w:rPr>
          <w:sz w:val="24"/>
          <w:szCs w:val="24"/>
        </w:rPr>
      </w:pPr>
    </w:p>
    <w:p w:rsidR="00EF1492" w:rsidRDefault="00EF1492" w:rsidP="00EF1492">
      <w:pPr>
        <w:ind w:left="851"/>
        <w:rPr>
          <w:sz w:val="24"/>
          <w:szCs w:val="24"/>
        </w:rPr>
      </w:pPr>
      <w:r>
        <w:rPr>
          <w:sz w:val="24"/>
          <w:szCs w:val="24"/>
        </w:rPr>
        <w:t xml:space="preserve">Voksne behandlet med </w:t>
      </w:r>
      <w:proofErr w:type="spellStart"/>
      <w:r>
        <w:rPr>
          <w:sz w:val="24"/>
          <w:szCs w:val="24"/>
        </w:rPr>
        <w:t>methylphenidat</w:t>
      </w:r>
      <w:proofErr w:type="spellEnd"/>
      <w:r>
        <w:rPr>
          <w:sz w:val="24"/>
          <w:szCs w:val="24"/>
        </w:rPr>
        <w:t xml:space="preserve">-depottabletter i fire langvarige, åbne studier over 6 til 12 måneder viste forbedring af alle evaluerede effektendepunkter, hvilket indikerer en stabil virkning over tid på reduktionen af ADHD-symptomer. I ét åbent studie, i et ikke-behandlingsrelateret miljø, viste behandling med </w:t>
      </w:r>
      <w:proofErr w:type="spellStart"/>
      <w:r>
        <w:rPr>
          <w:sz w:val="24"/>
          <w:szCs w:val="24"/>
        </w:rPr>
        <w:t>methylphenidat</w:t>
      </w:r>
      <w:proofErr w:type="spellEnd"/>
      <w:r>
        <w:rPr>
          <w:sz w:val="24"/>
          <w:szCs w:val="24"/>
        </w:rPr>
        <w:t xml:space="preserve">-depottabletter, i op til 9 måneder, forbedringer i middelscore fra baselineværdierne for både patientens og </w:t>
      </w:r>
      <w:proofErr w:type="spellStart"/>
      <w:r>
        <w:rPr>
          <w:sz w:val="24"/>
          <w:szCs w:val="24"/>
        </w:rPr>
        <w:t>invest</w:t>
      </w:r>
      <w:r w:rsidR="00913247">
        <w:rPr>
          <w:sz w:val="24"/>
          <w:szCs w:val="24"/>
        </w:rPr>
        <w:t>i</w:t>
      </w:r>
      <w:r>
        <w:rPr>
          <w:sz w:val="24"/>
          <w:szCs w:val="24"/>
        </w:rPr>
        <w:t>gators</w:t>
      </w:r>
      <w:proofErr w:type="spellEnd"/>
      <w:r>
        <w:rPr>
          <w:sz w:val="24"/>
          <w:szCs w:val="24"/>
        </w:rPr>
        <w:t xml:space="preserve"> globale vurdering af virkning. Et andet studie, i hvilket voksne med ADHD fik </w:t>
      </w:r>
      <w:proofErr w:type="spellStart"/>
      <w:r>
        <w:rPr>
          <w:sz w:val="24"/>
          <w:szCs w:val="24"/>
        </w:rPr>
        <w:t>methylphenidat</w:t>
      </w:r>
      <w:proofErr w:type="spellEnd"/>
      <w:r>
        <w:rPr>
          <w:sz w:val="24"/>
          <w:szCs w:val="24"/>
        </w:rPr>
        <w:t xml:space="preserve">-depottabletter i op til 1 år med en middel slutdosis på 67,4 mg/dag, viste klinisk betydningsfulde forbedringer fra baseline i samlet AISRS-score med en middelændring på -18,7 ved det sidste besøg. I et tredje langvarigt studie på 48 uger, hvor voksne med ADHD fik </w:t>
      </w:r>
      <w:proofErr w:type="spellStart"/>
      <w:r>
        <w:rPr>
          <w:sz w:val="24"/>
          <w:szCs w:val="24"/>
        </w:rPr>
        <w:t>methylphenidat</w:t>
      </w:r>
      <w:proofErr w:type="spellEnd"/>
      <w:r>
        <w:rPr>
          <w:sz w:val="24"/>
          <w:szCs w:val="24"/>
        </w:rPr>
        <w:t xml:space="preserve">-depottabletter med en middel slutdosis på 46,6 mg/dag, sås der en ændring fra baseline i den samlede middel DSM IV-score for ADHD-symptomer på CAARS med -17,2 ved endepunktet. I det fjerde studie blev </w:t>
      </w:r>
      <w:proofErr w:type="spellStart"/>
      <w:r>
        <w:rPr>
          <w:sz w:val="24"/>
          <w:szCs w:val="24"/>
        </w:rPr>
        <w:t>methylphenidat</w:t>
      </w:r>
      <w:proofErr w:type="spellEnd"/>
      <w:r>
        <w:rPr>
          <w:sz w:val="24"/>
          <w:szCs w:val="24"/>
        </w:rPr>
        <w:t xml:space="preserve">-depottabletter evalueret i et 52-ugers åbent studie hos deltagere som tidligere havde gennemført et kortvarigt placebokontrolleret forsøg og en kortvarig åben forlængelse. Voksne med ADHD, som fik </w:t>
      </w:r>
      <w:proofErr w:type="spellStart"/>
      <w:r>
        <w:rPr>
          <w:sz w:val="24"/>
          <w:szCs w:val="24"/>
        </w:rPr>
        <w:t>methylphenidat</w:t>
      </w:r>
      <w:proofErr w:type="spellEnd"/>
      <w:r>
        <w:rPr>
          <w:sz w:val="24"/>
          <w:szCs w:val="24"/>
        </w:rPr>
        <w:t xml:space="preserve">-depottabletter med en middel slutdosis på 53,8 mg/dag, viste stabil virkning over tid på reduktion af ADHD-symptomer. </w:t>
      </w:r>
      <w:proofErr w:type="spellStart"/>
      <w:r>
        <w:rPr>
          <w:sz w:val="24"/>
          <w:szCs w:val="24"/>
        </w:rPr>
        <w:t>Investigatorevalueret</w:t>
      </w:r>
      <w:proofErr w:type="spellEnd"/>
      <w:r>
        <w:rPr>
          <w:sz w:val="24"/>
          <w:szCs w:val="24"/>
        </w:rPr>
        <w:t xml:space="preserve"> CAARS forbedredes i løbet af den åbne fase og var lavere ved endepunktet (middel fald på 1,9 fra baseline).</w:t>
      </w:r>
    </w:p>
    <w:p w:rsidR="008E4AD7" w:rsidRPr="00BF3CBC" w:rsidRDefault="008E4AD7" w:rsidP="008E4AD7">
      <w:pPr>
        <w:tabs>
          <w:tab w:val="left" w:pos="851"/>
        </w:tabs>
        <w:ind w:left="851" w:hanging="851"/>
        <w:rPr>
          <w:sz w:val="24"/>
          <w:szCs w:val="24"/>
        </w:rPr>
      </w:pPr>
    </w:p>
    <w:p w:rsidR="00657134" w:rsidRPr="00C84483" w:rsidRDefault="00657134" w:rsidP="00657134">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657134" w:rsidRDefault="00657134" w:rsidP="008E4AD7">
      <w:pPr>
        <w:ind w:left="851"/>
        <w:rPr>
          <w:sz w:val="24"/>
          <w:szCs w:val="24"/>
          <w:u w:val="single" w:color="000000"/>
        </w:rPr>
      </w:pPr>
    </w:p>
    <w:p w:rsidR="008E4AD7" w:rsidRPr="00BF3CBC" w:rsidRDefault="008E4AD7" w:rsidP="008E4AD7">
      <w:pPr>
        <w:ind w:left="851"/>
        <w:rPr>
          <w:sz w:val="24"/>
          <w:szCs w:val="24"/>
        </w:rPr>
      </w:pPr>
      <w:r w:rsidRPr="00BF3CBC">
        <w:rPr>
          <w:sz w:val="24"/>
          <w:szCs w:val="24"/>
          <w:u w:val="single" w:color="000000"/>
        </w:rPr>
        <w:t>Absorption</w:t>
      </w:r>
    </w:p>
    <w:p w:rsidR="008E4AD7" w:rsidRDefault="008E4AD7" w:rsidP="008E4AD7">
      <w:pPr>
        <w:ind w:left="851"/>
        <w:rPr>
          <w:sz w:val="24"/>
          <w:szCs w:val="24"/>
        </w:rPr>
      </w:pPr>
      <w:proofErr w:type="spellStart"/>
      <w:r>
        <w:rPr>
          <w:sz w:val="24"/>
          <w:szCs w:val="24"/>
        </w:rPr>
        <w:t>Methylphenidat</w:t>
      </w:r>
      <w:proofErr w:type="spellEnd"/>
      <w:r>
        <w:rPr>
          <w:sz w:val="24"/>
          <w:szCs w:val="24"/>
        </w:rPr>
        <w:t xml:space="preserve"> absorberes hurtigt. Efter oral indgift af </w:t>
      </w:r>
      <w:proofErr w:type="spellStart"/>
      <w:r>
        <w:rPr>
          <w:color w:val="000000"/>
          <w:sz w:val="24"/>
          <w:szCs w:val="24"/>
        </w:rPr>
        <w:t>methylphenidat</w:t>
      </w:r>
      <w:proofErr w:type="spellEnd"/>
      <w:r>
        <w:rPr>
          <w:color w:val="000000"/>
          <w:sz w:val="24"/>
          <w:szCs w:val="24"/>
        </w:rPr>
        <w:t>-depottabletter</w:t>
      </w:r>
      <w:r>
        <w:rPr>
          <w:sz w:val="24"/>
          <w:szCs w:val="24"/>
        </w:rPr>
        <w:t xml:space="preserve"> til voksne opløses tablettens overtræk. Det giver en initial maksimal lægemiddelkoncentration efter ca. 1-2 timer. Indholdet af </w:t>
      </w:r>
      <w:proofErr w:type="spellStart"/>
      <w:r>
        <w:rPr>
          <w:sz w:val="24"/>
          <w:szCs w:val="24"/>
        </w:rPr>
        <w:t>methylphenidat</w:t>
      </w:r>
      <w:proofErr w:type="spellEnd"/>
      <w:r>
        <w:rPr>
          <w:sz w:val="24"/>
          <w:szCs w:val="24"/>
        </w:rPr>
        <w:t xml:space="preserve"> i tabletkernen frigives gradvist i løbet af de næste timer. Den maksimale plasmakoncentration opnås efter ca. 6-8 timer, hvorefter niveauet af </w:t>
      </w:r>
      <w:proofErr w:type="spellStart"/>
      <w:r>
        <w:rPr>
          <w:sz w:val="24"/>
          <w:szCs w:val="24"/>
        </w:rPr>
        <w:t>methylphenidat</w:t>
      </w:r>
      <w:proofErr w:type="spellEnd"/>
      <w:r>
        <w:rPr>
          <w:sz w:val="24"/>
          <w:szCs w:val="24"/>
        </w:rPr>
        <w:t xml:space="preserve"> i plasma gradvis falder. Indtagelse af </w:t>
      </w:r>
      <w:proofErr w:type="spellStart"/>
      <w:r>
        <w:rPr>
          <w:sz w:val="24"/>
          <w:szCs w:val="24"/>
        </w:rPr>
        <w:t>m</w:t>
      </w:r>
      <w:r>
        <w:rPr>
          <w:color w:val="000000"/>
          <w:sz w:val="24"/>
          <w:szCs w:val="24"/>
        </w:rPr>
        <w:t>ethylphenidat</w:t>
      </w:r>
      <w:proofErr w:type="spellEnd"/>
      <w:r>
        <w:rPr>
          <w:color w:val="000000"/>
          <w:sz w:val="24"/>
          <w:szCs w:val="24"/>
        </w:rPr>
        <w:t>-depottabletter</w:t>
      </w:r>
      <w:r>
        <w:rPr>
          <w:sz w:val="24"/>
          <w:szCs w:val="24"/>
        </w:rPr>
        <w:t xml:space="preserve"> én gang daglig kan minimere de udsving mellem højeste og laveste koncentration, der opstår, når </w:t>
      </w:r>
      <w:proofErr w:type="spellStart"/>
      <w:r>
        <w:rPr>
          <w:sz w:val="24"/>
          <w:szCs w:val="24"/>
        </w:rPr>
        <w:t>methylphenidat</w:t>
      </w:r>
      <w:proofErr w:type="spellEnd"/>
      <w:r>
        <w:rPr>
          <w:sz w:val="24"/>
          <w:szCs w:val="24"/>
        </w:rPr>
        <w:t xml:space="preserve"> med øjeblikkelig frigivelse indtages tre gange daglig. Den totale absorption af </w:t>
      </w:r>
      <w:proofErr w:type="spellStart"/>
      <w:r>
        <w:rPr>
          <w:color w:val="000000"/>
          <w:sz w:val="24"/>
          <w:szCs w:val="24"/>
        </w:rPr>
        <w:t>methylphenidat</w:t>
      </w:r>
      <w:proofErr w:type="spellEnd"/>
      <w:r>
        <w:rPr>
          <w:color w:val="000000"/>
          <w:sz w:val="24"/>
          <w:szCs w:val="24"/>
        </w:rPr>
        <w:t>-depottabletter</w:t>
      </w:r>
      <w:r>
        <w:rPr>
          <w:sz w:val="24"/>
          <w:szCs w:val="24"/>
        </w:rPr>
        <w:t xml:space="preserve"> én gang daglig er i almindelighed sammenlignelig med konventionelle præparater med øjeblikkelig frigivelse.</w:t>
      </w:r>
    </w:p>
    <w:p w:rsidR="008E4AD7" w:rsidRPr="00BF3CBC" w:rsidRDefault="008E4AD7" w:rsidP="008E4AD7">
      <w:pPr>
        <w:ind w:left="851" w:hanging="851"/>
        <w:rPr>
          <w:sz w:val="24"/>
          <w:szCs w:val="24"/>
        </w:rPr>
      </w:pPr>
    </w:p>
    <w:p w:rsidR="008E4AD7" w:rsidRPr="00BF3CBC" w:rsidRDefault="008E4AD7" w:rsidP="008E4AD7">
      <w:pPr>
        <w:ind w:left="851"/>
        <w:rPr>
          <w:sz w:val="24"/>
          <w:szCs w:val="24"/>
        </w:rPr>
      </w:pPr>
      <w:r w:rsidRPr="00BF3CBC">
        <w:rPr>
          <w:sz w:val="24"/>
          <w:szCs w:val="24"/>
        </w:rPr>
        <w:t xml:space="preserve">Efter indgift af </w:t>
      </w:r>
      <w:proofErr w:type="spellStart"/>
      <w:r w:rsidRPr="00BF3CBC">
        <w:rPr>
          <w:color w:val="000000"/>
          <w:sz w:val="24"/>
          <w:szCs w:val="24"/>
        </w:rPr>
        <w:t>methylphenidat</w:t>
      </w:r>
      <w:proofErr w:type="spellEnd"/>
      <w:r w:rsidRPr="00BF3CBC">
        <w:rPr>
          <w:color w:val="000000"/>
          <w:sz w:val="24"/>
          <w:szCs w:val="24"/>
        </w:rPr>
        <w:t>-depottabletter</w:t>
      </w:r>
      <w:r w:rsidRPr="00BF3CBC">
        <w:rPr>
          <w:sz w:val="24"/>
          <w:szCs w:val="24"/>
        </w:rPr>
        <w:t xml:space="preserve"> 18 mg én gang daglig til 36 voksne var de gennemsnitlige </w:t>
      </w:r>
      <w:proofErr w:type="spellStart"/>
      <w:r w:rsidRPr="00BF3CBC">
        <w:rPr>
          <w:sz w:val="24"/>
          <w:szCs w:val="24"/>
        </w:rPr>
        <w:t>farmakokinetiske</w:t>
      </w:r>
      <w:proofErr w:type="spellEnd"/>
      <w:r w:rsidRPr="00BF3CBC">
        <w:rPr>
          <w:sz w:val="24"/>
          <w:szCs w:val="24"/>
        </w:rPr>
        <w:t xml:space="preserve"> parametre: </w:t>
      </w:r>
      <w:proofErr w:type="spellStart"/>
      <w:r w:rsidRPr="00BF3CBC">
        <w:rPr>
          <w:sz w:val="24"/>
          <w:szCs w:val="24"/>
        </w:rPr>
        <w:t>C</w:t>
      </w:r>
      <w:r w:rsidRPr="00BF3CBC">
        <w:rPr>
          <w:sz w:val="24"/>
          <w:szCs w:val="24"/>
          <w:vertAlign w:val="subscript"/>
        </w:rPr>
        <w:t>max</w:t>
      </w:r>
      <w:proofErr w:type="spellEnd"/>
      <w:r w:rsidRPr="00BF3CBC">
        <w:rPr>
          <w:sz w:val="24"/>
          <w:szCs w:val="24"/>
        </w:rPr>
        <w:t xml:space="preserve"> 3,7 ± 1.0 (</w:t>
      </w:r>
      <w:proofErr w:type="spellStart"/>
      <w:r w:rsidRPr="00BF3CBC">
        <w:rPr>
          <w:sz w:val="24"/>
          <w:szCs w:val="24"/>
        </w:rPr>
        <w:t>ng</w:t>
      </w:r>
      <w:proofErr w:type="spellEnd"/>
      <w:r w:rsidRPr="00BF3CBC">
        <w:rPr>
          <w:sz w:val="24"/>
          <w:szCs w:val="24"/>
        </w:rPr>
        <w:t>/</w:t>
      </w:r>
      <w:proofErr w:type="spellStart"/>
      <w:r w:rsidRPr="00BF3CBC">
        <w:rPr>
          <w:sz w:val="24"/>
          <w:szCs w:val="24"/>
        </w:rPr>
        <w:t>mL</w:t>
      </w:r>
      <w:proofErr w:type="spellEnd"/>
      <w:r w:rsidRPr="00BF3CBC">
        <w:rPr>
          <w:sz w:val="24"/>
          <w:szCs w:val="24"/>
        </w:rPr>
        <w:t xml:space="preserve">), </w:t>
      </w:r>
      <w:proofErr w:type="spellStart"/>
      <w:r w:rsidRPr="00BF3CBC">
        <w:rPr>
          <w:sz w:val="24"/>
          <w:szCs w:val="24"/>
        </w:rPr>
        <w:t>T</w:t>
      </w:r>
      <w:r w:rsidRPr="00BF3CBC">
        <w:rPr>
          <w:sz w:val="24"/>
          <w:szCs w:val="24"/>
          <w:vertAlign w:val="subscript"/>
        </w:rPr>
        <w:t>max</w:t>
      </w:r>
      <w:proofErr w:type="spellEnd"/>
      <w:r w:rsidRPr="00BF3CBC">
        <w:rPr>
          <w:sz w:val="24"/>
          <w:szCs w:val="24"/>
        </w:rPr>
        <w:t xml:space="preserve"> 6,8 ± 1,8 (h), </w:t>
      </w:r>
      <w:proofErr w:type="spellStart"/>
      <w:r w:rsidRPr="00BF3CBC">
        <w:rPr>
          <w:sz w:val="24"/>
          <w:szCs w:val="24"/>
        </w:rPr>
        <w:t>AUC</w:t>
      </w:r>
      <w:r w:rsidRPr="00BF3CBC">
        <w:rPr>
          <w:sz w:val="24"/>
          <w:szCs w:val="24"/>
          <w:vertAlign w:val="subscript"/>
        </w:rPr>
        <w:t>inf</w:t>
      </w:r>
      <w:proofErr w:type="spellEnd"/>
      <w:r w:rsidRPr="00BF3CBC">
        <w:rPr>
          <w:sz w:val="24"/>
          <w:szCs w:val="24"/>
        </w:rPr>
        <w:t xml:space="preserve"> 41,8 ± 13,9 (</w:t>
      </w:r>
      <w:proofErr w:type="spellStart"/>
      <w:r w:rsidRPr="00BF3CBC">
        <w:rPr>
          <w:sz w:val="24"/>
          <w:szCs w:val="24"/>
        </w:rPr>
        <w:t>ng.h</w:t>
      </w:r>
      <w:proofErr w:type="spellEnd"/>
      <w:r w:rsidRPr="00BF3CBC">
        <w:rPr>
          <w:sz w:val="24"/>
          <w:szCs w:val="24"/>
        </w:rPr>
        <w:t>/</w:t>
      </w:r>
      <w:proofErr w:type="spellStart"/>
      <w:r w:rsidRPr="00BF3CBC">
        <w:rPr>
          <w:sz w:val="24"/>
          <w:szCs w:val="24"/>
        </w:rPr>
        <w:t>mL</w:t>
      </w:r>
      <w:proofErr w:type="spellEnd"/>
      <w:r w:rsidRPr="00BF3CBC">
        <w:rPr>
          <w:sz w:val="24"/>
          <w:szCs w:val="24"/>
        </w:rPr>
        <w:t>), og t</w:t>
      </w:r>
      <w:r w:rsidRPr="00BF3CBC">
        <w:rPr>
          <w:sz w:val="24"/>
          <w:szCs w:val="24"/>
          <w:vertAlign w:val="subscript"/>
        </w:rPr>
        <w:t>½</w:t>
      </w:r>
      <w:r w:rsidRPr="00BF3CBC">
        <w:rPr>
          <w:sz w:val="24"/>
          <w:szCs w:val="24"/>
        </w:rPr>
        <w:t xml:space="preserve"> 3.5 ± 0.4 (h).</w:t>
      </w:r>
    </w:p>
    <w:p w:rsidR="00EF1492" w:rsidRDefault="00EF1492" w:rsidP="008E4AD7">
      <w:pPr>
        <w:ind w:left="851"/>
        <w:rPr>
          <w:sz w:val="24"/>
          <w:szCs w:val="24"/>
        </w:rPr>
      </w:pPr>
    </w:p>
    <w:p w:rsidR="008E4AD7" w:rsidRPr="00BF3CBC" w:rsidRDefault="008E4AD7" w:rsidP="008E4AD7">
      <w:pPr>
        <w:ind w:left="851"/>
        <w:rPr>
          <w:sz w:val="24"/>
          <w:szCs w:val="24"/>
        </w:rPr>
      </w:pPr>
      <w:r w:rsidRPr="00BF3CBC">
        <w:rPr>
          <w:sz w:val="24"/>
          <w:szCs w:val="24"/>
        </w:rPr>
        <w:t xml:space="preserve">Der blev ikke observeret forskelle i farmakokinetikken for </w:t>
      </w:r>
      <w:proofErr w:type="spellStart"/>
      <w:r w:rsidRPr="00BF3CBC">
        <w:rPr>
          <w:color w:val="000000"/>
          <w:sz w:val="24"/>
          <w:szCs w:val="24"/>
        </w:rPr>
        <w:t>methylphenidat</w:t>
      </w:r>
      <w:proofErr w:type="spellEnd"/>
      <w:r w:rsidRPr="00BF3CBC">
        <w:rPr>
          <w:color w:val="000000"/>
          <w:sz w:val="24"/>
          <w:szCs w:val="24"/>
        </w:rPr>
        <w:t>-depottabletter</w:t>
      </w:r>
      <w:r w:rsidRPr="00BF3CBC">
        <w:rPr>
          <w:sz w:val="24"/>
          <w:szCs w:val="24"/>
        </w:rPr>
        <w:t xml:space="preserve"> efter enkeltdosis og gentagen dosis en gang daglig, hvilket tyder på, at der ikke er nogen væsentlig akkumulering af </w:t>
      </w:r>
      <w:proofErr w:type="spellStart"/>
      <w:r w:rsidRPr="00BF3CBC">
        <w:rPr>
          <w:color w:val="000000"/>
          <w:sz w:val="24"/>
          <w:szCs w:val="24"/>
        </w:rPr>
        <w:t>methylphenidat</w:t>
      </w:r>
      <w:proofErr w:type="spellEnd"/>
      <w:r w:rsidRPr="00BF3CBC">
        <w:rPr>
          <w:sz w:val="24"/>
          <w:szCs w:val="24"/>
        </w:rPr>
        <w:t xml:space="preserve">. Værdierne for AUC </w:t>
      </w:r>
      <w:r w:rsidR="00EF1492">
        <w:rPr>
          <w:sz w:val="24"/>
          <w:szCs w:val="24"/>
        </w:rPr>
        <w:t xml:space="preserve">og </w:t>
      </w:r>
      <w:r w:rsidR="00EF1492">
        <w:rPr>
          <w:rFonts w:eastAsia="Arial"/>
        </w:rPr>
        <w:t>t</w:t>
      </w:r>
      <w:r w:rsidR="00EF1492">
        <w:rPr>
          <w:rFonts w:eastAsia="Arial"/>
          <w:vertAlign w:val="subscript"/>
        </w:rPr>
        <w:t>½</w:t>
      </w:r>
      <w:r w:rsidR="00EF1492">
        <w:rPr>
          <w:sz w:val="24"/>
          <w:szCs w:val="24"/>
        </w:rPr>
        <w:t xml:space="preserve"> </w:t>
      </w:r>
      <w:r w:rsidRPr="00BF3CBC">
        <w:rPr>
          <w:sz w:val="24"/>
          <w:szCs w:val="24"/>
        </w:rPr>
        <w:t xml:space="preserve">efter gentagen dosis en gang daglig ligner værdierne efter den første dosis af </w:t>
      </w:r>
      <w:proofErr w:type="spellStart"/>
      <w:r w:rsidRPr="00BF3CBC">
        <w:rPr>
          <w:color w:val="000000"/>
          <w:sz w:val="24"/>
          <w:szCs w:val="24"/>
        </w:rPr>
        <w:t>methylphenidat</w:t>
      </w:r>
      <w:proofErr w:type="spellEnd"/>
      <w:r w:rsidRPr="00BF3CBC">
        <w:rPr>
          <w:color w:val="000000"/>
          <w:sz w:val="24"/>
          <w:szCs w:val="24"/>
        </w:rPr>
        <w:t>-depottabletter</w:t>
      </w:r>
      <w:r w:rsidRPr="00BF3CBC">
        <w:rPr>
          <w:sz w:val="24"/>
          <w:szCs w:val="24"/>
        </w:rPr>
        <w:t xml:space="preserve"> 18 mg.</w:t>
      </w:r>
    </w:p>
    <w:p w:rsidR="00EF1492" w:rsidRDefault="00EF1492" w:rsidP="008E4AD7">
      <w:pPr>
        <w:ind w:left="851"/>
        <w:rPr>
          <w:sz w:val="24"/>
          <w:szCs w:val="24"/>
        </w:rPr>
      </w:pPr>
    </w:p>
    <w:p w:rsidR="008E4AD7" w:rsidRPr="00BF3CBC" w:rsidRDefault="008E4AD7" w:rsidP="008E4AD7">
      <w:pPr>
        <w:ind w:left="851"/>
        <w:rPr>
          <w:sz w:val="24"/>
          <w:szCs w:val="24"/>
        </w:rPr>
      </w:pPr>
      <w:r w:rsidRPr="00BF3CBC">
        <w:rPr>
          <w:sz w:val="24"/>
          <w:szCs w:val="24"/>
        </w:rPr>
        <w:t xml:space="preserve">Efter indgift af </w:t>
      </w:r>
      <w:proofErr w:type="spellStart"/>
      <w:r w:rsidRPr="00BF3CBC">
        <w:rPr>
          <w:color w:val="000000"/>
          <w:sz w:val="24"/>
          <w:szCs w:val="24"/>
        </w:rPr>
        <w:t>methylphenidat</w:t>
      </w:r>
      <w:proofErr w:type="spellEnd"/>
      <w:r w:rsidRPr="00BF3CBC">
        <w:rPr>
          <w:color w:val="000000"/>
          <w:sz w:val="24"/>
          <w:szCs w:val="24"/>
        </w:rPr>
        <w:t>-depottabletter</w:t>
      </w:r>
      <w:r w:rsidRPr="00BF3CBC">
        <w:rPr>
          <w:sz w:val="24"/>
          <w:szCs w:val="24"/>
        </w:rPr>
        <w:t xml:space="preserve"> i enkeltdoser på </w:t>
      </w:r>
      <w:r w:rsidR="00EF1492">
        <w:rPr>
          <w:sz w:val="24"/>
          <w:szCs w:val="24"/>
        </w:rPr>
        <w:t>18</w:t>
      </w:r>
      <w:r w:rsidR="00EF1492">
        <w:rPr>
          <w:sz w:val="24"/>
          <w:szCs w:val="24"/>
        </w:rPr>
        <w:noBreakHyphen/>
        <w:t>72 </w:t>
      </w:r>
      <w:r w:rsidRPr="00BF3CBC">
        <w:rPr>
          <w:sz w:val="24"/>
          <w:szCs w:val="24"/>
        </w:rPr>
        <w:t xml:space="preserve">mg/dag til voksne var værdierne for </w:t>
      </w:r>
      <w:proofErr w:type="spellStart"/>
      <w:r w:rsidRPr="00BF3CBC">
        <w:rPr>
          <w:sz w:val="24"/>
          <w:szCs w:val="24"/>
        </w:rPr>
        <w:t>methylphenidat</w:t>
      </w:r>
      <w:proofErr w:type="spellEnd"/>
      <w:r w:rsidRPr="00BF3CBC">
        <w:rPr>
          <w:sz w:val="24"/>
          <w:szCs w:val="24"/>
        </w:rPr>
        <w:t xml:space="preserve"> dosisproportionale med hensyn til </w:t>
      </w:r>
      <w:proofErr w:type="spellStart"/>
      <w:r w:rsidRPr="00BF3CBC">
        <w:rPr>
          <w:sz w:val="24"/>
          <w:szCs w:val="24"/>
        </w:rPr>
        <w:t>C</w:t>
      </w:r>
      <w:r w:rsidRPr="00BF3CBC">
        <w:rPr>
          <w:sz w:val="24"/>
          <w:szCs w:val="24"/>
          <w:vertAlign w:val="subscript"/>
        </w:rPr>
        <w:t>max</w:t>
      </w:r>
      <w:proofErr w:type="spellEnd"/>
      <w:r w:rsidRPr="00BF3CBC">
        <w:rPr>
          <w:sz w:val="24"/>
          <w:szCs w:val="24"/>
        </w:rPr>
        <w:t xml:space="preserve"> og AUC</w:t>
      </w:r>
      <w:r w:rsidRPr="00BF3CBC">
        <w:rPr>
          <w:sz w:val="24"/>
          <w:szCs w:val="24"/>
          <w:vertAlign w:val="subscript"/>
        </w:rPr>
        <w:t>(0-inf)</w:t>
      </w:r>
      <w:r w:rsidRPr="00BF3CBC">
        <w:rPr>
          <w:sz w:val="24"/>
          <w:szCs w:val="24"/>
        </w:rPr>
        <w:t>.</w:t>
      </w:r>
    </w:p>
    <w:p w:rsidR="008E4AD7" w:rsidRPr="00BF3CBC" w:rsidRDefault="008E4AD7" w:rsidP="008E4AD7">
      <w:pPr>
        <w:ind w:left="851" w:hanging="851"/>
        <w:rPr>
          <w:sz w:val="24"/>
          <w:szCs w:val="24"/>
        </w:rPr>
      </w:pPr>
    </w:p>
    <w:p w:rsidR="008E4AD7" w:rsidRPr="00BF3CBC" w:rsidRDefault="008E4AD7" w:rsidP="008E4AD7">
      <w:pPr>
        <w:ind w:left="851"/>
        <w:rPr>
          <w:sz w:val="24"/>
          <w:szCs w:val="24"/>
        </w:rPr>
      </w:pPr>
      <w:r w:rsidRPr="00BF3CBC">
        <w:rPr>
          <w:sz w:val="24"/>
          <w:szCs w:val="24"/>
          <w:u w:val="single" w:color="000000"/>
        </w:rPr>
        <w:t>Fordeling</w:t>
      </w:r>
    </w:p>
    <w:p w:rsidR="008E4AD7" w:rsidRPr="00BF3CBC" w:rsidRDefault="008E4AD7" w:rsidP="008E4AD7">
      <w:pPr>
        <w:ind w:left="851"/>
        <w:rPr>
          <w:sz w:val="24"/>
          <w:szCs w:val="24"/>
        </w:rPr>
      </w:pPr>
      <w:r w:rsidRPr="00BF3CBC">
        <w:rPr>
          <w:sz w:val="24"/>
          <w:szCs w:val="24"/>
        </w:rPr>
        <w:t xml:space="preserve">Koncentrationen af </w:t>
      </w:r>
      <w:proofErr w:type="spellStart"/>
      <w:r w:rsidRPr="00BF3CBC">
        <w:rPr>
          <w:sz w:val="24"/>
          <w:szCs w:val="24"/>
        </w:rPr>
        <w:t>methylphenidat</w:t>
      </w:r>
      <w:proofErr w:type="spellEnd"/>
      <w:r w:rsidRPr="00BF3CBC">
        <w:rPr>
          <w:sz w:val="24"/>
          <w:szCs w:val="24"/>
        </w:rPr>
        <w:t xml:space="preserve"> i plasma hos voksne aftager </w:t>
      </w:r>
      <w:proofErr w:type="spellStart"/>
      <w:r w:rsidRPr="00BF3CBC">
        <w:rPr>
          <w:sz w:val="24"/>
          <w:szCs w:val="24"/>
        </w:rPr>
        <w:t>bieksponentielt</w:t>
      </w:r>
      <w:proofErr w:type="spellEnd"/>
      <w:r w:rsidRPr="00BF3CBC">
        <w:rPr>
          <w:sz w:val="24"/>
          <w:szCs w:val="24"/>
        </w:rPr>
        <w:t xml:space="preserve"> efter oral indgift. Halveringstiden for </w:t>
      </w:r>
      <w:proofErr w:type="spellStart"/>
      <w:r w:rsidRPr="00BF3CBC">
        <w:rPr>
          <w:sz w:val="24"/>
          <w:szCs w:val="24"/>
        </w:rPr>
        <w:t>methylphenidat</w:t>
      </w:r>
      <w:proofErr w:type="spellEnd"/>
      <w:r w:rsidRPr="00BF3CBC">
        <w:rPr>
          <w:sz w:val="24"/>
          <w:szCs w:val="24"/>
        </w:rPr>
        <w:t xml:space="preserve"> hos voksne efter peroral indgift af </w:t>
      </w:r>
      <w:proofErr w:type="spellStart"/>
      <w:r w:rsidRPr="00BF3CBC">
        <w:rPr>
          <w:color w:val="000000"/>
          <w:sz w:val="24"/>
          <w:szCs w:val="24"/>
        </w:rPr>
        <w:t>methylphenidat</w:t>
      </w:r>
      <w:proofErr w:type="spellEnd"/>
      <w:r w:rsidRPr="00BF3CBC">
        <w:rPr>
          <w:color w:val="000000"/>
          <w:sz w:val="24"/>
          <w:szCs w:val="24"/>
        </w:rPr>
        <w:t>-depottabletter</w:t>
      </w:r>
      <w:r w:rsidRPr="00BF3CBC">
        <w:rPr>
          <w:sz w:val="24"/>
          <w:szCs w:val="24"/>
        </w:rPr>
        <w:t xml:space="preserve"> var ca. 3,5 timer. Proteinbindingen af </w:t>
      </w:r>
      <w:proofErr w:type="spellStart"/>
      <w:r w:rsidRPr="00BF3CBC">
        <w:rPr>
          <w:sz w:val="24"/>
          <w:szCs w:val="24"/>
        </w:rPr>
        <w:t>methylphenidat</w:t>
      </w:r>
      <w:proofErr w:type="spellEnd"/>
      <w:r w:rsidRPr="00BF3CBC">
        <w:rPr>
          <w:sz w:val="24"/>
          <w:szCs w:val="24"/>
        </w:rPr>
        <w:t xml:space="preserve"> og af dets metabolitter er ca. 15 %. Den tilsyneladende distributionsvolumen af </w:t>
      </w:r>
      <w:proofErr w:type="spellStart"/>
      <w:r w:rsidRPr="00BF3CBC">
        <w:rPr>
          <w:sz w:val="24"/>
          <w:szCs w:val="24"/>
        </w:rPr>
        <w:t>methylphenidat</w:t>
      </w:r>
      <w:proofErr w:type="spellEnd"/>
      <w:r w:rsidRPr="00BF3CBC">
        <w:rPr>
          <w:sz w:val="24"/>
          <w:szCs w:val="24"/>
        </w:rPr>
        <w:t xml:space="preserve"> er ca. 13 liter/kg.</w:t>
      </w:r>
    </w:p>
    <w:p w:rsidR="008E4AD7" w:rsidRPr="00BF3CBC" w:rsidRDefault="008E4AD7" w:rsidP="008E4AD7">
      <w:pPr>
        <w:ind w:left="851" w:hanging="851"/>
        <w:rPr>
          <w:sz w:val="24"/>
          <w:szCs w:val="24"/>
        </w:rPr>
      </w:pPr>
    </w:p>
    <w:p w:rsidR="008E4AD7" w:rsidRPr="00E90286" w:rsidRDefault="008E4AD7" w:rsidP="00E90286">
      <w:pPr>
        <w:ind w:left="851"/>
        <w:rPr>
          <w:sz w:val="24"/>
          <w:szCs w:val="24"/>
          <w:u w:val="single"/>
        </w:rPr>
      </w:pPr>
      <w:r w:rsidRPr="00E90286">
        <w:rPr>
          <w:sz w:val="24"/>
          <w:szCs w:val="24"/>
          <w:u w:val="single"/>
        </w:rPr>
        <w:t>Biotransformation</w:t>
      </w:r>
    </w:p>
    <w:p w:rsidR="008E4AD7" w:rsidRPr="00BF3CBC" w:rsidRDefault="008E4AD7" w:rsidP="008E4AD7">
      <w:pPr>
        <w:ind w:left="851"/>
        <w:rPr>
          <w:sz w:val="24"/>
          <w:szCs w:val="24"/>
        </w:rPr>
      </w:pPr>
      <w:r w:rsidRPr="00BF3CBC">
        <w:rPr>
          <w:sz w:val="24"/>
          <w:szCs w:val="24"/>
        </w:rPr>
        <w:t xml:space="preserve">Hos mennesker </w:t>
      </w:r>
      <w:proofErr w:type="spellStart"/>
      <w:r w:rsidRPr="00BF3CBC">
        <w:rPr>
          <w:sz w:val="24"/>
          <w:szCs w:val="24"/>
        </w:rPr>
        <w:t>metaboliseres</w:t>
      </w:r>
      <w:proofErr w:type="spellEnd"/>
      <w:r w:rsidRPr="00BF3CBC">
        <w:rPr>
          <w:sz w:val="24"/>
          <w:szCs w:val="24"/>
        </w:rPr>
        <w:t xml:space="preserve"> </w:t>
      </w:r>
      <w:proofErr w:type="spellStart"/>
      <w:r w:rsidRPr="00BF3CBC">
        <w:rPr>
          <w:sz w:val="24"/>
          <w:szCs w:val="24"/>
        </w:rPr>
        <w:t>methylphenidat</w:t>
      </w:r>
      <w:proofErr w:type="spellEnd"/>
      <w:r w:rsidRPr="00BF3CBC">
        <w:rPr>
          <w:sz w:val="24"/>
          <w:szCs w:val="24"/>
        </w:rPr>
        <w:t xml:space="preserve"> primært ved de-</w:t>
      </w:r>
      <w:proofErr w:type="spellStart"/>
      <w:r w:rsidRPr="00BF3CBC">
        <w:rPr>
          <w:sz w:val="24"/>
          <w:szCs w:val="24"/>
        </w:rPr>
        <w:t>esterificering</w:t>
      </w:r>
      <w:proofErr w:type="spellEnd"/>
      <w:r w:rsidRPr="00BF3CBC">
        <w:rPr>
          <w:sz w:val="24"/>
          <w:szCs w:val="24"/>
        </w:rPr>
        <w:t xml:space="preserve"> til alfa-</w:t>
      </w:r>
      <w:proofErr w:type="spellStart"/>
      <w:r w:rsidRPr="00BF3CBC">
        <w:rPr>
          <w:sz w:val="24"/>
          <w:szCs w:val="24"/>
        </w:rPr>
        <w:t>fenylpiperidineddikesyre</w:t>
      </w:r>
      <w:proofErr w:type="spellEnd"/>
      <w:r w:rsidRPr="00BF3CBC">
        <w:rPr>
          <w:sz w:val="24"/>
          <w:szCs w:val="24"/>
        </w:rPr>
        <w:t xml:space="preserve"> (PPA, ca. 50 gange niveauet for det uforandrede stof), der kun har lidt eller ingen farmakologisk aktivitet. Hos voksne ligner metabolismen af </w:t>
      </w:r>
      <w:proofErr w:type="spellStart"/>
      <w:r w:rsidRPr="00BF3CBC">
        <w:rPr>
          <w:color w:val="000000"/>
          <w:sz w:val="24"/>
          <w:szCs w:val="24"/>
        </w:rPr>
        <w:t>methylphenidat</w:t>
      </w:r>
      <w:proofErr w:type="spellEnd"/>
      <w:r w:rsidRPr="00BF3CBC">
        <w:rPr>
          <w:color w:val="000000"/>
          <w:sz w:val="24"/>
          <w:szCs w:val="24"/>
        </w:rPr>
        <w:t>-depottabletter</w:t>
      </w:r>
      <w:r w:rsidRPr="00BF3CBC">
        <w:rPr>
          <w:sz w:val="24"/>
          <w:szCs w:val="24"/>
        </w:rPr>
        <w:t xml:space="preserve"> én gang daglig, bedømt som </w:t>
      </w:r>
      <w:proofErr w:type="spellStart"/>
      <w:r w:rsidRPr="00BF3CBC">
        <w:rPr>
          <w:sz w:val="24"/>
          <w:szCs w:val="24"/>
        </w:rPr>
        <w:t>metabolisering</w:t>
      </w:r>
      <w:proofErr w:type="spellEnd"/>
      <w:r w:rsidRPr="00BF3CBC">
        <w:rPr>
          <w:sz w:val="24"/>
          <w:szCs w:val="24"/>
        </w:rPr>
        <w:t xml:space="preserve"> til PPA, og metabolismen af </w:t>
      </w:r>
      <w:proofErr w:type="spellStart"/>
      <w:r w:rsidRPr="00BF3CBC">
        <w:rPr>
          <w:sz w:val="24"/>
          <w:szCs w:val="24"/>
        </w:rPr>
        <w:t>methylphenidat</w:t>
      </w:r>
      <w:proofErr w:type="spellEnd"/>
      <w:r w:rsidRPr="00BF3CBC">
        <w:rPr>
          <w:sz w:val="24"/>
          <w:szCs w:val="24"/>
        </w:rPr>
        <w:t xml:space="preserve"> tre gange daglig hinanden. Metabolismen af enkeltstående og gentagen dosis af </w:t>
      </w:r>
      <w:proofErr w:type="spellStart"/>
      <w:r w:rsidRPr="00BF3CBC">
        <w:rPr>
          <w:color w:val="000000"/>
          <w:sz w:val="24"/>
          <w:szCs w:val="24"/>
        </w:rPr>
        <w:t>methylphenidat</w:t>
      </w:r>
      <w:proofErr w:type="spellEnd"/>
      <w:r w:rsidRPr="00BF3CBC">
        <w:rPr>
          <w:color w:val="000000"/>
          <w:sz w:val="24"/>
          <w:szCs w:val="24"/>
        </w:rPr>
        <w:t>-depottabletter</w:t>
      </w:r>
      <w:r w:rsidRPr="00BF3CBC">
        <w:rPr>
          <w:sz w:val="24"/>
          <w:szCs w:val="24"/>
        </w:rPr>
        <w:t xml:space="preserve"> ligner hinanden.</w:t>
      </w:r>
    </w:p>
    <w:p w:rsidR="00FA0296" w:rsidRDefault="00FA0296">
      <w:pPr>
        <w:rPr>
          <w:sz w:val="24"/>
          <w:szCs w:val="24"/>
        </w:rPr>
      </w:pPr>
      <w:r>
        <w:rPr>
          <w:sz w:val="24"/>
          <w:szCs w:val="24"/>
        </w:rPr>
        <w:br w:type="page"/>
      </w:r>
    </w:p>
    <w:p w:rsidR="008E4AD7" w:rsidRPr="00BF3CBC" w:rsidRDefault="008E4AD7" w:rsidP="008E4AD7">
      <w:pPr>
        <w:ind w:left="851" w:hanging="851"/>
        <w:rPr>
          <w:sz w:val="24"/>
          <w:szCs w:val="24"/>
        </w:rPr>
      </w:pPr>
    </w:p>
    <w:p w:rsidR="008E4AD7" w:rsidRPr="00BF3CBC" w:rsidRDefault="008E4AD7" w:rsidP="008E4AD7">
      <w:pPr>
        <w:ind w:left="851"/>
        <w:rPr>
          <w:sz w:val="24"/>
          <w:szCs w:val="24"/>
        </w:rPr>
      </w:pPr>
      <w:r w:rsidRPr="00BF3CBC">
        <w:rPr>
          <w:sz w:val="24"/>
          <w:szCs w:val="24"/>
          <w:u w:val="single" w:color="000000"/>
        </w:rPr>
        <w:t>Elimination</w:t>
      </w:r>
    </w:p>
    <w:p w:rsidR="008E4AD7" w:rsidRPr="00BF3CBC" w:rsidRDefault="008E4AD7" w:rsidP="008E4AD7">
      <w:pPr>
        <w:ind w:left="851"/>
        <w:rPr>
          <w:sz w:val="24"/>
          <w:szCs w:val="24"/>
        </w:rPr>
      </w:pPr>
      <w:r w:rsidRPr="00BF3CBC">
        <w:rPr>
          <w:sz w:val="24"/>
          <w:szCs w:val="24"/>
        </w:rPr>
        <w:t xml:space="preserve">Eliminationshalveringstiden af </w:t>
      </w:r>
      <w:proofErr w:type="spellStart"/>
      <w:r w:rsidRPr="00BF3CBC">
        <w:rPr>
          <w:sz w:val="24"/>
          <w:szCs w:val="24"/>
        </w:rPr>
        <w:t>methylphenidat</w:t>
      </w:r>
      <w:proofErr w:type="spellEnd"/>
      <w:r w:rsidRPr="00BF3CBC">
        <w:rPr>
          <w:sz w:val="24"/>
          <w:szCs w:val="24"/>
        </w:rPr>
        <w:t xml:space="preserve"> hos voksne efter indgift af </w:t>
      </w:r>
      <w:proofErr w:type="spellStart"/>
      <w:r w:rsidRPr="00BF3CBC">
        <w:rPr>
          <w:color w:val="000000"/>
          <w:sz w:val="24"/>
          <w:szCs w:val="24"/>
        </w:rPr>
        <w:t>methylphenidat</w:t>
      </w:r>
      <w:proofErr w:type="spellEnd"/>
      <w:r w:rsidR="00913247">
        <w:rPr>
          <w:color w:val="000000"/>
          <w:sz w:val="24"/>
          <w:szCs w:val="24"/>
        </w:rPr>
        <w:t>-</w:t>
      </w:r>
      <w:r w:rsidRPr="00BF3CBC">
        <w:rPr>
          <w:color w:val="000000"/>
          <w:sz w:val="24"/>
          <w:szCs w:val="24"/>
        </w:rPr>
        <w:t>depottabletter</w:t>
      </w:r>
      <w:r w:rsidRPr="00BF3CBC">
        <w:rPr>
          <w:sz w:val="24"/>
          <w:szCs w:val="24"/>
        </w:rPr>
        <w:t xml:space="preserve"> var ca. 3,5 timer. Inden for 48-96 timer efter oral indgift udskilles omkring 90 % af dosis med urinen og 1-3 % i fæces som metabolitter. Små mængder af uforandret </w:t>
      </w:r>
      <w:proofErr w:type="spellStart"/>
      <w:r w:rsidRPr="00BF3CBC">
        <w:rPr>
          <w:sz w:val="24"/>
          <w:szCs w:val="24"/>
        </w:rPr>
        <w:t>methylphenidat</w:t>
      </w:r>
      <w:proofErr w:type="spellEnd"/>
      <w:r w:rsidRPr="00BF3CBC">
        <w:rPr>
          <w:sz w:val="24"/>
          <w:szCs w:val="24"/>
        </w:rPr>
        <w:t xml:space="preserve"> genfindes i urinen (under 1 %). Alfa-</w:t>
      </w:r>
      <w:proofErr w:type="spellStart"/>
      <w:r w:rsidRPr="00BF3CBC">
        <w:rPr>
          <w:sz w:val="24"/>
          <w:szCs w:val="24"/>
        </w:rPr>
        <w:t>fenylpiperineddikesyre</w:t>
      </w:r>
      <w:proofErr w:type="spellEnd"/>
      <w:r w:rsidRPr="00BF3CBC">
        <w:rPr>
          <w:sz w:val="24"/>
          <w:szCs w:val="24"/>
        </w:rPr>
        <w:t xml:space="preserve"> er hovedmetabolitten i urin (60-90 %).</w:t>
      </w:r>
    </w:p>
    <w:p w:rsidR="008E4AD7" w:rsidRPr="00BF3CBC" w:rsidRDefault="008E4AD7" w:rsidP="008E4AD7">
      <w:pPr>
        <w:ind w:left="851" w:hanging="851"/>
        <w:rPr>
          <w:sz w:val="24"/>
          <w:szCs w:val="24"/>
        </w:rPr>
      </w:pPr>
    </w:p>
    <w:p w:rsidR="008E4AD7" w:rsidRPr="00BF3CBC" w:rsidRDefault="008E4AD7" w:rsidP="008E4AD7">
      <w:pPr>
        <w:ind w:left="851"/>
        <w:rPr>
          <w:sz w:val="24"/>
          <w:szCs w:val="24"/>
        </w:rPr>
      </w:pPr>
      <w:r w:rsidRPr="00BF3CBC">
        <w:rPr>
          <w:sz w:val="24"/>
          <w:szCs w:val="24"/>
        </w:rPr>
        <w:t xml:space="preserve">Efter oral dosis af radioaktivt mærket </w:t>
      </w:r>
      <w:proofErr w:type="spellStart"/>
      <w:r w:rsidRPr="00BF3CBC">
        <w:rPr>
          <w:sz w:val="24"/>
          <w:szCs w:val="24"/>
        </w:rPr>
        <w:t>methylphenidat</w:t>
      </w:r>
      <w:proofErr w:type="spellEnd"/>
      <w:r w:rsidRPr="00BF3CBC">
        <w:rPr>
          <w:sz w:val="24"/>
          <w:szCs w:val="24"/>
        </w:rPr>
        <w:t xml:space="preserve"> til mennesker blev omkring 90 % af radioaktiviteten genfundet i urin. PPA var hovedmetabolitten i urin med ca. 80 % af dosis.</w:t>
      </w:r>
    </w:p>
    <w:p w:rsidR="008E4AD7" w:rsidRPr="00BF3CBC" w:rsidRDefault="008E4AD7" w:rsidP="008E4AD7">
      <w:pPr>
        <w:ind w:left="851" w:hanging="851"/>
        <w:rPr>
          <w:sz w:val="24"/>
          <w:szCs w:val="24"/>
        </w:rPr>
      </w:pPr>
    </w:p>
    <w:p w:rsidR="008E4AD7" w:rsidRPr="00BF3CBC" w:rsidRDefault="008E4AD7" w:rsidP="008E4AD7">
      <w:pPr>
        <w:ind w:left="851"/>
        <w:rPr>
          <w:sz w:val="24"/>
          <w:szCs w:val="24"/>
        </w:rPr>
      </w:pPr>
      <w:r w:rsidRPr="00BF3CBC">
        <w:rPr>
          <w:sz w:val="24"/>
          <w:szCs w:val="24"/>
          <w:u w:val="single" w:color="000000"/>
        </w:rPr>
        <w:t>Effekt af fødevarer</w:t>
      </w:r>
    </w:p>
    <w:p w:rsidR="008E4AD7" w:rsidRPr="00BF3CBC" w:rsidRDefault="008E4AD7" w:rsidP="008E4AD7">
      <w:pPr>
        <w:ind w:left="851"/>
        <w:rPr>
          <w:sz w:val="24"/>
          <w:szCs w:val="24"/>
        </w:rPr>
      </w:pPr>
      <w:r w:rsidRPr="00BF3CBC">
        <w:rPr>
          <w:sz w:val="24"/>
          <w:szCs w:val="24"/>
        </w:rPr>
        <w:t xml:space="preserve">Der var ingen forskel hos patienterne, hverken med hensyn til farmakokinetik eller </w:t>
      </w:r>
      <w:proofErr w:type="spellStart"/>
      <w:r w:rsidRPr="00BF3CBC">
        <w:rPr>
          <w:sz w:val="24"/>
          <w:szCs w:val="24"/>
        </w:rPr>
        <w:t>farmakodynamik</w:t>
      </w:r>
      <w:proofErr w:type="spellEnd"/>
      <w:r w:rsidRPr="00BF3CBC">
        <w:rPr>
          <w:sz w:val="24"/>
          <w:szCs w:val="24"/>
        </w:rPr>
        <w:t xml:space="preserve">, når </w:t>
      </w:r>
      <w:proofErr w:type="spellStart"/>
      <w:r w:rsidRPr="00BF3CBC">
        <w:rPr>
          <w:color w:val="000000"/>
          <w:sz w:val="24"/>
          <w:szCs w:val="24"/>
        </w:rPr>
        <w:t>methylphenidat</w:t>
      </w:r>
      <w:proofErr w:type="spellEnd"/>
      <w:r w:rsidRPr="00BF3CBC">
        <w:rPr>
          <w:color w:val="000000"/>
          <w:sz w:val="24"/>
          <w:szCs w:val="24"/>
        </w:rPr>
        <w:t>-depottabletter</w:t>
      </w:r>
      <w:r w:rsidRPr="00BF3CBC">
        <w:rPr>
          <w:sz w:val="24"/>
          <w:szCs w:val="24"/>
        </w:rPr>
        <w:t xml:space="preserve"> blev indgivet efter morgenmåltid med højt fedtindhold eller på tom mave.</w:t>
      </w:r>
    </w:p>
    <w:p w:rsidR="008E4AD7" w:rsidRPr="00BF3CBC" w:rsidRDefault="008E4AD7" w:rsidP="008E4AD7">
      <w:pPr>
        <w:ind w:left="851" w:hanging="851"/>
        <w:rPr>
          <w:sz w:val="24"/>
          <w:szCs w:val="24"/>
        </w:rPr>
      </w:pPr>
    </w:p>
    <w:p w:rsidR="008E4AD7" w:rsidRPr="00E90286" w:rsidRDefault="008E4AD7" w:rsidP="00E90286">
      <w:pPr>
        <w:ind w:left="851"/>
        <w:rPr>
          <w:sz w:val="24"/>
          <w:szCs w:val="24"/>
          <w:u w:val="single"/>
        </w:rPr>
      </w:pPr>
      <w:r w:rsidRPr="00E90286">
        <w:rPr>
          <w:sz w:val="24"/>
          <w:szCs w:val="24"/>
          <w:u w:val="single"/>
        </w:rPr>
        <w:t>Specielle populationer</w:t>
      </w:r>
    </w:p>
    <w:p w:rsidR="008E4AD7" w:rsidRPr="00BF3CBC" w:rsidRDefault="008E4AD7" w:rsidP="008E4AD7">
      <w:pPr>
        <w:ind w:left="851"/>
        <w:rPr>
          <w:i/>
          <w:iCs/>
          <w:sz w:val="24"/>
          <w:szCs w:val="24"/>
        </w:rPr>
      </w:pPr>
      <w:r w:rsidRPr="00BF3CBC">
        <w:rPr>
          <w:i/>
          <w:iCs/>
          <w:sz w:val="24"/>
          <w:szCs w:val="24"/>
        </w:rPr>
        <w:t>Køn</w:t>
      </w:r>
    </w:p>
    <w:p w:rsidR="008E4AD7" w:rsidRPr="00BF3CBC" w:rsidRDefault="008E4AD7" w:rsidP="008E4AD7">
      <w:pPr>
        <w:ind w:left="851"/>
        <w:rPr>
          <w:sz w:val="24"/>
          <w:szCs w:val="24"/>
        </w:rPr>
      </w:pPr>
      <w:r w:rsidRPr="00BF3CBC">
        <w:rPr>
          <w:sz w:val="24"/>
          <w:szCs w:val="24"/>
        </w:rPr>
        <w:t>Hos raske voksne var de gennemsnitlige dosisjusterede AUC</w:t>
      </w:r>
      <w:r w:rsidRPr="00BF3CBC">
        <w:rPr>
          <w:sz w:val="24"/>
          <w:szCs w:val="24"/>
          <w:vertAlign w:val="subscript"/>
        </w:rPr>
        <w:t>(0-</w:t>
      </w:r>
      <w:proofErr w:type="gramStart"/>
      <w:r w:rsidRPr="00BF3CBC">
        <w:rPr>
          <w:sz w:val="24"/>
          <w:szCs w:val="24"/>
          <w:vertAlign w:val="subscript"/>
        </w:rPr>
        <w:t>inf)</w:t>
      </w:r>
      <w:r w:rsidRPr="00BF3CBC">
        <w:rPr>
          <w:sz w:val="24"/>
          <w:szCs w:val="24"/>
        </w:rPr>
        <w:t>-</w:t>
      </w:r>
      <w:proofErr w:type="gramEnd"/>
      <w:r w:rsidRPr="00BF3CBC">
        <w:rPr>
          <w:sz w:val="24"/>
          <w:szCs w:val="24"/>
        </w:rPr>
        <w:t xml:space="preserve">værdier for </w:t>
      </w:r>
      <w:proofErr w:type="spellStart"/>
      <w:r w:rsidRPr="00BF3CBC">
        <w:rPr>
          <w:color w:val="000000"/>
          <w:sz w:val="24"/>
          <w:szCs w:val="24"/>
        </w:rPr>
        <w:t>methylphenidat</w:t>
      </w:r>
      <w:proofErr w:type="spellEnd"/>
      <w:r w:rsidRPr="00BF3CBC">
        <w:rPr>
          <w:color w:val="000000"/>
          <w:sz w:val="24"/>
          <w:szCs w:val="24"/>
        </w:rPr>
        <w:t>-depottabletter</w:t>
      </w:r>
      <w:r w:rsidRPr="00BF3CBC">
        <w:rPr>
          <w:sz w:val="24"/>
          <w:szCs w:val="24"/>
        </w:rPr>
        <w:t xml:space="preserve"> 36,7 </w:t>
      </w:r>
      <w:proofErr w:type="spellStart"/>
      <w:r w:rsidRPr="00BF3CBC">
        <w:rPr>
          <w:sz w:val="24"/>
          <w:szCs w:val="24"/>
        </w:rPr>
        <w:t>ng.h</w:t>
      </w:r>
      <w:proofErr w:type="spellEnd"/>
      <w:r w:rsidRPr="00BF3CBC">
        <w:rPr>
          <w:sz w:val="24"/>
          <w:szCs w:val="24"/>
        </w:rPr>
        <w:t>/ml hos mænd og 37,1 </w:t>
      </w:r>
      <w:proofErr w:type="spellStart"/>
      <w:r w:rsidRPr="00BF3CBC">
        <w:rPr>
          <w:sz w:val="24"/>
          <w:szCs w:val="24"/>
        </w:rPr>
        <w:t>ng.h</w:t>
      </w:r>
      <w:proofErr w:type="spellEnd"/>
      <w:r w:rsidRPr="00BF3CBC">
        <w:rPr>
          <w:sz w:val="24"/>
          <w:szCs w:val="24"/>
        </w:rPr>
        <w:t>/ml hos kvinder, uden påviselige forskelle mellem de to grupper.</w:t>
      </w:r>
    </w:p>
    <w:p w:rsidR="008E4AD7" w:rsidRPr="00BF3CBC" w:rsidRDefault="008E4AD7" w:rsidP="008E4AD7">
      <w:pPr>
        <w:ind w:left="851" w:hanging="851"/>
        <w:rPr>
          <w:sz w:val="24"/>
          <w:szCs w:val="24"/>
        </w:rPr>
      </w:pPr>
    </w:p>
    <w:p w:rsidR="008E4AD7" w:rsidRPr="00E90286" w:rsidRDefault="008E4AD7" w:rsidP="00E90286">
      <w:pPr>
        <w:ind w:left="851"/>
        <w:rPr>
          <w:i/>
          <w:sz w:val="24"/>
          <w:szCs w:val="24"/>
        </w:rPr>
      </w:pPr>
      <w:r w:rsidRPr="00E90286">
        <w:rPr>
          <w:i/>
          <w:sz w:val="24"/>
          <w:szCs w:val="24"/>
        </w:rPr>
        <w:t>Race</w:t>
      </w:r>
    </w:p>
    <w:p w:rsidR="008E4AD7" w:rsidRPr="00BF3CBC" w:rsidRDefault="008E4AD7" w:rsidP="008E4AD7">
      <w:pPr>
        <w:ind w:left="851"/>
        <w:rPr>
          <w:sz w:val="24"/>
          <w:szCs w:val="24"/>
        </w:rPr>
      </w:pPr>
      <w:r w:rsidRPr="00BF3CBC">
        <w:rPr>
          <w:sz w:val="24"/>
          <w:szCs w:val="24"/>
        </w:rPr>
        <w:t xml:space="preserve">Hos raske voksne, som fik </w:t>
      </w:r>
      <w:proofErr w:type="spellStart"/>
      <w:r w:rsidRPr="00BF3CBC">
        <w:rPr>
          <w:color w:val="000000"/>
          <w:sz w:val="24"/>
          <w:szCs w:val="24"/>
        </w:rPr>
        <w:t>methylphenidat</w:t>
      </w:r>
      <w:proofErr w:type="spellEnd"/>
      <w:r w:rsidRPr="00BF3CBC">
        <w:rPr>
          <w:color w:val="000000"/>
          <w:sz w:val="24"/>
          <w:szCs w:val="24"/>
        </w:rPr>
        <w:t>-depottabletter</w:t>
      </w:r>
      <w:r w:rsidRPr="00BF3CBC">
        <w:rPr>
          <w:sz w:val="24"/>
          <w:szCs w:val="24"/>
        </w:rPr>
        <w:t>, var dosisjusteret AUC</w:t>
      </w:r>
      <w:r w:rsidRPr="00BF3CBC">
        <w:rPr>
          <w:sz w:val="24"/>
          <w:szCs w:val="24"/>
          <w:vertAlign w:val="subscript"/>
        </w:rPr>
        <w:t>(0-inf)</w:t>
      </w:r>
      <w:r w:rsidRPr="00BF3CBC">
        <w:rPr>
          <w:sz w:val="24"/>
          <w:szCs w:val="24"/>
        </w:rPr>
        <w:t xml:space="preserve"> konsistent på tværs af etniske grupper; men antallet af patienter kan have været utilstrækkeligt til at påvise etniske variationer i farmakokinetikken.</w:t>
      </w:r>
    </w:p>
    <w:p w:rsidR="008E4AD7" w:rsidRPr="00BF3CBC" w:rsidRDefault="008E4AD7" w:rsidP="008E4AD7">
      <w:pPr>
        <w:ind w:left="851" w:hanging="851"/>
        <w:rPr>
          <w:sz w:val="24"/>
          <w:szCs w:val="24"/>
        </w:rPr>
      </w:pPr>
    </w:p>
    <w:p w:rsidR="008E4AD7" w:rsidRPr="00BF3CBC" w:rsidRDefault="008E4AD7" w:rsidP="008E4AD7">
      <w:pPr>
        <w:ind w:left="851"/>
        <w:rPr>
          <w:i/>
          <w:iCs/>
          <w:sz w:val="24"/>
          <w:szCs w:val="24"/>
        </w:rPr>
      </w:pPr>
      <w:r w:rsidRPr="00BF3CBC">
        <w:rPr>
          <w:i/>
          <w:iCs/>
          <w:sz w:val="24"/>
          <w:szCs w:val="24"/>
        </w:rPr>
        <w:t>Alder</w:t>
      </w:r>
    </w:p>
    <w:p w:rsidR="008E4AD7" w:rsidRPr="00BF3CBC" w:rsidRDefault="008E4AD7" w:rsidP="008E4AD7">
      <w:pPr>
        <w:ind w:left="851"/>
        <w:rPr>
          <w:sz w:val="24"/>
          <w:szCs w:val="24"/>
        </w:rPr>
      </w:pPr>
      <w:r w:rsidRPr="00BF3CBC">
        <w:rPr>
          <w:sz w:val="24"/>
          <w:szCs w:val="24"/>
        </w:rPr>
        <w:t xml:space="preserve">Farmakokinetikken for </w:t>
      </w:r>
      <w:proofErr w:type="spellStart"/>
      <w:r w:rsidRPr="00BF3CBC">
        <w:rPr>
          <w:color w:val="000000"/>
          <w:sz w:val="24"/>
          <w:szCs w:val="24"/>
        </w:rPr>
        <w:t>methylphenidat</w:t>
      </w:r>
      <w:proofErr w:type="spellEnd"/>
      <w:r w:rsidRPr="00BF3CBC">
        <w:rPr>
          <w:color w:val="000000"/>
          <w:sz w:val="24"/>
          <w:szCs w:val="24"/>
        </w:rPr>
        <w:t>-depottabletter</w:t>
      </w:r>
      <w:r w:rsidRPr="00BF3CBC">
        <w:rPr>
          <w:sz w:val="24"/>
          <w:szCs w:val="24"/>
        </w:rPr>
        <w:t xml:space="preserve"> er ikke undersøgt hos børn under 6 år. Hos børn i alderen 7-12 år var farmakokinetikken for </w:t>
      </w:r>
      <w:proofErr w:type="spellStart"/>
      <w:r w:rsidRPr="00BF3CBC">
        <w:rPr>
          <w:color w:val="000000"/>
          <w:sz w:val="24"/>
          <w:szCs w:val="24"/>
        </w:rPr>
        <w:t>methylphenidat</w:t>
      </w:r>
      <w:proofErr w:type="spellEnd"/>
      <w:r w:rsidRPr="00BF3CBC">
        <w:rPr>
          <w:color w:val="000000"/>
          <w:sz w:val="24"/>
          <w:szCs w:val="24"/>
        </w:rPr>
        <w:t>-depottabletter</w:t>
      </w:r>
      <w:r w:rsidRPr="00BF3CBC">
        <w:rPr>
          <w:sz w:val="24"/>
          <w:szCs w:val="24"/>
        </w:rPr>
        <w:t xml:space="preserve"> på 18, 36 og 54 mg (gennemsnit ±SD): </w:t>
      </w:r>
      <w:proofErr w:type="spellStart"/>
      <w:r w:rsidRPr="00BF3CBC">
        <w:rPr>
          <w:sz w:val="24"/>
          <w:szCs w:val="24"/>
        </w:rPr>
        <w:t>C</w:t>
      </w:r>
      <w:r w:rsidRPr="00BF3CBC">
        <w:rPr>
          <w:sz w:val="24"/>
          <w:szCs w:val="24"/>
          <w:vertAlign w:val="subscript"/>
        </w:rPr>
        <w:t>max</w:t>
      </w:r>
      <w:proofErr w:type="spellEnd"/>
      <w:r w:rsidRPr="00BF3CBC">
        <w:rPr>
          <w:sz w:val="24"/>
          <w:szCs w:val="24"/>
        </w:rPr>
        <w:t xml:space="preserve"> henholdsvis 6,0±1,3, 11,3±2,6 og 15,0±3,8 </w:t>
      </w:r>
      <w:proofErr w:type="spellStart"/>
      <w:r w:rsidRPr="00BF3CBC">
        <w:rPr>
          <w:sz w:val="24"/>
          <w:szCs w:val="24"/>
        </w:rPr>
        <w:t>ng</w:t>
      </w:r>
      <w:proofErr w:type="spellEnd"/>
      <w:r w:rsidRPr="00BF3CBC">
        <w:rPr>
          <w:sz w:val="24"/>
          <w:szCs w:val="24"/>
        </w:rPr>
        <w:t xml:space="preserve">/ml, </w:t>
      </w:r>
      <w:proofErr w:type="spellStart"/>
      <w:r w:rsidRPr="00BF3CBC">
        <w:rPr>
          <w:sz w:val="24"/>
          <w:szCs w:val="24"/>
        </w:rPr>
        <w:t>T</w:t>
      </w:r>
      <w:r w:rsidRPr="00BF3CBC">
        <w:rPr>
          <w:sz w:val="24"/>
          <w:szCs w:val="24"/>
          <w:vertAlign w:val="subscript"/>
        </w:rPr>
        <w:t>max</w:t>
      </w:r>
      <w:proofErr w:type="spellEnd"/>
      <w:r w:rsidRPr="00BF3CBC">
        <w:rPr>
          <w:sz w:val="24"/>
          <w:szCs w:val="24"/>
        </w:rPr>
        <w:t xml:space="preserve"> henholdsvis 9,4±0,02, 8,1±1,1, 9,1±2,5 h, og AUC</w:t>
      </w:r>
      <w:r w:rsidRPr="00BF3CBC">
        <w:rPr>
          <w:sz w:val="24"/>
          <w:szCs w:val="24"/>
          <w:vertAlign w:val="subscript"/>
        </w:rPr>
        <w:t>0-11,5</w:t>
      </w:r>
      <w:r w:rsidRPr="00BF3CBC">
        <w:rPr>
          <w:sz w:val="24"/>
          <w:szCs w:val="24"/>
        </w:rPr>
        <w:t xml:space="preserve"> henholdsvis 50,4 ±7,8, 87,7 ±18,2, 121,5 ±37,3 </w:t>
      </w:r>
      <w:proofErr w:type="spellStart"/>
      <w:r w:rsidRPr="00BF3CBC">
        <w:rPr>
          <w:sz w:val="24"/>
          <w:szCs w:val="24"/>
        </w:rPr>
        <w:t>ng.h</w:t>
      </w:r>
      <w:proofErr w:type="spellEnd"/>
      <w:r w:rsidRPr="00BF3CBC">
        <w:rPr>
          <w:sz w:val="24"/>
          <w:szCs w:val="24"/>
        </w:rPr>
        <w:t>/ml.</w:t>
      </w:r>
    </w:p>
    <w:p w:rsidR="008E4AD7" w:rsidRPr="00BF3CBC" w:rsidRDefault="008E4AD7" w:rsidP="008E4AD7">
      <w:pPr>
        <w:ind w:left="851" w:hanging="851"/>
        <w:rPr>
          <w:sz w:val="24"/>
          <w:szCs w:val="24"/>
        </w:rPr>
      </w:pPr>
    </w:p>
    <w:p w:rsidR="008E4AD7" w:rsidRPr="00BF3CBC" w:rsidRDefault="008E4AD7" w:rsidP="008E4AD7">
      <w:pPr>
        <w:ind w:left="851"/>
        <w:rPr>
          <w:i/>
          <w:iCs/>
          <w:sz w:val="24"/>
          <w:szCs w:val="24"/>
        </w:rPr>
      </w:pPr>
      <w:r w:rsidRPr="00BF3CBC">
        <w:rPr>
          <w:i/>
          <w:iCs/>
          <w:sz w:val="24"/>
          <w:szCs w:val="24"/>
        </w:rPr>
        <w:t>Nyreinsufficiens</w:t>
      </w:r>
    </w:p>
    <w:p w:rsidR="008E4AD7" w:rsidRPr="00BF3CBC" w:rsidRDefault="008E4AD7" w:rsidP="008E4AD7">
      <w:pPr>
        <w:ind w:left="851"/>
        <w:rPr>
          <w:sz w:val="24"/>
          <w:szCs w:val="24"/>
        </w:rPr>
      </w:pPr>
      <w:r w:rsidRPr="00BF3CBC">
        <w:rPr>
          <w:sz w:val="24"/>
          <w:szCs w:val="24"/>
        </w:rPr>
        <w:t xml:space="preserve">Der er ingen erfaringer med brugen af </w:t>
      </w:r>
      <w:proofErr w:type="spellStart"/>
      <w:r w:rsidRPr="00BF3CBC">
        <w:rPr>
          <w:color w:val="000000"/>
          <w:sz w:val="24"/>
          <w:szCs w:val="24"/>
        </w:rPr>
        <w:t>methylphenidat</w:t>
      </w:r>
      <w:proofErr w:type="spellEnd"/>
      <w:r w:rsidRPr="00BF3CBC">
        <w:rPr>
          <w:color w:val="000000"/>
          <w:sz w:val="24"/>
          <w:szCs w:val="24"/>
        </w:rPr>
        <w:t>-depottabletter</w:t>
      </w:r>
      <w:r w:rsidRPr="00BF3CBC">
        <w:rPr>
          <w:sz w:val="24"/>
          <w:szCs w:val="24"/>
        </w:rPr>
        <w:t xml:space="preserve"> til patienter med nyreinsufficiens. Efter oral indgift af radioaktivt mærket </w:t>
      </w:r>
      <w:proofErr w:type="spellStart"/>
      <w:r w:rsidRPr="00BF3CBC">
        <w:rPr>
          <w:sz w:val="24"/>
          <w:szCs w:val="24"/>
        </w:rPr>
        <w:t>methylphenidat</w:t>
      </w:r>
      <w:proofErr w:type="spellEnd"/>
      <w:r w:rsidRPr="00BF3CBC">
        <w:rPr>
          <w:sz w:val="24"/>
          <w:szCs w:val="24"/>
        </w:rPr>
        <w:t xml:space="preserve"> til mennesker blev </w:t>
      </w:r>
      <w:proofErr w:type="spellStart"/>
      <w:r w:rsidRPr="00BF3CBC">
        <w:rPr>
          <w:sz w:val="24"/>
          <w:szCs w:val="24"/>
        </w:rPr>
        <w:t>methylphenidat</w:t>
      </w:r>
      <w:proofErr w:type="spellEnd"/>
      <w:r w:rsidRPr="00BF3CBC">
        <w:rPr>
          <w:sz w:val="24"/>
          <w:szCs w:val="24"/>
        </w:rPr>
        <w:t xml:space="preserve"> </w:t>
      </w:r>
      <w:proofErr w:type="spellStart"/>
      <w:r w:rsidRPr="00BF3CBC">
        <w:rPr>
          <w:sz w:val="24"/>
          <w:szCs w:val="24"/>
        </w:rPr>
        <w:t>metaboliseret</w:t>
      </w:r>
      <w:proofErr w:type="spellEnd"/>
      <w:r w:rsidRPr="00BF3CBC">
        <w:rPr>
          <w:sz w:val="24"/>
          <w:szCs w:val="24"/>
        </w:rPr>
        <w:t xml:space="preserve"> i stort omfang, og ca. 80 % af radioaktiviteten blev udskilt med urinen i form af PPA. Da </w:t>
      </w:r>
      <w:proofErr w:type="spellStart"/>
      <w:r w:rsidRPr="00BF3CBC">
        <w:rPr>
          <w:sz w:val="24"/>
          <w:szCs w:val="24"/>
        </w:rPr>
        <w:t>renal</w:t>
      </w:r>
      <w:proofErr w:type="spellEnd"/>
      <w:r w:rsidRPr="00BF3CBC">
        <w:rPr>
          <w:sz w:val="24"/>
          <w:szCs w:val="24"/>
        </w:rPr>
        <w:t xml:space="preserve"> </w:t>
      </w:r>
      <w:proofErr w:type="spellStart"/>
      <w:r w:rsidRPr="00BF3CBC">
        <w:rPr>
          <w:sz w:val="24"/>
          <w:szCs w:val="24"/>
        </w:rPr>
        <w:t>clearance</w:t>
      </w:r>
      <w:proofErr w:type="spellEnd"/>
      <w:r w:rsidRPr="00BF3CBC">
        <w:rPr>
          <w:sz w:val="24"/>
          <w:szCs w:val="24"/>
        </w:rPr>
        <w:t xml:space="preserve"> ikke er en vigtig udskillelsesvej for </w:t>
      </w:r>
      <w:proofErr w:type="spellStart"/>
      <w:r w:rsidRPr="00BF3CBC">
        <w:rPr>
          <w:sz w:val="24"/>
          <w:szCs w:val="24"/>
        </w:rPr>
        <w:t>methylphenidat</w:t>
      </w:r>
      <w:proofErr w:type="spellEnd"/>
      <w:r w:rsidRPr="00BF3CBC">
        <w:rPr>
          <w:sz w:val="24"/>
          <w:szCs w:val="24"/>
        </w:rPr>
        <w:t xml:space="preserve">, forventes nyreinsufficiens kun at have lille effekt på farmakokinetikken for </w:t>
      </w:r>
      <w:proofErr w:type="spellStart"/>
      <w:r w:rsidRPr="00BF3CBC">
        <w:rPr>
          <w:color w:val="000000"/>
          <w:sz w:val="24"/>
          <w:szCs w:val="24"/>
        </w:rPr>
        <w:t>methylphenidat</w:t>
      </w:r>
      <w:proofErr w:type="spellEnd"/>
      <w:r w:rsidRPr="00BF3CBC">
        <w:rPr>
          <w:color w:val="000000"/>
          <w:sz w:val="24"/>
          <w:szCs w:val="24"/>
        </w:rPr>
        <w:t>-depottabletter</w:t>
      </w:r>
      <w:r w:rsidRPr="00BF3CBC">
        <w:rPr>
          <w:sz w:val="24"/>
          <w:szCs w:val="24"/>
        </w:rPr>
        <w:t>.</w:t>
      </w:r>
    </w:p>
    <w:p w:rsidR="008E4AD7" w:rsidRPr="00BF3CBC" w:rsidRDefault="008E4AD7" w:rsidP="008E4AD7">
      <w:pPr>
        <w:ind w:left="851" w:hanging="851"/>
        <w:rPr>
          <w:sz w:val="24"/>
          <w:szCs w:val="24"/>
        </w:rPr>
      </w:pPr>
    </w:p>
    <w:p w:rsidR="008E4AD7" w:rsidRPr="00E90286" w:rsidRDefault="008E4AD7" w:rsidP="00E90286">
      <w:pPr>
        <w:ind w:left="851"/>
        <w:rPr>
          <w:i/>
          <w:sz w:val="24"/>
          <w:szCs w:val="24"/>
        </w:rPr>
      </w:pPr>
      <w:r w:rsidRPr="00E90286">
        <w:rPr>
          <w:i/>
          <w:sz w:val="24"/>
          <w:szCs w:val="24"/>
        </w:rPr>
        <w:t>Leverinsufficiens</w:t>
      </w:r>
    </w:p>
    <w:p w:rsidR="008E4AD7" w:rsidRPr="00BF3CBC" w:rsidRDefault="008E4AD7" w:rsidP="008E4AD7">
      <w:pPr>
        <w:ind w:left="851"/>
        <w:rPr>
          <w:sz w:val="24"/>
          <w:szCs w:val="24"/>
        </w:rPr>
      </w:pPr>
      <w:r w:rsidRPr="00BF3CBC">
        <w:rPr>
          <w:sz w:val="24"/>
          <w:szCs w:val="24"/>
        </w:rPr>
        <w:t xml:space="preserve">Der er ingen erfaringer med brugen af </w:t>
      </w:r>
      <w:proofErr w:type="spellStart"/>
      <w:r w:rsidRPr="00BF3CBC">
        <w:rPr>
          <w:color w:val="000000"/>
          <w:sz w:val="24"/>
          <w:szCs w:val="24"/>
        </w:rPr>
        <w:t>methylphenidat</w:t>
      </w:r>
      <w:proofErr w:type="spellEnd"/>
      <w:r w:rsidRPr="00BF3CBC">
        <w:rPr>
          <w:color w:val="000000"/>
          <w:sz w:val="24"/>
          <w:szCs w:val="24"/>
        </w:rPr>
        <w:t>-depottabletter</w:t>
      </w:r>
      <w:r w:rsidRPr="00BF3CBC">
        <w:rPr>
          <w:sz w:val="24"/>
          <w:szCs w:val="24"/>
        </w:rPr>
        <w:t xml:space="preserve"> til patienter med leverinsufficiens.</w:t>
      </w:r>
    </w:p>
    <w:p w:rsidR="008E4AD7" w:rsidRPr="00BF3CBC" w:rsidRDefault="008E4AD7" w:rsidP="008E4AD7">
      <w:pPr>
        <w:tabs>
          <w:tab w:val="left" w:pos="851"/>
        </w:tabs>
        <w:ind w:left="851" w:hanging="851"/>
        <w:rPr>
          <w:sz w:val="24"/>
          <w:szCs w:val="24"/>
        </w:rPr>
      </w:pPr>
    </w:p>
    <w:p w:rsidR="00657134" w:rsidRPr="00C84483" w:rsidRDefault="00657134" w:rsidP="00657134">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913247" w:rsidRDefault="00913247" w:rsidP="008E4AD7">
      <w:pPr>
        <w:ind w:left="851"/>
        <w:rPr>
          <w:sz w:val="24"/>
          <w:szCs w:val="24"/>
          <w:u w:val="single" w:color="000000"/>
        </w:rPr>
      </w:pPr>
    </w:p>
    <w:p w:rsidR="008E4AD7" w:rsidRPr="00BF3CBC" w:rsidRDefault="008E4AD7" w:rsidP="008E4AD7">
      <w:pPr>
        <w:ind w:left="851"/>
        <w:rPr>
          <w:sz w:val="24"/>
          <w:szCs w:val="24"/>
        </w:rPr>
      </w:pPr>
      <w:proofErr w:type="spellStart"/>
      <w:r w:rsidRPr="00BF3CBC">
        <w:rPr>
          <w:sz w:val="24"/>
          <w:szCs w:val="24"/>
          <w:u w:val="single" w:color="000000"/>
        </w:rPr>
        <w:t>Carcinogenicitet</w:t>
      </w:r>
      <w:proofErr w:type="spellEnd"/>
    </w:p>
    <w:p w:rsidR="008E4AD7" w:rsidRPr="00BF3CBC" w:rsidRDefault="008E4AD7" w:rsidP="008E4AD7">
      <w:pPr>
        <w:ind w:left="851"/>
        <w:rPr>
          <w:sz w:val="24"/>
          <w:szCs w:val="24"/>
        </w:rPr>
      </w:pPr>
      <w:r w:rsidRPr="00BF3CBC">
        <w:rPr>
          <w:sz w:val="24"/>
          <w:szCs w:val="24"/>
        </w:rPr>
        <w:t xml:space="preserve">I livstidsstudier af </w:t>
      </w:r>
      <w:proofErr w:type="spellStart"/>
      <w:r w:rsidRPr="00BF3CBC">
        <w:rPr>
          <w:sz w:val="24"/>
          <w:szCs w:val="24"/>
        </w:rPr>
        <w:t>karcinogenicitet</w:t>
      </w:r>
      <w:proofErr w:type="spellEnd"/>
      <w:r w:rsidRPr="00BF3CBC">
        <w:rPr>
          <w:sz w:val="24"/>
          <w:szCs w:val="24"/>
        </w:rPr>
        <w:t xml:space="preserve"> i rotter og mus sås øget forekomst af maligne levertumorer kun hos </w:t>
      </w:r>
      <w:proofErr w:type="spellStart"/>
      <w:r w:rsidRPr="00BF3CBC">
        <w:rPr>
          <w:sz w:val="24"/>
          <w:szCs w:val="24"/>
        </w:rPr>
        <w:t>hanmus</w:t>
      </w:r>
      <w:proofErr w:type="spellEnd"/>
      <w:r w:rsidRPr="00BF3CBC">
        <w:rPr>
          <w:sz w:val="24"/>
          <w:szCs w:val="24"/>
        </w:rPr>
        <w:t>. Betydningen af dette resultat for mennesker er ukendt.</w:t>
      </w:r>
    </w:p>
    <w:p w:rsidR="008E4AD7" w:rsidRPr="00BF3CBC" w:rsidRDefault="008E4AD7" w:rsidP="008E4AD7">
      <w:pPr>
        <w:ind w:left="851" w:hanging="851"/>
        <w:rPr>
          <w:sz w:val="24"/>
          <w:szCs w:val="24"/>
        </w:rPr>
      </w:pPr>
    </w:p>
    <w:p w:rsidR="008E4AD7" w:rsidRPr="00BF3CBC" w:rsidRDefault="008E4AD7" w:rsidP="008E4AD7">
      <w:pPr>
        <w:ind w:left="851"/>
        <w:rPr>
          <w:sz w:val="24"/>
          <w:szCs w:val="24"/>
        </w:rPr>
      </w:pPr>
      <w:proofErr w:type="spellStart"/>
      <w:r w:rsidRPr="00BF3CBC">
        <w:rPr>
          <w:sz w:val="24"/>
          <w:szCs w:val="24"/>
        </w:rPr>
        <w:t>Methylphenidat</w:t>
      </w:r>
      <w:proofErr w:type="spellEnd"/>
      <w:r w:rsidRPr="00BF3CBC">
        <w:rPr>
          <w:sz w:val="24"/>
          <w:szCs w:val="24"/>
        </w:rPr>
        <w:t xml:space="preserve"> sås ikke at påvirke reproduktionsevnen eller fertiliteten i lave multipla af klinisk dosis.</w:t>
      </w:r>
    </w:p>
    <w:p w:rsidR="008E4AD7" w:rsidRPr="00BF3CBC" w:rsidRDefault="008E4AD7" w:rsidP="008E4AD7">
      <w:pPr>
        <w:ind w:left="851" w:hanging="851"/>
        <w:rPr>
          <w:sz w:val="24"/>
          <w:szCs w:val="24"/>
        </w:rPr>
      </w:pPr>
    </w:p>
    <w:p w:rsidR="008E4AD7" w:rsidRPr="00BF3CBC" w:rsidRDefault="008E4AD7" w:rsidP="008E4AD7">
      <w:pPr>
        <w:ind w:left="851"/>
        <w:rPr>
          <w:sz w:val="24"/>
          <w:szCs w:val="24"/>
        </w:rPr>
      </w:pPr>
      <w:r w:rsidRPr="00BF3CBC">
        <w:rPr>
          <w:sz w:val="24"/>
          <w:szCs w:val="24"/>
          <w:u w:val="single" w:color="000000"/>
        </w:rPr>
        <w:t>Graviditet og embryonal/</w:t>
      </w:r>
      <w:proofErr w:type="spellStart"/>
      <w:r w:rsidRPr="00BF3CBC">
        <w:rPr>
          <w:sz w:val="24"/>
          <w:szCs w:val="24"/>
          <w:u w:val="single" w:color="000000"/>
        </w:rPr>
        <w:t>føtal</w:t>
      </w:r>
      <w:proofErr w:type="spellEnd"/>
      <w:r w:rsidRPr="00BF3CBC">
        <w:rPr>
          <w:sz w:val="24"/>
          <w:szCs w:val="24"/>
          <w:u w:val="single" w:color="000000"/>
        </w:rPr>
        <w:t xml:space="preserve"> udvikling</w:t>
      </w:r>
    </w:p>
    <w:p w:rsidR="008E4AD7" w:rsidRPr="00BF3CBC" w:rsidRDefault="008E4AD7" w:rsidP="008E4AD7">
      <w:pPr>
        <w:ind w:left="851"/>
        <w:rPr>
          <w:sz w:val="24"/>
          <w:szCs w:val="24"/>
        </w:rPr>
      </w:pPr>
      <w:proofErr w:type="spellStart"/>
      <w:r w:rsidRPr="00BF3CBC">
        <w:rPr>
          <w:sz w:val="24"/>
          <w:szCs w:val="24"/>
        </w:rPr>
        <w:t>Methylphenidat</w:t>
      </w:r>
      <w:proofErr w:type="spellEnd"/>
      <w:r w:rsidRPr="00BF3CBC">
        <w:rPr>
          <w:sz w:val="24"/>
          <w:szCs w:val="24"/>
        </w:rPr>
        <w:t xml:space="preserve"> anses ikke for at være </w:t>
      </w:r>
      <w:proofErr w:type="spellStart"/>
      <w:r w:rsidRPr="00BF3CBC">
        <w:rPr>
          <w:sz w:val="24"/>
          <w:szCs w:val="24"/>
        </w:rPr>
        <w:t>teratogen</w:t>
      </w:r>
      <w:proofErr w:type="spellEnd"/>
      <w:r w:rsidRPr="00BF3CBC">
        <w:rPr>
          <w:sz w:val="24"/>
          <w:szCs w:val="24"/>
        </w:rPr>
        <w:t xml:space="preserve"> hos rotter og kaniner. </w:t>
      </w:r>
      <w:proofErr w:type="spellStart"/>
      <w:r w:rsidRPr="00BF3CBC">
        <w:rPr>
          <w:sz w:val="24"/>
          <w:szCs w:val="24"/>
        </w:rPr>
        <w:t>Føtal</w:t>
      </w:r>
      <w:proofErr w:type="spellEnd"/>
      <w:r w:rsidRPr="00BF3CBC">
        <w:rPr>
          <w:sz w:val="24"/>
          <w:szCs w:val="24"/>
        </w:rPr>
        <w:t xml:space="preserve"> toksicitet (f.eks. totalt tab af kuld) og </w:t>
      </w:r>
      <w:proofErr w:type="spellStart"/>
      <w:r w:rsidRPr="00BF3CBC">
        <w:rPr>
          <w:sz w:val="24"/>
          <w:szCs w:val="24"/>
        </w:rPr>
        <w:t>maternel</w:t>
      </w:r>
      <w:proofErr w:type="spellEnd"/>
      <w:r w:rsidRPr="00BF3CBC">
        <w:rPr>
          <w:sz w:val="24"/>
          <w:szCs w:val="24"/>
        </w:rPr>
        <w:t xml:space="preserve"> toksicitet blev observeret i rotter ved </w:t>
      </w:r>
      <w:proofErr w:type="spellStart"/>
      <w:r w:rsidRPr="00BF3CBC">
        <w:rPr>
          <w:sz w:val="24"/>
          <w:szCs w:val="24"/>
        </w:rPr>
        <w:t>maternelt</w:t>
      </w:r>
      <w:proofErr w:type="spellEnd"/>
      <w:r w:rsidRPr="00BF3CBC">
        <w:rPr>
          <w:sz w:val="24"/>
          <w:szCs w:val="24"/>
        </w:rPr>
        <w:t xml:space="preserve"> toksiske doser.</w:t>
      </w:r>
    </w:p>
    <w:p w:rsidR="008E4AD7" w:rsidRPr="00BF3CBC" w:rsidRDefault="008E4AD7" w:rsidP="008E4AD7">
      <w:pPr>
        <w:tabs>
          <w:tab w:val="left" w:pos="851"/>
        </w:tabs>
        <w:ind w:left="851" w:hanging="851"/>
        <w:rPr>
          <w:sz w:val="24"/>
          <w:szCs w:val="24"/>
        </w:rPr>
      </w:pPr>
      <w:bookmarkStart w:id="0" w:name="_GoBack"/>
      <w:bookmarkEnd w:id="0"/>
    </w:p>
    <w:p w:rsidR="008E4AD7" w:rsidRPr="00BF3CBC" w:rsidRDefault="008E4AD7" w:rsidP="008E4AD7">
      <w:pPr>
        <w:tabs>
          <w:tab w:val="left" w:pos="851"/>
        </w:tabs>
        <w:ind w:left="851" w:hanging="851"/>
        <w:rPr>
          <w:sz w:val="24"/>
          <w:szCs w:val="24"/>
        </w:rPr>
      </w:pPr>
    </w:p>
    <w:p w:rsidR="00657134" w:rsidRPr="00C84483" w:rsidRDefault="00657134" w:rsidP="00657134">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657134" w:rsidRPr="00BA09F1" w:rsidRDefault="00657134" w:rsidP="00657134">
      <w:pPr>
        <w:tabs>
          <w:tab w:val="left" w:pos="851"/>
        </w:tabs>
        <w:ind w:left="851"/>
        <w:rPr>
          <w:sz w:val="24"/>
          <w:szCs w:val="24"/>
        </w:rPr>
      </w:pPr>
    </w:p>
    <w:p w:rsidR="00657134" w:rsidRPr="00C84483" w:rsidRDefault="00657134" w:rsidP="00657134">
      <w:pPr>
        <w:tabs>
          <w:tab w:val="left" w:pos="851"/>
        </w:tabs>
        <w:ind w:left="851" w:hanging="851"/>
        <w:rPr>
          <w:b/>
          <w:sz w:val="24"/>
          <w:szCs w:val="24"/>
        </w:rPr>
      </w:pPr>
      <w:r w:rsidRPr="00C84483">
        <w:rPr>
          <w:b/>
          <w:sz w:val="24"/>
          <w:szCs w:val="24"/>
        </w:rPr>
        <w:t>6.1</w:t>
      </w:r>
      <w:r w:rsidRPr="00C84483">
        <w:rPr>
          <w:b/>
          <w:sz w:val="24"/>
          <w:szCs w:val="24"/>
        </w:rPr>
        <w:tab/>
        <w:t>Hjælpestoffer</w:t>
      </w:r>
    </w:p>
    <w:p w:rsidR="00657134" w:rsidRDefault="00657134" w:rsidP="008E4AD7">
      <w:pPr>
        <w:ind w:left="851"/>
        <w:rPr>
          <w:i/>
          <w:sz w:val="24"/>
          <w:szCs w:val="24"/>
          <w:u w:val="single"/>
        </w:rPr>
      </w:pPr>
    </w:p>
    <w:p w:rsidR="008E4AD7" w:rsidRPr="00291A19" w:rsidRDefault="008E4AD7" w:rsidP="008E4AD7">
      <w:pPr>
        <w:ind w:left="851"/>
        <w:rPr>
          <w:i/>
          <w:sz w:val="24"/>
          <w:szCs w:val="24"/>
          <w:u w:val="single"/>
        </w:rPr>
      </w:pPr>
      <w:r w:rsidRPr="00291A19">
        <w:rPr>
          <w:i/>
          <w:sz w:val="24"/>
          <w:szCs w:val="24"/>
          <w:u w:val="single"/>
        </w:rPr>
        <w:t>Tabletindhold</w:t>
      </w:r>
    </w:p>
    <w:p w:rsidR="008E4AD7" w:rsidRPr="00BF3CBC" w:rsidRDefault="008E4AD7" w:rsidP="008E4AD7">
      <w:pPr>
        <w:ind w:left="851"/>
        <w:rPr>
          <w:sz w:val="24"/>
          <w:szCs w:val="24"/>
        </w:rPr>
      </w:pPr>
      <w:proofErr w:type="spellStart"/>
      <w:r w:rsidRPr="00BF3CBC">
        <w:rPr>
          <w:sz w:val="24"/>
          <w:szCs w:val="24"/>
        </w:rPr>
        <w:t>La</w:t>
      </w:r>
      <w:r w:rsidR="00A32A6A">
        <w:rPr>
          <w:sz w:val="24"/>
          <w:szCs w:val="24"/>
        </w:rPr>
        <w:t>c</w:t>
      </w:r>
      <w:r w:rsidRPr="00BF3CBC">
        <w:rPr>
          <w:sz w:val="24"/>
          <w:szCs w:val="24"/>
        </w:rPr>
        <w:t>tosemonohydrat</w:t>
      </w:r>
      <w:proofErr w:type="spellEnd"/>
    </w:p>
    <w:p w:rsidR="008E4AD7" w:rsidRPr="00BF3CBC" w:rsidRDefault="008E4AD7" w:rsidP="008E4AD7">
      <w:pPr>
        <w:ind w:left="851"/>
        <w:rPr>
          <w:sz w:val="24"/>
          <w:szCs w:val="24"/>
        </w:rPr>
      </w:pPr>
      <w:proofErr w:type="spellStart"/>
      <w:r w:rsidRPr="00BF3CBC">
        <w:rPr>
          <w:sz w:val="24"/>
          <w:szCs w:val="24"/>
        </w:rPr>
        <w:t>Hypromellose</w:t>
      </w:r>
      <w:proofErr w:type="spellEnd"/>
    </w:p>
    <w:p w:rsidR="008E4AD7" w:rsidRPr="00BF3CBC" w:rsidRDefault="008E4AD7" w:rsidP="008E4AD7">
      <w:pPr>
        <w:ind w:left="851"/>
        <w:rPr>
          <w:sz w:val="24"/>
          <w:szCs w:val="24"/>
        </w:rPr>
      </w:pPr>
      <w:proofErr w:type="spellStart"/>
      <w:r w:rsidRPr="00BF3CBC">
        <w:rPr>
          <w:sz w:val="24"/>
          <w:szCs w:val="24"/>
        </w:rPr>
        <w:t>Silica</w:t>
      </w:r>
      <w:proofErr w:type="spellEnd"/>
      <w:r w:rsidRPr="00BF3CBC">
        <w:rPr>
          <w:sz w:val="24"/>
          <w:szCs w:val="24"/>
        </w:rPr>
        <w:t>, kolloid vandfri</w:t>
      </w:r>
    </w:p>
    <w:p w:rsidR="008E4AD7" w:rsidRPr="00BF3CBC" w:rsidRDefault="008E4AD7" w:rsidP="008E4AD7">
      <w:pPr>
        <w:ind w:left="851"/>
        <w:rPr>
          <w:sz w:val="24"/>
          <w:szCs w:val="24"/>
        </w:rPr>
      </w:pPr>
      <w:proofErr w:type="spellStart"/>
      <w:r w:rsidRPr="00BF3CBC">
        <w:rPr>
          <w:sz w:val="24"/>
          <w:szCs w:val="24"/>
        </w:rPr>
        <w:t>Magnesiumstearat</w:t>
      </w:r>
      <w:proofErr w:type="spellEnd"/>
    </w:p>
    <w:p w:rsidR="008E4AD7" w:rsidRPr="00BF3CBC" w:rsidRDefault="008E4AD7" w:rsidP="008E4AD7">
      <w:pPr>
        <w:ind w:left="851"/>
        <w:rPr>
          <w:sz w:val="24"/>
          <w:szCs w:val="24"/>
        </w:rPr>
      </w:pPr>
      <w:proofErr w:type="spellStart"/>
      <w:r w:rsidRPr="00BF3CBC">
        <w:rPr>
          <w:sz w:val="24"/>
          <w:szCs w:val="24"/>
        </w:rPr>
        <w:t>Fumarsyre</w:t>
      </w:r>
      <w:proofErr w:type="spellEnd"/>
    </w:p>
    <w:p w:rsidR="008E4AD7" w:rsidRPr="00BF3CBC" w:rsidRDefault="008E4AD7" w:rsidP="008E4AD7">
      <w:pPr>
        <w:ind w:left="851"/>
        <w:rPr>
          <w:sz w:val="24"/>
          <w:szCs w:val="24"/>
        </w:rPr>
      </w:pPr>
      <w:proofErr w:type="spellStart"/>
      <w:r w:rsidRPr="00BF3CBC">
        <w:rPr>
          <w:sz w:val="24"/>
          <w:szCs w:val="24"/>
        </w:rPr>
        <w:t>Metha</w:t>
      </w:r>
      <w:r>
        <w:rPr>
          <w:sz w:val="24"/>
          <w:szCs w:val="24"/>
        </w:rPr>
        <w:t>c</w:t>
      </w:r>
      <w:r w:rsidRPr="00BF3CBC">
        <w:rPr>
          <w:sz w:val="24"/>
          <w:szCs w:val="24"/>
        </w:rPr>
        <w:t>rylsyre-metha</w:t>
      </w:r>
      <w:r>
        <w:rPr>
          <w:sz w:val="24"/>
          <w:szCs w:val="24"/>
        </w:rPr>
        <w:t>c</w:t>
      </w:r>
      <w:r w:rsidRPr="00BF3CBC">
        <w:rPr>
          <w:sz w:val="24"/>
          <w:szCs w:val="24"/>
        </w:rPr>
        <w:t>rylat-copolymer</w:t>
      </w:r>
      <w:proofErr w:type="spellEnd"/>
    </w:p>
    <w:p w:rsidR="008E4AD7" w:rsidRPr="00BF3CBC" w:rsidRDefault="008E4AD7" w:rsidP="008E4AD7">
      <w:pPr>
        <w:ind w:left="851"/>
        <w:rPr>
          <w:sz w:val="24"/>
          <w:szCs w:val="24"/>
        </w:rPr>
      </w:pPr>
      <w:proofErr w:type="spellStart"/>
      <w:r w:rsidRPr="00BF3CBC">
        <w:rPr>
          <w:sz w:val="24"/>
          <w:szCs w:val="24"/>
        </w:rPr>
        <w:t>Triethylcitrat</w:t>
      </w:r>
      <w:proofErr w:type="spellEnd"/>
    </w:p>
    <w:p w:rsidR="008E4AD7" w:rsidRPr="00BF3CBC" w:rsidRDefault="008E4AD7" w:rsidP="008E4AD7">
      <w:pPr>
        <w:ind w:left="851"/>
        <w:rPr>
          <w:sz w:val="24"/>
          <w:szCs w:val="24"/>
        </w:rPr>
      </w:pPr>
      <w:proofErr w:type="spellStart"/>
      <w:r w:rsidRPr="00BF3CBC">
        <w:rPr>
          <w:sz w:val="24"/>
          <w:szCs w:val="24"/>
        </w:rPr>
        <w:t>Tal</w:t>
      </w:r>
      <w:r>
        <w:rPr>
          <w:sz w:val="24"/>
          <w:szCs w:val="24"/>
        </w:rPr>
        <w:t>c</w:t>
      </w:r>
      <w:r w:rsidRPr="00BF3CBC">
        <w:rPr>
          <w:sz w:val="24"/>
          <w:szCs w:val="24"/>
        </w:rPr>
        <w:t>um</w:t>
      </w:r>
      <w:proofErr w:type="spellEnd"/>
    </w:p>
    <w:p w:rsidR="008E4AD7" w:rsidRPr="00BF3CBC" w:rsidRDefault="008E4AD7" w:rsidP="008E4AD7">
      <w:pPr>
        <w:ind w:left="851"/>
        <w:rPr>
          <w:sz w:val="24"/>
          <w:szCs w:val="24"/>
        </w:rPr>
      </w:pPr>
    </w:p>
    <w:p w:rsidR="008E4AD7" w:rsidRPr="00291A19" w:rsidRDefault="008E4AD7" w:rsidP="008E4AD7">
      <w:pPr>
        <w:ind w:left="851"/>
        <w:rPr>
          <w:i/>
          <w:sz w:val="24"/>
          <w:szCs w:val="24"/>
          <w:u w:val="single"/>
        </w:rPr>
      </w:pPr>
      <w:r w:rsidRPr="00291A19">
        <w:rPr>
          <w:i/>
          <w:sz w:val="24"/>
          <w:szCs w:val="24"/>
          <w:u w:val="single"/>
        </w:rPr>
        <w:t>Filmovertræk</w:t>
      </w:r>
    </w:p>
    <w:p w:rsidR="008E4AD7" w:rsidRPr="00291A19" w:rsidRDefault="008E4AD7" w:rsidP="008E4AD7">
      <w:pPr>
        <w:ind w:left="851"/>
        <w:rPr>
          <w:i/>
          <w:sz w:val="24"/>
          <w:szCs w:val="24"/>
        </w:rPr>
      </w:pPr>
      <w:r w:rsidRPr="00291A19">
        <w:rPr>
          <w:i/>
          <w:sz w:val="24"/>
          <w:szCs w:val="24"/>
        </w:rPr>
        <w:t>18 mg depottabletter:</w:t>
      </w:r>
    </w:p>
    <w:p w:rsidR="008E4AD7" w:rsidRPr="00BF3CBC" w:rsidRDefault="008E4AD7" w:rsidP="008E4AD7">
      <w:pPr>
        <w:ind w:left="851"/>
        <w:rPr>
          <w:sz w:val="24"/>
          <w:szCs w:val="24"/>
        </w:rPr>
      </w:pPr>
      <w:r w:rsidRPr="00BF3CBC">
        <w:rPr>
          <w:sz w:val="24"/>
          <w:szCs w:val="24"/>
        </w:rPr>
        <w:t>Polyvinylalkohol, delvis hydrolyseret</w:t>
      </w:r>
    </w:p>
    <w:p w:rsidR="008E4AD7" w:rsidRPr="00BF3CBC" w:rsidRDefault="008E4AD7" w:rsidP="008E4AD7">
      <w:pPr>
        <w:ind w:left="851"/>
        <w:rPr>
          <w:sz w:val="24"/>
          <w:szCs w:val="24"/>
        </w:rPr>
      </w:pPr>
      <w:proofErr w:type="spellStart"/>
      <w:r w:rsidRPr="00BF3CBC">
        <w:rPr>
          <w:sz w:val="24"/>
          <w:szCs w:val="24"/>
        </w:rPr>
        <w:t>Macrogol</w:t>
      </w:r>
      <w:proofErr w:type="spellEnd"/>
      <w:r w:rsidRPr="00BF3CBC">
        <w:rPr>
          <w:sz w:val="24"/>
          <w:szCs w:val="24"/>
        </w:rPr>
        <w:t xml:space="preserve"> (3350)</w:t>
      </w:r>
    </w:p>
    <w:p w:rsidR="008E4AD7" w:rsidRPr="00BF3CBC" w:rsidRDefault="008E4AD7" w:rsidP="008E4AD7">
      <w:pPr>
        <w:ind w:left="851"/>
        <w:rPr>
          <w:sz w:val="24"/>
          <w:szCs w:val="24"/>
        </w:rPr>
      </w:pPr>
      <w:proofErr w:type="spellStart"/>
      <w:r w:rsidRPr="00BF3CBC">
        <w:rPr>
          <w:sz w:val="24"/>
          <w:szCs w:val="24"/>
        </w:rPr>
        <w:t>Tal</w:t>
      </w:r>
      <w:r>
        <w:rPr>
          <w:sz w:val="24"/>
          <w:szCs w:val="24"/>
        </w:rPr>
        <w:t>c</w:t>
      </w:r>
      <w:r w:rsidRPr="00BF3CBC">
        <w:rPr>
          <w:sz w:val="24"/>
          <w:szCs w:val="24"/>
        </w:rPr>
        <w:t>um</w:t>
      </w:r>
      <w:proofErr w:type="spellEnd"/>
    </w:p>
    <w:p w:rsidR="008E4AD7" w:rsidRPr="00BF3CBC" w:rsidRDefault="008E4AD7" w:rsidP="008E4AD7">
      <w:pPr>
        <w:ind w:left="851"/>
        <w:rPr>
          <w:sz w:val="24"/>
          <w:szCs w:val="24"/>
        </w:rPr>
      </w:pPr>
      <w:r w:rsidRPr="00BF3CBC">
        <w:rPr>
          <w:sz w:val="24"/>
          <w:szCs w:val="24"/>
        </w:rPr>
        <w:t>Titandioxid (E171)</w:t>
      </w:r>
    </w:p>
    <w:p w:rsidR="008E4AD7" w:rsidRPr="00BF3CBC" w:rsidRDefault="008E4AD7" w:rsidP="008E4AD7">
      <w:pPr>
        <w:ind w:left="851"/>
        <w:rPr>
          <w:sz w:val="24"/>
          <w:szCs w:val="24"/>
        </w:rPr>
      </w:pPr>
      <w:r w:rsidRPr="00BF3CBC">
        <w:rPr>
          <w:sz w:val="24"/>
          <w:szCs w:val="24"/>
        </w:rPr>
        <w:t>Jernoxid, gul (E172)</w:t>
      </w:r>
    </w:p>
    <w:p w:rsidR="008E4AD7" w:rsidRPr="00BF3CBC" w:rsidRDefault="008E4AD7" w:rsidP="008E4AD7">
      <w:pPr>
        <w:ind w:left="851"/>
        <w:rPr>
          <w:sz w:val="24"/>
          <w:szCs w:val="24"/>
        </w:rPr>
      </w:pPr>
      <w:r w:rsidRPr="00BF3CBC">
        <w:rPr>
          <w:sz w:val="24"/>
          <w:szCs w:val="24"/>
        </w:rPr>
        <w:t>Jernoxid, rød (E172)</w:t>
      </w:r>
    </w:p>
    <w:p w:rsidR="008E4AD7" w:rsidRPr="00BF3CBC" w:rsidRDefault="008E4AD7" w:rsidP="008E4AD7">
      <w:pPr>
        <w:ind w:left="851"/>
        <w:rPr>
          <w:sz w:val="24"/>
          <w:szCs w:val="24"/>
        </w:rPr>
      </w:pPr>
    </w:p>
    <w:p w:rsidR="008E4AD7" w:rsidRPr="00291A19" w:rsidRDefault="008E4AD7" w:rsidP="008E4AD7">
      <w:pPr>
        <w:ind w:left="851"/>
        <w:rPr>
          <w:i/>
          <w:sz w:val="24"/>
          <w:szCs w:val="24"/>
        </w:rPr>
      </w:pPr>
      <w:r w:rsidRPr="00291A19">
        <w:rPr>
          <w:i/>
          <w:sz w:val="24"/>
          <w:szCs w:val="24"/>
        </w:rPr>
        <w:t>27 mg depottabletter:</w:t>
      </w:r>
    </w:p>
    <w:p w:rsidR="008E4AD7" w:rsidRPr="00BF3CBC" w:rsidRDefault="008E4AD7" w:rsidP="008E4AD7">
      <w:pPr>
        <w:ind w:left="851"/>
        <w:rPr>
          <w:sz w:val="24"/>
          <w:szCs w:val="24"/>
        </w:rPr>
      </w:pPr>
      <w:r w:rsidRPr="00BF3CBC">
        <w:rPr>
          <w:sz w:val="24"/>
          <w:szCs w:val="24"/>
        </w:rPr>
        <w:t>Polyvinylalkohol, delvis hydrolyseret</w:t>
      </w:r>
    </w:p>
    <w:p w:rsidR="008E4AD7" w:rsidRPr="00C52B01" w:rsidRDefault="008E4AD7" w:rsidP="008E4AD7">
      <w:pPr>
        <w:ind w:left="851"/>
        <w:rPr>
          <w:sz w:val="24"/>
          <w:szCs w:val="24"/>
          <w:lang w:val="en-US"/>
        </w:rPr>
      </w:pPr>
      <w:r w:rsidRPr="00C52B01">
        <w:rPr>
          <w:sz w:val="24"/>
          <w:szCs w:val="24"/>
          <w:lang w:val="en-US"/>
        </w:rPr>
        <w:t>Macrogol (3350)</w:t>
      </w:r>
    </w:p>
    <w:p w:rsidR="008E4AD7" w:rsidRPr="00C52B01" w:rsidRDefault="008E4AD7" w:rsidP="008E4AD7">
      <w:pPr>
        <w:ind w:left="851"/>
        <w:rPr>
          <w:sz w:val="24"/>
          <w:szCs w:val="24"/>
          <w:lang w:val="en-US"/>
        </w:rPr>
      </w:pPr>
      <w:r w:rsidRPr="00C52B01">
        <w:rPr>
          <w:sz w:val="24"/>
          <w:szCs w:val="24"/>
          <w:lang w:val="en-US"/>
        </w:rPr>
        <w:t>Talcum</w:t>
      </w:r>
    </w:p>
    <w:p w:rsidR="008E4AD7" w:rsidRPr="00C52B01" w:rsidRDefault="008E4AD7" w:rsidP="008E4AD7">
      <w:pPr>
        <w:ind w:left="851"/>
        <w:rPr>
          <w:sz w:val="24"/>
          <w:szCs w:val="24"/>
          <w:lang w:val="en-US"/>
        </w:rPr>
      </w:pPr>
      <w:proofErr w:type="spellStart"/>
      <w:r w:rsidRPr="00C52B01">
        <w:rPr>
          <w:sz w:val="24"/>
          <w:szCs w:val="24"/>
          <w:lang w:val="en-US"/>
        </w:rPr>
        <w:t>Titandioxid</w:t>
      </w:r>
      <w:proofErr w:type="spellEnd"/>
      <w:r w:rsidRPr="00C52B01">
        <w:rPr>
          <w:sz w:val="24"/>
          <w:szCs w:val="24"/>
          <w:lang w:val="en-US"/>
        </w:rPr>
        <w:t xml:space="preserve"> (E171)</w:t>
      </w:r>
    </w:p>
    <w:p w:rsidR="008E4AD7" w:rsidRPr="00C52B01" w:rsidRDefault="008E4AD7" w:rsidP="008E4AD7">
      <w:pPr>
        <w:ind w:left="851"/>
        <w:rPr>
          <w:sz w:val="24"/>
          <w:szCs w:val="24"/>
          <w:lang w:val="en-US"/>
        </w:rPr>
      </w:pPr>
      <w:proofErr w:type="spellStart"/>
      <w:r w:rsidRPr="00C52B01">
        <w:rPr>
          <w:sz w:val="24"/>
          <w:szCs w:val="24"/>
          <w:lang w:val="en-US"/>
        </w:rPr>
        <w:t>Jernoxid</w:t>
      </w:r>
      <w:proofErr w:type="spellEnd"/>
      <w:r w:rsidRPr="00C52B01">
        <w:rPr>
          <w:sz w:val="24"/>
          <w:szCs w:val="24"/>
          <w:lang w:val="en-US"/>
        </w:rPr>
        <w:t xml:space="preserve">, </w:t>
      </w:r>
      <w:proofErr w:type="spellStart"/>
      <w:r w:rsidRPr="00C52B01">
        <w:rPr>
          <w:sz w:val="24"/>
          <w:szCs w:val="24"/>
          <w:lang w:val="en-US"/>
        </w:rPr>
        <w:t>gul</w:t>
      </w:r>
      <w:proofErr w:type="spellEnd"/>
      <w:r w:rsidRPr="00C52B01">
        <w:rPr>
          <w:sz w:val="24"/>
          <w:szCs w:val="24"/>
          <w:lang w:val="en-US"/>
        </w:rPr>
        <w:t xml:space="preserve"> (E172)</w:t>
      </w:r>
    </w:p>
    <w:p w:rsidR="008E4AD7" w:rsidRPr="00BF3CBC" w:rsidRDefault="008E4AD7" w:rsidP="008E4AD7">
      <w:pPr>
        <w:ind w:left="851"/>
        <w:rPr>
          <w:sz w:val="24"/>
          <w:szCs w:val="24"/>
        </w:rPr>
      </w:pPr>
      <w:proofErr w:type="spellStart"/>
      <w:r w:rsidRPr="00BF3CBC">
        <w:rPr>
          <w:sz w:val="24"/>
          <w:szCs w:val="24"/>
        </w:rPr>
        <w:t>Indigocarmin</w:t>
      </w:r>
      <w:proofErr w:type="spellEnd"/>
      <w:r w:rsidRPr="00BF3CBC">
        <w:rPr>
          <w:sz w:val="24"/>
          <w:szCs w:val="24"/>
        </w:rPr>
        <w:t>-aluminium-lak (E132)</w:t>
      </w:r>
    </w:p>
    <w:p w:rsidR="008E4AD7" w:rsidRPr="00BF3CBC" w:rsidRDefault="008E4AD7" w:rsidP="008E4AD7">
      <w:pPr>
        <w:ind w:left="851"/>
        <w:rPr>
          <w:sz w:val="24"/>
          <w:szCs w:val="24"/>
        </w:rPr>
      </w:pPr>
      <w:r w:rsidRPr="00BF3CBC">
        <w:rPr>
          <w:sz w:val="24"/>
          <w:szCs w:val="24"/>
        </w:rPr>
        <w:t>Jernoxid, sort (E172)</w:t>
      </w:r>
    </w:p>
    <w:p w:rsidR="008E4AD7" w:rsidRPr="00BF3CBC" w:rsidRDefault="008E4AD7" w:rsidP="008E4AD7">
      <w:pPr>
        <w:ind w:left="851"/>
        <w:rPr>
          <w:sz w:val="24"/>
          <w:szCs w:val="24"/>
        </w:rPr>
      </w:pPr>
    </w:p>
    <w:p w:rsidR="008E4AD7" w:rsidRPr="00291A19" w:rsidRDefault="008E4AD7" w:rsidP="008E4AD7">
      <w:pPr>
        <w:ind w:left="851"/>
        <w:rPr>
          <w:i/>
          <w:sz w:val="24"/>
          <w:szCs w:val="24"/>
        </w:rPr>
      </w:pPr>
      <w:r w:rsidRPr="00291A19">
        <w:rPr>
          <w:i/>
          <w:sz w:val="24"/>
          <w:szCs w:val="24"/>
        </w:rPr>
        <w:t>36 mg depottabletter:</w:t>
      </w:r>
    </w:p>
    <w:p w:rsidR="008E4AD7" w:rsidRPr="00BF3CBC" w:rsidRDefault="008E4AD7" w:rsidP="008E4AD7">
      <w:pPr>
        <w:ind w:left="851"/>
        <w:rPr>
          <w:sz w:val="24"/>
          <w:szCs w:val="24"/>
        </w:rPr>
      </w:pPr>
      <w:r w:rsidRPr="00BF3CBC">
        <w:rPr>
          <w:sz w:val="24"/>
          <w:szCs w:val="24"/>
        </w:rPr>
        <w:t>Polyvinylalkohol, delvis hydrolyseret</w:t>
      </w:r>
    </w:p>
    <w:p w:rsidR="008E4AD7" w:rsidRPr="00580E3B" w:rsidRDefault="008E4AD7" w:rsidP="008E4AD7">
      <w:pPr>
        <w:ind w:left="851"/>
        <w:rPr>
          <w:sz w:val="24"/>
          <w:szCs w:val="24"/>
        </w:rPr>
      </w:pPr>
      <w:proofErr w:type="spellStart"/>
      <w:r w:rsidRPr="00580E3B">
        <w:rPr>
          <w:sz w:val="24"/>
          <w:szCs w:val="24"/>
        </w:rPr>
        <w:t>Macrogol</w:t>
      </w:r>
      <w:proofErr w:type="spellEnd"/>
      <w:r w:rsidRPr="00580E3B">
        <w:rPr>
          <w:sz w:val="24"/>
          <w:szCs w:val="24"/>
        </w:rPr>
        <w:t xml:space="preserve"> (3350)</w:t>
      </w:r>
    </w:p>
    <w:p w:rsidR="008E4AD7" w:rsidRPr="00580E3B" w:rsidRDefault="008E4AD7" w:rsidP="008E4AD7">
      <w:pPr>
        <w:ind w:left="851"/>
        <w:rPr>
          <w:sz w:val="24"/>
          <w:szCs w:val="24"/>
        </w:rPr>
      </w:pPr>
      <w:proofErr w:type="spellStart"/>
      <w:r w:rsidRPr="00580E3B">
        <w:rPr>
          <w:sz w:val="24"/>
          <w:szCs w:val="24"/>
        </w:rPr>
        <w:t>Talcum</w:t>
      </w:r>
      <w:proofErr w:type="spellEnd"/>
    </w:p>
    <w:p w:rsidR="008E4AD7" w:rsidRPr="00580E3B" w:rsidRDefault="008E4AD7" w:rsidP="008E4AD7">
      <w:pPr>
        <w:ind w:left="851"/>
        <w:rPr>
          <w:sz w:val="24"/>
          <w:szCs w:val="24"/>
        </w:rPr>
      </w:pPr>
      <w:r w:rsidRPr="00580E3B">
        <w:rPr>
          <w:sz w:val="24"/>
          <w:szCs w:val="24"/>
        </w:rPr>
        <w:t>Titandioxid (E171)</w:t>
      </w:r>
    </w:p>
    <w:p w:rsidR="008E4AD7" w:rsidRPr="00580E3B" w:rsidRDefault="008E4AD7" w:rsidP="008E4AD7">
      <w:pPr>
        <w:ind w:left="851"/>
        <w:rPr>
          <w:sz w:val="24"/>
          <w:szCs w:val="24"/>
        </w:rPr>
      </w:pPr>
    </w:p>
    <w:p w:rsidR="008E4AD7" w:rsidRPr="00580E3B" w:rsidRDefault="008E4AD7" w:rsidP="008E4AD7">
      <w:pPr>
        <w:ind w:left="851"/>
        <w:rPr>
          <w:i/>
          <w:sz w:val="24"/>
          <w:szCs w:val="24"/>
        </w:rPr>
      </w:pPr>
      <w:r w:rsidRPr="00580E3B">
        <w:rPr>
          <w:i/>
          <w:sz w:val="24"/>
          <w:szCs w:val="24"/>
        </w:rPr>
        <w:t>54 mg depottabletter:</w:t>
      </w:r>
    </w:p>
    <w:p w:rsidR="008E4AD7" w:rsidRPr="00BF3CBC" w:rsidRDefault="008E4AD7" w:rsidP="008E4AD7">
      <w:pPr>
        <w:ind w:left="851"/>
        <w:rPr>
          <w:sz w:val="24"/>
          <w:szCs w:val="24"/>
        </w:rPr>
      </w:pPr>
      <w:r w:rsidRPr="00BF3CBC">
        <w:rPr>
          <w:sz w:val="24"/>
          <w:szCs w:val="24"/>
        </w:rPr>
        <w:t>Polyvinylalkohol, delvis hydrolyseret</w:t>
      </w:r>
    </w:p>
    <w:p w:rsidR="008E4AD7" w:rsidRPr="00580E3B" w:rsidRDefault="008E4AD7" w:rsidP="008E4AD7">
      <w:pPr>
        <w:ind w:left="851"/>
        <w:rPr>
          <w:sz w:val="24"/>
          <w:szCs w:val="24"/>
          <w:lang w:val="en-US"/>
        </w:rPr>
      </w:pPr>
      <w:r w:rsidRPr="00580E3B">
        <w:rPr>
          <w:sz w:val="24"/>
          <w:szCs w:val="24"/>
          <w:lang w:val="en-US"/>
        </w:rPr>
        <w:t>Macrogol (3350)</w:t>
      </w:r>
    </w:p>
    <w:p w:rsidR="008E4AD7" w:rsidRPr="00580E3B" w:rsidRDefault="008E4AD7" w:rsidP="008E4AD7">
      <w:pPr>
        <w:ind w:left="851"/>
        <w:rPr>
          <w:sz w:val="24"/>
          <w:szCs w:val="24"/>
          <w:lang w:val="en-US"/>
        </w:rPr>
      </w:pPr>
      <w:r w:rsidRPr="00580E3B">
        <w:rPr>
          <w:sz w:val="24"/>
          <w:szCs w:val="24"/>
          <w:lang w:val="en-US"/>
        </w:rPr>
        <w:t>Talcum</w:t>
      </w:r>
    </w:p>
    <w:p w:rsidR="008E4AD7" w:rsidRPr="00580E3B" w:rsidRDefault="008E4AD7" w:rsidP="008E4AD7">
      <w:pPr>
        <w:ind w:left="851"/>
        <w:rPr>
          <w:sz w:val="24"/>
          <w:szCs w:val="24"/>
          <w:lang w:val="en-US"/>
        </w:rPr>
      </w:pPr>
      <w:proofErr w:type="spellStart"/>
      <w:r w:rsidRPr="00580E3B">
        <w:rPr>
          <w:sz w:val="24"/>
          <w:szCs w:val="24"/>
          <w:lang w:val="en-US"/>
        </w:rPr>
        <w:t>Titandioxid</w:t>
      </w:r>
      <w:proofErr w:type="spellEnd"/>
      <w:r w:rsidRPr="00580E3B">
        <w:rPr>
          <w:sz w:val="24"/>
          <w:szCs w:val="24"/>
          <w:lang w:val="en-US"/>
        </w:rPr>
        <w:t xml:space="preserve"> (E171)</w:t>
      </w:r>
    </w:p>
    <w:p w:rsidR="008E4AD7" w:rsidRPr="00580E3B" w:rsidRDefault="008E4AD7" w:rsidP="008E4AD7">
      <w:pPr>
        <w:ind w:left="851"/>
        <w:rPr>
          <w:sz w:val="24"/>
          <w:szCs w:val="24"/>
          <w:lang w:val="en-US"/>
        </w:rPr>
      </w:pPr>
      <w:proofErr w:type="spellStart"/>
      <w:r w:rsidRPr="00580E3B">
        <w:rPr>
          <w:sz w:val="24"/>
          <w:szCs w:val="24"/>
          <w:lang w:val="en-US"/>
        </w:rPr>
        <w:t>Jernoxid</w:t>
      </w:r>
      <w:proofErr w:type="spellEnd"/>
      <w:r w:rsidRPr="00580E3B">
        <w:rPr>
          <w:sz w:val="24"/>
          <w:szCs w:val="24"/>
          <w:lang w:val="en-US"/>
        </w:rPr>
        <w:t xml:space="preserve">, </w:t>
      </w:r>
      <w:proofErr w:type="spellStart"/>
      <w:r w:rsidRPr="00580E3B">
        <w:rPr>
          <w:sz w:val="24"/>
          <w:szCs w:val="24"/>
          <w:lang w:val="en-US"/>
        </w:rPr>
        <w:t>rød</w:t>
      </w:r>
      <w:proofErr w:type="spellEnd"/>
      <w:r w:rsidRPr="00580E3B">
        <w:rPr>
          <w:sz w:val="24"/>
          <w:szCs w:val="24"/>
          <w:lang w:val="en-US"/>
        </w:rPr>
        <w:t xml:space="preserve"> (E172)</w:t>
      </w:r>
    </w:p>
    <w:p w:rsidR="008E4AD7" w:rsidRPr="00580E3B" w:rsidRDefault="008E4AD7" w:rsidP="008E4AD7">
      <w:pPr>
        <w:ind w:left="851"/>
        <w:rPr>
          <w:sz w:val="24"/>
          <w:szCs w:val="24"/>
          <w:lang w:val="en-US"/>
        </w:rPr>
      </w:pPr>
    </w:p>
    <w:p w:rsidR="008E4AD7" w:rsidRPr="00291A19" w:rsidRDefault="008E4AD7" w:rsidP="008E4AD7">
      <w:pPr>
        <w:ind w:left="851"/>
        <w:rPr>
          <w:i/>
          <w:sz w:val="24"/>
          <w:szCs w:val="24"/>
          <w:u w:val="single"/>
        </w:rPr>
      </w:pPr>
      <w:r w:rsidRPr="00291A19">
        <w:rPr>
          <w:i/>
          <w:sz w:val="24"/>
          <w:szCs w:val="24"/>
          <w:u w:val="single"/>
        </w:rPr>
        <w:t>Trykfarve</w:t>
      </w:r>
    </w:p>
    <w:p w:rsidR="008E4AD7" w:rsidRPr="00BF3CBC" w:rsidRDefault="008E4AD7" w:rsidP="008E4AD7">
      <w:pPr>
        <w:ind w:left="851"/>
        <w:rPr>
          <w:sz w:val="24"/>
          <w:szCs w:val="24"/>
        </w:rPr>
      </w:pPr>
      <w:r w:rsidRPr="00BF3CBC">
        <w:rPr>
          <w:sz w:val="24"/>
          <w:szCs w:val="24"/>
        </w:rPr>
        <w:t>Shellak-overtræk</w:t>
      </w:r>
    </w:p>
    <w:p w:rsidR="008E4AD7" w:rsidRPr="00BF3CBC" w:rsidRDefault="008E4AD7" w:rsidP="008E4AD7">
      <w:pPr>
        <w:ind w:left="851"/>
        <w:rPr>
          <w:sz w:val="24"/>
          <w:szCs w:val="24"/>
        </w:rPr>
      </w:pPr>
      <w:r w:rsidRPr="00BF3CBC">
        <w:rPr>
          <w:sz w:val="24"/>
          <w:szCs w:val="24"/>
        </w:rPr>
        <w:t>Jernoxid, sort (E172)</w:t>
      </w:r>
    </w:p>
    <w:p w:rsidR="008E4AD7" w:rsidRPr="00BF3CBC" w:rsidRDefault="008E4AD7" w:rsidP="008E4AD7">
      <w:pPr>
        <w:ind w:left="851"/>
        <w:rPr>
          <w:sz w:val="24"/>
          <w:szCs w:val="24"/>
        </w:rPr>
      </w:pPr>
      <w:r w:rsidRPr="00BF3CBC">
        <w:rPr>
          <w:sz w:val="24"/>
          <w:szCs w:val="24"/>
        </w:rPr>
        <w:t>Propylenglycol</w:t>
      </w:r>
    </w:p>
    <w:p w:rsidR="008E4AD7" w:rsidRPr="00BF3CBC" w:rsidRDefault="008E4AD7" w:rsidP="008E4AD7">
      <w:pPr>
        <w:tabs>
          <w:tab w:val="left" w:pos="851"/>
        </w:tabs>
        <w:ind w:left="851" w:hanging="851"/>
        <w:rPr>
          <w:sz w:val="24"/>
          <w:szCs w:val="24"/>
        </w:rPr>
      </w:pPr>
    </w:p>
    <w:p w:rsidR="00657134" w:rsidRPr="00C84483" w:rsidRDefault="00657134" w:rsidP="00657134">
      <w:pPr>
        <w:tabs>
          <w:tab w:val="left" w:pos="851"/>
        </w:tabs>
        <w:ind w:left="851" w:hanging="851"/>
        <w:rPr>
          <w:b/>
          <w:sz w:val="24"/>
          <w:szCs w:val="24"/>
        </w:rPr>
      </w:pPr>
      <w:r w:rsidRPr="00C84483">
        <w:rPr>
          <w:b/>
          <w:sz w:val="24"/>
          <w:szCs w:val="24"/>
        </w:rPr>
        <w:t>6.2</w:t>
      </w:r>
      <w:r w:rsidRPr="00C84483">
        <w:rPr>
          <w:b/>
          <w:sz w:val="24"/>
          <w:szCs w:val="24"/>
        </w:rPr>
        <w:tab/>
        <w:t>Uforligeligheder</w:t>
      </w:r>
    </w:p>
    <w:p w:rsidR="008E4AD7" w:rsidRPr="00BF3CBC" w:rsidRDefault="008E4AD7" w:rsidP="008E4AD7">
      <w:pPr>
        <w:ind w:left="851"/>
        <w:rPr>
          <w:sz w:val="24"/>
          <w:szCs w:val="24"/>
        </w:rPr>
      </w:pPr>
      <w:r w:rsidRPr="00BF3CBC">
        <w:rPr>
          <w:sz w:val="24"/>
          <w:szCs w:val="24"/>
        </w:rPr>
        <w:t>Ikke relevant.</w:t>
      </w:r>
    </w:p>
    <w:p w:rsidR="008E4AD7" w:rsidRPr="00BF3CBC" w:rsidRDefault="008E4AD7" w:rsidP="008E4AD7">
      <w:pPr>
        <w:tabs>
          <w:tab w:val="left" w:pos="851"/>
        </w:tabs>
        <w:ind w:left="851" w:hanging="851"/>
        <w:rPr>
          <w:sz w:val="24"/>
          <w:szCs w:val="24"/>
        </w:rPr>
      </w:pPr>
    </w:p>
    <w:p w:rsidR="00657134" w:rsidRPr="00C84483" w:rsidRDefault="00657134" w:rsidP="00657134">
      <w:pPr>
        <w:tabs>
          <w:tab w:val="left" w:pos="851"/>
        </w:tabs>
        <w:ind w:left="851" w:hanging="851"/>
        <w:rPr>
          <w:b/>
          <w:sz w:val="24"/>
          <w:szCs w:val="24"/>
        </w:rPr>
      </w:pPr>
      <w:r w:rsidRPr="00C84483">
        <w:rPr>
          <w:b/>
          <w:sz w:val="24"/>
          <w:szCs w:val="24"/>
        </w:rPr>
        <w:t>6.3</w:t>
      </w:r>
      <w:r w:rsidRPr="00C84483">
        <w:rPr>
          <w:b/>
          <w:sz w:val="24"/>
          <w:szCs w:val="24"/>
        </w:rPr>
        <w:tab/>
        <w:t>Opbevaringstid</w:t>
      </w:r>
    </w:p>
    <w:p w:rsidR="008E4AD7" w:rsidRPr="00BF3CBC" w:rsidRDefault="008E4AD7" w:rsidP="008E4AD7">
      <w:pPr>
        <w:ind w:left="851" w:hanging="851"/>
        <w:rPr>
          <w:sz w:val="24"/>
          <w:szCs w:val="24"/>
        </w:rPr>
      </w:pPr>
      <w:r w:rsidRPr="00BF3CBC">
        <w:rPr>
          <w:sz w:val="24"/>
          <w:szCs w:val="24"/>
        </w:rPr>
        <w:tab/>
      </w:r>
      <w:r>
        <w:rPr>
          <w:sz w:val="24"/>
          <w:szCs w:val="24"/>
        </w:rPr>
        <w:t>2 år.</w:t>
      </w:r>
    </w:p>
    <w:p w:rsidR="008E4AD7" w:rsidRPr="00BF3CBC" w:rsidRDefault="008E4AD7" w:rsidP="008E4AD7">
      <w:pPr>
        <w:ind w:left="851" w:hanging="851"/>
        <w:rPr>
          <w:sz w:val="24"/>
          <w:szCs w:val="24"/>
        </w:rPr>
      </w:pPr>
    </w:p>
    <w:p w:rsidR="008E4AD7" w:rsidRPr="00BF3CBC" w:rsidRDefault="008E4AD7" w:rsidP="008E4AD7">
      <w:pPr>
        <w:ind w:left="851"/>
        <w:rPr>
          <w:sz w:val="24"/>
          <w:szCs w:val="24"/>
        </w:rPr>
      </w:pPr>
      <w:r w:rsidRPr="00BF3CBC">
        <w:rPr>
          <w:sz w:val="24"/>
          <w:szCs w:val="24"/>
        </w:rPr>
        <w:t>Holdbarhed, efter at beholderen er åbnet:</w:t>
      </w:r>
    </w:p>
    <w:p w:rsidR="008E4AD7" w:rsidRPr="00BF3CBC" w:rsidRDefault="008E4AD7" w:rsidP="008E4AD7">
      <w:pPr>
        <w:ind w:left="851"/>
        <w:rPr>
          <w:sz w:val="24"/>
          <w:szCs w:val="24"/>
        </w:rPr>
      </w:pPr>
      <w:r w:rsidRPr="00BF3CBC">
        <w:rPr>
          <w:sz w:val="24"/>
          <w:szCs w:val="24"/>
        </w:rPr>
        <w:t>18 mg tabletter: 3 måneder</w:t>
      </w:r>
    </w:p>
    <w:p w:rsidR="008E4AD7" w:rsidRPr="00BF3CBC" w:rsidRDefault="008E4AD7" w:rsidP="008E4AD7">
      <w:pPr>
        <w:ind w:left="851"/>
        <w:rPr>
          <w:sz w:val="24"/>
          <w:szCs w:val="24"/>
        </w:rPr>
      </w:pPr>
      <w:r w:rsidRPr="00BF3CBC">
        <w:rPr>
          <w:sz w:val="24"/>
          <w:szCs w:val="24"/>
        </w:rPr>
        <w:t>27 mg</w:t>
      </w:r>
      <w:r>
        <w:rPr>
          <w:sz w:val="24"/>
          <w:szCs w:val="24"/>
        </w:rPr>
        <w:t>, 36 mg og 54 mg</w:t>
      </w:r>
      <w:r w:rsidRPr="00BF3CBC">
        <w:rPr>
          <w:sz w:val="24"/>
          <w:szCs w:val="24"/>
        </w:rPr>
        <w:t xml:space="preserve"> tabletter: 6 måneder</w:t>
      </w:r>
    </w:p>
    <w:p w:rsidR="008E4AD7" w:rsidRPr="00BF3CBC" w:rsidRDefault="008E4AD7" w:rsidP="008E4AD7">
      <w:pPr>
        <w:tabs>
          <w:tab w:val="left" w:pos="851"/>
        </w:tabs>
        <w:ind w:left="851" w:hanging="851"/>
        <w:rPr>
          <w:sz w:val="24"/>
          <w:szCs w:val="24"/>
        </w:rPr>
      </w:pPr>
    </w:p>
    <w:p w:rsidR="00657134" w:rsidRPr="00C84483" w:rsidRDefault="00657134" w:rsidP="00657134">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8E4AD7" w:rsidRPr="00BF3CBC" w:rsidRDefault="008E4AD7" w:rsidP="008E4AD7">
      <w:pPr>
        <w:ind w:left="851"/>
        <w:rPr>
          <w:sz w:val="24"/>
          <w:szCs w:val="24"/>
        </w:rPr>
      </w:pPr>
      <w:r w:rsidRPr="00BF3CBC">
        <w:rPr>
          <w:sz w:val="24"/>
          <w:szCs w:val="24"/>
        </w:rPr>
        <w:t>Dette lægemiddel kræver ingen særlige forholdsregler vedrørende opbevaringen.</w:t>
      </w:r>
    </w:p>
    <w:p w:rsidR="008E4AD7" w:rsidRPr="00BF3CBC" w:rsidRDefault="008E4AD7" w:rsidP="008E4AD7">
      <w:pPr>
        <w:tabs>
          <w:tab w:val="left" w:pos="851"/>
        </w:tabs>
        <w:ind w:left="851" w:hanging="851"/>
        <w:rPr>
          <w:sz w:val="24"/>
          <w:szCs w:val="24"/>
        </w:rPr>
      </w:pPr>
    </w:p>
    <w:p w:rsidR="00657134" w:rsidRPr="00C84483" w:rsidRDefault="00657134" w:rsidP="00657134">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8E4AD7" w:rsidRPr="00BF3CBC" w:rsidRDefault="008E4AD7" w:rsidP="008E4AD7">
      <w:pPr>
        <w:ind w:left="851"/>
        <w:rPr>
          <w:sz w:val="24"/>
          <w:szCs w:val="24"/>
        </w:rPr>
      </w:pPr>
      <w:r w:rsidRPr="00BF3CBC">
        <w:rPr>
          <w:sz w:val="24"/>
          <w:szCs w:val="24"/>
        </w:rPr>
        <w:t xml:space="preserve">HDPE-dåse med børnesikret polypropylenlåg med </w:t>
      </w:r>
      <w:proofErr w:type="spellStart"/>
      <w:r w:rsidRPr="00BF3CBC">
        <w:rPr>
          <w:sz w:val="24"/>
          <w:szCs w:val="24"/>
        </w:rPr>
        <w:t>silicagel</w:t>
      </w:r>
      <w:proofErr w:type="spellEnd"/>
      <w:r w:rsidRPr="00BF3CBC">
        <w:rPr>
          <w:sz w:val="24"/>
          <w:szCs w:val="24"/>
        </w:rPr>
        <w:t>-tørremiddel integreret i låget.</w:t>
      </w:r>
    </w:p>
    <w:p w:rsidR="008E4AD7" w:rsidRPr="00BF3CBC" w:rsidRDefault="008E4AD7" w:rsidP="008E4AD7">
      <w:pPr>
        <w:ind w:left="851" w:hanging="851"/>
        <w:rPr>
          <w:sz w:val="24"/>
          <w:szCs w:val="24"/>
        </w:rPr>
      </w:pPr>
    </w:p>
    <w:p w:rsidR="008E4AD7" w:rsidRPr="00BF3CBC" w:rsidRDefault="008E4AD7" w:rsidP="008E4AD7">
      <w:pPr>
        <w:ind w:left="851"/>
        <w:rPr>
          <w:rFonts w:eastAsia="Arial"/>
          <w:sz w:val="24"/>
          <w:szCs w:val="24"/>
        </w:rPr>
      </w:pPr>
      <w:r w:rsidRPr="00BF3CBC">
        <w:rPr>
          <w:iCs/>
          <w:sz w:val="24"/>
          <w:szCs w:val="24"/>
        </w:rPr>
        <w:t xml:space="preserve">18 mg tabletter: </w:t>
      </w:r>
      <w:r w:rsidRPr="00BF3CBC">
        <w:rPr>
          <w:rFonts w:eastAsia="Arial"/>
          <w:sz w:val="24"/>
          <w:szCs w:val="24"/>
        </w:rPr>
        <w:t xml:space="preserve">28, </w:t>
      </w:r>
      <w:r w:rsidRPr="00BF3CBC">
        <w:rPr>
          <w:rFonts w:eastAsia="Arial"/>
          <w:spacing w:val="-1"/>
          <w:sz w:val="24"/>
          <w:szCs w:val="24"/>
        </w:rPr>
        <w:t>3</w:t>
      </w:r>
      <w:r w:rsidRPr="00BF3CBC">
        <w:rPr>
          <w:rFonts w:eastAsia="Arial"/>
          <w:sz w:val="24"/>
          <w:szCs w:val="24"/>
        </w:rPr>
        <w:t>0 eller 90</w:t>
      </w:r>
      <w:r w:rsidRPr="00BF3CBC">
        <w:rPr>
          <w:rFonts w:eastAsia="Arial"/>
          <w:spacing w:val="1"/>
          <w:sz w:val="24"/>
          <w:szCs w:val="24"/>
        </w:rPr>
        <w:t xml:space="preserve"> </w:t>
      </w:r>
      <w:r w:rsidRPr="00BF3CBC">
        <w:rPr>
          <w:sz w:val="24"/>
          <w:szCs w:val="24"/>
        </w:rPr>
        <w:t>depottabletter</w:t>
      </w:r>
      <w:r w:rsidRPr="00BF3CBC">
        <w:rPr>
          <w:rFonts w:eastAsia="Arial"/>
          <w:sz w:val="24"/>
          <w:szCs w:val="24"/>
        </w:rPr>
        <w:t>.</w:t>
      </w:r>
    </w:p>
    <w:p w:rsidR="008E4AD7" w:rsidRPr="00BF3CBC" w:rsidRDefault="008E4AD7" w:rsidP="008E4AD7">
      <w:pPr>
        <w:ind w:left="851"/>
        <w:rPr>
          <w:iCs/>
          <w:sz w:val="24"/>
          <w:szCs w:val="24"/>
        </w:rPr>
      </w:pPr>
      <w:r w:rsidRPr="00BF3CBC">
        <w:rPr>
          <w:iCs/>
          <w:sz w:val="24"/>
          <w:szCs w:val="24"/>
        </w:rPr>
        <w:t xml:space="preserve">27 mg tabletter: </w:t>
      </w:r>
      <w:r w:rsidRPr="00BF3CBC">
        <w:rPr>
          <w:rFonts w:eastAsia="Arial"/>
          <w:sz w:val="24"/>
          <w:szCs w:val="24"/>
        </w:rPr>
        <w:t xml:space="preserve">28, </w:t>
      </w:r>
      <w:r w:rsidRPr="00BF3CBC">
        <w:rPr>
          <w:rFonts w:eastAsia="Arial"/>
          <w:spacing w:val="-1"/>
          <w:sz w:val="24"/>
          <w:szCs w:val="24"/>
        </w:rPr>
        <w:t>3</w:t>
      </w:r>
      <w:r w:rsidRPr="00BF3CBC">
        <w:rPr>
          <w:rFonts w:eastAsia="Arial"/>
          <w:sz w:val="24"/>
          <w:szCs w:val="24"/>
        </w:rPr>
        <w:t>0 eller 100</w:t>
      </w:r>
      <w:r w:rsidRPr="00BF3CBC">
        <w:rPr>
          <w:rFonts w:eastAsia="Arial"/>
          <w:spacing w:val="1"/>
          <w:sz w:val="24"/>
          <w:szCs w:val="24"/>
        </w:rPr>
        <w:t xml:space="preserve"> </w:t>
      </w:r>
      <w:r w:rsidRPr="00BF3CBC">
        <w:rPr>
          <w:rFonts w:eastAsia="Arial"/>
          <w:spacing w:val="-1"/>
          <w:sz w:val="24"/>
          <w:szCs w:val="24"/>
        </w:rPr>
        <w:t>depottabletter</w:t>
      </w:r>
      <w:r w:rsidRPr="00BF3CBC">
        <w:rPr>
          <w:rFonts w:eastAsia="Arial"/>
          <w:sz w:val="24"/>
          <w:szCs w:val="24"/>
        </w:rPr>
        <w:t>.</w:t>
      </w:r>
    </w:p>
    <w:p w:rsidR="008E4AD7" w:rsidRPr="00BF3CBC" w:rsidRDefault="008E4AD7" w:rsidP="008E4AD7">
      <w:pPr>
        <w:ind w:left="851"/>
        <w:rPr>
          <w:iCs/>
          <w:sz w:val="24"/>
          <w:szCs w:val="24"/>
        </w:rPr>
      </w:pPr>
      <w:r w:rsidRPr="00BF3CBC">
        <w:rPr>
          <w:iCs/>
          <w:sz w:val="24"/>
          <w:szCs w:val="24"/>
        </w:rPr>
        <w:t xml:space="preserve">36 mg tabletter: </w:t>
      </w:r>
      <w:r w:rsidRPr="00BF3CBC">
        <w:rPr>
          <w:rFonts w:eastAsia="Arial"/>
          <w:sz w:val="24"/>
          <w:szCs w:val="24"/>
        </w:rPr>
        <w:t xml:space="preserve">28, </w:t>
      </w:r>
      <w:r w:rsidRPr="00BF3CBC">
        <w:rPr>
          <w:rFonts w:eastAsia="Arial"/>
          <w:spacing w:val="-1"/>
          <w:sz w:val="24"/>
          <w:szCs w:val="24"/>
        </w:rPr>
        <w:t>3</w:t>
      </w:r>
      <w:r w:rsidRPr="00BF3CBC">
        <w:rPr>
          <w:rFonts w:eastAsia="Arial"/>
          <w:sz w:val="24"/>
          <w:szCs w:val="24"/>
        </w:rPr>
        <w:t>0 eller 100</w:t>
      </w:r>
      <w:r w:rsidRPr="00BF3CBC">
        <w:rPr>
          <w:rFonts w:eastAsia="Arial"/>
          <w:spacing w:val="1"/>
          <w:sz w:val="24"/>
          <w:szCs w:val="24"/>
        </w:rPr>
        <w:t xml:space="preserve"> </w:t>
      </w:r>
      <w:r w:rsidRPr="00BF3CBC">
        <w:rPr>
          <w:rFonts w:eastAsia="Arial"/>
          <w:spacing w:val="-1"/>
          <w:sz w:val="24"/>
          <w:szCs w:val="24"/>
        </w:rPr>
        <w:t>depottabletter</w:t>
      </w:r>
      <w:r w:rsidRPr="00BF3CBC">
        <w:rPr>
          <w:rFonts w:eastAsia="Arial"/>
          <w:sz w:val="24"/>
          <w:szCs w:val="24"/>
        </w:rPr>
        <w:t>.</w:t>
      </w:r>
    </w:p>
    <w:p w:rsidR="008E4AD7" w:rsidRPr="00BF3CBC" w:rsidRDefault="008E4AD7" w:rsidP="008E4AD7">
      <w:pPr>
        <w:ind w:left="851"/>
        <w:rPr>
          <w:iCs/>
          <w:sz w:val="24"/>
          <w:szCs w:val="24"/>
        </w:rPr>
      </w:pPr>
      <w:r w:rsidRPr="00BF3CBC">
        <w:rPr>
          <w:iCs/>
          <w:sz w:val="24"/>
          <w:szCs w:val="24"/>
        </w:rPr>
        <w:t xml:space="preserve">54 mg tabletter: </w:t>
      </w:r>
      <w:r w:rsidRPr="00BF3CBC">
        <w:rPr>
          <w:rFonts w:eastAsia="Arial"/>
          <w:sz w:val="24"/>
          <w:szCs w:val="24"/>
        </w:rPr>
        <w:t xml:space="preserve">28, </w:t>
      </w:r>
      <w:r w:rsidRPr="00BF3CBC">
        <w:rPr>
          <w:rFonts w:eastAsia="Arial"/>
          <w:spacing w:val="-1"/>
          <w:sz w:val="24"/>
          <w:szCs w:val="24"/>
        </w:rPr>
        <w:t>3</w:t>
      </w:r>
      <w:r w:rsidRPr="00BF3CBC">
        <w:rPr>
          <w:rFonts w:eastAsia="Arial"/>
          <w:sz w:val="24"/>
          <w:szCs w:val="24"/>
        </w:rPr>
        <w:t>0 eller 100</w:t>
      </w:r>
      <w:r w:rsidRPr="00BF3CBC">
        <w:rPr>
          <w:rFonts w:eastAsia="Arial"/>
          <w:spacing w:val="1"/>
          <w:sz w:val="24"/>
          <w:szCs w:val="24"/>
        </w:rPr>
        <w:t xml:space="preserve"> </w:t>
      </w:r>
      <w:r w:rsidRPr="00BF3CBC">
        <w:rPr>
          <w:rFonts w:eastAsia="Arial"/>
          <w:spacing w:val="-1"/>
          <w:sz w:val="24"/>
          <w:szCs w:val="24"/>
        </w:rPr>
        <w:t>depottabletter</w:t>
      </w:r>
      <w:r w:rsidRPr="00BF3CBC">
        <w:rPr>
          <w:rFonts w:eastAsia="Arial"/>
          <w:sz w:val="24"/>
          <w:szCs w:val="24"/>
        </w:rPr>
        <w:t>.</w:t>
      </w:r>
    </w:p>
    <w:p w:rsidR="008E4AD7" w:rsidRPr="00BF3CBC" w:rsidRDefault="008E4AD7" w:rsidP="008E4AD7">
      <w:pPr>
        <w:ind w:left="851" w:hanging="851"/>
        <w:rPr>
          <w:sz w:val="24"/>
          <w:szCs w:val="24"/>
        </w:rPr>
      </w:pPr>
    </w:p>
    <w:p w:rsidR="008E4AD7" w:rsidRPr="00BF3CBC" w:rsidRDefault="008E4AD7" w:rsidP="008E4AD7">
      <w:pPr>
        <w:ind w:left="851"/>
        <w:rPr>
          <w:sz w:val="24"/>
          <w:szCs w:val="24"/>
        </w:rPr>
      </w:pPr>
      <w:r w:rsidRPr="00BF3CBC">
        <w:rPr>
          <w:sz w:val="24"/>
          <w:szCs w:val="24"/>
        </w:rPr>
        <w:t>Ikke alle pakningsstørrelser er nødvendigvis markedsført.</w:t>
      </w:r>
    </w:p>
    <w:p w:rsidR="008E4AD7" w:rsidRPr="00BF3CBC" w:rsidRDefault="008E4AD7" w:rsidP="008E4AD7">
      <w:pPr>
        <w:tabs>
          <w:tab w:val="left" w:pos="851"/>
        </w:tabs>
        <w:ind w:left="851" w:hanging="851"/>
        <w:rPr>
          <w:sz w:val="24"/>
          <w:szCs w:val="24"/>
        </w:rPr>
      </w:pPr>
    </w:p>
    <w:p w:rsidR="00657134" w:rsidRPr="00C84483" w:rsidRDefault="00657134" w:rsidP="00657134">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8E4AD7" w:rsidRPr="00BF3CBC" w:rsidRDefault="008E4AD7" w:rsidP="008E4AD7">
      <w:pPr>
        <w:ind w:left="851"/>
        <w:rPr>
          <w:sz w:val="24"/>
          <w:szCs w:val="24"/>
        </w:rPr>
      </w:pPr>
      <w:r w:rsidRPr="00BF3CBC">
        <w:rPr>
          <w:sz w:val="24"/>
          <w:szCs w:val="24"/>
        </w:rPr>
        <w:t>Ingen særlige forholdsregler</w:t>
      </w:r>
      <w:r>
        <w:rPr>
          <w:sz w:val="24"/>
          <w:szCs w:val="24"/>
        </w:rPr>
        <w:t>.</w:t>
      </w:r>
      <w:r w:rsidRPr="00BF3CBC">
        <w:rPr>
          <w:sz w:val="24"/>
          <w:szCs w:val="24"/>
        </w:rPr>
        <w:t xml:space="preserve"> </w:t>
      </w:r>
    </w:p>
    <w:p w:rsidR="008E4AD7" w:rsidRPr="00BF3CBC" w:rsidRDefault="008E4AD7" w:rsidP="008E4AD7">
      <w:pPr>
        <w:tabs>
          <w:tab w:val="left" w:pos="851"/>
        </w:tabs>
        <w:ind w:left="851" w:hanging="851"/>
        <w:jc w:val="both"/>
        <w:rPr>
          <w:sz w:val="24"/>
          <w:szCs w:val="24"/>
        </w:rPr>
      </w:pPr>
    </w:p>
    <w:p w:rsidR="00657134" w:rsidRPr="00C84483" w:rsidRDefault="00657134" w:rsidP="00657134">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8E4AD7" w:rsidRPr="00E90286" w:rsidRDefault="008E4AD7" w:rsidP="00E90286">
      <w:pPr>
        <w:ind w:left="851"/>
        <w:rPr>
          <w:noProof/>
          <w:sz w:val="24"/>
          <w:szCs w:val="24"/>
          <w:lang w:val="en-US"/>
        </w:rPr>
      </w:pPr>
      <w:r w:rsidRPr="00E90286">
        <w:rPr>
          <w:noProof/>
          <w:sz w:val="24"/>
          <w:szCs w:val="24"/>
          <w:lang w:val="en-US"/>
        </w:rPr>
        <w:t xml:space="preserve">Actavis Group PTC ehf. </w:t>
      </w:r>
    </w:p>
    <w:p w:rsidR="0042497D" w:rsidRPr="00E90286" w:rsidRDefault="0042497D" w:rsidP="00E90286">
      <w:pPr>
        <w:ind w:left="851"/>
        <w:rPr>
          <w:noProof/>
          <w:sz w:val="24"/>
          <w:szCs w:val="24"/>
          <w:lang w:val="en-US"/>
        </w:rPr>
      </w:pPr>
      <w:r w:rsidRPr="00E90286">
        <w:rPr>
          <w:noProof/>
          <w:sz w:val="24"/>
          <w:szCs w:val="24"/>
          <w:lang w:val="en-US"/>
        </w:rPr>
        <w:t xml:space="preserve">Dalshraun 1 </w:t>
      </w:r>
    </w:p>
    <w:p w:rsidR="0042497D" w:rsidRPr="00E90286" w:rsidRDefault="0042497D" w:rsidP="00E90286">
      <w:pPr>
        <w:ind w:left="851"/>
        <w:rPr>
          <w:noProof/>
          <w:sz w:val="24"/>
          <w:szCs w:val="24"/>
          <w:lang w:val="en-US"/>
        </w:rPr>
      </w:pPr>
      <w:r w:rsidRPr="00E90286">
        <w:rPr>
          <w:noProof/>
          <w:sz w:val="24"/>
          <w:szCs w:val="24"/>
          <w:lang w:val="en-US"/>
        </w:rPr>
        <w:t>220 Hafnarfjörður</w:t>
      </w:r>
    </w:p>
    <w:p w:rsidR="008E4AD7" w:rsidRPr="00E90286" w:rsidRDefault="0042497D" w:rsidP="00E90286">
      <w:pPr>
        <w:ind w:left="851"/>
        <w:rPr>
          <w:noProof/>
          <w:sz w:val="24"/>
          <w:szCs w:val="24"/>
          <w:lang w:val="en-US"/>
        </w:rPr>
      </w:pPr>
      <w:r w:rsidRPr="00E90286">
        <w:rPr>
          <w:noProof/>
          <w:sz w:val="24"/>
          <w:szCs w:val="24"/>
          <w:lang w:val="en-US"/>
        </w:rPr>
        <w:t>Island</w:t>
      </w:r>
    </w:p>
    <w:p w:rsidR="0042497D" w:rsidRPr="00E90286" w:rsidRDefault="0042497D" w:rsidP="00E90286">
      <w:pPr>
        <w:ind w:left="851"/>
        <w:rPr>
          <w:noProof/>
          <w:sz w:val="24"/>
          <w:szCs w:val="24"/>
          <w:lang w:val="en-US"/>
        </w:rPr>
      </w:pPr>
    </w:p>
    <w:p w:rsidR="008E4AD7" w:rsidRPr="00E90286" w:rsidRDefault="008E4AD7" w:rsidP="00E90286">
      <w:pPr>
        <w:ind w:left="851"/>
        <w:rPr>
          <w:b/>
          <w:noProof/>
          <w:sz w:val="24"/>
          <w:szCs w:val="24"/>
          <w:lang w:val="en-US"/>
        </w:rPr>
      </w:pPr>
      <w:r w:rsidRPr="00E90286">
        <w:rPr>
          <w:b/>
          <w:noProof/>
          <w:sz w:val="24"/>
          <w:szCs w:val="24"/>
          <w:lang w:val="en-US"/>
        </w:rPr>
        <w:t>Repræsentant</w:t>
      </w:r>
    </w:p>
    <w:p w:rsidR="008E4AD7" w:rsidRPr="00E90286" w:rsidRDefault="008E4AD7" w:rsidP="00E90286">
      <w:pPr>
        <w:ind w:left="851"/>
        <w:rPr>
          <w:spacing w:val="-3"/>
          <w:sz w:val="24"/>
          <w:szCs w:val="24"/>
          <w:lang w:val="en-US"/>
        </w:rPr>
      </w:pPr>
      <w:r w:rsidRPr="00E90286">
        <w:rPr>
          <w:spacing w:val="-3"/>
          <w:sz w:val="24"/>
          <w:szCs w:val="24"/>
          <w:lang w:val="en-US"/>
        </w:rPr>
        <w:t>Teva Denmark A/S</w:t>
      </w:r>
    </w:p>
    <w:p w:rsidR="008E4AD7" w:rsidRPr="00E90286" w:rsidRDefault="008E4AD7" w:rsidP="00E90286">
      <w:pPr>
        <w:ind w:left="851"/>
        <w:rPr>
          <w:spacing w:val="-3"/>
          <w:sz w:val="24"/>
          <w:szCs w:val="24"/>
        </w:rPr>
      </w:pPr>
      <w:r w:rsidRPr="00E90286">
        <w:rPr>
          <w:spacing w:val="-3"/>
          <w:sz w:val="24"/>
          <w:szCs w:val="24"/>
        </w:rPr>
        <w:t xml:space="preserve">Vandtårnsvej 83A </w:t>
      </w:r>
    </w:p>
    <w:p w:rsidR="008E4AD7" w:rsidRPr="00E90286" w:rsidRDefault="008E4AD7" w:rsidP="00E90286">
      <w:pPr>
        <w:ind w:left="851"/>
        <w:rPr>
          <w:sz w:val="24"/>
          <w:szCs w:val="24"/>
        </w:rPr>
      </w:pPr>
      <w:r w:rsidRPr="00E90286">
        <w:rPr>
          <w:spacing w:val="-3"/>
          <w:sz w:val="24"/>
          <w:szCs w:val="24"/>
        </w:rPr>
        <w:t>2860 Søborg</w:t>
      </w:r>
    </w:p>
    <w:p w:rsidR="008E4AD7" w:rsidRPr="00BF3CBC" w:rsidRDefault="008E4AD7" w:rsidP="008E4AD7">
      <w:pPr>
        <w:tabs>
          <w:tab w:val="left" w:pos="851"/>
        </w:tabs>
        <w:ind w:left="851" w:hanging="851"/>
        <w:rPr>
          <w:sz w:val="24"/>
          <w:szCs w:val="24"/>
        </w:rPr>
      </w:pPr>
    </w:p>
    <w:p w:rsidR="00657134" w:rsidRPr="00C84483" w:rsidRDefault="00657134" w:rsidP="00657134">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8E4AD7" w:rsidRPr="00BF3CBC" w:rsidRDefault="008E4AD7" w:rsidP="008E4AD7">
      <w:pPr>
        <w:ind w:left="851"/>
        <w:rPr>
          <w:sz w:val="24"/>
          <w:szCs w:val="24"/>
        </w:rPr>
      </w:pPr>
      <w:r w:rsidRPr="00BF3CBC">
        <w:rPr>
          <w:sz w:val="24"/>
          <w:szCs w:val="24"/>
        </w:rPr>
        <w:t>18 mg: 56320</w:t>
      </w:r>
    </w:p>
    <w:p w:rsidR="008E4AD7" w:rsidRPr="00BF3CBC" w:rsidRDefault="008E4AD7" w:rsidP="008E4AD7">
      <w:pPr>
        <w:ind w:left="851"/>
        <w:rPr>
          <w:sz w:val="24"/>
          <w:szCs w:val="24"/>
        </w:rPr>
      </w:pPr>
      <w:r w:rsidRPr="00BF3CBC">
        <w:rPr>
          <w:sz w:val="24"/>
          <w:szCs w:val="24"/>
        </w:rPr>
        <w:t>27 mg: 56321</w:t>
      </w:r>
    </w:p>
    <w:p w:rsidR="008E4AD7" w:rsidRPr="00BF3CBC" w:rsidRDefault="008E4AD7" w:rsidP="008E4AD7">
      <w:pPr>
        <w:ind w:left="851"/>
        <w:rPr>
          <w:sz w:val="24"/>
          <w:szCs w:val="24"/>
        </w:rPr>
      </w:pPr>
      <w:r w:rsidRPr="00BF3CBC">
        <w:rPr>
          <w:sz w:val="24"/>
          <w:szCs w:val="24"/>
        </w:rPr>
        <w:t>36 mg: 56322</w:t>
      </w:r>
    </w:p>
    <w:p w:rsidR="008E4AD7" w:rsidRPr="00BF3CBC" w:rsidRDefault="008E4AD7" w:rsidP="008E4AD7">
      <w:pPr>
        <w:ind w:left="851"/>
        <w:rPr>
          <w:sz w:val="24"/>
          <w:szCs w:val="24"/>
        </w:rPr>
      </w:pPr>
      <w:r w:rsidRPr="00BF3CBC">
        <w:rPr>
          <w:sz w:val="24"/>
          <w:szCs w:val="24"/>
        </w:rPr>
        <w:t>54 mg: 56323</w:t>
      </w:r>
    </w:p>
    <w:p w:rsidR="008E4AD7" w:rsidRPr="00BF3CBC" w:rsidRDefault="008E4AD7" w:rsidP="008E4AD7">
      <w:pPr>
        <w:tabs>
          <w:tab w:val="left" w:pos="851"/>
        </w:tabs>
        <w:ind w:left="851" w:hanging="851"/>
        <w:jc w:val="both"/>
        <w:rPr>
          <w:sz w:val="24"/>
          <w:szCs w:val="24"/>
        </w:rPr>
      </w:pPr>
    </w:p>
    <w:p w:rsidR="00657134" w:rsidRPr="00C84483" w:rsidRDefault="00657134" w:rsidP="00657134">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8E4AD7" w:rsidRPr="00BF3CBC" w:rsidRDefault="008E4AD7" w:rsidP="008E4AD7">
      <w:pPr>
        <w:tabs>
          <w:tab w:val="left" w:pos="851"/>
        </w:tabs>
        <w:ind w:left="851" w:hanging="851"/>
        <w:rPr>
          <w:sz w:val="24"/>
          <w:szCs w:val="24"/>
        </w:rPr>
      </w:pPr>
      <w:r w:rsidRPr="00BF3CBC">
        <w:rPr>
          <w:sz w:val="24"/>
          <w:szCs w:val="24"/>
        </w:rPr>
        <w:tab/>
        <w:t>2. august 2016</w:t>
      </w:r>
    </w:p>
    <w:p w:rsidR="008E4AD7" w:rsidRPr="00BF3CBC" w:rsidRDefault="008E4AD7" w:rsidP="008E4AD7">
      <w:pPr>
        <w:tabs>
          <w:tab w:val="left" w:pos="851"/>
        </w:tabs>
        <w:ind w:left="851" w:hanging="851"/>
        <w:rPr>
          <w:sz w:val="24"/>
          <w:szCs w:val="24"/>
        </w:rPr>
      </w:pPr>
    </w:p>
    <w:p w:rsidR="00657134" w:rsidRPr="00C84483" w:rsidRDefault="00657134" w:rsidP="00657134">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8E4AD7" w:rsidRDefault="00E90286" w:rsidP="00E90286">
      <w:pPr>
        <w:ind w:left="851"/>
      </w:pPr>
      <w:r>
        <w:rPr>
          <w:sz w:val="24"/>
          <w:szCs w:val="24"/>
        </w:rPr>
        <w:t>8. august 2024</w:t>
      </w:r>
    </w:p>
    <w:sectPr w:rsidR="009260DE" w:rsidRPr="008E4AD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D29" w:rsidRDefault="00994D29">
      <w:r>
        <w:separator/>
      </w:r>
    </w:p>
  </w:endnote>
  <w:endnote w:type="continuationSeparator" w:id="0">
    <w:p w:rsidR="00994D29" w:rsidRDefault="00994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D29" w:rsidRDefault="00994D29">
    <w:pPr>
      <w:pStyle w:val="Sidefod"/>
      <w:pBdr>
        <w:bottom w:val="single" w:sz="6" w:space="1" w:color="auto"/>
      </w:pBdr>
    </w:pPr>
  </w:p>
  <w:p w:rsidR="00994D29" w:rsidRDefault="00994D29" w:rsidP="00C42586">
    <w:pPr>
      <w:pStyle w:val="Sidefod"/>
      <w:tabs>
        <w:tab w:val="clear" w:pos="4819"/>
        <w:tab w:val="left" w:pos="8505"/>
      </w:tabs>
      <w:rPr>
        <w:i/>
        <w:sz w:val="18"/>
        <w:szCs w:val="18"/>
      </w:rPr>
    </w:pPr>
  </w:p>
  <w:p w:rsidR="00994D29" w:rsidRPr="00B373D7" w:rsidRDefault="00994D2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Methylphenidate Actavis, depottabletter 18 mg, 27 mg, 36 mg og 54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D29" w:rsidRDefault="00994D29">
      <w:r>
        <w:separator/>
      </w:r>
    </w:p>
  </w:footnote>
  <w:footnote w:type="continuationSeparator" w:id="0">
    <w:p w:rsidR="00994D29" w:rsidRDefault="00994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89F74BE"/>
    <w:multiLevelType w:val="hybridMultilevel"/>
    <w:tmpl w:val="DDB4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6D9453B"/>
    <w:multiLevelType w:val="hybridMultilevel"/>
    <w:tmpl w:val="5050966A"/>
    <w:lvl w:ilvl="0" w:tplc="04060001">
      <w:start w:val="1"/>
      <w:numFmt w:val="bullet"/>
      <w:lvlText w:val=""/>
      <w:lvlJc w:val="left"/>
      <w:pPr>
        <w:ind w:left="1634" w:hanging="360"/>
      </w:pPr>
      <w:rPr>
        <w:rFonts w:ascii="Symbol" w:hAnsi="Symbol" w:hint="default"/>
      </w:rPr>
    </w:lvl>
    <w:lvl w:ilvl="1" w:tplc="04060003">
      <w:start w:val="1"/>
      <w:numFmt w:val="bullet"/>
      <w:lvlText w:val="o"/>
      <w:lvlJc w:val="left"/>
      <w:pPr>
        <w:ind w:left="2354" w:hanging="360"/>
      </w:pPr>
      <w:rPr>
        <w:rFonts w:ascii="Courier New" w:hAnsi="Courier New" w:cs="Courier New" w:hint="default"/>
      </w:rPr>
    </w:lvl>
    <w:lvl w:ilvl="2" w:tplc="04060005">
      <w:start w:val="1"/>
      <w:numFmt w:val="bullet"/>
      <w:lvlText w:val=""/>
      <w:lvlJc w:val="left"/>
      <w:pPr>
        <w:ind w:left="3074" w:hanging="360"/>
      </w:pPr>
      <w:rPr>
        <w:rFonts w:ascii="Wingdings" w:hAnsi="Wingdings" w:hint="default"/>
      </w:rPr>
    </w:lvl>
    <w:lvl w:ilvl="3" w:tplc="04060001">
      <w:start w:val="1"/>
      <w:numFmt w:val="bullet"/>
      <w:lvlText w:val=""/>
      <w:lvlJc w:val="left"/>
      <w:pPr>
        <w:ind w:left="3794" w:hanging="360"/>
      </w:pPr>
      <w:rPr>
        <w:rFonts w:ascii="Symbol" w:hAnsi="Symbol" w:hint="default"/>
      </w:rPr>
    </w:lvl>
    <w:lvl w:ilvl="4" w:tplc="04060003">
      <w:start w:val="1"/>
      <w:numFmt w:val="bullet"/>
      <w:lvlText w:val="o"/>
      <w:lvlJc w:val="left"/>
      <w:pPr>
        <w:ind w:left="4514" w:hanging="360"/>
      </w:pPr>
      <w:rPr>
        <w:rFonts w:ascii="Courier New" w:hAnsi="Courier New" w:cs="Courier New" w:hint="default"/>
      </w:rPr>
    </w:lvl>
    <w:lvl w:ilvl="5" w:tplc="04060005">
      <w:start w:val="1"/>
      <w:numFmt w:val="bullet"/>
      <w:lvlText w:val=""/>
      <w:lvlJc w:val="left"/>
      <w:pPr>
        <w:ind w:left="5234" w:hanging="360"/>
      </w:pPr>
      <w:rPr>
        <w:rFonts w:ascii="Wingdings" w:hAnsi="Wingdings" w:hint="default"/>
      </w:rPr>
    </w:lvl>
    <w:lvl w:ilvl="6" w:tplc="04060001">
      <w:start w:val="1"/>
      <w:numFmt w:val="bullet"/>
      <w:lvlText w:val=""/>
      <w:lvlJc w:val="left"/>
      <w:pPr>
        <w:ind w:left="5954" w:hanging="360"/>
      </w:pPr>
      <w:rPr>
        <w:rFonts w:ascii="Symbol" w:hAnsi="Symbol" w:hint="default"/>
      </w:rPr>
    </w:lvl>
    <w:lvl w:ilvl="7" w:tplc="04060003">
      <w:start w:val="1"/>
      <w:numFmt w:val="bullet"/>
      <w:lvlText w:val="o"/>
      <w:lvlJc w:val="left"/>
      <w:pPr>
        <w:ind w:left="6674" w:hanging="360"/>
      </w:pPr>
      <w:rPr>
        <w:rFonts w:ascii="Courier New" w:hAnsi="Courier New" w:cs="Courier New" w:hint="default"/>
      </w:rPr>
    </w:lvl>
    <w:lvl w:ilvl="8" w:tplc="04060005">
      <w:start w:val="1"/>
      <w:numFmt w:val="bullet"/>
      <w:lvlText w:val=""/>
      <w:lvlJc w:val="left"/>
      <w:pPr>
        <w:ind w:left="7394"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C745007"/>
    <w:multiLevelType w:val="hybridMultilevel"/>
    <w:tmpl w:val="4C642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5"/>
  </w:num>
  <w:num w:numId="9">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AD7"/>
    <w:rsid w:val="000259B9"/>
    <w:rsid w:val="00041491"/>
    <w:rsid w:val="00050D16"/>
    <w:rsid w:val="00074F2A"/>
    <w:rsid w:val="000A1CA8"/>
    <w:rsid w:val="000A466B"/>
    <w:rsid w:val="000B058C"/>
    <w:rsid w:val="000E4EE6"/>
    <w:rsid w:val="001454E2"/>
    <w:rsid w:val="00164EA8"/>
    <w:rsid w:val="001D595B"/>
    <w:rsid w:val="00206CE8"/>
    <w:rsid w:val="00207A54"/>
    <w:rsid w:val="0021526C"/>
    <w:rsid w:val="0024574C"/>
    <w:rsid w:val="00281244"/>
    <w:rsid w:val="00283A2B"/>
    <w:rsid w:val="0028608B"/>
    <w:rsid w:val="002967FB"/>
    <w:rsid w:val="002A2EEA"/>
    <w:rsid w:val="002B30AD"/>
    <w:rsid w:val="002C2C01"/>
    <w:rsid w:val="0030680A"/>
    <w:rsid w:val="00344195"/>
    <w:rsid w:val="003A29AE"/>
    <w:rsid w:val="003A32D7"/>
    <w:rsid w:val="003B4074"/>
    <w:rsid w:val="003C769A"/>
    <w:rsid w:val="003F1838"/>
    <w:rsid w:val="0042497D"/>
    <w:rsid w:val="004255DB"/>
    <w:rsid w:val="0045746C"/>
    <w:rsid w:val="0049104B"/>
    <w:rsid w:val="004E3B12"/>
    <w:rsid w:val="005315D1"/>
    <w:rsid w:val="00532310"/>
    <w:rsid w:val="00560ECC"/>
    <w:rsid w:val="00565F0F"/>
    <w:rsid w:val="00580E3B"/>
    <w:rsid w:val="0059005A"/>
    <w:rsid w:val="00594A86"/>
    <w:rsid w:val="00596D86"/>
    <w:rsid w:val="00610AF4"/>
    <w:rsid w:val="00637F5A"/>
    <w:rsid w:val="00653458"/>
    <w:rsid w:val="006560B1"/>
    <w:rsid w:val="00657134"/>
    <w:rsid w:val="006756DD"/>
    <w:rsid w:val="00676628"/>
    <w:rsid w:val="00676D1C"/>
    <w:rsid w:val="006D190C"/>
    <w:rsid w:val="006E69CC"/>
    <w:rsid w:val="00737275"/>
    <w:rsid w:val="00740EEC"/>
    <w:rsid w:val="0078011A"/>
    <w:rsid w:val="00782AF4"/>
    <w:rsid w:val="00790EE7"/>
    <w:rsid w:val="007B6649"/>
    <w:rsid w:val="008042E2"/>
    <w:rsid w:val="0081546F"/>
    <w:rsid w:val="0082576E"/>
    <w:rsid w:val="00840792"/>
    <w:rsid w:val="0088631E"/>
    <w:rsid w:val="008E4AD7"/>
    <w:rsid w:val="00907F75"/>
    <w:rsid w:val="00913247"/>
    <w:rsid w:val="00925A77"/>
    <w:rsid w:val="009260DE"/>
    <w:rsid w:val="0093258A"/>
    <w:rsid w:val="00994D29"/>
    <w:rsid w:val="009A772D"/>
    <w:rsid w:val="009C7BA3"/>
    <w:rsid w:val="009D1F5A"/>
    <w:rsid w:val="00A32A6A"/>
    <w:rsid w:val="00A46903"/>
    <w:rsid w:val="00AD78A4"/>
    <w:rsid w:val="00B003BF"/>
    <w:rsid w:val="00B373D7"/>
    <w:rsid w:val="00BC76DB"/>
    <w:rsid w:val="00C36276"/>
    <w:rsid w:val="00C42586"/>
    <w:rsid w:val="00C60CCD"/>
    <w:rsid w:val="00C84483"/>
    <w:rsid w:val="00C95551"/>
    <w:rsid w:val="00CB20D7"/>
    <w:rsid w:val="00D020B0"/>
    <w:rsid w:val="00D11748"/>
    <w:rsid w:val="00D366CF"/>
    <w:rsid w:val="00DD68A2"/>
    <w:rsid w:val="00DE3C3D"/>
    <w:rsid w:val="00E108AA"/>
    <w:rsid w:val="00E31812"/>
    <w:rsid w:val="00E3749A"/>
    <w:rsid w:val="00E7437F"/>
    <w:rsid w:val="00E865B8"/>
    <w:rsid w:val="00E90286"/>
    <w:rsid w:val="00EA1EE7"/>
    <w:rsid w:val="00EC0B9B"/>
    <w:rsid w:val="00ED5E9F"/>
    <w:rsid w:val="00EF1492"/>
    <w:rsid w:val="00F66D4F"/>
    <w:rsid w:val="00FA0296"/>
    <w:rsid w:val="00FA134F"/>
    <w:rsid w:val="00FA3C70"/>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E9498"/>
  <w15:chartTrackingRefBased/>
  <w15:docId w15:val="{42902BAA-9823-4311-BBC0-AE6F5C59B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574C"/>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rsid w:val="008E4AD7"/>
    <w:rPr>
      <w:color w:val="0000FF"/>
      <w:u w:val="single"/>
    </w:rPr>
  </w:style>
  <w:style w:type="character" w:styleId="Strk">
    <w:name w:val="Strong"/>
    <w:uiPriority w:val="22"/>
    <w:qFormat/>
    <w:rsid w:val="008E4AD7"/>
    <w:rPr>
      <w:b/>
      <w:bCs/>
    </w:rPr>
  </w:style>
  <w:style w:type="paragraph" w:styleId="NormalWeb">
    <w:name w:val="Normal (Web)"/>
    <w:basedOn w:val="Normal"/>
    <w:uiPriority w:val="99"/>
    <w:unhideWhenUsed/>
    <w:rsid w:val="008E4AD7"/>
    <w:pPr>
      <w:spacing w:before="45" w:after="100" w:afterAutospacing="1"/>
    </w:pPr>
    <w:rPr>
      <w:sz w:val="22"/>
      <w:szCs w:val="22"/>
      <w:lang w:val="sv-SE" w:eastAsia="sv-SE"/>
    </w:rPr>
  </w:style>
  <w:style w:type="paragraph" w:customStyle="1" w:styleId="Default">
    <w:name w:val="Default"/>
    <w:uiPriority w:val="99"/>
    <w:rsid w:val="008E4AD7"/>
    <w:pPr>
      <w:autoSpaceDE w:val="0"/>
      <w:autoSpaceDN w:val="0"/>
      <w:adjustRightInd w:val="0"/>
    </w:pPr>
    <w:rPr>
      <w:rFonts w:ascii="Verdana" w:eastAsiaTheme="minorHAnsi" w:hAnsi="Verdana" w:cs="Verdana"/>
      <w:color w:val="000000"/>
      <w:sz w:val="24"/>
      <w:szCs w:val="24"/>
      <w:lang w:val="en-US" w:eastAsia="en-US"/>
    </w:rPr>
  </w:style>
  <w:style w:type="paragraph" w:styleId="Listeafsnit">
    <w:name w:val="List Paragraph"/>
    <w:basedOn w:val="Normal"/>
    <w:uiPriority w:val="34"/>
    <w:qFormat/>
    <w:rsid w:val="008E4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75930">
      <w:bodyDiv w:val="1"/>
      <w:marLeft w:val="0"/>
      <w:marRight w:val="0"/>
      <w:marTop w:val="0"/>
      <w:marBottom w:val="0"/>
      <w:divBdr>
        <w:top w:val="none" w:sz="0" w:space="0" w:color="auto"/>
        <w:left w:val="none" w:sz="0" w:space="0" w:color="auto"/>
        <w:bottom w:val="none" w:sz="0" w:space="0" w:color="auto"/>
        <w:right w:val="none" w:sz="0" w:space="0" w:color="auto"/>
      </w:divBdr>
    </w:div>
    <w:div w:id="16136344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4882223">
      <w:bodyDiv w:val="1"/>
      <w:marLeft w:val="0"/>
      <w:marRight w:val="0"/>
      <w:marTop w:val="0"/>
      <w:marBottom w:val="0"/>
      <w:divBdr>
        <w:top w:val="none" w:sz="0" w:space="0" w:color="auto"/>
        <w:left w:val="none" w:sz="0" w:space="0" w:color="auto"/>
        <w:bottom w:val="none" w:sz="0" w:space="0" w:color="auto"/>
        <w:right w:val="none" w:sz="0" w:space="0" w:color="auto"/>
      </w:divBdr>
    </w:div>
    <w:div w:id="303170182">
      <w:bodyDiv w:val="1"/>
      <w:marLeft w:val="0"/>
      <w:marRight w:val="0"/>
      <w:marTop w:val="0"/>
      <w:marBottom w:val="0"/>
      <w:divBdr>
        <w:top w:val="none" w:sz="0" w:space="0" w:color="auto"/>
        <w:left w:val="none" w:sz="0" w:space="0" w:color="auto"/>
        <w:bottom w:val="none" w:sz="0" w:space="0" w:color="auto"/>
        <w:right w:val="none" w:sz="0" w:space="0" w:color="auto"/>
      </w:divBdr>
    </w:div>
    <w:div w:id="313461297">
      <w:bodyDiv w:val="1"/>
      <w:marLeft w:val="0"/>
      <w:marRight w:val="0"/>
      <w:marTop w:val="0"/>
      <w:marBottom w:val="0"/>
      <w:divBdr>
        <w:top w:val="none" w:sz="0" w:space="0" w:color="auto"/>
        <w:left w:val="none" w:sz="0" w:space="0" w:color="auto"/>
        <w:bottom w:val="none" w:sz="0" w:space="0" w:color="auto"/>
        <w:right w:val="none" w:sz="0" w:space="0" w:color="auto"/>
      </w:divBdr>
    </w:div>
    <w:div w:id="387848814">
      <w:bodyDiv w:val="1"/>
      <w:marLeft w:val="0"/>
      <w:marRight w:val="0"/>
      <w:marTop w:val="0"/>
      <w:marBottom w:val="0"/>
      <w:divBdr>
        <w:top w:val="none" w:sz="0" w:space="0" w:color="auto"/>
        <w:left w:val="none" w:sz="0" w:space="0" w:color="auto"/>
        <w:bottom w:val="none" w:sz="0" w:space="0" w:color="auto"/>
        <w:right w:val="none" w:sz="0" w:space="0" w:color="auto"/>
      </w:divBdr>
    </w:div>
    <w:div w:id="435174664">
      <w:bodyDiv w:val="1"/>
      <w:marLeft w:val="0"/>
      <w:marRight w:val="0"/>
      <w:marTop w:val="0"/>
      <w:marBottom w:val="0"/>
      <w:divBdr>
        <w:top w:val="none" w:sz="0" w:space="0" w:color="auto"/>
        <w:left w:val="none" w:sz="0" w:space="0" w:color="auto"/>
        <w:bottom w:val="none" w:sz="0" w:space="0" w:color="auto"/>
        <w:right w:val="none" w:sz="0" w:space="0" w:color="auto"/>
      </w:divBdr>
    </w:div>
    <w:div w:id="571238120">
      <w:bodyDiv w:val="1"/>
      <w:marLeft w:val="0"/>
      <w:marRight w:val="0"/>
      <w:marTop w:val="0"/>
      <w:marBottom w:val="0"/>
      <w:divBdr>
        <w:top w:val="none" w:sz="0" w:space="0" w:color="auto"/>
        <w:left w:val="none" w:sz="0" w:space="0" w:color="auto"/>
        <w:bottom w:val="none" w:sz="0" w:space="0" w:color="auto"/>
        <w:right w:val="none" w:sz="0" w:space="0" w:color="auto"/>
      </w:divBdr>
    </w:div>
    <w:div w:id="613750891">
      <w:bodyDiv w:val="1"/>
      <w:marLeft w:val="0"/>
      <w:marRight w:val="0"/>
      <w:marTop w:val="0"/>
      <w:marBottom w:val="0"/>
      <w:divBdr>
        <w:top w:val="none" w:sz="0" w:space="0" w:color="auto"/>
        <w:left w:val="none" w:sz="0" w:space="0" w:color="auto"/>
        <w:bottom w:val="none" w:sz="0" w:space="0" w:color="auto"/>
        <w:right w:val="none" w:sz="0" w:space="0" w:color="auto"/>
      </w:divBdr>
    </w:div>
    <w:div w:id="877085137">
      <w:bodyDiv w:val="1"/>
      <w:marLeft w:val="0"/>
      <w:marRight w:val="0"/>
      <w:marTop w:val="0"/>
      <w:marBottom w:val="0"/>
      <w:divBdr>
        <w:top w:val="none" w:sz="0" w:space="0" w:color="auto"/>
        <w:left w:val="none" w:sz="0" w:space="0" w:color="auto"/>
        <w:bottom w:val="none" w:sz="0" w:space="0" w:color="auto"/>
        <w:right w:val="none" w:sz="0" w:space="0" w:color="auto"/>
      </w:divBdr>
    </w:div>
    <w:div w:id="1037508639">
      <w:bodyDiv w:val="1"/>
      <w:marLeft w:val="0"/>
      <w:marRight w:val="0"/>
      <w:marTop w:val="0"/>
      <w:marBottom w:val="0"/>
      <w:divBdr>
        <w:top w:val="none" w:sz="0" w:space="0" w:color="auto"/>
        <w:left w:val="none" w:sz="0" w:space="0" w:color="auto"/>
        <w:bottom w:val="none" w:sz="0" w:space="0" w:color="auto"/>
        <w:right w:val="none" w:sz="0" w:space="0" w:color="auto"/>
      </w:divBdr>
    </w:div>
    <w:div w:id="1060863414">
      <w:bodyDiv w:val="1"/>
      <w:marLeft w:val="0"/>
      <w:marRight w:val="0"/>
      <w:marTop w:val="0"/>
      <w:marBottom w:val="0"/>
      <w:divBdr>
        <w:top w:val="none" w:sz="0" w:space="0" w:color="auto"/>
        <w:left w:val="none" w:sz="0" w:space="0" w:color="auto"/>
        <w:bottom w:val="none" w:sz="0" w:space="0" w:color="auto"/>
        <w:right w:val="none" w:sz="0" w:space="0" w:color="auto"/>
      </w:divBdr>
    </w:div>
    <w:div w:id="1200894010">
      <w:bodyDiv w:val="1"/>
      <w:marLeft w:val="0"/>
      <w:marRight w:val="0"/>
      <w:marTop w:val="0"/>
      <w:marBottom w:val="0"/>
      <w:divBdr>
        <w:top w:val="none" w:sz="0" w:space="0" w:color="auto"/>
        <w:left w:val="none" w:sz="0" w:space="0" w:color="auto"/>
        <w:bottom w:val="none" w:sz="0" w:space="0" w:color="auto"/>
        <w:right w:val="none" w:sz="0" w:space="0" w:color="auto"/>
      </w:divBdr>
    </w:div>
    <w:div w:id="1537767592">
      <w:bodyDiv w:val="1"/>
      <w:marLeft w:val="0"/>
      <w:marRight w:val="0"/>
      <w:marTop w:val="0"/>
      <w:marBottom w:val="0"/>
      <w:divBdr>
        <w:top w:val="none" w:sz="0" w:space="0" w:color="auto"/>
        <w:left w:val="none" w:sz="0" w:space="0" w:color="auto"/>
        <w:bottom w:val="none" w:sz="0" w:space="0" w:color="auto"/>
        <w:right w:val="none" w:sz="0" w:space="0" w:color="auto"/>
      </w:divBdr>
    </w:div>
    <w:div w:id="1556039403">
      <w:bodyDiv w:val="1"/>
      <w:marLeft w:val="0"/>
      <w:marRight w:val="0"/>
      <w:marTop w:val="0"/>
      <w:marBottom w:val="0"/>
      <w:divBdr>
        <w:top w:val="none" w:sz="0" w:space="0" w:color="auto"/>
        <w:left w:val="none" w:sz="0" w:space="0" w:color="auto"/>
        <w:bottom w:val="none" w:sz="0" w:space="0" w:color="auto"/>
        <w:right w:val="none" w:sz="0" w:space="0" w:color="auto"/>
      </w:divBdr>
    </w:div>
    <w:div w:id="1561400616">
      <w:bodyDiv w:val="1"/>
      <w:marLeft w:val="0"/>
      <w:marRight w:val="0"/>
      <w:marTop w:val="0"/>
      <w:marBottom w:val="0"/>
      <w:divBdr>
        <w:top w:val="none" w:sz="0" w:space="0" w:color="auto"/>
        <w:left w:val="none" w:sz="0" w:space="0" w:color="auto"/>
        <w:bottom w:val="none" w:sz="0" w:space="0" w:color="auto"/>
        <w:right w:val="none" w:sz="0" w:space="0" w:color="auto"/>
      </w:divBdr>
    </w:div>
    <w:div w:id="1834254054">
      <w:bodyDiv w:val="1"/>
      <w:marLeft w:val="0"/>
      <w:marRight w:val="0"/>
      <w:marTop w:val="0"/>
      <w:marBottom w:val="0"/>
      <w:divBdr>
        <w:top w:val="none" w:sz="0" w:space="0" w:color="auto"/>
        <w:left w:val="none" w:sz="0" w:space="0" w:color="auto"/>
        <w:bottom w:val="none" w:sz="0" w:space="0" w:color="auto"/>
        <w:right w:val="none" w:sz="0" w:space="0" w:color="auto"/>
      </w:divBdr>
    </w:div>
    <w:div w:id="1862402369">
      <w:bodyDiv w:val="1"/>
      <w:marLeft w:val="0"/>
      <w:marRight w:val="0"/>
      <w:marTop w:val="0"/>
      <w:marBottom w:val="0"/>
      <w:divBdr>
        <w:top w:val="none" w:sz="0" w:space="0" w:color="auto"/>
        <w:left w:val="none" w:sz="0" w:space="0" w:color="auto"/>
        <w:bottom w:val="none" w:sz="0" w:space="0" w:color="auto"/>
        <w:right w:val="none" w:sz="0" w:space="0" w:color="auto"/>
      </w:divBdr>
    </w:div>
    <w:div w:id="1916548298">
      <w:bodyDiv w:val="1"/>
      <w:marLeft w:val="0"/>
      <w:marRight w:val="0"/>
      <w:marTop w:val="0"/>
      <w:marBottom w:val="0"/>
      <w:divBdr>
        <w:top w:val="none" w:sz="0" w:space="0" w:color="auto"/>
        <w:left w:val="none" w:sz="0" w:space="0" w:color="auto"/>
        <w:bottom w:val="none" w:sz="0" w:space="0" w:color="auto"/>
        <w:right w:val="none" w:sz="0" w:space="0" w:color="auto"/>
      </w:divBdr>
    </w:div>
    <w:div w:id="211369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23</Pages>
  <Words>6899</Words>
  <Characters>46892</Characters>
  <Application>Microsoft Office Word</Application>
  <DocSecurity>0</DocSecurity>
  <Lines>390</Lines>
  <Paragraphs>107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2023090655, var. 23, opdatering iht reference produkt</dc:description>
  <cp:lastModifiedBy>Gitte Jørgensen</cp:lastModifiedBy>
  <cp:revision>16</cp:revision>
  <cp:lastPrinted>2012-08-22T08:53:00Z</cp:lastPrinted>
  <dcterms:created xsi:type="dcterms:W3CDTF">2024-08-08T10:38:00Z</dcterms:created>
  <dcterms:modified xsi:type="dcterms:W3CDTF">2024-08-08T11:32:00Z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