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E13" w:rsidRPr="008F49E1" w:rsidRDefault="008B5E13" w:rsidP="008B5E13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2D3B611E" wp14:editId="5A098BB2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8B5E13" w:rsidRPr="00C84483" w:rsidRDefault="008B5E13" w:rsidP="008B5E1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</w:p>
    <w:p w:rsidR="008B5E13" w:rsidRPr="00C84483" w:rsidRDefault="008B5E13" w:rsidP="008B5E13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354835">
        <w:rPr>
          <w:szCs w:val="24"/>
        </w:rPr>
        <w:t>17. december 2024</w:t>
      </w:r>
    </w:p>
    <w:p w:rsidR="008B5E13" w:rsidRPr="00C84483" w:rsidRDefault="008B5E13" w:rsidP="008B5E13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8B5E13" w:rsidRPr="00C84483" w:rsidRDefault="008B5E13" w:rsidP="008B5E13">
      <w:pPr>
        <w:pStyle w:val="Titel"/>
        <w:jc w:val="left"/>
        <w:rPr>
          <w:b w:val="0"/>
          <w:szCs w:val="24"/>
        </w:rPr>
      </w:pPr>
    </w:p>
    <w:p w:rsidR="008B5E13" w:rsidRPr="00C84483" w:rsidRDefault="008B5E13" w:rsidP="008B5E13">
      <w:pPr>
        <w:pStyle w:val="Titel"/>
        <w:jc w:val="left"/>
        <w:rPr>
          <w:b w:val="0"/>
          <w:szCs w:val="24"/>
        </w:rPr>
      </w:pPr>
    </w:p>
    <w:p w:rsidR="008B5E13" w:rsidRPr="00C84483" w:rsidRDefault="008B5E13" w:rsidP="008B5E1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8B5E13" w:rsidRPr="00C84483" w:rsidRDefault="00556DF6" w:rsidP="00556DF6">
      <w:pPr>
        <w:tabs>
          <w:tab w:val="left" w:pos="58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8B5E13" w:rsidRDefault="008B5E13" w:rsidP="008B5E13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8B5E13" w:rsidRPr="00C84483" w:rsidRDefault="008B5E13" w:rsidP="008B5E13">
      <w:pPr>
        <w:jc w:val="center"/>
        <w:rPr>
          <w:b/>
          <w:sz w:val="24"/>
          <w:szCs w:val="24"/>
        </w:rPr>
      </w:pPr>
    </w:p>
    <w:p w:rsidR="008B5E13" w:rsidRPr="00C84483" w:rsidRDefault="00354835" w:rsidP="008B5E13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Metoclopramide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Accord</w:t>
      </w:r>
      <w:proofErr w:type="spellEnd"/>
      <w:r w:rsidR="008B5E13">
        <w:rPr>
          <w:b/>
          <w:sz w:val="24"/>
          <w:szCs w:val="24"/>
        </w:rPr>
        <w:t>, tabletter</w:t>
      </w:r>
      <w:r>
        <w:rPr>
          <w:b/>
          <w:sz w:val="24"/>
          <w:szCs w:val="24"/>
        </w:rPr>
        <w:t xml:space="preserve"> (2care4)</w:t>
      </w:r>
    </w:p>
    <w:p w:rsidR="008B5E13" w:rsidRPr="00C84483" w:rsidRDefault="008B5E13" w:rsidP="008B5E13">
      <w:pPr>
        <w:jc w:val="both"/>
        <w:rPr>
          <w:sz w:val="24"/>
          <w:szCs w:val="24"/>
        </w:rPr>
      </w:pPr>
    </w:p>
    <w:p w:rsidR="008B5E13" w:rsidRPr="00C84483" w:rsidRDefault="008B5E13" w:rsidP="008B5E13">
      <w:pPr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30018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8B5E13" w:rsidRPr="00C84483" w:rsidRDefault="00354835" w:rsidP="008B5E13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Metoclopramide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Accord</w:t>
      </w:r>
      <w:proofErr w:type="spellEnd"/>
      <w:r w:rsidR="00FC52BD">
        <w:rPr>
          <w:sz w:val="24"/>
          <w:szCs w:val="24"/>
        </w:rPr>
        <w:t xml:space="preserve"> 10 mg tabletter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Hver tablet indeholder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metoclopramidhydrochlorid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svarende til 10 mg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metoclopramidhydrochlorid</w:t>
      </w:r>
      <w:proofErr w:type="spellEnd"/>
      <w:r w:rsidRPr="0040336C">
        <w:rPr>
          <w:rFonts w:ascii="Times New Roman" w:hAnsi="Times New Roman"/>
          <w:sz w:val="24"/>
          <w:szCs w:val="24"/>
        </w:rPr>
        <w:t>, vandfri</w:t>
      </w:r>
      <w:r>
        <w:rPr>
          <w:rFonts w:ascii="Times New Roman" w:hAnsi="Times New Roman"/>
          <w:sz w:val="24"/>
          <w:szCs w:val="24"/>
        </w:rPr>
        <w:t>.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9F086C" w:rsidRPr="0068129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  <w:u w:val="single"/>
        </w:rPr>
      </w:pPr>
      <w:r w:rsidRPr="0068129C">
        <w:rPr>
          <w:rFonts w:ascii="Times New Roman" w:hAnsi="Times New Roman"/>
          <w:sz w:val="24"/>
          <w:szCs w:val="24"/>
          <w:u w:val="single"/>
        </w:rPr>
        <w:t>Hjælpestof(fer), som behandleren skal være opmærksom på</w:t>
      </w:r>
    </w:p>
    <w:p w:rsidR="009F086C" w:rsidRDefault="009F086C" w:rsidP="009F086C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Hver tablet indeholder 1</w:t>
      </w:r>
      <w:r w:rsidRPr="0040336C">
        <w:rPr>
          <w:rFonts w:ascii="Times New Roman" w:hAnsi="Times New Roman"/>
          <w:sz w:val="24"/>
          <w:szCs w:val="24"/>
        </w:rPr>
        <w:t xml:space="preserve">01,24 mg </w:t>
      </w:r>
      <w:proofErr w:type="spellStart"/>
      <w:r w:rsidRPr="0040336C">
        <w:rPr>
          <w:rFonts w:ascii="Times New Roman" w:hAnsi="Times New Roman"/>
          <w:sz w:val="24"/>
          <w:szCs w:val="24"/>
        </w:rPr>
        <w:t>lactosemonohydrat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F086C" w:rsidRPr="0040336C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9F086C" w:rsidRPr="005D4FB9" w:rsidRDefault="009F086C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Alle hjælpestoffer er anført under pkt. 6.1.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8B5E13" w:rsidRDefault="008B5E13" w:rsidP="008B5E13">
      <w:pPr>
        <w:pStyle w:val="B1"/>
        <w:ind w:left="851"/>
        <w:jc w:val="left"/>
        <w:rPr>
          <w:rFonts w:ascii="Times New Roman" w:hAnsi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Tablet</w:t>
      </w:r>
      <w:r>
        <w:rPr>
          <w:rFonts w:ascii="Times New Roman" w:hAnsi="Times New Roman"/>
          <w:sz w:val="24"/>
          <w:szCs w:val="24"/>
        </w:rPr>
        <w:t>ter</w:t>
      </w:r>
      <w:r w:rsidR="00354835">
        <w:rPr>
          <w:rFonts w:ascii="Times New Roman" w:hAnsi="Times New Roman"/>
          <w:sz w:val="24"/>
          <w:szCs w:val="24"/>
        </w:rPr>
        <w:t xml:space="preserve"> (2care4)</w:t>
      </w:r>
    </w:p>
    <w:p w:rsidR="008B5E13" w:rsidRPr="0040336C" w:rsidRDefault="008B5E13" w:rsidP="008B5E13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8B5E13" w:rsidRPr="00C84483" w:rsidRDefault="008B5E13" w:rsidP="008B5E13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Voksne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indiceret til voksne til: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>Forebyggelse af forsinket kemoterapiinduceret kvalme og opkastning (CINV).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>Forebyggelse af kvalme og opkastning i forbindelse med strålebehandling (RINV).</w:t>
      </w:r>
    </w:p>
    <w:p w:rsidR="008B5E13" w:rsidRPr="00AE25D3" w:rsidRDefault="008B5E13" w:rsidP="008B5E13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</w:r>
      <w:r w:rsidRPr="00AE25D3">
        <w:rPr>
          <w:rFonts w:cs="Arial"/>
          <w:sz w:val="24"/>
          <w:szCs w:val="24"/>
          <w:lang w:eastAsia="da-DK"/>
        </w:rPr>
        <w:t xml:space="preserve">Symptomatisk behandling af kvalme og opkastning, herunder kvalme og opkastning forårsaget af akut migræne.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anvendes i kombination med orale </w:t>
      </w:r>
      <w:proofErr w:type="spellStart"/>
      <w:r w:rsidRPr="00AE25D3">
        <w:rPr>
          <w:rFonts w:cs="Arial"/>
          <w:sz w:val="24"/>
          <w:szCs w:val="24"/>
          <w:lang w:eastAsia="da-DK"/>
        </w:rPr>
        <w:t>analgetika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for at forbedre absorptionen af </w:t>
      </w:r>
      <w:proofErr w:type="spellStart"/>
      <w:r w:rsidRPr="00AE25D3">
        <w:rPr>
          <w:rFonts w:cs="Arial"/>
          <w:sz w:val="24"/>
          <w:szCs w:val="24"/>
          <w:lang w:eastAsia="da-DK"/>
        </w:rPr>
        <w:t>analgetika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ved akut migræne.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Pædiatrisk population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indiceret til børn (i alderen 1-18 år) til:</w:t>
      </w:r>
    </w:p>
    <w:p w:rsidR="008B5E13" w:rsidRPr="00C84483" w:rsidRDefault="008B5E13" w:rsidP="008B5E13">
      <w:pPr>
        <w:tabs>
          <w:tab w:val="right" w:pos="8505"/>
        </w:tabs>
        <w:ind w:left="1134" w:hanging="283"/>
        <w:rPr>
          <w:sz w:val="24"/>
          <w:szCs w:val="24"/>
        </w:rPr>
      </w:pPr>
      <w:r>
        <w:rPr>
          <w:rFonts w:cs="Arial"/>
          <w:bCs/>
          <w:sz w:val="24"/>
          <w:szCs w:val="24"/>
          <w:lang w:eastAsia="da-DK"/>
        </w:rPr>
        <w:lastRenderedPageBreak/>
        <w:t>-</w:t>
      </w:r>
      <w:r>
        <w:rPr>
          <w:rFonts w:cs="Arial"/>
          <w:bCs/>
          <w:sz w:val="24"/>
          <w:szCs w:val="24"/>
          <w:lang w:eastAsia="da-DK"/>
        </w:rPr>
        <w:tab/>
      </w:r>
      <w:r w:rsidRPr="00AE25D3">
        <w:rPr>
          <w:rFonts w:cs="Arial"/>
          <w:bCs/>
          <w:sz w:val="24"/>
          <w:szCs w:val="24"/>
          <w:lang w:eastAsia="da-DK"/>
        </w:rPr>
        <w:t xml:space="preserve">Forebyggelse af forsinket kemoterapiinduceret kvalme og opkastning (CINV) som </w:t>
      </w:r>
      <w:proofErr w:type="spellStart"/>
      <w:r w:rsidRPr="00AE25D3">
        <w:rPr>
          <w:rFonts w:cs="Arial"/>
          <w:bCs/>
          <w:sz w:val="24"/>
          <w:szCs w:val="24"/>
          <w:lang w:eastAsia="da-DK"/>
        </w:rPr>
        <w:t>andenvalgsbehandling</w:t>
      </w:r>
      <w:proofErr w:type="spellEnd"/>
      <w:r>
        <w:rPr>
          <w:rFonts w:cs="Arial"/>
          <w:bCs/>
          <w:sz w:val="24"/>
          <w:szCs w:val="24"/>
          <w:lang w:eastAsia="da-DK"/>
        </w:rPr>
        <w:t>.</w:t>
      </w:r>
      <w:r w:rsidRPr="00C84483">
        <w:rPr>
          <w:sz w:val="24"/>
          <w:szCs w:val="24"/>
        </w:rPr>
        <w:t xml:space="preserve"> 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 w:rsidR="00FC52BD">
        <w:rPr>
          <w:b/>
          <w:sz w:val="24"/>
          <w:szCs w:val="24"/>
        </w:rPr>
        <w:t>administration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Dosering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Voksne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anbefalede enkeltdosis er 10 mg, administreret op til tre gange daglig.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anbefalede daglige dosis er 30 mg eller 0,5 mg/kg legemsvægt.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anbefalede behandlingsvarighed er 5 dage.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Forebyggelse af forsinket kemoterapiinduceret kvalme og opkastning (CINV) (pædiatriske patienter i alderen 1-18 år)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anbefalede dosis er 0,1 til 0,15 mg/kg legemsvægt, administreret oralt op til tre gange daglig. Den maksimale dosis inden for 24 timer er 0,5 mg/kg legemsvægt.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Doseringstabel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1559"/>
        <w:gridCol w:w="1276"/>
        <w:gridCol w:w="2835"/>
      </w:tblGrid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Alder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Kropsvægt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Dosis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Hyppighed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1-3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10-14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3-5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15-19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5-9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20-29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2,5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9-18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30-60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5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  <w:tr w:rsidR="008B5E13" w:rsidRPr="00AE25D3" w:rsidTr="003B4BCE"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29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15-18 år</w:t>
            </w:r>
          </w:p>
        </w:tc>
        <w:tc>
          <w:tcPr>
            <w:tcW w:w="1559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22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Over 60 kg</w:t>
            </w:r>
          </w:p>
        </w:tc>
        <w:tc>
          <w:tcPr>
            <w:tcW w:w="1276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34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10 mg</w:t>
            </w:r>
          </w:p>
        </w:tc>
        <w:tc>
          <w:tcPr>
            <w:tcW w:w="2835" w:type="dxa"/>
          </w:tcPr>
          <w:p w:rsidR="008B5E13" w:rsidRPr="00AE25D3" w:rsidRDefault="008B5E13" w:rsidP="003B4BCE">
            <w:pPr>
              <w:tabs>
                <w:tab w:val="right" w:pos="8505"/>
              </w:tabs>
              <w:ind w:left="175" w:right="-763"/>
              <w:rPr>
                <w:sz w:val="24"/>
                <w:szCs w:val="24"/>
                <w:lang w:eastAsia="da-DK"/>
              </w:rPr>
            </w:pPr>
            <w:r w:rsidRPr="00AE25D3">
              <w:rPr>
                <w:rFonts w:cs="Arial"/>
                <w:sz w:val="24"/>
                <w:szCs w:val="24"/>
                <w:lang w:eastAsia="da-DK"/>
              </w:rPr>
              <w:t>Op til 3 gange daglig</w:t>
            </w:r>
          </w:p>
        </w:tc>
      </w:tr>
    </w:tbl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Den maksimale behandlingsvarighed er 5 dage ved forebyggelse af forsinket kemoterapiinduceret kvalme og opkastning (CINV).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Tabletter er ikke egnede til børn, der vejer mindre end 30 kg.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Andre lægemiddelformer/styrker kan være mere egnede til behandling af denne population.</w:t>
      </w:r>
    </w:p>
    <w:p w:rsidR="008B5E13" w:rsidRPr="00AE25D3" w:rsidRDefault="008B5E13" w:rsidP="00FC52BD">
      <w:pPr>
        <w:tabs>
          <w:tab w:val="right" w:pos="8505"/>
        </w:tabs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Særlige populationer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Ældre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ældre patienter skal dosisreduktion overvejes, baseret på nyre- og leverfunktion og generel skrøbelighed.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>
        <w:rPr>
          <w:rFonts w:cs="Arial"/>
          <w:i/>
          <w:sz w:val="24"/>
          <w:szCs w:val="24"/>
          <w:lang w:eastAsia="da-DK"/>
        </w:rPr>
        <w:t>Nedsat nyrefunktion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nyresygdom i slutstadiet (</w:t>
      </w:r>
      <w:proofErr w:type="spellStart"/>
      <w:r w:rsidRPr="00AE25D3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r w:rsidRPr="00AE25D3">
        <w:rPr>
          <w:rFonts w:cs="Arial"/>
          <w:sz w:val="24"/>
          <w:szCs w:val="24"/>
          <w:cs/>
          <w:lang w:eastAsia="da-DK"/>
        </w:rPr>
        <w:t xml:space="preserve">≤ </w:t>
      </w:r>
      <w:r w:rsidRPr="00AE25D3">
        <w:rPr>
          <w:rFonts w:cs="Arial"/>
          <w:sz w:val="24"/>
          <w:szCs w:val="24"/>
          <w:lang w:eastAsia="da-DK"/>
        </w:rPr>
        <w:t>15 ml/min) skal den daglige dosis reduceres med 75 %.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moderat til svært nedsat nyrefunktion (</w:t>
      </w:r>
      <w:proofErr w:type="spellStart"/>
      <w:r w:rsidRPr="00AE25D3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15-60 ml/min) skal dosis reduceres med 50 % (se pkt. 5.2).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Ne</w:t>
      </w:r>
      <w:r>
        <w:rPr>
          <w:rFonts w:cs="Arial"/>
          <w:i/>
          <w:sz w:val="24"/>
          <w:szCs w:val="24"/>
          <w:lang w:eastAsia="da-DK"/>
        </w:rPr>
        <w:t>dsat leverfunktion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Hos patienter med svært nedsat leverfunktion skal dosis reduceres med 50 % (se pkt. 5.2).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>Pædiatrisk population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lastRenderedPageBreak/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er kontraindiceret til nyfødte og børn under 1 år (se pkt. 4.3).</w:t>
      </w:r>
    </w:p>
    <w:p w:rsidR="00FC52BD" w:rsidRDefault="00FC52BD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FC52BD" w:rsidRDefault="00FC52BD" w:rsidP="00FC52BD">
      <w:pPr>
        <w:tabs>
          <w:tab w:val="right" w:pos="8505"/>
        </w:tabs>
        <w:ind w:left="851"/>
        <w:rPr>
          <w:b/>
          <w:sz w:val="24"/>
          <w:szCs w:val="24"/>
          <w:lang w:eastAsia="da-DK"/>
        </w:rPr>
      </w:pPr>
      <w:r>
        <w:rPr>
          <w:rFonts w:cs="Arial"/>
          <w:b/>
          <w:sz w:val="24"/>
          <w:szCs w:val="24"/>
          <w:lang w:eastAsia="da-DK"/>
        </w:rPr>
        <w:t>Administrationsmåde</w:t>
      </w:r>
    </w:p>
    <w:p w:rsidR="00FC52BD" w:rsidRPr="00AE25D3" w:rsidRDefault="00FC52BD" w:rsidP="00FC52BD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Et minimumsinterval på 6 timer mellem to administrationer skal overholdes, selv i tilfælde af opkastning eller afvisning af dosis (se pkt. 4.4).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Overfølsomhed over for det aktive stof eller over for et eller flere af hjælpestofferne anført i pkt. 6.1.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blødning, mekanisk obstruktion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perforation, hvor stimulering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gastrointestinal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motilitet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udgør en risiko.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Tidligere tilfælde af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neuroleptisk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-induceret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Epilepsi (øget krisehyppighed og intensitet) 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Parkinsons sygdom 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Bekræftet eller mistænkt </w:t>
      </w:r>
      <w:proofErr w:type="spellStart"/>
      <w:r w:rsidRPr="00AE25D3">
        <w:rPr>
          <w:rFonts w:cs="Arial"/>
          <w:sz w:val="24"/>
          <w:szCs w:val="24"/>
          <w:lang w:eastAsia="da-DK"/>
        </w:rPr>
        <w:t>fæokromocytom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grund af risikoen for svære </w:t>
      </w:r>
      <w:proofErr w:type="spellStart"/>
      <w:r w:rsidRPr="00AE25D3">
        <w:rPr>
          <w:rFonts w:cs="Arial"/>
          <w:sz w:val="24"/>
          <w:szCs w:val="24"/>
          <w:lang w:eastAsia="da-DK"/>
        </w:rPr>
        <w:t>hypertensive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episoder</w:t>
      </w:r>
    </w:p>
    <w:p w:rsidR="008B5E13" w:rsidRPr="00AE25D3" w:rsidRDefault="008B5E13" w:rsidP="008B5E13">
      <w:pPr>
        <w:numPr>
          <w:ilvl w:val="0"/>
          <w:numId w:val="6"/>
        </w:num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Kombination med </w:t>
      </w:r>
      <w:proofErr w:type="spellStart"/>
      <w:r w:rsidRPr="00AE25D3">
        <w:rPr>
          <w:rFonts w:cs="Arial"/>
          <w:sz w:val="24"/>
          <w:szCs w:val="24"/>
          <w:lang w:eastAsia="da-DK"/>
        </w:rPr>
        <w:t>levodopa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dopaminerge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agonister (se pkt. 4.5)</w:t>
      </w:r>
    </w:p>
    <w:p w:rsidR="008B5E13" w:rsidRPr="00AE25D3" w:rsidRDefault="008B5E13" w:rsidP="008B5E13">
      <w:pPr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Kendt </w:t>
      </w:r>
      <w:proofErr w:type="spellStart"/>
      <w:r w:rsidRPr="00AE25D3">
        <w:rPr>
          <w:rFonts w:cs="Arial"/>
          <w:sz w:val="24"/>
          <w:szCs w:val="24"/>
          <w:lang w:eastAsia="da-DK"/>
        </w:rPr>
        <w:t>methæmoglobinæmi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NADH-cytokrom-b5-mangel.</w:t>
      </w:r>
    </w:p>
    <w:p w:rsidR="008B5E13" w:rsidRPr="00D26FA3" w:rsidRDefault="008B5E13" w:rsidP="008B5E13">
      <w:pPr>
        <w:numPr>
          <w:ilvl w:val="0"/>
          <w:numId w:val="6"/>
        </w:num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Børn under 1 år på grund af øget risiko for ekstrapyramidale forstyrrelser (se pkt. 4.4).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8B5E13" w:rsidRPr="00AE25D3" w:rsidRDefault="008B5E13" w:rsidP="008B5E13">
      <w:pPr>
        <w:tabs>
          <w:tab w:val="right" w:pos="8505"/>
        </w:tabs>
        <w:ind w:left="851" w:hanging="567"/>
        <w:rPr>
          <w:b/>
          <w:bCs/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i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Særlige advarsler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 xml:space="preserve">Neurologiske sygdomme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Ekstrapyramidale forstyrrelser kan forekomme, især hos børn og unge voksne og/eller ved anvendelse af høje doser. Disse reaktioner forekommer sædvanligvis i starten af behandlingen og kan forekomme efter en enkelt administration.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 øjeblikkeligt i tilfælde af ekstrapyramidale symptomer. Disse er generelt fuldstændig reversible efter behandlingsophør, men kan kræve symptomatisk behandling (benzodiazepiner hos børn og/eller </w:t>
      </w:r>
      <w:proofErr w:type="spellStart"/>
      <w:r w:rsidRPr="00AE25D3">
        <w:rPr>
          <w:rFonts w:cs="Arial"/>
          <w:sz w:val="24"/>
          <w:szCs w:val="24"/>
          <w:lang w:eastAsia="da-DK"/>
        </w:rPr>
        <w:t>antikolinerge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antiparkinsonmidler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hos voksne).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For at undgå overdosering skal tidsintervallet på mindst 6 timer, angivet i pkt. 4.2, overholdes mellem hver administration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>, selv i tilfælde af opkastning og afvisning af dosis.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Langvarig behandling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forårsage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potentielt irreversibelt, især hos ældre patienter. Behandling må ikke overskride 3 måneder på grund af risikoen for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(se pkt. 4.8).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seponeres, hvis der opstår kliniske tegn på </w:t>
      </w:r>
      <w:proofErr w:type="spellStart"/>
      <w:r w:rsidRPr="00AE25D3">
        <w:rPr>
          <w:rFonts w:cs="Arial"/>
          <w:sz w:val="24"/>
          <w:szCs w:val="24"/>
          <w:lang w:eastAsia="da-DK"/>
        </w:rPr>
        <w:t>tardiv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Der er rapporteret malignt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neuroleptikasyndrom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i kombination med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-monoterapi (se pkt. 4.8).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skal seponeres øjeblikkeligt i tilfælde af symptomer på malignt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neuroleptikasyndrom</w:t>
      </w:r>
      <w:proofErr w:type="spellEnd"/>
      <w:r w:rsidRPr="00AE25D3">
        <w:rPr>
          <w:rFonts w:cs="Arial"/>
          <w:sz w:val="24"/>
          <w:szCs w:val="24"/>
          <w:lang w:eastAsia="da-DK"/>
        </w:rPr>
        <w:t>, og passende behandling initieres.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Særlig forsigtighed skal udvises hos patienter med underliggende neurologiske tilstande samt hos patienter, der behandles med andre centralt virkende lægemidler (se pkt. 4.3).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Symptomer på Parkinsons sygdom kan også blive forværret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.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lastRenderedPageBreak/>
        <w:t>Methæmoglobinæmi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Methæmoglobinæmi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som kan være relateret til NADH-cytokrom-b5-reduktasemangel, er rapporteret. I sådanne tilfælde skal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seponeres øjeblikkeligt og permanent og passende foranstaltninger indledes (såsom behandling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methylthionin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 xml:space="preserve">Hjerte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Der er rapporteret om alvorlige </w:t>
      </w:r>
      <w:proofErr w:type="spellStart"/>
      <w:r w:rsidRPr="00AE25D3">
        <w:rPr>
          <w:rFonts w:cs="Arial"/>
          <w:sz w:val="24"/>
          <w:szCs w:val="24"/>
          <w:lang w:eastAsia="da-DK"/>
        </w:rPr>
        <w:t>kardiovaskulære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bivirkninger, herunder tilfælde af kredsløbskollaps, svær bradykardi, hjertestop og QT-forlængelse efter administration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ved injektion, især ved intravenøs administration (se pkt. 4.8).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Særlig forsigtighed skal udvises, når der gives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, især intravenøst, til ældre, til patienter med ledningsforstyrrelser (herunder QT-forlængelse), </w:t>
      </w:r>
      <w:proofErr w:type="spellStart"/>
      <w:r w:rsidRPr="00AE25D3">
        <w:rPr>
          <w:rFonts w:cs="Arial"/>
          <w:sz w:val="24"/>
          <w:szCs w:val="24"/>
          <w:lang w:eastAsia="da-DK"/>
        </w:rPr>
        <w:t>ukorrigerede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elektrolytforstyrrelser eller bradykardi og til patienter, der tager andre lægemidler, der vides at forlænge QT-intervallet.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Intravenøse doser skal indgives som langsom </w:t>
      </w:r>
      <w:proofErr w:type="spellStart"/>
      <w:r w:rsidRPr="00AE25D3">
        <w:rPr>
          <w:rFonts w:cs="Arial"/>
          <w:sz w:val="24"/>
          <w:szCs w:val="24"/>
          <w:lang w:eastAsia="da-DK"/>
        </w:rPr>
        <w:t>bolusinjektion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(over mindst 3 minutter) for at reducere risikoen for bivirkninger (f.eks. hypotension, </w:t>
      </w:r>
      <w:proofErr w:type="spellStart"/>
      <w:r w:rsidRPr="00AE25D3">
        <w:rPr>
          <w:rFonts w:cs="Arial"/>
          <w:sz w:val="24"/>
          <w:szCs w:val="24"/>
          <w:lang w:eastAsia="da-DK"/>
        </w:rPr>
        <w:t>akatisi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Nedsat nyre- og leverfunktion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>Dosisreduktion anbefales hos patienter med nedsat nyrefunktion eller med svært nedsat leverfunktion (se pkt. 4.2).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FC52BD" w:rsidRDefault="00FC52BD" w:rsidP="00FC52BD">
      <w:pPr>
        <w:tabs>
          <w:tab w:val="right" w:pos="8505"/>
        </w:tabs>
        <w:ind w:left="851"/>
        <w:rPr>
          <w:rFonts w:cs="Arial"/>
          <w:sz w:val="24"/>
          <w:szCs w:val="24"/>
          <w:u w:val="single"/>
          <w:lang w:eastAsia="da-DK"/>
        </w:rPr>
      </w:pPr>
      <w:r>
        <w:rPr>
          <w:rFonts w:cs="Arial"/>
          <w:sz w:val="24"/>
          <w:szCs w:val="24"/>
          <w:u w:val="single"/>
          <w:lang w:eastAsia="da-DK"/>
        </w:rPr>
        <w:t>Hjælpestoffer</w:t>
      </w:r>
    </w:p>
    <w:p w:rsidR="00FC52BD" w:rsidRDefault="00354835" w:rsidP="00FC52BD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proofErr w:type="spellStart"/>
      <w:r>
        <w:rPr>
          <w:rFonts w:cs="Arial"/>
          <w:sz w:val="24"/>
          <w:szCs w:val="24"/>
          <w:lang w:eastAsia="da-DK"/>
        </w:rPr>
        <w:t>Metoclopramide</w:t>
      </w:r>
      <w:proofErr w:type="spellEnd"/>
      <w:r>
        <w:rPr>
          <w:rFonts w:cs="Arial"/>
          <w:sz w:val="24"/>
          <w:szCs w:val="24"/>
          <w:lang w:eastAsia="da-DK"/>
        </w:rPr>
        <w:t xml:space="preserve"> </w:t>
      </w:r>
      <w:proofErr w:type="spellStart"/>
      <w:r>
        <w:rPr>
          <w:rFonts w:cs="Arial"/>
          <w:sz w:val="24"/>
          <w:szCs w:val="24"/>
          <w:lang w:eastAsia="da-DK"/>
        </w:rPr>
        <w:t>Accord</w:t>
      </w:r>
      <w:proofErr w:type="spellEnd"/>
      <w:r w:rsidR="00FC52BD">
        <w:rPr>
          <w:rFonts w:cs="Arial"/>
          <w:sz w:val="24"/>
          <w:szCs w:val="24"/>
          <w:lang w:eastAsia="da-DK"/>
        </w:rPr>
        <w:t xml:space="preserve"> tabletter indeholder </w:t>
      </w:r>
      <w:proofErr w:type="spellStart"/>
      <w:r w:rsidR="00FC52BD">
        <w:rPr>
          <w:rFonts w:cs="Arial"/>
          <w:sz w:val="24"/>
          <w:szCs w:val="24"/>
          <w:lang w:eastAsia="da-DK"/>
        </w:rPr>
        <w:t>lactose</w:t>
      </w:r>
      <w:proofErr w:type="spellEnd"/>
      <w:r w:rsidR="00FC52BD">
        <w:rPr>
          <w:rFonts w:cs="Arial"/>
          <w:sz w:val="24"/>
          <w:szCs w:val="24"/>
          <w:lang w:eastAsia="da-DK"/>
        </w:rPr>
        <w:t xml:space="preserve">. </w:t>
      </w:r>
      <w:r w:rsidR="00FC52BD">
        <w:rPr>
          <w:sz w:val="24"/>
          <w:szCs w:val="24"/>
        </w:rPr>
        <w:t xml:space="preserve">Bør ikke anvendes til patienter med hereditær </w:t>
      </w:r>
      <w:proofErr w:type="spellStart"/>
      <w:r w:rsidR="00FC52BD">
        <w:rPr>
          <w:sz w:val="24"/>
          <w:szCs w:val="24"/>
        </w:rPr>
        <w:t>galactoseintolerans</w:t>
      </w:r>
      <w:proofErr w:type="spellEnd"/>
      <w:r w:rsidR="00FC52BD">
        <w:rPr>
          <w:sz w:val="24"/>
          <w:szCs w:val="24"/>
        </w:rPr>
        <w:t xml:space="preserve">, total </w:t>
      </w:r>
      <w:proofErr w:type="spellStart"/>
      <w:r w:rsidR="00FC52BD">
        <w:rPr>
          <w:sz w:val="24"/>
          <w:szCs w:val="24"/>
        </w:rPr>
        <w:t>lactasemangel</w:t>
      </w:r>
      <w:proofErr w:type="spellEnd"/>
      <w:r w:rsidR="00FC52BD">
        <w:rPr>
          <w:sz w:val="24"/>
          <w:szCs w:val="24"/>
        </w:rPr>
        <w:t xml:space="preserve"> eller </w:t>
      </w:r>
      <w:proofErr w:type="spellStart"/>
      <w:r w:rsidR="00FC52BD">
        <w:rPr>
          <w:sz w:val="24"/>
          <w:szCs w:val="24"/>
        </w:rPr>
        <w:t>glucose</w:t>
      </w:r>
      <w:proofErr w:type="spellEnd"/>
      <w:r w:rsidR="00FC52BD">
        <w:rPr>
          <w:sz w:val="24"/>
          <w:szCs w:val="24"/>
        </w:rPr>
        <w:t>/</w:t>
      </w:r>
      <w:proofErr w:type="spellStart"/>
      <w:r w:rsidR="00FC52BD">
        <w:rPr>
          <w:sz w:val="24"/>
          <w:szCs w:val="24"/>
        </w:rPr>
        <w:t>galactosemalabsorption</w:t>
      </w:r>
      <w:proofErr w:type="spellEnd"/>
      <w:r w:rsidR="00FC52BD">
        <w:rPr>
          <w:rFonts w:cs="Arial"/>
          <w:sz w:val="24"/>
          <w:szCs w:val="24"/>
          <w:lang w:eastAsia="da-DK"/>
        </w:rPr>
        <w:t>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8B5E13" w:rsidRDefault="008B5E13" w:rsidP="008B5E13">
      <w:pPr>
        <w:tabs>
          <w:tab w:val="right" w:pos="8505"/>
        </w:tabs>
        <w:ind w:left="851"/>
        <w:rPr>
          <w:rFonts w:cs="Arial"/>
          <w:i/>
          <w:sz w:val="24"/>
          <w:szCs w:val="24"/>
          <w:lang w:eastAsia="da-DK"/>
        </w:rPr>
      </w:pPr>
    </w:p>
    <w:p w:rsidR="008B5E13" w:rsidRPr="00AE25D3" w:rsidRDefault="008B5E13" w:rsidP="008B5E13">
      <w:pPr>
        <w:tabs>
          <w:tab w:val="right" w:pos="8505"/>
        </w:tabs>
        <w:ind w:left="851"/>
        <w:rPr>
          <w:b/>
          <w:iCs/>
          <w:sz w:val="24"/>
          <w:szCs w:val="24"/>
          <w:lang w:eastAsia="da-DK"/>
        </w:rPr>
      </w:pPr>
      <w:r w:rsidRPr="002D3171">
        <w:rPr>
          <w:rFonts w:cs="Arial"/>
          <w:b/>
          <w:sz w:val="24"/>
          <w:szCs w:val="24"/>
          <w:lang w:eastAsia="da-DK"/>
        </w:rPr>
        <w:t>Kontraindicerede</w:t>
      </w:r>
      <w:r w:rsidRPr="00AE25D3">
        <w:rPr>
          <w:rFonts w:cs="Arial"/>
          <w:b/>
          <w:sz w:val="24"/>
          <w:szCs w:val="24"/>
          <w:lang w:eastAsia="da-DK"/>
        </w:rPr>
        <w:t xml:space="preserve"> kombination</w:t>
      </w:r>
      <w:r w:rsidRPr="002D3171">
        <w:rPr>
          <w:rFonts w:cs="Arial"/>
          <w:b/>
          <w:sz w:val="24"/>
          <w:szCs w:val="24"/>
          <w:lang w:eastAsia="da-DK"/>
        </w:rPr>
        <w:t>er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Levodopa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eller </w:t>
      </w:r>
      <w:proofErr w:type="spellStart"/>
      <w:r w:rsidRPr="00AE25D3">
        <w:rPr>
          <w:rFonts w:cs="Arial"/>
          <w:sz w:val="24"/>
          <w:szCs w:val="24"/>
          <w:lang w:eastAsia="da-DK"/>
        </w:rPr>
        <w:t>dopaminerge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agonister og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udviser gensidig antagonisme (se pkt. 4.3). 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b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b/>
          <w:b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Kombination</w:t>
      </w:r>
      <w:r>
        <w:rPr>
          <w:rFonts w:cs="Arial"/>
          <w:b/>
          <w:sz w:val="24"/>
          <w:szCs w:val="24"/>
          <w:lang w:eastAsia="da-DK"/>
        </w:rPr>
        <w:t>er</w:t>
      </w:r>
      <w:r w:rsidRPr="00AE25D3">
        <w:rPr>
          <w:rFonts w:cs="Arial"/>
          <w:b/>
          <w:sz w:val="24"/>
          <w:szCs w:val="24"/>
          <w:lang w:eastAsia="da-DK"/>
        </w:rPr>
        <w:t>, der skal undgås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Alkohol forstærker den sedative virkning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b/>
          <w:bCs/>
          <w:sz w:val="24"/>
          <w:szCs w:val="24"/>
          <w:lang w:eastAsia="da-DK"/>
        </w:rPr>
      </w:pPr>
      <w:r w:rsidRPr="00AE25D3">
        <w:rPr>
          <w:rFonts w:cs="Arial"/>
          <w:b/>
          <w:sz w:val="24"/>
          <w:szCs w:val="24"/>
          <w:lang w:eastAsia="da-DK"/>
        </w:rPr>
        <w:t>Kombination</w:t>
      </w:r>
      <w:r>
        <w:rPr>
          <w:rFonts w:cs="Arial"/>
          <w:b/>
          <w:sz w:val="24"/>
          <w:szCs w:val="24"/>
          <w:lang w:eastAsia="da-DK"/>
        </w:rPr>
        <w:t>er</w:t>
      </w:r>
      <w:r w:rsidRPr="00AE25D3">
        <w:rPr>
          <w:rFonts w:cs="Arial"/>
          <w:b/>
          <w:sz w:val="24"/>
          <w:szCs w:val="24"/>
          <w:lang w:eastAsia="da-DK"/>
        </w:rPr>
        <w:t>, hvor der skal tages hensyn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På grund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prokinetiske virkning kan absorptionen af visse lægemidler ændres.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Anticholinergika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morphinderivater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Anticholinergika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morphinderivater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begge have en gensidig antagonisme med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mave-tarm-kanalens </w:t>
      </w:r>
      <w:proofErr w:type="spellStart"/>
      <w:r w:rsidRPr="00AE25D3">
        <w:rPr>
          <w:rFonts w:cs="Arial"/>
          <w:sz w:val="24"/>
          <w:szCs w:val="24"/>
          <w:lang w:eastAsia="da-DK"/>
        </w:rPr>
        <w:t>motilitet</w:t>
      </w:r>
      <w:proofErr w:type="spellEnd"/>
      <w:r w:rsidRPr="00AE25D3">
        <w:rPr>
          <w:rFonts w:cs="Arial"/>
          <w:sz w:val="24"/>
          <w:szCs w:val="24"/>
          <w:lang w:eastAsia="da-DK"/>
        </w:rPr>
        <w:t>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CNS-supprimerende stoffer (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morphinderivater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anxiolytika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sedative H1-antihistaminer, sederende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antidepressiva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, barbiturater,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clonidin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beslægtede stoffer)</w:t>
      </w:r>
    </w:p>
    <w:p w:rsidR="008B5E13" w:rsidRDefault="008B5E13" w:rsidP="00FC52BD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t xml:space="preserve">De sedative virkninger af CNS-supprimerende stoffer og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forstærkes.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FC52BD" w:rsidRPr="00AE25D3" w:rsidRDefault="00FC52BD" w:rsidP="00FC52BD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Neuroleptika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have en </w:t>
      </w:r>
      <w:proofErr w:type="gramStart"/>
      <w:r w:rsidRPr="00AE25D3">
        <w:rPr>
          <w:rFonts w:cs="Arial"/>
          <w:sz w:val="24"/>
          <w:szCs w:val="24"/>
          <w:lang w:eastAsia="da-DK"/>
        </w:rPr>
        <w:t>additiv virkning</w:t>
      </w:r>
      <w:proofErr w:type="gramEnd"/>
      <w:r w:rsidRPr="00AE25D3">
        <w:rPr>
          <w:rFonts w:cs="Arial"/>
          <w:sz w:val="24"/>
          <w:szCs w:val="24"/>
          <w:lang w:eastAsia="da-DK"/>
        </w:rPr>
        <w:t xml:space="preserve"> sammen med andre </w:t>
      </w:r>
      <w:proofErr w:type="spellStart"/>
      <w:r w:rsidRPr="00AE25D3">
        <w:rPr>
          <w:rFonts w:cs="Arial"/>
          <w:sz w:val="24"/>
          <w:szCs w:val="24"/>
          <w:lang w:eastAsia="da-DK"/>
        </w:rPr>
        <w:t>neuroleptika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på forekomsten af ekstrapyramidale forstyrrelser.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Serotonerge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lægemidler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r w:rsidRPr="00AE25D3">
        <w:rPr>
          <w:rFonts w:cs="Arial"/>
          <w:sz w:val="24"/>
          <w:szCs w:val="24"/>
          <w:lang w:eastAsia="da-DK"/>
        </w:rPr>
        <w:lastRenderedPageBreak/>
        <w:t xml:space="preserve">Anvendelse af </w:t>
      </w: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sammen med </w:t>
      </w:r>
      <w:proofErr w:type="spellStart"/>
      <w:r w:rsidRPr="00AE25D3">
        <w:rPr>
          <w:rFonts w:cs="Arial"/>
          <w:sz w:val="24"/>
          <w:szCs w:val="24"/>
          <w:lang w:eastAsia="da-DK"/>
        </w:rPr>
        <w:t>serotonerge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lægemidler såsom SSRI</w:t>
      </w:r>
      <w:r w:rsidRPr="00AE25D3">
        <w:rPr>
          <w:rFonts w:cs="Arial"/>
          <w:sz w:val="24"/>
          <w:szCs w:val="24"/>
          <w:cs/>
          <w:lang w:eastAsia="da-DK"/>
        </w:rPr>
        <w:t>’</w:t>
      </w:r>
      <w:r w:rsidRPr="00AE25D3">
        <w:rPr>
          <w:rFonts w:cs="Arial"/>
          <w:sz w:val="24"/>
          <w:szCs w:val="24"/>
          <w:lang w:eastAsia="da-DK"/>
        </w:rPr>
        <w:t>er kan øge risikoen for serotoninsyndrom.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Digoxin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nedsætte biotilgængeligheden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digoxin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. Omhyggelig monitorering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digoxins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plasmakoncentration er påkrævet.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tabs>
          <w:tab w:val="right" w:pos="8505"/>
        </w:tabs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Ciclosporin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øger biotilgængeligheden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ciclosporin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(</w:t>
      </w:r>
      <w:proofErr w:type="spellStart"/>
      <w:r w:rsidRPr="00AE25D3">
        <w:rPr>
          <w:rFonts w:cs="Arial"/>
          <w:sz w:val="24"/>
          <w:szCs w:val="24"/>
          <w:lang w:eastAsia="da-DK"/>
        </w:rPr>
        <w:t>C</w:t>
      </w:r>
      <w:r w:rsidRPr="00AE25D3">
        <w:rPr>
          <w:rFonts w:cs="Arial"/>
          <w:sz w:val="24"/>
          <w:szCs w:val="24"/>
          <w:vertAlign w:val="subscript"/>
          <w:lang w:eastAsia="da-DK"/>
        </w:rPr>
        <w:t>max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med 46 % og eksponeringen med 22 %). Omhyggelig monitorering af </w:t>
      </w:r>
      <w:proofErr w:type="spellStart"/>
      <w:r w:rsidRPr="00AE25D3">
        <w:rPr>
          <w:rFonts w:cs="Arial"/>
          <w:sz w:val="24"/>
          <w:szCs w:val="24"/>
          <w:lang w:eastAsia="da-DK"/>
        </w:rPr>
        <w:t>ciclosporins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plasmakoncentration er påkrævet. Den kliniske konsekvens er usikker.</w:t>
      </w:r>
      <w:r w:rsidRPr="00AE25D3">
        <w:rPr>
          <w:rFonts w:cs="Arial"/>
          <w:i/>
          <w:sz w:val="24"/>
          <w:szCs w:val="24"/>
          <w:lang w:eastAsia="da-DK"/>
        </w:rPr>
        <w:t xml:space="preserve"> 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/>
          <w:iCs/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Mivacurium</w:t>
      </w:r>
      <w:proofErr w:type="spellEnd"/>
      <w:r w:rsidRPr="00AE25D3">
        <w:rPr>
          <w:rFonts w:cs="Arial"/>
          <w:sz w:val="24"/>
          <w:szCs w:val="24"/>
          <w:u w:val="single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u w:val="single"/>
          <w:lang w:eastAsia="da-DK"/>
        </w:rPr>
        <w:t>suxamethonium</w:t>
      </w:r>
      <w:proofErr w:type="spellEnd"/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Metoclopramidinjektion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forlænge varigheden af </w:t>
      </w:r>
      <w:proofErr w:type="spellStart"/>
      <w:r w:rsidRPr="00AE25D3">
        <w:rPr>
          <w:rFonts w:cs="Arial"/>
          <w:sz w:val="24"/>
          <w:szCs w:val="24"/>
          <w:lang w:eastAsia="da-DK"/>
        </w:rPr>
        <w:t>neuromuskulær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blokade (ved hæmning af plasma-</w:t>
      </w:r>
      <w:proofErr w:type="spellStart"/>
      <w:r w:rsidRPr="00AE25D3">
        <w:rPr>
          <w:rFonts w:cs="Arial"/>
          <w:sz w:val="24"/>
          <w:szCs w:val="24"/>
          <w:lang w:eastAsia="da-DK"/>
        </w:rPr>
        <w:t>kolinesterase</w:t>
      </w:r>
      <w:proofErr w:type="spellEnd"/>
      <w:r w:rsidRPr="00AE25D3">
        <w:rPr>
          <w:rFonts w:cs="Arial"/>
          <w:sz w:val="24"/>
          <w:szCs w:val="24"/>
          <w:lang w:eastAsia="da-DK"/>
        </w:rPr>
        <w:t>).</w:t>
      </w: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AE25D3" w:rsidRDefault="008B5E13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u w:val="single"/>
          <w:lang w:eastAsia="da-DK"/>
        </w:rPr>
      </w:pPr>
      <w:r w:rsidRPr="00AE25D3">
        <w:rPr>
          <w:rFonts w:cs="Arial"/>
          <w:sz w:val="24"/>
          <w:szCs w:val="24"/>
          <w:u w:val="single"/>
          <w:lang w:eastAsia="da-DK"/>
        </w:rPr>
        <w:t>Stærke CYP2D6-hæmmere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Metoclopramids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eksponeringsniveau øges ved samtidig administration af stærke CYP2D6-hæmmere såsom </w:t>
      </w:r>
      <w:proofErr w:type="spellStart"/>
      <w:r w:rsidRPr="00AE25D3">
        <w:rPr>
          <w:rFonts w:cs="Arial"/>
          <w:sz w:val="24"/>
          <w:szCs w:val="24"/>
          <w:lang w:eastAsia="da-DK"/>
        </w:rPr>
        <w:t>fluoxetin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paroxetin</w:t>
      </w:r>
      <w:proofErr w:type="spellEnd"/>
      <w:r w:rsidRPr="00AE25D3">
        <w:rPr>
          <w:rFonts w:cs="Arial"/>
          <w:sz w:val="24"/>
          <w:szCs w:val="24"/>
          <w:lang w:eastAsia="da-DK"/>
        </w:rPr>
        <w:t>. Selv om den kliniske signifikans er usikker, skal patienterne overvåges for bivirkninger.</w:t>
      </w:r>
    </w:p>
    <w:p w:rsidR="00FC52BD" w:rsidRDefault="00FC52BD" w:rsidP="008B5E13">
      <w:pPr>
        <w:autoSpaceDE w:val="0"/>
        <w:autoSpaceDN w:val="0"/>
        <w:adjustRightInd w:val="0"/>
        <w:ind w:left="851"/>
        <w:rPr>
          <w:iCs/>
          <w:sz w:val="24"/>
          <w:szCs w:val="24"/>
          <w:lang w:eastAsia="da-DK"/>
        </w:rPr>
      </w:pPr>
    </w:p>
    <w:p w:rsidR="00FC52BD" w:rsidRDefault="00FC52BD" w:rsidP="00FC52BD">
      <w:pPr>
        <w:tabs>
          <w:tab w:val="left" w:pos="0"/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i/>
          <w:iCs/>
          <w:sz w:val="24"/>
          <w:szCs w:val="24"/>
        </w:rPr>
        <w:t>Rifampicin</w:t>
      </w:r>
      <w:proofErr w:type="spellEnd"/>
    </w:p>
    <w:p w:rsid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I et publiceret studie udført med 12 raske frivillige personer blev plasmaeksponering (AUC) og den maksimale koncentration (</w:t>
      </w:r>
      <w:proofErr w:type="spellStart"/>
      <w:r>
        <w:rPr>
          <w:sz w:val="24"/>
          <w:szCs w:val="24"/>
        </w:rPr>
        <w:t>C</w:t>
      </w:r>
      <w:r>
        <w:rPr>
          <w:sz w:val="24"/>
          <w:szCs w:val="24"/>
          <w:vertAlign w:val="subscript"/>
        </w:rPr>
        <w:t>max</w:t>
      </w:r>
      <w:proofErr w:type="spellEnd"/>
      <w:r>
        <w:rPr>
          <w:sz w:val="24"/>
          <w:szCs w:val="24"/>
        </w:rPr>
        <w:t xml:space="preserve">) af </w:t>
      </w:r>
      <w:proofErr w:type="spellStart"/>
      <w:r>
        <w:rPr>
          <w:sz w:val="24"/>
          <w:szCs w:val="24"/>
        </w:rPr>
        <w:t>metoclopramid</w:t>
      </w:r>
      <w:proofErr w:type="spellEnd"/>
      <w:r>
        <w:rPr>
          <w:sz w:val="24"/>
          <w:szCs w:val="24"/>
        </w:rPr>
        <w:t xml:space="preserve"> reduceret med henholdsvis 68 % og 35 % efter administration af 600 mg </w:t>
      </w:r>
      <w:proofErr w:type="spellStart"/>
      <w:r>
        <w:rPr>
          <w:sz w:val="24"/>
          <w:szCs w:val="24"/>
        </w:rPr>
        <w:t>rifampicin</w:t>
      </w:r>
      <w:proofErr w:type="spellEnd"/>
      <w:r>
        <w:rPr>
          <w:sz w:val="24"/>
          <w:szCs w:val="24"/>
        </w:rPr>
        <w:t xml:space="preserve"> over 6 dage.</w:t>
      </w:r>
    </w:p>
    <w:p w:rsid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</w:p>
    <w:p w:rsidR="00FC52BD" w:rsidRPr="00FC52BD" w:rsidRDefault="00FC52BD" w:rsidP="00FC52BD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Selvom den kliniske betydning er uvis, bør patienter overvåges for manglende </w:t>
      </w:r>
      <w:proofErr w:type="spellStart"/>
      <w:r>
        <w:rPr>
          <w:sz w:val="24"/>
          <w:szCs w:val="24"/>
        </w:rPr>
        <w:t>anti-emetisk</w:t>
      </w:r>
      <w:proofErr w:type="spellEnd"/>
      <w:r>
        <w:rPr>
          <w:sz w:val="24"/>
          <w:szCs w:val="24"/>
        </w:rPr>
        <w:t xml:space="preserve"> virkning, når </w:t>
      </w:r>
      <w:proofErr w:type="spellStart"/>
      <w:r>
        <w:rPr>
          <w:sz w:val="24"/>
          <w:szCs w:val="24"/>
        </w:rPr>
        <w:t>metoclopramid</w:t>
      </w:r>
      <w:proofErr w:type="spellEnd"/>
      <w:r>
        <w:rPr>
          <w:sz w:val="24"/>
          <w:szCs w:val="24"/>
        </w:rPr>
        <w:t xml:space="preserve"> kombineres med </w:t>
      </w:r>
      <w:proofErr w:type="spellStart"/>
      <w:r>
        <w:rPr>
          <w:sz w:val="24"/>
          <w:szCs w:val="24"/>
        </w:rPr>
        <w:t>rifampicin</w:t>
      </w:r>
      <w:proofErr w:type="spellEnd"/>
      <w:r>
        <w:rPr>
          <w:sz w:val="24"/>
          <w:szCs w:val="24"/>
        </w:rPr>
        <w:t xml:space="preserve"> eller med andre stærke inducere (f.eks. </w:t>
      </w:r>
      <w:proofErr w:type="spellStart"/>
      <w:r>
        <w:rPr>
          <w:sz w:val="24"/>
          <w:szCs w:val="24"/>
        </w:rPr>
        <w:t>carbamazepin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phenobarbital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phenytoin</w:t>
      </w:r>
      <w:proofErr w:type="spellEnd"/>
      <w:r>
        <w:rPr>
          <w:sz w:val="24"/>
          <w:szCs w:val="24"/>
        </w:rPr>
        <w:t>).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 w:rsidR="00FC52BD"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Graviditet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En stor mængde data fra gravide kvinder (mere end 1.000 eksponeringer) viser ingen misdannelser eller </w:t>
      </w:r>
      <w:proofErr w:type="spellStart"/>
      <w:r w:rsidRPr="00BA5A9B">
        <w:rPr>
          <w:rFonts w:cs="Arial"/>
          <w:sz w:val="24"/>
          <w:szCs w:val="24"/>
          <w:lang w:eastAsia="da-DK"/>
        </w:rPr>
        <w:t>føtotoksicitet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kan anvendes under graviditet, hvis det er klinisk nødvendigt. På grund af de farmakologiske egenskaber (som andre antipsykotika) kan ekstrapyramidalt syndrom hos nyfødte ikke udelukkes, hvis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administreres sidst i graviditeten.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bør undgås i slutningen af graviditeten. Hvis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benyttes, skal der foretages neonatal monitorering.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Amning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udskilles i modermælk i lav grad. Bivirkninger hos det ammede barn kan ikke udelukkes. Derfor frarådes brug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under amning. </w:t>
      </w:r>
      <w:proofErr w:type="spellStart"/>
      <w:r w:rsidRPr="00BA5A9B">
        <w:rPr>
          <w:rFonts w:cs="Arial"/>
          <w:sz w:val="24"/>
          <w:szCs w:val="24"/>
          <w:lang w:eastAsia="da-DK"/>
        </w:rPr>
        <w:t>Seponering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hos ammende kvinder skal overvejes.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</w:t>
      </w:r>
      <w:r w:rsidR="00FC52BD">
        <w:rPr>
          <w:b/>
          <w:sz w:val="24"/>
          <w:szCs w:val="24"/>
        </w:rPr>
        <w:t xml:space="preserve"> </w:t>
      </w:r>
      <w:r w:rsidRPr="00C84483">
        <w:rPr>
          <w:b/>
          <w:sz w:val="24"/>
          <w:szCs w:val="24"/>
        </w:rPr>
        <w:t xml:space="preserve">på evnen til at føre motorkøretøj </w:t>
      </w:r>
      <w:r w:rsidR="00FC52BD"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8B5E13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Ikke mærkning.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AE25D3">
        <w:rPr>
          <w:rFonts w:cs="Arial"/>
          <w:sz w:val="24"/>
          <w:szCs w:val="24"/>
          <w:lang w:eastAsia="da-DK"/>
        </w:rPr>
        <w:t>Metoclopramid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kan forårsage døsighed, svimmelhed, </w:t>
      </w:r>
      <w:proofErr w:type="spellStart"/>
      <w:r w:rsidRPr="00AE25D3">
        <w:rPr>
          <w:rFonts w:cs="Arial"/>
          <w:sz w:val="24"/>
          <w:szCs w:val="24"/>
          <w:lang w:eastAsia="da-DK"/>
        </w:rPr>
        <w:t>dyskinesi</w:t>
      </w:r>
      <w:proofErr w:type="spellEnd"/>
      <w:r w:rsidRPr="00AE25D3">
        <w:rPr>
          <w:rFonts w:cs="Arial"/>
          <w:sz w:val="24"/>
          <w:szCs w:val="24"/>
          <w:lang w:eastAsia="da-DK"/>
        </w:rPr>
        <w:t xml:space="preserve"> og </w:t>
      </w:r>
      <w:proofErr w:type="spellStart"/>
      <w:r w:rsidRPr="00AE25D3">
        <w:rPr>
          <w:rFonts w:cs="Arial"/>
          <w:sz w:val="24"/>
          <w:szCs w:val="24"/>
          <w:lang w:eastAsia="da-DK"/>
        </w:rPr>
        <w:t>dystoni</w:t>
      </w:r>
      <w:proofErr w:type="spellEnd"/>
      <w:r w:rsidRPr="00AE25D3">
        <w:rPr>
          <w:rFonts w:cs="Arial"/>
          <w:sz w:val="24"/>
          <w:szCs w:val="24"/>
          <w:lang w:eastAsia="da-DK"/>
        </w:rPr>
        <w:t>, som kan påvirke synet og også interferere med evnen til at føre motorkøretøj og betjene maskiner.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E2047" w:rsidRDefault="008B5E13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lastRenderedPageBreak/>
        <w:t>Bivirkninger er anført efter systemorganklasse. Hyppighederne er defineret ved h</w:t>
      </w:r>
      <w:r>
        <w:rPr>
          <w:rFonts w:cs="Arial"/>
          <w:sz w:val="24"/>
          <w:szCs w:val="24"/>
          <w:lang w:eastAsia="da-DK"/>
        </w:rPr>
        <w:t>jælp af følgende konvention: M</w:t>
      </w:r>
      <w:r w:rsidRPr="00BA5A9B">
        <w:rPr>
          <w:rFonts w:cs="Arial"/>
          <w:sz w:val="24"/>
          <w:szCs w:val="24"/>
          <w:lang w:eastAsia="da-DK"/>
        </w:rPr>
        <w:t>eget almindelig (</w:t>
      </w:r>
      <w:r w:rsidRPr="00BA5A9B">
        <w:rPr>
          <w:rFonts w:cs="Arial"/>
          <w:sz w:val="24"/>
          <w:szCs w:val="24"/>
          <w:cs/>
          <w:lang w:eastAsia="da-DK"/>
        </w:rPr>
        <w:t xml:space="preserve">≥ </w:t>
      </w:r>
      <w:r w:rsidRPr="00BA5A9B">
        <w:rPr>
          <w:rFonts w:cs="Arial"/>
          <w:sz w:val="24"/>
          <w:szCs w:val="24"/>
          <w:lang w:eastAsia="da-DK"/>
        </w:rPr>
        <w:t>1/10), almindelig (</w:t>
      </w:r>
      <w:r w:rsidRPr="00BA5A9B">
        <w:rPr>
          <w:rFonts w:cs="Arial"/>
          <w:sz w:val="24"/>
          <w:szCs w:val="24"/>
          <w:cs/>
          <w:lang w:eastAsia="da-DK"/>
        </w:rPr>
        <w:t xml:space="preserve">≥ </w:t>
      </w:r>
      <w:r w:rsidRPr="00BA5A9B">
        <w:rPr>
          <w:rFonts w:cs="Arial"/>
          <w:sz w:val="24"/>
          <w:szCs w:val="24"/>
          <w:lang w:eastAsia="da-DK"/>
        </w:rPr>
        <w:t xml:space="preserve">1/100 til &lt; 1/10), ikke </w:t>
      </w:r>
      <w:r w:rsidR="003E2047">
        <w:rPr>
          <w:rFonts w:cs="Arial"/>
          <w:sz w:val="24"/>
          <w:szCs w:val="24"/>
          <w:lang w:eastAsia="da-DK"/>
        </w:rPr>
        <w:t xml:space="preserve">almindelig (≥ 1/1.000 til &lt; 1/100), sjælden (≥ 1/10.000 til &lt; 1/1.000), meget sjælden (&lt; 1/10.000), ikke kendt (kan ikke estimeres ud fra forhåndenværende data). </w:t>
      </w:r>
    </w:p>
    <w:p w:rsidR="003E2047" w:rsidRDefault="003E2047" w:rsidP="003E2047">
      <w:pPr>
        <w:tabs>
          <w:tab w:val="right" w:pos="8505"/>
        </w:tabs>
        <w:ind w:left="851"/>
        <w:rPr>
          <w:b/>
          <w:bCs/>
          <w:sz w:val="24"/>
          <w:szCs w:val="24"/>
          <w:lang w:eastAsia="da-DK"/>
        </w:rPr>
      </w:pP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2090"/>
        <w:gridCol w:w="4998"/>
      </w:tblGrid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Systemorganklasse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Hyppighed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Bivirkninger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Immunsystemet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rFonts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Overfølsomhed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rFonts w:cs="Arial"/>
                <w:b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Cs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/>
              <w:rPr>
                <w:rFonts w:cs="Arial"/>
                <w:bCs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Anafylaktiske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reaktioner (inkl.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anafylaktisk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chok), især ved intravenøs administration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99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Blod- og lymfesystem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Methæmoglobinæmi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som kan være relateret til NADH- cytokrom-b5-reduktasemangel, især hos nyfødte (se pkt. 4.4)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b/>
                <w:bCs/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Sulfhæmoglobinæmi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især ved samtidig administration af svovl-frigivende lægemidler i høje doser.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Hjerte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Bradykardi, specielt ved intravenøse formuleringer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Hjertestop, forekommende kort tid efter injektion og potentielt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forudgået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af bradykardi (se pkt. 4.4);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AV-blok, sinusarrest, især ved intravenøs administration; 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QT-forlængelse;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torsades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de pointes.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Det endokrine system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Amenoré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hyperprolaktinæmi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Galaktorré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Gynækomasti</w:t>
            </w:r>
            <w:proofErr w:type="spellEnd"/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da-DK"/>
              </w:rPr>
              <w:t>Mave-tarmkanalen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Diarré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Almene symptomer og reaktioner på administrationsstedet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Asteni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Nervesystemet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40"/>
              <w:rPr>
                <w:rFonts w:cs="Arial"/>
                <w:sz w:val="24"/>
                <w:szCs w:val="24"/>
                <w:lang w:eastAsia="da-DK"/>
              </w:rPr>
            </w:pP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rFonts w:cs="Arial"/>
                <w:sz w:val="24"/>
                <w:szCs w:val="24"/>
                <w:lang w:eastAsia="da-DK"/>
              </w:rPr>
            </w:pP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Meget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Somnolens</w:t>
            </w:r>
            <w:proofErr w:type="spellEnd"/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b/>
                <w:bCs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Ekstrapyramidale forstyrrelser (især hos børn og unge voksne og/eller når den anbefalede dosis overskrides, selv efter administration af en enkelt dosis af lægemidlet) (se pkt. 4.4), parkinsonisme,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akatisi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.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sz w:val="24"/>
                <w:szCs w:val="24"/>
              </w:rPr>
              <w:t>Dystoni</w:t>
            </w:r>
            <w:proofErr w:type="spellEnd"/>
            <w:r>
              <w:rPr>
                <w:sz w:val="24"/>
                <w:szCs w:val="24"/>
              </w:rPr>
              <w:t xml:space="preserve"> (herunder synsforstyrrelse og </w:t>
            </w:r>
            <w:proofErr w:type="spellStart"/>
            <w:r>
              <w:rPr>
                <w:sz w:val="24"/>
                <w:szCs w:val="24"/>
              </w:rPr>
              <w:t>okulogyr</w:t>
            </w:r>
            <w:proofErr w:type="spellEnd"/>
            <w:r>
              <w:rPr>
                <w:sz w:val="24"/>
                <w:szCs w:val="24"/>
              </w:rPr>
              <w:t xml:space="preserve"> krise),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dyskinesi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>, nedsat bevidsthedsniveau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Kramper, især hos epilepsipatienter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Tardiv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dyskinesi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, som kan være persisterende, under eller efter langvarig behandling, især hos ældre patienter (se pkt. </w:t>
            </w:r>
          </w:p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4.4), malignt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neuroleptikasyndrom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(se pkt. 4.4)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 w:right="263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b/>
                <w:sz w:val="24"/>
                <w:szCs w:val="24"/>
                <w:lang w:eastAsia="da-DK"/>
              </w:rPr>
              <w:t>Psykiske forstyrrelser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Depression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Hallucinationer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Sjælden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Konfusionsstadie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rFonts w:cs="Arial"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rFonts w:cs="Arial"/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Selvmordstanker</w:t>
            </w:r>
          </w:p>
        </w:tc>
      </w:tr>
      <w:tr w:rsidR="003E2047" w:rsidTr="003E2047"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keepNext/>
              <w:autoSpaceDE w:val="0"/>
              <w:autoSpaceDN w:val="0"/>
              <w:adjustRightInd w:val="0"/>
              <w:ind w:left="96" w:right="261"/>
              <w:rPr>
                <w:sz w:val="24"/>
                <w:szCs w:val="24"/>
                <w:lang w:eastAsia="da-DK"/>
              </w:rPr>
            </w:pPr>
            <w:proofErr w:type="spellStart"/>
            <w:r>
              <w:rPr>
                <w:rFonts w:cs="Arial"/>
                <w:b/>
                <w:sz w:val="24"/>
                <w:szCs w:val="24"/>
                <w:lang w:eastAsia="da-DK"/>
              </w:rPr>
              <w:t>Vaskulære</w:t>
            </w:r>
            <w:proofErr w:type="spellEnd"/>
            <w:r>
              <w:rPr>
                <w:rFonts w:cs="Arial"/>
                <w:b/>
                <w:sz w:val="24"/>
                <w:szCs w:val="24"/>
                <w:lang w:eastAsia="da-DK"/>
              </w:rPr>
              <w:t xml:space="preserve"> sygdomme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Almindelig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Hypotension, specielt efter intravenøs administration</w:t>
            </w:r>
          </w:p>
        </w:tc>
      </w:tr>
      <w:tr w:rsidR="003E2047" w:rsidTr="003E204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2047" w:rsidRDefault="003E2047">
            <w:pPr>
              <w:tabs>
                <w:tab w:val="right" w:pos="8505"/>
              </w:tabs>
              <w:ind w:left="62" w:right="263"/>
              <w:rPr>
                <w:b/>
                <w:bCs/>
                <w:sz w:val="24"/>
                <w:szCs w:val="24"/>
                <w:lang w:eastAsia="da-DK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40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>Ikke kendt</w:t>
            </w:r>
          </w:p>
        </w:tc>
        <w:tc>
          <w:tcPr>
            <w:tcW w:w="4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2047" w:rsidRDefault="003E2047">
            <w:pPr>
              <w:autoSpaceDE w:val="0"/>
              <w:autoSpaceDN w:val="0"/>
              <w:adjustRightInd w:val="0"/>
              <w:ind w:left="99"/>
              <w:rPr>
                <w:sz w:val="24"/>
                <w:szCs w:val="24"/>
                <w:lang w:eastAsia="da-DK"/>
              </w:rPr>
            </w:pPr>
            <w:r>
              <w:rPr>
                <w:rFonts w:cs="Arial"/>
                <w:sz w:val="24"/>
                <w:szCs w:val="24"/>
                <w:lang w:eastAsia="da-DK"/>
              </w:rPr>
              <w:t xml:space="preserve">Chok, synkope (besvimelse) efter injektion, akut hypertension hos patienter med </w:t>
            </w:r>
            <w:proofErr w:type="spellStart"/>
            <w:r>
              <w:rPr>
                <w:rFonts w:cs="Arial"/>
                <w:sz w:val="24"/>
                <w:szCs w:val="24"/>
                <w:lang w:eastAsia="da-DK"/>
              </w:rPr>
              <w:t>fæokromocytom</w:t>
            </w:r>
            <w:proofErr w:type="spellEnd"/>
            <w:r>
              <w:rPr>
                <w:rFonts w:cs="Arial"/>
                <w:sz w:val="24"/>
                <w:szCs w:val="24"/>
                <w:lang w:eastAsia="da-DK"/>
              </w:rPr>
              <w:t xml:space="preserve"> (se pkt. 4.3), forbigående stigning i blodtryk</w:t>
            </w:r>
          </w:p>
        </w:tc>
      </w:tr>
    </w:tbl>
    <w:p w:rsidR="003E2047" w:rsidRDefault="003E2047" w:rsidP="003E2047">
      <w:pPr>
        <w:tabs>
          <w:tab w:val="right" w:pos="8505"/>
        </w:tabs>
        <w:ind w:left="851"/>
        <w:rPr>
          <w:b/>
          <w:bCs/>
          <w:sz w:val="24"/>
          <w:szCs w:val="24"/>
          <w:lang w:eastAsia="da-DK"/>
        </w:rPr>
      </w:pPr>
    </w:p>
    <w:p w:rsidR="003E2047" w:rsidRPr="00FC52BD" w:rsidRDefault="003E2047" w:rsidP="003E2047">
      <w:pPr>
        <w:autoSpaceDE w:val="0"/>
        <w:autoSpaceDN w:val="0"/>
        <w:adjustRightInd w:val="0"/>
        <w:ind w:left="851"/>
        <w:rPr>
          <w:rFonts w:cs="Arial"/>
          <w:sz w:val="20"/>
          <w:lang w:eastAsia="da-DK"/>
        </w:rPr>
      </w:pPr>
      <w:r w:rsidRPr="00FC52BD">
        <w:rPr>
          <w:rFonts w:cs="Arial"/>
          <w:sz w:val="20"/>
          <w:lang w:eastAsia="da-DK"/>
        </w:rPr>
        <w:t xml:space="preserve">* Endokrine forstyrrelser under langvarig behandling i relation til </w:t>
      </w:r>
      <w:proofErr w:type="spellStart"/>
      <w:r w:rsidRPr="00FC52BD">
        <w:rPr>
          <w:rFonts w:cs="Arial"/>
          <w:sz w:val="20"/>
          <w:lang w:eastAsia="da-DK"/>
        </w:rPr>
        <w:t>hyperprolaktinæmi</w:t>
      </w:r>
      <w:proofErr w:type="spellEnd"/>
      <w:r w:rsidRPr="00FC52BD">
        <w:rPr>
          <w:rFonts w:cs="Arial"/>
          <w:sz w:val="20"/>
          <w:lang w:eastAsia="da-DK"/>
        </w:rPr>
        <w:t xml:space="preserve"> (</w:t>
      </w:r>
      <w:proofErr w:type="spellStart"/>
      <w:r w:rsidRPr="00FC52BD">
        <w:rPr>
          <w:rFonts w:cs="Arial"/>
          <w:sz w:val="20"/>
          <w:lang w:eastAsia="da-DK"/>
        </w:rPr>
        <w:t>amenoré</w:t>
      </w:r>
      <w:proofErr w:type="spellEnd"/>
      <w:r w:rsidRPr="00FC52BD">
        <w:rPr>
          <w:rFonts w:cs="Arial"/>
          <w:sz w:val="20"/>
          <w:lang w:eastAsia="da-DK"/>
        </w:rPr>
        <w:t xml:space="preserve">, </w:t>
      </w:r>
      <w:proofErr w:type="spellStart"/>
      <w:r w:rsidRPr="00FC52BD">
        <w:rPr>
          <w:rFonts w:cs="Arial"/>
          <w:sz w:val="20"/>
          <w:lang w:eastAsia="da-DK"/>
        </w:rPr>
        <w:t>galaktoré</w:t>
      </w:r>
      <w:proofErr w:type="spellEnd"/>
      <w:r w:rsidRPr="00FC52BD">
        <w:rPr>
          <w:rFonts w:cs="Arial"/>
          <w:sz w:val="20"/>
          <w:lang w:eastAsia="da-DK"/>
        </w:rPr>
        <w:t xml:space="preserve">, </w:t>
      </w:r>
      <w:proofErr w:type="spellStart"/>
      <w:r w:rsidRPr="00FC52BD">
        <w:rPr>
          <w:rFonts w:cs="Arial"/>
          <w:sz w:val="20"/>
          <w:lang w:eastAsia="da-DK"/>
        </w:rPr>
        <w:t>gynækomasti</w:t>
      </w:r>
      <w:proofErr w:type="spellEnd"/>
      <w:r w:rsidRPr="00FC52BD">
        <w:rPr>
          <w:rFonts w:cs="Arial"/>
          <w:sz w:val="20"/>
          <w:lang w:eastAsia="da-DK"/>
        </w:rPr>
        <w:t>).</w:t>
      </w:r>
    </w:p>
    <w:p w:rsidR="003E2047" w:rsidRDefault="003E2047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 xml:space="preserve">Følgende reaktioner, nogle gange forbundet, forekommer hyppigere, når der er anvendt høje doser: </w:t>
      </w:r>
    </w:p>
    <w:p w:rsidR="003E2047" w:rsidRDefault="003E2047" w:rsidP="003E2047">
      <w:pPr>
        <w:autoSpaceDE w:val="0"/>
        <w:autoSpaceDN w:val="0"/>
        <w:adjustRightInd w:val="0"/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  <w:t xml:space="preserve">Ekstrapyramidale symptomer: Akut </w:t>
      </w:r>
      <w:proofErr w:type="spellStart"/>
      <w:r>
        <w:rPr>
          <w:rFonts w:cs="Arial"/>
          <w:sz w:val="24"/>
          <w:szCs w:val="24"/>
          <w:lang w:eastAsia="da-DK"/>
        </w:rPr>
        <w:t>dystoni</w:t>
      </w:r>
      <w:proofErr w:type="spellEnd"/>
      <w:r>
        <w:rPr>
          <w:rFonts w:cs="Arial"/>
          <w:sz w:val="24"/>
          <w:szCs w:val="24"/>
          <w:lang w:eastAsia="da-DK"/>
        </w:rPr>
        <w:t xml:space="preserve"> og </w:t>
      </w:r>
      <w:proofErr w:type="spellStart"/>
      <w:r>
        <w:rPr>
          <w:rFonts w:cs="Arial"/>
          <w:sz w:val="24"/>
          <w:szCs w:val="24"/>
          <w:lang w:eastAsia="da-DK"/>
        </w:rPr>
        <w:t>dyskinesi</w:t>
      </w:r>
      <w:proofErr w:type="spellEnd"/>
      <w:r>
        <w:rPr>
          <w:rFonts w:cs="Arial"/>
          <w:sz w:val="24"/>
          <w:szCs w:val="24"/>
          <w:lang w:eastAsia="da-DK"/>
        </w:rPr>
        <w:t xml:space="preserve">, parkinsonsyndrom, </w:t>
      </w:r>
      <w:proofErr w:type="spellStart"/>
      <w:r>
        <w:rPr>
          <w:rFonts w:cs="Arial"/>
          <w:sz w:val="24"/>
          <w:szCs w:val="24"/>
          <w:lang w:eastAsia="da-DK"/>
        </w:rPr>
        <w:t>akatisi</w:t>
      </w:r>
      <w:proofErr w:type="spellEnd"/>
      <w:r>
        <w:rPr>
          <w:rFonts w:cs="Arial"/>
          <w:sz w:val="24"/>
          <w:szCs w:val="24"/>
          <w:lang w:eastAsia="da-DK"/>
        </w:rPr>
        <w:t xml:space="preserve">, selv efter administration af en enkelt dosis af dette lægemiddel, især hos børn og unge voksne (se pkt. 4.4). </w:t>
      </w:r>
    </w:p>
    <w:p w:rsidR="003E2047" w:rsidRDefault="003E2047" w:rsidP="003E2047">
      <w:pPr>
        <w:tabs>
          <w:tab w:val="right" w:pos="8505"/>
        </w:tabs>
        <w:ind w:left="1134" w:hanging="283"/>
        <w:rPr>
          <w:sz w:val="24"/>
          <w:szCs w:val="24"/>
          <w:lang w:eastAsia="da-DK"/>
        </w:rPr>
      </w:pPr>
      <w:r>
        <w:rPr>
          <w:rFonts w:cs="Arial"/>
          <w:sz w:val="24"/>
          <w:szCs w:val="24"/>
          <w:lang w:eastAsia="da-DK"/>
        </w:rPr>
        <w:t>-</w:t>
      </w:r>
      <w:r>
        <w:rPr>
          <w:rFonts w:cs="Arial"/>
          <w:sz w:val="24"/>
          <w:szCs w:val="24"/>
          <w:lang w:eastAsia="da-DK"/>
        </w:rPr>
        <w:tab/>
        <w:t>Døsighed, nedsat bevidsthedsniveau, konfusion, hallucinationer.</w:t>
      </w:r>
    </w:p>
    <w:p w:rsidR="003E2047" w:rsidRDefault="003E2047" w:rsidP="003E2047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>-forholdet for lægemidlet. Sundhedspersoner anmodes om at indberette alle formodede bivirkninger via: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3E2047" w:rsidRDefault="003E2047" w:rsidP="003E2047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3E2047" w:rsidRPr="000E7862" w:rsidRDefault="003E2047" w:rsidP="003E2047">
      <w:pPr>
        <w:ind w:left="851"/>
        <w:rPr>
          <w:sz w:val="24"/>
          <w:szCs w:val="24"/>
          <w:lang w:eastAsia="da-DK"/>
        </w:rPr>
      </w:pPr>
      <w:r w:rsidRPr="000E7862">
        <w:rPr>
          <w:sz w:val="24"/>
          <w:szCs w:val="24"/>
          <w:lang w:eastAsia="da-DK"/>
        </w:rPr>
        <w:t xml:space="preserve">Websted: </w:t>
      </w:r>
      <w:hyperlink r:id="rId8" w:history="1">
        <w:r w:rsidRPr="000E7862">
          <w:rPr>
            <w:rStyle w:val="Hyperlink"/>
            <w:sz w:val="24"/>
          </w:rPr>
          <w:t>www.meldenbivirkning.dk</w:t>
        </w:r>
      </w:hyperlink>
    </w:p>
    <w:p w:rsidR="008B5E13" w:rsidRPr="000E7862" w:rsidRDefault="008B5E13" w:rsidP="003E2047">
      <w:pPr>
        <w:autoSpaceDE w:val="0"/>
        <w:autoSpaceDN w:val="0"/>
        <w:adjustRightInd w:val="0"/>
        <w:ind w:left="851"/>
        <w:rPr>
          <w:rFonts w:ascii="Calibri" w:eastAsia="Calibri" w:hAnsi="Calibri"/>
          <w:sz w:val="22"/>
          <w:szCs w:val="24"/>
          <w:lang w:eastAsia="da-DK"/>
        </w:rPr>
      </w:pPr>
    </w:p>
    <w:p w:rsidR="008B5E13" w:rsidRPr="000E7862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0E7862">
        <w:rPr>
          <w:b/>
          <w:sz w:val="24"/>
          <w:szCs w:val="24"/>
        </w:rPr>
        <w:t>4.9</w:t>
      </w:r>
      <w:r w:rsidRPr="000E7862">
        <w:rPr>
          <w:b/>
          <w:sz w:val="24"/>
          <w:szCs w:val="24"/>
        </w:rPr>
        <w:tab/>
        <w:t>Overdosering</w:t>
      </w:r>
    </w:p>
    <w:p w:rsidR="008B5E13" w:rsidRPr="000E7862" w:rsidRDefault="008B5E13" w:rsidP="008B5E13">
      <w:pPr>
        <w:autoSpaceDE w:val="0"/>
        <w:autoSpaceDN w:val="0"/>
        <w:adjustRightInd w:val="0"/>
        <w:ind w:left="851"/>
        <w:rPr>
          <w:rFonts w:cs="Arial"/>
          <w:sz w:val="24"/>
          <w:szCs w:val="24"/>
          <w:u w:val="single"/>
          <w:lang w:eastAsia="da-DK"/>
        </w:rPr>
      </w:pPr>
    </w:p>
    <w:p w:rsidR="008B5E13" w:rsidRPr="000E7862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0E7862">
        <w:rPr>
          <w:rFonts w:cs="Arial"/>
          <w:sz w:val="24"/>
          <w:szCs w:val="24"/>
          <w:u w:val="single"/>
          <w:lang w:eastAsia="da-DK"/>
        </w:rPr>
        <w:t>Symptomer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Ekstrapyramidale forstyrrelser, døsighed, nedsat bevidsthedsniveau, konfusion, hallucinationer og hjerte-/respirationsstop kan forekomme.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Behandling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I tilfælde af ekstrapyramidale symptomer, relateret eller ikke relateret til overdosering, er behandlingen udelukkende symptomatisk (benzodiazepiner hos børn og/eller </w:t>
      </w:r>
      <w:proofErr w:type="spellStart"/>
      <w:r w:rsidRPr="00BA5A9B">
        <w:rPr>
          <w:rFonts w:cs="Arial"/>
          <w:sz w:val="24"/>
          <w:szCs w:val="24"/>
          <w:lang w:eastAsia="da-DK"/>
        </w:rPr>
        <w:t>antikolinerge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BA5A9B">
        <w:rPr>
          <w:rFonts w:cs="Arial"/>
          <w:sz w:val="24"/>
          <w:szCs w:val="24"/>
          <w:lang w:eastAsia="da-DK"/>
        </w:rPr>
        <w:t>antiparkinsonmidler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hos voksne).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Symptomatisk behandling og kontinuerlig overvågning af de </w:t>
      </w:r>
      <w:proofErr w:type="spellStart"/>
      <w:r w:rsidRPr="00BA5A9B">
        <w:rPr>
          <w:rFonts w:cs="Arial"/>
          <w:sz w:val="24"/>
          <w:szCs w:val="24"/>
          <w:lang w:eastAsia="da-DK"/>
        </w:rPr>
        <w:t>kardiovaskulære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og respiratoriske funktioner skal udføres i henhold til klinisk status.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8B5E13" w:rsidRPr="00C84483" w:rsidRDefault="008B5E13" w:rsidP="00FC52BD">
      <w:pPr>
        <w:tabs>
          <w:tab w:val="left" w:pos="851"/>
        </w:tabs>
        <w:rPr>
          <w:sz w:val="24"/>
          <w:szCs w:val="24"/>
        </w:rPr>
      </w:pPr>
    </w:p>
    <w:p w:rsidR="008B5E13" w:rsidRDefault="008B5E13" w:rsidP="008B5E13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FC52BD" w:rsidRPr="00FC52BD" w:rsidRDefault="00FC52BD" w:rsidP="00FC52BD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C52BD">
        <w:rPr>
          <w:rFonts w:ascii="Times New Roman" w:hAnsi="Times New Roman" w:cs="Times New Roman"/>
          <w:sz w:val="24"/>
          <w:szCs w:val="24"/>
        </w:rPr>
        <w:lastRenderedPageBreak/>
        <w:t>Farmakoterapeutisk</w:t>
      </w:r>
      <w:proofErr w:type="spellEnd"/>
      <w:r w:rsidRPr="00FC52BD">
        <w:rPr>
          <w:rFonts w:ascii="Times New Roman" w:hAnsi="Times New Roman" w:cs="Times New Roman"/>
          <w:sz w:val="24"/>
          <w:szCs w:val="24"/>
        </w:rPr>
        <w:t xml:space="preserve"> klassifikation:</w:t>
      </w:r>
      <w:r>
        <w:rPr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40336C">
        <w:rPr>
          <w:rFonts w:ascii="Times New Roman" w:hAnsi="Times New Roman"/>
          <w:sz w:val="24"/>
          <w:szCs w:val="24"/>
        </w:rPr>
        <w:t>ræparater til bekæmpelse af kvalme/opkastning</w:t>
      </w:r>
      <w:r>
        <w:rPr>
          <w:rFonts w:ascii="Times New Roman" w:hAnsi="Times New Roman"/>
          <w:sz w:val="24"/>
          <w:szCs w:val="24"/>
        </w:rPr>
        <w:t xml:space="preserve">, </w:t>
      </w:r>
      <w:r w:rsidRPr="0040336C">
        <w:rPr>
          <w:rFonts w:ascii="Times New Roman" w:hAnsi="Times New Roman"/>
          <w:sz w:val="24"/>
          <w:szCs w:val="24"/>
        </w:rPr>
        <w:t>ATC-kode: A03FA01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C52BD" w:rsidRPr="00C84483" w:rsidRDefault="00FC52BD" w:rsidP="008B5E13">
      <w:pPr>
        <w:tabs>
          <w:tab w:val="num" w:pos="851"/>
        </w:tabs>
        <w:ind w:left="851" w:hanging="851"/>
        <w:rPr>
          <w:b/>
          <w:sz w:val="24"/>
          <w:szCs w:val="24"/>
        </w:rPr>
      </w:pP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er et substitueret benzamid. Det anvendes blandt andet på grund af dets </w:t>
      </w:r>
      <w:proofErr w:type="spellStart"/>
      <w:r w:rsidRPr="0040336C">
        <w:rPr>
          <w:rFonts w:ascii="Times New Roman" w:hAnsi="Times New Roman"/>
          <w:sz w:val="24"/>
          <w:szCs w:val="24"/>
        </w:rPr>
        <w:t>anti-emetiske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egenskaber. Den </w:t>
      </w:r>
      <w:proofErr w:type="spellStart"/>
      <w:r w:rsidRPr="0040336C">
        <w:rPr>
          <w:rFonts w:ascii="Times New Roman" w:hAnsi="Times New Roman"/>
          <w:sz w:val="24"/>
          <w:szCs w:val="24"/>
        </w:rPr>
        <w:t>antiemetiske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virkning er resultatet af to virkningsmekanismer, der involverer centralnervesystemet:</w:t>
      </w:r>
    </w:p>
    <w:p w:rsidR="008B5E13" w:rsidRPr="0040336C" w:rsidRDefault="008B5E13" w:rsidP="008B5E13">
      <w:pPr>
        <w:pStyle w:val="B2"/>
        <w:numPr>
          <w:ilvl w:val="0"/>
          <w:numId w:val="7"/>
        </w:numPr>
        <w:ind w:left="1134" w:hanging="283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antagonisme af de </w:t>
      </w:r>
      <w:proofErr w:type="spellStart"/>
      <w:r w:rsidRPr="0040336C">
        <w:rPr>
          <w:rFonts w:ascii="Times New Roman" w:hAnsi="Times New Roman"/>
          <w:sz w:val="24"/>
          <w:szCs w:val="24"/>
        </w:rPr>
        <w:t>dopaminerge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D2-receptorer i kemoreceptorernes triggerzone og i </w:t>
      </w:r>
      <w:proofErr w:type="spellStart"/>
      <w:r w:rsidRPr="0040336C">
        <w:rPr>
          <w:rFonts w:ascii="Times New Roman" w:hAnsi="Times New Roman"/>
          <w:sz w:val="24"/>
          <w:szCs w:val="24"/>
        </w:rPr>
        <w:t>medullas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opkastningscenter, som påvirkes ved </w:t>
      </w:r>
      <w:proofErr w:type="spellStart"/>
      <w:r w:rsidRPr="0040336C">
        <w:rPr>
          <w:rFonts w:ascii="Times New Roman" w:hAnsi="Times New Roman"/>
          <w:sz w:val="24"/>
          <w:szCs w:val="24"/>
        </w:rPr>
        <w:t>apomorfin</w:t>
      </w:r>
      <w:proofErr w:type="spellEnd"/>
      <w:r w:rsidRPr="0040336C">
        <w:rPr>
          <w:rFonts w:ascii="Times New Roman" w:hAnsi="Times New Roman"/>
          <w:sz w:val="24"/>
          <w:szCs w:val="24"/>
        </w:rPr>
        <w:t>-induceret opkastning;</w:t>
      </w:r>
    </w:p>
    <w:p w:rsidR="008B5E13" w:rsidRPr="0040336C" w:rsidRDefault="008B5E13" w:rsidP="008B5E13">
      <w:pPr>
        <w:pStyle w:val="B2"/>
        <w:numPr>
          <w:ilvl w:val="0"/>
          <w:numId w:val="7"/>
        </w:numPr>
        <w:ind w:left="1134" w:hanging="283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Pr="0040336C">
        <w:rPr>
          <w:rFonts w:ascii="Times New Roman" w:hAnsi="Times New Roman"/>
          <w:sz w:val="24"/>
          <w:szCs w:val="24"/>
        </w:rPr>
        <w:t>serotonerge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5HT3-receptorers antagonisme og agonisteffekt på 5HT4 receptorer, der er berørt af kemoterapi-induceret opkastning.</w:t>
      </w:r>
    </w:p>
    <w:p w:rsidR="008B5E13" w:rsidRPr="0040336C" w:rsidRDefault="008B5E13" w:rsidP="008B5E13">
      <w:pPr>
        <w:pStyle w:val="B2"/>
        <w:ind w:hanging="283"/>
        <w:jc w:val="left"/>
        <w:rPr>
          <w:rFonts w:ascii="Times New Roman" w:hAnsi="Times New Roman" w:cs="Times New Roman"/>
          <w:sz w:val="24"/>
          <w:szCs w:val="24"/>
        </w:rPr>
      </w:pPr>
    </w:p>
    <w:p w:rsidR="008B5E13" w:rsidRPr="00DD2FCA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Ud over den centrale handling, har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en stimulerende virkning på den </w:t>
      </w:r>
      <w:proofErr w:type="spellStart"/>
      <w:r w:rsidRPr="0040336C">
        <w:rPr>
          <w:rFonts w:ascii="Times New Roman" w:hAnsi="Times New Roman"/>
          <w:sz w:val="24"/>
          <w:szCs w:val="24"/>
        </w:rPr>
        <w:t>gastrointestinale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36C">
        <w:rPr>
          <w:rFonts w:ascii="Times New Roman" w:hAnsi="Times New Roman"/>
          <w:sz w:val="24"/>
          <w:szCs w:val="24"/>
        </w:rPr>
        <w:t>motilitet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via en perifer virkningsmekanisme. Der er en </w:t>
      </w:r>
      <w:proofErr w:type="spellStart"/>
      <w:r w:rsidRPr="0040336C">
        <w:rPr>
          <w:rFonts w:ascii="Times New Roman" w:hAnsi="Times New Roman"/>
          <w:sz w:val="24"/>
          <w:szCs w:val="24"/>
        </w:rPr>
        <w:t>antidopaminerg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virkning og </w:t>
      </w:r>
      <w:proofErr w:type="spellStart"/>
      <w:r w:rsidRPr="0040336C">
        <w:rPr>
          <w:rFonts w:ascii="Times New Roman" w:hAnsi="Times New Roman"/>
          <w:sz w:val="24"/>
          <w:szCs w:val="24"/>
        </w:rPr>
        <w:t>potentiering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af virkningen af ​​</w:t>
      </w:r>
      <w:proofErr w:type="spellStart"/>
      <w:r w:rsidRPr="0040336C">
        <w:rPr>
          <w:rFonts w:ascii="Times New Roman" w:hAnsi="Times New Roman"/>
          <w:sz w:val="24"/>
          <w:szCs w:val="24"/>
        </w:rPr>
        <w:t>acetylcholin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. Dette forårsager fremskyndet tømning af maven, og der er en stigning i trykket, der udøves af den nedre </w:t>
      </w:r>
      <w:proofErr w:type="spellStart"/>
      <w:r w:rsidRPr="0040336C">
        <w:rPr>
          <w:rFonts w:ascii="Times New Roman" w:hAnsi="Times New Roman"/>
          <w:sz w:val="24"/>
          <w:szCs w:val="24"/>
        </w:rPr>
        <w:t>øsofageale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336C">
        <w:rPr>
          <w:rFonts w:ascii="Times New Roman" w:hAnsi="Times New Roman"/>
          <w:sz w:val="24"/>
          <w:szCs w:val="24"/>
        </w:rPr>
        <w:t>sfincter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40336C">
        <w:rPr>
          <w:rFonts w:ascii="Times New Roman" w:hAnsi="Times New Roman"/>
          <w:sz w:val="24"/>
          <w:szCs w:val="24"/>
        </w:rPr>
        <w:t>Metoclopramid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har ingen effekt på mavesekretioner.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Efter oral administration er den relative biotilgængelighed sammenlignet med intravenøs administration 60 til 100 %. De maksimale plasmakoncentrationer nås inden for 30 minutter til 2 timer. 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Fordelingsvolumen er 2-3 l/kg. 13-22 % er bundet til plasmaproteiner.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udskilles primært i urinen, både i uændret form og i sulfat- eller </w:t>
      </w:r>
      <w:proofErr w:type="spellStart"/>
      <w:r w:rsidRPr="00BA5A9B">
        <w:rPr>
          <w:rFonts w:cs="Arial"/>
          <w:sz w:val="24"/>
          <w:szCs w:val="24"/>
          <w:lang w:eastAsia="da-DK"/>
        </w:rPr>
        <w:t>glukuronidkonjugat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form. Hovedmetabolitten er en N-4 </w:t>
      </w:r>
      <w:proofErr w:type="spellStart"/>
      <w:r w:rsidRPr="00BA5A9B">
        <w:rPr>
          <w:rFonts w:cs="Arial"/>
          <w:sz w:val="24"/>
          <w:szCs w:val="24"/>
          <w:lang w:eastAsia="da-DK"/>
        </w:rPr>
        <w:t>svovlkonjugat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. 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>Plasmahalveringstiden er 5 til 6 timer, uanset administrationsvej.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tabs>
          <w:tab w:val="right" w:pos="8505"/>
        </w:tabs>
        <w:ind w:left="851"/>
        <w:rPr>
          <w:iCs/>
          <w:sz w:val="24"/>
          <w:szCs w:val="24"/>
          <w:u w:val="single"/>
          <w:lang w:eastAsia="da-DK"/>
        </w:rPr>
      </w:pPr>
      <w:r w:rsidRPr="00BA5A9B">
        <w:rPr>
          <w:rFonts w:cs="Arial"/>
          <w:sz w:val="24"/>
          <w:szCs w:val="24"/>
          <w:u w:val="single"/>
          <w:lang w:eastAsia="da-DK"/>
        </w:rPr>
        <w:t>Særlige patientpopulationer</w:t>
      </w:r>
    </w:p>
    <w:p w:rsidR="008B5E13" w:rsidRPr="00BA5A9B" w:rsidRDefault="008B5E13" w:rsidP="008B5E13">
      <w:pPr>
        <w:tabs>
          <w:tab w:val="right" w:pos="8505"/>
        </w:tabs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BA5A9B">
        <w:rPr>
          <w:rFonts w:cs="Arial"/>
          <w:i/>
          <w:sz w:val="24"/>
          <w:szCs w:val="24"/>
          <w:lang w:eastAsia="da-DK"/>
        </w:rPr>
        <w:t>Nedsat nyrefunktion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proofErr w:type="spellStart"/>
      <w:r w:rsidRPr="00BA5A9B">
        <w:rPr>
          <w:rFonts w:cs="Arial"/>
          <w:sz w:val="24"/>
          <w:szCs w:val="24"/>
          <w:lang w:eastAsia="da-DK"/>
        </w:rPr>
        <w:t>Metoclopramids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</w:t>
      </w:r>
      <w:proofErr w:type="spellStart"/>
      <w:r w:rsidRPr="00BA5A9B">
        <w:rPr>
          <w:rFonts w:cs="Arial"/>
          <w:sz w:val="24"/>
          <w:szCs w:val="24"/>
          <w:lang w:eastAsia="da-DK"/>
        </w:rPr>
        <w:t>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er reduceret med op til 70 % hos patienter med svær nyreinsufficiens og plasmahalveringstiden er øget (ca. 10 timer ved </w:t>
      </w:r>
      <w:proofErr w:type="spellStart"/>
      <w:r w:rsidRPr="00BA5A9B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10-50 ml/minut og 15 timer ved </w:t>
      </w:r>
      <w:proofErr w:type="spellStart"/>
      <w:r w:rsidRPr="00BA5A9B">
        <w:rPr>
          <w:rFonts w:cs="Arial"/>
          <w:sz w:val="24"/>
          <w:szCs w:val="24"/>
          <w:lang w:eastAsia="da-DK"/>
        </w:rPr>
        <w:t>kreatininclearance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&lt; 10 ml/minut).</w:t>
      </w: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</w:p>
    <w:p w:rsidR="008B5E13" w:rsidRPr="00BA5A9B" w:rsidRDefault="008B5E13" w:rsidP="008B5E13">
      <w:pPr>
        <w:autoSpaceDE w:val="0"/>
        <w:autoSpaceDN w:val="0"/>
        <w:adjustRightInd w:val="0"/>
        <w:ind w:left="851"/>
        <w:rPr>
          <w:i/>
          <w:sz w:val="24"/>
          <w:szCs w:val="24"/>
          <w:lang w:eastAsia="da-DK"/>
        </w:rPr>
      </w:pPr>
      <w:r w:rsidRPr="00BA5A9B">
        <w:rPr>
          <w:rFonts w:cs="Arial"/>
          <w:i/>
          <w:sz w:val="24"/>
          <w:szCs w:val="24"/>
          <w:lang w:eastAsia="da-DK"/>
        </w:rPr>
        <w:t>Nedsat leverfunktion</w:t>
      </w:r>
    </w:p>
    <w:p w:rsidR="008B5E13" w:rsidRPr="00C84483" w:rsidRDefault="008B5E13" w:rsidP="008B5E13">
      <w:pPr>
        <w:autoSpaceDE w:val="0"/>
        <w:autoSpaceDN w:val="0"/>
        <w:adjustRightInd w:val="0"/>
        <w:ind w:left="851"/>
        <w:rPr>
          <w:sz w:val="24"/>
          <w:szCs w:val="24"/>
          <w:lang w:eastAsia="da-DK"/>
        </w:rPr>
      </w:pPr>
      <w:r w:rsidRPr="00BA5A9B">
        <w:rPr>
          <w:rFonts w:cs="Arial"/>
          <w:sz w:val="24"/>
          <w:szCs w:val="24"/>
          <w:lang w:eastAsia="da-DK"/>
        </w:rPr>
        <w:t xml:space="preserve">Hos patienter med levercirrose er akkumulation af </w:t>
      </w:r>
      <w:proofErr w:type="spellStart"/>
      <w:r w:rsidRPr="00BA5A9B">
        <w:rPr>
          <w:rFonts w:cs="Arial"/>
          <w:sz w:val="24"/>
          <w:szCs w:val="24"/>
          <w:lang w:eastAsia="da-DK"/>
        </w:rPr>
        <w:t>metoclopramid</w:t>
      </w:r>
      <w:proofErr w:type="spellEnd"/>
      <w:r w:rsidRPr="00BA5A9B">
        <w:rPr>
          <w:rFonts w:cs="Arial"/>
          <w:sz w:val="24"/>
          <w:szCs w:val="24"/>
          <w:lang w:eastAsia="da-DK"/>
        </w:rPr>
        <w:t xml:space="preserve"> observeret i forbindelse med 50 % reduktion i </w:t>
      </w:r>
      <w:proofErr w:type="spellStart"/>
      <w:r w:rsidRPr="00BA5A9B">
        <w:rPr>
          <w:rFonts w:cs="Arial"/>
          <w:sz w:val="24"/>
          <w:szCs w:val="24"/>
          <w:lang w:eastAsia="da-DK"/>
        </w:rPr>
        <w:t>plasmaclearance</w:t>
      </w:r>
      <w:proofErr w:type="spellEnd"/>
      <w:r w:rsidRPr="00BA5A9B">
        <w:rPr>
          <w:rFonts w:cs="Arial"/>
          <w:sz w:val="24"/>
          <w:szCs w:val="24"/>
          <w:lang w:eastAsia="da-DK"/>
        </w:rPr>
        <w:t>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 w:rsidR="00FC52BD"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 xml:space="preserve">Der er ikke fundet abnormiteter i dyreforsøg, der angiver en sikkerhedsrisiko hos mennesker. Dette er baseret på data fra farmakologiske undersøgelser vedrørende sikkerhed, og data om toksicitet efter gentagen administration, genotoksicitet, </w:t>
      </w:r>
      <w:proofErr w:type="spellStart"/>
      <w:r w:rsidRPr="0040336C">
        <w:rPr>
          <w:rFonts w:ascii="Times New Roman" w:hAnsi="Times New Roman"/>
          <w:sz w:val="24"/>
          <w:szCs w:val="24"/>
        </w:rPr>
        <w:t>karcinogenicitet</w:t>
      </w:r>
      <w:proofErr w:type="spellEnd"/>
      <w:r w:rsidRPr="0040336C">
        <w:rPr>
          <w:rFonts w:ascii="Times New Roman" w:hAnsi="Times New Roman"/>
          <w:sz w:val="24"/>
          <w:szCs w:val="24"/>
        </w:rPr>
        <w:t xml:space="preserve"> og reproduktionstoksicitet.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8B5E13" w:rsidRPr="00BA09F1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Lactosemonohydrat</w:t>
      </w:r>
      <w:proofErr w:type="spellEnd"/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Prægelatineret stivelse</w:t>
      </w:r>
    </w:p>
    <w:p w:rsidR="008B5E13" w:rsidRPr="0040336C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Majsstivelse</w:t>
      </w:r>
    </w:p>
    <w:p w:rsidR="008B5E13" w:rsidRPr="0040336C" w:rsidRDefault="008B5E13" w:rsidP="008B5E13">
      <w:pPr>
        <w:pStyle w:val="B2"/>
        <w:keepNext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Kolloid vandfri </w:t>
      </w:r>
      <w:proofErr w:type="spellStart"/>
      <w:r>
        <w:rPr>
          <w:rFonts w:ascii="Times New Roman" w:hAnsi="Times New Roman"/>
          <w:sz w:val="24"/>
          <w:szCs w:val="24"/>
        </w:rPr>
        <w:t>silica</w:t>
      </w:r>
      <w:proofErr w:type="spellEnd"/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40336C">
        <w:rPr>
          <w:rFonts w:ascii="Times New Roman" w:hAnsi="Times New Roman"/>
          <w:sz w:val="24"/>
          <w:szCs w:val="24"/>
        </w:rPr>
        <w:t>Magnesiumstearat</w:t>
      </w:r>
      <w:proofErr w:type="spellEnd"/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8B5E13" w:rsidRPr="00971B1E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8B5E13" w:rsidRPr="00C84483" w:rsidRDefault="008B5E13" w:rsidP="008B5E13">
      <w:pPr>
        <w:tabs>
          <w:tab w:val="left" w:pos="851"/>
        </w:tabs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2 år.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8B5E13" w:rsidRPr="009A2ED8" w:rsidRDefault="008B5E13" w:rsidP="008B5E13">
      <w:pPr>
        <w:pStyle w:val="B2"/>
        <w:ind w:left="851"/>
        <w:jc w:val="left"/>
        <w:rPr>
          <w:rFonts w:ascii="Times New Roman" w:hAnsi="Times New Roman" w:cs="Times New Roman"/>
          <w:sz w:val="24"/>
          <w:szCs w:val="24"/>
        </w:rPr>
      </w:pPr>
      <w:r w:rsidRPr="0040336C">
        <w:rPr>
          <w:rFonts w:ascii="Times New Roman" w:hAnsi="Times New Roman"/>
          <w:sz w:val="24"/>
          <w:szCs w:val="24"/>
        </w:rPr>
        <w:t>Opbevar</w:t>
      </w:r>
      <w:r>
        <w:rPr>
          <w:rFonts w:ascii="Times New Roman" w:hAnsi="Times New Roman"/>
          <w:sz w:val="24"/>
          <w:szCs w:val="24"/>
        </w:rPr>
        <w:t>es</w:t>
      </w:r>
      <w:r w:rsidRPr="0040336C">
        <w:rPr>
          <w:rFonts w:ascii="Times New Roman" w:hAnsi="Times New Roman"/>
          <w:sz w:val="24"/>
          <w:szCs w:val="24"/>
        </w:rPr>
        <w:t xml:space="preserve"> under 30 °C.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</w:t>
      </w:r>
      <w:r w:rsidR="00FC52BD">
        <w:rPr>
          <w:b/>
          <w:sz w:val="24"/>
          <w:szCs w:val="24"/>
        </w:rPr>
        <w:t xml:space="preserve"> </w:t>
      </w:r>
      <w:r w:rsidRPr="00C84483">
        <w:rPr>
          <w:b/>
          <w:sz w:val="24"/>
          <w:szCs w:val="24"/>
        </w:rPr>
        <w:t>og pakningsstørrelser</w:t>
      </w:r>
    </w:p>
    <w:p w:rsidR="009F086C" w:rsidRPr="009A2ED8" w:rsidRDefault="00354835" w:rsidP="009F086C">
      <w:pPr>
        <w:pStyle w:val="B1"/>
        <w:ind w:left="85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Blister.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 w:rsidR="00FC52BD"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8B5E13" w:rsidRPr="00C84483" w:rsidRDefault="008B5E13" w:rsidP="008B5E13">
      <w:pPr>
        <w:ind w:left="851"/>
        <w:rPr>
          <w:sz w:val="24"/>
          <w:szCs w:val="24"/>
          <w:lang w:eastAsia="da-DK"/>
        </w:rPr>
      </w:pPr>
      <w:r w:rsidRPr="00AE0501">
        <w:rPr>
          <w:rFonts w:cs="Arial"/>
          <w:sz w:val="24"/>
          <w:szCs w:val="24"/>
          <w:lang w:eastAsia="da-DK"/>
        </w:rPr>
        <w:t>Ingen særlige forholdsregler.</w:t>
      </w:r>
    </w:p>
    <w:p w:rsidR="008B5E13" w:rsidRPr="00C84483" w:rsidRDefault="008B5E13" w:rsidP="008B5E1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354835" w:rsidRPr="002F2B9C" w:rsidRDefault="00354835" w:rsidP="00354835">
      <w:pPr>
        <w:ind w:firstLine="851"/>
        <w:rPr>
          <w:lang w:eastAsia="da-DK"/>
        </w:rPr>
      </w:pPr>
      <w:r w:rsidRPr="002F2B9C">
        <w:rPr>
          <w:lang w:eastAsia="da-DK"/>
        </w:rPr>
        <w:t>2care4 ApS</w:t>
      </w:r>
    </w:p>
    <w:p w:rsidR="00354835" w:rsidRPr="002F2B9C" w:rsidRDefault="00354835" w:rsidP="00354835">
      <w:pPr>
        <w:ind w:firstLine="851"/>
        <w:rPr>
          <w:lang w:eastAsia="da-DK"/>
        </w:rPr>
      </w:pPr>
      <w:r>
        <w:rPr>
          <w:lang w:eastAsia="da-DK"/>
        </w:rPr>
        <w:t>Stenhuggervej 12</w:t>
      </w:r>
    </w:p>
    <w:p w:rsidR="00354835" w:rsidRDefault="00354835" w:rsidP="00354835">
      <w:pPr>
        <w:ind w:firstLine="851"/>
      </w:pPr>
      <w:r w:rsidRPr="002F2B9C">
        <w:rPr>
          <w:lang w:eastAsia="da-DK"/>
        </w:rPr>
        <w:t>6710 Esbjerg V</w:t>
      </w:r>
    </w:p>
    <w:p w:rsidR="0028512D" w:rsidRDefault="0028512D" w:rsidP="0028512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28512D" w:rsidRDefault="0028512D" w:rsidP="0028512D">
      <w:pPr>
        <w:tabs>
          <w:tab w:val="left" w:pos="851"/>
        </w:tabs>
        <w:ind w:left="851" w:hanging="851"/>
        <w:rPr>
          <w:b/>
          <w:sz w:val="24"/>
          <w:szCs w:val="24"/>
        </w:rPr>
      </w:pPr>
    </w:p>
    <w:p w:rsidR="008B5E13" w:rsidRPr="00C84483" w:rsidRDefault="008B5E13" w:rsidP="0028512D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 w:rsidR="00FC52BD"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8B5E13" w:rsidRPr="00C84483" w:rsidRDefault="00354835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72820</w:t>
      </w:r>
      <w:bookmarkStart w:id="0" w:name="_GoBack"/>
      <w:bookmarkEnd w:id="0"/>
    </w:p>
    <w:p w:rsidR="008B5E13" w:rsidRPr="00C84483" w:rsidRDefault="008B5E13" w:rsidP="008B5E13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8B5E13" w:rsidRPr="00C84483" w:rsidRDefault="00354835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17. december 2024</w:t>
      </w:r>
    </w:p>
    <w:p w:rsidR="008B5E13" w:rsidRPr="00C84483" w:rsidRDefault="008B5E13" w:rsidP="008B5E13">
      <w:pPr>
        <w:tabs>
          <w:tab w:val="left" w:pos="851"/>
        </w:tabs>
        <w:ind w:left="851"/>
        <w:rPr>
          <w:sz w:val="24"/>
          <w:szCs w:val="24"/>
        </w:rPr>
      </w:pPr>
    </w:p>
    <w:p w:rsidR="008B5E13" w:rsidRPr="00C84483" w:rsidRDefault="008B5E13" w:rsidP="008B5E13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8B5E13" w:rsidRPr="00FA6FA6" w:rsidRDefault="00354835" w:rsidP="008B5E13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8B5E13" w:rsidRPr="00EA22F8" w:rsidRDefault="008B5E13" w:rsidP="008B5E13"/>
    <w:p w:rsidR="008B5E13" w:rsidRPr="00F54D5D" w:rsidRDefault="008B5E13" w:rsidP="008B5E13"/>
    <w:p w:rsidR="009260DE" w:rsidRPr="008B5E13" w:rsidRDefault="009260DE" w:rsidP="008B5E13"/>
    <w:sectPr w:rsidR="009260DE" w:rsidRPr="008B5E13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5E13" w:rsidRDefault="008B5E13">
      <w:r>
        <w:separator/>
      </w:r>
    </w:p>
  </w:endnote>
  <w:endnote w:type="continuationSeparator" w:id="0">
    <w:p w:rsidR="008B5E13" w:rsidRDefault="008B5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73026">
      <w:rPr>
        <w:i/>
        <w:noProof/>
        <w:sz w:val="18"/>
        <w:szCs w:val="18"/>
      </w:rPr>
      <w:t>Metoclopramide Accord, tabletter 10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5E13" w:rsidRDefault="008B5E13">
      <w:r>
        <w:separator/>
      </w:r>
    </w:p>
  </w:footnote>
  <w:footnote w:type="continuationSeparator" w:id="0">
    <w:p w:rsidR="008B5E13" w:rsidRDefault="008B5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BB6"/>
    <w:multiLevelType w:val="hybridMultilevel"/>
    <w:tmpl w:val="7FD2FA86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F2DE5"/>
    <w:multiLevelType w:val="hybridMultilevel"/>
    <w:tmpl w:val="ABDE052A"/>
    <w:lvl w:ilvl="0" w:tplc="FFFFFFFF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6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E13"/>
    <w:rsid w:val="000259B9"/>
    <w:rsid w:val="00041491"/>
    <w:rsid w:val="00050D16"/>
    <w:rsid w:val="00074F2A"/>
    <w:rsid w:val="000A1CA8"/>
    <w:rsid w:val="000A466B"/>
    <w:rsid w:val="000B058C"/>
    <w:rsid w:val="000E4EE6"/>
    <w:rsid w:val="000E7862"/>
    <w:rsid w:val="001454E2"/>
    <w:rsid w:val="00206CE8"/>
    <w:rsid w:val="0021526C"/>
    <w:rsid w:val="00282EB9"/>
    <w:rsid w:val="00283A2B"/>
    <w:rsid w:val="0028512D"/>
    <w:rsid w:val="002B30AD"/>
    <w:rsid w:val="002C2C01"/>
    <w:rsid w:val="0030659D"/>
    <w:rsid w:val="00354835"/>
    <w:rsid w:val="003A29AE"/>
    <w:rsid w:val="003A32D7"/>
    <w:rsid w:val="003B4074"/>
    <w:rsid w:val="003C613E"/>
    <w:rsid w:val="003C769A"/>
    <w:rsid w:val="003E2047"/>
    <w:rsid w:val="003F1838"/>
    <w:rsid w:val="0045746C"/>
    <w:rsid w:val="0049104B"/>
    <w:rsid w:val="004E3B12"/>
    <w:rsid w:val="00532310"/>
    <w:rsid w:val="00552536"/>
    <w:rsid w:val="00556DF6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873026"/>
    <w:rsid w:val="00890283"/>
    <w:rsid w:val="008B5E13"/>
    <w:rsid w:val="00907F75"/>
    <w:rsid w:val="009260DE"/>
    <w:rsid w:val="0093258A"/>
    <w:rsid w:val="009C7BA3"/>
    <w:rsid w:val="009D1F5A"/>
    <w:rsid w:val="009E75CA"/>
    <w:rsid w:val="009F086C"/>
    <w:rsid w:val="00B003BF"/>
    <w:rsid w:val="00B373D7"/>
    <w:rsid w:val="00C36276"/>
    <w:rsid w:val="00C42586"/>
    <w:rsid w:val="00C60CCD"/>
    <w:rsid w:val="00C84483"/>
    <w:rsid w:val="00C95551"/>
    <w:rsid w:val="00CA1DBA"/>
    <w:rsid w:val="00CB20D7"/>
    <w:rsid w:val="00D020B0"/>
    <w:rsid w:val="00D11748"/>
    <w:rsid w:val="00D366CF"/>
    <w:rsid w:val="00DD483B"/>
    <w:rsid w:val="00E108AA"/>
    <w:rsid w:val="00E31812"/>
    <w:rsid w:val="00E3749A"/>
    <w:rsid w:val="00E7437F"/>
    <w:rsid w:val="00E865B8"/>
    <w:rsid w:val="00EC0B9B"/>
    <w:rsid w:val="00ED466C"/>
    <w:rsid w:val="00ED5E9F"/>
    <w:rsid w:val="00F27AEA"/>
    <w:rsid w:val="00F50347"/>
    <w:rsid w:val="00F66D4F"/>
    <w:rsid w:val="00FB6D01"/>
    <w:rsid w:val="00FC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5C3BDC"/>
  <w15:chartTrackingRefBased/>
  <w15:docId w15:val="{60DB1E6C-95C7-4DC5-BF1A-C5AAF84F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B1">
    <w:name w:val="_ B1"/>
    <w:basedOn w:val="Normal"/>
    <w:uiPriority w:val="99"/>
    <w:rsid w:val="008B5E13"/>
    <w:pPr>
      <w:tabs>
        <w:tab w:val="right" w:pos="8505"/>
      </w:tabs>
      <w:ind w:left="567"/>
      <w:jc w:val="both"/>
    </w:pPr>
    <w:rPr>
      <w:rFonts w:ascii="Arial" w:hAnsi="Arial" w:cs="Arial"/>
      <w:sz w:val="18"/>
      <w:szCs w:val="18"/>
      <w:lang w:eastAsia="da-DK"/>
    </w:rPr>
  </w:style>
  <w:style w:type="paragraph" w:customStyle="1" w:styleId="B2">
    <w:name w:val="_ B2"/>
    <w:basedOn w:val="Normal"/>
    <w:uiPriority w:val="99"/>
    <w:rsid w:val="008B5E13"/>
    <w:pPr>
      <w:tabs>
        <w:tab w:val="right" w:pos="8505"/>
      </w:tabs>
      <w:ind w:left="1134"/>
      <w:jc w:val="both"/>
    </w:pPr>
    <w:rPr>
      <w:rFonts w:ascii="Arial" w:hAnsi="Arial" w:cs="Arial"/>
      <w:sz w:val="18"/>
      <w:szCs w:val="18"/>
      <w:lang w:eastAsia="da-DK"/>
    </w:rPr>
  </w:style>
  <w:style w:type="character" w:styleId="Hyperlink">
    <w:name w:val="Hyperlink"/>
    <w:basedOn w:val="Standardskrifttypeiafsnit"/>
    <w:uiPriority w:val="99"/>
    <w:rsid w:val="008B5E13"/>
    <w:rPr>
      <w:color w:val="0000FF"/>
      <w:u w:val="single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2080</Words>
  <Characters>14756</Characters>
  <Application>Microsoft Office Word</Application>
  <DocSecurity>0</DocSecurity>
  <Lines>122</Lines>
  <Paragraphs>33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Camilla Sværke Hansen</dc:creator>
  <cp:keywords/>
  <dc:description>2024112025 - Nyt PI SPC</dc:description>
  <cp:lastModifiedBy>Camilla Sværke Hansen</cp:lastModifiedBy>
  <cp:revision>4</cp:revision>
  <cp:lastPrinted>2012-08-22T08:53:00Z</cp:lastPrinted>
  <dcterms:created xsi:type="dcterms:W3CDTF">2024-11-04T13:28:00Z</dcterms:created>
  <dcterms:modified xsi:type="dcterms:W3CDTF">2024-12-17T10:27:00Z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