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4D5B" w14:textId="4AFDAD7F" w:rsidR="009260DE" w:rsidRPr="00C41A7E" w:rsidRDefault="0021526C" w:rsidP="006207AB">
      <w:pPr>
        <w:rPr>
          <w:b/>
          <w:sz w:val="24"/>
          <w:szCs w:val="24"/>
        </w:rPr>
      </w:pPr>
      <w:bookmarkStart w:id="0" w:name="_GoBack"/>
      <w:bookmarkEnd w:id="0"/>
      <w:r w:rsidRPr="00C41A7E">
        <w:rPr>
          <w:noProof/>
          <w:sz w:val="24"/>
          <w:szCs w:val="24"/>
          <w:lang w:eastAsia="da-DK"/>
        </w:rPr>
        <w:drawing>
          <wp:anchor distT="0" distB="0" distL="114300" distR="114300" simplePos="0" relativeHeight="251658240" behindDoc="0" locked="0" layoutInCell="1" allowOverlap="1" wp14:anchorId="4D629374" wp14:editId="59BFAF0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41A7E">
        <w:rPr>
          <w:sz w:val="24"/>
          <w:szCs w:val="24"/>
        </w:rPr>
        <w:br w:type="textWrapping" w:clear="all"/>
      </w:r>
    </w:p>
    <w:p w14:paraId="08966365" w14:textId="622C2693" w:rsidR="009260DE" w:rsidRPr="00C41A7E" w:rsidRDefault="009260DE" w:rsidP="009260DE">
      <w:pPr>
        <w:pStyle w:val="Titel"/>
        <w:tabs>
          <w:tab w:val="right" w:pos="9356"/>
        </w:tabs>
        <w:jc w:val="left"/>
        <w:rPr>
          <w:b w:val="0"/>
          <w:szCs w:val="24"/>
          <w:lang w:eastAsia="en-US"/>
        </w:rPr>
      </w:pPr>
      <w:r w:rsidRPr="00C41A7E">
        <w:rPr>
          <w:b w:val="0"/>
          <w:szCs w:val="24"/>
          <w:lang w:eastAsia="en-US"/>
        </w:rPr>
        <w:tab/>
      </w:r>
      <w:r w:rsidR="001F25EF">
        <w:rPr>
          <w:szCs w:val="24"/>
        </w:rPr>
        <w:t>2. september 2024</w:t>
      </w:r>
    </w:p>
    <w:p w14:paraId="0C6FCA2C" w14:textId="77777777" w:rsidR="009260DE" w:rsidRPr="00C41A7E" w:rsidRDefault="009260DE" w:rsidP="009260DE">
      <w:pPr>
        <w:pStyle w:val="Titel"/>
        <w:tabs>
          <w:tab w:val="left" w:pos="8222"/>
        </w:tabs>
        <w:jc w:val="left"/>
        <w:rPr>
          <w:b w:val="0"/>
          <w:szCs w:val="24"/>
        </w:rPr>
      </w:pPr>
    </w:p>
    <w:p w14:paraId="37ABC178" w14:textId="77777777" w:rsidR="009260DE" w:rsidRPr="00C41A7E" w:rsidRDefault="009260DE" w:rsidP="009260DE">
      <w:pPr>
        <w:pStyle w:val="Titel"/>
        <w:jc w:val="left"/>
        <w:rPr>
          <w:b w:val="0"/>
          <w:szCs w:val="24"/>
        </w:rPr>
      </w:pPr>
    </w:p>
    <w:p w14:paraId="5329D702" w14:textId="77777777" w:rsidR="009260DE" w:rsidRPr="00C41A7E" w:rsidRDefault="009260DE" w:rsidP="009260DE">
      <w:pPr>
        <w:pStyle w:val="Titel"/>
        <w:jc w:val="left"/>
        <w:rPr>
          <w:b w:val="0"/>
          <w:szCs w:val="24"/>
        </w:rPr>
      </w:pPr>
    </w:p>
    <w:p w14:paraId="072A4D55" w14:textId="77777777" w:rsidR="009260DE" w:rsidRPr="00C41A7E" w:rsidRDefault="009260DE" w:rsidP="009260DE">
      <w:pPr>
        <w:jc w:val="center"/>
        <w:rPr>
          <w:b/>
          <w:sz w:val="24"/>
          <w:szCs w:val="24"/>
        </w:rPr>
      </w:pPr>
      <w:r w:rsidRPr="00C41A7E">
        <w:rPr>
          <w:b/>
          <w:sz w:val="24"/>
          <w:szCs w:val="24"/>
        </w:rPr>
        <w:t>PRODUKTRESUMÉ</w:t>
      </w:r>
    </w:p>
    <w:p w14:paraId="7CE5750A" w14:textId="77777777" w:rsidR="009260DE" w:rsidRPr="00C41A7E" w:rsidRDefault="009260DE" w:rsidP="009260DE">
      <w:pPr>
        <w:jc w:val="center"/>
        <w:rPr>
          <w:b/>
          <w:sz w:val="24"/>
          <w:szCs w:val="24"/>
        </w:rPr>
      </w:pPr>
    </w:p>
    <w:p w14:paraId="09C8058F" w14:textId="77777777" w:rsidR="009260DE" w:rsidRPr="00C41A7E" w:rsidRDefault="009260DE" w:rsidP="009260DE">
      <w:pPr>
        <w:jc w:val="center"/>
        <w:rPr>
          <w:b/>
          <w:sz w:val="24"/>
          <w:szCs w:val="24"/>
        </w:rPr>
      </w:pPr>
      <w:r w:rsidRPr="00C41A7E">
        <w:rPr>
          <w:b/>
          <w:sz w:val="24"/>
          <w:szCs w:val="24"/>
        </w:rPr>
        <w:t>for</w:t>
      </w:r>
    </w:p>
    <w:p w14:paraId="5989FB6A" w14:textId="77777777" w:rsidR="000B058C" w:rsidRPr="00C41A7E" w:rsidRDefault="000B058C" w:rsidP="009260DE">
      <w:pPr>
        <w:jc w:val="center"/>
        <w:rPr>
          <w:b/>
          <w:sz w:val="24"/>
          <w:szCs w:val="24"/>
        </w:rPr>
      </w:pPr>
    </w:p>
    <w:p w14:paraId="1D7F01C1" w14:textId="7687B4CE" w:rsidR="009260DE" w:rsidRPr="00C41A7E" w:rsidRDefault="00676B50" w:rsidP="009260DE">
      <w:pPr>
        <w:jc w:val="center"/>
        <w:rPr>
          <w:b/>
          <w:sz w:val="24"/>
          <w:szCs w:val="24"/>
        </w:rPr>
      </w:pPr>
      <w:proofErr w:type="spellStart"/>
      <w:r w:rsidRPr="00C41A7E">
        <w:rPr>
          <w:b/>
          <w:sz w:val="24"/>
          <w:szCs w:val="24"/>
        </w:rPr>
        <w:t>Metoclopramide</w:t>
      </w:r>
      <w:proofErr w:type="spellEnd"/>
      <w:r w:rsidRPr="00C41A7E">
        <w:rPr>
          <w:b/>
          <w:sz w:val="24"/>
          <w:szCs w:val="24"/>
        </w:rPr>
        <w:t xml:space="preserve"> "G.L. Pharma", injektionsvæske, opløsning</w:t>
      </w:r>
    </w:p>
    <w:p w14:paraId="2C730056" w14:textId="77777777" w:rsidR="009260DE" w:rsidRPr="00C41A7E" w:rsidRDefault="009260DE" w:rsidP="009260DE">
      <w:pPr>
        <w:jc w:val="both"/>
        <w:rPr>
          <w:sz w:val="24"/>
          <w:szCs w:val="24"/>
        </w:rPr>
      </w:pPr>
    </w:p>
    <w:p w14:paraId="52E0B80F" w14:textId="77777777" w:rsidR="009260DE" w:rsidRPr="00C41A7E" w:rsidRDefault="009260DE" w:rsidP="009260DE">
      <w:pPr>
        <w:jc w:val="both"/>
        <w:rPr>
          <w:sz w:val="24"/>
          <w:szCs w:val="24"/>
        </w:rPr>
      </w:pPr>
    </w:p>
    <w:p w14:paraId="120208F8" w14:textId="77777777" w:rsidR="009260DE" w:rsidRPr="00C41A7E" w:rsidRDefault="009260DE" w:rsidP="009260DE">
      <w:pPr>
        <w:tabs>
          <w:tab w:val="left" w:pos="851"/>
        </w:tabs>
        <w:ind w:left="851" w:hanging="851"/>
        <w:rPr>
          <w:b/>
          <w:sz w:val="24"/>
          <w:szCs w:val="24"/>
        </w:rPr>
      </w:pPr>
      <w:r w:rsidRPr="00C41A7E">
        <w:rPr>
          <w:b/>
          <w:sz w:val="24"/>
          <w:szCs w:val="24"/>
        </w:rPr>
        <w:t>0.</w:t>
      </w:r>
      <w:r w:rsidRPr="00C41A7E">
        <w:rPr>
          <w:b/>
          <w:sz w:val="24"/>
          <w:szCs w:val="24"/>
        </w:rPr>
        <w:tab/>
        <w:t>D.SP.NR.</w:t>
      </w:r>
    </w:p>
    <w:p w14:paraId="731ECCAF" w14:textId="7AD0E0CF" w:rsidR="009260DE" w:rsidRPr="00C41A7E" w:rsidRDefault="00676B50" w:rsidP="009260DE">
      <w:pPr>
        <w:tabs>
          <w:tab w:val="left" w:pos="851"/>
        </w:tabs>
        <w:ind w:left="851"/>
        <w:rPr>
          <w:sz w:val="24"/>
          <w:szCs w:val="24"/>
        </w:rPr>
      </w:pPr>
      <w:r w:rsidRPr="00C41A7E">
        <w:rPr>
          <w:sz w:val="24"/>
          <w:szCs w:val="24"/>
        </w:rPr>
        <w:t>33473</w:t>
      </w:r>
    </w:p>
    <w:p w14:paraId="7F9F576C" w14:textId="77777777" w:rsidR="009260DE" w:rsidRPr="00C41A7E" w:rsidRDefault="009260DE" w:rsidP="009260DE">
      <w:pPr>
        <w:tabs>
          <w:tab w:val="left" w:pos="851"/>
        </w:tabs>
        <w:ind w:left="851"/>
        <w:rPr>
          <w:sz w:val="24"/>
          <w:szCs w:val="24"/>
        </w:rPr>
      </w:pPr>
    </w:p>
    <w:p w14:paraId="1EE9C232" w14:textId="77777777" w:rsidR="009260DE" w:rsidRPr="00C41A7E" w:rsidRDefault="009260DE" w:rsidP="009260DE">
      <w:pPr>
        <w:tabs>
          <w:tab w:val="left" w:pos="851"/>
        </w:tabs>
        <w:ind w:left="851" w:hanging="851"/>
        <w:rPr>
          <w:b/>
          <w:sz w:val="24"/>
          <w:szCs w:val="24"/>
        </w:rPr>
      </w:pPr>
      <w:r w:rsidRPr="00C41A7E">
        <w:rPr>
          <w:b/>
          <w:sz w:val="24"/>
          <w:szCs w:val="24"/>
        </w:rPr>
        <w:t>1.</w:t>
      </w:r>
      <w:r w:rsidRPr="00C41A7E">
        <w:rPr>
          <w:b/>
          <w:sz w:val="24"/>
          <w:szCs w:val="24"/>
        </w:rPr>
        <w:tab/>
        <w:t>LÆGEMIDLETS NAVN</w:t>
      </w:r>
    </w:p>
    <w:p w14:paraId="08CBCAAA" w14:textId="1A942E28" w:rsidR="009260DE" w:rsidRPr="00C41A7E" w:rsidRDefault="00676B50" w:rsidP="009260DE">
      <w:pPr>
        <w:tabs>
          <w:tab w:val="left" w:pos="851"/>
        </w:tabs>
        <w:ind w:left="851"/>
        <w:rPr>
          <w:sz w:val="24"/>
          <w:szCs w:val="24"/>
        </w:rPr>
      </w:pPr>
      <w:proofErr w:type="spellStart"/>
      <w:r w:rsidRPr="00C41A7E">
        <w:rPr>
          <w:sz w:val="24"/>
          <w:szCs w:val="24"/>
        </w:rPr>
        <w:t>Metoclopramide</w:t>
      </w:r>
      <w:proofErr w:type="spellEnd"/>
      <w:r w:rsidRPr="00C41A7E">
        <w:rPr>
          <w:sz w:val="24"/>
          <w:szCs w:val="24"/>
        </w:rPr>
        <w:t xml:space="preserve"> "G.L. Pharma"</w:t>
      </w:r>
    </w:p>
    <w:p w14:paraId="0D2A8EB6" w14:textId="77777777" w:rsidR="009260DE" w:rsidRPr="00C41A7E" w:rsidRDefault="009260DE" w:rsidP="009260DE">
      <w:pPr>
        <w:tabs>
          <w:tab w:val="left" w:pos="851"/>
        </w:tabs>
        <w:ind w:left="851"/>
        <w:rPr>
          <w:sz w:val="24"/>
          <w:szCs w:val="24"/>
        </w:rPr>
      </w:pPr>
    </w:p>
    <w:p w14:paraId="34B1A360" w14:textId="77777777" w:rsidR="009260DE" w:rsidRPr="00C41A7E" w:rsidRDefault="009260DE" w:rsidP="009260DE">
      <w:pPr>
        <w:tabs>
          <w:tab w:val="left" w:pos="851"/>
        </w:tabs>
        <w:ind w:left="851" w:hanging="851"/>
        <w:rPr>
          <w:b/>
          <w:sz w:val="24"/>
          <w:szCs w:val="24"/>
        </w:rPr>
      </w:pPr>
      <w:r w:rsidRPr="00C41A7E">
        <w:rPr>
          <w:b/>
          <w:sz w:val="24"/>
          <w:szCs w:val="24"/>
        </w:rPr>
        <w:t>2.</w:t>
      </w:r>
      <w:r w:rsidRPr="00C41A7E">
        <w:rPr>
          <w:b/>
          <w:sz w:val="24"/>
          <w:szCs w:val="24"/>
        </w:rPr>
        <w:tab/>
        <w:t>KVALITATIV OG KVANTITATIV SAMMENSÆTNING</w:t>
      </w:r>
    </w:p>
    <w:p w14:paraId="7A7BE66A" w14:textId="594DB424" w:rsidR="00726C46" w:rsidRPr="00C41A7E" w:rsidRDefault="00726C46" w:rsidP="006207AB">
      <w:pPr>
        <w:ind w:left="851"/>
        <w:rPr>
          <w:sz w:val="24"/>
          <w:szCs w:val="24"/>
        </w:rPr>
      </w:pPr>
      <w:r w:rsidRPr="00C41A7E">
        <w:rPr>
          <w:sz w:val="24"/>
          <w:szCs w:val="24"/>
        </w:rPr>
        <w:t xml:space="preserve">Hver ampul med 2 ml injektionsvæske, opløsning indeholder 10 mg </w:t>
      </w:r>
      <w:proofErr w:type="spellStart"/>
      <w:r w:rsidRPr="00C41A7E">
        <w:rPr>
          <w:sz w:val="24"/>
          <w:szCs w:val="24"/>
        </w:rPr>
        <w:t>metoclopramid</w:t>
      </w:r>
      <w:r w:rsidR="00405F39">
        <w:rPr>
          <w:sz w:val="24"/>
          <w:szCs w:val="24"/>
        </w:rPr>
        <w:softHyphen/>
      </w:r>
      <w:r w:rsidRPr="00C41A7E">
        <w:rPr>
          <w:sz w:val="24"/>
          <w:szCs w:val="24"/>
        </w:rPr>
        <w:t>hydrochlorid</w:t>
      </w:r>
      <w:proofErr w:type="spellEnd"/>
      <w:r w:rsidRPr="00C41A7E">
        <w:rPr>
          <w:sz w:val="24"/>
          <w:szCs w:val="24"/>
        </w:rPr>
        <w:t xml:space="preserve"> (som monohydrat).</w:t>
      </w:r>
    </w:p>
    <w:p w14:paraId="7E436278" w14:textId="77777777" w:rsidR="00726C46" w:rsidRPr="00C41A7E" w:rsidRDefault="00726C46" w:rsidP="006207AB">
      <w:pPr>
        <w:ind w:left="851"/>
        <w:rPr>
          <w:sz w:val="24"/>
          <w:szCs w:val="24"/>
        </w:rPr>
      </w:pPr>
    </w:p>
    <w:p w14:paraId="7A25A06F" w14:textId="77777777" w:rsidR="00726C46" w:rsidRPr="00C41A7E" w:rsidRDefault="00726C46" w:rsidP="006207AB">
      <w:pPr>
        <w:ind w:left="851"/>
        <w:rPr>
          <w:sz w:val="24"/>
          <w:szCs w:val="24"/>
        </w:rPr>
      </w:pPr>
      <w:r w:rsidRPr="00C41A7E">
        <w:rPr>
          <w:sz w:val="24"/>
          <w:szCs w:val="24"/>
        </w:rPr>
        <w:t xml:space="preserve">Hver ml injektionsvæske, opløsning indeholder 5 mg </w:t>
      </w:r>
      <w:proofErr w:type="spellStart"/>
      <w:r w:rsidRPr="00C41A7E">
        <w:rPr>
          <w:sz w:val="24"/>
          <w:szCs w:val="24"/>
        </w:rPr>
        <w:t>metoclopramidhydrochlorid</w:t>
      </w:r>
      <w:proofErr w:type="spellEnd"/>
      <w:r w:rsidRPr="00C41A7E">
        <w:rPr>
          <w:sz w:val="24"/>
          <w:szCs w:val="24"/>
        </w:rPr>
        <w:t xml:space="preserve"> (som monohydrat).</w:t>
      </w:r>
    </w:p>
    <w:p w14:paraId="1088B27F" w14:textId="77777777" w:rsidR="00726C46" w:rsidRPr="00C41A7E" w:rsidRDefault="00726C46" w:rsidP="006207AB">
      <w:pPr>
        <w:ind w:left="851"/>
        <w:rPr>
          <w:sz w:val="24"/>
          <w:szCs w:val="24"/>
        </w:rPr>
      </w:pPr>
    </w:p>
    <w:p w14:paraId="67346277" w14:textId="77777777" w:rsidR="00726C46" w:rsidRPr="00C41A7E" w:rsidRDefault="00726C46" w:rsidP="006207AB">
      <w:pPr>
        <w:ind w:left="851"/>
        <w:rPr>
          <w:sz w:val="24"/>
          <w:szCs w:val="24"/>
        </w:rPr>
      </w:pPr>
      <w:r w:rsidRPr="00C41A7E">
        <w:rPr>
          <w:sz w:val="24"/>
          <w:szCs w:val="24"/>
        </w:rPr>
        <w:t>Alle hjælpestoffer er anført under pkt. 6.1.</w:t>
      </w:r>
    </w:p>
    <w:p w14:paraId="1F46B65B" w14:textId="77777777" w:rsidR="009260DE" w:rsidRPr="00C41A7E" w:rsidRDefault="009260DE" w:rsidP="009260DE">
      <w:pPr>
        <w:tabs>
          <w:tab w:val="left" w:pos="851"/>
        </w:tabs>
        <w:ind w:left="851"/>
        <w:rPr>
          <w:sz w:val="24"/>
          <w:szCs w:val="24"/>
        </w:rPr>
      </w:pPr>
    </w:p>
    <w:p w14:paraId="76CE7F19" w14:textId="77777777" w:rsidR="009260DE" w:rsidRPr="00C41A7E" w:rsidRDefault="009260DE" w:rsidP="009260DE">
      <w:pPr>
        <w:tabs>
          <w:tab w:val="left" w:pos="851"/>
        </w:tabs>
        <w:ind w:left="851" w:hanging="851"/>
        <w:rPr>
          <w:b/>
          <w:sz w:val="24"/>
          <w:szCs w:val="24"/>
        </w:rPr>
      </w:pPr>
      <w:r w:rsidRPr="00C41A7E">
        <w:rPr>
          <w:b/>
          <w:sz w:val="24"/>
          <w:szCs w:val="24"/>
        </w:rPr>
        <w:t>3.</w:t>
      </w:r>
      <w:r w:rsidRPr="00C41A7E">
        <w:rPr>
          <w:b/>
          <w:sz w:val="24"/>
          <w:szCs w:val="24"/>
        </w:rPr>
        <w:tab/>
        <w:t>LÆGEMIDDELFORM</w:t>
      </w:r>
    </w:p>
    <w:p w14:paraId="12ACB52E" w14:textId="77777777" w:rsidR="00726C46" w:rsidRPr="00C41A7E" w:rsidRDefault="00726C46" w:rsidP="006207AB">
      <w:pPr>
        <w:ind w:left="851"/>
        <w:rPr>
          <w:sz w:val="24"/>
          <w:szCs w:val="24"/>
        </w:rPr>
      </w:pPr>
      <w:r w:rsidRPr="00C41A7E">
        <w:rPr>
          <w:sz w:val="24"/>
          <w:szCs w:val="24"/>
        </w:rPr>
        <w:t>Injektionsvæske, opløsning</w:t>
      </w:r>
    </w:p>
    <w:p w14:paraId="06AF5A17" w14:textId="77777777" w:rsidR="00726C46" w:rsidRPr="00C41A7E" w:rsidRDefault="00726C46" w:rsidP="006207AB">
      <w:pPr>
        <w:ind w:left="851"/>
        <w:rPr>
          <w:sz w:val="24"/>
          <w:szCs w:val="24"/>
        </w:rPr>
      </w:pPr>
      <w:r w:rsidRPr="00C41A7E">
        <w:rPr>
          <w:sz w:val="24"/>
          <w:szCs w:val="24"/>
        </w:rPr>
        <w:t>Klar, farveløs, vandig opløsning, fri for synlige partikler</w:t>
      </w:r>
    </w:p>
    <w:p w14:paraId="101FD690" w14:textId="77777777" w:rsidR="00726C46" w:rsidRPr="00C41A7E" w:rsidRDefault="00726C46" w:rsidP="006207AB">
      <w:pPr>
        <w:ind w:left="851"/>
        <w:rPr>
          <w:sz w:val="24"/>
          <w:szCs w:val="24"/>
        </w:rPr>
      </w:pPr>
      <w:r w:rsidRPr="00C41A7E">
        <w:rPr>
          <w:sz w:val="24"/>
          <w:szCs w:val="24"/>
        </w:rPr>
        <w:t>pH 4,5 til 6,0</w:t>
      </w:r>
    </w:p>
    <w:p w14:paraId="3076FA40" w14:textId="77777777" w:rsidR="00726C46" w:rsidRPr="00C41A7E" w:rsidRDefault="00726C46" w:rsidP="006207AB">
      <w:pPr>
        <w:ind w:left="851"/>
        <w:rPr>
          <w:sz w:val="24"/>
          <w:szCs w:val="24"/>
        </w:rPr>
      </w:pPr>
      <w:proofErr w:type="spellStart"/>
      <w:r w:rsidRPr="00C41A7E">
        <w:rPr>
          <w:sz w:val="24"/>
          <w:szCs w:val="24"/>
        </w:rPr>
        <w:t>Osmolalitet</w:t>
      </w:r>
      <w:proofErr w:type="spellEnd"/>
      <w:r w:rsidRPr="00C41A7E">
        <w:rPr>
          <w:sz w:val="24"/>
          <w:szCs w:val="24"/>
        </w:rPr>
        <w:t xml:space="preserve"> 275 til 320 </w:t>
      </w:r>
      <w:proofErr w:type="spellStart"/>
      <w:r w:rsidRPr="00C41A7E">
        <w:rPr>
          <w:sz w:val="24"/>
          <w:szCs w:val="24"/>
        </w:rPr>
        <w:t>mOsm</w:t>
      </w:r>
      <w:proofErr w:type="spellEnd"/>
      <w:r w:rsidRPr="00C41A7E">
        <w:rPr>
          <w:sz w:val="24"/>
          <w:szCs w:val="24"/>
        </w:rPr>
        <w:t>/kg</w:t>
      </w:r>
    </w:p>
    <w:p w14:paraId="65F68419" w14:textId="77777777" w:rsidR="009260DE" w:rsidRPr="00C41A7E" w:rsidRDefault="009260DE" w:rsidP="009260DE">
      <w:pPr>
        <w:tabs>
          <w:tab w:val="left" w:pos="851"/>
        </w:tabs>
        <w:ind w:left="851"/>
        <w:rPr>
          <w:sz w:val="24"/>
          <w:szCs w:val="24"/>
        </w:rPr>
      </w:pPr>
    </w:p>
    <w:p w14:paraId="3D3696D0" w14:textId="77777777" w:rsidR="009260DE" w:rsidRPr="00C41A7E" w:rsidRDefault="009260DE" w:rsidP="009260DE">
      <w:pPr>
        <w:tabs>
          <w:tab w:val="left" w:pos="851"/>
        </w:tabs>
        <w:ind w:left="851"/>
        <w:rPr>
          <w:sz w:val="24"/>
          <w:szCs w:val="24"/>
        </w:rPr>
      </w:pPr>
    </w:p>
    <w:p w14:paraId="72447A55" w14:textId="77777777" w:rsidR="009260DE" w:rsidRPr="00C41A7E" w:rsidRDefault="009260DE" w:rsidP="009260DE">
      <w:pPr>
        <w:tabs>
          <w:tab w:val="left" w:pos="851"/>
        </w:tabs>
        <w:ind w:left="851" w:hanging="851"/>
        <w:rPr>
          <w:b/>
          <w:sz w:val="24"/>
          <w:szCs w:val="24"/>
        </w:rPr>
      </w:pPr>
      <w:r w:rsidRPr="00C41A7E">
        <w:rPr>
          <w:b/>
          <w:sz w:val="24"/>
          <w:szCs w:val="24"/>
        </w:rPr>
        <w:t>4.</w:t>
      </w:r>
      <w:r w:rsidRPr="00C41A7E">
        <w:rPr>
          <w:b/>
          <w:sz w:val="24"/>
          <w:szCs w:val="24"/>
        </w:rPr>
        <w:tab/>
        <w:t>KLINISKE OPLYSNINGER</w:t>
      </w:r>
    </w:p>
    <w:p w14:paraId="481607BD" w14:textId="77777777" w:rsidR="009260DE" w:rsidRPr="00C41A7E" w:rsidRDefault="009260DE" w:rsidP="009260DE">
      <w:pPr>
        <w:tabs>
          <w:tab w:val="left" w:pos="851"/>
        </w:tabs>
        <w:ind w:left="851"/>
        <w:rPr>
          <w:b/>
          <w:sz w:val="24"/>
          <w:szCs w:val="24"/>
        </w:rPr>
      </w:pPr>
    </w:p>
    <w:p w14:paraId="1033B70E" w14:textId="77777777" w:rsidR="009260DE" w:rsidRPr="00C41A7E" w:rsidRDefault="009260DE" w:rsidP="009260DE">
      <w:pPr>
        <w:tabs>
          <w:tab w:val="left" w:pos="851"/>
        </w:tabs>
        <w:ind w:left="851" w:hanging="851"/>
        <w:rPr>
          <w:b/>
          <w:sz w:val="24"/>
          <w:szCs w:val="24"/>
          <w:u w:val="single"/>
        </w:rPr>
      </w:pPr>
      <w:r w:rsidRPr="00C41A7E">
        <w:rPr>
          <w:b/>
          <w:sz w:val="24"/>
          <w:szCs w:val="24"/>
        </w:rPr>
        <w:t>4.1</w:t>
      </w:r>
      <w:r w:rsidRPr="00C41A7E">
        <w:rPr>
          <w:b/>
          <w:sz w:val="24"/>
          <w:szCs w:val="24"/>
        </w:rPr>
        <w:tab/>
        <w:t>Terapeutiske indikationer</w:t>
      </w:r>
    </w:p>
    <w:p w14:paraId="7088A4E8" w14:textId="77777777" w:rsidR="00405F39" w:rsidRDefault="00405F39" w:rsidP="006207AB">
      <w:pPr>
        <w:ind w:left="851"/>
        <w:rPr>
          <w:noProof/>
          <w:sz w:val="24"/>
          <w:szCs w:val="24"/>
        </w:rPr>
      </w:pPr>
    </w:p>
    <w:p w14:paraId="4F0B90E7" w14:textId="1504B461" w:rsidR="00726C46" w:rsidRPr="00405F39" w:rsidRDefault="00726C46" w:rsidP="006207AB">
      <w:pPr>
        <w:ind w:left="851"/>
        <w:rPr>
          <w:i/>
          <w:noProof/>
          <w:sz w:val="24"/>
          <w:szCs w:val="24"/>
        </w:rPr>
      </w:pPr>
      <w:r w:rsidRPr="00405F39">
        <w:rPr>
          <w:i/>
          <w:noProof/>
          <w:sz w:val="24"/>
          <w:szCs w:val="24"/>
        </w:rPr>
        <w:t xml:space="preserve">Voksne </w:t>
      </w:r>
    </w:p>
    <w:p w14:paraId="09C2BAB9" w14:textId="6D23B828" w:rsidR="00726C46" w:rsidRPr="00C41A7E" w:rsidRDefault="00726C46" w:rsidP="006207AB">
      <w:pPr>
        <w:ind w:left="851"/>
        <w:rPr>
          <w:sz w:val="24"/>
          <w:szCs w:val="24"/>
        </w:rPr>
      </w:pPr>
      <w:proofErr w:type="spellStart"/>
      <w:r w:rsidRPr="00C41A7E">
        <w:rPr>
          <w:spacing w:val="-3"/>
          <w:sz w:val="24"/>
          <w:szCs w:val="24"/>
        </w:rPr>
        <w:t>Metoclopramide</w:t>
      </w:r>
      <w:proofErr w:type="spellEnd"/>
      <w:r w:rsidRPr="00C41A7E">
        <w:rPr>
          <w:spacing w:val="-3"/>
          <w:sz w:val="24"/>
          <w:szCs w:val="24"/>
        </w:rPr>
        <w:t xml:space="preserve"> </w:t>
      </w:r>
      <w:r w:rsidR="00121672">
        <w:rPr>
          <w:spacing w:val="-3"/>
          <w:sz w:val="24"/>
          <w:szCs w:val="24"/>
        </w:rPr>
        <w:t>"G.L. Pharma"</w:t>
      </w:r>
      <w:r w:rsidRPr="00C41A7E">
        <w:rPr>
          <w:spacing w:val="-3"/>
          <w:sz w:val="24"/>
          <w:szCs w:val="24"/>
        </w:rPr>
        <w:t xml:space="preserve"> </w:t>
      </w:r>
      <w:r w:rsidRPr="00C41A7E">
        <w:rPr>
          <w:noProof/>
          <w:sz w:val="24"/>
          <w:szCs w:val="24"/>
        </w:rPr>
        <w:t>til voksne til:</w:t>
      </w:r>
    </w:p>
    <w:p w14:paraId="0E8205A8" w14:textId="77777777" w:rsidR="00726C46" w:rsidRPr="00405F39" w:rsidRDefault="00726C46" w:rsidP="00405F39">
      <w:pPr>
        <w:pStyle w:val="Listeafsnit"/>
        <w:numPr>
          <w:ilvl w:val="0"/>
          <w:numId w:val="10"/>
        </w:numPr>
        <w:ind w:left="1276" w:hanging="425"/>
        <w:rPr>
          <w:noProof/>
          <w:sz w:val="24"/>
          <w:szCs w:val="24"/>
        </w:rPr>
      </w:pPr>
      <w:r w:rsidRPr="00405F39">
        <w:rPr>
          <w:noProof/>
          <w:sz w:val="24"/>
          <w:szCs w:val="24"/>
        </w:rPr>
        <w:t>Forebyggelse af postoperativ kvalme og opkastning (PONV).</w:t>
      </w:r>
    </w:p>
    <w:p w14:paraId="2D1FA538" w14:textId="77777777" w:rsidR="00726C46" w:rsidRPr="00405F39" w:rsidRDefault="00726C46" w:rsidP="00405F39">
      <w:pPr>
        <w:pStyle w:val="Listeafsnit"/>
        <w:numPr>
          <w:ilvl w:val="0"/>
          <w:numId w:val="10"/>
        </w:numPr>
        <w:ind w:left="1276" w:hanging="425"/>
        <w:rPr>
          <w:noProof/>
          <w:sz w:val="24"/>
          <w:szCs w:val="24"/>
        </w:rPr>
      </w:pPr>
      <w:r w:rsidRPr="00405F39">
        <w:rPr>
          <w:noProof/>
          <w:sz w:val="24"/>
          <w:szCs w:val="24"/>
        </w:rPr>
        <w:t>Symptomatisk behandling af kvalme og opkastning, herunder kvalme og opkastning forårsaget af akut migræne.</w:t>
      </w:r>
    </w:p>
    <w:p w14:paraId="32122F1C" w14:textId="77777777" w:rsidR="00726C46" w:rsidRPr="00405F39" w:rsidRDefault="00726C46" w:rsidP="00405F39">
      <w:pPr>
        <w:pStyle w:val="Listeafsnit"/>
        <w:numPr>
          <w:ilvl w:val="0"/>
          <w:numId w:val="10"/>
        </w:numPr>
        <w:ind w:left="1276" w:hanging="425"/>
        <w:rPr>
          <w:noProof/>
          <w:sz w:val="24"/>
          <w:szCs w:val="24"/>
        </w:rPr>
      </w:pPr>
      <w:r w:rsidRPr="00405F39">
        <w:rPr>
          <w:noProof/>
          <w:sz w:val="24"/>
          <w:szCs w:val="24"/>
        </w:rPr>
        <w:t>Forebyggelse af kvalme og opkastning (RINV) i forbindelse med strålebehandling.</w:t>
      </w:r>
    </w:p>
    <w:p w14:paraId="7EA60FDF" w14:textId="77777777" w:rsidR="00726C46" w:rsidRPr="00C41A7E" w:rsidRDefault="00726C46" w:rsidP="006207AB">
      <w:pPr>
        <w:ind w:left="851"/>
        <w:rPr>
          <w:noProof/>
          <w:sz w:val="24"/>
          <w:szCs w:val="24"/>
        </w:rPr>
      </w:pPr>
    </w:p>
    <w:p w14:paraId="43BBE1E3" w14:textId="77777777" w:rsidR="00726C46" w:rsidRPr="00405F39" w:rsidRDefault="00726C46" w:rsidP="006207AB">
      <w:pPr>
        <w:ind w:left="851"/>
        <w:rPr>
          <w:i/>
          <w:noProof/>
          <w:sz w:val="24"/>
          <w:szCs w:val="24"/>
        </w:rPr>
      </w:pPr>
      <w:r w:rsidRPr="00405F39">
        <w:rPr>
          <w:i/>
          <w:noProof/>
          <w:sz w:val="24"/>
          <w:szCs w:val="24"/>
        </w:rPr>
        <w:t>Pædiatrisk population</w:t>
      </w:r>
    </w:p>
    <w:p w14:paraId="19D58F51" w14:textId="1948175D" w:rsidR="00726C46" w:rsidRPr="00C41A7E" w:rsidRDefault="00726C46" w:rsidP="006207AB">
      <w:pPr>
        <w:ind w:left="851"/>
        <w:rPr>
          <w:noProof/>
          <w:sz w:val="24"/>
          <w:szCs w:val="24"/>
        </w:rPr>
      </w:pPr>
      <w:proofErr w:type="spellStart"/>
      <w:r w:rsidRPr="00C41A7E">
        <w:rPr>
          <w:spacing w:val="-3"/>
          <w:sz w:val="24"/>
          <w:szCs w:val="24"/>
        </w:rPr>
        <w:t>Metoclopramide</w:t>
      </w:r>
      <w:proofErr w:type="spellEnd"/>
      <w:r w:rsidRPr="00C41A7E">
        <w:rPr>
          <w:spacing w:val="-3"/>
          <w:sz w:val="24"/>
          <w:szCs w:val="24"/>
        </w:rPr>
        <w:t xml:space="preserve"> </w:t>
      </w:r>
      <w:r w:rsidR="00121672">
        <w:rPr>
          <w:spacing w:val="-3"/>
          <w:sz w:val="24"/>
          <w:szCs w:val="24"/>
        </w:rPr>
        <w:t>"G.L. Pharma"</w:t>
      </w:r>
      <w:r w:rsidRPr="00C41A7E">
        <w:rPr>
          <w:spacing w:val="-3"/>
          <w:sz w:val="24"/>
          <w:szCs w:val="24"/>
        </w:rPr>
        <w:t xml:space="preserve"> </w:t>
      </w:r>
      <w:r w:rsidRPr="00C41A7E">
        <w:rPr>
          <w:noProof/>
          <w:sz w:val="24"/>
          <w:szCs w:val="24"/>
        </w:rPr>
        <w:t>er indiceret til børn og unge (i alderen 1-18 år) til:</w:t>
      </w:r>
    </w:p>
    <w:p w14:paraId="30E7E5B3" w14:textId="77777777" w:rsidR="00726C46" w:rsidRPr="00405F39" w:rsidRDefault="00726C46" w:rsidP="00405F39">
      <w:pPr>
        <w:pStyle w:val="Listeafsnit"/>
        <w:numPr>
          <w:ilvl w:val="0"/>
          <w:numId w:val="11"/>
        </w:numPr>
        <w:ind w:left="1276" w:hanging="425"/>
        <w:rPr>
          <w:noProof/>
          <w:sz w:val="24"/>
          <w:szCs w:val="24"/>
        </w:rPr>
      </w:pPr>
      <w:r w:rsidRPr="00405F39">
        <w:rPr>
          <w:noProof/>
          <w:sz w:val="24"/>
          <w:szCs w:val="24"/>
        </w:rPr>
        <w:lastRenderedPageBreak/>
        <w:t>Forebyggelse af forsinket kemoterapiinduceret kvalme og opkastning (CINV) som an-denvalgsbehandling.</w:t>
      </w:r>
    </w:p>
    <w:p w14:paraId="4B63E49C" w14:textId="77777777" w:rsidR="00726C46" w:rsidRPr="00405F39" w:rsidRDefault="00726C46" w:rsidP="00405F39">
      <w:pPr>
        <w:pStyle w:val="Listeafsnit"/>
        <w:numPr>
          <w:ilvl w:val="0"/>
          <w:numId w:val="11"/>
        </w:numPr>
        <w:ind w:left="1276" w:hanging="425"/>
        <w:rPr>
          <w:noProof/>
          <w:sz w:val="24"/>
          <w:szCs w:val="24"/>
        </w:rPr>
      </w:pPr>
      <w:r w:rsidRPr="00405F39">
        <w:rPr>
          <w:noProof/>
          <w:sz w:val="24"/>
          <w:szCs w:val="24"/>
        </w:rPr>
        <w:t>Behandling af manifest postoperativ kvalme og opkastning (PONV) som andenvalgsbehandling.</w:t>
      </w:r>
    </w:p>
    <w:p w14:paraId="0FC2A508" w14:textId="77777777" w:rsidR="009260DE" w:rsidRPr="00C41A7E" w:rsidRDefault="009260DE" w:rsidP="009260DE">
      <w:pPr>
        <w:tabs>
          <w:tab w:val="left" w:pos="851"/>
        </w:tabs>
        <w:ind w:left="851"/>
        <w:rPr>
          <w:sz w:val="24"/>
          <w:szCs w:val="24"/>
        </w:rPr>
      </w:pPr>
    </w:p>
    <w:p w14:paraId="3941EFE2" w14:textId="77777777" w:rsidR="009260DE" w:rsidRPr="00C41A7E" w:rsidRDefault="009260DE" w:rsidP="009260DE">
      <w:pPr>
        <w:tabs>
          <w:tab w:val="left" w:pos="851"/>
        </w:tabs>
        <w:ind w:left="851" w:hanging="851"/>
        <w:rPr>
          <w:b/>
          <w:sz w:val="24"/>
          <w:szCs w:val="24"/>
        </w:rPr>
      </w:pPr>
      <w:r w:rsidRPr="00C41A7E">
        <w:rPr>
          <w:b/>
          <w:sz w:val="24"/>
          <w:szCs w:val="24"/>
        </w:rPr>
        <w:t>4.2</w:t>
      </w:r>
      <w:r w:rsidRPr="00C41A7E">
        <w:rPr>
          <w:b/>
          <w:sz w:val="24"/>
          <w:szCs w:val="24"/>
        </w:rPr>
        <w:tab/>
        <w:t xml:space="preserve">Dosering og </w:t>
      </w:r>
      <w:r w:rsidR="002C1EC0" w:rsidRPr="00C41A7E">
        <w:rPr>
          <w:b/>
          <w:sz w:val="24"/>
          <w:szCs w:val="24"/>
        </w:rPr>
        <w:t>administration</w:t>
      </w:r>
    </w:p>
    <w:p w14:paraId="7164F7CD" w14:textId="77777777" w:rsidR="00405F39" w:rsidRDefault="00405F39" w:rsidP="006207AB">
      <w:pPr>
        <w:ind w:left="851"/>
        <w:rPr>
          <w:noProof/>
          <w:sz w:val="24"/>
          <w:szCs w:val="24"/>
        </w:rPr>
      </w:pPr>
    </w:p>
    <w:p w14:paraId="084D0260" w14:textId="4684D826" w:rsidR="00726C46" w:rsidRPr="00405F39" w:rsidRDefault="00726C46" w:rsidP="006207AB">
      <w:pPr>
        <w:ind w:left="851"/>
        <w:rPr>
          <w:noProof/>
          <w:sz w:val="24"/>
          <w:szCs w:val="24"/>
          <w:u w:val="single"/>
        </w:rPr>
      </w:pPr>
      <w:r w:rsidRPr="00405F39">
        <w:rPr>
          <w:noProof/>
          <w:sz w:val="24"/>
          <w:szCs w:val="24"/>
          <w:u w:val="single"/>
        </w:rPr>
        <w:t>Dosering</w:t>
      </w:r>
    </w:p>
    <w:p w14:paraId="0D60DDC4" w14:textId="77777777" w:rsidR="00726C46" w:rsidRPr="00C41A7E" w:rsidRDefault="00726C46" w:rsidP="006207AB">
      <w:pPr>
        <w:ind w:left="851"/>
        <w:rPr>
          <w:sz w:val="24"/>
          <w:szCs w:val="24"/>
        </w:rPr>
      </w:pPr>
    </w:p>
    <w:p w14:paraId="58286737" w14:textId="77777777" w:rsidR="00726C46" w:rsidRPr="00C41A7E" w:rsidRDefault="00726C46" w:rsidP="006207AB">
      <w:pPr>
        <w:ind w:left="851"/>
        <w:rPr>
          <w:i/>
          <w:iCs/>
          <w:noProof/>
          <w:sz w:val="24"/>
          <w:szCs w:val="24"/>
        </w:rPr>
      </w:pPr>
      <w:r w:rsidRPr="00C41A7E">
        <w:rPr>
          <w:i/>
          <w:iCs/>
          <w:noProof/>
          <w:sz w:val="24"/>
          <w:szCs w:val="24"/>
        </w:rPr>
        <w:t>Voksne</w:t>
      </w:r>
    </w:p>
    <w:p w14:paraId="210C9FF8" w14:textId="77777777" w:rsidR="00726C46" w:rsidRPr="00C41A7E" w:rsidRDefault="00726C46" w:rsidP="006207AB">
      <w:pPr>
        <w:ind w:left="851"/>
        <w:rPr>
          <w:noProof/>
          <w:sz w:val="24"/>
          <w:szCs w:val="24"/>
        </w:rPr>
      </w:pPr>
      <w:r w:rsidRPr="00C41A7E">
        <w:rPr>
          <w:noProof/>
          <w:sz w:val="24"/>
          <w:szCs w:val="24"/>
        </w:rPr>
        <w:t>Til forebyggelse af PONV anbefales en enkelt dosis på 10 mg (2 ml).</w:t>
      </w:r>
    </w:p>
    <w:p w14:paraId="7C61B1A6" w14:textId="77777777" w:rsidR="00726C46" w:rsidRPr="00C41A7E" w:rsidRDefault="00726C46" w:rsidP="006207AB">
      <w:pPr>
        <w:ind w:left="851"/>
        <w:rPr>
          <w:noProof/>
          <w:sz w:val="24"/>
          <w:szCs w:val="24"/>
        </w:rPr>
      </w:pPr>
      <w:r w:rsidRPr="00C41A7E">
        <w:rPr>
          <w:noProof/>
          <w:sz w:val="24"/>
          <w:szCs w:val="24"/>
        </w:rPr>
        <w:t xml:space="preserve">Symptomatisk behandling af kvalme og opkastning, herunder kvalme og opkastning forårsaget af akut migræne, samt forebyggelse af kvalme og opkastning i forbindelse med strålebehandling (RINV): </w:t>
      </w:r>
    </w:p>
    <w:p w14:paraId="4AE93539" w14:textId="77777777" w:rsidR="00726C46" w:rsidRPr="00C41A7E" w:rsidRDefault="00726C46" w:rsidP="006207AB">
      <w:pPr>
        <w:ind w:left="851"/>
        <w:rPr>
          <w:noProof/>
          <w:sz w:val="24"/>
          <w:szCs w:val="24"/>
        </w:rPr>
      </w:pPr>
      <w:r w:rsidRPr="00C41A7E">
        <w:rPr>
          <w:noProof/>
          <w:sz w:val="24"/>
          <w:szCs w:val="24"/>
        </w:rPr>
        <w:t>Den anbefalede enkeltdosis er 10 mg (2 ml), der kan administreres op til tre gange dagligt.</w:t>
      </w:r>
    </w:p>
    <w:p w14:paraId="6FABB8BA" w14:textId="77777777" w:rsidR="00726C46" w:rsidRPr="00C41A7E" w:rsidRDefault="00726C46" w:rsidP="006207AB">
      <w:pPr>
        <w:ind w:left="851"/>
        <w:rPr>
          <w:noProof/>
          <w:sz w:val="24"/>
          <w:szCs w:val="24"/>
        </w:rPr>
      </w:pPr>
    </w:p>
    <w:p w14:paraId="29DA9C6D" w14:textId="77777777" w:rsidR="00726C46" w:rsidRPr="00C41A7E" w:rsidRDefault="00726C46" w:rsidP="006207AB">
      <w:pPr>
        <w:ind w:left="851"/>
        <w:rPr>
          <w:noProof/>
          <w:sz w:val="24"/>
          <w:szCs w:val="24"/>
        </w:rPr>
      </w:pPr>
      <w:r w:rsidRPr="00C41A7E">
        <w:rPr>
          <w:noProof/>
          <w:sz w:val="24"/>
          <w:szCs w:val="24"/>
        </w:rPr>
        <w:t>Den maksimale anbefalede daglige dosis er 30 mg (6 ml) eller 0,5mg (0,1 ml)/kg legemsvægt.</w:t>
      </w:r>
    </w:p>
    <w:p w14:paraId="42AFC7F5" w14:textId="77777777" w:rsidR="00726C46" w:rsidRPr="00C41A7E" w:rsidRDefault="00726C46" w:rsidP="006207AB">
      <w:pPr>
        <w:ind w:left="851"/>
        <w:rPr>
          <w:noProof/>
          <w:sz w:val="24"/>
          <w:szCs w:val="24"/>
        </w:rPr>
      </w:pPr>
    </w:p>
    <w:p w14:paraId="6C96CAFB" w14:textId="77777777" w:rsidR="00726C46" w:rsidRPr="00C41A7E" w:rsidRDefault="00726C46" w:rsidP="006207AB">
      <w:pPr>
        <w:ind w:left="851"/>
        <w:rPr>
          <w:noProof/>
          <w:sz w:val="24"/>
          <w:szCs w:val="24"/>
        </w:rPr>
      </w:pPr>
      <w:r w:rsidRPr="00C41A7E">
        <w:rPr>
          <w:noProof/>
          <w:sz w:val="24"/>
          <w:szCs w:val="24"/>
        </w:rPr>
        <w:t>Varigheden af injektionsbehandling skal være så kort som mulig, og skift til oral eller rektal administration skal ske så hurtigt som muligt.</w:t>
      </w:r>
    </w:p>
    <w:p w14:paraId="6FF5FC3C" w14:textId="77777777" w:rsidR="00726C46" w:rsidRPr="00C41A7E" w:rsidRDefault="00726C46" w:rsidP="006207AB">
      <w:pPr>
        <w:ind w:left="851"/>
        <w:rPr>
          <w:sz w:val="24"/>
          <w:szCs w:val="24"/>
        </w:rPr>
      </w:pPr>
    </w:p>
    <w:p w14:paraId="4ADA9025" w14:textId="77777777" w:rsidR="00726C46" w:rsidRPr="00C41A7E" w:rsidRDefault="00726C46" w:rsidP="006207AB">
      <w:pPr>
        <w:ind w:left="851"/>
        <w:rPr>
          <w:bCs/>
          <w:i/>
          <w:iCs/>
          <w:sz w:val="24"/>
          <w:szCs w:val="24"/>
        </w:rPr>
      </w:pPr>
      <w:r w:rsidRPr="00C41A7E">
        <w:rPr>
          <w:bCs/>
          <w:i/>
          <w:iCs/>
          <w:sz w:val="24"/>
          <w:szCs w:val="24"/>
        </w:rPr>
        <w:t>Pædiatrisk population</w:t>
      </w:r>
    </w:p>
    <w:p w14:paraId="3DD8A924" w14:textId="77777777" w:rsidR="00726C46" w:rsidRPr="00C41A7E" w:rsidRDefault="00726C46" w:rsidP="006207AB">
      <w:pPr>
        <w:ind w:left="851"/>
        <w:rPr>
          <w:bCs/>
          <w:sz w:val="24"/>
          <w:szCs w:val="24"/>
        </w:rPr>
      </w:pPr>
      <w:proofErr w:type="spellStart"/>
      <w:r w:rsidRPr="00C41A7E">
        <w:rPr>
          <w:bCs/>
          <w:sz w:val="24"/>
          <w:szCs w:val="24"/>
        </w:rPr>
        <w:t>Metoclopramid</w:t>
      </w:r>
      <w:proofErr w:type="spellEnd"/>
      <w:r w:rsidRPr="00C41A7E">
        <w:rPr>
          <w:bCs/>
          <w:sz w:val="24"/>
          <w:szCs w:val="24"/>
        </w:rPr>
        <w:t xml:space="preserve"> er kontraindiceret til børn under 1 år (se pkt. 4.3).</w:t>
      </w:r>
    </w:p>
    <w:p w14:paraId="3BDDB1C8" w14:textId="77777777" w:rsidR="00726C46" w:rsidRPr="00405F39" w:rsidRDefault="00726C46" w:rsidP="006207AB">
      <w:pPr>
        <w:ind w:left="851"/>
        <w:rPr>
          <w:sz w:val="24"/>
          <w:szCs w:val="24"/>
        </w:rPr>
      </w:pPr>
    </w:p>
    <w:p w14:paraId="42FA081E" w14:textId="77777777" w:rsidR="00726C46" w:rsidRPr="00C41A7E" w:rsidRDefault="00726C46" w:rsidP="006207AB">
      <w:pPr>
        <w:ind w:left="851"/>
        <w:rPr>
          <w:noProof/>
          <w:sz w:val="24"/>
          <w:szCs w:val="24"/>
        </w:rPr>
      </w:pPr>
      <w:r w:rsidRPr="00C41A7E">
        <w:rPr>
          <w:noProof/>
          <w:sz w:val="24"/>
          <w:szCs w:val="24"/>
        </w:rPr>
        <w:t>Den anbefalede dosis er 0,1 til 0,15 mg (0,02 til 0,03 ml)/kg legemsvægt, administreret op til tre gange dagligt ved intravenøs administration. Den maksimale dosis i løbet af 24 timer er 0,5 mg (0,1 ml)/kg legemsvægt med et maksimum på 30 mg.</w:t>
      </w:r>
    </w:p>
    <w:p w14:paraId="0D164529" w14:textId="77777777" w:rsidR="00726C46" w:rsidRPr="00C41A7E" w:rsidRDefault="00726C46" w:rsidP="006207AB">
      <w:pPr>
        <w:ind w:left="851"/>
        <w:rPr>
          <w:i/>
          <w:sz w:val="24"/>
          <w:szCs w:val="24"/>
        </w:rPr>
      </w:pPr>
    </w:p>
    <w:p w14:paraId="2A67FCB4" w14:textId="77777777" w:rsidR="00726C46" w:rsidRPr="00C41A7E" w:rsidRDefault="00726C46" w:rsidP="006207AB">
      <w:pPr>
        <w:ind w:left="851"/>
        <w:rPr>
          <w:i/>
          <w:sz w:val="24"/>
          <w:szCs w:val="24"/>
        </w:rPr>
      </w:pPr>
      <w:r w:rsidRPr="00C41A7E">
        <w:rPr>
          <w:i/>
          <w:sz w:val="24"/>
          <w:szCs w:val="24"/>
        </w:rPr>
        <w:t>Doseringstabel</w:t>
      </w:r>
    </w:p>
    <w:p w14:paraId="725651D1" w14:textId="77777777" w:rsidR="00726C46" w:rsidRPr="00C41A7E" w:rsidRDefault="00726C46" w:rsidP="00405F39">
      <w:pPr>
        <w:ind w:left="851"/>
        <w:rPr>
          <w:i/>
          <w:sz w:val="24"/>
          <w:szCs w:val="24"/>
        </w:rPr>
      </w:pPr>
    </w:p>
    <w:tbl>
      <w:tblPr>
        <w:tblStyle w:val="Tabel-Gitter"/>
        <w:tblW w:w="4564" w:type="pct"/>
        <w:tblInd w:w="846" w:type="dxa"/>
        <w:tblLook w:val="04A0" w:firstRow="1" w:lastRow="0" w:firstColumn="1" w:lastColumn="0" w:noHBand="0" w:noVBand="1"/>
      </w:tblPr>
      <w:tblGrid>
        <w:gridCol w:w="1701"/>
        <w:gridCol w:w="1844"/>
        <w:gridCol w:w="1705"/>
        <w:gridCol w:w="1700"/>
        <w:gridCol w:w="1838"/>
      </w:tblGrid>
      <w:tr w:rsidR="00121672" w:rsidRPr="00C41A7E" w14:paraId="69FD5AB1"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748DA340" w14:textId="77777777" w:rsidR="00726C46" w:rsidRPr="00C41A7E" w:rsidRDefault="00726C46">
            <w:pPr>
              <w:jc w:val="center"/>
              <w:rPr>
                <w:i/>
                <w:sz w:val="24"/>
                <w:szCs w:val="24"/>
              </w:rPr>
            </w:pPr>
            <w:r w:rsidRPr="00C41A7E">
              <w:rPr>
                <w:b/>
                <w:bCs/>
                <w:sz w:val="24"/>
                <w:szCs w:val="24"/>
              </w:rPr>
              <w:t>Alder</w:t>
            </w:r>
          </w:p>
        </w:tc>
        <w:tc>
          <w:tcPr>
            <w:tcW w:w="1049" w:type="pct"/>
            <w:tcBorders>
              <w:top w:val="single" w:sz="4" w:space="0" w:color="auto"/>
              <w:left w:val="single" w:sz="4" w:space="0" w:color="auto"/>
              <w:bottom w:val="single" w:sz="4" w:space="0" w:color="auto"/>
              <w:right w:val="single" w:sz="4" w:space="0" w:color="auto"/>
            </w:tcBorders>
            <w:hideMark/>
          </w:tcPr>
          <w:p w14:paraId="78BCD6D7" w14:textId="77777777" w:rsidR="00726C46" w:rsidRPr="00C41A7E" w:rsidRDefault="00726C46">
            <w:pPr>
              <w:jc w:val="center"/>
              <w:rPr>
                <w:i/>
                <w:sz w:val="24"/>
                <w:szCs w:val="24"/>
              </w:rPr>
            </w:pPr>
            <w:proofErr w:type="spellStart"/>
            <w:r w:rsidRPr="00C41A7E">
              <w:rPr>
                <w:b/>
                <w:bCs/>
                <w:sz w:val="24"/>
                <w:szCs w:val="24"/>
              </w:rPr>
              <w:t>Legemsvægt</w:t>
            </w:r>
            <w:proofErr w:type="spellEnd"/>
          </w:p>
        </w:tc>
        <w:tc>
          <w:tcPr>
            <w:tcW w:w="970" w:type="pct"/>
            <w:tcBorders>
              <w:top w:val="single" w:sz="4" w:space="0" w:color="auto"/>
              <w:left w:val="single" w:sz="4" w:space="0" w:color="auto"/>
              <w:bottom w:val="single" w:sz="4" w:space="0" w:color="auto"/>
              <w:right w:val="single" w:sz="4" w:space="0" w:color="auto"/>
            </w:tcBorders>
            <w:hideMark/>
          </w:tcPr>
          <w:p w14:paraId="7F8AFB66" w14:textId="77777777" w:rsidR="00726C46" w:rsidRPr="00C41A7E" w:rsidRDefault="00726C46">
            <w:pPr>
              <w:jc w:val="center"/>
              <w:rPr>
                <w:i/>
                <w:sz w:val="24"/>
                <w:szCs w:val="24"/>
              </w:rPr>
            </w:pPr>
            <w:proofErr w:type="spellStart"/>
            <w:r w:rsidRPr="00C41A7E">
              <w:rPr>
                <w:b/>
                <w:bCs/>
                <w:sz w:val="24"/>
                <w:szCs w:val="24"/>
              </w:rPr>
              <w:t>Dosis</w:t>
            </w:r>
            <w:proofErr w:type="spellEnd"/>
            <w:r w:rsidRPr="00C41A7E">
              <w:rPr>
                <w:b/>
                <w:bCs/>
                <w:sz w:val="24"/>
                <w:szCs w:val="24"/>
              </w:rPr>
              <w:t xml:space="preserve"> (mg)</w:t>
            </w:r>
          </w:p>
        </w:tc>
        <w:tc>
          <w:tcPr>
            <w:tcW w:w="967" w:type="pct"/>
            <w:tcBorders>
              <w:top w:val="single" w:sz="4" w:space="0" w:color="auto"/>
              <w:left w:val="single" w:sz="4" w:space="0" w:color="auto"/>
              <w:bottom w:val="single" w:sz="4" w:space="0" w:color="auto"/>
              <w:right w:val="single" w:sz="4" w:space="0" w:color="auto"/>
            </w:tcBorders>
            <w:hideMark/>
          </w:tcPr>
          <w:p w14:paraId="11DB7DA8" w14:textId="77777777" w:rsidR="00726C46" w:rsidRPr="00C41A7E" w:rsidRDefault="00726C46">
            <w:pPr>
              <w:jc w:val="center"/>
              <w:rPr>
                <w:b/>
                <w:bCs/>
                <w:iCs/>
                <w:sz w:val="24"/>
                <w:szCs w:val="24"/>
              </w:rPr>
            </w:pPr>
            <w:proofErr w:type="spellStart"/>
            <w:r w:rsidRPr="00C41A7E">
              <w:rPr>
                <w:b/>
                <w:bCs/>
                <w:iCs/>
                <w:sz w:val="24"/>
                <w:szCs w:val="24"/>
              </w:rPr>
              <w:t>Dosis</w:t>
            </w:r>
            <w:proofErr w:type="spellEnd"/>
            <w:r w:rsidRPr="00C41A7E">
              <w:rPr>
                <w:b/>
                <w:bCs/>
                <w:iCs/>
                <w:sz w:val="24"/>
                <w:szCs w:val="24"/>
              </w:rPr>
              <w:t xml:space="preserve"> (ml)</w:t>
            </w:r>
          </w:p>
        </w:tc>
        <w:tc>
          <w:tcPr>
            <w:tcW w:w="1046" w:type="pct"/>
            <w:tcBorders>
              <w:top w:val="single" w:sz="4" w:space="0" w:color="auto"/>
              <w:left w:val="single" w:sz="4" w:space="0" w:color="auto"/>
              <w:bottom w:val="single" w:sz="4" w:space="0" w:color="auto"/>
              <w:right w:val="single" w:sz="4" w:space="0" w:color="auto"/>
            </w:tcBorders>
            <w:hideMark/>
          </w:tcPr>
          <w:p w14:paraId="2C70446A" w14:textId="77777777" w:rsidR="00726C46" w:rsidRPr="00C41A7E" w:rsidRDefault="00726C46">
            <w:pPr>
              <w:jc w:val="center"/>
              <w:rPr>
                <w:b/>
                <w:bCs/>
                <w:iCs/>
                <w:sz w:val="24"/>
                <w:szCs w:val="24"/>
              </w:rPr>
            </w:pPr>
            <w:proofErr w:type="spellStart"/>
            <w:r w:rsidRPr="00C41A7E">
              <w:rPr>
                <w:b/>
                <w:bCs/>
                <w:iCs/>
                <w:sz w:val="24"/>
                <w:szCs w:val="24"/>
              </w:rPr>
              <w:t>Frekvens</w:t>
            </w:r>
            <w:proofErr w:type="spellEnd"/>
          </w:p>
        </w:tc>
      </w:tr>
      <w:tr w:rsidR="00121672" w:rsidRPr="00C41A7E" w14:paraId="48E3B93B"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378D1D61" w14:textId="77777777" w:rsidR="00726C46" w:rsidRPr="00C41A7E" w:rsidRDefault="00726C46">
            <w:pPr>
              <w:jc w:val="center"/>
              <w:rPr>
                <w:i/>
                <w:sz w:val="24"/>
                <w:szCs w:val="24"/>
              </w:rPr>
            </w:pPr>
            <w:r w:rsidRPr="00C41A7E">
              <w:rPr>
                <w:sz w:val="24"/>
                <w:szCs w:val="24"/>
              </w:rPr>
              <w:t xml:space="preserve">1-3 </w:t>
            </w:r>
            <w:proofErr w:type="spellStart"/>
            <w:r w:rsidRPr="00C41A7E">
              <w:rPr>
                <w:sz w:val="24"/>
                <w:szCs w:val="24"/>
              </w:rPr>
              <w:t>år</w:t>
            </w:r>
            <w:proofErr w:type="spellEnd"/>
          </w:p>
        </w:tc>
        <w:tc>
          <w:tcPr>
            <w:tcW w:w="1049" w:type="pct"/>
            <w:tcBorders>
              <w:top w:val="single" w:sz="4" w:space="0" w:color="auto"/>
              <w:left w:val="single" w:sz="4" w:space="0" w:color="auto"/>
              <w:bottom w:val="single" w:sz="4" w:space="0" w:color="auto"/>
              <w:right w:val="single" w:sz="4" w:space="0" w:color="auto"/>
            </w:tcBorders>
            <w:hideMark/>
          </w:tcPr>
          <w:p w14:paraId="3BACED5A" w14:textId="77777777" w:rsidR="00726C46" w:rsidRPr="00C41A7E" w:rsidRDefault="00726C46">
            <w:pPr>
              <w:jc w:val="center"/>
              <w:rPr>
                <w:i/>
                <w:sz w:val="24"/>
                <w:szCs w:val="24"/>
              </w:rPr>
            </w:pPr>
            <w:r w:rsidRPr="00C41A7E">
              <w:rPr>
                <w:sz w:val="24"/>
                <w:szCs w:val="24"/>
              </w:rPr>
              <w:t>10-14 kg</w:t>
            </w:r>
          </w:p>
        </w:tc>
        <w:tc>
          <w:tcPr>
            <w:tcW w:w="970" w:type="pct"/>
            <w:tcBorders>
              <w:top w:val="single" w:sz="4" w:space="0" w:color="auto"/>
              <w:left w:val="single" w:sz="4" w:space="0" w:color="auto"/>
              <w:bottom w:val="single" w:sz="4" w:space="0" w:color="auto"/>
              <w:right w:val="single" w:sz="4" w:space="0" w:color="auto"/>
            </w:tcBorders>
            <w:hideMark/>
          </w:tcPr>
          <w:p w14:paraId="741A6ABC" w14:textId="77777777" w:rsidR="00726C46" w:rsidRPr="00C41A7E" w:rsidRDefault="00726C46">
            <w:pPr>
              <w:jc w:val="center"/>
              <w:rPr>
                <w:i/>
                <w:sz w:val="24"/>
                <w:szCs w:val="24"/>
              </w:rPr>
            </w:pPr>
            <w:r w:rsidRPr="00C41A7E">
              <w:rPr>
                <w:sz w:val="24"/>
                <w:szCs w:val="24"/>
              </w:rPr>
              <w:t>1 mg</w:t>
            </w:r>
          </w:p>
        </w:tc>
        <w:tc>
          <w:tcPr>
            <w:tcW w:w="967" w:type="pct"/>
            <w:tcBorders>
              <w:top w:val="single" w:sz="4" w:space="0" w:color="auto"/>
              <w:left w:val="single" w:sz="4" w:space="0" w:color="auto"/>
              <w:bottom w:val="single" w:sz="4" w:space="0" w:color="auto"/>
              <w:right w:val="single" w:sz="4" w:space="0" w:color="auto"/>
            </w:tcBorders>
            <w:hideMark/>
          </w:tcPr>
          <w:p w14:paraId="347DB4B8" w14:textId="77777777" w:rsidR="00726C46" w:rsidRPr="00C41A7E" w:rsidRDefault="00726C46">
            <w:pPr>
              <w:jc w:val="center"/>
              <w:rPr>
                <w:iCs/>
                <w:sz w:val="24"/>
                <w:szCs w:val="24"/>
              </w:rPr>
            </w:pPr>
            <w:r w:rsidRPr="00C41A7E">
              <w:rPr>
                <w:iCs/>
                <w:sz w:val="24"/>
                <w:szCs w:val="24"/>
              </w:rPr>
              <w:t>0,2 ml</w:t>
            </w:r>
          </w:p>
        </w:tc>
        <w:tc>
          <w:tcPr>
            <w:tcW w:w="1046" w:type="pct"/>
            <w:vMerge w:val="restart"/>
            <w:tcBorders>
              <w:top w:val="single" w:sz="4" w:space="0" w:color="auto"/>
              <w:left w:val="single" w:sz="4" w:space="0" w:color="auto"/>
              <w:bottom w:val="single" w:sz="4" w:space="0" w:color="auto"/>
              <w:right w:val="single" w:sz="4" w:space="0" w:color="auto"/>
            </w:tcBorders>
          </w:tcPr>
          <w:p w14:paraId="558ACB96" w14:textId="77777777" w:rsidR="00726C46" w:rsidRPr="00C41A7E" w:rsidRDefault="00726C46">
            <w:pPr>
              <w:jc w:val="center"/>
              <w:rPr>
                <w:iCs/>
                <w:sz w:val="24"/>
                <w:szCs w:val="24"/>
              </w:rPr>
            </w:pPr>
          </w:p>
          <w:p w14:paraId="48B1240A" w14:textId="77777777" w:rsidR="00726C46" w:rsidRPr="00C41A7E" w:rsidRDefault="00726C46">
            <w:pPr>
              <w:jc w:val="center"/>
              <w:rPr>
                <w:iCs/>
                <w:sz w:val="24"/>
                <w:szCs w:val="24"/>
              </w:rPr>
            </w:pPr>
          </w:p>
          <w:p w14:paraId="4EC078B6" w14:textId="77777777" w:rsidR="00726C46" w:rsidRPr="00C41A7E" w:rsidRDefault="00726C46">
            <w:pPr>
              <w:jc w:val="center"/>
              <w:rPr>
                <w:iCs/>
                <w:sz w:val="24"/>
                <w:szCs w:val="24"/>
              </w:rPr>
            </w:pPr>
            <w:r w:rsidRPr="00C41A7E">
              <w:rPr>
                <w:iCs/>
                <w:sz w:val="24"/>
                <w:szCs w:val="24"/>
              </w:rPr>
              <w:t xml:space="preserve">Op </w:t>
            </w:r>
            <w:proofErr w:type="spellStart"/>
            <w:r w:rsidRPr="00C41A7E">
              <w:rPr>
                <w:iCs/>
                <w:sz w:val="24"/>
                <w:szCs w:val="24"/>
              </w:rPr>
              <w:t>til</w:t>
            </w:r>
            <w:proofErr w:type="spellEnd"/>
            <w:r w:rsidRPr="00C41A7E">
              <w:rPr>
                <w:iCs/>
                <w:sz w:val="24"/>
                <w:szCs w:val="24"/>
              </w:rPr>
              <w:t xml:space="preserve"> 3 </w:t>
            </w:r>
            <w:proofErr w:type="spellStart"/>
            <w:r w:rsidRPr="00C41A7E">
              <w:rPr>
                <w:iCs/>
                <w:sz w:val="24"/>
                <w:szCs w:val="24"/>
              </w:rPr>
              <w:t>gange</w:t>
            </w:r>
            <w:proofErr w:type="spellEnd"/>
            <w:r w:rsidRPr="00C41A7E">
              <w:rPr>
                <w:iCs/>
                <w:sz w:val="24"/>
                <w:szCs w:val="24"/>
              </w:rPr>
              <w:t xml:space="preserve"> </w:t>
            </w:r>
            <w:proofErr w:type="spellStart"/>
            <w:r w:rsidRPr="00C41A7E">
              <w:rPr>
                <w:iCs/>
                <w:sz w:val="24"/>
                <w:szCs w:val="24"/>
              </w:rPr>
              <w:t>dagligt</w:t>
            </w:r>
            <w:proofErr w:type="spellEnd"/>
          </w:p>
        </w:tc>
      </w:tr>
      <w:tr w:rsidR="00121672" w:rsidRPr="00C41A7E" w14:paraId="4A30D1CC"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6345E17A" w14:textId="77777777" w:rsidR="00726C46" w:rsidRPr="00C41A7E" w:rsidRDefault="00726C46">
            <w:pPr>
              <w:jc w:val="center"/>
              <w:rPr>
                <w:i/>
                <w:sz w:val="24"/>
                <w:szCs w:val="24"/>
              </w:rPr>
            </w:pPr>
            <w:r w:rsidRPr="00C41A7E">
              <w:rPr>
                <w:sz w:val="24"/>
                <w:szCs w:val="24"/>
              </w:rPr>
              <w:t xml:space="preserve">3-5 </w:t>
            </w:r>
            <w:proofErr w:type="spellStart"/>
            <w:r w:rsidRPr="00C41A7E">
              <w:rPr>
                <w:sz w:val="24"/>
                <w:szCs w:val="24"/>
              </w:rPr>
              <w:t>år</w:t>
            </w:r>
            <w:proofErr w:type="spellEnd"/>
          </w:p>
        </w:tc>
        <w:tc>
          <w:tcPr>
            <w:tcW w:w="1049" w:type="pct"/>
            <w:tcBorders>
              <w:top w:val="single" w:sz="4" w:space="0" w:color="auto"/>
              <w:left w:val="single" w:sz="4" w:space="0" w:color="auto"/>
              <w:bottom w:val="single" w:sz="4" w:space="0" w:color="auto"/>
              <w:right w:val="single" w:sz="4" w:space="0" w:color="auto"/>
            </w:tcBorders>
            <w:hideMark/>
          </w:tcPr>
          <w:p w14:paraId="0AE7E562" w14:textId="77777777" w:rsidR="00726C46" w:rsidRPr="00C41A7E" w:rsidRDefault="00726C46">
            <w:pPr>
              <w:jc w:val="center"/>
              <w:rPr>
                <w:i/>
                <w:sz w:val="24"/>
                <w:szCs w:val="24"/>
              </w:rPr>
            </w:pPr>
            <w:r w:rsidRPr="00C41A7E">
              <w:rPr>
                <w:sz w:val="24"/>
                <w:szCs w:val="24"/>
              </w:rPr>
              <w:t>15-19 kg</w:t>
            </w:r>
          </w:p>
        </w:tc>
        <w:tc>
          <w:tcPr>
            <w:tcW w:w="970" w:type="pct"/>
            <w:tcBorders>
              <w:top w:val="single" w:sz="4" w:space="0" w:color="auto"/>
              <w:left w:val="single" w:sz="4" w:space="0" w:color="auto"/>
              <w:bottom w:val="single" w:sz="4" w:space="0" w:color="auto"/>
              <w:right w:val="single" w:sz="4" w:space="0" w:color="auto"/>
            </w:tcBorders>
            <w:hideMark/>
          </w:tcPr>
          <w:p w14:paraId="7D578ED4" w14:textId="77777777" w:rsidR="00726C46" w:rsidRPr="00C41A7E" w:rsidRDefault="00726C46">
            <w:pPr>
              <w:jc w:val="center"/>
              <w:rPr>
                <w:i/>
                <w:sz w:val="24"/>
                <w:szCs w:val="24"/>
              </w:rPr>
            </w:pPr>
            <w:r w:rsidRPr="00C41A7E">
              <w:rPr>
                <w:sz w:val="24"/>
                <w:szCs w:val="24"/>
              </w:rPr>
              <w:t>2 mg</w:t>
            </w:r>
          </w:p>
        </w:tc>
        <w:tc>
          <w:tcPr>
            <w:tcW w:w="967" w:type="pct"/>
            <w:tcBorders>
              <w:top w:val="single" w:sz="4" w:space="0" w:color="auto"/>
              <w:left w:val="single" w:sz="4" w:space="0" w:color="auto"/>
              <w:bottom w:val="single" w:sz="4" w:space="0" w:color="auto"/>
              <w:right w:val="single" w:sz="4" w:space="0" w:color="auto"/>
            </w:tcBorders>
            <w:hideMark/>
          </w:tcPr>
          <w:p w14:paraId="230F5DFE" w14:textId="77777777" w:rsidR="00726C46" w:rsidRPr="00C41A7E" w:rsidRDefault="00726C46">
            <w:pPr>
              <w:jc w:val="center"/>
              <w:rPr>
                <w:i/>
                <w:sz w:val="24"/>
                <w:szCs w:val="24"/>
              </w:rPr>
            </w:pPr>
            <w:r w:rsidRPr="00C41A7E">
              <w:rPr>
                <w:iCs/>
                <w:sz w:val="24"/>
                <w:szCs w:val="24"/>
              </w:rPr>
              <w:t>0,4 ml</w:t>
            </w:r>
          </w:p>
        </w:tc>
        <w:tc>
          <w:tcPr>
            <w:tcW w:w="1046" w:type="pct"/>
            <w:vMerge/>
            <w:tcBorders>
              <w:top w:val="single" w:sz="4" w:space="0" w:color="auto"/>
              <w:left w:val="single" w:sz="4" w:space="0" w:color="auto"/>
              <w:bottom w:val="single" w:sz="4" w:space="0" w:color="auto"/>
              <w:right w:val="single" w:sz="4" w:space="0" w:color="auto"/>
            </w:tcBorders>
            <w:vAlign w:val="center"/>
            <w:hideMark/>
          </w:tcPr>
          <w:p w14:paraId="1F95A03C" w14:textId="77777777" w:rsidR="00726C46" w:rsidRPr="00C41A7E" w:rsidRDefault="00726C46">
            <w:pPr>
              <w:rPr>
                <w:iCs/>
                <w:sz w:val="24"/>
                <w:szCs w:val="24"/>
              </w:rPr>
            </w:pPr>
          </w:p>
        </w:tc>
      </w:tr>
      <w:tr w:rsidR="00121672" w:rsidRPr="00C41A7E" w14:paraId="738F9929"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4DED5B32" w14:textId="77777777" w:rsidR="00726C46" w:rsidRPr="00C41A7E" w:rsidRDefault="00726C46">
            <w:pPr>
              <w:jc w:val="center"/>
              <w:rPr>
                <w:i/>
                <w:sz w:val="24"/>
                <w:szCs w:val="24"/>
              </w:rPr>
            </w:pPr>
            <w:r w:rsidRPr="00C41A7E">
              <w:rPr>
                <w:sz w:val="24"/>
                <w:szCs w:val="24"/>
              </w:rPr>
              <w:t xml:space="preserve">5-9 </w:t>
            </w:r>
            <w:proofErr w:type="spellStart"/>
            <w:r w:rsidRPr="00C41A7E">
              <w:rPr>
                <w:sz w:val="24"/>
                <w:szCs w:val="24"/>
              </w:rPr>
              <w:t>år</w:t>
            </w:r>
            <w:proofErr w:type="spellEnd"/>
          </w:p>
        </w:tc>
        <w:tc>
          <w:tcPr>
            <w:tcW w:w="1049" w:type="pct"/>
            <w:tcBorders>
              <w:top w:val="single" w:sz="4" w:space="0" w:color="auto"/>
              <w:left w:val="single" w:sz="4" w:space="0" w:color="auto"/>
              <w:bottom w:val="single" w:sz="4" w:space="0" w:color="auto"/>
              <w:right w:val="single" w:sz="4" w:space="0" w:color="auto"/>
            </w:tcBorders>
            <w:hideMark/>
          </w:tcPr>
          <w:p w14:paraId="25D07012" w14:textId="77777777" w:rsidR="00726C46" w:rsidRPr="00C41A7E" w:rsidRDefault="00726C46">
            <w:pPr>
              <w:jc w:val="center"/>
              <w:rPr>
                <w:i/>
                <w:sz w:val="24"/>
                <w:szCs w:val="24"/>
              </w:rPr>
            </w:pPr>
            <w:r w:rsidRPr="00C41A7E">
              <w:rPr>
                <w:sz w:val="24"/>
                <w:szCs w:val="24"/>
              </w:rPr>
              <w:t>20-29 kg</w:t>
            </w:r>
          </w:p>
        </w:tc>
        <w:tc>
          <w:tcPr>
            <w:tcW w:w="970" w:type="pct"/>
            <w:tcBorders>
              <w:top w:val="single" w:sz="4" w:space="0" w:color="auto"/>
              <w:left w:val="single" w:sz="4" w:space="0" w:color="auto"/>
              <w:bottom w:val="single" w:sz="4" w:space="0" w:color="auto"/>
              <w:right w:val="single" w:sz="4" w:space="0" w:color="auto"/>
            </w:tcBorders>
            <w:hideMark/>
          </w:tcPr>
          <w:p w14:paraId="48683363" w14:textId="77777777" w:rsidR="00726C46" w:rsidRPr="00C41A7E" w:rsidRDefault="00726C46">
            <w:pPr>
              <w:jc w:val="center"/>
              <w:rPr>
                <w:i/>
                <w:sz w:val="24"/>
                <w:szCs w:val="24"/>
              </w:rPr>
            </w:pPr>
            <w:r w:rsidRPr="00C41A7E">
              <w:rPr>
                <w:sz w:val="24"/>
                <w:szCs w:val="24"/>
              </w:rPr>
              <w:t>2,5 mg</w:t>
            </w:r>
          </w:p>
        </w:tc>
        <w:tc>
          <w:tcPr>
            <w:tcW w:w="967" w:type="pct"/>
            <w:tcBorders>
              <w:top w:val="single" w:sz="4" w:space="0" w:color="auto"/>
              <w:left w:val="single" w:sz="4" w:space="0" w:color="auto"/>
              <w:bottom w:val="single" w:sz="4" w:space="0" w:color="auto"/>
              <w:right w:val="single" w:sz="4" w:space="0" w:color="auto"/>
            </w:tcBorders>
            <w:hideMark/>
          </w:tcPr>
          <w:p w14:paraId="6088366D" w14:textId="77777777" w:rsidR="00726C46" w:rsidRPr="00C41A7E" w:rsidRDefault="00726C46">
            <w:pPr>
              <w:jc w:val="center"/>
              <w:rPr>
                <w:i/>
                <w:sz w:val="24"/>
                <w:szCs w:val="24"/>
              </w:rPr>
            </w:pPr>
            <w:r w:rsidRPr="00C41A7E">
              <w:rPr>
                <w:iCs/>
                <w:sz w:val="24"/>
                <w:szCs w:val="24"/>
              </w:rPr>
              <w:t>0,5 ml</w:t>
            </w:r>
          </w:p>
        </w:tc>
        <w:tc>
          <w:tcPr>
            <w:tcW w:w="1046" w:type="pct"/>
            <w:vMerge/>
            <w:tcBorders>
              <w:top w:val="single" w:sz="4" w:space="0" w:color="auto"/>
              <w:left w:val="single" w:sz="4" w:space="0" w:color="auto"/>
              <w:bottom w:val="single" w:sz="4" w:space="0" w:color="auto"/>
              <w:right w:val="single" w:sz="4" w:space="0" w:color="auto"/>
            </w:tcBorders>
            <w:vAlign w:val="center"/>
            <w:hideMark/>
          </w:tcPr>
          <w:p w14:paraId="649CEF27" w14:textId="77777777" w:rsidR="00726C46" w:rsidRPr="00C41A7E" w:rsidRDefault="00726C46">
            <w:pPr>
              <w:rPr>
                <w:iCs/>
                <w:sz w:val="24"/>
                <w:szCs w:val="24"/>
              </w:rPr>
            </w:pPr>
          </w:p>
        </w:tc>
      </w:tr>
      <w:tr w:rsidR="00121672" w:rsidRPr="00C41A7E" w14:paraId="1E61665C"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66F3AC9C" w14:textId="77777777" w:rsidR="00726C46" w:rsidRPr="00C41A7E" w:rsidRDefault="00726C46">
            <w:pPr>
              <w:jc w:val="center"/>
              <w:rPr>
                <w:i/>
                <w:sz w:val="24"/>
                <w:szCs w:val="24"/>
              </w:rPr>
            </w:pPr>
            <w:r w:rsidRPr="00C41A7E">
              <w:rPr>
                <w:sz w:val="24"/>
                <w:szCs w:val="24"/>
              </w:rPr>
              <w:t xml:space="preserve">9-18 </w:t>
            </w:r>
            <w:proofErr w:type="spellStart"/>
            <w:r w:rsidRPr="00C41A7E">
              <w:rPr>
                <w:sz w:val="24"/>
                <w:szCs w:val="24"/>
              </w:rPr>
              <w:t>år</w:t>
            </w:r>
            <w:proofErr w:type="spellEnd"/>
          </w:p>
        </w:tc>
        <w:tc>
          <w:tcPr>
            <w:tcW w:w="1049" w:type="pct"/>
            <w:tcBorders>
              <w:top w:val="single" w:sz="4" w:space="0" w:color="auto"/>
              <w:left w:val="single" w:sz="4" w:space="0" w:color="auto"/>
              <w:bottom w:val="single" w:sz="4" w:space="0" w:color="auto"/>
              <w:right w:val="single" w:sz="4" w:space="0" w:color="auto"/>
            </w:tcBorders>
            <w:hideMark/>
          </w:tcPr>
          <w:p w14:paraId="2D31BA1C" w14:textId="77777777" w:rsidR="00726C46" w:rsidRPr="00C41A7E" w:rsidRDefault="00726C46">
            <w:pPr>
              <w:jc w:val="center"/>
              <w:rPr>
                <w:i/>
                <w:sz w:val="24"/>
                <w:szCs w:val="24"/>
              </w:rPr>
            </w:pPr>
            <w:r w:rsidRPr="00C41A7E">
              <w:rPr>
                <w:sz w:val="24"/>
                <w:szCs w:val="24"/>
              </w:rPr>
              <w:t>30-60 kg</w:t>
            </w:r>
          </w:p>
        </w:tc>
        <w:tc>
          <w:tcPr>
            <w:tcW w:w="970" w:type="pct"/>
            <w:tcBorders>
              <w:top w:val="single" w:sz="4" w:space="0" w:color="auto"/>
              <w:left w:val="single" w:sz="4" w:space="0" w:color="auto"/>
              <w:bottom w:val="single" w:sz="4" w:space="0" w:color="auto"/>
              <w:right w:val="single" w:sz="4" w:space="0" w:color="auto"/>
            </w:tcBorders>
            <w:hideMark/>
          </w:tcPr>
          <w:p w14:paraId="67BD8B0D" w14:textId="77777777" w:rsidR="00726C46" w:rsidRPr="00C41A7E" w:rsidRDefault="00726C46">
            <w:pPr>
              <w:jc w:val="center"/>
              <w:rPr>
                <w:i/>
                <w:sz w:val="24"/>
                <w:szCs w:val="24"/>
              </w:rPr>
            </w:pPr>
            <w:r w:rsidRPr="00C41A7E">
              <w:rPr>
                <w:sz w:val="24"/>
                <w:szCs w:val="24"/>
              </w:rPr>
              <w:t>5 mg</w:t>
            </w:r>
          </w:p>
        </w:tc>
        <w:tc>
          <w:tcPr>
            <w:tcW w:w="967" w:type="pct"/>
            <w:tcBorders>
              <w:top w:val="single" w:sz="4" w:space="0" w:color="auto"/>
              <w:left w:val="single" w:sz="4" w:space="0" w:color="auto"/>
              <w:bottom w:val="single" w:sz="4" w:space="0" w:color="auto"/>
              <w:right w:val="single" w:sz="4" w:space="0" w:color="auto"/>
            </w:tcBorders>
            <w:hideMark/>
          </w:tcPr>
          <w:p w14:paraId="6D8C6B7B" w14:textId="77777777" w:rsidR="00726C46" w:rsidRPr="00C41A7E" w:rsidRDefault="00726C46">
            <w:pPr>
              <w:jc w:val="center"/>
              <w:rPr>
                <w:i/>
                <w:sz w:val="24"/>
                <w:szCs w:val="24"/>
              </w:rPr>
            </w:pPr>
            <w:r w:rsidRPr="00C41A7E">
              <w:rPr>
                <w:iCs/>
                <w:sz w:val="24"/>
                <w:szCs w:val="24"/>
              </w:rPr>
              <w:t>1 ml</w:t>
            </w:r>
          </w:p>
        </w:tc>
        <w:tc>
          <w:tcPr>
            <w:tcW w:w="1046" w:type="pct"/>
            <w:vMerge/>
            <w:tcBorders>
              <w:top w:val="single" w:sz="4" w:space="0" w:color="auto"/>
              <w:left w:val="single" w:sz="4" w:space="0" w:color="auto"/>
              <w:bottom w:val="single" w:sz="4" w:space="0" w:color="auto"/>
              <w:right w:val="single" w:sz="4" w:space="0" w:color="auto"/>
            </w:tcBorders>
            <w:vAlign w:val="center"/>
            <w:hideMark/>
          </w:tcPr>
          <w:p w14:paraId="3F042DE4" w14:textId="77777777" w:rsidR="00726C46" w:rsidRPr="00C41A7E" w:rsidRDefault="00726C46">
            <w:pPr>
              <w:rPr>
                <w:iCs/>
                <w:sz w:val="24"/>
                <w:szCs w:val="24"/>
              </w:rPr>
            </w:pPr>
          </w:p>
        </w:tc>
      </w:tr>
      <w:tr w:rsidR="00121672" w:rsidRPr="00C41A7E" w14:paraId="72AE2FDC" w14:textId="77777777" w:rsidTr="00121672">
        <w:tc>
          <w:tcPr>
            <w:tcW w:w="968" w:type="pct"/>
            <w:tcBorders>
              <w:top w:val="single" w:sz="4" w:space="0" w:color="auto"/>
              <w:left w:val="single" w:sz="4" w:space="0" w:color="auto"/>
              <w:bottom w:val="single" w:sz="4" w:space="0" w:color="auto"/>
              <w:right w:val="single" w:sz="4" w:space="0" w:color="auto"/>
            </w:tcBorders>
            <w:hideMark/>
          </w:tcPr>
          <w:p w14:paraId="19A0ABCB" w14:textId="77777777" w:rsidR="00726C46" w:rsidRPr="00C41A7E" w:rsidRDefault="00726C46">
            <w:pPr>
              <w:jc w:val="center"/>
              <w:rPr>
                <w:i/>
                <w:sz w:val="24"/>
                <w:szCs w:val="24"/>
              </w:rPr>
            </w:pPr>
            <w:r w:rsidRPr="00C41A7E">
              <w:rPr>
                <w:sz w:val="24"/>
                <w:szCs w:val="24"/>
              </w:rPr>
              <w:t xml:space="preserve">15-18 </w:t>
            </w:r>
            <w:proofErr w:type="spellStart"/>
            <w:r w:rsidRPr="00C41A7E">
              <w:rPr>
                <w:sz w:val="24"/>
                <w:szCs w:val="24"/>
              </w:rPr>
              <w:t>år</w:t>
            </w:r>
            <w:proofErr w:type="spellEnd"/>
          </w:p>
        </w:tc>
        <w:tc>
          <w:tcPr>
            <w:tcW w:w="1049" w:type="pct"/>
            <w:tcBorders>
              <w:top w:val="single" w:sz="4" w:space="0" w:color="auto"/>
              <w:left w:val="single" w:sz="4" w:space="0" w:color="auto"/>
              <w:bottom w:val="single" w:sz="4" w:space="0" w:color="auto"/>
              <w:right w:val="single" w:sz="4" w:space="0" w:color="auto"/>
            </w:tcBorders>
            <w:hideMark/>
          </w:tcPr>
          <w:p w14:paraId="43EB5274" w14:textId="77777777" w:rsidR="00726C46" w:rsidRPr="00C41A7E" w:rsidRDefault="00726C46">
            <w:pPr>
              <w:jc w:val="center"/>
              <w:rPr>
                <w:i/>
                <w:sz w:val="24"/>
                <w:szCs w:val="24"/>
              </w:rPr>
            </w:pPr>
            <w:r w:rsidRPr="00C41A7E">
              <w:rPr>
                <w:sz w:val="24"/>
                <w:szCs w:val="24"/>
              </w:rPr>
              <w:t>over 60 kg</w:t>
            </w:r>
          </w:p>
        </w:tc>
        <w:tc>
          <w:tcPr>
            <w:tcW w:w="970" w:type="pct"/>
            <w:tcBorders>
              <w:top w:val="single" w:sz="4" w:space="0" w:color="auto"/>
              <w:left w:val="single" w:sz="4" w:space="0" w:color="auto"/>
              <w:bottom w:val="single" w:sz="4" w:space="0" w:color="auto"/>
              <w:right w:val="single" w:sz="4" w:space="0" w:color="auto"/>
            </w:tcBorders>
            <w:hideMark/>
          </w:tcPr>
          <w:p w14:paraId="35C6FF76" w14:textId="77777777" w:rsidR="00726C46" w:rsidRPr="00C41A7E" w:rsidRDefault="00726C46">
            <w:pPr>
              <w:jc w:val="center"/>
              <w:rPr>
                <w:i/>
                <w:sz w:val="24"/>
                <w:szCs w:val="24"/>
              </w:rPr>
            </w:pPr>
            <w:r w:rsidRPr="00C41A7E">
              <w:rPr>
                <w:sz w:val="24"/>
                <w:szCs w:val="24"/>
              </w:rPr>
              <w:t>10 mg</w:t>
            </w:r>
          </w:p>
        </w:tc>
        <w:tc>
          <w:tcPr>
            <w:tcW w:w="967" w:type="pct"/>
            <w:tcBorders>
              <w:top w:val="single" w:sz="4" w:space="0" w:color="auto"/>
              <w:left w:val="single" w:sz="4" w:space="0" w:color="auto"/>
              <w:bottom w:val="single" w:sz="4" w:space="0" w:color="auto"/>
              <w:right w:val="single" w:sz="4" w:space="0" w:color="auto"/>
            </w:tcBorders>
            <w:hideMark/>
          </w:tcPr>
          <w:p w14:paraId="2E432B1C" w14:textId="77777777" w:rsidR="00726C46" w:rsidRPr="00C41A7E" w:rsidRDefault="00726C46">
            <w:pPr>
              <w:jc w:val="center"/>
              <w:rPr>
                <w:i/>
                <w:sz w:val="24"/>
                <w:szCs w:val="24"/>
              </w:rPr>
            </w:pPr>
            <w:r w:rsidRPr="00C41A7E">
              <w:rPr>
                <w:iCs/>
                <w:sz w:val="24"/>
                <w:szCs w:val="24"/>
              </w:rPr>
              <w:t>2 ml</w:t>
            </w:r>
          </w:p>
        </w:tc>
        <w:tc>
          <w:tcPr>
            <w:tcW w:w="1046" w:type="pct"/>
            <w:vMerge/>
            <w:tcBorders>
              <w:top w:val="single" w:sz="4" w:space="0" w:color="auto"/>
              <w:left w:val="single" w:sz="4" w:space="0" w:color="auto"/>
              <w:bottom w:val="single" w:sz="4" w:space="0" w:color="auto"/>
              <w:right w:val="single" w:sz="4" w:space="0" w:color="auto"/>
            </w:tcBorders>
            <w:vAlign w:val="center"/>
            <w:hideMark/>
          </w:tcPr>
          <w:p w14:paraId="61D99175" w14:textId="77777777" w:rsidR="00726C46" w:rsidRPr="00C41A7E" w:rsidRDefault="00726C46">
            <w:pPr>
              <w:rPr>
                <w:iCs/>
                <w:sz w:val="24"/>
                <w:szCs w:val="24"/>
              </w:rPr>
            </w:pPr>
          </w:p>
        </w:tc>
      </w:tr>
    </w:tbl>
    <w:p w14:paraId="1F6EFC84" w14:textId="77777777" w:rsidR="00726C46" w:rsidRPr="00C41A7E" w:rsidRDefault="00726C46" w:rsidP="00405F39">
      <w:pPr>
        <w:ind w:left="851"/>
        <w:rPr>
          <w:i/>
          <w:sz w:val="24"/>
          <w:szCs w:val="24"/>
        </w:rPr>
      </w:pPr>
    </w:p>
    <w:p w14:paraId="7FDA1583" w14:textId="77777777" w:rsidR="00726C46" w:rsidRPr="00405F39" w:rsidRDefault="00726C46" w:rsidP="006207AB">
      <w:pPr>
        <w:ind w:left="851"/>
        <w:rPr>
          <w:noProof/>
          <w:sz w:val="24"/>
          <w:szCs w:val="24"/>
          <w:u w:val="single"/>
        </w:rPr>
      </w:pPr>
      <w:r w:rsidRPr="00405F39">
        <w:rPr>
          <w:noProof/>
          <w:sz w:val="24"/>
          <w:szCs w:val="24"/>
          <w:u w:val="single"/>
        </w:rPr>
        <w:t>Særlige populationer</w:t>
      </w:r>
    </w:p>
    <w:p w14:paraId="6C784051" w14:textId="77777777" w:rsidR="00726C46" w:rsidRPr="00C41A7E" w:rsidRDefault="00726C46" w:rsidP="006207AB">
      <w:pPr>
        <w:ind w:left="851"/>
        <w:rPr>
          <w:noProof/>
          <w:sz w:val="24"/>
          <w:szCs w:val="24"/>
        </w:rPr>
      </w:pPr>
    </w:p>
    <w:p w14:paraId="5C485BD6" w14:textId="77777777" w:rsidR="00726C46" w:rsidRPr="00C41A7E" w:rsidRDefault="00726C46" w:rsidP="006207AB">
      <w:pPr>
        <w:ind w:left="851"/>
        <w:rPr>
          <w:noProof/>
          <w:sz w:val="24"/>
          <w:szCs w:val="24"/>
        </w:rPr>
      </w:pPr>
      <w:r w:rsidRPr="00C41A7E">
        <w:rPr>
          <w:i/>
          <w:iCs/>
          <w:noProof/>
          <w:sz w:val="24"/>
          <w:szCs w:val="24"/>
        </w:rPr>
        <w:t>Ældre (fra 65 år)</w:t>
      </w:r>
    </w:p>
    <w:p w14:paraId="5EF7F6AF" w14:textId="77777777" w:rsidR="00726C46" w:rsidRPr="00C41A7E" w:rsidRDefault="00726C46" w:rsidP="006207AB">
      <w:pPr>
        <w:ind w:left="851"/>
        <w:rPr>
          <w:noProof/>
          <w:sz w:val="24"/>
          <w:szCs w:val="24"/>
        </w:rPr>
      </w:pPr>
      <w:r w:rsidRPr="00C41A7E">
        <w:rPr>
          <w:noProof/>
          <w:sz w:val="24"/>
          <w:szCs w:val="24"/>
        </w:rPr>
        <w:t>Hos ældre patienter skal dosisreduktion overvejes, baseret på nyre- og leverfunktion og generel skrøbelighed.</w:t>
      </w:r>
    </w:p>
    <w:p w14:paraId="69BF7E86" w14:textId="77777777" w:rsidR="00726C46" w:rsidRPr="00C41A7E" w:rsidRDefault="00726C46" w:rsidP="006207AB">
      <w:pPr>
        <w:ind w:left="851"/>
        <w:rPr>
          <w:noProof/>
          <w:sz w:val="24"/>
          <w:szCs w:val="24"/>
        </w:rPr>
      </w:pPr>
    </w:p>
    <w:p w14:paraId="7265CA8B" w14:textId="77777777" w:rsidR="00726C46" w:rsidRPr="00C41A7E" w:rsidRDefault="00726C46" w:rsidP="006207AB">
      <w:pPr>
        <w:ind w:left="851"/>
        <w:rPr>
          <w:i/>
          <w:iCs/>
          <w:noProof/>
          <w:sz w:val="24"/>
          <w:szCs w:val="24"/>
        </w:rPr>
      </w:pPr>
      <w:r w:rsidRPr="00C41A7E">
        <w:rPr>
          <w:i/>
          <w:iCs/>
          <w:noProof/>
          <w:sz w:val="24"/>
          <w:szCs w:val="24"/>
        </w:rPr>
        <w:t>Nedsat nyrefunktion</w:t>
      </w:r>
    </w:p>
    <w:p w14:paraId="46183DF7" w14:textId="77777777" w:rsidR="00726C46" w:rsidRPr="00C41A7E" w:rsidRDefault="00726C46" w:rsidP="006207AB">
      <w:pPr>
        <w:ind w:left="851"/>
        <w:rPr>
          <w:noProof/>
          <w:sz w:val="24"/>
          <w:szCs w:val="24"/>
        </w:rPr>
      </w:pPr>
      <w:r w:rsidRPr="00C41A7E">
        <w:rPr>
          <w:noProof/>
          <w:sz w:val="24"/>
          <w:szCs w:val="24"/>
        </w:rPr>
        <w:t>Hos patienter med nyresygdom i slutstadiet (kreatininclearance ≤ 15 ml/min) skal den daglige dosis reduceres med 75 %.</w:t>
      </w:r>
    </w:p>
    <w:p w14:paraId="2B0E1628" w14:textId="77777777" w:rsidR="00726C46" w:rsidRPr="00C41A7E" w:rsidRDefault="00726C46" w:rsidP="006207AB">
      <w:pPr>
        <w:ind w:left="851"/>
        <w:rPr>
          <w:noProof/>
          <w:sz w:val="24"/>
          <w:szCs w:val="24"/>
        </w:rPr>
      </w:pPr>
      <w:r w:rsidRPr="00C41A7E">
        <w:rPr>
          <w:noProof/>
          <w:sz w:val="24"/>
          <w:szCs w:val="24"/>
        </w:rPr>
        <w:t>Hos patienter med moderat til svært nedsat nyrefunktion (kreatininclearance 15-60 ml/min) skal dosis reduceres med 50 % (se pkt. 5.2).</w:t>
      </w:r>
    </w:p>
    <w:p w14:paraId="5674C5CF" w14:textId="6AF568D8" w:rsidR="00543F70" w:rsidRDefault="00543F70">
      <w:pPr>
        <w:rPr>
          <w:noProof/>
          <w:sz w:val="24"/>
          <w:szCs w:val="24"/>
        </w:rPr>
      </w:pPr>
      <w:r>
        <w:rPr>
          <w:noProof/>
          <w:sz w:val="24"/>
          <w:szCs w:val="24"/>
        </w:rPr>
        <w:br w:type="page"/>
      </w:r>
    </w:p>
    <w:p w14:paraId="63C41A3B" w14:textId="77777777" w:rsidR="00726C46" w:rsidRPr="00C41A7E" w:rsidRDefault="00726C46" w:rsidP="006207AB">
      <w:pPr>
        <w:ind w:left="851"/>
        <w:rPr>
          <w:noProof/>
          <w:sz w:val="24"/>
          <w:szCs w:val="24"/>
        </w:rPr>
      </w:pPr>
    </w:p>
    <w:p w14:paraId="58D588C3" w14:textId="77777777" w:rsidR="00726C46" w:rsidRPr="00C41A7E" w:rsidRDefault="00726C46" w:rsidP="006207AB">
      <w:pPr>
        <w:ind w:left="851"/>
        <w:rPr>
          <w:i/>
          <w:iCs/>
          <w:noProof/>
          <w:sz w:val="24"/>
          <w:szCs w:val="24"/>
        </w:rPr>
      </w:pPr>
      <w:r w:rsidRPr="00C41A7E">
        <w:rPr>
          <w:i/>
          <w:iCs/>
          <w:noProof/>
          <w:sz w:val="24"/>
          <w:szCs w:val="24"/>
        </w:rPr>
        <w:t>Nedsat leverfunktion</w:t>
      </w:r>
    </w:p>
    <w:p w14:paraId="12EC96A1" w14:textId="77777777" w:rsidR="00726C46" w:rsidRPr="00C41A7E" w:rsidRDefault="00726C46" w:rsidP="006207AB">
      <w:pPr>
        <w:ind w:left="851"/>
        <w:rPr>
          <w:noProof/>
          <w:sz w:val="24"/>
          <w:szCs w:val="24"/>
        </w:rPr>
      </w:pPr>
      <w:r w:rsidRPr="00C41A7E">
        <w:rPr>
          <w:noProof/>
          <w:sz w:val="24"/>
          <w:szCs w:val="24"/>
        </w:rPr>
        <w:t>Hos patienter med svært nedsat leverfunktion skal dosis reduceres med 50 % (se pkt. 5.2).</w:t>
      </w:r>
    </w:p>
    <w:p w14:paraId="195B66A6" w14:textId="77777777" w:rsidR="00726C46" w:rsidRPr="00C41A7E" w:rsidRDefault="00726C46" w:rsidP="006207AB">
      <w:pPr>
        <w:ind w:left="851"/>
        <w:rPr>
          <w:noProof/>
          <w:sz w:val="24"/>
          <w:szCs w:val="24"/>
        </w:rPr>
      </w:pPr>
    </w:p>
    <w:p w14:paraId="627D9EB5" w14:textId="77777777" w:rsidR="00726C46" w:rsidRPr="00405F39" w:rsidRDefault="00726C46" w:rsidP="006207AB">
      <w:pPr>
        <w:ind w:left="851"/>
        <w:rPr>
          <w:noProof/>
          <w:sz w:val="24"/>
          <w:szCs w:val="24"/>
          <w:u w:val="single"/>
        </w:rPr>
      </w:pPr>
      <w:r w:rsidRPr="00405F39">
        <w:rPr>
          <w:noProof/>
          <w:sz w:val="24"/>
          <w:szCs w:val="24"/>
          <w:u w:val="single"/>
        </w:rPr>
        <w:t>Administrationsmetode</w:t>
      </w:r>
    </w:p>
    <w:p w14:paraId="083E6CA2" w14:textId="77777777" w:rsidR="00726C46" w:rsidRPr="00C41A7E" w:rsidRDefault="00726C46" w:rsidP="006207AB">
      <w:pPr>
        <w:ind w:left="851"/>
        <w:rPr>
          <w:noProof/>
          <w:sz w:val="24"/>
          <w:szCs w:val="24"/>
        </w:rPr>
      </w:pPr>
    </w:p>
    <w:p w14:paraId="5DDA4563" w14:textId="77777777" w:rsidR="00726C46" w:rsidRPr="00C41A7E" w:rsidRDefault="00726C46" w:rsidP="006207AB">
      <w:pPr>
        <w:ind w:left="851"/>
        <w:rPr>
          <w:noProof/>
          <w:sz w:val="24"/>
          <w:szCs w:val="24"/>
        </w:rPr>
      </w:pPr>
      <w:r w:rsidRPr="00C41A7E">
        <w:rPr>
          <w:noProof/>
          <w:sz w:val="24"/>
          <w:szCs w:val="24"/>
        </w:rPr>
        <w:t>Intramuskulær (i.m.) eller intravenøs (i.v.) brug.</w:t>
      </w:r>
    </w:p>
    <w:p w14:paraId="19A4CC32" w14:textId="30121BF1" w:rsidR="00726C46" w:rsidRPr="00C41A7E" w:rsidRDefault="00726C46" w:rsidP="006207AB">
      <w:pPr>
        <w:ind w:left="851"/>
        <w:rPr>
          <w:noProof/>
          <w:sz w:val="24"/>
          <w:szCs w:val="24"/>
        </w:rPr>
      </w:pPr>
      <w:r w:rsidRPr="00C41A7E">
        <w:rPr>
          <w:noProof/>
          <w:sz w:val="24"/>
          <w:szCs w:val="24"/>
        </w:rPr>
        <w:t>Intravenøse doser skal gives som en langsom bolusinjektion (over en periode på mindst 3</w:t>
      </w:r>
      <w:r w:rsidR="00543F70">
        <w:rPr>
          <w:noProof/>
          <w:sz w:val="24"/>
          <w:szCs w:val="24"/>
        </w:rPr>
        <w:t> </w:t>
      </w:r>
      <w:r w:rsidRPr="00C41A7E">
        <w:rPr>
          <w:noProof/>
          <w:sz w:val="24"/>
          <w:szCs w:val="24"/>
        </w:rPr>
        <w:t xml:space="preserve">minutter) til den liggende patient. </w:t>
      </w:r>
    </w:p>
    <w:p w14:paraId="623A5CD9" w14:textId="77777777" w:rsidR="00726C46" w:rsidRPr="00C41A7E" w:rsidRDefault="00726C46" w:rsidP="006207AB">
      <w:pPr>
        <w:ind w:left="851"/>
        <w:rPr>
          <w:noProof/>
          <w:sz w:val="24"/>
          <w:szCs w:val="24"/>
        </w:rPr>
      </w:pPr>
      <w:r w:rsidRPr="00C41A7E">
        <w:rPr>
          <w:noProof/>
          <w:sz w:val="24"/>
          <w:szCs w:val="24"/>
        </w:rPr>
        <w:t>For børn under 6 år anbefales kun i.m. injektion.</w:t>
      </w:r>
    </w:p>
    <w:p w14:paraId="7408E3FE" w14:textId="77777777" w:rsidR="00726C46" w:rsidRPr="00C41A7E" w:rsidRDefault="00726C46" w:rsidP="006207AB">
      <w:pPr>
        <w:ind w:left="851"/>
        <w:rPr>
          <w:noProof/>
          <w:sz w:val="24"/>
          <w:szCs w:val="24"/>
        </w:rPr>
      </w:pPr>
    </w:p>
    <w:p w14:paraId="141F8E72" w14:textId="77777777" w:rsidR="00726C46" w:rsidRPr="00C41A7E" w:rsidRDefault="00726C46" w:rsidP="006207AB">
      <w:pPr>
        <w:ind w:left="851"/>
        <w:rPr>
          <w:noProof/>
          <w:sz w:val="24"/>
          <w:szCs w:val="24"/>
        </w:rPr>
      </w:pPr>
      <w:r w:rsidRPr="00C41A7E">
        <w:rPr>
          <w:noProof/>
          <w:sz w:val="24"/>
          <w:szCs w:val="24"/>
        </w:rPr>
        <w:t>Et minimumsinterval på 6 timer mellem to administrationer skal overholdes (se pkt. 4.4).</w:t>
      </w:r>
    </w:p>
    <w:p w14:paraId="19A878F8" w14:textId="77777777" w:rsidR="00726C46" w:rsidRPr="00C41A7E" w:rsidRDefault="00726C46" w:rsidP="006207AB">
      <w:pPr>
        <w:ind w:left="851"/>
        <w:rPr>
          <w:noProof/>
          <w:sz w:val="24"/>
          <w:szCs w:val="24"/>
        </w:rPr>
      </w:pPr>
    </w:p>
    <w:p w14:paraId="6F35757E" w14:textId="77777777" w:rsidR="00726C46" w:rsidRPr="00C41A7E" w:rsidRDefault="00726C46" w:rsidP="006207AB">
      <w:pPr>
        <w:ind w:left="851"/>
        <w:rPr>
          <w:noProof/>
          <w:sz w:val="24"/>
          <w:szCs w:val="24"/>
        </w:rPr>
      </w:pPr>
      <w:r w:rsidRPr="00C41A7E">
        <w:rPr>
          <w:noProof/>
          <w:sz w:val="24"/>
          <w:szCs w:val="24"/>
        </w:rPr>
        <w:t>På grund af den potentielle risiko for alvorlige kardiovaskulære reaktioner, herunder hjertestop, bør metoclopramid-injektionen kun anvendes, når passende genoplivningsudstyr er tilgængeligt (se pkt. 4.4 og 4.8).</w:t>
      </w:r>
    </w:p>
    <w:p w14:paraId="70E953D6" w14:textId="77777777" w:rsidR="00726C46" w:rsidRPr="00C41A7E" w:rsidRDefault="00726C46" w:rsidP="006207AB">
      <w:pPr>
        <w:ind w:left="851"/>
        <w:rPr>
          <w:noProof/>
          <w:sz w:val="24"/>
          <w:szCs w:val="24"/>
        </w:rPr>
      </w:pPr>
    </w:p>
    <w:p w14:paraId="42423CB1" w14:textId="77777777" w:rsidR="00726C46" w:rsidRPr="00405F39" w:rsidRDefault="00726C46" w:rsidP="006207AB">
      <w:pPr>
        <w:ind w:left="851"/>
        <w:rPr>
          <w:noProof/>
          <w:sz w:val="24"/>
          <w:szCs w:val="24"/>
          <w:u w:val="single"/>
        </w:rPr>
      </w:pPr>
      <w:r w:rsidRPr="00405F39">
        <w:rPr>
          <w:noProof/>
          <w:sz w:val="24"/>
          <w:szCs w:val="24"/>
          <w:u w:val="single"/>
        </w:rPr>
        <w:t>Administrationsvarighed</w:t>
      </w:r>
    </w:p>
    <w:p w14:paraId="021F2733" w14:textId="77777777" w:rsidR="00726C46" w:rsidRPr="00C41A7E" w:rsidRDefault="00726C46" w:rsidP="006207AB">
      <w:pPr>
        <w:ind w:left="851"/>
        <w:rPr>
          <w:noProof/>
          <w:sz w:val="24"/>
          <w:szCs w:val="24"/>
        </w:rPr>
      </w:pPr>
    </w:p>
    <w:p w14:paraId="002F7B4A" w14:textId="77777777" w:rsidR="00726C46" w:rsidRPr="00C41A7E" w:rsidRDefault="00726C46" w:rsidP="006207AB">
      <w:pPr>
        <w:ind w:left="851"/>
        <w:rPr>
          <w:sz w:val="24"/>
          <w:szCs w:val="24"/>
        </w:rPr>
      </w:pPr>
      <w:r w:rsidRPr="00C41A7E">
        <w:rPr>
          <w:sz w:val="24"/>
          <w:szCs w:val="24"/>
        </w:rPr>
        <w:t>Den maksimale behandlingsvarighed er 48 timer ved behandling af manifest postoperativ kvalme og opkastning (PONV).</w:t>
      </w:r>
    </w:p>
    <w:p w14:paraId="38997C5C" w14:textId="77777777" w:rsidR="00726C46" w:rsidRPr="00C41A7E" w:rsidRDefault="00726C46" w:rsidP="006207AB">
      <w:pPr>
        <w:ind w:left="851"/>
        <w:rPr>
          <w:noProof/>
          <w:sz w:val="24"/>
          <w:szCs w:val="24"/>
        </w:rPr>
      </w:pPr>
      <w:r w:rsidRPr="00C41A7E">
        <w:rPr>
          <w:sz w:val="24"/>
          <w:szCs w:val="24"/>
        </w:rPr>
        <w:br/>
        <w:t>Den maksimale behandlingsvarighed er 5 dage ved forebyggelse af forsinket kemoterapiinduceret kvalme og opkastning (CINV).</w:t>
      </w:r>
    </w:p>
    <w:p w14:paraId="5E994510" w14:textId="77777777" w:rsidR="009260DE" w:rsidRPr="00C41A7E" w:rsidRDefault="009260DE" w:rsidP="009260DE">
      <w:pPr>
        <w:tabs>
          <w:tab w:val="left" w:pos="851"/>
        </w:tabs>
        <w:ind w:left="851"/>
        <w:rPr>
          <w:sz w:val="24"/>
          <w:szCs w:val="24"/>
        </w:rPr>
      </w:pPr>
    </w:p>
    <w:p w14:paraId="38FB72D2" w14:textId="77777777" w:rsidR="009260DE" w:rsidRPr="00C41A7E" w:rsidRDefault="009260DE" w:rsidP="009260DE">
      <w:pPr>
        <w:tabs>
          <w:tab w:val="left" w:pos="851"/>
        </w:tabs>
        <w:ind w:left="851" w:hanging="851"/>
        <w:rPr>
          <w:b/>
          <w:sz w:val="24"/>
          <w:szCs w:val="24"/>
        </w:rPr>
      </w:pPr>
      <w:r w:rsidRPr="00C41A7E">
        <w:rPr>
          <w:b/>
          <w:sz w:val="24"/>
          <w:szCs w:val="24"/>
        </w:rPr>
        <w:t>4.3</w:t>
      </w:r>
      <w:r w:rsidRPr="00C41A7E">
        <w:rPr>
          <w:b/>
          <w:sz w:val="24"/>
          <w:szCs w:val="24"/>
        </w:rPr>
        <w:tab/>
        <w:t>Kontraindikationer</w:t>
      </w:r>
    </w:p>
    <w:p w14:paraId="535A41CD" w14:textId="77777777" w:rsidR="00726C46" w:rsidRPr="00405F39" w:rsidRDefault="00726C46" w:rsidP="00543F70">
      <w:pPr>
        <w:pStyle w:val="Listeafsnit"/>
        <w:numPr>
          <w:ilvl w:val="0"/>
          <w:numId w:val="12"/>
        </w:numPr>
        <w:ind w:left="1276" w:hanging="425"/>
        <w:rPr>
          <w:sz w:val="24"/>
          <w:szCs w:val="24"/>
        </w:rPr>
      </w:pPr>
      <w:r w:rsidRPr="00405F39">
        <w:rPr>
          <w:sz w:val="24"/>
          <w:szCs w:val="24"/>
        </w:rPr>
        <w:t>Overfølsomhed over for det aktive stof eller over for et eller flere af hjælpestofferne anført i pkt. 6.1</w:t>
      </w:r>
    </w:p>
    <w:p w14:paraId="489B384E" w14:textId="77777777" w:rsidR="00726C46" w:rsidRPr="00405F39" w:rsidRDefault="00726C46" w:rsidP="00543F70">
      <w:pPr>
        <w:pStyle w:val="Listeafsnit"/>
        <w:numPr>
          <w:ilvl w:val="0"/>
          <w:numId w:val="12"/>
        </w:numPr>
        <w:ind w:left="1276" w:hanging="425"/>
        <w:rPr>
          <w:sz w:val="24"/>
          <w:szCs w:val="24"/>
        </w:rPr>
      </w:pPr>
      <w:proofErr w:type="spellStart"/>
      <w:r w:rsidRPr="00405F39">
        <w:rPr>
          <w:sz w:val="24"/>
          <w:szCs w:val="24"/>
        </w:rPr>
        <w:t>Gastrointestinal</w:t>
      </w:r>
      <w:proofErr w:type="spellEnd"/>
      <w:r w:rsidRPr="00405F39">
        <w:rPr>
          <w:sz w:val="24"/>
          <w:szCs w:val="24"/>
        </w:rPr>
        <w:t xml:space="preserve"> blødning, mekanisk obstruktion eller </w:t>
      </w:r>
      <w:proofErr w:type="spellStart"/>
      <w:r w:rsidRPr="00405F39">
        <w:rPr>
          <w:sz w:val="24"/>
          <w:szCs w:val="24"/>
        </w:rPr>
        <w:t>gastrointestinal</w:t>
      </w:r>
      <w:proofErr w:type="spellEnd"/>
      <w:r w:rsidRPr="00405F39">
        <w:rPr>
          <w:sz w:val="24"/>
          <w:szCs w:val="24"/>
        </w:rPr>
        <w:t xml:space="preserve"> perforation, hvor stimulering af </w:t>
      </w:r>
      <w:proofErr w:type="spellStart"/>
      <w:r w:rsidRPr="00405F39">
        <w:rPr>
          <w:sz w:val="24"/>
          <w:szCs w:val="24"/>
        </w:rPr>
        <w:t>gastrointestinal</w:t>
      </w:r>
      <w:proofErr w:type="spellEnd"/>
      <w:r w:rsidRPr="00405F39">
        <w:rPr>
          <w:sz w:val="24"/>
          <w:szCs w:val="24"/>
        </w:rPr>
        <w:t xml:space="preserve"> </w:t>
      </w:r>
      <w:proofErr w:type="spellStart"/>
      <w:r w:rsidRPr="00405F39">
        <w:rPr>
          <w:sz w:val="24"/>
          <w:szCs w:val="24"/>
        </w:rPr>
        <w:t>motilitet</w:t>
      </w:r>
      <w:proofErr w:type="spellEnd"/>
      <w:r w:rsidRPr="00405F39">
        <w:rPr>
          <w:sz w:val="24"/>
          <w:szCs w:val="24"/>
        </w:rPr>
        <w:t xml:space="preserve"> udgør en risiko</w:t>
      </w:r>
    </w:p>
    <w:p w14:paraId="05CBD238" w14:textId="77777777" w:rsidR="00726C46" w:rsidRPr="00405F39" w:rsidRDefault="00726C46" w:rsidP="00543F70">
      <w:pPr>
        <w:pStyle w:val="Listeafsnit"/>
        <w:numPr>
          <w:ilvl w:val="0"/>
          <w:numId w:val="12"/>
        </w:numPr>
        <w:ind w:left="1276" w:hanging="425"/>
        <w:rPr>
          <w:sz w:val="24"/>
          <w:szCs w:val="24"/>
        </w:rPr>
      </w:pPr>
      <w:r w:rsidRPr="00405F39">
        <w:rPr>
          <w:sz w:val="24"/>
          <w:szCs w:val="24"/>
        </w:rPr>
        <w:t xml:space="preserve">Bekræftet eller mistænkt </w:t>
      </w:r>
      <w:proofErr w:type="spellStart"/>
      <w:r w:rsidRPr="00405F39">
        <w:rPr>
          <w:sz w:val="24"/>
          <w:szCs w:val="24"/>
        </w:rPr>
        <w:t>fæokromocytom</w:t>
      </w:r>
      <w:proofErr w:type="spellEnd"/>
      <w:r w:rsidRPr="00405F39">
        <w:rPr>
          <w:sz w:val="24"/>
          <w:szCs w:val="24"/>
        </w:rPr>
        <w:t xml:space="preserve"> på grund af risikoen for svære </w:t>
      </w:r>
      <w:proofErr w:type="spellStart"/>
      <w:r w:rsidRPr="00405F39">
        <w:rPr>
          <w:sz w:val="24"/>
          <w:szCs w:val="24"/>
        </w:rPr>
        <w:t>hypertensive</w:t>
      </w:r>
      <w:proofErr w:type="spellEnd"/>
      <w:r w:rsidRPr="00405F39">
        <w:rPr>
          <w:sz w:val="24"/>
          <w:szCs w:val="24"/>
        </w:rPr>
        <w:t xml:space="preserve"> episoder</w:t>
      </w:r>
    </w:p>
    <w:p w14:paraId="774C6590" w14:textId="77777777" w:rsidR="00726C46" w:rsidRPr="00405F39" w:rsidRDefault="00726C46" w:rsidP="00543F70">
      <w:pPr>
        <w:pStyle w:val="Listeafsnit"/>
        <w:numPr>
          <w:ilvl w:val="0"/>
          <w:numId w:val="12"/>
        </w:numPr>
        <w:ind w:left="1276" w:hanging="425"/>
        <w:rPr>
          <w:sz w:val="24"/>
          <w:szCs w:val="24"/>
        </w:rPr>
      </w:pPr>
      <w:r w:rsidRPr="00405F39">
        <w:rPr>
          <w:sz w:val="24"/>
          <w:szCs w:val="24"/>
        </w:rPr>
        <w:t xml:space="preserve">Tidligere tilfælde af </w:t>
      </w:r>
      <w:proofErr w:type="spellStart"/>
      <w:r w:rsidRPr="00405F39">
        <w:rPr>
          <w:sz w:val="24"/>
          <w:szCs w:val="24"/>
        </w:rPr>
        <w:t>neuroleptisk</w:t>
      </w:r>
      <w:proofErr w:type="spellEnd"/>
      <w:r w:rsidRPr="00405F39">
        <w:rPr>
          <w:sz w:val="24"/>
          <w:szCs w:val="24"/>
        </w:rPr>
        <w:t xml:space="preserve"> eller </w:t>
      </w:r>
      <w:proofErr w:type="spellStart"/>
      <w:r w:rsidRPr="00405F39">
        <w:rPr>
          <w:sz w:val="24"/>
          <w:szCs w:val="24"/>
        </w:rPr>
        <w:t>metoclopramid</w:t>
      </w:r>
      <w:proofErr w:type="spellEnd"/>
      <w:r w:rsidRPr="00405F39">
        <w:rPr>
          <w:sz w:val="24"/>
          <w:szCs w:val="24"/>
        </w:rPr>
        <w:t xml:space="preserve">-induceret </w:t>
      </w:r>
      <w:proofErr w:type="spellStart"/>
      <w:r w:rsidRPr="00405F39">
        <w:rPr>
          <w:sz w:val="24"/>
          <w:szCs w:val="24"/>
        </w:rPr>
        <w:t>tardiv</w:t>
      </w:r>
      <w:proofErr w:type="spellEnd"/>
      <w:r w:rsidRPr="00405F39">
        <w:rPr>
          <w:sz w:val="24"/>
          <w:szCs w:val="24"/>
        </w:rPr>
        <w:t xml:space="preserve"> </w:t>
      </w:r>
      <w:proofErr w:type="spellStart"/>
      <w:r w:rsidRPr="00405F39">
        <w:rPr>
          <w:sz w:val="24"/>
          <w:szCs w:val="24"/>
        </w:rPr>
        <w:t>dyskinesi</w:t>
      </w:r>
      <w:proofErr w:type="spellEnd"/>
    </w:p>
    <w:p w14:paraId="48E1407F" w14:textId="77777777" w:rsidR="00726C46" w:rsidRPr="00405F39" w:rsidRDefault="00726C46" w:rsidP="00543F70">
      <w:pPr>
        <w:pStyle w:val="Listeafsnit"/>
        <w:numPr>
          <w:ilvl w:val="0"/>
          <w:numId w:val="12"/>
        </w:numPr>
        <w:ind w:left="1276" w:hanging="425"/>
        <w:rPr>
          <w:sz w:val="24"/>
          <w:szCs w:val="24"/>
        </w:rPr>
      </w:pPr>
      <w:r w:rsidRPr="00405F39">
        <w:rPr>
          <w:sz w:val="24"/>
          <w:szCs w:val="24"/>
        </w:rPr>
        <w:t>Epilepsi (øget krisehyppighed og intensitet)</w:t>
      </w:r>
    </w:p>
    <w:p w14:paraId="0474134B" w14:textId="77777777" w:rsidR="00726C46" w:rsidRPr="00405F39" w:rsidRDefault="00726C46" w:rsidP="00543F70">
      <w:pPr>
        <w:pStyle w:val="Listeafsnit"/>
        <w:numPr>
          <w:ilvl w:val="0"/>
          <w:numId w:val="12"/>
        </w:numPr>
        <w:ind w:left="1276" w:hanging="425"/>
        <w:rPr>
          <w:sz w:val="24"/>
          <w:szCs w:val="24"/>
        </w:rPr>
      </w:pPr>
      <w:r w:rsidRPr="00405F39">
        <w:rPr>
          <w:sz w:val="24"/>
          <w:szCs w:val="24"/>
        </w:rPr>
        <w:t>Parkinsons sygdom, ekstrapyramidale bevægelsesforstyrrelser</w:t>
      </w:r>
    </w:p>
    <w:p w14:paraId="7414DED6" w14:textId="77777777" w:rsidR="00726C46" w:rsidRPr="00405F39" w:rsidRDefault="00726C46" w:rsidP="00543F70">
      <w:pPr>
        <w:pStyle w:val="Listeafsnit"/>
        <w:numPr>
          <w:ilvl w:val="0"/>
          <w:numId w:val="12"/>
        </w:numPr>
        <w:ind w:left="1276" w:hanging="425"/>
        <w:rPr>
          <w:sz w:val="24"/>
          <w:szCs w:val="24"/>
        </w:rPr>
      </w:pPr>
      <w:r w:rsidRPr="00405F39">
        <w:rPr>
          <w:sz w:val="24"/>
          <w:szCs w:val="24"/>
        </w:rPr>
        <w:t xml:space="preserve">Kombination med </w:t>
      </w:r>
      <w:proofErr w:type="spellStart"/>
      <w:r w:rsidRPr="00405F39">
        <w:rPr>
          <w:sz w:val="24"/>
          <w:szCs w:val="24"/>
        </w:rPr>
        <w:t>levodopa</w:t>
      </w:r>
      <w:proofErr w:type="spellEnd"/>
      <w:r w:rsidRPr="00405F39">
        <w:rPr>
          <w:sz w:val="24"/>
          <w:szCs w:val="24"/>
        </w:rPr>
        <w:t xml:space="preserve"> eller </w:t>
      </w:r>
      <w:proofErr w:type="spellStart"/>
      <w:r w:rsidRPr="00405F39">
        <w:rPr>
          <w:sz w:val="24"/>
          <w:szCs w:val="24"/>
        </w:rPr>
        <w:t>dopaminerge</w:t>
      </w:r>
      <w:proofErr w:type="spellEnd"/>
      <w:r w:rsidRPr="00405F39">
        <w:rPr>
          <w:sz w:val="24"/>
          <w:szCs w:val="24"/>
        </w:rPr>
        <w:t xml:space="preserve"> agonister (se pkt. 4.5)</w:t>
      </w:r>
    </w:p>
    <w:p w14:paraId="5FB5B997" w14:textId="77777777" w:rsidR="00726C46" w:rsidRPr="00405F39" w:rsidRDefault="00726C46" w:rsidP="00543F70">
      <w:pPr>
        <w:pStyle w:val="Listeafsnit"/>
        <w:numPr>
          <w:ilvl w:val="0"/>
          <w:numId w:val="12"/>
        </w:numPr>
        <w:ind w:left="1276" w:hanging="425"/>
        <w:rPr>
          <w:sz w:val="24"/>
          <w:szCs w:val="24"/>
        </w:rPr>
      </w:pPr>
      <w:r w:rsidRPr="00405F39">
        <w:rPr>
          <w:sz w:val="24"/>
          <w:szCs w:val="24"/>
        </w:rPr>
        <w:t xml:space="preserve">Kendt </w:t>
      </w:r>
      <w:proofErr w:type="spellStart"/>
      <w:r w:rsidRPr="00405F39">
        <w:rPr>
          <w:sz w:val="24"/>
          <w:szCs w:val="24"/>
        </w:rPr>
        <w:t>methæmoglobinæmi</w:t>
      </w:r>
      <w:proofErr w:type="spellEnd"/>
      <w:r w:rsidRPr="00405F39">
        <w:rPr>
          <w:sz w:val="24"/>
          <w:szCs w:val="24"/>
        </w:rPr>
        <w:t xml:space="preserve"> med </w:t>
      </w:r>
      <w:proofErr w:type="spellStart"/>
      <w:r w:rsidRPr="00405F39">
        <w:rPr>
          <w:sz w:val="24"/>
          <w:szCs w:val="24"/>
        </w:rPr>
        <w:t>metoclopramid</w:t>
      </w:r>
      <w:proofErr w:type="spellEnd"/>
      <w:r w:rsidRPr="00405F39">
        <w:rPr>
          <w:sz w:val="24"/>
          <w:szCs w:val="24"/>
        </w:rPr>
        <w:t xml:space="preserve"> eller NADH-cytokrom-b5-mangel</w:t>
      </w:r>
    </w:p>
    <w:p w14:paraId="599DCDD0" w14:textId="77777777" w:rsidR="00726C46" w:rsidRPr="00405F39" w:rsidRDefault="00726C46" w:rsidP="00543F70">
      <w:pPr>
        <w:pStyle w:val="Listeafsnit"/>
        <w:numPr>
          <w:ilvl w:val="0"/>
          <w:numId w:val="12"/>
        </w:numPr>
        <w:ind w:left="1276" w:hanging="425"/>
        <w:rPr>
          <w:sz w:val="24"/>
          <w:szCs w:val="24"/>
        </w:rPr>
      </w:pPr>
      <w:proofErr w:type="spellStart"/>
      <w:r w:rsidRPr="00405F39">
        <w:rPr>
          <w:sz w:val="24"/>
          <w:szCs w:val="24"/>
        </w:rPr>
        <w:t>Prolactinafhængige</w:t>
      </w:r>
      <w:proofErr w:type="spellEnd"/>
      <w:r w:rsidRPr="00405F39">
        <w:rPr>
          <w:sz w:val="24"/>
          <w:szCs w:val="24"/>
        </w:rPr>
        <w:t xml:space="preserve"> tumorer (f.eks. </w:t>
      </w:r>
      <w:proofErr w:type="spellStart"/>
      <w:r w:rsidRPr="00405F39">
        <w:rPr>
          <w:sz w:val="24"/>
          <w:szCs w:val="24"/>
        </w:rPr>
        <w:t>mammakarcinom</w:t>
      </w:r>
      <w:proofErr w:type="spellEnd"/>
      <w:r w:rsidRPr="00405F39">
        <w:rPr>
          <w:sz w:val="24"/>
          <w:szCs w:val="24"/>
        </w:rPr>
        <w:t xml:space="preserve">, </w:t>
      </w:r>
      <w:proofErr w:type="spellStart"/>
      <w:r w:rsidRPr="00405F39">
        <w:rPr>
          <w:sz w:val="24"/>
          <w:szCs w:val="24"/>
        </w:rPr>
        <w:t>hypofyseadenom</w:t>
      </w:r>
      <w:proofErr w:type="spellEnd"/>
      <w:r w:rsidRPr="00405F39">
        <w:rPr>
          <w:sz w:val="24"/>
          <w:szCs w:val="24"/>
        </w:rPr>
        <w:t>)</w:t>
      </w:r>
    </w:p>
    <w:p w14:paraId="15ED9D5A" w14:textId="77777777" w:rsidR="00726C46" w:rsidRPr="00405F39" w:rsidRDefault="00726C46" w:rsidP="00543F70">
      <w:pPr>
        <w:pStyle w:val="Listeafsnit"/>
        <w:numPr>
          <w:ilvl w:val="0"/>
          <w:numId w:val="12"/>
        </w:numPr>
        <w:ind w:left="1276" w:hanging="425"/>
        <w:rPr>
          <w:sz w:val="24"/>
          <w:szCs w:val="24"/>
        </w:rPr>
      </w:pPr>
      <w:r w:rsidRPr="00405F39">
        <w:rPr>
          <w:sz w:val="24"/>
          <w:szCs w:val="24"/>
        </w:rPr>
        <w:t>Børn under 1 år på grund af øget risiko for ekstrapyramidale forstyrrelser (se pkt. 4.4)</w:t>
      </w:r>
    </w:p>
    <w:p w14:paraId="7AB7C922" w14:textId="77777777" w:rsidR="009260DE" w:rsidRPr="00C41A7E" w:rsidRDefault="009260DE" w:rsidP="009260DE">
      <w:pPr>
        <w:tabs>
          <w:tab w:val="left" w:pos="851"/>
        </w:tabs>
        <w:ind w:left="851"/>
        <w:rPr>
          <w:sz w:val="24"/>
          <w:szCs w:val="24"/>
        </w:rPr>
      </w:pPr>
    </w:p>
    <w:p w14:paraId="77AC2352" w14:textId="77777777" w:rsidR="009260DE" w:rsidRPr="00C41A7E" w:rsidRDefault="009260DE" w:rsidP="009260DE">
      <w:pPr>
        <w:tabs>
          <w:tab w:val="left" w:pos="851"/>
        </w:tabs>
        <w:ind w:left="851" w:hanging="851"/>
        <w:rPr>
          <w:b/>
          <w:sz w:val="24"/>
          <w:szCs w:val="24"/>
        </w:rPr>
      </w:pPr>
      <w:r w:rsidRPr="00C41A7E">
        <w:rPr>
          <w:b/>
          <w:sz w:val="24"/>
          <w:szCs w:val="24"/>
        </w:rPr>
        <w:t>4.4</w:t>
      </w:r>
      <w:r w:rsidRPr="00C41A7E">
        <w:rPr>
          <w:b/>
          <w:sz w:val="24"/>
          <w:szCs w:val="24"/>
        </w:rPr>
        <w:tab/>
        <w:t>Særlige advarsler og forsigtighedsregler vedrørende brugen</w:t>
      </w:r>
    </w:p>
    <w:p w14:paraId="1FC14AA3" w14:textId="77777777" w:rsidR="00405F39" w:rsidRDefault="00405F39" w:rsidP="006207AB">
      <w:pPr>
        <w:ind w:left="851"/>
        <w:rPr>
          <w:noProof/>
          <w:sz w:val="24"/>
          <w:szCs w:val="24"/>
        </w:rPr>
      </w:pPr>
    </w:p>
    <w:p w14:paraId="5BE258B6" w14:textId="270902E8" w:rsidR="00726C46" w:rsidRPr="00405F39" w:rsidRDefault="00726C46" w:rsidP="006207AB">
      <w:pPr>
        <w:ind w:left="851"/>
        <w:rPr>
          <w:noProof/>
          <w:sz w:val="24"/>
          <w:szCs w:val="24"/>
          <w:u w:val="single"/>
        </w:rPr>
      </w:pPr>
      <w:r w:rsidRPr="00405F39">
        <w:rPr>
          <w:noProof/>
          <w:sz w:val="24"/>
          <w:szCs w:val="24"/>
          <w:u w:val="single"/>
        </w:rPr>
        <w:t>Neurologiske sygdomme</w:t>
      </w:r>
    </w:p>
    <w:p w14:paraId="15722DC3" w14:textId="77777777" w:rsidR="00726C46" w:rsidRPr="00C41A7E" w:rsidRDefault="00726C46" w:rsidP="006207AB">
      <w:pPr>
        <w:ind w:left="851"/>
        <w:rPr>
          <w:noProof/>
          <w:sz w:val="24"/>
          <w:szCs w:val="24"/>
        </w:rPr>
      </w:pPr>
      <w:r w:rsidRPr="00C41A7E">
        <w:rPr>
          <w:noProof/>
          <w:sz w:val="24"/>
          <w:szCs w:val="24"/>
        </w:rPr>
        <w:t>Ekstrapyramidale forstyrrelser kan forekomme, især hos børn og unge voksne og/eller ved anvendelse af høje doser. Disse reaktioner forekommer sædvanligvis i starten af behandlingen og kan forekomme efter en enkelt administration. Metoclopramid skal seponeres øjeblikkeligt i tilfælde af ekstrapyramidale symptomer. Disse er generelt fuldstændig reversible efter behandlingsophør, men kan kræve symptomatisk behandling (benzodiazepiner hos børn og/eller antikolinerge antiparkinson lægemidler hos voksne).</w:t>
      </w:r>
    </w:p>
    <w:p w14:paraId="58525E0A" w14:textId="77777777" w:rsidR="00726C46" w:rsidRPr="00C41A7E" w:rsidRDefault="00726C46" w:rsidP="006207AB">
      <w:pPr>
        <w:ind w:left="851"/>
        <w:rPr>
          <w:noProof/>
          <w:sz w:val="24"/>
          <w:szCs w:val="24"/>
        </w:rPr>
      </w:pPr>
    </w:p>
    <w:p w14:paraId="6AEE9B6B" w14:textId="77777777" w:rsidR="00726C46" w:rsidRPr="00C41A7E" w:rsidRDefault="00726C46" w:rsidP="006207AB">
      <w:pPr>
        <w:ind w:left="851"/>
        <w:rPr>
          <w:noProof/>
          <w:sz w:val="24"/>
          <w:szCs w:val="24"/>
        </w:rPr>
      </w:pPr>
      <w:r w:rsidRPr="00C41A7E">
        <w:rPr>
          <w:noProof/>
          <w:sz w:val="24"/>
          <w:szCs w:val="24"/>
        </w:rPr>
        <w:lastRenderedPageBreak/>
        <w:t>Tidsintervallet på mindst 6 timer, angivet i pkt. 4.2, skal overholdes mellem hver administration af metoclopramid for at undgå overdosering.</w:t>
      </w:r>
    </w:p>
    <w:p w14:paraId="5ECD4664" w14:textId="77777777" w:rsidR="00726C46" w:rsidRPr="00C41A7E" w:rsidRDefault="00726C46" w:rsidP="006207AB">
      <w:pPr>
        <w:ind w:left="851"/>
        <w:rPr>
          <w:noProof/>
          <w:sz w:val="24"/>
          <w:szCs w:val="24"/>
        </w:rPr>
      </w:pPr>
    </w:p>
    <w:p w14:paraId="0412412D" w14:textId="77777777" w:rsidR="00726C46" w:rsidRPr="00C41A7E" w:rsidRDefault="00726C46" w:rsidP="006207AB">
      <w:pPr>
        <w:ind w:left="851"/>
        <w:rPr>
          <w:noProof/>
          <w:sz w:val="24"/>
          <w:szCs w:val="24"/>
        </w:rPr>
      </w:pPr>
      <w:r w:rsidRPr="00C41A7E">
        <w:rPr>
          <w:noProof/>
          <w:sz w:val="24"/>
          <w:szCs w:val="24"/>
        </w:rPr>
        <w:t>Langvarig behandling med metoclopramid kan forårsage tardiv dyskinesi, potentielt irreversibelt, især hos ældre. Behandling bør ikke overskride 3 måneder på grund af risikoen for tardiv dyskinesi (se pkt. 4.8). Behandling skal seponeres, hvis der opstår kliniske tegn på tardiv dyskinesi.</w:t>
      </w:r>
    </w:p>
    <w:p w14:paraId="4B5AFC77" w14:textId="77777777" w:rsidR="00726C46" w:rsidRPr="00C41A7E" w:rsidRDefault="00726C46" w:rsidP="006207AB">
      <w:pPr>
        <w:ind w:left="851"/>
        <w:rPr>
          <w:noProof/>
          <w:sz w:val="24"/>
          <w:szCs w:val="24"/>
        </w:rPr>
      </w:pPr>
    </w:p>
    <w:p w14:paraId="7C944601" w14:textId="77777777" w:rsidR="00726C46" w:rsidRPr="00C41A7E" w:rsidRDefault="00726C46" w:rsidP="006207AB">
      <w:pPr>
        <w:ind w:left="851"/>
        <w:rPr>
          <w:noProof/>
          <w:sz w:val="24"/>
          <w:szCs w:val="24"/>
        </w:rPr>
      </w:pPr>
      <w:r w:rsidRPr="00C41A7E">
        <w:rPr>
          <w:noProof/>
          <w:sz w:val="24"/>
          <w:szCs w:val="24"/>
        </w:rPr>
        <w:t>Malignt neuroleptikasyndrom er rapporteret med metoclopramid i kombination med neuroleptika og med metoclopramid-monoterapi (se pkt. 4.8). Metoclopramid bør seponeres øjeblikkeligt i tilfælde af symptomer på malignt neuroleptikasyndrom, og passende behandling bør initieres.</w:t>
      </w:r>
    </w:p>
    <w:p w14:paraId="5F4EA054" w14:textId="77777777" w:rsidR="00726C46" w:rsidRPr="00C41A7E" w:rsidRDefault="00726C46" w:rsidP="006207AB">
      <w:pPr>
        <w:ind w:left="851"/>
        <w:rPr>
          <w:noProof/>
          <w:sz w:val="24"/>
          <w:szCs w:val="24"/>
        </w:rPr>
      </w:pPr>
    </w:p>
    <w:p w14:paraId="66699C0B" w14:textId="77777777" w:rsidR="00726C46" w:rsidRPr="00C41A7E" w:rsidRDefault="00726C46" w:rsidP="006207AB">
      <w:pPr>
        <w:ind w:left="851"/>
        <w:rPr>
          <w:noProof/>
          <w:sz w:val="24"/>
          <w:szCs w:val="24"/>
        </w:rPr>
      </w:pPr>
      <w:r w:rsidRPr="00C41A7E">
        <w:rPr>
          <w:noProof/>
          <w:sz w:val="24"/>
          <w:szCs w:val="24"/>
        </w:rPr>
        <w:t>Særlig forsigtighed skal udvises hos patienter med underliggende neurologiske tilstande samt hos patienter, der behandles med andre centralt virkende lægemidler (se pkt. 4.3).</w:t>
      </w:r>
    </w:p>
    <w:p w14:paraId="7C94308D" w14:textId="77777777" w:rsidR="00726C46" w:rsidRPr="00C41A7E" w:rsidRDefault="00726C46" w:rsidP="006207AB">
      <w:pPr>
        <w:ind w:left="851"/>
        <w:rPr>
          <w:noProof/>
          <w:sz w:val="24"/>
          <w:szCs w:val="24"/>
        </w:rPr>
      </w:pPr>
    </w:p>
    <w:p w14:paraId="5C179A44" w14:textId="77777777" w:rsidR="00726C46" w:rsidRPr="00C41A7E" w:rsidRDefault="00726C46" w:rsidP="006207AB">
      <w:pPr>
        <w:ind w:left="851"/>
        <w:rPr>
          <w:noProof/>
          <w:sz w:val="24"/>
          <w:szCs w:val="24"/>
        </w:rPr>
      </w:pPr>
      <w:r w:rsidRPr="00C41A7E">
        <w:rPr>
          <w:noProof/>
          <w:sz w:val="24"/>
          <w:szCs w:val="24"/>
        </w:rPr>
        <w:t>Symptomer på Parkinsons sygdom kan også blive forværret af metoclopramid.</w:t>
      </w:r>
    </w:p>
    <w:p w14:paraId="10860516" w14:textId="77777777" w:rsidR="00726C46" w:rsidRPr="00C41A7E" w:rsidRDefault="00726C46" w:rsidP="006207AB">
      <w:pPr>
        <w:ind w:left="851"/>
        <w:rPr>
          <w:noProof/>
          <w:sz w:val="24"/>
          <w:szCs w:val="24"/>
        </w:rPr>
      </w:pPr>
    </w:p>
    <w:p w14:paraId="007DE36E" w14:textId="77777777" w:rsidR="00726C46" w:rsidRPr="00405F39" w:rsidRDefault="00726C46" w:rsidP="006207AB">
      <w:pPr>
        <w:ind w:left="851"/>
        <w:rPr>
          <w:noProof/>
          <w:sz w:val="24"/>
          <w:szCs w:val="24"/>
          <w:u w:val="single"/>
        </w:rPr>
      </w:pPr>
      <w:r w:rsidRPr="00405F39">
        <w:rPr>
          <w:noProof/>
          <w:sz w:val="24"/>
          <w:szCs w:val="24"/>
          <w:u w:val="single"/>
        </w:rPr>
        <w:t xml:space="preserve">Methæmoglobinæmi </w:t>
      </w:r>
    </w:p>
    <w:p w14:paraId="788A9C8B" w14:textId="77777777" w:rsidR="00726C46" w:rsidRPr="00C41A7E" w:rsidRDefault="00726C46" w:rsidP="006207AB">
      <w:pPr>
        <w:ind w:left="851"/>
        <w:rPr>
          <w:noProof/>
          <w:sz w:val="24"/>
          <w:szCs w:val="24"/>
        </w:rPr>
      </w:pPr>
      <w:r w:rsidRPr="00C41A7E">
        <w:rPr>
          <w:noProof/>
          <w:sz w:val="24"/>
          <w:szCs w:val="24"/>
        </w:rPr>
        <w:t>Methæmoglobinæmi, som kan være relateret til NADH-cytokrom-b5-reduktasemangel, er rapporteret. I sådanne tilfælde skal metoclopramid seponeres øjeblikkeligt, og permanent og passende foranstaltninger indledes (såsom behandling med methylthionin).</w:t>
      </w:r>
    </w:p>
    <w:p w14:paraId="78A4796E" w14:textId="77777777" w:rsidR="00726C46" w:rsidRPr="00C41A7E" w:rsidRDefault="00726C46" w:rsidP="006207AB">
      <w:pPr>
        <w:ind w:left="851"/>
        <w:rPr>
          <w:noProof/>
          <w:sz w:val="24"/>
          <w:szCs w:val="24"/>
        </w:rPr>
      </w:pPr>
    </w:p>
    <w:p w14:paraId="58D35CC8" w14:textId="77777777" w:rsidR="00726C46" w:rsidRPr="00405F39" w:rsidRDefault="00726C46" w:rsidP="006207AB">
      <w:pPr>
        <w:ind w:left="851"/>
        <w:rPr>
          <w:noProof/>
          <w:sz w:val="24"/>
          <w:szCs w:val="24"/>
          <w:u w:val="single"/>
        </w:rPr>
      </w:pPr>
      <w:r w:rsidRPr="00405F39">
        <w:rPr>
          <w:noProof/>
          <w:sz w:val="24"/>
          <w:szCs w:val="24"/>
          <w:u w:val="single"/>
        </w:rPr>
        <w:t>Hjertesygdomme</w:t>
      </w:r>
    </w:p>
    <w:p w14:paraId="3F9B4D2E" w14:textId="77777777" w:rsidR="00726C46" w:rsidRPr="00C41A7E" w:rsidRDefault="00726C46" w:rsidP="006207AB">
      <w:pPr>
        <w:ind w:left="851"/>
        <w:rPr>
          <w:noProof/>
          <w:sz w:val="24"/>
          <w:szCs w:val="24"/>
        </w:rPr>
      </w:pPr>
      <w:r w:rsidRPr="00C41A7E">
        <w:rPr>
          <w:noProof/>
          <w:sz w:val="24"/>
          <w:szCs w:val="24"/>
        </w:rPr>
        <w:t>Der er rapporteret om alvorlige kardiovaskulære bivirkninger, herunder tilfælde af kredsløbskollaps, svær bradykardi, hjertestop og QT-forlængelse efter administration af metoclopramid ved injektion, især ved intravenøs administration (se pkt. 4.8).</w:t>
      </w:r>
    </w:p>
    <w:p w14:paraId="43ECC676" w14:textId="77777777" w:rsidR="00726C46" w:rsidRPr="00C41A7E" w:rsidRDefault="00726C46" w:rsidP="006207AB">
      <w:pPr>
        <w:ind w:left="851"/>
        <w:rPr>
          <w:noProof/>
          <w:sz w:val="24"/>
          <w:szCs w:val="24"/>
        </w:rPr>
      </w:pPr>
    </w:p>
    <w:p w14:paraId="6D867428" w14:textId="55591D37" w:rsidR="00726C46" w:rsidRPr="00C41A7E" w:rsidRDefault="00726C46" w:rsidP="006207AB">
      <w:pPr>
        <w:ind w:left="851"/>
        <w:rPr>
          <w:noProof/>
          <w:sz w:val="24"/>
          <w:szCs w:val="24"/>
        </w:rPr>
      </w:pPr>
      <w:r w:rsidRPr="00C41A7E">
        <w:rPr>
          <w:noProof/>
          <w:sz w:val="24"/>
          <w:szCs w:val="24"/>
        </w:rPr>
        <w:t>Særlig forsigtighed bør udvises, når der gives metoclopramid  til patienter med ledningsforstyrrelser (herunder QT-forlængelse), patienter med ukorrigerede elektrolyt-forstyrrelser, bradykardi og til patienter, der tager andre lægemidler, der vides at forlænge QT-intervallet, især intravenøst til den ældre population.</w:t>
      </w:r>
    </w:p>
    <w:p w14:paraId="5A2313D2" w14:textId="77777777" w:rsidR="00726C46" w:rsidRPr="00C41A7E" w:rsidRDefault="00726C46" w:rsidP="006207AB">
      <w:pPr>
        <w:ind w:left="851"/>
        <w:rPr>
          <w:noProof/>
          <w:sz w:val="24"/>
          <w:szCs w:val="24"/>
        </w:rPr>
      </w:pPr>
    </w:p>
    <w:p w14:paraId="0EBC51B5" w14:textId="77777777" w:rsidR="00726C46" w:rsidRPr="00C41A7E" w:rsidRDefault="00726C46" w:rsidP="006207AB">
      <w:pPr>
        <w:ind w:left="851"/>
        <w:rPr>
          <w:noProof/>
          <w:sz w:val="24"/>
          <w:szCs w:val="24"/>
        </w:rPr>
      </w:pPr>
      <w:r w:rsidRPr="00C41A7E">
        <w:rPr>
          <w:noProof/>
          <w:sz w:val="24"/>
          <w:szCs w:val="24"/>
        </w:rPr>
        <w:t>Intravenøse doser bør indgives som langsom bolus (over mindst 3 minutter) for at reducere risikoen for bivirkninger (f.eks. hypotension, akatisi).</w:t>
      </w:r>
    </w:p>
    <w:p w14:paraId="69974E3D" w14:textId="77777777" w:rsidR="00726C46" w:rsidRPr="00C41A7E" w:rsidRDefault="00726C46" w:rsidP="006207AB">
      <w:pPr>
        <w:ind w:left="851"/>
        <w:rPr>
          <w:noProof/>
          <w:sz w:val="24"/>
          <w:szCs w:val="24"/>
        </w:rPr>
      </w:pPr>
    </w:p>
    <w:p w14:paraId="6CA170EB" w14:textId="77777777" w:rsidR="00726C46" w:rsidRPr="00405F39" w:rsidRDefault="00726C46" w:rsidP="006207AB">
      <w:pPr>
        <w:ind w:left="851"/>
        <w:rPr>
          <w:noProof/>
          <w:sz w:val="24"/>
          <w:szCs w:val="24"/>
          <w:u w:val="single"/>
        </w:rPr>
      </w:pPr>
      <w:r w:rsidRPr="00405F39">
        <w:rPr>
          <w:noProof/>
          <w:sz w:val="24"/>
          <w:szCs w:val="24"/>
          <w:u w:val="single"/>
        </w:rPr>
        <w:t xml:space="preserve">Nedsat nyre- og leverfunktion </w:t>
      </w:r>
    </w:p>
    <w:p w14:paraId="0875E3C1" w14:textId="77777777" w:rsidR="00726C46" w:rsidRPr="00C41A7E" w:rsidRDefault="00726C46" w:rsidP="006207AB">
      <w:pPr>
        <w:ind w:left="851"/>
        <w:rPr>
          <w:noProof/>
          <w:sz w:val="24"/>
          <w:szCs w:val="24"/>
        </w:rPr>
      </w:pPr>
      <w:r w:rsidRPr="00C41A7E">
        <w:rPr>
          <w:noProof/>
          <w:sz w:val="24"/>
          <w:szCs w:val="24"/>
        </w:rPr>
        <w:t>Dosisreduktion anbefales hos patienter med nedsat nyrefunktion eller med svært nedsat leverfunktion (se pkt. 4.2).</w:t>
      </w:r>
    </w:p>
    <w:p w14:paraId="2DAF2AAC" w14:textId="77777777" w:rsidR="00726C46" w:rsidRPr="00C41A7E" w:rsidRDefault="00726C46" w:rsidP="006207AB">
      <w:pPr>
        <w:ind w:left="851"/>
        <w:rPr>
          <w:noProof/>
          <w:sz w:val="24"/>
          <w:szCs w:val="24"/>
        </w:rPr>
      </w:pPr>
    </w:p>
    <w:p w14:paraId="3404CDDE" w14:textId="77777777" w:rsidR="00726C46" w:rsidRPr="00405F39" w:rsidRDefault="00726C46" w:rsidP="006207AB">
      <w:pPr>
        <w:ind w:left="851"/>
        <w:rPr>
          <w:noProof/>
          <w:sz w:val="24"/>
          <w:szCs w:val="24"/>
          <w:u w:val="single"/>
        </w:rPr>
      </w:pPr>
      <w:r w:rsidRPr="00405F39">
        <w:rPr>
          <w:noProof/>
          <w:sz w:val="24"/>
          <w:szCs w:val="24"/>
          <w:u w:val="single"/>
        </w:rPr>
        <w:t>Atovaquon</w:t>
      </w:r>
    </w:p>
    <w:p w14:paraId="375A9F22" w14:textId="77777777" w:rsidR="00726C46" w:rsidRPr="00C41A7E" w:rsidRDefault="00726C46" w:rsidP="006207AB">
      <w:pPr>
        <w:ind w:left="851"/>
        <w:rPr>
          <w:noProof/>
          <w:sz w:val="24"/>
          <w:szCs w:val="24"/>
        </w:rPr>
      </w:pPr>
      <w:r w:rsidRPr="00C41A7E">
        <w:rPr>
          <w:noProof/>
          <w:sz w:val="24"/>
          <w:szCs w:val="24"/>
        </w:rPr>
        <w:t>Samtidig behandling med atovaquon anbefales ikke (se pkt. 4.5).</w:t>
      </w:r>
    </w:p>
    <w:p w14:paraId="2A979AE4" w14:textId="77777777" w:rsidR="00726C46" w:rsidRPr="00C41A7E" w:rsidRDefault="00726C46" w:rsidP="006207AB">
      <w:pPr>
        <w:ind w:left="851"/>
        <w:rPr>
          <w:noProof/>
          <w:sz w:val="24"/>
          <w:szCs w:val="24"/>
        </w:rPr>
      </w:pPr>
    </w:p>
    <w:p w14:paraId="151DF7DE" w14:textId="77777777" w:rsidR="00726C46" w:rsidRPr="00C41A7E" w:rsidRDefault="00726C46" w:rsidP="006207AB">
      <w:pPr>
        <w:ind w:left="851"/>
        <w:rPr>
          <w:sz w:val="24"/>
          <w:szCs w:val="24"/>
        </w:rPr>
      </w:pPr>
      <w:r w:rsidRPr="00C41A7E">
        <w:rPr>
          <w:noProof/>
          <w:sz w:val="24"/>
          <w:szCs w:val="24"/>
        </w:rPr>
        <w:t>Dette lægemiddel indeholder mindre end 1 mmol (23 mg) natrium pr. ampul, dvs. det er i det væsentlige natriumfrit.</w:t>
      </w:r>
    </w:p>
    <w:p w14:paraId="5BE97105" w14:textId="77777777" w:rsidR="009260DE" w:rsidRPr="00C41A7E" w:rsidRDefault="009260DE" w:rsidP="009260DE">
      <w:pPr>
        <w:tabs>
          <w:tab w:val="left" w:pos="851"/>
        </w:tabs>
        <w:ind w:left="851"/>
        <w:rPr>
          <w:sz w:val="24"/>
          <w:szCs w:val="24"/>
        </w:rPr>
      </w:pPr>
    </w:p>
    <w:p w14:paraId="25A1BEDC" w14:textId="77777777" w:rsidR="009260DE" w:rsidRPr="00C41A7E" w:rsidRDefault="009260DE" w:rsidP="009260DE">
      <w:pPr>
        <w:tabs>
          <w:tab w:val="left" w:pos="851"/>
        </w:tabs>
        <w:ind w:left="851" w:hanging="851"/>
        <w:rPr>
          <w:b/>
          <w:sz w:val="24"/>
          <w:szCs w:val="24"/>
        </w:rPr>
      </w:pPr>
      <w:r w:rsidRPr="00C41A7E">
        <w:rPr>
          <w:b/>
          <w:sz w:val="24"/>
          <w:szCs w:val="24"/>
        </w:rPr>
        <w:t>4.5</w:t>
      </w:r>
      <w:r w:rsidRPr="00C41A7E">
        <w:rPr>
          <w:b/>
          <w:sz w:val="24"/>
          <w:szCs w:val="24"/>
        </w:rPr>
        <w:tab/>
        <w:t>Interaktion med andre lægemidler og andre former for interaktion</w:t>
      </w:r>
    </w:p>
    <w:p w14:paraId="0421C425" w14:textId="77777777" w:rsidR="00405F39" w:rsidRDefault="00405F39" w:rsidP="006207AB">
      <w:pPr>
        <w:ind w:left="851"/>
        <w:rPr>
          <w:sz w:val="24"/>
          <w:szCs w:val="24"/>
        </w:rPr>
      </w:pPr>
    </w:p>
    <w:p w14:paraId="3E3247B0" w14:textId="56C2A431" w:rsidR="00726C46" w:rsidRPr="00405F39" w:rsidRDefault="00726C46" w:rsidP="006207AB">
      <w:pPr>
        <w:ind w:left="851"/>
        <w:rPr>
          <w:sz w:val="24"/>
          <w:szCs w:val="24"/>
          <w:u w:val="single"/>
        </w:rPr>
      </w:pPr>
      <w:r w:rsidRPr="00405F39">
        <w:rPr>
          <w:sz w:val="24"/>
          <w:szCs w:val="24"/>
          <w:u w:val="single"/>
        </w:rPr>
        <w:t xml:space="preserve">Kontraindicerede kombinationer </w:t>
      </w:r>
    </w:p>
    <w:p w14:paraId="29F50CB8" w14:textId="77777777" w:rsidR="00726C46" w:rsidRPr="00C41A7E" w:rsidRDefault="00726C46" w:rsidP="006207AB">
      <w:pPr>
        <w:ind w:left="851"/>
        <w:rPr>
          <w:sz w:val="24"/>
          <w:szCs w:val="24"/>
        </w:rPr>
      </w:pPr>
      <w:proofErr w:type="spellStart"/>
      <w:r w:rsidRPr="00C41A7E">
        <w:rPr>
          <w:sz w:val="24"/>
          <w:szCs w:val="24"/>
        </w:rPr>
        <w:t>Levodopa</w:t>
      </w:r>
      <w:proofErr w:type="spellEnd"/>
      <w:r w:rsidRPr="00C41A7E">
        <w:rPr>
          <w:sz w:val="24"/>
          <w:szCs w:val="24"/>
        </w:rPr>
        <w:t xml:space="preserve"> eller </w:t>
      </w:r>
      <w:proofErr w:type="spellStart"/>
      <w:r w:rsidRPr="00C41A7E">
        <w:rPr>
          <w:sz w:val="24"/>
          <w:szCs w:val="24"/>
        </w:rPr>
        <w:t>dopaminerge</w:t>
      </w:r>
      <w:proofErr w:type="spellEnd"/>
      <w:r w:rsidRPr="00C41A7E">
        <w:rPr>
          <w:sz w:val="24"/>
          <w:szCs w:val="24"/>
        </w:rPr>
        <w:t xml:space="preserve"> agonister og </w:t>
      </w:r>
      <w:proofErr w:type="spellStart"/>
      <w:r w:rsidRPr="00C41A7E">
        <w:rPr>
          <w:sz w:val="24"/>
          <w:szCs w:val="24"/>
        </w:rPr>
        <w:t>metoclopramid</w:t>
      </w:r>
      <w:proofErr w:type="spellEnd"/>
      <w:r w:rsidRPr="00C41A7E">
        <w:rPr>
          <w:sz w:val="24"/>
          <w:szCs w:val="24"/>
        </w:rPr>
        <w:t xml:space="preserve"> udviser en gensidig antagonisme (se pkt. 4.3).</w:t>
      </w:r>
    </w:p>
    <w:p w14:paraId="38F5CA42" w14:textId="77777777" w:rsidR="00726C46" w:rsidRPr="00C41A7E" w:rsidRDefault="00726C46" w:rsidP="006207AB">
      <w:pPr>
        <w:ind w:left="851"/>
        <w:rPr>
          <w:sz w:val="24"/>
          <w:szCs w:val="24"/>
        </w:rPr>
      </w:pPr>
    </w:p>
    <w:p w14:paraId="485D1088" w14:textId="77777777" w:rsidR="00726C46" w:rsidRPr="00405F39" w:rsidRDefault="00726C46" w:rsidP="006207AB">
      <w:pPr>
        <w:ind w:left="851"/>
        <w:rPr>
          <w:sz w:val="24"/>
          <w:szCs w:val="24"/>
          <w:u w:val="single"/>
        </w:rPr>
      </w:pPr>
      <w:r w:rsidRPr="00405F39">
        <w:rPr>
          <w:sz w:val="24"/>
          <w:szCs w:val="24"/>
          <w:u w:val="single"/>
        </w:rPr>
        <w:t>Kombination, der bør undgås</w:t>
      </w:r>
    </w:p>
    <w:p w14:paraId="355000FB" w14:textId="77777777" w:rsidR="00726C46" w:rsidRPr="00C41A7E" w:rsidRDefault="00726C46" w:rsidP="006207AB">
      <w:pPr>
        <w:ind w:left="851"/>
        <w:rPr>
          <w:sz w:val="24"/>
          <w:szCs w:val="24"/>
        </w:rPr>
      </w:pPr>
      <w:r w:rsidRPr="00C41A7E">
        <w:rPr>
          <w:sz w:val="24"/>
          <w:szCs w:val="24"/>
        </w:rPr>
        <w:t xml:space="preserve">Alkohol forstærker den sedative effekt af </w:t>
      </w:r>
      <w:proofErr w:type="spellStart"/>
      <w:r w:rsidRPr="00C41A7E">
        <w:rPr>
          <w:sz w:val="24"/>
          <w:szCs w:val="24"/>
        </w:rPr>
        <w:t>metoclopramid</w:t>
      </w:r>
      <w:proofErr w:type="spellEnd"/>
      <w:r w:rsidRPr="00C41A7E">
        <w:rPr>
          <w:sz w:val="24"/>
          <w:szCs w:val="24"/>
        </w:rPr>
        <w:t>.</w:t>
      </w:r>
    </w:p>
    <w:p w14:paraId="59427346" w14:textId="77777777" w:rsidR="00726C46" w:rsidRPr="00C41A7E" w:rsidRDefault="00726C46" w:rsidP="006207AB">
      <w:pPr>
        <w:ind w:left="851"/>
        <w:rPr>
          <w:sz w:val="24"/>
          <w:szCs w:val="24"/>
        </w:rPr>
      </w:pPr>
    </w:p>
    <w:p w14:paraId="654D3951" w14:textId="77777777" w:rsidR="00726C46" w:rsidRPr="00C41A7E" w:rsidRDefault="00726C46" w:rsidP="006207AB">
      <w:pPr>
        <w:ind w:left="851"/>
        <w:rPr>
          <w:i/>
          <w:iCs/>
          <w:sz w:val="24"/>
          <w:szCs w:val="24"/>
        </w:rPr>
      </w:pPr>
      <w:proofErr w:type="spellStart"/>
      <w:r w:rsidRPr="00C41A7E">
        <w:rPr>
          <w:i/>
          <w:iCs/>
          <w:sz w:val="24"/>
          <w:szCs w:val="24"/>
        </w:rPr>
        <w:t>Atovaquon</w:t>
      </w:r>
      <w:proofErr w:type="spellEnd"/>
    </w:p>
    <w:p w14:paraId="5E9CC00D" w14:textId="77777777" w:rsidR="00726C46" w:rsidRPr="00C41A7E" w:rsidRDefault="00726C46" w:rsidP="006207AB">
      <w:pPr>
        <w:ind w:left="851"/>
        <w:rPr>
          <w:sz w:val="24"/>
          <w:szCs w:val="24"/>
        </w:rPr>
      </w:pPr>
      <w:r w:rsidRPr="00C41A7E">
        <w:rPr>
          <w:sz w:val="24"/>
          <w:szCs w:val="24"/>
        </w:rPr>
        <w:t xml:space="preserve">Samtidig behandling med </w:t>
      </w:r>
      <w:proofErr w:type="spellStart"/>
      <w:r w:rsidRPr="00C41A7E">
        <w:rPr>
          <w:sz w:val="24"/>
          <w:szCs w:val="24"/>
        </w:rPr>
        <w:t>metoclopramid</w:t>
      </w:r>
      <w:proofErr w:type="spellEnd"/>
      <w:r w:rsidRPr="00C41A7E">
        <w:rPr>
          <w:sz w:val="24"/>
          <w:szCs w:val="24"/>
        </w:rPr>
        <w:t xml:space="preserve"> er blevet forbundet med et signifikant fald (ca. 50 %) i plasmakoncentrationer af </w:t>
      </w:r>
      <w:proofErr w:type="spellStart"/>
      <w:r w:rsidRPr="00C41A7E">
        <w:rPr>
          <w:sz w:val="24"/>
          <w:szCs w:val="24"/>
        </w:rPr>
        <w:t>atovaquon</w:t>
      </w:r>
      <w:proofErr w:type="spellEnd"/>
      <w:r w:rsidRPr="00C41A7E">
        <w:rPr>
          <w:sz w:val="24"/>
          <w:szCs w:val="24"/>
        </w:rPr>
        <w:t>. Denne kombination bør undgås (se pkt. 4.4).</w:t>
      </w:r>
    </w:p>
    <w:p w14:paraId="3E809494" w14:textId="77777777" w:rsidR="00726C46" w:rsidRPr="00C41A7E" w:rsidRDefault="00726C46" w:rsidP="006207AB">
      <w:pPr>
        <w:ind w:left="851"/>
        <w:rPr>
          <w:sz w:val="24"/>
          <w:szCs w:val="24"/>
        </w:rPr>
      </w:pPr>
    </w:p>
    <w:p w14:paraId="65D0D425" w14:textId="77777777" w:rsidR="00726C46" w:rsidRPr="00405F39" w:rsidRDefault="00726C46" w:rsidP="006207AB">
      <w:pPr>
        <w:ind w:left="851"/>
        <w:rPr>
          <w:sz w:val="24"/>
          <w:szCs w:val="24"/>
          <w:u w:val="single"/>
        </w:rPr>
      </w:pPr>
      <w:r w:rsidRPr="00405F39">
        <w:rPr>
          <w:sz w:val="24"/>
          <w:szCs w:val="24"/>
          <w:u w:val="single"/>
        </w:rPr>
        <w:t>Kombinationer, hvor der skal tages hensyn</w:t>
      </w:r>
    </w:p>
    <w:p w14:paraId="17677C3D" w14:textId="77777777" w:rsidR="00726C46" w:rsidRPr="00C41A7E" w:rsidRDefault="00726C46" w:rsidP="006207AB">
      <w:pPr>
        <w:ind w:left="851"/>
        <w:rPr>
          <w:sz w:val="24"/>
          <w:szCs w:val="24"/>
        </w:rPr>
      </w:pPr>
      <w:r w:rsidRPr="00C41A7E">
        <w:rPr>
          <w:sz w:val="24"/>
          <w:szCs w:val="24"/>
        </w:rPr>
        <w:t xml:space="preserve">På grund af </w:t>
      </w:r>
      <w:proofErr w:type="spellStart"/>
      <w:r w:rsidRPr="00C41A7E">
        <w:rPr>
          <w:sz w:val="24"/>
          <w:szCs w:val="24"/>
        </w:rPr>
        <w:t>metoclopramids</w:t>
      </w:r>
      <w:proofErr w:type="spellEnd"/>
      <w:r w:rsidRPr="00C41A7E">
        <w:rPr>
          <w:sz w:val="24"/>
          <w:szCs w:val="24"/>
        </w:rPr>
        <w:t xml:space="preserve"> prokinetiske virkning kan absorptionen af visse lægemidler ændres (f.eks. </w:t>
      </w:r>
      <w:proofErr w:type="spellStart"/>
      <w:r w:rsidRPr="00C41A7E">
        <w:rPr>
          <w:sz w:val="24"/>
          <w:szCs w:val="24"/>
        </w:rPr>
        <w:t>cimetidin</w:t>
      </w:r>
      <w:proofErr w:type="spellEnd"/>
      <w:r w:rsidRPr="00C41A7E">
        <w:rPr>
          <w:sz w:val="24"/>
          <w:szCs w:val="24"/>
        </w:rPr>
        <w:t xml:space="preserve">, paracetamol, antibiotika, </w:t>
      </w:r>
      <w:proofErr w:type="spellStart"/>
      <w:r w:rsidRPr="00C41A7E">
        <w:rPr>
          <w:sz w:val="24"/>
          <w:szCs w:val="24"/>
        </w:rPr>
        <w:t>lithium</w:t>
      </w:r>
      <w:proofErr w:type="spellEnd"/>
      <w:r w:rsidRPr="00C41A7E">
        <w:rPr>
          <w:sz w:val="24"/>
          <w:szCs w:val="24"/>
        </w:rPr>
        <w:t>).</w:t>
      </w:r>
    </w:p>
    <w:p w14:paraId="7816001B" w14:textId="77777777" w:rsidR="00726C46" w:rsidRPr="00C41A7E" w:rsidRDefault="00726C46" w:rsidP="006207AB">
      <w:pPr>
        <w:ind w:left="851"/>
        <w:rPr>
          <w:sz w:val="24"/>
          <w:szCs w:val="24"/>
        </w:rPr>
      </w:pPr>
    </w:p>
    <w:p w14:paraId="7F0F04BD" w14:textId="77777777" w:rsidR="00726C46" w:rsidRPr="00C41A7E" w:rsidRDefault="00726C46" w:rsidP="006207AB">
      <w:pPr>
        <w:ind w:left="851"/>
        <w:rPr>
          <w:sz w:val="24"/>
          <w:szCs w:val="24"/>
        </w:rPr>
      </w:pPr>
      <w:r w:rsidRPr="00C41A7E">
        <w:rPr>
          <w:sz w:val="24"/>
          <w:szCs w:val="24"/>
        </w:rPr>
        <w:t xml:space="preserve">Absorption og effekt af orale præventionsmidler kan reduceres, hvis de administreres samtidig med </w:t>
      </w:r>
      <w:proofErr w:type="spellStart"/>
      <w:r w:rsidRPr="00C41A7E">
        <w:rPr>
          <w:sz w:val="24"/>
          <w:szCs w:val="24"/>
        </w:rPr>
        <w:t>metoclopramid</w:t>
      </w:r>
      <w:proofErr w:type="spellEnd"/>
      <w:r w:rsidRPr="00C41A7E">
        <w:rPr>
          <w:sz w:val="24"/>
          <w:szCs w:val="24"/>
        </w:rPr>
        <w:t>. Yderligere præventionsforanstaltninger anbefales.</w:t>
      </w:r>
    </w:p>
    <w:p w14:paraId="7E35CD74" w14:textId="77777777" w:rsidR="00726C46" w:rsidRPr="00C41A7E" w:rsidRDefault="00726C46" w:rsidP="006207AB">
      <w:pPr>
        <w:ind w:left="851"/>
        <w:rPr>
          <w:sz w:val="24"/>
          <w:szCs w:val="24"/>
        </w:rPr>
      </w:pPr>
    </w:p>
    <w:p w14:paraId="7117D2A6" w14:textId="77777777" w:rsidR="00726C46" w:rsidRPr="00C41A7E" w:rsidRDefault="00726C46" w:rsidP="006207AB">
      <w:pPr>
        <w:ind w:left="851"/>
        <w:rPr>
          <w:sz w:val="24"/>
          <w:szCs w:val="24"/>
        </w:rPr>
      </w:pPr>
      <w:r w:rsidRPr="00C41A7E">
        <w:rPr>
          <w:sz w:val="24"/>
          <w:szCs w:val="24"/>
        </w:rPr>
        <w:t xml:space="preserve">En gensidig svækkelse af virkningen med </w:t>
      </w:r>
      <w:proofErr w:type="spellStart"/>
      <w:r w:rsidRPr="00C41A7E">
        <w:rPr>
          <w:sz w:val="24"/>
          <w:szCs w:val="24"/>
        </w:rPr>
        <w:t>sympatomimetika</w:t>
      </w:r>
      <w:proofErr w:type="spellEnd"/>
      <w:r w:rsidRPr="00C41A7E">
        <w:rPr>
          <w:sz w:val="24"/>
          <w:szCs w:val="24"/>
        </w:rPr>
        <w:t xml:space="preserve"> og MAO-</w:t>
      </w:r>
      <w:proofErr w:type="spellStart"/>
      <w:r w:rsidRPr="00C41A7E">
        <w:rPr>
          <w:sz w:val="24"/>
          <w:szCs w:val="24"/>
        </w:rPr>
        <w:t>hæmmere</w:t>
      </w:r>
      <w:proofErr w:type="spellEnd"/>
      <w:r w:rsidRPr="00C41A7E">
        <w:rPr>
          <w:sz w:val="24"/>
          <w:szCs w:val="24"/>
        </w:rPr>
        <w:t xml:space="preserve"> er også mulig.</w:t>
      </w:r>
    </w:p>
    <w:p w14:paraId="39F91FB8" w14:textId="77777777" w:rsidR="00726C46" w:rsidRPr="00C41A7E" w:rsidRDefault="00726C46" w:rsidP="006207AB">
      <w:pPr>
        <w:ind w:left="851"/>
        <w:rPr>
          <w:sz w:val="24"/>
          <w:szCs w:val="24"/>
        </w:rPr>
      </w:pPr>
    </w:p>
    <w:p w14:paraId="2542A199" w14:textId="77777777" w:rsidR="00726C46" w:rsidRPr="00C41A7E" w:rsidRDefault="00726C46" w:rsidP="006207AB">
      <w:pPr>
        <w:ind w:left="851"/>
        <w:rPr>
          <w:i/>
          <w:iCs/>
          <w:sz w:val="24"/>
          <w:szCs w:val="24"/>
        </w:rPr>
      </w:pPr>
      <w:proofErr w:type="spellStart"/>
      <w:r w:rsidRPr="00C41A7E">
        <w:rPr>
          <w:i/>
          <w:iCs/>
          <w:sz w:val="24"/>
          <w:szCs w:val="24"/>
        </w:rPr>
        <w:t>Antikolinergika</w:t>
      </w:r>
      <w:proofErr w:type="spellEnd"/>
      <w:r w:rsidRPr="00C41A7E">
        <w:rPr>
          <w:i/>
          <w:iCs/>
          <w:sz w:val="24"/>
          <w:szCs w:val="24"/>
        </w:rPr>
        <w:t xml:space="preserve"> og morfinderivater</w:t>
      </w:r>
    </w:p>
    <w:p w14:paraId="083E3690" w14:textId="41E117E6" w:rsidR="00726C46" w:rsidRPr="00C41A7E" w:rsidRDefault="00726C46" w:rsidP="006207AB">
      <w:pPr>
        <w:ind w:left="851"/>
        <w:rPr>
          <w:sz w:val="24"/>
          <w:szCs w:val="24"/>
        </w:rPr>
      </w:pPr>
      <w:proofErr w:type="spellStart"/>
      <w:r w:rsidRPr="00C41A7E">
        <w:rPr>
          <w:sz w:val="24"/>
          <w:szCs w:val="24"/>
        </w:rPr>
        <w:t>Antikolinergika</w:t>
      </w:r>
      <w:proofErr w:type="spellEnd"/>
      <w:r w:rsidRPr="00C41A7E">
        <w:rPr>
          <w:sz w:val="24"/>
          <w:szCs w:val="24"/>
        </w:rPr>
        <w:t xml:space="preserve"> og </w:t>
      </w:r>
      <w:proofErr w:type="spellStart"/>
      <w:r w:rsidRPr="00C41A7E">
        <w:rPr>
          <w:sz w:val="24"/>
          <w:szCs w:val="24"/>
        </w:rPr>
        <w:t>morphinderivater</w:t>
      </w:r>
      <w:proofErr w:type="spellEnd"/>
      <w:r w:rsidRPr="00C41A7E">
        <w:rPr>
          <w:sz w:val="24"/>
          <w:szCs w:val="24"/>
        </w:rPr>
        <w:t xml:space="preserve"> kan begge have en gensidig antagonisme med </w:t>
      </w:r>
      <w:proofErr w:type="spellStart"/>
      <w:r w:rsidRPr="00C41A7E">
        <w:rPr>
          <w:sz w:val="24"/>
          <w:szCs w:val="24"/>
        </w:rPr>
        <w:t>metoclopramid</w:t>
      </w:r>
      <w:proofErr w:type="spellEnd"/>
      <w:r w:rsidRPr="00C41A7E">
        <w:rPr>
          <w:sz w:val="24"/>
          <w:szCs w:val="24"/>
        </w:rPr>
        <w:t xml:space="preserve"> på mave-tarm</w:t>
      </w:r>
      <w:r w:rsidR="00543F70">
        <w:rPr>
          <w:sz w:val="24"/>
          <w:szCs w:val="24"/>
        </w:rPr>
        <w:t>-</w:t>
      </w:r>
      <w:r w:rsidRPr="00C41A7E">
        <w:rPr>
          <w:sz w:val="24"/>
          <w:szCs w:val="24"/>
        </w:rPr>
        <w:t xml:space="preserve">kanalens </w:t>
      </w:r>
      <w:proofErr w:type="spellStart"/>
      <w:r w:rsidRPr="00C41A7E">
        <w:rPr>
          <w:sz w:val="24"/>
          <w:szCs w:val="24"/>
        </w:rPr>
        <w:t>motilitet</w:t>
      </w:r>
      <w:proofErr w:type="spellEnd"/>
      <w:r w:rsidRPr="00C41A7E">
        <w:rPr>
          <w:sz w:val="24"/>
          <w:szCs w:val="24"/>
        </w:rPr>
        <w:t>.</w:t>
      </w:r>
    </w:p>
    <w:p w14:paraId="55BFECD5" w14:textId="77777777" w:rsidR="00726C46" w:rsidRPr="00C41A7E" w:rsidRDefault="00726C46" w:rsidP="006207AB">
      <w:pPr>
        <w:ind w:left="851"/>
        <w:rPr>
          <w:sz w:val="24"/>
          <w:szCs w:val="24"/>
        </w:rPr>
      </w:pPr>
    </w:p>
    <w:p w14:paraId="3EED7BE6" w14:textId="77777777" w:rsidR="00726C46" w:rsidRPr="00C41A7E" w:rsidRDefault="00726C46" w:rsidP="006207AB">
      <w:pPr>
        <w:ind w:left="851"/>
        <w:rPr>
          <w:i/>
          <w:iCs/>
          <w:sz w:val="24"/>
          <w:szCs w:val="24"/>
        </w:rPr>
      </w:pPr>
      <w:r w:rsidRPr="00C41A7E">
        <w:rPr>
          <w:i/>
          <w:iCs/>
          <w:sz w:val="24"/>
          <w:szCs w:val="24"/>
        </w:rPr>
        <w:t>CNS-supprimerende stoffer (</w:t>
      </w:r>
      <w:proofErr w:type="spellStart"/>
      <w:r w:rsidRPr="00C41A7E">
        <w:rPr>
          <w:i/>
          <w:iCs/>
          <w:sz w:val="24"/>
          <w:szCs w:val="24"/>
        </w:rPr>
        <w:t>morphinderivater</w:t>
      </w:r>
      <w:proofErr w:type="spellEnd"/>
      <w:r w:rsidRPr="00C41A7E">
        <w:rPr>
          <w:i/>
          <w:iCs/>
          <w:sz w:val="24"/>
          <w:szCs w:val="24"/>
        </w:rPr>
        <w:t xml:space="preserve">, </w:t>
      </w:r>
      <w:proofErr w:type="spellStart"/>
      <w:r w:rsidRPr="00C41A7E">
        <w:rPr>
          <w:i/>
          <w:iCs/>
          <w:sz w:val="24"/>
          <w:szCs w:val="24"/>
        </w:rPr>
        <w:t>anxiolytika</w:t>
      </w:r>
      <w:proofErr w:type="spellEnd"/>
      <w:r w:rsidRPr="00C41A7E">
        <w:rPr>
          <w:i/>
          <w:iCs/>
          <w:sz w:val="24"/>
          <w:szCs w:val="24"/>
        </w:rPr>
        <w:t xml:space="preserve">, sedative H1-antihistaminer, sederende </w:t>
      </w:r>
      <w:proofErr w:type="spellStart"/>
      <w:r w:rsidRPr="00C41A7E">
        <w:rPr>
          <w:i/>
          <w:iCs/>
          <w:sz w:val="24"/>
          <w:szCs w:val="24"/>
        </w:rPr>
        <w:t>antidepressiva</w:t>
      </w:r>
      <w:proofErr w:type="spellEnd"/>
      <w:r w:rsidRPr="00C41A7E">
        <w:rPr>
          <w:i/>
          <w:iCs/>
          <w:sz w:val="24"/>
          <w:szCs w:val="24"/>
        </w:rPr>
        <w:t xml:space="preserve">, barbiturater, </w:t>
      </w:r>
      <w:proofErr w:type="spellStart"/>
      <w:r w:rsidRPr="00C41A7E">
        <w:rPr>
          <w:i/>
          <w:iCs/>
          <w:sz w:val="24"/>
          <w:szCs w:val="24"/>
        </w:rPr>
        <w:t>clonidin</w:t>
      </w:r>
      <w:proofErr w:type="spellEnd"/>
      <w:r w:rsidRPr="00C41A7E">
        <w:rPr>
          <w:i/>
          <w:iCs/>
          <w:sz w:val="24"/>
          <w:szCs w:val="24"/>
        </w:rPr>
        <w:t xml:space="preserve"> og beslægtede)</w:t>
      </w:r>
    </w:p>
    <w:p w14:paraId="37B6FC33" w14:textId="77777777" w:rsidR="00726C46" w:rsidRPr="00C41A7E" w:rsidRDefault="00726C46" w:rsidP="006207AB">
      <w:pPr>
        <w:ind w:left="851"/>
        <w:rPr>
          <w:sz w:val="24"/>
          <w:szCs w:val="24"/>
        </w:rPr>
      </w:pPr>
      <w:r w:rsidRPr="00C41A7E">
        <w:rPr>
          <w:sz w:val="24"/>
          <w:szCs w:val="24"/>
        </w:rPr>
        <w:t xml:space="preserve">Sedative virkninger af CNS-supprimerende stoffer og </w:t>
      </w:r>
      <w:proofErr w:type="spellStart"/>
      <w:r w:rsidRPr="00C41A7E">
        <w:rPr>
          <w:sz w:val="24"/>
          <w:szCs w:val="24"/>
        </w:rPr>
        <w:t>metoclopramid</w:t>
      </w:r>
      <w:proofErr w:type="spellEnd"/>
      <w:r w:rsidRPr="00C41A7E">
        <w:rPr>
          <w:sz w:val="24"/>
          <w:szCs w:val="24"/>
        </w:rPr>
        <w:t xml:space="preserve"> forstærkes.</w:t>
      </w:r>
    </w:p>
    <w:p w14:paraId="01F5FB9C" w14:textId="77777777" w:rsidR="00726C46" w:rsidRPr="00C41A7E" w:rsidRDefault="00726C46" w:rsidP="006207AB">
      <w:pPr>
        <w:ind w:left="851"/>
        <w:rPr>
          <w:sz w:val="24"/>
          <w:szCs w:val="24"/>
        </w:rPr>
      </w:pPr>
    </w:p>
    <w:p w14:paraId="54C2434C" w14:textId="77777777" w:rsidR="00726C46" w:rsidRPr="00C41A7E" w:rsidRDefault="00726C46" w:rsidP="006207AB">
      <w:pPr>
        <w:ind w:left="851"/>
        <w:rPr>
          <w:i/>
          <w:iCs/>
          <w:sz w:val="24"/>
          <w:szCs w:val="24"/>
        </w:rPr>
      </w:pPr>
      <w:proofErr w:type="spellStart"/>
      <w:r w:rsidRPr="00C41A7E">
        <w:rPr>
          <w:i/>
          <w:iCs/>
          <w:sz w:val="24"/>
          <w:szCs w:val="24"/>
        </w:rPr>
        <w:t>Neuroleptika</w:t>
      </w:r>
      <w:proofErr w:type="spellEnd"/>
      <w:r w:rsidRPr="00C41A7E">
        <w:rPr>
          <w:i/>
          <w:iCs/>
          <w:sz w:val="24"/>
          <w:szCs w:val="24"/>
        </w:rPr>
        <w:t xml:space="preserve"> </w:t>
      </w:r>
    </w:p>
    <w:p w14:paraId="3B9C9A39"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kan have en </w:t>
      </w:r>
      <w:proofErr w:type="gramStart"/>
      <w:r w:rsidRPr="00C41A7E">
        <w:rPr>
          <w:sz w:val="24"/>
          <w:szCs w:val="24"/>
        </w:rPr>
        <w:t>additiv effekt</w:t>
      </w:r>
      <w:proofErr w:type="gramEnd"/>
      <w:r w:rsidRPr="00C41A7E">
        <w:rPr>
          <w:sz w:val="24"/>
          <w:szCs w:val="24"/>
        </w:rPr>
        <w:t xml:space="preserve"> sammen med andre </w:t>
      </w:r>
      <w:proofErr w:type="spellStart"/>
      <w:r w:rsidRPr="00C41A7E">
        <w:rPr>
          <w:sz w:val="24"/>
          <w:szCs w:val="24"/>
        </w:rPr>
        <w:t>neuroleptika</w:t>
      </w:r>
      <w:proofErr w:type="spellEnd"/>
      <w:r w:rsidRPr="00C41A7E">
        <w:rPr>
          <w:sz w:val="24"/>
          <w:szCs w:val="24"/>
        </w:rPr>
        <w:t xml:space="preserve"> på forekomsten af ekstrapyramidale forstyrrelser.</w:t>
      </w:r>
    </w:p>
    <w:p w14:paraId="01D53E80" w14:textId="77777777" w:rsidR="00726C46" w:rsidRPr="00C41A7E" w:rsidRDefault="00726C46" w:rsidP="006207AB">
      <w:pPr>
        <w:ind w:left="851"/>
        <w:rPr>
          <w:sz w:val="24"/>
          <w:szCs w:val="24"/>
        </w:rPr>
      </w:pPr>
    </w:p>
    <w:p w14:paraId="6CCB540B" w14:textId="77777777" w:rsidR="00726C46" w:rsidRPr="00C41A7E" w:rsidRDefault="00726C46" w:rsidP="006207AB">
      <w:pPr>
        <w:ind w:left="851"/>
        <w:rPr>
          <w:i/>
          <w:iCs/>
          <w:sz w:val="24"/>
          <w:szCs w:val="24"/>
        </w:rPr>
      </w:pPr>
      <w:proofErr w:type="spellStart"/>
      <w:r w:rsidRPr="00C41A7E">
        <w:rPr>
          <w:i/>
          <w:iCs/>
          <w:sz w:val="24"/>
          <w:szCs w:val="24"/>
        </w:rPr>
        <w:t>Serotonerge</w:t>
      </w:r>
      <w:proofErr w:type="spellEnd"/>
      <w:r w:rsidRPr="00C41A7E">
        <w:rPr>
          <w:i/>
          <w:iCs/>
          <w:sz w:val="24"/>
          <w:szCs w:val="24"/>
        </w:rPr>
        <w:t xml:space="preserve"> lægemidler</w:t>
      </w:r>
    </w:p>
    <w:p w14:paraId="4F6415E5" w14:textId="77777777" w:rsidR="00726C46" w:rsidRPr="00C41A7E" w:rsidRDefault="00726C46" w:rsidP="006207AB">
      <w:pPr>
        <w:ind w:left="851"/>
        <w:rPr>
          <w:sz w:val="24"/>
          <w:szCs w:val="24"/>
        </w:rPr>
      </w:pPr>
      <w:r w:rsidRPr="00C41A7E">
        <w:rPr>
          <w:sz w:val="24"/>
          <w:szCs w:val="24"/>
        </w:rPr>
        <w:t xml:space="preserve">Anvendelse af </w:t>
      </w:r>
      <w:proofErr w:type="spellStart"/>
      <w:r w:rsidRPr="00C41A7E">
        <w:rPr>
          <w:sz w:val="24"/>
          <w:szCs w:val="24"/>
        </w:rPr>
        <w:t>metoclopramid</w:t>
      </w:r>
      <w:proofErr w:type="spellEnd"/>
      <w:r w:rsidRPr="00C41A7E">
        <w:rPr>
          <w:sz w:val="24"/>
          <w:szCs w:val="24"/>
        </w:rPr>
        <w:t xml:space="preserve"> sammen med </w:t>
      </w:r>
      <w:proofErr w:type="spellStart"/>
      <w:r w:rsidRPr="00C41A7E">
        <w:rPr>
          <w:sz w:val="24"/>
          <w:szCs w:val="24"/>
        </w:rPr>
        <w:t>serotonerge</w:t>
      </w:r>
      <w:proofErr w:type="spellEnd"/>
      <w:r w:rsidRPr="00C41A7E">
        <w:rPr>
          <w:sz w:val="24"/>
          <w:szCs w:val="24"/>
        </w:rPr>
        <w:t xml:space="preserve"> lægemidler såsom </w:t>
      </w:r>
      <w:proofErr w:type="spellStart"/>
      <w:r w:rsidRPr="00C41A7E">
        <w:rPr>
          <w:sz w:val="24"/>
          <w:szCs w:val="24"/>
        </w:rPr>
        <w:t>SSRI’er</w:t>
      </w:r>
      <w:proofErr w:type="spellEnd"/>
      <w:r w:rsidRPr="00C41A7E">
        <w:rPr>
          <w:sz w:val="24"/>
          <w:szCs w:val="24"/>
        </w:rPr>
        <w:t xml:space="preserve"> kan øge risikoen for serotoninsyndrom.</w:t>
      </w:r>
    </w:p>
    <w:p w14:paraId="4DA8D253" w14:textId="77777777" w:rsidR="00726C46" w:rsidRPr="00C41A7E" w:rsidRDefault="00726C46" w:rsidP="006207AB">
      <w:pPr>
        <w:ind w:left="851"/>
        <w:rPr>
          <w:sz w:val="24"/>
          <w:szCs w:val="24"/>
        </w:rPr>
      </w:pPr>
    </w:p>
    <w:p w14:paraId="609995B7" w14:textId="77777777" w:rsidR="00726C46" w:rsidRPr="00C41A7E" w:rsidRDefault="00726C46" w:rsidP="006207AB">
      <w:pPr>
        <w:ind w:left="851"/>
        <w:rPr>
          <w:i/>
          <w:iCs/>
          <w:sz w:val="24"/>
          <w:szCs w:val="24"/>
        </w:rPr>
      </w:pPr>
      <w:proofErr w:type="spellStart"/>
      <w:r w:rsidRPr="00C41A7E">
        <w:rPr>
          <w:i/>
          <w:iCs/>
          <w:sz w:val="24"/>
          <w:szCs w:val="24"/>
        </w:rPr>
        <w:t>Digoxin</w:t>
      </w:r>
      <w:proofErr w:type="spellEnd"/>
    </w:p>
    <w:p w14:paraId="7F1165F8"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kan nedsætte biotilgængeligheden af </w:t>
      </w:r>
      <w:proofErr w:type="spellStart"/>
      <w:r w:rsidRPr="00C41A7E">
        <w:rPr>
          <w:sz w:val="24"/>
          <w:szCs w:val="24"/>
        </w:rPr>
        <w:t>digoxin</w:t>
      </w:r>
      <w:proofErr w:type="spellEnd"/>
      <w:r w:rsidRPr="00C41A7E">
        <w:rPr>
          <w:sz w:val="24"/>
          <w:szCs w:val="24"/>
        </w:rPr>
        <w:t xml:space="preserve">. Omhyggelig monitorering af </w:t>
      </w:r>
      <w:proofErr w:type="spellStart"/>
      <w:r w:rsidRPr="00C41A7E">
        <w:rPr>
          <w:sz w:val="24"/>
          <w:szCs w:val="24"/>
        </w:rPr>
        <w:t>digoxins</w:t>
      </w:r>
      <w:proofErr w:type="spellEnd"/>
      <w:r w:rsidRPr="00C41A7E">
        <w:rPr>
          <w:sz w:val="24"/>
          <w:szCs w:val="24"/>
        </w:rPr>
        <w:t xml:space="preserve"> plasmakoncentration er påkrævet.</w:t>
      </w:r>
    </w:p>
    <w:p w14:paraId="5981C8CA" w14:textId="77777777" w:rsidR="00726C46" w:rsidRPr="00C41A7E" w:rsidRDefault="00726C46" w:rsidP="006207AB">
      <w:pPr>
        <w:ind w:left="851"/>
        <w:rPr>
          <w:sz w:val="24"/>
          <w:szCs w:val="24"/>
        </w:rPr>
      </w:pPr>
    </w:p>
    <w:p w14:paraId="6300C439" w14:textId="77777777" w:rsidR="00726C46" w:rsidRPr="00C41A7E" w:rsidRDefault="00726C46" w:rsidP="006207AB">
      <w:pPr>
        <w:ind w:left="851"/>
        <w:rPr>
          <w:i/>
          <w:iCs/>
          <w:sz w:val="24"/>
          <w:szCs w:val="24"/>
        </w:rPr>
      </w:pPr>
      <w:proofErr w:type="spellStart"/>
      <w:r w:rsidRPr="00C41A7E">
        <w:rPr>
          <w:i/>
          <w:iCs/>
          <w:sz w:val="24"/>
          <w:szCs w:val="24"/>
        </w:rPr>
        <w:t>Ciclosporin</w:t>
      </w:r>
      <w:proofErr w:type="spellEnd"/>
    </w:p>
    <w:p w14:paraId="2F74AC8E"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øger biotilgængeligheden af </w:t>
      </w:r>
      <w:proofErr w:type="spellStart"/>
      <w:r w:rsidRPr="00C41A7E">
        <w:rPr>
          <w:sz w:val="24"/>
          <w:szCs w:val="24"/>
        </w:rPr>
        <w:t>ciclosporin</w:t>
      </w:r>
      <w:proofErr w:type="spellEnd"/>
      <w:r w:rsidRPr="00C41A7E">
        <w:rPr>
          <w:sz w:val="24"/>
          <w:szCs w:val="24"/>
        </w:rPr>
        <w:t xml:space="preserve"> (</w:t>
      </w:r>
      <w:proofErr w:type="spellStart"/>
      <w:r w:rsidRPr="00C41A7E">
        <w:rPr>
          <w:sz w:val="24"/>
          <w:szCs w:val="24"/>
        </w:rPr>
        <w:t>C</w:t>
      </w:r>
      <w:r w:rsidRPr="00C41A7E">
        <w:rPr>
          <w:sz w:val="24"/>
          <w:szCs w:val="24"/>
          <w:vertAlign w:val="subscript"/>
        </w:rPr>
        <w:t>max</w:t>
      </w:r>
      <w:proofErr w:type="spellEnd"/>
      <w:r w:rsidRPr="00C41A7E">
        <w:rPr>
          <w:sz w:val="24"/>
          <w:szCs w:val="24"/>
        </w:rPr>
        <w:t xml:space="preserve"> med 46 % og eksponeringen med 22 %). Omhyggelig monitorering af </w:t>
      </w:r>
      <w:proofErr w:type="spellStart"/>
      <w:r w:rsidRPr="00C41A7E">
        <w:rPr>
          <w:sz w:val="24"/>
          <w:szCs w:val="24"/>
        </w:rPr>
        <w:t>ciclosporins</w:t>
      </w:r>
      <w:proofErr w:type="spellEnd"/>
      <w:r w:rsidRPr="00C41A7E">
        <w:rPr>
          <w:sz w:val="24"/>
          <w:szCs w:val="24"/>
        </w:rPr>
        <w:t xml:space="preserve"> plasmakoncentration er påkrævet. Den kliniske konsekvens er usikker.</w:t>
      </w:r>
    </w:p>
    <w:p w14:paraId="2A0C8201" w14:textId="77777777" w:rsidR="00726C46" w:rsidRPr="00C41A7E" w:rsidRDefault="00726C46" w:rsidP="006207AB">
      <w:pPr>
        <w:ind w:left="851"/>
        <w:rPr>
          <w:sz w:val="24"/>
          <w:szCs w:val="24"/>
        </w:rPr>
      </w:pPr>
    </w:p>
    <w:p w14:paraId="3CE41F9A" w14:textId="77777777" w:rsidR="00726C46" w:rsidRPr="00C41A7E" w:rsidRDefault="00726C46" w:rsidP="006207AB">
      <w:pPr>
        <w:ind w:left="851"/>
        <w:rPr>
          <w:i/>
          <w:iCs/>
          <w:sz w:val="24"/>
          <w:szCs w:val="24"/>
        </w:rPr>
      </w:pPr>
      <w:proofErr w:type="spellStart"/>
      <w:r w:rsidRPr="00C41A7E">
        <w:rPr>
          <w:i/>
          <w:iCs/>
          <w:sz w:val="24"/>
          <w:szCs w:val="24"/>
        </w:rPr>
        <w:t>Mivacurium</w:t>
      </w:r>
      <w:proofErr w:type="spellEnd"/>
      <w:r w:rsidRPr="00C41A7E">
        <w:rPr>
          <w:i/>
          <w:iCs/>
          <w:sz w:val="24"/>
          <w:szCs w:val="24"/>
        </w:rPr>
        <w:t xml:space="preserve"> og </w:t>
      </w:r>
      <w:proofErr w:type="spellStart"/>
      <w:r w:rsidRPr="00C41A7E">
        <w:rPr>
          <w:i/>
          <w:iCs/>
          <w:sz w:val="24"/>
          <w:szCs w:val="24"/>
        </w:rPr>
        <w:t>suxamethonium</w:t>
      </w:r>
      <w:proofErr w:type="spellEnd"/>
    </w:p>
    <w:p w14:paraId="169D3C7A" w14:textId="77777777" w:rsidR="00726C46" w:rsidRPr="00C41A7E" w:rsidRDefault="00726C46" w:rsidP="006207AB">
      <w:pPr>
        <w:ind w:left="851"/>
        <w:rPr>
          <w:sz w:val="24"/>
          <w:szCs w:val="24"/>
        </w:rPr>
      </w:pPr>
      <w:proofErr w:type="spellStart"/>
      <w:r w:rsidRPr="00C41A7E">
        <w:rPr>
          <w:sz w:val="24"/>
          <w:szCs w:val="24"/>
        </w:rPr>
        <w:t>Metoclopramidinjektion</w:t>
      </w:r>
      <w:proofErr w:type="spellEnd"/>
      <w:r w:rsidRPr="00C41A7E">
        <w:rPr>
          <w:sz w:val="24"/>
          <w:szCs w:val="24"/>
        </w:rPr>
        <w:t xml:space="preserve"> kan forlænge varigheden af </w:t>
      </w:r>
      <w:proofErr w:type="spellStart"/>
      <w:r w:rsidRPr="00C41A7E">
        <w:rPr>
          <w:sz w:val="24"/>
          <w:szCs w:val="24"/>
        </w:rPr>
        <w:t>neuromuskulær</w:t>
      </w:r>
      <w:proofErr w:type="spellEnd"/>
      <w:r w:rsidRPr="00C41A7E">
        <w:rPr>
          <w:sz w:val="24"/>
          <w:szCs w:val="24"/>
        </w:rPr>
        <w:t xml:space="preserve"> blokade (ved hæmning af </w:t>
      </w:r>
      <w:proofErr w:type="spellStart"/>
      <w:r w:rsidRPr="00C41A7E">
        <w:rPr>
          <w:sz w:val="24"/>
          <w:szCs w:val="24"/>
        </w:rPr>
        <w:t>plasmakolinesterase</w:t>
      </w:r>
      <w:proofErr w:type="spellEnd"/>
      <w:r w:rsidRPr="00C41A7E">
        <w:rPr>
          <w:sz w:val="24"/>
          <w:szCs w:val="24"/>
        </w:rPr>
        <w:t>).</w:t>
      </w:r>
    </w:p>
    <w:p w14:paraId="2925CC85" w14:textId="77777777" w:rsidR="00726C46" w:rsidRPr="00C41A7E" w:rsidRDefault="00726C46" w:rsidP="006207AB">
      <w:pPr>
        <w:ind w:left="851"/>
        <w:rPr>
          <w:sz w:val="24"/>
          <w:szCs w:val="24"/>
        </w:rPr>
      </w:pPr>
    </w:p>
    <w:p w14:paraId="2A23C6A3" w14:textId="77777777" w:rsidR="00726C46" w:rsidRPr="00C41A7E" w:rsidRDefault="00726C46" w:rsidP="006207AB">
      <w:pPr>
        <w:ind w:left="851"/>
        <w:rPr>
          <w:i/>
          <w:iCs/>
          <w:sz w:val="24"/>
          <w:szCs w:val="24"/>
        </w:rPr>
      </w:pPr>
      <w:r w:rsidRPr="00C41A7E">
        <w:rPr>
          <w:i/>
          <w:iCs/>
          <w:sz w:val="24"/>
          <w:szCs w:val="24"/>
        </w:rPr>
        <w:t>Stærke CYP2D6-hæmmere</w:t>
      </w:r>
    </w:p>
    <w:p w14:paraId="39881728" w14:textId="77777777" w:rsidR="00726C46" w:rsidRPr="00C41A7E" w:rsidRDefault="00726C46" w:rsidP="006207AB">
      <w:pPr>
        <w:ind w:left="851"/>
        <w:rPr>
          <w:sz w:val="24"/>
          <w:szCs w:val="24"/>
        </w:rPr>
      </w:pPr>
      <w:proofErr w:type="spellStart"/>
      <w:r w:rsidRPr="00C41A7E">
        <w:rPr>
          <w:sz w:val="24"/>
          <w:szCs w:val="24"/>
        </w:rPr>
        <w:t>Metoclopramids</w:t>
      </w:r>
      <w:proofErr w:type="spellEnd"/>
      <w:r w:rsidRPr="00C41A7E">
        <w:rPr>
          <w:sz w:val="24"/>
          <w:szCs w:val="24"/>
        </w:rPr>
        <w:t xml:space="preserve"> eksponeringsniveau øges ved samtidig administration af stærke CYP2D6-hæmmere såsom </w:t>
      </w:r>
      <w:proofErr w:type="spellStart"/>
      <w:r w:rsidRPr="00C41A7E">
        <w:rPr>
          <w:sz w:val="24"/>
          <w:szCs w:val="24"/>
        </w:rPr>
        <w:t>fluoxetin</w:t>
      </w:r>
      <w:proofErr w:type="spellEnd"/>
      <w:r w:rsidRPr="00C41A7E">
        <w:rPr>
          <w:sz w:val="24"/>
          <w:szCs w:val="24"/>
        </w:rPr>
        <w:t xml:space="preserve"> og </w:t>
      </w:r>
      <w:proofErr w:type="spellStart"/>
      <w:r w:rsidRPr="00C41A7E">
        <w:rPr>
          <w:sz w:val="24"/>
          <w:szCs w:val="24"/>
        </w:rPr>
        <w:t>paroxetin</w:t>
      </w:r>
      <w:proofErr w:type="spellEnd"/>
      <w:r w:rsidRPr="00C41A7E">
        <w:rPr>
          <w:sz w:val="24"/>
          <w:szCs w:val="24"/>
        </w:rPr>
        <w:t>. Selv om den kliniske betydning er usikker, skal patienterne overvåges for bivirkninger.</w:t>
      </w:r>
    </w:p>
    <w:p w14:paraId="7BFA0976" w14:textId="77777777" w:rsidR="009260DE" w:rsidRPr="00C41A7E" w:rsidRDefault="009260DE" w:rsidP="009260DE">
      <w:pPr>
        <w:tabs>
          <w:tab w:val="left" w:pos="851"/>
        </w:tabs>
        <w:ind w:left="851"/>
        <w:rPr>
          <w:sz w:val="24"/>
          <w:szCs w:val="24"/>
        </w:rPr>
      </w:pPr>
    </w:p>
    <w:p w14:paraId="4249EE60" w14:textId="77777777" w:rsidR="009260DE" w:rsidRPr="00C41A7E" w:rsidRDefault="009260DE" w:rsidP="009260DE">
      <w:pPr>
        <w:tabs>
          <w:tab w:val="left" w:pos="851"/>
        </w:tabs>
        <w:ind w:left="851" w:hanging="851"/>
        <w:rPr>
          <w:b/>
          <w:sz w:val="24"/>
          <w:szCs w:val="24"/>
        </w:rPr>
      </w:pPr>
      <w:r w:rsidRPr="00C41A7E">
        <w:rPr>
          <w:b/>
          <w:sz w:val="24"/>
          <w:szCs w:val="24"/>
        </w:rPr>
        <w:t>4.6</w:t>
      </w:r>
      <w:r w:rsidRPr="00C41A7E">
        <w:rPr>
          <w:b/>
          <w:sz w:val="24"/>
          <w:szCs w:val="24"/>
        </w:rPr>
        <w:tab/>
      </w:r>
      <w:r w:rsidR="0071241E" w:rsidRPr="00C41A7E">
        <w:rPr>
          <w:b/>
          <w:sz w:val="24"/>
          <w:szCs w:val="24"/>
        </w:rPr>
        <w:t>Fertilitet, g</w:t>
      </w:r>
      <w:r w:rsidRPr="00C41A7E">
        <w:rPr>
          <w:b/>
          <w:sz w:val="24"/>
          <w:szCs w:val="24"/>
        </w:rPr>
        <w:t>raviditet og amning</w:t>
      </w:r>
    </w:p>
    <w:p w14:paraId="0F1E88D4" w14:textId="77777777" w:rsidR="00405F39" w:rsidRDefault="00405F39" w:rsidP="006207AB">
      <w:pPr>
        <w:ind w:left="851"/>
        <w:rPr>
          <w:noProof/>
          <w:sz w:val="24"/>
          <w:szCs w:val="24"/>
        </w:rPr>
      </w:pPr>
    </w:p>
    <w:p w14:paraId="04E3FFB1" w14:textId="1E6E78D7" w:rsidR="00726C46" w:rsidRPr="00405F39" w:rsidRDefault="00726C46" w:rsidP="006207AB">
      <w:pPr>
        <w:ind w:left="851"/>
        <w:rPr>
          <w:noProof/>
          <w:sz w:val="24"/>
          <w:szCs w:val="24"/>
          <w:u w:val="single"/>
        </w:rPr>
      </w:pPr>
      <w:r w:rsidRPr="00405F39">
        <w:rPr>
          <w:noProof/>
          <w:sz w:val="24"/>
          <w:szCs w:val="24"/>
          <w:u w:val="single"/>
        </w:rPr>
        <w:t>Graviditet</w:t>
      </w:r>
    </w:p>
    <w:p w14:paraId="39D4CE04" w14:textId="77777777" w:rsidR="00726C46" w:rsidRPr="00C41A7E" w:rsidRDefault="00726C46" w:rsidP="006207AB">
      <w:pPr>
        <w:ind w:left="851"/>
        <w:rPr>
          <w:noProof/>
          <w:sz w:val="24"/>
          <w:szCs w:val="24"/>
        </w:rPr>
      </w:pPr>
      <w:r w:rsidRPr="00C41A7E">
        <w:rPr>
          <w:noProof/>
          <w:sz w:val="24"/>
          <w:szCs w:val="24"/>
        </w:rPr>
        <w:t>En stor mængde data fra gravide kvinder (mere end 1.000 eksponeringer) viser ingen misdannelser eller føtotoksicitet. Metoclopramid kan anvendes under graviditet, hvis det er klinisk nødvendigt. På grund af de farmakologiske egenskaber (som med andre neuroleptika) kan ekstrapyramidalt syndrom hos nyfødte ikke udelukkes, hvis metoclopramid administreres sidst i graviditeten. Metoclopramid bør undgås i slutningen af graviditeten. Hvis metoclopramid benyttes, bør der foretages neonatal monitorering.</w:t>
      </w:r>
    </w:p>
    <w:p w14:paraId="33F04971" w14:textId="77777777" w:rsidR="00726C46" w:rsidRPr="00C41A7E" w:rsidRDefault="00726C46" w:rsidP="006207AB">
      <w:pPr>
        <w:ind w:left="851"/>
        <w:rPr>
          <w:noProof/>
          <w:sz w:val="24"/>
          <w:szCs w:val="24"/>
        </w:rPr>
      </w:pPr>
    </w:p>
    <w:p w14:paraId="243E53A9" w14:textId="77777777" w:rsidR="00726C46" w:rsidRPr="00405F39" w:rsidRDefault="00726C46" w:rsidP="006207AB">
      <w:pPr>
        <w:ind w:left="851"/>
        <w:rPr>
          <w:noProof/>
          <w:sz w:val="24"/>
          <w:szCs w:val="24"/>
          <w:u w:val="single"/>
        </w:rPr>
      </w:pPr>
      <w:r w:rsidRPr="00405F39">
        <w:rPr>
          <w:noProof/>
          <w:sz w:val="24"/>
          <w:szCs w:val="24"/>
          <w:u w:val="single"/>
        </w:rPr>
        <w:t>Amning</w:t>
      </w:r>
    </w:p>
    <w:p w14:paraId="061C4B8C" w14:textId="2C8AB564" w:rsidR="00726C46" w:rsidRPr="00C41A7E" w:rsidRDefault="00726C46" w:rsidP="006207AB">
      <w:pPr>
        <w:ind w:left="851"/>
        <w:rPr>
          <w:noProof/>
          <w:sz w:val="24"/>
          <w:szCs w:val="24"/>
        </w:rPr>
      </w:pPr>
      <w:r w:rsidRPr="00C41A7E">
        <w:rPr>
          <w:noProof/>
          <w:sz w:val="24"/>
          <w:szCs w:val="24"/>
        </w:rPr>
        <w:t>Metoclopramid udskilles i modermælk i lav grad. Bivirkninger hos det ammede barn kan ikke udelukkes. Derfor frarådes metoclopramid under amning. Seponering af metoclopramid hos ammende kvinder bør overvejes.</w:t>
      </w:r>
    </w:p>
    <w:p w14:paraId="068AE279" w14:textId="77777777" w:rsidR="00726C46" w:rsidRPr="00C41A7E" w:rsidRDefault="00726C46" w:rsidP="006207AB">
      <w:pPr>
        <w:ind w:left="851"/>
        <w:rPr>
          <w:noProof/>
          <w:sz w:val="24"/>
          <w:szCs w:val="24"/>
        </w:rPr>
      </w:pPr>
    </w:p>
    <w:p w14:paraId="191F00AB" w14:textId="77777777" w:rsidR="00726C46" w:rsidRPr="00405F39" w:rsidRDefault="00726C46" w:rsidP="006207AB">
      <w:pPr>
        <w:ind w:left="851"/>
        <w:rPr>
          <w:noProof/>
          <w:sz w:val="24"/>
          <w:szCs w:val="24"/>
          <w:u w:val="single"/>
        </w:rPr>
      </w:pPr>
      <w:r w:rsidRPr="00405F39">
        <w:rPr>
          <w:noProof/>
          <w:sz w:val="24"/>
          <w:szCs w:val="24"/>
          <w:u w:val="single"/>
        </w:rPr>
        <w:t>Fertilitet</w:t>
      </w:r>
    </w:p>
    <w:p w14:paraId="55696940" w14:textId="77777777" w:rsidR="00726C46" w:rsidRPr="00C41A7E" w:rsidRDefault="00726C46" w:rsidP="006207AB">
      <w:pPr>
        <w:ind w:left="851"/>
        <w:rPr>
          <w:noProof/>
          <w:sz w:val="24"/>
          <w:szCs w:val="24"/>
        </w:rPr>
      </w:pPr>
      <w:r w:rsidRPr="00C41A7E">
        <w:rPr>
          <w:noProof/>
          <w:sz w:val="24"/>
          <w:szCs w:val="24"/>
        </w:rPr>
        <w:t>Der er ingen tilgængelige kliniske data om virkningen på mandlig eller kvindelig fertilitet. Dyreforsøg indikerer ikke direkte eller indirekte skadelige virkninger.</w:t>
      </w:r>
    </w:p>
    <w:p w14:paraId="319FE930" w14:textId="77777777" w:rsidR="009260DE" w:rsidRPr="00C41A7E" w:rsidRDefault="009260DE" w:rsidP="009260DE">
      <w:pPr>
        <w:tabs>
          <w:tab w:val="left" w:pos="851"/>
        </w:tabs>
        <w:ind w:left="851"/>
        <w:rPr>
          <w:sz w:val="24"/>
          <w:szCs w:val="24"/>
        </w:rPr>
      </w:pPr>
    </w:p>
    <w:p w14:paraId="5EC1AA6E" w14:textId="77777777" w:rsidR="009260DE" w:rsidRPr="00C41A7E" w:rsidRDefault="009260DE" w:rsidP="009260DE">
      <w:pPr>
        <w:tabs>
          <w:tab w:val="left" w:pos="851"/>
        </w:tabs>
        <w:ind w:left="851" w:hanging="851"/>
        <w:rPr>
          <w:b/>
          <w:sz w:val="24"/>
          <w:szCs w:val="24"/>
        </w:rPr>
      </w:pPr>
      <w:r w:rsidRPr="00C41A7E">
        <w:rPr>
          <w:b/>
          <w:sz w:val="24"/>
          <w:szCs w:val="24"/>
        </w:rPr>
        <w:t>4.7</w:t>
      </w:r>
      <w:r w:rsidRPr="00C41A7E">
        <w:rPr>
          <w:b/>
          <w:sz w:val="24"/>
          <w:szCs w:val="24"/>
        </w:rPr>
        <w:tab/>
        <w:t xml:space="preserve">Virkning på evnen til at føre motorkøretøj </w:t>
      </w:r>
      <w:r w:rsidR="0071241E" w:rsidRPr="00C41A7E">
        <w:rPr>
          <w:b/>
          <w:sz w:val="24"/>
          <w:szCs w:val="24"/>
        </w:rPr>
        <w:t>og</w:t>
      </w:r>
      <w:r w:rsidRPr="00C41A7E">
        <w:rPr>
          <w:b/>
          <w:sz w:val="24"/>
          <w:szCs w:val="24"/>
        </w:rPr>
        <w:t xml:space="preserve"> betjene maskiner</w:t>
      </w:r>
    </w:p>
    <w:p w14:paraId="10660979" w14:textId="77777777" w:rsidR="00726C46" w:rsidRPr="00C41A7E" w:rsidRDefault="00726C46" w:rsidP="006207AB">
      <w:pPr>
        <w:ind w:left="851"/>
        <w:rPr>
          <w:sz w:val="24"/>
          <w:szCs w:val="24"/>
        </w:rPr>
      </w:pPr>
      <w:r w:rsidRPr="00C41A7E">
        <w:rPr>
          <w:sz w:val="24"/>
          <w:szCs w:val="24"/>
        </w:rPr>
        <w:t>Ikke mærkning.</w:t>
      </w:r>
    </w:p>
    <w:p w14:paraId="35861A0F"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kan forårsage døsighed, svimmelhed, </w:t>
      </w:r>
      <w:proofErr w:type="spellStart"/>
      <w:r w:rsidRPr="00C41A7E">
        <w:rPr>
          <w:sz w:val="24"/>
          <w:szCs w:val="24"/>
        </w:rPr>
        <w:t>dyskinesi</w:t>
      </w:r>
      <w:proofErr w:type="spellEnd"/>
      <w:r w:rsidRPr="00C41A7E">
        <w:rPr>
          <w:sz w:val="24"/>
          <w:szCs w:val="24"/>
        </w:rPr>
        <w:t xml:space="preserve"> og </w:t>
      </w:r>
      <w:proofErr w:type="spellStart"/>
      <w:r w:rsidRPr="00C41A7E">
        <w:rPr>
          <w:sz w:val="24"/>
          <w:szCs w:val="24"/>
        </w:rPr>
        <w:t>dystoni</w:t>
      </w:r>
      <w:proofErr w:type="spellEnd"/>
      <w:r w:rsidRPr="00C41A7E">
        <w:rPr>
          <w:sz w:val="24"/>
          <w:szCs w:val="24"/>
        </w:rPr>
        <w:t>, som kan påvirke synet og også interferere med evnen til at føre motorkøretøj og betjene maskiner.</w:t>
      </w:r>
    </w:p>
    <w:p w14:paraId="09911C27" w14:textId="77777777" w:rsidR="009260DE" w:rsidRPr="00C41A7E" w:rsidRDefault="009260DE" w:rsidP="009260DE">
      <w:pPr>
        <w:tabs>
          <w:tab w:val="left" w:pos="851"/>
        </w:tabs>
        <w:ind w:left="851"/>
        <w:rPr>
          <w:sz w:val="24"/>
          <w:szCs w:val="24"/>
        </w:rPr>
      </w:pPr>
    </w:p>
    <w:p w14:paraId="1EF1B52C" w14:textId="77777777" w:rsidR="009260DE" w:rsidRPr="00C41A7E" w:rsidRDefault="009260DE" w:rsidP="009260DE">
      <w:pPr>
        <w:tabs>
          <w:tab w:val="left" w:pos="851"/>
        </w:tabs>
        <w:ind w:left="851" w:hanging="851"/>
        <w:rPr>
          <w:b/>
          <w:sz w:val="24"/>
          <w:szCs w:val="24"/>
        </w:rPr>
      </w:pPr>
      <w:r w:rsidRPr="00C41A7E">
        <w:rPr>
          <w:b/>
          <w:sz w:val="24"/>
          <w:szCs w:val="24"/>
        </w:rPr>
        <w:t>4.8</w:t>
      </w:r>
      <w:r w:rsidRPr="00C41A7E">
        <w:rPr>
          <w:b/>
          <w:sz w:val="24"/>
          <w:szCs w:val="24"/>
        </w:rPr>
        <w:tab/>
        <w:t>Bivirkninger</w:t>
      </w:r>
    </w:p>
    <w:p w14:paraId="20E7C92A" w14:textId="77777777" w:rsidR="00726C46" w:rsidRPr="00C41A7E" w:rsidRDefault="00726C46" w:rsidP="006207AB">
      <w:pPr>
        <w:ind w:left="851"/>
        <w:rPr>
          <w:noProof/>
          <w:sz w:val="24"/>
          <w:szCs w:val="24"/>
        </w:rPr>
      </w:pPr>
      <w:r w:rsidRPr="00C41A7E">
        <w:rPr>
          <w:noProof/>
          <w:sz w:val="24"/>
          <w:szCs w:val="24"/>
        </w:rPr>
        <w:t xml:space="preserve">Bivirkninger er anført efter systemorganklasse. Frekvenserne er defineret ved hjælp af følgende konvention: </w:t>
      </w:r>
    </w:p>
    <w:p w14:paraId="771D1497" w14:textId="77777777" w:rsidR="00726C46" w:rsidRPr="00C41A7E" w:rsidRDefault="00726C46" w:rsidP="006207AB">
      <w:pPr>
        <w:ind w:left="851"/>
        <w:rPr>
          <w:noProof/>
          <w:sz w:val="24"/>
          <w:szCs w:val="24"/>
        </w:rPr>
      </w:pPr>
      <w:r w:rsidRPr="00C41A7E">
        <w:rPr>
          <w:noProof/>
          <w:sz w:val="24"/>
          <w:szCs w:val="24"/>
        </w:rPr>
        <w:t>Meget almindelig (≥ 1/10), almindelig (≥ 1/100 til &lt;1/10), ikke almindelig (≥ 1/1000 til &lt;1/100), sjælden (≥ 1/10.000 til &lt;1/1000), meget sjælden (&lt;1/10.000), ikke kendt (kan ikke estimeres ud fra forhåndenværende data).</w:t>
      </w:r>
    </w:p>
    <w:p w14:paraId="31ABD7DF" w14:textId="77777777" w:rsidR="00726C46" w:rsidRPr="00C41A7E" w:rsidRDefault="00726C46" w:rsidP="00726C46">
      <w:pPr>
        <w:rPr>
          <w:noProof/>
          <w:sz w:val="24"/>
          <w:szCs w:val="24"/>
        </w:rPr>
      </w:pPr>
    </w:p>
    <w:tbl>
      <w:tblPr>
        <w:tblStyle w:val="Tabel-Gitter"/>
        <w:tblW w:w="5000" w:type="pct"/>
        <w:tblInd w:w="0" w:type="dxa"/>
        <w:tblLook w:val="04A0" w:firstRow="1" w:lastRow="0" w:firstColumn="1" w:lastColumn="0" w:noHBand="0" w:noVBand="1"/>
      </w:tblPr>
      <w:tblGrid>
        <w:gridCol w:w="2317"/>
        <w:gridCol w:w="2093"/>
        <w:gridCol w:w="5218"/>
      </w:tblGrid>
      <w:tr w:rsidR="00726C46" w:rsidRPr="00DC7611" w14:paraId="5CEB9834" w14:textId="77777777" w:rsidTr="006207AB">
        <w:trPr>
          <w:tblHeader/>
        </w:trPr>
        <w:tc>
          <w:tcPr>
            <w:tcW w:w="120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8558F6" w14:textId="77777777" w:rsidR="00726C46" w:rsidRPr="00DC7611" w:rsidRDefault="00726C46">
            <w:pPr>
              <w:jc w:val="center"/>
              <w:rPr>
                <w:noProof/>
                <w:sz w:val="24"/>
                <w:szCs w:val="24"/>
                <w:lang w:val="da-DK"/>
              </w:rPr>
            </w:pPr>
            <w:r w:rsidRPr="00DC7611">
              <w:rPr>
                <w:b/>
                <w:sz w:val="24"/>
                <w:szCs w:val="24"/>
                <w:lang w:val="da-DK"/>
              </w:rPr>
              <w:t>Systemorganklasse</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B28BC4" w14:textId="77777777" w:rsidR="00726C46" w:rsidRPr="00DC7611" w:rsidRDefault="00726C46">
            <w:pPr>
              <w:jc w:val="center"/>
              <w:rPr>
                <w:noProof/>
                <w:sz w:val="24"/>
                <w:szCs w:val="24"/>
                <w:lang w:val="da-DK"/>
              </w:rPr>
            </w:pPr>
            <w:r w:rsidRPr="00DC7611">
              <w:rPr>
                <w:b/>
                <w:sz w:val="24"/>
                <w:szCs w:val="24"/>
                <w:lang w:val="da-DK"/>
              </w:rPr>
              <w:t>Frekvens</w:t>
            </w:r>
          </w:p>
        </w:tc>
        <w:tc>
          <w:tcPr>
            <w:tcW w:w="2710"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A8B319" w14:textId="77777777" w:rsidR="00726C46" w:rsidRPr="00DC7611" w:rsidRDefault="00726C46">
            <w:pPr>
              <w:jc w:val="center"/>
              <w:rPr>
                <w:noProof/>
                <w:sz w:val="24"/>
                <w:szCs w:val="24"/>
                <w:lang w:val="da-DK"/>
              </w:rPr>
            </w:pPr>
            <w:r w:rsidRPr="00DC7611">
              <w:rPr>
                <w:b/>
                <w:sz w:val="24"/>
                <w:szCs w:val="24"/>
                <w:lang w:val="da-DK"/>
              </w:rPr>
              <w:t>Bivirkninger</w:t>
            </w:r>
          </w:p>
        </w:tc>
      </w:tr>
      <w:tr w:rsidR="00726C46" w:rsidRPr="00DC7611" w14:paraId="6A336720" w14:textId="77777777" w:rsidTr="006207AB">
        <w:tc>
          <w:tcPr>
            <w:tcW w:w="120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53ADFBA" w14:textId="77777777" w:rsidR="00726C46" w:rsidRPr="00DC7611" w:rsidRDefault="00726C46">
            <w:pPr>
              <w:rPr>
                <w:i/>
                <w:iCs/>
                <w:noProof/>
                <w:sz w:val="24"/>
                <w:szCs w:val="24"/>
                <w:lang w:val="da-DK"/>
              </w:rPr>
            </w:pPr>
            <w:r w:rsidRPr="00DC7611">
              <w:rPr>
                <w:i/>
                <w:iCs/>
                <w:noProof/>
                <w:sz w:val="24"/>
                <w:szCs w:val="24"/>
                <w:lang w:val="da-DK"/>
              </w:rPr>
              <w:t>Blod og lymfesystem</w:t>
            </w:r>
          </w:p>
        </w:tc>
        <w:tc>
          <w:tcPr>
            <w:tcW w:w="1087" w:type="pct"/>
            <w:tcBorders>
              <w:top w:val="single" w:sz="4" w:space="0" w:color="auto"/>
              <w:left w:val="single" w:sz="4" w:space="0" w:color="auto"/>
              <w:bottom w:val="single" w:sz="4" w:space="0" w:color="auto"/>
              <w:right w:val="single" w:sz="4" w:space="0" w:color="auto"/>
            </w:tcBorders>
            <w:hideMark/>
          </w:tcPr>
          <w:p w14:paraId="4EA5BE6F" w14:textId="77777777" w:rsidR="00726C46" w:rsidRPr="00DC7611" w:rsidRDefault="00726C46">
            <w:pPr>
              <w:jc w:val="center"/>
              <w:rPr>
                <w:noProof/>
                <w:sz w:val="24"/>
                <w:szCs w:val="24"/>
                <w:lang w:val="da-DK"/>
              </w:rPr>
            </w:pPr>
            <w:r w:rsidRPr="00DC7611">
              <w:rPr>
                <w:noProof/>
                <w:sz w:val="24"/>
                <w:szCs w:val="24"/>
                <w:lang w:val="da-DK"/>
              </w:rPr>
              <w:t>Meget sjælden</w:t>
            </w:r>
          </w:p>
        </w:tc>
        <w:tc>
          <w:tcPr>
            <w:tcW w:w="2710" w:type="pct"/>
            <w:tcBorders>
              <w:top w:val="single" w:sz="4" w:space="0" w:color="auto"/>
              <w:left w:val="single" w:sz="4" w:space="0" w:color="auto"/>
              <w:bottom w:val="single" w:sz="4" w:space="0" w:color="auto"/>
              <w:right w:val="single" w:sz="4" w:space="0" w:color="auto"/>
            </w:tcBorders>
            <w:hideMark/>
          </w:tcPr>
          <w:p w14:paraId="47877653" w14:textId="77777777" w:rsidR="00726C46" w:rsidRPr="00DC7611" w:rsidRDefault="00726C46">
            <w:pPr>
              <w:rPr>
                <w:sz w:val="24"/>
                <w:szCs w:val="24"/>
                <w:lang w:val="da-DK"/>
              </w:rPr>
            </w:pPr>
            <w:proofErr w:type="spellStart"/>
            <w:r w:rsidRPr="00DC7611">
              <w:rPr>
                <w:sz w:val="24"/>
                <w:szCs w:val="24"/>
                <w:lang w:val="da-DK"/>
              </w:rPr>
              <w:t>Methæmoglobinæmi</w:t>
            </w:r>
            <w:proofErr w:type="spellEnd"/>
            <w:r w:rsidRPr="00DC7611">
              <w:rPr>
                <w:sz w:val="24"/>
                <w:szCs w:val="24"/>
                <w:lang w:val="da-DK"/>
              </w:rPr>
              <w:t xml:space="preserve">, som kan være relateret til NADH-cytokrom-b5-reduktasemangel, især hos nyfødte (se pkt. 4.4) </w:t>
            </w:r>
          </w:p>
          <w:p w14:paraId="32D32B5D" w14:textId="77777777" w:rsidR="00726C46" w:rsidRPr="00DC7611" w:rsidRDefault="00726C46">
            <w:pPr>
              <w:rPr>
                <w:noProof/>
                <w:sz w:val="24"/>
                <w:szCs w:val="24"/>
                <w:lang w:val="da-DK"/>
              </w:rPr>
            </w:pPr>
            <w:proofErr w:type="spellStart"/>
            <w:r w:rsidRPr="00DC7611">
              <w:rPr>
                <w:sz w:val="24"/>
                <w:szCs w:val="24"/>
                <w:lang w:val="da-DK"/>
              </w:rPr>
              <w:t>Sulfhæmoglobinæmi</w:t>
            </w:r>
            <w:proofErr w:type="spellEnd"/>
            <w:r w:rsidRPr="00DC7611">
              <w:rPr>
                <w:sz w:val="24"/>
                <w:szCs w:val="24"/>
                <w:lang w:val="da-DK"/>
              </w:rPr>
              <w:t>, især ved samtidig administration af svovl-frigivende lægemidler i høje doser</w:t>
            </w:r>
          </w:p>
        </w:tc>
      </w:tr>
      <w:tr w:rsidR="00726C46" w:rsidRPr="00DC7611" w14:paraId="62D445F1"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1081662" w14:textId="77777777" w:rsidR="00726C46" w:rsidRPr="00DC7611" w:rsidRDefault="00726C46">
            <w:pPr>
              <w:rPr>
                <w:i/>
                <w:iCs/>
                <w:noProof/>
                <w:sz w:val="24"/>
                <w:szCs w:val="24"/>
                <w:lang w:val="da-DK"/>
              </w:rPr>
            </w:pPr>
            <w:r w:rsidRPr="00DC7611">
              <w:rPr>
                <w:i/>
                <w:iCs/>
                <w:noProof/>
                <w:sz w:val="24"/>
                <w:szCs w:val="24"/>
                <w:lang w:val="da-DK"/>
              </w:rPr>
              <w:t>Immunsystemet</w:t>
            </w:r>
          </w:p>
        </w:tc>
        <w:tc>
          <w:tcPr>
            <w:tcW w:w="1087" w:type="pct"/>
            <w:tcBorders>
              <w:top w:val="single" w:sz="4" w:space="0" w:color="auto"/>
              <w:left w:val="single" w:sz="4" w:space="0" w:color="auto"/>
              <w:bottom w:val="single" w:sz="4" w:space="0" w:color="auto"/>
              <w:right w:val="single" w:sz="4" w:space="0" w:color="auto"/>
            </w:tcBorders>
            <w:hideMark/>
          </w:tcPr>
          <w:p w14:paraId="3E4F8CB0" w14:textId="77777777" w:rsidR="00726C46" w:rsidRPr="00DC7611" w:rsidRDefault="00726C46">
            <w:pPr>
              <w:jc w:val="center"/>
              <w:rPr>
                <w:noProof/>
                <w:sz w:val="24"/>
                <w:szCs w:val="24"/>
                <w:lang w:val="da-DK"/>
              </w:rPr>
            </w:pPr>
            <w:r w:rsidRPr="00DC7611">
              <w:rPr>
                <w:noProof/>
                <w:sz w:val="24"/>
                <w:szCs w:val="24"/>
                <w:lang w:val="da-DK"/>
              </w:rPr>
              <w:t>Ikke almindelig</w:t>
            </w:r>
          </w:p>
        </w:tc>
        <w:tc>
          <w:tcPr>
            <w:tcW w:w="2710" w:type="pct"/>
            <w:tcBorders>
              <w:top w:val="single" w:sz="4" w:space="0" w:color="auto"/>
              <w:left w:val="single" w:sz="4" w:space="0" w:color="auto"/>
              <w:bottom w:val="single" w:sz="4" w:space="0" w:color="auto"/>
              <w:right w:val="single" w:sz="4" w:space="0" w:color="auto"/>
            </w:tcBorders>
            <w:hideMark/>
          </w:tcPr>
          <w:p w14:paraId="0CD502AC" w14:textId="77777777" w:rsidR="00726C46" w:rsidRPr="00DC7611" w:rsidRDefault="00726C46">
            <w:pPr>
              <w:rPr>
                <w:sz w:val="24"/>
                <w:szCs w:val="24"/>
                <w:lang w:val="da-DK"/>
              </w:rPr>
            </w:pPr>
            <w:r w:rsidRPr="00DC7611">
              <w:rPr>
                <w:sz w:val="24"/>
                <w:szCs w:val="24"/>
                <w:lang w:val="da-DK"/>
              </w:rPr>
              <w:t>Overfølsomhed</w:t>
            </w:r>
          </w:p>
        </w:tc>
      </w:tr>
      <w:tr w:rsidR="00726C46" w:rsidRPr="00DC7611" w14:paraId="71049D17"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048C1701"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0D5B3CC9" w14:textId="77777777" w:rsidR="00726C46" w:rsidRPr="00DC7611" w:rsidRDefault="00726C46">
            <w:pPr>
              <w:jc w:val="center"/>
              <w:rPr>
                <w:noProof/>
                <w:sz w:val="24"/>
                <w:szCs w:val="24"/>
                <w:lang w:val="da-DK"/>
              </w:rPr>
            </w:pPr>
            <w:r w:rsidRPr="00DC7611">
              <w:rPr>
                <w:noProof/>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0037A013" w14:textId="77777777" w:rsidR="00726C46" w:rsidRPr="00DC7611" w:rsidRDefault="00726C46">
            <w:pPr>
              <w:rPr>
                <w:sz w:val="24"/>
                <w:szCs w:val="24"/>
                <w:lang w:val="da-DK"/>
              </w:rPr>
            </w:pPr>
            <w:proofErr w:type="spellStart"/>
            <w:r w:rsidRPr="00DC7611">
              <w:rPr>
                <w:sz w:val="24"/>
                <w:szCs w:val="24"/>
                <w:lang w:val="da-DK"/>
              </w:rPr>
              <w:t>Anafylaktiske</w:t>
            </w:r>
            <w:proofErr w:type="spellEnd"/>
            <w:r w:rsidRPr="00DC7611">
              <w:rPr>
                <w:sz w:val="24"/>
                <w:szCs w:val="24"/>
                <w:lang w:val="da-DK"/>
              </w:rPr>
              <w:t xml:space="preserve"> reaktioner (inklusive </w:t>
            </w:r>
            <w:proofErr w:type="spellStart"/>
            <w:r w:rsidRPr="00DC7611">
              <w:rPr>
                <w:sz w:val="24"/>
                <w:szCs w:val="24"/>
                <w:lang w:val="da-DK"/>
              </w:rPr>
              <w:t>anafylaktisk</w:t>
            </w:r>
            <w:proofErr w:type="spellEnd"/>
            <w:r w:rsidRPr="00DC7611">
              <w:rPr>
                <w:sz w:val="24"/>
                <w:szCs w:val="24"/>
                <w:lang w:val="da-DK"/>
              </w:rPr>
              <w:t xml:space="preserve"> chok, specielt ved intravenøs administration)</w:t>
            </w:r>
          </w:p>
        </w:tc>
      </w:tr>
      <w:tr w:rsidR="00726C46" w:rsidRPr="00DC7611" w14:paraId="07C3DCA0"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90B714B" w14:textId="77777777" w:rsidR="00726C46" w:rsidRPr="00DC7611" w:rsidRDefault="00726C46">
            <w:pPr>
              <w:rPr>
                <w:i/>
                <w:iCs/>
                <w:noProof/>
                <w:sz w:val="24"/>
                <w:szCs w:val="24"/>
                <w:lang w:val="da-DK"/>
              </w:rPr>
            </w:pPr>
            <w:r w:rsidRPr="00DC7611">
              <w:rPr>
                <w:i/>
                <w:iCs/>
                <w:noProof/>
                <w:sz w:val="24"/>
                <w:szCs w:val="24"/>
                <w:lang w:val="da-DK"/>
              </w:rPr>
              <w:t>Det endokrine system*</w:t>
            </w:r>
          </w:p>
        </w:tc>
        <w:tc>
          <w:tcPr>
            <w:tcW w:w="1087" w:type="pct"/>
            <w:tcBorders>
              <w:top w:val="single" w:sz="4" w:space="0" w:color="auto"/>
              <w:left w:val="single" w:sz="4" w:space="0" w:color="auto"/>
              <w:bottom w:val="single" w:sz="4" w:space="0" w:color="auto"/>
              <w:right w:val="single" w:sz="4" w:space="0" w:color="auto"/>
            </w:tcBorders>
            <w:hideMark/>
          </w:tcPr>
          <w:p w14:paraId="27062EBA" w14:textId="77777777" w:rsidR="00726C46" w:rsidRPr="00DC7611" w:rsidRDefault="00726C46">
            <w:pPr>
              <w:jc w:val="center"/>
              <w:rPr>
                <w:noProof/>
                <w:sz w:val="24"/>
                <w:szCs w:val="24"/>
                <w:lang w:val="da-DK"/>
              </w:rPr>
            </w:pPr>
            <w:r w:rsidRPr="00DC7611">
              <w:rPr>
                <w:noProof/>
                <w:sz w:val="24"/>
                <w:szCs w:val="24"/>
                <w:lang w:val="da-DK"/>
              </w:rPr>
              <w:t>Ikke almindelig</w:t>
            </w:r>
          </w:p>
        </w:tc>
        <w:tc>
          <w:tcPr>
            <w:tcW w:w="2710" w:type="pct"/>
            <w:tcBorders>
              <w:top w:val="single" w:sz="4" w:space="0" w:color="auto"/>
              <w:left w:val="single" w:sz="4" w:space="0" w:color="auto"/>
              <w:bottom w:val="single" w:sz="4" w:space="0" w:color="auto"/>
              <w:right w:val="single" w:sz="4" w:space="0" w:color="auto"/>
            </w:tcBorders>
            <w:hideMark/>
          </w:tcPr>
          <w:p w14:paraId="333B5F4D" w14:textId="77777777" w:rsidR="00726C46" w:rsidRPr="00DC7611" w:rsidRDefault="00726C46">
            <w:pPr>
              <w:rPr>
                <w:sz w:val="24"/>
                <w:szCs w:val="24"/>
                <w:lang w:val="da-DK"/>
              </w:rPr>
            </w:pPr>
            <w:proofErr w:type="spellStart"/>
            <w:r w:rsidRPr="00DC7611">
              <w:rPr>
                <w:sz w:val="24"/>
                <w:szCs w:val="24"/>
                <w:lang w:val="da-DK"/>
              </w:rPr>
              <w:t>Amenoré</w:t>
            </w:r>
            <w:proofErr w:type="spellEnd"/>
            <w:r w:rsidRPr="00DC7611">
              <w:rPr>
                <w:sz w:val="24"/>
                <w:szCs w:val="24"/>
                <w:lang w:val="da-DK"/>
              </w:rPr>
              <w:t xml:space="preserve">, </w:t>
            </w:r>
            <w:proofErr w:type="spellStart"/>
            <w:r w:rsidRPr="00DC7611">
              <w:rPr>
                <w:sz w:val="24"/>
                <w:szCs w:val="24"/>
                <w:lang w:val="da-DK"/>
              </w:rPr>
              <w:t>hyperprolaktinæmi</w:t>
            </w:r>
            <w:proofErr w:type="spellEnd"/>
          </w:p>
        </w:tc>
      </w:tr>
      <w:tr w:rsidR="00726C46" w:rsidRPr="00DC7611" w14:paraId="05B1E434"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7FF39CD2"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3FD4150E" w14:textId="77777777" w:rsidR="00726C46" w:rsidRPr="00DC7611" w:rsidRDefault="00726C46">
            <w:pPr>
              <w:jc w:val="center"/>
              <w:rPr>
                <w:noProof/>
                <w:sz w:val="24"/>
                <w:szCs w:val="24"/>
                <w:lang w:val="da-DK"/>
              </w:rPr>
            </w:pPr>
            <w:r w:rsidRPr="00DC7611">
              <w:rPr>
                <w:noProof/>
                <w:sz w:val="24"/>
                <w:szCs w:val="24"/>
                <w:lang w:val="da-DK"/>
              </w:rPr>
              <w:t>Sjælden</w:t>
            </w:r>
          </w:p>
        </w:tc>
        <w:tc>
          <w:tcPr>
            <w:tcW w:w="2710" w:type="pct"/>
            <w:tcBorders>
              <w:top w:val="single" w:sz="4" w:space="0" w:color="auto"/>
              <w:left w:val="single" w:sz="4" w:space="0" w:color="auto"/>
              <w:bottom w:val="single" w:sz="4" w:space="0" w:color="auto"/>
              <w:right w:val="single" w:sz="4" w:space="0" w:color="auto"/>
            </w:tcBorders>
            <w:hideMark/>
          </w:tcPr>
          <w:p w14:paraId="4638A229" w14:textId="77777777" w:rsidR="00726C46" w:rsidRPr="00DC7611" w:rsidRDefault="00726C46">
            <w:pPr>
              <w:rPr>
                <w:noProof/>
                <w:sz w:val="24"/>
                <w:szCs w:val="24"/>
                <w:lang w:val="da-DK"/>
              </w:rPr>
            </w:pPr>
            <w:proofErr w:type="spellStart"/>
            <w:r w:rsidRPr="00DC7611">
              <w:rPr>
                <w:sz w:val="24"/>
                <w:szCs w:val="24"/>
                <w:lang w:val="da-DK"/>
              </w:rPr>
              <w:t>Galaktoré</w:t>
            </w:r>
            <w:proofErr w:type="spellEnd"/>
          </w:p>
        </w:tc>
      </w:tr>
      <w:tr w:rsidR="00726C46" w:rsidRPr="00DC7611" w14:paraId="605A9BA3"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148C422F"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63D3CDC1" w14:textId="77777777" w:rsidR="00726C46" w:rsidRPr="00DC7611" w:rsidRDefault="00726C46">
            <w:pPr>
              <w:jc w:val="center"/>
              <w:rPr>
                <w:noProof/>
                <w:sz w:val="24"/>
                <w:szCs w:val="24"/>
                <w:lang w:val="da-DK"/>
              </w:rPr>
            </w:pPr>
            <w:r w:rsidRPr="00DC7611">
              <w:rPr>
                <w:noProof/>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4F89464B" w14:textId="77777777" w:rsidR="00726C46" w:rsidRPr="00DC7611" w:rsidRDefault="00726C46">
            <w:pPr>
              <w:rPr>
                <w:noProof/>
                <w:sz w:val="24"/>
                <w:szCs w:val="24"/>
                <w:lang w:val="da-DK"/>
              </w:rPr>
            </w:pPr>
            <w:proofErr w:type="spellStart"/>
            <w:r w:rsidRPr="00DC7611">
              <w:rPr>
                <w:sz w:val="24"/>
                <w:szCs w:val="24"/>
                <w:lang w:val="da-DK"/>
              </w:rPr>
              <w:t>Gynækomasti</w:t>
            </w:r>
            <w:proofErr w:type="spellEnd"/>
          </w:p>
        </w:tc>
      </w:tr>
      <w:tr w:rsidR="00726C46" w:rsidRPr="00DC7611" w14:paraId="3EA409BA"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11A7BE" w14:textId="77777777" w:rsidR="00726C46" w:rsidRPr="00DC7611" w:rsidRDefault="00726C46">
            <w:pPr>
              <w:rPr>
                <w:i/>
                <w:iCs/>
                <w:noProof/>
                <w:sz w:val="24"/>
                <w:szCs w:val="24"/>
                <w:lang w:val="da-DK"/>
              </w:rPr>
            </w:pPr>
            <w:r w:rsidRPr="00DC7611">
              <w:rPr>
                <w:i/>
                <w:iCs/>
                <w:noProof/>
                <w:sz w:val="24"/>
                <w:szCs w:val="24"/>
                <w:lang w:val="da-DK"/>
              </w:rPr>
              <w:t>Psykiske forstyrrelser</w:t>
            </w:r>
          </w:p>
        </w:tc>
        <w:tc>
          <w:tcPr>
            <w:tcW w:w="1087" w:type="pct"/>
            <w:tcBorders>
              <w:top w:val="single" w:sz="4" w:space="0" w:color="auto"/>
              <w:left w:val="single" w:sz="4" w:space="0" w:color="auto"/>
              <w:bottom w:val="single" w:sz="4" w:space="0" w:color="auto"/>
              <w:right w:val="single" w:sz="4" w:space="0" w:color="auto"/>
            </w:tcBorders>
            <w:hideMark/>
          </w:tcPr>
          <w:p w14:paraId="335CCA3D" w14:textId="77777777" w:rsidR="00726C46" w:rsidRPr="00DC7611" w:rsidRDefault="00726C46">
            <w:pPr>
              <w:jc w:val="center"/>
              <w:rPr>
                <w:noProof/>
                <w:sz w:val="24"/>
                <w:szCs w:val="24"/>
                <w:lang w:val="da-DK"/>
              </w:rPr>
            </w:pPr>
            <w:r w:rsidRPr="00DC7611">
              <w:rPr>
                <w:sz w:val="24"/>
                <w:szCs w:val="24"/>
                <w:lang w:val="da-DK"/>
              </w:rPr>
              <w:t>Almindelig</w:t>
            </w:r>
          </w:p>
        </w:tc>
        <w:tc>
          <w:tcPr>
            <w:tcW w:w="2710" w:type="pct"/>
            <w:tcBorders>
              <w:top w:val="single" w:sz="4" w:space="0" w:color="auto"/>
              <w:left w:val="single" w:sz="4" w:space="0" w:color="auto"/>
              <w:bottom w:val="single" w:sz="4" w:space="0" w:color="auto"/>
              <w:right w:val="single" w:sz="4" w:space="0" w:color="auto"/>
            </w:tcBorders>
            <w:hideMark/>
          </w:tcPr>
          <w:p w14:paraId="09C75211" w14:textId="77777777" w:rsidR="00726C46" w:rsidRPr="00DC7611" w:rsidRDefault="00726C46">
            <w:pPr>
              <w:rPr>
                <w:noProof/>
                <w:sz w:val="24"/>
                <w:szCs w:val="24"/>
                <w:lang w:val="da-DK"/>
              </w:rPr>
            </w:pPr>
            <w:r w:rsidRPr="00DC7611">
              <w:rPr>
                <w:sz w:val="24"/>
                <w:szCs w:val="24"/>
                <w:lang w:val="da-DK"/>
              </w:rPr>
              <w:t>Depression</w:t>
            </w:r>
          </w:p>
        </w:tc>
      </w:tr>
      <w:tr w:rsidR="00726C46" w:rsidRPr="00DC7611" w14:paraId="7B233867"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3615FD36"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049FD5E4" w14:textId="77777777" w:rsidR="00726C46" w:rsidRPr="00DC7611" w:rsidRDefault="00726C46">
            <w:pPr>
              <w:jc w:val="center"/>
              <w:rPr>
                <w:noProof/>
                <w:sz w:val="24"/>
                <w:szCs w:val="24"/>
                <w:lang w:val="da-DK"/>
              </w:rPr>
            </w:pPr>
            <w:r w:rsidRPr="00DC7611">
              <w:rPr>
                <w:sz w:val="24"/>
                <w:szCs w:val="24"/>
                <w:lang w:val="da-DK"/>
              </w:rPr>
              <w:t>Ikke almindelig</w:t>
            </w:r>
          </w:p>
        </w:tc>
        <w:tc>
          <w:tcPr>
            <w:tcW w:w="2710" w:type="pct"/>
            <w:tcBorders>
              <w:top w:val="single" w:sz="4" w:space="0" w:color="auto"/>
              <w:left w:val="single" w:sz="4" w:space="0" w:color="auto"/>
              <w:bottom w:val="single" w:sz="4" w:space="0" w:color="auto"/>
              <w:right w:val="single" w:sz="4" w:space="0" w:color="auto"/>
            </w:tcBorders>
            <w:hideMark/>
          </w:tcPr>
          <w:p w14:paraId="02DD3412" w14:textId="77777777" w:rsidR="00726C46" w:rsidRPr="00DC7611" w:rsidRDefault="00726C46">
            <w:pPr>
              <w:rPr>
                <w:noProof/>
                <w:sz w:val="24"/>
                <w:szCs w:val="24"/>
                <w:lang w:val="da-DK"/>
              </w:rPr>
            </w:pPr>
            <w:r w:rsidRPr="00DC7611">
              <w:rPr>
                <w:sz w:val="24"/>
                <w:szCs w:val="24"/>
                <w:lang w:val="da-DK"/>
              </w:rPr>
              <w:t>Hallucinationer</w:t>
            </w:r>
          </w:p>
        </w:tc>
      </w:tr>
      <w:tr w:rsidR="00726C46" w:rsidRPr="00DC7611" w14:paraId="2636A0AF"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1137CB86"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248780B7" w14:textId="77777777" w:rsidR="00726C46" w:rsidRPr="00DC7611" w:rsidRDefault="00726C46">
            <w:pPr>
              <w:jc w:val="center"/>
              <w:rPr>
                <w:noProof/>
                <w:sz w:val="24"/>
                <w:szCs w:val="24"/>
                <w:lang w:val="da-DK"/>
              </w:rPr>
            </w:pPr>
            <w:r w:rsidRPr="00DC7611">
              <w:rPr>
                <w:sz w:val="24"/>
                <w:szCs w:val="24"/>
                <w:lang w:val="da-DK"/>
              </w:rPr>
              <w:t>Sjælden</w:t>
            </w:r>
          </w:p>
        </w:tc>
        <w:tc>
          <w:tcPr>
            <w:tcW w:w="2710" w:type="pct"/>
            <w:tcBorders>
              <w:top w:val="single" w:sz="4" w:space="0" w:color="auto"/>
              <w:left w:val="single" w:sz="4" w:space="0" w:color="auto"/>
              <w:bottom w:val="single" w:sz="4" w:space="0" w:color="auto"/>
              <w:right w:val="single" w:sz="4" w:space="0" w:color="auto"/>
            </w:tcBorders>
            <w:hideMark/>
          </w:tcPr>
          <w:p w14:paraId="7D61A652" w14:textId="77777777" w:rsidR="00726C46" w:rsidRPr="00DC7611" w:rsidRDefault="00726C46">
            <w:pPr>
              <w:rPr>
                <w:noProof/>
                <w:sz w:val="24"/>
                <w:szCs w:val="24"/>
                <w:lang w:val="da-DK"/>
              </w:rPr>
            </w:pPr>
            <w:r w:rsidRPr="00DC7611">
              <w:rPr>
                <w:sz w:val="24"/>
                <w:szCs w:val="24"/>
                <w:lang w:val="da-DK"/>
              </w:rPr>
              <w:t>Konfusion</w:t>
            </w:r>
          </w:p>
        </w:tc>
      </w:tr>
      <w:tr w:rsidR="00726C46" w:rsidRPr="00DC7611" w14:paraId="1CFB7E26"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8BF2E05" w14:textId="77777777" w:rsidR="00726C46" w:rsidRPr="00DC7611" w:rsidRDefault="00726C46">
            <w:pPr>
              <w:rPr>
                <w:i/>
                <w:iCs/>
                <w:noProof/>
                <w:sz w:val="24"/>
                <w:szCs w:val="24"/>
                <w:lang w:val="da-DK"/>
              </w:rPr>
            </w:pPr>
            <w:r w:rsidRPr="00DC7611">
              <w:rPr>
                <w:i/>
                <w:iCs/>
                <w:noProof/>
                <w:sz w:val="24"/>
                <w:szCs w:val="24"/>
                <w:lang w:val="da-DK"/>
              </w:rPr>
              <w:t>Nervesystemet</w:t>
            </w:r>
          </w:p>
        </w:tc>
        <w:tc>
          <w:tcPr>
            <w:tcW w:w="1087" w:type="pct"/>
            <w:tcBorders>
              <w:top w:val="single" w:sz="4" w:space="0" w:color="auto"/>
              <w:left w:val="single" w:sz="4" w:space="0" w:color="auto"/>
              <w:bottom w:val="single" w:sz="4" w:space="0" w:color="auto"/>
              <w:right w:val="single" w:sz="4" w:space="0" w:color="auto"/>
            </w:tcBorders>
            <w:hideMark/>
          </w:tcPr>
          <w:p w14:paraId="7955447D" w14:textId="77777777" w:rsidR="00726C46" w:rsidRPr="00DC7611" w:rsidRDefault="00726C46">
            <w:pPr>
              <w:jc w:val="center"/>
              <w:rPr>
                <w:noProof/>
                <w:sz w:val="24"/>
                <w:szCs w:val="24"/>
                <w:lang w:val="da-DK"/>
              </w:rPr>
            </w:pPr>
            <w:r w:rsidRPr="00DC7611">
              <w:rPr>
                <w:sz w:val="24"/>
                <w:szCs w:val="24"/>
                <w:lang w:val="da-DK"/>
              </w:rPr>
              <w:t>Meget almindelig</w:t>
            </w:r>
          </w:p>
        </w:tc>
        <w:tc>
          <w:tcPr>
            <w:tcW w:w="2710" w:type="pct"/>
            <w:tcBorders>
              <w:top w:val="single" w:sz="4" w:space="0" w:color="auto"/>
              <w:left w:val="single" w:sz="4" w:space="0" w:color="auto"/>
              <w:bottom w:val="single" w:sz="4" w:space="0" w:color="auto"/>
              <w:right w:val="single" w:sz="4" w:space="0" w:color="auto"/>
            </w:tcBorders>
            <w:hideMark/>
          </w:tcPr>
          <w:p w14:paraId="573164F9" w14:textId="77777777" w:rsidR="00726C46" w:rsidRPr="00DC7611" w:rsidRDefault="00726C46">
            <w:pPr>
              <w:rPr>
                <w:noProof/>
                <w:sz w:val="24"/>
                <w:szCs w:val="24"/>
                <w:lang w:val="da-DK"/>
              </w:rPr>
            </w:pPr>
            <w:r w:rsidRPr="00DC7611">
              <w:rPr>
                <w:noProof/>
                <w:sz w:val="24"/>
                <w:szCs w:val="24"/>
                <w:lang w:val="da-DK"/>
              </w:rPr>
              <w:t>Døsighed</w:t>
            </w:r>
          </w:p>
        </w:tc>
      </w:tr>
      <w:tr w:rsidR="00726C46" w:rsidRPr="00DC7611" w14:paraId="119EEDA4"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77233B89"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1DAFFEC4" w14:textId="77777777" w:rsidR="00726C46" w:rsidRPr="00DC7611" w:rsidRDefault="00726C46">
            <w:pPr>
              <w:jc w:val="center"/>
              <w:rPr>
                <w:noProof/>
                <w:sz w:val="24"/>
                <w:szCs w:val="24"/>
                <w:lang w:val="da-DK"/>
              </w:rPr>
            </w:pPr>
            <w:r w:rsidRPr="00DC7611">
              <w:rPr>
                <w:sz w:val="24"/>
                <w:szCs w:val="24"/>
                <w:lang w:val="da-DK"/>
              </w:rPr>
              <w:t>Almindelig</w:t>
            </w:r>
          </w:p>
        </w:tc>
        <w:tc>
          <w:tcPr>
            <w:tcW w:w="2710" w:type="pct"/>
            <w:tcBorders>
              <w:top w:val="single" w:sz="4" w:space="0" w:color="auto"/>
              <w:left w:val="single" w:sz="4" w:space="0" w:color="auto"/>
              <w:bottom w:val="single" w:sz="4" w:space="0" w:color="auto"/>
              <w:right w:val="single" w:sz="4" w:space="0" w:color="auto"/>
            </w:tcBorders>
            <w:hideMark/>
          </w:tcPr>
          <w:p w14:paraId="03CD72C2" w14:textId="77777777" w:rsidR="00726C46" w:rsidRPr="00DC7611" w:rsidRDefault="00726C46">
            <w:pPr>
              <w:rPr>
                <w:sz w:val="24"/>
                <w:szCs w:val="24"/>
                <w:lang w:val="da-DK"/>
              </w:rPr>
            </w:pPr>
            <w:r w:rsidRPr="00DC7611">
              <w:rPr>
                <w:sz w:val="24"/>
                <w:szCs w:val="24"/>
                <w:lang w:val="da-DK"/>
              </w:rPr>
              <w:t xml:space="preserve">Ekstrapyramidale forstyrrelser (især hos børn og unge voksne og/eller når den anbefalede dosis </w:t>
            </w:r>
            <w:r w:rsidRPr="00DC7611">
              <w:rPr>
                <w:sz w:val="24"/>
                <w:szCs w:val="24"/>
                <w:lang w:val="da-DK"/>
              </w:rPr>
              <w:lastRenderedPageBreak/>
              <w:t>overskrides, selv efter administration af en enkelt dosis af lægemidlet) (se pkt. 4.4),</w:t>
            </w:r>
          </w:p>
          <w:p w14:paraId="7BB82FE0" w14:textId="77777777" w:rsidR="00726C46" w:rsidRPr="00DC7611" w:rsidRDefault="00726C46">
            <w:pPr>
              <w:rPr>
                <w:sz w:val="24"/>
                <w:szCs w:val="24"/>
                <w:lang w:val="da-DK"/>
              </w:rPr>
            </w:pPr>
            <w:r w:rsidRPr="00DC7611">
              <w:rPr>
                <w:sz w:val="24"/>
                <w:szCs w:val="24"/>
                <w:lang w:val="da-DK"/>
              </w:rPr>
              <w:t xml:space="preserve">Parkinsonisme, </w:t>
            </w:r>
            <w:proofErr w:type="spellStart"/>
            <w:r w:rsidRPr="00DC7611">
              <w:rPr>
                <w:sz w:val="24"/>
                <w:szCs w:val="24"/>
                <w:lang w:val="da-DK"/>
              </w:rPr>
              <w:t>Akatisi</w:t>
            </w:r>
            <w:proofErr w:type="spellEnd"/>
          </w:p>
          <w:p w14:paraId="64119571" w14:textId="77777777" w:rsidR="00726C46" w:rsidRPr="00DC7611" w:rsidRDefault="00726C46">
            <w:pPr>
              <w:rPr>
                <w:noProof/>
                <w:sz w:val="24"/>
                <w:szCs w:val="24"/>
                <w:lang w:val="da-DK"/>
              </w:rPr>
            </w:pPr>
            <w:r w:rsidRPr="00DC7611">
              <w:rPr>
                <w:sz w:val="24"/>
                <w:szCs w:val="24"/>
                <w:lang w:val="da-DK"/>
              </w:rPr>
              <w:t>Hovedpine</w:t>
            </w:r>
          </w:p>
        </w:tc>
      </w:tr>
      <w:tr w:rsidR="00726C46" w:rsidRPr="00DC7611" w14:paraId="1C725AE3"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190F5B09"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7D24336B" w14:textId="77777777" w:rsidR="00726C46" w:rsidRPr="00DC7611" w:rsidRDefault="00726C46">
            <w:pPr>
              <w:jc w:val="center"/>
              <w:rPr>
                <w:noProof/>
                <w:sz w:val="24"/>
                <w:szCs w:val="24"/>
                <w:lang w:val="da-DK"/>
              </w:rPr>
            </w:pPr>
            <w:r w:rsidRPr="00DC7611">
              <w:rPr>
                <w:sz w:val="24"/>
                <w:szCs w:val="24"/>
                <w:lang w:val="da-DK"/>
              </w:rPr>
              <w:t>Ikke almindelig</w:t>
            </w:r>
          </w:p>
        </w:tc>
        <w:tc>
          <w:tcPr>
            <w:tcW w:w="2710" w:type="pct"/>
            <w:tcBorders>
              <w:top w:val="single" w:sz="4" w:space="0" w:color="auto"/>
              <w:left w:val="single" w:sz="4" w:space="0" w:color="auto"/>
              <w:bottom w:val="single" w:sz="4" w:space="0" w:color="auto"/>
              <w:right w:val="single" w:sz="4" w:space="0" w:color="auto"/>
            </w:tcBorders>
            <w:hideMark/>
          </w:tcPr>
          <w:p w14:paraId="70D59730" w14:textId="77777777" w:rsidR="00726C46" w:rsidRPr="00DC7611" w:rsidRDefault="00726C46">
            <w:pPr>
              <w:rPr>
                <w:sz w:val="24"/>
                <w:szCs w:val="24"/>
                <w:lang w:val="da-DK"/>
              </w:rPr>
            </w:pPr>
            <w:proofErr w:type="spellStart"/>
            <w:r w:rsidRPr="00DC7611">
              <w:rPr>
                <w:sz w:val="24"/>
                <w:szCs w:val="24"/>
                <w:lang w:val="da-DK"/>
              </w:rPr>
              <w:t>Dystoni</w:t>
            </w:r>
            <w:proofErr w:type="spellEnd"/>
            <w:r w:rsidRPr="00DC7611">
              <w:rPr>
                <w:sz w:val="24"/>
                <w:szCs w:val="24"/>
                <w:lang w:val="da-DK"/>
              </w:rPr>
              <w:t xml:space="preserve"> (herunder synsforstyrrelse og </w:t>
            </w:r>
            <w:proofErr w:type="spellStart"/>
            <w:r w:rsidRPr="00DC7611">
              <w:rPr>
                <w:sz w:val="24"/>
                <w:szCs w:val="24"/>
                <w:lang w:val="da-DK"/>
              </w:rPr>
              <w:t>okulogyr</w:t>
            </w:r>
            <w:proofErr w:type="spellEnd"/>
            <w:r w:rsidRPr="00DC7611">
              <w:rPr>
                <w:sz w:val="24"/>
                <w:szCs w:val="24"/>
                <w:lang w:val="da-DK"/>
              </w:rPr>
              <w:t xml:space="preserve"> krise), </w:t>
            </w:r>
          </w:p>
          <w:p w14:paraId="4D160E70" w14:textId="77777777" w:rsidR="00726C46" w:rsidRPr="00DC7611" w:rsidRDefault="00726C46">
            <w:pPr>
              <w:rPr>
                <w:sz w:val="24"/>
                <w:szCs w:val="24"/>
                <w:lang w:val="da-DK"/>
              </w:rPr>
            </w:pPr>
            <w:proofErr w:type="spellStart"/>
            <w:r w:rsidRPr="00DC7611">
              <w:rPr>
                <w:sz w:val="24"/>
                <w:szCs w:val="24"/>
                <w:lang w:val="da-DK"/>
              </w:rPr>
              <w:t>Dyskinesi</w:t>
            </w:r>
            <w:proofErr w:type="spellEnd"/>
            <w:r w:rsidRPr="00DC7611">
              <w:rPr>
                <w:sz w:val="24"/>
                <w:szCs w:val="24"/>
                <w:lang w:val="da-DK"/>
              </w:rPr>
              <w:t xml:space="preserve">, </w:t>
            </w:r>
          </w:p>
          <w:p w14:paraId="6234BE38" w14:textId="77777777" w:rsidR="00726C46" w:rsidRPr="00DC7611" w:rsidRDefault="00726C46">
            <w:pPr>
              <w:rPr>
                <w:noProof/>
                <w:sz w:val="24"/>
                <w:szCs w:val="24"/>
                <w:lang w:val="da-DK"/>
              </w:rPr>
            </w:pPr>
            <w:r w:rsidRPr="00DC7611">
              <w:rPr>
                <w:sz w:val="24"/>
                <w:szCs w:val="24"/>
                <w:lang w:val="da-DK"/>
              </w:rPr>
              <w:t>Nedsat bevidsthedsniveau</w:t>
            </w:r>
          </w:p>
        </w:tc>
      </w:tr>
      <w:tr w:rsidR="00726C46" w:rsidRPr="00DC7611" w14:paraId="44F4C5BE"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6A15898F"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574B1DA5" w14:textId="77777777" w:rsidR="00726C46" w:rsidRPr="00DC7611" w:rsidRDefault="00726C46">
            <w:pPr>
              <w:jc w:val="center"/>
              <w:rPr>
                <w:noProof/>
                <w:sz w:val="24"/>
                <w:szCs w:val="24"/>
                <w:lang w:val="da-DK"/>
              </w:rPr>
            </w:pPr>
            <w:r w:rsidRPr="00DC7611">
              <w:rPr>
                <w:sz w:val="24"/>
                <w:szCs w:val="24"/>
                <w:lang w:val="da-DK"/>
              </w:rPr>
              <w:t>Sjælden</w:t>
            </w:r>
          </w:p>
        </w:tc>
        <w:tc>
          <w:tcPr>
            <w:tcW w:w="2710" w:type="pct"/>
            <w:tcBorders>
              <w:top w:val="single" w:sz="4" w:space="0" w:color="auto"/>
              <w:left w:val="single" w:sz="4" w:space="0" w:color="auto"/>
              <w:bottom w:val="single" w:sz="4" w:space="0" w:color="auto"/>
              <w:right w:val="single" w:sz="4" w:space="0" w:color="auto"/>
            </w:tcBorders>
            <w:hideMark/>
          </w:tcPr>
          <w:p w14:paraId="77BD35F4" w14:textId="77777777" w:rsidR="00726C46" w:rsidRPr="00DC7611" w:rsidRDefault="00726C46">
            <w:pPr>
              <w:rPr>
                <w:sz w:val="24"/>
                <w:szCs w:val="24"/>
                <w:lang w:val="da-DK"/>
              </w:rPr>
            </w:pPr>
            <w:r w:rsidRPr="00DC7611">
              <w:rPr>
                <w:sz w:val="24"/>
                <w:szCs w:val="24"/>
                <w:lang w:val="da-DK"/>
              </w:rPr>
              <w:t>Kramper, især hos epilepsipatienter</w:t>
            </w:r>
          </w:p>
          <w:p w14:paraId="30CBCAE0" w14:textId="77777777" w:rsidR="00726C46" w:rsidRPr="00DC7611" w:rsidRDefault="00726C46">
            <w:pPr>
              <w:rPr>
                <w:noProof/>
                <w:sz w:val="24"/>
                <w:szCs w:val="24"/>
                <w:lang w:val="da-DK"/>
              </w:rPr>
            </w:pPr>
            <w:r w:rsidRPr="00DC7611">
              <w:rPr>
                <w:noProof/>
                <w:sz w:val="24"/>
                <w:szCs w:val="24"/>
                <w:lang w:val="da-DK"/>
              </w:rPr>
              <w:t>Svimmelhed</w:t>
            </w:r>
          </w:p>
          <w:p w14:paraId="1532C952" w14:textId="77777777" w:rsidR="00726C46" w:rsidRPr="00DC7611" w:rsidRDefault="00726C46">
            <w:pPr>
              <w:rPr>
                <w:noProof/>
                <w:sz w:val="24"/>
                <w:szCs w:val="24"/>
                <w:lang w:val="da-DK"/>
              </w:rPr>
            </w:pPr>
            <w:r w:rsidRPr="00DC7611">
              <w:rPr>
                <w:noProof/>
                <w:sz w:val="24"/>
                <w:szCs w:val="24"/>
                <w:lang w:val="da-DK"/>
              </w:rPr>
              <w:t>Angst</w:t>
            </w:r>
          </w:p>
          <w:p w14:paraId="58620F60" w14:textId="77777777" w:rsidR="00726C46" w:rsidRPr="00DC7611" w:rsidRDefault="00726C46">
            <w:pPr>
              <w:rPr>
                <w:noProof/>
                <w:sz w:val="24"/>
                <w:szCs w:val="24"/>
                <w:lang w:val="da-DK"/>
              </w:rPr>
            </w:pPr>
            <w:r w:rsidRPr="00DC7611">
              <w:rPr>
                <w:noProof/>
                <w:sz w:val="24"/>
                <w:szCs w:val="24"/>
                <w:lang w:val="da-DK"/>
              </w:rPr>
              <w:t>Rastløshed</w:t>
            </w:r>
          </w:p>
        </w:tc>
      </w:tr>
      <w:tr w:rsidR="00726C46" w:rsidRPr="00DC7611" w14:paraId="5E0925AD"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7D52EB21"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71133A69" w14:textId="77777777" w:rsidR="00726C46" w:rsidRPr="00DC7611" w:rsidRDefault="00726C46">
            <w:pPr>
              <w:jc w:val="center"/>
              <w:rPr>
                <w:noProof/>
                <w:sz w:val="24"/>
                <w:szCs w:val="24"/>
                <w:lang w:val="da-DK"/>
              </w:rPr>
            </w:pPr>
            <w:r w:rsidRPr="00DC7611">
              <w:rPr>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09B4BDDE" w14:textId="77777777" w:rsidR="00726C46" w:rsidRPr="00DC7611" w:rsidRDefault="00726C46">
            <w:pPr>
              <w:rPr>
                <w:sz w:val="24"/>
                <w:szCs w:val="24"/>
                <w:lang w:val="da-DK"/>
              </w:rPr>
            </w:pPr>
            <w:proofErr w:type="spellStart"/>
            <w:r w:rsidRPr="00DC7611">
              <w:rPr>
                <w:sz w:val="24"/>
                <w:szCs w:val="24"/>
                <w:lang w:val="da-DK"/>
              </w:rPr>
              <w:t>Tardiv</w:t>
            </w:r>
            <w:proofErr w:type="spellEnd"/>
            <w:r w:rsidRPr="00DC7611">
              <w:rPr>
                <w:sz w:val="24"/>
                <w:szCs w:val="24"/>
                <w:lang w:val="da-DK"/>
              </w:rPr>
              <w:t xml:space="preserve"> </w:t>
            </w:r>
            <w:proofErr w:type="spellStart"/>
            <w:r w:rsidRPr="00DC7611">
              <w:rPr>
                <w:sz w:val="24"/>
                <w:szCs w:val="24"/>
                <w:lang w:val="da-DK"/>
              </w:rPr>
              <w:t>dyskinesi</w:t>
            </w:r>
            <w:proofErr w:type="spellEnd"/>
            <w:r w:rsidRPr="00DC7611">
              <w:rPr>
                <w:sz w:val="24"/>
                <w:szCs w:val="24"/>
                <w:lang w:val="da-DK"/>
              </w:rPr>
              <w:t xml:space="preserve">, som kan være </w:t>
            </w:r>
            <w:proofErr w:type="spellStart"/>
            <w:r w:rsidRPr="00DC7611">
              <w:rPr>
                <w:sz w:val="24"/>
                <w:szCs w:val="24"/>
                <w:lang w:val="da-DK"/>
              </w:rPr>
              <w:t>persistent</w:t>
            </w:r>
            <w:proofErr w:type="spellEnd"/>
            <w:r w:rsidRPr="00DC7611">
              <w:rPr>
                <w:sz w:val="24"/>
                <w:szCs w:val="24"/>
                <w:lang w:val="da-DK"/>
              </w:rPr>
              <w:t xml:space="preserve">, under eller efter langvarig behandling, især hos ældre patienter (se pkt. 4.4), </w:t>
            </w:r>
          </w:p>
          <w:p w14:paraId="75E49A87" w14:textId="77777777" w:rsidR="00726C46" w:rsidRPr="00DC7611" w:rsidRDefault="00726C46">
            <w:pPr>
              <w:rPr>
                <w:noProof/>
                <w:sz w:val="24"/>
                <w:szCs w:val="24"/>
                <w:lang w:val="da-DK"/>
              </w:rPr>
            </w:pPr>
            <w:r w:rsidRPr="00DC7611">
              <w:rPr>
                <w:sz w:val="24"/>
                <w:szCs w:val="24"/>
                <w:lang w:val="da-DK"/>
              </w:rPr>
              <w:t xml:space="preserve">Malignt </w:t>
            </w:r>
            <w:proofErr w:type="spellStart"/>
            <w:r w:rsidRPr="00DC7611">
              <w:rPr>
                <w:sz w:val="24"/>
                <w:szCs w:val="24"/>
                <w:lang w:val="da-DK"/>
              </w:rPr>
              <w:t>neuroleptikasyndrom</w:t>
            </w:r>
            <w:proofErr w:type="spellEnd"/>
            <w:r w:rsidRPr="00DC7611">
              <w:rPr>
                <w:sz w:val="24"/>
                <w:szCs w:val="24"/>
                <w:lang w:val="da-DK"/>
              </w:rPr>
              <w:t xml:space="preserve"> (se pkt. 4.4).</w:t>
            </w:r>
          </w:p>
        </w:tc>
      </w:tr>
      <w:tr w:rsidR="00726C46" w:rsidRPr="00DC7611" w14:paraId="2F8A4058"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F748C6" w14:textId="77777777" w:rsidR="00726C46" w:rsidRPr="00DC7611" w:rsidRDefault="00726C46">
            <w:pPr>
              <w:rPr>
                <w:i/>
                <w:iCs/>
                <w:noProof/>
                <w:sz w:val="24"/>
                <w:szCs w:val="24"/>
                <w:lang w:val="da-DK"/>
              </w:rPr>
            </w:pPr>
            <w:r w:rsidRPr="00DC7611">
              <w:rPr>
                <w:i/>
                <w:iCs/>
                <w:noProof/>
                <w:sz w:val="24"/>
                <w:szCs w:val="24"/>
                <w:lang w:val="da-DK"/>
              </w:rPr>
              <w:t>Hjerte</w:t>
            </w:r>
          </w:p>
        </w:tc>
        <w:tc>
          <w:tcPr>
            <w:tcW w:w="1087" w:type="pct"/>
            <w:tcBorders>
              <w:top w:val="single" w:sz="4" w:space="0" w:color="auto"/>
              <w:left w:val="single" w:sz="4" w:space="0" w:color="auto"/>
              <w:bottom w:val="single" w:sz="4" w:space="0" w:color="auto"/>
              <w:right w:val="single" w:sz="4" w:space="0" w:color="auto"/>
            </w:tcBorders>
            <w:hideMark/>
          </w:tcPr>
          <w:p w14:paraId="6CAF8F1F" w14:textId="77777777" w:rsidR="00726C46" w:rsidRPr="00DC7611" w:rsidRDefault="00726C46">
            <w:pPr>
              <w:jc w:val="center"/>
              <w:rPr>
                <w:noProof/>
                <w:sz w:val="24"/>
                <w:szCs w:val="24"/>
                <w:lang w:val="da-DK"/>
              </w:rPr>
            </w:pPr>
            <w:r w:rsidRPr="00DC7611">
              <w:rPr>
                <w:sz w:val="24"/>
                <w:szCs w:val="24"/>
                <w:lang w:val="da-DK"/>
              </w:rPr>
              <w:t>Ikke almindelig</w:t>
            </w:r>
          </w:p>
        </w:tc>
        <w:tc>
          <w:tcPr>
            <w:tcW w:w="2710" w:type="pct"/>
            <w:tcBorders>
              <w:top w:val="single" w:sz="4" w:space="0" w:color="auto"/>
              <w:left w:val="single" w:sz="4" w:space="0" w:color="auto"/>
              <w:bottom w:val="single" w:sz="4" w:space="0" w:color="auto"/>
              <w:right w:val="single" w:sz="4" w:space="0" w:color="auto"/>
            </w:tcBorders>
            <w:hideMark/>
          </w:tcPr>
          <w:p w14:paraId="26128522" w14:textId="77777777" w:rsidR="00726C46" w:rsidRPr="00DC7611" w:rsidRDefault="00726C46">
            <w:pPr>
              <w:rPr>
                <w:noProof/>
                <w:sz w:val="24"/>
                <w:szCs w:val="24"/>
                <w:lang w:val="da-DK"/>
              </w:rPr>
            </w:pPr>
            <w:r w:rsidRPr="00DC7611">
              <w:rPr>
                <w:sz w:val="24"/>
                <w:szCs w:val="24"/>
                <w:lang w:val="da-DK"/>
              </w:rPr>
              <w:t xml:space="preserve">Bradykardi, </w:t>
            </w:r>
            <w:proofErr w:type="spellStart"/>
            <w:r w:rsidRPr="00DC7611">
              <w:rPr>
                <w:sz w:val="24"/>
                <w:szCs w:val="24"/>
                <w:lang w:val="da-DK"/>
              </w:rPr>
              <w:t>takykardi</w:t>
            </w:r>
            <w:proofErr w:type="spellEnd"/>
            <w:r w:rsidRPr="00DC7611">
              <w:rPr>
                <w:sz w:val="24"/>
                <w:szCs w:val="24"/>
                <w:lang w:val="da-DK"/>
              </w:rPr>
              <w:t xml:space="preserve"> specielt ved intravenøs administration.</w:t>
            </w:r>
          </w:p>
        </w:tc>
      </w:tr>
      <w:tr w:rsidR="00726C46" w:rsidRPr="00DC7611" w14:paraId="2D0F2EA5"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65D34563" w14:textId="77777777" w:rsidR="00726C46" w:rsidRPr="00DC7611" w:rsidRDefault="00726C46">
            <w:pPr>
              <w:rPr>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7519C380" w14:textId="77777777" w:rsidR="00726C46" w:rsidRPr="00DC7611" w:rsidRDefault="00726C46">
            <w:pPr>
              <w:jc w:val="center"/>
              <w:rPr>
                <w:noProof/>
                <w:sz w:val="24"/>
                <w:szCs w:val="24"/>
                <w:lang w:val="da-DK"/>
              </w:rPr>
            </w:pPr>
            <w:r w:rsidRPr="00DC7611">
              <w:rPr>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786DEBD9" w14:textId="77777777" w:rsidR="00726C46" w:rsidRPr="00DC7611" w:rsidRDefault="00726C46">
            <w:pPr>
              <w:rPr>
                <w:sz w:val="24"/>
                <w:szCs w:val="24"/>
                <w:lang w:val="da-DK"/>
              </w:rPr>
            </w:pPr>
            <w:r w:rsidRPr="00DC7611">
              <w:rPr>
                <w:sz w:val="24"/>
                <w:szCs w:val="24"/>
                <w:lang w:val="da-DK"/>
              </w:rPr>
              <w:t xml:space="preserve">Hjertestop, forekommende kort tid efter injektion og potentielt </w:t>
            </w:r>
            <w:proofErr w:type="spellStart"/>
            <w:r w:rsidRPr="00DC7611">
              <w:rPr>
                <w:sz w:val="24"/>
                <w:szCs w:val="24"/>
                <w:lang w:val="da-DK"/>
              </w:rPr>
              <w:t>forudgået</w:t>
            </w:r>
            <w:proofErr w:type="spellEnd"/>
            <w:r w:rsidRPr="00DC7611">
              <w:rPr>
                <w:sz w:val="24"/>
                <w:szCs w:val="24"/>
                <w:lang w:val="da-DK"/>
              </w:rPr>
              <w:t xml:space="preserve"> af bradykardi (se pkt. 4.4); </w:t>
            </w:r>
            <w:proofErr w:type="spellStart"/>
            <w:r w:rsidRPr="00DC7611">
              <w:rPr>
                <w:sz w:val="24"/>
                <w:szCs w:val="24"/>
                <w:lang w:val="da-DK"/>
              </w:rPr>
              <w:t>Atrioventrikulært</w:t>
            </w:r>
            <w:proofErr w:type="spellEnd"/>
            <w:r w:rsidRPr="00DC7611">
              <w:rPr>
                <w:sz w:val="24"/>
                <w:szCs w:val="24"/>
                <w:lang w:val="da-DK"/>
              </w:rPr>
              <w:t xml:space="preserve"> blok</w:t>
            </w:r>
          </w:p>
          <w:p w14:paraId="2BFDE8D5" w14:textId="77777777" w:rsidR="00726C46" w:rsidRPr="00DC7611" w:rsidRDefault="00726C46">
            <w:pPr>
              <w:rPr>
                <w:sz w:val="24"/>
                <w:szCs w:val="24"/>
                <w:lang w:val="da-DK"/>
              </w:rPr>
            </w:pPr>
            <w:r w:rsidRPr="00DC7611">
              <w:rPr>
                <w:sz w:val="24"/>
                <w:szCs w:val="24"/>
                <w:lang w:val="da-DK"/>
              </w:rPr>
              <w:t>Bihulestop, især med intravenøs formulering</w:t>
            </w:r>
          </w:p>
          <w:p w14:paraId="46D9F6BD" w14:textId="77777777" w:rsidR="00726C46" w:rsidRPr="00DC7611" w:rsidRDefault="00726C46">
            <w:pPr>
              <w:rPr>
                <w:sz w:val="24"/>
                <w:szCs w:val="24"/>
                <w:lang w:val="da-DK"/>
              </w:rPr>
            </w:pPr>
            <w:r w:rsidRPr="00DC7611">
              <w:rPr>
                <w:sz w:val="24"/>
                <w:szCs w:val="24"/>
                <w:lang w:val="da-DK"/>
              </w:rPr>
              <w:t>Elektrokardiogram QT forlænget</w:t>
            </w:r>
          </w:p>
          <w:p w14:paraId="32DB95D1" w14:textId="77777777" w:rsidR="00726C46" w:rsidRPr="00DC7611" w:rsidRDefault="00726C46">
            <w:pPr>
              <w:rPr>
                <w:noProof/>
                <w:sz w:val="24"/>
                <w:szCs w:val="24"/>
                <w:lang w:val="da-DK"/>
              </w:rPr>
            </w:pPr>
            <w:proofErr w:type="spellStart"/>
            <w:r w:rsidRPr="00DC7611">
              <w:rPr>
                <w:sz w:val="24"/>
                <w:szCs w:val="24"/>
                <w:lang w:val="da-DK"/>
              </w:rPr>
              <w:t>Torsade</w:t>
            </w:r>
            <w:proofErr w:type="spellEnd"/>
            <w:r w:rsidRPr="00DC7611">
              <w:rPr>
                <w:sz w:val="24"/>
                <w:szCs w:val="24"/>
                <w:lang w:val="da-DK"/>
              </w:rPr>
              <w:t xml:space="preserve"> de pointes</w:t>
            </w:r>
          </w:p>
        </w:tc>
      </w:tr>
      <w:tr w:rsidR="00726C46" w:rsidRPr="00DC7611" w14:paraId="118EA5E3"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22E3EB7" w14:textId="2173F3C0" w:rsidR="00726C46" w:rsidRPr="00DC7611" w:rsidRDefault="00726C46" w:rsidP="00405F39">
            <w:pPr>
              <w:rPr>
                <w:noProof/>
                <w:sz w:val="24"/>
                <w:szCs w:val="24"/>
                <w:lang w:val="da-DK"/>
              </w:rPr>
            </w:pPr>
            <w:r w:rsidRPr="00DC7611">
              <w:rPr>
                <w:i/>
                <w:iCs/>
                <w:noProof/>
                <w:sz w:val="24"/>
                <w:szCs w:val="24"/>
                <w:lang w:val="da-DK"/>
              </w:rPr>
              <w:t>Vaskulære sygdomme</w:t>
            </w:r>
          </w:p>
        </w:tc>
        <w:tc>
          <w:tcPr>
            <w:tcW w:w="1087" w:type="pct"/>
            <w:tcBorders>
              <w:top w:val="single" w:sz="4" w:space="0" w:color="auto"/>
              <w:left w:val="single" w:sz="4" w:space="0" w:color="auto"/>
              <w:bottom w:val="single" w:sz="4" w:space="0" w:color="auto"/>
              <w:right w:val="single" w:sz="4" w:space="0" w:color="auto"/>
            </w:tcBorders>
            <w:hideMark/>
          </w:tcPr>
          <w:p w14:paraId="7328E9EA" w14:textId="77777777" w:rsidR="00726C46" w:rsidRPr="00DC7611" w:rsidRDefault="00726C46">
            <w:pPr>
              <w:jc w:val="center"/>
              <w:rPr>
                <w:sz w:val="24"/>
                <w:szCs w:val="24"/>
                <w:lang w:val="da-DK"/>
              </w:rPr>
            </w:pPr>
            <w:r w:rsidRPr="00DC7611">
              <w:rPr>
                <w:sz w:val="24"/>
                <w:szCs w:val="24"/>
                <w:lang w:val="da-DK"/>
              </w:rPr>
              <w:t>Almindelig</w:t>
            </w:r>
          </w:p>
        </w:tc>
        <w:tc>
          <w:tcPr>
            <w:tcW w:w="2710" w:type="pct"/>
            <w:tcBorders>
              <w:top w:val="single" w:sz="4" w:space="0" w:color="auto"/>
              <w:left w:val="single" w:sz="4" w:space="0" w:color="auto"/>
              <w:bottom w:val="single" w:sz="4" w:space="0" w:color="auto"/>
              <w:right w:val="single" w:sz="4" w:space="0" w:color="auto"/>
            </w:tcBorders>
            <w:hideMark/>
          </w:tcPr>
          <w:p w14:paraId="03A2A488" w14:textId="77777777" w:rsidR="00726C46" w:rsidRPr="00DC7611" w:rsidRDefault="00726C46">
            <w:pPr>
              <w:rPr>
                <w:sz w:val="24"/>
                <w:szCs w:val="24"/>
                <w:lang w:val="da-DK"/>
              </w:rPr>
            </w:pPr>
            <w:r w:rsidRPr="00DC7611">
              <w:rPr>
                <w:sz w:val="24"/>
                <w:szCs w:val="24"/>
                <w:lang w:val="da-DK"/>
              </w:rPr>
              <w:t>Hypotension, specielt ved intravenøs administration</w:t>
            </w:r>
          </w:p>
        </w:tc>
      </w:tr>
      <w:tr w:rsidR="00726C46" w:rsidRPr="00DC7611" w14:paraId="66252023"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287EBCF3" w14:textId="77777777" w:rsidR="00726C46" w:rsidRPr="00DC7611" w:rsidRDefault="00726C46">
            <w:pPr>
              <w:rPr>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212374B2" w14:textId="77777777" w:rsidR="00726C46" w:rsidRPr="00DC7611" w:rsidRDefault="00726C46">
            <w:pPr>
              <w:jc w:val="center"/>
              <w:rPr>
                <w:sz w:val="24"/>
                <w:szCs w:val="24"/>
                <w:lang w:val="da-DK"/>
              </w:rPr>
            </w:pPr>
            <w:r w:rsidRPr="00DC7611">
              <w:rPr>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68408FE7" w14:textId="77777777" w:rsidR="00726C46" w:rsidRPr="00DC7611" w:rsidRDefault="00726C46">
            <w:pPr>
              <w:rPr>
                <w:sz w:val="24"/>
                <w:szCs w:val="24"/>
                <w:lang w:val="da-DK"/>
              </w:rPr>
            </w:pPr>
            <w:r w:rsidRPr="00DC7611">
              <w:rPr>
                <w:sz w:val="24"/>
                <w:szCs w:val="24"/>
                <w:lang w:val="da-DK"/>
              </w:rPr>
              <w:t xml:space="preserve">Chok, synkope efter </w:t>
            </w:r>
            <w:proofErr w:type="spellStart"/>
            <w:r w:rsidRPr="00DC7611">
              <w:rPr>
                <w:sz w:val="24"/>
                <w:szCs w:val="24"/>
                <w:lang w:val="da-DK"/>
              </w:rPr>
              <w:t>injicerbar</w:t>
            </w:r>
            <w:proofErr w:type="spellEnd"/>
            <w:r w:rsidRPr="00DC7611">
              <w:rPr>
                <w:sz w:val="24"/>
                <w:szCs w:val="24"/>
                <w:lang w:val="da-DK"/>
              </w:rPr>
              <w:t xml:space="preserve"> brug</w:t>
            </w:r>
          </w:p>
          <w:p w14:paraId="0FDD7673" w14:textId="77777777" w:rsidR="00726C46" w:rsidRPr="00DC7611" w:rsidRDefault="00726C46">
            <w:pPr>
              <w:rPr>
                <w:sz w:val="24"/>
                <w:szCs w:val="24"/>
                <w:lang w:val="da-DK"/>
              </w:rPr>
            </w:pPr>
            <w:r w:rsidRPr="00DC7611">
              <w:rPr>
                <w:sz w:val="24"/>
                <w:szCs w:val="24"/>
                <w:lang w:val="da-DK"/>
              </w:rPr>
              <w:t xml:space="preserve">Akut hypertension hos patienter med </w:t>
            </w:r>
            <w:proofErr w:type="spellStart"/>
            <w:r w:rsidRPr="00DC7611">
              <w:rPr>
                <w:sz w:val="24"/>
                <w:szCs w:val="24"/>
                <w:lang w:val="da-DK"/>
              </w:rPr>
              <w:t>fæokromocytom</w:t>
            </w:r>
            <w:proofErr w:type="spellEnd"/>
            <w:r w:rsidRPr="00DC7611">
              <w:rPr>
                <w:sz w:val="24"/>
                <w:szCs w:val="24"/>
                <w:lang w:val="da-DK"/>
              </w:rPr>
              <w:t xml:space="preserve"> (se pkt. 4.3)</w:t>
            </w:r>
          </w:p>
          <w:p w14:paraId="3E15D1F9" w14:textId="77777777" w:rsidR="00726C46" w:rsidRPr="00DC7611" w:rsidRDefault="00726C46">
            <w:pPr>
              <w:rPr>
                <w:sz w:val="24"/>
                <w:szCs w:val="24"/>
                <w:lang w:val="da-DK"/>
              </w:rPr>
            </w:pPr>
            <w:r w:rsidRPr="00DC7611">
              <w:rPr>
                <w:sz w:val="24"/>
                <w:szCs w:val="24"/>
                <w:lang w:val="da-DK"/>
              </w:rPr>
              <w:t xml:space="preserve">Forbigående stigning i blodtrykket </w:t>
            </w:r>
          </w:p>
        </w:tc>
      </w:tr>
      <w:tr w:rsidR="00726C46" w:rsidRPr="00DC7611" w14:paraId="2E9F2D4A" w14:textId="77777777" w:rsidTr="006207AB">
        <w:tc>
          <w:tcPr>
            <w:tcW w:w="1203" w:type="pct"/>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4EC106" w14:textId="77777777" w:rsidR="00726C46" w:rsidRPr="00DC7611" w:rsidRDefault="00726C46">
            <w:pPr>
              <w:rPr>
                <w:bCs/>
                <w:i/>
                <w:iCs/>
                <w:noProof/>
                <w:sz w:val="24"/>
                <w:szCs w:val="24"/>
                <w:lang w:val="da-DK"/>
              </w:rPr>
            </w:pPr>
            <w:r w:rsidRPr="00DC7611">
              <w:rPr>
                <w:bCs/>
                <w:i/>
                <w:iCs/>
                <w:sz w:val="24"/>
                <w:szCs w:val="24"/>
                <w:lang w:val="da-DK"/>
              </w:rPr>
              <w:t xml:space="preserve">Mave-tarm-kanalen </w:t>
            </w:r>
          </w:p>
        </w:tc>
        <w:tc>
          <w:tcPr>
            <w:tcW w:w="1087" w:type="pct"/>
            <w:tcBorders>
              <w:top w:val="single" w:sz="4" w:space="0" w:color="auto"/>
              <w:left w:val="single" w:sz="4" w:space="0" w:color="auto"/>
              <w:bottom w:val="single" w:sz="4" w:space="0" w:color="auto"/>
              <w:right w:val="single" w:sz="4" w:space="0" w:color="auto"/>
            </w:tcBorders>
            <w:hideMark/>
          </w:tcPr>
          <w:p w14:paraId="1D4FC2A5" w14:textId="77777777" w:rsidR="00726C46" w:rsidRPr="00DC7611" w:rsidRDefault="00726C46">
            <w:pPr>
              <w:jc w:val="center"/>
              <w:rPr>
                <w:sz w:val="24"/>
                <w:szCs w:val="24"/>
                <w:lang w:val="da-DK"/>
              </w:rPr>
            </w:pPr>
            <w:r w:rsidRPr="00DC7611">
              <w:rPr>
                <w:sz w:val="24"/>
                <w:szCs w:val="24"/>
                <w:lang w:val="da-DK"/>
              </w:rPr>
              <w:t>Almindelig</w:t>
            </w:r>
          </w:p>
        </w:tc>
        <w:tc>
          <w:tcPr>
            <w:tcW w:w="2710" w:type="pct"/>
            <w:tcBorders>
              <w:top w:val="single" w:sz="4" w:space="0" w:color="auto"/>
              <w:left w:val="single" w:sz="4" w:space="0" w:color="auto"/>
              <w:bottom w:val="single" w:sz="4" w:space="0" w:color="auto"/>
              <w:right w:val="single" w:sz="4" w:space="0" w:color="auto"/>
            </w:tcBorders>
            <w:hideMark/>
          </w:tcPr>
          <w:p w14:paraId="17EB0804" w14:textId="77777777" w:rsidR="00726C46" w:rsidRPr="00DC7611" w:rsidRDefault="00726C46">
            <w:pPr>
              <w:rPr>
                <w:sz w:val="24"/>
                <w:szCs w:val="24"/>
                <w:lang w:val="da-DK"/>
              </w:rPr>
            </w:pPr>
            <w:r w:rsidRPr="00DC7611">
              <w:rPr>
                <w:sz w:val="24"/>
                <w:szCs w:val="24"/>
                <w:lang w:val="da-DK"/>
              </w:rPr>
              <w:t>Diarré</w:t>
            </w:r>
          </w:p>
        </w:tc>
      </w:tr>
      <w:tr w:rsidR="00726C46" w:rsidRPr="00DC7611" w14:paraId="7F44775D" w14:textId="77777777" w:rsidTr="006207AB">
        <w:tc>
          <w:tcPr>
            <w:tcW w:w="1203" w:type="pct"/>
            <w:vMerge/>
            <w:tcBorders>
              <w:top w:val="single" w:sz="4" w:space="0" w:color="auto"/>
              <w:left w:val="single" w:sz="4" w:space="0" w:color="auto"/>
              <w:bottom w:val="single" w:sz="4" w:space="0" w:color="auto"/>
              <w:right w:val="single" w:sz="4" w:space="0" w:color="auto"/>
            </w:tcBorders>
            <w:vAlign w:val="center"/>
            <w:hideMark/>
          </w:tcPr>
          <w:p w14:paraId="2B992D53" w14:textId="77777777" w:rsidR="00726C46" w:rsidRPr="00DC7611" w:rsidRDefault="00726C46">
            <w:pPr>
              <w:rPr>
                <w:bCs/>
                <w:i/>
                <w:iCs/>
                <w:noProof/>
                <w:sz w:val="24"/>
                <w:szCs w:val="24"/>
                <w:lang w:val="da-DK"/>
              </w:rPr>
            </w:pPr>
          </w:p>
        </w:tc>
        <w:tc>
          <w:tcPr>
            <w:tcW w:w="1087" w:type="pct"/>
            <w:tcBorders>
              <w:top w:val="single" w:sz="4" w:space="0" w:color="auto"/>
              <w:left w:val="single" w:sz="4" w:space="0" w:color="auto"/>
              <w:bottom w:val="single" w:sz="4" w:space="0" w:color="auto"/>
              <w:right w:val="single" w:sz="4" w:space="0" w:color="auto"/>
            </w:tcBorders>
            <w:hideMark/>
          </w:tcPr>
          <w:p w14:paraId="2E6CA0E5" w14:textId="77777777" w:rsidR="00726C46" w:rsidRPr="00DC7611" w:rsidRDefault="00726C46">
            <w:pPr>
              <w:jc w:val="center"/>
              <w:rPr>
                <w:sz w:val="24"/>
                <w:szCs w:val="24"/>
                <w:lang w:val="da-DK"/>
              </w:rPr>
            </w:pPr>
            <w:r w:rsidRPr="00DC7611">
              <w:rPr>
                <w:sz w:val="24"/>
                <w:szCs w:val="24"/>
                <w:lang w:val="da-DK"/>
              </w:rPr>
              <w:t>Ikke kendt</w:t>
            </w:r>
          </w:p>
        </w:tc>
        <w:tc>
          <w:tcPr>
            <w:tcW w:w="2710" w:type="pct"/>
            <w:tcBorders>
              <w:top w:val="single" w:sz="4" w:space="0" w:color="auto"/>
              <w:left w:val="single" w:sz="4" w:space="0" w:color="auto"/>
              <w:bottom w:val="single" w:sz="4" w:space="0" w:color="auto"/>
              <w:right w:val="single" w:sz="4" w:space="0" w:color="auto"/>
            </w:tcBorders>
            <w:hideMark/>
          </w:tcPr>
          <w:p w14:paraId="18653F92" w14:textId="77777777" w:rsidR="00726C46" w:rsidRPr="00DC7611" w:rsidRDefault="00726C46">
            <w:pPr>
              <w:rPr>
                <w:sz w:val="24"/>
                <w:szCs w:val="24"/>
                <w:lang w:val="da-DK"/>
              </w:rPr>
            </w:pPr>
            <w:proofErr w:type="spellStart"/>
            <w:r w:rsidRPr="00DC7611">
              <w:rPr>
                <w:sz w:val="24"/>
                <w:szCs w:val="24"/>
                <w:lang w:val="da-DK"/>
              </w:rPr>
              <w:t>Xerostomi</w:t>
            </w:r>
            <w:proofErr w:type="spellEnd"/>
            <w:r w:rsidRPr="00DC7611">
              <w:rPr>
                <w:sz w:val="24"/>
                <w:szCs w:val="24"/>
                <w:lang w:val="da-DK"/>
              </w:rPr>
              <w:t xml:space="preserve"> (forekommer i isolerede tilfælde, især ved højdosis </w:t>
            </w:r>
            <w:proofErr w:type="spellStart"/>
            <w:r w:rsidRPr="00DC7611">
              <w:rPr>
                <w:sz w:val="24"/>
                <w:szCs w:val="24"/>
                <w:lang w:val="da-DK"/>
              </w:rPr>
              <w:t>metoclopramid</w:t>
            </w:r>
            <w:proofErr w:type="spellEnd"/>
            <w:r w:rsidRPr="00DC7611">
              <w:rPr>
                <w:sz w:val="24"/>
                <w:szCs w:val="24"/>
                <w:lang w:val="da-DK"/>
              </w:rPr>
              <w:t>)</w:t>
            </w:r>
          </w:p>
        </w:tc>
      </w:tr>
      <w:tr w:rsidR="00726C46" w:rsidRPr="00DC7611" w14:paraId="188E5A3B" w14:textId="77777777" w:rsidTr="006207AB">
        <w:tc>
          <w:tcPr>
            <w:tcW w:w="120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A414E3" w14:textId="77777777" w:rsidR="00726C46" w:rsidRPr="00DC7611" w:rsidRDefault="00726C46">
            <w:pPr>
              <w:rPr>
                <w:bCs/>
                <w:i/>
                <w:iCs/>
                <w:sz w:val="24"/>
                <w:szCs w:val="24"/>
                <w:lang w:val="da-DK"/>
              </w:rPr>
            </w:pPr>
            <w:r w:rsidRPr="00DC7611">
              <w:rPr>
                <w:bCs/>
                <w:i/>
                <w:iCs/>
                <w:sz w:val="24"/>
                <w:szCs w:val="24"/>
                <w:lang w:val="da-DK"/>
              </w:rPr>
              <w:t>Hud og subkutane væv</w:t>
            </w:r>
          </w:p>
        </w:tc>
        <w:tc>
          <w:tcPr>
            <w:tcW w:w="1087" w:type="pct"/>
            <w:tcBorders>
              <w:top w:val="single" w:sz="4" w:space="0" w:color="auto"/>
              <w:left w:val="single" w:sz="4" w:space="0" w:color="auto"/>
              <w:bottom w:val="single" w:sz="4" w:space="0" w:color="auto"/>
              <w:right w:val="single" w:sz="4" w:space="0" w:color="auto"/>
            </w:tcBorders>
            <w:hideMark/>
          </w:tcPr>
          <w:p w14:paraId="31C203BC" w14:textId="77777777" w:rsidR="00726C46" w:rsidRPr="00DC7611" w:rsidRDefault="00726C46">
            <w:pPr>
              <w:jc w:val="center"/>
              <w:rPr>
                <w:sz w:val="24"/>
                <w:szCs w:val="24"/>
                <w:lang w:val="da-DK"/>
              </w:rPr>
            </w:pPr>
            <w:r w:rsidRPr="00DC7611">
              <w:rPr>
                <w:sz w:val="24"/>
                <w:szCs w:val="24"/>
                <w:lang w:val="da-DK"/>
              </w:rPr>
              <w:t>Meget sjælden</w:t>
            </w:r>
          </w:p>
        </w:tc>
        <w:tc>
          <w:tcPr>
            <w:tcW w:w="2710" w:type="pct"/>
            <w:tcBorders>
              <w:top w:val="single" w:sz="4" w:space="0" w:color="auto"/>
              <w:left w:val="single" w:sz="4" w:space="0" w:color="auto"/>
              <w:bottom w:val="single" w:sz="4" w:space="0" w:color="auto"/>
              <w:right w:val="single" w:sz="4" w:space="0" w:color="auto"/>
            </w:tcBorders>
            <w:hideMark/>
          </w:tcPr>
          <w:p w14:paraId="7B1610C5" w14:textId="77777777" w:rsidR="00726C46" w:rsidRPr="00DC7611" w:rsidRDefault="00726C46">
            <w:pPr>
              <w:rPr>
                <w:sz w:val="24"/>
                <w:szCs w:val="24"/>
                <w:lang w:val="da-DK"/>
              </w:rPr>
            </w:pPr>
            <w:proofErr w:type="spellStart"/>
            <w:r w:rsidRPr="00DC7611">
              <w:rPr>
                <w:sz w:val="24"/>
                <w:szCs w:val="24"/>
                <w:lang w:val="da-DK"/>
              </w:rPr>
              <w:t>Eksantem</w:t>
            </w:r>
            <w:proofErr w:type="spellEnd"/>
          </w:p>
        </w:tc>
      </w:tr>
      <w:tr w:rsidR="00726C46" w:rsidRPr="00DC7611" w14:paraId="537F1E4A" w14:textId="77777777" w:rsidTr="006207AB">
        <w:tc>
          <w:tcPr>
            <w:tcW w:w="1203" w:type="pct"/>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82840A8" w14:textId="77777777" w:rsidR="00726C46" w:rsidRPr="00DC7611" w:rsidRDefault="00726C46">
            <w:pPr>
              <w:rPr>
                <w:bCs/>
                <w:i/>
                <w:iCs/>
                <w:sz w:val="24"/>
                <w:szCs w:val="24"/>
                <w:lang w:val="da-DK"/>
              </w:rPr>
            </w:pPr>
            <w:r w:rsidRPr="00DC7611">
              <w:rPr>
                <w:bCs/>
                <w:i/>
                <w:iCs/>
                <w:sz w:val="24"/>
                <w:szCs w:val="24"/>
                <w:lang w:val="da-DK"/>
              </w:rPr>
              <w:t>Almene symptomer og reaktioner på administrationsstedet</w:t>
            </w:r>
          </w:p>
        </w:tc>
        <w:tc>
          <w:tcPr>
            <w:tcW w:w="1087" w:type="pct"/>
            <w:tcBorders>
              <w:top w:val="single" w:sz="4" w:space="0" w:color="auto"/>
              <w:left w:val="single" w:sz="4" w:space="0" w:color="auto"/>
              <w:bottom w:val="single" w:sz="4" w:space="0" w:color="auto"/>
              <w:right w:val="single" w:sz="4" w:space="0" w:color="auto"/>
            </w:tcBorders>
            <w:hideMark/>
          </w:tcPr>
          <w:p w14:paraId="2B4541DA" w14:textId="77777777" w:rsidR="00726C46" w:rsidRPr="00DC7611" w:rsidRDefault="00726C46">
            <w:pPr>
              <w:jc w:val="center"/>
              <w:rPr>
                <w:sz w:val="24"/>
                <w:szCs w:val="24"/>
                <w:lang w:val="da-DK"/>
              </w:rPr>
            </w:pPr>
            <w:r w:rsidRPr="00DC7611">
              <w:rPr>
                <w:sz w:val="24"/>
                <w:szCs w:val="24"/>
                <w:lang w:val="da-DK"/>
              </w:rPr>
              <w:t>Almindelig</w:t>
            </w:r>
          </w:p>
        </w:tc>
        <w:tc>
          <w:tcPr>
            <w:tcW w:w="2710" w:type="pct"/>
            <w:tcBorders>
              <w:top w:val="single" w:sz="4" w:space="0" w:color="auto"/>
              <w:left w:val="single" w:sz="4" w:space="0" w:color="auto"/>
              <w:bottom w:val="single" w:sz="4" w:space="0" w:color="auto"/>
              <w:right w:val="single" w:sz="4" w:space="0" w:color="auto"/>
            </w:tcBorders>
            <w:hideMark/>
          </w:tcPr>
          <w:p w14:paraId="1AFC135A" w14:textId="77777777" w:rsidR="00726C46" w:rsidRPr="00DC7611" w:rsidRDefault="00726C46">
            <w:pPr>
              <w:rPr>
                <w:sz w:val="24"/>
                <w:szCs w:val="24"/>
                <w:lang w:val="da-DK"/>
              </w:rPr>
            </w:pPr>
            <w:r w:rsidRPr="00DC7611">
              <w:rPr>
                <w:sz w:val="24"/>
                <w:szCs w:val="24"/>
                <w:lang w:val="da-DK"/>
              </w:rPr>
              <w:t>Asteni</w:t>
            </w:r>
          </w:p>
        </w:tc>
      </w:tr>
      <w:tr w:rsidR="00726C46" w:rsidRPr="00DC7611" w14:paraId="4AAE8609" w14:textId="77777777" w:rsidTr="006207AB">
        <w:tc>
          <w:tcPr>
            <w:tcW w:w="5000" w:type="pct"/>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14:paraId="4EB9D85F" w14:textId="77777777" w:rsidR="00726C46" w:rsidRPr="00DC7611" w:rsidRDefault="00726C46">
            <w:pPr>
              <w:rPr>
                <w:sz w:val="24"/>
                <w:szCs w:val="24"/>
                <w:lang w:val="da-DK"/>
              </w:rPr>
            </w:pPr>
            <w:r w:rsidRPr="00DC7611">
              <w:rPr>
                <w:sz w:val="24"/>
                <w:szCs w:val="24"/>
                <w:lang w:val="da-DK"/>
              </w:rPr>
              <w:t xml:space="preserve">*Endokrine lidelser under forlænget behandling i forbindelse med </w:t>
            </w:r>
            <w:proofErr w:type="spellStart"/>
            <w:r w:rsidRPr="00DC7611">
              <w:rPr>
                <w:sz w:val="24"/>
                <w:szCs w:val="24"/>
                <w:lang w:val="da-DK"/>
              </w:rPr>
              <w:t>hyperprolaktinæmi</w:t>
            </w:r>
            <w:proofErr w:type="spellEnd"/>
            <w:r w:rsidRPr="00DC7611">
              <w:rPr>
                <w:sz w:val="24"/>
                <w:szCs w:val="24"/>
                <w:lang w:val="da-DK"/>
              </w:rPr>
              <w:t xml:space="preserve"> (</w:t>
            </w:r>
            <w:proofErr w:type="spellStart"/>
            <w:r w:rsidRPr="00DC7611">
              <w:rPr>
                <w:sz w:val="24"/>
                <w:szCs w:val="24"/>
                <w:lang w:val="da-DK"/>
              </w:rPr>
              <w:t>amenoré</w:t>
            </w:r>
            <w:proofErr w:type="spellEnd"/>
            <w:r w:rsidRPr="00DC7611">
              <w:rPr>
                <w:sz w:val="24"/>
                <w:szCs w:val="24"/>
                <w:lang w:val="da-DK"/>
              </w:rPr>
              <w:t xml:space="preserve">, </w:t>
            </w:r>
            <w:proofErr w:type="spellStart"/>
            <w:r w:rsidRPr="00DC7611">
              <w:rPr>
                <w:sz w:val="24"/>
                <w:szCs w:val="24"/>
                <w:lang w:val="da-DK"/>
              </w:rPr>
              <w:t>galaktoré</w:t>
            </w:r>
            <w:proofErr w:type="spellEnd"/>
            <w:r w:rsidRPr="00DC7611">
              <w:rPr>
                <w:sz w:val="24"/>
                <w:szCs w:val="24"/>
                <w:lang w:val="da-DK"/>
              </w:rPr>
              <w:t xml:space="preserve">, </w:t>
            </w:r>
            <w:proofErr w:type="spellStart"/>
            <w:r w:rsidRPr="00DC7611">
              <w:rPr>
                <w:sz w:val="24"/>
                <w:szCs w:val="24"/>
                <w:lang w:val="da-DK"/>
              </w:rPr>
              <w:t>gynækomasti</w:t>
            </w:r>
            <w:proofErr w:type="spellEnd"/>
            <w:r w:rsidRPr="00DC7611">
              <w:rPr>
                <w:sz w:val="24"/>
                <w:szCs w:val="24"/>
                <w:lang w:val="da-DK"/>
              </w:rPr>
              <w:t>)</w:t>
            </w:r>
          </w:p>
        </w:tc>
      </w:tr>
    </w:tbl>
    <w:p w14:paraId="2458D2B9" w14:textId="77777777" w:rsidR="00726C46" w:rsidRPr="00C41A7E" w:rsidRDefault="00726C46" w:rsidP="00726C46">
      <w:pPr>
        <w:rPr>
          <w:noProof/>
          <w:sz w:val="24"/>
          <w:szCs w:val="24"/>
        </w:rPr>
      </w:pPr>
    </w:p>
    <w:p w14:paraId="7E98D9AC" w14:textId="77777777" w:rsidR="00726C46" w:rsidRPr="00C41A7E" w:rsidRDefault="00726C46" w:rsidP="006207AB">
      <w:pPr>
        <w:ind w:left="851"/>
        <w:rPr>
          <w:noProof/>
          <w:sz w:val="24"/>
          <w:szCs w:val="24"/>
        </w:rPr>
      </w:pPr>
      <w:r w:rsidRPr="00C41A7E">
        <w:rPr>
          <w:noProof/>
          <w:sz w:val="24"/>
          <w:szCs w:val="24"/>
        </w:rPr>
        <w:t>De følgende reaktioner, som der sommetider er forbundne, forekommer hyppigere, når der anvendes høje doser:</w:t>
      </w:r>
    </w:p>
    <w:p w14:paraId="48E38CDA" w14:textId="77777777" w:rsidR="00726C46" w:rsidRPr="00405F39" w:rsidRDefault="00726C46" w:rsidP="00405F39">
      <w:pPr>
        <w:pStyle w:val="Listeafsnit"/>
        <w:numPr>
          <w:ilvl w:val="0"/>
          <w:numId w:val="13"/>
        </w:numPr>
        <w:ind w:left="1276" w:hanging="425"/>
        <w:rPr>
          <w:noProof/>
          <w:sz w:val="24"/>
          <w:szCs w:val="24"/>
        </w:rPr>
      </w:pPr>
      <w:r w:rsidRPr="00405F39">
        <w:rPr>
          <w:noProof/>
          <w:sz w:val="24"/>
          <w:szCs w:val="24"/>
        </w:rPr>
        <w:t>Ekstrapyramidale symptomer: akut dystoni og dyskinesi, parkinsonsyndrom, akatisi, selv efter administration af en enkelt dosis af lægemidlet, især hos børn og unge voksne (se pkt. 4.4).</w:t>
      </w:r>
    </w:p>
    <w:p w14:paraId="5C9F5A4A" w14:textId="77777777" w:rsidR="00726C46" w:rsidRPr="00405F39" w:rsidRDefault="00726C46" w:rsidP="00405F39">
      <w:pPr>
        <w:pStyle w:val="Listeafsnit"/>
        <w:numPr>
          <w:ilvl w:val="0"/>
          <w:numId w:val="13"/>
        </w:numPr>
        <w:ind w:left="1276" w:hanging="425"/>
        <w:rPr>
          <w:noProof/>
          <w:sz w:val="24"/>
          <w:szCs w:val="24"/>
        </w:rPr>
      </w:pPr>
      <w:r w:rsidRPr="00405F39">
        <w:rPr>
          <w:noProof/>
          <w:sz w:val="24"/>
          <w:szCs w:val="24"/>
        </w:rPr>
        <w:t>Døsighed, nedsat bevidsthedsniveau, forvirring, hallucinationer.</w:t>
      </w:r>
    </w:p>
    <w:p w14:paraId="6857B394" w14:textId="605D7932" w:rsidR="00DC7611" w:rsidRDefault="00DC7611">
      <w:pPr>
        <w:rPr>
          <w:noProof/>
          <w:sz w:val="24"/>
          <w:szCs w:val="24"/>
        </w:rPr>
      </w:pPr>
      <w:r>
        <w:rPr>
          <w:noProof/>
          <w:sz w:val="24"/>
          <w:szCs w:val="24"/>
        </w:rPr>
        <w:br w:type="page"/>
      </w:r>
    </w:p>
    <w:p w14:paraId="7CFF5205" w14:textId="77777777" w:rsidR="00726C46" w:rsidRPr="00C41A7E" w:rsidRDefault="00726C46" w:rsidP="006207AB">
      <w:pPr>
        <w:ind w:left="851"/>
        <w:rPr>
          <w:noProof/>
          <w:sz w:val="24"/>
          <w:szCs w:val="24"/>
        </w:rPr>
      </w:pPr>
    </w:p>
    <w:p w14:paraId="079127C9" w14:textId="77777777" w:rsidR="00726C46" w:rsidRPr="00C41A7E" w:rsidRDefault="00726C46" w:rsidP="006207AB">
      <w:pPr>
        <w:ind w:left="851"/>
        <w:rPr>
          <w:sz w:val="24"/>
          <w:szCs w:val="24"/>
          <w:u w:val="single"/>
        </w:rPr>
      </w:pPr>
      <w:r w:rsidRPr="00C41A7E">
        <w:rPr>
          <w:noProof/>
          <w:sz w:val="24"/>
          <w:szCs w:val="24"/>
          <w:u w:val="single"/>
        </w:rPr>
        <w:t>Indberetning af formodede bivirkninger</w:t>
      </w:r>
    </w:p>
    <w:p w14:paraId="66AFF686" w14:textId="77777777" w:rsidR="00726C46" w:rsidRPr="00C41A7E" w:rsidRDefault="00726C46" w:rsidP="006207AB">
      <w:pPr>
        <w:ind w:left="851"/>
        <w:rPr>
          <w:noProof/>
          <w:sz w:val="24"/>
          <w:szCs w:val="24"/>
        </w:rPr>
      </w:pPr>
      <w:r w:rsidRPr="00C41A7E">
        <w:rPr>
          <w:noProof/>
          <w:sz w:val="24"/>
          <w:szCs w:val="24"/>
        </w:rPr>
        <w:t>Når lægemidlet er godkendt, er indberetning af formodede bivirkninger vigtig.</w:t>
      </w:r>
      <w:r w:rsidRPr="00C41A7E">
        <w:rPr>
          <w:sz w:val="24"/>
          <w:szCs w:val="24"/>
        </w:rPr>
        <w:t xml:space="preserve"> </w:t>
      </w:r>
      <w:r w:rsidRPr="00C41A7E">
        <w:rPr>
          <w:noProof/>
          <w:sz w:val="24"/>
          <w:szCs w:val="24"/>
        </w:rPr>
        <w:t>Det muliggør løbende overvågning af benefit/risk-forholdet for lægemidlet.</w:t>
      </w:r>
      <w:r w:rsidRPr="00C41A7E">
        <w:rPr>
          <w:sz w:val="24"/>
          <w:szCs w:val="24"/>
        </w:rPr>
        <w:t xml:space="preserve"> </w:t>
      </w:r>
      <w:r w:rsidRPr="00C41A7E">
        <w:rPr>
          <w:noProof/>
          <w:sz w:val="24"/>
          <w:szCs w:val="24"/>
        </w:rPr>
        <w:t>Sundhedspersoner anmodes om at indberette alle formodede bivirkninger via:</w:t>
      </w:r>
    </w:p>
    <w:p w14:paraId="07916ED7" w14:textId="77777777" w:rsidR="00726C46" w:rsidRPr="00C41A7E" w:rsidRDefault="00726C46" w:rsidP="006207AB">
      <w:pPr>
        <w:ind w:left="851"/>
        <w:rPr>
          <w:noProof/>
          <w:sz w:val="24"/>
          <w:szCs w:val="24"/>
        </w:rPr>
      </w:pPr>
    </w:p>
    <w:p w14:paraId="7155E0C1" w14:textId="77777777" w:rsidR="00726C46" w:rsidRPr="00C41A7E" w:rsidRDefault="00726C46" w:rsidP="006207AB">
      <w:pPr>
        <w:ind w:left="851"/>
        <w:rPr>
          <w:noProof/>
          <w:sz w:val="24"/>
          <w:szCs w:val="24"/>
        </w:rPr>
      </w:pPr>
      <w:r w:rsidRPr="00C41A7E">
        <w:rPr>
          <w:noProof/>
          <w:sz w:val="24"/>
          <w:szCs w:val="24"/>
        </w:rPr>
        <w:t xml:space="preserve">Lægemiddelstyrelsen </w:t>
      </w:r>
    </w:p>
    <w:p w14:paraId="069C443A" w14:textId="77777777" w:rsidR="00726C46" w:rsidRPr="00C41A7E" w:rsidRDefault="00726C46" w:rsidP="006207AB">
      <w:pPr>
        <w:ind w:left="851"/>
        <w:rPr>
          <w:noProof/>
          <w:sz w:val="24"/>
          <w:szCs w:val="24"/>
        </w:rPr>
      </w:pPr>
      <w:r w:rsidRPr="00C41A7E">
        <w:rPr>
          <w:noProof/>
          <w:sz w:val="24"/>
          <w:szCs w:val="24"/>
        </w:rPr>
        <w:t>Axel Heides Gade 1</w:t>
      </w:r>
    </w:p>
    <w:p w14:paraId="33F21F24" w14:textId="77777777" w:rsidR="00726C46" w:rsidRPr="00C41A7E" w:rsidRDefault="00726C46" w:rsidP="006207AB">
      <w:pPr>
        <w:ind w:left="851"/>
        <w:rPr>
          <w:noProof/>
          <w:sz w:val="24"/>
          <w:szCs w:val="24"/>
        </w:rPr>
      </w:pPr>
      <w:r w:rsidRPr="00C41A7E">
        <w:rPr>
          <w:noProof/>
          <w:sz w:val="24"/>
          <w:szCs w:val="24"/>
        </w:rPr>
        <w:t>DK-2300 København S</w:t>
      </w:r>
    </w:p>
    <w:p w14:paraId="6AA17926" w14:textId="77777777" w:rsidR="00726C46" w:rsidRPr="00C41A7E" w:rsidRDefault="00726C46" w:rsidP="006207AB">
      <w:pPr>
        <w:ind w:left="851"/>
        <w:rPr>
          <w:noProof/>
          <w:sz w:val="24"/>
          <w:szCs w:val="24"/>
        </w:rPr>
      </w:pPr>
      <w:r w:rsidRPr="00C41A7E">
        <w:rPr>
          <w:noProof/>
          <w:sz w:val="24"/>
          <w:szCs w:val="24"/>
        </w:rPr>
        <w:t>Websted: www.meldenbivirkning.dk</w:t>
      </w:r>
    </w:p>
    <w:p w14:paraId="1C39E809" w14:textId="77777777" w:rsidR="009260DE" w:rsidRPr="00C41A7E" w:rsidRDefault="009260DE" w:rsidP="00A10294">
      <w:pPr>
        <w:tabs>
          <w:tab w:val="left" w:pos="851"/>
        </w:tabs>
        <w:ind w:left="851"/>
        <w:rPr>
          <w:sz w:val="24"/>
          <w:szCs w:val="24"/>
        </w:rPr>
      </w:pPr>
    </w:p>
    <w:p w14:paraId="74876321" w14:textId="77777777" w:rsidR="009260DE" w:rsidRPr="00C41A7E" w:rsidRDefault="009260DE" w:rsidP="009260DE">
      <w:pPr>
        <w:tabs>
          <w:tab w:val="left" w:pos="851"/>
        </w:tabs>
        <w:ind w:left="851" w:hanging="851"/>
        <w:rPr>
          <w:b/>
          <w:sz w:val="24"/>
          <w:szCs w:val="24"/>
        </w:rPr>
      </w:pPr>
      <w:r w:rsidRPr="00C41A7E">
        <w:rPr>
          <w:b/>
          <w:sz w:val="24"/>
          <w:szCs w:val="24"/>
        </w:rPr>
        <w:t>4.9</w:t>
      </w:r>
      <w:r w:rsidRPr="00C41A7E">
        <w:rPr>
          <w:b/>
          <w:sz w:val="24"/>
          <w:szCs w:val="24"/>
        </w:rPr>
        <w:tab/>
        <w:t>Overdosering</w:t>
      </w:r>
    </w:p>
    <w:p w14:paraId="11EFE772" w14:textId="77777777" w:rsidR="00405F39" w:rsidRDefault="00405F39" w:rsidP="006207AB">
      <w:pPr>
        <w:ind w:left="851"/>
        <w:rPr>
          <w:sz w:val="24"/>
          <w:szCs w:val="24"/>
        </w:rPr>
      </w:pPr>
    </w:p>
    <w:p w14:paraId="537D311B" w14:textId="2881ADA9" w:rsidR="00726C46" w:rsidRPr="00405F39" w:rsidRDefault="00726C46" w:rsidP="006207AB">
      <w:pPr>
        <w:ind w:left="851"/>
        <w:rPr>
          <w:sz w:val="24"/>
          <w:szCs w:val="24"/>
          <w:u w:val="single"/>
        </w:rPr>
      </w:pPr>
      <w:r w:rsidRPr="00405F39">
        <w:rPr>
          <w:sz w:val="24"/>
          <w:szCs w:val="24"/>
          <w:u w:val="single"/>
        </w:rPr>
        <w:t>Symptomer</w:t>
      </w:r>
    </w:p>
    <w:p w14:paraId="04D1C648" w14:textId="77777777" w:rsidR="00726C46" w:rsidRPr="00C41A7E" w:rsidRDefault="00726C46" w:rsidP="006207AB">
      <w:pPr>
        <w:ind w:left="851"/>
        <w:rPr>
          <w:sz w:val="24"/>
          <w:szCs w:val="24"/>
        </w:rPr>
      </w:pPr>
      <w:r w:rsidRPr="00C41A7E">
        <w:rPr>
          <w:sz w:val="24"/>
          <w:szCs w:val="24"/>
        </w:rPr>
        <w:t xml:space="preserve">Ekstrapyramidale lidelser, døsighed, nedsat bevidsthedsniveau, forvirring, hallucinationer og irritabilitet, rastløshed eller forværring af rastløshed, </w:t>
      </w:r>
      <w:proofErr w:type="spellStart"/>
      <w:r w:rsidRPr="00C41A7E">
        <w:rPr>
          <w:sz w:val="24"/>
          <w:szCs w:val="24"/>
        </w:rPr>
        <w:t>hyperhydrose</w:t>
      </w:r>
      <w:proofErr w:type="spellEnd"/>
      <w:r w:rsidRPr="00C41A7E">
        <w:rPr>
          <w:sz w:val="24"/>
          <w:szCs w:val="24"/>
        </w:rPr>
        <w:t xml:space="preserve">, </w:t>
      </w:r>
      <w:proofErr w:type="spellStart"/>
      <w:r w:rsidRPr="00C41A7E">
        <w:rPr>
          <w:sz w:val="24"/>
          <w:szCs w:val="24"/>
        </w:rPr>
        <w:t>erytem</w:t>
      </w:r>
      <w:proofErr w:type="spellEnd"/>
      <w:r w:rsidRPr="00C41A7E">
        <w:rPr>
          <w:sz w:val="24"/>
          <w:szCs w:val="24"/>
        </w:rPr>
        <w:t xml:space="preserve">, kramper, lidelser i det </w:t>
      </w:r>
      <w:proofErr w:type="spellStart"/>
      <w:r w:rsidRPr="00C41A7E">
        <w:rPr>
          <w:sz w:val="24"/>
          <w:szCs w:val="24"/>
        </w:rPr>
        <w:t>kardiovaskulære</w:t>
      </w:r>
      <w:proofErr w:type="spellEnd"/>
      <w:r w:rsidRPr="00C41A7E">
        <w:rPr>
          <w:sz w:val="24"/>
          <w:szCs w:val="24"/>
        </w:rPr>
        <w:t xml:space="preserve"> system med bradykardi og stigning eller fald i blodtryk og hjerte-respirationsstop kan forekomme.</w:t>
      </w:r>
    </w:p>
    <w:p w14:paraId="7EB07A17" w14:textId="77777777" w:rsidR="00726C46" w:rsidRPr="00C41A7E" w:rsidRDefault="00726C46" w:rsidP="006207AB">
      <w:pPr>
        <w:ind w:left="851"/>
        <w:rPr>
          <w:sz w:val="24"/>
          <w:szCs w:val="24"/>
        </w:rPr>
      </w:pPr>
      <w:r w:rsidRPr="00C41A7E">
        <w:rPr>
          <w:sz w:val="24"/>
          <w:szCs w:val="24"/>
        </w:rPr>
        <w:t xml:space="preserve">I isolerede tilfælde er </w:t>
      </w:r>
      <w:proofErr w:type="spellStart"/>
      <w:r w:rsidRPr="00C41A7E">
        <w:rPr>
          <w:sz w:val="24"/>
          <w:szCs w:val="24"/>
        </w:rPr>
        <w:t>methæmoglobinæmi</w:t>
      </w:r>
      <w:proofErr w:type="spellEnd"/>
      <w:r w:rsidRPr="00C41A7E">
        <w:rPr>
          <w:sz w:val="24"/>
          <w:szCs w:val="24"/>
        </w:rPr>
        <w:t xml:space="preserve"> blevet rapporteret.</w:t>
      </w:r>
    </w:p>
    <w:p w14:paraId="5348BE90" w14:textId="77777777" w:rsidR="00726C46" w:rsidRPr="00C41A7E" w:rsidRDefault="00726C46" w:rsidP="006207AB">
      <w:pPr>
        <w:ind w:left="851"/>
        <w:rPr>
          <w:sz w:val="24"/>
          <w:szCs w:val="24"/>
        </w:rPr>
      </w:pPr>
    </w:p>
    <w:p w14:paraId="28C37E0B" w14:textId="77777777" w:rsidR="00726C46" w:rsidRPr="00405F39" w:rsidRDefault="00726C46" w:rsidP="006207AB">
      <w:pPr>
        <w:ind w:left="851"/>
        <w:rPr>
          <w:sz w:val="24"/>
          <w:szCs w:val="24"/>
          <w:u w:val="single"/>
        </w:rPr>
      </w:pPr>
      <w:r w:rsidRPr="00405F39">
        <w:rPr>
          <w:sz w:val="24"/>
          <w:szCs w:val="24"/>
          <w:u w:val="single"/>
        </w:rPr>
        <w:t>Behandling</w:t>
      </w:r>
    </w:p>
    <w:p w14:paraId="6EC73CC4" w14:textId="77777777" w:rsidR="00726C46" w:rsidRPr="00C41A7E" w:rsidRDefault="00726C46" w:rsidP="006207AB">
      <w:pPr>
        <w:ind w:left="851"/>
        <w:rPr>
          <w:sz w:val="24"/>
          <w:szCs w:val="24"/>
        </w:rPr>
      </w:pPr>
      <w:r w:rsidRPr="00C41A7E">
        <w:rPr>
          <w:sz w:val="24"/>
          <w:szCs w:val="24"/>
        </w:rPr>
        <w:t xml:space="preserve">I tilfælde af ekstrapyramidale symptomer, relateret eller ikke relateret til overdosering, er behandlingen udelukkende symptomatisk (benzodiazepiner hos børn og/eller </w:t>
      </w:r>
      <w:proofErr w:type="spellStart"/>
      <w:r w:rsidRPr="00C41A7E">
        <w:rPr>
          <w:sz w:val="24"/>
          <w:szCs w:val="24"/>
        </w:rPr>
        <w:t>antikolinerge</w:t>
      </w:r>
      <w:proofErr w:type="spellEnd"/>
      <w:r w:rsidRPr="00C41A7E">
        <w:rPr>
          <w:sz w:val="24"/>
          <w:szCs w:val="24"/>
        </w:rPr>
        <w:t xml:space="preserve"> </w:t>
      </w:r>
      <w:proofErr w:type="spellStart"/>
      <w:r w:rsidRPr="00C41A7E">
        <w:rPr>
          <w:sz w:val="24"/>
          <w:szCs w:val="24"/>
        </w:rPr>
        <w:t>antiparkinsonmidler</w:t>
      </w:r>
      <w:proofErr w:type="spellEnd"/>
      <w:r w:rsidRPr="00C41A7E">
        <w:rPr>
          <w:sz w:val="24"/>
          <w:szCs w:val="24"/>
        </w:rPr>
        <w:t xml:space="preserve"> hos voksne). </w:t>
      </w:r>
    </w:p>
    <w:p w14:paraId="6C73240F" w14:textId="77777777" w:rsidR="00726C46" w:rsidRPr="00C41A7E" w:rsidRDefault="00726C46" w:rsidP="006207AB">
      <w:pPr>
        <w:ind w:left="851"/>
        <w:rPr>
          <w:sz w:val="24"/>
          <w:szCs w:val="24"/>
        </w:rPr>
      </w:pPr>
      <w:r w:rsidRPr="00C41A7E">
        <w:rPr>
          <w:sz w:val="24"/>
          <w:szCs w:val="24"/>
        </w:rPr>
        <w:t xml:space="preserve">Symptomatisk behandling og kontinuerlig overvågning af de </w:t>
      </w:r>
      <w:proofErr w:type="spellStart"/>
      <w:r w:rsidRPr="00C41A7E">
        <w:rPr>
          <w:sz w:val="24"/>
          <w:szCs w:val="24"/>
        </w:rPr>
        <w:t>kardiovaskulære</w:t>
      </w:r>
      <w:proofErr w:type="spellEnd"/>
      <w:r w:rsidRPr="00C41A7E">
        <w:rPr>
          <w:sz w:val="24"/>
          <w:szCs w:val="24"/>
        </w:rPr>
        <w:t xml:space="preserve"> og respiratoriske funktioner skal udføres i henhold til klinisk status.</w:t>
      </w:r>
    </w:p>
    <w:p w14:paraId="183B5334" w14:textId="77777777" w:rsidR="00726C46" w:rsidRPr="00C41A7E" w:rsidRDefault="00726C46" w:rsidP="006207AB">
      <w:pPr>
        <w:ind w:left="851"/>
        <w:rPr>
          <w:sz w:val="24"/>
          <w:szCs w:val="24"/>
        </w:rPr>
      </w:pPr>
    </w:p>
    <w:p w14:paraId="36F3C031" w14:textId="77777777" w:rsidR="00726C46" w:rsidRPr="00405F39" w:rsidRDefault="00726C46" w:rsidP="006207AB">
      <w:pPr>
        <w:ind w:left="851"/>
        <w:rPr>
          <w:sz w:val="24"/>
          <w:szCs w:val="24"/>
          <w:u w:val="single"/>
        </w:rPr>
      </w:pPr>
      <w:r w:rsidRPr="00405F39">
        <w:rPr>
          <w:sz w:val="24"/>
          <w:szCs w:val="24"/>
          <w:u w:val="single"/>
        </w:rPr>
        <w:t xml:space="preserve">Behandling, hvis der opstår symptomer på et malignt </w:t>
      </w:r>
      <w:proofErr w:type="spellStart"/>
      <w:r w:rsidRPr="00405F39">
        <w:rPr>
          <w:sz w:val="24"/>
          <w:szCs w:val="24"/>
          <w:u w:val="single"/>
        </w:rPr>
        <w:t>neuroleptikasyndrom</w:t>
      </w:r>
      <w:proofErr w:type="spellEnd"/>
    </w:p>
    <w:p w14:paraId="4020EA86" w14:textId="77777777" w:rsidR="00726C46" w:rsidRPr="00C41A7E" w:rsidRDefault="00726C46" w:rsidP="006207AB">
      <w:pPr>
        <w:ind w:left="851"/>
        <w:rPr>
          <w:sz w:val="24"/>
          <w:szCs w:val="24"/>
        </w:rPr>
      </w:pPr>
      <w:r w:rsidRPr="00C41A7E">
        <w:rPr>
          <w:sz w:val="24"/>
          <w:szCs w:val="24"/>
        </w:rPr>
        <w:t xml:space="preserve">Hydrering, afkøling, </w:t>
      </w:r>
      <w:proofErr w:type="spellStart"/>
      <w:r w:rsidRPr="00C41A7E">
        <w:rPr>
          <w:sz w:val="24"/>
          <w:szCs w:val="24"/>
        </w:rPr>
        <w:t>dantrolen</w:t>
      </w:r>
      <w:proofErr w:type="spellEnd"/>
      <w:r w:rsidRPr="00C41A7E">
        <w:rPr>
          <w:sz w:val="24"/>
          <w:szCs w:val="24"/>
        </w:rPr>
        <w:t xml:space="preserve"> og </w:t>
      </w:r>
      <w:proofErr w:type="spellStart"/>
      <w:r w:rsidRPr="00C41A7E">
        <w:rPr>
          <w:sz w:val="24"/>
          <w:szCs w:val="24"/>
        </w:rPr>
        <w:t>bromocriptin</w:t>
      </w:r>
      <w:proofErr w:type="spellEnd"/>
      <w:r w:rsidRPr="00C41A7E">
        <w:rPr>
          <w:sz w:val="24"/>
          <w:szCs w:val="24"/>
        </w:rPr>
        <w:t>.</w:t>
      </w:r>
    </w:p>
    <w:p w14:paraId="67F784FE" w14:textId="77777777" w:rsidR="009260DE" w:rsidRPr="00C41A7E" w:rsidRDefault="009260DE" w:rsidP="009260DE">
      <w:pPr>
        <w:tabs>
          <w:tab w:val="left" w:pos="851"/>
        </w:tabs>
        <w:ind w:left="851"/>
        <w:rPr>
          <w:sz w:val="24"/>
          <w:szCs w:val="24"/>
        </w:rPr>
      </w:pPr>
    </w:p>
    <w:p w14:paraId="1DB60201" w14:textId="77777777" w:rsidR="009260DE" w:rsidRPr="00C41A7E" w:rsidRDefault="009260DE" w:rsidP="009260DE">
      <w:pPr>
        <w:tabs>
          <w:tab w:val="left" w:pos="851"/>
        </w:tabs>
        <w:ind w:left="851" w:hanging="851"/>
        <w:rPr>
          <w:b/>
          <w:sz w:val="24"/>
          <w:szCs w:val="24"/>
        </w:rPr>
      </w:pPr>
      <w:r w:rsidRPr="00C41A7E">
        <w:rPr>
          <w:b/>
          <w:sz w:val="24"/>
          <w:szCs w:val="24"/>
        </w:rPr>
        <w:t>4.10</w:t>
      </w:r>
      <w:r w:rsidRPr="00C41A7E">
        <w:rPr>
          <w:b/>
          <w:sz w:val="24"/>
          <w:szCs w:val="24"/>
        </w:rPr>
        <w:tab/>
        <w:t>Udlevering</w:t>
      </w:r>
    </w:p>
    <w:p w14:paraId="6A77B242" w14:textId="2D42A589" w:rsidR="009260DE" w:rsidRPr="00C41A7E" w:rsidRDefault="00726C46" w:rsidP="009260DE">
      <w:pPr>
        <w:tabs>
          <w:tab w:val="left" w:pos="851"/>
        </w:tabs>
        <w:ind w:left="851"/>
        <w:rPr>
          <w:sz w:val="24"/>
          <w:szCs w:val="24"/>
        </w:rPr>
      </w:pPr>
      <w:r w:rsidRPr="00C41A7E">
        <w:rPr>
          <w:sz w:val="24"/>
          <w:szCs w:val="24"/>
        </w:rPr>
        <w:t>B</w:t>
      </w:r>
    </w:p>
    <w:p w14:paraId="0CFE7C46" w14:textId="77777777" w:rsidR="009260DE" w:rsidRPr="00C41A7E" w:rsidRDefault="009260DE" w:rsidP="009260DE">
      <w:pPr>
        <w:tabs>
          <w:tab w:val="left" w:pos="851"/>
        </w:tabs>
        <w:ind w:left="851"/>
        <w:rPr>
          <w:sz w:val="24"/>
          <w:szCs w:val="24"/>
        </w:rPr>
      </w:pPr>
    </w:p>
    <w:p w14:paraId="19F24B4B" w14:textId="77777777" w:rsidR="009260DE" w:rsidRPr="00C41A7E" w:rsidRDefault="009260DE" w:rsidP="009260DE">
      <w:pPr>
        <w:tabs>
          <w:tab w:val="left" w:pos="851"/>
        </w:tabs>
        <w:ind w:left="851"/>
        <w:rPr>
          <w:sz w:val="24"/>
          <w:szCs w:val="24"/>
        </w:rPr>
      </w:pPr>
    </w:p>
    <w:p w14:paraId="7F3F491E" w14:textId="77777777" w:rsidR="009260DE" w:rsidRPr="00C41A7E" w:rsidRDefault="009260DE" w:rsidP="009260DE">
      <w:pPr>
        <w:tabs>
          <w:tab w:val="left" w:pos="851"/>
        </w:tabs>
        <w:ind w:left="851" w:hanging="851"/>
        <w:rPr>
          <w:b/>
          <w:sz w:val="24"/>
          <w:szCs w:val="24"/>
        </w:rPr>
      </w:pPr>
      <w:r w:rsidRPr="00C41A7E">
        <w:rPr>
          <w:b/>
          <w:sz w:val="24"/>
          <w:szCs w:val="24"/>
        </w:rPr>
        <w:t>5.</w:t>
      </w:r>
      <w:r w:rsidRPr="00C41A7E">
        <w:rPr>
          <w:b/>
          <w:sz w:val="24"/>
          <w:szCs w:val="24"/>
        </w:rPr>
        <w:tab/>
        <w:t>FARMAKOLOGISKE EGENSKABER</w:t>
      </w:r>
    </w:p>
    <w:p w14:paraId="39E5120A" w14:textId="77777777" w:rsidR="009260DE" w:rsidRPr="00C41A7E" w:rsidRDefault="009260DE" w:rsidP="009260DE">
      <w:pPr>
        <w:tabs>
          <w:tab w:val="left" w:pos="851"/>
        </w:tabs>
        <w:ind w:left="851"/>
        <w:rPr>
          <w:sz w:val="24"/>
          <w:szCs w:val="24"/>
        </w:rPr>
      </w:pPr>
    </w:p>
    <w:p w14:paraId="23F1D324" w14:textId="77777777" w:rsidR="009260DE" w:rsidRPr="00C41A7E" w:rsidRDefault="009260DE" w:rsidP="009260DE">
      <w:pPr>
        <w:tabs>
          <w:tab w:val="num" w:pos="851"/>
        </w:tabs>
        <w:ind w:left="851" w:hanging="851"/>
        <w:rPr>
          <w:b/>
          <w:sz w:val="24"/>
          <w:szCs w:val="24"/>
        </w:rPr>
      </w:pPr>
      <w:r w:rsidRPr="00C41A7E">
        <w:rPr>
          <w:b/>
          <w:sz w:val="24"/>
          <w:szCs w:val="24"/>
        </w:rPr>
        <w:t>5.1</w:t>
      </w:r>
      <w:r w:rsidRPr="00C41A7E">
        <w:rPr>
          <w:b/>
          <w:sz w:val="24"/>
          <w:szCs w:val="24"/>
        </w:rPr>
        <w:tab/>
      </w:r>
      <w:proofErr w:type="spellStart"/>
      <w:r w:rsidRPr="00C41A7E">
        <w:rPr>
          <w:b/>
          <w:sz w:val="24"/>
          <w:szCs w:val="24"/>
        </w:rPr>
        <w:t>Farmakodynamiske</w:t>
      </w:r>
      <w:proofErr w:type="spellEnd"/>
      <w:r w:rsidRPr="00C41A7E">
        <w:rPr>
          <w:b/>
          <w:sz w:val="24"/>
          <w:szCs w:val="24"/>
        </w:rPr>
        <w:t xml:space="preserve"> egenskaber</w:t>
      </w:r>
    </w:p>
    <w:p w14:paraId="6C91DDA0" w14:textId="6CA2A649" w:rsidR="00726C46" w:rsidRPr="00C41A7E" w:rsidRDefault="00726C46" w:rsidP="006207AB">
      <w:pPr>
        <w:ind w:left="851"/>
        <w:rPr>
          <w:sz w:val="24"/>
          <w:szCs w:val="24"/>
        </w:rPr>
      </w:pPr>
      <w:proofErr w:type="spellStart"/>
      <w:r w:rsidRPr="00C41A7E">
        <w:rPr>
          <w:sz w:val="24"/>
          <w:szCs w:val="24"/>
        </w:rPr>
        <w:t>Farmakoterapeutisk</w:t>
      </w:r>
      <w:proofErr w:type="spellEnd"/>
      <w:r w:rsidRPr="00C41A7E">
        <w:rPr>
          <w:sz w:val="24"/>
          <w:szCs w:val="24"/>
        </w:rPr>
        <w:t xml:space="preserve"> klassifikation: Peristaltikfremmende, </w:t>
      </w:r>
      <w:proofErr w:type="spellStart"/>
      <w:r w:rsidRPr="00C41A7E">
        <w:rPr>
          <w:sz w:val="24"/>
          <w:szCs w:val="24"/>
        </w:rPr>
        <w:t>antiemetisk</w:t>
      </w:r>
      <w:proofErr w:type="spellEnd"/>
      <w:r w:rsidRPr="00C41A7E">
        <w:rPr>
          <w:sz w:val="24"/>
          <w:szCs w:val="24"/>
        </w:rPr>
        <w:t xml:space="preserve"> middel</w:t>
      </w:r>
      <w:r w:rsidR="00405F39">
        <w:rPr>
          <w:sz w:val="24"/>
          <w:szCs w:val="24"/>
        </w:rPr>
        <w:t xml:space="preserve">, </w:t>
      </w:r>
      <w:r w:rsidRPr="00C41A7E">
        <w:rPr>
          <w:sz w:val="24"/>
          <w:szCs w:val="24"/>
        </w:rPr>
        <w:t>ATC-kode: A03FA01</w:t>
      </w:r>
      <w:r w:rsidR="00405F39">
        <w:rPr>
          <w:sz w:val="24"/>
          <w:szCs w:val="24"/>
        </w:rPr>
        <w:t>.</w:t>
      </w:r>
    </w:p>
    <w:p w14:paraId="32F02848" w14:textId="77777777" w:rsidR="00726C46" w:rsidRPr="00C41A7E" w:rsidRDefault="00726C46" w:rsidP="006207AB">
      <w:pPr>
        <w:ind w:left="851"/>
        <w:rPr>
          <w:sz w:val="24"/>
          <w:szCs w:val="24"/>
        </w:rPr>
      </w:pPr>
    </w:p>
    <w:p w14:paraId="42460E06" w14:textId="77777777" w:rsidR="00726C46" w:rsidRPr="00C41A7E" w:rsidRDefault="00726C46" w:rsidP="006207AB">
      <w:pPr>
        <w:ind w:left="851"/>
        <w:rPr>
          <w:sz w:val="24"/>
          <w:szCs w:val="24"/>
          <w:u w:val="single"/>
        </w:rPr>
      </w:pPr>
      <w:proofErr w:type="spellStart"/>
      <w:r w:rsidRPr="00C41A7E">
        <w:rPr>
          <w:sz w:val="24"/>
          <w:szCs w:val="24"/>
          <w:u w:val="single"/>
        </w:rPr>
        <w:t>Farmakodynamisk</w:t>
      </w:r>
      <w:proofErr w:type="spellEnd"/>
      <w:r w:rsidRPr="00C41A7E">
        <w:rPr>
          <w:sz w:val="24"/>
          <w:szCs w:val="24"/>
          <w:u w:val="single"/>
        </w:rPr>
        <w:t xml:space="preserve"> virkning</w:t>
      </w:r>
    </w:p>
    <w:p w14:paraId="1494DB0B" w14:textId="77777777" w:rsidR="00726C46" w:rsidRPr="00C41A7E" w:rsidRDefault="00726C46" w:rsidP="006207AB">
      <w:pPr>
        <w:ind w:left="851"/>
        <w:rPr>
          <w:sz w:val="24"/>
          <w:szCs w:val="24"/>
        </w:rPr>
      </w:pPr>
      <w:proofErr w:type="spellStart"/>
      <w:r w:rsidRPr="00C41A7E">
        <w:rPr>
          <w:sz w:val="24"/>
          <w:szCs w:val="24"/>
        </w:rPr>
        <w:t>Metoclopramidhydrochlorid</w:t>
      </w:r>
      <w:proofErr w:type="spellEnd"/>
      <w:r w:rsidRPr="00C41A7E">
        <w:rPr>
          <w:sz w:val="24"/>
          <w:szCs w:val="24"/>
        </w:rPr>
        <w:t xml:space="preserve"> er en central dopamin D</w:t>
      </w:r>
      <w:r w:rsidRPr="00C41A7E">
        <w:rPr>
          <w:sz w:val="24"/>
          <w:szCs w:val="24"/>
          <w:vertAlign w:val="subscript"/>
        </w:rPr>
        <w:t>2</w:t>
      </w:r>
      <w:r w:rsidRPr="00C41A7E">
        <w:rPr>
          <w:sz w:val="24"/>
          <w:szCs w:val="24"/>
        </w:rPr>
        <w:t xml:space="preserve">-receptorantagonist med yderligere </w:t>
      </w:r>
      <w:proofErr w:type="spellStart"/>
      <w:r w:rsidRPr="00C41A7E">
        <w:rPr>
          <w:sz w:val="24"/>
          <w:szCs w:val="24"/>
        </w:rPr>
        <w:t>kolinerg</w:t>
      </w:r>
      <w:proofErr w:type="spellEnd"/>
      <w:r w:rsidRPr="00C41A7E">
        <w:rPr>
          <w:sz w:val="24"/>
          <w:szCs w:val="24"/>
        </w:rPr>
        <w:t xml:space="preserve"> aktivitet. Der er to hovedeffekter:</w:t>
      </w:r>
    </w:p>
    <w:p w14:paraId="2DA3E6D3" w14:textId="77777777" w:rsidR="00726C46" w:rsidRPr="00C41A7E" w:rsidRDefault="00726C46" w:rsidP="006207AB">
      <w:pPr>
        <w:ind w:left="851"/>
        <w:rPr>
          <w:sz w:val="24"/>
          <w:szCs w:val="24"/>
        </w:rPr>
      </w:pPr>
    </w:p>
    <w:p w14:paraId="03DAFE7A" w14:textId="77777777" w:rsidR="00726C46" w:rsidRPr="00C41A7E" w:rsidRDefault="00726C46" w:rsidP="006207AB">
      <w:pPr>
        <w:ind w:left="851"/>
        <w:rPr>
          <w:sz w:val="24"/>
          <w:szCs w:val="24"/>
        </w:rPr>
      </w:pPr>
      <w:r w:rsidRPr="00C41A7E">
        <w:rPr>
          <w:sz w:val="24"/>
          <w:szCs w:val="24"/>
        </w:rPr>
        <w:t xml:space="preserve">1. </w:t>
      </w:r>
      <w:proofErr w:type="spellStart"/>
      <w:r w:rsidRPr="00C41A7E">
        <w:rPr>
          <w:sz w:val="24"/>
          <w:szCs w:val="24"/>
        </w:rPr>
        <w:t>antiemetisk</w:t>
      </w:r>
      <w:proofErr w:type="spellEnd"/>
      <w:r w:rsidRPr="00C41A7E">
        <w:rPr>
          <w:sz w:val="24"/>
          <w:szCs w:val="24"/>
        </w:rPr>
        <w:t xml:space="preserve"> effekt,</w:t>
      </w:r>
    </w:p>
    <w:p w14:paraId="03614F4A" w14:textId="77777777" w:rsidR="00726C46" w:rsidRPr="00C41A7E" w:rsidRDefault="00726C46" w:rsidP="006207AB">
      <w:pPr>
        <w:ind w:left="851"/>
        <w:rPr>
          <w:sz w:val="24"/>
          <w:szCs w:val="24"/>
        </w:rPr>
      </w:pPr>
      <w:r w:rsidRPr="00C41A7E">
        <w:rPr>
          <w:sz w:val="24"/>
          <w:szCs w:val="24"/>
        </w:rPr>
        <w:t>2. accelereret gastrisk tømning og tyndtarmens transittid.</w:t>
      </w:r>
    </w:p>
    <w:p w14:paraId="472B6981" w14:textId="77777777" w:rsidR="00726C46" w:rsidRPr="00C41A7E" w:rsidRDefault="00726C46" w:rsidP="006207AB">
      <w:pPr>
        <w:ind w:left="851"/>
        <w:rPr>
          <w:sz w:val="24"/>
          <w:szCs w:val="24"/>
        </w:rPr>
      </w:pPr>
    </w:p>
    <w:p w14:paraId="677B465D" w14:textId="77777777" w:rsidR="00726C46" w:rsidRPr="00C41A7E" w:rsidRDefault="00726C46" w:rsidP="006207AB">
      <w:pPr>
        <w:ind w:left="851"/>
        <w:rPr>
          <w:sz w:val="24"/>
          <w:szCs w:val="24"/>
        </w:rPr>
      </w:pPr>
      <w:r w:rsidRPr="00C41A7E">
        <w:rPr>
          <w:sz w:val="24"/>
          <w:szCs w:val="24"/>
        </w:rPr>
        <w:t xml:space="preserve">Yderligere virker </w:t>
      </w:r>
      <w:proofErr w:type="spellStart"/>
      <w:r w:rsidRPr="00C41A7E">
        <w:rPr>
          <w:sz w:val="24"/>
          <w:szCs w:val="24"/>
        </w:rPr>
        <w:t>metoclopramidhydrochlorid</w:t>
      </w:r>
      <w:proofErr w:type="spellEnd"/>
      <w:r w:rsidRPr="00C41A7E">
        <w:rPr>
          <w:sz w:val="24"/>
          <w:szCs w:val="24"/>
        </w:rPr>
        <w:t xml:space="preserve"> som en 5-HT</w:t>
      </w:r>
      <w:r w:rsidRPr="00C41A7E">
        <w:rPr>
          <w:sz w:val="24"/>
          <w:szCs w:val="24"/>
          <w:vertAlign w:val="subscript"/>
        </w:rPr>
        <w:t>3</w:t>
      </w:r>
      <w:r w:rsidRPr="00C41A7E">
        <w:rPr>
          <w:sz w:val="24"/>
          <w:szCs w:val="24"/>
        </w:rPr>
        <w:t>-receptorantagonist og en 5-HT</w:t>
      </w:r>
      <w:r w:rsidRPr="00C41A7E">
        <w:rPr>
          <w:sz w:val="24"/>
          <w:szCs w:val="24"/>
          <w:vertAlign w:val="subscript"/>
        </w:rPr>
        <w:t>4</w:t>
      </w:r>
      <w:r w:rsidRPr="00C41A7E">
        <w:rPr>
          <w:sz w:val="24"/>
          <w:szCs w:val="24"/>
        </w:rPr>
        <w:t>-receptoragonist.</w:t>
      </w:r>
    </w:p>
    <w:p w14:paraId="7F474914" w14:textId="77777777" w:rsidR="00726C46" w:rsidRPr="00C41A7E" w:rsidRDefault="00726C46" w:rsidP="006207AB">
      <w:pPr>
        <w:ind w:left="851"/>
        <w:rPr>
          <w:sz w:val="24"/>
          <w:szCs w:val="24"/>
        </w:rPr>
      </w:pPr>
    </w:p>
    <w:p w14:paraId="6CCB88A9" w14:textId="69FA885E" w:rsidR="00726C46" w:rsidRPr="00C41A7E" w:rsidRDefault="00726C46" w:rsidP="006207AB">
      <w:pPr>
        <w:ind w:left="851"/>
        <w:rPr>
          <w:sz w:val="24"/>
          <w:szCs w:val="24"/>
        </w:rPr>
      </w:pPr>
      <w:r w:rsidRPr="00C41A7E">
        <w:rPr>
          <w:sz w:val="24"/>
          <w:szCs w:val="24"/>
        </w:rPr>
        <w:lastRenderedPageBreak/>
        <w:t xml:space="preserve">Den </w:t>
      </w:r>
      <w:proofErr w:type="spellStart"/>
      <w:r w:rsidRPr="00C41A7E">
        <w:rPr>
          <w:sz w:val="24"/>
          <w:szCs w:val="24"/>
        </w:rPr>
        <w:t>antiemetiske</w:t>
      </w:r>
      <w:proofErr w:type="spellEnd"/>
      <w:r w:rsidRPr="00C41A7E">
        <w:rPr>
          <w:sz w:val="24"/>
          <w:szCs w:val="24"/>
        </w:rPr>
        <w:t xml:space="preserve"> effekt er sandsynligvis baseret på en hæmning af </w:t>
      </w:r>
      <w:proofErr w:type="spellStart"/>
      <w:r w:rsidRPr="00C41A7E">
        <w:rPr>
          <w:sz w:val="24"/>
          <w:szCs w:val="24"/>
        </w:rPr>
        <w:t>dopaminerge</w:t>
      </w:r>
      <w:proofErr w:type="spellEnd"/>
      <w:r w:rsidRPr="00C41A7E">
        <w:rPr>
          <w:sz w:val="24"/>
          <w:szCs w:val="24"/>
        </w:rPr>
        <w:t xml:space="preserve"> neuroner, der fører til en øget følsomhedstærskel i kemoreceptorens triggerzone i hjernestammen. Den øgede </w:t>
      </w:r>
      <w:proofErr w:type="spellStart"/>
      <w:r w:rsidRPr="00C41A7E">
        <w:rPr>
          <w:sz w:val="24"/>
          <w:szCs w:val="24"/>
        </w:rPr>
        <w:t>motilitet</w:t>
      </w:r>
      <w:proofErr w:type="spellEnd"/>
      <w:r w:rsidRPr="00C41A7E">
        <w:rPr>
          <w:sz w:val="24"/>
          <w:szCs w:val="24"/>
        </w:rPr>
        <w:t xml:space="preserve"> af mave-tarm</w:t>
      </w:r>
      <w:r w:rsidR="00DC7611">
        <w:rPr>
          <w:sz w:val="24"/>
          <w:szCs w:val="24"/>
        </w:rPr>
        <w:t>-</w:t>
      </w:r>
      <w:r w:rsidRPr="00C41A7E">
        <w:rPr>
          <w:sz w:val="24"/>
          <w:szCs w:val="24"/>
        </w:rPr>
        <w:t xml:space="preserve">kanalen styres både af overordnede centre i hjernen og perifer stimulering af neuronale </w:t>
      </w:r>
      <w:proofErr w:type="spellStart"/>
      <w:r w:rsidRPr="00C41A7E">
        <w:rPr>
          <w:sz w:val="24"/>
          <w:szCs w:val="24"/>
        </w:rPr>
        <w:t>postganglioniske</w:t>
      </w:r>
      <w:proofErr w:type="spellEnd"/>
      <w:r w:rsidRPr="00C41A7E">
        <w:rPr>
          <w:sz w:val="24"/>
          <w:szCs w:val="24"/>
        </w:rPr>
        <w:t xml:space="preserve"> </w:t>
      </w:r>
      <w:proofErr w:type="spellStart"/>
      <w:r w:rsidRPr="00C41A7E">
        <w:rPr>
          <w:sz w:val="24"/>
          <w:szCs w:val="24"/>
        </w:rPr>
        <w:t>kolinerge</w:t>
      </w:r>
      <w:proofErr w:type="spellEnd"/>
      <w:r w:rsidRPr="00C41A7E">
        <w:rPr>
          <w:sz w:val="24"/>
          <w:szCs w:val="24"/>
        </w:rPr>
        <w:t xml:space="preserve"> receptorer. Hæmningen af </w:t>
      </w:r>
      <w:proofErr w:type="spellStart"/>
      <w:r w:rsidRPr="00C41A7E">
        <w:rPr>
          <w:sz w:val="24"/>
          <w:szCs w:val="24"/>
        </w:rPr>
        <w:t>dopaminerge</w:t>
      </w:r>
      <w:proofErr w:type="spellEnd"/>
      <w:r w:rsidRPr="00C41A7E">
        <w:rPr>
          <w:sz w:val="24"/>
          <w:szCs w:val="24"/>
        </w:rPr>
        <w:t xml:space="preserve"> receptorer i mave og tarm kan muligvis spille en rolle.</w:t>
      </w:r>
    </w:p>
    <w:p w14:paraId="5746BA19" w14:textId="77777777" w:rsidR="00726C46" w:rsidRPr="00C41A7E" w:rsidRDefault="00726C46" w:rsidP="006207AB">
      <w:pPr>
        <w:ind w:left="851"/>
        <w:rPr>
          <w:sz w:val="24"/>
          <w:szCs w:val="24"/>
        </w:rPr>
      </w:pPr>
    </w:p>
    <w:p w14:paraId="4F5E30EA" w14:textId="4B4E7668" w:rsidR="00726C46" w:rsidRPr="00C41A7E" w:rsidRDefault="00726C46" w:rsidP="006207AB">
      <w:pPr>
        <w:ind w:left="851"/>
        <w:rPr>
          <w:sz w:val="24"/>
          <w:szCs w:val="24"/>
        </w:rPr>
      </w:pPr>
      <w:r w:rsidRPr="00C41A7E">
        <w:rPr>
          <w:sz w:val="24"/>
          <w:szCs w:val="24"/>
        </w:rPr>
        <w:t xml:space="preserve">Bivirkninger er hovedsageligt ekstrapyramidale symptomer (ufrivillige kramper) forårsaget af dopaminreceptorblokerende virkning af </w:t>
      </w:r>
      <w:proofErr w:type="spellStart"/>
      <w:r w:rsidRPr="00C41A7E">
        <w:rPr>
          <w:sz w:val="24"/>
          <w:szCs w:val="24"/>
        </w:rPr>
        <w:t>metoclopramidhydrochlorid</w:t>
      </w:r>
      <w:proofErr w:type="spellEnd"/>
      <w:r w:rsidRPr="00C41A7E">
        <w:rPr>
          <w:sz w:val="24"/>
          <w:szCs w:val="24"/>
        </w:rPr>
        <w:t xml:space="preserve"> i centralnerve</w:t>
      </w:r>
      <w:r w:rsidR="00DC7611">
        <w:rPr>
          <w:sz w:val="24"/>
          <w:szCs w:val="24"/>
        </w:rPr>
        <w:softHyphen/>
      </w:r>
      <w:r w:rsidRPr="00C41A7E">
        <w:rPr>
          <w:sz w:val="24"/>
          <w:szCs w:val="24"/>
        </w:rPr>
        <w:t>systemet.</w:t>
      </w:r>
    </w:p>
    <w:p w14:paraId="6B87670F" w14:textId="77777777" w:rsidR="00726C46" w:rsidRPr="00C41A7E" w:rsidRDefault="00726C46" w:rsidP="006207AB">
      <w:pPr>
        <w:ind w:left="851"/>
        <w:rPr>
          <w:sz w:val="24"/>
          <w:szCs w:val="24"/>
        </w:rPr>
      </w:pPr>
    </w:p>
    <w:p w14:paraId="4489936C" w14:textId="77777777" w:rsidR="00726C46" w:rsidRPr="00C41A7E" w:rsidRDefault="00726C46" w:rsidP="006207AB">
      <w:pPr>
        <w:ind w:left="851"/>
        <w:rPr>
          <w:sz w:val="24"/>
          <w:szCs w:val="24"/>
        </w:rPr>
      </w:pPr>
      <w:r w:rsidRPr="00C41A7E">
        <w:rPr>
          <w:sz w:val="24"/>
          <w:szCs w:val="24"/>
        </w:rPr>
        <w:t xml:space="preserve">Forlænget brug kan føre til en stigning i </w:t>
      </w:r>
      <w:proofErr w:type="spellStart"/>
      <w:r w:rsidRPr="00C41A7E">
        <w:rPr>
          <w:sz w:val="24"/>
          <w:szCs w:val="24"/>
        </w:rPr>
        <w:t>prolaktinkoncentrationen</w:t>
      </w:r>
      <w:proofErr w:type="spellEnd"/>
      <w:r w:rsidRPr="00C41A7E">
        <w:rPr>
          <w:sz w:val="24"/>
          <w:szCs w:val="24"/>
        </w:rPr>
        <w:t xml:space="preserve"> i serum på grund af svigt af den </w:t>
      </w:r>
      <w:proofErr w:type="spellStart"/>
      <w:r w:rsidRPr="00C41A7E">
        <w:rPr>
          <w:sz w:val="24"/>
          <w:szCs w:val="24"/>
        </w:rPr>
        <w:t>dopaminerge</w:t>
      </w:r>
      <w:proofErr w:type="spellEnd"/>
      <w:r w:rsidRPr="00C41A7E">
        <w:rPr>
          <w:sz w:val="24"/>
          <w:szCs w:val="24"/>
        </w:rPr>
        <w:t xml:space="preserve"> hæmning af </w:t>
      </w:r>
      <w:proofErr w:type="spellStart"/>
      <w:r w:rsidRPr="00C41A7E">
        <w:rPr>
          <w:sz w:val="24"/>
          <w:szCs w:val="24"/>
        </w:rPr>
        <w:t>prolaktinsekretionen</w:t>
      </w:r>
      <w:proofErr w:type="spellEnd"/>
      <w:r w:rsidRPr="00C41A7E">
        <w:rPr>
          <w:sz w:val="24"/>
          <w:szCs w:val="24"/>
        </w:rPr>
        <w:t xml:space="preserve">. </w:t>
      </w:r>
      <w:proofErr w:type="spellStart"/>
      <w:r w:rsidRPr="00C41A7E">
        <w:rPr>
          <w:sz w:val="24"/>
          <w:szCs w:val="24"/>
        </w:rPr>
        <w:t>Galaktoré</w:t>
      </w:r>
      <w:proofErr w:type="spellEnd"/>
      <w:r w:rsidRPr="00C41A7E">
        <w:rPr>
          <w:sz w:val="24"/>
          <w:szCs w:val="24"/>
        </w:rPr>
        <w:t xml:space="preserve"> og forstyrrelser i menstruationscyklussen hos kvinder og </w:t>
      </w:r>
      <w:proofErr w:type="spellStart"/>
      <w:r w:rsidRPr="00C41A7E">
        <w:rPr>
          <w:sz w:val="24"/>
          <w:szCs w:val="24"/>
        </w:rPr>
        <w:t>gynækomasti</w:t>
      </w:r>
      <w:proofErr w:type="spellEnd"/>
      <w:r w:rsidRPr="00C41A7E">
        <w:rPr>
          <w:sz w:val="24"/>
          <w:szCs w:val="24"/>
        </w:rPr>
        <w:t xml:space="preserve"> hos mænd er blevet beskrevet; de forsvinder efter at have stoppet den medicinske behandling.</w:t>
      </w:r>
    </w:p>
    <w:p w14:paraId="50014FB6" w14:textId="77777777" w:rsidR="009260DE" w:rsidRPr="00C41A7E" w:rsidRDefault="009260DE" w:rsidP="009260DE">
      <w:pPr>
        <w:tabs>
          <w:tab w:val="left" w:pos="851"/>
        </w:tabs>
        <w:ind w:left="851"/>
        <w:rPr>
          <w:sz w:val="24"/>
          <w:szCs w:val="24"/>
        </w:rPr>
      </w:pPr>
    </w:p>
    <w:p w14:paraId="5D5BE8C2" w14:textId="77777777" w:rsidR="009260DE" w:rsidRPr="00C41A7E" w:rsidRDefault="009260DE" w:rsidP="009260DE">
      <w:pPr>
        <w:tabs>
          <w:tab w:val="left" w:pos="851"/>
        </w:tabs>
        <w:ind w:left="851" w:hanging="851"/>
        <w:rPr>
          <w:b/>
          <w:sz w:val="24"/>
          <w:szCs w:val="24"/>
        </w:rPr>
      </w:pPr>
      <w:r w:rsidRPr="00C41A7E">
        <w:rPr>
          <w:b/>
          <w:sz w:val="24"/>
          <w:szCs w:val="24"/>
        </w:rPr>
        <w:t>5.2</w:t>
      </w:r>
      <w:r w:rsidRPr="00C41A7E">
        <w:rPr>
          <w:b/>
          <w:sz w:val="24"/>
          <w:szCs w:val="24"/>
        </w:rPr>
        <w:tab/>
      </w:r>
      <w:proofErr w:type="spellStart"/>
      <w:r w:rsidRPr="00C41A7E">
        <w:rPr>
          <w:b/>
          <w:sz w:val="24"/>
          <w:szCs w:val="24"/>
        </w:rPr>
        <w:t>Farmakokinetiske</w:t>
      </w:r>
      <w:proofErr w:type="spellEnd"/>
      <w:r w:rsidRPr="00C41A7E">
        <w:rPr>
          <w:b/>
          <w:sz w:val="24"/>
          <w:szCs w:val="24"/>
        </w:rPr>
        <w:t xml:space="preserve"> egenskaber</w:t>
      </w:r>
    </w:p>
    <w:p w14:paraId="3645046D" w14:textId="77777777" w:rsidR="00405F39" w:rsidRDefault="00405F39" w:rsidP="006207AB">
      <w:pPr>
        <w:ind w:left="851"/>
        <w:rPr>
          <w:noProof/>
          <w:sz w:val="24"/>
          <w:szCs w:val="24"/>
        </w:rPr>
      </w:pPr>
    </w:p>
    <w:p w14:paraId="2491CE8C" w14:textId="36D220E7" w:rsidR="00726C46" w:rsidRPr="00405F39" w:rsidRDefault="00726C46" w:rsidP="006207AB">
      <w:pPr>
        <w:ind w:left="851"/>
        <w:rPr>
          <w:noProof/>
          <w:sz w:val="24"/>
          <w:szCs w:val="24"/>
          <w:u w:val="single"/>
        </w:rPr>
      </w:pPr>
      <w:r w:rsidRPr="00405F39">
        <w:rPr>
          <w:noProof/>
          <w:sz w:val="24"/>
          <w:szCs w:val="24"/>
          <w:u w:val="single"/>
        </w:rPr>
        <w:t>Fordeling</w:t>
      </w:r>
    </w:p>
    <w:p w14:paraId="08AD8EFB" w14:textId="77777777" w:rsidR="00726C46" w:rsidRPr="00C41A7E" w:rsidRDefault="00726C46" w:rsidP="006207AB">
      <w:pPr>
        <w:ind w:left="851"/>
        <w:rPr>
          <w:sz w:val="24"/>
          <w:szCs w:val="24"/>
        </w:rPr>
      </w:pPr>
      <w:r w:rsidRPr="00C41A7E">
        <w:rPr>
          <w:sz w:val="24"/>
          <w:szCs w:val="24"/>
        </w:rPr>
        <w:t xml:space="preserve">Fordelingsvolumen af </w:t>
      </w:r>
      <w:proofErr w:type="spellStart"/>
      <w:r w:rsidRPr="00C41A7E">
        <w:rPr>
          <w:sz w:val="24"/>
          <w:szCs w:val="24"/>
        </w:rPr>
        <w:t>metoclopramidhydrochlorid</w:t>
      </w:r>
      <w:proofErr w:type="spellEnd"/>
      <w:r w:rsidRPr="00C41A7E">
        <w:rPr>
          <w:sz w:val="24"/>
          <w:szCs w:val="24"/>
        </w:rPr>
        <w:t xml:space="preserve"> er mellem 2,2 og 3,4 l/kg.</w:t>
      </w:r>
    </w:p>
    <w:p w14:paraId="0552D68E" w14:textId="77777777" w:rsidR="00726C46" w:rsidRPr="00C41A7E" w:rsidRDefault="00726C46" w:rsidP="006207AB">
      <w:pPr>
        <w:ind w:left="851"/>
        <w:rPr>
          <w:sz w:val="24"/>
          <w:szCs w:val="24"/>
        </w:rPr>
      </w:pPr>
      <w:r w:rsidRPr="00C41A7E">
        <w:rPr>
          <w:sz w:val="24"/>
          <w:szCs w:val="24"/>
        </w:rPr>
        <w:t xml:space="preserve">Det er svagt bundet til plasmaproteiner. </w:t>
      </w:r>
    </w:p>
    <w:p w14:paraId="55FDAEDF"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krydser blod-hjerne-barrieren. </w:t>
      </w:r>
    </w:p>
    <w:p w14:paraId="002A7E14" w14:textId="77777777" w:rsidR="00726C46" w:rsidRPr="00C41A7E" w:rsidRDefault="00726C46" w:rsidP="006207AB">
      <w:pPr>
        <w:ind w:left="851"/>
        <w:rPr>
          <w:sz w:val="24"/>
          <w:szCs w:val="24"/>
        </w:rPr>
      </w:pPr>
      <w:proofErr w:type="spellStart"/>
      <w:r w:rsidRPr="00C41A7E">
        <w:rPr>
          <w:sz w:val="24"/>
          <w:szCs w:val="24"/>
        </w:rPr>
        <w:t>Metoclopramid</w:t>
      </w:r>
      <w:proofErr w:type="spellEnd"/>
      <w:r w:rsidRPr="00C41A7E">
        <w:rPr>
          <w:sz w:val="24"/>
          <w:szCs w:val="24"/>
        </w:rPr>
        <w:t xml:space="preserve"> krydser placenta og udskilles i modermælken.</w:t>
      </w:r>
    </w:p>
    <w:p w14:paraId="7933694E" w14:textId="77777777" w:rsidR="00726C46" w:rsidRPr="00C41A7E" w:rsidRDefault="00726C46" w:rsidP="006207AB">
      <w:pPr>
        <w:ind w:left="851"/>
        <w:rPr>
          <w:sz w:val="24"/>
          <w:szCs w:val="24"/>
        </w:rPr>
      </w:pPr>
    </w:p>
    <w:p w14:paraId="445BBD57" w14:textId="77777777" w:rsidR="00726C46" w:rsidRPr="00405F39" w:rsidRDefault="00726C46" w:rsidP="006207AB">
      <w:pPr>
        <w:ind w:left="851"/>
        <w:rPr>
          <w:sz w:val="24"/>
          <w:szCs w:val="24"/>
          <w:u w:val="single"/>
        </w:rPr>
      </w:pPr>
      <w:r w:rsidRPr="00405F39">
        <w:rPr>
          <w:sz w:val="24"/>
          <w:szCs w:val="24"/>
          <w:u w:val="single"/>
        </w:rPr>
        <w:t>Biotransformation</w:t>
      </w:r>
    </w:p>
    <w:p w14:paraId="0E7B78F7" w14:textId="77777777" w:rsidR="00726C46" w:rsidRPr="00C41A7E" w:rsidRDefault="00726C46" w:rsidP="006207AB">
      <w:pPr>
        <w:ind w:left="851"/>
        <w:rPr>
          <w:sz w:val="24"/>
          <w:szCs w:val="24"/>
        </w:rPr>
      </w:pPr>
      <w:r w:rsidRPr="00C41A7E">
        <w:rPr>
          <w:sz w:val="24"/>
          <w:szCs w:val="24"/>
        </w:rPr>
        <w:t xml:space="preserve">Inden for 24 timer vises 78 % af radioaktivt mærket </w:t>
      </w:r>
      <w:proofErr w:type="spellStart"/>
      <w:r w:rsidRPr="00C41A7E">
        <w:rPr>
          <w:sz w:val="24"/>
          <w:szCs w:val="24"/>
        </w:rPr>
        <w:t>metoclopramidhydrochlorid</w:t>
      </w:r>
      <w:proofErr w:type="spellEnd"/>
      <w:r w:rsidRPr="00C41A7E">
        <w:rPr>
          <w:sz w:val="24"/>
          <w:szCs w:val="24"/>
        </w:rPr>
        <w:t xml:space="preserve"> i human urin som uændret </w:t>
      </w:r>
      <w:proofErr w:type="spellStart"/>
      <w:r w:rsidRPr="00C41A7E">
        <w:rPr>
          <w:sz w:val="24"/>
          <w:szCs w:val="24"/>
        </w:rPr>
        <w:t>metoclopramidhydrochlorid</w:t>
      </w:r>
      <w:proofErr w:type="spellEnd"/>
      <w:r w:rsidRPr="00C41A7E">
        <w:rPr>
          <w:sz w:val="24"/>
          <w:szCs w:val="24"/>
        </w:rPr>
        <w:t xml:space="preserve">, konjugeret (som sulfat- eller </w:t>
      </w:r>
      <w:proofErr w:type="spellStart"/>
      <w:r w:rsidRPr="00C41A7E">
        <w:rPr>
          <w:sz w:val="24"/>
          <w:szCs w:val="24"/>
        </w:rPr>
        <w:t>glucuronidkonjugater</w:t>
      </w:r>
      <w:proofErr w:type="spellEnd"/>
      <w:r w:rsidRPr="00C41A7E">
        <w:rPr>
          <w:sz w:val="24"/>
          <w:szCs w:val="24"/>
        </w:rPr>
        <w:t>) og som 2-(2-methoxy-4-amino-5-klor-</w:t>
      </w:r>
      <w:proofErr w:type="gramStart"/>
      <w:r w:rsidRPr="00C41A7E">
        <w:rPr>
          <w:sz w:val="24"/>
          <w:szCs w:val="24"/>
        </w:rPr>
        <w:t>benzoyl)-</w:t>
      </w:r>
      <w:proofErr w:type="spellStart"/>
      <w:proofErr w:type="gramEnd"/>
      <w:r w:rsidRPr="00C41A7E">
        <w:rPr>
          <w:sz w:val="24"/>
          <w:szCs w:val="24"/>
        </w:rPr>
        <w:t>amino</w:t>
      </w:r>
      <w:proofErr w:type="spellEnd"/>
      <w:r w:rsidRPr="00C41A7E">
        <w:rPr>
          <w:sz w:val="24"/>
          <w:szCs w:val="24"/>
        </w:rPr>
        <w:t>-eddikesyre.</w:t>
      </w:r>
    </w:p>
    <w:p w14:paraId="31DC64B6" w14:textId="77777777" w:rsidR="00726C46" w:rsidRPr="00C41A7E" w:rsidRDefault="00726C46" w:rsidP="006207AB">
      <w:pPr>
        <w:ind w:left="851"/>
        <w:rPr>
          <w:sz w:val="24"/>
          <w:szCs w:val="24"/>
        </w:rPr>
      </w:pPr>
    </w:p>
    <w:p w14:paraId="6F1070CF" w14:textId="77777777" w:rsidR="00726C46" w:rsidRPr="00405F39" w:rsidRDefault="00726C46" w:rsidP="006207AB">
      <w:pPr>
        <w:ind w:left="851"/>
        <w:rPr>
          <w:sz w:val="24"/>
          <w:szCs w:val="24"/>
          <w:u w:val="single"/>
        </w:rPr>
      </w:pPr>
      <w:r w:rsidRPr="00405F39">
        <w:rPr>
          <w:sz w:val="24"/>
          <w:szCs w:val="24"/>
          <w:u w:val="single"/>
        </w:rPr>
        <w:t>Elimination</w:t>
      </w:r>
    </w:p>
    <w:p w14:paraId="64C4951B" w14:textId="1C216214" w:rsidR="00726C46" w:rsidRPr="00C41A7E" w:rsidRDefault="00726C46" w:rsidP="006207AB">
      <w:pPr>
        <w:ind w:left="851"/>
        <w:rPr>
          <w:sz w:val="24"/>
          <w:szCs w:val="24"/>
        </w:rPr>
      </w:pPr>
      <w:r w:rsidRPr="00C41A7E">
        <w:rPr>
          <w:sz w:val="24"/>
          <w:szCs w:val="24"/>
        </w:rPr>
        <w:t xml:space="preserve">Hos mennesker er den vigtigste udskillelsesvej for </w:t>
      </w:r>
      <w:proofErr w:type="spellStart"/>
      <w:r w:rsidRPr="00C41A7E">
        <w:rPr>
          <w:sz w:val="24"/>
          <w:szCs w:val="24"/>
        </w:rPr>
        <w:t>metoclopramidhydrochlorid</w:t>
      </w:r>
      <w:proofErr w:type="spellEnd"/>
      <w:r w:rsidRPr="00C41A7E">
        <w:rPr>
          <w:sz w:val="24"/>
          <w:szCs w:val="24"/>
        </w:rPr>
        <w:t xml:space="preserve"> og dets metabolitter via nyrerne. Eliminationshalveringstiden er mellem 2,6 og 4,6 timer afhængigt af lægemiddelformen. Langtidsbehandling forårsager ikke akkumulering af </w:t>
      </w:r>
      <w:proofErr w:type="spellStart"/>
      <w:r w:rsidRPr="00C41A7E">
        <w:rPr>
          <w:sz w:val="24"/>
          <w:szCs w:val="24"/>
        </w:rPr>
        <w:t>metoclopramid</w:t>
      </w:r>
      <w:r w:rsidR="00DC7611">
        <w:rPr>
          <w:sz w:val="24"/>
          <w:szCs w:val="24"/>
        </w:rPr>
        <w:softHyphen/>
      </w:r>
      <w:r w:rsidRPr="00C41A7E">
        <w:rPr>
          <w:sz w:val="24"/>
          <w:szCs w:val="24"/>
        </w:rPr>
        <w:t>hydrochlorid</w:t>
      </w:r>
      <w:proofErr w:type="spellEnd"/>
      <w:r w:rsidRPr="00C41A7E">
        <w:rPr>
          <w:sz w:val="24"/>
          <w:szCs w:val="24"/>
        </w:rPr>
        <w:t>.</w:t>
      </w:r>
    </w:p>
    <w:p w14:paraId="649919D4" w14:textId="77777777" w:rsidR="00726C46" w:rsidRPr="00C41A7E" w:rsidRDefault="00726C46" w:rsidP="006207AB">
      <w:pPr>
        <w:ind w:left="851"/>
        <w:rPr>
          <w:sz w:val="24"/>
          <w:szCs w:val="24"/>
        </w:rPr>
      </w:pPr>
    </w:p>
    <w:p w14:paraId="6080BEDE" w14:textId="77777777" w:rsidR="00726C46" w:rsidRPr="00C41A7E" w:rsidRDefault="00726C46" w:rsidP="006207AB">
      <w:pPr>
        <w:ind w:left="851"/>
        <w:rPr>
          <w:i/>
          <w:iCs/>
          <w:sz w:val="24"/>
          <w:szCs w:val="24"/>
        </w:rPr>
      </w:pPr>
      <w:r w:rsidRPr="00C41A7E">
        <w:rPr>
          <w:i/>
          <w:iCs/>
          <w:sz w:val="24"/>
          <w:szCs w:val="24"/>
        </w:rPr>
        <w:t>Nedsat nyrefunktion</w:t>
      </w:r>
    </w:p>
    <w:p w14:paraId="46273738" w14:textId="77777777" w:rsidR="00726C46" w:rsidRPr="00C41A7E" w:rsidRDefault="00726C46" w:rsidP="006207AB">
      <w:pPr>
        <w:ind w:left="851"/>
        <w:rPr>
          <w:sz w:val="24"/>
          <w:szCs w:val="24"/>
        </w:rPr>
      </w:pPr>
      <w:proofErr w:type="spellStart"/>
      <w:r w:rsidRPr="00C41A7E">
        <w:rPr>
          <w:sz w:val="24"/>
          <w:szCs w:val="24"/>
        </w:rPr>
        <w:t>Metoclopramids</w:t>
      </w:r>
      <w:proofErr w:type="spellEnd"/>
      <w:r w:rsidRPr="00C41A7E">
        <w:rPr>
          <w:sz w:val="24"/>
          <w:szCs w:val="24"/>
        </w:rPr>
        <w:t xml:space="preserve"> </w:t>
      </w:r>
      <w:proofErr w:type="spellStart"/>
      <w:r w:rsidRPr="00C41A7E">
        <w:rPr>
          <w:sz w:val="24"/>
          <w:szCs w:val="24"/>
        </w:rPr>
        <w:t>clearance</w:t>
      </w:r>
      <w:proofErr w:type="spellEnd"/>
      <w:r w:rsidRPr="00C41A7E">
        <w:rPr>
          <w:sz w:val="24"/>
          <w:szCs w:val="24"/>
        </w:rPr>
        <w:t xml:space="preserve"> reduceres med op til 70 % hos patienter med alvorlig nedsat nyrefunktion og plasmahalveringstiden øget (ca. 10 timer ved </w:t>
      </w:r>
      <w:proofErr w:type="spellStart"/>
      <w:r w:rsidRPr="00C41A7E">
        <w:rPr>
          <w:sz w:val="24"/>
          <w:szCs w:val="24"/>
        </w:rPr>
        <w:t>kreatininclearance</w:t>
      </w:r>
      <w:proofErr w:type="spellEnd"/>
      <w:r w:rsidRPr="00C41A7E">
        <w:rPr>
          <w:sz w:val="24"/>
          <w:szCs w:val="24"/>
        </w:rPr>
        <w:t xml:space="preserve"> med 10-50 ml/minut og 15 timer ved en </w:t>
      </w:r>
      <w:proofErr w:type="spellStart"/>
      <w:r w:rsidRPr="00C41A7E">
        <w:rPr>
          <w:sz w:val="24"/>
          <w:szCs w:val="24"/>
        </w:rPr>
        <w:t>kreatininclearance</w:t>
      </w:r>
      <w:proofErr w:type="spellEnd"/>
      <w:r w:rsidRPr="00C41A7E">
        <w:rPr>
          <w:sz w:val="24"/>
          <w:szCs w:val="24"/>
        </w:rPr>
        <w:t xml:space="preserve"> &lt; 10 ml/minut).</w:t>
      </w:r>
    </w:p>
    <w:p w14:paraId="697E40C0" w14:textId="77777777" w:rsidR="00726C46" w:rsidRPr="00C41A7E" w:rsidRDefault="00726C46" w:rsidP="006207AB">
      <w:pPr>
        <w:ind w:left="851"/>
        <w:rPr>
          <w:sz w:val="24"/>
          <w:szCs w:val="24"/>
        </w:rPr>
      </w:pPr>
    </w:p>
    <w:p w14:paraId="2B86E4B0" w14:textId="77777777" w:rsidR="00726C46" w:rsidRPr="00C41A7E" w:rsidRDefault="00726C46" w:rsidP="006207AB">
      <w:pPr>
        <w:ind w:left="851"/>
        <w:rPr>
          <w:i/>
          <w:iCs/>
          <w:sz w:val="24"/>
          <w:szCs w:val="24"/>
        </w:rPr>
      </w:pPr>
      <w:r w:rsidRPr="00C41A7E">
        <w:rPr>
          <w:i/>
          <w:iCs/>
          <w:sz w:val="24"/>
          <w:szCs w:val="24"/>
        </w:rPr>
        <w:t>Nedsat leverfunktion</w:t>
      </w:r>
    </w:p>
    <w:p w14:paraId="70FFECBB" w14:textId="77777777" w:rsidR="00726C46" w:rsidRPr="00C41A7E" w:rsidRDefault="00726C46" w:rsidP="006207AB">
      <w:pPr>
        <w:ind w:left="851"/>
        <w:rPr>
          <w:sz w:val="24"/>
          <w:szCs w:val="24"/>
        </w:rPr>
      </w:pPr>
      <w:r w:rsidRPr="00C41A7E">
        <w:rPr>
          <w:sz w:val="24"/>
          <w:szCs w:val="24"/>
        </w:rPr>
        <w:t xml:space="preserve">Hos patienter med levercirrose er akkumulation af </w:t>
      </w:r>
      <w:proofErr w:type="spellStart"/>
      <w:r w:rsidRPr="00C41A7E">
        <w:rPr>
          <w:sz w:val="24"/>
          <w:szCs w:val="24"/>
        </w:rPr>
        <w:t>metoclopramid</w:t>
      </w:r>
      <w:proofErr w:type="spellEnd"/>
      <w:r w:rsidRPr="00C41A7E">
        <w:rPr>
          <w:sz w:val="24"/>
          <w:szCs w:val="24"/>
        </w:rPr>
        <w:t xml:space="preserve"> observeret i forbindelse med 50 % reduktion i </w:t>
      </w:r>
      <w:proofErr w:type="spellStart"/>
      <w:r w:rsidRPr="00C41A7E">
        <w:rPr>
          <w:sz w:val="24"/>
          <w:szCs w:val="24"/>
        </w:rPr>
        <w:t>plasmaclearance</w:t>
      </w:r>
      <w:proofErr w:type="spellEnd"/>
      <w:r w:rsidRPr="00C41A7E">
        <w:rPr>
          <w:sz w:val="24"/>
          <w:szCs w:val="24"/>
        </w:rPr>
        <w:t xml:space="preserve">. </w:t>
      </w:r>
    </w:p>
    <w:p w14:paraId="75816E6B" w14:textId="77777777" w:rsidR="009260DE" w:rsidRPr="00C41A7E" w:rsidRDefault="009260DE" w:rsidP="009260DE">
      <w:pPr>
        <w:tabs>
          <w:tab w:val="left" w:pos="851"/>
        </w:tabs>
        <w:ind w:left="851"/>
        <w:rPr>
          <w:sz w:val="24"/>
          <w:szCs w:val="24"/>
        </w:rPr>
      </w:pPr>
    </w:p>
    <w:p w14:paraId="0175ED65" w14:textId="77777777" w:rsidR="009260DE" w:rsidRPr="00C41A7E" w:rsidRDefault="009260DE" w:rsidP="009260DE">
      <w:pPr>
        <w:tabs>
          <w:tab w:val="left" w:pos="851"/>
        </w:tabs>
        <w:ind w:left="851" w:hanging="851"/>
        <w:rPr>
          <w:b/>
          <w:sz w:val="24"/>
          <w:szCs w:val="24"/>
        </w:rPr>
      </w:pPr>
      <w:r w:rsidRPr="00C41A7E">
        <w:rPr>
          <w:b/>
          <w:sz w:val="24"/>
          <w:szCs w:val="24"/>
        </w:rPr>
        <w:t>5.3</w:t>
      </w:r>
      <w:r w:rsidRPr="00C41A7E">
        <w:rPr>
          <w:b/>
          <w:sz w:val="24"/>
          <w:szCs w:val="24"/>
        </w:rPr>
        <w:tab/>
      </w:r>
      <w:r w:rsidR="00BD7931" w:rsidRPr="00C41A7E">
        <w:rPr>
          <w:b/>
          <w:sz w:val="24"/>
          <w:szCs w:val="24"/>
        </w:rPr>
        <w:t>Non-</w:t>
      </w:r>
      <w:r w:rsidRPr="00C41A7E">
        <w:rPr>
          <w:b/>
          <w:sz w:val="24"/>
          <w:szCs w:val="24"/>
        </w:rPr>
        <w:t>kliniske sikkerhedsdata</w:t>
      </w:r>
    </w:p>
    <w:p w14:paraId="5D365D6A" w14:textId="77777777" w:rsidR="00726C46" w:rsidRPr="00C41A7E" w:rsidRDefault="00726C46" w:rsidP="006207AB">
      <w:pPr>
        <w:ind w:left="851"/>
        <w:rPr>
          <w:sz w:val="24"/>
          <w:szCs w:val="24"/>
        </w:rPr>
      </w:pPr>
      <w:r w:rsidRPr="00C41A7E">
        <w:rPr>
          <w:sz w:val="24"/>
          <w:szCs w:val="24"/>
        </w:rPr>
        <w:t>Ikke-kliniske data viser ingen særlig fare for mennesker baseret på konventionelle undersøgelser af sikkerhedsfarmakologi, toksicitet ved gentagen dosis og reproduktionstoksicitet.</w:t>
      </w:r>
    </w:p>
    <w:p w14:paraId="09AA82CE" w14:textId="77777777" w:rsidR="00726C46" w:rsidRPr="00C41A7E" w:rsidRDefault="00726C46" w:rsidP="006207AB">
      <w:pPr>
        <w:ind w:left="851"/>
        <w:rPr>
          <w:sz w:val="24"/>
          <w:szCs w:val="24"/>
        </w:rPr>
      </w:pPr>
      <w:r w:rsidRPr="00C41A7E">
        <w:rPr>
          <w:sz w:val="24"/>
          <w:szCs w:val="24"/>
        </w:rPr>
        <w:t xml:space="preserve">De genotoksiske virkninger af </w:t>
      </w:r>
      <w:proofErr w:type="spellStart"/>
      <w:r w:rsidRPr="00C41A7E">
        <w:rPr>
          <w:sz w:val="24"/>
          <w:szCs w:val="24"/>
        </w:rPr>
        <w:t>metoclopramidhydrochlorid</w:t>
      </w:r>
      <w:proofErr w:type="spellEnd"/>
      <w:r w:rsidRPr="00C41A7E">
        <w:rPr>
          <w:sz w:val="24"/>
          <w:szCs w:val="24"/>
        </w:rPr>
        <w:t xml:space="preserve"> er ikke blevet undersøgt grundigt. Undersøgelser af </w:t>
      </w:r>
      <w:proofErr w:type="spellStart"/>
      <w:r w:rsidRPr="00C41A7E">
        <w:rPr>
          <w:sz w:val="24"/>
          <w:szCs w:val="24"/>
        </w:rPr>
        <w:t>mutageniciteten</w:t>
      </w:r>
      <w:proofErr w:type="spellEnd"/>
      <w:r w:rsidRPr="00C41A7E">
        <w:rPr>
          <w:sz w:val="24"/>
          <w:szCs w:val="24"/>
        </w:rPr>
        <w:t xml:space="preserve"> i 3 bakteriestammer (salmonella) viste ingen tegn på mutagene egenskaber.</w:t>
      </w:r>
    </w:p>
    <w:p w14:paraId="6D68BD66" w14:textId="77777777" w:rsidR="00726C46" w:rsidRPr="00C41A7E" w:rsidRDefault="00726C46" w:rsidP="006207AB">
      <w:pPr>
        <w:ind w:left="851"/>
        <w:rPr>
          <w:sz w:val="24"/>
          <w:szCs w:val="24"/>
        </w:rPr>
      </w:pPr>
      <w:r w:rsidRPr="00C41A7E">
        <w:rPr>
          <w:sz w:val="24"/>
          <w:szCs w:val="24"/>
        </w:rPr>
        <w:lastRenderedPageBreak/>
        <w:t xml:space="preserve">En cancermodel induceret hos rotter med 40 gange højere orale doser end anvendt til human terapi indikerede ingen signifikante afvigelser bortset fra øgede </w:t>
      </w:r>
      <w:proofErr w:type="spellStart"/>
      <w:r w:rsidRPr="00C41A7E">
        <w:rPr>
          <w:sz w:val="24"/>
          <w:szCs w:val="24"/>
        </w:rPr>
        <w:t>prolaktinniveauer</w:t>
      </w:r>
      <w:proofErr w:type="spellEnd"/>
      <w:r w:rsidRPr="00C41A7E">
        <w:rPr>
          <w:sz w:val="24"/>
          <w:szCs w:val="24"/>
        </w:rPr>
        <w:t>.</w:t>
      </w:r>
    </w:p>
    <w:p w14:paraId="1E111B78" w14:textId="77777777" w:rsidR="009260DE" w:rsidRPr="00C41A7E" w:rsidRDefault="009260DE" w:rsidP="009260DE">
      <w:pPr>
        <w:tabs>
          <w:tab w:val="left" w:pos="851"/>
        </w:tabs>
        <w:ind w:left="851"/>
        <w:rPr>
          <w:sz w:val="24"/>
          <w:szCs w:val="24"/>
        </w:rPr>
      </w:pPr>
    </w:p>
    <w:p w14:paraId="11579484" w14:textId="77777777" w:rsidR="009260DE" w:rsidRPr="00C41A7E" w:rsidRDefault="009260DE" w:rsidP="009260DE">
      <w:pPr>
        <w:tabs>
          <w:tab w:val="left" w:pos="851"/>
        </w:tabs>
        <w:ind w:left="851"/>
        <w:rPr>
          <w:sz w:val="24"/>
          <w:szCs w:val="24"/>
        </w:rPr>
      </w:pPr>
    </w:p>
    <w:p w14:paraId="67E9337A" w14:textId="77777777" w:rsidR="009260DE" w:rsidRPr="00C41A7E" w:rsidRDefault="009260DE" w:rsidP="009260DE">
      <w:pPr>
        <w:tabs>
          <w:tab w:val="left" w:pos="851"/>
        </w:tabs>
        <w:ind w:left="851" w:hanging="851"/>
        <w:rPr>
          <w:b/>
          <w:sz w:val="24"/>
          <w:szCs w:val="24"/>
        </w:rPr>
      </w:pPr>
      <w:r w:rsidRPr="00C41A7E">
        <w:rPr>
          <w:b/>
          <w:sz w:val="24"/>
          <w:szCs w:val="24"/>
        </w:rPr>
        <w:t>6.</w:t>
      </w:r>
      <w:r w:rsidRPr="00C41A7E">
        <w:rPr>
          <w:b/>
          <w:sz w:val="24"/>
          <w:szCs w:val="24"/>
        </w:rPr>
        <w:tab/>
        <w:t>FARMACEUTISKE OPLYSNINGER</w:t>
      </w:r>
    </w:p>
    <w:p w14:paraId="7868B542" w14:textId="77777777" w:rsidR="009260DE" w:rsidRPr="00C41A7E" w:rsidRDefault="009260DE" w:rsidP="009260DE">
      <w:pPr>
        <w:tabs>
          <w:tab w:val="left" w:pos="851"/>
        </w:tabs>
        <w:ind w:left="851"/>
        <w:rPr>
          <w:sz w:val="24"/>
          <w:szCs w:val="24"/>
        </w:rPr>
      </w:pPr>
    </w:p>
    <w:p w14:paraId="63FE96B7" w14:textId="77777777" w:rsidR="009260DE" w:rsidRPr="00C41A7E" w:rsidRDefault="009260DE" w:rsidP="009260DE">
      <w:pPr>
        <w:tabs>
          <w:tab w:val="left" w:pos="851"/>
        </w:tabs>
        <w:ind w:left="851" w:hanging="851"/>
        <w:rPr>
          <w:b/>
          <w:sz w:val="24"/>
          <w:szCs w:val="24"/>
        </w:rPr>
      </w:pPr>
      <w:r w:rsidRPr="00C41A7E">
        <w:rPr>
          <w:b/>
          <w:sz w:val="24"/>
          <w:szCs w:val="24"/>
        </w:rPr>
        <w:t>6.1</w:t>
      </w:r>
      <w:r w:rsidRPr="00C41A7E">
        <w:rPr>
          <w:b/>
          <w:sz w:val="24"/>
          <w:szCs w:val="24"/>
        </w:rPr>
        <w:tab/>
        <w:t>Hjælpestoffer</w:t>
      </w:r>
    </w:p>
    <w:p w14:paraId="6A67E9BD" w14:textId="77777777" w:rsidR="00726C46" w:rsidRPr="00C41A7E" w:rsidRDefault="00726C46" w:rsidP="006207AB">
      <w:pPr>
        <w:ind w:left="851"/>
        <w:rPr>
          <w:sz w:val="24"/>
          <w:szCs w:val="24"/>
          <w:lang w:val="de-DE"/>
        </w:rPr>
      </w:pPr>
      <w:r w:rsidRPr="00C41A7E">
        <w:rPr>
          <w:sz w:val="24"/>
          <w:szCs w:val="24"/>
          <w:lang w:val="de-DE"/>
        </w:rPr>
        <w:t>Natriumchlorid</w:t>
      </w:r>
    </w:p>
    <w:p w14:paraId="2F7EE26F" w14:textId="77777777" w:rsidR="00726C46" w:rsidRPr="00C41A7E" w:rsidRDefault="00726C46" w:rsidP="006207AB">
      <w:pPr>
        <w:ind w:left="851"/>
        <w:rPr>
          <w:sz w:val="24"/>
          <w:szCs w:val="24"/>
          <w:lang w:val="de-DE"/>
        </w:rPr>
      </w:pPr>
      <w:proofErr w:type="spellStart"/>
      <w:r w:rsidRPr="00C41A7E">
        <w:rPr>
          <w:sz w:val="24"/>
          <w:szCs w:val="24"/>
          <w:lang w:val="de-DE"/>
        </w:rPr>
        <w:t>Saltsyre</w:t>
      </w:r>
      <w:proofErr w:type="spellEnd"/>
      <w:r w:rsidRPr="00C41A7E">
        <w:rPr>
          <w:sz w:val="24"/>
          <w:szCs w:val="24"/>
          <w:lang w:val="de-DE"/>
        </w:rPr>
        <w:t xml:space="preserve"> (</w:t>
      </w:r>
      <w:proofErr w:type="spellStart"/>
      <w:r w:rsidRPr="00C41A7E">
        <w:rPr>
          <w:sz w:val="24"/>
          <w:szCs w:val="24"/>
          <w:lang w:val="de-DE"/>
        </w:rPr>
        <w:t>til</w:t>
      </w:r>
      <w:proofErr w:type="spellEnd"/>
      <w:r w:rsidRPr="00C41A7E">
        <w:rPr>
          <w:sz w:val="24"/>
          <w:szCs w:val="24"/>
          <w:lang w:val="de-DE"/>
        </w:rPr>
        <w:t xml:space="preserve"> pH-</w:t>
      </w:r>
      <w:proofErr w:type="spellStart"/>
      <w:r w:rsidRPr="00C41A7E">
        <w:rPr>
          <w:sz w:val="24"/>
          <w:szCs w:val="24"/>
          <w:lang w:val="de-DE"/>
        </w:rPr>
        <w:t>justering</w:t>
      </w:r>
      <w:proofErr w:type="spellEnd"/>
      <w:r w:rsidRPr="00C41A7E">
        <w:rPr>
          <w:sz w:val="24"/>
          <w:szCs w:val="24"/>
          <w:lang w:val="de-DE"/>
        </w:rPr>
        <w:t>)</w:t>
      </w:r>
    </w:p>
    <w:p w14:paraId="31C18FF2" w14:textId="77777777" w:rsidR="00726C46" w:rsidRPr="00C41A7E" w:rsidRDefault="00726C46" w:rsidP="006207AB">
      <w:pPr>
        <w:ind w:left="851"/>
        <w:rPr>
          <w:sz w:val="24"/>
          <w:szCs w:val="24"/>
        </w:rPr>
      </w:pPr>
      <w:r w:rsidRPr="00C41A7E">
        <w:rPr>
          <w:sz w:val="24"/>
          <w:szCs w:val="24"/>
        </w:rPr>
        <w:t>Natriumhydroxid (til pH-justering)</w:t>
      </w:r>
    </w:p>
    <w:p w14:paraId="69BC05A9" w14:textId="77777777" w:rsidR="00726C46" w:rsidRPr="00C41A7E" w:rsidRDefault="00726C46" w:rsidP="006207AB">
      <w:pPr>
        <w:ind w:left="851"/>
        <w:rPr>
          <w:sz w:val="24"/>
          <w:szCs w:val="24"/>
          <w:lang w:val="de-DE"/>
        </w:rPr>
      </w:pPr>
      <w:r w:rsidRPr="00C41A7E">
        <w:rPr>
          <w:sz w:val="24"/>
          <w:szCs w:val="24"/>
        </w:rPr>
        <w:t>Vand til injektionsvæsker</w:t>
      </w:r>
    </w:p>
    <w:p w14:paraId="58F91ED5" w14:textId="77777777" w:rsidR="009260DE" w:rsidRPr="00C41A7E" w:rsidRDefault="009260DE" w:rsidP="009260DE">
      <w:pPr>
        <w:tabs>
          <w:tab w:val="left" w:pos="851"/>
        </w:tabs>
        <w:ind w:left="851"/>
        <w:rPr>
          <w:sz w:val="24"/>
          <w:szCs w:val="24"/>
        </w:rPr>
      </w:pPr>
    </w:p>
    <w:p w14:paraId="6820C225" w14:textId="77777777" w:rsidR="009260DE" w:rsidRPr="00C41A7E" w:rsidRDefault="009260DE" w:rsidP="009260DE">
      <w:pPr>
        <w:tabs>
          <w:tab w:val="left" w:pos="851"/>
        </w:tabs>
        <w:ind w:left="851" w:hanging="851"/>
        <w:rPr>
          <w:b/>
          <w:sz w:val="24"/>
          <w:szCs w:val="24"/>
        </w:rPr>
      </w:pPr>
      <w:r w:rsidRPr="00C41A7E">
        <w:rPr>
          <w:b/>
          <w:sz w:val="24"/>
          <w:szCs w:val="24"/>
        </w:rPr>
        <w:t>6.2</w:t>
      </w:r>
      <w:r w:rsidRPr="00C41A7E">
        <w:rPr>
          <w:b/>
          <w:sz w:val="24"/>
          <w:szCs w:val="24"/>
        </w:rPr>
        <w:tab/>
        <w:t>Uforligeligheder</w:t>
      </w:r>
    </w:p>
    <w:p w14:paraId="7A99FAFC" w14:textId="77777777" w:rsidR="00726C46" w:rsidRPr="00C41A7E" w:rsidRDefault="00726C46" w:rsidP="006207AB">
      <w:pPr>
        <w:ind w:left="851"/>
        <w:rPr>
          <w:sz w:val="24"/>
          <w:szCs w:val="24"/>
        </w:rPr>
      </w:pPr>
      <w:r w:rsidRPr="00C41A7E">
        <w:rPr>
          <w:sz w:val="24"/>
          <w:szCs w:val="24"/>
        </w:rPr>
        <w:t>I mangel af kompatibilitetsundersøgelser må dette lægemiddel ikke blandes med andre lægemidler.</w:t>
      </w:r>
    </w:p>
    <w:p w14:paraId="5CD5E662" w14:textId="77777777" w:rsidR="009260DE" w:rsidRPr="00C41A7E" w:rsidRDefault="009260DE" w:rsidP="009260DE">
      <w:pPr>
        <w:tabs>
          <w:tab w:val="left" w:pos="851"/>
        </w:tabs>
        <w:ind w:left="851"/>
        <w:rPr>
          <w:sz w:val="24"/>
          <w:szCs w:val="24"/>
        </w:rPr>
      </w:pPr>
    </w:p>
    <w:p w14:paraId="14F431BE" w14:textId="77777777" w:rsidR="009260DE" w:rsidRPr="00C41A7E" w:rsidRDefault="009260DE" w:rsidP="009260DE">
      <w:pPr>
        <w:tabs>
          <w:tab w:val="left" w:pos="851"/>
        </w:tabs>
        <w:ind w:left="851" w:hanging="851"/>
        <w:rPr>
          <w:b/>
          <w:sz w:val="24"/>
          <w:szCs w:val="24"/>
        </w:rPr>
      </w:pPr>
      <w:r w:rsidRPr="00C41A7E">
        <w:rPr>
          <w:b/>
          <w:sz w:val="24"/>
          <w:szCs w:val="24"/>
        </w:rPr>
        <w:t>6.3</w:t>
      </w:r>
      <w:r w:rsidRPr="00C41A7E">
        <w:rPr>
          <w:b/>
          <w:sz w:val="24"/>
          <w:szCs w:val="24"/>
        </w:rPr>
        <w:tab/>
        <w:t>Opbevaringstid</w:t>
      </w:r>
    </w:p>
    <w:p w14:paraId="526383D9" w14:textId="77777777" w:rsidR="00726C46" w:rsidRPr="00C41A7E" w:rsidRDefault="00726C46" w:rsidP="006207AB">
      <w:pPr>
        <w:ind w:left="851"/>
        <w:rPr>
          <w:sz w:val="24"/>
          <w:szCs w:val="24"/>
        </w:rPr>
      </w:pPr>
      <w:r w:rsidRPr="00C41A7E">
        <w:rPr>
          <w:sz w:val="24"/>
          <w:szCs w:val="24"/>
        </w:rPr>
        <w:t>3 år</w:t>
      </w:r>
    </w:p>
    <w:p w14:paraId="4EC60076" w14:textId="77777777" w:rsidR="00726C46" w:rsidRPr="00C41A7E" w:rsidRDefault="00726C46" w:rsidP="006207AB">
      <w:pPr>
        <w:ind w:left="851"/>
        <w:rPr>
          <w:spacing w:val="-3"/>
          <w:sz w:val="24"/>
          <w:szCs w:val="24"/>
        </w:rPr>
      </w:pPr>
    </w:p>
    <w:p w14:paraId="1D0C8689" w14:textId="77777777" w:rsidR="00726C46" w:rsidRPr="00C41A7E" w:rsidRDefault="00726C46" w:rsidP="006207AB">
      <w:pPr>
        <w:ind w:left="851"/>
        <w:rPr>
          <w:sz w:val="24"/>
          <w:szCs w:val="24"/>
        </w:rPr>
      </w:pPr>
      <w:r w:rsidRPr="00C41A7E">
        <w:rPr>
          <w:sz w:val="24"/>
          <w:szCs w:val="24"/>
        </w:rPr>
        <w:t>Efter åbning af ampullen skal du straks bruge og kassere al ubrugt opløsning.</w:t>
      </w:r>
    </w:p>
    <w:p w14:paraId="63A39138" w14:textId="77777777" w:rsidR="009260DE" w:rsidRPr="00C41A7E" w:rsidRDefault="009260DE" w:rsidP="009260DE">
      <w:pPr>
        <w:tabs>
          <w:tab w:val="left" w:pos="851"/>
        </w:tabs>
        <w:ind w:left="851"/>
        <w:rPr>
          <w:sz w:val="24"/>
          <w:szCs w:val="24"/>
        </w:rPr>
      </w:pPr>
    </w:p>
    <w:p w14:paraId="1506EFFB" w14:textId="77777777" w:rsidR="009260DE" w:rsidRPr="00C41A7E" w:rsidRDefault="009260DE" w:rsidP="009260DE">
      <w:pPr>
        <w:tabs>
          <w:tab w:val="left" w:pos="851"/>
        </w:tabs>
        <w:ind w:left="851" w:hanging="851"/>
        <w:rPr>
          <w:b/>
          <w:sz w:val="24"/>
          <w:szCs w:val="24"/>
        </w:rPr>
      </w:pPr>
      <w:r w:rsidRPr="00C41A7E">
        <w:rPr>
          <w:b/>
          <w:sz w:val="24"/>
          <w:szCs w:val="24"/>
        </w:rPr>
        <w:t>6.4</w:t>
      </w:r>
      <w:r w:rsidRPr="00C41A7E">
        <w:rPr>
          <w:b/>
          <w:sz w:val="24"/>
          <w:szCs w:val="24"/>
        </w:rPr>
        <w:tab/>
        <w:t>Særlige opbevaringsforhold</w:t>
      </w:r>
    </w:p>
    <w:p w14:paraId="7F9995C3" w14:textId="77777777" w:rsidR="00726C46" w:rsidRPr="00C41A7E" w:rsidRDefault="00726C46" w:rsidP="006207AB">
      <w:pPr>
        <w:ind w:left="851"/>
        <w:rPr>
          <w:noProof/>
          <w:sz w:val="24"/>
          <w:szCs w:val="24"/>
        </w:rPr>
      </w:pPr>
      <w:bookmarkStart w:id="1" w:name="_Hlk170385276"/>
      <w:r w:rsidRPr="00C41A7E">
        <w:rPr>
          <w:noProof/>
          <w:sz w:val="24"/>
          <w:szCs w:val="24"/>
        </w:rPr>
        <w:t>Opbevares i den originale pakning for at beskytte mod lys.</w:t>
      </w:r>
      <w:bookmarkEnd w:id="1"/>
    </w:p>
    <w:p w14:paraId="689060C7" w14:textId="77777777" w:rsidR="009260DE" w:rsidRPr="00C41A7E" w:rsidRDefault="009260DE" w:rsidP="009260DE">
      <w:pPr>
        <w:tabs>
          <w:tab w:val="left" w:pos="851"/>
        </w:tabs>
        <w:ind w:left="851"/>
        <w:rPr>
          <w:sz w:val="24"/>
          <w:szCs w:val="24"/>
        </w:rPr>
      </w:pPr>
    </w:p>
    <w:p w14:paraId="05DD9880" w14:textId="77777777" w:rsidR="009260DE" w:rsidRPr="00C41A7E" w:rsidRDefault="009260DE" w:rsidP="009260DE">
      <w:pPr>
        <w:tabs>
          <w:tab w:val="left" w:pos="851"/>
        </w:tabs>
        <w:ind w:left="851" w:hanging="851"/>
        <w:rPr>
          <w:b/>
          <w:sz w:val="24"/>
          <w:szCs w:val="24"/>
        </w:rPr>
      </w:pPr>
      <w:r w:rsidRPr="00C41A7E">
        <w:rPr>
          <w:b/>
          <w:sz w:val="24"/>
          <w:szCs w:val="24"/>
        </w:rPr>
        <w:t>6.5</w:t>
      </w:r>
      <w:r w:rsidRPr="00C41A7E">
        <w:rPr>
          <w:b/>
          <w:sz w:val="24"/>
          <w:szCs w:val="24"/>
        </w:rPr>
        <w:tab/>
        <w:t>Emballagetype og pakningsstørrelser</w:t>
      </w:r>
    </w:p>
    <w:p w14:paraId="22B9A979" w14:textId="77777777" w:rsidR="00726C46" w:rsidRPr="00C41A7E" w:rsidRDefault="00726C46" w:rsidP="006207AB">
      <w:pPr>
        <w:ind w:left="851"/>
        <w:rPr>
          <w:sz w:val="24"/>
          <w:szCs w:val="24"/>
        </w:rPr>
      </w:pPr>
      <w:r w:rsidRPr="00C41A7E">
        <w:rPr>
          <w:sz w:val="24"/>
          <w:szCs w:val="24"/>
        </w:rPr>
        <w:t>Klar, farveløs (Type I) glasampul indeholdende 2 ml opløsning.</w:t>
      </w:r>
    </w:p>
    <w:p w14:paraId="47A74ED0" w14:textId="77777777" w:rsidR="00726C46" w:rsidRPr="00C41A7E" w:rsidRDefault="00726C46" w:rsidP="006207AB">
      <w:pPr>
        <w:ind w:left="851"/>
        <w:rPr>
          <w:sz w:val="24"/>
          <w:szCs w:val="24"/>
        </w:rPr>
      </w:pPr>
      <w:r w:rsidRPr="00C41A7E">
        <w:rPr>
          <w:sz w:val="24"/>
          <w:szCs w:val="24"/>
        </w:rPr>
        <w:t>Pakningsstørrelser: 3, 5 og 10 ampuller.</w:t>
      </w:r>
    </w:p>
    <w:p w14:paraId="788762D1" w14:textId="77777777" w:rsidR="00726C46" w:rsidRPr="00C41A7E" w:rsidRDefault="00726C46" w:rsidP="006207AB">
      <w:pPr>
        <w:ind w:left="851"/>
        <w:rPr>
          <w:sz w:val="24"/>
          <w:szCs w:val="24"/>
        </w:rPr>
      </w:pPr>
    </w:p>
    <w:p w14:paraId="7CE6E348" w14:textId="77777777" w:rsidR="00726C46" w:rsidRPr="00C41A7E" w:rsidRDefault="00726C46" w:rsidP="006207AB">
      <w:pPr>
        <w:ind w:left="851"/>
        <w:rPr>
          <w:sz w:val="24"/>
          <w:szCs w:val="24"/>
        </w:rPr>
      </w:pPr>
      <w:r w:rsidRPr="00C41A7E">
        <w:rPr>
          <w:sz w:val="24"/>
          <w:szCs w:val="24"/>
        </w:rPr>
        <w:t>Ikke alle pakningsstørrelser er nødvendigvis markedsført.</w:t>
      </w:r>
    </w:p>
    <w:p w14:paraId="4BFCED87" w14:textId="77777777" w:rsidR="009260DE" w:rsidRPr="00C41A7E" w:rsidRDefault="009260DE" w:rsidP="009260DE">
      <w:pPr>
        <w:tabs>
          <w:tab w:val="left" w:pos="851"/>
        </w:tabs>
        <w:ind w:left="851"/>
        <w:rPr>
          <w:sz w:val="24"/>
          <w:szCs w:val="24"/>
        </w:rPr>
      </w:pPr>
    </w:p>
    <w:p w14:paraId="413139B9" w14:textId="77777777" w:rsidR="009260DE" w:rsidRPr="00C41A7E" w:rsidRDefault="009260DE" w:rsidP="009260DE">
      <w:pPr>
        <w:tabs>
          <w:tab w:val="left" w:pos="851"/>
        </w:tabs>
        <w:ind w:left="851" w:hanging="851"/>
        <w:rPr>
          <w:b/>
          <w:sz w:val="24"/>
          <w:szCs w:val="24"/>
        </w:rPr>
      </w:pPr>
      <w:r w:rsidRPr="00C41A7E">
        <w:rPr>
          <w:b/>
          <w:sz w:val="24"/>
          <w:szCs w:val="24"/>
        </w:rPr>
        <w:t>6.6</w:t>
      </w:r>
      <w:r w:rsidRPr="00C41A7E">
        <w:rPr>
          <w:b/>
          <w:sz w:val="24"/>
          <w:szCs w:val="24"/>
        </w:rPr>
        <w:tab/>
        <w:t xml:space="preserve">Regler for </w:t>
      </w:r>
      <w:r w:rsidR="00BD7931" w:rsidRPr="00C41A7E">
        <w:rPr>
          <w:b/>
          <w:sz w:val="24"/>
          <w:szCs w:val="24"/>
        </w:rPr>
        <w:t>bortskaffelse</w:t>
      </w:r>
      <w:r w:rsidRPr="00C41A7E">
        <w:rPr>
          <w:b/>
          <w:sz w:val="24"/>
          <w:szCs w:val="24"/>
        </w:rPr>
        <w:t xml:space="preserve"> og anden håndtering</w:t>
      </w:r>
    </w:p>
    <w:p w14:paraId="7C87FDCD" w14:textId="77777777" w:rsidR="00726C46" w:rsidRPr="00C41A7E" w:rsidRDefault="00726C46" w:rsidP="006207AB">
      <w:pPr>
        <w:ind w:left="851"/>
        <w:rPr>
          <w:sz w:val="24"/>
          <w:szCs w:val="24"/>
        </w:rPr>
      </w:pPr>
      <w:r w:rsidRPr="00C41A7E">
        <w:rPr>
          <w:sz w:val="24"/>
          <w:szCs w:val="24"/>
        </w:rPr>
        <w:t>Brug kun, hvis opløsningen er klar og ikke indeholder bundfald.</w:t>
      </w:r>
    </w:p>
    <w:p w14:paraId="082094CB" w14:textId="77777777" w:rsidR="00726C46" w:rsidRPr="00C41A7E" w:rsidRDefault="00726C46" w:rsidP="006207AB">
      <w:pPr>
        <w:ind w:left="851"/>
        <w:rPr>
          <w:sz w:val="24"/>
          <w:szCs w:val="24"/>
        </w:rPr>
      </w:pPr>
    </w:p>
    <w:p w14:paraId="64F8D1D6" w14:textId="77777777" w:rsidR="00726C46" w:rsidRPr="00C41A7E" w:rsidRDefault="00726C46" w:rsidP="006207AB">
      <w:pPr>
        <w:ind w:left="851"/>
        <w:rPr>
          <w:sz w:val="24"/>
          <w:szCs w:val="24"/>
        </w:rPr>
      </w:pPr>
      <w:r w:rsidRPr="00C41A7E">
        <w:rPr>
          <w:sz w:val="24"/>
          <w:szCs w:val="24"/>
        </w:rPr>
        <w:t xml:space="preserve">Bemærk om åbning af OPC (= </w:t>
      </w:r>
      <w:proofErr w:type="spellStart"/>
      <w:r w:rsidRPr="00C41A7E">
        <w:rPr>
          <w:sz w:val="24"/>
          <w:szCs w:val="24"/>
        </w:rPr>
        <w:t>one</w:t>
      </w:r>
      <w:proofErr w:type="spellEnd"/>
      <w:r w:rsidRPr="00C41A7E">
        <w:rPr>
          <w:sz w:val="24"/>
          <w:szCs w:val="24"/>
        </w:rPr>
        <w:t>-point-cut) ampuller:</w:t>
      </w:r>
    </w:p>
    <w:p w14:paraId="3896F162" w14:textId="77777777" w:rsidR="00726C46" w:rsidRPr="00C41A7E" w:rsidRDefault="00726C46" w:rsidP="006207AB">
      <w:pPr>
        <w:ind w:left="851"/>
        <w:rPr>
          <w:sz w:val="24"/>
          <w:szCs w:val="24"/>
        </w:rPr>
      </w:pPr>
      <w:r w:rsidRPr="00C41A7E">
        <w:rPr>
          <w:sz w:val="24"/>
          <w:szCs w:val="24"/>
        </w:rPr>
        <w:t>Åbn venligst ampullen ordentligt ved at placere tommelfingeren på punktet, og løse hovedet ved at bøje det til siden. Ideelt set skal du bruge en ampulåbner.</w:t>
      </w:r>
    </w:p>
    <w:p w14:paraId="11B712FF" w14:textId="77777777" w:rsidR="00726C46" w:rsidRPr="00C41A7E" w:rsidRDefault="00726C46" w:rsidP="006207AB">
      <w:pPr>
        <w:ind w:left="851"/>
        <w:rPr>
          <w:sz w:val="24"/>
          <w:szCs w:val="24"/>
        </w:rPr>
      </w:pPr>
    </w:p>
    <w:p w14:paraId="376084AC" w14:textId="77777777" w:rsidR="00726C46" w:rsidRPr="00C41A7E" w:rsidRDefault="00726C46" w:rsidP="006207AB">
      <w:pPr>
        <w:ind w:left="851"/>
        <w:rPr>
          <w:sz w:val="24"/>
          <w:szCs w:val="24"/>
        </w:rPr>
      </w:pPr>
      <w:r w:rsidRPr="00C41A7E">
        <w:rPr>
          <w:sz w:val="24"/>
          <w:szCs w:val="24"/>
        </w:rPr>
        <w:t>Ikke anvendt lægemiddel samt affald heraf skal bortskaffes i henhold til lokale retningslinjer.</w:t>
      </w:r>
    </w:p>
    <w:p w14:paraId="0964C80C" w14:textId="77777777" w:rsidR="009260DE" w:rsidRPr="00C41A7E" w:rsidRDefault="009260DE" w:rsidP="000730CA">
      <w:pPr>
        <w:tabs>
          <w:tab w:val="left" w:pos="851"/>
        </w:tabs>
        <w:ind w:left="851"/>
        <w:rPr>
          <w:sz w:val="24"/>
          <w:szCs w:val="24"/>
        </w:rPr>
      </w:pPr>
    </w:p>
    <w:p w14:paraId="7A5B310C" w14:textId="77777777" w:rsidR="009260DE" w:rsidRPr="00C41A7E" w:rsidRDefault="009260DE" w:rsidP="009260DE">
      <w:pPr>
        <w:tabs>
          <w:tab w:val="left" w:pos="851"/>
        </w:tabs>
        <w:ind w:left="851" w:hanging="851"/>
        <w:rPr>
          <w:b/>
          <w:sz w:val="24"/>
          <w:szCs w:val="24"/>
        </w:rPr>
      </w:pPr>
      <w:r w:rsidRPr="00C41A7E">
        <w:rPr>
          <w:b/>
          <w:sz w:val="24"/>
          <w:szCs w:val="24"/>
        </w:rPr>
        <w:t>7.</w:t>
      </w:r>
      <w:r w:rsidRPr="00C41A7E">
        <w:rPr>
          <w:b/>
          <w:sz w:val="24"/>
          <w:szCs w:val="24"/>
        </w:rPr>
        <w:tab/>
        <w:t>INDEHAVER AF MARKEDSFØRINGSTILLADELSEN</w:t>
      </w:r>
    </w:p>
    <w:p w14:paraId="62481294" w14:textId="2000CDDE" w:rsidR="00726C46" w:rsidRPr="00C41A7E" w:rsidRDefault="00726C46" w:rsidP="006207AB">
      <w:pPr>
        <w:ind w:left="851"/>
        <w:rPr>
          <w:sz w:val="24"/>
          <w:szCs w:val="24"/>
        </w:rPr>
      </w:pPr>
      <w:r w:rsidRPr="00C41A7E">
        <w:rPr>
          <w:sz w:val="24"/>
          <w:szCs w:val="24"/>
        </w:rPr>
        <w:t>G.L. Pharma GmbH</w:t>
      </w:r>
    </w:p>
    <w:p w14:paraId="01FDB2BA" w14:textId="59E67F0F" w:rsidR="00726C46" w:rsidRPr="00C41A7E" w:rsidRDefault="00726C46" w:rsidP="006207AB">
      <w:pPr>
        <w:ind w:left="851"/>
        <w:rPr>
          <w:sz w:val="24"/>
          <w:szCs w:val="24"/>
        </w:rPr>
      </w:pPr>
      <w:proofErr w:type="spellStart"/>
      <w:r w:rsidRPr="00C41A7E">
        <w:rPr>
          <w:sz w:val="24"/>
          <w:szCs w:val="24"/>
        </w:rPr>
        <w:t>Schlossplatz</w:t>
      </w:r>
      <w:proofErr w:type="spellEnd"/>
      <w:r w:rsidRPr="00C41A7E">
        <w:rPr>
          <w:sz w:val="24"/>
          <w:szCs w:val="24"/>
        </w:rPr>
        <w:t xml:space="preserve"> 1 </w:t>
      </w:r>
    </w:p>
    <w:p w14:paraId="7CBE3FD1" w14:textId="3350EEAA" w:rsidR="00726C46" w:rsidRPr="00C41A7E" w:rsidRDefault="00726C46" w:rsidP="006207AB">
      <w:pPr>
        <w:ind w:left="851"/>
        <w:rPr>
          <w:sz w:val="24"/>
          <w:szCs w:val="24"/>
        </w:rPr>
      </w:pPr>
      <w:r w:rsidRPr="00C41A7E">
        <w:rPr>
          <w:sz w:val="24"/>
          <w:szCs w:val="24"/>
        </w:rPr>
        <w:t xml:space="preserve">8502 </w:t>
      </w:r>
      <w:proofErr w:type="spellStart"/>
      <w:r w:rsidRPr="00C41A7E">
        <w:rPr>
          <w:sz w:val="24"/>
          <w:szCs w:val="24"/>
        </w:rPr>
        <w:t>Lannach</w:t>
      </w:r>
      <w:proofErr w:type="spellEnd"/>
    </w:p>
    <w:p w14:paraId="29A32240" w14:textId="77777777" w:rsidR="00726C46" w:rsidRPr="00C41A7E" w:rsidRDefault="00726C46" w:rsidP="006207AB">
      <w:pPr>
        <w:ind w:left="851"/>
        <w:rPr>
          <w:sz w:val="24"/>
          <w:szCs w:val="24"/>
        </w:rPr>
      </w:pPr>
      <w:r w:rsidRPr="00C41A7E">
        <w:rPr>
          <w:sz w:val="24"/>
          <w:szCs w:val="24"/>
        </w:rPr>
        <w:t>Østrig</w:t>
      </w:r>
    </w:p>
    <w:p w14:paraId="164EB287" w14:textId="77777777" w:rsidR="009260DE" w:rsidRPr="00C41A7E" w:rsidRDefault="009260DE" w:rsidP="006207AB">
      <w:pPr>
        <w:ind w:left="851"/>
        <w:rPr>
          <w:sz w:val="24"/>
          <w:szCs w:val="24"/>
        </w:rPr>
      </w:pPr>
    </w:p>
    <w:p w14:paraId="64239B97" w14:textId="77777777" w:rsidR="00641C65" w:rsidRPr="00C41A7E" w:rsidRDefault="00641C65" w:rsidP="006207AB">
      <w:pPr>
        <w:ind w:left="851"/>
        <w:rPr>
          <w:sz w:val="24"/>
          <w:szCs w:val="24"/>
        </w:rPr>
      </w:pPr>
      <w:r w:rsidRPr="00C41A7E">
        <w:rPr>
          <w:b/>
          <w:sz w:val="24"/>
          <w:szCs w:val="24"/>
        </w:rPr>
        <w:t>Repræsentant</w:t>
      </w:r>
    </w:p>
    <w:p w14:paraId="000A26FF" w14:textId="77777777" w:rsidR="00726C46" w:rsidRPr="00C41A7E" w:rsidRDefault="00726C46" w:rsidP="006207AB">
      <w:pPr>
        <w:ind w:left="851"/>
        <w:rPr>
          <w:sz w:val="24"/>
          <w:szCs w:val="24"/>
        </w:rPr>
      </w:pPr>
      <w:r w:rsidRPr="00C41A7E">
        <w:rPr>
          <w:sz w:val="24"/>
          <w:szCs w:val="24"/>
        </w:rPr>
        <w:t>G.L. Pharma Nordic Aktiebolag</w:t>
      </w:r>
    </w:p>
    <w:p w14:paraId="2086C41A" w14:textId="77777777" w:rsidR="00726C46" w:rsidRPr="00C41A7E" w:rsidRDefault="00726C46" w:rsidP="006207AB">
      <w:pPr>
        <w:ind w:left="851"/>
        <w:rPr>
          <w:sz w:val="24"/>
          <w:szCs w:val="24"/>
        </w:rPr>
      </w:pPr>
      <w:proofErr w:type="spellStart"/>
      <w:r w:rsidRPr="00C41A7E">
        <w:rPr>
          <w:sz w:val="24"/>
          <w:szCs w:val="24"/>
        </w:rPr>
        <w:t>Övägen</w:t>
      </w:r>
      <w:proofErr w:type="spellEnd"/>
      <w:r w:rsidRPr="00C41A7E">
        <w:rPr>
          <w:sz w:val="24"/>
          <w:szCs w:val="24"/>
        </w:rPr>
        <w:t xml:space="preserve"> 1</w:t>
      </w:r>
    </w:p>
    <w:p w14:paraId="6D1DED84" w14:textId="77777777" w:rsidR="00726C46" w:rsidRPr="00C41A7E" w:rsidRDefault="00726C46" w:rsidP="006207AB">
      <w:pPr>
        <w:ind w:left="851"/>
        <w:rPr>
          <w:sz w:val="24"/>
          <w:szCs w:val="24"/>
        </w:rPr>
      </w:pPr>
      <w:r w:rsidRPr="00C41A7E">
        <w:rPr>
          <w:sz w:val="24"/>
          <w:szCs w:val="24"/>
        </w:rPr>
        <w:t>21647 Limhamn</w:t>
      </w:r>
    </w:p>
    <w:p w14:paraId="302DC0CA" w14:textId="77777777" w:rsidR="00726C46" w:rsidRPr="00C41A7E" w:rsidRDefault="00726C46" w:rsidP="006207AB">
      <w:pPr>
        <w:ind w:left="851"/>
        <w:rPr>
          <w:sz w:val="24"/>
          <w:szCs w:val="24"/>
        </w:rPr>
      </w:pPr>
      <w:r w:rsidRPr="00C41A7E">
        <w:rPr>
          <w:sz w:val="24"/>
          <w:szCs w:val="24"/>
        </w:rPr>
        <w:t>Sverige</w:t>
      </w:r>
    </w:p>
    <w:p w14:paraId="4AE373D1" w14:textId="77777777" w:rsidR="00641C65" w:rsidRPr="00C41A7E" w:rsidRDefault="00641C65" w:rsidP="009260DE">
      <w:pPr>
        <w:tabs>
          <w:tab w:val="left" w:pos="851"/>
        </w:tabs>
        <w:ind w:left="851"/>
        <w:rPr>
          <w:sz w:val="24"/>
          <w:szCs w:val="24"/>
        </w:rPr>
      </w:pPr>
    </w:p>
    <w:p w14:paraId="12DEF684" w14:textId="77777777" w:rsidR="009260DE" w:rsidRPr="00C41A7E" w:rsidRDefault="009260DE" w:rsidP="009260DE">
      <w:pPr>
        <w:tabs>
          <w:tab w:val="left" w:pos="851"/>
        </w:tabs>
        <w:ind w:left="851" w:hanging="851"/>
        <w:rPr>
          <w:b/>
          <w:sz w:val="24"/>
          <w:szCs w:val="24"/>
        </w:rPr>
      </w:pPr>
      <w:r w:rsidRPr="00C41A7E">
        <w:rPr>
          <w:b/>
          <w:sz w:val="24"/>
          <w:szCs w:val="24"/>
        </w:rPr>
        <w:t>8.</w:t>
      </w:r>
      <w:r w:rsidRPr="00C41A7E">
        <w:rPr>
          <w:b/>
          <w:sz w:val="24"/>
          <w:szCs w:val="24"/>
        </w:rPr>
        <w:tab/>
        <w:t>MARKEDSFØRINGSTILLADELSESNUMMER (</w:t>
      </w:r>
      <w:r w:rsidR="00BF6243" w:rsidRPr="00C41A7E">
        <w:rPr>
          <w:b/>
          <w:sz w:val="24"/>
          <w:szCs w:val="24"/>
        </w:rPr>
        <w:t>-</w:t>
      </w:r>
      <w:r w:rsidRPr="00C41A7E">
        <w:rPr>
          <w:b/>
          <w:sz w:val="24"/>
          <w:szCs w:val="24"/>
        </w:rPr>
        <w:t>NUMRE)</w:t>
      </w:r>
    </w:p>
    <w:p w14:paraId="0EA3D469" w14:textId="16688556" w:rsidR="009260DE" w:rsidRPr="00C41A7E" w:rsidRDefault="00726C46" w:rsidP="009260DE">
      <w:pPr>
        <w:tabs>
          <w:tab w:val="left" w:pos="851"/>
        </w:tabs>
        <w:ind w:left="851"/>
        <w:rPr>
          <w:sz w:val="24"/>
          <w:szCs w:val="24"/>
        </w:rPr>
      </w:pPr>
      <w:r w:rsidRPr="00C41A7E">
        <w:rPr>
          <w:sz w:val="24"/>
          <w:szCs w:val="24"/>
        </w:rPr>
        <w:t>69608</w:t>
      </w:r>
    </w:p>
    <w:p w14:paraId="3E188B4C" w14:textId="77777777" w:rsidR="009260DE" w:rsidRPr="00C41A7E" w:rsidRDefault="009260DE" w:rsidP="009260DE">
      <w:pPr>
        <w:tabs>
          <w:tab w:val="left" w:pos="851"/>
        </w:tabs>
        <w:ind w:left="851"/>
        <w:jc w:val="both"/>
        <w:rPr>
          <w:sz w:val="24"/>
          <w:szCs w:val="24"/>
        </w:rPr>
      </w:pPr>
    </w:p>
    <w:p w14:paraId="4EA4C391" w14:textId="77777777" w:rsidR="009260DE" w:rsidRPr="00C41A7E" w:rsidRDefault="009260DE" w:rsidP="009260DE">
      <w:pPr>
        <w:tabs>
          <w:tab w:val="left" w:pos="851"/>
        </w:tabs>
        <w:ind w:left="851" w:hanging="851"/>
        <w:rPr>
          <w:b/>
          <w:sz w:val="24"/>
          <w:szCs w:val="24"/>
        </w:rPr>
      </w:pPr>
      <w:r w:rsidRPr="00C41A7E">
        <w:rPr>
          <w:b/>
          <w:sz w:val="24"/>
          <w:szCs w:val="24"/>
        </w:rPr>
        <w:t>9.</w:t>
      </w:r>
      <w:r w:rsidRPr="00C41A7E">
        <w:rPr>
          <w:b/>
          <w:sz w:val="24"/>
          <w:szCs w:val="24"/>
        </w:rPr>
        <w:tab/>
        <w:t>DATO FOR FØRSTE MARKEDSFØRINGSTILLADELSE</w:t>
      </w:r>
    </w:p>
    <w:p w14:paraId="21EF6D2A" w14:textId="5CDD6053" w:rsidR="009260DE" w:rsidRPr="00C41A7E" w:rsidRDefault="001F25EF" w:rsidP="009260DE">
      <w:pPr>
        <w:tabs>
          <w:tab w:val="left" w:pos="851"/>
        </w:tabs>
        <w:ind w:left="851"/>
        <w:rPr>
          <w:sz w:val="24"/>
          <w:szCs w:val="24"/>
        </w:rPr>
      </w:pPr>
      <w:r>
        <w:rPr>
          <w:sz w:val="24"/>
          <w:szCs w:val="24"/>
        </w:rPr>
        <w:t>2. september 2024</w:t>
      </w:r>
    </w:p>
    <w:p w14:paraId="793BB5C7" w14:textId="77777777" w:rsidR="009260DE" w:rsidRPr="00C41A7E" w:rsidRDefault="009260DE" w:rsidP="009260DE">
      <w:pPr>
        <w:tabs>
          <w:tab w:val="left" w:pos="851"/>
        </w:tabs>
        <w:ind w:left="851"/>
        <w:rPr>
          <w:sz w:val="24"/>
          <w:szCs w:val="24"/>
        </w:rPr>
      </w:pPr>
    </w:p>
    <w:p w14:paraId="02B9851D" w14:textId="77777777" w:rsidR="009260DE" w:rsidRPr="00C41A7E" w:rsidRDefault="009260DE" w:rsidP="009260DE">
      <w:pPr>
        <w:tabs>
          <w:tab w:val="left" w:pos="851"/>
        </w:tabs>
        <w:ind w:left="851" w:hanging="851"/>
        <w:rPr>
          <w:b/>
          <w:sz w:val="24"/>
          <w:szCs w:val="24"/>
        </w:rPr>
      </w:pPr>
      <w:r w:rsidRPr="00C41A7E">
        <w:rPr>
          <w:b/>
          <w:sz w:val="24"/>
          <w:szCs w:val="24"/>
        </w:rPr>
        <w:t>10.</w:t>
      </w:r>
      <w:r w:rsidRPr="00C41A7E">
        <w:rPr>
          <w:b/>
          <w:sz w:val="24"/>
          <w:szCs w:val="24"/>
        </w:rPr>
        <w:tab/>
        <w:t>DATO FOR ÆNDRING AF TEKSTEN</w:t>
      </w:r>
    </w:p>
    <w:p w14:paraId="223459B7" w14:textId="6EDDF63A" w:rsidR="009260DE" w:rsidRPr="00C41A7E" w:rsidRDefault="00726C46" w:rsidP="009260DE">
      <w:pPr>
        <w:tabs>
          <w:tab w:val="left" w:pos="851"/>
        </w:tabs>
        <w:ind w:left="851"/>
        <w:rPr>
          <w:sz w:val="24"/>
          <w:szCs w:val="24"/>
        </w:rPr>
      </w:pPr>
      <w:r w:rsidRPr="00C41A7E">
        <w:rPr>
          <w:sz w:val="24"/>
          <w:szCs w:val="24"/>
        </w:rPr>
        <w:t>-</w:t>
      </w:r>
    </w:p>
    <w:sectPr w:rsidR="009260DE" w:rsidRPr="00C41A7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6D32" w14:textId="77777777" w:rsidR="00AB3554" w:rsidRDefault="00AB3554">
      <w:r>
        <w:separator/>
      </w:r>
    </w:p>
  </w:endnote>
  <w:endnote w:type="continuationSeparator" w:id="0">
    <w:p w14:paraId="6441AD62" w14:textId="77777777" w:rsidR="00AB3554" w:rsidRDefault="00AB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3F95B" w14:textId="77777777" w:rsidR="000259B9" w:rsidRDefault="000259B9">
    <w:pPr>
      <w:pStyle w:val="Sidefod"/>
      <w:pBdr>
        <w:bottom w:val="single" w:sz="6" w:space="1" w:color="auto"/>
      </w:pBdr>
    </w:pPr>
  </w:p>
  <w:p w14:paraId="31A1FC64" w14:textId="77777777" w:rsidR="000259B9" w:rsidRDefault="000259B9" w:rsidP="00C42586">
    <w:pPr>
      <w:pStyle w:val="Sidefod"/>
      <w:tabs>
        <w:tab w:val="clear" w:pos="4819"/>
        <w:tab w:val="left" w:pos="8505"/>
      </w:tabs>
      <w:rPr>
        <w:i/>
        <w:sz w:val="18"/>
        <w:szCs w:val="18"/>
      </w:rPr>
    </w:pPr>
  </w:p>
  <w:p w14:paraId="2E5C441F" w14:textId="2DDF2CA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25EF">
      <w:rPr>
        <w:i/>
        <w:noProof/>
        <w:sz w:val="18"/>
        <w:szCs w:val="18"/>
      </w:rPr>
      <w:t>Metoclopramide G.L. Pharma, injektionsvæske, opløsning 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391BA" w14:textId="77777777" w:rsidR="00AB3554" w:rsidRDefault="00AB3554">
      <w:r>
        <w:separator/>
      </w:r>
    </w:p>
  </w:footnote>
  <w:footnote w:type="continuationSeparator" w:id="0">
    <w:p w14:paraId="6D445ED9" w14:textId="77777777" w:rsidR="00AB3554" w:rsidRDefault="00AB3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2A4"/>
    <w:multiLevelType w:val="hybridMultilevel"/>
    <w:tmpl w:val="E46EF13A"/>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325887"/>
    <w:multiLevelType w:val="hybridMultilevel"/>
    <w:tmpl w:val="EE607D1A"/>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AC615D3"/>
    <w:multiLevelType w:val="hybridMultilevel"/>
    <w:tmpl w:val="CBD8D2F2"/>
    <w:lvl w:ilvl="0" w:tplc="A88452C0">
      <w:start w:val="1"/>
      <w:numFmt w:val="bullet"/>
      <w:lvlText w:val="-"/>
      <w:lvlJc w:val="left"/>
      <w:pPr>
        <w:ind w:left="360" w:hanging="360"/>
      </w:pPr>
      <w:rPr>
        <w:rFonts w:ascii="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A2494C"/>
    <w:multiLevelType w:val="hybridMultilevel"/>
    <w:tmpl w:val="55D06E28"/>
    <w:lvl w:ilvl="0" w:tplc="A88452C0">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094B0D"/>
    <w:multiLevelType w:val="hybridMultilevel"/>
    <w:tmpl w:val="F3023296"/>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77376E"/>
    <w:multiLevelType w:val="hybridMultilevel"/>
    <w:tmpl w:val="48601730"/>
    <w:lvl w:ilvl="0" w:tplc="A88452C0">
      <w:start w:val="1"/>
      <w:numFmt w:val="bullet"/>
      <w:lvlText w:val="-"/>
      <w:lvlJc w:val="left"/>
      <w:pPr>
        <w:ind w:left="360" w:hanging="360"/>
      </w:pPr>
      <w:rPr>
        <w:rFonts w:ascii="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72877D28"/>
    <w:multiLevelType w:val="hybridMultilevel"/>
    <w:tmpl w:val="8FC2AD9E"/>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3"/>
  </w:num>
  <w:num w:numId="10">
    <w:abstractNumId w:val="0"/>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54"/>
    <w:rsid w:val="000259B9"/>
    <w:rsid w:val="00041491"/>
    <w:rsid w:val="00050D16"/>
    <w:rsid w:val="000730CA"/>
    <w:rsid w:val="00074F2A"/>
    <w:rsid w:val="000A1CA8"/>
    <w:rsid w:val="000A466B"/>
    <w:rsid w:val="000B058C"/>
    <w:rsid w:val="000D68B0"/>
    <w:rsid w:val="000E4EE6"/>
    <w:rsid w:val="00121672"/>
    <w:rsid w:val="001454E2"/>
    <w:rsid w:val="001F25EF"/>
    <w:rsid w:val="00206CE8"/>
    <w:rsid w:val="0021526C"/>
    <w:rsid w:val="00283A2B"/>
    <w:rsid w:val="002B30AD"/>
    <w:rsid w:val="002C1EC0"/>
    <w:rsid w:val="002C2C01"/>
    <w:rsid w:val="003A29AE"/>
    <w:rsid w:val="003A32D7"/>
    <w:rsid w:val="003B4074"/>
    <w:rsid w:val="003C769A"/>
    <w:rsid w:val="003D3A90"/>
    <w:rsid w:val="003F1838"/>
    <w:rsid w:val="00405F39"/>
    <w:rsid w:val="004251C1"/>
    <w:rsid w:val="0045746C"/>
    <w:rsid w:val="0049104B"/>
    <w:rsid w:val="004E3B12"/>
    <w:rsid w:val="00532310"/>
    <w:rsid w:val="00543F70"/>
    <w:rsid w:val="00565F0F"/>
    <w:rsid w:val="00594A86"/>
    <w:rsid w:val="00596D86"/>
    <w:rsid w:val="006207AB"/>
    <w:rsid w:val="00637F5A"/>
    <w:rsid w:val="00641C65"/>
    <w:rsid w:val="006560B1"/>
    <w:rsid w:val="006756DD"/>
    <w:rsid w:val="00676B50"/>
    <w:rsid w:val="0071241E"/>
    <w:rsid w:val="00726C46"/>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B3554"/>
    <w:rsid w:val="00B003BF"/>
    <w:rsid w:val="00B373D7"/>
    <w:rsid w:val="00B55271"/>
    <w:rsid w:val="00BD7931"/>
    <w:rsid w:val="00BF6243"/>
    <w:rsid w:val="00C36276"/>
    <w:rsid w:val="00C41A7E"/>
    <w:rsid w:val="00C42586"/>
    <w:rsid w:val="00C45F6B"/>
    <w:rsid w:val="00C60CCD"/>
    <w:rsid w:val="00C84483"/>
    <w:rsid w:val="00C95551"/>
    <w:rsid w:val="00CB20D7"/>
    <w:rsid w:val="00D020B0"/>
    <w:rsid w:val="00D11748"/>
    <w:rsid w:val="00D237F6"/>
    <w:rsid w:val="00D34D98"/>
    <w:rsid w:val="00D366CF"/>
    <w:rsid w:val="00D93992"/>
    <w:rsid w:val="00DC7611"/>
    <w:rsid w:val="00E108AA"/>
    <w:rsid w:val="00E3749A"/>
    <w:rsid w:val="00E7437F"/>
    <w:rsid w:val="00E865B8"/>
    <w:rsid w:val="00EC0B9B"/>
    <w:rsid w:val="00ED5E9F"/>
    <w:rsid w:val="00F4492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E65D7"/>
  <w15:chartTrackingRefBased/>
  <w15:docId w15:val="{52C7E012-0E32-430D-95D6-43E8AF29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26C46"/>
    <w:pPr>
      <w:ind w:left="720"/>
      <w:contextualSpacing/>
    </w:pPr>
    <w:rPr>
      <w:sz w:val="22"/>
    </w:rPr>
  </w:style>
  <w:style w:type="table" w:styleId="Tabel-Gitter">
    <w:name w:val="Table Grid"/>
    <w:basedOn w:val="Tabel-Normal"/>
    <w:rsid w:val="00726C4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3173">
      <w:bodyDiv w:val="1"/>
      <w:marLeft w:val="0"/>
      <w:marRight w:val="0"/>
      <w:marTop w:val="0"/>
      <w:marBottom w:val="0"/>
      <w:divBdr>
        <w:top w:val="none" w:sz="0" w:space="0" w:color="auto"/>
        <w:left w:val="none" w:sz="0" w:space="0" w:color="auto"/>
        <w:bottom w:val="none" w:sz="0" w:space="0" w:color="auto"/>
        <w:right w:val="none" w:sz="0" w:space="0" w:color="auto"/>
      </w:divBdr>
    </w:div>
    <w:div w:id="1503408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751629">
      <w:bodyDiv w:val="1"/>
      <w:marLeft w:val="0"/>
      <w:marRight w:val="0"/>
      <w:marTop w:val="0"/>
      <w:marBottom w:val="0"/>
      <w:divBdr>
        <w:top w:val="none" w:sz="0" w:space="0" w:color="auto"/>
        <w:left w:val="none" w:sz="0" w:space="0" w:color="auto"/>
        <w:bottom w:val="none" w:sz="0" w:space="0" w:color="auto"/>
        <w:right w:val="none" w:sz="0" w:space="0" w:color="auto"/>
      </w:divBdr>
    </w:div>
    <w:div w:id="192422607">
      <w:bodyDiv w:val="1"/>
      <w:marLeft w:val="0"/>
      <w:marRight w:val="0"/>
      <w:marTop w:val="0"/>
      <w:marBottom w:val="0"/>
      <w:divBdr>
        <w:top w:val="none" w:sz="0" w:space="0" w:color="auto"/>
        <w:left w:val="none" w:sz="0" w:space="0" w:color="auto"/>
        <w:bottom w:val="none" w:sz="0" w:space="0" w:color="auto"/>
        <w:right w:val="none" w:sz="0" w:space="0" w:color="auto"/>
      </w:divBdr>
    </w:div>
    <w:div w:id="256058682">
      <w:bodyDiv w:val="1"/>
      <w:marLeft w:val="0"/>
      <w:marRight w:val="0"/>
      <w:marTop w:val="0"/>
      <w:marBottom w:val="0"/>
      <w:divBdr>
        <w:top w:val="none" w:sz="0" w:space="0" w:color="auto"/>
        <w:left w:val="none" w:sz="0" w:space="0" w:color="auto"/>
        <w:bottom w:val="none" w:sz="0" w:space="0" w:color="auto"/>
        <w:right w:val="none" w:sz="0" w:space="0" w:color="auto"/>
      </w:divBdr>
    </w:div>
    <w:div w:id="300621509">
      <w:bodyDiv w:val="1"/>
      <w:marLeft w:val="0"/>
      <w:marRight w:val="0"/>
      <w:marTop w:val="0"/>
      <w:marBottom w:val="0"/>
      <w:divBdr>
        <w:top w:val="none" w:sz="0" w:space="0" w:color="auto"/>
        <w:left w:val="none" w:sz="0" w:space="0" w:color="auto"/>
        <w:bottom w:val="none" w:sz="0" w:space="0" w:color="auto"/>
        <w:right w:val="none" w:sz="0" w:space="0" w:color="auto"/>
      </w:divBdr>
    </w:div>
    <w:div w:id="374736795">
      <w:bodyDiv w:val="1"/>
      <w:marLeft w:val="0"/>
      <w:marRight w:val="0"/>
      <w:marTop w:val="0"/>
      <w:marBottom w:val="0"/>
      <w:divBdr>
        <w:top w:val="none" w:sz="0" w:space="0" w:color="auto"/>
        <w:left w:val="none" w:sz="0" w:space="0" w:color="auto"/>
        <w:bottom w:val="none" w:sz="0" w:space="0" w:color="auto"/>
        <w:right w:val="none" w:sz="0" w:space="0" w:color="auto"/>
      </w:divBdr>
    </w:div>
    <w:div w:id="382488359">
      <w:bodyDiv w:val="1"/>
      <w:marLeft w:val="0"/>
      <w:marRight w:val="0"/>
      <w:marTop w:val="0"/>
      <w:marBottom w:val="0"/>
      <w:divBdr>
        <w:top w:val="none" w:sz="0" w:space="0" w:color="auto"/>
        <w:left w:val="none" w:sz="0" w:space="0" w:color="auto"/>
        <w:bottom w:val="none" w:sz="0" w:space="0" w:color="auto"/>
        <w:right w:val="none" w:sz="0" w:space="0" w:color="auto"/>
      </w:divBdr>
    </w:div>
    <w:div w:id="596864751">
      <w:bodyDiv w:val="1"/>
      <w:marLeft w:val="0"/>
      <w:marRight w:val="0"/>
      <w:marTop w:val="0"/>
      <w:marBottom w:val="0"/>
      <w:divBdr>
        <w:top w:val="none" w:sz="0" w:space="0" w:color="auto"/>
        <w:left w:val="none" w:sz="0" w:space="0" w:color="auto"/>
        <w:bottom w:val="none" w:sz="0" w:space="0" w:color="auto"/>
        <w:right w:val="none" w:sz="0" w:space="0" w:color="auto"/>
      </w:divBdr>
    </w:div>
    <w:div w:id="632440137">
      <w:bodyDiv w:val="1"/>
      <w:marLeft w:val="0"/>
      <w:marRight w:val="0"/>
      <w:marTop w:val="0"/>
      <w:marBottom w:val="0"/>
      <w:divBdr>
        <w:top w:val="none" w:sz="0" w:space="0" w:color="auto"/>
        <w:left w:val="none" w:sz="0" w:space="0" w:color="auto"/>
        <w:bottom w:val="none" w:sz="0" w:space="0" w:color="auto"/>
        <w:right w:val="none" w:sz="0" w:space="0" w:color="auto"/>
      </w:divBdr>
    </w:div>
    <w:div w:id="667172845">
      <w:bodyDiv w:val="1"/>
      <w:marLeft w:val="0"/>
      <w:marRight w:val="0"/>
      <w:marTop w:val="0"/>
      <w:marBottom w:val="0"/>
      <w:divBdr>
        <w:top w:val="none" w:sz="0" w:space="0" w:color="auto"/>
        <w:left w:val="none" w:sz="0" w:space="0" w:color="auto"/>
        <w:bottom w:val="none" w:sz="0" w:space="0" w:color="auto"/>
        <w:right w:val="none" w:sz="0" w:space="0" w:color="auto"/>
      </w:divBdr>
    </w:div>
    <w:div w:id="779957228">
      <w:bodyDiv w:val="1"/>
      <w:marLeft w:val="0"/>
      <w:marRight w:val="0"/>
      <w:marTop w:val="0"/>
      <w:marBottom w:val="0"/>
      <w:divBdr>
        <w:top w:val="none" w:sz="0" w:space="0" w:color="auto"/>
        <w:left w:val="none" w:sz="0" w:space="0" w:color="auto"/>
        <w:bottom w:val="none" w:sz="0" w:space="0" w:color="auto"/>
        <w:right w:val="none" w:sz="0" w:space="0" w:color="auto"/>
      </w:divBdr>
    </w:div>
    <w:div w:id="1064988475">
      <w:bodyDiv w:val="1"/>
      <w:marLeft w:val="0"/>
      <w:marRight w:val="0"/>
      <w:marTop w:val="0"/>
      <w:marBottom w:val="0"/>
      <w:divBdr>
        <w:top w:val="none" w:sz="0" w:space="0" w:color="auto"/>
        <w:left w:val="none" w:sz="0" w:space="0" w:color="auto"/>
        <w:bottom w:val="none" w:sz="0" w:space="0" w:color="auto"/>
        <w:right w:val="none" w:sz="0" w:space="0" w:color="auto"/>
      </w:divBdr>
    </w:div>
    <w:div w:id="1106004496">
      <w:bodyDiv w:val="1"/>
      <w:marLeft w:val="0"/>
      <w:marRight w:val="0"/>
      <w:marTop w:val="0"/>
      <w:marBottom w:val="0"/>
      <w:divBdr>
        <w:top w:val="none" w:sz="0" w:space="0" w:color="auto"/>
        <w:left w:val="none" w:sz="0" w:space="0" w:color="auto"/>
        <w:bottom w:val="none" w:sz="0" w:space="0" w:color="auto"/>
        <w:right w:val="none" w:sz="0" w:space="0" w:color="auto"/>
      </w:divBdr>
    </w:div>
    <w:div w:id="1189370178">
      <w:bodyDiv w:val="1"/>
      <w:marLeft w:val="0"/>
      <w:marRight w:val="0"/>
      <w:marTop w:val="0"/>
      <w:marBottom w:val="0"/>
      <w:divBdr>
        <w:top w:val="none" w:sz="0" w:space="0" w:color="auto"/>
        <w:left w:val="none" w:sz="0" w:space="0" w:color="auto"/>
        <w:bottom w:val="none" w:sz="0" w:space="0" w:color="auto"/>
        <w:right w:val="none" w:sz="0" w:space="0" w:color="auto"/>
      </w:divBdr>
    </w:div>
    <w:div w:id="1209339490">
      <w:bodyDiv w:val="1"/>
      <w:marLeft w:val="0"/>
      <w:marRight w:val="0"/>
      <w:marTop w:val="0"/>
      <w:marBottom w:val="0"/>
      <w:divBdr>
        <w:top w:val="none" w:sz="0" w:space="0" w:color="auto"/>
        <w:left w:val="none" w:sz="0" w:space="0" w:color="auto"/>
        <w:bottom w:val="none" w:sz="0" w:space="0" w:color="auto"/>
        <w:right w:val="none" w:sz="0" w:space="0" w:color="auto"/>
      </w:divBdr>
    </w:div>
    <w:div w:id="1235578962">
      <w:bodyDiv w:val="1"/>
      <w:marLeft w:val="0"/>
      <w:marRight w:val="0"/>
      <w:marTop w:val="0"/>
      <w:marBottom w:val="0"/>
      <w:divBdr>
        <w:top w:val="none" w:sz="0" w:space="0" w:color="auto"/>
        <w:left w:val="none" w:sz="0" w:space="0" w:color="auto"/>
        <w:bottom w:val="none" w:sz="0" w:space="0" w:color="auto"/>
        <w:right w:val="none" w:sz="0" w:space="0" w:color="auto"/>
      </w:divBdr>
    </w:div>
    <w:div w:id="1534532282">
      <w:bodyDiv w:val="1"/>
      <w:marLeft w:val="0"/>
      <w:marRight w:val="0"/>
      <w:marTop w:val="0"/>
      <w:marBottom w:val="0"/>
      <w:divBdr>
        <w:top w:val="none" w:sz="0" w:space="0" w:color="auto"/>
        <w:left w:val="none" w:sz="0" w:space="0" w:color="auto"/>
        <w:bottom w:val="none" w:sz="0" w:space="0" w:color="auto"/>
        <w:right w:val="none" w:sz="0" w:space="0" w:color="auto"/>
      </w:divBdr>
    </w:div>
    <w:div w:id="1557205576">
      <w:bodyDiv w:val="1"/>
      <w:marLeft w:val="0"/>
      <w:marRight w:val="0"/>
      <w:marTop w:val="0"/>
      <w:marBottom w:val="0"/>
      <w:divBdr>
        <w:top w:val="none" w:sz="0" w:space="0" w:color="auto"/>
        <w:left w:val="none" w:sz="0" w:space="0" w:color="auto"/>
        <w:bottom w:val="none" w:sz="0" w:space="0" w:color="auto"/>
        <w:right w:val="none" w:sz="0" w:space="0" w:color="auto"/>
      </w:divBdr>
    </w:div>
    <w:div w:id="1714891278">
      <w:bodyDiv w:val="1"/>
      <w:marLeft w:val="0"/>
      <w:marRight w:val="0"/>
      <w:marTop w:val="0"/>
      <w:marBottom w:val="0"/>
      <w:divBdr>
        <w:top w:val="none" w:sz="0" w:space="0" w:color="auto"/>
        <w:left w:val="none" w:sz="0" w:space="0" w:color="auto"/>
        <w:bottom w:val="none" w:sz="0" w:space="0" w:color="auto"/>
        <w:right w:val="none" w:sz="0" w:space="0" w:color="auto"/>
      </w:divBdr>
    </w:div>
    <w:div w:id="1954900166">
      <w:bodyDiv w:val="1"/>
      <w:marLeft w:val="0"/>
      <w:marRight w:val="0"/>
      <w:marTop w:val="0"/>
      <w:marBottom w:val="0"/>
      <w:divBdr>
        <w:top w:val="none" w:sz="0" w:space="0" w:color="auto"/>
        <w:left w:val="none" w:sz="0" w:space="0" w:color="auto"/>
        <w:bottom w:val="none" w:sz="0" w:space="0" w:color="auto"/>
        <w:right w:val="none" w:sz="0" w:space="0" w:color="auto"/>
      </w:divBdr>
    </w:div>
    <w:div w:id="21036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25</TotalTime>
  <Pages>11</Pages>
  <Words>2491</Words>
  <Characters>17446</Characters>
  <Application>Microsoft Office Word</Application>
  <DocSecurity>0</DocSecurity>
  <Lines>145</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2023051815, MT</dc:description>
  <cp:lastModifiedBy>Gitte Jørgensen</cp:lastModifiedBy>
  <cp:revision>10</cp:revision>
  <cp:lastPrinted>2012-08-22T08:53:00Z</cp:lastPrinted>
  <dcterms:created xsi:type="dcterms:W3CDTF">2024-09-02T08:44:00Z</dcterms:created>
  <dcterms:modified xsi:type="dcterms:W3CDTF">2024-09-02T11:27:00Z</dcterms:modified>
</cp:coreProperties>
</file>