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D0242">
        <w:rPr>
          <w:szCs w:val="24"/>
        </w:rPr>
        <w:t>27. januar 2025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AA5016" w:rsidP="009260DE">
      <w:pPr>
        <w:jc w:val="center"/>
        <w:rPr>
          <w:b/>
          <w:sz w:val="24"/>
          <w:szCs w:val="24"/>
        </w:rPr>
      </w:pPr>
      <w:r>
        <w:rPr>
          <w:b/>
          <w:sz w:val="24"/>
          <w:szCs w:val="24"/>
        </w:rPr>
        <w:t xml:space="preserve">Metoclopramide "Medical </w:t>
      </w:r>
      <w:r w:rsidR="005803BD">
        <w:rPr>
          <w:b/>
          <w:sz w:val="24"/>
          <w:szCs w:val="24"/>
        </w:rPr>
        <w:t>Valley</w:t>
      </w:r>
      <w:r>
        <w:rPr>
          <w:b/>
          <w:sz w:val="24"/>
          <w:szCs w:val="24"/>
        </w:rPr>
        <w:t>",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AA5016" w:rsidP="009260DE">
      <w:pPr>
        <w:tabs>
          <w:tab w:val="left" w:pos="851"/>
        </w:tabs>
        <w:ind w:left="851"/>
        <w:rPr>
          <w:sz w:val="24"/>
          <w:szCs w:val="24"/>
        </w:rPr>
      </w:pPr>
      <w:r>
        <w:rPr>
          <w:sz w:val="24"/>
          <w:szCs w:val="24"/>
        </w:rPr>
        <w:t>33609</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AA5016" w:rsidP="009260DE">
      <w:pPr>
        <w:tabs>
          <w:tab w:val="left" w:pos="851"/>
        </w:tabs>
        <w:ind w:left="851"/>
        <w:rPr>
          <w:sz w:val="24"/>
          <w:szCs w:val="24"/>
        </w:rPr>
      </w:pPr>
      <w:r>
        <w:rPr>
          <w:sz w:val="24"/>
          <w:szCs w:val="24"/>
        </w:rPr>
        <w:t xml:space="preserve">Metoclopramide "Medical </w:t>
      </w:r>
      <w:r w:rsidR="005803BD">
        <w:rPr>
          <w:sz w:val="24"/>
          <w:szCs w:val="24"/>
        </w:rPr>
        <w:t>Valley</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AA5016" w:rsidRPr="00AA5016" w:rsidRDefault="00AA5016" w:rsidP="00AA5016">
      <w:pPr>
        <w:tabs>
          <w:tab w:val="left" w:pos="851"/>
        </w:tabs>
        <w:ind w:left="851"/>
        <w:rPr>
          <w:sz w:val="24"/>
          <w:szCs w:val="24"/>
        </w:rPr>
      </w:pPr>
      <w:r w:rsidRPr="00AA5016">
        <w:rPr>
          <w:sz w:val="24"/>
          <w:szCs w:val="24"/>
        </w:rPr>
        <w:t xml:space="preserve">Hver tablet indeholder 10,55 mg metoclopramidhydrochlorid monohydrat svarende til 10 mg metoclopramidhydrochlorid vandfri. </w:t>
      </w:r>
    </w:p>
    <w:p w:rsidR="00AA5016" w:rsidRPr="00AA5016" w:rsidRDefault="00AA5016" w:rsidP="00AA5016">
      <w:pPr>
        <w:tabs>
          <w:tab w:val="left" w:pos="851"/>
        </w:tabs>
        <w:ind w:left="851"/>
        <w:rPr>
          <w:sz w:val="24"/>
          <w:szCs w:val="24"/>
        </w:rPr>
      </w:pPr>
    </w:p>
    <w:p w:rsidR="00AA5016" w:rsidRPr="00AA5016" w:rsidRDefault="00AA5016" w:rsidP="00AA5016">
      <w:pPr>
        <w:tabs>
          <w:tab w:val="left" w:pos="851"/>
        </w:tabs>
        <w:ind w:left="851"/>
        <w:rPr>
          <w:sz w:val="24"/>
          <w:szCs w:val="24"/>
        </w:rPr>
      </w:pPr>
      <w:r w:rsidRPr="00AA5016">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AA5016" w:rsidRPr="00AA5016" w:rsidRDefault="00AA5016" w:rsidP="00AA5016">
      <w:pPr>
        <w:tabs>
          <w:tab w:val="left" w:pos="851"/>
        </w:tabs>
        <w:ind w:left="851"/>
        <w:rPr>
          <w:sz w:val="24"/>
          <w:szCs w:val="24"/>
        </w:rPr>
      </w:pPr>
      <w:r w:rsidRPr="00AA5016">
        <w:rPr>
          <w:sz w:val="24"/>
          <w:szCs w:val="24"/>
        </w:rPr>
        <w:t>Filmovertrukne tabletter</w:t>
      </w:r>
    </w:p>
    <w:p w:rsidR="00AA5016" w:rsidRPr="00AA5016" w:rsidRDefault="00AA5016" w:rsidP="00AA5016">
      <w:pPr>
        <w:tabs>
          <w:tab w:val="left" w:pos="851"/>
        </w:tabs>
        <w:ind w:left="851"/>
        <w:rPr>
          <w:sz w:val="24"/>
          <w:szCs w:val="24"/>
        </w:rPr>
      </w:pPr>
      <w:bookmarkStart w:id="0" w:name="_GoBack"/>
      <w:bookmarkEnd w:id="0"/>
    </w:p>
    <w:p w:rsidR="00AA5016" w:rsidRPr="00AA5016" w:rsidRDefault="00AA5016" w:rsidP="00AA5016">
      <w:pPr>
        <w:tabs>
          <w:tab w:val="left" w:pos="851"/>
        </w:tabs>
        <w:ind w:left="851"/>
        <w:rPr>
          <w:sz w:val="24"/>
          <w:szCs w:val="24"/>
        </w:rPr>
      </w:pPr>
      <w:r>
        <w:rPr>
          <w:sz w:val="24"/>
          <w:szCs w:val="24"/>
        </w:rPr>
        <w:t>Hvid</w:t>
      </w:r>
      <w:r w:rsidRPr="00AA5016">
        <w:rPr>
          <w:iCs/>
          <w:sz w:val="24"/>
          <w:szCs w:val="24"/>
        </w:rPr>
        <w:t xml:space="preserve"> til råhvid, rund, ca. 7,0 mm </w:t>
      </w:r>
      <w:r w:rsidRPr="00AA5016">
        <w:rPr>
          <w:sz w:val="24"/>
          <w:szCs w:val="24"/>
        </w:rPr>
        <w:t>± 0,2 mm i diameter, bikonveks</w:t>
      </w:r>
      <w:r>
        <w:rPr>
          <w:sz w:val="24"/>
          <w:szCs w:val="24"/>
        </w:rPr>
        <w:t>,</w:t>
      </w:r>
      <w:r w:rsidRPr="00AA5016">
        <w:rPr>
          <w:sz w:val="24"/>
          <w:szCs w:val="24"/>
        </w:rPr>
        <w:t xml:space="preserve"> filmovertrukket tablet med delekærv på begge sider. </w:t>
      </w:r>
    </w:p>
    <w:p w:rsidR="00AA5016" w:rsidRPr="00AA5016" w:rsidRDefault="00AA5016" w:rsidP="00AA5016">
      <w:pPr>
        <w:tabs>
          <w:tab w:val="left" w:pos="851"/>
        </w:tabs>
        <w:ind w:left="851"/>
        <w:rPr>
          <w:sz w:val="24"/>
          <w:szCs w:val="24"/>
        </w:rPr>
      </w:pPr>
    </w:p>
    <w:p w:rsidR="00AA5016" w:rsidRPr="00AA5016" w:rsidRDefault="00AA5016" w:rsidP="00AA5016">
      <w:pPr>
        <w:tabs>
          <w:tab w:val="left" w:pos="851"/>
        </w:tabs>
        <w:ind w:left="851"/>
        <w:rPr>
          <w:sz w:val="24"/>
          <w:szCs w:val="24"/>
        </w:rPr>
      </w:pPr>
      <w:r w:rsidRPr="00AA5016">
        <w:rPr>
          <w:sz w:val="24"/>
          <w:szCs w:val="24"/>
        </w:rPr>
        <w:t>Tabletten kan deles i to lige store doser.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D4B60" w:rsidRDefault="00ED4B60" w:rsidP="00ED4B60">
      <w:pPr>
        <w:tabs>
          <w:tab w:val="left" w:pos="851"/>
        </w:tabs>
        <w:ind w:left="851"/>
        <w:rPr>
          <w:sz w:val="24"/>
          <w:szCs w:val="24"/>
          <w:u w:val="single"/>
        </w:rPr>
      </w:pPr>
    </w:p>
    <w:p w:rsidR="00ED4B60" w:rsidRPr="00ED4B60" w:rsidRDefault="00ED4B60" w:rsidP="00ED4B60">
      <w:pPr>
        <w:tabs>
          <w:tab w:val="left" w:pos="851"/>
        </w:tabs>
        <w:ind w:left="851"/>
        <w:rPr>
          <w:sz w:val="24"/>
          <w:szCs w:val="24"/>
          <w:u w:val="single"/>
        </w:rPr>
      </w:pPr>
      <w:r w:rsidRPr="00ED4B60">
        <w:rPr>
          <w:sz w:val="24"/>
          <w:szCs w:val="24"/>
          <w:u w:val="single"/>
        </w:rPr>
        <w:t>Voksne</w:t>
      </w:r>
    </w:p>
    <w:p w:rsidR="00ED4B60" w:rsidRPr="00ED4B60" w:rsidRDefault="00ED4B60" w:rsidP="00ED4B60">
      <w:pPr>
        <w:tabs>
          <w:tab w:val="left" w:pos="851"/>
        </w:tabs>
        <w:ind w:left="851"/>
        <w:rPr>
          <w:sz w:val="24"/>
          <w:szCs w:val="24"/>
        </w:rPr>
      </w:pPr>
      <w:r w:rsidRPr="00ED4B60">
        <w:rPr>
          <w:sz w:val="24"/>
          <w:szCs w:val="24"/>
        </w:rPr>
        <w:t>Metoclopramide "Medical Valley" er indiceret til voksne til:</w:t>
      </w:r>
    </w:p>
    <w:p w:rsidR="00ED4B60" w:rsidRPr="00ED4B60" w:rsidRDefault="00ED4B60" w:rsidP="00ED4B60">
      <w:pPr>
        <w:numPr>
          <w:ilvl w:val="0"/>
          <w:numId w:val="6"/>
        </w:numPr>
        <w:tabs>
          <w:tab w:val="clear" w:pos="720"/>
          <w:tab w:val="left" w:pos="851"/>
          <w:tab w:val="num" w:pos="1134"/>
        </w:tabs>
        <w:ind w:left="1134" w:hanging="283"/>
        <w:rPr>
          <w:sz w:val="24"/>
          <w:szCs w:val="24"/>
        </w:rPr>
      </w:pPr>
      <w:r w:rsidRPr="00ED4B60">
        <w:rPr>
          <w:sz w:val="24"/>
          <w:szCs w:val="24"/>
        </w:rPr>
        <w:t>Forebyggelse af forsinket kemoterapiinduceret kvalme og opkastning.</w:t>
      </w:r>
    </w:p>
    <w:p w:rsidR="00ED4B60" w:rsidRPr="00ED4B60" w:rsidRDefault="00ED4B60" w:rsidP="00ED4B60">
      <w:pPr>
        <w:numPr>
          <w:ilvl w:val="0"/>
          <w:numId w:val="6"/>
        </w:numPr>
        <w:tabs>
          <w:tab w:val="clear" w:pos="720"/>
          <w:tab w:val="left" w:pos="851"/>
          <w:tab w:val="num" w:pos="1134"/>
        </w:tabs>
        <w:ind w:left="1134" w:hanging="283"/>
        <w:rPr>
          <w:sz w:val="24"/>
          <w:szCs w:val="24"/>
        </w:rPr>
      </w:pPr>
      <w:r w:rsidRPr="00ED4B60">
        <w:rPr>
          <w:sz w:val="24"/>
          <w:szCs w:val="24"/>
        </w:rPr>
        <w:t xml:space="preserve">Forebyggelse af kvalme og opkastning i forbindelse med </w:t>
      </w:r>
      <w:bookmarkStart w:id="1" w:name="_Hlk187670458"/>
      <w:r w:rsidRPr="00ED4B60">
        <w:rPr>
          <w:sz w:val="24"/>
          <w:szCs w:val="24"/>
        </w:rPr>
        <w:t>strålebehandling</w:t>
      </w:r>
      <w:bookmarkEnd w:id="1"/>
      <w:r w:rsidRPr="00ED4B60">
        <w:rPr>
          <w:sz w:val="24"/>
          <w:szCs w:val="24"/>
        </w:rPr>
        <w:t>.</w:t>
      </w:r>
    </w:p>
    <w:p w:rsidR="00ED4B60" w:rsidRPr="00ED4B60" w:rsidRDefault="00ED4B60" w:rsidP="00ED4B60">
      <w:pPr>
        <w:numPr>
          <w:ilvl w:val="0"/>
          <w:numId w:val="6"/>
        </w:numPr>
        <w:tabs>
          <w:tab w:val="clear" w:pos="720"/>
          <w:tab w:val="left" w:pos="851"/>
          <w:tab w:val="num" w:pos="1134"/>
        </w:tabs>
        <w:ind w:left="1134" w:hanging="283"/>
        <w:rPr>
          <w:sz w:val="24"/>
          <w:szCs w:val="24"/>
        </w:rPr>
      </w:pPr>
      <w:r w:rsidRPr="00ED4B60">
        <w:rPr>
          <w:sz w:val="24"/>
          <w:szCs w:val="24"/>
        </w:rPr>
        <w:t xml:space="preserve">Symptomatisk behandling af kvalme og opkastning, herunder kvalme og opkastning forårsaget af akut migræne. Metoclopramid kan kombineres med orale analgetika for at forbedre absorptionen af analgetika ved akut migræne. </w:t>
      </w:r>
    </w:p>
    <w:p w:rsidR="00ED4B60" w:rsidRDefault="00ED4B60">
      <w:pPr>
        <w:rPr>
          <w:sz w:val="24"/>
          <w:szCs w:val="24"/>
        </w:rPr>
      </w:pPr>
      <w:r>
        <w:rPr>
          <w:sz w:val="24"/>
          <w:szCs w:val="24"/>
        </w:rPr>
        <w:br w:type="page"/>
      </w:r>
    </w:p>
    <w:p w:rsidR="00ED4B60" w:rsidRPr="00ED4B60" w:rsidRDefault="00ED4B60" w:rsidP="00ED4B60">
      <w:pPr>
        <w:tabs>
          <w:tab w:val="left" w:pos="851"/>
        </w:tabs>
        <w:ind w:left="851"/>
        <w:rPr>
          <w:sz w:val="24"/>
          <w:szCs w:val="24"/>
        </w:rPr>
      </w:pPr>
    </w:p>
    <w:p w:rsidR="00ED4B60" w:rsidRPr="00ED4B60" w:rsidRDefault="00ED4B60" w:rsidP="00ED4B60">
      <w:pPr>
        <w:tabs>
          <w:tab w:val="left" w:pos="851"/>
        </w:tabs>
        <w:ind w:left="851"/>
        <w:rPr>
          <w:sz w:val="24"/>
          <w:szCs w:val="24"/>
          <w:u w:val="single"/>
        </w:rPr>
      </w:pPr>
      <w:r w:rsidRPr="00ED4B60">
        <w:rPr>
          <w:sz w:val="24"/>
          <w:szCs w:val="24"/>
          <w:u w:val="single"/>
        </w:rPr>
        <w:t>Pædiatrisk population</w:t>
      </w:r>
    </w:p>
    <w:p w:rsidR="00ED4B60" w:rsidRPr="00ED4B60" w:rsidRDefault="00ED4B60" w:rsidP="00ED4B60">
      <w:pPr>
        <w:tabs>
          <w:tab w:val="left" w:pos="851"/>
        </w:tabs>
        <w:ind w:left="851"/>
        <w:rPr>
          <w:sz w:val="24"/>
          <w:szCs w:val="24"/>
        </w:rPr>
      </w:pPr>
      <w:r w:rsidRPr="00ED4B60">
        <w:rPr>
          <w:sz w:val="24"/>
          <w:szCs w:val="24"/>
        </w:rPr>
        <w:t>Metoclopramide "Medical Valley" er indiceret til børn (i alderen 1-18 år) til:</w:t>
      </w:r>
    </w:p>
    <w:p w:rsidR="00ED4B60" w:rsidRPr="00ED4B60" w:rsidRDefault="00ED4B60" w:rsidP="00ED4B60">
      <w:pPr>
        <w:tabs>
          <w:tab w:val="left" w:pos="1134"/>
        </w:tabs>
        <w:ind w:left="1134" w:hanging="283"/>
        <w:rPr>
          <w:sz w:val="24"/>
          <w:szCs w:val="24"/>
        </w:rPr>
      </w:pPr>
      <w:r w:rsidRPr="00ED4B60">
        <w:rPr>
          <w:sz w:val="24"/>
          <w:szCs w:val="24"/>
        </w:rPr>
        <w:t>-</w:t>
      </w:r>
      <w:r w:rsidRPr="00ED4B60">
        <w:rPr>
          <w:sz w:val="24"/>
          <w:szCs w:val="24"/>
        </w:rPr>
        <w:tab/>
        <w:t>Forebyggelse af forsinket kemoterapiinduceret kvalme og opkastning</w:t>
      </w:r>
      <w:r w:rsidR="00E90F25">
        <w:rPr>
          <w:sz w:val="24"/>
          <w:szCs w:val="24"/>
        </w:rPr>
        <w:t xml:space="preserve"> </w:t>
      </w:r>
      <w:r w:rsidRPr="00ED4B60">
        <w:rPr>
          <w:sz w:val="24"/>
          <w:szCs w:val="24"/>
        </w:rPr>
        <w:t>som andenvalgsbehandling.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ED4B60" w:rsidRPr="00ED4B60" w:rsidRDefault="00ED4B60" w:rsidP="00ED4B60">
      <w:pPr>
        <w:tabs>
          <w:tab w:val="left" w:pos="-720"/>
        </w:tabs>
        <w:suppressAutoHyphens/>
        <w:ind w:left="851" w:hanging="567"/>
        <w:rPr>
          <w:sz w:val="24"/>
          <w:szCs w:val="24"/>
        </w:rPr>
      </w:pPr>
    </w:p>
    <w:p w:rsidR="00ED4B60" w:rsidRPr="00CA136D" w:rsidRDefault="00ED4B60" w:rsidP="00ED4B60">
      <w:pPr>
        <w:ind w:left="851"/>
        <w:rPr>
          <w:b/>
          <w:noProof/>
          <w:sz w:val="24"/>
          <w:szCs w:val="24"/>
        </w:rPr>
      </w:pPr>
      <w:r w:rsidRPr="00CA136D">
        <w:rPr>
          <w:b/>
          <w:noProof/>
          <w:sz w:val="24"/>
          <w:szCs w:val="24"/>
        </w:rPr>
        <w:t>Dosering</w:t>
      </w:r>
    </w:p>
    <w:p w:rsidR="00ED4B60" w:rsidRPr="00ED4B60" w:rsidRDefault="00ED4B60" w:rsidP="00ED4B60">
      <w:pPr>
        <w:ind w:left="851"/>
        <w:rPr>
          <w:noProof/>
          <w:sz w:val="24"/>
          <w:szCs w:val="24"/>
        </w:rPr>
      </w:pPr>
    </w:p>
    <w:p w:rsidR="00ED4B60" w:rsidRPr="00ED4B60" w:rsidRDefault="00ED4B60" w:rsidP="00ED4B60">
      <w:pPr>
        <w:ind w:left="851"/>
        <w:rPr>
          <w:sz w:val="24"/>
          <w:szCs w:val="24"/>
          <w:u w:val="single"/>
        </w:rPr>
      </w:pPr>
      <w:r w:rsidRPr="00ED4B60">
        <w:rPr>
          <w:sz w:val="24"/>
          <w:szCs w:val="24"/>
          <w:u w:val="single"/>
        </w:rPr>
        <w:t>Alle indikationer (voksne)</w:t>
      </w:r>
    </w:p>
    <w:p w:rsidR="00ED4B60" w:rsidRPr="00ED4B60" w:rsidRDefault="00ED4B60" w:rsidP="00ED4B60">
      <w:pPr>
        <w:ind w:left="851"/>
        <w:rPr>
          <w:sz w:val="24"/>
          <w:szCs w:val="24"/>
        </w:rPr>
      </w:pPr>
      <w:r w:rsidRPr="00ED4B60">
        <w:rPr>
          <w:sz w:val="24"/>
          <w:szCs w:val="24"/>
        </w:rPr>
        <w:t>Den anbefalede enkeltdosis er 10</w:t>
      </w:r>
      <w:r w:rsidRPr="00ED4B60">
        <w:rPr>
          <w:iCs/>
          <w:sz w:val="24"/>
          <w:szCs w:val="24"/>
        </w:rPr>
        <w:t> </w:t>
      </w:r>
      <w:r w:rsidRPr="00ED4B60">
        <w:rPr>
          <w:sz w:val="24"/>
          <w:szCs w:val="24"/>
        </w:rPr>
        <w:t>mg, gentaget op til 3</w:t>
      </w:r>
      <w:r w:rsidRPr="00ED4B60">
        <w:rPr>
          <w:iCs/>
          <w:sz w:val="24"/>
          <w:szCs w:val="24"/>
        </w:rPr>
        <w:t> </w:t>
      </w:r>
      <w:r w:rsidRPr="00ED4B60">
        <w:rPr>
          <w:sz w:val="24"/>
          <w:szCs w:val="24"/>
        </w:rPr>
        <w:t>gange dagligt.</w:t>
      </w:r>
    </w:p>
    <w:p w:rsidR="00ED4B60" w:rsidRPr="00ED4B60" w:rsidRDefault="00ED4B60" w:rsidP="00ED4B60">
      <w:pPr>
        <w:ind w:left="851"/>
        <w:rPr>
          <w:sz w:val="24"/>
          <w:szCs w:val="24"/>
        </w:rPr>
      </w:pPr>
      <w:r w:rsidRPr="00ED4B60">
        <w:rPr>
          <w:sz w:val="24"/>
          <w:szCs w:val="24"/>
        </w:rPr>
        <w:t>Den maksimale anbefalede dosis pr dag er 30</w:t>
      </w:r>
      <w:r w:rsidRPr="00ED4B60">
        <w:rPr>
          <w:iCs/>
          <w:sz w:val="24"/>
          <w:szCs w:val="24"/>
        </w:rPr>
        <w:t> </w:t>
      </w:r>
      <w:r w:rsidRPr="00ED4B60">
        <w:rPr>
          <w:sz w:val="24"/>
          <w:szCs w:val="24"/>
        </w:rPr>
        <w:t>mg eller 0,5</w:t>
      </w:r>
      <w:r w:rsidRPr="00ED4B60">
        <w:rPr>
          <w:iCs/>
          <w:sz w:val="24"/>
          <w:szCs w:val="24"/>
        </w:rPr>
        <w:t> </w:t>
      </w:r>
      <w:r w:rsidRPr="00ED4B60">
        <w:rPr>
          <w:sz w:val="24"/>
          <w:szCs w:val="24"/>
        </w:rPr>
        <w:t>mg/kg legemsvægt.</w:t>
      </w:r>
    </w:p>
    <w:p w:rsidR="00ED4B60" w:rsidRPr="00ED4B60" w:rsidRDefault="00ED4B60" w:rsidP="00ED4B60">
      <w:pPr>
        <w:ind w:left="851"/>
        <w:rPr>
          <w:sz w:val="24"/>
          <w:szCs w:val="24"/>
        </w:rPr>
      </w:pPr>
      <w:r w:rsidRPr="00ED4B60">
        <w:rPr>
          <w:sz w:val="24"/>
          <w:szCs w:val="24"/>
        </w:rPr>
        <w:t>Den maksimale anbefalede behandlingsperiode er 5</w:t>
      </w:r>
      <w:r w:rsidRPr="00ED4B60">
        <w:rPr>
          <w:iCs/>
          <w:sz w:val="24"/>
          <w:szCs w:val="24"/>
        </w:rPr>
        <w:t> </w:t>
      </w:r>
      <w:r w:rsidRPr="00ED4B60">
        <w:rPr>
          <w:sz w:val="24"/>
          <w:szCs w:val="24"/>
        </w:rPr>
        <w:t xml:space="preserve">dage. </w:t>
      </w:r>
    </w:p>
    <w:p w:rsidR="00ED4B60" w:rsidRPr="00ED4B60" w:rsidRDefault="00ED4B60" w:rsidP="00ED4B60">
      <w:pPr>
        <w:ind w:left="851"/>
        <w:rPr>
          <w:noProof/>
          <w:sz w:val="24"/>
          <w:szCs w:val="24"/>
        </w:rPr>
      </w:pPr>
    </w:p>
    <w:p w:rsidR="00ED4B60" w:rsidRPr="00ED4B60" w:rsidRDefault="00ED4B60" w:rsidP="00ED4B60">
      <w:pPr>
        <w:ind w:left="851"/>
        <w:rPr>
          <w:sz w:val="24"/>
          <w:szCs w:val="24"/>
          <w:u w:val="single"/>
        </w:rPr>
      </w:pPr>
      <w:r w:rsidRPr="00ED4B60">
        <w:rPr>
          <w:sz w:val="24"/>
          <w:szCs w:val="24"/>
          <w:u w:val="single"/>
        </w:rPr>
        <w:t>Forebyggelse af forsinket kemoterapiinduceret kvalme og opkastning (pædiatriske patienter i alderen 1-18 år)</w:t>
      </w:r>
    </w:p>
    <w:p w:rsidR="00ED4B60" w:rsidRPr="00ED4B60" w:rsidRDefault="00ED4B60" w:rsidP="00ED4B60">
      <w:pPr>
        <w:ind w:left="851"/>
        <w:rPr>
          <w:sz w:val="24"/>
          <w:szCs w:val="24"/>
        </w:rPr>
      </w:pPr>
      <w:r w:rsidRPr="00ED4B60">
        <w:rPr>
          <w:sz w:val="24"/>
          <w:szCs w:val="24"/>
        </w:rPr>
        <w:t>Den anbefalede enkeltdosis er 0,1 til 0,15</w:t>
      </w:r>
      <w:r w:rsidRPr="00ED4B60">
        <w:rPr>
          <w:iCs/>
          <w:sz w:val="24"/>
          <w:szCs w:val="24"/>
        </w:rPr>
        <w:t> mg/kg legemsvægt, gentaget op til 3 gange dagligt, ved oral administration.</w:t>
      </w:r>
      <w:r w:rsidRPr="00ED4B60">
        <w:rPr>
          <w:sz w:val="24"/>
          <w:szCs w:val="24"/>
        </w:rPr>
        <w:t xml:space="preserve"> Den maksimale dosis i løbet af 24 timer er 0,5</w:t>
      </w:r>
      <w:r w:rsidRPr="00ED4B60">
        <w:rPr>
          <w:iCs/>
          <w:sz w:val="24"/>
          <w:szCs w:val="24"/>
        </w:rPr>
        <w:t> </w:t>
      </w:r>
      <w:r w:rsidRPr="00ED4B60">
        <w:rPr>
          <w:sz w:val="24"/>
          <w:szCs w:val="24"/>
        </w:rPr>
        <w:t xml:space="preserve">mg/kg legemsvægt. </w:t>
      </w:r>
    </w:p>
    <w:p w:rsidR="00ED4B60" w:rsidRPr="00ED4B60" w:rsidRDefault="00ED4B60" w:rsidP="00ED4B60">
      <w:pPr>
        <w:ind w:left="851"/>
        <w:rPr>
          <w:noProof/>
          <w:sz w:val="24"/>
          <w:szCs w:val="24"/>
        </w:rPr>
      </w:pPr>
    </w:p>
    <w:p w:rsidR="00ED4B60" w:rsidRDefault="00ED4B60" w:rsidP="00ED4B60">
      <w:pPr>
        <w:keepNext/>
        <w:ind w:left="851"/>
        <w:rPr>
          <w:bCs/>
          <w:i/>
          <w:iCs/>
          <w:sz w:val="24"/>
          <w:szCs w:val="24"/>
        </w:rPr>
      </w:pPr>
      <w:r w:rsidRPr="00ED4B60">
        <w:rPr>
          <w:bCs/>
          <w:i/>
          <w:iCs/>
          <w:sz w:val="24"/>
          <w:szCs w:val="24"/>
        </w:rPr>
        <w:t>Doseringstabel</w:t>
      </w:r>
    </w:p>
    <w:tbl>
      <w:tblPr>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8"/>
        <w:gridCol w:w="2028"/>
        <w:gridCol w:w="2027"/>
        <w:gridCol w:w="2253"/>
      </w:tblGrid>
      <w:tr w:rsidR="00ED4B60" w:rsidTr="00ED4B60">
        <w:trPr>
          <w:trHeight w:val="270"/>
        </w:trPr>
        <w:tc>
          <w:tcPr>
            <w:tcW w:w="2128"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ind w:left="0"/>
            </w:pPr>
            <w:r>
              <w:rPr>
                <w:spacing w:val="-5"/>
              </w:rPr>
              <w:t>Alder</w:t>
            </w:r>
          </w:p>
        </w:tc>
        <w:tc>
          <w:tcPr>
            <w:tcW w:w="2028"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ind w:left="0"/>
            </w:pPr>
            <w:r>
              <w:t>Legemsvægt</w:t>
            </w:r>
          </w:p>
        </w:tc>
        <w:tc>
          <w:tcPr>
            <w:tcW w:w="2027"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ind w:left="0"/>
            </w:pPr>
            <w:r>
              <w:rPr>
                <w:spacing w:val="-4"/>
              </w:rPr>
              <w:t>Dosis</w:t>
            </w:r>
          </w:p>
        </w:tc>
        <w:tc>
          <w:tcPr>
            <w:tcW w:w="2253"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ind w:left="0"/>
            </w:pPr>
            <w:r>
              <w:rPr>
                <w:spacing w:val="-2"/>
              </w:rPr>
              <w:t>Frekvens</w:t>
            </w:r>
          </w:p>
        </w:tc>
      </w:tr>
      <w:tr w:rsidR="00ED4B60" w:rsidTr="00ED4B60">
        <w:trPr>
          <w:trHeight w:val="270"/>
        </w:trPr>
        <w:tc>
          <w:tcPr>
            <w:tcW w:w="2128"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ind w:left="0"/>
            </w:pPr>
            <w:r>
              <w:t>1</w:t>
            </w:r>
            <w:r>
              <w:noBreakHyphen/>
              <w:t>3 </w:t>
            </w:r>
            <w:r>
              <w:rPr>
                <w:spacing w:val="-2"/>
              </w:rPr>
              <w:t>år</w:t>
            </w:r>
          </w:p>
        </w:tc>
        <w:tc>
          <w:tcPr>
            <w:tcW w:w="2028"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ind w:left="0"/>
            </w:pPr>
            <w:r>
              <w:t>10</w:t>
            </w:r>
            <w:r>
              <w:noBreakHyphen/>
              <w:t>14 </w:t>
            </w:r>
            <w:r>
              <w:rPr>
                <w:spacing w:val="-5"/>
              </w:rPr>
              <w:t>kg</w:t>
            </w:r>
          </w:p>
        </w:tc>
        <w:tc>
          <w:tcPr>
            <w:tcW w:w="2027"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ind w:left="0"/>
            </w:pPr>
            <w:r>
              <w:t>1 </w:t>
            </w:r>
            <w:r>
              <w:rPr>
                <w:spacing w:val="-5"/>
              </w:rPr>
              <w:t>mg</w:t>
            </w:r>
          </w:p>
        </w:tc>
        <w:tc>
          <w:tcPr>
            <w:tcW w:w="2253"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ind w:left="0"/>
            </w:pPr>
            <w:r>
              <w:t>Op til 3 gange dagligt</w:t>
            </w:r>
          </w:p>
        </w:tc>
      </w:tr>
      <w:tr w:rsidR="00ED4B60" w:rsidTr="00ED4B60">
        <w:trPr>
          <w:trHeight w:val="270"/>
        </w:trPr>
        <w:tc>
          <w:tcPr>
            <w:tcW w:w="2128"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spacing w:line="245" w:lineRule="exact"/>
              <w:ind w:left="0"/>
            </w:pPr>
            <w:r>
              <w:t>3</w:t>
            </w:r>
            <w:r>
              <w:noBreakHyphen/>
              <w:t>5 </w:t>
            </w:r>
            <w:r>
              <w:rPr>
                <w:spacing w:val="-2"/>
              </w:rPr>
              <w:t>år</w:t>
            </w:r>
          </w:p>
        </w:tc>
        <w:tc>
          <w:tcPr>
            <w:tcW w:w="2028"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spacing w:line="245" w:lineRule="exact"/>
              <w:ind w:left="0"/>
            </w:pPr>
            <w:r>
              <w:t>15</w:t>
            </w:r>
            <w:r>
              <w:noBreakHyphen/>
              <w:t>19 </w:t>
            </w:r>
            <w:r>
              <w:rPr>
                <w:spacing w:val="-5"/>
              </w:rPr>
              <w:t>kg</w:t>
            </w:r>
          </w:p>
        </w:tc>
        <w:tc>
          <w:tcPr>
            <w:tcW w:w="2027"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spacing w:line="245" w:lineRule="exact"/>
              <w:ind w:left="0"/>
            </w:pPr>
            <w:r>
              <w:t>2 </w:t>
            </w:r>
            <w:r>
              <w:rPr>
                <w:spacing w:val="-5"/>
              </w:rPr>
              <w:t>mg</w:t>
            </w:r>
          </w:p>
        </w:tc>
        <w:tc>
          <w:tcPr>
            <w:tcW w:w="2253"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spacing w:line="245" w:lineRule="exact"/>
              <w:ind w:left="0"/>
            </w:pPr>
            <w:r>
              <w:t>Op til 3 gange dagligt</w:t>
            </w:r>
          </w:p>
        </w:tc>
      </w:tr>
      <w:tr w:rsidR="00ED4B60" w:rsidTr="00ED4B60">
        <w:trPr>
          <w:trHeight w:val="270"/>
        </w:trPr>
        <w:tc>
          <w:tcPr>
            <w:tcW w:w="2128"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ind w:left="0"/>
            </w:pPr>
            <w:r>
              <w:t>5</w:t>
            </w:r>
            <w:r>
              <w:noBreakHyphen/>
              <w:t>9 </w:t>
            </w:r>
            <w:r>
              <w:rPr>
                <w:spacing w:val="-2"/>
              </w:rPr>
              <w:t>år</w:t>
            </w:r>
          </w:p>
        </w:tc>
        <w:tc>
          <w:tcPr>
            <w:tcW w:w="2028"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ind w:left="0"/>
            </w:pPr>
            <w:r>
              <w:t>20</w:t>
            </w:r>
            <w:r>
              <w:noBreakHyphen/>
              <w:t>29 </w:t>
            </w:r>
            <w:r>
              <w:rPr>
                <w:spacing w:val="-5"/>
              </w:rPr>
              <w:t>kg</w:t>
            </w:r>
          </w:p>
        </w:tc>
        <w:tc>
          <w:tcPr>
            <w:tcW w:w="2027"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ind w:left="0"/>
            </w:pPr>
            <w:r>
              <w:t>2,5 </w:t>
            </w:r>
            <w:r>
              <w:rPr>
                <w:spacing w:val="-5"/>
              </w:rPr>
              <w:t>mg</w:t>
            </w:r>
          </w:p>
        </w:tc>
        <w:tc>
          <w:tcPr>
            <w:tcW w:w="2253"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ind w:left="0"/>
            </w:pPr>
            <w:r>
              <w:t>Op til 3 gange dagligt</w:t>
            </w:r>
          </w:p>
        </w:tc>
      </w:tr>
      <w:tr w:rsidR="00ED4B60" w:rsidTr="00ED4B60">
        <w:trPr>
          <w:trHeight w:val="270"/>
        </w:trPr>
        <w:tc>
          <w:tcPr>
            <w:tcW w:w="2128"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spacing w:before="3" w:line="247" w:lineRule="exact"/>
              <w:ind w:left="0"/>
            </w:pPr>
            <w:r>
              <w:t>9</w:t>
            </w:r>
            <w:r>
              <w:noBreakHyphen/>
              <w:t>18 </w:t>
            </w:r>
            <w:r>
              <w:rPr>
                <w:spacing w:val="-2"/>
              </w:rPr>
              <w:t>år</w:t>
            </w:r>
          </w:p>
        </w:tc>
        <w:tc>
          <w:tcPr>
            <w:tcW w:w="2028"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spacing w:before="3" w:line="247" w:lineRule="exact"/>
              <w:ind w:left="0"/>
            </w:pPr>
            <w:r>
              <w:t>30</w:t>
            </w:r>
            <w:r>
              <w:noBreakHyphen/>
              <w:t>60 </w:t>
            </w:r>
            <w:r>
              <w:rPr>
                <w:spacing w:val="-5"/>
              </w:rPr>
              <w:t>kg</w:t>
            </w:r>
          </w:p>
        </w:tc>
        <w:tc>
          <w:tcPr>
            <w:tcW w:w="2027"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spacing w:before="3" w:line="247" w:lineRule="exact"/>
              <w:ind w:left="0"/>
            </w:pPr>
            <w:r>
              <w:t>5 </w:t>
            </w:r>
            <w:r>
              <w:rPr>
                <w:spacing w:val="-5"/>
              </w:rPr>
              <w:t>mg</w:t>
            </w:r>
          </w:p>
        </w:tc>
        <w:tc>
          <w:tcPr>
            <w:tcW w:w="2253"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spacing w:before="3" w:line="247" w:lineRule="exact"/>
              <w:ind w:left="0"/>
            </w:pPr>
            <w:r>
              <w:t>Op til 3 gange dagligt</w:t>
            </w:r>
          </w:p>
        </w:tc>
      </w:tr>
      <w:tr w:rsidR="00ED4B60" w:rsidTr="00ED4B60">
        <w:trPr>
          <w:trHeight w:val="270"/>
        </w:trPr>
        <w:tc>
          <w:tcPr>
            <w:tcW w:w="2128"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spacing w:before="3" w:line="247" w:lineRule="exact"/>
              <w:ind w:left="0"/>
            </w:pPr>
            <w:r>
              <w:t>15</w:t>
            </w:r>
            <w:r>
              <w:noBreakHyphen/>
              <w:t>18 </w:t>
            </w:r>
            <w:r>
              <w:rPr>
                <w:spacing w:val="-2"/>
              </w:rPr>
              <w:t>år</w:t>
            </w:r>
          </w:p>
        </w:tc>
        <w:tc>
          <w:tcPr>
            <w:tcW w:w="2028"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spacing w:before="3" w:line="247" w:lineRule="exact"/>
              <w:ind w:left="0"/>
            </w:pPr>
            <w:r>
              <w:t>Over 60 </w:t>
            </w:r>
            <w:r>
              <w:rPr>
                <w:spacing w:val="-5"/>
              </w:rPr>
              <w:t>kg</w:t>
            </w:r>
          </w:p>
        </w:tc>
        <w:tc>
          <w:tcPr>
            <w:tcW w:w="2027"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spacing w:before="3" w:line="247" w:lineRule="exact"/>
              <w:ind w:left="0"/>
            </w:pPr>
            <w:r>
              <w:t>10 </w:t>
            </w:r>
            <w:r>
              <w:rPr>
                <w:spacing w:val="-5"/>
              </w:rPr>
              <w:t>mg</w:t>
            </w:r>
          </w:p>
        </w:tc>
        <w:tc>
          <w:tcPr>
            <w:tcW w:w="2253" w:type="dxa"/>
            <w:tcBorders>
              <w:top w:val="single" w:sz="6" w:space="0" w:color="000000"/>
              <w:left w:val="single" w:sz="6" w:space="0" w:color="000000"/>
              <w:bottom w:val="single" w:sz="6" w:space="0" w:color="000000"/>
              <w:right w:val="single" w:sz="6" w:space="0" w:color="000000"/>
            </w:tcBorders>
            <w:hideMark/>
          </w:tcPr>
          <w:p w:rsidR="00ED4B60" w:rsidRDefault="00ED4B60">
            <w:pPr>
              <w:pStyle w:val="TableParagraph"/>
              <w:keepNext/>
              <w:spacing w:before="3" w:line="247" w:lineRule="exact"/>
              <w:ind w:left="0"/>
            </w:pPr>
            <w:r>
              <w:t>Op til 3 gange dagligt</w:t>
            </w:r>
          </w:p>
        </w:tc>
      </w:tr>
    </w:tbl>
    <w:p w:rsidR="00ED4B60" w:rsidRPr="00ED4B60" w:rsidRDefault="00ED4B60" w:rsidP="00ED4B60">
      <w:pPr>
        <w:ind w:left="851"/>
        <w:rPr>
          <w:bCs/>
          <w:i/>
          <w:iCs/>
          <w:sz w:val="24"/>
          <w:szCs w:val="24"/>
        </w:rPr>
      </w:pPr>
    </w:p>
    <w:p w:rsidR="00ED4B60" w:rsidRPr="00ED4B60" w:rsidRDefault="00ED4B60" w:rsidP="00ED4B60">
      <w:pPr>
        <w:ind w:left="851"/>
        <w:rPr>
          <w:bCs/>
          <w:sz w:val="24"/>
          <w:szCs w:val="24"/>
        </w:rPr>
      </w:pPr>
      <w:r w:rsidRPr="00ED4B60">
        <w:rPr>
          <w:bCs/>
          <w:sz w:val="24"/>
          <w:szCs w:val="24"/>
        </w:rPr>
        <w:t>Den maksimale behandlingsvarighed er 5</w:t>
      </w:r>
      <w:r w:rsidRPr="00ED4B60">
        <w:rPr>
          <w:iCs/>
          <w:sz w:val="24"/>
          <w:szCs w:val="24"/>
        </w:rPr>
        <w:t> </w:t>
      </w:r>
      <w:r w:rsidRPr="00ED4B60">
        <w:rPr>
          <w:bCs/>
          <w:sz w:val="24"/>
          <w:szCs w:val="24"/>
        </w:rPr>
        <w:t xml:space="preserve">dage ved forebyggende behandling af forsinket kvalme og opkastning efter kemoterapi. </w:t>
      </w:r>
    </w:p>
    <w:p w:rsidR="00ED4B60" w:rsidRPr="00ED4B60" w:rsidRDefault="00ED4B60" w:rsidP="00ED4B60">
      <w:pPr>
        <w:ind w:left="851"/>
        <w:rPr>
          <w:sz w:val="24"/>
          <w:szCs w:val="24"/>
        </w:rPr>
      </w:pPr>
    </w:p>
    <w:p w:rsidR="00ED4B60" w:rsidRPr="00ED4B60" w:rsidRDefault="00ED4B60" w:rsidP="00ED4B60">
      <w:pPr>
        <w:suppressAutoHyphens/>
        <w:ind w:left="851"/>
        <w:rPr>
          <w:noProof/>
          <w:sz w:val="24"/>
          <w:szCs w:val="24"/>
        </w:rPr>
      </w:pPr>
      <w:r w:rsidRPr="00ED4B60">
        <w:rPr>
          <w:sz w:val="24"/>
          <w:szCs w:val="24"/>
        </w:rPr>
        <w:t>Tabletterne</w:t>
      </w:r>
      <w:r w:rsidRPr="00ED4B60">
        <w:rPr>
          <w:noProof/>
          <w:sz w:val="24"/>
          <w:szCs w:val="24"/>
        </w:rPr>
        <w:t xml:space="preserve"> er ikke egnet til brug hos børn der vejer under 30</w:t>
      </w:r>
      <w:r w:rsidRPr="00ED4B60">
        <w:rPr>
          <w:iCs/>
          <w:sz w:val="24"/>
          <w:szCs w:val="24"/>
        </w:rPr>
        <w:t> </w:t>
      </w:r>
      <w:r w:rsidRPr="00ED4B60">
        <w:rPr>
          <w:noProof/>
          <w:sz w:val="24"/>
          <w:szCs w:val="24"/>
        </w:rPr>
        <w:t xml:space="preserve">kg. Andre lægemiddelformer/styrker kan være mere egnede til administration hos denne population. </w:t>
      </w:r>
    </w:p>
    <w:p w:rsidR="00ED4B60" w:rsidRPr="00ED4B60" w:rsidRDefault="00ED4B60" w:rsidP="00ED4B60">
      <w:pPr>
        <w:suppressAutoHyphens/>
        <w:ind w:left="851"/>
        <w:rPr>
          <w:noProof/>
          <w:sz w:val="24"/>
          <w:szCs w:val="24"/>
        </w:rPr>
      </w:pPr>
    </w:p>
    <w:p w:rsidR="00ED4B60" w:rsidRPr="00ED4B60" w:rsidRDefault="00ED4B60" w:rsidP="00ED4B60">
      <w:pPr>
        <w:ind w:left="851"/>
        <w:rPr>
          <w:noProof/>
          <w:sz w:val="24"/>
          <w:szCs w:val="24"/>
          <w:u w:val="single"/>
        </w:rPr>
      </w:pPr>
      <w:r w:rsidRPr="00ED4B60">
        <w:rPr>
          <w:noProof/>
          <w:sz w:val="24"/>
          <w:szCs w:val="24"/>
          <w:u w:val="single"/>
        </w:rPr>
        <w:t>Særlige populationer</w:t>
      </w:r>
    </w:p>
    <w:p w:rsidR="00BD1EBD" w:rsidRDefault="00BD1EBD" w:rsidP="00ED4B60">
      <w:pPr>
        <w:ind w:left="851"/>
        <w:rPr>
          <w:i/>
          <w:iCs/>
          <w:noProof/>
          <w:sz w:val="24"/>
          <w:szCs w:val="24"/>
        </w:rPr>
      </w:pPr>
    </w:p>
    <w:p w:rsidR="00ED4B60" w:rsidRPr="00ED4B60" w:rsidRDefault="00ED4B60" w:rsidP="00ED4B60">
      <w:pPr>
        <w:ind w:left="851"/>
        <w:rPr>
          <w:i/>
          <w:iCs/>
          <w:noProof/>
          <w:sz w:val="24"/>
          <w:szCs w:val="24"/>
        </w:rPr>
      </w:pPr>
      <w:r w:rsidRPr="00ED4B60">
        <w:rPr>
          <w:i/>
          <w:iCs/>
          <w:noProof/>
          <w:sz w:val="24"/>
          <w:szCs w:val="24"/>
        </w:rPr>
        <w:t>Ældre</w:t>
      </w:r>
    </w:p>
    <w:p w:rsidR="00ED4B60" w:rsidRPr="00ED4B60" w:rsidRDefault="00ED4B60" w:rsidP="00ED4B60">
      <w:pPr>
        <w:ind w:left="851"/>
        <w:rPr>
          <w:noProof/>
          <w:sz w:val="24"/>
          <w:szCs w:val="24"/>
        </w:rPr>
      </w:pPr>
      <w:r w:rsidRPr="00ED4B60">
        <w:rPr>
          <w:noProof/>
          <w:sz w:val="24"/>
          <w:szCs w:val="24"/>
        </w:rPr>
        <w:t>Hos ældre patienter skal dosisreduktion overvejes, baseret på nyre- og leverfunktion og patientens generelle helbred.</w:t>
      </w:r>
      <w:r w:rsidRPr="00ED4B60">
        <w:rPr>
          <w:sz w:val="24"/>
          <w:szCs w:val="24"/>
        </w:rPr>
        <w:t xml:space="preserve"> </w:t>
      </w:r>
    </w:p>
    <w:p w:rsidR="00ED4B60" w:rsidRPr="00ED4B60" w:rsidRDefault="00ED4B60" w:rsidP="00ED4B60">
      <w:pPr>
        <w:ind w:left="851"/>
        <w:rPr>
          <w:noProof/>
          <w:sz w:val="24"/>
          <w:szCs w:val="24"/>
        </w:rPr>
      </w:pPr>
    </w:p>
    <w:p w:rsidR="00ED4B60" w:rsidRPr="00ED4B60" w:rsidRDefault="00ED4B60" w:rsidP="00ED4B60">
      <w:pPr>
        <w:ind w:left="851"/>
        <w:rPr>
          <w:i/>
          <w:iCs/>
          <w:noProof/>
          <w:sz w:val="24"/>
          <w:szCs w:val="24"/>
        </w:rPr>
      </w:pPr>
      <w:r w:rsidRPr="00ED4B60">
        <w:rPr>
          <w:i/>
          <w:iCs/>
          <w:noProof/>
          <w:sz w:val="24"/>
          <w:szCs w:val="24"/>
        </w:rPr>
        <w:t>Nedsat nyrefunktion</w:t>
      </w:r>
    </w:p>
    <w:p w:rsidR="00ED4B60" w:rsidRPr="00ED4B60" w:rsidRDefault="00ED4B60" w:rsidP="00ED4B60">
      <w:pPr>
        <w:ind w:left="851"/>
        <w:rPr>
          <w:noProof/>
          <w:sz w:val="24"/>
          <w:szCs w:val="24"/>
        </w:rPr>
      </w:pPr>
      <w:r w:rsidRPr="00ED4B60">
        <w:rPr>
          <w:noProof/>
          <w:sz w:val="24"/>
          <w:szCs w:val="24"/>
        </w:rPr>
        <w:t>Hos patienter med nyresygdom i slutstadiet (kreatininclearance ≤</w:t>
      </w:r>
      <w:r w:rsidRPr="00ED4B60">
        <w:rPr>
          <w:sz w:val="24"/>
          <w:szCs w:val="24"/>
        </w:rPr>
        <w:t> </w:t>
      </w:r>
      <w:r w:rsidRPr="00ED4B60">
        <w:rPr>
          <w:noProof/>
          <w:sz w:val="24"/>
          <w:szCs w:val="24"/>
        </w:rPr>
        <w:t>15</w:t>
      </w:r>
      <w:r w:rsidRPr="00ED4B60">
        <w:rPr>
          <w:sz w:val="24"/>
          <w:szCs w:val="24"/>
        </w:rPr>
        <w:t> </w:t>
      </w:r>
      <w:r w:rsidRPr="00ED4B60">
        <w:rPr>
          <w:noProof/>
          <w:sz w:val="24"/>
          <w:szCs w:val="24"/>
        </w:rPr>
        <w:t>ml/min) skal den daglige dosis reduceres med 75</w:t>
      </w:r>
      <w:r w:rsidRPr="00ED4B60">
        <w:rPr>
          <w:sz w:val="24"/>
          <w:szCs w:val="24"/>
        </w:rPr>
        <w:t> </w:t>
      </w:r>
      <w:r w:rsidRPr="00ED4B60">
        <w:rPr>
          <w:noProof/>
          <w:sz w:val="24"/>
          <w:szCs w:val="24"/>
        </w:rPr>
        <w:t>%. Hos patienter med moderat til svært nedsat nyrefunktion (kreatininclearance 15</w:t>
      </w:r>
      <w:r w:rsidRPr="00ED4B60">
        <w:rPr>
          <w:noProof/>
          <w:sz w:val="24"/>
          <w:szCs w:val="24"/>
        </w:rPr>
        <w:noBreakHyphen/>
        <w:t>60</w:t>
      </w:r>
      <w:r w:rsidRPr="00ED4B60">
        <w:rPr>
          <w:sz w:val="24"/>
          <w:szCs w:val="24"/>
        </w:rPr>
        <w:t> </w:t>
      </w:r>
      <w:r w:rsidRPr="00ED4B60">
        <w:rPr>
          <w:noProof/>
          <w:sz w:val="24"/>
          <w:szCs w:val="24"/>
        </w:rPr>
        <w:t>ml/min) skal dosis reduceres med 50</w:t>
      </w:r>
      <w:r w:rsidRPr="00ED4B60">
        <w:rPr>
          <w:sz w:val="24"/>
          <w:szCs w:val="24"/>
        </w:rPr>
        <w:t> </w:t>
      </w:r>
      <w:r w:rsidRPr="00ED4B60">
        <w:rPr>
          <w:noProof/>
          <w:sz w:val="24"/>
          <w:szCs w:val="24"/>
        </w:rPr>
        <w:t>% (se pkt.</w:t>
      </w:r>
      <w:r w:rsidR="00E90F25">
        <w:rPr>
          <w:sz w:val="24"/>
          <w:szCs w:val="24"/>
        </w:rPr>
        <w:t xml:space="preserve"> </w:t>
      </w:r>
      <w:r w:rsidRPr="00ED4B60">
        <w:rPr>
          <w:noProof/>
          <w:sz w:val="24"/>
          <w:szCs w:val="24"/>
        </w:rPr>
        <w:t>5.2).</w:t>
      </w:r>
    </w:p>
    <w:p w:rsidR="00ED4B60" w:rsidRPr="00ED4B60" w:rsidRDefault="00ED4B60" w:rsidP="00ED4B60">
      <w:pPr>
        <w:ind w:left="851"/>
        <w:rPr>
          <w:noProof/>
          <w:sz w:val="24"/>
          <w:szCs w:val="24"/>
        </w:rPr>
      </w:pPr>
    </w:p>
    <w:p w:rsidR="00ED4B60" w:rsidRPr="00ED4B60" w:rsidRDefault="00ED4B60" w:rsidP="00ED4B60">
      <w:pPr>
        <w:ind w:left="851"/>
        <w:rPr>
          <w:i/>
          <w:iCs/>
          <w:noProof/>
          <w:sz w:val="24"/>
          <w:szCs w:val="24"/>
        </w:rPr>
      </w:pPr>
      <w:r w:rsidRPr="00ED4B60">
        <w:rPr>
          <w:i/>
          <w:iCs/>
          <w:noProof/>
          <w:sz w:val="24"/>
          <w:szCs w:val="24"/>
        </w:rPr>
        <w:t>Nedsat leverfunktion</w:t>
      </w:r>
    </w:p>
    <w:p w:rsidR="00ED4B60" w:rsidRPr="00ED4B60" w:rsidRDefault="00ED4B60" w:rsidP="00ED4B60">
      <w:pPr>
        <w:ind w:left="851"/>
        <w:rPr>
          <w:noProof/>
          <w:sz w:val="24"/>
          <w:szCs w:val="24"/>
        </w:rPr>
      </w:pPr>
      <w:r w:rsidRPr="00ED4B60">
        <w:rPr>
          <w:noProof/>
          <w:sz w:val="24"/>
          <w:szCs w:val="24"/>
        </w:rPr>
        <w:t>Hos patienter med svært nedsat leverfunktion skal dosis reduceres med 50</w:t>
      </w:r>
      <w:r w:rsidRPr="00ED4B60">
        <w:rPr>
          <w:sz w:val="24"/>
          <w:szCs w:val="24"/>
        </w:rPr>
        <w:t> </w:t>
      </w:r>
      <w:r w:rsidRPr="00ED4B60">
        <w:rPr>
          <w:noProof/>
          <w:sz w:val="24"/>
          <w:szCs w:val="24"/>
        </w:rPr>
        <w:t>% (se pkt.</w:t>
      </w:r>
      <w:r w:rsidR="00E90F25">
        <w:rPr>
          <w:sz w:val="24"/>
          <w:szCs w:val="24"/>
        </w:rPr>
        <w:t xml:space="preserve"> </w:t>
      </w:r>
      <w:r w:rsidRPr="00ED4B60">
        <w:rPr>
          <w:noProof/>
          <w:sz w:val="24"/>
          <w:szCs w:val="24"/>
        </w:rPr>
        <w:t>5.2).</w:t>
      </w:r>
    </w:p>
    <w:p w:rsidR="00BD1EBD" w:rsidRDefault="00BD1EBD">
      <w:pPr>
        <w:rPr>
          <w:noProof/>
          <w:sz w:val="24"/>
          <w:szCs w:val="24"/>
        </w:rPr>
      </w:pPr>
      <w:r>
        <w:rPr>
          <w:noProof/>
          <w:sz w:val="24"/>
          <w:szCs w:val="24"/>
        </w:rPr>
        <w:br w:type="page"/>
      </w:r>
    </w:p>
    <w:p w:rsidR="00ED4B60" w:rsidRPr="00ED4B60" w:rsidRDefault="00ED4B60" w:rsidP="00ED4B60">
      <w:pPr>
        <w:ind w:left="851"/>
        <w:rPr>
          <w:noProof/>
          <w:sz w:val="24"/>
          <w:szCs w:val="24"/>
        </w:rPr>
      </w:pPr>
    </w:p>
    <w:p w:rsidR="00ED4B60" w:rsidRPr="00ED4B60" w:rsidRDefault="00ED4B60" w:rsidP="00ED4B60">
      <w:pPr>
        <w:ind w:left="851"/>
        <w:rPr>
          <w:i/>
          <w:iCs/>
          <w:noProof/>
          <w:sz w:val="24"/>
          <w:szCs w:val="24"/>
        </w:rPr>
      </w:pPr>
      <w:r w:rsidRPr="00ED4B60">
        <w:rPr>
          <w:i/>
          <w:iCs/>
          <w:noProof/>
          <w:sz w:val="24"/>
          <w:szCs w:val="24"/>
        </w:rPr>
        <w:t>Pædiatrisk population</w:t>
      </w:r>
    </w:p>
    <w:p w:rsidR="00ED4B60" w:rsidRPr="00ED4B60" w:rsidRDefault="00ED4B60" w:rsidP="00ED4B60">
      <w:pPr>
        <w:ind w:left="851"/>
        <w:rPr>
          <w:noProof/>
          <w:sz w:val="24"/>
          <w:szCs w:val="24"/>
        </w:rPr>
      </w:pPr>
      <w:r w:rsidRPr="00ED4B60">
        <w:rPr>
          <w:noProof/>
          <w:sz w:val="24"/>
          <w:szCs w:val="24"/>
        </w:rPr>
        <w:t>Metoclopramid er kontraindiceret til børn under 1</w:t>
      </w:r>
      <w:r w:rsidRPr="00ED4B60">
        <w:rPr>
          <w:sz w:val="24"/>
          <w:szCs w:val="24"/>
        </w:rPr>
        <w:t> </w:t>
      </w:r>
      <w:r w:rsidRPr="00ED4B60">
        <w:rPr>
          <w:noProof/>
          <w:sz w:val="24"/>
          <w:szCs w:val="24"/>
        </w:rPr>
        <w:t>år (se pkt.</w:t>
      </w:r>
      <w:r w:rsidRPr="00ED4B60">
        <w:rPr>
          <w:sz w:val="24"/>
          <w:szCs w:val="24"/>
        </w:rPr>
        <w:t> </w:t>
      </w:r>
      <w:r w:rsidRPr="00ED4B60">
        <w:rPr>
          <w:noProof/>
          <w:sz w:val="24"/>
          <w:szCs w:val="24"/>
        </w:rPr>
        <w:t>4.3).</w:t>
      </w:r>
    </w:p>
    <w:p w:rsidR="00ED4B60" w:rsidRPr="00ED4B60" w:rsidRDefault="00ED4B60" w:rsidP="00ED4B60">
      <w:pPr>
        <w:ind w:left="851"/>
        <w:rPr>
          <w:sz w:val="24"/>
          <w:szCs w:val="24"/>
        </w:rPr>
      </w:pPr>
    </w:p>
    <w:p w:rsidR="00ED4B60" w:rsidRPr="00BD1EBD" w:rsidRDefault="00ED4B60" w:rsidP="00ED4B60">
      <w:pPr>
        <w:ind w:left="851"/>
        <w:rPr>
          <w:b/>
          <w:sz w:val="24"/>
          <w:szCs w:val="24"/>
        </w:rPr>
      </w:pPr>
      <w:r w:rsidRPr="00BD1EBD">
        <w:rPr>
          <w:b/>
          <w:sz w:val="24"/>
          <w:szCs w:val="24"/>
        </w:rPr>
        <w:t>Administration</w:t>
      </w:r>
    </w:p>
    <w:p w:rsidR="00ED4B60" w:rsidRPr="00ED4B60" w:rsidRDefault="00ED4B60" w:rsidP="00ED4B60">
      <w:pPr>
        <w:ind w:left="851"/>
        <w:rPr>
          <w:noProof/>
          <w:sz w:val="24"/>
          <w:szCs w:val="24"/>
        </w:rPr>
      </w:pPr>
      <w:r w:rsidRPr="00ED4B60">
        <w:rPr>
          <w:noProof/>
          <w:sz w:val="24"/>
          <w:szCs w:val="24"/>
        </w:rPr>
        <w:t>Et minimumsinterval på 6</w:t>
      </w:r>
      <w:r w:rsidRPr="00ED4B60">
        <w:rPr>
          <w:iCs/>
          <w:sz w:val="24"/>
          <w:szCs w:val="24"/>
        </w:rPr>
        <w:t> </w:t>
      </w:r>
      <w:r w:rsidRPr="00ED4B60">
        <w:rPr>
          <w:noProof/>
          <w:sz w:val="24"/>
          <w:szCs w:val="24"/>
        </w:rPr>
        <w:t>timer mellem to administrationer skal overholdes, selv i tilfælde af afvisning af dosis (f.eks. opkastning eller diarre).</w:t>
      </w:r>
    </w:p>
    <w:p w:rsidR="009260DE" w:rsidRPr="00ED4B60" w:rsidRDefault="009260DE" w:rsidP="00ED4B60">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BD1EBD" w:rsidRPr="00BD1EBD" w:rsidRDefault="00BD1EBD" w:rsidP="00BD1EBD">
      <w:pPr>
        <w:numPr>
          <w:ilvl w:val="0"/>
          <w:numId w:val="6"/>
        </w:numPr>
        <w:tabs>
          <w:tab w:val="clear" w:pos="720"/>
          <w:tab w:val="left" w:pos="851"/>
          <w:tab w:val="num" w:pos="1134"/>
        </w:tabs>
        <w:ind w:left="1134" w:hanging="283"/>
        <w:rPr>
          <w:sz w:val="24"/>
          <w:szCs w:val="24"/>
        </w:rPr>
      </w:pPr>
      <w:r w:rsidRPr="00BD1EBD">
        <w:rPr>
          <w:sz w:val="24"/>
          <w:szCs w:val="24"/>
        </w:rPr>
        <w:t>Overfølsomhed over for det aktive stof eller over for et eller flere af hjælpestofferne anført i pkt.</w:t>
      </w:r>
      <w:r w:rsidR="00E90F25">
        <w:rPr>
          <w:sz w:val="24"/>
          <w:szCs w:val="24"/>
        </w:rPr>
        <w:t xml:space="preserve"> </w:t>
      </w:r>
      <w:r w:rsidRPr="00BD1EBD">
        <w:rPr>
          <w:sz w:val="24"/>
          <w:szCs w:val="24"/>
        </w:rPr>
        <w:t xml:space="preserve"> 6.1</w:t>
      </w:r>
    </w:p>
    <w:p w:rsidR="00BD1EBD" w:rsidRPr="00BD1EBD" w:rsidRDefault="00BD1EBD" w:rsidP="00BD1EBD">
      <w:pPr>
        <w:numPr>
          <w:ilvl w:val="0"/>
          <w:numId w:val="6"/>
        </w:numPr>
        <w:tabs>
          <w:tab w:val="clear" w:pos="720"/>
          <w:tab w:val="left" w:pos="851"/>
          <w:tab w:val="num" w:pos="1134"/>
        </w:tabs>
        <w:ind w:left="1134" w:hanging="283"/>
        <w:rPr>
          <w:sz w:val="24"/>
          <w:szCs w:val="24"/>
        </w:rPr>
      </w:pPr>
      <w:r w:rsidRPr="00BD1EBD">
        <w:rPr>
          <w:sz w:val="24"/>
          <w:szCs w:val="24"/>
        </w:rPr>
        <w:t>Gastrointestinal blødning, mekanisk obstruktion eller gastrointestinal perforation, hvor stimulering af gastrointestinal motilitet udgør en risiko.</w:t>
      </w:r>
    </w:p>
    <w:p w:rsidR="00BD1EBD" w:rsidRPr="00BD1EBD" w:rsidRDefault="00BD1EBD" w:rsidP="00BD1EBD">
      <w:pPr>
        <w:numPr>
          <w:ilvl w:val="0"/>
          <w:numId w:val="6"/>
        </w:numPr>
        <w:tabs>
          <w:tab w:val="clear" w:pos="720"/>
          <w:tab w:val="left" w:pos="851"/>
          <w:tab w:val="num" w:pos="1134"/>
        </w:tabs>
        <w:ind w:left="1134" w:hanging="283"/>
        <w:rPr>
          <w:sz w:val="24"/>
          <w:szCs w:val="24"/>
        </w:rPr>
      </w:pPr>
      <w:r w:rsidRPr="00BD1EBD">
        <w:rPr>
          <w:sz w:val="24"/>
          <w:szCs w:val="24"/>
        </w:rPr>
        <w:t>Bekræftet eller mistænkt fæokromocytom på grund af risikoen for svære hypertensive episoder.</w:t>
      </w:r>
    </w:p>
    <w:p w:rsidR="00BD1EBD" w:rsidRPr="00BD1EBD" w:rsidRDefault="00BD1EBD" w:rsidP="00BD1EBD">
      <w:pPr>
        <w:numPr>
          <w:ilvl w:val="0"/>
          <w:numId w:val="6"/>
        </w:numPr>
        <w:tabs>
          <w:tab w:val="clear" w:pos="720"/>
          <w:tab w:val="left" w:pos="851"/>
          <w:tab w:val="num" w:pos="1134"/>
        </w:tabs>
        <w:ind w:left="1134" w:hanging="283"/>
        <w:rPr>
          <w:sz w:val="24"/>
          <w:szCs w:val="24"/>
        </w:rPr>
      </w:pPr>
      <w:r w:rsidRPr="00BD1EBD">
        <w:rPr>
          <w:sz w:val="24"/>
          <w:szCs w:val="24"/>
        </w:rPr>
        <w:t>Tidligere tilfælde af neuroleptisk eller metoclopramid-induceret tardiv dyskinesi.</w:t>
      </w:r>
    </w:p>
    <w:p w:rsidR="00BD1EBD" w:rsidRPr="00BD1EBD" w:rsidRDefault="00BD1EBD" w:rsidP="00BD1EBD">
      <w:pPr>
        <w:numPr>
          <w:ilvl w:val="0"/>
          <w:numId w:val="6"/>
        </w:numPr>
        <w:tabs>
          <w:tab w:val="clear" w:pos="720"/>
          <w:tab w:val="left" w:pos="851"/>
          <w:tab w:val="num" w:pos="1134"/>
        </w:tabs>
        <w:ind w:left="1134" w:hanging="283"/>
        <w:rPr>
          <w:sz w:val="24"/>
          <w:szCs w:val="24"/>
        </w:rPr>
      </w:pPr>
      <w:r w:rsidRPr="00BD1EBD">
        <w:rPr>
          <w:sz w:val="24"/>
          <w:szCs w:val="24"/>
        </w:rPr>
        <w:t>Epilepsi (øget anfaldshyppighed og intensitet).</w:t>
      </w:r>
    </w:p>
    <w:p w:rsidR="00BD1EBD" w:rsidRPr="00BD1EBD" w:rsidRDefault="00BD1EBD" w:rsidP="00BD1EBD">
      <w:pPr>
        <w:numPr>
          <w:ilvl w:val="0"/>
          <w:numId w:val="6"/>
        </w:numPr>
        <w:tabs>
          <w:tab w:val="clear" w:pos="720"/>
          <w:tab w:val="left" w:pos="851"/>
          <w:tab w:val="num" w:pos="1134"/>
        </w:tabs>
        <w:ind w:left="1134" w:hanging="283"/>
        <w:rPr>
          <w:sz w:val="24"/>
          <w:szCs w:val="24"/>
        </w:rPr>
      </w:pPr>
      <w:r w:rsidRPr="00BD1EBD">
        <w:rPr>
          <w:sz w:val="24"/>
          <w:szCs w:val="24"/>
        </w:rPr>
        <w:t>Parkinsons sygdom.</w:t>
      </w:r>
    </w:p>
    <w:p w:rsidR="00BD1EBD" w:rsidRPr="00BD1EBD" w:rsidRDefault="00BD1EBD" w:rsidP="00BD1EBD">
      <w:pPr>
        <w:numPr>
          <w:ilvl w:val="0"/>
          <w:numId w:val="6"/>
        </w:numPr>
        <w:tabs>
          <w:tab w:val="clear" w:pos="720"/>
          <w:tab w:val="left" w:pos="851"/>
          <w:tab w:val="num" w:pos="1134"/>
        </w:tabs>
        <w:ind w:left="1134" w:hanging="283"/>
        <w:rPr>
          <w:sz w:val="24"/>
          <w:szCs w:val="24"/>
        </w:rPr>
      </w:pPr>
      <w:r w:rsidRPr="00BD1EBD">
        <w:rPr>
          <w:sz w:val="24"/>
          <w:szCs w:val="24"/>
        </w:rPr>
        <w:t>Kombination med Levodopa eller dopaminerge agonister (se pkt.</w:t>
      </w:r>
      <w:r w:rsidR="00E90F25">
        <w:rPr>
          <w:sz w:val="24"/>
          <w:szCs w:val="24"/>
        </w:rPr>
        <w:t xml:space="preserve"> </w:t>
      </w:r>
      <w:r w:rsidRPr="00BD1EBD">
        <w:rPr>
          <w:sz w:val="24"/>
          <w:szCs w:val="24"/>
        </w:rPr>
        <w:t>4.5).</w:t>
      </w:r>
    </w:p>
    <w:p w:rsidR="00BD1EBD" w:rsidRPr="00BD1EBD" w:rsidRDefault="00BD1EBD" w:rsidP="00BD1EBD">
      <w:pPr>
        <w:numPr>
          <w:ilvl w:val="0"/>
          <w:numId w:val="6"/>
        </w:numPr>
        <w:tabs>
          <w:tab w:val="clear" w:pos="720"/>
          <w:tab w:val="left" w:pos="851"/>
          <w:tab w:val="num" w:pos="1134"/>
        </w:tabs>
        <w:ind w:left="1134" w:hanging="283"/>
        <w:rPr>
          <w:sz w:val="24"/>
          <w:szCs w:val="24"/>
        </w:rPr>
      </w:pPr>
      <w:r w:rsidRPr="00BD1EBD">
        <w:rPr>
          <w:sz w:val="24"/>
          <w:szCs w:val="24"/>
        </w:rPr>
        <w:t>Kendt methæmoglobinæmi med metoclopramid eller NADH-cytokrom-b5-mangel.</w:t>
      </w:r>
    </w:p>
    <w:p w:rsidR="00BD1EBD" w:rsidRPr="00BD1EBD" w:rsidRDefault="00BD1EBD" w:rsidP="00BD1EBD">
      <w:pPr>
        <w:numPr>
          <w:ilvl w:val="0"/>
          <w:numId w:val="6"/>
        </w:numPr>
        <w:tabs>
          <w:tab w:val="clear" w:pos="720"/>
          <w:tab w:val="left" w:pos="851"/>
          <w:tab w:val="num" w:pos="1134"/>
        </w:tabs>
        <w:ind w:left="1134" w:hanging="283"/>
        <w:rPr>
          <w:sz w:val="24"/>
          <w:szCs w:val="24"/>
        </w:rPr>
      </w:pPr>
      <w:r w:rsidRPr="00BD1EBD">
        <w:rPr>
          <w:sz w:val="24"/>
          <w:szCs w:val="24"/>
        </w:rPr>
        <w:t>Børn under 1 år på grund af øget risiko for ekstrapyramidale forstyrrelser (se pkt.</w:t>
      </w:r>
      <w:r w:rsidR="00E90F25">
        <w:rPr>
          <w:sz w:val="24"/>
          <w:szCs w:val="24"/>
        </w:rPr>
        <w:t xml:space="preserve"> </w:t>
      </w:r>
      <w:r w:rsidRPr="00BD1EBD">
        <w:rPr>
          <w:sz w:val="24"/>
          <w:szCs w:val="24"/>
        </w:rPr>
        <w:t xml:space="preserve">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sz w:val="24"/>
          <w:szCs w:val="24"/>
          <w:u w:val="single"/>
        </w:rPr>
      </w:pPr>
      <w:r w:rsidRPr="00BD1EBD">
        <w:rPr>
          <w:sz w:val="24"/>
          <w:szCs w:val="24"/>
          <w:u w:val="single"/>
        </w:rPr>
        <w:t>Neurologiske sygdomme</w:t>
      </w:r>
    </w:p>
    <w:p w:rsidR="00BD1EBD" w:rsidRPr="00BD1EBD" w:rsidRDefault="00BD1EBD" w:rsidP="00BD1EBD">
      <w:pPr>
        <w:tabs>
          <w:tab w:val="left" w:pos="851"/>
        </w:tabs>
        <w:ind w:left="851"/>
        <w:rPr>
          <w:sz w:val="24"/>
          <w:szCs w:val="24"/>
        </w:rPr>
      </w:pPr>
      <w:r w:rsidRPr="00BD1EBD">
        <w:rPr>
          <w:sz w:val="24"/>
          <w:szCs w:val="24"/>
        </w:rPr>
        <w:t>Ekstrapyramidale forstyrrelser kan forekomme, især hos børn og unge voksne og/eller ved anvendelse af høje doser. Disse reaktioner forekommer sædvanligvis i starten af behandlingen og kan forekomme efter en enkelt administration. Metoclopramid skal seponeres øjeblikkeligt i tilfælde af ekstrapyramidale symptomer. Disse er generelt fuldstændig reversible efter behandlingsophør, men kan kræve symptomatisk behandling (benzodiazepiner hos børn og/eller antikolinerge antiparkinson midler hos voksne).</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sz w:val="24"/>
          <w:szCs w:val="24"/>
        </w:rPr>
      </w:pPr>
      <w:r w:rsidRPr="00BD1EBD">
        <w:rPr>
          <w:sz w:val="24"/>
          <w:szCs w:val="24"/>
        </w:rPr>
        <w:t>For at undgå overdosering skal tidsintervallet på mindst 6 timer, angivet i pkt.</w:t>
      </w:r>
      <w:r w:rsidR="00E90F25">
        <w:rPr>
          <w:sz w:val="24"/>
          <w:szCs w:val="24"/>
        </w:rPr>
        <w:t xml:space="preserve"> </w:t>
      </w:r>
      <w:r w:rsidRPr="00BD1EBD">
        <w:rPr>
          <w:sz w:val="24"/>
          <w:szCs w:val="24"/>
        </w:rPr>
        <w:t>4.2, overholdes mellem hver administration af metoclopramid, selv i tilfælde af afvisning af dosis (f.eks. opkastning eller diarre).</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sz w:val="24"/>
          <w:szCs w:val="24"/>
        </w:rPr>
      </w:pPr>
      <w:r w:rsidRPr="00BD1EBD">
        <w:rPr>
          <w:sz w:val="24"/>
          <w:szCs w:val="24"/>
        </w:rPr>
        <w:t>Langvarig behandling med metoclopramid kan forårsage tardiv dyskinesi, potentielt irreversibelt, især hos ældre patienter. Behandling må ikke overskride 3 måneder på grund af risikoen for tardiv dyskinesi (se pkt.</w:t>
      </w:r>
      <w:r w:rsidR="00E90F25">
        <w:rPr>
          <w:sz w:val="24"/>
          <w:szCs w:val="24"/>
        </w:rPr>
        <w:t xml:space="preserve"> </w:t>
      </w:r>
      <w:r w:rsidRPr="00BD1EBD">
        <w:rPr>
          <w:sz w:val="24"/>
          <w:szCs w:val="24"/>
        </w:rPr>
        <w:t>4.8). Behandlingen skal seponeres, hvis der opstår kliniske tegn på tardiv dyskinesi.</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sz w:val="24"/>
          <w:szCs w:val="24"/>
        </w:rPr>
      </w:pPr>
      <w:r w:rsidRPr="00BD1EBD">
        <w:rPr>
          <w:sz w:val="24"/>
          <w:szCs w:val="24"/>
        </w:rPr>
        <w:t>Malignt neuroleptikasyndrom er rapporteret med metoclopramid i kombination med neuroleptika og med metoclopramid-monoterapi (se pkt.</w:t>
      </w:r>
      <w:r w:rsidR="00E90F25">
        <w:rPr>
          <w:sz w:val="24"/>
          <w:szCs w:val="24"/>
        </w:rPr>
        <w:t xml:space="preserve"> </w:t>
      </w:r>
      <w:r w:rsidRPr="00BD1EBD">
        <w:rPr>
          <w:sz w:val="24"/>
          <w:szCs w:val="24"/>
        </w:rPr>
        <w:t>4.8). Metoclopramid skal seponeres øjeblikkeligt i tilfælde af symptomer på malignt neuroleptikasyndrom og passende behandling initieres.</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sz w:val="24"/>
          <w:szCs w:val="24"/>
        </w:rPr>
      </w:pPr>
      <w:r w:rsidRPr="00BD1EBD">
        <w:rPr>
          <w:sz w:val="24"/>
          <w:szCs w:val="24"/>
        </w:rPr>
        <w:t>Særlig forsigtighed skal udvises hos patienter med underliggende neurologiske tilstande samt hos patienter, der behandles med andre centralt virkende lægemidler (se pkt. 4.3).</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sz w:val="24"/>
          <w:szCs w:val="24"/>
        </w:rPr>
      </w:pPr>
      <w:r w:rsidRPr="00BD1EBD">
        <w:rPr>
          <w:sz w:val="24"/>
          <w:szCs w:val="24"/>
        </w:rPr>
        <w:t>Symptomer på Parkinsons sygdom kan også blive forværret af metoclopramid.</w:t>
      </w:r>
      <w:r w:rsidRPr="00BD1EBD">
        <w:rPr>
          <w:sz w:val="24"/>
          <w:szCs w:val="24"/>
        </w:rPr>
        <w:br/>
      </w:r>
    </w:p>
    <w:p w:rsidR="00BD1EBD" w:rsidRPr="00BD1EBD" w:rsidRDefault="00BD1EBD" w:rsidP="00BD1EBD">
      <w:pPr>
        <w:tabs>
          <w:tab w:val="left" w:pos="851"/>
        </w:tabs>
        <w:ind w:left="851"/>
        <w:rPr>
          <w:sz w:val="24"/>
          <w:szCs w:val="24"/>
          <w:u w:val="single"/>
        </w:rPr>
      </w:pPr>
      <w:r w:rsidRPr="00BD1EBD">
        <w:rPr>
          <w:sz w:val="24"/>
          <w:szCs w:val="24"/>
          <w:u w:val="single"/>
        </w:rPr>
        <w:lastRenderedPageBreak/>
        <w:t>Methæmoglobinæmi</w:t>
      </w:r>
    </w:p>
    <w:p w:rsidR="00BD1EBD" w:rsidRPr="00BD1EBD" w:rsidRDefault="00BD1EBD" w:rsidP="00BD1EBD">
      <w:pPr>
        <w:tabs>
          <w:tab w:val="left" w:pos="851"/>
        </w:tabs>
        <w:ind w:left="851"/>
        <w:rPr>
          <w:sz w:val="24"/>
          <w:szCs w:val="24"/>
        </w:rPr>
      </w:pPr>
      <w:r w:rsidRPr="00BD1EBD">
        <w:rPr>
          <w:sz w:val="24"/>
          <w:szCs w:val="24"/>
        </w:rPr>
        <w:t>Methæmoglobinæmi, som kan være relateret til NADH-cytokrom-b5-reduktasemangel, er rapporteret. I sådanne tilfælde skal metoclopramid seponeres øjeblikkeligt og permanent og passende foranstaltninger indledes (såsom behandling med methylthionin).</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sz w:val="24"/>
          <w:szCs w:val="24"/>
          <w:u w:val="single"/>
        </w:rPr>
      </w:pPr>
      <w:r w:rsidRPr="00BD1EBD">
        <w:rPr>
          <w:sz w:val="24"/>
          <w:szCs w:val="24"/>
          <w:u w:val="single"/>
        </w:rPr>
        <w:t>Hjertesygdomme</w:t>
      </w:r>
    </w:p>
    <w:p w:rsidR="00BD1EBD" w:rsidRPr="00BD1EBD" w:rsidRDefault="00BD1EBD" w:rsidP="00BD1EBD">
      <w:pPr>
        <w:tabs>
          <w:tab w:val="left" w:pos="851"/>
        </w:tabs>
        <w:ind w:left="851"/>
        <w:rPr>
          <w:sz w:val="24"/>
          <w:szCs w:val="24"/>
        </w:rPr>
      </w:pPr>
      <w:r w:rsidRPr="00BD1EBD">
        <w:rPr>
          <w:sz w:val="24"/>
          <w:szCs w:val="24"/>
        </w:rPr>
        <w:t>Der er rapporteret om alvorlige kardiovaskulære bivirkninger, herunder tilfælde af kredsløbskollaps, svær bradykardi, hjertestop og QT-forlængelse efter administration af metoclopramid ved injektion, især ved intravenøs administration (se pkt.</w:t>
      </w:r>
      <w:r w:rsidR="00E90F25">
        <w:rPr>
          <w:sz w:val="24"/>
          <w:szCs w:val="24"/>
        </w:rPr>
        <w:t xml:space="preserve"> </w:t>
      </w:r>
      <w:r w:rsidRPr="00BD1EBD">
        <w:rPr>
          <w:sz w:val="24"/>
          <w:szCs w:val="24"/>
        </w:rPr>
        <w:t>4.8).</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sz w:val="24"/>
          <w:szCs w:val="24"/>
        </w:rPr>
      </w:pPr>
      <w:r w:rsidRPr="00BD1EBD">
        <w:rPr>
          <w:sz w:val="24"/>
          <w:szCs w:val="24"/>
        </w:rPr>
        <w:t>Særlig forsigtighed skal udvises, når der gives metoclopramid, især intravenøst, til ældre, til patienter med ledningsforstyrrelser (herunder QT-forlængelse), ukorrigerede elektrolytforstyrrelser eller bradykardi og til patienter, der tager andre lægemidler, der vides at forlænge QT-intervallet.</w:t>
      </w:r>
    </w:p>
    <w:p w:rsidR="00BD1EBD" w:rsidRPr="00BD1EBD" w:rsidRDefault="00BD1EBD" w:rsidP="00BD1EBD">
      <w:pPr>
        <w:tabs>
          <w:tab w:val="left" w:pos="851"/>
        </w:tabs>
        <w:ind w:left="851"/>
        <w:rPr>
          <w:sz w:val="24"/>
          <w:szCs w:val="24"/>
        </w:rPr>
      </w:pPr>
      <w:r w:rsidRPr="00BD1EBD">
        <w:rPr>
          <w:sz w:val="24"/>
          <w:szCs w:val="24"/>
        </w:rPr>
        <w:t>Intravenøse doser skal indgives som langsom bolus (over mindst 3 minutter) for at reducere risikoen for bivirkninger (f.eks. hypotension, akatisi).</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sz w:val="24"/>
          <w:szCs w:val="24"/>
        </w:rPr>
      </w:pPr>
      <w:r w:rsidRPr="00BD1EBD">
        <w:rPr>
          <w:sz w:val="24"/>
          <w:szCs w:val="24"/>
        </w:rPr>
        <w:t xml:space="preserve">Skal gives med forsigtighed ved kendt hypertension. </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sz w:val="24"/>
          <w:szCs w:val="24"/>
          <w:u w:val="single"/>
        </w:rPr>
      </w:pPr>
      <w:r w:rsidRPr="00BD1EBD">
        <w:rPr>
          <w:sz w:val="24"/>
          <w:szCs w:val="24"/>
          <w:u w:val="single"/>
        </w:rPr>
        <w:t xml:space="preserve">Nedsat nyre- og leverfunktion </w:t>
      </w:r>
    </w:p>
    <w:p w:rsidR="00BD1EBD" w:rsidRPr="00BD1EBD" w:rsidRDefault="00BD1EBD" w:rsidP="00BD1EBD">
      <w:pPr>
        <w:tabs>
          <w:tab w:val="left" w:pos="851"/>
        </w:tabs>
        <w:ind w:left="851"/>
        <w:rPr>
          <w:sz w:val="24"/>
          <w:szCs w:val="24"/>
        </w:rPr>
      </w:pPr>
      <w:r w:rsidRPr="00BD1EBD">
        <w:rPr>
          <w:sz w:val="24"/>
          <w:szCs w:val="24"/>
        </w:rPr>
        <w:t>Dosisreduktion anbefales hos patienter med nedsat nyrefunktion eller med svært nedsat leverfunktion (se pkt.</w:t>
      </w:r>
      <w:r w:rsidR="00E90F25">
        <w:rPr>
          <w:sz w:val="24"/>
          <w:szCs w:val="24"/>
        </w:rPr>
        <w:t xml:space="preserve"> </w:t>
      </w:r>
      <w:r w:rsidRPr="00BD1EBD">
        <w:rPr>
          <w:sz w:val="24"/>
          <w:szCs w:val="24"/>
        </w:rPr>
        <w:t>4.2).</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sz w:val="24"/>
          <w:szCs w:val="24"/>
        </w:rPr>
      </w:pPr>
      <w:r w:rsidRPr="00BD1EBD">
        <w:rPr>
          <w:sz w:val="24"/>
          <w:szCs w:val="24"/>
        </w:rPr>
        <w:t>Samtidig brug af atovaquon bør undgås (se pkt.</w:t>
      </w:r>
      <w:r w:rsidR="00E90F25">
        <w:rPr>
          <w:sz w:val="24"/>
          <w:szCs w:val="24"/>
        </w:rPr>
        <w:t xml:space="preserve"> </w:t>
      </w:r>
      <w:r w:rsidRPr="00BD1EBD">
        <w:rPr>
          <w:sz w:val="24"/>
          <w:szCs w:val="24"/>
        </w:rPr>
        <w:t>4.5).</w:t>
      </w:r>
    </w:p>
    <w:p w:rsidR="00BD1EBD" w:rsidRPr="00BD1EBD" w:rsidRDefault="00BD1EBD" w:rsidP="00BD1EBD">
      <w:pPr>
        <w:tabs>
          <w:tab w:val="left" w:pos="851"/>
        </w:tabs>
        <w:ind w:left="851"/>
        <w:rPr>
          <w:sz w:val="24"/>
          <w:szCs w:val="24"/>
        </w:rPr>
      </w:pPr>
      <w:r w:rsidRPr="00BD1EBD">
        <w:rPr>
          <w:sz w:val="24"/>
          <w:szCs w:val="24"/>
        </w:rPr>
        <w:t>Samtidig brug af alkohol bør undgås (se pkt.</w:t>
      </w:r>
      <w:r w:rsidR="00E90F25">
        <w:rPr>
          <w:sz w:val="24"/>
          <w:szCs w:val="24"/>
        </w:rPr>
        <w:t xml:space="preserve"> </w:t>
      </w:r>
      <w:r w:rsidRPr="00BD1EBD">
        <w:rPr>
          <w:sz w:val="24"/>
          <w:szCs w:val="24"/>
        </w:rPr>
        <w:t>4.5).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BD1EBD" w:rsidRDefault="00BD1EBD" w:rsidP="00BD1EBD">
      <w:pPr>
        <w:tabs>
          <w:tab w:val="left" w:pos="851"/>
        </w:tabs>
        <w:ind w:left="851"/>
        <w:rPr>
          <w:sz w:val="24"/>
          <w:szCs w:val="24"/>
          <w:u w:val="single"/>
        </w:rPr>
      </w:pPr>
    </w:p>
    <w:p w:rsidR="00BD1EBD" w:rsidRPr="00BD1EBD" w:rsidRDefault="00BD1EBD" w:rsidP="00BD1EBD">
      <w:pPr>
        <w:tabs>
          <w:tab w:val="left" w:pos="851"/>
        </w:tabs>
        <w:ind w:left="851"/>
        <w:rPr>
          <w:sz w:val="24"/>
          <w:szCs w:val="24"/>
          <w:u w:val="single"/>
        </w:rPr>
      </w:pPr>
      <w:r w:rsidRPr="00BD1EBD">
        <w:rPr>
          <w:sz w:val="24"/>
          <w:szCs w:val="24"/>
          <w:u w:val="single"/>
        </w:rPr>
        <w:t>Kontraindiceret kombination</w:t>
      </w:r>
    </w:p>
    <w:p w:rsidR="00BD1EBD" w:rsidRPr="00BD1EBD" w:rsidRDefault="00BD1EBD" w:rsidP="00BD1EBD">
      <w:pPr>
        <w:tabs>
          <w:tab w:val="left" w:pos="851"/>
        </w:tabs>
        <w:ind w:left="851"/>
        <w:rPr>
          <w:sz w:val="24"/>
          <w:szCs w:val="24"/>
        </w:rPr>
      </w:pPr>
      <w:r w:rsidRPr="00BD1EBD">
        <w:rPr>
          <w:sz w:val="24"/>
          <w:szCs w:val="24"/>
        </w:rPr>
        <w:t>Levodopa/dopaminerge agonister og metoclopramid udviser gensidig antagonisme (se pkt.</w:t>
      </w:r>
      <w:r w:rsidR="00E90F25">
        <w:rPr>
          <w:sz w:val="24"/>
          <w:szCs w:val="24"/>
        </w:rPr>
        <w:t xml:space="preserve"> </w:t>
      </w:r>
      <w:r w:rsidRPr="00BD1EBD">
        <w:rPr>
          <w:sz w:val="24"/>
          <w:szCs w:val="24"/>
        </w:rPr>
        <w:t>4.3).</w:t>
      </w:r>
    </w:p>
    <w:p w:rsidR="00BD1EBD" w:rsidRPr="00BD1EBD" w:rsidRDefault="00BD1EBD" w:rsidP="00BD1EBD">
      <w:pPr>
        <w:tabs>
          <w:tab w:val="left" w:pos="851"/>
        </w:tabs>
        <w:ind w:left="851"/>
        <w:rPr>
          <w:sz w:val="24"/>
          <w:szCs w:val="24"/>
        </w:rPr>
      </w:pPr>
      <w:r w:rsidRPr="00BD1EBD">
        <w:rPr>
          <w:sz w:val="24"/>
          <w:szCs w:val="24"/>
        </w:rPr>
        <w:tab/>
      </w:r>
    </w:p>
    <w:p w:rsidR="00BD1EBD" w:rsidRPr="00BD1EBD" w:rsidRDefault="00BD1EBD" w:rsidP="00BD1EBD">
      <w:pPr>
        <w:tabs>
          <w:tab w:val="left" w:pos="851"/>
        </w:tabs>
        <w:ind w:left="851"/>
        <w:rPr>
          <w:sz w:val="24"/>
          <w:szCs w:val="24"/>
          <w:u w:val="single"/>
        </w:rPr>
      </w:pPr>
      <w:r w:rsidRPr="00BD1EBD">
        <w:rPr>
          <w:sz w:val="24"/>
          <w:szCs w:val="24"/>
          <w:u w:val="single"/>
        </w:rPr>
        <w:t>Kombination, der skal undgås</w:t>
      </w:r>
    </w:p>
    <w:p w:rsidR="00BD1EBD" w:rsidRPr="00BD1EBD" w:rsidRDefault="00BD1EBD" w:rsidP="00BD1EBD">
      <w:pPr>
        <w:tabs>
          <w:tab w:val="left" w:pos="851"/>
        </w:tabs>
        <w:ind w:left="851"/>
        <w:rPr>
          <w:sz w:val="24"/>
          <w:szCs w:val="24"/>
        </w:rPr>
      </w:pPr>
      <w:r w:rsidRPr="00BD1EBD">
        <w:rPr>
          <w:sz w:val="24"/>
          <w:szCs w:val="24"/>
        </w:rPr>
        <w:t>Alkohol forstærker den sedative effekt af metoclopramid.</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sz w:val="24"/>
          <w:szCs w:val="24"/>
          <w:u w:val="single"/>
        </w:rPr>
      </w:pPr>
      <w:r w:rsidRPr="00BD1EBD">
        <w:rPr>
          <w:sz w:val="24"/>
          <w:szCs w:val="24"/>
          <w:u w:val="single"/>
        </w:rPr>
        <w:t>Kombination, hvor der skal tages hensyn</w:t>
      </w:r>
    </w:p>
    <w:p w:rsidR="00BD1EBD" w:rsidRPr="00BD1EBD" w:rsidRDefault="00BD1EBD" w:rsidP="00BD1EBD">
      <w:pPr>
        <w:tabs>
          <w:tab w:val="left" w:pos="851"/>
        </w:tabs>
        <w:ind w:left="851"/>
        <w:rPr>
          <w:sz w:val="24"/>
          <w:szCs w:val="24"/>
        </w:rPr>
      </w:pPr>
      <w:r w:rsidRPr="00BD1EBD">
        <w:rPr>
          <w:sz w:val="24"/>
          <w:szCs w:val="24"/>
        </w:rPr>
        <w:t>På grund af metoclopramids prokinetiske virkning kan absorptionen af visse lægemidler ændres.</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i/>
          <w:iCs/>
          <w:sz w:val="24"/>
          <w:szCs w:val="24"/>
        </w:rPr>
      </w:pPr>
      <w:r w:rsidRPr="00BD1EBD">
        <w:rPr>
          <w:i/>
          <w:iCs/>
          <w:sz w:val="24"/>
          <w:szCs w:val="24"/>
        </w:rPr>
        <w:t>Antikolinergika og morphinderivater</w:t>
      </w:r>
    </w:p>
    <w:p w:rsidR="00BD1EBD" w:rsidRPr="00BD1EBD" w:rsidRDefault="00BD1EBD" w:rsidP="00BD1EBD">
      <w:pPr>
        <w:tabs>
          <w:tab w:val="left" w:pos="851"/>
        </w:tabs>
        <w:ind w:left="851"/>
        <w:rPr>
          <w:sz w:val="24"/>
          <w:szCs w:val="24"/>
        </w:rPr>
      </w:pPr>
      <w:r w:rsidRPr="00BD1EBD">
        <w:rPr>
          <w:sz w:val="24"/>
          <w:szCs w:val="24"/>
        </w:rPr>
        <w:t>Antikolinergika og morphinderivater kan begge have en gensidig antagonisme med metoclopramid på mave-tarmkanalens motilitet.</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i/>
          <w:iCs/>
          <w:sz w:val="24"/>
          <w:szCs w:val="24"/>
        </w:rPr>
      </w:pPr>
      <w:r w:rsidRPr="00BD1EBD">
        <w:rPr>
          <w:i/>
          <w:iCs/>
          <w:sz w:val="24"/>
          <w:szCs w:val="24"/>
        </w:rPr>
        <w:t>CNS-supprimerende stoffer (morphinderivater, anxiolytika, sedative H1-antihistaminer, sederende antidepressiva, barbiturater, clonidin og beslægtede lægemidler)</w:t>
      </w:r>
    </w:p>
    <w:p w:rsidR="00BD1EBD" w:rsidRPr="00BD1EBD" w:rsidRDefault="00BD1EBD" w:rsidP="00BD1EBD">
      <w:pPr>
        <w:tabs>
          <w:tab w:val="left" w:pos="851"/>
        </w:tabs>
        <w:ind w:left="851"/>
        <w:rPr>
          <w:sz w:val="24"/>
          <w:szCs w:val="24"/>
        </w:rPr>
      </w:pPr>
      <w:r w:rsidRPr="00BD1EBD">
        <w:rPr>
          <w:sz w:val="24"/>
          <w:szCs w:val="24"/>
        </w:rPr>
        <w:t>Den sedative effekt af CNS-supprimerende stoffer og metoclopramid forstærkes.</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i/>
          <w:iCs/>
          <w:sz w:val="24"/>
          <w:szCs w:val="24"/>
        </w:rPr>
      </w:pPr>
      <w:r w:rsidRPr="00BD1EBD">
        <w:rPr>
          <w:i/>
          <w:iCs/>
          <w:sz w:val="24"/>
          <w:szCs w:val="24"/>
        </w:rPr>
        <w:t>Neuroleptika</w:t>
      </w:r>
    </w:p>
    <w:p w:rsidR="00BD1EBD" w:rsidRPr="00BD1EBD" w:rsidRDefault="00BD1EBD" w:rsidP="00BD1EBD">
      <w:pPr>
        <w:tabs>
          <w:tab w:val="left" w:pos="851"/>
        </w:tabs>
        <w:ind w:left="851"/>
        <w:rPr>
          <w:sz w:val="24"/>
          <w:szCs w:val="24"/>
        </w:rPr>
      </w:pPr>
      <w:r w:rsidRPr="00BD1EBD">
        <w:rPr>
          <w:sz w:val="24"/>
          <w:szCs w:val="24"/>
        </w:rPr>
        <w:t>Metoclopramid kan have en additiv effekt sammen med andre neuroleptika på forekomsten af ekstrapyramidale forstyrrelser.</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i/>
          <w:iCs/>
          <w:sz w:val="24"/>
          <w:szCs w:val="24"/>
        </w:rPr>
      </w:pPr>
      <w:r w:rsidRPr="00BD1EBD">
        <w:rPr>
          <w:i/>
          <w:iCs/>
          <w:sz w:val="24"/>
          <w:szCs w:val="24"/>
        </w:rPr>
        <w:lastRenderedPageBreak/>
        <w:t>Serotonerge lægemidler</w:t>
      </w:r>
    </w:p>
    <w:p w:rsidR="00BD1EBD" w:rsidRPr="00BD1EBD" w:rsidRDefault="00BD1EBD" w:rsidP="00BD1EBD">
      <w:pPr>
        <w:tabs>
          <w:tab w:val="left" w:pos="851"/>
        </w:tabs>
        <w:ind w:left="851"/>
        <w:rPr>
          <w:sz w:val="24"/>
          <w:szCs w:val="24"/>
        </w:rPr>
      </w:pPr>
      <w:r w:rsidRPr="00BD1EBD">
        <w:rPr>
          <w:sz w:val="24"/>
          <w:szCs w:val="24"/>
        </w:rPr>
        <w:t>Anvendelse af metoclopramid sammen med serotonerge lægemidler såsom SSRI’er kan øge risikoen for serotoninsyndrom.</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i/>
          <w:iCs/>
          <w:sz w:val="24"/>
          <w:szCs w:val="24"/>
        </w:rPr>
      </w:pPr>
      <w:r w:rsidRPr="00BD1EBD">
        <w:rPr>
          <w:i/>
          <w:iCs/>
          <w:sz w:val="24"/>
          <w:szCs w:val="24"/>
        </w:rPr>
        <w:t>Digoxin</w:t>
      </w:r>
    </w:p>
    <w:p w:rsidR="00BD1EBD" w:rsidRPr="00BD1EBD" w:rsidRDefault="00BD1EBD" w:rsidP="00BD1EBD">
      <w:pPr>
        <w:tabs>
          <w:tab w:val="left" w:pos="851"/>
        </w:tabs>
        <w:ind w:left="851"/>
        <w:rPr>
          <w:sz w:val="24"/>
          <w:szCs w:val="24"/>
        </w:rPr>
      </w:pPr>
      <w:r w:rsidRPr="00BD1EBD">
        <w:rPr>
          <w:sz w:val="24"/>
          <w:szCs w:val="24"/>
        </w:rPr>
        <w:t>Metoclopramid kan nedsætte biotilgængeligheden af digoxin. Omhyggelig monitorering af digoxins plasmakoncentration er påkrævet.</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i/>
          <w:iCs/>
          <w:sz w:val="24"/>
          <w:szCs w:val="24"/>
        </w:rPr>
      </w:pPr>
      <w:r w:rsidRPr="00BD1EBD">
        <w:rPr>
          <w:i/>
          <w:iCs/>
          <w:sz w:val="24"/>
          <w:szCs w:val="24"/>
        </w:rPr>
        <w:t>Ciclosporin</w:t>
      </w:r>
    </w:p>
    <w:p w:rsidR="00BD1EBD" w:rsidRPr="00BD1EBD" w:rsidRDefault="00BD1EBD" w:rsidP="00BD1EBD">
      <w:pPr>
        <w:tabs>
          <w:tab w:val="left" w:pos="851"/>
        </w:tabs>
        <w:ind w:left="851"/>
        <w:rPr>
          <w:sz w:val="24"/>
          <w:szCs w:val="24"/>
        </w:rPr>
      </w:pPr>
      <w:r w:rsidRPr="00BD1EBD">
        <w:rPr>
          <w:sz w:val="24"/>
          <w:szCs w:val="24"/>
        </w:rPr>
        <w:t>Metoclopramid øger biotilgængeligheden af ciclosporin (C</w:t>
      </w:r>
      <w:r w:rsidRPr="00BD1EBD">
        <w:rPr>
          <w:sz w:val="24"/>
          <w:szCs w:val="24"/>
          <w:vertAlign w:val="subscript"/>
        </w:rPr>
        <w:t xml:space="preserve">max </w:t>
      </w:r>
      <w:r w:rsidRPr="00BD1EBD">
        <w:rPr>
          <w:sz w:val="24"/>
          <w:szCs w:val="24"/>
        </w:rPr>
        <w:t>med 46 % og eksponeringen med 22 %). Omhyggelig monitorering af ciclosporins plasmakoncentration er påkrævet. Den kliniske konsekvens er usikker.</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i/>
          <w:iCs/>
          <w:sz w:val="24"/>
          <w:szCs w:val="24"/>
        </w:rPr>
      </w:pPr>
      <w:r w:rsidRPr="00BD1EBD">
        <w:rPr>
          <w:i/>
          <w:iCs/>
          <w:sz w:val="24"/>
          <w:szCs w:val="24"/>
        </w:rPr>
        <w:t>Mivacurium og suxamethonium</w:t>
      </w:r>
    </w:p>
    <w:p w:rsidR="00BD1EBD" w:rsidRPr="00BD1EBD" w:rsidRDefault="00BD1EBD" w:rsidP="00BD1EBD">
      <w:pPr>
        <w:tabs>
          <w:tab w:val="left" w:pos="851"/>
        </w:tabs>
        <w:ind w:left="851"/>
        <w:rPr>
          <w:sz w:val="24"/>
          <w:szCs w:val="24"/>
        </w:rPr>
      </w:pPr>
      <w:r w:rsidRPr="00BD1EBD">
        <w:rPr>
          <w:sz w:val="24"/>
          <w:szCs w:val="24"/>
        </w:rPr>
        <w:t>Metoclopramidinjektion kan forlænge varigheden af neuromuskulær blokade (ved hæmning af plasmakolinesterase).</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i/>
          <w:iCs/>
          <w:sz w:val="24"/>
          <w:szCs w:val="24"/>
        </w:rPr>
      </w:pPr>
      <w:r w:rsidRPr="00BD1EBD">
        <w:rPr>
          <w:i/>
          <w:iCs/>
          <w:sz w:val="24"/>
          <w:szCs w:val="24"/>
        </w:rPr>
        <w:t>Stærke CYP2D6-hæmmere</w:t>
      </w:r>
    </w:p>
    <w:p w:rsidR="00BD1EBD" w:rsidRPr="00BD1EBD" w:rsidRDefault="00BD1EBD" w:rsidP="00BD1EBD">
      <w:pPr>
        <w:tabs>
          <w:tab w:val="left" w:pos="851"/>
        </w:tabs>
        <w:ind w:left="851"/>
        <w:rPr>
          <w:sz w:val="24"/>
          <w:szCs w:val="24"/>
        </w:rPr>
      </w:pPr>
      <w:r w:rsidRPr="00BD1EBD">
        <w:rPr>
          <w:sz w:val="24"/>
          <w:szCs w:val="24"/>
        </w:rPr>
        <w:t>Metoclopramids eksponeringsniveau øges ved samtidig administration af stærke CYP2D6-hæmmere såsom fluoxetin og paroxetin. Selv om den kliniske betydning er usikker, skal patienterne overvåges for bivirkninger.</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i/>
          <w:iCs/>
          <w:sz w:val="24"/>
          <w:szCs w:val="24"/>
        </w:rPr>
      </w:pPr>
      <w:r w:rsidRPr="00BD1EBD">
        <w:rPr>
          <w:i/>
          <w:iCs/>
          <w:sz w:val="24"/>
          <w:szCs w:val="24"/>
        </w:rPr>
        <w:t>Atovaquon</w:t>
      </w:r>
    </w:p>
    <w:p w:rsidR="00BD1EBD" w:rsidRPr="00BD1EBD" w:rsidRDefault="00BD1EBD" w:rsidP="00BD1EBD">
      <w:pPr>
        <w:tabs>
          <w:tab w:val="left" w:pos="851"/>
        </w:tabs>
        <w:ind w:left="851"/>
        <w:rPr>
          <w:sz w:val="24"/>
          <w:szCs w:val="24"/>
        </w:rPr>
      </w:pPr>
      <w:r w:rsidRPr="00BD1EBD">
        <w:rPr>
          <w:sz w:val="24"/>
          <w:szCs w:val="24"/>
        </w:rPr>
        <w:t xml:space="preserve">Ved samtidig behandling med metoclopramid, er </w:t>
      </w:r>
      <w:r w:rsidRPr="00BD1EBD">
        <w:rPr>
          <w:i/>
          <w:iCs/>
          <w:sz w:val="24"/>
          <w:szCs w:val="24"/>
        </w:rPr>
        <w:t>steady state</w:t>
      </w:r>
      <w:r w:rsidRPr="00BD1EBD">
        <w:rPr>
          <w:sz w:val="24"/>
          <w:szCs w:val="24"/>
        </w:rPr>
        <w:t xml:space="preserve"> af atovaquon i plasma reduceret med 50 %. Kombinationen bør undgås.</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i/>
          <w:iCs/>
          <w:sz w:val="24"/>
          <w:szCs w:val="24"/>
        </w:rPr>
      </w:pPr>
      <w:r w:rsidRPr="00BD1EBD">
        <w:rPr>
          <w:i/>
          <w:iCs/>
          <w:sz w:val="24"/>
          <w:szCs w:val="24"/>
        </w:rPr>
        <w:t>Rifampicin</w:t>
      </w:r>
    </w:p>
    <w:p w:rsidR="00BD1EBD" w:rsidRPr="00BD1EBD" w:rsidRDefault="00BD1EBD" w:rsidP="00BD1EBD">
      <w:pPr>
        <w:tabs>
          <w:tab w:val="left" w:pos="851"/>
        </w:tabs>
        <w:ind w:left="851"/>
        <w:rPr>
          <w:sz w:val="24"/>
          <w:szCs w:val="24"/>
        </w:rPr>
      </w:pPr>
      <w:r w:rsidRPr="00BD1EBD">
        <w:rPr>
          <w:sz w:val="24"/>
          <w:szCs w:val="24"/>
        </w:rPr>
        <w:t>I et publiceret studie udført med 12 raske frivillige personer, blev plasmaeksponering (AUC-areal under kurven) og den maksimale koncentration (Cmax) af metoclopramid reduceret med henholdsvis 68 % og 35 % efter administration af 600 mg rifampicin over 6 dage. Selvom den kliniske betydning er uvis, bør patienter overvåges for manglende antiemetisk virkning, når metoclopramid kombineres med rifampicin eller med andre stærke inducere (f.eks. carbamazepin, phenobarbital, phenytoin).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sz w:val="24"/>
          <w:szCs w:val="24"/>
          <w:u w:val="single"/>
        </w:rPr>
      </w:pPr>
      <w:r w:rsidRPr="00BD1EBD">
        <w:rPr>
          <w:sz w:val="24"/>
          <w:szCs w:val="24"/>
          <w:u w:val="single"/>
        </w:rPr>
        <w:t>Graviditet</w:t>
      </w:r>
    </w:p>
    <w:p w:rsidR="00BD1EBD" w:rsidRPr="00BD1EBD" w:rsidRDefault="00BD1EBD" w:rsidP="00BD1EBD">
      <w:pPr>
        <w:tabs>
          <w:tab w:val="left" w:pos="851"/>
        </w:tabs>
        <w:ind w:left="851"/>
        <w:rPr>
          <w:sz w:val="24"/>
          <w:szCs w:val="24"/>
        </w:rPr>
      </w:pPr>
      <w:r w:rsidRPr="00BD1EBD">
        <w:rPr>
          <w:sz w:val="24"/>
          <w:szCs w:val="24"/>
        </w:rPr>
        <w:t>En stor mængde data fra gravide kvinder (mere end 1.000 eksponeringer) viser ingen misdannelser eller føtotoksicitet. Metoclopramid kan anvendes under graviditet, hvis det er klinisk nødvendigt. På grund af de farmakologiske egenskaber (som andre antipsykotika) kan ekstrapyramidalt syndrom hos nyfødte ikke udelukkes, hvis metoclopramid administreres sidst i graviditeten. Metoclopramid bør undgås i slutningen af graviditeten. Hvis metoclopramid benyttes, skal der foretages neonatal monitorering.</w:t>
      </w:r>
    </w:p>
    <w:p w:rsidR="00BD1EBD" w:rsidRPr="00BD1EBD" w:rsidRDefault="00BD1EBD" w:rsidP="00BD1EBD">
      <w:pPr>
        <w:tabs>
          <w:tab w:val="left" w:pos="851"/>
        </w:tabs>
        <w:ind w:left="851"/>
        <w:rPr>
          <w:sz w:val="24"/>
          <w:szCs w:val="24"/>
        </w:rPr>
      </w:pPr>
    </w:p>
    <w:p w:rsidR="00BD1EBD" w:rsidRPr="00BD1EBD" w:rsidRDefault="00BD1EBD" w:rsidP="00BD1EBD">
      <w:pPr>
        <w:tabs>
          <w:tab w:val="left" w:pos="851"/>
        </w:tabs>
        <w:ind w:left="851"/>
        <w:rPr>
          <w:sz w:val="24"/>
          <w:szCs w:val="24"/>
          <w:u w:val="single"/>
        </w:rPr>
      </w:pPr>
      <w:r w:rsidRPr="00BD1EBD">
        <w:rPr>
          <w:sz w:val="24"/>
          <w:szCs w:val="24"/>
          <w:u w:val="single"/>
        </w:rPr>
        <w:t>Amning</w:t>
      </w:r>
    </w:p>
    <w:p w:rsidR="00BD1EBD" w:rsidRPr="00BD1EBD" w:rsidRDefault="00BD1EBD" w:rsidP="00BD1EBD">
      <w:pPr>
        <w:tabs>
          <w:tab w:val="left" w:pos="851"/>
        </w:tabs>
        <w:ind w:left="851"/>
        <w:rPr>
          <w:sz w:val="24"/>
          <w:szCs w:val="24"/>
        </w:rPr>
      </w:pPr>
      <w:r w:rsidRPr="00BD1EBD">
        <w:rPr>
          <w:sz w:val="24"/>
          <w:szCs w:val="24"/>
        </w:rPr>
        <w:t xml:space="preserve">Metoclopramid udskilles i modermælk i lav grad. Bivirkninger hos det ammede barn kan ikke udelukkes. Derfor frarådes metoclopramid under amning. Seponering af metoclopramid hos ammende kvinder skal overvejes. </w:t>
      </w:r>
    </w:p>
    <w:p w:rsidR="00BD1EBD" w:rsidRDefault="00BD1EBD">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330F90" w:rsidRDefault="00330F90" w:rsidP="00BD1EBD">
      <w:pPr>
        <w:tabs>
          <w:tab w:val="left" w:pos="851"/>
        </w:tabs>
        <w:ind w:left="851"/>
        <w:rPr>
          <w:sz w:val="24"/>
          <w:szCs w:val="24"/>
        </w:rPr>
      </w:pPr>
      <w:r>
        <w:rPr>
          <w:sz w:val="24"/>
          <w:szCs w:val="24"/>
        </w:rPr>
        <w:t>Ikke mærkning.</w:t>
      </w:r>
    </w:p>
    <w:p w:rsidR="00BD1EBD" w:rsidRPr="00BD1EBD" w:rsidRDefault="00BD1EBD" w:rsidP="00BD1EBD">
      <w:pPr>
        <w:tabs>
          <w:tab w:val="left" w:pos="851"/>
        </w:tabs>
        <w:ind w:left="851"/>
        <w:rPr>
          <w:sz w:val="24"/>
          <w:szCs w:val="24"/>
        </w:rPr>
      </w:pPr>
      <w:r w:rsidRPr="00BD1EBD">
        <w:rPr>
          <w:sz w:val="24"/>
          <w:szCs w:val="24"/>
        </w:rPr>
        <w:t>Metoclopramid kan forårsage døsighed, svimmelhed, dyskinesi og dystoni, som kan påvirke synet og også interferere med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330F90" w:rsidRPr="00330F90" w:rsidRDefault="00330F90" w:rsidP="00330F90">
      <w:pPr>
        <w:ind w:left="851"/>
        <w:rPr>
          <w:sz w:val="24"/>
          <w:szCs w:val="24"/>
        </w:rPr>
      </w:pPr>
      <w:r w:rsidRPr="00330F90">
        <w:rPr>
          <w:sz w:val="24"/>
          <w:szCs w:val="24"/>
        </w:rPr>
        <w:t xml:space="preserve">Bivirkninger er anført efter systemorganklasse. Frekvenserne er defineret ved hjælp af følgende konvention: </w:t>
      </w:r>
      <w:r>
        <w:rPr>
          <w:sz w:val="24"/>
          <w:szCs w:val="24"/>
        </w:rPr>
        <w:t>M</w:t>
      </w:r>
      <w:r w:rsidRPr="00330F90">
        <w:rPr>
          <w:sz w:val="24"/>
          <w:szCs w:val="24"/>
        </w:rPr>
        <w:t>eget almindelig (≥ 1/10), almindelig (≥ 1/100 til &lt; 1/10), ikke almindelig (≥ 1/1000 til &lt; 1/100), sjælden (≥ 1/10.000 til &lt; 1/1000), meget sjælden (&lt; 1/10.000), ikke kendt (kan ikke estimeres ud fra forhåndenværende data).</w:t>
      </w:r>
    </w:p>
    <w:p w:rsidR="00330F90" w:rsidRDefault="00330F90" w:rsidP="00330F90"/>
    <w:tbl>
      <w:tblPr>
        <w:tblW w:w="485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554"/>
        <w:gridCol w:w="2111"/>
        <w:gridCol w:w="4669"/>
        <w:gridCol w:w="7"/>
      </w:tblGrid>
      <w:tr w:rsidR="00330F90" w:rsidTr="00330F90">
        <w:trPr>
          <w:gridAfter w:val="1"/>
          <w:wAfter w:w="4" w:type="pct"/>
          <w:trHeight w:val="525"/>
        </w:trPr>
        <w:tc>
          <w:tcPr>
            <w:tcW w:w="1367"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b/>
                <w:lang w:val="da-DK"/>
              </w:rPr>
            </w:pPr>
            <w:r>
              <w:rPr>
                <w:b/>
                <w:lang w:val="da-DK"/>
              </w:rPr>
              <w:t>Systemorganklasse</w:t>
            </w: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b/>
                <w:lang w:val="da-DK"/>
              </w:rPr>
            </w:pPr>
            <w:r>
              <w:rPr>
                <w:b/>
                <w:spacing w:val="-2"/>
                <w:lang w:val="da-DK"/>
              </w:rPr>
              <w:t>Frekvens</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b/>
                <w:lang w:val="da-DK"/>
              </w:rPr>
            </w:pPr>
            <w:r>
              <w:rPr>
                <w:b/>
                <w:lang w:val="da-DK"/>
              </w:rPr>
              <w:t>Bivirkninger</w:t>
            </w:r>
          </w:p>
        </w:tc>
      </w:tr>
      <w:tr w:rsidR="00330F90" w:rsidTr="00330F90">
        <w:trPr>
          <w:trHeight w:val="270"/>
        </w:trPr>
        <w:tc>
          <w:tcPr>
            <w:tcW w:w="5000" w:type="pct"/>
            <w:gridSpan w:val="4"/>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b/>
                <w:lang w:val="da-DK"/>
              </w:rPr>
            </w:pPr>
            <w:r>
              <w:rPr>
                <w:b/>
                <w:lang w:val="da-DK"/>
              </w:rPr>
              <w:t>Blod og lymfesystem</w:t>
            </w:r>
          </w:p>
        </w:tc>
      </w:tr>
      <w:tr w:rsidR="00330F90" w:rsidTr="00330F90">
        <w:trPr>
          <w:gridAfter w:val="1"/>
          <w:wAfter w:w="4" w:type="pct"/>
          <w:trHeight w:val="1651"/>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lang w:val="da-DK"/>
              </w:rPr>
            </w:pPr>
            <w:r>
              <w:rPr>
                <w:lang w:val="da-DK"/>
              </w:rPr>
              <w:t>Ikke kendt</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ind w:right="628"/>
              <w:rPr>
                <w:szCs w:val="24"/>
                <w:lang w:val="da-DK"/>
              </w:rPr>
            </w:pPr>
            <w:r>
              <w:rPr>
                <w:szCs w:val="24"/>
                <w:lang w:val="da-DK"/>
              </w:rPr>
              <w:t>Methæmoglobinæmi, som kan være relateret til NADH-cytokrom-b5-reduktasemangel, især hos nyfødte (se pkt.</w:t>
            </w:r>
            <w:r w:rsidR="00E90F25">
              <w:rPr>
                <w:lang w:val="da-DK"/>
              </w:rPr>
              <w:t xml:space="preserve"> </w:t>
            </w:r>
            <w:r>
              <w:rPr>
                <w:szCs w:val="24"/>
                <w:lang w:val="da-DK"/>
              </w:rPr>
              <w:t>4.4).</w:t>
            </w:r>
          </w:p>
          <w:p w:rsidR="00330F90" w:rsidRDefault="00330F90">
            <w:pPr>
              <w:pStyle w:val="TableParagraph"/>
              <w:ind w:right="628"/>
              <w:rPr>
                <w:lang w:val="da-DK"/>
              </w:rPr>
            </w:pPr>
            <w:r>
              <w:rPr>
                <w:szCs w:val="24"/>
                <w:lang w:val="da-DK"/>
              </w:rPr>
              <w:t>Sulfhæmoglobinæmi, især ved samtidig administration af svovl-frigivende lægemidler i høje doser.</w:t>
            </w:r>
          </w:p>
        </w:tc>
      </w:tr>
      <w:tr w:rsidR="00330F90" w:rsidTr="00330F90">
        <w:trPr>
          <w:trHeight w:val="270"/>
        </w:trPr>
        <w:tc>
          <w:tcPr>
            <w:tcW w:w="5000" w:type="pct"/>
            <w:gridSpan w:val="4"/>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b/>
                <w:lang w:val="da-DK"/>
              </w:rPr>
            </w:pPr>
            <w:r>
              <w:rPr>
                <w:b/>
                <w:lang w:val="da-DK"/>
              </w:rPr>
              <w:t>Hjerte</w:t>
            </w:r>
          </w:p>
        </w:tc>
      </w:tr>
      <w:tr w:rsidR="00330F90" w:rsidTr="00330F90">
        <w:trPr>
          <w:gridAfter w:val="1"/>
          <w:wAfter w:w="4" w:type="pct"/>
          <w:trHeight w:val="541"/>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lang w:val="da-DK"/>
              </w:rPr>
            </w:pPr>
            <w:r>
              <w:rPr>
                <w:lang w:val="da-DK"/>
              </w:rPr>
              <w:t>Ikke almindelig</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lang w:val="da-DK"/>
              </w:rPr>
            </w:pPr>
            <w:r>
              <w:rPr>
                <w:szCs w:val="24"/>
                <w:lang w:val="da-DK"/>
              </w:rPr>
              <w:t>Bradykardi, specielt ved intravenøs administration.</w:t>
            </w:r>
          </w:p>
        </w:tc>
      </w:tr>
      <w:tr w:rsidR="00330F90" w:rsidTr="00330F90">
        <w:trPr>
          <w:gridAfter w:val="1"/>
          <w:wAfter w:w="4" w:type="pct"/>
          <w:trHeight w:val="1890"/>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lang w:val="da-DK"/>
              </w:rPr>
            </w:pPr>
            <w:r>
              <w:rPr>
                <w:lang w:val="da-DK"/>
              </w:rPr>
              <w:t>Ikke kendt</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before="9"/>
              <w:ind w:right="389"/>
              <w:rPr>
                <w:lang w:val="da-DK"/>
              </w:rPr>
            </w:pPr>
            <w:r>
              <w:rPr>
                <w:szCs w:val="24"/>
                <w:lang w:val="da-DK"/>
              </w:rPr>
              <w:t>Hjertestop, forekommende kort tid efter injektion og potentielt forudgået af bradykardi (se pkt.</w:t>
            </w:r>
            <w:r>
              <w:rPr>
                <w:lang w:val="da-DK"/>
              </w:rPr>
              <w:t> </w:t>
            </w:r>
            <w:r>
              <w:rPr>
                <w:szCs w:val="24"/>
                <w:lang w:val="da-DK"/>
              </w:rPr>
              <w:t xml:space="preserve">4.4); AV-blok, sinusarrest, især ved intravenøs administration; QT-forlængelse; </w:t>
            </w:r>
            <w:r>
              <w:rPr>
                <w:i/>
                <w:szCs w:val="24"/>
                <w:lang w:val="da-DK"/>
              </w:rPr>
              <w:t>Torsades de pointes.</w:t>
            </w:r>
          </w:p>
        </w:tc>
      </w:tr>
      <w:tr w:rsidR="00330F90" w:rsidTr="00330F90">
        <w:trPr>
          <w:trHeight w:val="270"/>
        </w:trPr>
        <w:tc>
          <w:tcPr>
            <w:tcW w:w="5000" w:type="pct"/>
            <w:gridSpan w:val="4"/>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b/>
                <w:lang w:val="da-DK"/>
              </w:rPr>
            </w:pPr>
            <w:r>
              <w:rPr>
                <w:b/>
                <w:spacing w:val="-9"/>
                <w:lang w:val="da-DK"/>
              </w:rPr>
              <w:t>Det endokrine</w:t>
            </w:r>
            <w:r>
              <w:rPr>
                <w:b/>
                <w:spacing w:val="4"/>
                <w:lang w:val="da-DK"/>
              </w:rPr>
              <w:t xml:space="preserve"> </w:t>
            </w:r>
            <w:r>
              <w:rPr>
                <w:b/>
                <w:spacing w:val="-2"/>
                <w:lang w:val="da-DK"/>
              </w:rPr>
              <w:t>system*</w:t>
            </w:r>
          </w:p>
        </w:tc>
      </w:tr>
      <w:tr w:rsidR="00330F90" w:rsidTr="00330F90">
        <w:trPr>
          <w:gridAfter w:val="1"/>
          <w:wAfter w:w="4" w:type="pct"/>
          <w:trHeight w:val="424"/>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lang w:val="da-DK"/>
              </w:rPr>
            </w:pPr>
            <w:r>
              <w:rPr>
                <w:lang w:val="da-DK"/>
              </w:rPr>
              <w:t>Ikke almindelig</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lang w:val="da-DK"/>
              </w:rPr>
            </w:pPr>
            <w:r>
              <w:rPr>
                <w:lang w:val="da-DK"/>
              </w:rPr>
              <w:t>Amenoré, hyperprolaktinæmi</w:t>
            </w:r>
          </w:p>
        </w:tc>
      </w:tr>
      <w:tr w:rsidR="00330F90" w:rsidTr="00330F90">
        <w:trPr>
          <w:gridAfter w:val="1"/>
          <w:wAfter w:w="4" w:type="pct"/>
          <w:trHeight w:val="424"/>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lang w:val="da-DK"/>
              </w:rPr>
            </w:pPr>
            <w:r>
              <w:rPr>
                <w:lang w:val="da-DK"/>
              </w:rPr>
              <w:t>Sjælden</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lang w:val="da-DK"/>
              </w:rPr>
            </w:pPr>
            <w:r>
              <w:rPr>
                <w:spacing w:val="-2"/>
                <w:lang w:val="da-DK"/>
              </w:rPr>
              <w:t>Galaktoré</w:t>
            </w:r>
          </w:p>
        </w:tc>
      </w:tr>
      <w:tr w:rsidR="00330F90" w:rsidTr="00330F90">
        <w:trPr>
          <w:gridAfter w:val="1"/>
          <w:wAfter w:w="4" w:type="pct"/>
          <w:trHeight w:val="424"/>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lang w:val="da-DK"/>
              </w:rPr>
            </w:pPr>
            <w:r>
              <w:rPr>
                <w:lang w:val="da-DK"/>
              </w:rPr>
              <w:t>Ikke kendt</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lang w:val="da-DK"/>
              </w:rPr>
            </w:pPr>
            <w:r>
              <w:rPr>
                <w:spacing w:val="-2"/>
                <w:lang w:val="da-DK"/>
              </w:rPr>
              <w:t>Gynækomasti</w:t>
            </w:r>
          </w:p>
        </w:tc>
      </w:tr>
      <w:tr w:rsidR="00330F90" w:rsidTr="00330F90">
        <w:trPr>
          <w:trHeight w:val="270"/>
        </w:trPr>
        <w:tc>
          <w:tcPr>
            <w:tcW w:w="5000" w:type="pct"/>
            <w:gridSpan w:val="4"/>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b/>
                <w:lang w:val="da-DK"/>
              </w:rPr>
            </w:pPr>
            <w:r>
              <w:rPr>
                <w:b/>
                <w:lang w:val="da-DK"/>
              </w:rPr>
              <w:t>Mave-tarm-kanalen</w:t>
            </w:r>
          </w:p>
        </w:tc>
      </w:tr>
      <w:tr w:rsidR="00330F90" w:rsidTr="00330F90">
        <w:trPr>
          <w:gridAfter w:val="1"/>
          <w:wAfter w:w="4" w:type="pct"/>
          <w:trHeight w:val="270"/>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sz w:val="20"/>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lang w:val="da-DK"/>
              </w:rPr>
            </w:pPr>
            <w:r>
              <w:rPr>
                <w:lang w:val="da-DK"/>
              </w:rPr>
              <w:t>Almindelig</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lang w:val="da-DK"/>
              </w:rPr>
            </w:pPr>
            <w:r>
              <w:rPr>
                <w:spacing w:val="-2"/>
                <w:lang w:val="da-DK"/>
              </w:rPr>
              <w:t>Diarré</w:t>
            </w:r>
          </w:p>
        </w:tc>
      </w:tr>
      <w:tr w:rsidR="00330F90" w:rsidTr="00330F90">
        <w:trPr>
          <w:trHeight w:val="270"/>
        </w:trPr>
        <w:tc>
          <w:tcPr>
            <w:tcW w:w="5000" w:type="pct"/>
            <w:gridSpan w:val="4"/>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b/>
                <w:lang w:val="da-DK"/>
              </w:rPr>
            </w:pPr>
            <w:r>
              <w:rPr>
                <w:b/>
                <w:lang w:val="da-DK"/>
              </w:rPr>
              <w:t>Hud- og subkutane vævslidelser</w:t>
            </w:r>
          </w:p>
        </w:tc>
      </w:tr>
      <w:tr w:rsidR="00330F90" w:rsidTr="00330F90">
        <w:trPr>
          <w:gridAfter w:val="1"/>
          <w:wAfter w:w="4" w:type="pct"/>
          <w:trHeight w:val="270"/>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sz w:val="20"/>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lang w:val="da-DK"/>
              </w:rPr>
            </w:pPr>
            <w:r>
              <w:rPr>
                <w:lang w:val="da-DK"/>
              </w:rPr>
              <w:t>Ikke almindelig</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lang w:val="da-DK"/>
              </w:rPr>
            </w:pPr>
            <w:r>
              <w:rPr>
                <w:lang w:val="da-DK"/>
              </w:rPr>
              <w:t>Hududslæt</w:t>
            </w:r>
          </w:p>
        </w:tc>
      </w:tr>
      <w:tr w:rsidR="00330F90" w:rsidTr="00330F90">
        <w:trPr>
          <w:gridAfter w:val="1"/>
          <w:wAfter w:w="4" w:type="pct"/>
          <w:trHeight w:val="270"/>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sz w:val="20"/>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lang w:val="da-DK"/>
              </w:rPr>
            </w:pPr>
            <w:r>
              <w:rPr>
                <w:lang w:val="da-DK"/>
              </w:rPr>
              <w:t>Sjælden</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lang w:val="da-DK"/>
              </w:rPr>
            </w:pPr>
            <w:r>
              <w:rPr>
                <w:lang w:val="da-DK"/>
              </w:rPr>
              <w:t>Nældefeber</w:t>
            </w:r>
          </w:p>
        </w:tc>
      </w:tr>
      <w:tr w:rsidR="00330F90" w:rsidTr="00330F90">
        <w:trPr>
          <w:trHeight w:val="270"/>
        </w:trPr>
        <w:tc>
          <w:tcPr>
            <w:tcW w:w="5000" w:type="pct"/>
            <w:gridSpan w:val="4"/>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b/>
                <w:lang w:val="da-DK"/>
              </w:rPr>
            </w:pPr>
            <w:r>
              <w:rPr>
                <w:b/>
                <w:lang w:val="da-DK"/>
              </w:rPr>
              <w:t>Almene symptomer og reaktioner på administrationsstedet</w:t>
            </w:r>
          </w:p>
        </w:tc>
      </w:tr>
      <w:tr w:rsidR="00330F90" w:rsidTr="00330F90">
        <w:trPr>
          <w:gridAfter w:val="1"/>
          <w:wAfter w:w="4" w:type="pct"/>
          <w:trHeight w:val="270"/>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sz w:val="20"/>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lang w:val="da-DK"/>
              </w:rPr>
            </w:pPr>
            <w:r>
              <w:rPr>
                <w:lang w:val="da-DK"/>
              </w:rPr>
              <w:t>Almindelig</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lang w:val="da-DK"/>
              </w:rPr>
            </w:pPr>
            <w:r>
              <w:rPr>
                <w:spacing w:val="-2"/>
                <w:lang w:val="da-DK"/>
              </w:rPr>
              <w:t>Asteni</w:t>
            </w:r>
          </w:p>
        </w:tc>
      </w:tr>
      <w:tr w:rsidR="00330F90" w:rsidTr="00330F90">
        <w:trPr>
          <w:trHeight w:val="270"/>
        </w:trPr>
        <w:tc>
          <w:tcPr>
            <w:tcW w:w="5000" w:type="pct"/>
            <w:gridSpan w:val="4"/>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b/>
                <w:lang w:val="da-DK"/>
              </w:rPr>
            </w:pPr>
            <w:r>
              <w:rPr>
                <w:b/>
                <w:spacing w:val="-4"/>
                <w:lang w:val="da-DK"/>
              </w:rPr>
              <w:t>Immunsystem</w:t>
            </w:r>
          </w:p>
        </w:tc>
      </w:tr>
      <w:tr w:rsidR="00330F90" w:rsidTr="00330F90">
        <w:trPr>
          <w:gridAfter w:val="1"/>
          <w:wAfter w:w="4" w:type="pct"/>
          <w:trHeight w:val="270"/>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sz w:val="20"/>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lang w:val="da-DK"/>
              </w:rPr>
            </w:pPr>
            <w:r>
              <w:rPr>
                <w:lang w:val="da-DK"/>
              </w:rPr>
              <w:t>Ikke almindelig</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lang w:val="da-DK"/>
              </w:rPr>
            </w:pPr>
            <w:r>
              <w:rPr>
                <w:lang w:val="da-DK"/>
              </w:rPr>
              <w:t>Overfølsomhed</w:t>
            </w:r>
          </w:p>
        </w:tc>
      </w:tr>
      <w:tr w:rsidR="00330F90" w:rsidTr="00330F90">
        <w:trPr>
          <w:gridAfter w:val="1"/>
          <w:wAfter w:w="4" w:type="pct"/>
          <w:trHeight w:val="540"/>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sz w:val="20"/>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lang w:val="da-DK"/>
              </w:rPr>
            </w:pPr>
            <w:r>
              <w:rPr>
                <w:lang w:val="da-DK"/>
              </w:rPr>
              <w:t>Ikke kendt</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lang w:val="da-DK"/>
              </w:rPr>
            </w:pPr>
            <w:r>
              <w:rPr>
                <w:szCs w:val="24"/>
                <w:lang w:val="da-DK"/>
              </w:rPr>
              <w:t>Anafylaktiske reaktioner (inklusive anafylaktisk shock, specielt ved intravenøs administration)</w:t>
            </w:r>
          </w:p>
        </w:tc>
      </w:tr>
      <w:tr w:rsidR="00330F90" w:rsidTr="00330F90">
        <w:trPr>
          <w:trHeight w:val="285"/>
        </w:trPr>
        <w:tc>
          <w:tcPr>
            <w:tcW w:w="5000" w:type="pct"/>
            <w:gridSpan w:val="4"/>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b/>
                <w:lang w:val="da-DK"/>
              </w:rPr>
            </w:pPr>
            <w:r>
              <w:rPr>
                <w:b/>
                <w:lang w:val="da-DK"/>
              </w:rPr>
              <w:t>Nervesystemet</w:t>
            </w:r>
          </w:p>
        </w:tc>
      </w:tr>
      <w:tr w:rsidR="00330F90" w:rsidTr="00330F90">
        <w:trPr>
          <w:gridAfter w:val="1"/>
          <w:wAfter w:w="4" w:type="pct"/>
          <w:trHeight w:val="541"/>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sz w:val="20"/>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lang w:val="da-DK"/>
              </w:rPr>
            </w:pPr>
            <w:r>
              <w:rPr>
                <w:lang w:val="da-DK"/>
              </w:rPr>
              <w:t>Meget almindelig</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lang w:val="da-DK"/>
              </w:rPr>
            </w:pPr>
            <w:r>
              <w:rPr>
                <w:lang w:val="da-DK"/>
              </w:rPr>
              <w:t>Døsighed</w:t>
            </w:r>
          </w:p>
        </w:tc>
      </w:tr>
      <w:tr w:rsidR="00330F90" w:rsidTr="00330F90">
        <w:trPr>
          <w:gridAfter w:val="1"/>
          <w:wAfter w:w="4" w:type="pct"/>
          <w:trHeight w:val="1528"/>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sz w:val="20"/>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lang w:val="da-DK"/>
              </w:rPr>
            </w:pPr>
            <w:r>
              <w:rPr>
                <w:lang w:val="da-DK"/>
              </w:rPr>
              <w:t>Almindelig</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ind w:right="983"/>
              <w:rPr>
                <w:lang w:val="da-DK"/>
              </w:rPr>
            </w:pPr>
            <w:r>
              <w:rPr>
                <w:szCs w:val="24"/>
                <w:lang w:val="da-DK"/>
              </w:rPr>
              <w:t>Ekstrapyramidale forstyrrelser (især hos børn og unge voksne og/eller når den anbefalede dosis overskrides, selv efter administration af en enkelt dosis af lægemidlet) (se pkt.</w:t>
            </w:r>
            <w:r>
              <w:rPr>
                <w:lang w:val="da-DK"/>
              </w:rPr>
              <w:t> </w:t>
            </w:r>
            <w:r>
              <w:rPr>
                <w:szCs w:val="24"/>
                <w:lang w:val="da-DK"/>
              </w:rPr>
              <w:t>4.4), parkinsonisme, akatisi.</w:t>
            </w:r>
          </w:p>
        </w:tc>
      </w:tr>
      <w:tr w:rsidR="00330F90" w:rsidTr="00330F90">
        <w:trPr>
          <w:gridAfter w:val="1"/>
          <w:wAfter w:w="4" w:type="pct"/>
          <w:trHeight w:val="541"/>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sz w:val="20"/>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lang w:val="da-DK"/>
              </w:rPr>
            </w:pPr>
            <w:r>
              <w:rPr>
                <w:lang w:val="da-DK"/>
              </w:rPr>
              <w:t>Ikke almindelig</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before="9"/>
              <w:rPr>
                <w:lang w:val="da-DK"/>
              </w:rPr>
            </w:pPr>
            <w:r>
              <w:rPr>
                <w:szCs w:val="24"/>
                <w:lang w:val="da-DK"/>
              </w:rPr>
              <w:t>Dystoni (herunder synsforstyrrelse og okulogyr krise), dyskinesi, nedsat bevidsthedsniveau.</w:t>
            </w:r>
          </w:p>
        </w:tc>
      </w:tr>
      <w:tr w:rsidR="00330F90" w:rsidTr="00330F90">
        <w:trPr>
          <w:gridAfter w:val="1"/>
          <w:wAfter w:w="4" w:type="pct"/>
          <w:trHeight w:val="270"/>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sz w:val="20"/>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lang w:val="da-DK"/>
              </w:rPr>
            </w:pPr>
            <w:r>
              <w:rPr>
                <w:lang w:val="da-DK"/>
              </w:rPr>
              <w:t>Sjælden</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lang w:val="da-DK"/>
              </w:rPr>
            </w:pPr>
            <w:r>
              <w:rPr>
                <w:szCs w:val="24"/>
                <w:lang w:val="da-DK"/>
              </w:rPr>
              <w:t>Kramper, især hos epilepsipatienter.</w:t>
            </w:r>
          </w:p>
        </w:tc>
      </w:tr>
      <w:tr w:rsidR="00330F90" w:rsidTr="00330F90">
        <w:trPr>
          <w:gridAfter w:val="1"/>
          <w:wAfter w:w="4" w:type="pct"/>
          <w:trHeight w:val="1096"/>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sz w:val="20"/>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lang w:val="da-DK"/>
              </w:rPr>
            </w:pPr>
            <w:r>
              <w:rPr>
                <w:lang w:val="da-DK"/>
              </w:rPr>
              <w:t>Ikke kendt</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before="17"/>
              <w:ind w:right="701"/>
              <w:rPr>
                <w:lang w:val="da-DK"/>
              </w:rPr>
            </w:pPr>
            <w:r>
              <w:rPr>
                <w:szCs w:val="24"/>
                <w:lang w:val="da-DK"/>
              </w:rPr>
              <w:t>Tardiv dyskinesi, som kan være persisterende, under eller efter langvarig behandling, især hos ældre patienter (se pkt.</w:t>
            </w:r>
            <w:r>
              <w:rPr>
                <w:lang w:val="da-DK"/>
              </w:rPr>
              <w:t> </w:t>
            </w:r>
            <w:r>
              <w:rPr>
                <w:szCs w:val="24"/>
                <w:lang w:val="da-DK"/>
              </w:rPr>
              <w:t>4.4), malignt neuroleptikasyndrom (se pkt.</w:t>
            </w:r>
            <w:r>
              <w:rPr>
                <w:lang w:val="da-DK"/>
              </w:rPr>
              <w:t> </w:t>
            </w:r>
            <w:r>
              <w:rPr>
                <w:szCs w:val="24"/>
                <w:lang w:val="da-DK"/>
              </w:rPr>
              <w:t>4.4).</w:t>
            </w:r>
          </w:p>
        </w:tc>
      </w:tr>
      <w:tr w:rsidR="00330F90" w:rsidTr="00330F90">
        <w:trPr>
          <w:trHeight w:val="270"/>
        </w:trPr>
        <w:tc>
          <w:tcPr>
            <w:tcW w:w="5000" w:type="pct"/>
            <w:gridSpan w:val="4"/>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b/>
                <w:lang w:val="da-DK"/>
              </w:rPr>
            </w:pPr>
            <w:r>
              <w:rPr>
                <w:b/>
                <w:spacing w:val="-2"/>
                <w:lang w:val="da-DK"/>
              </w:rPr>
              <w:t>Psykiske forstyrrelser</w:t>
            </w:r>
          </w:p>
        </w:tc>
      </w:tr>
      <w:tr w:rsidR="00330F90" w:rsidTr="00330F90">
        <w:trPr>
          <w:gridAfter w:val="1"/>
          <w:wAfter w:w="4" w:type="pct"/>
          <w:trHeight w:val="285"/>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sz w:val="20"/>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lang w:val="da-DK"/>
              </w:rPr>
            </w:pPr>
            <w:r>
              <w:rPr>
                <w:lang w:val="da-DK"/>
              </w:rPr>
              <w:t>Almindelig</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lang w:val="da-DK"/>
              </w:rPr>
            </w:pPr>
            <w:r>
              <w:rPr>
                <w:spacing w:val="-2"/>
                <w:lang w:val="da-DK"/>
              </w:rPr>
              <w:t>Depression</w:t>
            </w:r>
          </w:p>
        </w:tc>
      </w:tr>
      <w:tr w:rsidR="00330F90" w:rsidTr="00330F90">
        <w:trPr>
          <w:gridAfter w:val="1"/>
          <w:wAfter w:w="4" w:type="pct"/>
          <w:trHeight w:val="270"/>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sz w:val="20"/>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lang w:val="da-DK"/>
              </w:rPr>
            </w:pPr>
            <w:r>
              <w:rPr>
                <w:lang w:val="da-DK"/>
              </w:rPr>
              <w:t>Ikke almindelig</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lang w:val="da-DK"/>
              </w:rPr>
            </w:pPr>
            <w:r>
              <w:rPr>
                <w:spacing w:val="-2"/>
                <w:lang w:val="da-DK"/>
              </w:rPr>
              <w:t>Hallucinationer</w:t>
            </w:r>
          </w:p>
        </w:tc>
      </w:tr>
      <w:tr w:rsidR="00330F90" w:rsidTr="00330F90">
        <w:trPr>
          <w:gridAfter w:val="1"/>
          <w:wAfter w:w="4" w:type="pct"/>
          <w:trHeight w:val="270"/>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sz w:val="20"/>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lang w:val="da-DK"/>
              </w:rPr>
            </w:pPr>
            <w:r>
              <w:rPr>
                <w:lang w:val="da-DK"/>
              </w:rPr>
              <w:t>Sjælden</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lang w:val="da-DK"/>
              </w:rPr>
            </w:pPr>
            <w:r>
              <w:rPr>
                <w:lang w:val="da-DK"/>
              </w:rPr>
              <w:t>Konfusion</w:t>
            </w:r>
          </w:p>
        </w:tc>
      </w:tr>
      <w:tr w:rsidR="00330F90" w:rsidTr="00330F90">
        <w:trPr>
          <w:gridAfter w:val="1"/>
          <w:wAfter w:w="4" w:type="pct"/>
          <w:trHeight w:val="270"/>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sz w:val="20"/>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lang w:val="da-DK"/>
              </w:rPr>
            </w:pPr>
            <w:r>
              <w:rPr>
                <w:lang w:val="da-DK"/>
              </w:rPr>
              <w:t>Ikke kendt</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lang w:val="da-DK"/>
              </w:rPr>
            </w:pPr>
            <w:r>
              <w:rPr>
                <w:lang w:val="da-DK"/>
              </w:rPr>
              <w:t>Selvmordstanker</w:t>
            </w:r>
          </w:p>
        </w:tc>
      </w:tr>
      <w:tr w:rsidR="00330F90" w:rsidTr="00330F90">
        <w:trPr>
          <w:trHeight w:val="270"/>
        </w:trPr>
        <w:tc>
          <w:tcPr>
            <w:tcW w:w="5000" w:type="pct"/>
            <w:gridSpan w:val="4"/>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line="250" w:lineRule="exact"/>
              <w:rPr>
                <w:b/>
                <w:lang w:val="da-DK"/>
              </w:rPr>
            </w:pPr>
            <w:r>
              <w:rPr>
                <w:b/>
                <w:spacing w:val="-9"/>
                <w:lang w:val="da-DK"/>
              </w:rPr>
              <w:t>Vaskulære sygdomme</w:t>
            </w:r>
            <w:r>
              <w:rPr>
                <w:b/>
                <w:spacing w:val="-2"/>
                <w:lang w:val="da-DK"/>
              </w:rPr>
              <w:t>s</w:t>
            </w:r>
          </w:p>
        </w:tc>
      </w:tr>
      <w:tr w:rsidR="00330F90" w:rsidTr="00330F90">
        <w:trPr>
          <w:gridAfter w:val="1"/>
          <w:wAfter w:w="4" w:type="pct"/>
          <w:trHeight w:val="540"/>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sz w:val="20"/>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lang w:val="da-DK"/>
              </w:rPr>
            </w:pPr>
            <w:r>
              <w:rPr>
                <w:lang w:val="da-DK"/>
              </w:rPr>
              <w:t>Almindelig</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spacing w:before="9"/>
              <w:rPr>
                <w:lang w:val="da-DK"/>
              </w:rPr>
            </w:pPr>
            <w:r>
              <w:rPr>
                <w:lang w:val="da-DK"/>
              </w:rPr>
              <w:t>Hypotension (specielt efter intravenøs administration).</w:t>
            </w:r>
          </w:p>
        </w:tc>
      </w:tr>
      <w:tr w:rsidR="00330F90" w:rsidTr="00330F90">
        <w:trPr>
          <w:gridAfter w:val="1"/>
          <w:wAfter w:w="4" w:type="pct"/>
          <w:trHeight w:val="416"/>
        </w:trPr>
        <w:tc>
          <w:tcPr>
            <w:tcW w:w="1367" w:type="pct"/>
            <w:tcBorders>
              <w:top w:val="single" w:sz="6" w:space="0" w:color="000000"/>
              <w:left w:val="single" w:sz="6" w:space="0" w:color="000000"/>
              <w:bottom w:val="single" w:sz="6" w:space="0" w:color="000000"/>
              <w:right w:val="single" w:sz="6" w:space="0" w:color="000000"/>
            </w:tcBorders>
          </w:tcPr>
          <w:p w:rsidR="00330F90" w:rsidRDefault="00330F90">
            <w:pPr>
              <w:pStyle w:val="TableParagraph"/>
              <w:rPr>
                <w:sz w:val="20"/>
                <w:lang w:val="da-DK"/>
              </w:rPr>
            </w:pPr>
          </w:p>
        </w:tc>
        <w:tc>
          <w:tcPr>
            <w:tcW w:w="1130"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lang w:val="da-DK"/>
              </w:rPr>
            </w:pPr>
            <w:r>
              <w:rPr>
                <w:lang w:val="da-DK"/>
              </w:rPr>
              <w:t>Ikke kendt</w:t>
            </w:r>
          </w:p>
        </w:tc>
        <w:tc>
          <w:tcPr>
            <w:tcW w:w="2499" w:type="pct"/>
            <w:tcBorders>
              <w:top w:val="single" w:sz="6" w:space="0" w:color="000000"/>
              <w:left w:val="single" w:sz="6" w:space="0" w:color="000000"/>
              <w:bottom w:val="single" w:sz="6" w:space="0" w:color="000000"/>
              <w:right w:val="single" w:sz="6" w:space="0" w:color="000000"/>
            </w:tcBorders>
            <w:hideMark/>
          </w:tcPr>
          <w:p w:rsidR="00330F90" w:rsidRDefault="00330F90">
            <w:pPr>
              <w:pStyle w:val="TableParagraph"/>
              <w:rPr>
                <w:lang w:val="da-DK"/>
              </w:rPr>
            </w:pPr>
            <w:r>
              <w:rPr>
                <w:lang w:val="da-DK"/>
              </w:rPr>
              <w:t>Shock, synkope (efter intravenøs administration), akut hypertension hos patienter med fæokromocytom (se pkt. 4.3). F</w:t>
            </w:r>
            <w:r>
              <w:rPr>
                <w:szCs w:val="24"/>
                <w:lang w:val="da-DK"/>
              </w:rPr>
              <w:t>orbigående forøgelse af blodtrykket</w:t>
            </w:r>
            <w:r>
              <w:rPr>
                <w:lang w:val="da-DK"/>
              </w:rPr>
              <w:t>.</w:t>
            </w:r>
          </w:p>
        </w:tc>
      </w:tr>
    </w:tbl>
    <w:p w:rsidR="00330F90" w:rsidRDefault="00330F90" w:rsidP="00330F90">
      <w:pPr>
        <w:rPr>
          <w:sz w:val="22"/>
          <w:szCs w:val="22"/>
        </w:rPr>
      </w:pPr>
      <w:r>
        <w:rPr>
          <w:szCs w:val="22"/>
        </w:rPr>
        <w:t xml:space="preserve">* </w:t>
      </w:r>
      <w:r>
        <w:rPr>
          <w:szCs w:val="24"/>
        </w:rPr>
        <w:t>Endokrine forstyrrelser under langvarig behandling i relation til hyperprolaktinæmi (amenoré, galaktoré, gynækomasti).</w:t>
      </w:r>
    </w:p>
    <w:p w:rsidR="00330F90" w:rsidRPr="00330F90" w:rsidRDefault="00330F90" w:rsidP="00330F90">
      <w:pPr>
        <w:ind w:left="851"/>
        <w:rPr>
          <w:sz w:val="24"/>
          <w:szCs w:val="24"/>
        </w:rPr>
      </w:pPr>
    </w:p>
    <w:p w:rsidR="00330F90" w:rsidRPr="00330F90" w:rsidRDefault="00330F90" w:rsidP="00330F90">
      <w:pPr>
        <w:tabs>
          <w:tab w:val="left" w:pos="0"/>
        </w:tabs>
        <w:ind w:left="851"/>
        <w:rPr>
          <w:sz w:val="24"/>
          <w:szCs w:val="24"/>
        </w:rPr>
      </w:pPr>
      <w:r w:rsidRPr="00330F90">
        <w:rPr>
          <w:sz w:val="24"/>
          <w:szCs w:val="24"/>
        </w:rPr>
        <w:t>Følgende reaktioner, nogle gange forbundet, forekommer hyppigere, når der er anvendt høje doser:</w:t>
      </w:r>
    </w:p>
    <w:p w:rsidR="00330F90" w:rsidRPr="00330F90" w:rsidRDefault="00330F90" w:rsidP="00330F90">
      <w:pPr>
        <w:pStyle w:val="Listeafsnit"/>
        <w:numPr>
          <w:ilvl w:val="0"/>
          <w:numId w:val="6"/>
        </w:numPr>
        <w:tabs>
          <w:tab w:val="clear" w:pos="720"/>
          <w:tab w:val="num" w:pos="1134"/>
        </w:tabs>
        <w:ind w:left="1134" w:hanging="283"/>
        <w:rPr>
          <w:sz w:val="24"/>
          <w:szCs w:val="24"/>
        </w:rPr>
      </w:pPr>
      <w:r w:rsidRPr="00330F90">
        <w:rPr>
          <w:sz w:val="24"/>
          <w:szCs w:val="24"/>
        </w:rPr>
        <w:t>Ekstrapyramidale symptomer: akut dystoni og dyskinesi, parkinsonsyndrom, akatisi, selv efter administration af en enkelt dosis af lægemidlet, især hos børn og unge voksne (se pkt.</w:t>
      </w:r>
      <w:r w:rsidR="00E90F25">
        <w:rPr>
          <w:sz w:val="24"/>
          <w:szCs w:val="24"/>
        </w:rPr>
        <w:t xml:space="preserve"> </w:t>
      </w:r>
      <w:r w:rsidRPr="00330F90">
        <w:rPr>
          <w:sz w:val="24"/>
          <w:szCs w:val="24"/>
        </w:rPr>
        <w:t>4.4).</w:t>
      </w:r>
    </w:p>
    <w:p w:rsidR="00330F90" w:rsidRPr="00330F90" w:rsidRDefault="00330F90" w:rsidP="00330F90">
      <w:pPr>
        <w:pStyle w:val="Listeafsnit"/>
        <w:numPr>
          <w:ilvl w:val="0"/>
          <w:numId w:val="6"/>
        </w:numPr>
        <w:tabs>
          <w:tab w:val="clear" w:pos="720"/>
          <w:tab w:val="num" w:pos="1134"/>
        </w:tabs>
        <w:ind w:left="1134" w:hanging="283"/>
        <w:rPr>
          <w:sz w:val="24"/>
          <w:szCs w:val="24"/>
        </w:rPr>
      </w:pPr>
      <w:r w:rsidRPr="00330F90">
        <w:rPr>
          <w:sz w:val="24"/>
          <w:szCs w:val="24"/>
        </w:rPr>
        <w:t>Døsighed, nedsat bevidsthedsniveau, konfusion, hallucinationer.</w:t>
      </w:r>
    </w:p>
    <w:p w:rsidR="00330F90" w:rsidRPr="00330F90" w:rsidRDefault="00330F90" w:rsidP="00330F90">
      <w:pPr>
        <w:ind w:left="851"/>
        <w:rPr>
          <w:sz w:val="24"/>
          <w:szCs w:val="24"/>
        </w:rPr>
      </w:pPr>
    </w:p>
    <w:p w:rsidR="00330F90" w:rsidRPr="00330F90" w:rsidRDefault="00330F90" w:rsidP="00330F90">
      <w:pPr>
        <w:autoSpaceDE w:val="0"/>
        <w:autoSpaceDN w:val="0"/>
        <w:adjustRightInd w:val="0"/>
        <w:ind w:left="851"/>
        <w:rPr>
          <w:sz w:val="24"/>
          <w:szCs w:val="24"/>
          <w:u w:val="single"/>
        </w:rPr>
      </w:pPr>
      <w:r w:rsidRPr="00330F90">
        <w:rPr>
          <w:noProof/>
          <w:sz w:val="24"/>
          <w:szCs w:val="24"/>
          <w:u w:val="single"/>
        </w:rPr>
        <w:t>Indberetning af formodede bivirkninger</w:t>
      </w:r>
    </w:p>
    <w:p w:rsidR="00330F90" w:rsidRPr="00330F90" w:rsidRDefault="00330F90" w:rsidP="00330F90">
      <w:pPr>
        <w:autoSpaceDE w:val="0"/>
        <w:autoSpaceDN w:val="0"/>
        <w:adjustRightInd w:val="0"/>
        <w:ind w:left="851"/>
        <w:rPr>
          <w:rStyle w:val="Hyperlink"/>
          <w:color w:val="auto"/>
          <w:sz w:val="24"/>
          <w:szCs w:val="24"/>
        </w:rPr>
      </w:pPr>
      <w:r w:rsidRPr="00330F90">
        <w:rPr>
          <w:noProof/>
          <w:sz w:val="24"/>
          <w:szCs w:val="24"/>
        </w:rPr>
        <w:t>Når lægemidlet er godkendt, er indberetning af formodede bivirkninger vigtig.</w:t>
      </w:r>
      <w:r w:rsidRPr="00330F90">
        <w:rPr>
          <w:sz w:val="24"/>
          <w:szCs w:val="24"/>
        </w:rPr>
        <w:t xml:space="preserve"> </w:t>
      </w:r>
      <w:r w:rsidRPr="00330F90">
        <w:rPr>
          <w:noProof/>
          <w:sz w:val="24"/>
          <w:szCs w:val="24"/>
        </w:rPr>
        <w:t>Det muliggør løbende overvågning af benefit/risk-forholdet for lægemidlet.</w:t>
      </w:r>
      <w:r w:rsidRPr="00330F90">
        <w:rPr>
          <w:sz w:val="24"/>
          <w:szCs w:val="24"/>
        </w:rPr>
        <w:t xml:space="preserve"> </w:t>
      </w:r>
      <w:r w:rsidRPr="00330F90">
        <w:rPr>
          <w:noProof/>
          <w:sz w:val="24"/>
          <w:szCs w:val="24"/>
        </w:rPr>
        <w:t>Sundhedspersoner anmodes om at indberette alle formodede bivirkninger via:</w:t>
      </w:r>
    </w:p>
    <w:p w:rsidR="00330F90" w:rsidRPr="00330F90" w:rsidRDefault="00330F90" w:rsidP="00330F90">
      <w:pPr>
        <w:autoSpaceDE w:val="0"/>
        <w:autoSpaceDN w:val="0"/>
        <w:adjustRightInd w:val="0"/>
        <w:ind w:left="851"/>
        <w:rPr>
          <w:rStyle w:val="Hyperlink"/>
          <w:sz w:val="24"/>
          <w:szCs w:val="24"/>
        </w:rPr>
      </w:pPr>
    </w:p>
    <w:p w:rsidR="00330F90" w:rsidRPr="00330F90" w:rsidRDefault="00330F90" w:rsidP="00330F90">
      <w:pPr>
        <w:autoSpaceDE w:val="0"/>
        <w:autoSpaceDN w:val="0"/>
        <w:adjustRightInd w:val="0"/>
        <w:ind w:left="851"/>
        <w:rPr>
          <w:noProof/>
          <w:sz w:val="24"/>
          <w:szCs w:val="24"/>
        </w:rPr>
      </w:pPr>
      <w:r w:rsidRPr="00330F90">
        <w:rPr>
          <w:noProof/>
          <w:sz w:val="24"/>
          <w:szCs w:val="24"/>
        </w:rPr>
        <w:t>Lægemiddelstyrelsen</w:t>
      </w:r>
    </w:p>
    <w:p w:rsidR="00330F90" w:rsidRPr="00330F90" w:rsidRDefault="00330F90" w:rsidP="00330F90">
      <w:pPr>
        <w:autoSpaceDE w:val="0"/>
        <w:autoSpaceDN w:val="0"/>
        <w:adjustRightInd w:val="0"/>
        <w:ind w:left="851"/>
        <w:rPr>
          <w:noProof/>
          <w:sz w:val="24"/>
          <w:szCs w:val="24"/>
        </w:rPr>
      </w:pPr>
      <w:r w:rsidRPr="00330F90">
        <w:rPr>
          <w:noProof/>
          <w:sz w:val="24"/>
          <w:szCs w:val="24"/>
        </w:rPr>
        <w:t>Axel Heides Gade 1</w:t>
      </w:r>
    </w:p>
    <w:p w:rsidR="00330F90" w:rsidRPr="00330F90" w:rsidRDefault="00330F90" w:rsidP="00330F90">
      <w:pPr>
        <w:autoSpaceDE w:val="0"/>
        <w:autoSpaceDN w:val="0"/>
        <w:adjustRightInd w:val="0"/>
        <w:ind w:left="851"/>
        <w:rPr>
          <w:noProof/>
          <w:sz w:val="24"/>
          <w:szCs w:val="24"/>
        </w:rPr>
      </w:pPr>
      <w:r w:rsidRPr="00330F90">
        <w:rPr>
          <w:noProof/>
          <w:sz w:val="24"/>
          <w:szCs w:val="24"/>
        </w:rPr>
        <w:t>DK-2300 København S</w:t>
      </w:r>
    </w:p>
    <w:p w:rsidR="00330F90" w:rsidRPr="00330F90" w:rsidRDefault="00330F90" w:rsidP="00330F90">
      <w:pPr>
        <w:autoSpaceDE w:val="0"/>
        <w:autoSpaceDN w:val="0"/>
        <w:adjustRightInd w:val="0"/>
        <w:ind w:left="851"/>
        <w:rPr>
          <w:noProof/>
          <w:sz w:val="24"/>
          <w:szCs w:val="24"/>
        </w:rPr>
      </w:pPr>
      <w:r w:rsidRPr="00330F90">
        <w:rPr>
          <w:noProof/>
          <w:sz w:val="24"/>
          <w:szCs w:val="24"/>
        </w:rPr>
        <w:t>Websted: www.meldenbivirkning.dk</w:t>
      </w:r>
    </w:p>
    <w:p w:rsidR="00E90F25" w:rsidRDefault="00E90F25">
      <w:pPr>
        <w:rPr>
          <w:sz w:val="24"/>
          <w:szCs w:val="24"/>
        </w:rPr>
      </w:pPr>
      <w:r>
        <w:rPr>
          <w:sz w:val="24"/>
          <w:szCs w:val="24"/>
        </w:rPr>
        <w:br w:type="page"/>
      </w:r>
    </w:p>
    <w:p w:rsidR="009260DE" w:rsidRPr="00330F90" w:rsidRDefault="009260DE" w:rsidP="00330F90">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E90F25" w:rsidRPr="00E90F25" w:rsidRDefault="00E90F25" w:rsidP="00E90F25">
      <w:pPr>
        <w:tabs>
          <w:tab w:val="left" w:pos="851"/>
        </w:tabs>
        <w:ind w:left="851"/>
        <w:rPr>
          <w:sz w:val="24"/>
          <w:szCs w:val="24"/>
        </w:rPr>
      </w:pPr>
    </w:p>
    <w:p w:rsidR="00E90F25" w:rsidRPr="00E90F25" w:rsidRDefault="00E90F25" w:rsidP="00E90F25">
      <w:pPr>
        <w:tabs>
          <w:tab w:val="left" w:pos="851"/>
        </w:tabs>
        <w:ind w:left="851"/>
        <w:rPr>
          <w:sz w:val="24"/>
          <w:szCs w:val="24"/>
          <w:u w:val="single"/>
        </w:rPr>
      </w:pPr>
      <w:r w:rsidRPr="00E90F25">
        <w:rPr>
          <w:sz w:val="24"/>
          <w:szCs w:val="24"/>
          <w:u w:val="single"/>
        </w:rPr>
        <w:t>Toksicitet</w:t>
      </w:r>
    </w:p>
    <w:p w:rsidR="00E90F25" w:rsidRPr="00E90F25" w:rsidRDefault="00E90F25" w:rsidP="00E90F25">
      <w:pPr>
        <w:tabs>
          <w:tab w:val="left" w:pos="851"/>
        </w:tabs>
        <w:ind w:left="851"/>
        <w:rPr>
          <w:iCs/>
          <w:sz w:val="24"/>
          <w:szCs w:val="24"/>
          <w:u w:val="single"/>
        </w:rPr>
      </w:pPr>
    </w:p>
    <w:p w:rsidR="00E90F25" w:rsidRPr="00E90F25" w:rsidRDefault="00E90F25" w:rsidP="00E90F25">
      <w:pPr>
        <w:tabs>
          <w:tab w:val="left" w:pos="851"/>
        </w:tabs>
        <w:ind w:left="851"/>
        <w:rPr>
          <w:i/>
          <w:iCs/>
          <w:sz w:val="24"/>
          <w:szCs w:val="24"/>
        </w:rPr>
      </w:pPr>
      <w:r w:rsidRPr="00E90F25">
        <w:rPr>
          <w:i/>
          <w:iCs/>
          <w:sz w:val="24"/>
          <w:szCs w:val="24"/>
        </w:rPr>
        <w:t>Symptomer</w:t>
      </w:r>
    </w:p>
    <w:p w:rsidR="00E90F25" w:rsidRPr="00E90F25" w:rsidRDefault="00E90F25" w:rsidP="00E90F25">
      <w:pPr>
        <w:tabs>
          <w:tab w:val="left" w:pos="851"/>
        </w:tabs>
        <w:ind w:left="851"/>
        <w:rPr>
          <w:iCs/>
          <w:sz w:val="24"/>
          <w:szCs w:val="24"/>
        </w:rPr>
      </w:pPr>
      <w:r w:rsidRPr="00E90F25">
        <w:rPr>
          <w:iCs/>
          <w:sz w:val="24"/>
          <w:szCs w:val="24"/>
        </w:rPr>
        <w:t>Ekstrapyramidale forstyrrelser, døsighed, nedsat bevidsthedsniveau, konfusion, hallucinationer og hjerte/respirationsstop kan forekomme.</w:t>
      </w:r>
    </w:p>
    <w:p w:rsidR="00E90F25" w:rsidRPr="00E90F25" w:rsidRDefault="00E90F25" w:rsidP="00E90F25">
      <w:pPr>
        <w:tabs>
          <w:tab w:val="left" w:pos="851"/>
        </w:tabs>
        <w:ind w:left="851"/>
        <w:rPr>
          <w:iCs/>
          <w:sz w:val="24"/>
          <w:szCs w:val="24"/>
        </w:rPr>
      </w:pPr>
    </w:p>
    <w:p w:rsidR="00E90F25" w:rsidRPr="00E90F25" w:rsidRDefault="00E90F25" w:rsidP="00E90F25">
      <w:pPr>
        <w:tabs>
          <w:tab w:val="left" w:pos="851"/>
        </w:tabs>
        <w:ind w:left="851"/>
        <w:rPr>
          <w:i/>
          <w:iCs/>
          <w:sz w:val="24"/>
          <w:szCs w:val="24"/>
        </w:rPr>
      </w:pPr>
      <w:r w:rsidRPr="00E90F25">
        <w:rPr>
          <w:i/>
          <w:iCs/>
          <w:sz w:val="24"/>
          <w:szCs w:val="24"/>
        </w:rPr>
        <w:t>Behandling</w:t>
      </w:r>
    </w:p>
    <w:p w:rsidR="00E90F25" w:rsidRPr="00E90F25" w:rsidRDefault="00E90F25" w:rsidP="00E90F25">
      <w:pPr>
        <w:tabs>
          <w:tab w:val="left" w:pos="851"/>
        </w:tabs>
        <w:ind w:left="851"/>
        <w:rPr>
          <w:iCs/>
          <w:sz w:val="24"/>
          <w:szCs w:val="24"/>
        </w:rPr>
      </w:pPr>
      <w:r w:rsidRPr="00E90F25">
        <w:rPr>
          <w:iCs/>
          <w:sz w:val="24"/>
          <w:szCs w:val="24"/>
        </w:rPr>
        <w:t xml:space="preserve">I tilfælde af ekstrapyramidale symptomer, relateret eller ikke relateret til overdosering, er behandlingen udelukkende symptomatisk (benzodiazepiner hos børn og/eller antikolinerge antiparkinsonmidler hos voksne). </w:t>
      </w:r>
    </w:p>
    <w:p w:rsidR="00E90F25" w:rsidRPr="00E90F25" w:rsidRDefault="00E90F25" w:rsidP="00E90F25">
      <w:pPr>
        <w:tabs>
          <w:tab w:val="left" w:pos="851"/>
        </w:tabs>
        <w:ind w:left="851"/>
        <w:rPr>
          <w:sz w:val="24"/>
          <w:szCs w:val="24"/>
        </w:rPr>
      </w:pPr>
      <w:r w:rsidRPr="00E90F25">
        <w:rPr>
          <w:iCs/>
          <w:sz w:val="24"/>
          <w:szCs w:val="24"/>
        </w:rPr>
        <w:t>Symptomatisk behandling og kontinuerlig overvågning af de kardiovaskulære og respiratoriske funktioner skal udføres i henhold til klinisk status.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E90F25"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A71E15" w:rsidRPr="00A71E15" w:rsidRDefault="00A71E15" w:rsidP="00A71E15">
      <w:pPr>
        <w:tabs>
          <w:tab w:val="left" w:pos="851"/>
        </w:tabs>
        <w:ind w:left="851"/>
        <w:rPr>
          <w:sz w:val="24"/>
          <w:szCs w:val="24"/>
        </w:rPr>
      </w:pPr>
      <w:r w:rsidRPr="00A71E15">
        <w:rPr>
          <w:sz w:val="24"/>
          <w:szCs w:val="24"/>
        </w:rPr>
        <w:t>Farmakoterapeutisk klassifikation: Midler mod funktionelle gastrointestinale forstyrrelser, propulsives</w:t>
      </w:r>
      <w:r>
        <w:rPr>
          <w:sz w:val="24"/>
          <w:szCs w:val="24"/>
        </w:rPr>
        <w:t>,</w:t>
      </w:r>
      <w:r w:rsidRPr="00A71E15">
        <w:rPr>
          <w:sz w:val="24"/>
          <w:szCs w:val="24"/>
        </w:rPr>
        <w:t xml:space="preserve"> ATC-kode: A03FA01</w:t>
      </w:r>
      <w:r>
        <w:rPr>
          <w:sz w:val="24"/>
          <w:szCs w:val="24"/>
        </w:rPr>
        <w:t>.</w:t>
      </w:r>
    </w:p>
    <w:p w:rsidR="00A71E15" w:rsidRPr="00A71E15" w:rsidRDefault="00A71E15" w:rsidP="00A71E15">
      <w:pPr>
        <w:tabs>
          <w:tab w:val="left" w:pos="851"/>
        </w:tabs>
        <w:ind w:left="851"/>
        <w:rPr>
          <w:sz w:val="24"/>
          <w:szCs w:val="24"/>
        </w:rPr>
      </w:pPr>
    </w:p>
    <w:p w:rsidR="00A71E15" w:rsidRPr="00A71E15" w:rsidRDefault="00A71E15" w:rsidP="00A71E15">
      <w:pPr>
        <w:tabs>
          <w:tab w:val="left" w:pos="851"/>
        </w:tabs>
        <w:ind w:left="851"/>
        <w:rPr>
          <w:bCs/>
          <w:sz w:val="24"/>
          <w:szCs w:val="24"/>
        </w:rPr>
      </w:pPr>
      <w:r w:rsidRPr="00A71E15">
        <w:rPr>
          <w:sz w:val="24"/>
          <w:szCs w:val="24"/>
        </w:rPr>
        <w:t xml:space="preserve">Metoclopramid er et procainamidderivat. Metoclopramid virker som en dopaminreceptorblokker. Metoclopramid har en centralt virkende antiemetisk effekt og en motilitetsfremmende effekt i mavesækken, tolvfingertarmen og tyndtarmen. Metoclopramid synkroniserer antrale og duodenale kontraktioner. Hos patienter med mavesyre-reflux øger metoclopramid tonus i den kardiale lukkemuskel, øger peristaltikken i den nedre del af spiserøret og reducerer antallet af mavesyre-reflux episoder.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9A68FD" w:rsidRPr="009A68FD" w:rsidRDefault="009A68FD" w:rsidP="009A68FD">
      <w:pPr>
        <w:tabs>
          <w:tab w:val="left" w:pos="851"/>
        </w:tabs>
        <w:ind w:left="851"/>
        <w:rPr>
          <w:sz w:val="24"/>
          <w:szCs w:val="24"/>
        </w:rPr>
      </w:pPr>
      <w:r w:rsidRPr="009A68FD">
        <w:rPr>
          <w:sz w:val="24"/>
          <w:szCs w:val="24"/>
        </w:rPr>
        <w:t xml:space="preserve">Den orale biotilgængelighed er rapporteret til at variere mellem 32 % og 97 %. Der er store individuelle forskelle. Fordelingsvolumen for metoclopramid er cirka 3,5 l/kg. Den terminale halveringstid er 4-6 timer og kan være forlænget hos patienter med nedsat nyrefunktion. Metoclopramid udskilles primært via urinen. Cirka 85 % af dosis elimineres inden for 72 timer, hvoraf 20-30 % udskilles som uændret metoclopramid, og resten som sulfat-eller glucuronidkonjugater eller andre metabolitter. Cirka 5 % udskilles med fæces via galden. </w:t>
      </w:r>
    </w:p>
    <w:p w:rsidR="009A68FD" w:rsidRPr="009A68FD" w:rsidRDefault="009A68FD" w:rsidP="009A68FD">
      <w:pPr>
        <w:tabs>
          <w:tab w:val="left" w:pos="851"/>
        </w:tabs>
        <w:ind w:left="851"/>
        <w:rPr>
          <w:sz w:val="24"/>
          <w:szCs w:val="24"/>
        </w:rPr>
      </w:pPr>
    </w:p>
    <w:p w:rsidR="009A68FD" w:rsidRPr="009A68FD" w:rsidRDefault="009A68FD" w:rsidP="009A68FD">
      <w:pPr>
        <w:tabs>
          <w:tab w:val="left" w:pos="851"/>
        </w:tabs>
        <w:ind w:left="851"/>
        <w:rPr>
          <w:sz w:val="24"/>
          <w:szCs w:val="24"/>
          <w:u w:val="single"/>
        </w:rPr>
      </w:pPr>
      <w:r w:rsidRPr="009A68FD">
        <w:rPr>
          <w:sz w:val="24"/>
          <w:szCs w:val="24"/>
          <w:u w:val="single"/>
        </w:rPr>
        <w:t>Nedsat nyrefunktion</w:t>
      </w:r>
    </w:p>
    <w:p w:rsidR="009A68FD" w:rsidRPr="009A68FD" w:rsidRDefault="009A68FD" w:rsidP="009A68FD">
      <w:pPr>
        <w:tabs>
          <w:tab w:val="left" w:pos="851"/>
        </w:tabs>
        <w:ind w:left="851"/>
        <w:rPr>
          <w:sz w:val="24"/>
          <w:szCs w:val="24"/>
        </w:rPr>
      </w:pPr>
      <w:r w:rsidRPr="009A68FD">
        <w:rPr>
          <w:sz w:val="24"/>
          <w:szCs w:val="24"/>
        </w:rPr>
        <w:t>Metoclopramids clearence er reduceret med op til 70 % hos patienter med svær nyreinsufficiens, mens plasmahalveringstiden er øget (ca. 10 timer ved kreatininclearence 10-50 ml/minut og 15 timer ved  kreatininclearence &lt; 10 ml/minut).</w:t>
      </w:r>
    </w:p>
    <w:p w:rsidR="009A68FD" w:rsidRPr="009A68FD" w:rsidRDefault="009A68FD" w:rsidP="009A68FD">
      <w:pPr>
        <w:tabs>
          <w:tab w:val="left" w:pos="851"/>
        </w:tabs>
        <w:ind w:left="851"/>
        <w:rPr>
          <w:sz w:val="24"/>
          <w:szCs w:val="24"/>
        </w:rPr>
      </w:pPr>
    </w:p>
    <w:p w:rsidR="009A68FD" w:rsidRPr="009A68FD" w:rsidRDefault="009A68FD" w:rsidP="009A68FD">
      <w:pPr>
        <w:tabs>
          <w:tab w:val="left" w:pos="851"/>
        </w:tabs>
        <w:ind w:left="851"/>
        <w:rPr>
          <w:sz w:val="24"/>
          <w:szCs w:val="24"/>
          <w:u w:val="single"/>
        </w:rPr>
      </w:pPr>
      <w:r w:rsidRPr="009A68FD">
        <w:rPr>
          <w:sz w:val="24"/>
          <w:szCs w:val="24"/>
          <w:u w:val="single"/>
        </w:rPr>
        <w:t>Nedsat leverfunktion</w:t>
      </w:r>
    </w:p>
    <w:p w:rsidR="009A68FD" w:rsidRPr="009A68FD" w:rsidRDefault="009A68FD" w:rsidP="009A68FD">
      <w:pPr>
        <w:tabs>
          <w:tab w:val="left" w:pos="851"/>
        </w:tabs>
        <w:ind w:left="851"/>
        <w:rPr>
          <w:sz w:val="24"/>
          <w:szCs w:val="24"/>
        </w:rPr>
      </w:pPr>
      <w:r w:rsidRPr="009A68FD">
        <w:rPr>
          <w:sz w:val="24"/>
          <w:szCs w:val="24"/>
        </w:rPr>
        <w:t xml:space="preserve">Hos patienter med levercirrose er akkumulation af metoclopramid observeret, i forbindelse med 50 % reduktion i plasmaclearence. </w:t>
      </w:r>
    </w:p>
    <w:p w:rsidR="009A68FD" w:rsidRPr="009A68FD" w:rsidRDefault="009A68FD" w:rsidP="009A68FD">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9A68FD" w:rsidRPr="009A68FD" w:rsidRDefault="009A68FD" w:rsidP="009A68FD">
      <w:pPr>
        <w:tabs>
          <w:tab w:val="left" w:pos="851"/>
        </w:tabs>
        <w:ind w:left="851"/>
        <w:rPr>
          <w:sz w:val="24"/>
          <w:szCs w:val="24"/>
        </w:rPr>
      </w:pPr>
      <w:r w:rsidRPr="009A68FD">
        <w:rPr>
          <w:sz w:val="24"/>
          <w:szCs w:val="24"/>
        </w:rPr>
        <w:t>Dyrestudier viser ingen yderlig sikkerhedsrisiko for mennesker. Dette er baseret på data fra studier af sikkerhedsfarmakologi, og data på toksicitet, genotoksicitet, karcinogent potentiale samt reproduktionstoksicitet efter gentagne doser.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7C74B3" w:rsidRDefault="007C74B3" w:rsidP="007C74B3">
      <w:pPr>
        <w:tabs>
          <w:tab w:val="left" w:pos="851"/>
        </w:tabs>
        <w:ind w:left="851"/>
        <w:rPr>
          <w:sz w:val="24"/>
          <w:szCs w:val="24"/>
          <w:u w:val="single"/>
        </w:rPr>
      </w:pPr>
    </w:p>
    <w:p w:rsidR="007C74B3" w:rsidRPr="007C74B3" w:rsidRDefault="007C74B3" w:rsidP="007C74B3">
      <w:pPr>
        <w:tabs>
          <w:tab w:val="left" w:pos="851"/>
        </w:tabs>
        <w:ind w:left="851"/>
        <w:rPr>
          <w:sz w:val="24"/>
          <w:szCs w:val="24"/>
          <w:u w:val="single"/>
        </w:rPr>
      </w:pPr>
      <w:r w:rsidRPr="007C74B3">
        <w:rPr>
          <w:sz w:val="24"/>
          <w:szCs w:val="24"/>
          <w:u w:val="single"/>
        </w:rPr>
        <w:t>Tabletkerne</w:t>
      </w:r>
    </w:p>
    <w:p w:rsidR="007C74B3" w:rsidRPr="007C74B3" w:rsidRDefault="007C74B3" w:rsidP="007C74B3">
      <w:pPr>
        <w:tabs>
          <w:tab w:val="left" w:pos="851"/>
        </w:tabs>
        <w:ind w:left="851"/>
        <w:rPr>
          <w:sz w:val="24"/>
          <w:szCs w:val="24"/>
        </w:rPr>
      </w:pPr>
      <w:r w:rsidRPr="007C74B3">
        <w:rPr>
          <w:sz w:val="24"/>
          <w:szCs w:val="24"/>
        </w:rPr>
        <w:t>Majsstivelse</w:t>
      </w:r>
    </w:p>
    <w:p w:rsidR="007C74B3" w:rsidRPr="007C74B3" w:rsidRDefault="007C74B3" w:rsidP="007C74B3">
      <w:pPr>
        <w:tabs>
          <w:tab w:val="left" w:pos="851"/>
        </w:tabs>
        <w:ind w:left="851"/>
        <w:rPr>
          <w:sz w:val="24"/>
          <w:szCs w:val="24"/>
        </w:rPr>
      </w:pPr>
      <w:r w:rsidRPr="007C74B3">
        <w:rPr>
          <w:sz w:val="24"/>
          <w:szCs w:val="24"/>
        </w:rPr>
        <w:t>Pregelatineret stivelse</w:t>
      </w:r>
    </w:p>
    <w:p w:rsidR="007C74B3" w:rsidRPr="007C74B3" w:rsidRDefault="007C74B3" w:rsidP="007C74B3">
      <w:pPr>
        <w:tabs>
          <w:tab w:val="left" w:pos="851"/>
        </w:tabs>
        <w:ind w:left="851"/>
        <w:rPr>
          <w:sz w:val="24"/>
          <w:szCs w:val="24"/>
        </w:rPr>
      </w:pPr>
      <w:r w:rsidRPr="007C74B3">
        <w:rPr>
          <w:sz w:val="24"/>
          <w:szCs w:val="24"/>
        </w:rPr>
        <w:t>Cellulose, mikrokrystallinsk (E460 (i))</w:t>
      </w:r>
    </w:p>
    <w:p w:rsidR="007C74B3" w:rsidRPr="007C74B3" w:rsidRDefault="007C74B3" w:rsidP="007C74B3">
      <w:pPr>
        <w:tabs>
          <w:tab w:val="left" w:pos="851"/>
        </w:tabs>
        <w:ind w:left="851"/>
        <w:rPr>
          <w:sz w:val="24"/>
          <w:szCs w:val="24"/>
        </w:rPr>
      </w:pPr>
      <w:r w:rsidRPr="007C74B3">
        <w:rPr>
          <w:sz w:val="24"/>
          <w:szCs w:val="24"/>
        </w:rPr>
        <w:t>Kolloid, vandfri silica</w:t>
      </w:r>
    </w:p>
    <w:p w:rsidR="007C74B3" w:rsidRPr="007C74B3" w:rsidRDefault="007C74B3" w:rsidP="007C74B3">
      <w:pPr>
        <w:tabs>
          <w:tab w:val="left" w:pos="851"/>
        </w:tabs>
        <w:ind w:left="851"/>
        <w:rPr>
          <w:sz w:val="24"/>
          <w:szCs w:val="24"/>
        </w:rPr>
      </w:pPr>
      <w:r w:rsidRPr="007C74B3">
        <w:rPr>
          <w:sz w:val="24"/>
          <w:szCs w:val="24"/>
        </w:rPr>
        <w:t>Stearinsyre</w:t>
      </w:r>
    </w:p>
    <w:p w:rsidR="007C74B3" w:rsidRPr="007C74B3" w:rsidRDefault="007C74B3" w:rsidP="007C74B3">
      <w:pPr>
        <w:tabs>
          <w:tab w:val="left" w:pos="851"/>
        </w:tabs>
        <w:ind w:left="851"/>
        <w:rPr>
          <w:sz w:val="24"/>
          <w:szCs w:val="24"/>
          <w:u w:val="single"/>
        </w:rPr>
      </w:pPr>
    </w:p>
    <w:p w:rsidR="007C74B3" w:rsidRPr="007C74B3" w:rsidRDefault="007C74B3" w:rsidP="007C74B3">
      <w:pPr>
        <w:tabs>
          <w:tab w:val="left" w:pos="851"/>
        </w:tabs>
        <w:ind w:left="851"/>
        <w:rPr>
          <w:sz w:val="24"/>
          <w:szCs w:val="24"/>
          <w:u w:val="single"/>
        </w:rPr>
      </w:pPr>
      <w:r w:rsidRPr="007C74B3">
        <w:rPr>
          <w:sz w:val="24"/>
          <w:szCs w:val="24"/>
          <w:u w:val="single"/>
        </w:rPr>
        <w:t>Filmovertræk</w:t>
      </w:r>
    </w:p>
    <w:p w:rsidR="007C74B3" w:rsidRPr="007C74B3" w:rsidRDefault="007C74B3" w:rsidP="007C74B3">
      <w:pPr>
        <w:tabs>
          <w:tab w:val="left" w:pos="851"/>
        </w:tabs>
        <w:ind w:left="851"/>
        <w:rPr>
          <w:sz w:val="24"/>
          <w:szCs w:val="24"/>
        </w:rPr>
      </w:pPr>
      <w:r w:rsidRPr="007C74B3">
        <w:rPr>
          <w:sz w:val="24"/>
          <w:szCs w:val="24"/>
        </w:rPr>
        <w:t>Hypromellose</w:t>
      </w:r>
    </w:p>
    <w:p w:rsidR="007C74B3" w:rsidRPr="007D0242" w:rsidRDefault="007C74B3" w:rsidP="007C74B3">
      <w:pPr>
        <w:tabs>
          <w:tab w:val="left" w:pos="851"/>
        </w:tabs>
        <w:ind w:left="851"/>
        <w:rPr>
          <w:sz w:val="24"/>
          <w:szCs w:val="24"/>
        </w:rPr>
      </w:pPr>
      <w:r w:rsidRPr="007D0242">
        <w:rPr>
          <w:sz w:val="24"/>
          <w:szCs w:val="24"/>
        </w:rPr>
        <w:t>Macrogol</w:t>
      </w:r>
    </w:p>
    <w:p w:rsidR="007C74B3" w:rsidRPr="007D0242" w:rsidRDefault="007C74B3" w:rsidP="007C74B3">
      <w:pPr>
        <w:tabs>
          <w:tab w:val="left" w:pos="851"/>
        </w:tabs>
        <w:ind w:left="851"/>
        <w:rPr>
          <w:sz w:val="24"/>
          <w:szCs w:val="24"/>
        </w:rPr>
      </w:pPr>
      <w:r w:rsidRPr="007D0242">
        <w:rPr>
          <w:sz w:val="24"/>
          <w:szCs w:val="24"/>
        </w:rPr>
        <w:t>Titandioxid (E171)</w:t>
      </w:r>
    </w:p>
    <w:p w:rsidR="007C74B3" w:rsidRPr="007D0242" w:rsidRDefault="007C74B3" w:rsidP="007C74B3">
      <w:pPr>
        <w:tabs>
          <w:tab w:val="left" w:pos="851"/>
        </w:tabs>
        <w:ind w:left="851"/>
        <w:rPr>
          <w:sz w:val="24"/>
          <w:szCs w:val="24"/>
        </w:rPr>
      </w:pPr>
      <w:r w:rsidRPr="007D0242">
        <w:rPr>
          <w:sz w:val="24"/>
          <w:szCs w:val="24"/>
        </w:rPr>
        <w:t>Talcum (E533b)</w:t>
      </w:r>
    </w:p>
    <w:p w:rsidR="009260DE" w:rsidRPr="007D0242"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B713CA" w:rsidRPr="00B713CA" w:rsidRDefault="00B713CA" w:rsidP="00B713CA">
      <w:pPr>
        <w:tabs>
          <w:tab w:val="left" w:pos="851"/>
        </w:tabs>
        <w:ind w:left="851"/>
        <w:rPr>
          <w:sz w:val="24"/>
          <w:szCs w:val="24"/>
        </w:rPr>
      </w:pPr>
      <w:r w:rsidRPr="00B713CA">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B713CA" w:rsidRPr="00B713CA" w:rsidRDefault="00B713CA" w:rsidP="00B713CA">
      <w:pPr>
        <w:tabs>
          <w:tab w:val="left" w:pos="851"/>
        </w:tabs>
        <w:ind w:left="851"/>
        <w:rPr>
          <w:sz w:val="24"/>
          <w:szCs w:val="24"/>
        </w:rPr>
      </w:pPr>
      <w:r w:rsidRPr="00B713CA">
        <w:rPr>
          <w:sz w:val="24"/>
          <w:szCs w:val="24"/>
        </w:rPr>
        <w:t>3 år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B713CA" w:rsidRPr="00B713CA" w:rsidRDefault="00B713CA" w:rsidP="00B713CA">
      <w:pPr>
        <w:tabs>
          <w:tab w:val="left" w:pos="851"/>
        </w:tabs>
        <w:ind w:left="851"/>
        <w:rPr>
          <w:sz w:val="24"/>
          <w:szCs w:val="24"/>
        </w:rPr>
      </w:pPr>
      <w:r w:rsidRPr="00B713CA">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713CA" w:rsidRDefault="00B713CA" w:rsidP="00B713CA">
      <w:pPr>
        <w:tabs>
          <w:tab w:val="left" w:pos="851"/>
        </w:tabs>
        <w:ind w:left="851"/>
        <w:rPr>
          <w:iCs/>
          <w:sz w:val="24"/>
          <w:szCs w:val="24"/>
        </w:rPr>
      </w:pPr>
    </w:p>
    <w:p w:rsidR="00B713CA" w:rsidRPr="00B713CA" w:rsidRDefault="00B713CA" w:rsidP="00B713CA">
      <w:pPr>
        <w:tabs>
          <w:tab w:val="left" w:pos="851"/>
        </w:tabs>
        <w:ind w:left="851"/>
        <w:rPr>
          <w:iCs/>
          <w:sz w:val="24"/>
          <w:szCs w:val="24"/>
          <w:u w:val="single"/>
        </w:rPr>
      </w:pPr>
      <w:r w:rsidRPr="00B713CA">
        <w:rPr>
          <w:iCs/>
          <w:sz w:val="24"/>
          <w:szCs w:val="24"/>
          <w:u w:val="single"/>
        </w:rPr>
        <w:t>Klar PVDC/PVC/Aluminium blisterpakning, placeret i en ydre karton</w:t>
      </w:r>
    </w:p>
    <w:p w:rsidR="00B713CA" w:rsidRPr="00B713CA" w:rsidRDefault="00B713CA" w:rsidP="00B713CA">
      <w:pPr>
        <w:tabs>
          <w:tab w:val="left" w:pos="851"/>
        </w:tabs>
        <w:ind w:left="851"/>
        <w:rPr>
          <w:iCs/>
          <w:sz w:val="24"/>
          <w:szCs w:val="24"/>
        </w:rPr>
      </w:pPr>
      <w:r>
        <w:rPr>
          <w:iCs/>
          <w:sz w:val="24"/>
          <w:szCs w:val="24"/>
        </w:rPr>
        <w:t>P</w:t>
      </w:r>
      <w:r w:rsidRPr="00B713CA">
        <w:rPr>
          <w:iCs/>
          <w:sz w:val="24"/>
          <w:szCs w:val="24"/>
        </w:rPr>
        <w:t>akningsstørrelser: 20, 50, 60 og 100 filmovertrukne tabletter.</w:t>
      </w:r>
    </w:p>
    <w:p w:rsidR="00B713CA" w:rsidRPr="00B713CA" w:rsidRDefault="00B713CA" w:rsidP="00B713CA">
      <w:pPr>
        <w:tabs>
          <w:tab w:val="left" w:pos="851"/>
        </w:tabs>
        <w:ind w:left="851"/>
        <w:rPr>
          <w:iCs/>
          <w:sz w:val="24"/>
          <w:szCs w:val="24"/>
        </w:rPr>
      </w:pPr>
    </w:p>
    <w:p w:rsidR="00B713CA" w:rsidRPr="00B713CA" w:rsidRDefault="00B713CA" w:rsidP="00B713CA">
      <w:pPr>
        <w:tabs>
          <w:tab w:val="left" w:pos="851"/>
        </w:tabs>
        <w:ind w:left="851"/>
        <w:rPr>
          <w:iCs/>
          <w:sz w:val="24"/>
          <w:szCs w:val="24"/>
          <w:u w:val="single"/>
        </w:rPr>
      </w:pPr>
      <w:r w:rsidRPr="00B713CA">
        <w:rPr>
          <w:iCs/>
          <w:sz w:val="24"/>
          <w:szCs w:val="24"/>
          <w:u w:val="single"/>
        </w:rPr>
        <w:t>HDPE-beholder med skruelåg og foring</w:t>
      </w:r>
    </w:p>
    <w:p w:rsidR="00B713CA" w:rsidRPr="00B713CA" w:rsidRDefault="00B713CA" w:rsidP="00B713CA">
      <w:pPr>
        <w:tabs>
          <w:tab w:val="left" w:pos="851"/>
        </w:tabs>
        <w:ind w:left="851"/>
        <w:rPr>
          <w:iCs/>
          <w:sz w:val="24"/>
          <w:szCs w:val="24"/>
        </w:rPr>
      </w:pPr>
      <w:r>
        <w:rPr>
          <w:iCs/>
          <w:sz w:val="24"/>
          <w:szCs w:val="24"/>
        </w:rPr>
        <w:t>P</w:t>
      </w:r>
      <w:r w:rsidRPr="00B713CA">
        <w:rPr>
          <w:iCs/>
          <w:sz w:val="24"/>
          <w:szCs w:val="24"/>
        </w:rPr>
        <w:t>akningsstørrelser: 35, 45, 105 og 112 filmovertrukne tabletter.</w:t>
      </w:r>
    </w:p>
    <w:p w:rsidR="00B713CA" w:rsidRPr="00B713CA" w:rsidRDefault="00B713CA" w:rsidP="00B713CA">
      <w:pPr>
        <w:tabs>
          <w:tab w:val="left" w:pos="851"/>
        </w:tabs>
        <w:ind w:left="851"/>
        <w:rPr>
          <w:iCs/>
          <w:sz w:val="24"/>
          <w:szCs w:val="24"/>
        </w:rPr>
      </w:pPr>
    </w:p>
    <w:p w:rsidR="00B713CA" w:rsidRPr="00B713CA" w:rsidRDefault="00B713CA" w:rsidP="00B713CA">
      <w:pPr>
        <w:tabs>
          <w:tab w:val="left" w:pos="851"/>
        </w:tabs>
        <w:ind w:left="851"/>
        <w:rPr>
          <w:sz w:val="24"/>
          <w:szCs w:val="24"/>
        </w:rPr>
      </w:pPr>
      <w:r w:rsidRPr="00B713CA">
        <w:rPr>
          <w:iCs/>
          <w:sz w:val="24"/>
          <w:szCs w:val="24"/>
        </w:rPr>
        <w:t xml:space="preserve">Ikke alle pakningsstørrelser er nødvendigvis markedsført.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AF6148" w:rsidRPr="00AF6148" w:rsidRDefault="00AF6148" w:rsidP="00AF6148">
      <w:pPr>
        <w:tabs>
          <w:tab w:val="left" w:pos="851"/>
        </w:tabs>
        <w:ind w:left="851"/>
        <w:rPr>
          <w:sz w:val="24"/>
          <w:szCs w:val="24"/>
        </w:rPr>
      </w:pPr>
      <w:r w:rsidRPr="00AF6148">
        <w:rPr>
          <w:sz w:val="24"/>
          <w:szCs w:val="24"/>
        </w:rPr>
        <w:t>Ingen særlige forholdsregler ved bortskaffelse</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F6148" w:rsidRPr="00AF6148" w:rsidRDefault="00AF6148" w:rsidP="00AF6148">
      <w:pPr>
        <w:tabs>
          <w:tab w:val="left" w:pos="851"/>
        </w:tabs>
        <w:ind w:left="851"/>
        <w:rPr>
          <w:sz w:val="24"/>
          <w:szCs w:val="24"/>
          <w:lang w:val="sv-SE"/>
        </w:rPr>
      </w:pPr>
      <w:r w:rsidRPr="00AF6148">
        <w:rPr>
          <w:sz w:val="24"/>
          <w:szCs w:val="24"/>
          <w:lang w:val="sv-SE"/>
        </w:rPr>
        <w:t xml:space="preserve">Medical Valley Invest AB </w:t>
      </w:r>
    </w:p>
    <w:p w:rsidR="00AF6148" w:rsidRPr="00AF6148" w:rsidRDefault="00AF6148" w:rsidP="00AF6148">
      <w:pPr>
        <w:tabs>
          <w:tab w:val="left" w:pos="851"/>
        </w:tabs>
        <w:ind w:left="851"/>
        <w:rPr>
          <w:sz w:val="24"/>
          <w:szCs w:val="24"/>
          <w:lang w:val="sv-SE"/>
        </w:rPr>
      </w:pPr>
      <w:r w:rsidRPr="00AF6148">
        <w:rPr>
          <w:sz w:val="24"/>
          <w:szCs w:val="24"/>
          <w:lang w:val="sv-SE"/>
        </w:rPr>
        <w:t xml:space="preserve">Brädgårdsvägen 28 </w:t>
      </w:r>
    </w:p>
    <w:p w:rsidR="00AF6148" w:rsidRPr="00AF6148" w:rsidRDefault="00AF6148" w:rsidP="00AF6148">
      <w:pPr>
        <w:tabs>
          <w:tab w:val="left" w:pos="851"/>
        </w:tabs>
        <w:ind w:left="851"/>
        <w:rPr>
          <w:sz w:val="24"/>
          <w:szCs w:val="24"/>
        </w:rPr>
      </w:pPr>
      <w:r w:rsidRPr="00AF6148">
        <w:rPr>
          <w:sz w:val="24"/>
          <w:szCs w:val="24"/>
        </w:rPr>
        <w:t>236 32 Höllviken</w:t>
      </w:r>
    </w:p>
    <w:p w:rsidR="00AF6148" w:rsidRPr="00AF6148" w:rsidRDefault="00AF6148" w:rsidP="00AF6148">
      <w:pPr>
        <w:tabs>
          <w:tab w:val="left" w:pos="851"/>
        </w:tabs>
        <w:ind w:left="851"/>
        <w:rPr>
          <w:sz w:val="24"/>
          <w:szCs w:val="24"/>
        </w:rPr>
      </w:pPr>
      <w:r w:rsidRPr="00AF6148">
        <w:rPr>
          <w:sz w:val="24"/>
          <w:szCs w:val="24"/>
        </w:rPr>
        <w:t>Sverige</w:t>
      </w:r>
    </w:p>
    <w:p w:rsidR="00641C65" w:rsidRPr="00641C65" w:rsidRDefault="00641C6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AF6148" w:rsidP="009260DE">
      <w:pPr>
        <w:tabs>
          <w:tab w:val="left" w:pos="851"/>
        </w:tabs>
        <w:ind w:left="851"/>
        <w:rPr>
          <w:sz w:val="24"/>
          <w:szCs w:val="24"/>
        </w:rPr>
      </w:pPr>
      <w:r>
        <w:rPr>
          <w:sz w:val="24"/>
          <w:szCs w:val="24"/>
        </w:rPr>
        <w:t>70213</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7D0242" w:rsidP="009260DE">
      <w:pPr>
        <w:tabs>
          <w:tab w:val="left" w:pos="851"/>
        </w:tabs>
        <w:ind w:left="851"/>
        <w:rPr>
          <w:sz w:val="24"/>
          <w:szCs w:val="24"/>
        </w:rPr>
      </w:pPr>
      <w:r>
        <w:rPr>
          <w:sz w:val="24"/>
          <w:szCs w:val="24"/>
        </w:rPr>
        <w:t>27. januar 2025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AF6148"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016" w:rsidRDefault="00AA5016">
      <w:r>
        <w:separator/>
      </w:r>
    </w:p>
  </w:endnote>
  <w:endnote w:type="continuationSeparator" w:id="0">
    <w:p w:rsidR="00AA5016" w:rsidRDefault="00AA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D4B60">
      <w:rPr>
        <w:i/>
        <w:noProof/>
        <w:sz w:val="18"/>
        <w:szCs w:val="18"/>
      </w:rPr>
      <w:t>Metoclopramide Medical Valley, filmovertrukne tabletter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016" w:rsidRDefault="00AA5016">
      <w:r>
        <w:separator/>
      </w:r>
    </w:p>
  </w:footnote>
  <w:footnote w:type="continuationSeparator" w:id="0">
    <w:p w:rsidR="00AA5016" w:rsidRDefault="00AA5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E831CBA"/>
    <w:multiLevelType w:val="hybridMultilevel"/>
    <w:tmpl w:val="073254DE"/>
    <w:lvl w:ilvl="0" w:tplc="1AB8592C">
      <w:numFmt w:val="bullet"/>
      <w:lvlText w:val="-"/>
      <w:lvlJc w:val="left"/>
      <w:pPr>
        <w:tabs>
          <w:tab w:val="num" w:pos="720"/>
        </w:tabs>
        <w:ind w:left="720" w:hanging="360"/>
      </w:pPr>
      <w:rPr>
        <w:rFonts w:ascii="Times New Roman" w:eastAsia="Times New Roman" w:hAnsi="Times New Roman" w:cs="Times New Roman" w:hint="default"/>
      </w:rPr>
    </w:lvl>
    <w:lvl w:ilvl="1" w:tplc="6B46F180">
      <w:start w:val="1"/>
      <w:numFmt w:val="bullet"/>
      <w:lvlText w:val="o"/>
      <w:lvlJc w:val="left"/>
      <w:pPr>
        <w:tabs>
          <w:tab w:val="num" w:pos="1440"/>
        </w:tabs>
        <w:ind w:left="1440" w:hanging="360"/>
      </w:pPr>
      <w:rPr>
        <w:rFonts w:ascii="Courier New" w:hAnsi="Courier New" w:cs="Courier New" w:hint="default"/>
      </w:rPr>
    </w:lvl>
    <w:lvl w:ilvl="2" w:tplc="66F40686">
      <w:start w:val="1"/>
      <w:numFmt w:val="bullet"/>
      <w:lvlText w:val=""/>
      <w:lvlJc w:val="left"/>
      <w:pPr>
        <w:tabs>
          <w:tab w:val="num" w:pos="2160"/>
        </w:tabs>
        <w:ind w:left="2160" w:hanging="360"/>
      </w:pPr>
      <w:rPr>
        <w:rFonts w:ascii="Wingdings" w:hAnsi="Wingdings" w:hint="default"/>
      </w:rPr>
    </w:lvl>
    <w:lvl w:ilvl="3" w:tplc="9124BCFC">
      <w:start w:val="1"/>
      <w:numFmt w:val="bullet"/>
      <w:lvlText w:val=""/>
      <w:lvlJc w:val="left"/>
      <w:pPr>
        <w:tabs>
          <w:tab w:val="num" w:pos="2880"/>
        </w:tabs>
        <w:ind w:left="2880" w:hanging="360"/>
      </w:pPr>
      <w:rPr>
        <w:rFonts w:ascii="Symbol" w:hAnsi="Symbol" w:hint="default"/>
      </w:rPr>
    </w:lvl>
    <w:lvl w:ilvl="4" w:tplc="B568DFF0">
      <w:start w:val="1"/>
      <w:numFmt w:val="bullet"/>
      <w:lvlText w:val="o"/>
      <w:lvlJc w:val="left"/>
      <w:pPr>
        <w:tabs>
          <w:tab w:val="num" w:pos="3600"/>
        </w:tabs>
        <w:ind w:left="3600" w:hanging="360"/>
      </w:pPr>
      <w:rPr>
        <w:rFonts w:ascii="Courier New" w:hAnsi="Courier New" w:cs="Courier New" w:hint="default"/>
      </w:rPr>
    </w:lvl>
    <w:lvl w:ilvl="5" w:tplc="73E81A6A">
      <w:start w:val="1"/>
      <w:numFmt w:val="bullet"/>
      <w:lvlText w:val=""/>
      <w:lvlJc w:val="left"/>
      <w:pPr>
        <w:tabs>
          <w:tab w:val="num" w:pos="4320"/>
        </w:tabs>
        <w:ind w:left="4320" w:hanging="360"/>
      </w:pPr>
      <w:rPr>
        <w:rFonts w:ascii="Wingdings" w:hAnsi="Wingdings" w:hint="default"/>
      </w:rPr>
    </w:lvl>
    <w:lvl w:ilvl="6" w:tplc="A70E5C68">
      <w:start w:val="1"/>
      <w:numFmt w:val="bullet"/>
      <w:lvlText w:val=""/>
      <w:lvlJc w:val="left"/>
      <w:pPr>
        <w:tabs>
          <w:tab w:val="num" w:pos="5040"/>
        </w:tabs>
        <w:ind w:left="5040" w:hanging="360"/>
      </w:pPr>
      <w:rPr>
        <w:rFonts w:ascii="Symbol" w:hAnsi="Symbol" w:hint="default"/>
      </w:rPr>
    </w:lvl>
    <w:lvl w:ilvl="7" w:tplc="58D2FF46">
      <w:start w:val="1"/>
      <w:numFmt w:val="bullet"/>
      <w:lvlText w:val="o"/>
      <w:lvlJc w:val="left"/>
      <w:pPr>
        <w:tabs>
          <w:tab w:val="num" w:pos="5760"/>
        </w:tabs>
        <w:ind w:left="5760" w:hanging="360"/>
      </w:pPr>
      <w:rPr>
        <w:rFonts w:ascii="Courier New" w:hAnsi="Courier New" w:cs="Courier New" w:hint="default"/>
      </w:rPr>
    </w:lvl>
    <w:lvl w:ilvl="8" w:tplc="EB829F3A">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16"/>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30F90"/>
    <w:rsid w:val="003A29AE"/>
    <w:rsid w:val="003A32D7"/>
    <w:rsid w:val="003B4074"/>
    <w:rsid w:val="003C37A7"/>
    <w:rsid w:val="003C769A"/>
    <w:rsid w:val="003D3A90"/>
    <w:rsid w:val="003F1838"/>
    <w:rsid w:val="004251C1"/>
    <w:rsid w:val="0045746C"/>
    <w:rsid w:val="0049104B"/>
    <w:rsid w:val="004E3B12"/>
    <w:rsid w:val="00532310"/>
    <w:rsid w:val="00565F0F"/>
    <w:rsid w:val="005803BD"/>
    <w:rsid w:val="00594A86"/>
    <w:rsid w:val="00596D86"/>
    <w:rsid w:val="00615712"/>
    <w:rsid w:val="00637F5A"/>
    <w:rsid w:val="00641C65"/>
    <w:rsid w:val="006560B1"/>
    <w:rsid w:val="006756DD"/>
    <w:rsid w:val="0071241E"/>
    <w:rsid w:val="00737275"/>
    <w:rsid w:val="00740EEC"/>
    <w:rsid w:val="0078011A"/>
    <w:rsid w:val="00782AF4"/>
    <w:rsid w:val="00790EE7"/>
    <w:rsid w:val="007B6649"/>
    <w:rsid w:val="007C74B3"/>
    <w:rsid w:val="007D0242"/>
    <w:rsid w:val="0082576E"/>
    <w:rsid w:val="0089346F"/>
    <w:rsid w:val="00907F75"/>
    <w:rsid w:val="009260DE"/>
    <w:rsid w:val="0093258A"/>
    <w:rsid w:val="009A68FD"/>
    <w:rsid w:val="009C7BA3"/>
    <w:rsid w:val="009D1F5A"/>
    <w:rsid w:val="00A10294"/>
    <w:rsid w:val="00A71E15"/>
    <w:rsid w:val="00AA5016"/>
    <w:rsid w:val="00AF6148"/>
    <w:rsid w:val="00B003BF"/>
    <w:rsid w:val="00B373D7"/>
    <w:rsid w:val="00B55271"/>
    <w:rsid w:val="00B713CA"/>
    <w:rsid w:val="00BD1EBD"/>
    <w:rsid w:val="00BD7931"/>
    <w:rsid w:val="00BF6243"/>
    <w:rsid w:val="00C36276"/>
    <w:rsid w:val="00C42586"/>
    <w:rsid w:val="00C45F6B"/>
    <w:rsid w:val="00C60CCD"/>
    <w:rsid w:val="00C84483"/>
    <w:rsid w:val="00C95551"/>
    <w:rsid w:val="00CA136D"/>
    <w:rsid w:val="00CB20D7"/>
    <w:rsid w:val="00D020B0"/>
    <w:rsid w:val="00D11748"/>
    <w:rsid w:val="00D237F6"/>
    <w:rsid w:val="00D34D98"/>
    <w:rsid w:val="00D366CF"/>
    <w:rsid w:val="00D93992"/>
    <w:rsid w:val="00E108AA"/>
    <w:rsid w:val="00E3749A"/>
    <w:rsid w:val="00E7437F"/>
    <w:rsid w:val="00E865B8"/>
    <w:rsid w:val="00E90F25"/>
    <w:rsid w:val="00EC0B9B"/>
    <w:rsid w:val="00ED4B60"/>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7B643"/>
  <w15:chartTrackingRefBased/>
  <w15:docId w15:val="{96CABC51-1663-41C2-B4C6-0458B02D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ED4B60"/>
    <w:pPr>
      <w:widowControl w:val="0"/>
      <w:autoSpaceDE w:val="0"/>
      <w:autoSpaceDN w:val="0"/>
      <w:spacing w:line="244" w:lineRule="exact"/>
      <w:ind w:left="111"/>
    </w:pPr>
    <w:rPr>
      <w:sz w:val="22"/>
      <w:szCs w:val="22"/>
      <w:lang w:val="en-US"/>
    </w:rPr>
  </w:style>
  <w:style w:type="character" w:styleId="Hyperlink">
    <w:name w:val="Hyperlink"/>
    <w:uiPriority w:val="99"/>
    <w:semiHidden/>
    <w:unhideWhenUsed/>
    <w:rsid w:val="00330F90"/>
    <w:rPr>
      <w:color w:val="0000FF"/>
      <w:u w:val="single"/>
    </w:rPr>
  </w:style>
  <w:style w:type="paragraph" w:styleId="Listeafsnit">
    <w:name w:val="List Paragraph"/>
    <w:basedOn w:val="Normal"/>
    <w:uiPriority w:val="1"/>
    <w:qFormat/>
    <w:rsid w:val="00330F90"/>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9628">
      <w:bodyDiv w:val="1"/>
      <w:marLeft w:val="0"/>
      <w:marRight w:val="0"/>
      <w:marTop w:val="0"/>
      <w:marBottom w:val="0"/>
      <w:divBdr>
        <w:top w:val="none" w:sz="0" w:space="0" w:color="auto"/>
        <w:left w:val="none" w:sz="0" w:space="0" w:color="auto"/>
        <w:bottom w:val="none" w:sz="0" w:space="0" w:color="auto"/>
        <w:right w:val="none" w:sz="0" w:space="0" w:color="auto"/>
      </w:divBdr>
    </w:div>
    <w:div w:id="97990999">
      <w:bodyDiv w:val="1"/>
      <w:marLeft w:val="0"/>
      <w:marRight w:val="0"/>
      <w:marTop w:val="0"/>
      <w:marBottom w:val="0"/>
      <w:divBdr>
        <w:top w:val="none" w:sz="0" w:space="0" w:color="auto"/>
        <w:left w:val="none" w:sz="0" w:space="0" w:color="auto"/>
        <w:bottom w:val="none" w:sz="0" w:space="0" w:color="auto"/>
        <w:right w:val="none" w:sz="0" w:space="0" w:color="auto"/>
      </w:divBdr>
    </w:div>
    <w:div w:id="98306210">
      <w:bodyDiv w:val="1"/>
      <w:marLeft w:val="0"/>
      <w:marRight w:val="0"/>
      <w:marTop w:val="0"/>
      <w:marBottom w:val="0"/>
      <w:divBdr>
        <w:top w:val="none" w:sz="0" w:space="0" w:color="auto"/>
        <w:left w:val="none" w:sz="0" w:space="0" w:color="auto"/>
        <w:bottom w:val="none" w:sz="0" w:space="0" w:color="auto"/>
        <w:right w:val="none" w:sz="0" w:space="0" w:color="auto"/>
      </w:divBdr>
    </w:div>
    <w:div w:id="122578087">
      <w:bodyDiv w:val="1"/>
      <w:marLeft w:val="0"/>
      <w:marRight w:val="0"/>
      <w:marTop w:val="0"/>
      <w:marBottom w:val="0"/>
      <w:divBdr>
        <w:top w:val="none" w:sz="0" w:space="0" w:color="auto"/>
        <w:left w:val="none" w:sz="0" w:space="0" w:color="auto"/>
        <w:bottom w:val="none" w:sz="0" w:space="0" w:color="auto"/>
        <w:right w:val="none" w:sz="0" w:space="0" w:color="auto"/>
      </w:divBdr>
    </w:div>
    <w:div w:id="13070833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2600544">
      <w:bodyDiv w:val="1"/>
      <w:marLeft w:val="0"/>
      <w:marRight w:val="0"/>
      <w:marTop w:val="0"/>
      <w:marBottom w:val="0"/>
      <w:divBdr>
        <w:top w:val="none" w:sz="0" w:space="0" w:color="auto"/>
        <w:left w:val="none" w:sz="0" w:space="0" w:color="auto"/>
        <w:bottom w:val="none" w:sz="0" w:space="0" w:color="auto"/>
        <w:right w:val="none" w:sz="0" w:space="0" w:color="auto"/>
      </w:divBdr>
    </w:div>
    <w:div w:id="284702635">
      <w:bodyDiv w:val="1"/>
      <w:marLeft w:val="0"/>
      <w:marRight w:val="0"/>
      <w:marTop w:val="0"/>
      <w:marBottom w:val="0"/>
      <w:divBdr>
        <w:top w:val="none" w:sz="0" w:space="0" w:color="auto"/>
        <w:left w:val="none" w:sz="0" w:space="0" w:color="auto"/>
        <w:bottom w:val="none" w:sz="0" w:space="0" w:color="auto"/>
        <w:right w:val="none" w:sz="0" w:space="0" w:color="auto"/>
      </w:divBdr>
    </w:div>
    <w:div w:id="413746701">
      <w:bodyDiv w:val="1"/>
      <w:marLeft w:val="0"/>
      <w:marRight w:val="0"/>
      <w:marTop w:val="0"/>
      <w:marBottom w:val="0"/>
      <w:divBdr>
        <w:top w:val="none" w:sz="0" w:space="0" w:color="auto"/>
        <w:left w:val="none" w:sz="0" w:space="0" w:color="auto"/>
        <w:bottom w:val="none" w:sz="0" w:space="0" w:color="auto"/>
        <w:right w:val="none" w:sz="0" w:space="0" w:color="auto"/>
      </w:divBdr>
    </w:div>
    <w:div w:id="576866007">
      <w:bodyDiv w:val="1"/>
      <w:marLeft w:val="0"/>
      <w:marRight w:val="0"/>
      <w:marTop w:val="0"/>
      <w:marBottom w:val="0"/>
      <w:divBdr>
        <w:top w:val="none" w:sz="0" w:space="0" w:color="auto"/>
        <w:left w:val="none" w:sz="0" w:space="0" w:color="auto"/>
        <w:bottom w:val="none" w:sz="0" w:space="0" w:color="auto"/>
        <w:right w:val="none" w:sz="0" w:space="0" w:color="auto"/>
      </w:divBdr>
    </w:div>
    <w:div w:id="617837008">
      <w:bodyDiv w:val="1"/>
      <w:marLeft w:val="0"/>
      <w:marRight w:val="0"/>
      <w:marTop w:val="0"/>
      <w:marBottom w:val="0"/>
      <w:divBdr>
        <w:top w:val="none" w:sz="0" w:space="0" w:color="auto"/>
        <w:left w:val="none" w:sz="0" w:space="0" w:color="auto"/>
        <w:bottom w:val="none" w:sz="0" w:space="0" w:color="auto"/>
        <w:right w:val="none" w:sz="0" w:space="0" w:color="auto"/>
      </w:divBdr>
    </w:div>
    <w:div w:id="668752339">
      <w:bodyDiv w:val="1"/>
      <w:marLeft w:val="0"/>
      <w:marRight w:val="0"/>
      <w:marTop w:val="0"/>
      <w:marBottom w:val="0"/>
      <w:divBdr>
        <w:top w:val="none" w:sz="0" w:space="0" w:color="auto"/>
        <w:left w:val="none" w:sz="0" w:space="0" w:color="auto"/>
        <w:bottom w:val="none" w:sz="0" w:space="0" w:color="auto"/>
        <w:right w:val="none" w:sz="0" w:space="0" w:color="auto"/>
      </w:divBdr>
    </w:div>
    <w:div w:id="704867739">
      <w:bodyDiv w:val="1"/>
      <w:marLeft w:val="0"/>
      <w:marRight w:val="0"/>
      <w:marTop w:val="0"/>
      <w:marBottom w:val="0"/>
      <w:divBdr>
        <w:top w:val="none" w:sz="0" w:space="0" w:color="auto"/>
        <w:left w:val="none" w:sz="0" w:space="0" w:color="auto"/>
        <w:bottom w:val="none" w:sz="0" w:space="0" w:color="auto"/>
        <w:right w:val="none" w:sz="0" w:space="0" w:color="auto"/>
      </w:divBdr>
    </w:div>
    <w:div w:id="885261305">
      <w:bodyDiv w:val="1"/>
      <w:marLeft w:val="0"/>
      <w:marRight w:val="0"/>
      <w:marTop w:val="0"/>
      <w:marBottom w:val="0"/>
      <w:divBdr>
        <w:top w:val="none" w:sz="0" w:space="0" w:color="auto"/>
        <w:left w:val="none" w:sz="0" w:space="0" w:color="auto"/>
        <w:bottom w:val="none" w:sz="0" w:space="0" w:color="auto"/>
        <w:right w:val="none" w:sz="0" w:space="0" w:color="auto"/>
      </w:divBdr>
    </w:div>
    <w:div w:id="896159857">
      <w:bodyDiv w:val="1"/>
      <w:marLeft w:val="0"/>
      <w:marRight w:val="0"/>
      <w:marTop w:val="0"/>
      <w:marBottom w:val="0"/>
      <w:divBdr>
        <w:top w:val="none" w:sz="0" w:space="0" w:color="auto"/>
        <w:left w:val="none" w:sz="0" w:space="0" w:color="auto"/>
        <w:bottom w:val="none" w:sz="0" w:space="0" w:color="auto"/>
        <w:right w:val="none" w:sz="0" w:space="0" w:color="auto"/>
      </w:divBdr>
    </w:div>
    <w:div w:id="940575974">
      <w:bodyDiv w:val="1"/>
      <w:marLeft w:val="0"/>
      <w:marRight w:val="0"/>
      <w:marTop w:val="0"/>
      <w:marBottom w:val="0"/>
      <w:divBdr>
        <w:top w:val="none" w:sz="0" w:space="0" w:color="auto"/>
        <w:left w:val="none" w:sz="0" w:space="0" w:color="auto"/>
        <w:bottom w:val="none" w:sz="0" w:space="0" w:color="auto"/>
        <w:right w:val="none" w:sz="0" w:space="0" w:color="auto"/>
      </w:divBdr>
    </w:div>
    <w:div w:id="965550395">
      <w:bodyDiv w:val="1"/>
      <w:marLeft w:val="0"/>
      <w:marRight w:val="0"/>
      <w:marTop w:val="0"/>
      <w:marBottom w:val="0"/>
      <w:divBdr>
        <w:top w:val="none" w:sz="0" w:space="0" w:color="auto"/>
        <w:left w:val="none" w:sz="0" w:space="0" w:color="auto"/>
        <w:bottom w:val="none" w:sz="0" w:space="0" w:color="auto"/>
        <w:right w:val="none" w:sz="0" w:space="0" w:color="auto"/>
      </w:divBdr>
    </w:div>
    <w:div w:id="1047804982">
      <w:bodyDiv w:val="1"/>
      <w:marLeft w:val="0"/>
      <w:marRight w:val="0"/>
      <w:marTop w:val="0"/>
      <w:marBottom w:val="0"/>
      <w:divBdr>
        <w:top w:val="none" w:sz="0" w:space="0" w:color="auto"/>
        <w:left w:val="none" w:sz="0" w:space="0" w:color="auto"/>
        <w:bottom w:val="none" w:sz="0" w:space="0" w:color="auto"/>
        <w:right w:val="none" w:sz="0" w:space="0" w:color="auto"/>
      </w:divBdr>
    </w:div>
    <w:div w:id="1055928468">
      <w:bodyDiv w:val="1"/>
      <w:marLeft w:val="0"/>
      <w:marRight w:val="0"/>
      <w:marTop w:val="0"/>
      <w:marBottom w:val="0"/>
      <w:divBdr>
        <w:top w:val="none" w:sz="0" w:space="0" w:color="auto"/>
        <w:left w:val="none" w:sz="0" w:space="0" w:color="auto"/>
        <w:bottom w:val="none" w:sz="0" w:space="0" w:color="auto"/>
        <w:right w:val="none" w:sz="0" w:space="0" w:color="auto"/>
      </w:divBdr>
    </w:div>
    <w:div w:id="1057515508">
      <w:bodyDiv w:val="1"/>
      <w:marLeft w:val="0"/>
      <w:marRight w:val="0"/>
      <w:marTop w:val="0"/>
      <w:marBottom w:val="0"/>
      <w:divBdr>
        <w:top w:val="none" w:sz="0" w:space="0" w:color="auto"/>
        <w:left w:val="none" w:sz="0" w:space="0" w:color="auto"/>
        <w:bottom w:val="none" w:sz="0" w:space="0" w:color="auto"/>
        <w:right w:val="none" w:sz="0" w:space="0" w:color="auto"/>
      </w:divBdr>
    </w:div>
    <w:div w:id="1086419008">
      <w:bodyDiv w:val="1"/>
      <w:marLeft w:val="0"/>
      <w:marRight w:val="0"/>
      <w:marTop w:val="0"/>
      <w:marBottom w:val="0"/>
      <w:divBdr>
        <w:top w:val="none" w:sz="0" w:space="0" w:color="auto"/>
        <w:left w:val="none" w:sz="0" w:space="0" w:color="auto"/>
        <w:bottom w:val="none" w:sz="0" w:space="0" w:color="auto"/>
        <w:right w:val="none" w:sz="0" w:space="0" w:color="auto"/>
      </w:divBdr>
    </w:div>
    <w:div w:id="1087581571">
      <w:bodyDiv w:val="1"/>
      <w:marLeft w:val="0"/>
      <w:marRight w:val="0"/>
      <w:marTop w:val="0"/>
      <w:marBottom w:val="0"/>
      <w:divBdr>
        <w:top w:val="none" w:sz="0" w:space="0" w:color="auto"/>
        <w:left w:val="none" w:sz="0" w:space="0" w:color="auto"/>
        <w:bottom w:val="none" w:sz="0" w:space="0" w:color="auto"/>
        <w:right w:val="none" w:sz="0" w:space="0" w:color="auto"/>
      </w:divBdr>
    </w:div>
    <w:div w:id="1149130676">
      <w:bodyDiv w:val="1"/>
      <w:marLeft w:val="0"/>
      <w:marRight w:val="0"/>
      <w:marTop w:val="0"/>
      <w:marBottom w:val="0"/>
      <w:divBdr>
        <w:top w:val="none" w:sz="0" w:space="0" w:color="auto"/>
        <w:left w:val="none" w:sz="0" w:space="0" w:color="auto"/>
        <w:bottom w:val="none" w:sz="0" w:space="0" w:color="auto"/>
        <w:right w:val="none" w:sz="0" w:space="0" w:color="auto"/>
      </w:divBdr>
    </w:div>
    <w:div w:id="1230731516">
      <w:bodyDiv w:val="1"/>
      <w:marLeft w:val="0"/>
      <w:marRight w:val="0"/>
      <w:marTop w:val="0"/>
      <w:marBottom w:val="0"/>
      <w:divBdr>
        <w:top w:val="none" w:sz="0" w:space="0" w:color="auto"/>
        <w:left w:val="none" w:sz="0" w:space="0" w:color="auto"/>
        <w:bottom w:val="none" w:sz="0" w:space="0" w:color="auto"/>
        <w:right w:val="none" w:sz="0" w:space="0" w:color="auto"/>
      </w:divBdr>
    </w:div>
    <w:div w:id="1277324888">
      <w:bodyDiv w:val="1"/>
      <w:marLeft w:val="0"/>
      <w:marRight w:val="0"/>
      <w:marTop w:val="0"/>
      <w:marBottom w:val="0"/>
      <w:divBdr>
        <w:top w:val="none" w:sz="0" w:space="0" w:color="auto"/>
        <w:left w:val="none" w:sz="0" w:space="0" w:color="auto"/>
        <w:bottom w:val="none" w:sz="0" w:space="0" w:color="auto"/>
        <w:right w:val="none" w:sz="0" w:space="0" w:color="auto"/>
      </w:divBdr>
    </w:div>
    <w:div w:id="1281496824">
      <w:bodyDiv w:val="1"/>
      <w:marLeft w:val="0"/>
      <w:marRight w:val="0"/>
      <w:marTop w:val="0"/>
      <w:marBottom w:val="0"/>
      <w:divBdr>
        <w:top w:val="none" w:sz="0" w:space="0" w:color="auto"/>
        <w:left w:val="none" w:sz="0" w:space="0" w:color="auto"/>
        <w:bottom w:val="none" w:sz="0" w:space="0" w:color="auto"/>
        <w:right w:val="none" w:sz="0" w:space="0" w:color="auto"/>
      </w:divBdr>
    </w:div>
    <w:div w:id="1287614302">
      <w:bodyDiv w:val="1"/>
      <w:marLeft w:val="0"/>
      <w:marRight w:val="0"/>
      <w:marTop w:val="0"/>
      <w:marBottom w:val="0"/>
      <w:divBdr>
        <w:top w:val="none" w:sz="0" w:space="0" w:color="auto"/>
        <w:left w:val="none" w:sz="0" w:space="0" w:color="auto"/>
        <w:bottom w:val="none" w:sz="0" w:space="0" w:color="auto"/>
        <w:right w:val="none" w:sz="0" w:space="0" w:color="auto"/>
      </w:divBdr>
    </w:div>
    <w:div w:id="1423186842">
      <w:bodyDiv w:val="1"/>
      <w:marLeft w:val="0"/>
      <w:marRight w:val="0"/>
      <w:marTop w:val="0"/>
      <w:marBottom w:val="0"/>
      <w:divBdr>
        <w:top w:val="none" w:sz="0" w:space="0" w:color="auto"/>
        <w:left w:val="none" w:sz="0" w:space="0" w:color="auto"/>
        <w:bottom w:val="none" w:sz="0" w:space="0" w:color="auto"/>
        <w:right w:val="none" w:sz="0" w:space="0" w:color="auto"/>
      </w:divBdr>
    </w:div>
    <w:div w:id="1550150546">
      <w:bodyDiv w:val="1"/>
      <w:marLeft w:val="0"/>
      <w:marRight w:val="0"/>
      <w:marTop w:val="0"/>
      <w:marBottom w:val="0"/>
      <w:divBdr>
        <w:top w:val="none" w:sz="0" w:space="0" w:color="auto"/>
        <w:left w:val="none" w:sz="0" w:space="0" w:color="auto"/>
        <w:bottom w:val="none" w:sz="0" w:space="0" w:color="auto"/>
        <w:right w:val="none" w:sz="0" w:space="0" w:color="auto"/>
      </w:divBdr>
    </w:div>
    <w:div w:id="1567377286">
      <w:bodyDiv w:val="1"/>
      <w:marLeft w:val="0"/>
      <w:marRight w:val="0"/>
      <w:marTop w:val="0"/>
      <w:marBottom w:val="0"/>
      <w:divBdr>
        <w:top w:val="none" w:sz="0" w:space="0" w:color="auto"/>
        <w:left w:val="none" w:sz="0" w:space="0" w:color="auto"/>
        <w:bottom w:val="none" w:sz="0" w:space="0" w:color="auto"/>
        <w:right w:val="none" w:sz="0" w:space="0" w:color="auto"/>
      </w:divBdr>
    </w:div>
    <w:div w:id="1568103329">
      <w:bodyDiv w:val="1"/>
      <w:marLeft w:val="0"/>
      <w:marRight w:val="0"/>
      <w:marTop w:val="0"/>
      <w:marBottom w:val="0"/>
      <w:divBdr>
        <w:top w:val="none" w:sz="0" w:space="0" w:color="auto"/>
        <w:left w:val="none" w:sz="0" w:space="0" w:color="auto"/>
        <w:bottom w:val="none" w:sz="0" w:space="0" w:color="auto"/>
        <w:right w:val="none" w:sz="0" w:space="0" w:color="auto"/>
      </w:divBdr>
    </w:div>
    <w:div w:id="1623877038">
      <w:bodyDiv w:val="1"/>
      <w:marLeft w:val="0"/>
      <w:marRight w:val="0"/>
      <w:marTop w:val="0"/>
      <w:marBottom w:val="0"/>
      <w:divBdr>
        <w:top w:val="none" w:sz="0" w:space="0" w:color="auto"/>
        <w:left w:val="none" w:sz="0" w:space="0" w:color="auto"/>
        <w:bottom w:val="none" w:sz="0" w:space="0" w:color="auto"/>
        <w:right w:val="none" w:sz="0" w:space="0" w:color="auto"/>
      </w:divBdr>
    </w:div>
    <w:div w:id="1650792113">
      <w:bodyDiv w:val="1"/>
      <w:marLeft w:val="0"/>
      <w:marRight w:val="0"/>
      <w:marTop w:val="0"/>
      <w:marBottom w:val="0"/>
      <w:divBdr>
        <w:top w:val="none" w:sz="0" w:space="0" w:color="auto"/>
        <w:left w:val="none" w:sz="0" w:space="0" w:color="auto"/>
        <w:bottom w:val="none" w:sz="0" w:space="0" w:color="auto"/>
        <w:right w:val="none" w:sz="0" w:space="0" w:color="auto"/>
      </w:divBdr>
    </w:div>
    <w:div w:id="1760365330">
      <w:bodyDiv w:val="1"/>
      <w:marLeft w:val="0"/>
      <w:marRight w:val="0"/>
      <w:marTop w:val="0"/>
      <w:marBottom w:val="0"/>
      <w:divBdr>
        <w:top w:val="none" w:sz="0" w:space="0" w:color="auto"/>
        <w:left w:val="none" w:sz="0" w:space="0" w:color="auto"/>
        <w:bottom w:val="none" w:sz="0" w:space="0" w:color="auto"/>
        <w:right w:val="none" w:sz="0" w:space="0" w:color="auto"/>
      </w:divBdr>
    </w:div>
    <w:div w:id="1873150778">
      <w:bodyDiv w:val="1"/>
      <w:marLeft w:val="0"/>
      <w:marRight w:val="0"/>
      <w:marTop w:val="0"/>
      <w:marBottom w:val="0"/>
      <w:divBdr>
        <w:top w:val="none" w:sz="0" w:space="0" w:color="auto"/>
        <w:left w:val="none" w:sz="0" w:space="0" w:color="auto"/>
        <w:bottom w:val="none" w:sz="0" w:space="0" w:color="auto"/>
        <w:right w:val="none" w:sz="0" w:space="0" w:color="auto"/>
      </w:divBdr>
    </w:div>
    <w:div w:id="1875995788">
      <w:bodyDiv w:val="1"/>
      <w:marLeft w:val="0"/>
      <w:marRight w:val="0"/>
      <w:marTop w:val="0"/>
      <w:marBottom w:val="0"/>
      <w:divBdr>
        <w:top w:val="none" w:sz="0" w:space="0" w:color="auto"/>
        <w:left w:val="none" w:sz="0" w:space="0" w:color="auto"/>
        <w:bottom w:val="none" w:sz="0" w:space="0" w:color="auto"/>
        <w:right w:val="none" w:sz="0" w:space="0" w:color="auto"/>
      </w:divBdr>
    </w:div>
    <w:div w:id="1909532504">
      <w:bodyDiv w:val="1"/>
      <w:marLeft w:val="0"/>
      <w:marRight w:val="0"/>
      <w:marTop w:val="0"/>
      <w:marBottom w:val="0"/>
      <w:divBdr>
        <w:top w:val="none" w:sz="0" w:space="0" w:color="auto"/>
        <w:left w:val="none" w:sz="0" w:space="0" w:color="auto"/>
        <w:bottom w:val="none" w:sz="0" w:space="0" w:color="auto"/>
        <w:right w:val="none" w:sz="0" w:space="0" w:color="auto"/>
      </w:divBdr>
    </w:div>
    <w:div w:id="1974364392">
      <w:bodyDiv w:val="1"/>
      <w:marLeft w:val="0"/>
      <w:marRight w:val="0"/>
      <w:marTop w:val="0"/>
      <w:marBottom w:val="0"/>
      <w:divBdr>
        <w:top w:val="none" w:sz="0" w:space="0" w:color="auto"/>
        <w:left w:val="none" w:sz="0" w:space="0" w:color="auto"/>
        <w:bottom w:val="none" w:sz="0" w:space="0" w:color="auto"/>
        <w:right w:val="none" w:sz="0" w:space="0" w:color="auto"/>
      </w:divBdr>
    </w:div>
    <w:div w:id="2015959071">
      <w:bodyDiv w:val="1"/>
      <w:marLeft w:val="0"/>
      <w:marRight w:val="0"/>
      <w:marTop w:val="0"/>
      <w:marBottom w:val="0"/>
      <w:divBdr>
        <w:top w:val="none" w:sz="0" w:space="0" w:color="auto"/>
        <w:left w:val="none" w:sz="0" w:space="0" w:color="auto"/>
        <w:bottom w:val="none" w:sz="0" w:space="0" w:color="auto"/>
        <w:right w:val="none" w:sz="0" w:space="0" w:color="auto"/>
      </w:divBdr>
    </w:div>
    <w:div w:id="2121103450">
      <w:bodyDiv w:val="1"/>
      <w:marLeft w:val="0"/>
      <w:marRight w:val="0"/>
      <w:marTop w:val="0"/>
      <w:marBottom w:val="0"/>
      <w:divBdr>
        <w:top w:val="none" w:sz="0" w:space="0" w:color="auto"/>
        <w:left w:val="none" w:sz="0" w:space="0" w:color="auto"/>
        <w:bottom w:val="none" w:sz="0" w:space="0" w:color="auto"/>
        <w:right w:val="none" w:sz="0" w:space="0" w:color="auto"/>
      </w:divBdr>
    </w:div>
    <w:div w:id="21468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84</TotalTime>
  <Pages>10</Pages>
  <Words>2149</Words>
  <Characters>15010</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2023085166 mt. Korrektion af navnet i overskriften og i pkt. 1, 25.4.25HTI</dc:description>
  <cp:lastModifiedBy>Hanne Thy Iversen</cp:lastModifiedBy>
  <cp:revision>14</cp:revision>
  <cp:lastPrinted>2012-08-22T08:53:00Z</cp:lastPrinted>
  <dcterms:created xsi:type="dcterms:W3CDTF">2025-01-27T10:22:00Z</dcterms:created>
  <dcterms:modified xsi:type="dcterms:W3CDTF">2025-04-25T10:56:00Z</dcterms:modified>
</cp:coreProperties>
</file>