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099E3"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34B063A" wp14:editId="403AA9A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4EC782E" w14:textId="77777777" w:rsidR="009260DE" w:rsidRPr="00C84483" w:rsidRDefault="009260DE" w:rsidP="009260DE">
      <w:pPr>
        <w:pStyle w:val="Titel"/>
        <w:tabs>
          <w:tab w:val="right" w:pos="9356"/>
        </w:tabs>
        <w:jc w:val="left"/>
        <w:rPr>
          <w:b w:val="0"/>
          <w:szCs w:val="24"/>
          <w:lang w:eastAsia="en-US"/>
        </w:rPr>
      </w:pPr>
    </w:p>
    <w:p w14:paraId="7ECB2099" w14:textId="22307AC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84A6C">
        <w:rPr>
          <w:szCs w:val="24"/>
        </w:rPr>
        <w:t>26. november 2024</w:t>
      </w:r>
    </w:p>
    <w:p w14:paraId="51AE8E02" w14:textId="77777777" w:rsidR="009260DE" w:rsidRPr="00C84483" w:rsidRDefault="009260DE" w:rsidP="009260DE">
      <w:pPr>
        <w:pStyle w:val="Titel"/>
        <w:tabs>
          <w:tab w:val="left" w:pos="8222"/>
        </w:tabs>
        <w:jc w:val="left"/>
        <w:rPr>
          <w:b w:val="0"/>
          <w:szCs w:val="24"/>
        </w:rPr>
      </w:pPr>
    </w:p>
    <w:p w14:paraId="308AC974" w14:textId="77777777" w:rsidR="009260DE" w:rsidRPr="00C84483" w:rsidRDefault="009260DE" w:rsidP="009260DE">
      <w:pPr>
        <w:pStyle w:val="Titel"/>
        <w:jc w:val="left"/>
        <w:rPr>
          <w:b w:val="0"/>
          <w:szCs w:val="24"/>
        </w:rPr>
      </w:pPr>
    </w:p>
    <w:p w14:paraId="575F421A" w14:textId="77777777" w:rsidR="009260DE" w:rsidRPr="00C84483" w:rsidRDefault="009260DE" w:rsidP="009260DE">
      <w:pPr>
        <w:pStyle w:val="Titel"/>
        <w:jc w:val="left"/>
        <w:rPr>
          <w:b w:val="0"/>
          <w:szCs w:val="24"/>
        </w:rPr>
      </w:pPr>
    </w:p>
    <w:p w14:paraId="7C77CCEA" w14:textId="77777777" w:rsidR="009260DE" w:rsidRPr="00C84483" w:rsidRDefault="009260DE" w:rsidP="009260DE">
      <w:pPr>
        <w:jc w:val="center"/>
        <w:rPr>
          <w:b/>
          <w:sz w:val="24"/>
          <w:szCs w:val="24"/>
        </w:rPr>
      </w:pPr>
      <w:r w:rsidRPr="00C84483">
        <w:rPr>
          <w:b/>
          <w:sz w:val="24"/>
          <w:szCs w:val="24"/>
        </w:rPr>
        <w:t>PRODUKTRESUMÉ</w:t>
      </w:r>
    </w:p>
    <w:p w14:paraId="1AFD1550" w14:textId="77777777" w:rsidR="009260DE" w:rsidRPr="00C84483" w:rsidRDefault="009260DE" w:rsidP="009260DE">
      <w:pPr>
        <w:jc w:val="center"/>
        <w:rPr>
          <w:b/>
          <w:sz w:val="24"/>
          <w:szCs w:val="24"/>
        </w:rPr>
      </w:pPr>
    </w:p>
    <w:p w14:paraId="7A274B8A" w14:textId="77777777" w:rsidR="009260DE" w:rsidRDefault="009260DE" w:rsidP="009260DE">
      <w:pPr>
        <w:jc w:val="center"/>
        <w:rPr>
          <w:b/>
          <w:sz w:val="24"/>
          <w:szCs w:val="24"/>
        </w:rPr>
      </w:pPr>
      <w:r w:rsidRPr="00C84483">
        <w:rPr>
          <w:b/>
          <w:sz w:val="24"/>
          <w:szCs w:val="24"/>
        </w:rPr>
        <w:t>for</w:t>
      </w:r>
    </w:p>
    <w:p w14:paraId="5089F726" w14:textId="77777777" w:rsidR="000B058C" w:rsidRPr="00C84483" w:rsidRDefault="000B058C" w:rsidP="009260DE">
      <w:pPr>
        <w:jc w:val="center"/>
        <w:rPr>
          <w:b/>
          <w:sz w:val="24"/>
          <w:szCs w:val="24"/>
        </w:rPr>
      </w:pPr>
    </w:p>
    <w:p w14:paraId="57DB5D1F" w14:textId="77777777" w:rsidR="009260DE" w:rsidRPr="00C84483" w:rsidRDefault="0001401D" w:rsidP="0001401D">
      <w:pPr>
        <w:jc w:val="center"/>
        <w:rPr>
          <w:b/>
          <w:sz w:val="24"/>
          <w:szCs w:val="24"/>
        </w:rPr>
      </w:pPr>
      <w:r>
        <w:rPr>
          <w:b/>
          <w:sz w:val="24"/>
          <w:szCs w:val="24"/>
        </w:rPr>
        <w:t>Metoclopramide "Noridem", injektionsvæske, opløsning</w:t>
      </w:r>
    </w:p>
    <w:p w14:paraId="159052D2" w14:textId="77777777" w:rsidR="009260DE" w:rsidRPr="00C84483" w:rsidRDefault="009260DE" w:rsidP="009260DE">
      <w:pPr>
        <w:jc w:val="both"/>
        <w:rPr>
          <w:sz w:val="24"/>
          <w:szCs w:val="24"/>
        </w:rPr>
      </w:pPr>
    </w:p>
    <w:p w14:paraId="5CC5EC9F" w14:textId="77777777" w:rsidR="009260DE" w:rsidRPr="00C84483" w:rsidRDefault="009260DE" w:rsidP="009260DE">
      <w:pPr>
        <w:jc w:val="both"/>
        <w:rPr>
          <w:sz w:val="24"/>
          <w:szCs w:val="24"/>
        </w:rPr>
      </w:pPr>
    </w:p>
    <w:p w14:paraId="301381A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761C11A" w14:textId="0171161B" w:rsidR="009260DE" w:rsidRPr="00C84483" w:rsidRDefault="0046321C" w:rsidP="009260DE">
      <w:pPr>
        <w:tabs>
          <w:tab w:val="left" w:pos="851"/>
        </w:tabs>
        <w:ind w:left="851"/>
        <w:rPr>
          <w:sz w:val="24"/>
          <w:szCs w:val="24"/>
        </w:rPr>
      </w:pPr>
      <w:r>
        <w:rPr>
          <w:sz w:val="24"/>
          <w:szCs w:val="24"/>
        </w:rPr>
        <w:t>34065</w:t>
      </w:r>
    </w:p>
    <w:p w14:paraId="7C39EFB0" w14:textId="77777777" w:rsidR="009260DE" w:rsidRPr="00C84483" w:rsidRDefault="009260DE" w:rsidP="009260DE">
      <w:pPr>
        <w:tabs>
          <w:tab w:val="left" w:pos="851"/>
        </w:tabs>
        <w:ind w:left="851"/>
        <w:rPr>
          <w:sz w:val="24"/>
          <w:szCs w:val="24"/>
        </w:rPr>
      </w:pPr>
    </w:p>
    <w:p w14:paraId="55AD2CD8"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F9E48B0" w14:textId="0109C506" w:rsidR="009260DE" w:rsidRPr="00C84483" w:rsidRDefault="0046321C" w:rsidP="009260DE">
      <w:pPr>
        <w:tabs>
          <w:tab w:val="left" w:pos="851"/>
        </w:tabs>
        <w:ind w:left="851"/>
        <w:rPr>
          <w:sz w:val="24"/>
          <w:szCs w:val="24"/>
        </w:rPr>
      </w:pPr>
      <w:r>
        <w:rPr>
          <w:sz w:val="24"/>
          <w:szCs w:val="24"/>
        </w:rPr>
        <w:t>Metoclopramide "Noridem"</w:t>
      </w:r>
    </w:p>
    <w:p w14:paraId="26576932" w14:textId="77777777" w:rsidR="009260DE" w:rsidRPr="00C84483" w:rsidRDefault="009260DE" w:rsidP="009260DE">
      <w:pPr>
        <w:tabs>
          <w:tab w:val="left" w:pos="851"/>
        </w:tabs>
        <w:ind w:left="851"/>
        <w:rPr>
          <w:sz w:val="24"/>
          <w:szCs w:val="24"/>
        </w:rPr>
      </w:pPr>
    </w:p>
    <w:p w14:paraId="026B7451"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1C70E65" w14:textId="77777777" w:rsidR="0046321C" w:rsidRPr="0046321C" w:rsidRDefault="0046321C" w:rsidP="0046321C">
      <w:pPr>
        <w:tabs>
          <w:tab w:val="left" w:pos="851"/>
        </w:tabs>
        <w:ind w:left="851"/>
        <w:rPr>
          <w:sz w:val="24"/>
          <w:szCs w:val="24"/>
        </w:rPr>
      </w:pPr>
      <w:r w:rsidRPr="0046321C">
        <w:rPr>
          <w:sz w:val="24"/>
          <w:szCs w:val="24"/>
        </w:rPr>
        <w:t>Hver ml indeholder 5,27 mg metoclopramidhydrochloridmonohydrat svarende til 5 mg metoclopramidhydrochlorid, vandfri.</w:t>
      </w:r>
    </w:p>
    <w:p w14:paraId="5C801407" w14:textId="77777777" w:rsidR="0046321C" w:rsidRPr="0046321C" w:rsidRDefault="0046321C" w:rsidP="0046321C">
      <w:pPr>
        <w:tabs>
          <w:tab w:val="left" w:pos="851"/>
        </w:tabs>
        <w:ind w:left="851"/>
        <w:rPr>
          <w:sz w:val="24"/>
          <w:szCs w:val="24"/>
        </w:rPr>
      </w:pPr>
    </w:p>
    <w:p w14:paraId="388D3A7E" w14:textId="77777777" w:rsidR="0046321C" w:rsidRPr="0046321C" w:rsidRDefault="0046321C" w:rsidP="0046321C">
      <w:pPr>
        <w:tabs>
          <w:tab w:val="left" w:pos="851"/>
        </w:tabs>
        <w:ind w:left="851"/>
        <w:rPr>
          <w:sz w:val="24"/>
          <w:szCs w:val="24"/>
        </w:rPr>
      </w:pPr>
      <w:r w:rsidRPr="0046321C">
        <w:rPr>
          <w:sz w:val="24"/>
          <w:szCs w:val="24"/>
        </w:rPr>
        <w:t>En ampul med 2 ml indeholder 10,54 mg metoclopramidhydrochloridmonohydrat svarende til 10 mg metoclopramidhydrochlorid, vandfri.</w:t>
      </w:r>
    </w:p>
    <w:p w14:paraId="1D09C779" w14:textId="77777777" w:rsidR="0046321C" w:rsidRPr="0046321C" w:rsidRDefault="0046321C" w:rsidP="0046321C">
      <w:pPr>
        <w:tabs>
          <w:tab w:val="left" w:pos="851"/>
        </w:tabs>
        <w:ind w:left="851"/>
        <w:rPr>
          <w:sz w:val="24"/>
          <w:szCs w:val="24"/>
          <w:u w:val="single"/>
        </w:rPr>
      </w:pPr>
    </w:p>
    <w:p w14:paraId="1B361C50" w14:textId="27BF0406" w:rsidR="0046321C" w:rsidRPr="0046321C" w:rsidRDefault="0046321C" w:rsidP="0046321C">
      <w:pPr>
        <w:tabs>
          <w:tab w:val="left" w:pos="851"/>
        </w:tabs>
        <w:ind w:left="851"/>
        <w:rPr>
          <w:sz w:val="24"/>
          <w:szCs w:val="24"/>
          <w:u w:val="single"/>
        </w:rPr>
      </w:pPr>
      <w:r w:rsidRPr="0046321C">
        <w:rPr>
          <w:sz w:val="24"/>
          <w:szCs w:val="24"/>
          <w:u w:val="single"/>
        </w:rPr>
        <w:t>Hjælpestof, som behandleren skal være opmærksom på</w:t>
      </w:r>
    </w:p>
    <w:p w14:paraId="05E8FB1D" w14:textId="77777777" w:rsidR="0046321C" w:rsidRPr="0046321C" w:rsidRDefault="0046321C" w:rsidP="0046321C">
      <w:pPr>
        <w:tabs>
          <w:tab w:val="left" w:pos="851"/>
        </w:tabs>
        <w:ind w:left="851"/>
        <w:rPr>
          <w:sz w:val="24"/>
          <w:szCs w:val="24"/>
        </w:rPr>
      </w:pPr>
      <w:r w:rsidRPr="0046321C">
        <w:rPr>
          <w:sz w:val="24"/>
          <w:szCs w:val="24"/>
        </w:rPr>
        <w:t>Hver ml indeholder 3,35 mg eller 0,1455 mmol natrium.</w:t>
      </w:r>
    </w:p>
    <w:p w14:paraId="55F6370A" w14:textId="77777777" w:rsidR="0046321C" w:rsidRPr="0046321C" w:rsidRDefault="0046321C" w:rsidP="0046321C">
      <w:pPr>
        <w:tabs>
          <w:tab w:val="left" w:pos="851"/>
        </w:tabs>
        <w:ind w:left="851"/>
        <w:rPr>
          <w:sz w:val="24"/>
          <w:szCs w:val="24"/>
        </w:rPr>
      </w:pPr>
      <w:r w:rsidRPr="0046321C">
        <w:rPr>
          <w:sz w:val="24"/>
          <w:szCs w:val="24"/>
        </w:rPr>
        <w:t>Hver ampul med 2 ml indeholder 6,7 mg eller 0,291 mmol natrium.</w:t>
      </w:r>
    </w:p>
    <w:p w14:paraId="61AA5A9D" w14:textId="77777777" w:rsidR="0046321C" w:rsidRPr="0046321C" w:rsidRDefault="0046321C" w:rsidP="0046321C">
      <w:pPr>
        <w:tabs>
          <w:tab w:val="left" w:pos="851"/>
        </w:tabs>
        <w:ind w:left="851"/>
        <w:rPr>
          <w:sz w:val="24"/>
          <w:szCs w:val="24"/>
        </w:rPr>
      </w:pPr>
    </w:p>
    <w:p w14:paraId="5F632D06" w14:textId="77777777" w:rsidR="0046321C" w:rsidRPr="0046321C" w:rsidRDefault="0046321C" w:rsidP="0046321C">
      <w:pPr>
        <w:tabs>
          <w:tab w:val="left" w:pos="851"/>
        </w:tabs>
        <w:ind w:left="851"/>
        <w:rPr>
          <w:sz w:val="24"/>
          <w:szCs w:val="24"/>
        </w:rPr>
      </w:pPr>
      <w:r w:rsidRPr="0046321C">
        <w:rPr>
          <w:sz w:val="24"/>
          <w:szCs w:val="24"/>
        </w:rPr>
        <w:t>Alle hjælpestoffer er anført under pkt. 6.1.</w:t>
      </w:r>
    </w:p>
    <w:p w14:paraId="685A7458" w14:textId="77777777" w:rsidR="009260DE" w:rsidRPr="00C84483" w:rsidRDefault="009260DE" w:rsidP="009260DE">
      <w:pPr>
        <w:tabs>
          <w:tab w:val="left" w:pos="851"/>
        </w:tabs>
        <w:ind w:left="851"/>
        <w:rPr>
          <w:sz w:val="24"/>
          <w:szCs w:val="24"/>
        </w:rPr>
      </w:pPr>
    </w:p>
    <w:p w14:paraId="712E341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27B3FD0" w14:textId="72B917E0" w:rsidR="0046321C" w:rsidRPr="0046321C" w:rsidRDefault="0046321C" w:rsidP="0046321C">
      <w:pPr>
        <w:tabs>
          <w:tab w:val="left" w:pos="851"/>
        </w:tabs>
        <w:ind w:left="851"/>
        <w:rPr>
          <w:sz w:val="24"/>
          <w:szCs w:val="24"/>
        </w:rPr>
      </w:pPr>
      <w:r w:rsidRPr="0046321C">
        <w:rPr>
          <w:sz w:val="24"/>
          <w:szCs w:val="24"/>
        </w:rPr>
        <w:t>Injektionsvæske, opløsning</w:t>
      </w:r>
    </w:p>
    <w:p w14:paraId="1D4BDA18" w14:textId="77777777" w:rsidR="0046321C" w:rsidRPr="0046321C" w:rsidRDefault="0046321C" w:rsidP="0046321C">
      <w:pPr>
        <w:tabs>
          <w:tab w:val="left" w:pos="851"/>
        </w:tabs>
        <w:ind w:left="851"/>
        <w:rPr>
          <w:sz w:val="24"/>
          <w:szCs w:val="24"/>
        </w:rPr>
      </w:pPr>
    </w:p>
    <w:p w14:paraId="01FA81CC" w14:textId="77777777" w:rsidR="0046321C" w:rsidRPr="0046321C" w:rsidRDefault="0046321C" w:rsidP="0046321C">
      <w:pPr>
        <w:tabs>
          <w:tab w:val="left" w:pos="851"/>
        </w:tabs>
        <w:ind w:left="851"/>
        <w:rPr>
          <w:sz w:val="24"/>
          <w:szCs w:val="24"/>
        </w:rPr>
      </w:pPr>
      <w:r w:rsidRPr="0046321C">
        <w:rPr>
          <w:sz w:val="24"/>
          <w:szCs w:val="24"/>
        </w:rPr>
        <w:t>Klar, farveløs injektionsvæske, opløsning.</w:t>
      </w:r>
    </w:p>
    <w:p w14:paraId="212E66E3" w14:textId="0E281A08" w:rsidR="0046321C" w:rsidRPr="0046321C" w:rsidRDefault="0046321C" w:rsidP="0046321C">
      <w:pPr>
        <w:tabs>
          <w:tab w:val="left" w:pos="851"/>
        </w:tabs>
        <w:ind w:left="851"/>
        <w:rPr>
          <w:sz w:val="24"/>
          <w:szCs w:val="24"/>
        </w:rPr>
      </w:pPr>
      <w:r w:rsidRPr="0046321C">
        <w:rPr>
          <w:sz w:val="24"/>
          <w:szCs w:val="24"/>
        </w:rPr>
        <w:t>pH: 3,0</w:t>
      </w:r>
      <w:r w:rsidRPr="0046321C">
        <w:rPr>
          <w:sz w:val="24"/>
          <w:szCs w:val="24"/>
        </w:rPr>
        <w:noBreakHyphen/>
        <w:t>5,0</w:t>
      </w:r>
      <w:r w:rsidR="00A71E3E">
        <w:rPr>
          <w:sz w:val="24"/>
          <w:szCs w:val="24"/>
        </w:rPr>
        <w:t>.</w:t>
      </w:r>
    </w:p>
    <w:p w14:paraId="3274165E" w14:textId="77777777" w:rsidR="009260DE" w:rsidRPr="00C84483" w:rsidRDefault="009260DE" w:rsidP="009260DE">
      <w:pPr>
        <w:tabs>
          <w:tab w:val="left" w:pos="851"/>
        </w:tabs>
        <w:ind w:left="851"/>
        <w:rPr>
          <w:sz w:val="24"/>
          <w:szCs w:val="24"/>
        </w:rPr>
      </w:pPr>
    </w:p>
    <w:p w14:paraId="2A8AE96B" w14:textId="77777777" w:rsidR="009260DE" w:rsidRPr="00C84483" w:rsidRDefault="009260DE" w:rsidP="009260DE">
      <w:pPr>
        <w:tabs>
          <w:tab w:val="left" w:pos="851"/>
        </w:tabs>
        <w:ind w:left="851"/>
        <w:rPr>
          <w:sz w:val="24"/>
          <w:szCs w:val="24"/>
        </w:rPr>
      </w:pPr>
    </w:p>
    <w:p w14:paraId="2E297C79"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898F631" w14:textId="77777777" w:rsidR="009260DE" w:rsidRPr="00C84483" w:rsidRDefault="009260DE" w:rsidP="009260DE">
      <w:pPr>
        <w:tabs>
          <w:tab w:val="left" w:pos="851"/>
        </w:tabs>
        <w:ind w:left="851"/>
        <w:rPr>
          <w:b/>
          <w:sz w:val="24"/>
          <w:szCs w:val="24"/>
        </w:rPr>
      </w:pPr>
    </w:p>
    <w:p w14:paraId="6F296D2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C960950" w14:textId="77777777" w:rsidR="00A71E3E" w:rsidRDefault="00A71E3E" w:rsidP="00A71E3E">
      <w:pPr>
        <w:tabs>
          <w:tab w:val="left" w:pos="851"/>
        </w:tabs>
        <w:ind w:left="851"/>
        <w:rPr>
          <w:sz w:val="24"/>
          <w:szCs w:val="24"/>
        </w:rPr>
      </w:pPr>
    </w:p>
    <w:p w14:paraId="2CC02167" w14:textId="337B4F18" w:rsidR="00A71E3E" w:rsidRPr="00A71E3E" w:rsidRDefault="00A71E3E" w:rsidP="00A71E3E">
      <w:pPr>
        <w:tabs>
          <w:tab w:val="left" w:pos="851"/>
        </w:tabs>
        <w:ind w:left="851"/>
        <w:rPr>
          <w:sz w:val="24"/>
          <w:szCs w:val="24"/>
          <w:u w:val="single"/>
        </w:rPr>
      </w:pPr>
      <w:r w:rsidRPr="00A71E3E">
        <w:rPr>
          <w:sz w:val="24"/>
          <w:szCs w:val="24"/>
          <w:u w:val="single"/>
        </w:rPr>
        <w:t>Voksne</w:t>
      </w:r>
    </w:p>
    <w:p w14:paraId="61CE47AE" w14:textId="0764C9E3" w:rsidR="00A71E3E" w:rsidRPr="00A71E3E" w:rsidRDefault="00A71E3E" w:rsidP="00A71E3E">
      <w:pPr>
        <w:tabs>
          <w:tab w:val="left" w:pos="851"/>
        </w:tabs>
        <w:ind w:left="851"/>
        <w:rPr>
          <w:sz w:val="24"/>
          <w:szCs w:val="24"/>
        </w:rPr>
      </w:pPr>
      <w:r>
        <w:rPr>
          <w:sz w:val="24"/>
          <w:szCs w:val="24"/>
        </w:rPr>
        <w:t>Metoclopramide "Noridem"</w:t>
      </w:r>
      <w:r w:rsidRPr="00A71E3E">
        <w:rPr>
          <w:sz w:val="24"/>
          <w:szCs w:val="24"/>
        </w:rPr>
        <w:t xml:space="preserve"> er indiceret hos voksne til:</w:t>
      </w:r>
    </w:p>
    <w:p w14:paraId="41A0C131" w14:textId="77777777" w:rsidR="00A71E3E" w:rsidRPr="00A71E3E" w:rsidRDefault="00A71E3E" w:rsidP="00A71E3E">
      <w:pPr>
        <w:numPr>
          <w:ilvl w:val="0"/>
          <w:numId w:val="6"/>
        </w:numPr>
        <w:tabs>
          <w:tab w:val="left" w:pos="851"/>
        </w:tabs>
        <w:ind w:left="1134" w:hanging="283"/>
        <w:rPr>
          <w:sz w:val="24"/>
          <w:szCs w:val="24"/>
        </w:rPr>
      </w:pPr>
      <w:r w:rsidRPr="00A71E3E">
        <w:rPr>
          <w:sz w:val="24"/>
          <w:szCs w:val="24"/>
        </w:rPr>
        <w:t>Forebyggelse af postoperativ kvalme og opkastning (PONV).</w:t>
      </w:r>
    </w:p>
    <w:p w14:paraId="4F204C9E" w14:textId="77777777" w:rsidR="00A71E3E" w:rsidRPr="00A71E3E" w:rsidRDefault="00A71E3E" w:rsidP="00A71E3E">
      <w:pPr>
        <w:numPr>
          <w:ilvl w:val="0"/>
          <w:numId w:val="6"/>
        </w:numPr>
        <w:tabs>
          <w:tab w:val="left" w:pos="851"/>
        </w:tabs>
        <w:ind w:left="1134" w:hanging="283"/>
        <w:rPr>
          <w:sz w:val="24"/>
          <w:szCs w:val="24"/>
        </w:rPr>
      </w:pPr>
      <w:r w:rsidRPr="00A71E3E">
        <w:rPr>
          <w:sz w:val="24"/>
          <w:szCs w:val="24"/>
        </w:rPr>
        <w:lastRenderedPageBreak/>
        <w:t>Symptomatisk behandling af kvalme og opkastning, herunder kvalme og opkastning induceret af akut migræne.</w:t>
      </w:r>
    </w:p>
    <w:p w14:paraId="25281EBE" w14:textId="77777777" w:rsidR="00A71E3E" w:rsidRPr="00A71E3E" w:rsidRDefault="00A71E3E" w:rsidP="00A71E3E">
      <w:pPr>
        <w:numPr>
          <w:ilvl w:val="0"/>
          <w:numId w:val="6"/>
        </w:numPr>
        <w:tabs>
          <w:tab w:val="left" w:pos="851"/>
        </w:tabs>
        <w:ind w:left="1134" w:hanging="283"/>
        <w:rPr>
          <w:sz w:val="24"/>
          <w:szCs w:val="24"/>
        </w:rPr>
      </w:pPr>
      <w:r w:rsidRPr="00A71E3E">
        <w:rPr>
          <w:sz w:val="24"/>
          <w:szCs w:val="24"/>
        </w:rPr>
        <w:t>Forebyggelse af stråleterapiinduceret kvalme og opkastning (RINV).</w:t>
      </w:r>
    </w:p>
    <w:p w14:paraId="0F303498" w14:textId="77777777" w:rsidR="00A71E3E" w:rsidRPr="00A71E3E" w:rsidRDefault="00A71E3E" w:rsidP="00A71E3E">
      <w:pPr>
        <w:tabs>
          <w:tab w:val="left" w:pos="851"/>
        </w:tabs>
        <w:ind w:left="851"/>
        <w:rPr>
          <w:sz w:val="24"/>
          <w:szCs w:val="24"/>
        </w:rPr>
      </w:pPr>
    </w:p>
    <w:p w14:paraId="475E6F54" w14:textId="77777777" w:rsidR="00A71E3E" w:rsidRPr="00A71E3E" w:rsidRDefault="00A71E3E" w:rsidP="00A71E3E">
      <w:pPr>
        <w:tabs>
          <w:tab w:val="left" w:pos="851"/>
        </w:tabs>
        <w:ind w:left="851"/>
        <w:rPr>
          <w:sz w:val="24"/>
          <w:szCs w:val="24"/>
          <w:u w:val="single"/>
        </w:rPr>
      </w:pPr>
      <w:r w:rsidRPr="00A71E3E">
        <w:rPr>
          <w:sz w:val="24"/>
          <w:szCs w:val="24"/>
          <w:u w:val="single"/>
        </w:rPr>
        <w:t>Pædiatrisk population</w:t>
      </w:r>
    </w:p>
    <w:p w14:paraId="0CE1C7A1" w14:textId="03F2ECFD" w:rsidR="00A71E3E" w:rsidRPr="00A71E3E" w:rsidRDefault="00A71E3E" w:rsidP="00A71E3E">
      <w:pPr>
        <w:tabs>
          <w:tab w:val="left" w:pos="851"/>
        </w:tabs>
        <w:ind w:left="851"/>
        <w:rPr>
          <w:sz w:val="24"/>
          <w:szCs w:val="24"/>
        </w:rPr>
      </w:pPr>
      <w:r>
        <w:rPr>
          <w:sz w:val="24"/>
          <w:szCs w:val="24"/>
        </w:rPr>
        <w:t>Metoclopramide "Noridem"</w:t>
      </w:r>
      <w:r w:rsidRPr="00A71E3E">
        <w:rPr>
          <w:sz w:val="24"/>
          <w:szCs w:val="24"/>
        </w:rPr>
        <w:t xml:space="preserve"> er indiceret hos børn og unge (i alderen 1</w:t>
      </w:r>
      <w:r w:rsidRPr="00A71E3E">
        <w:rPr>
          <w:sz w:val="24"/>
          <w:szCs w:val="24"/>
        </w:rPr>
        <w:noBreakHyphen/>
        <w:t>18 år) til:</w:t>
      </w:r>
    </w:p>
    <w:p w14:paraId="4CB4245C" w14:textId="77777777" w:rsidR="00A71E3E" w:rsidRPr="00A71E3E" w:rsidRDefault="00A71E3E" w:rsidP="00A71E3E">
      <w:pPr>
        <w:numPr>
          <w:ilvl w:val="0"/>
          <w:numId w:val="6"/>
        </w:numPr>
        <w:tabs>
          <w:tab w:val="left" w:pos="851"/>
        </w:tabs>
        <w:ind w:left="1134" w:hanging="283"/>
        <w:rPr>
          <w:sz w:val="24"/>
          <w:szCs w:val="24"/>
        </w:rPr>
      </w:pPr>
      <w:r w:rsidRPr="00A71E3E">
        <w:rPr>
          <w:sz w:val="24"/>
          <w:szCs w:val="24"/>
        </w:rPr>
        <w:t>Forebyggelse af forsinket kemoterapiinduceret kvalme og opkastning (CINV) som 2. valg.</w:t>
      </w:r>
    </w:p>
    <w:p w14:paraId="35E3B217" w14:textId="77777777" w:rsidR="00A71E3E" w:rsidRPr="00A71E3E" w:rsidRDefault="00A71E3E" w:rsidP="00A71E3E">
      <w:pPr>
        <w:numPr>
          <w:ilvl w:val="0"/>
          <w:numId w:val="6"/>
        </w:numPr>
        <w:tabs>
          <w:tab w:val="left" w:pos="851"/>
        </w:tabs>
        <w:ind w:left="1134" w:hanging="283"/>
        <w:rPr>
          <w:sz w:val="24"/>
          <w:szCs w:val="24"/>
        </w:rPr>
      </w:pPr>
      <w:r w:rsidRPr="00A71E3E">
        <w:rPr>
          <w:sz w:val="24"/>
          <w:szCs w:val="24"/>
        </w:rPr>
        <w:t>Behandling af manifest postoperativ kvalme og opkastning (PONV) som 2. valg.</w:t>
      </w:r>
    </w:p>
    <w:p w14:paraId="05582317" w14:textId="77777777" w:rsidR="009260DE" w:rsidRPr="00C84483" w:rsidRDefault="009260DE" w:rsidP="009260DE">
      <w:pPr>
        <w:tabs>
          <w:tab w:val="left" w:pos="851"/>
        </w:tabs>
        <w:ind w:left="851"/>
        <w:rPr>
          <w:sz w:val="24"/>
          <w:szCs w:val="24"/>
        </w:rPr>
      </w:pPr>
    </w:p>
    <w:p w14:paraId="2146CC46"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1899F76"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Opløsningen kan administreres intravenøst eller intramuskulært</w:t>
      </w:r>
    </w:p>
    <w:p w14:paraId="77B76BFF"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Intravenøse doser skal administreres som en langsom bolus (over mindst 3 minutter).</w:t>
      </w:r>
    </w:p>
    <w:p w14:paraId="52B718AF"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p>
    <w:p w14:paraId="553AE5F0"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u w:val="single"/>
        </w:rPr>
      </w:pPr>
      <w:r w:rsidRPr="00ED7E87">
        <w:rPr>
          <w:rFonts w:ascii="Times New Roman" w:hAnsi="Times New Roman"/>
          <w:sz w:val="24"/>
          <w:szCs w:val="24"/>
          <w:u w:val="single"/>
        </w:rPr>
        <w:t>Alle indikationer (voksne patienter)</w:t>
      </w:r>
    </w:p>
    <w:p w14:paraId="4F940566"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Til forebyggelse af PONV anbefales en enkeltdosis på 10 mg.</w:t>
      </w:r>
    </w:p>
    <w:p w14:paraId="7C9FF264"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Symptomatisk behandling af kvalme og opkastning, herunder kvalme og opkastning induceret af akut migræne, samt forebyggelse af stråleterapiinduceret kvalme og opkastning (RINV): Den anbefalede enkeltdosis er 10 mg, der kan administreres op til tre gange dagligt.</w:t>
      </w:r>
    </w:p>
    <w:p w14:paraId="1F22EC74" w14:textId="77777777" w:rsidR="00ED7E87" w:rsidRPr="00ED7E87" w:rsidRDefault="00ED7E87" w:rsidP="00ED7E87">
      <w:pPr>
        <w:pStyle w:val="Bodytext20"/>
        <w:shd w:val="clear" w:color="auto" w:fill="auto"/>
        <w:spacing w:line="240" w:lineRule="auto"/>
        <w:ind w:left="851" w:firstLine="0"/>
        <w:rPr>
          <w:rFonts w:ascii="Times New Roman" w:hAnsi="Times New Roman"/>
          <w:sz w:val="24"/>
          <w:szCs w:val="24"/>
        </w:rPr>
      </w:pPr>
      <w:r w:rsidRPr="00ED7E87">
        <w:rPr>
          <w:rFonts w:ascii="Times New Roman" w:hAnsi="Times New Roman"/>
          <w:sz w:val="24"/>
          <w:szCs w:val="24"/>
        </w:rPr>
        <w:t>Den maksimale anbefalede daglige dosis er 30 mg eller 0,5 mg/kg legemsvægt.</w:t>
      </w:r>
    </w:p>
    <w:p w14:paraId="19D5D704"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p>
    <w:p w14:paraId="3BA662C2"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Varigheden af den injicerbare behandling skal være så kort som mulig, og overgang til oral eller rektal administration skal ske så hurtigt som muligt.</w:t>
      </w:r>
    </w:p>
    <w:p w14:paraId="7927900E"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p>
    <w:p w14:paraId="7DCE5248"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u w:val="single"/>
        </w:rPr>
      </w:pPr>
      <w:r w:rsidRPr="00ED7E87">
        <w:rPr>
          <w:rFonts w:ascii="Times New Roman" w:hAnsi="Times New Roman"/>
          <w:sz w:val="24"/>
          <w:szCs w:val="24"/>
          <w:u w:val="single"/>
        </w:rPr>
        <w:t>Alle indikationer (pædiatriske patienter i alderen 1</w:t>
      </w:r>
      <w:r w:rsidRPr="00ED7E87">
        <w:rPr>
          <w:rFonts w:ascii="Times New Roman" w:hAnsi="Times New Roman"/>
          <w:sz w:val="24"/>
          <w:szCs w:val="24"/>
          <w:u w:val="single"/>
        </w:rPr>
        <w:noBreakHyphen/>
        <w:t>18 år)</w:t>
      </w:r>
    </w:p>
    <w:p w14:paraId="6F379541" w14:textId="702F506E" w:rsidR="00ED7E87" w:rsidRDefault="00ED7E87" w:rsidP="00ED7E87">
      <w:pPr>
        <w:pStyle w:val="Bodytext20"/>
        <w:shd w:val="clear" w:color="auto" w:fill="auto"/>
        <w:spacing w:line="240" w:lineRule="auto"/>
        <w:ind w:left="851" w:firstLine="0"/>
        <w:rPr>
          <w:rFonts w:ascii="Times New Roman" w:hAnsi="Times New Roman"/>
          <w:sz w:val="24"/>
          <w:szCs w:val="24"/>
        </w:rPr>
      </w:pPr>
      <w:r w:rsidRPr="00ED7E87">
        <w:rPr>
          <w:rFonts w:ascii="Times New Roman" w:hAnsi="Times New Roman"/>
          <w:sz w:val="24"/>
          <w:szCs w:val="24"/>
        </w:rPr>
        <w:t>Den anbefalede dosis er 0,1 til 0,15 mg/kg legemsvægt, administreret op til tre gange dagligt intravenøst. Den maksimale dosis over 24 timer er 0,5 mg/kg legemsvægt.</w:t>
      </w:r>
    </w:p>
    <w:p w14:paraId="622D84AB" w14:textId="074785F1" w:rsidR="00AD3189" w:rsidRDefault="00AD3189" w:rsidP="00ED7E87">
      <w:pPr>
        <w:pStyle w:val="Bodytext20"/>
        <w:shd w:val="clear" w:color="auto" w:fill="auto"/>
        <w:spacing w:line="240" w:lineRule="auto"/>
        <w:ind w:left="851" w:firstLine="0"/>
        <w:rPr>
          <w:rFonts w:ascii="Times New Roman" w:hAnsi="Times New Roman" w:cs="Times New Roman"/>
          <w:sz w:val="24"/>
          <w:szCs w:val="24"/>
        </w:rPr>
      </w:pPr>
    </w:p>
    <w:p w14:paraId="5275CE02" w14:textId="77777777" w:rsidR="00AD3189" w:rsidRPr="00AD3189" w:rsidRDefault="00AD3189" w:rsidP="00AD3189">
      <w:pPr>
        <w:ind w:left="851"/>
        <w:rPr>
          <w:rFonts w:eastAsia="Verdana"/>
          <w:i/>
        </w:rPr>
      </w:pPr>
      <w:r w:rsidRPr="00AD3189">
        <w:rPr>
          <w:rFonts w:eastAsia="Verdana"/>
          <w:i/>
        </w:rPr>
        <w:t>Doseringstabel</w:t>
      </w:r>
    </w:p>
    <w:p w14:paraId="4265DD9E" w14:textId="77777777" w:rsidR="00ED7E87" w:rsidRPr="00ED7E87" w:rsidRDefault="00ED7E87" w:rsidP="00AD3189">
      <w:pPr>
        <w:ind w:left="851"/>
      </w:pPr>
    </w:p>
    <w:tbl>
      <w:tblPr>
        <w:tblW w:w="8220" w:type="dxa"/>
        <w:tblInd w:w="846" w:type="dxa"/>
        <w:tblLayout w:type="fixed"/>
        <w:tblCellMar>
          <w:left w:w="10" w:type="dxa"/>
          <w:right w:w="10" w:type="dxa"/>
        </w:tblCellMar>
        <w:tblLook w:val="04A0" w:firstRow="1" w:lastRow="0" w:firstColumn="1" w:lastColumn="0" w:noHBand="0" w:noVBand="1"/>
      </w:tblPr>
      <w:tblGrid>
        <w:gridCol w:w="1558"/>
        <w:gridCol w:w="1985"/>
        <w:gridCol w:w="1417"/>
        <w:gridCol w:w="3260"/>
      </w:tblGrid>
      <w:tr w:rsidR="00ED7E87" w14:paraId="47C1E126" w14:textId="77777777" w:rsidTr="00ED7E87">
        <w:trPr>
          <w:trHeight w:hRule="exact" w:val="370"/>
        </w:trPr>
        <w:tc>
          <w:tcPr>
            <w:tcW w:w="1558" w:type="dxa"/>
            <w:tcBorders>
              <w:top w:val="single" w:sz="4" w:space="0" w:color="auto"/>
              <w:left w:val="single" w:sz="4" w:space="0" w:color="auto"/>
              <w:bottom w:val="nil"/>
              <w:right w:val="nil"/>
            </w:tcBorders>
            <w:shd w:val="clear" w:color="auto" w:fill="FFFFFF"/>
            <w:hideMark/>
          </w:tcPr>
          <w:p w14:paraId="473FF095"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Alder</w:t>
            </w:r>
          </w:p>
        </w:tc>
        <w:tc>
          <w:tcPr>
            <w:tcW w:w="1985" w:type="dxa"/>
            <w:tcBorders>
              <w:top w:val="single" w:sz="4" w:space="0" w:color="auto"/>
              <w:left w:val="single" w:sz="4" w:space="0" w:color="auto"/>
              <w:bottom w:val="nil"/>
              <w:right w:val="nil"/>
            </w:tcBorders>
            <w:shd w:val="clear" w:color="auto" w:fill="FFFFFF"/>
            <w:hideMark/>
          </w:tcPr>
          <w:p w14:paraId="7AFD69BA"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Legemsvægt</w:t>
            </w:r>
          </w:p>
        </w:tc>
        <w:tc>
          <w:tcPr>
            <w:tcW w:w="1417" w:type="dxa"/>
            <w:tcBorders>
              <w:top w:val="single" w:sz="4" w:space="0" w:color="auto"/>
              <w:left w:val="single" w:sz="4" w:space="0" w:color="auto"/>
              <w:bottom w:val="nil"/>
              <w:right w:val="nil"/>
            </w:tcBorders>
            <w:shd w:val="clear" w:color="auto" w:fill="FFFFFF"/>
            <w:hideMark/>
          </w:tcPr>
          <w:p w14:paraId="66CE1076"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Dosis</w:t>
            </w:r>
          </w:p>
        </w:tc>
        <w:tc>
          <w:tcPr>
            <w:tcW w:w="3260" w:type="dxa"/>
            <w:tcBorders>
              <w:top w:val="single" w:sz="4" w:space="0" w:color="auto"/>
              <w:left w:val="single" w:sz="4" w:space="0" w:color="auto"/>
              <w:bottom w:val="nil"/>
              <w:right w:val="single" w:sz="4" w:space="0" w:color="auto"/>
            </w:tcBorders>
            <w:shd w:val="clear" w:color="auto" w:fill="FFFFFF"/>
            <w:hideMark/>
          </w:tcPr>
          <w:p w14:paraId="0A5A5D81"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Hyppighed</w:t>
            </w:r>
          </w:p>
        </w:tc>
      </w:tr>
      <w:tr w:rsidR="00ED7E87" w14:paraId="2DF1CBF5" w14:textId="77777777" w:rsidTr="00ED7E87">
        <w:trPr>
          <w:trHeight w:hRule="exact" w:val="370"/>
        </w:trPr>
        <w:tc>
          <w:tcPr>
            <w:tcW w:w="1558" w:type="dxa"/>
            <w:tcBorders>
              <w:top w:val="single" w:sz="4" w:space="0" w:color="auto"/>
              <w:left w:val="single" w:sz="4" w:space="0" w:color="auto"/>
              <w:bottom w:val="nil"/>
              <w:right w:val="nil"/>
            </w:tcBorders>
            <w:shd w:val="clear" w:color="auto" w:fill="FFFFFF"/>
            <w:hideMark/>
          </w:tcPr>
          <w:p w14:paraId="73E74CFD"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1</w:t>
            </w:r>
            <w:r>
              <w:rPr>
                <w:rFonts w:ascii="Times New Roman" w:hAnsi="Times New Roman"/>
                <w:sz w:val="22"/>
              </w:rPr>
              <w:noBreakHyphen/>
              <w:t>3 år</w:t>
            </w:r>
          </w:p>
        </w:tc>
        <w:tc>
          <w:tcPr>
            <w:tcW w:w="1985" w:type="dxa"/>
            <w:tcBorders>
              <w:top w:val="single" w:sz="4" w:space="0" w:color="auto"/>
              <w:left w:val="single" w:sz="4" w:space="0" w:color="auto"/>
              <w:bottom w:val="nil"/>
              <w:right w:val="nil"/>
            </w:tcBorders>
            <w:shd w:val="clear" w:color="auto" w:fill="FFFFFF"/>
            <w:hideMark/>
          </w:tcPr>
          <w:p w14:paraId="0B816C1E"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10</w:t>
            </w:r>
            <w:r>
              <w:rPr>
                <w:rFonts w:ascii="Times New Roman" w:hAnsi="Times New Roman"/>
                <w:sz w:val="22"/>
              </w:rPr>
              <w:noBreakHyphen/>
              <w:t>14 kg</w:t>
            </w:r>
          </w:p>
        </w:tc>
        <w:tc>
          <w:tcPr>
            <w:tcW w:w="1417" w:type="dxa"/>
            <w:tcBorders>
              <w:top w:val="single" w:sz="4" w:space="0" w:color="auto"/>
              <w:left w:val="single" w:sz="4" w:space="0" w:color="auto"/>
              <w:bottom w:val="nil"/>
              <w:right w:val="nil"/>
            </w:tcBorders>
            <w:shd w:val="clear" w:color="auto" w:fill="FFFFFF"/>
            <w:hideMark/>
          </w:tcPr>
          <w:p w14:paraId="7F1D6514"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1 mg</w:t>
            </w:r>
          </w:p>
        </w:tc>
        <w:tc>
          <w:tcPr>
            <w:tcW w:w="3260" w:type="dxa"/>
            <w:tcBorders>
              <w:top w:val="single" w:sz="4" w:space="0" w:color="auto"/>
              <w:left w:val="single" w:sz="4" w:space="0" w:color="auto"/>
              <w:bottom w:val="nil"/>
              <w:right w:val="single" w:sz="4" w:space="0" w:color="auto"/>
            </w:tcBorders>
            <w:shd w:val="clear" w:color="auto" w:fill="FFFFFF"/>
            <w:hideMark/>
          </w:tcPr>
          <w:p w14:paraId="25BBBA96"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Op til 3 gange dagligt</w:t>
            </w:r>
          </w:p>
        </w:tc>
      </w:tr>
      <w:tr w:rsidR="00ED7E87" w14:paraId="219E9EA2" w14:textId="77777777" w:rsidTr="00ED7E87">
        <w:trPr>
          <w:trHeight w:hRule="exact" w:val="370"/>
        </w:trPr>
        <w:tc>
          <w:tcPr>
            <w:tcW w:w="1558" w:type="dxa"/>
            <w:tcBorders>
              <w:top w:val="single" w:sz="4" w:space="0" w:color="auto"/>
              <w:left w:val="single" w:sz="4" w:space="0" w:color="auto"/>
              <w:bottom w:val="nil"/>
              <w:right w:val="nil"/>
            </w:tcBorders>
            <w:shd w:val="clear" w:color="auto" w:fill="FFFFFF"/>
            <w:hideMark/>
          </w:tcPr>
          <w:p w14:paraId="302A4A13"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3</w:t>
            </w:r>
            <w:r>
              <w:rPr>
                <w:rFonts w:ascii="Times New Roman" w:hAnsi="Times New Roman"/>
                <w:sz w:val="22"/>
              </w:rPr>
              <w:noBreakHyphen/>
              <w:t>5 år</w:t>
            </w:r>
          </w:p>
        </w:tc>
        <w:tc>
          <w:tcPr>
            <w:tcW w:w="1985" w:type="dxa"/>
            <w:tcBorders>
              <w:top w:val="single" w:sz="4" w:space="0" w:color="auto"/>
              <w:left w:val="single" w:sz="4" w:space="0" w:color="auto"/>
              <w:bottom w:val="nil"/>
              <w:right w:val="nil"/>
            </w:tcBorders>
            <w:shd w:val="clear" w:color="auto" w:fill="FFFFFF"/>
            <w:hideMark/>
          </w:tcPr>
          <w:p w14:paraId="61688D19"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15</w:t>
            </w:r>
            <w:r>
              <w:rPr>
                <w:rFonts w:ascii="Times New Roman" w:hAnsi="Times New Roman"/>
                <w:sz w:val="22"/>
              </w:rPr>
              <w:noBreakHyphen/>
              <w:t>19 kg</w:t>
            </w:r>
          </w:p>
        </w:tc>
        <w:tc>
          <w:tcPr>
            <w:tcW w:w="1417" w:type="dxa"/>
            <w:tcBorders>
              <w:top w:val="single" w:sz="4" w:space="0" w:color="auto"/>
              <w:left w:val="single" w:sz="4" w:space="0" w:color="auto"/>
              <w:bottom w:val="nil"/>
              <w:right w:val="nil"/>
            </w:tcBorders>
            <w:shd w:val="clear" w:color="auto" w:fill="FFFFFF"/>
            <w:hideMark/>
          </w:tcPr>
          <w:p w14:paraId="02F9DBE4"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2 mg</w:t>
            </w:r>
          </w:p>
        </w:tc>
        <w:tc>
          <w:tcPr>
            <w:tcW w:w="3260" w:type="dxa"/>
            <w:tcBorders>
              <w:top w:val="single" w:sz="4" w:space="0" w:color="auto"/>
              <w:left w:val="single" w:sz="4" w:space="0" w:color="auto"/>
              <w:bottom w:val="nil"/>
              <w:right w:val="single" w:sz="4" w:space="0" w:color="auto"/>
            </w:tcBorders>
            <w:shd w:val="clear" w:color="auto" w:fill="FFFFFF"/>
            <w:hideMark/>
          </w:tcPr>
          <w:p w14:paraId="46756B35"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Op til 3 gange dagligt</w:t>
            </w:r>
          </w:p>
        </w:tc>
      </w:tr>
      <w:tr w:rsidR="00ED7E87" w14:paraId="643D56D1" w14:textId="77777777" w:rsidTr="00ED7E87">
        <w:trPr>
          <w:trHeight w:hRule="exact" w:val="370"/>
        </w:trPr>
        <w:tc>
          <w:tcPr>
            <w:tcW w:w="1558" w:type="dxa"/>
            <w:tcBorders>
              <w:top w:val="single" w:sz="4" w:space="0" w:color="auto"/>
              <w:left w:val="single" w:sz="4" w:space="0" w:color="auto"/>
              <w:bottom w:val="nil"/>
              <w:right w:val="nil"/>
            </w:tcBorders>
            <w:shd w:val="clear" w:color="auto" w:fill="FFFFFF"/>
            <w:hideMark/>
          </w:tcPr>
          <w:p w14:paraId="5D38772E"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5</w:t>
            </w:r>
            <w:r>
              <w:rPr>
                <w:rFonts w:ascii="Times New Roman" w:hAnsi="Times New Roman"/>
                <w:sz w:val="22"/>
              </w:rPr>
              <w:noBreakHyphen/>
              <w:t>9 år</w:t>
            </w:r>
          </w:p>
        </w:tc>
        <w:tc>
          <w:tcPr>
            <w:tcW w:w="1985" w:type="dxa"/>
            <w:tcBorders>
              <w:top w:val="single" w:sz="4" w:space="0" w:color="auto"/>
              <w:left w:val="single" w:sz="4" w:space="0" w:color="auto"/>
              <w:bottom w:val="nil"/>
              <w:right w:val="nil"/>
            </w:tcBorders>
            <w:shd w:val="clear" w:color="auto" w:fill="FFFFFF"/>
            <w:hideMark/>
          </w:tcPr>
          <w:p w14:paraId="5A4100BE"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20</w:t>
            </w:r>
            <w:r>
              <w:rPr>
                <w:rFonts w:ascii="Times New Roman" w:hAnsi="Times New Roman"/>
                <w:sz w:val="22"/>
              </w:rPr>
              <w:noBreakHyphen/>
              <w:t>29 kg</w:t>
            </w:r>
          </w:p>
        </w:tc>
        <w:tc>
          <w:tcPr>
            <w:tcW w:w="1417" w:type="dxa"/>
            <w:tcBorders>
              <w:top w:val="single" w:sz="4" w:space="0" w:color="auto"/>
              <w:left w:val="single" w:sz="4" w:space="0" w:color="auto"/>
              <w:bottom w:val="nil"/>
              <w:right w:val="nil"/>
            </w:tcBorders>
            <w:shd w:val="clear" w:color="auto" w:fill="FFFFFF"/>
            <w:hideMark/>
          </w:tcPr>
          <w:p w14:paraId="0AC65B7C"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2,5 mg</w:t>
            </w:r>
          </w:p>
        </w:tc>
        <w:tc>
          <w:tcPr>
            <w:tcW w:w="3260" w:type="dxa"/>
            <w:tcBorders>
              <w:top w:val="single" w:sz="4" w:space="0" w:color="auto"/>
              <w:left w:val="single" w:sz="4" w:space="0" w:color="auto"/>
              <w:bottom w:val="nil"/>
              <w:right w:val="single" w:sz="4" w:space="0" w:color="auto"/>
            </w:tcBorders>
            <w:shd w:val="clear" w:color="auto" w:fill="FFFFFF"/>
            <w:hideMark/>
          </w:tcPr>
          <w:p w14:paraId="76B04B15"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Op til 3 gange dagligt</w:t>
            </w:r>
          </w:p>
        </w:tc>
      </w:tr>
      <w:tr w:rsidR="00ED7E87" w14:paraId="7B51DAB0" w14:textId="77777777" w:rsidTr="00ED7E87">
        <w:trPr>
          <w:trHeight w:hRule="exact" w:val="370"/>
        </w:trPr>
        <w:tc>
          <w:tcPr>
            <w:tcW w:w="1558" w:type="dxa"/>
            <w:tcBorders>
              <w:top w:val="single" w:sz="4" w:space="0" w:color="auto"/>
              <w:left w:val="single" w:sz="4" w:space="0" w:color="auto"/>
              <w:bottom w:val="nil"/>
              <w:right w:val="nil"/>
            </w:tcBorders>
            <w:shd w:val="clear" w:color="auto" w:fill="FFFFFF"/>
            <w:hideMark/>
          </w:tcPr>
          <w:p w14:paraId="2038893D"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9</w:t>
            </w:r>
            <w:r>
              <w:rPr>
                <w:rFonts w:ascii="Times New Roman" w:hAnsi="Times New Roman"/>
                <w:sz w:val="22"/>
              </w:rPr>
              <w:noBreakHyphen/>
              <w:t>15 år</w:t>
            </w:r>
          </w:p>
        </w:tc>
        <w:tc>
          <w:tcPr>
            <w:tcW w:w="1985" w:type="dxa"/>
            <w:tcBorders>
              <w:top w:val="single" w:sz="4" w:space="0" w:color="auto"/>
              <w:left w:val="single" w:sz="4" w:space="0" w:color="auto"/>
              <w:bottom w:val="nil"/>
              <w:right w:val="nil"/>
            </w:tcBorders>
            <w:shd w:val="clear" w:color="auto" w:fill="FFFFFF"/>
            <w:hideMark/>
          </w:tcPr>
          <w:p w14:paraId="33F59F8F"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30</w:t>
            </w:r>
            <w:r>
              <w:rPr>
                <w:rFonts w:ascii="Times New Roman" w:hAnsi="Times New Roman"/>
                <w:sz w:val="22"/>
              </w:rPr>
              <w:noBreakHyphen/>
              <w:t>60 kg</w:t>
            </w:r>
          </w:p>
        </w:tc>
        <w:tc>
          <w:tcPr>
            <w:tcW w:w="1417" w:type="dxa"/>
            <w:tcBorders>
              <w:top w:val="single" w:sz="4" w:space="0" w:color="auto"/>
              <w:left w:val="single" w:sz="4" w:space="0" w:color="auto"/>
              <w:bottom w:val="nil"/>
              <w:right w:val="nil"/>
            </w:tcBorders>
            <w:shd w:val="clear" w:color="auto" w:fill="FFFFFF"/>
            <w:hideMark/>
          </w:tcPr>
          <w:p w14:paraId="70F705D7"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5 mg</w:t>
            </w:r>
          </w:p>
        </w:tc>
        <w:tc>
          <w:tcPr>
            <w:tcW w:w="3260" w:type="dxa"/>
            <w:tcBorders>
              <w:top w:val="single" w:sz="4" w:space="0" w:color="auto"/>
              <w:left w:val="single" w:sz="4" w:space="0" w:color="auto"/>
              <w:bottom w:val="nil"/>
              <w:right w:val="single" w:sz="4" w:space="0" w:color="auto"/>
            </w:tcBorders>
            <w:shd w:val="clear" w:color="auto" w:fill="FFFFFF"/>
            <w:hideMark/>
          </w:tcPr>
          <w:p w14:paraId="4FA80197"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Op til 3 gange dagligt</w:t>
            </w:r>
          </w:p>
        </w:tc>
      </w:tr>
      <w:tr w:rsidR="00ED7E87" w14:paraId="46167175" w14:textId="77777777" w:rsidTr="00ED7E87">
        <w:trPr>
          <w:trHeight w:hRule="exact" w:val="374"/>
        </w:trPr>
        <w:tc>
          <w:tcPr>
            <w:tcW w:w="1558" w:type="dxa"/>
            <w:tcBorders>
              <w:top w:val="single" w:sz="4" w:space="0" w:color="auto"/>
              <w:left w:val="single" w:sz="4" w:space="0" w:color="auto"/>
              <w:bottom w:val="single" w:sz="4" w:space="0" w:color="auto"/>
              <w:right w:val="nil"/>
            </w:tcBorders>
            <w:shd w:val="clear" w:color="auto" w:fill="FFFFFF"/>
            <w:hideMark/>
          </w:tcPr>
          <w:p w14:paraId="0E3F942B"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15</w:t>
            </w:r>
            <w:r>
              <w:rPr>
                <w:rFonts w:ascii="Times New Roman" w:hAnsi="Times New Roman"/>
                <w:sz w:val="22"/>
              </w:rPr>
              <w:noBreakHyphen/>
              <w:t>18 år</w:t>
            </w:r>
          </w:p>
        </w:tc>
        <w:tc>
          <w:tcPr>
            <w:tcW w:w="1985" w:type="dxa"/>
            <w:tcBorders>
              <w:top w:val="single" w:sz="4" w:space="0" w:color="auto"/>
              <w:left w:val="single" w:sz="4" w:space="0" w:color="auto"/>
              <w:bottom w:val="single" w:sz="4" w:space="0" w:color="auto"/>
              <w:right w:val="nil"/>
            </w:tcBorders>
            <w:shd w:val="clear" w:color="auto" w:fill="FFFFFF"/>
            <w:hideMark/>
          </w:tcPr>
          <w:p w14:paraId="3823DD69"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Over 60 kg</w:t>
            </w:r>
          </w:p>
        </w:tc>
        <w:tc>
          <w:tcPr>
            <w:tcW w:w="1417" w:type="dxa"/>
            <w:tcBorders>
              <w:top w:val="single" w:sz="4" w:space="0" w:color="auto"/>
              <w:left w:val="single" w:sz="4" w:space="0" w:color="auto"/>
              <w:bottom w:val="single" w:sz="4" w:space="0" w:color="auto"/>
              <w:right w:val="nil"/>
            </w:tcBorders>
            <w:shd w:val="clear" w:color="auto" w:fill="FFFFFF"/>
            <w:hideMark/>
          </w:tcPr>
          <w:p w14:paraId="52F1C9EE"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10 mg</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14:paraId="20DC7F90" w14:textId="77777777" w:rsidR="00ED7E87" w:rsidRDefault="00ED7E87" w:rsidP="00ED7E87">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Op til 3 gange dagligt</w:t>
            </w:r>
          </w:p>
        </w:tc>
      </w:tr>
    </w:tbl>
    <w:p w14:paraId="08192227" w14:textId="77777777" w:rsidR="00ED7E87" w:rsidRDefault="00ED7E87" w:rsidP="00ED7E87">
      <w:pPr>
        <w:pStyle w:val="Bodytext30"/>
        <w:shd w:val="clear" w:color="auto" w:fill="auto"/>
        <w:spacing w:before="0" w:after="0" w:line="240" w:lineRule="auto"/>
        <w:ind w:left="851"/>
        <w:rPr>
          <w:rFonts w:ascii="Times New Roman" w:hAnsi="Times New Roman" w:cs="Times New Roman"/>
          <w:sz w:val="22"/>
          <w:szCs w:val="22"/>
        </w:rPr>
      </w:pPr>
    </w:p>
    <w:p w14:paraId="07940380"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Den maksimale behandlingsvarighed for behandling af manifest postoperativ kvalme og opkastning (PONV) er 48 timer.</w:t>
      </w:r>
    </w:p>
    <w:p w14:paraId="545706D7"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Den maksimale behandlingsvarighed for forebyggelse af forsinket kemoterapiinduceret kvalme og opkastning (CINV) er 5 dage.</w:t>
      </w:r>
    </w:p>
    <w:p w14:paraId="29AE3F90"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p>
    <w:p w14:paraId="1CC93D39" w14:textId="7A80F7A6" w:rsidR="00ED7E87" w:rsidRPr="00AD3189" w:rsidRDefault="00ED7E87" w:rsidP="00ED7E87">
      <w:pPr>
        <w:pStyle w:val="Bodytext20"/>
        <w:shd w:val="clear" w:color="auto" w:fill="auto"/>
        <w:spacing w:line="240" w:lineRule="auto"/>
        <w:ind w:left="851" w:firstLine="0"/>
        <w:rPr>
          <w:rFonts w:ascii="Times New Roman" w:hAnsi="Times New Roman" w:cs="Times New Roman"/>
          <w:sz w:val="24"/>
          <w:szCs w:val="24"/>
          <w:u w:val="single"/>
        </w:rPr>
      </w:pPr>
      <w:r w:rsidRPr="00AD3189">
        <w:rPr>
          <w:rFonts w:ascii="Times New Roman" w:hAnsi="Times New Roman"/>
          <w:sz w:val="24"/>
          <w:szCs w:val="24"/>
          <w:u w:val="single"/>
        </w:rPr>
        <w:t>Administrationshyppighed</w:t>
      </w:r>
    </w:p>
    <w:p w14:paraId="6F3E793D"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Der skal overholdes et minimumsinterval på 6 timer mellem to administrationer, også i tilfælde af opkastning eller afvisning af dosis (se pkt. 4.4).</w:t>
      </w:r>
    </w:p>
    <w:p w14:paraId="4ABE0894" w14:textId="40A999A2" w:rsidR="00AD3189" w:rsidRDefault="00AD3189">
      <w:pPr>
        <w:rPr>
          <w:rFonts w:eastAsia="Verdana"/>
          <w:sz w:val="24"/>
          <w:szCs w:val="24"/>
          <w:lang w:eastAsia="da-DK"/>
        </w:rPr>
      </w:pPr>
      <w:r>
        <w:rPr>
          <w:sz w:val="24"/>
          <w:szCs w:val="24"/>
        </w:rPr>
        <w:br w:type="page"/>
      </w:r>
    </w:p>
    <w:p w14:paraId="4577BF48"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p>
    <w:p w14:paraId="775BF37F" w14:textId="77777777" w:rsidR="00ED7E87" w:rsidRPr="00AD3189" w:rsidRDefault="00ED7E87" w:rsidP="00ED7E87">
      <w:pPr>
        <w:pStyle w:val="Bodytext20"/>
        <w:shd w:val="clear" w:color="auto" w:fill="auto"/>
        <w:spacing w:line="240" w:lineRule="auto"/>
        <w:ind w:left="851" w:firstLine="0"/>
        <w:rPr>
          <w:rFonts w:ascii="Times New Roman" w:hAnsi="Times New Roman" w:cs="Times New Roman"/>
          <w:sz w:val="24"/>
          <w:szCs w:val="24"/>
          <w:u w:val="single"/>
        </w:rPr>
      </w:pPr>
      <w:r w:rsidRPr="00AD3189">
        <w:rPr>
          <w:rFonts w:ascii="Times New Roman" w:hAnsi="Times New Roman"/>
          <w:sz w:val="24"/>
          <w:szCs w:val="24"/>
          <w:u w:val="single"/>
        </w:rPr>
        <w:t>Særlige populationer</w:t>
      </w:r>
    </w:p>
    <w:p w14:paraId="1D995842" w14:textId="77777777" w:rsidR="00ED7E87" w:rsidRPr="00ED7E87" w:rsidRDefault="00ED7E87" w:rsidP="00ED7E87">
      <w:pPr>
        <w:pStyle w:val="Bodytext30"/>
        <w:shd w:val="clear" w:color="auto" w:fill="auto"/>
        <w:spacing w:before="0" w:after="0" w:line="240" w:lineRule="auto"/>
        <w:ind w:left="851"/>
        <w:rPr>
          <w:rFonts w:ascii="Times New Roman" w:hAnsi="Times New Roman" w:cs="Times New Roman"/>
          <w:sz w:val="24"/>
          <w:szCs w:val="24"/>
        </w:rPr>
      </w:pPr>
    </w:p>
    <w:p w14:paraId="1EDB9F0A" w14:textId="1DF2086C" w:rsidR="00ED7E87" w:rsidRPr="00ED7E87" w:rsidRDefault="00ED7E87" w:rsidP="00ED7E87">
      <w:pPr>
        <w:pStyle w:val="Bodytext30"/>
        <w:shd w:val="clear" w:color="auto" w:fill="auto"/>
        <w:spacing w:before="0" w:after="0" w:line="240" w:lineRule="auto"/>
        <w:ind w:left="851"/>
        <w:rPr>
          <w:rFonts w:ascii="Times New Roman" w:hAnsi="Times New Roman" w:cs="Times New Roman"/>
          <w:sz w:val="24"/>
          <w:szCs w:val="24"/>
        </w:rPr>
      </w:pPr>
      <w:r w:rsidRPr="00ED7E87">
        <w:rPr>
          <w:rFonts w:ascii="Times New Roman" w:hAnsi="Times New Roman"/>
          <w:sz w:val="24"/>
          <w:szCs w:val="24"/>
        </w:rPr>
        <w:t>Ældre</w:t>
      </w:r>
    </w:p>
    <w:p w14:paraId="6A710BE9"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Hos ældre patienter skal en dosisreduktion overvejes, baseret på nyre- og leverfunktion og generel helbredstilstand.</w:t>
      </w:r>
    </w:p>
    <w:p w14:paraId="0DE2DC37" w14:textId="77777777" w:rsidR="00ED7E87" w:rsidRPr="00ED7E87" w:rsidRDefault="00ED7E87" w:rsidP="00ED7E87">
      <w:pPr>
        <w:pStyle w:val="Bodytext30"/>
        <w:shd w:val="clear" w:color="auto" w:fill="auto"/>
        <w:spacing w:before="0" w:after="0" w:line="240" w:lineRule="auto"/>
        <w:ind w:left="851"/>
        <w:rPr>
          <w:rFonts w:ascii="Times New Roman" w:hAnsi="Times New Roman" w:cs="Times New Roman"/>
          <w:sz w:val="24"/>
          <w:szCs w:val="24"/>
        </w:rPr>
      </w:pPr>
    </w:p>
    <w:p w14:paraId="5326D30A" w14:textId="6939D3D9" w:rsidR="00ED7E87" w:rsidRPr="00ED7E87" w:rsidRDefault="00ED7E87" w:rsidP="00ED7E87">
      <w:pPr>
        <w:pStyle w:val="Bodytext30"/>
        <w:shd w:val="clear" w:color="auto" w:fill="auto"/>
        <w:spacing w:before="0" w:after="0" w:line="240" w:lineRule="auto"/>
        <w:ind w:left="851"/>
        <w:rPr>
          <w:rFonts w:ascii="Times New Roman" w:hAnsi="Times New Roman" w:cs="Times New Roman"/>
          <w:sz w:val="24"/>
          <w:szCs w:val="24"/>
        </w:rPr>
      </w:pPr>
      <w:r w:rsidRPr="00ED7E87">
        <w:rPr>
          <w:rFonts w:ascii="Times New Roman" w:hAnsi="Times New Roman"/>
          <w:sz w:val="24"/>
          <w:szCs w:val="24"/>
        </w:rPr>
        <w:t>Nedsat nyrefunktion</w:t>
      </w:r>
    </w:p>
    <w:p w14:paraId="137B1528"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Hos patienter med nyresygdom i slutstadiet (kreatininclearance &lt; 15 ml/min) skal den daglige dosis reduceres med 75 %.</w:t>
      </w:r>
    </w:p>
    <w:p w14:paraId="73E74FEF"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Hos patienter med moderat til svært nedsat nyrefunktion (kreatininclearance 15</w:t>
      </w:r>
      <w:r w:rsidRPr="00ED7E87">
        <w:rPr>
          <w:rFonts w:ascii="Times New Roman" w:hAnsi="Times New Roman"/>
          <w:sz w:val="24"/>
          <w:szCs w:val="24"/>
        </w:rPr>
        <w:noBreakHyphen/>
        <w:t>60 ml/min) skal dosis reduceres med 50 % (se pkt. 5.2).</w:t>
      </w:r>
    </w:p>
    <w:p w14:paraId="0BF26AB4" w14:textId="77777777" w:rsidR="00ED7E87" w:rsidRPr="00ED7E87" w:rsidRDefault="00ED7E87" w:rsidP="00ED7E87">
      <w:pPr>
        <w:pStyle w:val="Bodytext30"/>
        <w:shd w:val="clear" w:color="auto" w:fill="auto"/>
        <w:spacing w:before="0" w:after="0" w:line="240" w:lineRule="auto"/>
        <w:ind w:left="851"/>
        <w:rPr>
          <w:rFonts w:ascii="Times New Roman" w:hAnsi="Times New Roman" w:cs="Times New Roman"/>
          <w:sz w:val="24"/>
          <w:szCs w:val="24"/>
        </w:rPr>
      </w:pPr>
    </w:p>
    <w:p w14:paraId="6DF43E00" w14:textId="6A812A02" w:rsidR="00ED7E87" w:rsidRPr="00ED7E87" w:rsidRDefault="00ED7E87" w:rsidP="00ED7E87">
      <w:pPr>
        <w:pStyle w:val="Bodytext30"/>
        <w:shd w:val="clear" w:color="auto" w:fill="auto"/>
        <w:spacing w:before="0" w:after="0" w:line="240" w:lineRule="auto"/>
        <w:ind w:left="851"/>
        <w:rPr>
          <w:rFonts w:ascii="Times New Roman" w:hAnsi="Times New Roman" w:cs="Times New Roman"/>
          <w:sz w:val="24"/>
          <w:szCs w:val="24"/>
        </w:rPr>
      </w:pPr>
      <w:r w:rsidRPr="00ED7E87">
        <w:rPr>
          <w:rFonts w:ascii="Times New Roman" w:hAnsi="Times New Roman"/>
          <w:sz w:val="24"/>
          <w:szCs w:val="24"/>
        </w:rPr>
        <w:t>Nedsat leverfunktion</w:t>
      </w:r>
    </w:p>
    <w:p w14:paraId="4DFB7232"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Hos patienter med svært nedsat leverfunktion skal dosis reduceres med 50 % (se pkt. 5.2).</w:t>
      </w:r>
    </w:p>
    <w:p w14:paraId="4258CD18" w14:textId="77777777" w:rsidR="00ED7E87" w:rsidRPr="00ED7E87" w:rsidRDefault="00ED7E87" w:rsidP="00ED7E87">
      <w:pPr>
        <w:pStyle w:val="Bodytext30"/>
        <w:shd w:val="clear" w:color="auto" w:fill="auto"/>
        <w:spacing w:before="0" w:after="0" w:line="240" w:lineRule="auto"/>
        <w:ind w:left="851"/>
        <w:rPr>
          <w:rFonts w:ascii="Times New Roman" w:hAnsi="Times New Roman" w:cs="Times New Roman"/>
          <w:i w:val="0"/>
          <w:sz w:val="24"/>
          <w:szCs w:val="24"/>
        </w:rPr>
      </w:pPr>
      <w:r w:rsidRPr="00ED7E87">
        <w:rPr>
          <w:rFonts w:ascii="Times New Roman" w:hAnsi="Times New Roman"/>
          <w:i w:val="0"/>
          <w:sz w:val="24"/>
          <w:szCs w:val="24"/>
        </w:rPr>
        <w:t>Andre lægemiddelformer kan være mere hensigtsmæssige hos denne population.</w:t>
      </w:r>
    </w:p>
    <w:p w14:paraId="63C0DEE5" w14:textId="77777777" w:rsidR="00ED7E87" w:rsidRPr="00ED7E87" w:rsidRDefault="00ED7E87" w:rsidP="00ED7E87">
      <w:pPr>
        <w:pStyle w:val="Bodytext30"/>
        <w:shd w:val="clear" w:color="auto" w:fill="auto"/>
        <w:spacing w:before="0" w:after="0" w:line="240" w:lineRule="auto"/>
        <w:ind w:left="851"/>
        <w:rPr>
          <w:rFonts w:ascii="Times New Roman" w:hAnsi="Times New Roman" w:cs="Times New Roman"/>
          <w:sz w:val="24"/>
          <w:szCs w:val="24"/>
        </w:rPr>
      </w:pPr>
    </w:p>
    <w:p w14:paraId="7933D479" w14:textId="78358A6E" w:rsidR="00ED7E87" w:rsidRPr="00ED7E87" w:rsidRDefault="00ED7E87" w:rsidP="00ED7E87">
      <w:pPr>
        <w:pStyle w:val="Bodytext30"/>
        <w:shd w:val="clear" w:color="auto" w:fill="auto"/>
        <w:spacing w:before="0" w:after="0" w:line="240" w:lineRule="auto"/>
        <w:ind w:left="851"/>
        <w:rPr>
          <w:rFonts w:ascii="Times New Roman" w:hAnsi="Times New Roman" w:cs="Times New Roman"/>
          <w:sz w:val="24"/>
          <w:szCs w:val="24"/>
        </w:rPr>
      </w:pPr>
      <w:r w:rsidRPr="00ED7E87">
        <w:rPr>
          <w:rFonts w:ascii="Times New Roman" w:hAnsi="Times New Roman"/>
          <w:sz w:val="24"/>
          <w:szCs w:val="24"/>
        </w:rPr>
        <w:t>Pædiatrisk population</w:t>
      </w:r>
    </w:p>
    <w:p w14:paraId="546B2BA1"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Metoclopramid er kontraindiceret til børn under 1 år (se pkt. 4.3).</w:t>
      </w:r>
    </w:p>
    <w:p w14:paraId="2E759B21"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p>
    <w:p w14:paraId="70CCFA15" w14:textId="77777777" w:rsidR="00ED7E87" w:rsidRPr="00ED7E87" w:rsidRDefault="00ED7E87" w:rsidP="00ED7E87">
      <w:pPr>
        <w:pStyle w:val="Bodytext20"/>
        <w:spacing w:line="240" w:lineRule="auto"/>
        <w:ind w:left="851" w:firstLine="0"/>
        <w:rPr>
          <w:rFonts w:ascii="Times New Roman" w:hAnsi="Times New Roman" w:cs="Times New Roman"/>
          <w:bCs/>
          <w:sz w:val="24"/>
          <w:szCs w:val="24"/>
          <w:u w:val="single"/>
        </w:rPr>
      </w:pPr>
      <w:r w:rsidRPr="00ED7E87">
        <w:rPr>
          <w:rFonts w:ascii="Times New Roman" w:hAnsi="Times New Roman"/>
          <w:sz w:val="24"/>
          <w:szCs w:val="24"/>
          <w:u w:val="single"/>
        </w:rPr>
        <w:t>Anvendelsesmåde og administrationsvej</w:t>
      </w:r>
    </w:p>
    <w:p w14:paraId="02A2E135" w14:textId="77777777" w:rsidR="00ED7E87" w:rsidRPr="00ED7E87" w:rsidRDefault="00ED7E87" w:rsidP="00ED7E87">
      <w:pPr>
        <w:pStyle w:val="Bodytext20"/>
        <w:spacing w:line="240" w:lineRule="auto"/>
        <w:ind w:left="851" w:firstLine="0"/>
        <w:rPr>
          <w:rFonts w:ascii="Times New Roman" w:hAnsi="Times New Roman" w:cs="Times New Roman"/>
          <w:sz w:val="24"/>
          <w:szCs w:val="24"/>
        </w:rPr>
      </w:pPr>
      <w:r w:rsidRPr="00ED7E87">
        <w:rPr>
          <w:rFonts w:ascii="Times New Roman" w:hAnsi="Times New Roman"/>
          <w:sz w:val="24"/>
          <w:szCs w:val="24"/>
        </w:rPr>
        <w:t xml:space="preserve">Opløsningen kan administreres intravenøst eller intramuskulært </w:t>
      </w:r>
    </w:p>
    <w:p w14:paraId="3DA65F2F" w14:textId="77777777" w:rsidR="00ED7E87" w:rsidRPr="00ED7E87" w:rsidRDefault="00ED7E87" w:rsidP="00ED7E87">
      <w:pPr>
        <w:pStyle w:val="Bodytext20"/>
        <w:spacing w:line="240" w:lineRule="auto"/>
        <w:ind w:left="851" w:firstLine="0"/>
        <w:rPr>
          <w:rFonts w:ascii="Times New Roman" w:hAnsi="Times New Roman" w:cs="Times New Roman"/>
          <w:sz w:val="24"/>
          <w:szCs w:val="24"/>
        </w:rPr>
      </w:pPr>
      <w:r w:rsidRPr="00ED7E87">
        <w:rPr>
          <w:rFonts w:ascii="Times New Roman" w:hAnsi="Times New Roman"/>
          <w:sz w:val="24"/>
          <w:szCs w:val="24"/>
        </w:rPr>
        <w:t>Intravenøse doser skal administreres som en langsom bolus (over mindst 3 minutter).</w:t>
      </w:r>
    </w:p>
    <w:p w14:paraId="329E5902" w14:textId="77777777" w:rsidR="00ED7E87" w:rsidRPr="00ED7E87" w:rsidRDefault="00ED7E87" w:rsidP="00ED7E87">
      <w:pPr>
        <w:pStyle w:val="Bodytext20"/>
        <w:spacing w:line="240" w:lineRule="auto"/>
        <w:ind w:left="851" w:firstLine="0"/>
        <w:rPr>
          <w:rFonts w:ascii="Times New Roman" w:hAnsi="Times New Roman" w:cs="Times New Roman"/>
          <w:sz w:val="24"/>
          <w:szCs w:val="24"/>
        </w:rPr>
      </w:pPr>
      <w:r w:rsidRPr="00ED7E87">
        <w:rPr>
          <w:rFonts w:ascii="Times New Roman" w:hAnsi="Times New Roman"/>
          <w:sz w:val="24"/>
          <w:szCs w:val="24"/>
        </w:rPr>
        <w:t>Hver ampul (2 ml) indeholder 10 mg metoclopramid (vandfri).</w:t>
      </w:r>
    </w:p>
    <w:p w14:paraId="7FC95E6A" w14:textId="77777777" w:rsidR="00ED7E87" w:rsidRPr="00ED7E87" w:rsidRDefault="00ED7E87" w:rsidP="00ED7E87">
      <w:pPr>
        <w:pStyle w:val="Bodytext20"/>
        <w:shd w:val="clear" w:color="auto" w:fill="auto"/>
        <w:spacing w:line="240" w:lineRule="auto"/>
        <w:ind w:left="851" w:firstLine="0"/>
        <w:rPr>
          <w:rFonts w:ascii="Times New Roman" w:hAnsi="Times New Roman" w:cs="Times New Roman"/>
          <w:sz w:val="24"/>
          <w:szCs w:val="24"/>
        </w:rPr>
      </w:pPr>
      <w:r w:rsidRPr="00ED7E87">
        <w:rPr>
          <w:rFonts w:ascii="Times New Roman" w:hAnsi="Times New Roman"/>
          <w:sz w:val="24"/>
          <w:szCs w:val="24"/>
        </w:rPr>
        <w:t>På grund af den potentielle risiko for alvorlige kardiovaskulære reaktioner, herunder hjertestop, må injektionsopløsningerne kun anvendes, når der er adgang til passende genoplivningsudstyr (se pkt. 4.8).</w:t>
      </w:r>
    </w:p>
    <w:p w14:paraId="00A2C748" w14:textId="77777777" w:rsidR="009260DE" w:rsidRPr="00ED7E87" w:rsidRDefault="009260DE" w:rsidP="00ED7E87">
      <w:pPr>
        <w:tabs>
          <w:tab w:val="left" w:pos="851"/>
        </w:tabs>
        <w:ind w:left="851"/>
        <w:rPr>
          <w:sz w:val="24"/>
          <w:szCs w:val="24"/>
        </w:rPr>
      </w:pPr>
    </w:p>
    <w:p w14:paraId="7FC3B6F2"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3F6AE56" w14:textId="63EA261E" w:rsidR="002F4429" w:rsidRDefault="002F4429" w:rsidP="002F4429">
      <w:pPr>
        <w:tabs>
          <w:tab w:val="left" w:pos="851"/>
        </w:tabs>
        <w:ind w:left="851"/>
        <w:rPr>
          <w:sz w:val="24"/>
          <w:szCs w:val="24"/>
        </w:rPr>
      </w:pPr>
      <w:r w:rsidRPr="002F4429">
        <w:rPr>
          <w:sz w:val="24"/>
          <w:szCs w:val="24"/>
        </w:rPr>
        <w:t>Dette lægemiddel MÅ IKKE ANVENDES i følgende tilfælde:</w:t>
      </w:r>
    </w:p>
    <w:p w14:paraId="198ADFAD" w14:textId="77777777" w:rsidR="002F4429" w:rsidRPr="002F4429" w:rsidRDefault="002F4429" w:rsidP="002F4429">
      <w:pPr>
        <w:pStyle w:val="Listeafsnit"/>
        <w:numPr>
          <w:ilvl w:val="0"/>
          <w:numId w:val="10"/>
        </w:numPr>
        <w:tabs>
          <w:tab w:val="left" w:pos="851"/>
        </w:tabs>
        <w:ind w:left="1134" w:hanging="283"/>
        <w:rPr>
          <w:sz w:val="24"/>
          <w:szCs w:val="24"/>
        </w:rPr>
      </w:pPr>
      <w:r w:rsidRPr="002F4429">
        <w:rPr>
          <w:sz w:val="24"/>
          <w:szCs w:val="24"/>
        </w:rPr>
        <w:t>Overfølsomhed over for det aktive stof eller over for et eller flere af hjælpestofferne anført i pkt. 6.1</w:t>
      </w:r>
    </w:p>
    <w:p w14:paraId="7FB3BFCB" w14:textId="77777777" w:rsidR="002F4429" w:rsidRPr="002F4429" w:rsidRDefault="002F4429" w:rsidP="002F4429">
      <w:pPr>
        <w:pStyle w:val="Listeafsnit"/>
        <w:numPr>
          <w:ilvl w:val="0"/>
          <w:numId w:val="10"/>
        </w:numPr>
        <w:tabs>
          <w:tab w:val="left" w:pos="851"/>
        </w:tabs>
        <w:ind w:left="1134" w:hanging="283"/>
        <w:rPr>
          <w:sz w:val="24"/>
          <w:szCs w:val="24"/>
          <w:lang w:val="fi-FI"/>
        </w:rPr>
      </w:pPr>
      <w:r w:rsidRPr="002F4429">
        <w:rPr>
          <w:sz w:val="24"/>
          <w:szCs w:val="24"/>
          <w:lang w:val="fi-FI"/>
        </w:rPr>
        <w:t>Gastrointestinal blødning, mekanisk obstruktion eller gastrointestinal perforation, hvor stimulering af gastrointestinal motilitet udgør en risiko.</w:t>
      </w:r>
    </w:p>
    <w:p w14:paraId="2DD1C7AF" w14:textId="77777777" w:rsidR="002F4429" w:rsidRPr="002F4429" w:rsidRDefault="002F4429" w:rsidP="002F4429">
      <w:pPr>
        <w:pStyle w:val="Listeafsnit"/>
        <w:numPr>
          <w:ilvl w:val="0"/>
          <w:numId w:val="10"/>
        </w:numPr>
        <w:tabs>
          <w:tab w:val="left" w:pos="851"/>
        </w:tabs>
        <w:ind w:left="1134" w:hanging="283"/>
        <w:rPr>
          <w:sz w:val="24"/>
          <w:szCs w:val="24"/>
        </w:rPr>
      </w:pPr>
      <w:r w:rsidRPr="002F4429">
        <w:rPr>
          <w:sz w:val="24"/>
          <w:szCs w:val="24"/>
        </w:rPr>
        <w:t>Bekræftet eller formodet fæokromocytom på grund af risikoen for alvorlige episoder med hypertension.</w:t>
      </w:r>
    </w:p>
    <w:p w14:paraId="63E63EA4" w14:textId="77777777" w:rsidR="002F4429" w:rsidRPr="002F4429" w:rsidRDefault="002F4429" w:rsidP="002F4429">
      <w:pPr>
        <w:pStyle w:val="Listeafsnit"/>
        <w:numPr>
          <w:ilvl w:val="0"/>
          <w:numId w:val="10"/>
        </w:numPr>
        <w:tabs>
          <w:tab w:val="left" w:pos="851"/>
        </w:tabs>
        <w:ind w:left="1134" w:hanging="283"/>
        <w:rPr>
          <w:sz w:val="24"/>
          <w:szCs w:val="24"/>
          <w:lang w:val="fi-FI"/>
        </w:rPr>
      </w:pPr>
      <w:r w:rsidRPr="002F4429">
        <w:rPr>
          <w:sz w:val="24"/>
          <w:szCs w:val="24"/>
          <w:lang w:val="fi-FI"/>
        </w:rPr>
        <w:t>Anamnese med neuroleptisk eller metoclopramid-induceret tardiv dyskinesi.</w:t>
      </w:r>
    </w:p>
    <w:p w14:paraId="12FE1104" w14:textId="77777777" w:rsidR="002F4429" w:rsidRPr="002F4429" w:rsidRDefault="002F4429" w:rsidP="002F4429">
      <w:pPr>
        <w:pStyle w:val="Listeafsnit"/>
        <w:numPr>
          <w:ilvl w:val="0"/>
          <w:numId w:val="10"/>
        </w:numPr>
        <w:tabs>
          <w:tab w:val="left" w:pos="851"/>
        </w:tabs>
        <w:ind w:left="1134" w:hanging="283"/>
        <w:rPr>
          <w:sz w:val="24"/>
          <w:szCs w:val="24"/>
        </w:rPr>
      </w:pPr>
      <w:r w:rsidRPr="002F4429">
        <w:rPr>
          <w:sz w:val="24"/>
          <w:szCs w:val="24"/>
        </w:rPr>
        <w:t>Epilepsi (øget krisehyppighed og intensitet).</w:t>
      </w:r>
    </w:p>
    <w:p w14:paraId="37DF8E76" w14:textId="77777777" w:rsidR="002F4429" w:rsidRPr="002F4429" w:rsidRDefault="002F4429" w:rsidP="002F4429">
      <w:pPr>
        <w:pStyle w:val="Listeafsnit"/>
        <w:numPr>
          <w:ilvl w:val="0"/>
          <w:numId w:val="10"/>
        </w:numPr>
        <w:tabs>
          <w:tab w:val="left" w:pos="851"/>
        </w:tabs>
        <w:ind w:left="1134" w:hanging="283"/>
        <w:rPr>
          <w:sz w:val="24"/>
          <w:szCs w:val="24"/>
          <w:lang w:val="fi-FI"/>
        </w:rPr>
      </w:pPr>
      <w:r w:rsidRPr="002F4429">
        <w:rPr>
          <w:sz w:val="24"/>
          <w:szCs w:val="24"/>
          <w:lang w:val="fi-FI"/>
        </w:rPr>
        <w:t>Parkinsons sygdom.</w:t>
      </w:r>
    </w:p>
    <w:p w14:paraId="16690DB3" w14:textId="77777777" w:rsidR="002F4429" w:rsidRPr="002F4429" w:rsidRDefault="002F4429" w:rsidP="002F4429">
      <w:pPr>
        <w:pStyle w:val="Listeafsnit"/>
        <w:numPr>
          <w:ilvl w:val="0"/>
          <w:numId w:val="10"/>
        </w:numPr>
        <w:tabs>
          <w:tab w:val="left" w:pos="851"/>
        </w:tabs>
        <w:ind w:left="1134" w:hanging="283"/>
        <w:rPr>
          <w:sz w:val="24"/>
          <w:szCs w:val="24"/>
          <w:lang w:val="fi-FI"/>
        </w:rPr>
      </w:pPr>
      <w:r w:rsidRPr="002F4429">
        <w:rPr>
          <w:sz w:val="24"/>
          <w:szCs w:val="24"/>
          <w:lang w:val="fi-FI"/>
        </w:rPr>
        <w:t>Kombination med levodopa eller dopaminerge agonister (se pkt. 4.5).</w:t>
      </w:r>
    </w:p>
    <w:p w14:paraId="573F54C8" w14:textId="77777777" w:rsidR="002F4429" w:rsidRPr="002F4429" w:rsidRDefault="002F4429" w:rsidP="002F4429">
      <w:pPr>
        <w:pStyle w:val="Listeafsnit"/>
        <w:numPr>
          <w:ilvl w:val="0"/>
          <w:numId w:val="10"/>
        </w:numPr>
        <w:tabs>
          <w:tab w:val="left" w:pos="851"/>
        </w:tabs>
        <w:ind w:left="1134" w:hanging="283"/>
        <w:rPr>
          <w:sz w:val="24"/>
          <w:szCs w:val="24"/>
        </w:rPr>
      </w:pPr>
      <w:r w:rsidRPr="002F4429">
        <w:rPr>
          <w:sz w:val="24"/>
          <w:szCs w:val="24"/>
        </w:rPr>
        <w:t>Kendt fortilfælde af methæmoglobinæmi med metoclopramid eller NADH-cytokrom-b5-mangel.</w:t>
      </w:r>
    </w:p>
    <w:p w14:paraId="33A464CF" w14:textId="77777777" w:rsidR="002F4429" w:rsidRPr="002F4429" w:rsidRDefault="002F4429" w:rsidP="002F4429">
      <w:pPr>
        <w:pStyle w:val="Listeafsnit"/>
        <w:numPr>
          <w:ilvl w:val="0"/>
          <w:numId w:val="10"/>
        </w:numPr>
        <w:tabs>
          <w:tab w:val="left" w:pos="851"/>
        </w:tabs>
        <w:ind w:left="1134" w:hanging="283"/>
        <w:rPr>
          <w:sz w:val="24"/>
          <w:szCs w:val="24"/>
        </w:rPr>
      </w:pPr>
      <w:r w:rsidRPr="002F4429">
        <w:rPr>
          <w:sz w:val="24"/>
          <w:szCs w:val="24"/>
        </w:rPr>
        <w:t>Anvendelse hos børn under 1 år på grund af øget risiko for ekstrapyramidale forstyrrelser (se pkt. 4.4).</w:t>
      </w:r>
    </w:p>
    <w:p w14:paraId="44BC1F1B" w14:textId="77777777" w:rsidR="002F4429" w:rsidRPr="002F4429" w:rsidRDefault="002F4429" w:rsidP="002F4429">
      <w:pPr>
        <w:tabs>
          <w:tab w:val="left" w:pos="851"/>
        </w:tabs>
        <w:ind w:left="851"/>
        <w:rPr>
          <w:sz w:val="24"/>
          <w:szCs w:val="24"/>
        </w:rPr>
      </w:pPr>
    </w:p>
    <w:p w14:paraId="00023AB6" w14:textId="77777777" w:rsidR="002F4429" w:rsidRPr="002F4429" w:rsidRDefault="002F4429" w:rsidP="002F4429">
      <w:pPr>
        <w:tabs>
          <w:tab w:val="left" w:pos="851"/>
        </w:tabs>
        <w:ind w:left="851"/>
        <w:rPr>
          <w:sz w:val="24"/>
          <w:szCs w:val="24"/>
        </w:rPr>
      </w:pPr>
      <w:r w:rsidRPr="002F4429">
        <w:rPr>
          <w:sz w:val="24"/>
          <w:szCs w:val="24"/>
        </w:rPr>
        <w:t>Dette lægemiddel MÅ IKKE ANVENDES i kombination med alkohol (se pkt. 4.5 "Interaktion med andre lægemidler og andre former for interaktion").</w:t>
      </w:r>
    </w:p>
    <w:p w14:paraId="63A11B69" w14:textId="58E753AC" w:rsidR="00717DDC" w:rsidRDefault="00717DDC">
      <w:pPr>
        <w:rPr>
          <w:sz w:val="24"/>
          <w:szCs w:val="24"/>
        </w:rPr>
      </w:pPr>
      <w:r>
        <w:rPr>
          <w:sz w:val="24"/>
          <w:szCs w:val="24"/>
        </w:rPr>
        <w:br w:type="page"/>
      </w:r>
    </w:p>
    <w:p w14:paraId="3D81C5E6" w14:textId="77777777" w:rsidR="009260DE" w:rsidRPr="00C84483" w:rsidRDefault="009260DE" w:rsidP="009260DE">
      <w:pPr>
        <w:tabs>
          <w:tab w:val="left" w:pos="851"/>
        </w:tabs>
        <w:ind w:left="851"/>
        <w:rPr>
          <w:sz w:val="24"/>
          <w:szCs w:val="24"/>
        </w:rPr>
      </w:pPr>
    </w:p>
    <w:p w14:paraId="36A572FF"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AE76F36" w14:textId="77777777" w:rsidR="00717DDC" w:rsidRDefault="00717DDC" w:rsidP="00717DDC">
      <w:pPr>
        <w:tabs>
          <w:tab w:val="left" w:pos="851"/>
        </w:tabs>
        <w:ind w:left="851"/>
        <w:rPr>
          <w:i/>
          <w:sz w:val="24"/>
          <w:szCs w:val="24"/>
        </w:rPr>
      </w:pPr>
    </w:p>
    <w:p w14:paraId="50D28BAE" w14:textId="3BA23566" w:rsidR="00717DDC" w:rsidRPr="00717DDC" w:rsidRDefault="00717DDC" w:rsidP="00717DDC">
      <w:pPr>
        <w:tabs>
          <w:tab w:val="left" w:pos="851"/>
        </w:tabs>
        <w:ind w:left="851"/>
        <w:rPr>
          <w:bCs/>
          <w:sz w:val="24"/>
          <w:szCs w:val="24"/>
          <w:u w:val="single"/>
        </w:rPr>
      </w:pPr>
      <w:r w:rsidRPr="00717DDC">
        <w:rPr>
          <w:sz w:val="24"/>
          <w:szCs w:val="24"/>
          <w:u w:val="single"/>
        </w:rPr>
        <w:t>Advarsler</w:t>
      </w:r>
    </w:p>
    <w:p w14:paraId="38456276" w14:textId="77777777" w:rsidR="00717DDC" w:rsidRPr="00717DDC" w:rsidRDefault="00717DDC" w:rsidP="00717DDC">
      <w:pPr>
        <w:tabs>
          <w:tab w:val="left" w:pos="851"/>
        </w:tabs>
        <w:ind w:left="851"/>
        <w:rPr>
          <w:sz w:val="24"/>
          <w:szCs w:val="24"/>
        </w:rPr>
      </w:pPr>
      <w:r w:rsidRPr="00717DDC">
        <w:rPr>
          <w:sz w:val="24"/>
          <w:szCs w:val="24"/>
        </w:rPr>
        <w:t xml:space="preserve">Dosis må ikke forøges ud over den anbefalede dosis. </w:t>
      </w:r>
    </w:p>
    <w:p w14:paraId="58DF10F2" w14:textId="77777777" w:rsidR="00717DDC" w:rsidRPr="00717DDC" w:rsidRDefault="00717DDC" w:rsidP="00717DDC">
      <w:pPr>
        <w:tabs>
          <w:tab w:val="left" w:pos="851"/>
        </w:tabs>
        <w:ind w:left="851"/>
        <w:rPr>
          <w:sz w:val="24"/>
          <w:szCs w:val="24"/>
        </w:rPr>
      </w:pPr>
    </w:p>
    <w:p w14:paraId="009A0A15" w14:textId="77777777" w:rsidR="00717DDC" w:rsidRPr="00717DDC" w:rsidRDefault="00717DDC" w:rsidP="00717DDC">
      <w:pPr>
        <w:tabs>
          <w:tab w:val="left" w:pos="851"/>
        </w:tabs>
        <w:ind w:left="851"/>
        <w:rPr>
          <w:i/>
          <w:sz w:val="24"/>
          <w:szCs w:val="24"/>
        </w:rPr>
      </w:pPr>
      <w:r w:rsidRPr="00717DDC">
        <w:rPr>
          <w:i/>
          <w:sz w:val="24"/>
          <w:szCs w:val="24"/>
        </w:rPr>
        <w:t>Neurologiske sygdomme</w:t>
      </w:r>
    </w:p>
    <w:p w14:paraId="308165E7" w14:textId="77777777" w:rsidR="00717DDC" w:rsidRPr="00717DDC" w:rsidRDefault="00717DDC" w:rsidP="00717DDC">
      <w:pPr>
        <w:tabs>
          <w:tab w:val="left" w:pos="851"/>
        </w:tabs>
        <w:ind w:left="851"/>
        <w:rPr>
          <w:sz w:val="24"/>
          <w:szCs w:val="24"/>
        </w:rPr>
      </w:pPr>
      <w:r w:rsidRPr="00717DDC">
        <w:rPr>
          <w:sz w:val="24"/>
          <w:szCs w:val="24"/>
        </w:rPr>
        <w:t>Der kan forekomme ekstrapyramidale forstyrrelser, især hos børn og unge og/eller ved brug af høje doser. Disse reaktioner optræder sædvanligvis i starten af behandlingen og kan forekomme efter en enkelt administration. Behandlingen med metoclopramid skal seponeres øjeblikkeligt i tilfælde af ekstrapyramidale symptomer. Disse virkninger er generelt fuldt reversible efter behandlingsophør, men kan kræve symptomatisk behandling (benzodiazepiner til børn og/eller antikolinerge lægemidler til behandling af parkinsonisme hos voksne).</w:t>
      </w:r>
    </w:p>
    <w:p w14:paraId="6F2F1114" w14:textId="77777777" w:rsidR="00717DDC" w:rsidRPr="00717DDC" w:rsidRDefault="00717DDC" w:rsidP="00717DDC">
      <w:pPr>
        <w:tabs>
          <w:tab w:val="left" w:pos="851"/>
        </w:tabs>
        <w:ind w:left="851"/>
        <w:rPr>
          <w:sz w:val="24"/>
          <w:szCs w:val="24"/>
        </w:rPr>
      </w:pPr>
    </w:p>
    <w:p w14:paraId="7BAF2083" w14:textId="77777777" w:rsidR="00717DDC" w:rsidRPr="00717DDC" w:rsidRDefault="00717DDC" w:rsidP="00717DDC">
      <w:pPr>
        <w:tabs>
          <w:tab w:val="left" w:pos="851"/>
        </w:tabs>
        <w:ind w:left="851"/>
        <w:rPr>
          <w:sz w:val="24"/>
          <w:szCs w:val="24"/>
        </w:rPr>
      </w:pPr>
      <w:r w:rsidRPr="00717DDC">
        <w:rPr>
          <w:sz w:val="24"/>
          <w:szCs w:val="24"/>
        </w:rPr>
        <w:t>Tidsintervallet på mindst 6 timer, der er angivet i pkt. 4.2, skal overholdes mellem hver administration af metoclopramid, også i tilfælde af opkastning og afvisning af dosis, for at undgå overdosering.</w:t>
      </w:r>
    </w:p>
    <w:p w14:paraId="087F4DEF" w14:textId="77777777" w:rsidR="00717DDC" w:rsidRPr="00717DDC" w:rsidRDefault="00717DDC" w:rsidP="00717DDC">
      <w:pPr>
        <w:tabs>
          <w:tab w:val="left" w:pos="851"/>
        </w:tabs>
        <w:ind w:left="851"/>
        <w:rPr>
          <w:sz w:val="24"/>
          <w:szCs w:val="24"/>
        </w:rPr>
      </w:pPr>
    </w:p>
    <w:p w14:paraId="16DD858B" w14:textId="77777777" w:rsidR="00717DDC" w:rsidRPr="00717DDC" w:rsidRDefault="00717DDC" w:rsidP="00717DDC">
      <w:pPr>
        <w:tabs>
          <w:tab w:val="left" w:pos="851"/>
        </w:tabs>
        <w:ind w:left="851"/>
        <w:rPr>
          <w:sz w:val="24"/>
          <w:szCs w:val="24"/>
        </w:rPr>
      </w:pPr>
      <w:r w:rsidRPr="00717DDC">
        <w:rPr>
          <w:sz w:val="24"/>
          <w:szCs w:val="24"/>
        </w:rPr>
        <w:t>Langvarig behandling med metoclopramid kan forårsage tardiv dyskinesi, som kan være irreversibel, særligt hos ældre. Behandlingen må ikke vare længere end 3 måneder på grund af risikoen for tardiv dyskinesi (se pkt. 4.8). Behandlingen skal seponeres, hvis der opstår kliniske tegn på tardiv dyskinesi.</w:t>
      </w:r>
    </w:p>
    <w:p w14:paraId="4B58F66B" w14:textId="77777777" w:rsidR="00717DDC" w:rsidRPr="00717DDC" w:rsidRDefault="00717DDC" w:rsidP="00717DDC">
      <w:pPr>
        <w:tabs>
          <w:tab w:val="left" w:pos="851"/>
        </w:tabs>
        <w:ind w:left="851"/>
        <w:rPr>
          <w:sz w:val="24"/>
          <w:szCs w:val="24"/>
        </w:rPr>
      </w:pPr>
    </w:p>
    <w:p w14:paraId="2EF2474E" w14:textId="77777777" w:rsidR="00717DDC" w:rsidRPr="00717DDC" w:rsidRDefault="00717DDC" w:rsidP="00717DDC">
      <w:pPr>
        <w:tabs>
          <w:tab w:val="left" w:pos="851"/>
        </w:tabs>
        <w:ind w:left="851"/>
        <w:rPr>
          <w:sz w:val="24"/>
          <w:szCs w:val="24"/>
        </w:rPr>
      </w:pPr>
      <w:r w:rsidRPr="00717DDC">
        <w:rPr>
          <w:sz w:val="24"/>
          <w:szCs w:val="24"/>
        </w:rPr>
        <w:t>Der er rapporteret om malignt neuroleptikasyndrom med metoclopramid i kombination med neuroleptika og med metoclopramid som monoterapi (se pkt. 4.8). Behandlingen med metoclopramid skal øjeblikket seponeres, hvis der opstår kliniske tegn på malignt neuroleptikasyndrom, og der skal indledes hensigtsmæssig behandling.</w:t>
      </w:r>
    </w:p>
    <w:p w14:paraId="1FA64C69" w14:textId="77777777" w:rsidR="00717DDC" w:rsidRPr="00717DDC" w:rsidRDefault="00717DDC" w:rsidP="00717DDC">
      <w:pPr>
        <w:tabs>
          <w:tab w:val="left" w:pos="851"/>
        </w:tabs>
        <w:ind w:left="851"/>
        <w:rPr>
          <w:sz w:val="24"/>
          <w:szCs w:val="24"/>
        </w:rPr>
      </w:pPr>
    </w:p>
    <w:p w14:paraId="49CE2026" w14:textId="77777777" w:rsidR="00717DDC" w:rsidRPr="00717DDC" w:rsidRDefault="00717DDC" w:rsidP="00717DDC">
      <w:pPr>
        <w:tabs>
          <w:tab w:val="left" w:pos="851"/>
        </w:tabs>
        <w:ind w:left="851"/>
        <w:rPr>
          <w:sz w:val="24"/>
          <w:szCs w:val="24"/>
        </w:rPr>
      </w:pPr>
      <w:r w:rsidRPr="00717DDC">
        <w:rPr>
          <w:sz w:val="24"/>
          <w:szCs w:val="24"/>
        </w:rPr>
        <w:t>Der skal udvises særlig forsigtighed hos patienter med underliggende neurologiske tilstande og hos patienter, der behandles med andre centralt virkende lægemidler (se pkt. 4.3).</w:t>
      </w:r>
    </w:p>
    <w:p w14:paraId="03B44101" w14:textId="77777777" w:rsidR="00717DDC" w:rsidRPr="00717DDC" w:rsidRDefault="00717DDC" w:rsidP="00717DDC">
      <w:pPr>
        <w:tabs>
          <w:tab w:val="left" w:pos="851"/>
        </w:tabs>
        <w:ind w:left="851"/>
        <w:rPr>
          <w:sz w:val="24"/>
          <w:szCs w:val="24"/>
        </w:rPr>
      </w:pPr>
    </w:p>
    <w:p w14:paraId="352E65C2" w14:textId="77777777" w:rsidR="00717DDC" w:rsidRPr="00717DDC" w:rsidRDefault="00717DDC" w:rsidP="00717DDC">
      <w:pPr>
        <w:tabs>
          <w:tab w:val="left" w:pos="851"/>
        </w:tabs>
        <w:ind w:left="851"/>
        <w:rPr>
          <w:sz w:val="24"/>
          <w:szCs w:val="24"/>
        </w:rPr>
      </w:pPr>
      <w:r w:rsidRPr="00717DDC">
        <w:rPr>
          <w:sz w:val="24"/>
          <w:szCs w:val="24"/>
        </w:rPr>
        <w:t>Endvidere kan symptomerne ved Parkinsons sygdom blive forværret af metoclopramid.</w:t>
      </w:r>
    </w:p>
    <w:p w14:paraId="50028543" w14:textId="77777777" w:rsidR="00717DDC" w:rsidRPr="00717DDC" w:rsidRDefault="00717DDC" w:rsidP="00717DDC">
      <w:pPr>
        <w:tabs>
          <w:tab w:val="left" w:pos="851"/>
        </w:tabs>
        <w:ind w:left="851"/>
        <w:rPr>
          <w:sz w:val="24"/>
          <w:szCs w:val="24"/>
        </w:rPr>
      </w:pPr>
    </w:p>
    <w:p w14:paraId="0BBF479D" w14:textId="77777777" w:rsidR="00717DDC" w:rsidRPr="00717DDC" w:rsidRDefault="00717DDC" w:rsidP="00717DDC">
      <w:pPr>
        <w:tabs>
          <w:tab w:val="left" w:pos="851"/>
        </w:tabs>
        <w:ind w:left="851"/>
        <w:rPr>
          <w:i/>
          <w:sz w:val="24"/>
          <w:szCs w:val="24"/>
        </w:rPr>
      </w:pPr>
      <w:r w:rsidRPr="00717DDC">
        <w:rPr>
          <w:i/>
          <w:sz w:val="24"/>
          <w:szCs w:val="24"/>
        </w:rPr>
        <w:t>Methæmoglobinæmi</w:t>
      </w:r>
    </w:p>
    <w:p w14:paraId="442B1792" w14:textId="77777777" w:rsidR="00717DDC" w:rsidRPr="00717DDC" w:rsidRDefault="00717DDC" w:rsidP="00717DDC">
      <w:pPr>
        <w:tabs>
          <w:tab w:val="left" w:pos="851"/>
        </w:tabs>
        <w:ind w:left="851"/>
        <w:rPr>
          <w:sz w:val="24"/>
          <w:szCs w:val="24"/>
        </w:rPr>
      </w:pPr>
      <w:r w:rsidRPr="00717DDC">
        <w:rPr>
          <w:sz w:val="24"/>
          <w:szCs w:val="24"/>
        </w:rPr>
        <w:t>Der er rapporteret om methæmoglobinæmi, som kan være relateret til NADH-cytokrom-b5-reduktasemangel. I sådanne tilfælde skal behandlingen med metoclopramid øjeblikkeligt og permanent seponeres, og der skal indledes hensigtsmæssige tiltag (f.eks. behandling med methylenblåt).</w:t>
      </w:r>
    </w:p>
    <w:p w14:paraId="44340518" w14:textId="77777777" w:rsidR="00717DDC" w:rsidRPr="00717DDC" w:rsidRDefault="00717DDC" w:rsidP="00717DDC">
      <w:pPr>
        <w:tabs>
          <w:tab w:val="left" w:pos="851"/>
        </w:tabs>
        <w:ind w:left="851"/>
        <w:rPr>
          <w:sz w:val="24"/>
          <w:szCs w:val="24"/>
        </w:rPr>
      </w:pPr>
    </w:p>
    <w:p w14:paraId="1AB44762" w14:textId="77777777" w:rsidR="00717DDC" w:rsidRPr="00717DDC" w:rsidRDefault="00717DDC" w:rsidP="00717DDC">
      <w:pPr>
        <w:tabs>
          <w:tab w:val="left" w:pos="851"/>
        </w:tabs>
        <w:ind w:left="851"/>
        <w:rPr>
          <w:i/>
          <w:sz w:val="24"/>
          <w:szCs w:val="24"/>
        </w:rPr>
      </w:pPr>
      <w:r w:rsidRPr="00717DDC">
        <w:rPr>
          <w:i/>
          <w:sz w:val="24"/>
          <w:szCs w:val="24"/>
        </w:rPr>
        <w:t>Hjertesygdomme</w:t>
      </w:r>
    </w:p>
    <w:p w14:paraId="11233007" w14:textId="77777777" w:rsidR="00717DDC" w:rsidRPr="00717DDC" w:rsidRDefault="00717DDC" w:rsidP="00717DDC">
      <w:pPr>
        <w:tabs>
          <w:tab w:val="left" w:pos="851"/>
        </w:tabs>
        <w:ind w:left="851"/>
        <w:rPr>
          <w:sz w:val="24"/>
          <w:szCs w:val="24"/>
        </w:rPr>
      </w:pPr>
      <w:r w:rsidRPr="00717DDC">
        <w:rPr>
          <w:sz w:val="24"/>
          <w:szCs w:val="24"/>
        </w:rPr>
        <w:t>Der er rapporteret om alvorlige kardiovaskulære bivirkninger, herunder tilfælde af kredsløbskollaps, alvorlig bradykardi, hjertestop og QT-forlængelse efter administration af metoclopramid som injektion, særligt ved intravenøs administration (se pkt. 4.8).</w:t>
      </w:r>
    </w:p>
    <w:p w14:paraId="0DF64394" w14:textId="77777777" w:rsidR="00717DDC" w:rsidRPr="00717DDC" w:rsidRDefault="00717DDC" w:rsidP="00717DDC">
      <w:pPr>
        <w:tabs>
          <w:tab w:val="left" w:pos="851"/>
        </w:tabs>
        <w:ind w:left="851"/>
        <w:rPr>
          <w:sz w:val="24"/>
          <w:szCs w:val="24"/>
        </w:rPr>
      </w:pPr>
      <w:r w:rsidRPr="00717DDC">
        <w:rPr>
          <w:sz w:val="24"/>
          <w:szCs w:val="24"/>
        </w:rPr>
        <w:t>Der skal udvises særlig forsigtighed ved administration af metoclopramid, især ved intravenøs administration, hos ældre, patienter med hjerteledningsforstyrrelser (herunder QT-forlængelse), patienter med ukorrigeret elektrolytubalance, bradykardi og hos patienter, der tager andre lægemidler, som er kendt for at forlænge QT-intervallet.</w:t>
      </w:r>
    </w:p>
    <w:p w14:paraId="3B8B3FBC" w14:textId="77777777" w:rsidR="00717DDC" w:rsidRPr="00717DDC" w:rsidRDefault="00717DDC" w:rsidP="00717DDC">
      <w:pPr>
        <w:tabs>
          <w:tab w:val="left" w:pos="851"/>
        </w:tabs>
        <w:ind w:left="851"/>
        <w:rPr>
          <w:sz w:val="24"/>
          <w:szCs w:val="24"/>
        </w:rPr>
      </w:pPr>
      <w:r w:rsidRPr="00717DDC">
        <w:rPr>
          <w:sz w:val="24"/>
          <w:szCs w:val="24"/>
        </w:rPr>
        <w:t>Intravenøse doser skal administreres som en langsom bolus (over mindst 3 minutter) for at reducere risikoen for bivirkninger (f.eks. hypotension, akatisi).</w:t>
      </w:r>
    </w:p>
    <w:p w14:paraId="6818E743" w14:textId="77777777" w:rsidR="00717DDC" w:rsidRPr="00717DDC" w:rsidRDefault="00717DDC" w:rsidP="00717DDC">
      <w:pPr>
        <w:tabs>
          <w:tab w:val="left" w:pos="851"/>
        </w:tabs>
        <w:ind w:left="851"/>
        <w:rPr>
          <w:sz w:val="24"/>
          <w:szCs w:val="24"/>
        </w:rPr>
      </w:pPr>
    </w:p>
    <w:p w14:paraId="1E6CD89F" w14:textId="77777777" w:rsidR="00717DDC" w:rsidRPr="00717DDC" w:rsidRDefault="00717DDC" w:rsidP="00717DDC">
      <w:pPr>
        <w:tabs>
          <w:tab w:val="left" w:pos="851"/>
        </w:tabs>
        <w:ind w:left="851"/>
        <w:rPr>
          <w:i/>
          <w:sz w:val="24"/>
          <w:szCs w:val="24"/>
        </w:rPr>
      </w:pPr>
      <w:r w:rsidRPr="00717DDC">
        <w:rPr>
          <w:i/>
          <w:sz w:val="24"/>
          <w:szCs w:val="24"/>
        </w:rPr>
        <w:t>Nedsat nyre- og leverfunktion</w:t>
      </w:r>
    </w:p>
    <w:p w14:paraId="50BF1916" w14:textId="77777777" w:rsidR="00717DDC" w:rsidRPr="00717DDC" w:rsidRDefault="00717DDC" w:rsidP="00717DDC">
      <w:pPr>
        <w:tabs>
          <w:tab w:val="left" w:pos="851"/>
        </w:tabs>
        <w:ind w:left="851"/>
        <w:rPr>
          <w:sz w:val="24"/>
          <w:szCs w:val="24"/>
        </w:rPr>
      </w:pPr>
      <w:r w:rsidRPr="00717DDC">
        <w:rPr>
          <w:sz w:val="24"/>
          <w:szCs w:val="24"/>
        </w:rPr>
        <w:t xml:space="preserve">Det anbefales at reducere dosis hos patienter med nedsat nyrefunktion eller svært nedsat leverfunktion (se pkt. 4.2). </w:t>
      </w:r>
    </w:p>
    <w:p w14:paraId="4E324C37" w14:textId="77777777" w:rsidR="00717DDC" w:rsidRPr="00717DDC" w:rsidRDefault="00717DDC" w:rsidP="00717DDC">
      <w:pPr>
        <w:tabs>
          <w:tab w:val="left" w:pos="851"/>
        </w:tabs>
        <w:ind w:left="851"/>
        <w:rPr>
          <w:sz w:val="24"/>
          <w:szCs w:val="24"/>
          <w:u w:val="single"/>
        </w:rPr>
      </w:pPr>
    </w:p>
    <w:p w14:paraId="7AA2B10B" w14:textId="77777777" w:rsidR="00717DDC" w:rsidRPr="00717DDC" w:rsidRDefault="00717DDC" w:rsidP="00717DDC">
      <w:pPr>
        <w:tabs>
          <w:tab w:val="left" w:pos="851"/>
        </w:tabs>
        <w:ind w:left="851"/>
        <w:rPr>
          <w:sz w:val="24"/>
          <w:szCs w:val="24"/>
          <w:u w:val="single"/>
        </w:rPr>
      </w:pPr>
      <w:r w:rsidRPr="00717DDC">
        <w:rPr>
          <w:iCs/>
          <w:sz w:val="24"/>
          <w:szCs w:val="24"/>
          <w:u w:val="single"/>
        </w:rPr>
        <w:t>Forsigtighedsregler</w:t>
      </w:r>
    </w:p>
    <w:p w14:paraId="4E6EF5BF" w14:textId="77777777" w:rsidR="00717DDC" w:rsidRPr="00717DDC" w:rsidRDefault="00717DDC" w:rsidP="00717DDC">
      <w:pPr>
        <w:tabs>
          <w:tab w:val="left" w:pos="851"/>
        </w:tabs>
        <w:ind w:left="851"/>
        <w:rPr>
          <w:sz w:val="24"/>
          <w:szCs w:val="24"/>
        </w:rPr>
      </w:pPr>
      <w:r w:rsidRPr="00717DDC">
        <w:rPr>
          <w:sz w:val="24"/>
          <w:szCs w:val="24"/>
        </w:rPr>
        <w:t>Intravenøse injektioner skal foretages langsomt, over mindst 3 minutter.</w:t>
      </w:r>
    </w:p>
    <w:p w14:paraId="11D678E1" w14:textId="77777777" w:rsidR="00717DDC" w:rsidRPr="00717DDC" w:rsidRDefault="00717DDC" w:rsidP="00717DDC">
      <w:pPr>
        <w:tabs>
          <w:tab w:val="left" w:pos="851"/>
        </w:tabs>
        <w:ind w:left="851"/>
        <w:rPr>
          <w:sz w:val="24"/>
          <w:szCs w:val="24"/>
          <w:u w:val="single"/>
        </w:rPr>
      </w:pPr>
    </w:p>
    <w:p w14:paraId="6BE81711" w14:textId="3691EF48" w:rsidR="00717DDC" w:rsidRPr="00717DDC" w:rsidRDefault="00717DDC" w:rsidP="00717DDC">
      <w:pPr>
        <w:tabs>
          <w:tab w:val="left" w:pos="851"/>
        </w:tabs>
        <w:ind w:left="851"/>
        <w:rPr>
          <w:sz w:val="24"/>
          <w:szCs w:val="24"/>
          <w:u w:val="single"/>
        </w:rPr>
      </w:pPr>
      <w:r w:rsidRPr="00717DDC">
        <w:rPr>
          <w:sz w:val="24"/>
          <w:szCs w:val="24"/>
          <w:u w:val="single"/>
        </w:rPr>
        <w:t>Hjælpestoffer, som behandleren skal være opmærksom på</w:t>
      </w:r>
    </w:p>
    <w:p w14:paraId="41C9E462" w14:textId="77777777" w:rsidR="00717DDC" w:rsidRPr="00717DDC" w:rsidRDefault="00717DDC" w:rsidP="00717DDC">
      <w:pPr>
        <w:tabs>
          <w:tab w:val="left" w:pos="851"/>
        </w:tabs>
        <w:ind w:left="851"/>
        <w:rPr>
          <w:sz w:val="24"/>
          <w:szCs w:val="24"/>
        </w:rPr>
      </w:pPr>
      <w:r w:rsidRPr="00717DDC">
        <w:rPr>
          <w:sz w:val="24"/>
          <w:szCs w:val="24"/>
        </w:rPr>
        <w:t>Dette lægemiddel indeholder mindre end 1 mmol (23 mg) natrium pr. ampul, dvs. det er i det væsentlige "natriumfrit".</w:t>
      </w:r>
    </w:p>
    <w:p w14:paraId="794B4B28" w14:textId="77777777" w:rsidR="00717DDC" w:rsidRPr="00717DDC" w:rsidRDefault="00717DDC" w:rsidP="00717DDC">
      <w:pPr>
        <w:tabs>
          <w:tab w:val="left" w:pos="851"/>
        </w:tabs>
        <w:ind w:left="851"/>
        <w:rPr>
          <w:sz w:val="24"/>
          <w:szCs w:val="24"/>
        </w:rPr>
      </w:pPr>
    </w:p>
    <w:p w14:paraId="12BFAA71"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D3758C6" w14:textId="77777777" w:rsidR="00694AB4" w:rsidRDefault="00694AB4" w:rsidP="00694AB4">
      <w:pPr>
        <w:tabs>
          <w:tab w:val="left" w:pos="851"/>
        </w:tabs>
        <w:ind w:left="851"/>
        <w:rPr>
          <w:bCs/>
          <w:sz w:val="24"/>
          <w:szCs w:val="24"/>
          <w:u w:val="single"/>
        </w:rPr>
      </w:pPr>
    </w:p>
    <w:p w14:paraId="57B365BE" w14:textId="65190DE8" w:rsidR="00694AB4" w:rsidRPr="00694AB4" w:rsidRDefault="00694AB4" w:rsidP="00694AB4">
      <w:pPr>
        <w:tabs>
          <w:tab w:val="left" w:pos="851"/>
        </w:tabs>
        <w:ind w:left="851"/>
        <w:rPr>
          <w:sz w:val="24"/>
          <w:szCs w:val="24"/>
          <w:u w:val="single"/>
        </w:rPr>
      </w:pPr>
      <w:r w:rsidRPr="00694AB4">
        <w:rPr>
          <w:bCs/>
          <w:sz w:val="24"/>
          <w:szCs w:val="24"/>
          <w:u w:val="single"/>
        </w:rPr>
        <w:t>Kontraindiceret kombination</w:t>
      </w:r>
    </w:p>
    <w:p w14:paraId="18531D7E" w14:textId="77777777" w:rsidR="00694AB4" w:rsidRPr="00694AB4" w:rsidRDefault="00694AB4" w:rsidP="00694AB4">
      <w:pPr>
        <w:tabs>
          <w:tab w:val="left" w:pos="851"/>
        </w:tabs>
        <w:ind w:left="851"/>
        <w:rPr>
          <w:sz w:val="24"/>
          <w:szCs w:val="24"/>
        </w:rPr>
      </w:pPr>
      <w:r w:rsidRPr="00694AB4">
        <w:rPr>
          <w:sz w:val="24"/>
          <w:szCs w:val="24"/>
        </w:rPr>
        <w:t>Levodopa eller dopaminerge agonister og metoclopramid har en gensidig antagonistisk virkning (se pkt. 4.3).</w:t>
      </w:r>
    </w:p>
    <w:p w14:paraId="479F1ABA" w14:textId="77777777" w:rsidR="00694AB4" w:rsidRPr="00694AB4" w:rsidRDefault="00694AB4" w:rsidP="00694AB4">
      <w:pPr>
        <w:tabs>
          <w:tab w:val="left" w:pos="851"/>
        </w:tabs>
        <w:ind w:left="851"/>
        <w:rPr>
          <w:b/>
          <w:bCs/>
          <w:sz w:val="24"/>
          <w:szCs w:val="24"/>
        </w:rPr>
      </w:pPr>
    </w:p>
    <w:p w14:paraId="3DD13500" w14:textId="77777777" w:rsidR="00694AB4" w:rsidRPr="00694AB4" w:rsidRDefault="00694AB4" w:rsidP="00694AB4">
      <w:pPr>
        <w:tabs>
          <w:tab w:val="left" w:pos="851"/>
        </w:tabs>
        <w:ind w:left="851"/>
        <w:rPr>
          <w:sz w:val="24"/>
          <w:szCs w:val="24"/>
          <w:u w:val="single"/>
        </w:rPr>
      </w:pPr>
      <w:r w:rsidRPr="00694AB4">
        <w:rPr>
          <w:bCs/>
          <w:sz w:val="24"/>
          <w:szCs w:val="24"/>
          <w:u w:val="single"/>
        </w:rPr>
        <w:t>Kombination, der skal undgås</w:t>
      </w:r>
    </w:p>
    <w:p w14:paraId="1DEB1C44" w14:textId="77777777" w:rsidR="00694AB4" w:rsidRPr="00694AB4" w:rsidRDefault="00694AB4" w:rsidP="00694AB4">
      <w:pPr>
        <w:tabs>
          <w:tab w:val="left" w:pos="851"/>
        </w:tabs>
        <w:ind w:left="851"/>
        <w:rPr>
          <w:sz w:val="24"/>
          <w:szCs w:val="24"/>
        </w:rPr>
      </w:pPr>
      <w:r w:rsidRPr="00694AB4">
        <w:rPr>
          <w:sz w:val="24"/>
          <w:szCs w:val="24"/>
        </w:rPr>
        <w:t>Alkohol forstærker metoclopramids sedative virkning.</w:t>
      </w:r>
    </w:p>
    <w:p w14:paraId="5FA81952" w14:textId="77777777" w:rsidR="00694AB4" w:rsidRPr="00694AB4" w:rsidRDefault="00694AB4" w:rsidP="00694AB4">
      <w:pPr>
        <w:tabs>
          <w:tab w:val="left" w:pos="851"/>
        </w:tabs>
        <w:ind w:left="851"/>
        <w:rPr>
          <w:b/>
          <w:bCs/>
          <w:sz w:val="24"/>
          <w:szCs w:val="24"/>
        </w:rPr>
      </w:pPr>
      <w:bookmarkStart w:id="1" w:name="bookmark10"/>
    </w:p>
    <w:p w14:paraId="4EE0369B" w14:textId="77777777" w:rsidR="00694AB4" w:rsidRPr="00694AB4" w:rsidRDefault="00694AB4" w:rsidP="00694AB4">
      <w:pPr>
        <w:tabs>
          <w:tab w:val="left" w:pos="851"/>
        </w:tabs>
        <w:ind w:left="851"/>
        <w:rPr>
          <w:sz w:val="24"/>
          <w:szCs w:val="24"/>
          <w:u w:val="single"/>
        </w:rPr>
      </w:pPr>
      <w:r w:rsidRPr="00694AB4">
        <w:rPr>
          <w:bCs/>
          <w:sz w:val="24"/>
          <w:szCs w:val="24"/>
          <w:u w:val="single"/>
        </w:rPr>
        <w:t>Kombination, der bør tages i betragtning</w:t>
      </w:r>
      <w:bookmarkEnd w:id="1"/>
    </w:p>
    <w:p w14:paraId="0A9BADA8" w14:textId="77777777" w:rsidR="00694AB4" w:rsidRPr="00694AB4" w:rsidRDefault="00694AB4" w:rsidP="00694AB4">
      <w:pPr>
        <w:tabs>
          <w:tab w:val="left" w:pos="851"/>
        </w:tabs>
        <w:ind w:left="851"/>
        <w:rPr>
          <w:sz w:val="24"/>
          <w:szCs w:val="24"/>
        </w:rPr>
      </w:pPr>
      <w:r w:rsidRPr="00694AB4">
        <w:rPr>
          <w:sz w:val="24"/>
          <w:szCs w:val="24"/>
        </w:rPr>
        <w:t xml:space="preserve">På grund af metoclopramids prokinetiske virkning kan absorptionen af visse lægemidler blive ændret. </w:t>
      </w:r>
    </w:p>
    <w:p w14:paraId="1161B53D" w14:textId="77777777" w:rsidR="00694AB4" w:rsidRPr="00694AB4" w:rsidRDefault="00694AB4" w:rsidP="00694AB4">
      <w:pPr>
        <w:tabs>
          <w:tab w:val="left" w:pos="851"/>
        </w:tabs>
        <w:ind w:left="851"/>
        <w:rPr>
          <w:sz w:val="24"/>
          <w:szCs w:val="24"/>
        </w:rPr>
      </w:pPr>
    </w:p>
    <w:p w14:paraId="6C72A945" w14:textId="77777777" w:rsidR="00694AB4" w:rsidRPr="00694AB4" w:rsidRDefault="00694AB4" w:rsidP="00694AB4">
      <w:pPr>
        <w:tabs>
          <w:tab w:val="left" w:pos="851"/>
        </w:tabs>
        <w:ind w:left="851"/>
        <w:rPr>
          <w:sz w:val="24"/>
          <w:szCs w:val="24"/>
        </w:rPr>
      </w:pPr>
      <w:r w:rsidRPr="00694AB4">
        <w:rPr>
          <w:i/>
          <w:iCs/>
          <w:sz w:val="24"/>
          <w:szCs w:val="24"/>
        </w:rPr>
        <w:t>Antikolinergika og morfinderivater</w:t>
      </w:r>
    </w:p>
    <w:p w14:paraId="05D49A2E" w14:textId="77777777" w:rsidR="00694AB4" w:rsidRPr="00694AB4" w:rsidRDefault="00694AB4" w:rsidP="00694AB4">
      <w:pPr>
        <w:tabs>
          <w:tab w:val="left" w:pos="851"/>
        </w:tabs>
        <w:ind w:left="851"/>
        <w:rPr>
          <w:sz w:val="24"/>
          <w:szCs w:val="24"/>
        </w:rPr>
      </w:pPr>
      <w:r w:rsidRPr="00694AB4">
        <w:rPr>
          <w:sz w:val="24"/>
          <w:szCs w:val="24"/>
        </w:rPr>
        <w:t>Antikolinergika og morfinderivater kan have en gensidig antagonistisk virkning med metoclopramid på motiliteten i fordøjelseskanalen.</w:t>
      </w:r>
    </w:p>
    <w:p w14:paraId="482B8F95" w14:textId="77777777" w:rsidR="00694AB4" w:rsidRPr="00694AB4" w:rsidRDefault="00694AB4" w:rsidP="00694AB4">
      <w:pPr>
        <w:tabs>
          <w:tab w:val="left" w:pos="851"/>
        </w:tabs>
        <w:ind w:left="851"/>
        <w:rPr>
          <w:i/>
          <w:iCs/>
          <w:sz w:val="24"/>
          <w:szCs w:val="24"/>
        </w:rPr>
      </w:pPr>
    </w:p>
    <w:p w14:paraId="4A301BCC" w14:textId="77777777" w:rsidR="00694AB4" w:rsidRPr="00694AB4" w:rsidRDefault="00694AB4" w:rsidP="00694AB4">
      <w:pPr>
        <w:tabs>
          <w:tab w:val="left" w:pos="851"/>
        </w:tabs>
        <w:ind w:left="851"/>
        <w:rPr>
          <w:i/>
          <w:iCs/>
          <w:sz w:val="24"/>
          <w:szCs w:val="24"/>
        </w:rPr>
      </w:pPr>
      <w:r w:rsidRPr="00694AB4">
        <w:rPr>
          <w:i/>
          <w:iCs/>
          <w:sz w:val="24"/>
          <w:szCs w:val="24"/>
        </w:rPr>
        <w:t>CNS-supprimerende midler (morfinderivater, anxiolytika, sedative H1-antihistaminer, sederende antidepressiva, barbiturater, clonidin og beslægtede).</w:t>
      </w:r>
    </w:p>
    <w:p w14:paraId="32A744B1" w14:textId="77777777" w:rsidR="00694AB4" w:rsidRPr="00694AB4" w:rsidRDefault="00694AB4" w:rsidP="00694AB4">
      <w:pPr>
        <w:tabs>
          <w:tab w:val="left" w:pos="851"/>
        </w:tabs>
        <w:ind w:left="851"/>
        <w:rPr>
          <w:sz w:val="24"/>
          <w:szCs w:val="24"/>
        </w:rPr>
      </w:pPr>
      <w:r w:rsidRPr="00694AB4">
        <w:rPr>
          <w:sz w:val="24"/>
          <w:szCs w:val="24"/>
        </w:rPr>
        <w:t xml:space="preserve">De sedative virkninger af CNS-supprimerende midler og metoclopramid forstærkes. </w:t>
      </w:r>
    </w:p>
    <w:p w14:paraId="5602FD23" w14:textId="77777777" w:rsidR="00694AB4" w:rsidRPr="00694AB4" w:rsidRDefault="00694AB4" w:rsidP="00694AB4">
      <w:pPr>
        <w:tabs>
          <w:tab w:val="left" w:pos="851"/>
        </w:tabs>
        <w:ind w:left="851"/>
        <w:rPr>
          <w:sz w:val="24"/>
          <w:szCs w:val="24"/>
        </w:rPr>
      </w:pPr>
    </w:p>
    <w:p w14:paraId="4BB60274" w14:textId="77777777" w:rsidR="00694AB4" w:rsidRPr="00694AB4" w:rsidRDefault="00694AB4" w:rsidP="00694AB4">
      <w:pPr>
        <w:tabs>
          <w:tab w:val="left" w:pos="851"/>
        </w:tabs>
        <w:ind w:left="851"/>
        <w:rPr>
          <w:sz w:val="24"/>
          <w:szCs w:val="24"/>
        </w:rPr>
      </w:pPr>
      <w:r w:rsidRPr="00694AB4">
        <w:rPr>
          <w:i/>
          <w:iCs/>
          <w:sz w:val="24"/>
          <w:szCs w:val="24"/>
        </w:rPr>
        <w:t>Neuroleptika</w:t>
      </w:r>
    </w:p>
    <w:p w14:paraId="2088F4B5" w14:textId="77777777" w:rsidR="00694AB4" w:rsidRPr="00694AB4" w:rsidRDefault="00694AB4" w:rsidP="00694AB4">
      <w:pPr>
        <w:tabs>
          <w:tab w:val="left" w:pos="851"/>
        </w:tabs>
        <w:ind w:left="851"/>
        <w:rPr>
          <w:sz w:val="24"/>
          <w:szCs w:val="24"/>
        </w:rPr>
      </w:pPr>
      <w:r w:rsidRPr="00694AB4">
        <w:rPr>
          <w:sz w:val="24"/>
          <w:szCs w:val="24"/>
        </w:rPr>
        <w:t>Metoclopramid kan have en additiv virkning sammen med andre neuroleptika ved forekomsten af ekstrapyramidale forstyrrelser.</w:t>
      </w:r>
    </w:p>
    <w:p w14:paraId="4120920E" w14:textId="77777777" w:rsidR="00694AB4" w:rsidRPr="00694AB4" w:rsidRDefault="00694AB4" w:rsidP="00694AB4">
      <w:pPr>
        <w:tabs>
          <w:tab w:val="left" w:pos="851"/>
        </w:tabs>
        <w:ind w:left="851"/>
        <w:rPr>
          <w:i/>
          <w:iCs/>
          <w:sz w:val="24"/>
          <w:szCs w:val="24"/>
        </w:rPr>
      </w:pPr>
    </w:p>
    <w:p w14:paraId="198FF5CF" w14:textId="77777777" w:rsidR="00694AB4" w:rsidRPr="00694AB4" w:rsidRDefault="00694AB4" w:rsidP="00694AB4">
      <w:pPr>
        <w:tabs>
          <w:tab w:val="left" w:pos="851"/>
        </w:tabs>
        <w:ind w:left="851"/>
        <w:rPr>
          <w:i/>
          <w:iCs/>
          <w:sz w:val="24"/>
          <w:szCs w:val="24"/>
        </w:rPr>
      </w:pPr>
      <w:r w:rsidRPr="00694AB4">
        <w:rPr>
          <w:i/>
          <w:iCs/>
          <w:sz w:val="24"/>
          <w:szCs w:val="24"/>
        </w:rPr>
        <w:t>Serotonerge lægemidler</w:t>
      </w:r>
    </w:p>
    <w:p w14:paraId="42D5CE0E" w14:textId="77777777" w:rsidR="00694AB4" w:rsidRPr="00694AB4" w:rsidRDefault="00694AB4" w:rsidP="00694AB4">
      <w:pPr>
        <w:tabs>
          <w:tab w:val="left" w:pos="851"/>
        </w:tabs>
        <w:ind w:left="851"/>
        <w:rPr>
          <w:sz w:val="24"/>
          <w:szCs w:val="24"/>
        </w:rPr>
      </w:pPr>
      <w:r w:rsidRPr="00694AB4">
        <w:rPr>
          <w:sz w:val="24"/>
          <w:szCs w:val="24"/>
        </w:rPr>
        <w:t>Anvendelse af metoclopramid sammen med serotonerge lægemidler såsom SSRI’er kan øge risikoen for serotoninsyndrom.</w:t>
      </w:r>
    </w:p>
    <w:p w14:paraId="1F4ED058" w14:textId="77777777" w:rsidR="00694AB4" w:rsidRPr="00694AB4" w:rsidRDefault="00694AB4" w:rsidP="00694AB4">
      <w:pPr>
        <w:tabs>
          <w:tab w:val="left" w:pos="851"/>
        </w:tabs>
        <w:ind w:left="851"/>
        <w:rPr>
          <w:i/>
          <w:iCs/>
          <w:sz w:val="24"/>
          <w:szCs w:val="24"/>
        </w:rPr>
      </w:pPr>
    </w:p>
    <w:p w14:paraId="2D9B90F8" w14:textId="77777777" w:rsidR="00694AB4" w:rsidRPr="00694AB4" w:rsidRDefault="00694AB4" w:rsidP="00694AB4">
      <w:pPr>
        <w:tabs>
          <w:tab w:val="left" w:pos="851"/>
        </w:tabs>
        <w:ind w:left="851"/>
        <w:rPr>
          <w:i/>
          <w:iCs/>
          <w:sz w:val="24"/>
          <w:szCs w:val="24"/>
        </w:rPr>
      </w:pPr>
      <w:r w:rsidRPr="00694AB4">
        <w:rPr>
          <w:i/>
          <w:iCs/>
          <w:sz w:val="24"/>
          <w:szCs w:val="24"/>
        </w:rPr>
        <w:t>Digoxin</w:t>
      </w:r>
    </w:p>
    <w:p w14:paraId="44153B22" w14:textId="77777777" w:rsidR="00694AB4" w:rsidRPr="00694AB4" w:rsidRDefault="00694AB4" w:rsidP="00694AB4">
      <w:pPr>
        <w:tabs>
          <w:tab w:val="left" w:pos="851"/>
        </w:tabs>
        <w:ind w:left="851"/>
        <w:rPr>
          <w:sz w:val="24"/>
          <w:szCs w:val="24"/>
        </w:rPr>
      </w:pPr>
      <w:r w:rsidRPr="00694AB4">
        <w:rPr>
          <w:sz w:val="24"/>
          <w:szCs w:val="24"/>
        </w:rPr>
        <w:t>Metoclopramid kan nedsætte biotilgængeligheden af digoxin. Der kræves omhyggelig overvågning af digoxinkoncentrationen i plasma</w:t>
      </w:r>
    </w:p>
    <w:p w14:paraId="7D8A544D" w14:textId="77777777" w:rsidR="00694AB4" w:rsidRPr="00694AB4" w:rsidRDefault="00694AB4" w:rsidP="00694AB4">
      <w:pPr>
        <w:tabs>
          <w:tab w:val="left" w:pos="851"/>
        </w:tabs>
        <w:ind w:left="851"/>
        <w:rPr>
          <w:i/>
          <w:iCs/>
          <w:sz w:val="24"/>
          <w:szCs w:val="24"/>
        </w:rPr>
      </w:pPr>
    </w:p>
    <w:p w14:paraId="3ED0FCB8" w14:textId="77777777" w:rsidR="00694AB4" w:rsidRPr="00694AB4" w:rsidRDefault="00694AB4" w:rsidP="00694AB4">
      <w:pPr>
        <w:tabs>
          <w:tab w:val="left" w:pos="851"/>
        </w:tabs>
        <w:ind w:left="851"/>
        <w:rPr>
          <w:i/>
          <w:iCs/>
          <w:sz w:val="24"/>
          <w:szCs w:val="24"/>
        </w:rPr>
      </w:pPr>
      <w:r w:rsidRPr="00694AB4">
        <w:rPr>
          <w:i/>
          <w:iCs/>
          <w:sz w:val="24"/>
          <w:szCs w:val="24"/>
        </w:rPr>
        <w:t>Ciclosporin</w:t>
      </w:r>
    </w:p>
    <w:p w14:paraId="727BE44D" w14:textId="77777777" w:rsidR="00694AB4" w:rsidRPr="00694AB4" w:rsidRDefault="00694AB4" w:rsidP="00694AB4">
      <w:pPr>
        <w:tabs>
          <w:tab w:val="left" w:pos="851"/>
        </w:tabs>
        <w:ind w:left="851"/>
        <w:rPr>
          <w:sz w:val="24"/>
          <w:szCs w:val="24"/>
        </w:rPr>
      </w:pPr>
      <w:r w:rsidRPr="00694AB4">
        <w:rPr>
          <w:sz w:val="24"/>
          <w:szCs w:val="24"/>
        </w:rPr>
        <w:t>Metoclopramid øger biotilgængeligheden af ciclosporin (C</w:t>
      </w:r>
      <w:r w:rsidRPr="00694AB4">
        <w:rPr>
          <w:sz w:val="24"/>
          <w:szCs w:val="24"/>
          <w:vertAlign w:val="subscript"/>
        </w:rPr>
        <w:t>max</w:t>
      </w:r>
      <w:r w:rsidRPr="00694AB4">
        <w:rPr>
          <w:sz w:val="24"/>
          <w:szCs w:val="24"/>
        </w:rPr>
        <w:t xml:space="preserve"> med 46 % og eksponering med 22 %). Der kræves omhyggelig overvågning af ciclosporinkoncentrationen i plasma. Den kliniske konsekvens er ikke klarlagt.</w:t>
      </w:r>
    </w:p>
    <w:p w14:paraId="15F2466D" w14:textId="1F554F17" w:rsidR="00694AB4" w:rsidRDefault="00694AB4">
      <w:pPr>
        <w:rPr>
          <w:i/>
          <w:iCs/>
          <w:sz w:val="24"/>
          <w:szCs w:val="24"/>
        </w:rPr>
      </w:pPr>
      <w:r>
        <w:rPr>
          <w:i/>
          <w:iCs/>
          <w:sz w:val="24"/>
          <w:szCs w:val="24"/>
        </w:rPr>
        <w:br w:type="page"/>
      </w:r>
    </w:p>
    <w:p w14:paraId="26C7F0CF" w14:textId="77777777" w:rsidR="00694AB4" w:rsidRPr="00694AB4" w:rsidRDefault="00694AB4" w:rsidP="00694AB4">
      <w:pPr>
        <w:tabs>
          <w:tab w:val="left" w:pos="851"/>
        </w:tabs>
        <w:ind w:left="851"/>
        <w:rPr>
          <w:i/>
          <w:iCs/>
          <w:sz w:val="24"/>
          <w:szCs w:val="24"/>
        </w:rPr>
      </w:pPr>
    </w:p>
    <w:p w14:paraId="0A847F2B" w14:textId="77777777" w:rsidR="00694AB4" w:rsidRPr="00694AB4" w:rsidRDefault="00694AB4" w:rsidP="00694AB4">
      <w:pPr>
        <w:tabs>
          <w:tab w:val="left" w:pos="851"/>
        </w:tabs>
        <w:ind w:left="851"/>
        <w:rPr>
          <w:i/>
          <w:iCs/>
          <w:sz w:val="24"/>
          <w:szCs w:val="24"/>
        </w:rPr>
      </w:pPr>
      <w:r w:rsidRPr="00694AB4">
        <w:rPr>
          <w:i/>
          <w:iCs/>
          <w:sz w:val="24"/>
          <w:szCs w:val="24"/>
        </w:rPr>
        <w:t>Mivacurium og suxamethonium</w:t>
      </w:r>
    </w:p>
    <w:p w14:paraId="180F579C" w14:textId="77777777" w:rsidR="00694AB4" w:rsidRPr="00694AB4" w:rsidRDefault="00694AB4" w:rsidP="00694AB4">
      <w:pPr>
        <w:tabs>
          <w:tab w:val="left" w:pos="851"/>
        </w:tabs>
        <w:ind w:left="851"/>
        <w:rPr>
          <w:sz w:val="24"/>
          <w:szCs w:val="24"/>
        </w:rPr>
      </w:pPr>
      <w:r w:rsidRPr="00694AB4">
        <w:rPr>
          <w:sz w:val="24"/>
          <w:szCs w:val="24"/>
        </w:rPr>
        <w:t>Metoclopramid-injektion kan forlænge varigheden af neuromuskulær blokering (via hæmning af plasma-kolinesterase).</w:t>
      </w:r>
    </w:p>
    <w:p w14:paraId="1FA0BDFC" w14:textId="77777777" w:rsidR="00694AB4" w:rsidRPr="00694AB4" w:rsidRDefault="00694AB4" w:rsidP="00694AB4">
      <w:pPr>
        <w:tabs>
          <w:tab w:val="left" w:pos="851"/>
        </w:tabs>
        <w:ind w:left="851"/>
        <w:rPr>
          <w:i/>
          <w:iCs/>
          <w:sz w:val="24"/>
          <w:szCs w:val="24"/>
        </w:rPr>
      </w:pPr>
    </w:p>
    <w:p w14:paraId="74A53CDE" w14:textId="77777777" w:rsidR="00694AB4" w:rsidRPr="00694AB4" w:rsidRDefault="00694AB4" w:rsidP="00694AB4">
      <w:pPr>
        <w:tabs>
          <w:tab w:val="left" w:pos="851"/>
        </w:tabs>
        <w:ind w:left="851"/>
        <w:rPr>
          <w:i/>
          <w:iCs/>
          <w:sz w:val="24"/>
          <w:szCs w:val="24"/>
        </w:rPr>
      </w:pPr>
      <w:r w:rsidRPr="00694AB4">
        <w:rPr>
          <w:i/>
          <w:iCs/>
          <w:sz w:val="24"/>
          <w:szCs w:val="24"/>
        </w:rPr>
        <w:t>Potente CYP2D6</w:t>
      </w:r>
      <w:r w:rsidRPr="00694AB4">
        <w:rPr>
          <w:i/>
          <w:iCs/>
          <w:sz w:val="24"/>
          <w:szCs w:val="24"/>
        </w:rPr>
        <w:noBreakHyphen/>
        <w:t>hæmmere</w:t>
      </w:r>
    </w:p>
    <w:p w14:paraId="021D0611" w14:textId="77777777" w:rsidR="00694AB4" w:rsidRPr="00694AB4" w:rsidRDefault="00694AB4" w:rsidP="00694AB4">
      <w:pPr>
        <w:tabs>
          <w:tab w:val="left" w:pos="851"/>
        </w:tabs>
        <w:ind w:left="851"/>
        <w:rPr>
          <w:sz w:val="24"/>
          <w:szCs w:val="24"/>
        </w:rPr>
      </w:pPr>
      <w:r w:rsidRPr="00694AB4">
        <w:rPr>
          <w:sz w:val="24"/>
          <w:szCs w:val="24"/>
        </w:rPr>
        <w:t>Metoclopramids eksponeringsniveau øges ved samtidig administration af potente CYP2D6</w:t>
      </w:r>
      <w:r w:rsidRPr="00694AB4">
        <w:rPr>
          <w:sz w:val="24"/>
          <w:szCs w:val="24"/>
        </w:rPr>
        <w:noBreakHyphen/>
        <w:t>hæmmere såsom fluoxetin og paroxetin. Selvom den kliniske signifikans er uklar, skal patienterne overvåges for bivirkninger.</w:t>
      </w:r>
    </w:p>
    <w:p w14:paraId="2E7E5F91" w14:textId="77777777" w:rsidR="00694AB4" w:rsidRPr="00694AB4" w:rsidRDefault="00694AB4" w:rsidP="00694AB4">
      <w:pPr>
        <w:tabs>
          <w:tab w:val="left" w:pos="851"/>
        </w:tabs>
        <w:ind w:left="851"/>
        <w:rPr>
          <w:sz w:val="24"/>
          <w:szCs w:val="24"/>
        </w:rPr>
      </w:pPr>
    </w:p>
    <w:p w14:paraId="131B01BE"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EC12A45" w14:textId="77777777" w:rsidR="006E77E6" w:rsidRDefault="006E77E6" w:rsidP="006E77E6">
      <w:pPr>
        <w:tabs>
          <w:tab w:val="left" w:pos="851"/>
        </w:tabs>
        <w:ind w:left="851"/>
        <w:rPr>
          <w:iCs/>
          <w:sz w:val="24"/>
          <w:szCs w:val="24"/>
          <w:u w:val="single"/>
        </w:rPr>
      </w:pPr>
    </w:p>
    <w:p w14:paraId="0A344DE6" w14:textId="42F010CC" w:rsidR="006E77E6" w:rsidRPr="006E77E6" w:rsidRDefault="006E77E6" w:rsidP="006E77E6">
      <w:pPr>
        <w:tabs>
          <w:tab w:val="left" w:pos="851"/>
        </w:tabs>
        <w:ind w:left="851"/>
        <w:rPr>
          <w:iCs/>
          <w:sz w:val="24"/>
          <w:szCs w:val="24"/>
          <w:u w:val="single"/>
        </w:rPr>
      </w:pPr>
      <w:r w:rsidRPr="006E77E6">
        <w:rPr>
          <w:iCs/>
          <w:sz w:val="24"/>
          <w:szCs w:val="24"/>
          <w:u w:val="single"/>
        </w:rPr>
        <w:t>Graviditet</w:t>
      </w:r>
    </w:p>
    <w:p w14:paraId="139D18B8" w14:textId="77777777" w:rsidR="006E77E6" w:rsidRPr="006E77E6" w:rsidRDefault="006E77E6" w:rsidP="006E77E6">
      <w:pPr>
        <w:tabs>
          <w:tab w:val="left" w:pos="851"/>
        </w:tabs>
        <w:ind w:left="851"/>
        <w:rPr>
          <w:sz w:val="24"/>
          <w:szCs w:val="24"/>
        </w:rPr>
      </w:pPr>
      <w:r w:rsidRPr="006E77E6">
        <w:rPr>
          <w:sz w:val="24"/>
          <w:szCs w:val="24"/>
        </w:rPr>
        <w:t>En stor mængde data fra gravide kvinder (mere end 1 000 eksponeringer) indikerer ingen tegn på misdannelser eller føtotoksicitet. Metoclopramid kan anvendes under graviditet, hvis det er klinisk nødvendigt. På grund af metoclopramids farmakologiske egenskaber (som andre neuroleptika) kan ekstrapyramidalt syndrom hos nyfødte ikke udelukkes, hvis metoclopramid administreres sidst i graviditeten. Metoclopramid bør undgås i slutningen af graviditeten. Såfremt metoclopramid anvendes, skal det ske under neonatal overvågning.</w:t>
      </w:r>
    </w:p>
    <w:p w14:paraId="0CCA0C1C" w14:textId="77777777" w:rsidR="006E77E6" w:rsidRPr="006E77E6" w:rsidRDefault="006E77E6" w:rsidP="006E77E6">
      <w:pPr>
        <w:tabs>
          <w:tab w:val="left" w:pos="851"/>
        </w:tabs>
        <w:ind w:left="851"/>
        <w:rPr>
          <w:i/>
          <w:iCs/>
          <w:sz w:val="24"/>
          <w:szCs w:val="24"/>
        </w:rPr>
      </w:pPr>
    </w:p>
    <w:p w14:paraId="3E3F49AA" w14:textId="77777777" w:rsidR="006E77E6" w:rsidRPr="006E77E6" w:rsidRDefault="006E77E6" w:rsidP="006E77E6">
      <w:pPr>
        <w:tabs>
          <w:tab w:val="left" w:pos="851"/>
        </w:tabs>
        <w:ind w:left="851"/>
        <w:rPr>
          <w:iCs/>
          <w:sz w:val="24"/>
          <w:szCs w:val="24"/>
          <w:u w:val="single"/>
        </w:rPr>
      </w:pPr>
      <w:r w:rsidRPr="006E77E6">
        <w:rPr>
          <w:iCs/>
          <w:sz w:val="24"/>
          <w:szCs w:val="24"/>
          <w:u w:val="single"/>
        </w:rPr>
        <w:t>Amning</w:t>
      </w:r>
    </w:p>
    <w:p w14:paraId="1CF9E124" w14:textId="77777777" w:rsidR="006E77E6" w:rsidRPr="006E77E6" w:rsidRDefault="006E77E6" w:rsidP="006E77E6">
      <w:pPr>
        <w:tabs>
          <w:tab w:val="left" w:pos="851"/>
        </w:tabs>
        <w:ind w:left="851"/>
        <w:rPr>
          <w:sz w:val="24"/>
          <w:szCs w:val="24"/>
        </w:rPr>
      </w:pPr>
      <w:r w:rsidRPr="006E77E6">
        <w:rPr>
          <w:sz w:val="24"/>
          <w:szCs w:val="24"/>
        </w:rPr>
        <w:t>Metoclopramid udskilles i modermælk i små mængder. Bivirkninger hos det ammede barn kan ikke udelukkes. Derfor bør amning ophøre under behandling med metoclopramid. Seponering af metoclopramid hos ammende kvinder skal overvejes.</w:t>
      </w:r>
    </w:p>
    <w:p w14:paraId="44BBC31A" w14:textId="77777777" w:rsidR="009260DE" w:rsidRPr="00C84483" w:rsidRDefault="009260DE" w:rsidP="009260DE">
      <w:pPr>
        <w:tabs>
          <w:tab w:val="left" w:pos="851"/>
        </w:tabs>
        <w:ind w:left="851"/>
        <w:rPr>
          <w:sz w:val="24"/>
          <w:szCs w:val="24"/>
        </w:rPr>
      </w:pPr>
    </w:p>
    <w:p w14:paraId="7238A09F"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37B4E4A" w14:textId="77777777" w:rsidR="006E77E6" w:rsidRPr="006E77E6" w:rsidRDefault="006E77E6" w:rsidP="006E77E6">
      <w:pPr>
        <w:tabs>
          <w:tab w:val="left" w:pos="851"/>
        </w:tabs>
        <w:ind w:left="851"/>
        <w:rPr>
          <w:sz w:val="24"/>
          <w:szCs w:val="24"/>
        </w:rPr>
      </w:pPr>
      <w:r w:rsidRPr="006E77E6">
        <w:rPr>
          <w:sz w:val="24"/>
          <w:szCs w:val="24"/>
        </w:rPr>
        <w:t>Ikke mærkning.</w:t>
      </w:r>
    </w:p>
    <w:p w14:paraId="7C7730D7" w14:textId="77777777" w:rsidR="006E77E6" w:rsidRPr="006E77E6" w:rsidRDefault="006E77E6" w:rsidP="006E77E6">
      <w:pPr>
        <w:tabs>
          <w:tab w:val="left" w:pos="851"/>
        </w:tabs>
        <w:ind w:left="851"/>
        <w:rPr>
          <w:sz w:val="24"/>
          <w:szCs w:val="24"/>
        </w:rPr>
      </w:pPr>
      <w:r w:rsidRPr="006E77E6">
        <w:rPr>
          <w:sz w:val="24"/>
          <w:szCs w:val="24"/>
        </w:rPr>
        <w:t>Metoclopramid kan forårsage døsighed, svimmelhed, dyskinesi og dystoni, som kan påvirke synet og dermed interferere med evnen til at føre motorkøretøj og betjene maskiner.</w:t>
      </w:r>
    </w:p>
    <w:p w14:paraId="4AA2861A" w14:textId="77777777" w:rsidR="009260DE" w:rsidRPr="00C84483" w:rsidRDefault="009260DE" w:rsidP="009260DE">
      <w:pPr>
        <w:tabs>
          <w:tab w:val="left" w:pos="851"/>
        </w:tabs>
        <w:ind w:left="851"/>
        <w:rPr>
          <w:sz w:val="24"/>
          <w:szCs w:val="24"/>
        </w:rPr>
      </w:pPr>
    </w:p>
    <w:p w14:paraId="57FF6F02"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A8AD3F9" w14:textId="6070FF18" w:rsidR="006E77E6" w:rsidRPr="006E77E6" w:rsidRDefault="006E77E6" w:rsidP="006E77E6">
      <w:pPr>
        <w:pStyle w:val="Bodytext20"/>
        <w:shd w:val="clear" w:color="auto" w:fill="auto"/>
        <w:spacing w:line="240" w:lineRule="auto"/>
        <w:ind w:left="851" w:firstLine="0"/>
        <w:rPr>
          <w:rFonts w:ascii="Times New Roman" w:hAnsi="Times New Roman" w:cs="Times New Roman"/>
          <w:sz w:val="24"/>
          <w:szCs w:val="24"/>
        </w:rPr>
      </w:pPr>
      <w:r w:rsidRPr="006E77E6">
        <w:rPr>
          <w:rFonts w:ascii="Times New Roman" w:hAnsi="Times New Roman"/>
          <w:sz w:val="24"/>
          <w:szCs w:val="24"/>
        </w:rPr>
        <w:t xml:space="preserve">Bivirkninger anført efter systemorganklasse. Hyppigheder defineres i henhold til følgende konvention: </w:t>
      </w:r>
      <w:r>
        <w:rPr>
          <w:rFonts w:ascii="Times New Roman" w:hAnsi="Times New Roman"/>
          <w:sz w:val="24"/>
          <w:szCs w:val="24"/>
        </w:rPr>
        <w:t>M</w:t>
      </w:r>
      <w:r w:rsidRPr="006E77E6">
        <w:rPr>
          <w:rFonts w:ascii="Times New Roman" w:hAnsi="Times New Roman"/>
          <w:sz w:val="24"/>
          <w:szCs w:val="24"/>
        </w:rPr>
        <w:t>eget almindelig (≥ 1/10), almindelig (≥ 1/100 til &lt; 1/10), ikke almindelig (≥ 1/1 000 til &lt; 1/100), sjælden (≥ 1/10 000 til &lt; 1/1 000), meget sjælden (&lt; 1/10 000), ikke kendt (kan ikke estimeres ud fra forhåndenværende data).</w:t>
      </w:r>
    </w:p>
    <w:p w14:paraId="2AF2AEC1" w14:textId="77777777" w:rsidR="006E77E6" w:rsidRDefault="006E77E6" w:rsidP="006E77E6">
      <w:pPr>
        <w:pStyle w:val="Bodytext20"/>
        <w:shd w:val="clear" w:color="auto" w:fill="auto"/>
        <w:spacing w:line="240" w:lineRule="auto"/>
        <w:ind w:firstLine="0"/>
        <w:rPr>
          <w:rFonts w:ascii="Times New Roman" w:hAnsi="Times New Roman" w:cs="Times New Roman"/>
          <w:sz w:val="22"/>
          <w:szCs w:val="22"/>
        </w:rPr>
      </w:pPr>
    </w:p>
    <w:tbl>
      <w:tblPr>
        <w:tblW w:w="9645" w:type="dxa"/>
        <w:tblLayout w:type="fixed"/>
        <w:tblCellMar>
          <w:left w:w="10" w:type="dxa"/>
          <w:right w:w="10" w:type="dxa"/>
        </w:tblCellMar>
        <w:tblLook w:val="04A0" w:firstRow="1" w:lastRow="0" w:firstColumn="1" w:lastColumn="0" w:noHBand="0" w:noVBand="1"/>
      </w:tblPr>
      <w:tblGrid>
        <w:gridCol w:w="1428"/>
        <w:gridCol w:w="1700"/>
        <w:gridCol w:w="6517"/>
      </w:tblGrid>
      <w:tr w:rsidR="006E77E6" w14:paraId="62A2ECA3" w14:textId="77777777" w:rsidTr="006E77E6">
        <w:trPr>
          <w:trHeight w:hRule="exact" w:val="587"/>
        </w:trPr>
        <w:tc>
          <w:tcPr>
            <w:tcW w:w="1428" w:type="dxa"/>
            <w:tcBorders>
              <w:top w:val="single" w:sz="4" w:space="0" w:color="auto"/>
              <w:left w:val="single" w:sz="4" w:space="0" w:color="auto"/>
              <w:bottom w:val="nil"/>
              <w:right w:val="nil"/>
            </w:tcBorders>
            <w:shd w:val="clear" w:color="auto" w:fill="FFFFFF"/>
            <w:hideMark/>
          </w:tcPr>
          <w:p w14:paraId="3B26FDE7"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Style w:val="Bodytext2Bold"/>
                <w:rFonts w:ascii="Times New Roman" w:hAnsi="Times New Roman"/>
                <w:sz w:val="22"/>
              </w:rPr>
              <w:t>Systemorgan-klasse</w:t>
            </w:r>
          </w:p>
        </w:tc>
        <w:tc>
          <w:tcPr>
            <w:tcW w:w="1701" w:type="dxa"/>
            <w:tcBorders>
              <w:top w:val="single" w:sz="4" w:space="0" w:color="auto"/>
              <w:left w:val="single" w:sz="4" w:space="0" w:color="auto"/>
              <w:bottom w:val="nil"/>
              <w:right w:val="nil"/>
            </w:tcBorders>
            <w:shd w:val="clear" w:color="auto" w:fill="FFFFFF"/>
            <w:hideMark/>
          </w:tcPr>
          <w:p w14:paraId="61E74DF3"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Style w:val="Bodytext2Bold"/>
                <w:rFonts w:ascii="Times New Roman" w:hAnsi="Times New Roman"/>
                <w:sz w:val="22"/>
              </w:rPr>
              <w:t>Hyppighed</w:t>
            </w:r>
          </w:p>
        </w:tc>
        <w:tc>
          <w:tcPr>
            <w:tcW w:w="6520" w:type="dxa"/>
            <w:tcBorders>
              <w:top w:val="single" w:sz="4" w:space="0" w:color="auto"/>
              <w:left w:val="single" w:sz="4" w:space="0" w:color="auto"/>
              <w:bottom w:val="nil"/>
              <w:right w:val="single" w:sz="4" w:space="0" w:color="auto"/>
            </w:tcBorders>
            <w:shd w:val="clear" w:color="auto" w:fill="FFFFFF"/>
            <w:hideMark/>
          </w:tcPr>
          <w:p w14:paraId="01A6449D"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Style w:val="Bodytext2Bold"/>
                <w:rFonts w:ascii="Times New Roman" w:hAnsi="Times New Roman"/>
                <w:sz w:val="22"/>
              </w:rPr>
              <w:t>Bivirkninger</w:t>
            </w:r>
          </w:p>
        </w:tc>
      </w:tr>
      <w:tr w:rsidR="006E77E6" w14:paraId="76EF334D" w14:textId="77777777" w:rsidTr="006E77E6">
        <w:trPr>
          <w:trHeight w:val="337"/>
        </w:trPr>
        <w:tc>
          <w:tcPr>
            <w:tcW w:w="9649" w:type="dxa"/>
            <w:gridSpan w:val="3"/>
            <w:tcBorders>
              <w:top w:val="single" w:sz="4" w:space="0" w:color="auto"/>
              <w:left w:val="single" w:sz="4" w:space="0" w:color="auto"/>
              <w:bottom w:val="nil"/>
              <w:right w:val="single" w:sz="4" w:space="0" w:color="auto"/>
            </w:tcBorders>
            <w:shd w:val="clear" w:color="auto" w:fill="FFFFFF"/>
          </w:tcPr>
          <w:p w14:paraId="1F5D0C80" w14:textId="77777777" w:rsidR="006E77E6" w:rsidRDefault="006E77E6">
            <w:pPr>
              <w:pStyle w:val="Bodytext20"/>
              <w:shd w:val="clear" w:color="auto" w:fill="auto"/>
              <w:spacing w:line="240" w:lineRule="auto"/>
              <w:ind w:firstLine="0"/>
              <w:rPr>
                <w:rStyle w:val="Bodytext2Bold"/>
                <w:rFonts w:ascii="Times New Roman" w:hAnsi="Times New Roman" w:cs="Times New Roman"/>
                <w:sz w:val="22"/>
                <w:szCs w:val="22"/>
              </w:rPr>
            </w:pPr>
            <w:r>
              <w:rPr>
                <w:rStyle w:val="Bodytext2Bold"/>
                <w:rFonts w:ascii="Times New Roman" w:hAnsi="Times New Roman"/>
                <w:sz w:val="22"/>
              </w:rPr>
              <w:t>Blod og lymfesystem</w:t>
            </w:r>
          </w:p>
          <w:p w14:paraId="4FB53CED" w14:textId="77777777" w:rsidR="006E77E6" w:rsidRDefault="006E77E6">
            <w:pPr>
              <w:pStyle w:val="Bodytext20"/>
              <w:shd w:val="clear" w:color="auto" w:fill="auto"/>
              <w:spacing w:line="240" w:lineRule="auto"/>
              <w:ind w:firstLine="0"/>
            </w:pPr>
          </w:p>
        </w:tc>
      </w:tr>
      <w:tr w:rsidR="006E77E6" w14:paraId="69ED03C6" w14:textId="77777777" w:rsidTr="006E77E6">
        <w:trPr>
          <w:trHeight w:hRule="exact" w:val="1168"/>
        </w:trPr>
        <w:tc>
          <w:tcPr>
            <w:tcW w:w="1428" w:type="dxa"/>
            <w:tcBorders>
              <w:top w:val="single" w:sz="4" w:space="0" w:color="auto"/>
              <w:left w:val="single" w:sz="4" w:space="0" w:color="auto"/>
              <w:bottom w:val="nil"/>
              <w:right w:val="nil"/>
            </w:tcBorders>
            <w:shd w:val="clear" w:color="auto" w:fill="FFFFFF"/>
          </w:tcPr>
          <w:p w14:paraId="518FFDB1"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1C045EB9"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Ikke kendt</w:t>
            </w:r>
          </w:p>
        </w:tc>
        <w:tc>
          <w:tcPr>
            <w:tcW w:w="6520" w:type="dxa"/>
            <w:tcBorders>
              <w:top w:val="single" w:sz="4" w:space="0" w:color="auto"/>
              <w:left w:val="single" w:sz="4" w:space="0" w:color="auto"/>
              <w:bottom w:val="nil"/>
              <w:right w:val="single" w:sz="4" w:space="0" w:color="auto"/>
            </w:tcBorders>
            <w:shd w:val="clear" w:color="auto" w:fill="FFFFFF"/>
            <w:hideMark/>
          </w:tcPr>
          <w:p w14:paraId="6EB29680"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Methæmoglobinæmi, som kan være relateret til NADH-cytokrom-b5-reduktasemangel, særligt hos nyfødte (se pkt. 4.4).</w:t>
            </w:r>
          </w:p>
          <w:p w14:paraId="5444AEA6" w14:textId="77777777" w:rsidR="006E77E6" w:rsidRDefault="006E77E6">
            <w:pPr>
              <w:pStyle w:val="Bodytext20"/>
              <w:shd w:val="clear" w:color="auto" w:fill="auto"/>
              <w:tabs>
                <w:tab w:val="left" w:pos="2616"/>
                <w:tab w:val="right" w:pos="4075"/>
              </w:tabs>
              <w:spacing w:line="240" w:lineRule="auto"/>
              <w:ind w:firstLine="0"/>
              <w:rPr>
                <w:rFonts w:ascii="Times New Roman" w:hAnsi="Times New Roman" w:cs="Times New Roman"/>
                <w:sz w:val="22"/>
                <w:szCs w:val="22"/>
              </w:rPr>
            </w:pPr>
            <w:r>
              <w:rPr>
                <w:rFonts w:ascii="Times New Roman" w:hAnsi="Times New Roman"/>
                <w:sz w:val="22"/>
              </w:rPr>
              <w:t>Sulfhæmoglobinæmi, særligt ved samtidig administration af svovl-frigivende lægemidler i høje doser.</w:t>
            </w:r>
          </w:p>
        </w:tc>
      </w:tr>
      <w:tr w:rsidR="006E77E6" w14:paraId="2ED3CA48" w14:textId="77777777" w:rsidTr="006E77E6">
        <w:trPr>
          <w:trHeight w:val="264"/>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B6AB3B"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Style w:val="Bodytext2Bold"/>
                <w:rFonts w:ascii="Times New Roman" w:hAnsi="Times New Roman"/>
                <w:sz w:val="22"/>
              </w:rPr>
              <w:t>Hjerte</w:t>
            </w:r>
          </w:p>
        </w:tc>
      </w:tr>
      <w:tr w:rsidR="006E77E6" w14:paraId="3D8A3454" w14:textId="77777777" w:rsidTr="006E77E6">
        <w:trPr>
          <w:trHeight w:hRule="exact" w:val="295"/>
        </w:trPr>
        <w:tc>
          <w:tcPr>
            <w:tcW w:w="1428" w:type="dxa"/>
            <w:tcBorders>
              <w:top w:val="single" w:sz="4" w:space="0" w:color="auto"/>
              <w:left w:val="single" w:sz="4" w:space="0" w:color="auto"/>
              <w:bottom w:val="single" w:sz="4" w:space="0" w:color="auto"/>
              <w:right w:val="single" w:sz="4" w:space="0" w:color="auto"/>
            </w:tcBorders>
            <w:shd w:val="clear" w:color="auto" w:fill="FFFFFF"/>
          </w:tcPr>
          <w:p w14:paraId="0E03E973" w14:textId="77777777" w:rsidR="006E77E6" w:rsidRDefault="006E77E6">
            <w:pP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71FAA95"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Ikke almindelig</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24DFECBF"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Bradykardi, særligt ved intravenøs administration.</w:t>
            </w:r>
          </w:p>
        </w:tc>
      </w:tr>
      <w:tr w:rsidR="006E77E6" w14:paraId="464D1AB7" w14:textId="77777777" w:rsidTr="006E77E6">
        <w:trPr>
          <w:trHeight w:hRule="exact" w:val="1561"/>
        </w:trPr>
        <w:tc>
          <w:tcPr>
            <w:tcW w:w="1428" w:type="dxa"/>
            <w:tcBorders>
              <w:top w:val="single" w:sz="4" w:space="0" w:color="auto"/>
              <w:left w:val="single" w:sz="4" w:space="0" w:color="auto"/>
              <w:bottom w:val="nil"/>
              <w:right w:val="nil"/>
            </w:tcBorders>
            <w:shd w:val="clear" w:color="auto" w:fill="FFFFFF"/>
          </w:tcPr>
          <w:p w14:paraId="7A06454A"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5D9D32B9"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Ikke kendt</w:t>
            </w:r>
          </w:p>
        </w:tc>
        <w:tc>
          <w:tcPr>
            <w:tcW w:w="6520" w:type="dxa"/>
            <w:tcBorders>
              <w:top w:val="single" w:sz="4" w:space="0" w:color="auto"/>
              <w:left w:val="single" w:sz="4" w:space="0" w:color="auto"/>
              <w:bottom w:val="nil"/>
              <w:right w:val="single" w:sz="4" w:space="0" w:color="auto"/>
            </w:tcBorders>
            <w:shd w:val="clear" w:color="auto" w:fill="FFFFFF"/>
            <w:hideMark/>
          </w:tcPr>
          <w:p w14:paraId="72AFD35F" w14:textId="77777777" w:rsidR="006E77E6" w:rsidRDefault="006E77E6">
            <w:pPr>
              <w:pStyle w:val="Bodytext20"/>
              <w:shd w:val="clear" w:color="auto" w:fill="auto"/>
              <w:tabs>
                <w:tab w:val="left" w:pos="1805"/>
                <w:tab w:val="left" w:pos="2731"/>
                <w:tab w:val="right" w:pos="4147"/>
              </w:tabs>
              <w:spacing w:line="240" w:lineRule="auto"/>
              <w:ind w:firstLine="0"/>
              <w:rPr>
                <w:rFonts w:ascii="Times New Roman" w:hAnsi="Times New Roman" w:cs="Times New Roman"/>
                <w:sz w:val="22"/>
                <w:szCs w:val="22"/>
              </w:rPr>
            </w:pPr>
            <w:r>
              <w:rPr>
                <w:rFonts w:ascii="Times New Roman" w:hAnsi="Times New Roman"/>
                <w:sz w:val="22"/>
              </w:rPr>
              <w:t>Hjertestop, der indtræffer kort efter injektionsbrug, og som kan være en følge af bradykardi (se pkt. 4.4), atrioventrikulært blok, sinusarrest, særligt ved intravenøs administration, forlænget QT på eletrokardiogram, Torsade de pointes.</w:t>
            </w:r>
          </w:p>
          <w:p w14:paraId="5E4CE07E" w14:textId="77777777" w:rsidR="006E77E6" w:rsidRDefault="006E77E6">
            <w:pPr>
              <w:pStyle w:val="Bodytext20"/>
              <w:shd w:val="clear" w:color="auto" w:fill="auto"/>
              <w:tabs>
                <w:tab w:val="left" w:pos="1805"/>
                <w:tab w:val="left" w:pos="2731"/>
                <w:tab w:val="right" w:pos="4147"/>
              </w:tabs>
              <w:spacing w:line="240" w:lineRule="auto"/>
              <w:ind w:firstLine="0"/>
              <w:rPr>
                <w:rFonts w:ascii="Times New Roman" w:hAnsi="Times New Roman" w:cs="Times New Roman"/>
                <w:sz w:val="22"/>
                <w:szCs w:val="22"/>
              </w:rPr>
            </w:pPr>
            <w:r>
              <w:rPr>
                <w:rFonts w:ascii="Times New Roman" w:hAnsi="Times New Roman"/>
                <w:sz w:val="22"/>
              </w:rPr>
              <w:t>Blodtryksstigning hos patienter med eller uden fæokromocytom (se pkt. 4.3).</w:t>
            </w:r>
          </w:p>
        </w:tc>
      </w:tr>
      <w:tr w:rsidR="006E77E6" w14:paraId="75982D74" w14:textId="77777777" w:rsidTr="006E77E6">
        <w:trPr>
          <w:trHeight w:val="283"/>
        </w:trPr>
        <w:tc>
          <w:tcPr>
            <w:tcW w:w="9649" w:type="dxa"/>
            <w:gridSpan w:val="3"/>
            <w:tcBorders>
              <w:top w:val="single" w:sz="4" w:space="0" w:color="auto"/>
              <w:left w:val="single" w:sz="4" w:space="0" w:color="auto"/>
              <w:bottom w:val="nil"/>
              <w:right w:val="single" w:sz="4" w:space="0" w:color="auto"/>
            </w:tcBorders>
            <w:shd w:val="clear" w:color="auto" w:fill="FFFFFF"/>
            <w:hideMark/>
          </w:tcPr>
          <w:p w14:paraId="1706A943"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Style w:val="Bodytext2Bold"/>
                <w:rFonts w:ascii="Times New Roman" w:hAnsi="Times New Roman"/>
                <w:sz w:val="22"/>
              </w:rPr>
              <w:t>Det endokrine system*</w:t>
            </w:r>
          </w:p>
        </w:tc>
      </w:tr>
      <w:tr w:rsidR="006E77E6" w14:paraId="5F6248B9" w14:textId="77777777" w:rsidTr="006E77E6">
        <w:trPr>
          <w:trHeight w:hRule="exact" w:val="297"/>
        </w:trPr>
        <w:tc>
          <w:tcPr>
            <w:tcW w:w="1428" w:type="dxa"/>
            <w:tcBorders>
              <w:top w:val="single" w:sz="4" w:space="0" w:color="auto"/>
              <w:left w:val="single" w:sz="4" w:space="0" w:color="auto"/>
              <w:bottom w:val="nil"/>
              <w:right w:val="nil"/>
            </w:tcBorders>
            <w:shd w:val="clear" w:color="auto" w:fill="FFFFFF"/>
          </w:tcPr>
          <w:p w14:paraId="6A14AB3B"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35F9EC72"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Ikke almindelig</w:t>
            </w:r>
          </w:p>
        </w:tc>
        <w:tc>
          <w:tcPr>
            <w:tcW w:w="6520" w:type="dxa"/>
            <w:tcBorders>
              <w:top w:val="single" w:sz="4" w:space="0" w:color="auto"/>
              <w:left w:val="single" w:sz="4" w:space="0" w:color="auto"/>
              <w:bottom w:val="nil"/>
              <w:right w:val="single" w:sz="4" w:space="0" w:color="auto"/>
            </w:tcBorders>
            <w:shd w:val="clear" w:color="auto" w:fill="FFFFFF"/>
            <w:hideMark/>
          </w:tcPr>
          <w:p w14:paraId="4FF0AE79"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Amenoré, hyperprolaktinæmi</w:t>
            </w:r>
          </w:p>
        </w:tc>
      </w:tr>
      <w:tr w:rsidR="006E77E6" w14:paraId="2D497929" w14:textId="77777777" w:rsidTr="006E77E6">
        <w:trPr>
          <w:trHeight w:hRule="exact" w:val="283"/>
        </w:trPr>
        <w:tc>
          <w:tcPr>
            <w:tcW w:w="1428" w:type="dxa"/>
            <w:tcBorders>
              <w:top w:val="single" w:sz="4" w:space="0" w:color="auto"/>
              <w:left w:val="single" w:sz="4" w:space="0" w:color="auto"/>
              <w:bottom w:val="nil"/>
              <w:right w:val="nil"/>
            </w:tcBorders>
            <w:shd w:val="clear" w:color="auto" w:fill="FFFFFF"/>
          </w:tcPr>
          <w:p w14:paraId="588CC935"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2C0FD497"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Sjælden</w:t>
            </w:r>
          </w:p>
        </w:tc>
        <w:tc>
          <w:tcPr>
            <w:tcW w:w="6520" w:type="dxa"/>
            <w:tcBorders>
              <w:top w:val="single" w:sz="4" w:space="0" w:color="auto"/>
              <w:left w:val="single" w:sz="4" w:space="0" w:color="auto"/>
              <w:bottom w:val="nil"/>
              <w:right w:val="single" w:sz="4" w:space="0" w:color="auto"/>
            </w:tcBorders>
            <w:shd w:val="clear" w:color="auto" w:fill="FFFFFF"/>
            <w:hideMark/>
          </w:tcPr>
          <w:p w14:paraId="765B72A1"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Galaktoré</w:t>
            </w:r>
          </w:p>
        </w:tc>
      </w:tr>
      <w:tr w:rsidR="006E77E6" w14:paraId="6B13340F" w14:textId="77777777" w:rsidTr="006E77E6">
        <w:trPr>
          <w:trHeight w:hRule="exact" w:val="278"/>
        </w:trPr>
        <w:tc>
          <w:tcPr>
            <w:tcW w:w="1428" w:type="dxa"/>
            <w:tcBorders>
              <w:top w:val="single" w:sz="4" w:space="0" w:color="auto"/>
              <w:left w:val="single" w:sz="4" w:space="0" w:color="auto"/>
              <w:bottom w:val="nil"/>
              <w:right w:val="nil"/>
            </w:tcBorders>
            <w:shd w:val="clear" w:color="auto" w:fill="FFFFFF"/>
          </w:tcPr>
          <w:p w14:paraId="76B9D84F"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52AC344D"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Ikke kendt</w:t>
            </w:r>
          </w:p>
        </w:tc>
        <w:tc>
          <w:tcPr>
            <w:tcW w:w="6520" w:type="dxa"/>
            <w:tcBorders>
              <w:top w:val="single" w:sz="4" w:space="0" w:color="auto"/>
              <w:left w:val="single" w:sz="4" w:space="0" w:color="auto"/>
              <w:bottom w:val="nil"/>
              <w:right w:val="single" w:sz="4" w:space="0" w:color="auto"/>
            </w:tcBorders>
            <w:shd w:val="clear" w:color="auto" w:fill="FFFFFF"/>
            <w:hideMark/>
          </w:tcPr>
          <w:p w14:paraId="335F5380"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Gynækomasti</w:t>
            </w:r>
          </w:p>
        </w:tc>
      </w:tr>
      <w:tr w:rsidR="006E77E6" w14:paraId="3A15025F" w14:textId="77777777" w:rsidTr="006E77E6">
        <w:trPr>
          <w:trHeight w:val="278"/>
        </w:trPr>
        <w:tc>
          <w:tcPr>
            <w:tcW w:w="9649" w:type="dxa"/>
            <w:gridSpan w:val="3"/>
            <w:tcBorders>
              <w:top w:val="single" w:sz="4" w:space="0" w:color="auto"/>
              <w:left w:val="single" w:sz="4" w:space="0" w:color="auto"/>
              <w:bottom w:val="nil"/>
              <w:right w:val="single" w:sz="4" w:space="0" w:color="auto"/>
            </w:tcBorders>
            <w:shd w:val="clear" w:color="auto" w:fill="FFFFFF"/>
            <w:hideMark/>
          </w:tcPr>
          <w:p w14:paraId="5AC10621"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Style w:val="Bodytext2Bold"/>
                <w:rFonts w:ascii="Times New Roman" w:hAnsi="Times New Roman"/>
                <w:sz w:val="22"/>
              </w:rPr>
              <w:t>Mave-tarm-kanalen</w:t>
            </w:r>
          </w:p>
        </w:tc>
      </w:tr>
      <w:tr w:rsidR="006E77E6" w14:paraId="741878D7" w14:textId="77777777" w:rsidTr="006E77E6">
        <w:trPr>
          <w:trHeight w:hRule="exact" w:val="283"/>
        </w:trPr>
        <w:tc>
          <w:tcPr>
            <w:tcW w:w="1428" w:type="dxa"/>
            <w:tcBorders>
              <w:top w:val="single" w:sz="4" w:space="0" w:color="auto"/>
              <w:left w:val="single" w:sz="4" w:space="0" w:color="auto"/>
              <w:bottom w:val="nil"/>
              <w:right w:val="nil"/>
            </w:tcBorders>
            <w:shd w:val="clear" w:color="auto" w:fill="FFFFFF"/>
          </w:tcPr>
          <w:p w14:paraId="5308BCF2"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11455FDE"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Almindelig</w:t>
            </w:r>
          </w:p>
        </w:tc>
        <w:tc>
          <w:tcPr>
            <w:tcW w:w="6520" w:type="dxa"/>
            <w:tcBorders>
              <w:top w:val="single" w:sz="4" w:space="0" w:color="auto"/>
              <w:left w:val="single" w:sz="4" w:space="0" w:color="auto"/>
              <w:bottom w:val="nil"/>
              <w:right w:val="single" w:sz="4" w:space="0" w:color="auto"/>
            </w:tcBorders>
            <w:shd w:val="clear" w:color="auto" w:fill="FFFFFF"/>
            <w:hideMark/>
          </w:tcPr>
          <w:p w14:paraId="2D7B73DC"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Diarré</w:t>
            </w:r>
          </w:p>
        </w:tc>
      </w:tr>
      <w:tr w:rsidR="006E77E6" w14:paraId="6D3D3F8E" w14:textId="77777777" w:rsidTr="006E77E6">
        <w:trPr>
          <w:trHeight w:val="283"/>
        </w:trPr>
        <w:tc>
          <w:tcPr>
            <w:tcW w:w="9649" w:type="dxa"/>
            <w:gridSpan w:val="3"/>
            <w:tcBorders>
              <w:top w:val="single" w:sz="4" w:space="0" w:color="auto"/>
              <w:left w:val="single" w:sz="4" w:space="0" w:color="auto"/>
              <w:bottom w:val="nil"/>
              <w:right w:val="single" w:sz="4" w:space="0" w:color="auto"/>
            </w:tcBorders>
            <w:shd w:val="clear" w:color="auto" w:fill="FFFFFF"/>
            <w:hideMark/>
          </w:tcPr>
          <w:p w14:paraId="69E0B99A"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Style w:val="Bodytext2Bold"/>
                <w:rFonts w:ascii="Times New Roman" w:hAnsi="Times New Roman"/>
                <w:sz w:val="22"/>
              </w:rPr>
              <w:t>Almene symptomer og reaktioner på administrationsstedet</w:t>
            </w:r>
          </w:p>
        </w:tc>
      </w:tr>
      <w:tr w:rsidR="006E77E6" w14:paraId="4BAC7545" w14:textId="77777777" w:rsidTr="006E77E6">
        <w:trPr>
          <w:trHeight w:hRule="exact" w:val="288"/>
        </w:trPr>
        <w:tc>
          <w:tcPr>
            <w:tcW w:w="1428" w:type="dxa"/>
            <w:tcBorders>
              <w:top w:val="single" w:sz="4" w:space="0" w:color="auto"/>
              <w:left w:val="single" w:sz="4" w:space="0" w:color="auto"/>
              <w:bottom w:val="single" w:sz="4" w:space="0" w:color="auto"/>
              <w:right w:val="nil"/>
            </w:tcBorders>
            <w:shd w:val="clear" w:color="auto" w:fill="FFFFFF"/>
          </w:tcPr>
          <w:p w14:paraId="61BC1907" w14:textId="77777777" w:rsidR="006E77E6" w:rsidRDefault="006E77E6">
            <w:pPr>
              <w:rPr>
                <w:sz w:val="22"/>
                <w:szCs w:val="22"/>
              </w:rPr>
            </w:pPr>
          </w:p>
        </w:tc>
        <w:tc>
          <w:tcPr>
            <w:tcW w:w="1701" w:type="dxa"/>
            <w:tcBorders>
              <w:top w:val="single" w:sz="4" w:space="0" w:color="auto"/>
              <w:left w:val="single" w:sz="4" w:space="0" w:color="auto"/>
              <w:bottom w:val="single" w:sz="4" w:space="0" w:color="auto"/>
              <w:right w:val="nil"/>
            </w:tcBorders>
            <w:shd w:val="clear" w:color="auto" w:fill="FFFFFF"/>
            <w:hideMark/>
          </w:tcPr>
          <w:p w14:paraId="081917DC"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Almindelig</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5B4FF21"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Asteni</w:t>
            </w:r>
          </w:p>
        </w:tc>
      </w:tr>
      <w:tr w:rsidR="006E77E6" w14:paraId="6DDDA7EC" w14:textId="77777777" w:rsidTr="006E77E6">
        <w:trPr>
          <w:trHeight w:val="282"/>
        </w:trPr>
        <w:tc>
          <w:tcPr>
            <w:tcW w:w="9649" w:type="dxa"/>
            <w:gridSpan w:val="3"/>
            <w:tcBorders>
              <w:top w:val="single" w:sz="4" w:space="0" w:color="auto"/>
              <w:left w:val="single" w:sz="4" w:space="0" w:color="auto"/>
              <w:bottom w:val="nil"/>
              <w:right w:val="single" w:sz="4" w:space="0" w:color="auto"/>
            </w:tcBorders>
            <w:shd w:val="clear" w:color="auto" w:fill="FFFFFF"/>
            <w:hideMark/>
          </w:tcPr>
          <w:p w14:paraId="321BC191"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Style w:val="Bodytext2Bold"/>
                <w:rFonts w:ascii="Times New Roman" w:hAnsi="Times New Roman"/>
                <w:sz w:val="22"/>
              </w:rPr>
              <w:t>Immunsystemet</w:t>
            </w:r>
          </w:p>
        </w:tc>
      </w:tr>
      <w:tr w:rsidR="006E77E6" w14:paraId="63625BE2" w14:textId="77777777" w:rsidTr="006E77E6">
        <w:trPr>
          <w:trHeight w:hRule="exact" w:val="226"/>
        </w:trPr>
        <w:tc>
          <w:tcPr>
            <w:tcW w:w="1428" w:type="dxa"/>
            <w:tcBorders>
              <w:top w:val="single" w:sz="4" w:space="0" w:color="auto"/>
              <w:left w:val="single" w:sz="4" w:space="0" w:color="auto"/>
              <w:bottom w:val="nil"/>
              <w:right w:val="nil"/>
            </w:tcBorders>
            <w:shd w:val="clear" w:color="auto" w:fill="FFFFFF"/>
          </w:tcPr>
          <w:p w14:paraId="6B7FF72D"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273A6FA9"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Ikke almindelig</w:t>
            </w:r>
          </w:p>
        </w:tc>
        <w:tc>
          <w:tcPr>
            <w:tcW w:w="6520" w:type="dxa"/>
            <w:tcBorders>
              <w:top w:val="single" w:sz="4" w:space="0" w:color="auto"/>
              <w:left w:val="single" w:sz="4" w:space="0" w:color="auto"/>
              <w:bottom w:val="nil"/>
              <w:right w:val="single" w:sz="4" w:space="0" w:color="auto"/>
            </w:tcBorders>
            <w:shd w:val="clear" w:color="auto" w:fill="FFFFFF"/>
            <w:hideMark/>
          </w:tcPr>
          <w:p w14:paraId="07DA790B"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Overfølsomhed</w:t>
            </w:r>
          </w:p>
        </w:tc>
      </w:tr>
      <w:tr w:rsidR="006E77E6" w14:paraId="573FA59B" w14:textId="77777777" w:rsidTr="006E77E6">
        <w:trPr>
          <w:trHeight w:hRule="exact" w:val="639"/>
        </w:trPr>
        <w:tc>
          <w:tcPr>
            <w:tcW w:w="1428" w:type="dxa"/>
            <w:tcBorders>
              <w:top w:val="single" w:sz="4" w:space="0" w:color="auto"/>
              <w:left w:val="single" w:sz="4" w:space="0" w:color="auto"/>
              <w:bottom w:val="nil"/>
              <w:right w:val="nil"/>
            </w:tcBorders>
            <w:shd w:val="clear" w:color="auto" w:fill="FFFFFF"/>
          </w:tcPr>
          <w:p w14:paraId="4F6BD27B"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7676894E"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Ikke kendt</w:t>
            </w:r>
          </w:p>
        </w:tc>
        <w:tc>
          <w:tcPr>
            <w:tcW w:w="6520" w:type="dxa"/>
            <w:tcBorders>
              <w:top w:val="single" w:sz="4" w:space="0" w:color="auto"/>
              <w:left w:val="single" w:sz="4" w:space="0" w:color="auto"/>
              <w:bottom w:val="nil"/>
              <w:right w:val="single" w:sz="4" w:space="0" w:color="auto"/>
            </w:tcBorders>
            <w:shd w:val="clear" w:color="auto" w:fill="FFFFFF"/>
            <w:hideMark/>
          </w:tcPr>
          <w:p w14:paraId="3C7E6042" w14:textId="77777777" w:rsidR="006E77E6" w:rsidRDefault="006E77E6">
            <w:pPr>
              <w:pStyle w:val="Bodytext20"/>
              <w:shd w:val="clear" w:color="auto" w:fill="auto"/>
              <w:tabs>
                <w:tab w:val="left" w:pos="898"/>
                <w:tab w:val="left" w:pos="2285"/>
                <w:tab w:val="left" w:pos="3043"/>
              </w:tabs>
              <w:spacing w:line="240" w:lineRule="auto"/>
              <w:ind w:firstLine="0"/>
              <w:rPr>
                <w:rFonts w:ascii="Times New Roman" w:hAnsi="Times New Roman" w:cs="Times New Roman"/>
                <w:sz w:val="22"/>
                <w:szCs w:val="22"/>
              </w:rPr>
            </w:pPr>
            <w:r>
              <w:rPr>
                <w:rFonts w:ascii="Times New Roman" w:hAnsi="Times New Roman"/>
                <w:sz w:val="22"/>
              </w:rPr>
              <w:t>Anafylaktiske reaktioner (inklusive anafylaktisk chok), særligt ved intravenøs administration.</w:t>
            </w:r>
          </w:p>
        </w:tc>
      </w:tr>
      <w:tr w:rsidR="006E77E6" w14:paraId="6ED4C799" w14:textId="77777777" w:rsidTr="006E77E6">
        <w:trPr>
          <w:trHeight w:val="382"/>
        </w:trPr>
        <w:tc>
          <w:tcPr>
            <w:tcW w:w="9649" w:type="dxa"/>
            <w:gridSpan w:val="3"/>
            <w:tcBorders>
              <w:top w:val="single" w:sz="4" w:space="0" w:color="auto"/>
              <w:left w:val="single" w:sz="4" w:space="0" w:color="auto"/>
              <w:bottom w:val="nil"/>
              <w:right w:val="single" w:sz="4" w:space="0" w:color="auto"/>
            </w:tcBorders>
            <w:shd w:val="clear" w:color="auto" w:fill="FFFFFF"/>
            <w:hideMark/>
          </w:tcPr>
          <w:p w14:paraId="3FC11F26"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Style w:val="Bodytext2Bold"/>
                <w:rFonts w:ascii="Times New Roman" w:hAnsi="Times New Roman"/>
                <w:sz w:val="22"/>
              </w:rPr>
              <w:t>Nervesystemet</w:t>
            </w:r>
          </w:p>
        </w:tc>
      </w:tr>
      <w:tr w:rsidR="006E77E6" w14:paraId="72004871" w14:textId="77777777" w:rsidTr="006E77E6">
        <w:trPr>
          <w:trHeight w:hRule="exact" w:val="566"/>
        </w:trPr>
        <w:tc>
          <w:tcPr>
            <w:tcW w:w="1428" w:type="dxa"/>
            <w:tcBorders>
              <w:top w:val="single" w:sz="4" w:space="0" w:color="auto"/>
              <w:left w:val="single" w:sz="4" w:space="0" w:color="auto"/>
              <w:bottom w:val="nil"/>
              <w:right w:val="nil"/>
            </w:tcBorders>
            <w:shd w:val="clear" w:color="auto" w:fill="FFFFFF"/>
          </w:tcPr>
          <w:p w14:paraId="73FA2DC4"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tcPr>
          <w:p w14:paraId="5FBABBB3"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Meget almindelig</w:t>
            </w:r>
          </w:p>
          <w:p w14:paraId="19BFB9D7"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p>
        </w:tc>
        <w:tc>
          <w:tcPr>
            <w:tcW w:w="6520" w:type="dxa"/>
            <w:tcBorders>
              <w:top w:val="single" w:sz="4" w:space="0" w:color="auto"/>
              <w:left w:val="single" w:sz="4" w:space="0" w:color="auto"/>
              <w:bottom w:val="nil"/>
              <w:right w:val="single" w:sz="4" w:space="0" w:color="auto"/>
            </w:tcBorders>
            <w:shd w:val="clear" w:color="auto" w:fill="FFFFFF"/>
            <w:hideMark/>
          </w:tcPr>
          <w:p w14:paraId="6B493196"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Somnolens</w:t>
            </w:r>
          </w:p>
        </w:tc>
      </w:tr>
      <w:tr w:rsidR="006E77E6" w14:paraId="028298CE" w14:textId="77777777" w:rsidTr="006E77E6">
        <w:trPr>
          <w:trHeight w:hRule="exact" w:val="888"/>
        </w:trPr>
        <w:tc>
          <w:tcPr>
            <w:tcW w:w="1428" w:type="dxa"/>
            <w:tcBorders>
              <w:top w:val="single" w:sz="4" w:space="0" w:color="auto"/>
              <w:left w:val="single" w:sz="4" w:space="0" w:color="auto"/>
              <w:bottom w:val="nil"/>
              <w:right w:val="nil"/>
            </w:tcBorders>
            <w:shd w:val="clear" w:color="auto" w:fill="FFFFFF"/>
          </w:tcPr>
          <w:p w14:paraId="0FE8081F"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538C447C"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Almindelig</w:t>
            </w:r>
          </w:p>
        </w:tc>
        <w:tc>
          <w:tcPr>
            <w:tcW w:w="6520" w:type="dxa"/>
            <w:tcBorders>
              <w:top w:val="single" w:sz="4" w:space="0" w:color="auto"/>
              <w:left w:val="single" w:sz="4" w:space="0" w:color="auto"/>
              <w:bottom w:val="nil"/>
              <w:right w:val="single" w:sz="4" w:space="0" w:color="auto"/>
            </w:tcBorders>
            <w:shd w:val="clear" w:color="auto" w:fill="FFFFFF"/>
            <w:hideMark/>
          </w:tcPr>
          <w:p w14:paraId="472C1DDE"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Ekstrapyramidale forstyrrelser (særligt hos børn og unge og/eller når den anbefalede dosis overskrides, selv efter indtagelse af en enkelt dosis af lægemidlet) (se pkt. 4.4), parkinsonisme, akatisi</w:t>
            </w:r>
          </w:p>
        </w:tc>
      </w:tr>
      <w:tr w:rsidR="006E77E6" w14:paraId="14CFEABA" w14:textId="77777777" w:rsidTr="006E77E6">
        <w:trPr>
          <w:trHeight w:hRule="exact" w:val="561"/>
        </w:trPr>
        <w:tc>
          <w:tcPr>
            <w:tcW w:w="1428" w:type="dxa"/>
            <w:tcBorders>
              <w:top w:val="single" w:sz="4" w:space="0" w:color="auto"/>
              <w:left w:val="single" w:sz="4" w:space="0" w:color="auto"/>
              <w:bottom w:val="nil"/>
              <w:right w:val="nil"/>
            </w:tcBorders>
            <w:shd w:val="clear" w:color="auto" w:fill="FFFFFF"/>
          </w:tcPr>
          <w:p w14:paraId="672CD16E"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3D6B4474"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Ikke almindelig</w:t>
            </w:r>
          </w:p>
        </w:tc>
        <w:tc>
          <w:tcPr>
            <w:tcW w:w="6520" w:type="dxa"/>
            <w:tcBorders>
              <w:top w:val="single" w:sz="4" w:space="0" w:color="auto"/>
              <w:left w:val="single" w:sz="4" w:space="0" w:color="auto"/>
              <w:bottom w:val="nil"/>
              <w:right w:val="single" w:sz="4" w:space="0" w:color="auto"/>
            </w:tcBorders>
            <w:shd w:val="clear" w:color="auto" w:fill="FFFFFF"/>
            <w:hideMark/>
          </w:tcPr>
          <w:p w14:paraId="572DD84D"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Dystoni (herunder synsforstyrrelse og okulogyr krise), dyskinesi, nedsat bevidsthedsniveau.</w:t>
            </w:r>
          </w:p>
        </w:tc>
      </w:tr>
      <w:tr w:rsidR="006E77E6" w14:paraId="487EDE04" w14:textId="77777777" w:rsidTr="006E77E6">
        <w:trPr>
          <w:trHeight w:hRule="exact" w:val="350"/>
        </w:trPr>
        <w:tc>
          <w:tcPr>
            <w:tcW w:w="1428" w:type="dxa"/>
            <w:tcBorders>
              <w:top w:val="single" w:sz="4" w:space="0" w:color="auto"/>
              <w:left w:val="single" w:sz="4" w:space="0" w:color="auto"/>
              <w:bottom w:val="nil"/>
              <w:right w:val="nil"/>
            </w:tcBorders>
            <w:shd w:val="clear" w:color="auto" w:fill="FFFFFF"/>
          </w:tcPr>
          <w:p w14:paraId="076C9281"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6B3D036D"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Sjælden</w:t>
            </w:r>
          </w:p>
        </w:tc>
        <w:tc>
          <w:tcPr>
            <w:tcW w:w="6520" w:type="dxa"/>
            <w:tcBorders>
              <w:top w:val="single" w:sz="4" w:space="0" w:color="auto"/>
              <w:left w:val="single" w:sz="4" w:space="0" w:color="auto"/>
              <w:bottom w:val="nil"/>
              <w:right w:val="single" w:sz="4" w:space="0" w:color="auto"/>
            </w:tcBorders>
            <w:shd w:val="clear" w:color="auto" w:fill="FFFFFF"/>
            <w:hideMark/>
          </w:tcPr>
          <w:p w14:paraId="1EB95F04"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Konvultion, særligt hos epilepsipatienter.</w:t>
            </w:r>
          </w:p>
        </w:tc>
      </w:tr>
      <w:tr w:rsidR="006E77E6" w14:paraId="7862FB5F" w14:textId="77777777" w:rsidTr="006E77E6">
        <w:trPr>
          <w:trHeight w:hRule="exact" w:val="917"/>
        </w:trPr>
        <w:tc>
          <w:tcPr>
            <w:tcW w:w="1428" w:type="dxa"/>
            <w:tcBorders>
              <w:top w:val="single" w:sz="4" w:space="0" w:color="auto"/>
              <w:left w:val="single" w:sz="4" w:space="0" w:color="auto"/>
              <w:bottom w:val="nil"/>
              <w:right w:val="nil"/>
            </w:tcBorders>
            <w:shd w:val="clear" w:color="auto" w:fill="FFFFFF"/>
          </w:tcPr>
          <w:p w14:paraId="461816D2"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25304830"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Ikke kendt</w:t>
            </w:r>
          </w:p>
        </w:tc>
        <w:tc>
          <w:tcPr>
            <w:tcW w:w="6520" w:type="dxa"/>
            <w:tcBorders>
              <w:top w:val="single" w:sz="4" w:space="0" w:color="auto"/>
              <w:left w:val="single" w:sz="4" w:space="0" w:color="auto"/>
              <w:bottom w:val="nil"/>
              <w:right w:val="single" w:sz="4" w:space="0" w:color="auto"/>
            </w:tcBorders>
            <w:shd w:val="clear" w:color="auto" w:fill="FFFFFF"/>
            <w:hideMark/>
          </w:tcPr>
          <w:p w14:paraId="484E215E"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Tardiv dyskinesi, som kan være persistent, under eller efter langvarig behandling, særligt hos ældre patienter (se pkt. 4.4), malignt neuroleptikasyndrom (se pkt. 4.4).</w:t>
            </w:r>
          </w:p>
        </w:tc>
      </w:tr>
      <w:tr w:rsidR="006E77E6" w14:paraId="5B09D3AD" w14:textId="77777777" w:rsidTr="006E77E6">
        <w:trPr>
          <w:trHeight w:val="399"/>
        </w:trPr>
        <w:tc>
          <w:tcPr>
            <w:tcW w:w="9649" w:type="dxa"/>
            <w:gridSpan w:val="3"/>
            <w:tcBorders>
              <w:top w:val="single" w:sz="4" w:space="0" w:color="auto"/>
              <w:left w:val="single" w:sz="4" w:space="0" w:color="auto"/>
              <w:bottom w:val="nil"/>
              <w:right w:val="single" w:sz="4" w:space="0" w:color="auto"/>
            </w:tcBorders>
            <w:shd w:val="clear" w:color="auto" w:fill="FFFFFF"/>
            <w:hideMark/>
          </w:tcPr>
          <w:p w14:paraId="08525EC1"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Style w:val="Bodytext2Bold"/>
                <w:rFonts w:ascii="Times New Roman" w:hAnsi="Times New Roman"/>
                <w:sz w:val="22"/>
              </w:rPr>
              <w:t>Psykiske forstyrrelser</w:t>
            </w:r>
          </w:p>
        </w:tc>
      </w:tr>
      <w:tr w:rsidR="006E77E6" w14:paraId="664C8958" w14:textId="77777777" w:rsidTr="006E77E6">
        <w:trPr>
          <w:trHeight w:hRule="exact" w:val="346"/>
        </w:trPr>
        <w:tc>
          <w:tcPr>
            <w:tcW w:w="1428" w:type="dxa"/>
            <w:tcBorders>
              <w:top w:val="single" w:sz="4" w:space="0" w:color="auto"/>
              <w:left w:val="single" w:sz="4" w:space="0" w:color="auto"/>
              <w:bottom w:val="nil"/>
              <w:right w:val="nil"/>
            </w:tcBorders>
            <w:shd w:val="clear" w:color="auto" w:fill="FFFFFF"/>
          </w:tcPr>
          <w:p w14:paraId="230A6B37"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61BFEEE0"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Almindelig</w:t>
            </w:r>
          </w:p>
        </w:tc>
        <w:tc>
          <w:tcPr>
            <w:tcW w:w="6520" w:type="dxa"/>
            <w:tcBorders>
              <w:top w:val="single" w:sz="4" w:space="0" w:color="auto"/>
              <w:left w:val="single" w:sz="4" w:space="0" w:color="auto"/>
              <w:bottom w:val="nil"/>
              <w:right w:val="single" w:sz="4" w:space="0" w:color="auto"/>
            </w:tcBorders>
            <w:shd w:val="clear" w:color="auto" w:fill="FFFFFF"/>
            <w:hideMark/>
          </w:tcPr>
          <w:p w14:paraId="1B3BF5AC"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Depression med lette eller svære symptomer, herunder selvmordstanker</w:t>
            </w:r>
          </w:p>
        </w:tc>
      </w:tr>
      <w:tr w:rsidR="006E77E6" w14:paraId="4C9F3261" w14:textId="77777777" w:rsidTr="006E77E6">
        <w:trPr>
          <w:trHeight w:hRule="exact" w:val="388"/>
        </w:trPr>
        <w:tc>
          <w:tcPr>
            <w:tcW w:w="1428" w:type="dxa"/>
            <w:tcBorders>
              <w:top w:val="single" w:sz="4" w:space="0" w:color="auto"/>
              <w:left w:val="single" w:sz="4" w:space="0" w:color="auto"/>
              <w:bottom w:val="nil"/>
              <w:right w:val="nil"/>
            </w:tcBorders>
            <w:shd w:val="clear" w:color="auto" w:fill="FFFFFF"/>
          </w:tcPr>
          <w:p w14:paraId="213DE836"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5F022107"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Ikke almindelig</w:t>
            </w:r>
          </w:p>
        </w:tc>
        <w:tc>
          <w:tcPr>
            <w:tcW w:w="6520" w:type="dxa"/>
            <w:tcBorders>
              <w:top w:val="single" w:sz="4" w:space="0" w:color="auto"/>
              <w:left w:val="single" w:sz="4" w:space="0" w:color="auto"/>
              <w:bottom w:val="nil"/>
              <w:right w:val="single" w:sz="4" w:space="0" w:color="auto"/>
            </w:tcBorders>
            <w:shd w:val="clear" w:color="auto" w:fill="FFFFFF"/>
            <w:hideMark/>
          </w:tcPr>
          <w:p w14:paraId="6FB9F955"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Hallucinationer</w:t>
            </w:r>
          </w:p>
        </w:tc>
      </w:tr>
      <w:tr w:rsidR="006E77E6" w14:paraId="1E625286" w14:textId="77777777" w:rsidTr="006E77E6">
        <w:trPr>
          <w:trHeight w:hRule="exact" w:val="433"/>
        </w:trPr>
        <w:tc>
          <w:tcPr>
            <w:tcW w:w="1428" w:type="dxa"/>
            <w:tcBorders>
              <w:top w:val="single" w:sz="4" w:space="0" w:color="auto"/>
              <w:left w:val="single" w:sz="4" w:space="0" w:color="auto"/>
              <w:bottom w:val="nil"/>
              <w:right w:val="nil"/>
            </w:tcBorders>
            <w:shd w:val="clear" w:color="auto" w:fill="FFFFFF"/>
          </w:tcPr>
          <w:p w14:paraId="125CA0DD"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0693E7CD"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Sjælden</w:t>
            </w:r>
          </w:p>
        </w:tc>
        <w:tc>
          <w:tcPr>
            <w:tcW w:w="6520" w:type="dxa"/>
            <w:tcBorders>
              <w:top w:val="single" w:sz="4" w:space="0" w:color="auto"/>
              <w:left w:val="single" w:sz="4" w:space="0" w:color="auto"/>
              <w:bottom w:val="nil"/>
              <w:right w:val="single" w:sz="4" w:space="0" w:color="auto"/>
            </w:tcBorders>
            <w:shd w:val="clear" w:color="auto" w:fill="FFFFFF"/>
            <w:hideMark/>
          </w:tcPr>
          <w:p w14:paraId="733048B6"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Konfusionstilstand</w:t>
            </w:r>
          </w:p>
        </w:tc>
      </w:tr>
      <w:tr w:rsidR="006E77E6" w14:paraId="113B3FD3" w14:textId="77777777" w:rsidTr="006E77E6">
        <w:trPr>
          <w:trHeight w:hRule="exact" w:val="426"/>
        </w:trPr>
        <w:tc>
          <w:tcPr>
            <w:tcW w:w="1428" w:type="dxa"/>
            <w:tcBorders>
              <w:top w:val="single" w:sz="4" w:space="0" w:color="auto"/>
              <w:left w:val="single" w:sz="4" w:space="0" w:color="auto"/>
              <w:bottom w:val="nil"/>
              <w:right w:val="nil"/>
            </w:tcBorders>
            <w:shd w:val="clear" w:color="auto" w:fill="FFFFFF"/>
          </w:tcPr>
          <w:p w14:paraId="3D04A171"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75B23FD1"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Ikke kendt</w:t>
            </w:r>
          </w:p>
        </w:tc>
        <w:tc>
          <w:tcPr>
            <w:tcW w:w="6520" w:type="dxa"/>
            <w:tcBorders>
              <w:top w:val="single" w:sz="4" w:space="0" w:color="auto"/>
              <w:left w:val="single" w:sz="4" w:space="0" w:color="auto"/>
              <w:bottom w:val="nil"/>
              <w:right w:val="single" w:sz="4" w:space="0" w:color="auto"/>
            </w:tcBorders>
            <w:shd w:val="clear" w:color="auto" w:fill="FFFFFF"/>
            <w:hideMark/>
          </w:tcPr>
          <w:p w14:paraId="524737F9"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Selvmordstanker</w:t>
            </w:r>
          </w:p>
        </w:tc>
      </w:tr>
      <w:tr w:rsidR="006E77E6" w14:paraId="54E05ED7" w14:textId="77777777" w:rsidTr="006E77E6">
        <w:trPr>
          <w:trHeight w:val="355"/>
        </w:trPr>
        <w:tc>
          <w:tcPr>
            <w:tcW w:w="9649" w:type="dxa"/>
            <w:gridSpan w:val="3"/>
            <w:tcBorders>
              <w:top w:val="single" w:sz="4" w:space="0" w:color="auto"/>
              <w:left w:val="single" w:sz="4" w:space="0" w:color="auto"/>
              <w:bottom w:val="nil"/>
              <w:right w:val="single" w:sz="4" w:space="0" w:color="auto"/>
            </w:tcBorders>
            <w:shd w:val="clear" w:color="auto" w:fill="FFFFFF"/>
            <w:hideMark/>
          </w:tcPr>
          <w:p w14:paraId="290C3880"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Style w:val="Bodytext2Bold"/>
                <w:rFonts w:ascii="Times New Roman" w:hAnsi="Times New Roman"/>
                <w:sz w:val="22"/>
              </w:rPr>
              <w:t>Vaskulære sygdomme</w:t>
            </w:r>
          </w:p>
        </w:tc>
      </w:tr>
      <w:tr w:rsidR="006E77E6" w14:paraId="0C152359" w14:textId="77777777" w:rsidTr="006E77E6">
        <w:trPr>
          <w:trHeight w:hRule="exact" w:val="320"/>
        </w:trPr>
        <w:tc>
          <w:tcPr>
            <w:tcW w:w="1428" w:type="dxa"/>
            <w:tcBorders>
              <w:top w:val="single" w:sz="4" w:space="0" w:color="auto"/>
              <w:left w:val="single" w:sz="4" w:space="0" w:color="auto"/>
              <w:bottom w:val="nil"/>
              <w:right w:val="nil"/>
            </w:tcBorders>
            <w:shd w:val="clear" w:color="auto" w:fill="FFFFFF"/>
          </w:tcPr>
          <w:p w14:paraId="3EA33DDD" w14:textId="77777777" w:rsidR="006E77E6" w:rsidRDefault="006E77E6">
            <w:pPr>
              <w:rPr>
                <w:sz w:val="22"/>
                <w:szCs w:val="22"/>
              </w:rPr>
            </w:pPr>
          </w:p>
        </w:tc>
        <w:tc>
          <w:tcPr>
            <w:tcW w:w="1701" w:type="dxa"/>
            <w:tcBorders>
              <w:top w:val="single" w:sz="4" w:space="0" w:color="auto"/>
              <w:left w:val="single" w:sz="4" w:space="0" w:color="auto"/>
              <w:bottom w:val="nil"/>
              <w:right w:val="nil"/>
            </w:tcBorders>
            <w:shd w:val="clear" w:color="auto" w:fill="FFFFFF"/>
            <w:hideMark/>
          </w:tcPr>
          <w:p w14:paraId="1789265F"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Almindelig</w:t>
            </w:r>
          </w:p>
        </w:tc>
        <w:tc>
          <w:tcPr>
            <w:tcW w:w="6520" w:type="dxa"/>
            <w:tcBorders>
              <w:top w:val="single" w:sz="4" w:space="0" w:color="auto"/>
              <w:left w:val="single" w:sz="4" w:space="0" w:color="auto"/>
              <w:bottom w:val="nil"/>
              <w:right w:val="single" w:sz="4" w:space="0" w:color="auto"/>
            </w:tcBorders>
            <w:shd w:val="clear" w:color="auto" w:fill="FFFFFF"/>
            <w:hideMark/>
          </w:tcPr>
          <w:p w14:paraId="0391D13F"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Hypotension, særligt ved intravenøs administration</w:t>
            </w:r>
          </w:p>
        </w:tc>
      </w:tr>
      <w:tr w:rsidR="006E77E6" w14:paraId="406DCF2F" w14:textId="77777777" w:rsidTr="006E77E6">
        <w:trPr>
          <w:trHeight w:hRule="exact" w:val="342"/>
        </w:trPr>
        <w:tc>
          <w:tcPr>
            <w:tcW w:w="1428" w:type="dxa"/>
            <w:tcBorders>
              <w:top w:val="single" w:sz="4" w:space="0" w:color="auto"/>
              <w:left w:val="single" w:sz="4" w:space="0" w:color="auto"/>
              <w:bottom w:val="single" w:sz="4" w:space="0" w:color="auto"/>
              <w:right w:val="nil"/>
            </w:tcBorders>
            <w:shd w:val="clear" w:color="auto" w:fill="FFFFFF"/>
          </w:tcPr>
          <w:p w14:paraId="21F9CF6C" w14:textId="77777777" w:rsidR="006E77E6" w:rsidRDefault="006E77E6">
            <w:pPr>
              <w:rPr>
                <w:sz w:val="22"/>
                <w:szCs w:val="22"/>
              </w:rPr>
            </w:pPr>
          </w:p>
        </w:tc>
        <w:tc>
          <w:tcPr>
            <w:tcW w:w="1701" w:type="dxa"/>
            <w:tcBorders>
              <w:top w:val="single" w:sz="4" w:space="0" w:color="auto"/>
              <w:left w:val="single" w:sz="4" w:space="0" w:color="auto"/>
              <w:bottom w:val="single" w:sz="4" w:space="0" w:color="auto"/>
              <w:right w:val="nil"/>
            </w:tcBorders>
            <w:shd w:val="clear" w:color="auto" w:fill="FFFFFF"/>
            <w:hideMark/>
          </w:tcPr>
          <w:p w14:paraId="07971DA8" w14:textId="77777777" w:rsidR="006E77E6" w:rsidRDefault="006E77E6">
            <w:pPr>
              <w:pStyle w:val="Bodytext20"/>
              <w:shd w:val="clear" w:color="auto" w:fill="auto"/>
              <w:spacing w:line="240" w:lineRule="auto"/>
              <w:ind w:firstLine="0"/>
              <w:rPr>
                <w:rFonts w:ascii="Times New Roman" w:hAnsi="Times New Roman" w:cs="Times New Roman"/>
                <w:sz w:val="22"/>
                <w:szCs w:val="22"/>
              </w:rPr>
            </w:pPr>
            <w:r>
              <w:rPr>
                <w:rFonts w:ascii="Times New Roman" w:hAnsi="Times New Roman"/>
                <w:sz w:val="22"/>
              </w:rPr>
              <w:t>Ikke kendt</w:t>
            </w:r>
          </w:p>
        </w:t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4B596B15" w14:textId="77777777" w:rsidR="006E77E6" w:rsidRDefault="006E77E6">
            <w:pPr>
              <w:pStyle w:val="Bodytext20"/>
              <w:shd w:val="clear" w:color="auto" w:fill="auto"/>
              <w:tabs>
                <w:tab w:val="left" w:pos="1747"/>
                <w:tab w:val="left" w:pos="2477"/>
                <w:tab w:val="left" w:pos="3773"/>
              </w:tabs>
              <w:spacing w:line="240" w:lineRule="auto"/>
              <w:ind w:firstLine="0"/>
              <w:rPr>
                <w:rFonts w:ascii="Times New Roman" w:hAnsi="Times New Roman" w:cs="Times New Roman"/>
                <w:sz w:val="22"/>
                <w:szCs w:val="22"/>
              </w:rPr>
            </w:pPr>
            <w:r>
              <w:rPr>
                <w:rFonts w:ascii="Times New Roman" w:hAnsi="Times New Roman"/>
                <w:sz w:val="22"/>
              </w:rPr>
              <w:t>Shock, synkope efter injektionsbrug, forbigående blodtryksstigning</w:t>
            </w:r>
          </w:p>
        </w:tc>
      </w:tr>
    </w:tbl>
    <w:p w14:paraId="4FB20DA6" w14:textId="77777777" w:rsidR="006E77E6" w:rsidRDefault="006E77E6" w:rsidP="006E77E6">
      <w:pPr>
        <w:rPr>
          <w:color w:val="000000"/>
          <w:sz w:val="22"/>
          <w:szCs w:val="22"/>
          <w:lang w:bidi="en-US"/>
        </w:rPr>
      </w:pPr>
    </w:p>
    <w:p w14:paraId="7CC26F65" w14:textId="77777777" w:rsidR="006E77E6" w:rsidRDefault="006E77E6" w:rsidP="006E77E6">
      <w:pPr>
        <w:pStyle w:val="Bodytext20"/>
        <w:shd w:val="clear" w:color="auto" w:fill="auto"/>
        <w:spacing w:line="240" w:lineRule="auto"/>
        <w:ind w:firstLine="0"/>
        <w:rPr>
          <w:rFonts w:ascii="Times New Roman" w:hAnsi="Times New Roman"/>
          <w:sz w:val="22"/>
        </w:rPr>
      </w:pPr>
      <w:r>
        <w:rPr>
          <w:rFonts w:ascii="Times New Roman" w:hAnsi="Times New Roman"/>
          <w:sz w:val="22"/>
        </w:rPr>
        <w:t>* Endokrine lidelser under langvarig behandling relateret til hyperprolaktinæmi (amenoré, galaktoré, gynækomasti).</w:t>
      </w:r>
    </w:p>
    <w:p w14:paraId="4A386A94" w14:textId="77777777" w:rsidR="006E77E6" w:rsidRPr="006E77E6" w:rsidRDefault="006E77E6" w:rsidP="006E77E6">
      <w:pPr>
        <w:pStyle w:val="Bodytext20"/>
        <w:shd w:val="clear" w:color="auto" w:fill="auto"/>
        <w:spacing w:line="240" w:lineRule="auto"/>
        <w:ind w:firstLine="0"/>
        <w:rPr>
          <w:rFonts w:ascii="Times New Roman" w:hAnsi="Times New Roman" w:cs="Times New Roman"/>
          <w:sz w:val="24"/>
          <w:szCs w:val="24"/>
        </w:rPr>
      </w:pPr>
    </w:p>
    <w:p w14:paraId="715D9764" w14:textId="77777777" w:rsidR="006E77E6" w:rsidRPr="006E77E6" w:rsidRDefault="006E77E6" w:rsidP="008477C5">
      <w:pPr>
        <w:pStyle w:val="Bodytext20"/>
        <w:shd w:val="clear" w:color="auto" w:fill="auto"/>
        <w:spacing w:line="240" w:lineRule="auto"/>
        <w:ind w:left="851" w:firstLine="0"/>
        <w:rPr>
          <w:rFonts w:ascii="Times New Roman" w:hAnsi="Times New Roman" w:cs="Times New Roman"/>
          <w:sz w:val="24"/>
          <w:szCs w:val="24"/>
        </w:rPr>
      </w:pPr>
      <w:r w:rsidRPr="006E77E6">
        <w:rPr>
          <w:rFonts w:ascii="Times New Roman" w:hAnsi="Times New Roman"/>
          <w:sz w:val="24"/>
          <w:szCs w:val="24"/>
        </w:rPr>
        <w:t>Følgende reaktioner, som undertiden er forbundet, forekommer hyppigere, når der anvendes høje doser:</w:t>
      </w:r>
    </w:p>
    <w:p w14:paraId="2E85B930" w14:textId="77777777" w:rsidR="006E77E6" w:rsidRPr="006E77E6" w:rsidRDefault="006E77E6" w:rsidP="008477C5">
      <w:pPr>
        <w:widowControl w:val="0"/>
        <w:numPr>
          <w:ilvl w:val="0"/>
          <w:numId w:val="6"/>
        </w:numPr>
        <w:tabs>
          <w:tab w:val="left" w:pos="1134"/>
        </w:tabs>
        <w:ind w:left="1134" w:hanging="283"/>
        <w:rPr>
          <w:sz w:val="24"/>
          <w:szCs w:val="24"/>
        </w:rPr>
      </w:pPr>
      <w:r w:rsidRPr="006E77E6">
        <w:rPr>
          <w:sz w:val="24"/>
          <w:szCs w:val="24"/>
        </w:rPr>
        <w:t>Ekstrapyramidale symptomer: akut dystoni og dyskinesi, parkinsonistisk syndrom, akatisi, selv efter administration af en enkelt dosis af lægemidlet, særligt hos børn og unge (se pkt. 4.4).</w:t>
      </w:r>
    </w:p>
    <w:p w14:paraId="5B1E229B" w14:textId="77777777" w:rsidR="006E77E6" w:rsidRPr="006E77E6" w:rsidRDefault="006E77E6" w:rsidP="008477C5">
      <w:pPr>
        <w:widowControl w:val="0"/>
        <w:numPr>
          <w:ilvl w:val="0"/>
          <w:numId w:val="6"/>
        </w:numPr>
        <w:tabs>
          <w:tab w:val="left" w:pos="1134"/>
        </w:tabs>
        <w:ind w:left="1134" w:hanging="283"/>
        <w:rPr>
          <w:sz w:val="24"/>
          <w:szCs w:val="24"/>
        </w:rPr>
      </w:pPr>
      <w:r w:rsidRPr="006E77E6">
        <w:rPr>
          <w:sz w:val="24"/>
          <w:szCs w:val="24"/>
        </w:rPr>
        <w:lastRenderedPageBreak/>
        <w:t>Døsighed, nedsat bevidsthedsniveau, forvirring, hallucinationer.</w:t>
      </w:r>
    </w:p>
    <w:p w14:paraId="2E2268AE" w14:textId="77777777" w:rsidR="006E77E6" w:rsidRPr="006E77E6" w:rsidRDefault="006E77E6" w:rsidP="008477C5">
      <w:pPr>
        <w:tabs>
          <w:tab w:val="left" w:pos="567"/>
        </w:tabs>
        <w:ind w:left="851"/>
        <w:rPr>
          <w:sz w:val="24"/>
          <w:szCs w:val="24"/>
        </w:rPr>
      </w:pPr>
    </w:p>
    <w:p w14:paraId="7916A2EA" w14:textId="77777777" w:rsidR="006E77E6" w:rsidRPr="006E77E6" w:rsidRDefault="006E77E6" w:rsidP="008477C5">
      <w:pPr>
        <w:tabs>
          <w:tab w:val="left" w:pos="567"/>
        </w:tabs>
        <w:autoSpaceDE w:val="0"/>
        <w:autoSpaceDN w:val="0"/>
        <w:ind w:left="851"/>
        <w:rPr>
          <w:rFonts w:eastAsia="Verdana"/>
          <w:color w:val="000000"/>
          <w:sz w:val="24"/>
          <w:szCs w:val="24"/>
          <w:u w:val="single"/>
          <w:lang w:bidi="en-US"/>
        </w:rPr>
      </w:pPr>
      <w:r w:rsidRPr="006E77E6">
        <w:rPr>
          <w:sz w:val="24"/>
          <w:szCs w:val="24"/>
          <w:u w:val="single"/>
        </w:rPr>
        <w:t>Indberetning af formodede bivirkninger</w:t>
      </w:r>
    </w:p>
    <w:p w14:paraId="7474E4B0" w14:textId="7841721D" w:rsidR="006E77E6" w:rsidRPr="006E77E6" w:rsidRDefault="006E77E6" w:rsidP="008477C5">
      <w:pPr>
        <w:tabs>
          <w:tab w:val="left" w:pos="567"/>
        </w:tabs>
        <w:ind w:left="851"/>
        <w:rPr>
          <w:sz w:val="24"/>
          <w:szCs w:val="24"/>
        </w:rPr>
      </w:pPr>
      <w:r w:rsidRPr="006E77E6">
        <w:rPr>
          <w:sz w:val="24"/>
          <w:szCs w:val="24"/>
        </w:rPr>
        <w:t>Når</w:t>
      </w:r>
      <w:r w:rsidRPr="006E77E6">
        <w:rPr>
          <w:spacing w:val="-2"/>
          <w:sz w:val="24"/>
          <w:szCs w:val="24"/>
        </w:rPr>
        <w:t xml:space="preserve"> </w:t>
      </w:r>
      <w:r w:rsidRPr="006E77E6">
        <w:rPr>
          <w:sz w:val="24"/>
          <w:szCs w:val="24"/>
        </w:rPr>
        <w:t>lægemidlet</w:t>
      </w:r>
      <w:r w:rsidRPr="006E77E6">
        <w:rPr>
          <w:spacing w:val="-5"/>
          <w:sz w:val="24"/>
          <w:szCs w:val="24"/>
        </w:rPr>
        <w:t xml:space="preserve"> </w:t>
      </w:r>
      <w:r w:rsidRPr="006E77E6">
        <w:rPr>
          <w:sz w:val="24"/>
          <w:szCs w:val="24"/>
        </w:rPr>
        <w:t>er</w:t>
      </w:r>
      <w:r w:rsidRPr="006E77E6">
        <w:rPr>
          <w:spacing w:val="-2"/>
          <w:sz w:val="24"/>
          <w:szCs w:val="24"/>
        </w:rPr>
        <w:t xml:space="preserve"> </w:t>
      </w:r>
      <w:r w:rsidRPr="006E77E6">
        <w:rPr>
          <w:sz w:val="24"/>
          <w:szCs w:val="24"/>
        </w:rPr>
        <w:t>godkendt,</w:t>
      </w:r>
      <w:r w:rsidRPr="006E77E6">
        <w:rPr>
          <w:spacing w:val="-3"/>
          <w:sz w:val="24"/>
          <w:szCs w:val="24"/>
        </w:rPr>
        <w:t xml:space="preserve"> </w:t>
      </w:r>
      <w:r w:rsidRPr="006E77E6">
        <w:rPr>
          <w:sz w:val="24"/>
          <w:szCs w:val="24"/>
        </w:rPr>
        <w:t>er</w:t>
      </w:r>
      <w:r w:rsidRPr="006E77E6">
        <w:rPr>
          <w:spacing w:val="-4"/>
          <w:sz w:val="24"/>
          <w:szCs w:val="24"/>
        </w:rPr>
        <w:t xml:space="preserve"> </w:t>
      </w:r>
      <w:r w:rsidRPr="006E77E6">
        <w:rPr>
          <w:sz w:val="24"/>
          <w:szCs w:val="24"/>
        </w:rPr>
        <w:t>indberetning</w:t>
      </w:r>
      <w:r w:rsidRPr="006E77E6">
        <w:rPr>
          <w:spacing w:val="-3"/>
          <w:sz w:val="24"/>
          <w:szCs w:val="24"/>
        </w:rPr>
        <w:t xml:space="preserve"> </w:t>
      </w:r>
      <w:r w:rsidRPr="006E77E6">
        <w:rPr>
          <w:sz w:val="24"/>
          <w:szCs w:val="24"/>
        </w:rPr>
        <w:t>af</w:t>
      </w:r>
      <w:r w:rsidRPr="006E77E6">
        <w:rPr>
          <w:spacing w:val="-5"/>
          <w:sz w:val="24"/>
          <w:szCs w:val="24"/>
        </w:rPr>
        <w:t xml:space="preserve"> </w:t>
      </w:r>
      <w:r w:rsidRPr="006E77E6">
        <w:rPr>
          <w:sz w:val="24"/>
          <w:szCs w:val="24"/>
        </w:rPr>
        <w:t>formodede</w:t>
      </w:r>
      <w:r w:rsidRPr="006E77E6">
        <w:rPr>
          <w:spacing w:val="-3"/>
          <w:sz w:val="24"/>
          <w:szCs w:val="24"/>
        </w:rPr>
        <w:t xml:space="preserve"> </w:t>
      </w:r>
      <w:r w:rsidRPr="006E77E6">
        <w:rPr>
          <w:sz w:val="24"/>
          <w:szCs w:val="24"/>
        </w:rPr>
        <w:t>bivirkninger</w:t>
      </w:r>
      <w:r w:rsidRPr="006E77E6">
        <w:rPr>
          <w:spacing w:val="-2"/>
          <w:sz w:val="24"/>
          <w:szCs w:val="24"/>
        </w:rPr>
        <w:t xml:space="preserve"> </w:t>
      </w:r>
      <w:r w:rsidRPr="006E77E6">
        <w:rPr>
          <w:sz w:val="24"/>
          <w:szCs w:val="24"/>
        </w:rPr>
        <w:t>vigtig.</w:t>
      </w:r>
      <w:r w:rsidRPr="006E77E6">
        <w:rPr>
          <w:spacing w:val="-3"/>
          <w:sz w:val="24"/>
          <w:szCs w:val="24"/>
        </w:rPr>
        <w:t xml:space="preserve"> </w:t>
      </w:r>
      <w:r w:rsidRPr="006E77E6">
        <w:rPr>
          <w:sz w:val="24"/>
          <w:szCs w:val="24"/>
        </w:rPr>
        <w:t>Det</w:t>
      </w:r>
      <w:r w:rsidRPr="006E77E6">
        <w:rPr>
          <w:spacing w:val="-4"/>
          <w:sz w:val="24"/>
          <w:szCs w:val="24"/>
        </w:rPr>
        <w:t xml:space="preserve"> </w:t>
      </w:r>
      <w:r w:rsidRPr="006E77E6">
        <w:rPr>
          <w:sz w:val="24"/>
          <w:szCs w:val="24"/>
        </w:rPr>
        <w:t>muliggør</w:t>
      </w:r>
      <w:r w:rsidRPr="006E77E6">
        <w:rPr>
          <w:spacing w:val="-3"/>
          <w:sz w:val="24"/>
          <w:szCs w:val="24"/>
        </w:rPr>
        <w:t xml:space="preserve"> </w:t>
      </w:r>
      <w:r w:rsidRPr="006E77E6">
        <w:rPr>
          <w:sz w:val="24"/>
          <w:szCs w:val="24"/>
        </w:rPr>
        <w:t>løbende overvågning af benefit/risk-forholdet for lægemidlet. Sundhedspersoner anmodes om at indberette alle formodede bivirkninger via</w:t>
      </w:r>
      <w:r>
        <w:rPr>
          <w:sz w:val="24"/>
          <w:szCs w:val="24"/>
        </w:rPr>
        <w:t>:</w:t>
      </w:r>
      <w:r w:rsidRPr="006E77E6">
        <w:rPr>
          <w:sz w:val="24"/>
          <w:szCs w:val="24"/>
        </w:rPr>
        <w:t xml:space="preserve"> </w:t>
      </w:r>
    </w:p>
    <w:p w14:paraId="4376338A" w14:textId="77777777" w:rsidR="006E77E6" w:rsidRPr="006E77E6" w:rsidRDefault="006E77E6" w:rsidP="008477C5">
      <w:pPr>
        <w:tabs>
          <w:tab w:val="left" w:pos="567"/>
        </w:tabs>
        <w:ind w:left="851"/>
        <w:rPr>
          <w:sz w:val="24"/>
          <w:szCs w:val="24"/>
        </w:rPr>
      </w:pPr>
    </w:p>
    <w:p w14:paraId="28A41BDC" w14:textId="77777777" w:rsidR="006E77E6" w:rsidRPr="006E77E6" w:rsidRDefault="006E77E6" w:rsidP="008477C5">
      <w:pPr>
        <w:tabs>
          <w:tab w:val="left" w:pos="567"/>
        </w:tabs>
        <w:ind w:left="851"/>
        <w:rPr>
          <w:rFonts w:eastAsia="Calibri"/>
          <w:color w:val="000000"/>
          <w:sz w:val="24"/>
          <w:szCs w:val="24"/>
          <w:lang w:eastAsia="zh-CN"/>
        </w:rPr>
      </w:pPr>
      <w:r w:rsidRPr="006E77E6">
        <w:rPr>
          <w:sz w:val="24"/>
          <w:szCs w:val="24"/>
        </w:rPr>
        <w:t>Lægemiddelstyrelsen</w:t>
      </w:r>
    </w:p>
    <w:p w14:paraId="3ACDA1E3" w14:textId="77777777" w:rsidR="006E77E6" w:rsidRPr="006E77E6" w:rsidRDefault="006E77E6" w:rsidP="008477C5">
      <w:pPr>
        <w:tabs>
          <w:tab w:val="left" w:pos="567"/>
        </w:tabs>
        <w:ind w:left="851"/>
        <w:rPr>
          <w:rFonts w:eastAsia="Calibri"/>
          <w:noProof/>
          <w:sz w:val="24"/>
          <w:szCs w:val="24"/>
          <w:lang w:eastAsia="zh-CN"/>
        </w:rPr>
      </w:pPr>
      <w:r w:rsidRPr="006E77E6">
        <w:rPr>
          <w:rFonts w:eastAsia="Calibri"/>
          <w:sz w:val="24"/>
          <w:szCs w:val="24"/>
          <w:lang w:eastAsia="zh-CN"/>
        </w:rPr>
        <w:t>Axel Heides Gade 1</w:t>
      </w:r>
    </w:p>
    <w:p w14:paraId="7DC84891" w14:textId="77777777" w:rsidR="006E77E6" w:rsidRPr="006E77E6" w:rsidRDefault="006E77E6" w:rsidP="008477C5">
      <w:pPr>
        <w:tabs>
          <w:tab w:val="left" w:pos="567"/>
        </w:tabs>
        <w:ind w:left="851"/>
        <w:rPr>
          <w:rFonts w:eastAsia="Calibri"/>
          <w:noProof/>
          <w:sz w:val="24"/>
          <w:szCs w:val="24"/>
          <w:lang w:eastAsia="zh-CN"/>
        </w:rPr>
      </w:pPr>
      <w:r w:rsidRPr="006E77E6">
        <w:rPr>
          <w:rFonts w:eastAsia="Calibri"/>
          <w:noProof/>
          <w:sz w:val="24"/>
          <w:szCs w:val="24"/>
          <w:lang w:eastAsia="zh-CN"/>
        </w:rPr>
        <w:t xml:space="preserve">DK-2300 </w:t>
      </w:r>
      <w:r w:rsidRPr="006E77E6">
        <w:rPr>
          <w:rFonts w:eastAsia="Calibri"/>
          <w:sz w:val="24"/>
          <w:szCs w:val="24"/>
          <w:lang w:eastAsia="zh-CN"/>
        </w:rPr>
        <w:t>København S</w:t>
      </w:r>
    </w:p>
    <w:p w14:paraId="0794F158" w14:textId="77777777" w:rsidR="006E77E6" w:rsidRPr="006E77E6" w:rsidRDefault="006E77E6" w:rsidP="008477C5">
      <w:pPr>
        <w:tabs>
          <w:tab w:val="left" w:pos="567"/>
        </w:tabs>
        <w:ind w:left="851"/>
        <w:rPr>
          <w:rFonts w:eastAsia="Calibri"/>
          <w:noProof/>
          <w:sz w:val="24"/>
          <w:szCs w:val="24"/>
          <w:lang w:eastAsia="zh-CN"/>
        </w:rPr>
      </w:pPr>
      <w:r w:rsidRPr="006E77E6">
        <w:rPr>
          <w:rFonts w:eastAsia="Calibri"/>
          <w:sz w:val="24"/>
          <w:szCs w:val="24"/>
          <w:lang w:eastAsia="zh-CN"/>
        </w:rPr>
        <w:t>Websted</w:t>
      </w:r>
      <w:r w:rsidRPr="006E77E6">
        <w:rPr>
          <w:rFonts w:eastAsia="Calibri"/>
          <w:noProof/>
          <w:sz w:val="24"/>
          <w:szCs w:val="24"/>
          <w:lang w:eastAsia="zh-CN"/>
        </w:rPr>
        <w:t xml:space="preserve">: </w:t>
      </w:r>
      <w:hyperlink r:id="rId8" w:history="1">
        <w:r w:rsidRPr="006E77E6">
          <w:rPr>
            <w:rStyle w:val="Hyperlink"/>
            <w:rFonts w:eastAsia="Calibri"/>
            <w:noProof/>
            <w:sz w:val="24"/>
            <w:szCs w:val="24"/>
            <w:lang w:eastAsia="zh-CN"/>
          </w:rPr>
          <w:t>www.meldenbivirkning.dk</w:t>
        </w:r>
      </w:hyperlink>
    </w:p>
    <w:p w14:paraId="61928FE3" w14:textId="77777777" w:rsidR="009260DE" w:rsidRPr="00A10294" w:rsidRDefault="009260DE" w:rsidP="008477C5">
      <w:pPr>
        <w:tabs>
          <w:tab w:val="left" w:pos="851"/>
        </w:tabs>
        <w:ind w:left="851"/>
        <w:rPr>
          <w:sz w:val="24"/>
          <w:szCs w:val="24"/>
        </w:rPr>
      </w:pPr>
    </w:p>
    <w:p w14:paraId="4EA6E409"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BB82E9E" w14:textId="77777777" w:rsidR="008D3330" w:rsidRDefault="008D3330" w:rsidP="008D3330">
      <w:pPr>
        <w:tabs>
          <w:tab w:val="left" w:pos="851"/>
        </w:tabs>
        <w:ind w:left="851"/>
        <w:rPr>
          <w:sz w:val="24"/>
          <w:szCs w:val="24"/>
          <w:u w:val="single"/>
        </w:rPr>
      </w:pPr>
    </w:p>
    <w:p w14:paraId="78FE47BA" w14:textId="7C01CA3B" w:rsidR="008D3330" w:rsidRPr="008D3330" w:rsidRDefault="008D3330" w:rsidP="008D3330">
      <w:pPr>
        <w:tabs>
          <w:tab w:val="left" w:pos="851"/>
        </w:tabs>
        <w:ind w:left="851"/>
        <w:rPr>
          <w:sz w:val="24"/>
          <w:szCs w:val="24"/>
          <w:u w:val="single"/>
        </w:rPr>
      </w:pPr>
      <w:r w:rsidRPr="008D3330">
        <w:rPr>
          <w:sz w:val="24"/>
          <w:szCs w:val="24"/>
          <w:u w:val="single"/>
        </w:rPr>
        <w:t>Symptomer</w:t>
      </w:r>
    </w:p>
    <w:p w14:paraId="4E12962B" w14:textId="77777777" w:rsidR="008D3330" w:rsidRPr="008D3330" w:rsidRDefault="008D3330" w:rsidP="008D3330">
      <w:pPr>
        <w:tabs>
          <w:tab w:val="left" w:pos="851"/>
        </w:tabs>
        <w:ind w:left="851"/>
        <w:rPr>
          <w:sz w:val="24"/>
          <w:szCs w:val="24"/>
        </w:rPr>
      </w:pPr>
      <w:r w:rsidRPr="008D3330">
        <w:rPr>
          <w:sz w:val="24"/>
          <w:szCs w:val="24"/>
        </w:rPr>
        <w:t>Ekstrapyramidale forstyrrelser, døsighed, nedsat bevidsthedsniveau, konfusion, hallucinationer og hjerte-respirationsstop kan forekomme.</w:t>
      </w:r>
    </w:p>
    <w:p w14:paraId="3A17C32B" w14:textId="77777777" w:rsidR="008D3330" w:rsidRPr="008D3330" w:rsidRDefault="008D3330" w:rsidP="008D3330">
      <w:pPr>
        <w:tabs>
          <w:tab w:val="left" w:pos="851"/>
        </w:tabs>
        <w:ind w:left="851"/>
        <w:rPr>
          <w:sz w:val="24"/>
          <w:szCs w:val="24"/>
        </w:rPr>
      </w:pPr>
    </w:p>
    <w:p w14:paraId="3CA71067" w14:textId="77777777" w:rsidR="008D3330" w:rsidRPr="008D3330" w:rsidRDefault="008D3330" w:rsidP="008D3330">
      <w:pPr>
        <w:tabs>
          <w:tab w:val="left" w:pos="851"/>
        </w:tabs>
        <w:ind w:left="851"/>
        <w:rPr>
          <w:sz w:val="24"/>
          <w:szCs w:val="24"/>
          <w:u w:val="single"/>
        </w:rPr>
      </w:pPr>
      <w:r w:rsidRPr="008D3330">
        <w:rPr>
          <w:sz w:val="24"/>
          <w:szCs w:val="24"/>
          <w:u w:val="single"/>
        </w:rPr>
        <w:t>Behandling</w:t>
      </w:r>
    </w:p>
    <w:p w14:paraId="702D19B4" w14:textId="77777777" w:rsidR="008D3330" w:rsidRPr="008D3330" w:rsidRDefault="008D3330" w:rsidP="008D3330">
      <w:pPr>
        <w:tabs>
          <w:tab w:val="left" w:pos="851"/>
        </w:tabs>
        <w:ind w:left="851"/>
        <w:rPr>
          <w:sz w:val="24"/>
          <w:szCs w:val="24"/>
        </w:rPr>
      </w:pPr>
      <w:r w:rsidRPr="008D3330">
        <w:rPr>
          <w:sz w:val="24"/>
          <w:szCs w:val="24"/>
        </w:rPr>
        <w:t>Ekstrapyramidale symptomer, relateret eller ikke relateret til overdosering, behandles kun symptomatisk (benzodiazepiner til børn og/eller antikolinerge lægemidler til behandling af parkinsonisme hos voksne).</w:t>
      </w:r>
    </w:p>
    <w:p w14:paraId="0D4009E0" w14:textId="77777777" w:rsidR="008D3330" w:rsidRPr="008D3330" w:rsidRDefault="008D3330" w:rsidP="008D3330">
      <w:pPr>
        <w:tabs>
          <w:tab w:val="left" w:pos="851"/>
        </w:tabs>
        <w:ind w:left="851"/>
        <w:rPr>
          <w:sz w:val="24"/>
          <w:szCs w:val="24"/>
        </w:rPr>
      </w:pPr>
      <w:r w:rsidRPr="008D3330">
        <w:rPr>
          <w:sz w:val="24"/>
          <w:szCs w:val="24"/>
        </w:rPr>
        <w:t>Der skal indledes symptomatisk behandling og løbende overvågning af de kardiovaskulære og respiratoriske funktioner i henhold til den kliniske status.</w:t>
      </w:r>
    </w:p>
    <w:p w14:paraId="1F4AE1C9" w14:textId="77777777" w:rsidR="009260DE" w:rsidRPr="00C84483" w:rsidRDefault="009260DE" w:rsidP="009260DE">
      <w:pPr>
        <w:tabs>
          <w:tab w:val="left" w:pos="851"/>
        </w:tabs>
        <w:ind w:left="851"/>
        <w:rPr>
          <w:sz w:val="24"/>
          <w:szCs w:val="24"/>
        </w:rPr>
      </w:pPr>
    </w:p>
    <w:p w14:paraId="16C494E5"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E90C380" w14:textId="0F0A99D5" w:rsidR="009260DE" w:rsidRPr="00C84483" w:rsidRDefault="00571EB6" w:rsidP="009260DE">
      <w:pPr>
        <w:tabs>
          <w:tab w:val="left" w:pos="851"/>
        </w:tabs>
        <w:ind w:left="851"/>
        <w:rPr>
          <w:sz w:val="24"/>
          <w:szCs w:val="24"/>
        </w:rPr>
      </w:pPr>
      <w:r>
        <w:rPr>
          <w:sz w:val="24"/>
          <w:szCs w:val="24"/>
        </w:rPr>
        <w:t>B</w:t>
      </w:r>
    </w:p>
    <w:p w14:paraId="62A8C2B7" w14:textId="77777777" w:rsidR="009260DE" w:rsidRPr="00C84483" w:rsidRDefault="009260DE" w:rsidP="009260DE">
      <w:pPr>
        <w:tabs>
          <w:tab w:val="left" w:pos="851"/>
        </w:tabs>
        <w:ind w:left="851"/>
        <w:rPr>
          <w:sz w:val="24"/>
          <w:szCs w:val="24"/>
        </w:rPr>
      </w:pPr>
    </w:p>
    <w:p w14:paraId="7F42CFAD" w14:textId="77777777" w:rsidR="009260DE" w:rsidRPr="00C84483" w:rsidRDefault="009260DE" w:rsidP="009260DE">
      <w:pPr>
        <w:tabs>
          <w:tab w:val="left" w:pos="851"/>
        </w:tabs>
        <w:ind w:left="851"/>
        <w:rPr>
          <w:sz w:val="24"/>
          <w:szCs w:val="24"/>
        </w:rPr>
      </w:pPr>
    </w:p>
    <w:p w14:paraId="412620F3"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ECAE2EA" w14:textId="77777777" w:rsidR="009260DE" w:rsidRPr="00C84483" w:rsidRDefault="009260DE" w:rsidP="009260DE">
      <w:pPr>
        <w:tabs>
          <w:tab w:val="left" w:pos="851"/>
        </w:tabs>
        <w:ind w:left="851"/>
        <w:rPr>
          <w:sz w:val="24"/>
          <w:szCs w:val="24"/>
        </w:rPr>
      </w:pPr>
    </w:p>
    <w:p w14:paraId="787026A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A6C5C4B" w14:textId="51FAAC30" w:rsidR="00643D90" w:rsidRDefault="00643D90" w:rsidP="00643D90">
      <w:pPr>
        <w:tabs>
          <w:tab w:val="left" w:pos="851"/>
        </w:tabs>
        <w:ind w:left="851"/>
        <w:rPr>
          <w:sz w:val="24"/>
          <w:szCs w:val="24"/>
        </w:rPr>
      </w:pPr>
      <w:r w:rsidRPr="00643D90">
        <w:rPr>
          <w:sz w:val="24"/>
          <w:szCs w:val="24"/>
        </w:rPr>
        <w:t xml:space="preserve">Farmakoterapeutisk klassifikation: </w:t>
      </w:r>
      <w:hyperlink r:id="rId9" w:history="1">
        <w:r w:rsidRPr="00643D90">
          <w:rPr>
            <w:rStyle w:val="Hyperlink"/>
            <w:color w:val="auto"/>
            <w:sz w:val="24"/>
            <w:szCs w:val="24"/>
            <w:u w:val="none"/>
          </w:rPr>
          <w:t>Lægemidler til funktionelle gastrointestinale lidelser</w:t>
        </w:r>
      </w:hyperlink>
      <w:r w:rsidRPr="00643D90">
        <w:rPr>
          <w:sz w:val="24"/>
          <w:szCs w:val="24"/>
        </w:rPr>
        <w:t>, propulsiva</w:t>
      </w:r>
      <w:r>
        <w:rPr>
          <w:sz w:val="24"/>
          <w:szCs w:val="24"/>
        </w:rPr>
        <w:t xml:space="preserve">, </w:t>
      </w:r>
      <w:r w:rsidRPr="00643D90">
        <w:rPr>
          <w:sz w:val="24"/>
          <w:szCs w:val="24"/>
        </w:rPr>
        <w:t>ATC-kode: A03FA01</w:t>
      </w:r>
      <w:r>
        <w:rPr>
          <w:sz w:val="24"/>
          <w:szCs w:val="24"/>
        </w:rPr>
        <w:t>.</w:t>
      </w:r>
    </w:p>
    <w:p w14:paraId="18AC936B" w14:textId="77777777" w:rsidR="00643D90" w:rsidRPr="00643D90" w:rsidRDefault="00643D90" w:rsidP="00643D90">
      <w:pPr>
        <w:tabs>
          <w:tab w:val="left" w:pos="851"/>
        </w:tabs>
        <w:ind w:left="851"/>
        <w:rPr>
          <w:sz w:val="24"/>
          <w:szCs w:val="24"/>
        </w:rPr>
      </w:pPr>
    </w:p>
    <w:p w14:paraId="5A1DA241" w14:textId="77777777" w:rsidR="00643D90" w:rsidRPr="00643D90" w:rsidRDefault="00643D90" w:rsidP="00643D90">
      <w:pPr>
        <w:tabs>
          <w:tab w:val="left" w:pos="851"/>
        </w:tabs>
        <w:ind w:left="851"/>
        <w:rPr>
          <w:sz w:val="24"/>
          <w:szCs w:val="24"/>
        </w:rPr>
      </w:pPr>
      <w:r w:rsidRPr="00643D90">
        <w:rPr>
          <w:sz w:val="24"/>
          <w:szCs w:val="24"/>
        </w:rPr>
        <w:t>Metoclopramid er en neuroleptisk dopaminantagonist. Det forhindrer opkastning ved at blokere dopaminreceptorer.</w:t>
      </w:r>
    </w:p>
    <w:p w14:paraId="3A55DCC2" w14:textId="77777777" w:rsidR="009260DE" w:rsidRPr="00C84483" w:rsidRDefault="009260DE" w:rsidP="009260DE">
      <w:pPr>
        <w:tabs>
          <w:tab w:val="left" w:pos="851"/>
        </w:tabs>
        <w:ind w:left="851"/>
        <w:rPr>
          <w:sz w:val="24"/>
          <w:szCs w:val="24"/>
        </w:rPr>
      </w:pPr>
    </w:p>
    <w:p w14:paraId="0B02DAF1"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B8519A0" w14:textId="77777777" w:rsidR="00643D90" w:rsidRDefault="00643D90" w:rsidP="00643D90">
      <w:pPr>
        <w:tabs>
          <w:tab w:val="left" w:pos="851"/>
        </w:tabs>
        <w:ind w:left="851"/>
        <w:rPr>
          <w:sz w:val="24"/>
          <w:szCs w:val="24"/>
          <w:u w:val="single"/>
        </w:rPr>
      </w:pPr>
    </w:p>
    <w:p w14:paraId="35BFE94A" w14:textId="39EB1B5A" w:rsidR="00643D90" w:rsidRPr="00643D90" w:rsidRDefault="00643D90" w:rsidP="00643D90">
      <w:pPr>
        <w:tabs>
          <w:tab w:val="left" w:pos="851"/>
        </w:tabs>
        <w:ind w:left="851"/>
        <w:rPr>
          <w:sz w:val="24"/>
          <w:szCs w:val="24"/>
          <w:u w:val="single"/>
        </w:rPr>
      </w:pPr>
      <w:r w:rsidRPr="00643D90">
        <w:rPr>
          <w:sz w:val="24"/>
          <w:szCs w:val="24"/>
          <w:u w:val="single"/>
        </w:rPr>
        <w:t>Fordeling</w:t>
      </w:r>
    </w:p>
    <w:p w14:paraId="1E658C0F" w14:textId="77777777" w:rsidR="00643D90" w:rsidRPr="00643D90" w:rsidRDefault="00643D90" w:rsidP="00643D90">
      <w:pPr>
        <w:tabs>
          <w:tab w:val="left" w:pos="851"/>
        </w:tabs>
        <w:ind w:left="851"/>
        <w:rPr>
          <w:sz w:val="24"/>
          <w:szCs w:val="24"/>
        </w:rPr>
      </w:pPr>
      <w:r w:rsidRPr="00643D90">
        <w:rPr>
          <w:sz w:val="24"/>
          <w:szCs w:val="24"/>
        </w:rPr>
        <w:t>Metoclopramid fordeles i vid udstrækning i vævet. Fordelingsvolumenet er mellem 2,2 og 3,4 l/kg. Metoclopramid binder sig kun i begrænset omfang til plasmaproteiner. Metoclopramid krydser placentabarrieren og udskilles i modermælk.</w:t>
      </w:r>
    </w:p>
    <w:p w14:paraId="38BADC90" w14:textId="77777777" w:rsidR="00643D90" w:rsidRPr="00643D90" w:rsidRDefault="00643D90" w:rsidP="00643D90">
      <w:pPr>
        <w:tabs>
          <w:tab w:val="left" w:pos="851"/>
        </w:tabs>
        <w:ind w:left="851"/>
        <w:rPr>
          <w:sz w:val="24"/>
          <w:szCs w:val="24"/>
          <w:u w:val="single"/>
        </w:rPr>
      </w:pPr>
    </w:p>
    <w:p w14:paraId="73AC543B" w14:textId="77777777" w:rsidR="00643D90" w:rsidRPr="00643D90" w:rsidRDefault="00643D90" w:rsidP="00643D90">
      <w:pPr>
        <w:tabs>
          <w:tab w:val="left" w:pos="851"/>
        </w:tabs>
        <w:ind w:left="851"/>
        <w:rPr>
          <w:sz w:val="24"/>
          <w:szCs w:val="24"/>
          <w:u w:val="single"/>
        </w:rPr>
      </w:pPr>
      <w:r w:rsidRPr="00643D90">
        <w:rPr>
          <w:sz w:val="24"/>
          <w:szCs w:val="24"/>
          <w:u w:val="single"/>
        </w:rPr>
        <w:t>Biotransformation</w:t>
      </w:r>
    </w:p>
    <w:p w14:paraId="3528460F" w14:textId="77777777" w:rsidR="00643D90" w:rsidRPr="00643D90" w:rsidRDefault="00643D90" w:rsidP="00643D90">
      <w:pPr>
        <w:tabs>
          <w:tab w:val="left" w:pos="851"/>
        </w:tabs>
        <w:ind w:left="851"/>
        <w:rPr>
          <w:sz w:val="24"/>
          <w:szCs w:val="24"/>
        </w:rPr>
      </w:pPr>
      <w:r w:rsidRPr="00643D90">
        <w:rPr>
          <w:sz w:val="24"/>
          <w:szCs w:val="24"/>
        </w:rPr>
        <w:t>Metoclopramid har en lav metaboliseringsgrad.</w:t>
      </w:r>
    </w:p>
    <w:p w14:paraId="65147335" w14:textId="0C34BF02" w:rsidR="00643D90" w:rsidRDefault="00643D90">
      <w:pPr>
        <w:rPr>
          <w:sz w:val="24"/>
          <w:szCs w:val="24"/>
        </w:rPr>
      </w:pPr>
      <w:r>
        <w:rPr>
          <w:sz w:val="24"/>
          <w:szCs w:val="24"/>
        </w:rPr>
        <w:br w:type="page"/>
      </w:r>
    </w:p>
    <w:p w14:paraId="5E9065D3" w14:textId="77777777" w:rsidR="00643D90" w:rsidRPr="00643D90" w:rsidRDefault="00643D90" w:rsidP="00643D90">
      <w:pPr>
        <w:tabs>
          <w:tab w:val="left" w:pos="851"/>
        </w:tabs>
        <w:ind w:left="851"/>
        <w:rPr>
          <w:sz w:val="24"/>
          <w:szCs w:val="24"/>
        </w:rPr>
      </w:pPr>
    </w:p>
    <w:p w14:paraId="5C949636" w14:textId="77777777" w:rsidR="00643D90" w:rsidRPr="00643D90" w:rsidRDefault="00643D90" w:rsidP="00643D90">
      <w:pPr>
        <w:tabs>
          <w:tab w:val="left" w:pos="851"/>
        </w:tabs>
        <w:ind w:left="851"/>
        <w:rPr>
          <w:sz w:val="24"/>
          <w:szCs w:val="24"/>
          <w:u w:val="single"/>
        </w:rPr>
      </w:pPr>
      <w:r w:rsidRPr="00643D90">
        <w:rPr>
          <w:sz w:val="24"/>
          <w:szCs w:val="24"/>
          <w:u w:val="single"/>
        </w:rPr>
        <w:t>Elimination</w:t>
      </w:r>
    </w:p>
    <w:p w14:paraId="4B538D47" w14:textId="77777777" w:rsidR="00643D90" w:rsidRPr="00643D90" w:rsidRDefault="00643D90" w:rsidP="00643D90">
      <w:pPr>
        <w:tabs>
          <w:tab w:val="left" w:pos="851"/>
        </w:tabs>
        <w:ind w:left="851"/>
        <w:rPr>
          <w:sz w:val="24"/>
          <w:szCs w:val="24"/>
        </w:rPr>
      </w:pPr>
      <w:r w:rsidRPr="00643D90">
        <w:rPr>
          <w:sz w:val="24"/>
          <w:szCs w:val="24"/>
        </w:rPr>
        <w:t>Elimineres primært i urinen, i fri form eller som sulfatkonjugater. Eliminationshalveringstiden er 5 til 6 timer. Denne øges i tilfælde af nedsat nyre- eller leverfunktion.</w:t>
      </w:r>
    </w:p>
    <w:p w14:paraId="5F5FB9B4" w14:textId="77777777" w:rsidR="00643D90" w:rsidRPr="00643D90" w:rsidRDefault="00643D90" w:rsidP="00643D90">
      <w:pPr>
        <w:tabs>
          <w:tab w:val="left" w:pos="851"/>
        </w:tabs>
        <w:ind w:left="851"/>
        <w:rPr>
          <w:sz w:val="24"/>
          <w:szCs w:val="24"/>
        </w:rPr>
      </w:pPr>
    </w:p>
    <w:p w14:paraId="76641138" w14:textId="77777777" w:rsidR="00643D90" w:rsidRPr="00643D90" w:rsidRDefault="00643D90" w:rsidP="00643D90">
      <w:pPr>
        <w:tabs>
          <w:tab w:val="left" w:pos="851"/>
        </w:tabs>
        <w:ind w:left="851"/>
        <w:rPr>
          <w:sz w:val="24"/>
          <w:szCs w:val="24"/>
          <w:u w:val="single"/>
        </w:rPr>
      </w:pPr>
      <w:r w:rsidRPr="00643D90">
        <w:rPr>
          <w:sz w:val="24"/>
          <w:szCs w:val="24"/>
          <w:u w:val="single"/>
        </w:rPr>
        <w:t>Nedsat nyrefunktion</w:t>
      </w:r>
    </w:p>
    <w:p w14:paraId="77F58195" w14:textId="77777777" w:rsidR="00643D90" w:rsidRPr="00643D90" w:rsidRDefault="00643D90" w:rsidP="00643D90">
      <w:pPr>
        <w:tabs>
          <w:tab w:val="left" w:pos="851"/>
        </w:tabs>
        <w:ind w:left="851"/>
        <w:rPr>
          <w:sz w:val="24"/>
          <w:szCs w:val="24"/>
        </w:rPr>
      </w:pPr>
      <w:r w:rsidRPr="00643D90">
        <w:rPr>
          <w:sz w:val="24"/>
          <w:szCs w:val="24"/>
        </w:rPr>
        <w:t>Metoclopramids clearance reduceres med op til 70 % hos patienter med alvorlig nedsat nyrefunktion, mens plasmahalveringstiden øges (ca. 10 timer ved kreatininclearance på 10</w:t>
      </w:r>
      <w:r w:rsidRPr="00643D90">
        <w:rPr>
          <w:sz w:val="24"/>
          <w:szCs w:val="24"/>
        </w:rPr>
        <w:noBreakHyphen/>
        <w:t>50 ml/minut og 15 timer ved en kreatininclearance på &lt; 10 ml/minut).</w:t>
      </w:r>
    </w:p>
    <w:p w14:paraId="2079353B" w14:textId="77777777" w:rsidR="00643D90" w:rsidRPr="00643D90" w:rsidRDefault="00643D90" w:rsidP="00643D90">
      <w:pPr>
        <w:tabs>
          <w:tab w:val="left" w:pos="851"/>
        </w:tabs>
        <w:ind w:left="851"/>
        <w:rPr>
          <w:sz w:val="24"/>
          <w:szCs w:val="24"/>
        </w:rPr>
      </w:pPr>
    </w:p>
    <w:p w14:paraId="64FBD4E6" w14:textId="77777777" w:rsidR="00643D90" w:rsidRPr="00643D90" w:rsidRDefault="00643D90" w:rsidP="00643D90">
      <w:pPr>
        <w:tabs>
          <w:tab w:val="left" w:pos="851"/>
        </w:tabs>
        <w:ind w:left="851"/>
        <w:rPr>
          <w:sz w:val="24"/>
          <w:szCs w:val="24"/>
          <w:u w:val="single"/>
        </w:rPr>
      </w:pPr>
      <w:r w:rsidRPr="00643D90">
        <w:rPr>
          <w:sz w:val="24"/>
          <w:szCs w:val="24"/>
          <w:u w:val="single"/>
        </w:rPr>
        <w:t>Nedsat leverfunktion</w:t>
      </w:r>
    </w:p>
    <w:p w14:paraId="2C236BCC" w14:textId="77777777" w:rsidR="00643D90" w:rsidRPr="00643D90" w:rsidRDefault="00643D90" w:rsidP="00643D90">
      <w:pPr>
        <w:tabs>
          <w:tab w:val="left" w:pos="851"/>
        </w:tabs>
        <w:ind w:left="851"/>
        <w:rPr>
          <w:sz w:val="24"/>
          <w:szCs w:val="24"/>
        </w:rPr>
      </w:pPr>
      <w:r w:rsidRPr="00643D90">
        <w:rPr>
          <w:sz w:val="24"/>
          <w:szCs w:val="24"/>
        </w:rPr>
        <w:t>Hos patienter med levercirrhose er der observeret akkumulering af metoclopramid, hvilket er forbundet med en 50 % reduktion i plasmaclearance.</w:t>
      </w:r>
    </w:p>
    <w:p w14:paraId="238B77DC" w14:textId="77777777" w:rsidR="009260DE" w:rsidRPr="00C84483" w:rsidRDefault="009260DE" w:rsidP="009260DE">
      <w:pPr>
        <w:tabs>
          <w:tab w:val="left" w:pos="851"/>
        </w:tabs>
        <w:ind w:left="851"/>
        <w:rPr>
          <w:sz w:val="24"/>
          <w:szCs w:val="24"/>
        </w:rPr>
      </w:pPr>
    </w:p>
    <w:p w14:paraId="3881FD8D"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A139E77" w14:textId="77777777" w:rsidR="00643D90" w:rsidRPr="00643D90" w:rsidRDefault="00643D90" w:rsidP="00643D90">
      <w:pPr>
        <w:tabs>
          <w:tab w:val="left" w:pos="851"/>
        </w:tabs>
        <w:ind w:left="851"/>
        <w:rPr>
          <w:sz w:val="24"/>
          <w:szCs w:val="24"/>
        </w:rPr>
      </w:pPr>
      <w:r w:rsidRPr="00643D90">
        <w:rPr>
          <w:sz w:val="24"/>
          <w:szCs w:val="24"/>
        </w:rPr>
        <w:t xml:space="preserve">Disse data viser ikke, at der er behov for yderligere forsigtighedsregler for anvendelse end dem, der er beskrevet ovenfor. </w:t>
      </w:r>
    </w:p>
    <w:p w14:paraId="1A03912D" w14:textId="77777777" w:rsidR="009260DE" w:rsidRPr="00C84483" w:rsidRDefault="009260DE" w:rsidP="009260DE">
      <w:pPr>
        <w:tabs>
          <w:tab w:val="left" w:pos="851"/>
        </w:tabs>
        <w:ind w:left="851"/>
        <w:rPr>
          <w:sz w:val="24"/>
          <w:szCs w:val="24"/>
        </w:rPr>
      </w:pPr>
    </w:p>
    <w:p w14:paraId="15E53A66" w14:textId="77777777" w:rsidR="009260DE" w:rsidRPr="00C84483" w:rsidRDefault="009260DE" w:rsidP="009260DE">
      <w:pPr>
        <w:tabs>
          <w:tab w:val="left" w:pos="851"/>
        </w:tabs>
        <w:ind w:left="851"/>
        <w:rPr>
          <w:sz w:val="24"/>
          <w:szCs w:val="24"/>
        </w:rPr>
      </w:pPr>
    </w:p>
    <w:p w14:paraId="15FE26BC"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220BF4E" w14:textId="77777777" w:rsidR="009260DE" w:rsidRPr="00BA09F1" w:rsidRDefault="009260DE" w:rsidP="009260DE">
      <w:pPr>
        <w:tabs>
          <w:tab w:val="left" w:pos="851"/>
        </w:tabs>
        <w:ind w:left="851"/>
        <w:rPr>
          <w:sz w:val="24"/>
          <w:szCs w:val="24"/>
        </w:rPr>
      </w:pPr>
    </w:p>
    <w:p w14:paraId="4D57F857"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642BEE3" w14:textId="77777777" w:rsidR="00902656" w:rsidRPr="00902656" w:rsidRDefault="00902656" w:rsidP="00902656">
      <w:pPr>
        <w:tabs>
          <w:tab w:val="left" w:pos="851"/>
        </w:tabs>
        <w:ind w:left="851"/>
        <w:rPr>
          <w:sz w:val="24"/>
          <w:szCs w:val="24"/>
        </w:rPr>
      </w:pPr>
      <w:r w:rsidRPr="00902656">
        <w:rPr>
          <w:sz w:val="24"/>
          <w:szCs w:val="24"/>
        </w:rPr>
        <w:t>Natriumchlorid</w:t>
      </w:r>
    </w:p>
    <w:p w14:paraId="29A1EA60" w14:textId="77777777" w:rsidR="00902656" w:rsidRPr="00902656" w:rsidRDefault="00902656" w:rsidP="00902656">
      <w:pPr>
        <w:tabs>
          <w:tab w:val="left" w:pos="851"/>
        </w:tabs>
        <w:ind w:left="851"/>
        <w:rPr>
          <w:sz w:val="24"/>
          <w:szCs w:val="24"/>
        </w:rPr>
      </w:pPr>
      <w:r w:rsidRPr="00902656">
        <w:rPr>
          <w:sz w:val="24"/>
          <w:szCs w:val="24"/>
        </w:rPr>
        <w:t xml:space="preserve">Natriumhydroxid </w:t>
      </w:r>
      <w:r w:rsidRPr="00902656">
        <w:rPr>
          <w:i/>
          <w:sz w:val="24"/>
          <w:szCs w:val="24"/>
        </w:rPr>
        <w:t>(til justering af pH)</w:t>
      </w:r>
    </w:p>
    <w:p w14:paraId="43A92B88" w14:textId="77777777" w:rsidR="00902656" w:rsidRPr="00902656" w:rsidRDefault="00902656" w:rsidP="00902656">
      <w:pPr>
        <w:tabs>
          <w:tab w:val="left" w:pos="851"/>
        </w:tabs>
        <w:ind w:left="851"/>
        <w:rPr>
          <w:i/>
          <w:iCs/>
          <w:sz w:val="24"/>
          <w:szCs w:val="24"/>
        </w:rPr>
      </w:pPr>
      <w:r w:rsidRPr="00902656">
        <w:rPr>
          <w:sz w:val="24"/>
          <w:szCs w:val="24"/>
        </w:rPr>
        <w:t xml:space="preserve">Saltsyre </w:t>
      </w:r>
      <w:r w:rsidRPr="00902656">
        <w:rPr>
          <w:i/>
          <w:sz w:val="24"/>
          <w:szCs w:val="24"/>
        </w:rPr>
        <w:t>(til justering af pH)</w:t>
      </w:r>
    </w:p>
    <w:p w14:paraId="4BF7E542" w14:textId="77777777" w:rsidR="00902656" w:rsidRPr="00902656" w:rsidRDefault="00902656" w:rsidP="00902656">
      <w:pPr>
        <w:tabs>
          <w:tab w:val="left" w:pos="851"/>
        </w:tabs>
        <w:ind w:left="851"/>
        <w:rPr>
          <w:sz w:val="24"/>
          <w:szCs w:val="24"/>
        </w:rPr>
      </w:pPr>
      <w:r w:rsidRPr="00902656">
        <w:rPr>
          <w:sz w:val="24"/>
          <w:szCs w:val="24"/>
        </w:rPr>
        <w:t>Vand til injektionsvæsker</w:t>
      </w:r>
    </w:p>
    <w:p w14:paraId="7E869FE9" w14:textId="77777777" w:rsidR="009260DE" w:rsidRPr="00C84483" w:rsidRDefault="009260DE" w:rsidP="009260DE">
      <w:pPr>
        <w:tabs>
          <w:tab w:val="left" w:pos="851"/>
        </w:tabs>
        <w:ind w:left="851"/>
        <w:rPr>
          <w:sz w:val="24"/>
          <w:szCs w:val="24"/>
        </w:rPr>
      </w:pPr>
    </w:p>
    <w:p w14:paraId="0DB1B3B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8EAEA83" w14:textId="77777777" w:rsidR="00902656" w:rsidRPr="00902656" w:rsidRDefault="00902656" w:rsidP="00902656">
      <w:pPr>
        <w:tabs>
          <w:tab w:val="left" w:pos="851"/>
        </w:tabs>
        <w:ind w:left="851"/>
        <w:rPr>
          <w:b/>
          <w:sz w:val="24"/>
          <w:szCs w:val="24"/>
        </w:rPr>
      </w:pPr>
      <w:r w:rsidRPr="00902656">
        <w:rPr>
          <w:sz w:val="24"/>
          <w:szCs w:val="24"/>
        </w:rPr>
        <w:t xml:space="preserve">Dette lægemiddel må ikke blandes med andre lægemidler end dem, der er anført under pkt. 6.6. </w:t>
      </w:r>
    </w:p>
    <w:p w14:paraId="4F0D6498" w14:textId="77777777" w:rsidR="009260DE" w:rsidRPr="00C84483" w:rsidRDefault="009260DE" w:rsidP="009260DE">
      <w:pPr>
        <w:tabs>
          <w:tab w:val="left" w:pos="851"/>
        </w:tabs>
        <w:ind w:left="851"/>
        <w:rPr>
          <w:sz w:val="24"/>
          <w:szCs w:val="24"/>
        </w:rPr>
      </w:pPr>
    </w:p>
    <w:p w14:paraId="4FD9028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17AED2D" w14:textId="0E1F10CC" w:rsidR="00902656" w:rsidRPr="00902656" w:rsidRDefault="00902656" w:rsidP="00902656">
      <w:pPr>
        <w:tabs>
          <w:tab w:val="left" w:pos="851"/>
        </w:tabs>
        <w:ind w:left="851"/>
        <w:rPr>
          <w:sz w:val="24"/>
          <w:szCs w:val="24"/>
        </w:rPr>
      </w:pPr>
      <w:r w:rsidRPr="00902656">
        <w:rPr>
          <w:sz w:val="24"/>
          <w:szCs w:val="24"/>
        </w:rPr>
        <w:t>36 måneder</w:t>
      </w:r>
      <w:r>
        <w:rPr>
          <w:sz w:val="24"/>
          <w:szCs w:val="24"/>
        </w:rPr>
        <w:t>.</w:t>
      </w:r>
    </w:p>
    <w:p w14:paraId="27B11131" w14:textId="77777777" w:rsidR="00902656" w:rsidRDefault="00902656" w:rsidP="00902656">
      <w:pPr>
        <w:tabs>
          <w:tab w:val="left" w:pos="851"/>
        </w:tabs>
        <w:ind w:left="851"/>
        <w:rPr>
          <w:sz w:val="24"/>
          <w:szCs w:val="24"/>
          <w:u w:val="single"/>
        </w:rPr>
      </w:pPr>
    </w:p>
    <w:p w14:paraId="2473FBB9" w14:textId="7ECA0865" w:rsidR="00902656" w:rsidRPr="00902656" w:rsidRDefault="00902656" w:rsidP="00902656">
      <w:pPr>
        <w:tabs>
          <w:tab w:val="left" w:pos="851"/>
        </w:tabs>
        <w:ind w:left="851"/>
        <w:rPr>
          <w:sz w:val="24"/>
          <w:szCs w:val="24"/>
          <w:u w:val="single"/>
        </w:rPr>
      </w:pPr>
      <w:r w:rsidRPr="00902656">
        <w:rPr>
          <w:sz w:val="24"/>
          <w:szCs w:val="24"/>
          <w:u w:val="single"/>
        </w:rPr>
        <w:t>Efter første åbning</w:t>
      </w:r>
    </w:p>
    <w:p w14:paraId="108CA607" w14:textId="77777777" w:rsidR="00902656" w:rsidRPr="00902656" w:rsidRDefault="00902656" w:rsidP="00902656">
      <w:pPr>
        <w:tabs>
          <w:tab w:val="left" w:pos="851"/>
        </w:tabs>
        <w:ind w:left="851"/>
        <w:rPr>
          <w:sz w:val="24"/>
          <w:szCs w:val="24"/>
        </w:rPr>
      </w:pPr>
      <w:r w:rsidRPr="00902656">
        <w:rPr>
          <w:sz w:val="24"/>
          <w:szCs w:val="24"/>
        </w:rPr>
        <w:t>Anvendes inden for 2 måneder, hvis ampullerne opbevares uden posen.</w:t>
      </w:r>
    </w:p>
    <w:p w14:paraId="73E9C5F0" w14:textId="77777777" w:rsidR="00902656" w:rsidRPr="00902656" w:rsidRDefault="00902656" w:rsidP="00902656">
      <w:pPr>
        <w:tabs>
          <w:tab w:val="left" w:pos="851"/>
        </w:tabs>
        <w:ind w:left="851"/>
        <w:rPr>
          <w:sz w:val="24"/>
          <w:szCs w:val="24"/>
          <w:u w:val="single"/>
        </w:rPr>
      </w:pPr>
    </w:p>
    <w:p w14:paraId="6A5B8C49" w14:textId="77777777" w:rsidR="00902656" w:rsidRPr="00902656" w:rsidRDefault="00902656" w:rsidP="00902656">
      <w:pPr>
        <w:tabs>
          <w:tab w:val="left" w:pos="851"/>
        </w:tabs>
        <w:ind w:left="851"/>
        <w:rPr>
          <w:sz w:val="24"/>
          <w:szCs w:val="24"/>
        </w:rPr>
      </w:pPr>
      <w:r w:rsidRPr="00902656">
        <w:rPr>
          <w:sz w:val="24"/>
          <w:szCs w:val="24"/>
          <w:u w:val="single"/>
        </w:rPr>
        <w:t xml:space="preserve">Efter blanding/fortynding </w:t>
      </w:r>
      <w:r w:rsidRPr="00902656">
        <w:rPr>
          <w:sz w:val="24"/>
          <w:szCs w:val="24"/>
          <w:u w:val="single"/>
        </w:rPr>
        <w:br/>
      </w:r>
      <w:r w:rsidRPr="00902656">
        <w:rPr>
          <w:sz w:val="24"/>
          <w:szCs w:val="24"/>
        </w:rPr>
        <w:t>Kemisk og fysisk stabilitet under brug af blandinger med natriumchlorid 0,9 %, dextrose 5 %, Ringer-laktat og 4 % dextrose i 0,18 % natriumchlorid er stabile i 48 timer ved 15</w:t>
      </w:r>
      <w:r w:rsidRPr="00902656">
        <w:rPr>
          <w:sz w:val="24"/>
          <w:szCs w:val="24"/>
        </w:rPr>
        <w:noBreakHyphen/>
        <w:t>25 </w:t>
      </w:r>
      <w:r w:rsidRPr="00902656">
        <w:rPr>
          <w:sz w:val="24"/>
          <w:szCs w:val="24"/>
          <w:vertAlign w:val="superscript"/>
        </w:rPr>
        <w:t>o</w:t>
      </w:r>
      <w:r w:rsidRPr="00902656">
        <w:rPr>
          <w:sz w:val="24"/>
          <w:szCs w:val="24"/>
        </w:rPr>
        <w:t>C under kunstigt lys og i 48 timer ved 5 (±3) </w:t>
      </w:r>
      <w:r w:rsidRPr="00902656">
        <w:rPr>
          <w:sz w:val="24"/>
          <w:szCs w:val="24"/>
          <w:vertAlign w:val="superscript"/>
        </w:rPr>
        <w:t>o</w:t>
      </w:r>
      <w:r w:rsidRPr="00902656">
        <w:rPr>
          <w:sz w:val="24"/>
          <w:szCs w:val="24"/>
        </w:rPr>
        <w:t>C, ved en koncentration på Metoclopramide "Noridem"</w:t>
      </w:r>
      <w:r w:rsidRPr="00902656">
        <w:rPr>
          <w:i/>
          <w:sz w:val="24"/>
          <w:szCs w:val="24"/>
        </w:rPr>
        <w:t xml:space="preserve"> </w:t>
      </w:r>
      <w:r w:rsidRPr="00902656">
        <w:rPr>
          <w:sz w:val="24"/>
          <w:szCs w:val="24"/>
        </w:rPr>
        <w:t xml:space="preserve">0,1 mg/ml. </w:t>
      </w:r>
    </w:p>
    <w:p w14:paraId="5521AF59" w14:textId="77777777" w:rsidR="00902656" w:rsidRPr="00902656" w:rsidRDefault="00902656" w:rsidP="00902656">
      <w:pPr>
        <w:tabs>
          <w:tab w:val="left" w:pos="851"/>
        </w:tabs>
        <w:ind w:left="851"/>
        <w:rPr>
          <w:sz w:val="24"/>
          <w:szCs w:val="24"/>
        </w:rPr>
      </w:pPr>
      <w:r w:rsidRPr="00902656">
        <w:rPr>
          <w:sz w:val="24"/>
          <w:szCs w:val="24"/>
        </w:rPr>
        <w:t>Ud fra et mikrobiologisk synspunkt skal præparatet anvendes med samme, medmindre metoden til åbning udelukker risikoen for mikrobiel kontaminering. Hvis opløsningen ikke anvendes med det samme, er opbevaringstider og -betingelser brugerens eget ansvar.</w:t>
      </w:r>
    </w:p>
    <w:p w14:paraId="5ECC7CF8" w14:textId="3E73E8BC" w:rsidR="00902656" w:rsidRDefault="00902656">
      <w:pPr>
        <w:rPr>
          <w:sz w:val="24"/>
          <w:szCs w:val="24"/>
        </w:rPr>
      </w:pPr>
      <w:r>
        <w:rPr>
          <w:sz w:val="24"/>
          <w:szCs w:val="24"/>
        </w:rPr>
        <w:br w:type="page"/>
      </w:r>
    </w:p>
    <w:p w14:paraId="7FB44631" w14:textId="77777777" w:rsidR="009260DE" w:rsidRPr="00C84483" w:rsidRDefault="009260DE" w:rsidP="009260DE">
      <w:pPr>
        <w:tabs>
          <w:tab w:val="left" w:pos="851"/>
        </w:tabs>
        <w:ind w:left="851"/>
        <w:rPr>
          <w:sz w:val="24"/>
          <w:szCs w:val="24"/>
        </w:rPr>
      </w:pPr>
    </w:p>
    <w:p w14:paraId="65E3216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B4E5E57" w14:textId="77777777" w:rsidR="00902656" w:rsidRPr="00902656" w:rsidRDefault="00902656" w:rsidP="00902656">
      <w:pPr>
        <w:tabs>
          <w:tab w:val="left" w:pos="851"/>
        </w:tabs>
        <w:ind w:left="851"/>
        <w:rPr>
          <w:sz w:val="24"/>
          <w:szCs w:val="24"/>
        </w:rPr>
      </w:pPr>
      <w:r w:rsidRPr="00902656">
        <w:rPr>
          <w:sz w:val="24"/>
          <w:szCs w:val="24"/>
        </w:rPr>
        <w:t xml:space="preserve">Ampullerne opbevares i posen og den ydre karton for at beskytte mod lys. </w:t>
      </w:r>
    </w:p>
    <w:p w14:paraId="7DC296EE" w14:textId="4703C127" w:rsidR="00902656" w:rsidRDefault="00902656" w:rsidP="00902656">
      <w:pPr>
        <w:tabs>
          <w:tab w:val="left" w:pos="851"/>
        </w:tabs>
        <w:ind w:left="851"/>
        <w:rPr>
          <w:sz w:val="24"/>
          <w:szCs w:val="24"/>
        </w:rPr>
      </w:pPr>
      <w:r w:rsidRPr="00902656">
        <w:rPr>
          <w:sz w:val="24"/>
          <w:szCs w:val="24"/>
        </w:rPr>
        <w:t>Der er ingen særlige krav vedrørende opbevaringstemperaturer for dette lægemiddel.</w:t>
      </w:r>
    </w:p>
    <w:p w14:paraId="7615D406" w14:textId="77777777" w:rsidR="00902656" w:rsidRPr="00902656" w:rsidRDefault="00902656" w:rsidP="00902656">
      <w:pPr>
        <w:tabs>
          <w:tab w:val="left" w:pos="851"/>
        </w:tabs>
        <w:ind w:left="851"/>
        <w:rPr>
          <w:sz w:val="24"/>
          <w:szCs w:val="24"/>
        </w:rPr>
      </w:pPr>
    </w:p>
    <w:p w14:paraId="2D252272" w14:textId="77777777" w:rsidR="00902656" w:rsidRPr="00902656" w:rsidRDefault="00902656" w:rsidP="00902656">
      <w:pPr>
        <w:tabs>
          <w:tab w:val="left" w:pos="851"/>
        </w:tabs>
        <w:ind w:left="851"/>
        <w:rPr>
          <w:sz w:val="24"/>
          <w:szCs w:val="24"/>
        </w:rPr>
      </w:pPr>
      <w:r w:rsidRPr="00902656">
        <w:rPr>
          <w:sz w:val="24"/>
          <w:szCs w:val="24"/>
        </w:rPr>
        <w:t>Opbevaringsforhold efter åbning og/eller blanding/rekonstitution af lægemidlet, se pkt. 6.3</w:t>
      </w:r>
    </w:p>
    <w:p w14:paraId="6446E30C" w14:textId="77777777" w:rsidR="009260DE" w:rsidRPr="00C84483" w:rsidRDefault="009260DE" w:rsidP="009260DE">
      <w:pPr>
        <w:tabs>
          <w:tab w:val="left" w:pos="851"/>
        </w:tabs>
        <w:ind w:left="851"/>
        <w:rPr>
          <w:sz w:val="24"/>
          <w:szCs w:val="24"/>
        </w:rPr>
      </w:pPr>
    </w:p>
    <w:p w14:paraId="0E814284"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9F491ED" w14:textId="587D3903" w:rsidR="00902656" w:rsidRPr="00902656" w:rsidRDefault="00902656" w:rsidP="00902656">
      <w:pPr>
        <w:tabs>
          <w:tab w:val="left" w:pos="851"/>
        </w:tabs>
        <w:ind w:left="851"/>
        <w:rPr>
          <w:sz w:val="24"/>
          <w:szCs w:val="24"/>
        </w:rPr>
      </w:pPr>
      <w:r w:rsidRPr="00902656">
        <w:rPr>
          <w:sz w:val="24"/>
          <w:szCs w:val="24"/>
        </w:rPr>
        <w:t>Polypropylenampul indeholdende 2 ml opløsning, pakket i kartonæske.</w:t>
      </w:r>
    </w:p>
    <w:p w14:paraId="2BC5A6F7" w14:textId="77777777" w:rsidR="00902656" w:rsidRPr="00902656" w:rsidRDefault="00902656" w:rsidP="00902656">
      <w:pPr>
        <w:tabs>
          <w:tab w:val="left" w:pos="851"/>
        </w:tabs>
        <w:ind w:left="851"/>
        <w:rPr>
          <w:sz w:val="24"/>
          <w:szCs w:val="24"/>
        </w:rPr>
      </w:pPr>
      <w:r w:rsidRPr="00902656">
        <w:rPr>
          <w:sz w:val="24"/>
          <w:szCs w:val="24"/>
        </w:rPr>
        <w:t>Ampullerne er pakket ind i en beskyttende pose med 5 stk. i hver.</w:t>
      </w:r>
    </w:p>
    <w:p w14:paraId="468F1CB2" w14:textId="77777777" w:rsidR="00902656" w:rsidRPr="00902656" w:rsidRDefault="00902656" w:rsidP="00902656">
      <w:pPr>
        <w:tabs>
          <w:tab w:val="left" w:pos="851"/>
        </w:tabs>
        <w:ind w:left="851"/>
        <w:rPr>
          <w:sz w:val="24"/>
          <w:szCs w:val="24"/>
        </w:rPr>
      </w:pPr>
    </w:p>
    <w:p w14:paraId="47775B66" w14:textId="04756C9D" w:rsidR="00902656" w:rsidRPr="00902656" w:rsidRDefault="00902656" w:rsidP="00902656">
      <w:pPr>
        <w:tabs>
          <w:tab w:val="left" w:pos="851"/>
        </w:tabs>
        <w:ind w:left="851"/>
        <w:rPr>
          <w:sz w:val="24"/>
          <w:szCs w:val="24"/>
        </w:rPr>
      </w:pPr>
      <w:r w:rsidRPr="00902656">
        <w:rPr>
          <w:sz w:val="24"/>
          <w:szCs w:val="24"/>
        </w:rPr>
        <w:t>Pakningsstørrelser: 5, 10 (2</w:t>
      </w:r>
      <w:r>
        <w:rPr>
          <w:sz w:val="24"/>
          <w:szCs w:val="24"/>
        </w:rPr>
        <w:t>×</w:t>
      </w:r>
      <w:r w:rsidRPr="00902656">
        <w:rPr>
          <w:sz w:val="24"/>
          <w:szCs w:val="24"/>
        </w:rPr>
        <w:t>5), 20 (4</w:t>
      </w:r>
      <w:r>
        <w:rPr>
          <w:sz w:val="24"/>
          <w:szCs w:val="24"/>
        </w:rPr>
        <w:t>×</w:t>
      </w:r>
      <w:r w:rsidRPr="00902656">
        <w:rPr>
          <w:sz w:val="24"/>
          <w:szCs w:val="24"/>
        </w:rPr>
        <w:t>5), 50 (10</w:t>
      </w:r>
      <w:r>
        <w:rPr>
          <w:sz w:val="24"/>
          <w:szCs w:val="24"/>
        </w:rPr>
        <w:t>×</w:t>
      </w:r>
      <w:r w:rsidRPr="00902656">
        <w:rPr>
          <w:sz w:val="24"/>
          <w:szCs w:val="24"/>
        </w:rPr>
        <w:t>5) eller 60 (12</w:t>
      </w:r>
      <w:r>
        <w:rPr>
          <w:sz w:val="24"/>
          <w:szCs w:val="24"/>
        </w:rPr>
        <w:t>×</w:t>
      </w:r>
      <w:r w:rsidRPr="00902656">
        <w:rPr>
          <w:sz w:val="24"/>
          <w:szCs w:val="24"/>
        </w:rPr>
        <w:t>5) ampuller.</w:t>
      </w:r>
    </w:p>
    <w:p w14:paraId="58CA1E77" w14:textId="77777777" w:rsidR="009260DE" w:rsidRPr="00C84483" w:rsidRDefault="009260DE" w:rsidP="009260DE">
      <w:pPr>
        <w:tabs>
          <w:tab w:val="left" w:pos="851"/>
        </w:tabs>
        <w:ind w:left="851"/>
        <w:rPr>
          <w:sz w:val="24"/>
          <w:szCs w:val="24"/>
        </w:rPr>
      </w:pPr>
    </w:p>
    <w:p w14:paraId="5CFFAA93"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CCCDA12" w14:textId="77777777" w:rsidR="00902656" w:rsidRPr="00902656" w:rsidRDefault="00902656" w:rsidP="00902656">
      <w:pPr>
        <w:tabs>
          <w:tab w:val="left" w:pos="851"/>
        </w:tabs>
        <w:ind w:left="851"/>
        <w:rPr>
          <w:sz w:val="24"/>
          <w:szCs w:val="24"/>
        </w:rPr>
      </w:pPr>
      <w:r w:rsidRPr="00902656">
        <w:rPr>
          <w:sz w:val="24"/>
          <w:szCs w:val="24"/>
        </w:rPr>
        <w:t>Ikke anvendt lægemiddel samt affald heraf skal bortskaffes i henhold til lokale retningslinjer.</w:t>
      </w:r>
    </w:p>
    <w:p w14:paraId="09D6D9F5" w14:textId="77777777" w:rsidR="00902656" w:rsidRPr="00902656" w:rsidRDefault="00902656" w:rsidP="00902656">
      <w:pPr>
        <w:tabs>
          <w:tab w:val="left" w:pos="851"/>
        </w:tabs>
        <w:ind w:left="851"/>
        <w:rPr>
          <w:sz w:val="24"/>
          <w:szCs w:val="24"/>
        </w:rPr>
      </w:pPr>
    </w:p>
    <w:p w14:paraId="12743165" w14:textId="77777777" w:rsidR="00902656" w:rsidRPr="00902656" w:rsidRDefault="00902656" w:rsidP="00902656">
      <w:pPr>
        <w:tabs>
          <w:tab w:val="left" w:pos="851"/>
        </w:tabs>
        <w:ind w:left="851"/>
        <w:rPr>
          <w:sz w:val="24"/>
          <w:szCs w:val="24"/>
          <w:u w:val="single"/>
        </w:rPr>
      </w:pPr>
      <w:r w:rsidRPr="00902656">
        <w:rPr>
          <w:sz w:val="24"/>
          <w:szCs w:val="24"/>
          <w:u w:val="single"/>
        </w:rPr>
        <w:t>Kompatabilitet</w:t>
      </w:r>
    </w:p>
    <w:p w14:paraId="0E97BBAC" w14:textId="77777777" w:rsidR="00902656" w:rsidRPr="00902656" w:rsidRDefault="00902656" w:rsidP="00902656">
      <w:pPr>
        <w:tabs>
          <w:tab w:val="left" w:pos="851"/>
        </w:tabs>
        <w:ind w:left="851"/>
        <w:rPr>
          <w:sz w:val="24"/>
          <w:szCs w:val="24"/>
        </w:rPr>
      </w:pPr>
      <w:r w:rsidRPr="00902656">
        <w:rPr>
          <w:sz w:val="24"/>
          <w:szCs w:val="24"/>
        </w:rPr>
        <w:t>Metoclopramide "Noridem" kan tilsættes/fortyndes i 0,9 % natriumchloridopløsning, 5 % dextrose, Ringer-laktatopløsning og 4 % dextrose i 0,18 % natriumchlorid med en slutkoncentration af Metoclopramide "Noridem" på 0,1 mg/ml.</w:t>
      </w:r>
    </w:p>
    <w:p w14:paraId="3EED98A1" w14:textId="77777777" w:rsidR="009260DE" w:rsidRPr="00C84483" w:rsidRDefault="009260DE" w:rsidP="000730CA">
      <w:pPr>
        <w:tabs>
          <w:tab w:val="left" w:pos="851"/>
        </w:tabs>
        <w:ind w:left="851"/>
        <w:rPr>
          <w:sz w:val="24"/>
          <w:szCs w:val="24"/>
        </w:rPr>
      </w:pPr>
    </w:p>
    <w:p w14:paraId="3C051F25"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0BC8FB6" w14:textId="77777777" w:rsidR="00902656" w:rsidRPr="00C84A6C" w:rsidRDefault="00902656" w:rsidP="00902656">
      <w:pPr>
        <w:tabs>
          <w:tab w:val="left" w:pos="851"/>
        </w:tabs>
        <w:ind w:left="851"/>
        <w:rPr>
          <w:sz w:val="24"/>
          <w:szCs w:val="24"/>
        </w:rPr>
      </w:pPr>
      <w:r w:rsidRPr="00C84A6C">
        <w:rPr>
          <w:sz w:val="24"/>
          <w:szCs w:val="24"/>
        </w:rPr>
        <w:t>Noridem Enterprises Limited</w:t>
      </w:r>
    </w:p>
    <w:p w14:paraId="7CE1EBC4" w14:textId="77777777" w:rsidR="00902656" w:rsidRPr="00902656" w:rsidRDefault="00902656" w:rsidP="00902656">
      <w:pPr>
        <w:tabs>
          <w:tab w:val="left" w:pos="851"/>
        </w:tabs>
        <w:ind w:left="851"/>
        <w:rPr>
          <w:sz w:val="24"/>
          <w:szCs w:val="24"/>
          <w:lang w:val="en-GB"/>
        </w:rPr>
      </w:pPr>
      <w:r w:rsidRPr="00902656">
        <w:rPr>
          <w:sz w:val="24"/>
          <w:szCs w:val="24"/>
          <w:lang w:val="en-GB"/>
        </w:rPr>
        <w:t>Evagorou &amp; Markariou</w:t>
      </w:r>
    </w:p>
    <w:p w14:paraId="021EB651" w14:textId="77777777" w:rsidR="00902656" w:rsidRPr="00902656" w:rsidRDefault="00902656" w:rsidP="00902656">
      <w:pPr>
        <w:tabs>
          <w:tab w:val="left" w:pos="851"/>
        </w:tabs>
        <w:ind w:left="851"/>
        <w:rPr>
          <w:sz w:val="24"/>
          <w:szCs w:val="24"/>
          <w:lang w:val="en-GB"/>
        </w:rPr>
      </w:pPr>
      <w:r w:rsidRPr="00902656">
        <w:rPr>
          <w:sz w:val="24"/>
          <w:szCs w:val="24"/>
          <w:lang w:val="en-GB"/>
        </w:rPr>
        <w:t>Mitsi Building 3, Office 115</w:t>
      </w:r>
    </w:p>
    <w:p w14:paraId="6F44FB7E" w14:textId="77777777" w:rsidR="00902656" w:rsidRPr="00902656" w:rsidRDefault="00902656" w:rsidP="00902656">
      <w:pPr>
        <w:tabs>
          <w:tab w:val="left" w:pos="851"/>
        </w:tabs>
        <w:ind w:left="851"/>
        <w:rPr>
          <w:sz w:val="24"/>
          <w:szCs w:val="24"/>
          <w:lang w:val="sv-SE"/>
        </w:rPr>
      </w:pPr>
      <w:r w:rsidRPr="00902656">
        <w:rPr>
          <w:sz w:val="24"/>
          <w:szCs w:val="24"/>
          <w:lang w:val="sv-SE"/>
        </w:rPr>
        <w:t>10 65 Nicosia</w:t>
      </w:r>
    </w:p>
    <w:p w14:paraId="44710836" w14:textId="77777777" w:rsidR="00902656" w:rsidRPr="00902656" w:rsidRDefault="00902656" w:rsidP="00902656">
      <w:pPr>
        <w:tabs>
          <w:tab w:val="left" w:pos="851"/>
        </w:tabs>
        <w:ind w:left="851"/>
        <w:rPr>
          <w:sz w:val="24"/>
          <w:szCs w:val="24"/>
          <w:lang w:val="sv-SE"/>
        </w:rPr>
      </w:pPr>
      <w:r w:rsidRPr="00902656">
        <w:rPr>
          <w:sz w:val="24"/>
          <w:szCs w:val="24"/>
          <w:lang w:val="sv-SE"/>
        </w:rPr>
        <w:t>Cypern</w:t>
      </w:r>
    </w:p>
    <w:p w14:paraId="3F54DEB4" w14:textId="77777777" w:rsidR="00902656" w:rsidRPr="00902656" w:rsidRDefault="00902656" w:rsidP="00902656">
      <w:pPr>
        <w:tabs>
          <w:tab w:val="left" w:pos="851"/>
        </w:tabs>
        <w:ind w:left="851"/>
        <w:rPr>
          <w:sz w:val="24"/>
          <w:szCs w:val="24"/>
          <w:lang w:val="sv-SE"/>
        </w:rPr>
      </w:pPr>
    </w:p>
    <w:p w14:paraId="35F06620" w14:textId="77777777" w:rsidR="00902656" w:rsidRPr="00902656" w:rsidRDefault="00902656" w:rsidP="00902656">
      <w:pPr>
        <w:tabs>
          <w:tab w:val="left" w:pos="851"/>
        </w:tabs>
        <w:ind w:left="851"/>
        <w:rPr>
          <w:sz w:val="24"/>
          <w:szCs w:val="24"/>
          <w:lang w:val="sv-SE"/>
        </w:rPr>
      </w:pPr>
      <w:r w:rsidRPr="00902656">
        <w:rPr>
          <w:b/>
          <w:sz w:val="24"/>
          <w:szCs w:val="24"/>
          <w:lang w:val="sv-SE"/>
        </w:rPr>
        <w:t>Repræsentant</w:t>
      </w:r>
    </w:p>
    <w:p w14:paraId="628A9F15" w14:textId="77777777" w:rsidR="00902656" w:rsidRPr="00902656" w:rsidRDefault="00902656" w:rsidP="00902656">
      <w:pPr>
        <w:tabs>
          <w:tab w:val="left" w:pos="851"/>
        </w:tabs>
        <w:ind w:left="851"/>
        <w:rPr>
          <w:sz w:val="24"/>
          <w:szCs w:val="24"/>
          <w:lang w:val="sv-SE"/>
        </w:rPr>
      </w:pPr>
      <w:r w:rsidRPr="00902656">
        <w:rPr>
          <w:sz w:val="24"/>
          <w:szCs w:val="24"/>
          <w:lang w:val="sv-SE"/>
        </w:rPr>
        <w:t>FrostPharma AB</w:t>
      </w:r>
    </w:p>
    <w:p w14:paraId="7B05D113" w14:textId="77777777" w:rsidR="00902656" w:rsidRPr="00902656" w:rsidRDefault="00902656" w:rsidP="00902656">
      <w:pPr>
        <w:tabs>
          <w:tab w:val="left" w:pos="851"/>
        </w:tabs>
        <w:ind w:left="851"/>
        <w:rPr>
          <w:sz w:val="24"/>
          <w:szCs w:val="24"/>
          <w:lang w:val="sv-SE"/>
        </w:rPr>
      </w:pPr>
      <w:r w:rsidRPr="00902656">
        <w:rPr>
          <w:sz w:val="24"/>
          <w:szCs w:val="24"/>
          <w:lang w:val="sv-SE"/>
        </w:rPr>
        <w:t>Berga Backe 2</w:t>
      </w:r>
    </w:p>
    <w:p w14:paraId="2932CE0C" w14:textId="77777777" w:rsidR="00902656" w:rsidRPr="00902656" w:rsidRDefault="00902656" w:rsidP="00902656">
      <w:pPr>
        <w:tabs>
          <w:tab w:val="left" w:pos="851"/>
        </w:tabs>
        <w:ind w:left="851"/>
        <w:rPr>
          <w:sz w:val="24"/>
          <w:szCs w:val="24"/>
          <w:lang w:val="sv-SE"/>
        </w:rPr>
      </w:pPr>
      <w:r w:rsidRPr="00902656">
        <w:rPr>
          <w:sz w:val="24"/>
          <w:szCs w:val="24"/>
          <w:lang w:val="sv-SE"/>
        </w:rPr>
        <w:t>182 53 Danderyd</w:t>
      </w:r>
    </w:p>
    <w:p w14:paraId="1D177DD9" w14:textId="77777777" w:rsidR="00902656" w:rsidRPr="00902656" w:rsidRDefault="00902656" w:rsidP="00902656">
      <w:pPr>
        <w:tabs>
          <w:tab w:val="left" w:pos="851"/>
        </w:tabs>
        <w:ind w:left="851"/>
        <w:rPr>
          <w:sz w:val="24"/>
          <w:szCs w:val="24"/>
        </w:rPr>
      </w:pPr>
      <w:r w:rsidRPr="00902656">
        <w:rPr>
          <w:sz w:val="24"/>
          <w:szCs w:val="24"/>
        </w:rPr>
        <w:t>Sverige</w:t>
      </w:r>
    </w:p>
    <w:p w14:paraId="61F654B8" w14:textId="77777777" w:rsidR="00641C65" w:rsidRPr="00641C65" w:rsidRDefault="00641C65" w:rsidP="009260DE">
      <w:pPr>
        <w:tabs>
          <w:tab w:val="left" w:pos="851"/>
        </w:tabs>
        <w:ind w:left="851"/>
        <w:rPr>
          <w:sz w:val="24"/>
          <w:szCs w:val="24"/>
        </w:rPr>
      </w:pPr>
    </w:p>
    <w:p w14:paraId="421D0B0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F3E0DB9" w14:textId="3A8A22B3" w:rsidR="009260DE" w:rsidRPr="00C84483" w:rsidRDefault="00902656" w:rsidP="009260DE">
      <w:pPr>
        <w:tabs>
          <w:tab w:val="left" w:pos="851"/>
        </w:tabs>
        <w:ind w:left="851"/>
        <w:rPr>
          <w:sz w:val="24"/>
          <w:szCs w:val="24"/>
        </w:rPr>
      </w:pPr>
      <w:r>
        <w:rPr>
          <w:sz w:val="24"/>
          <w:szCs w:val="24"/>
        </w:rPr>
        <w:t>71959</w:t>
      </w:r>
    </w:p>
    <w:p w14:paraId="3AA152CA" w14:textId="77777777" w:rsidR="009260DE" w:rsidRPr="00C84483" w:rsidRDefault="009260DE" w:rsidP="009260DE">
      <w:pPr>
        <w:tabs>
          <w:tab w:val="left" w:pos="851"/>
        </w:tabs>
        <w:ind w:left="851"/>
        <w:jc w:val="both"/>
        <w:rPr>
          <w:sz w:val="24"/>
          <w:szCs w:val="24"/>
        </w:rPr>
      </w:pPr>
    </w:p>
    <w:p w14:paraId="59F1EE77"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1563854" w14:textId="3F2E60FC" w:rsidR="009260DE" w:rsidRPr="00C84483" w:rsidRDefault="00C84A6C" w:rsidP="009260DE">
      <w:pPr>
        <w:tabs>
          <w:tab w:val="left" w:pos="851"/>
        </w:tabs>
        <w:ind w:left="851"/>
        <w:rPr>
          <w:sz w:val="24"/>
          <w:szCs w:val="24"/>
        </w:rPr>
      </w:pPr>
      <w:r>
        <w:rPr>
          <w:sz w:val="24"/>
          <w:szCs w:val="24"/>
        </w:rPr>
        <w:t>26. november 2024</w:t>
      </w:r>
    </w:p>
    <w:p w14:paraId="53BBB3F9" w14:textId="77777777" w:rsidR="009260DE" w:rsidRPr="00C84483" w:rsidRDefault="009260DE" w:rsidP="009260DE">
      <w:pPr>
        <w:tabs>
          <w:tab w:val="left" w:pos="851"/>
        </w:tabs>
        <w:ind w:left="851"/>
        <w:rPr>
          <w:sz w:val="24"/>
          <w:szCs w:val="24"/>
        </w:rPr>
      </w:pPr>
    </w:p>
    <w:p w14:paraId="62F43FE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F448910" w14:textId="6467366F" w:rsidR="009260DE" w:rsidRPr="00C84483" w:rsidRDefault="00902656"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BED57" w14:textId="77777777" w:rsidR="0001401D" w:rsidRDefault="0001401D">
      <w:r>
        <w:separator/>
      </w:r>
    </w:p>
  </w:endnote>
  <w:endnote w:type="continuationSeparator" w:id="0">
    <w:p w14:paraId="1390D57D" w14:textId="77777777" w:rsidR="0001401D" w:rsidRDefault="0001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E3E4" w14:textId="77777777" w:rsidR="000259B9" w:rsidRDefault="000259B9">
    <w:pPr>
      <w:pStyle w:val="Sidefod"/>
      <w:pBdr>
        <w:bottom w:val="single" w:sz="6" w:space="1" w:color="auto"/>
      </w:pBdr>
    </w:pPr>
  </w:p>
  <w:p w14:paraId="27307D9E" w14:textId="77777777" w:rsidR="000259B9" w:rsidRDefault="000259B9" w:rsidP="00C42586">
    <w:pPr>
      <w:pStyle w:val="Sidefod"/>
      <w:tabs>
        <w:tab w:val="clear" w:pos="4819"/>
        <w:tab w:val="left" w:pos="8505"/>
      </w:tabs>
      <w:rPr>
        <w:i/>
        <w:sz w:val="18"/>
        <w:szCs w:val="18"/>
      </w:rPr>
    </w:pPr>
  </w:p>
  <w:p w14:paraId="0A4FDD6F" w14:textId="7A6E2FD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D3189">
      <w:rPr>
        <w:i/>
        <w:noProof/>
        <w:sz w:val="18"/>
        <w:szCs w:val="18"/>
      </w:rPr>
      <w:t>Metoclopramide Noridem, injektionsvæske, opløsning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A3B0B" w14:textId="77777777" w:rsidR="0001401D" w:rsidRDefault="0001401D">
      <w:r>
        <w:separator/>
      </w:r>
    </w:p>
  </w:footnote>
  <w:footnote w:type="continuationSeparator" w:id="0">
    <w:p w14:paraId="0C05F5FB" w14:textId="77777777" w:rsidR="0001401D" w:rsidRDefault="00014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204E85"/>
    <w:multiLevelType w:val="hybridMultilevel"/>
    <w:tmpl w:val="19D2CE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E0D7146"/>
    <w:multiLevelType w:val="hybridMultilevel"/>
    <w:tmpl w:val="ACA269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0F0296B"/>
    <w:multiLevelType w:val="multilevel"/>
    <w:tmpl w:val="64C0A350"/>
    <w:lvl w:ilvl="0">
      <w:start w:val="1"/>
      <w:numFmt w:val="bullet"/>
      <w:lvlText w:val="-"/>
      <w:lvlJc w:val="left"/>
      <w:pPr>
        <w:ind w:left="0" w:firstLine="0"/>
      </w:pPr>
      <w:rPr>
        <w:rFonts w:ascii="Verdana" w:eastAsia="Verdana" w:hAnsi="Verdana" w:cs="Verdana"/>
        <w:b w:val="0"/>
        <w:bCs w:val="0"/>
        <w:i w:val="0"/>
        <w:iCs w:val="0"/>
        <w:smallCaps w:val="0"/>
        <w:strike w:val="0"/>
        <w:dstrike w:val="0"/>
        <w:color w:val="000000"/>
        <w:spacing w:val="0"/>
        <w:w w:val="100"/>
        <w:position w:val="0"/>
        <w:sz w:val="18"/>
        <w:szCs w:val="1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C793CA1"/>
    <w:multiLevelType w:val="hybridMultilevel"/>
    <w:tmpl w:val="6338D5B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75E63AD3"/>
    <w:multiLevelType w:val="multilevel"/>
    <w:tmpl w:val="95C8B55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8"/>
        <w:szCs w:val="1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1D"/>
    <w:rsid w:val="0001401D"/>
    <w:rsid w:val="000259B9"/>
    <w:rsid w:val="00041491"/>
    <w:rsid w:val="00050D16"/>
    <w:rsid w:val="000730CA"/>
    <w:rsid w:val="00074F2A"/>
    <w:rsid w:val="000A1CA8"/>
    <w:rsid w:val="000A466B"/>
    <w:rsid w:val="000B058C"/>
    <w:rsid w:val="000D68B0"/>
    <w:rsid w:val="000E4EE6"/>
    <w:rsid w:val="001454E2"/>
    <w:rsid w:val="00206CE8"/>
    <w:rsid w:val="00212525"/>
    <w:rsid w:val="0021526C"/>
    <w:rsid w:val="00283A2B"/>
    <w:rsid w:val="002B30AD"/>
    <w:rsid w:val="002C1EC0"/>
    <w:rsid w:val="002C2C01"/>
    <w:rsid w:val="002F4429"/>
    <w:rsid w:val="003A29AE"/>
    <w:rsid w:val="003A32D7"/>
    <w:rsid w:val="003B4074"/>
    <w:rsid w:val="003C769A"/>
    <w:rsid w:val="003D3A90"/>
    <w:rsid w:val="003F1838"/>
    <w:rsid w:val="004251C1"/>
    <w:rsid w:val="0045746C"/>
    <w:rsid w:val="0046321C"/>
    <w:rsid w:val="0049104B"/>
    <w:rsid w:val="004E3B12"/>
    <w:rsid w:val="004F25D4"/>
    <w:rsid w:val="00532310"/>
    <w:rsid w:val="00565F0F"/>
    <w:rsid w:val="00571EB6"/>
    <w:rsid w:val="00594A86"/>
    <w:rsid w:val="00596D86"/>
    <w:rsid w:val="00637F5A"/>
    <w:rsid w:val="00641C65"/>
    <w:rsid w:val="00643D90"/>
    <w:rsid w:val="006560B1"/>
    <w:rsid w:val="006756DD"/>
    <w:rsid w:val="00694AB4"/>
    <w:rsid w:val="006E77E6"/>
    <w:rsid w:val="0071241E"/>
    <w:rsid w:val="00717DDC"/>
    <w:rsid w:val="00737275"/>
    <w:rsid w:val="00740EEC"/>
    <w:rsid w:val="0078011A"/>
    <w:rsid w:val="00782AF4"/>
    <w:rsid w:val="00790EE7"/>
    <w:rsid w:val="007B6649"/>
    <w:rsid w:val="0082576E"/>
    <w:rsid w:val="008477C5"/>
    <w:rsid w:val="0089346F"/>
    <w:rsid w:val="008D3330"/>
    <w:rsid w:val="00902656"/>
    <w:rsid w:val="00907F75"/>
    <w:rsid w:val="009260DE"/>
    <w:rsid w:val="0093258A"/>
    <w:rsid w:val="009C7BA3"/>
    <w:rsid w:val="009D1F5A"/>
    <w:rsid w:val="00A10294"/>
    <w:rsid w:val="00A71E3E"/>
    <w:rsid w:val="00AD3189"/>
    <w:rsid w:val="00B003BF"/>
    <w:rsid w:val="00B373D7"/>
    <w:rsid w:val="00B55271"/>
    <w:rsid w:val="00BD7931"/>
    <w:rsid w:val="00BF6243"/>
    <w:rsid w:val="00C36276"/>
    <w:rsid w:val="00C42586"/>
    <w:rsid w:val="00C45F6B"/>
    <w:rsid w:val="00C60CCD"/>
    <w:rsid w:val="00C84483"/>
    <w:rsid w:val="00C84A6C"/>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D7E8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67650"/>
  <w15:chartTrackingRefBased/>
  <w15:docId w15:val="{F49E6D39-12B3-4742-A922-92FB2D1B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3">
    <w:name w:val="Body text (3)_"/>
    <w:basedOn w:val="Standardskrifttypeiafsnit"/>
    <w:link w:val="Bodytext30"/>
    <w:locked/>
    <w:rsid w:val="00ED7E87"/>
    <w:rPr>
      <w:rFonts w:ascii="Verdana" w:eastAsia="Verdana" w:hAnsi="Verdana" w:cs="Verdana"/>
      <w:i/>
      <w:iCs/>
      <w:sz w:val="18"/>
      <w:szCs w:val="18"/>
      <w:shd w:val="clear" w:color="auto" w:fill="FFFFFF"/>
    </w:rPr>
  </w:style>
  <w:style w:type="paragraph" w:customStyle="1" w:styleId="Bodytext30">
    <w:name w:val="Body text (3)"/>
    <w:basedOn w:val="Normal"/>
    <w:link w:val="Bodytext3"/>
    <w:rsid w:val="00ED7E87"/>
    <w:pPr>
      <w:widowControl w:val="0"/>
      <w:shd w:val="clear" w:color="auto" w:fill="FFFFFF"/>
      <w:spacing w:before="220" w:after="460" w:line="221" w:lineRule="exact"/>
    </w:pPr>
    <w:rPr>
      <w:rFonts w:ascii="Verdana" w:eastAsia="Verdana" w:hAnsi="Verdana" w:cs="Verdana"/>
      <w:i/>
      <w:iCs/>
      <w:sz w:val="18"/>
      <w:szCs w:val="18"/>
      <w:lang w:eastAsia="da-DK"/>
    </w:rPr>
  </w:style>
  <w:style w:type="character" w:customStyle="1" w:styleId="Bodytext2">
    <w:name w:val="Body text (2)_"/>
    <w:basedOn w:val="Standardskrifttypeiafsnit"/>
    <w:link w:val="Bodytext20"/>
    <w:locked/>
    <w:rsid w:val="00ED7E87"/>
    <w:rPr>
      <w:rFonts w:ascii="Verdana" w:eastAsia="Verdana" w:hAnsi="Verdana" w:cs="Verdana"/>
      <w:sz w:val="18"/>
      <w:szCs w:val="18"/>
      <w:shd w:val="clear" w:color="auto" w:fill="FFFFFF"/>
    </w:rPr>
  </w:style>
  <w:style w:type="paragraph" w:customStyle="1" w:styleId="Bodytext20">
    <w:name w:val="Body text (2)"/>
    <w:basedOn w:val="Normal"/>
    <w:link w:val="Bodytext2"/>
    <w:rsid w:val="00ED7E87"/>
    <w:pPr>
      <w:widowControl w:val="0"/>
      <w:shd w:val="clear" w:color="auto" w:fill="FFFFFF"/>
      <w:spacing w:line="336" w:lineRule="exact"/>
      <w:ind w:hanging="600"/>
    </w:pPr>
    <w:rPr>
      <w:rFonts w:ascii="Verdana" w:eastAsia="Verdana" w:hAnsi="Verdana" w:cs="Verdana"/>
      <w:sz w:val="18"/>
      <w:szCs w:val="18"/>
      <w:lang w:eastAsia="da-DK"/>
    </w:rPr>
  </w:style>
  <w:style w:type="paragraph" w:styleId="Listeafsnit">
    <w:name w:val="List Paragraph"/>
    <w:basedOn w:val="Normal"/>
    <w:uiPriority w:val="34"/>
    <w:qFormat/>
    <w:rsid w:val="002F4429"/>
    <w:pPr>
      <w:ind w:left="720"/>
      <w:contextualSpacing/>
    </w:pPr>
  </w:style>
  <w:style w:type="character" w:customStyle="1" w:styleId="Heading2">
    <w:name w:val="Heading #2_"/>
    <w:basedOn w:val="Standardskrifttypeiafsnit"/>
    <w:link w:val="Heading20"/>
    <w:locked/>
    <w:rsid w:val="006E77E6"/>
    <w:rPr>
      <w:rFonts w:ascii="Verdana" w:eastAsia="Verdana" w:hAnsi="Verdana" w:cs="Verdana"/>
      <w:b/>
      <w:bCs/>
      <w:sz w:val="18"/>
      <w:szCs w:val="18"/>
      <w:shd w:val="clear" w:color="auto" w:fill="FFFFFF"/>
    </w:rPr>
  </w:style>
  <w:style w:type="paragraph" w:customStyle="1" w:styleId="Heading20">
    <w:name w:val="Heading #2"/>
    <w:basedOn w:val="Normal"/>
    <w:link w:val="Heading2"/>
    <w:rsid w:val="006E77E6"/>
    <w:pPr>
      <w:widowControl w:val="0"/>
      <w:shd w:val="clear" w:color="auto" w:fill="FFFFFF"/>
      <w:spacing w:after="220" w:line="218" w:lineRule="exact"/>
      <w:ind w:hanging="600"/>
      <w:jc w:val="center"/>
      <w:outlineLvl w:val="1"/>
    </w:pPr>
    <w:rPr>
      <w:rFonts w:ascii="Verdana" w:eastAsia="Verdana" w:hAnsi="Verdana" w:cs="Verdana"/>
      <w:b/>
      <w:bCs/>
      <w:sz w:val="18"/>
      <w:szCs w:val="18"/>
      <w:lang w:eastAsia="da-DK"/>
    </w:rPr>
  </w:style>
  <w:style w:type="character" w:customStyle="1" w:styleId="Bodytext2Bold">
    <w:name w:val="Body text (2) + Bold"/>
    <w:basedOn w:val="Bodytext2"/>
    <w:rsid w:val="006E77E6"/>
    <w:rPr>
      <w:rFonts w:ascii="Verdana" w:eastAsia="Verdana" w:hAnsi="Verdana" w:cs="Verdana"/>
      <w:b/>
      <w:bCs/>
      <w:color w:val="000000"/>
      <w:spacing w:val="0"/>
      <w:w w:val="100"/>
      <w:position w:val="0"/>
      <w:sz w:val="18"/>
      <w:szCs w:val="18"/>
      <w:shd w:val="clear" w:color="auto" w:fill="FFFFFF"/>
      <w:lang w:val="da-DK" w:eastAsia="en-US" w:bidi="en-US"/>
    </w:rPr>
  </w:style>
  <w:style w:type="character" w:styleId="Hyperlink">
    <w:name w:val="Hyperlink"/>
    <w:basedOn w:val="Standardskrifttypeiafsnit"/>
    <w:uiPriority w:val="99"/>
    <w:unhideWhenUsed/>
    <w:rsid w:val="006E77E6"/>
    <w:rPr>
      <w:color w:val="0000FF"/>
      <w:u w:val="single"/>
    </w:rPr>
  </w:style>
  <w:style w:type="character" w:styleId="Ulstomtale">
    <w:name w:val="Unresolved Mention"/>
    <w:basedOn w:val="Standardskrifttypeiafsnit"/>
    <w:uiPriority w:val="99"/>
    <w:semiHidden/>
    <w:unhideWhenUsed/>
    <w:rsid w:val="00643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74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026947">
      <w:bodyDiv w:val="1"/>
      <w:marLeft w:val="0"/>
      <w:marRight w:val="0"/>
      <w:marTop w:val="0"/>
      <w:marBottom w:val="0"/>
      <w:divBdr>
        <w:top w:val="none" w:sz="0" w:space="0" w:color="auto"/>
        <w:left w:val="none" w:sz="0" w:space="0" w:color="auto"/>
        <w:bottom w:val="none" w:sz="0" w:space="0" w:color="auto"/>
        <w:right w:val="none" w:sz="0" w:space="0" w:color="auto"/>
      </w:divBdr>
    </w:div>
    <w:div w:id="238365495">
      <w:bodyDiv w:val="1"/>
      <w:marLeft w:val="0"/>
      <w:marRight w:val="0"/>
      <w:marTop w:val="0"/>
      <w:marBottom w:val="0"/>
      <w:divBdr>
        <w:top w:val="none" w:sz="0" w:space="0" w:color="auto"/>
        <w:left w:val="none" w:sz="0" w:space="0" w:color="auto"/>
        <w:bottom w:val="none" w:sz="0" w:space="0" w:color="auto"/>
        <w:right w:val="none" w:sz="0" w:space="0" w:color="auto"/>
      </w:divBdr>
    </w:div>
    <w:div w:id="257715817">
      <w:bodyDiv w:val="1"/>
      <w:marLeft w:val="0"/>
      <w:marRight w:val="0"/>
      <w:marTop w:val="0"/>
      <w:marBottom w:val="0"/>
      <w:divBdr>
        <w:top w:val="none" w:sz="0" w:space="0" w:color="auto"/>
        <w:left w:val="none" w:sz="0" w:space="0" w:color="auto"/>
        <w:bottom w:val="none" w:sz="0" w:space="0" w:color="auto"/>
        <w:right w:val="none" w:sz="0" w:space="0" w:color="auto"/>
      </w:divBdr>
    </w:div>
    <w:div w:id="282001818">
      <w:bodyDiv w:val="1"/>
      <w:marLeft w:val="0"/>
      <w:marRight w:val="0"/>
      <w:marTop w:val="0"/>
      <w:marBottom w:val="0"/>
      <w:divBdr>
        <w:top w:val="none" w:sz="0" w:space="0" w:color="auto"/>
        <w:left w:val="none" w:sz="0" w:space="0" w:color="auto"/>
        <w:bottom w:val="none" w:sz="0" w:space="0" w:color="auto"/>
        <w:right w:val="none" w:sz="0" w:space="0" w:color="auto"/>
      </w:divBdr>
    </w:div>
    <w:div w:id="317685672">
      <w:bodyDiv w:val="1"/>
      <w:marLeft w:val="0"/>
      <w:marRight w:val="0"/>
      <w:marTop w:val="0"/>
      <w:marBottom w:val="0"/>
      <w:divBdr>
        <w:top w:val="none" w:sz="0" w:space="0" w:color="auto"/>
        <w:left w:val="none" w:sz="0" w:space="0" w:color="auto"/>
        <w:bottom w:val="none" w:sz="0" w:space="0" w:color="auto"/>
        <w:right w:val="none" w:sz="0" w:space="0" w:color="auto"/>
      </w:divBdr>
    </w:div>
    <w:div w:id="353577123">
      <w:bodyDiv w:val="1"/>
      <w:marLeft w:val="0"/>
      <w:marRight w:val="0"/>
      <w:marTop w:val="0"/>
      <w:marBottom w:val="0"/>
      <w:divBdr>
        <w:top w:val="none" w:sz="0" w:space="0" w:color="auto"/>
        <w:left w:val="none" w:sz="0" w:space="0" w:color="auto"/>
        <w:bottom w:val="none" w:sz="0" w:space="0" w:color="auto"/>
        <w:right w:val="none" w:sz="0" w:space="0" w:color="auto"/>
      </w:divBdr>
    </w:div>
    <w:div w:id="481501994">
      <w:bodyDiv w:val="1"/>
      <w:marLeft w:val="0"/>
      <w:marRight w:val="0"/>
      <w:marTop w:val="0"/>
      <w:marBottom w:val="0"/>
      <w:divBdr>
        <w:top w:val="none" w:sz="0" w:space="0" w:color="auto"/>
        <w:left w:val="none" w:sz="0" w:space="0" w:color="auto"/>
        <w:bottom w:val="none" w:sz="0" w:space="0" w:color="auto"/>
        <w:right w:val="none" w:sz="0" w:space="0" w:color="auto"/>
      </w:divBdr>
    </w:div>
    <w:div w:id="600454301">
      <w:bodyDiv w:val="1"/>
      <w:marLeft w:val="0"/>
      <w:marRight w:val="0"/>
      <w:marTop w:val="0"/>
      <w:marBottom w:val="0"/>
      <w:divBdr>
        <w:top w:val="none" w:sz="0" w:space="0" w:color="auto"/>
        <w:left w:val="none" w:sz="0" w:space="0" w:color="auto"/>
        <w:bottom w:val="none" w:sz="0" w:space="0" w:color="auto"/>
        <w:right w:val="none" w:sz="0" w:space="0" w:color="auto"/>
      </w:divBdr>
    </w:div>
    <w:div w:id="625893292">
      <w:bodyDiv w:val="1"/>
      <w:marLeft w:val="0"/>
      <w:marRight w:val="0"/>
      <w:marTop w:val="0"/>
      <w:marBottom w:val="0"/>
      <w:divBdr>
        <w:top w:val="none" w:sz="0" w:space="0" w:color="auto"/>
        <w:left w:val="none" w:sz="0" w:space="0" w:color="auto"/>
        <w:bottom w:val="none" w:sz="0" w:space="0" w:color="auto"/>
        <w:right w:val="none" w:sz="0" w:space="0" w:color="auto"/>
      </w:divBdr>
    </w:div>
    <w:div w:id="648218559">
      <w:bodyDiv w:val="1"/>
      <w:marLeft w:val="0"/>
      <w:marRight w:val="0"/>
      <w:marTop w:val="0"/>
      <w:marBottom w:val="0"/>
      <w:divBdr>
        <w:top w:val="none" w:sz="0" w:space="0" w:color="auto"/>
        <w:left w:val="none" w:sz="0" w:space="0" w:color="auto"/>
        <w:bottom w:val="none" w:sz="0" w:space="0" w:color="auto"/>
        <w:right w:val="none" w:sz="0" w:space="0" w:color="auto"/>
      </w:divBdr>
    </w:div>
    <w:div w:id="657734259">
      <w:bodyDiv w:val="1"/>
      <w:marLeft w:val="0"/>
      <w:marRight w:val="0"/>
      <w:marTop w:val="0"/>
      <w:marBottom w:val="0"/>
      <w:divBdr>
        <w:top w:val="none" w:sz="0" w:space="0" w:color="auto"/>
        <w:left w:val="none" w:sz="0" w:space="0" w:color="auto"/>
        <w:bottom w:val="none" w:sz="0" w:space="0" w:color="auto"/>
        <w:right w:val="none" w:sz="0" w:space="0" w:color="auto"/>
      </w:divBdr>
    </w:div>
    <w:div w:id="748887184">
      <w:bodyDiv w:val="1"/>
      <w:marLeft w:val="0"/>
      <w:marRight w:val="0"/>
      <w:marTop w:val="0"/>
      <w:marBottom w:val="0"/>
      <w:divBdr>
        <w:top w:val="none" w:sz="0" w:space="0" w:color="auto"/>
        <w:left w:val="none" w:sz="0" w:space="0" w:color="auto"/>
        <w:bottom w:val="none" w:sz="0" w:space="0" w:color="auto"/>
        <w:right w:val="none" w:sz="0" w:space="0" w:color="auto"/>
      </w:divBdr>
    </w:div>
    <w:div w:id="776565705">
      <w:bodyDiv w:val="1"/>
      <w:marLeft w:val="0"/>
      <w:marRight w:val="0"/>
      <w:marTop w:val="0"/>
      <w:marBottom w:val="0"/>
      <w:divBdr>
        <w:top w:val="none" w:sz="0" w:space="0" w:color="auto"/>
        <w:left w:val="none" w:sz="0" w:space="0" w:color="auto"/>
        <w:bottom w:val="none" w:sz="0" w:space="0" w:color="auto"/>
        <w:right w:val="none" w:sz="0" w:space="0" w:color="auto"/>
      </w:divBdr>
    </w:div>
    <w:div w:id="826284721">
      <w:bodyDiv w:val="1"/>
      <w:marLeft w:val="0"/>
      <w:marRight w:val="0"/>
      <w:marTop w:val="0"/>
      <w:marBottom w:val="0"/>
      <w:divBdr>
        <w:top w:val="none" w:sz="0" w:space="0" w:color="auto"/>
        <w:left w:val="none" w:sz="0" w:space="0" w:color="auto"/>
        <w:bottom w:val="none" w:sz="0" w:space="0" w:color="auto"/>
        <w:right w:val="none" w:sz="0" w:space="0" w:color="auto"/>
      </w:divBdr>
    </w:div>
    <w:div w:id="875889460">
      <w:bodyDiv w:val="1"/>
      <w:marLeft w:val="0"/>
      <w:marRight w:val="0"/>
      <w:marTop w:val="0"/>
      <w:marBottom w:val="0"/>
      <w:divBdr>
        <w:top w:val="none" w:sz="0" w:space="0" w:color="auto"/>
        <w:left w:val="none" w:sz="0" w:space="0" w:color="auto"/>
        <w:bottom w:val="none" w:sz="0" w:space="0" w:color="auto"/>
        <w:right w:val="none" w:sz="0" w:space="0" w:color="auto"/>
      </w:divBdr>
    </w:div>
    <w:div w:id="889652498">
      <w:bodyDiv w:val="1"/>
      <w:marLeft w:val="0"/>
      <w:marRight w:val="0"/>
      <w:marTop w:val="0"/>
      <w:marBottom w:val="0"/>
      <w:divBdr>
        <w:top w:val="none" w:sz="0" w:space="0" w:color="auto"/>
        <w:left w:val="none" w:sz="0" w:space="0" w:color="auto"/>
        <w:bottom w:val="none" w:sz="0" w:space="0" w:color="auto"/>
        <w:right w:val="none" w:sz="0" w:space="0" w:color="auto"/>
      </w:divBdr>
    </w:div>
    <w:div w:id="898638453">
      <w:bodyDiv w:val="1"/>
      <w:marLeft w:val="0"/>
      <w:marRight w:val="0"/>
      <w:marTop w:val="0"/>
      <w:marBottom w:val="0"/>
      <w:divBdr>
        <w:top w:val="none" w:sz="0" w:space="0" w:color="auto"/>
        <w:left w:val="none" w:sz="0" w:space="0" w:color="auto"/>
        <w:bottom w:val="none" w:sz="0" w:space="0" w:color="auto"/>
        <w:right w:val="none" w:sz="0" w:space="0" w:color="auto"/>
      </w:divBdr>
    </w:div>
    <w:div w:id="925530479">
      <w:bodyDiv w:val="1"/>
      <w:marLeft w:val="0"/>
      <w:marRight w:val="0"/>
      <w:marTop w:val="0"/>
      <w:marBottom w:val="0"/>
      <w:divBdr>
        <w:top w:val="none" w:sz="0" w:space="0" w:color="auto"/>
        <w:left w:val="none" w:sz="0" w:space="0" w:color="auto"/>
        <w:bottom w:val="none" w:sz="0" w:space="0" w:color="auto"/>
        <w:right w:val="none" w:sz="0" w:space="0" w:color="auto"/>
      </w:divBdr>
    </w:div>
    <w:div w:id="929119570">
      <w:bodyDiv w:val="1"/>
      <w:marLeft w:val="0"/>
      <w:marRight w:val="0"/>
      <w:marTop w:val="0"/>
      <w:marBottom w:val="0"/>
      <w:divBdr>
        <w:top w:val="none" w:sz="0" w:space="0" w:color="auto"/>
        <w:left w:val="none" w:sz="0" w:space="0" w:color="auto"/>
        <w:bottom w:val="none" w:sz="0" w:space="0" w:color="auto"/>
        <w:right w:val="none" w:sz="0" w:space="0" w:color="auto"/>
      </w:divBdr>
    </w:div>
    <w:div w:id="959068782">
      <w:bodyDiv w:val="1"/>
      <w:marLeft w:val="0"/>
      <w:marRight w:val="0"/>
      <w:marTop w:val="0"/>
      <w:marBottom w:val="0"/>
      <w:divBdr>
        <w:top w:val="none" w:sz="0" w:space="0" w:color="auto"/>
        <w:left w:val="none" w:sz="0" w:space="0" w:color="auto"/>
        <w:bottom w:val="none" w:sz="0" w:space="0" w:color="auto"/>
        <w:right w:val="none" w:sz="0" w:space="0" w:color="auto"/>
      </w:divBdr>
    </w:div>
    <w:div w:id="961611609">
      <w:bodyDiv w:val="1"/>
      <w:marLeft w:val="0"/>
      <w:marRight w:val="0"/>
      <w:marTop w:val="0"/>
      <w:marBottom w:val="0"/>
      <w:divBdr>
        <w:top w:val="none" w:sz="0" w:space="0" w:color="auto"/>
        <w:left w:val="none" w:sz="0" w:space="0" w:color="auto"/>
        <w:bottom w:val="none" w:sz="0" w:space="0" w:color="auto"/>
        <w:right w:val="none" w:sz="0" w:space="0" w:color="auto"/>
      </w:divBdr>
    </w:div>
    <w:div w:id="976645603">
      <w:bodyDiv w:val="1"/>
      <w:marLeft w:val="0"/>
      <w:marRight w:val="0"/>
      <w:marTop w:val="0"/>
      <w:marBottom w:val="0"/>
      <w:divBdr>
        <w:top w:val="none" w:sz="0" w:space="0" w:color="auto"/>
        <w:left w:val="none" w:sz="0" w:space="0" w:color="auto"/>
        <w:bottom w:val="none" w:sz="0" w:space="0" w:color="auto"/>
        <w:right w:val="none" w:sz="0" w:space="0" w:color="auto"/>
      </w:divBdr>
    </w:div>
    <w:div w:id="994183890">
      <w:bodyDiv w:val="1"/>
      <w:marLeft w:val="0"/>
      <w:marRight w:val="0"/>
      <w:marTop w:val="0"/>
      <w:marBottom w:val="0"/>
      <w:divBdr>
        <w:top w:val="none" w:sz="0" w:space="0" w:color="auto"/>
        <w:left w:val="none" w:sz="0" w:space="0" w:color="auto"/>
        <w:bottom w:val="none" w:sz="0" w:space="0" w:color="auto"/>
        <w:right w:val="none" w:sz="0" w:space="0" w:color="auto"/>
      </w:divBdr>
    </w:div>
    <w:div w:id="1123691773">
      <w:bodyDiv w:val="1"/>
      <w:marLeft w:val="0"/>
      <w:marRight w:val="0"/>
      <w:marTop w:val="0"/>
      <w:marBottom w:val="0"/>
      <w:divBdr>
        <w:top w:val="none" w:sz="0" w:space="0" w:color="auto"/>
        <w:left w:val="none" w:sz="0" w:space="0" w:color="auto"/>
        <w:bottom w:val="none" w:sz="0" w:space="0" w:color="auto"/>
        <w:right w:val="none" w:sz="0" w:space="0" w:color="auto"/>
      </w:divBdr>
    </w:div>
    <w:div w:id="1124885882">
      <w:bodyDiv w:val="1"/>
      <w:marLeft w:val="0"/>
      <w:marRight w:val="0"/>
      <w:marTop w:val="0"/>
      <w:marBottom w:val="0"/>
      <w:divBdr>
        <w:top w:val="none" w:sz="0" w:space="0" w:color="auto"/>
        <w:left w:val="none" w:sz="0" w:space="0" w:color="auto"/>
        <w:bottom w:val="none" w:sz="0" w:space="0" w:color="auto"/>
        <w:right w:val="none" w:sz="0" w:space="0" w:color="auto"/>
      </w:divBdr>
    </w:div>
    <w:div w:id="1318192683">
      <w:bodyDiv w:val="1"/>
      <w:marLeft w:val="0"/>
      <w:marRight w:val="0"/>
      <w:marTop w:val="0"/>
      <w:marBottom w:val="0"/>
      <w:divBdr>
        <w:top w:val="none" w:sz="0" w:space="0" w:color="auto"/>
        <w:left w:val="none" w:sz="0" w:space="0" w:color="auto"/>
        <w:bottom w:val="none" w:sz="0" w:space="0" w:color="auto"/>
        <w:right w:val="none" w:sz="0" w:space="0" w:color="auto"/>
      </w:divBdr>
    </w:div>
    <w:div w:id="1383215665">
      <w:bodyDiv w:val="1"/>
      <w:marLeft w:val="0"/>
      <w:marRight w:val="0"/>
      <w:marTop w:val="0"/>
      <w:marBottom w:val="0"/>
      <w:divBdr>
        <w:top w:val="none" w:sz="0" w:space="0" w:color="auto"/>
        <w:left w:val="none" w:sz="0" w:space="0" w:color="auto"/>
        <w:bottom w:val="none" w:sz="0" w:space="0" w:color="auto"/>
        <w:right w:val="none" w:sz="0" w:space="0" w:color="auto"/>
      </w:divBdr>
    </w:div>
    <w:div w:id="1394936477">
      <w:bodyDiv w:val="1"/>
      <w:marLeft w:val="0"/>
      <w:marRight w:val="0"/>
      <w:marTop w:val="0"/>
      <w:marBottom w:val="0"/>
      <w:divBdr>
        <w:top w:val="none" w:sz="0" w:space="0" w:color="auto"/>
        <w:left w:val="none" w:sz="0" w:space="0" w:color="auto"/>
        <w:bottom w:val="none" w:sz="0" w:space="0" w:color="auto"/>
        <w:right w:val="none" w:sz="0" w:space="0" w:color="auto"/>
      </w:divBdr>
    </w:div>
    <w:div w:id="1505169103">
      <w:bodyDiv w:val="1"/>
      <w:marLeft w:val="0"/>
      <w:marRight w:val="0"/>
      <w:marTop w:val="0"/>
      <w:marBottom w:val="0"/>
      <w:divBdr>
        <w:top w:val="none" w:sz="0" w:space="0" w:color="auto"/>
        <w:left w:val="none" w:sz="0" w:space="0" w:color="auto"/>
        <w:bottom w:val="none" w:sz="0" w:space="0" w:color="auto"/>
        <w:right w:val="none" w:sz="0" w:space="0" w:color="auto"/>
      </w:divBdr>
    </w:div>
    <w:div w:id="1593658687">
      <w:bodyDiv w:val="1"/>
      <w:marLeft w:val="0"/>
      <w:marRight w:val="0"/>
      <w:marTop w:val="0"/>
      <w:marBottom w:val="0"/>
      <w:divBdr>
        <w:top w:val="none" w:sz="0" w:space="0" w:color="auto"/>
        <w:left w:val="none" w:sz="0" w:space="0" w:color="auto"/>
        <w:bottom w:val="none" w:sz="0" w:space="0" w:color="auto"/>
        <w:right w:val="none" w:sz="0" w:space="0" w:color="auto"/>
      </w:divBdr>
    </w:div>
    <w:div w:id="1638875717">
      <w:bodyDiv w:val="1"/>
      <w:marLeft w:val="0"/>
      <w:marRight w:val="0"/>
      <w:marTop w:val="0"/>
      <w:marBottom w:val="0"/>
      <w:divBdr>
        <w:top w:val="none" w:sz="0" w:space="0" w:color="auto"/>
        <w:left w:val="none" w:sz="0" w:space="0" w:color="auto"/>
        <w:bottom w:val="none" w:sz="0" w:space="0" w:color="auto"/>
        <w:right w:val="none" w:sz="0" w:space="0" w:color="auto"/>
      </w:divBdr>
    </w:div>
    <w:div w:id="1647315280">
      <w:bodyDiv w:val="1"/>
      <w:marLeft w:val="0"/>
      <w:marRight w:val="0"/>
      <w:marTop w:val="0"/>
      <w:marBottom w:val="0"/>
      <w:divBdr>
        <w:top w:val="none" w:sz="0" w:space="0" w:color="auto"/>
        <w:left w:val="none" w:sz="0" w:space="0" w:color="auto"/>
        <w:bottom w:val="none" w:sz="0" w:space="0" w:color="auto"/>
        <w:right w:val="none" w:sz="0" w:space="0" w:color="auto"/>
      </w:divBdr>
    </w:div>
    <w:div w:id="1669794530">
      <w:bodyDiv w:val="1"/>
      <w:marLeft w:val="0"/>
      <w:marRight w:val="0"/>
      <w:marTop w:val="0"/>
      <w:marBottom w:val="0"/>
      <w:divBdr>
        <w:top w:val="none" w:sz="0" w:space="0" w:color="auto"/>
        <w:left w:val="none" w:sz="0" w:space="0" w:color="auto"/>
        <w:bottom w:val="none" w:sz="0" w:space="0" w:color="auto"/>
        <w:right w:val="none" w:sz="0" w:space="0" w:color="auto"/>
      </w:divBdr>
    </w:div>
    <w:div w:id="1697848954">
      <w:bodyDiv w:val="1"/>
      <w:marLeft w:val="0"/>
      <w:marRight w:val="0"/>
      <w:marTop w:val="0"/>
      <w:marBottom w:val="0"/>
      <w:divBdr>
        <w:top w:val="none" w:sz="0" w:space="0" w:color="auto"/>
        <w:left w:val="none" w:sz="0" w:space="0" w:color="auto"/>
        <w:bottom w:val="none" w:sz="0" w:space="0" w:color="auto"/>
        <w:right w:val="none" w:sz="0" w:space="0" w:color="auto"/>
      </w:divBdr>
    </w:div>
    <w:div w:id="1770078074">
      <w:bodyDiv w:val="1"/>
      <w:marLeft w:val="0"/>
      <w:marRight w:val="0"/>
      <w:marTop w:val="0"/>
      <w:marBottom w:val="0"/>
      <w:divBdr>
        <w:top w:val="none" w:sz="0" w:space="0" w:color="auto"/>
        <w:left w:val="none" w:sz="0" w:space="0" w:color="auto"/>
        <w:bottom w:val="none" w:sz="0" w:space="0" w:color="auto"/>
        <w:right w:val="none" w:sz="0" w:space="0" w:color="auto"/>
      </w:divBdr>
    </w:div>
    <w:div w:id="1778980595">
      <w:bodyDiv w:val="1"/>
      <w:marLeft w:val="0"/>
      <w:marRight w:val="0"/>
      <w:marTop w:val="0"/>
      <w:marBottom w:val="0"/>
      <w:divBdr>
        <w:top w:val="none" w:sz="0" w:space="0" w:color="auto"/>
        <w:left w:val="none" w:sz="0" w:space="0" w:color="auto"/>
        <w:bottom w:val="none" w:sz="0" w:space="0" w:color="auto"/>
        <w:right w:val="none" w:sz="0" w:space="0" w:color="auto"/>
      </w:divBdr>
    </w:div>
    <w:div w:id="1833791334">
      <w:bodyDiv w:val="1"/>
      <w:marLeft w:val="0"/>
      <w:marRight w:val="0"/>
      <w:marTop w:val="0"/>
      <w:marBottom w:val="0"/>
      <w:divBdr>
        <w:top w:val="none" w:sz="0" w:space="0" w:color="auto"/>
        <w:left w:val="none" w:sz="0" w:space="0" w:color="auto"/>
        <w:bottom w:val="none" w:sz="0" w:space="0" w:color="auto"/>
        <w:right w:val="none" w:sz="0" w:space="0" w:color="auto"/>
      </w:divBdr>
    </w:div>
    <w:div w:id="1854219092">
      <w:bodyDiv w:val="1"/>
      <w:marLeft w:val="0"/>
      <w:marRight w:val="0"/>
      <w:marTop w:val="0"/>
      <w:marBottom w:val="0"/>
      <w:divBdr>
        <w:top w:val="none" w:sz="0" w:space="0" w:color="auto"/>
        <w:left w:val="none" w:sz="0" w:space="0" w:color="auto"/>
        <w:bottom w:val="none" w:sz="0" w:space="0" w:color="auto"/>
        <w:right w:val="none" w:sz="0" w:space="0" w:color="auto"/>
      </w:divBdr>
    </w:div>
    <w:div w:id="1880236847">
      <w:bodyDiv w:val="1"/>
      <w:marLeft w:val="0"/>
      <w:marRight w:val="0"/>
      <w:marTop w:val="0"/>
      <w:marBottom w:val="0"/>
      <w:divBdr>
        <w:top w:val="none" w:sz="0" w:space="0" w:color="auto"/>
        <w:left w:val="none" w:sz="0" w:space="0" w:color="auto"/>
        <w:bottom w:val="none" w:sz="0" w:space="0" w:color="auto"/>
        <w:right w:val="none" w:sz="0" w:space="0" w:color="auto"/>
      </w:divBdr>
    </w:div>
    <w:div w:id="1952661267">
      <w:bodyDiv w:val="1"/>
      <w:marLeft w:val="0"/>
      <w:marRight w:val="0"/>
      <w:marTop w:val="0"/>
      <w:marBottom w:val="0"/>
      <w:divBdr>
        <w:top w:val="none" w:sz="0" w:space="0" w:color="auto"/>
        <w:left w:val="none" w:sz="0" w:space="0" w:color="auto"/>
        <w:bottom w:val="none" w:sz="0" w:space="0" w:color="auto"/>
        <w:right w:val="none" w:sz="0" w:space="0" w:color="auto"/>
      </w:divBdr>
    </w:div>
    <w:div w:id="197389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hocc.no/atc_ddd_index/?code=A03&amp;showdescription=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28</TotalTime>
  <Pages>10</Pages>
  <Words>2400</Words>
  <Characters>16562</Characters>
  <Application>Microsoft Office Word</Application>
  <DocSecurity>0</DocSecurity>
  <Lines>138</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2024063102 mt</dc:description>
  <cp:lastModifiedBy>Hanne Thy Iversen</cp:lastModifiedBy>
  <cp:revision>15</cp:revision>
  <cp:lastPrinted>2012-08-22T08:53:00Z</cp:lastPrinted>
  <dcterms:created xsi:type="dcterms:W3CDTF">2024-11-22T14:07:00Z</dcterms:created>
  <dcterms:modified xsi:type="dcterms:W3CDTF">2024-11-26T12:18:00Z</dcterms:modified>
</cp:coreProperties>
</file>