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CF8" w:rsidRPr="00C84483" w:rsidRDefault="00246CF8" w:rsidP="00246CF8">
      <w:pPr>
        <w:rPr>
          <w:sz w:val="24"/>
          <w:szCs w:val="24"/>
        </w:rPr>
      </w:pPr>
      <w:r>
        <w:rPr>
          <w:b/>
          <w:noProof/>
          <w:lang w:eastAsia="da-DK"/>
        </w:rPr>
        <w:drawing>
          <wp:inline distT="0" distB="0" distL="0" distR="0" wp14:anchorId="25A20B66" wp14:editId="549C0B6A">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246CF8" w:rsidRPr="00C84483" w:rsidRDefault="00246CF8" w:rsidP="00246CF8">
      <w:pPr>
        <w:pStyle w:val="Titel"/>
        <w:tabs>
          <w:tab w:val="right" w:pos="9356"/>
        </w:tabs>
        <w:jc w:val="left"/>
        <w:rPr>
          <w:b w:val="0"/>
          <w:szCs w:val="24"/>
          <w:lang w:eastAsia="en-US"/>
        </w:rPr>
      </w:pPr>
    </w:p>
    <w:p w:rsidR="001B5640" w:rsidRPr="001B5640" w:rsidRDefault="00246CF8" w:rsidP="00246CF8">
      <w:pPr>
        <w:pStyle w:val="Titel"/>
        <w:tabs>
          <w:tab w:val="right" w:pos="9356"/>
        </w:tabs>
        <w:jc w:val="left"/>
        <w:rPr>
          <w:szCs w:val="24"/>
        </w:rPr>
      </w:pPr>
      <w:r w:rsidRPr="00C84483">
        <w:rPr>
          <w:b w:val="0"/>
          <w:szCs w:val="24"/>
          <w:lang w:eastAsia="en-US"/>
        </w:rPr>
        <w:tab/>
      </w:r>
      <w:r w:rsidR="001C135C">
        <w:rPr>
          <w:szCs w:val="24"/>
        </w:rPr>
        <w:t>9</w:t>
      </w:r>
      <w:r w:rsidR="001B5640">
        <w:rPr>
          <w:szCs w:val="24"/>
        </w:rPr>
        <w:t>. november 2020</w:t>
      </w:r>
    </w:p>
    <w:p w:rsidR="00246CF8" w:rsidRPr="00C84483" w:rsidRDefault="00246CF8" w:rsidP="00246CF8">
      <w:pPr>
        <w:pStyle w:val="Titel"/>
        <w:jc w:val="left"/>
        <w:rPr>
          <w:b w:val="0"/>
          <w:szCs w:val="24"/>
        </w:rPr>
      </w:pPr>
    </w:p>
    <w:p w:rsidR="00246CF8" w:rsidRPr="00C84483" w:rsidRDefault="00246CF8" w:rsidP="00246CF8">
      <w:pPr>
        <w:pStyle w:val="Titel"/>
        <w:jc w:val="left"/>
        <w:rPr>
          <w:b w:val="0"/>
          <w:szCs w:val="24"/>
        </w:rPr>
      </w:pPr>
    </w:p>
    <w:p w:rsidR="00246CF8" w:rsidRPr="00C84483" w:rsidRDefault="00246CF8" w:rsidP="00246CF8">
      <w:pPr>
        <w:jc w:val="center"/>
        <w:rPr>
          <w:b/>
          <w:sz w:val="24"/>
          <w:szCs w:val="24"/>
        </w:rPr>
      </w:pPr>
      <w:r w:rsidRPr="00C84483">
        <w:rPr>
          <w:b/>
          <w:sz w:val="24"/>
          <w:szCs w:val="24"/>
        </w:rPr>
        <w:t>PRODUKTRESUMÉ</w:t>
      </w:r>
    </w:p>
    <w:p w:rsidR="00246CF8" w:rsidRPr="00C84483" w:rsidRDefault="00246CF8" w:rsidP="00246CF8">
      <w:pPr>
        <w:jc w:val="center"/>
        <w:rPr>
          <w:b/>
          <w:sz w:val="24"/>
          <w:szCs w:val="24"/>
        </w:rPr>
      </w:pPr>
    </w:p>
    <w:p w:rsidR="00246CF8" w:rsidRPr="00C84483" w:rsidRDefault="00246CF8" w:rsidP="00246CF8">
      <w:pPr>
        <w:jc w:val="center"/>
        <w:rPr>
          <w:b/>
          <w:sz w:val="24"/>
          <w:szCs w:val="24"/>
        </w:rPr>
      </w:pPr>
      <w:r w:rsidRPr="00C84483">
        <w:rPr>
          <w:b/>
          <w:sz w:val="24"/>
          <w:szCs w:val="24"/>
        </w:rPr>
        <w:t>for</w:t>
      </w:r>
    </w:p>
    <w:p w:rsidR="00246CF8" w:rsidRPr="00C84483" w:rsidRDefault="00246CF8" w:rsidP="00246CF8">
      <w:pPr>
        <w:jc w:val="center"/>
        <w:rPr>
          <w:b/>
          <w:sz w:val="24"/>
          <w:szCs w:val="24"/>
        </w:rPr>
      </w:pPr>
    </w:p>
    <w:p w:rsidR="00246CF8" w:rsidRPr="00C84483" w:rsidRDefault="00246CF8" w:rsidP="00246CF8">
      <w:pPr>
        <w:jc w:val="center"/>
        <w:rPr>
          <w:b/>
          <w:sz w:val="24"/>
          <w:szCs w:val="24"/>
        </w:rPr>
      </w:pPr>
      <w:r>
        <w:rPr>
          <w:b/>
          <w:sz w:val="24"/>
          <w:szCs w:val="24"/>
        </w:rPr>
        <w:t>Metoclopramide "Orion", filmovertrukne tabletter</w:t>
      </w:r>
    </w:p>
    <w:p w:rsidR="00246CF8" w:rsidRPr="00C84483" w:rsidRDefault="00246CF8" w:rsidP="00246CF8">
      <w:pPr>
        <w:jc w:val="both"/>
        <w:rPr>
          <w:sz w:val="24"/>
          <w:szCs w:val="24"/>
        </w:rPr>
      </w:pPr>
    </w:p>
    <w:p w:rsidR="00246CF8" w:rsidRPr="00C84483" w:rsidRDefault="00246CF8" w:rsidP="00246CF8">
      <w:pPr>
        <w:jc w:val="both"/>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0.</w:t>
      </w:r>
      <w:r w:rsidRPr="00C84483">
        <w:rPr>
          <w:b/>
          <w:sz w:val="24"/>
          <w:szCs w:val="24"/>
        </w:rPr>
        <w:tab/>
        <w:t>D.SP.NR.</w:t>
      </w:r>
    </w:p>
    <w:p w:rsidR="00246CF8" w:rsidRPr="00C84483" w:rsidRDefault="00246CF8" w:rsidP="00246CF8">
      <w:pPr>
        <w:tabs>
          <w:tab w:val="left" w:pos="851"/>
        </w:tabs>
        <w:rPr>
          <w:sz w:val="24"/>
          <w:szCs w:val="24"/>
        </w:rPr>
      </w:pPr>
      <w:r w:rsidRPr="00C84483">
        <w:rPr>
          <w:sz w:val="24"/>
          <w:szCs w:val="24"/>
        </w:rPr>
        <w:tab/>
      </w:r>
      <w:r>
        <w:rPr>
          <w:sz w:val="24"/>
          <w:szCs w:val="24"/>
        </w:rPr>
        <w:t>29415</w:t>
      </w:r>
    </w:p>
    <w:p w:rsidR="00246CF8" w:rsidRPr="00C84483" w:rsidRDefault="00246CF8" w:rsidP="00246CF8">
      <w:pPr>
        <w:tabs>
          <w:tab w:val="left" w:pos="851"/>
        </w:tabs>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1.</w:t>
      </w:r>
      <w:r w:rsidRPr="00C84483">
        <w:rPr>
          <w:b/>
          <w:sz w:val="24"/>
          <w:szCs w:val="24"/>
        </w:rPr>
        <w:tab/>
        <w:t>LÆGEMIDLETS NAVN</w:t>
      </w:r>
    </w:p>
    <w:p w:rsidR="00246CF8" w:rsidRPr="00C84483" w:rsidRDefault="00246CF8" w:rsidP="00246CF8">
      <w:pPr>
        <w:tabs>
          <w:tab w:val="left" w:pos="851"/>
        </w:tabs>
        <w:rPr>
          <w:sz w:val="24"/>
          <w:szCs w:val="24"/>
        </w:rPr>
      </w:pPr>
      <w:r w:rsidRPr="00C84483">
        <w:rPr>
          <w:sz w:val="24"/>
          <w:szCs w:val="24"/>
        </w:rPr>
        <w:tab/>
      </w:r>
      <w:r>
        <w:rPr>
          <w:sz w:val="24"/>
          <w:szCs w:val="24"/>
        </w:rPr>
        <w:t>Metoclopramide "Orion"</w:t>
      </w:r>
    </w:p>
    <w:p w:rsidR="00246CF8" w:rsidRPr="00C84483" w:rsidRDefault="00246CF8" w:rsidP="00246CF8">
      <w:pPr>
        <w:tabs>
          <w:tab w:val="left" w:pos="851"/>
        </w:tabs>
        <w:rPr>
          <w:sz w:val="24"/>
          <w:szCs w:val="24"/>
        </w:rPr>
      </w:pPr>
      <w:r w:rsidRPr="00C84483">
        <w:rPr>
          <w:sz w:val="24"/>
          <w:szCs w:val="24"/>
        </w:rPr>
        <w:tab/>
      </w:r>
    </w:p>
    <w:p w:rsidR="00246CF8" w:rsidRPr="00C84483" w:rsidRDefault="00246CF8" w:rsidP="00246CF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46CF8" w:rsidRPr="00A33B71" w:rsidRDefault="00246CF8" w:rsidP="00246CF8">
      <w:pPr>
        <w:tabs>
          <w:tab w:val="left" w:pos="851"/>
        </w:tabs>
        <w:ind w:left="851"/>
        <w:jc w:val="both"/>
        <w:rPr>
          <w:sz w:val="24"/>
          <w:szCs w:val="24"/>
          <w:lang w:eastAsia="da-DK"/>
        </w:rPr>
      </w:pPr>
      <w:r w:rsidRPr="00A33B71">
        <w:rPr>
          <w:sz w:val="24"/>
          <w:szCs w:val="24"/>
          <w:lang w:eastAsia="da-DK"/>
        </w:rPr>
        <w:t>Hver tablet indeholder 10 mg metoclopramidhydrochlorid.</w:t>
      </w:r>
    </w:p>
    <w:p w:rsidR="00246CF8" w:rsidRPr="00A33B71" w:rsidRDefault="00246CF8" w:rsidP="00246CF8">
      <w:pPr>
        <w:tabs>
          <w:tab w:val="left" w:pos="851"/>
        </w:tabs>
        <w:ind w:left="851"/>
        <w:jc w:val="both"/>
        <w:rPr>
          <w:sz w:val="24"/>
          <w:szCs w:val="24"/>
          <w:lang w:eastAsia="da-DK"/>
        </w:rPr>
      </w:pPr>
      <w:r w:rsidRPr="00A33B71">
        <w:rPr>
          <w:sz w:val="24"/>
          <w:szCs w:val="24"/>
          <w:lang w:eastAsia="da-DK"/>
        </w:rPr>
        <w:tab/>
      </w:r>
    </w:p>
    <w:p w:rsidR="00246CF8" w:rsidRPr="00C84483" w:rsidRDefault="00246CF8" w:rsidP="00246CF8">
      <w:pPr>
        <w:tabs>
          <w:tab w:val="left" w:pos="851"/>
        </w:tabs>
        <w:ind w:left="851"/>
        <w:jc w:val="both"/>
        <w:rPr>
          <w:sz w:val="24"/>
          <w:szCs w:val="24"/>
          <w:lang w:eastAsia="da-DK"/>
        </w:rPr>
      </w:pPr>
      <w:r w:rsidRPr="00A33B71">
        <w:rPr>
          <w:sz w:val="24"/>
          <w:szCs w:val="24"/>
          <w:lang w:eastAsia="da-DK"/>
        </w:rPr>
        <w:t>Alle hjælpestoffer er anført under pkt. 6.1.</w:t>
      </w:r>
    </w:p>
    <w:p w:rsidR="00246CF8" w:rsidRPr="00C84483" w:rsidRDefault="00246CF8" w:rsidP="00246CF8">
      <w:pPr>
        <w:tabs>
          <w:tab w:val="left" w:pos="851"/>
        </w:tabs>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3.</w:t>
      </w:r>
      <w:r w:rsidRPr="00C84483">
        <w:rPr>
          <w:b/>
          <w:sz w:val="24"/>
          <w:szCs w:val="24"/>
        </w:rPr>
        <w:tab/>
        <w:t>LÆGEMIDDELFORM</w:t>
      </w:r>
    </w:p>
    <w:p w:rsidR="001F722A" w:rsidRDefault="001F722A" w:rsidP="001F722A">
      <w:pPr>
        <w:tabs>
          <w:tab w:val="left" w:pos="851"/>
        </w:tabs>
        <w:ind w:left="851"/>
        <w:jc w:val="both"/>
        <w:rPr>
          <w:sz w:val="24"/>
          <w:szCs w:val="24"/>
          <w:lang w:eastAsia="da-DK"/>
        </w:rPr>
      </w:pPr>
      <w:r>
        <w:rPr>
          <w:sz w:val="24"/>
          <w:szCs w:val="24"/>
          <w:lang w:eastAsia="da-DK"/>
        </w:rPr>
        <w:t>Filmovertrukne tabletter</w:t>
      </w:r>
    </w:p>
    <w:p w:rsidR="001F722A" w:rsidRDefault="001F722A" w:rsidP="001F722A">
      <w:pPr>
        <w:tabs>
          <w:tab w:val="left" w:pos="851"/>
        </w:tabs>
        <w:ind w:left="851"/>
        <w:jc w:val="both"/>
        <w:rPr>
          <w:sz w:val="24"/>
          <w:szCs w:val="24"/>
          <w:lang w:eastAsia="da-DK"/>
        </w:rPr>
      </w:pPr>
    </w:p>
    <w:p w:rsidR="001F722A" w:rsidRDefault="001F722A" w:rsidP="001F722A">
      <w:pPr>
        <w:tabs>
          <w:tab w:val="left" w:pos="851"/>
        </w:tabs>
        <w:ind w:left="851"/>
        <w:rPr>
          <w:sz w:val="24"/>
          <w:szCs w:val="24"/>
          <w:lang w:eastAsia="da-DK"/>
        </w:rPr>
      </w:pPr>
      <w:r>
        <w:rPr>
          <w:sz w:val="24"/>
          <w:szCs w:val="24"/>
          <w:lang w:eastAsia="da-DK"/>
        </w:rPr>
        <w:t>Hvide til råhvide, runde, bikonvekse, filmovertrukne tabletter med en diameter på 7 mm og delekærv på begge sider. Tabletten kan deles i to lige store doser.</w:t>
      </w:r>
    </w:p>
    <w:p w:rsidR="00246CF8" w:rsidRPr="00C84483" w:rsidRDefault="00246CF8" w:rsidP="00246CF8">
      <w:pPr>
        <w:tabs>
          <w:tab w:val="left" w:pos="851"/>
        </w:tabs>
        <w:rPr>
          <w:sz w:val="24"/>
          <w:szCs w:val="24"/>
        </w:rPr>
      </w:pPr>
    </w:p>
    <w:p w:rsidR="00246CF8" w:rsidRPr="00C84483" w:rsidRDefault="00246CF8" w:rsidP="00246CF8">
      <w:pPr>
        <w:tabs>
          <w:tab w:val="left" w:pos="851"/>
        </w:tabs>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4.</w:t>
      </w:r>
      <w:r w:rsidRPr="00C84483">
        <w:rPr>
          <w:b/>
          <w:sz w:val="24"/>
          <w:szCs w:val="24"/>
        </w:rPr>
        <w:tab/>
        <w:t>KLINISKE OPLYSNINGER</w:t>
      </w:r>
    </w:p>
    <w:p w:rsidR="00246CF8" w:rsidRPr="00C84483" w:rsidRDefault="00246CF8" w:rsidP="00246CF8">
      <w:pPr>
        <w:tabs>
          <w:tab w:val="left" w:pos="851"/>
        </w:tabs>
        <w:rPr>
          <w:b/>
          <w:sz w:val="24"/>
          <w:szCs w:val="24"/>
        </w:rPr>
      </w:pPr>
    </w:p>
    <w:p w:rsidR="00246CF8" w:rsidRPr="009F7218" w:rsidRDefault="00246CF8" w:rsidP="009F721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F722A" w:rsidRDefault="001F722A" w:rsidP="001F722A">
      <w:pPr>
        <w:tabs>
          <w:tab w:val="left" w:pos="851"/>
        </w:tabs>
        <w:ind w:left="851"/>
        <w:jc w:val="both"/>
        <w:rPr>
          <w:sz w:val="24"/>
          <w:szCs w:val="24"/>
          <w:u w:val="single"/>
          <w:lang w:eastAsia="da-DK"/>
        </w:rPr>
      </w:pPr>
      <w:r>
        <w:rPr>
          <w:sz w:val="24"/>
          <w:szCs w:val="24"/>
          <w:u w:val="single"/>
          <w:lang w:eastAsia="da-DK"/>
        </w:rPr>
        <w:t>Voksne</w:t>
      </w:r>
    </w:p>
    <w:p w:rsidR="001F722A" w:rsidRDefault="001F722A" w:rsidP="001F722A">
      <w:pPr>
        <w:tabs>
          <w:tab w:val="left" w:pos="851"/>
        </w:tabs>
        <w:ind w:left="851"/>
        <w:jc w:val="both"/>
        <w:rPr>
          <w:sz w:val="24"/>
          <w:szCs w:val="24"/>
          <w:lang w:eastAsia="da-DK"/>
        </w:rPr>
      </w:pPr>
      <w:r>
        <w:rPr>
          <w:sz w:val="24"/>
          <w:szCs w:val="24"/>
          <w:lang w:eastAsia="da-DK"/>
        </w:rPr>
        <w:t>Metoclopramide "Orion" er indiceret til voksne til</w:t>
      </w:r>
    </w:p>
    <w:p w:rsidR="001F722A" w:rsidRDefault="001F722A" w:rsidP="001F722A">
      <w:pPr>
        <w:tabs>
          <w:tab w:val="left" w:pos="567"/>
        </w:tabs>
        <w:ind w:left="1418" w:hanging="567"/>
        <w:rPr>
          <w:sz w:val="24"/>
          <w:szCs w:val="24"/>
          <w:lang w:eastAsia="da-DK"/>
        </w:rPr>
      </w:pPr>
      <w:r>
        <w:rPr>
          <w:sz w:val="24"/>
          <w:szCs w:val="24"/>
          <w:lang w:eastAsia="da-DK"/>
        </w:rPr>
        <w:t>-</w:t>
      </w:r>
      <w:r>
        <w:rPr>
          <w:sz w:val="24"/>
          <w:szCs w:val="24"/>
          <w:lang w:eastAsia="da-DK"/>
        </w:rPr>
        <w:tab/>
        <w:t>forebyggelse af forsinket kemoterapiinduceret kvalme og opkastning (CINV).</w:t>
      </w:r>
    </w:p>
    <w:p w:rsidR="001F722A" w:rsidRDefault="001F722A" w:rsidP="001F722A">
      <w:pPr>
        <w:tabs>
          <w:tab w:val="left" w:pos="567"/>
        </w:tabs>
        <w:ind w:left="1418" w:hanging="567"/>
        <w:rPr>
          <w:sz w:val="24"/>
          <w:szCs w:val="24"/>
          <w:lang w:eastAsia="da-DK"/>
        </w:rPr>
      </w:pPr>
      <w:r>
        <w:rPr>
          <w:sz w:val="24"/>
          <w:szCs w:val="24"/>
          <w:lang w:eastAsia="da-DK"/>
        </w:rPr>
        <w:t>-</w:t>
      </w:r>
      <w:r>
        <w:rPr>
          <w:sz w:val="24"/>
          <w:szCs w:val="24"/>
          <w:lang w:eastAsia="da-DK"/>
        </w:rPr>
        <w:tab/>
        <w:t>forebyggelse af kvalme og opkastning (RINV) i forbindelse med strålebehandling.</w:t>
      </w:r>
    </w:p>
    <w:p w:rsidR="001F722A" w:rsidRDefault="001F722A" w:rsidP="001F722A">
      <w:pPr>
        <w:tabs>
          <w:tab w:val="left" w:pos="567"/>
        </w:tabs>
        <w:ind w:left="1418" w:hanging="567"/>
        <w:rPr>
          <w:sz w:val="24"/>
          <w:szCs w:val="24"/>
          <w:lang w:eastAsia="da-DK"/>
        </w:rPr>
      </w:pPr>
      <w:r>
        <w:rPr>
          <w:sz w:val="24"/>
          <w:szCs w:val="24"/>
          <w:lang w:eastAsia="da-DK"/>
        </w:rPr>
        <w:t>-</w:t>
      </w:r>
      <w:r>
        <w:rPr>
          <w:sz w:val="24"/>
          <w:szCs w:val="24"/>
          <w:lang w:eastAsia="da-DK"/>
        </w:rPr>
        <w:tab/>
        <w:t>symptomatisk behandling af kvalme og opkastning, herunder kvalme og opkastning forårsaget af akut migræne. Metoclopramid kan anvendes i kombination med orale analgetika for at forbedre absorptionen af analgetika ved akut migræne.</w:t>
      </w:r>
    </w:p>
    <w:p w:rsidR="001F722A" w:rsidRDefault="001F722A" w:rsidP="001F722A">
      <w:pPr>
        <w:tabs>
          <w:tab w:val="left" w:pos="851"/>
        </w:tabs>
        <w:ind w:left="851"/>
        <w:jc w:val="both"/>
        <w:rPr>
          <w:sz w:val="24"/>
          <w:szCs w:val="24"/>
          <w:lang w:eastAsia="da-DK"/>
        </w:rPr>
      </w:pPr>
    </w:p>
    <w:p w:rsidR="001F722A" w:rsidRDefault="001F722A" w:rsidP="001F722A">
      <w:pPr>
        <w:tabs>
          <w:tab w:val="left" w:pos="851"/>
        </w:tabs>
        <w:ind w:left="851"/>
        <w:rPr>
          <w:sz w:val="24"/>
          <w:szCs w:val="24"/>
          <w:u w:val="single"/>
          <w:lang w:eastAsia="da-DK"/>
        </w:rPr>
      </w:pPr>
      <w:r>
        <w:rPr>
          <w:sz w:val="24"/>
          <w:szCs w:val="24"/>
          <w:u w:val="single"/>
          <w:lang w:eastAsia="da-DK"/>
        </w:rPr>
        <w:t>Pædiatrisk population</w:t>
      </w:r>
    </w:p>
    <w:p w:rsidR="001F722A" w:rsidRDefault="001F722A" w:rsidP="001F722A">
      <w:pPr>
        <w:tabs>
          <w:tab w:val="left" w:pos="851"/>
        </w:tabs>
        <w:ind w:left="851"/>
        <w:rPr>
          <w:sz w:val="24"/>
          <w:szCs w:val="24"/>
          <w:lang w:eastAsia="da-DK"/>
        </w:rPr>
      </w:pPr>
      <w:r>
        <w:rPr>
          <w:sz w:val="24"/>
          <w:szCs w:val="24"/>
          <w:lang w:eastAsia="da-DK"/>
        </w:rPr>
        <w:t>Metoclopramide "Orion" er indiceret til børn (i alderen 1-18 år) til</w:t>
      </w:r>
    </w:p>
    <w:p w:rsidR="001F722A" w:rsidRDefault="001F722A" w:rsidP="001F722A">
      <w:pPr>
        <w:numPr>
          <w:ilvl w:val="0"/>
          <w:numId w:val="7"/>
        </w:numPr>
        <w:tabs>
          <w:tab w:val="left" w:pos="567"/>
        </w:tabs>
        <w:ind w:left="1418" w:hanging="567"/>
        <w:rPr>
          <w:sz w:val="24"/>
          <w:szCs w:val="24"/>
        </w:rPr>
      </w:pPr>
      <w:r>
        <w:rPr>
          <w:sz w:val="24"/>
          <w:szCs w:val="24"/>
        </w:rPr>
        <w:t>forebyggelse af forsinket kemoterapiinduceret kvalme og opkastning (CINV) som andenvalgsbehandling.</w:t>
      </w:r>
    </w:p>
    <w:p w:rsidR="00246CF8" w:rsidRDefault="00246CF8" w:rsidP="00246CF8">
      <w:pPr>
        <w:rPr>
          <w:sz w:val="24"/>
          <w:szCs w:val="24"/>
        </w:rPr>
      </w:pPr>
    </w:p>
    <w:p w:rsidR="00246CF8" w:rsidRPr="00C84483" w:rsidRDefault="00246CF8" w:rsidP="00246CF8">
      <w:pPr>
        <w:tabs>
          <w:tab w:val="left" w:pos="851"/>
        </w:tabs>
        <w:rPr>
          <w:sz w:val="24"/>
          <w:szCs w:val="24"/>
        </w:rPr>
      </w:pPr>
    </w:p>
    <w:p w:rsidR="00246CF8" w:rsidRPr="009F7218" w:rsidRDefault="00246CF8" w:rsidP="009F7218">
      <w:pPr>
        <w:keepNext/>
        <w:tabs>
          <w:tab w:val="left" w:pos="851"/>
        </w:tabs>
        <w:ind w:left="851" w:hanging="851"/>
        <w:rPr>
          <w:b/>
          <w:sz w:val="24"/>
          <w:szCs w:val="24"/>
        </w:rPr>
      </w:pPr>
      <w:r w:rsidRPr="00C84483">
        <w:rPr>
          <w:b/>
          <w:sz w:val="24"/>
          <w:szCs w:val="24"/>
        </w:rPr>
        <w:lastRenderedPageBreak/>
        <w:t>4.2</w:t>
      </w:r>
      <w:r w:rsidRPr="00C84483">
        <w:rPr>
          <w:b/>
          <w:sz w:val="24"/>
          <w:szCs w:val="24"/>
        </w:rPr>
        <w:tab/>
        <w:t>Dosering og indgivelsesmåde</w:t>
      </w:r>
    </w:p>
    <w:p w:rsidR="00246CF8" w:rsidRPr="002A526B" w:rsidRDefault="00246CF8" w:rsidP="00246CF8">
      <w:pPr>
        <w:tabs>
          <w:tab w:val="left" w:pos="851"/>
        </w:tabs>
        <w:ind w:left="851"/>
        <w:rPr>
          <w:b/>
          <w:spacing w:val="-3"/>
          <w:sz w:val="24"/>
          <w:szCs w:val="24"/>
          <w:lang w:eastAsia="da-DK"/>
        </w:rPr>
      </w:pPr>
      <w:r w:rsidRPr="002A526B">
        <w:rPr>
          <w:b/>
          <w:spacing w:val="-3"/>
          <w:sz w:val="24"/>
          <w:szCs w:val="24"/>
          <w:lang w:eastAsia="da-DK"/>
        </w:rPr>
        <w:t>Dosering</w:t>
      </w:r>
    </w:p>
    <w:p w:rsidR="00246CF8" w:rsidRPr="002A526B" w:rsidRDefault="00246CF8" w:rsidP="00246CF8">
      <w:pPr>
        <w:tabs>
          <w:tab w:val="left" w:pos="851"/>
        </w:tabs>
        <w:ind w:left="851"/>
        <w:rPr>
          <w:spacing w:val="-3"/>
          <w:sz w:val="24"/>
          <w:szCs w:val="24"/>
          <w:u w:val="single"/>
          <w:lang w:eastAsia="da-DK"/>
        </w:rPr>
      </w:pPr>
    </w:p>
    <w:p w:rsidR="00246CF8" w:rsidRPr="002A526B" w:rsidRDefault="00246CF8" w:rsidP="00246CF8">
      <w:pPr>
        <w:tabs>
          <w:tab w:val="left" w:pos="851"/>
        </w:tabs>
        <w:ind w:left="851"/>
        <w:rPr>
          <w:spacing w:val="-3"/>
          <w:sz w:val="24"/>
          <w:szCs w:val="24"/>
          <w:u w:val="single"/>
          <w:lang w:eastAsia="da-DK"/>
        </w:rPr>
      </w:pPr>
      <w:r w:rsidRPr="002A526B">
        <w:rPr>
          <w:spacing w:val="-3"/>
          <w:sz w:val="24"/>
          <w:szCs w:val="24"/>
          <w:u w:val="single"/>
          <w:lang w:eastAsia="da-DK"/>
        </w:rPr>
        <w:t>Alle indikationer (voksne patienter)</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 xml:space="preserve">Den anbefalede enkeltdosis er 10 mg, administreret op til tre gange </w:t>
      </w:r>
      <w:r>
        <w:rPr>
          <w:spacing w:val="-3"/>
          <w:sz w:val="24"/>
          <w:szCs w:val="24"/>
          <w:lang w:eastAsia="da-DK"/>
        </w:rPr>
        <w:t>daglig</w:t>
      </w:r>
      <w:r w:rsidRPr="002A526B">
        <w:rPr>
          <w:spacing w:val="-3"/>
          <w:sz w:val="24"/>
          <w:szCs w:val="24"/>
          <w:lang w:eastAsia="da-DK"/>
        </w:rPr>
        <w:t>.</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 xml:space="preserve">Den maksimale anbefalede daglige dosis er 30 mg eller 0,5 mg/kg legemsvægt. </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Den maksimale anbefalede behandlingsvarighed er 5 dage.</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spacing w:val="-3"/>
          <w:sz w:val="24"/>
          <w:szCs w:val="24"/>
          <w:u w:val="single"/>
          <w:lang w:eastAsia="da-DK"/>
        </w:rPr>
      </w:pPr>
      <w:r w:rsidRPr="002A526B">
        <w:rPr>
          <w:spacing w:val="-3"/>
          <w:sz w:val="24"/>
          <w:szCs w:val="24"/>
          <w:u w:val="single"/>
          <w:lang w:eastAsia="da-DK"/>
        </w:rPr>
        <w:t>Forebyggelse af forsinket kemoterapiinduceret kvalme og opkastning (CINV) (pædiatriske patienter i alderen 1-18 år)</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 xml:space="preserve">Den anbefalede dosis er 0,1 til 0,15 mg/kg legemsvægt, administreret oralt op til tre gange </w:t>
      </w:r>
      <w:r>
        <w:rPr>
          <w:spacing w:val="-3"/>
          <w:sz w:val="24"/>
          <w:szCs w:val="24"/>
          <w:lang w:eastAsia="da-DK"/>
        </w:rPr>
        <w:t>daglig</w:t>
      </w:r>
      <w:r w:rsidRPr="002A526B">
        <w:rPr>
          <w:spacing w:val="-3"/>
          <w:sz w:val="24"/>
          <w:szCs w:val="24"/>
          <w:lang w:eastAsia="da-DK"/>
        </w:rPr>
        <w:t>. Den maksimale dosis inden for 24 timer er 0,5 mg/kg legemsvægt.</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kinsoku w:val="0"/>
        <w:overflowPunct w:val="0"/>
        <w:autoSpaceDE w:val="0"/>
        <w:autoSpaceDN w:val="0"/>
        <w:adjustRightInd w:val="0"/>
        <w:spacing w:before="108"/>
        <w:ind w:left="851"/>
        <w:rPr>
          <w:sz w:val="24"/>
          <w:szCs w:val="24"/>
          <w:lang w:eastAsia="da-DK"/>
        </w:rPr>
      </w:pPr>
      <w:r w:rsidRPr="002A526B">
        <w:rPr>
          <w:iCs/>
          <w:spacing w:val="-1"/>
          <w:sz w:val="24"/>
          <w:szCs w:val="24"/>
          <w:lang w:eastAsia="da-DK"/>
        </w:rPr>
        <w:t>Doseringstabel</w:t>
      </w:r>
    </w:p>
    <w:tbl>
      <w:tblPr>
        <w:tblW w:w="0" w:type="auto"/>
        <w:tblInd w:w="856" w:type="dxa"/>
        <w:tblLayout w:type="fixed"/>
        <w:tblCellMar>
          <w:left w:w="0" w:type="dxa"/>
          <w:right w:w="0" w:type="dxa"/>
        </w:tblCellMar>
        <w:tblLook w:val="0000" w:firstRow="0" w:lastRow="0" w:firstColumn="0" w:lastColumn="0" w:noHBand="0" w:noVBand="0"/>
      </w:tblPr>
      <w:tblGrid>
        <w:gridCol w:w="1553"/>
        <w:gridCol w:w="1697"/>
        <w:gridCol w:w="1608"/>
        <w:gridCol w:w="2503"/>
      </w:tblGrid>
      <w:tr w:rsidR="00246CF8" w:rsidRPr="002A526B" w:rsidTr="003B4BCE">
        <w:trPr>
          <w:trHeight w:hRule="exact" w:val="448"/>
        </w:trPr>
        <w:tc>
          <w:tcPr>
            <w:tcW w:w="1553"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32"/>
              <w:rPr>
                <w:sz w:val="24"/>
                <w:szCs w:val="24"/>
                <w:lang w:eastAsia="da-DK"/>
              </w:rPr>
            </w:pPr>
            <w:r w:rsidRPr="002A526B">
              <w:rPr>
                <w:sz w:val="24"/>
                <w:szCs w:val="24"/>
                <w:lang w:eastAsia="da-DK"/>
              </w:rPr>
              <w:t>Alder</w:t>
            </w:r>
          </w:p>
        </w:tc>
        <w:tc>
          <w:tcPr>
            <w:tcW w:w="1697"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38"/>
              <w:rPr>
                <w:sz w:val="24"/>
                <w:szCs w:val="24"/>
                <w:lang w:eastAsia="da-DK"/>
              </w:rPr>
            </w:pPr>
            <w:r w:rsidRPr="002A526B">
              <w:rPr>
                <w:spacing w:val="-1"/>
                <w:sz w:val="24"/>
                <w:szCs w:val="24"/>
                <w:lang w:eastAsia="da-DK"/>
              </w:rPr>
              <w:t>Legemsvægt</w:t>
            </w:r>
          </w:p>
        </w:tc>
        <w:tc>
          <w:tcPr>
            <w:tcW w:w="1608"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91"/>
              <w:rPr>
                <w:sz w:val="24"/>
                <w:szCs w:val="24"/>
                <w:lang w:eastAsia="da-DK"/>
              </w:rPr>
            </w:pPr>
            <w:r w:rsidRPr="002A526B">
              <w:rPr>
                <w:sz w:val="24"/>
                <w:szCs w:val="24"/>
                <w:lang w:eastAsia="da-DK"/>
              </w:rPr>
              <w:t>Dosis</w:t>
            </w:r>
          </w:p>
        </w:tc>
        <w:tc>
          <w:tcPr>
            <w:tcW w:w="2503"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58"/>
              <w:rPr>
                <w:sz w:val="24"/>
                <w:szCs w:val="24"/>
                <w:lang w:eastAsia="da-DK"/>
              </w:rPr>
            </w:pPr>
            <w:r w:rsidRPr="002A526B">
              <w:rPr>
                <w:spacing w:val="-1"/>
                <w:sz w:val="24"/>
                <w:szCs w:val="24"/>
                <w:lang w:eastAsia="da-DK"/>
              </w:rPr>
              <w:t>Frekvens</w:t>
            </w:r>
          </w:p>
        </w:tc>
      </w:tr>
      <w:tr w:rsidR="00246CF8" w:rsidRPr="002A526B" w:rsidTr="003B4BCE">
        <w:trPr>
          <w:trHeight w:hRule="exact" w:val="467"/>
        </w:trPr>
        <w:tc>
          <w:tcPr>
            <w:tcW w:w="1553"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32"/>
              <w:rPr>
                <w:sz w:val="24"/>
                <w:szCs w:val="24"/>
                <w:lang w:eastAsia="da-DK"/>
              </w:rPr>
            </w:pPr>
            <w:r w:rsidRPr="002A526B">
              <w:rPr>
                <w:spacing w:val="-1"/>
                <w:sz w:val="24"/>
                <w:szCs w:val="24"/>
                <w:lang w:eastAsia="da-DK"/>
              </w:rPr>
              <w:t>1-3 år</w:t>
            </w:r>
          </w:p>
        </w:tc>
        <w:tc>
          <w:tcPr>
            <w:tcW w:w="1697"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38"/>
              <w:rPr>
                <w:sz w:val="24"/>
                <w:szCs w:val="24"/>
                <w:lang w:eastAsia="da-DK"/>
              </w:rPr>
            </w:pPr>
            <w:r w:rsidRPr="002A526B">
              <w:rPr>
                <w:spacing w:val="-1"/>
                <w:sz w:val="24"/>
                <w:szCs w:val="24"/>
                <w:lang w:eastAsia="da-DK"/>
              </w:rPr>
              <w:t>10-14 kg</w:t>
            </w:r>
          </w:p>
        </w:tc>
        <w:tc>
          <w:tcPr>
            <w:tcW w:w="1608"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91"/>
              <w:rPr>
                <w:sz w:val="24"/>
                <w:szCs w:val="24"/>
                <w:lang w:eastAsia="da-DK"/>
              </w:rPr>
            </w:pPr>
            <w:r w:rsidRPr="002A526B">
              <w:rPr>
                <w:sz w:val="24"/>
                <w:szCs w:val="24"/>
                <w:lang w:eastAsia="da-DK"/>
              </w:rPr>
              <w:t>1</w:t>
            </w:r>
            <w:r w:rsidRPr="002A526B">
              <w:rPr>
                <w:spacing w:val="-1"/>
                <w:sz w:val="24"/>
                <w:szCs w:val="24"/>
                <w:lang w:eastAsia="da-DK"/>
              </w:rPr>
              <w:t xml:space="preserve"> </w:t>
            </w:r>
            <w:r w:rsidRPr="002A526B">
              <w:rPr>
                <w:sz w:val="24"/>
                <w:szCs w:val="24"/>
                <w:lang w:eastAsia="da-DK"/>
              </w:rPr>
              <w:t>mg</w:t>
            </w:r>
          </w:p>
        </w:tc>
        <w:tc>
          <w:tcPr>
            <w:tcW w:w="2503"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58"/>
              <w:rPr>
                <w:sz w:val="24"/>
                <w:szCs w:val="24"/>
                <w:lang w:eastAsia="da-DK"/>
              </w:rPr>
            </w:pPr>
            <w:r w:rsidRPr="002A526B">
              <w:rPr>
                <w:spacing w:val="-1"/>
                <w:sz w:val="24"/>
                <w:szCs w:val="24"/>
                <w:lang w:eastAsia="da-DK"/>
              </w:rPr>
              <w:t xml:space="preserve">Op </w:t>
            </w:r>
            <w:r w:rsidRPr="002A526B">
              <w:rPr>
                <w:sz w:val="24"/>
                <w:szCs w:val="24"/>
                <w:lang w:eastAsia="da-DK"/>
              </w:rPr>
              <w:t>til 3</w:t>
            </w:r>
            <w:r w:rsidRPr="002A526B">
              <w:rPr>
                <w:spacing w:val="-1"/>
                <w:sz w:val="24"/>
                <w:szCs w:val="24"/>
                <w:lang w:eastAsia="da-DK"/>
              </w:rPr>
              <w:t xml:space="preserve"> gange </w:t>
            </w:r>
            <w:r>
              <w:rPr>
                <w:spacing w:val="-1"/>
                <w:sz w:val="24"/>
                <w:szCs w:val="24"/>
                <w:lang w:eastAsia="da-DK"/>
              </w:rPr>
              <w:t>daglig</w:t>
            </w:r>
          </w:p>
        </w:tc>
      </w:tr>
      <w:tr w:rsidR="00246CF8" w:rsidRPr="002A526B" w:rsidTr="003B4BCE">
        <w:trPr>
          <w:trHeight w:hRule="exact" w:val="415"/>
        </w:trPr>
        <w:tc>
          <w:tcPr>
            <w:tcW w:w="1553"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32"/>
              <w:rPr>
                <w:sz w:val="24"/>
                <w:szCs w:val="24"/>
                <w:lang w:eastAsia="da-DK"/>
              </w:rPr>
            </w:pPr>
            <w:r w:rsidRPr="002A526B">
              <w:rPr>
                <w:spacing w:val="-1"/>
                <w:sz w:val="24"/>
                <w:szCs w:val="24"/>
                <w:lang w:eastAsia="da-DK"/>
              </w:rPr>
              <w:t>3-5 år</w:t>
            </w:r>
          </w:p>
        </w:tc>
        <w:tc>
          <w:tcPr>
            <w:tcW w:w="1697"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38"/>
              <w:rPr>
                <w:sz w:val="24"/>
                <w:szCs w:val="24"/>
                <w:lang w:eastAsia="da-DK"/>
              </w:rPr>
            </w:pPr>
            <w:r w:rsidRPr="002A526B">
              <w:rPr>
                <w:spacing w:val="-1"/>
                <w:sz w:val="24"/>
                <w:szCs w:val="24"/>
                <w:lang w:eastAsia="da-DK"/>
              </w:rPr>
              <w:t>15-19 kg</w:t>
            </w:r>
          </w:p>
        </w:tc>
        <w:tc>
          <w:tcPr>
            <w:tcW w:w="1608"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91"/>
              <w:rPr>
                <w:sz w:val="24"/>
                <w:szCs w:val="24"/>
                <w:lang w:eastAsia="da-DK"/>
              </w:rPr>
            </w:pPr>
            <w:r w:rsidRPr="002A526B">
              <w:rPr>
                <w:sz w:val="24"/>
                <w:szCs w:val="24"/>
                <w:lang w:eastAsia="da-DK"/>
              </w:rPr>
              <w:t>2</w:t>
            </w:r>
            <w:r w:rsidRPr="002A526B">
              <w:rPr>
                <w:spacing w:val="-1"/>
                <w:sz w:val="24"/>
                <w:szCs w:val="24"/>
                <w:lang w:eastAsia="da-DK"/>
              </w:rPr>
              <w:t xml:space="preserve"> </w:t>
            </w:r>
            <w:r w:rsidRPr="002A526B">
              <w:rPr>
                <w:sz w:val="24"/>
                <w:szCs w:val="24"/>
                <w:lang w:eastAsia="da-DK"/>
              </w:rPr>
              <w:t>mg</w:t>
            </w:r>
          </w:p>
        </w:tc>
        <w:tc>
          <w:tcPr>
            <w:tcW w:w="2503"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58"/>
              <w:rPr>
                <w:sz w:val="24"/>
                <w:szCs w:val="24"/>
                <w:lang w:eastAsia="da-DK"/>
              </w:rPr>
            </w:pPr>
            <w:r w:rsidRPr="002A526B">
              <w:rPr>
                <w:spacing w:val="-1"/>
                <w:sz w:val="24"/>
                <w:szCs w:val="24"/>
                <w:lang w:eastAsia="da-DK"/>
              </w:rPr>
              <w:t xml:space="preserve">Op </w:t>
            </w:r>
            <w:r w:rsidRPr="002A526B">
              <w:rPr>
                <w:sz w:val="24"/>
                <w:szCs w:val="24"/>
                <w:lang w:eastAsia="da-DK"/>
              </w:rPr>
              <w:t>til 3</w:t>
            </w:r>
            <w:r w:rsidRPr="002A526B">
              <w:rPr>
                <w:spacing w:val="-1"/>
                <w:sz w:val="24"/>
                <w:szCs w:val="24"/>
                <w:lang w:eastAsia="da-DK"/>
              </w:rPr>
              <w:t xml:space="preserve"> gange </w:t>
            </w:r>
            <w:r>
              <w:rPr>
                <w:spacing w:val="-1"/>
                <w:sz w:val="24"/>
                <w:szCs w:val="24"/>
                <w:lang w:eastAsia="da-DK"/>
              </w:rPr>
              <w:t>daglig</w:t>
            </w:r>
          </w:p>
        </w:tc>
      </w:tr>
      <w:tr w:rsidR="00246CF8" w:rsidRPr="002A526B" w:rsidTr="003B4BCE">
        <w:trPr>
          <w:trHeight w:hRule="exact" w:val="435"/>
        </w:trPr>
        <w:tc>
          <w:tcPr>
            <w:tcW w:w="1553"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32"/>
              <w:rPr>
                <w:sz w:val="24"/>
                <w:szCs w:val="24"/>
                <w:lang w:eastAsia="da-DK"/>
              </w:rPr>
            </w:pPr>
            <w:r w:rsidRPr="002A526B">
              <w:rPr>
                <w:spacing w:val="-1"/>
                <w:sz w:val="24"/>
                <w:szCs w:val="24"/>
                <w:lang w:eastAsia="da-DK"/>
              </w:rPr>
              <w:t>5-9 år</w:t>
            </w:r>
          </w:p>
        </w:tc>
        <w:tc>
          <w:tcPr>
            <w:tcW w:w="1697"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38"/>
              <w:rPr>
                <w:sz w:val="24"/>
                <w:szCs w:val="24"/>
                <w:lang w:eastAsia="da-DK"/>
              </w:rPr>
            </w:pPr>
            <w:r w:rsidRPr="002A526B">
              <w:rPr>
                <w:spacing w:val="-1"/>
                <w:sz w:val="24"/>
                <w:szCs w:val="24"/>
                <w:lang w:eastAsia="da-DK"/>
              </w:rPr>
              <w:t>20-29 kg</w:t>
            </w:r>
          </w:p>
        </w:tc>
        <w:tc>
          <w:tcPr>
            <w:tcW w:w="1608"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91"/>
              <w:rPr>
                <w:sz w:val="24"/>
                <w:szCs w:val="24"/>
                <w:lang w:eastAsia="da-DK"/>
              </w:rPr>
            </w:pPr>
            <w:r w:rsidRPr="002A526B">
              <w:rPr>
                <w:spacing w:val="-1"/>
                <w:sz w:val="24"/>
                <w:szCs w:val="24"/>
                <w:lang w:eastAsia="da-DK"/>
              </w:rPr>
              <w:t xml:space="preserve">2,5 </w:t>
            </w:r>
            <w:r w:rsidRPr="002A526B">
              <w:rPr>
                <w:sz w:val="24"/>
                <w:szCs w:val="24"/>
                <w:lang w:eastAsia="da-DK"/>
              </w:rPr>
              <w:t>mg</w:t>
            </w:r>
          </w:p>
        </w:tc>
        <w:tc>
          <w:tcPr>
            <w:tcW w:w="2503"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58"/>
              <w:rPr>
                <w:sz w:val="24"/>
                <w:szCs w:val="24"/>
                <w:lang w:eastAsia="da-DK"/>
              </w:rPr>
            </w:pPr>
            <w:r w:rsidRPr="002A526B">
              <w:rPr>
                <w:spacing w:val="-1"/>
                <w:sz w:val="24"/>
                <w:szCs w:val="24"/>
                <w:lang w:eastAsia="da-DK"/>
              </w:rPr>
              <w:t xml:space="preserve">Op </w:t>
            </w:r>
            <w:r w:rsidRPr="002A526B">
              <w:rPr>
                <w:sz w:val="24"/>
                <w:szCs w:val="24"/>
                <w:lang w:eastAsia="da-DK"/>
              </w:rPr>
              <w:t>til 3</w:t>
            </w:r>
            <w:r w:rsidRPr="002A526B">
              <w:rPr>
                <w:spacing w:val="-1"/>
                <w:sz w:val="24"/>
                <w:szCs w:val="24"/>
                <w:lang w:eastAsia="da-DK"/>
              </w:rPr>
              <w:t xml:space="preserve"> gange </w:t>
            </w:r>
            <w:r>
              <w:rPr>
                <w:spacing w:val="-1"/>
                <w:sz w:val="24"/>
                <w:szCs w:val="24"/>
                <w:lang w:eastAsia="da-DK"/>
              </w:rPr>
              <w:t>daglig</w:t>
            </w:r>
          </w:p>
        </w:tc>
      </w:tr>
      <w:tr w:rsidR="00246CF8" w:rsidRPr="002A526B" w:rsidTr="003B4BCE">
        <w:trPr>
          <w:trHeight w:hRule="exact" w:val="413"/>
        </w:trPr>
        <w:tc>
          <w:tcPr>
            <w:tcW w:w="1553"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32"/>
              <w:rPr>
                <w:sz w:val="24"/>
                <w:szCs w:val="24"/>
                <w:lang w:eastAsia="da-DK"/>
              </w:rPr>
            </w:pPr>
            <w:r w:rsidRPr="002A526B">
              <w:rPr>
                <w:spacing w:val="-1"/>
                <w:sz w:val="24"/>
                <w:szCs w:val="24"/>
                <w:lang w:eastAsia="da-DK"/>
              </w:rPr>
              <w:t>9-18 år</w:t>
            </w:r>
          </w:p>
        </w:tc>
        <w:tc>
          <w:tcPr>
            <w:tcW w:w="1697"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38"/>
              <w:rPr>
                <w:sz w:val="24"/>
                <w:szCs w:val="24"/>
                <w:lang w:eastAsia="da-DK"/>
              </w:rPr>
            </w:pPr>
            <w:r w:rsidRPr="002A526B">
              <w:rPr>
                <w:spacing w:val="-1"/>
                <w:sz w:val="24"/>
                <w:szCs w:val="24"/>
                <w:lang w:eastAsia="da-DK"/>
              </w:rPr>
              <w:t>30-60 kg</w:t>
            </w:r>
          </w:p>
        </w:tc>
        <w:tc>
          <w:tcPr>
            <w:tcW w:w="1608"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91"/>
              <w:rPr>
                <w:sz w:val="24"/>
                <w:szCs w:val="24"/>
                <w:lang w:eastAsia="da-DK"/>
              </w:rPr>
            </w:pPr>
            <w:r w:rsidRPr="002A526B">
              <w:rPr>
                <w:sz w:val="24"/>
                <w:szCs w:val="24"/>
                <w:lang w:eastAsia="da-DK"/>
              </w:rPr>
              <w:t>5</w:t>
            </w:r>
            <w:r w:rsidRPr="002A526B">
              <w:rPr>
                <w:spacing w:val="-1"/>
                <w:sz w:val="24"/>
                <w:szCs w:val="24"/>
                <w:lang w:eastAsia="da-DK"/>
              </w:rPr>
              <w:t xml:space="preserve"> </w:t>
            </w:r>
            <w:r w:rsidRPr="002A526B">
              <w:rPr>
                <w:sz w:val="24"/>
                <w:szCs w:val="24"/>
                <w:lang w:eastAsia="da-DK"/>
              </w:rPr>
              <w:t>mg</w:t>
            </w:r>
          </w:p>
        </w:tc>
        <w:tc>
          <w:tcPr>
            <w:tcW w:w="2503"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58"/>
              <w:rPr>
                <w:sz w:val="24"/>
                <w:szCs w:val="24"/>
                <w:lang w:eastAsia="da-DK"/>
              </w:rPr>
            </w:pPr>
            <w:r w:rsidRPr="002A526B">
              <w:rPr>
                <w:spacing w:val="-1"/>
                <w:sz w:val="24"/>
                <w:szCs w:val="24"/>
                <w:lang w:eastAsia="da-DK"/>
              </w:rPr>
              <w:t xml:space="preserve">Op </w:t>
            </w:r>
            <w:r w:rsidRPr="002A526B">
              <w:rPr>
                <w:sz w:val="24"/>
                <w:szCs w:val="24"/>
                <w:lang w:eastAsia="da-DK"/>
              </w:rPr>
              <w:t>til 3</w:t>
            </w:r>
            <w:r w:rsidRPr="002A526B">
              <w:rPr>
                <w:spacing w:val="-1"/>
                <w:sz w:val="24"/>
                <w:szCs w:val="24"/>
                <w:lang w:eastAsia="da-DK"/>
              </w:rPr>
              <w:t xml:space="preserve"> gange </w:t>
            </w:r>
            <w:r>
              <w:rPr>
                <w:spacing w:val="-1"/>
                <w:sz w:val="24"/>
                <w:szCs w:val="24"/>
                <w:lang w:eastAsia="da-DK"/>
              </w:rPr>
              <w:t>daglig</w:t>
            </w:r>
          </w:p>
        </w:tc>
      </w:tr>
      <w:tr w:rsidR="00246CF8" w:rsidRPr="002A526B" w:rsidTr="003B4BCE">
        <w:trPr>
          <w:trHeight w:hRule="exact" w:val="433"/>
        </w:trPr>
        <w:tc>
          <w:tcPr>
            <w:tcW w:w="1553"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32"/>
              <w:rPr>
                <w:sz w:val="24"/>
                <w:szCs w:val="24"/>
                <w:lang w:eastAsia="da-DK"/>
              </w:rPr>
            </w:pPr>
            <w:r w:rsidRPr="002A526B">
              <w:rPr>
                <w:spacing w:val="-1"/>
                <w:sz w:val="24"/>
                <w:szCs w:val="24"/>
                <w:lang w:eastAsia="da-DK"/>
              </w:rPr>
              <w:t>15-18 år</w:t>
            </w:r>
          </w:p>
        </w:tc>
        <w:tc>
          <w:tcPr>
            <w:tcW w:w="1697"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38"/>
              <w:rPr>
                <w:sz w:val="24"/>
                <w:szCs w:val="24"/>
                <w:lang w:eastAsia="da-DK"/>
              </w:rPr>
            </w:pPr>
            <w:r w:rsidRPr="002A526B">
              <w:rPr>
                <w:spacing w:val="-1"/>
                <w:sz w:val="24"/>
                <w:szCs w:val="24"/>
                <w:lang w:eastAsia="da-DK"/>
              </w:rPr>
              <w:t xml:space="preserve">Over </w:t>
            </w:r>
            <w:r w:rsidRPr="002A526B">
              <w:rPr>
                <w:sz w:val="24"/>
                <w:szCs w:val="24"/>
                <w:lang w:eastAsia="da-DK"/>
              </w:rPr>
              <w:t>60</w:t>
            </w:r>
            <w:r w:rsidRPr="002A526B">
              <w:rPr>
                <w:spacing w:val="-1"/>
                <w:sz w:val="24"/>
                <w:szCs w:val="24"/>
                <w:lang w:eastAsia="da-DK"/>
              </w:rPr>
              <w:t xml:space="preserve"> kg</w:t>
            </w:r>
          </w:p>
        </w:tc>
        <w:tc>
          <w:tcPr>
            <w:tcW w:w="1608"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91"/>
              <w:rPr>
                <w:sz w:val="24"/>
                <w:szCs w:val="24"/>
                <w:lang w:eastAsia="da-DK"/>
              </w:rPr>
            </w:pPr>
            <w:r w:rsidRPr="002A526B">
              <w:rPr>
                <w:sz w:val="24"/>
                <w:szCs w:val="24"/>
                <w:lang w:eastAsia="da-DK"/>
              </w:rPr>
              <w:t>10</w:t>
            </w:r>
            <w:r w:rsidRPr="002A526B">
              <w:rPr>
                <w:spacing w:val="-1"/>
                <w:sz w:val="24"/>
                <w:szCs w:val="24"/>
                <w:lang w:eastAsia="da-DK"/>
              </w:rPr>
              <w:t xml:space="preserve"> </w:t>
            </w:r>
            <w:r w:rsidRPr="002A526B">
              <w:rPr>
                <w:sz w:val="24"/>
                <w:szCs w:val="24"/>
                <w:lang w:eastAsia="da-DK"/>
              </w:rPr>
              <w:t>mg</w:t>
            </w:r>
          </w:p>
        </w:tc>
        <w:tc>
          <w:tcPr>
            <w:tcW w:w="2503" w:type="dxa"/>
            <w:tcBorders>
              <w:top w:val="single" w:sz="4" w:space="0" w:color="000000"/>
              <w:left w:val="single" w:sz="4" w:space="0" w:color="000000"/>
              <w:bottom w:val="single" w:sz="4" w:space="0" w:color="000000"/>
              <w:right w:val="single" w:sz="4" w:space="0" w:color="000000"/>
            </w:tcBorders>
          </w:tcPr>
          <w:p w:rsidR="00246CF8" w:rsidRPr="002A526B" w:rsidRDefault="00246CF8" w:rsidP="003B4BCE">
            <w:pPr>
              <w:kinsoku w:val="0"/>
              <w:overflowPunct w:val="0"/>
              <w:autoSpaceDE w:val="0"/>
              <w:autoSpaceDN w:val="0"/>
              <w:adjustRightInd w:val="0"/>
              <w:spacing w:before="27"/>
              <w:ind w:left="158"/>
              <w:rPr>
                <w:sz w:val="24"/>
                <w:szCs w:val="24"/>
                <w:lang w:eastAsia="da-DK"/>
              </w:rPr>
            </w:pPr>
            <w:r w:rsidRPr="002A526B">
              <w:rPr>
                <w:spacing w:val="-1"/>
                <w:sz w:val="24"/>
                <w:szCs w:val="24"/>
                <w:lang w:eastAsia="da-DK"/>
              </w:rPr>
              <w:t xml:space="preserve">Op </w:t>
            </w:r>
            <w:r w:rsidRPr="002A526B">
              <w:rPr>
                <w:sz w:val="24"/>
                <w:szCs w:val="24"/>
                <w:lang w:eastAsia="da-DK"/>
              </w:rPr>
              <w:t>til 3</w:t>
            </w:r>
            <w:r w:rsidRPr="002A526B">
              <w:rPr>
                <w:spacing w:val="-1"/>
                <w:sz w:val="24"/>
                <w:szCs w:val="24"/>
                <w:lang w:eastAsia="da-DK"/>
              </w:rPr>
              <w:t xml:space="preserve"> gange </w:t>
            </w:r>
            <w:r>
              <w:rPr>
                <w:spacing w:val="-1"/>
                <w:sz w:val="24"/>
                <w:szCs w:val="24"/>
                <w:lang w:eastAsia="da-DK"/>
              </w:rPr>
              <w:t>daglig</w:t>
            </w:r>
          </w:p>
        </w:tc>
      </w:tr>
    </w:tbl>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jc w:val="both"/>
        <w:rPr>
          <w:sz w:val="24"/>
          <w:szCs w:val="24"/>
          <w:lang w:eastAsia="da-DK"/>
        </w:rPr>
      </w:pPr>
    </w:p>
    <w:p w:rsidR="00246CF8" w:rsidRPr="002A526B" w:rsidRDefault="00246CF8" w:rsidP="00246CF8">
      <w:pPr>
        <w:tabs>
          <w:tab w:val="left" w:pos="851"/>
        </w:tabs>
        <w:ind w:left="851"/>
        <w:rPr>
          <w:sz w:val="24"/>
          <w:szCs w:val="24"/>
          <w:lang w:eastAsia="da-DK"/>
        </w:rPr>
      </w:pPr>
      <w:r w:rsidRPr="002A526B">
        <w:rPr>
          <w:sz w:val="24"/>
          <w:szCs w:val="24"/>
          <w:lang w:eastAsia="da-DK"/>
        </w:rPr>
        <w:t>Den maksimale behandlingsvarighed er 5 dage ved forebyggelse af forsinket kemoterapiinduceret kvalme og opkastning (CINV).</w:t>
      </w:r>
      <w:r w:rsidRPr="002A526B">
        <w:rPr>
          <w:sz w:val="24"/>
          <w:szCs w:val="24"/>
          <w:lang w:eastAsia="da-DK"/>
        </w:rPr>
        <w:br/>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Tabletter er ikke egnede til børn, der vejer mindre end 30 kg. Andre lægemiddelformer/styrker kan være mere egnede til behandling af denne population.</w:t>
      </w:r>
    </w:p>
    <w:p w:rsidR="00246CF8" w:rsidRPr="002A526B" w:rsidRDefault="00246CF8" w:rsidP="00246CF8">
      <w:pPr>
        <w:tabs>
          <w:tab w:val="left" w:pos="851"/>
        </w:tabs>
        <w:ind w:left="851"/>
        <w:rPr>
          <w:spacing w:val="-3"/>
          <w:sz w:val="24"/>
          <w:szCs w:val="24"/>
          <w:lang w:eastAsia="da-DK"/>
        </w:rPr>
      </w:pPr>
    </w:p>
    <w:p w:rsidR="001F722A" w:rsidRDefault="001F722A" w:rsidP="001F722A">
      <w:pPr>
        <w:tabs>
          <w:tab w:val="left" w:pos="851"/>
        </w:tabs>
        <w:ind w:left="851"/>
        <w:rPr>
          <w:b/>
          <w:spacing w:val="-3"/>
          <w:sz w:val="24"/>
          <w:szCs w:val="24"/>
          <w:lang w:eastAsia="da-DK"/>
        </w:rPr>
      </w:pPr>
      <w:r>
        <w:rPr>
          <w:b/>
          <w:spacing w:val="-3"/>
          <w:sz w:val="24"/>
          <w:szCs w:val="24"/>
          <w:lang w:eastAsia="da-DK"/>
        </w:rPr>
        <w:t>Administration</w:t>
      </w:r>
    </w:p>
    <w:p w:rsidR="001F722A" w:rsidRDefault="001F722A" w:rsidP="001F722A">
      <w:pPr>
        <w:tabs>
          <w:tab w:val="left" w:pos="851"/>
        </w:tabs>
        <w:ind w:left="851"/>
        <w:rPr>
          <w:spacing w:val="-3"/>
          <w:sz w:val="24"/>
          <w:szCs w:val="24"/>
          <w:lang w:eastAsia="da-DK"/>
        </w:rPr>
      </w:pPr>
      <w:r>
        <w:rPr>
          <w:spacing w:val="-3"/>
          <w:sz w:val="24"/>
          <w:szCs w:val="24"/>
          <w:lang w:eastAsia="da-DK"/>
        </w:rPr>
        <w:t>Et minimumsinterval på 6 timer mellem to administrationer skal overholdes, selv i tilfælde af opkastning eller afvisning af dosis (se pkt. 4.4).</w:t>
      </w:r>
    </w:p>
    <w:p w:rsidR="001F722A" w:rsidRDefault="001F722A" w:rsidP="001F722A">
      <w:pPr>
        <w:tabs>
          <w:tab w:val="left" w:pos="851"/>
        </w:tabs>
        <w:ind w:left="851"/>
        <w:rPr>
          <w:spacing w:val="-3"/>
          <w:sz w:val="24"/>
          <w:szCs w:val="24"/>
          <w:lang w:eastAsia="da-DK"/>
        </w:rPr>
      </w:pPr>
    </w:p>
    <w:p w:rsidR="001F722A" w:rsidRDefault="001F722A" w:rsidP="001F722A">
      <w:pPr>
        <w:tabs>
          <w:tab w:val="left" w:pos="851"/>
        </w:tabs>
        <w:ind w:left="851"/>
        <w:rPr>
          <w:spacing w:val="-3"/>
          <w:sz w:val="24"/>
          <w:szCs w:val="24"/>
          <w:u w:val="single"/>
          <w:lang w:eastAsia="da-DK"/>
        </w:rPr>
      </w:pPr>
      <w:r>
        <w:rPr>
          <w:spacing w:val="-3"/>
          <w:sz w:val="24"/>
          <w:szCs w:val="24"/>
          <w:u w:val="single"/>
          <w:lang w:eastAsia="da-DK"/>
        </w:rPr>
        <w:t>Særlige populationer</w:t>
      </w:r>
    </w:p>
    <w:p w:rsidR="001F722A" w:rsidRDefault="001F722A" w:rsidP="001F722A">
      <w:pPr>
        <w:tabs>
          <w:tab w:val="left" w:pos="851"/>
        </w:tabs>
        <w:ind w:left="851"/>
        <w:rPr>
          <w:i/>
          <w:sz w:val="24"/>
          <w:szCs w:val="24"/>
          <w:lang w:eastAsia="da-DK"/>
        </w:rPr>
      </w:pPr>
    </w:p>
    <w:p w:rsidR="001F722A" w:rsidRDefault="001F722A" w:rsidP="001F722A">
      <w:pPr>
        <w:tabs>
          <w:tab w:val="left" w:pos="851"/>
        </w:tabs>
        <w:ind w:left="851"/>
        <w:rPr>
          <w:i/>
          <w:sz w:val="24"/>
          <w:szCs w:val="24"/>
          <w:lang w:eastAsia="da-DK"/>
        </w:rPr>
      </w:pPr>
      <w:r>
        <w:rPr>
          <w:i/>
          <w:sz w:val="24"/>
          <w:szCs w:val="24"/>
          <w:lang w:eastAsia="da-DK"/>
        </w:rPr>
        <w:t xml:space="preserve">Ældre patienter </w:t>
      </w:r>
    </w:p>
    <w:p w:rsidR="001F722A" w:rsidRDefault="001F722A" w:rsidP="001F722A">
      <w:pPr>
        <w:tabs>
          <w:tab w:val="left" w:pos="851"/>
        </w:tabs>
        <w:ind w:left="851"/>
        <w:rPr>
          <w:sz w:val="24"/>
          <w:szCs w:val="24"/>
          <w:lang w:eastAsia="da-DK"/>
        </w:rPr>
      </w:pPr>
      <w:r>
        <w:rPr>
          <w:sz w:val="24"/>
          <w:szCs w:val="24"/>
          <w:lang w:eastAsia="da-DK"/>
        </w:rPr>
        <w:t xml:space="preserve">Hos ældre patienter skal dosisreduktion overvejes, baseret på nyre- og leverfunktion og generel svaghed. </w:t>
      </w:r>
    </w:p>
    <w:p w:rsidR="001F722A" w:rsidRDefault="001F722A" w:rsidP="001F722A">
      <w:pPr>
        <w:tabs>
          <w:tab w:val="left" w:pos="851"/>
        </w:tabs>
        <w:ind w:left="851"/>
        <w:rPr>
          <w:sz w:val="24"/>
          <w:szCs w:val="24"/>
          <w:lang w:eastAsia="da-DK"/>
        </w:rPr>
      </w:pPr>
    </w:p>
    <w:p w:rsidR="001F722A" w:rsidRDefault="001F722A" w:rsidP="001F722A">
      <w:pPr>
        <w:tabs>
          <w:tab w:val="left" w:pos="851"/>
        </w:tabs>
        <w:ind w:left="851"/>
        <w:rPr>
          <w:i/>
          <w:sz w:val="24"/>
          <w:szCs w:val="24"/>
          <w:lang w:eastAsia="da-DK"/>
        </w:rPr>
      </w:pPr>
      <w:r>
        <w:rPr>
          <w:i/>
          <w:sz w:val="24"/>
          <w:szCs w:val="24"/>
          <w:lang w:eastAsia="da-DK"/>
        </w:rPr>
        <w:t xml:space="preserve">Nedsat nyrefunktion </w:t>
      </w:r>
    </w:p>
    <w:p w:rsidR="001F722A" w:rsidRDefault="001F722A" w:rsidP="001F722A">
      <w:pPr>
        <w:tabs>
          <w:tab w:val="left" w:pos="851"/>
        </w:tabs>
        <w:ind w:left="851"/>
        <w:rPr>
          <w:sz w:val="24"/>
          <w:szCs w:val="24"/>
          <w:lang w:eastAsia="da-DK"/>
        </w:rPr>
      </w:pPr>
      <w:r>
        <w:rPr>
          <w:sz w:val="24"/>
          <w:szCs w:val="24"/>
          <w:lang w:eastAsia="da-DK"/>
        </w:rPr>
        <w:t xml:space="preserve">Hos patienter med nyresygdom i slutstadiet (kreatininclearance ≤ 15 ml/min) skal den daglige dosis reduceres med 75 %. Hos patienter med moderat til svært nedsat nyrefunktion (kreatininclearance 15-60 ml/min) skal dosis reduceres med 50 % (se pkt. 5.2). </w:t>
      </w:r>
    </w:p>
    <w:p w:rsidR="001F722A" w:rsidRDefault="001F722A" w:rsidP="001F722A">
      <w:pPr>
        <w:tabs>
          <w:tab w:val="left" w:pos="851"/>
        </w:tabs>
        <w:ind w:left="851"/>
        <w:rPr>
          <w:sz w:val="24"/>
          <w:szCs w:val="24"/>
          <w:lang w:eastAsia="da-DK"/>
        </w:rPr>
      </w:pPr>
    </w:p>
    <w:p w:rsidR="001F722A" w:rsidRDefault="001F722A" w:rsidP="001F722A">
      <w:pPr>
        <w:tabs>
          <w:tab w:val="left" w:pos="851"/>
        </w:tabs>
        <w:ind w:left="851"/>
        <w:rPr>
          <w:i/>
          <w:sz w:val="24"/>
          <w:szCs w:val="24"/>
          <w:lang w:eastAsia="da-DK"/>
        </w:rPr>
      </w:pPr>
      <w:r>
        <w:rPr>
          <w:i/>
          <w:sz w:val="24"/>
          <w:szCs w:val="24"/>
          <w:lang w:eastAsia="da-DK"/>
        </w:rPr>
        <w:t xml:space="preserve">Nedsat leverfunktion </w:t>
      </w:r>
    </w:p>
    <w:p w:rsidR="001F722A" w:rsidRDefault="001F722A" w:rsidP="001F722A">
      <w:pPr>
        <w:tabs>
          <w:tab w:val="left" w:pos="851"/>
        </w:tabs>
        <w:ind w:left="851"/>
        <w:rPr>
          <w:sz w:val="24"/>
          <w:szCs w:val="24"/>
          <w:lang w:eastAsia="da-DK"/>
        </w:rPr>
      </w:pPr>
      <w:r>
        <w:rPr>
          <w:sz w:val="24"/>
          <w:szCs w:val="24"/>
          <w:lang w:eastAsia="da-DK"/>
        </w:rPr>
        <w:t>Hos patienter med svært nedsat leverfunktion skal dosis reduceres med 50 % (se pkt. 5.2).</w:t>
      </w:r>
    </w:p>
    <w:p w:rsidR="001F722A" w:rsidRDefault="001F722A" w:rsidP="001F722A">
      <w:pPr>
        <w:tabs>
          <w:tab w:val="left" w:pos="851"/>
        </w:tabs>
        <w:ind w:left="851"/>
        <w:rPr>
          <w:sz w:val="24"/>
          <w:szCs w:val="24"/>
          <w:lang w:eastAsia="da-DK"/>
        </w:rPr>
      </w:pPr>
    </w:p>
    <w:p w:rsidR="001F722A" w:rsidRDefault="001F722A" w:rsidP="001F722A">
      <w:pPr>
        <w:tabs>
          <w:tab w:val="left" w:pos="851"/>
        </w:tabs>
        <w:ind w:left="851"/>
        <w:jc w:val="both"/>
        <w:rPr>
          <w:i/>
          <w:sz w:val="24"/>
          <w:szCs w:val="24"/>
          <w:lang w:eastAsia="da-DK"/>
        </w:rPr>
      </w:pPr>
      <w:r>
        <w:rPr>
          <w:i/>
          <w:sz w:val="24"/>
          <w:szCs w:val="24"/>
          <w:lang w:eastAsia="da-DK"/>
        </w:rPr>
        <w:t>Pædiatrisk population</w:t>
      </w:r>
    </w:p>
    <w:p w:rsidR="001F722A" w:rsidRDefault="001F722A" w:rsidP="001F722A">
      <w:pPr>
        <w:tabs>
          <w:tab w:val="left" w:pos="851"/>
        </w:tabs>
        <w:ind w:left="851"/>
        <w:jc w:val="both"/>
        <w:rPr>
          <w:sz w:val="24"/>
          <w:szCs w:val="24"/>
          <w:lang w:eastAsia="da-DK"/>
        </w:rPr>
      </w:pPr>
      <w:r>
        <w:rPr>
          <w:sz w:val="24"/>
          <w:szCs w:val="24"/>
          <w:lang w:eastAsia="da-DK"/>
        </w:rPr>
        <w:t>Metoclopramid er kontraindiceret til nyfødte og børn under 1 år (se pkt. 4.3).</w:t>
      </w:r>
    </w:p>
    <w:p w:rsidR="00246CF8" w:rsidRPr="002A526B" w:rsidRDefault="00246CF8" w:rsidP="00246CF8">
      <w:pPr>
        <w:tabs>
          <w:tab w:val="left" w:pos="851"/>
        </w:tabs>
        <w:ind w:left="851"/>
        <w:jc w:val="both"/>
        <w:rPr>
          <w:sz w:val="24"/>
          <w:szCs w:val="24"/>
          <w:lang w:eastAsia="da-DK"/>
        </w:rPr>
      </w:pPr>
      <w:r w:rsidRPr="002A526B">
        <w:rPr>
          <w:sz w:val="24"/>
          <w:szCs w:val="24"/>
          <w:lang w:eastAsia="da-DK"/>
        </w:rPr>
        <w:tab/>
      </w:r>
      <w:r w:rsidRPr="002A526B">
        <w:rPr>
          <w:sz w:val="24"/>
          <w:szCs w:val="24"/>
          <w:lang w:eastAsia="da-DK"/>
        </w:rPr>
        <w:tab/>
      </w:r>
      <w:r w:rsidRPr="002A526B">
        <w:rPr>
          <w:sz w:val="24"/>
          <w:szCs w:val="24"/>
          <w:lang w:eastAsia="da-DK"/>
        </w:rPr>
        <w:tab/>
      </w:r>
    </w:p>
    <w:p w:rsidR="00246CF8" w:rsidRPr="00C84483" w:rsidRDefault="00246CF8" w:rsidP="00246CF8">
      <w:pPr>
        <w:tabs>
          <w:tab w:val="left" w:pos="851"/>
        </w:tabs>
        <w:ind w:left="851" w:hanging="851"/>
        <w:rPr>
          <w:b/>
          <w:sz w:val="24"/>
          <w:szCs w:val="24"/>
        </w:rPr>
      </w:pPr>
      <w:r w:rsidRPr="00C84483">
        <w:rPr>
          <w:b/>
          <w:sz w:val="24"/>
          <w:szCs w:val="24"/>
        </w:rPr>
        <w:t>4.3</w:t>
      </w:r>
      <w:r w:rsidRPr="00C84483">
        <w:rPr>
          <w:b/>
          <w:sz w:val="24"/>
          <w:szCs w:val="24"/>
        </w:rPr>
        <w:tab/>
        <w:t>Kontraindikationer</w:t>
      </w:r>
    </w:p>
    <w:p w:rsidR="001F722A" w:rsidRDefault="00246CF8" w:rsidP="001F722A">
      <w:pPr>
        <w:tabs>
          <w:tab w:val="left" w:pos="567"/>
        </w:tabs>
        <w:ind w:left="1418" w:hanging="567"/>
        <w:rPr>
          <w:sz w:val="24"/>
          <w:szCs w:val="24"/>
        </w:rPr>
      </w:pPr>
      <w:r w:rsidRPr="002A526B">
        <w:rPr>
          <w:sz w:val="24"/>
          <w:szCs w:val="24"/>
          <w:lang w:eastAsia="da-DK"/>
        </w:rPr>
        <w:t xml:space="preserve">- </w:t>
      </w:r>
      <w:r w:rsidRPr="002A526B">
        <w:rPr>
          <w:sz w:val="24"/>
          <w:szCs w:val="24"/>
          <w:lang w:eastAsia="da-DK"/>
        </w:rPr>
        <w:tab/>
      </w:r>
      <w:r w:rsidR="001F722A">
        <w:rPr>
          <w:sz w:val="24"/>
          <w:szCs w:val="24"/>
        </w:rPr>
        <w:t>Overfølsomhed over for det aktive stof eller over for et eller flere af hjælpestofferne anført i pkt. 6.1</w:t>
      </w:r>
    </w:p>
    <w:p w:rsidR="001F722A" w:rsidRDefault="001F722A" w:rsidP="001F722A">
      <w:pPr>
        <w:tabs>
          <w:tab w:val="left" w:pos="567"/>
        </w:tabs>
        <w:ind w:left="1418" w:hanging="567"/>
        <w:rPr>
          <w:sz w:val="24"/>
          <w:szCs w:val="24"/>
        </w:rPr>
      </w:pPr>
      <w:r>
        <w:rPr>
          <w:sz w:val="24"/>
          <w:szCs w:val="24"/>
        </w:rPr>
        <w:t xml:space="preserve">- </w:t>
      </w:r>
      <w:r>
        <w:rPr>
          <w:sz w:val="24"/>
          <w:szCs w:val="24"/>
        </w:rPr>
        <w:tab/>
        <w:t>Gastrointestinal blødning, mekanisk obstruktion eller gastrointestinal perforation, hvor stimulering af gastrointestinal motilitet udgør en risiko</w:t>
      </w:r>
    </w:p>
    <w:p w:rsidR="001F722A" w:rsidRDefault="001F722A" w:rsidP="001F722A">
      <w:pPr>
        <w:tabs>
          <w:tab w:val="left" w:pos="567"/>
        </w:tabs>
        <w:ind w:left="1418" w:hanging="567"/>
        <w:rPr>
          <w:sz w:val="24"/>
          <w:szCs w:val="24"/>
        </w:rPr>
      </w:pPr>
      <w:r>
        <w:rPr>
          <w:sz w:val="24"/>
          <w:szCs w:val="24"/>
        </w:rPr>
        <w:t xml:space="preserve">- </w:t>
      </w:r>
      <w:r>
        <w:rPr>
          <w:sz w:val="24"/>
          <w:szCs w:val="24"/>
        </w:rPr>
        <w:tab/>
        <w:t>Bekræftet eller mistænkt fæokromocytom på grund af risikoen for svære hypertensive episoder</w:t>
      </w:r>
    </w:p>
    <w:p w:rsidR="001F722A" w:rsidRDefault="001F722A" w:rsidP="001F722A">
      <w:pPr>
        <w:tabs>
          <w:tab w:val="left" w:pos="567"/>
        </w:tabs>
        <w:ind w:left="1418" w:hanging="567"/>
        <w:rPr>
          <w:sz w:val="24"/>
          <w:szCs w:val="24"/>
        </w:rPr>
      </w:pPr>
      <w:r>
        <w:rPr>
          <w:sz w:val="24"/>
          <w:szCs w:val="24"/>
        </w:rPr>
        <w:t xml:space="preserve">- </w:t>
      </w:r>
      <w:r>
        <w:rPr>
          <w:sz w:val="24"/>
          <w:szCs w:val="24"/>
        </w:rPr>
        <w:tab/>
        <w:t>Tidligere tilfælde af neuroleptisk eller metoclopramid-induceret tardiv dyskinesi</w:t>
      </w:r>
    </w:p>
    <w:p w:rsidR="001F722A" w:rsidRDefault="001F722A" w:rsidP="001F722A">
      <w:pPr>
        <w:tabs>
          <w:tab w:val="left" w:pos="567"/>
        </w:tabs>
        <w:ind w:left="1418" w:hanging="567"/>
        <w:rPr>
          <w:sz w:val="24"/>
          <w:szCs w:val="24"/>
        </w:rPr>
      </w:pPr>
      <w:r>
        <w:rPr>
          <w:sz w:val="24"/>
          <w:szCs w:val="24"/>
        </w:rPr>
        <w:t xml:space="preserve">- </w:t>
      </w:r>
      <w:r>
        <w:rPr>
          <w:sz w:val="24"/>
          <w:szCs w:val="24"/>
        </w:rPr>
        <w:tab/>
        <w:t>Epilepsi (øget krisehyppighed og intensitet)</w:t>
      </w:r>
    </w:p>
    <w:p w:rsidR="001F722A" w:rsidRDefault="001F722A" w:rsidP="001F722A">
      <w:pPr>
        <w:tabs>
          <w:tab w:val="left" w:pos="567"/>
        </w:tabs>
        <w:ind w:left="1418" w:hanging="567"/>
        <w:rPr>
          <w:sz w:val="24"/>
          <w:szCs w:val="24"/>
        </w:rPr>
      </w:pPr>
      <w:r>
        <w:rPr>
          <w:sz w:val="24"/>
          <w:szCs w:val="24"/>
        </w:rPr>
        <w:t xml:space="preserve">- </w:t>
      </w:r>
      <w:r>
        <w:rPr>
          <w:sz w:val="24"/>
          <w:szCs w:val="24"/>
        </w:rPr>
        <w:tab/>
        <w:t>Parkinsons sygdom</w:t>
      </w:r>
    </w:p>
    <w:p w:rsidR="001F722A" w:rsidRDefault="001F722A" w:rsidP="001F722A">
      <w:pPr>
        <w:tabs>
          <w:tab w:val="left" w:pos="567"/>
        </w:tabs>
        <w:ind w:left="1418" w:hanging="567"/>
        <w:rPr>
          <w:sz w:val="24"/>
          <w:szCs w:val="24"/>
        </w:rPr>
      </w:pPr>
      <w:r>
        <w:rPr>
          <w:sz w:val="24"/>
          <w:szCs w:val="24"/>
        </w:rPr>
        <w:t xml:space="preserve">- </w:t>
      </w:r>
      <w:r>
        <w:rPr>
          <w:sz w:val="24"/>
          <w:szCs w:val="24"/>
        </w:rPr>
        <w:tab/>
        <w:t>Kombination med levodopa eller dopaminerge agonister (se pkt. 4.5)</w:t>
      </w:r>
    </w:p>
    <w:p w:rsidR="001F722A" w:rsidRDefault="001F722A" w:rsidP="001F722A">
      <w:pPr>
        <w:tabs>
          <w:tab w:val="left" w:pos="567"/>
        </w:tabs>
        <w:ind w:left="1418" w:hanging="567"/>
        <w:rPr>
          <w:sz w:val="24"/>
          <w:szCs w:val="24"/>
        </w:rPr>
      </w:pPr>
      <w:r>
        <w:rPr>
          <w:sz w:val="24"/>
          <w:szCs w:val="24"/>
        </w:rPr>
        <w:t xml:space="preserve">- </w:t>
      </w:r>
      <w:r>
        <w:rPr>
          <w:sz w:val="24"/>
          <w:szCs w:val="24"/>
        </w:rPr>
        <w:tab/>
        <w:t>Kendt methæmoglobinæmi med metoclopramid eller NADH-cytokrom-b5-mangel</w:t>
      </w:r>
    </w:p>
    <w:p w:rsidR="001F722A" w:rsidRDefault="001F722A" w:rsidP="001F722A">
      <w:pPr>
        <w:tabs>
          <w:tab w:val="left" w:pos="567"/>
        </w:tabs>
        <w:ind w:left="1418" w:hanging="567"/>
        <w:rPr>
          <w:sz w:val="24"/>
          <w:szCs w:val="24"/>
        </w:rPr>
      </w:pPr>
      <w:r>
        <w:rPr>
          <w:sz w:val="24"/>
          <w:szCs w:val="24"/>
        </w:rPr>
        <w:t xml:space="preserve">- </w:t>
      </w:r>
      <w:r>
        <w:rPr>
          <w:sz w:val="24"/>
          <w:szCs w:val="24"/>
        </w:rPr>
        <w:tab/>
        <w:t>Børn under 1 år på grund af øget risiko for ekstrapyramidale forstyrrelser (se pkt. 4.4).</w:t>
      </w:r>
    </w:p>
    <w:p w:rsidR="00246CF8" w:rsidRPr="002A526B" w:rsidRDefault="00246CF8" w:rsidP="001F722A">
      <w:pPr>
        <w:tabs>
          <w:tab w:val="left" w:pos="1134"/>
        </w:tabs>
        <w:ind w:left="1134" w:hanging="283"/>
        <w:rPr>
          <w:sz w:val="24"/>
          <w:szCs w:val="24"/>
          <w:lang w:eastAsia="da-DK"/>
        </w:rPr>
      </w:pPr>
    </w:p>
    <w:p w:rsidR="00246CF8" w:rsidRPr="009F7218" w:rsidRDefault="00246CF8" w:rsidP="009F721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46CF8" w:rsidRPr="002A526B" w:rsidRDefault="00246CF8" w:rsidP="00246CF8">
      <w:pPr>
        <w:tabs>
          <w:tab w:val="left" w:pos="851"/>
        </w:tabs>
        <w:ind w:left="851"/>
        <w:rPr>
          <w:spacing w:val="-3"/>
          <w:sz w:val="24"/>
          <w:szCs w:val="24"/>
          <w:u w:val="single"/>
          <w:lang w:eastAsia="da-DK"/>
        </w:rPr>
      </w:pPr>
      <w:r w:rsidRPr="002A526B">
        <w:rPr>
          <w:spacing w:val="-3"/>
          <w:sz w:val="24"/>
          <w:szCs w:val="24"/>
          <w:u w:val="single"/>
          <w:lang w:eastAsia="da-DK"/>
        </w:rPr>
        <w:t>Neurologiske sygdomme</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Ekstrapyramidale forstyrrelser kan forekomme, især hos børn og unge voksne og/eller ved anvendelse af høje doser. Disse reaktioner forekommer sædvanligvis i starten af behandlingen og kan forekomme efter en enkelt administration. Metoclopramid skal seponeres øjeblikkeligt i tilfælde af ekstrapyramidale symptomer. Disse er generelt fuldstændig reversible efter behandlingsophør, men kan kræve symptomatisk behandling (benzodiazepiner hos børn og/eller antikolinerge antiparkinsonmidler hos voksne).</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 xml:space="preserve">For at undgå overdosering skal tidsintervallet på mindst 6 timer, angivet i pkt. 4.2, overholdes mellem hver administration af metoclopramid, selv i tilfælde af opkastning og afvisning af dosis. </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Langvarig behandling med metoclopramid kan forårsage tardiv dyskinesi, potentielt irreversibelt, især hos ældre patienter. Behandling må ikke overskride 3 måneder på grund af risikoen for tardiv dyskinesi (se pkt. 4.8), og metoclopramid skal seponeres, hvis der opstår kliniske tegn på tardiv dyskinesi.</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Malignt neuroleptikasyndrom er rapporteret med metoclopramid i kombination med neuroleptika og med metoclopramid-monoterapi (se pkt. 4.8). Metoclopramid skal seponeres øjeblikkeligt i tilfælde af symptomer på malignt neuroleptikasyndrom, og passende behandling initieres.</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Særlig forsigtighed skal udvises hos patienter med underliggende neurologiske tilstande samt hos patienter, der behandles med andre centralt virkende lægemidler (se pkt. 4.3).</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Symptomer på Parkinsons sygdom kan også blive forværret af metoclopramid.</w:t>
      </w:r>
    </w:p>
    <w:p w:rsidR="00246CF8" w:rsidRPr="002A526B" w:rsidRDefault="00246CF8" w:rsidP="009F7218">
      <w:pPr>
        <w:rPr>
          <w:spacing w:val="-3"/>
          <w:sz w:val="24"/>
          <w:szCs w:val="24"/>
          <w:lang w:eastAsia="da-DK"/>
        </w:rPr>
      </w:pPr>
    </w:p>
    <w:p w:rsidR="00246CF8" w:rsidRPr="002A526B" w:rsidRDefault="00246CF8" w:rsidP="00246CF8">
      <w:pPr>
        <w:tabs>
          <w:tab w:val="left" w:pos="851"/>
          <w:tab w:val="center" w:pos="4819"/>
          <w:tab w:val="right" w:pos="9638"/>
        </w:tabs>
        <w:ind w:left="851"/>
        <w:rPr>
          <w:spacing w:val="-3"/>
          <w:sz w:val="24"/>
          <w:szCs w:val="24"/>
          <w:u w:val="single"/>
          <w:lang w:eastAsia="da-DK"/>
        </w:rPr>
      </w:pPr>
      <w:r w:rsidRPr="002A526B">
        <w:rPr>
          <w:spacing w:val="-3"/>
          <w:sz w:val="24"/>
          <w:szCs w:val="24"/>
          <w:u w:val="single"/>
          <w:lang w:eastAsia="da-DK"/>
        </w:rPr>
        <w:t>Methæmoglobinæmi</w:t>
      </w:r>
    </w:p>
    <w:p w:rsidR="00246CF8" w:rsidRPr="002A526B" w:rsidRDefault="00246CF8" w:rsidP="00246CF8">
      <w:pPr>
        <w:tabs>
          <w:tab w:val="left" w:pos="851"/>
          <w:tab w:val="center" w:pos="4819"/>
          <w:tab w:val="right" w:pos="9638"/>
        </w:tabs>
        <w:ind w:left="851"/>
        <w:rPr>
          <w:spacing w:val="-3"/>
          <w:sz w:val="24"/>
          <w:szCs w:val="24"/>
          <w:lang w:eastAsia="da-DK"/>
        </w:rPr>
      </w:pPr>
      <w:r w:rsidRPr="002A526B">
        <w:rPr>
          <w:spacing w:val="-3"/>
          <w:sz w:val="24"/>
          <w:szCs w:val="24"/>
          <w:lang w:eastAsia="da-DK"/>
        </w:rPr>
        <w:t>Methæmoglobinæmi, som kan være relateret til NADH-cytokrom-b5-reduktasemangel, er rapporteret. I sådanne tilfælde skal metoclopramid seponeres øjeblikkeligt og permanent og passende foranstaltninger indledes (såsom behandling med methylthionin).</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spacing w:val="-3"/>
          <w:sz w:val="24"/>
          <w:szCs w:val="24"/>
          <w:u w:val="single"/>
          <w:lang w:eastAsia="da-DK"/>
        </w:rPr>
      </w:pPr>
      <w:r w:rsidRPr="002A526B">
        <w:rPr>
          <w:spacing w:val="-3"/>
          <w:sz w:val="24"/>
          <w:szCs w:val="24"/>
          <w:u w:val="single"/>
          <w:lang w:eastAsia="da-DK"/>
        </w:rPr>
        <w:t xml:space="preserve">Hjertesygdomme </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Der er rapporteret om alvorlige kardiovaskulære bivirkninger, herunder tilfælde af kredsløbskollaps, svær bradykardi, hjertestop og QT-forlængelse efter administration af metoclopramid ved injektion, især ved intravenøs administration (se pkt. 4.8).</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Særlig forsigtighed skal udvises, når der gives metoclopramid, især intravenøst, til ældre, til patienter med ledningsforstyrrelser (herunder QT-forlængelse), ukorrigerede elektrolytforstyrrelser eller bradykardi og til patienter, der tager andre lægemidler, der vides at forlænge QT-intervallet.</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 xml:space="preserve">Intravenøse doser skal indgives som langsom bolusinjektion (over mindst 3 minutter) for at reducere risikoen for bivirkninger (f.eks. hypotension, akatisi). </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spacing w:val="-3"/>
          <w:sz w:val="24"/>
          <w:szCs w:val="24"/>
          <w:u w:val="single"/>
          <w:lang w:eastAsia="da-DK"/>
        </w:rPr>
      </w:pPr>
      <w:r w:rsidRPr="002A526B">
        <w:rPr>
          <w:spacing w:val="-3"/>
          <w:sz w:val="24"/>
          <w:szCs w:val="24"/>
          <w:u w:val="single"/>
          <w:lang w:eastAsia="da-DK"/>
        </w:rPr>
        <w:t xml:space="preserve">Nedsat nyre- og leverfunktion </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Dosisreduktion anbefales hos patienter med nedsat nyrefunktion eller med svært nedsat leverfunktion (se pkt. 4.2).</w:t>
      </w:r>
    </w:p>
    <w:p w:rsidR="00246CF8" w:rsidRPr="002A526B" w:rsidRDefault="00246CF8" w:rsidP="00246CF8">
      <w:pPr>
        <w:tabs>
          <w:tab w:val="left" w:pos="851"/>
        </w:tabs>
        <w:ind w:left="851"/>
        <w:rPr>
          <w:sz w:val="24"/>
          <w:szCs w:val="24"/>
          <w:lang w:eastAsia="da-DK"/>
        </w:rPr>
      </w:pPr>
    </w:p>
    <w:p w:rsidR="00246CF8" w:rsidRPr="009F7218" w:rsidRDefault="00246CF8" w:rsidP="009F721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46CF8" w:rsidRPr="002A526B" w:rsidRDefault="00246CF8" w:rsidP="00246CF8">
      <w:pPr>
        <w:tabs>
          <w:tab w:val="left" w:pos="851"/>
        </w:tabs>
        <w:ind w:left="851"/>
        <w:rPr>
          <w:spacing w:val="-3"/>
          <w:sz w:val="24"/>
          <w:szCs w:val="24"/>
          <w:u w:val="single"/>
          <w:lang w:eastAsia="da-DK"/>
        </w:rPr>
      </w:pPr>
      <w:r w:rsidRPr="002A526B">
        <w:rPr>
          <w:sz w:val="24"/>
          <w:szCs w:val="24"/>
          <w:u w:val="single"/>
          <w:lang w:eastAsia="da-DK"/>
        </w:rPr>
        <w:t>Kontraindiceret kombination</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Levodopa eller dopaminerge agonister og metoclopramid udviser gensidig antagonisme (se pkt. 4.3).</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ab/>
      </w:r>
    </w:p>
    <w:p w:rsidR="00246CF8" w:rsidRPr="002A526B" w:rsidRDefault="00246CF8" w:rsidP="00246CF8">
      <w:pPr>
        <w:tabs>
          <w:tab w:val="left" w:pos="851"/>
        </w:tabs>
        <w:ind w:left="851"/>
        <w:rPr>
          <w:spacing w:val="-3"/>
          <w:sz w:val="24"/>
          <w:szCs w:val="24"/>
          <w:u w:val="single"/>
          <w:lang w:eastAsia="da-DK"/>
        </w:rPr>
      </w:pPr>
      <w:r>
        <w:rPr>
          <w:spacing w:val="-3"/>
          <w:sz w:val="24"/>
          <w:szCs w:val="24"/>
          <w:u w:val="single"/>
          <w:lang w:eastAsia="da-DK"/>
        </w:rPr>
        <w:t>Kombination, der skal undgås</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Alkohol forstærker den sedative virkning af metoclopramid.</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spacing w:val="-3"/>
          <w:sz w:val="24"/>
          <w:szCs w:val="24"/>
          <w:u w:val="single"/>
          <w:lang w:eastAsia="da-DK"/>
        </w:rPr>
      </w:pPr>
      <w:r w:rsidRPr="002A526B">
        <w:rPr>
          <w:spacing w:val="-3"/>
          <w:sz w:val="24"/>
          <w:szCs w:val="24"/>
          <w:u w:val="single"/>
          <w:lang w:eastAsia="da-DK"/>
        </w:rPr>
        <w:t>Kombinat</w:t>
      </w:r>
      <w:r>
        <w:rPr>
          <w:spacing w:val="-3"/>
          <w:sz w:val="24"/>
          <w:szCs w:val="24"/>
          <w:u w:val="single"/>
          <w:lang w:eastAsia="da-DK"/>
        </w:rPr>
        <w:t>ion, hvor der skal tages hensyn</w:t>
      </w:r>
    </w:p>
    <w:p w:rsidR="00246CF8" w:rsidRPr="002A526B" w:rsidRDefault="00246CF8" w:rsidP="00246CF8">
      <w:pPr>
        <w:tabs>
          <w:tab w:val="left" w:pos="851"/>
        </w:tabs>
        <w:ind w:left="851"/>
        <w:rPr>
          <w:rFonts w:eastAsia="SimSun"/>
          <w:color w:val="000000"/>
          <w:sz w:val="24"/>
          <w:szCs w:val="24"/>
          <w:lang w:eastAsia="zh-CN"/>
        </w:rPr>
      </w:pPr>
      <w:r w:rsidRPr="002A526B">
        <w:rPr>
          <w:rFonts w:eastAsia="SimSun"/>
          <w:color w:val="000000"/>
          <w:sz w:val="24"/>
          <w:szCs w:val="24"/>
          <w:lang w:eastAsia="zh-CN"/>
        </w:rPr>
        <w:t>På grund af metoclopramids prokinetiske virkning kan absorptionen af visse lægemidler ændres.</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i/>
          <w:spacing w:val="-3"/>
          <w:sz w:val="24"/>
          <w:szCs w:val="24"/>
          <w:lang w:eastAsia="da-DK"/>
        </w:rPr>
      </w:pPr>
      <w:r w:rsidRPr="002A526B">
        <w:rPr>
          <w:i/>
          <w:spacing w:val="-3"/>
          <w:sz w:val="24"/>
          <w:szCs w:val="24"/>
          <w:lang w:eastAsia="da-DK"/>
        </w:rPr>
        <w:t>Anticholinergika og morphinderivater</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Anticholinergika og morphinderivater kan begge have en gensidig antagonisme med metoclopramid på mave-tarm-kanalens motilitet.</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i/>
          <w:spacing w:val="-3"/>
          <w:sz w:val="24"/>
          <w:szCs w:val="24"/>
          <w:lang w:eastAsia="da-DK"/>
        </w:rPr>
      </w:pPr>
      <w:r w:rsidRPr="002A526B">
        <w:rPr>
          <w:i/>
          <w:spacing w:val="-3"/>
          <w:sz w:val="24"/>
          <w:szCs w:val="24"/>
          <w:lang w:eastAsia="da-DK"/>
        </w:rPr>
        <w:t>CNS-supprimerende stoffer (morphinderivater, anxiolytika, sedative H1-antihistaminer, sederende antidepressiva, barbiturater, clonidin og beslægtede stoffer)</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De sedative virkninger af CNS-supprimerende stoffer og metoclopramid forstærkes.</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i/>
          <w:spacing w:val="-3"/>
          <w:sz w:val="24"/>
          <w:szCs w:val="24"/>
          <w:lang w:eastAsia="da-DK"/>
        </w:rPr>
      </w:pPr>
      <w:r w:rsidRPr="002A526B">
        <w:rPr>
          <w:i/>
          <w:spacing w:val="-3"/>
          <w:sz w:val="24"/>
          <w:szCs w:val="24"/>
          <w:lang w:eastAsia="da-DK"/>
        </w:rPr>
        <w:t>Neuroleptika</w:t>
      </w:r>
    </w:p>
    <w:p w:rsidR="00246CF8" w:rsidRPr="002A526B" w:rsidRDefault="00246CF8" w:rsidP="00246CF8">
      <w:pPr>
        <w:tabs>
          <w:tab w:val="left" w:pos="851"/>
        </w:tabs>
        <w:ind w:left="851"/>
        <w:rPr>
          <w:spacing w:val="-3"/>
          <w:sz w:val="24"/>
          <w:szCs w:val="24"/>
          <w:lang w:eastAsia="da-DK"/>
        </w:rPr>
      </w:pPr>
      <w:r w:rsidRPr="002A526B">
        <w:rPr>
          <w:rFonts w:eastAsia="SimSun"/>
          <w:color w:val="000000"/>
          <w:sz w:val="24"/>
          <w:szCs w:val="24"/>
          <w:lang w:eastAsia="zh-CN"/>
        </w:rPr>
        <w:t xml:space="preserve">Metoclopramid kan have en additiv virkning sammen med andre neuroleptika på forekomsten </w:t>
      </w:r>
      <w:r w:rsidRPr="002A526B">
        <w:rPr>
          <w:spacing w:val="-3"/>
          <w:sz w:val="24"/>
          <w:szCs w:val="24"/>
          <w:lang w:eastAsia="da-DK"/>
        </w:rPr>
        <w:t>af ekstrapyramidale forstyrrelser.</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i/>
          <w:spacing w:val="-3"/>
          <w:sz w:val="24"/>
          <w:szCs w:val="24"/>
          <w:lang w:eastAsia="da-DK"/>
        </w:rPr>
      </w:pPr>
      <w:r w:rsidRPr="002A526B">
        <w:rPr>
          <w:i/>
          <w:spacing w:val="-3"/>
          <w:sz w:val="24"/>
          <w:szCs w:val="24"/>
          <w:lang w:eastAsia="da-DK"/>
        </w:rPr>
        <w:t>Serotonerge lægemidler</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Anvendelse af metoclopramid sammen med serotonerge lægemidler såsom SSRI’er kan øge risikoen for serotoninsyndrom.</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i/>
          <w:spacing w:val="-3"/>
          <w:sz w:val="24"/>
          <w:szCs w:val="24"/>
          <w:lang w:eastAsia="da-DK"/>
        </w:rPr>
      </w:pPr>
      <w:r w:rsidRPr="002A526B">
        <w:rPr>
          <w:i/>
          <w:spacing w:val="-3"/>
          <w:sz w:val="24"/>
          <w:szCs w:val="24"/>
          <w:lang w:eastAsia="da-DK"/>
        </w:rPr>
        <w:t>Digoxin</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Metoclopramid kan nedsætte biotilgængeligheden af digoxin. Omhyggelig monitorering af digoxins plasmakoncentration er påkrævet.</w:t>
      </w:r>
    </w:p>
    <w:p w:rsidR="00246CF8" w:rsidRPr="002A526B" w:rsidRDefault="00246CF8" w:rsidP="00246CF8">
      <w:pPr>
        <w:tabs>
          <w:tab w:val="left" w:pos="851"/>
        </w:tabs>
        <w:ind w:left="851"/>
        <w:rPr>
          <w:spacing w:val="-3"/>
          <w:sz w:val="24"/>
          <w:szCs w:val="24"/>
          <w:lang w:eastAsia="da-DK"/>
        </w:rPr>
      </w:pPr>
    </w:p>
    <w:p w:rsidR="00246CF8" w:rsidRPr="002A526B" w:rsidRDefault="00246CF8" w:rsidP="009F7218">
      <w:pPr>
        <w:keepNext/>
        <w:tabs>
          <w:tab w:val="left" w:pos="851"/>
        </w:tabs>
        <w:ind w:left="851"/>
        <w:rPr>
          <w:i/>
          <w:spacing w:val="-3"/>
          <w:sz w:val="24"/>
          <w:szCs w:val="24"/>
          <w:lang w:eastAsia="da-DK"/>
        </w:rPr>
      </w:pPr>
      <w:r w:rsidRPr="002A526B">
        <w:rPr>
          <w:i/>
          <w:spacing w:val="-3"/>
          <w:sz w:val="24"/>
          <w:szCs w:val="24"/>
          <w:lang w:eastAsia="da-DK"/>
        </w:rPr>
        <w:lastRenderedPageBreak/>
        <w:t>Ciclosporin</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Metoclopramid øger biotilgængeligheden af ciclosporin (</w:t>
      </w:r>
      <w:r w:rsidR="001F722A">
        <w:rPr>
          <w:spacing w:val="-3"/>
          <w:sz w:val="24"/>
          <w:szCs w:val="24"/>
          <w:lang w:eastAsia="da-DK"/>
        </w:rPr>
        <w:t>C</w:t>
      </w:r>
      <w:r w:rsidR="001F722A">
        <w:rPr>
          <w:spacing w:val="-3"/>
          <w:sz w:val="24"/>
          <w:szCs w:val="24"/>
          <w:vertAlign w:val="subscript"/>
          <w:lang w:eastAsia="da-DK"/>
        </w:rPr>
        <w:t>max</w:t>
      </w:r>
      <w:r w:rsidR="001F722A">
        <w:rPr>
          <w:spacing w:val="-3"/>
          <w:sz w:val="24"/>
          <w:szCs w:val="24"/>
          <w:lang w:eastAsia="da-DK"/>
        </w:rPr>
        <w:t xml:space="preserve"> med 46 % og eksponeringen med 22 %</w:t>
      </w:r>
      <w:r w:rsidRPr="002A526B">
        <w:rPr>
          <w:spacing w:val="-3"/>
          <w:sz w:val="24"/>
          <w:szCs w:val="24"/>
          <w:lang w:eastAsia="da-DK"/>
        </w:rPr>
        <w:t>). Omhyggelig monitorering af ciclosporins plasmakoncentration er påkrævet. Den kliniske konsekvens er usikker.</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i/>
          <w:spacing w:val="-3"/>
          <w:sz w:val="24"/>
          <w:szCs w:val="24"/>
          <w:lang w:eastAsia="da-DK"/>
        </w:rPr>
      </w:pPr>
      <w:r w:rsidRPr="002A526B">
        <w:rPr>
          <w:i/>
          <w:spacing w:val="-3"/>
          <w:sz w:val="24"/>
          <w:szCs w:val="24"/>
          <w:lang w:eastAsia="da-DK"/>
        </w:rPr>
        <w:t xml:space="preserve">Mivacurium og suxamethonium </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Metoclopramidinjektion kan forlænge varigheden af neuromuskulær blokade (ved hæmning af plasma-kolinesterase).</w:t>
      </w:r>
    </w:p>
    <w:p w:rsidR="00246CF8" w:rsidRPr="002A526B" w:rsidRDefault="00246CF8" w:rsidP="00246CF8">
      <w:pPr>
        <w:tabs>
          <w:tab w:val="left" w:pos="851"/>
        </w:tabs>
        <w:ind w:left="851"/>
        <w:rPr>
          <w:spacing w:val="-3"/>
          <w:sz w:val="24"/>
          <w:szCs w:val="24"/>
          <w:lang w:eastAsia="da-DK"/>
        </w:rPr>
      </w:pPr>
    </w:p>
    <w:p w:rsidR="00246CF8" w:rsidRPr="002A526B" w:rsidRDefault="00246CF8" w:rsidP="00246CF8">
      <w:pPr>
        <w:tabs>
          <w:tab w:val="left" w:pos="851"/>
        </w:tabs>
        <w:ind w:left="851"/>
        <w:rPr>
          <w:i/>
          <w:spacing w:val="-3"/>
          <w:sz w:val="24"/>
          <w:szCs w:val="24"/>
          <w:lang w:eastAsia="da-DK"/>
        </w:rPr>
      </w:pPr>
      <w:r w:rsidRPr="002A526B">
        <w:rPr>
          <w:i/>
          <w:spacing w:val="-3"/>
          <w:sz w:val="24"/>
          <w:szCs w:val="24"/>
          <w:lang w:eastAsia="da-DK"/>
        </w:rPr>
        <w:t xml:space="preserve">Stærke CYP2D6-hæmmere </w:t>
      </w:r>
    </w:p>
    <w:p w:rsidR="00246CF8" w:rsidRPr="002A526B" w:rsidRDefault="00246CF8" w:rsidP="00246CF8">
      <w:pPr>
        <w:tabs>
          <w:tab w:val="left" w:pos="851"/>
        </w:tabs>
        <w:ind w:left="851"/>
        <w:rPr>
          <w:spacing w:val="-3"/>
          <w:sz w:val="24"/>
          <w:szCs w:val="24"/>
          <w:lang w:eastAsia="da-DK"/>
        </w:rPr>
      </w:pPr>
      <w:r w:rsidRPr="002A526B">
        <w:rPr>
          <w:spacing w:val="-3"/>
          <w:sz w:val="24"/>
          <w:szCs w:val="24"/>
          <w:lang w:eastAsia="da-DK"/>
        </w:rPr>
        <w:t>Metoclopramids eksponeringsniveau øges ved samtidig administration af stærke CYP2D6-hæmmere såsom fluoxetin og paroxetin. Selv om den kliniske signifikans er usikker, skal patienterne overvåges for bivirkninger.</w:t>
      </w:r>
    </w:p>
    <w:p w:rsidR="00246CF8" w:rsidRPr="00C84483" w:rsidRDefault="00246CF8" w:rsidP="00246CF8">
      <w:pPr>
        <w:tabs>
          <w:tab w:val="left" w:pos="851"/>
        </w:tabs>
        <w:rPr>
          <w:sz w:val="24"/>
          <w:szCs w:val="24"/>
        </w:rPr>
      </w:pPr>
    </w:p>
    <w:p w:rsidR="00246CF8" w:rsidRPr="009F7218" w:rsidRDefault="00246CF8" w:rsidP="009F7218">
      <w:pPr>
        <w:tabs>
          <w:tab w:val="left" w:pos="851"/>
        </w:tabs>
        <w:ind w:left="851" w:hanging="851"/>
        <w:rPr>
          <w:b/>
          <w:sz w:val="24"/>
          <w:szCs w:val="24"/>
        </w:rPr>
      </w:pPr>
      <w:r w:rsidRPr="00C84483">
        <w:rPr>
          <w:b/>
          <w:sz w:val="24"/>
          <w:szCs w:val="24"/>
        </w:rPr>
        <w:t>4.6</w:t>
      </w:r>
      <w:r w:rsidRPr="00C84483">
        <w:rPr>
          <w:b/>
          <w:sz w:val="24"/>
          <w:szCs w:val="24"/>
        </w:rPr>
        <w:tab/>
        <w:t>Graviditet og amning</w:t>
      </w:r>
    </w:p>
    <w:p w:rsidR="00246CF8" w:rsidRPr="002A526B" w:rsidRDefault="00246CF8" w:rsidP="00246CF8">
      <w:pPr>
        <w:tabs>
          <w:tab w:val="left" w:pos="851"/>
        </w:tabs>
        <w:ind w:left="851"/>
        <w:rPr>
          <w:sz w:val="24"/>
          <w:szCs w:val="24"/>
          <w:lang w:eastAsia="da-DK"/>
        </w:rPr>
      </w:pPr>
      <w:r w:rsidRPr="002A526B">
        <w:rPr>
          <w:sz w:val="24"/>
          <w:szCs w:val="24"/>
          <w:u w:val="single"/>
          <w:lang w:eastAsia="da-DK"/>
        </w:rPr>
        <w:t>Graviditet</w:t>
      </w:r>
    </w:p>
    <w:p w:rsidR="001F722A" w:rsidRDefault="001F722A" w:rsidP="001F722A">
      <w:pPr>
        <w:tabs>
          <w:tab w:val="left" w:pos="0"/>
          <w:tab w:val="left" w:pos="851"/>
        </w:tabs>
        <w:ind w:left="851"/>
        <w:rPr>
          <w:sz w:val="24"/>
          <w:szCs w:val="24"/>
          <w:lang w:eastAsia="da-DK"/>
        </w:rPr>
      </w:pPr>
      <w:r>
        <w:rPr>
          <w:sz w:val="24"/>
          <w:szCs w:val="24"/>
          <w:lang w:eastAsia="da-DK"/>
        </w:rPr>
        <w:t xml:space="preserve">Data fra anvendelse af metoclopramid hos et stort antal gravide kvinder (mere end 1.000 eksponeringer) indikerer ingen misdannelser eller føtotoksicitet. Metoclopramid kan anvendes under graviditeten, hvis det er nødvendigt klinisk. På grund af de farmakologiske egenskaber (som andre antipsykotika) kan ekstrapyramidalt syndrom hos nyfødte ikke udelukkes, hvis metoclopramid administreres sidst i graviditeten. Metoclopramid bør undgås i slutningen af graviditeten. Hvis metoclopramid benyttes, skal der foretages neonatal monitorering. </w:t>
      </w:r>
    </w:p>
    <w:p w:rsidR="00246CF8" w:rsidRPr="002A526B" w:rsidRDefault="00246CF8" w:rsidP="00246CF8">
      <w:pPr>
        <w:tabs>
          <w:tab w:val="left" w:pos="851"/>
        </w:tabs>
        <w:ind w:left="851"/>
        <w:rPr>
          <w:sz w:val="24"/>
          <w:szCs w:val="24"/>
          <w:lang w:eastAsia="da-DK"/>
        </w:rPr>
      </w:pPr>
    </w:p>
    <w:p w:rsidR="00246CF8" w:rsidRPr="002A526B" w:rsidRDefault="00246CF8" w:rsidP="00246CF8">
      <w:pPr>
        <w:tabs>
          <w:tab w:val="left" w:pos="851"/>
        </w:tabs>
        <w:ind w:left="851"/>
        <w:rPr>
          <w:sz w:val="24"/>
          <w:szCs w:val="24"/>
          <w:lang w:eastAsia="da-DK"/>
        </w:rPr>
      </w:pPr>
      <w:r w:rsidRPr="002A526B">
        <w:rPr>
          <w:sz w:val="24"/>
          <w:szCs w:val="24"/>
          <w:u w:val="single"/>
          <w:lang w:eastAsia="da-DK"/>
        </w:rPr>
        <w:t>Amning</w:t>
      </w:r>
    </w:p>
    <w:p w:rsidR="00246CF8" w:rsidRPr="002A526B" w:rsidRDefault="00246CF8" w:rsidP="00246CF8">
      <w:pPr>
        <w:tabs>
          <w:tab w:val="left" w:pos="0"/>
          <w:tab w:val="left" w:pos="851"/>
        </w:tabs>
        <w:ind w:left="851"/>
        <w:rPr>
          <w:sz w:val="24"/>
          <w:szCs w:val="24"/>
          <w:lang w:eastAsia="da-DK"/>
        </w:rPr>
      </w:pPr>
      <w:r w:rsidRPr="002A526B">
        <w:rPr>
          <w:sz w:val="24"/>
          <w:szCs w:val="24"/>
          <w:lang w:eastAsia="da-DK"/>
        </w:rPr>
        <w:t>Metoclopramid udskilles i modermælk i lav grad. Bivirkninger hos det ammede barn kan ikke udelukkes. Derfor frarådes brug af metoclopramid under amning. Seponering af metoclopramid hos ammende kvinder skal overvejes.</w:t>
      </w:r>
    </w:p>
    <w:p w:rsidR="00246CF8" w:rsidRPr="00C84483" w:rsidRDefault="00246CF8" w:rsidP="00246CF8">
      <w:pPr>
        <w:tabs>
          <w:tab w:val="left" w:pos="851"/>
        </w:tabs>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46CF8" w:rsidRDefault="00246CF8" w:rsidP="00246CF8">
      <w:pPr>
        <w:tabs>
          <w:tab w:val="left" w:pos="851"/>
        </w:tabs>
        <w:ind w:left="851"/>
        <w:jc w:val="both"/>
        <w:rPr>
          <w:spacing w:val="-3"/>
          <w:sz w:val="24"/>
          <w:szCs w:val="24"/>
          <w:lang w:eastAsia="da-DK"/>
        </w:rPr>
      </w:pPr>
      <w:r>
        <w:rPr>
          <w:spacing w:val="-3"/>
          <w:sz w:val="24"/>
          <w:szCs w:val="24"/>
          <w:lang w:eastAsia="da-DK"/>
        </w:rPr>
        <w:t>Ikke mærkning.</w:t>
      </w:r>
    </w:p>
    <w:p w:rsidR="00246CF8" w:rsidRPr="002A526B" w:rsidRDefault="00246CF8" w:rsidP="00246CF8">
      <w:pPr>
        <w:tabs>
          <w:tab w:val="left" w:pos="851"/>
        </w:tabs>
        <w:ind w:left="851"/>
        <w:jc w:val="both"/>
        <w:rPr>
          <w:spacing w:val="-3"/>
          <w:sz w:val="24"/>
          <w:szCs w:val="24"/>
          <w:lang w:eastAsia="da-DK"/>
        </w:rPr>
      </w:pPr>
      <w:r w:rsidRPr="002A526B">
        <w:rPr>
          <w:spacing w:val="-3"/>
          <w:sz w:val="24"/>
          <w:szCs w:val="24"/>
          <w:lang w:eastAsia="da-DK"/>
        </w:rPr>
        <w:t>Metoclopramid kan forårsage døsighed, svimmelhed, dyskinesi og dystoni, som kan påvirke synet og også interferere med evnen til at føre motorkøretøj og betjene maskiner.</w:t>
      </w:r>
    </w:p>
    <w:p w:rsidR="00246CF8" w:rsidRPr="00C84483" w:rsidRDefault="00246CF8" w:rsidP="00246CF8">
      <w:pPr>
        <w:tabs>
          <w:tab w:val="left" w:pos="851"/>
        </w:tabs>
        <w:ind w:left="851" w:hanging="851"/>
        <w:rPr>
          <w:sz w:val="24"/>
          <w:szCs w:val="24"/>
        </w:rPr>
      </w:pPr>
      <w:r w:rsidRPr="00C84483">
        <w:rPr>
          <w:sz w:val="24"/>
          <w:szCs w:val="24"/>
        </w:rPr>
        <w:tab/>
      </w:r>
    </w:p>
    <w:p w:rsidR="00246CF8" w:rsidRPr="00C84483" w:rsidRDefault="00246CF8" w:rsidP="00246CF8">
      <w:pPr>
        <w:tabs>
          <w:tab w:val="left" w:pos="851"/>
        </w:tabs>
        <w:ind w:left="851" w:hanging="851"/>
        <w:rPr>
          <w:b/>
          <w:sz w:val="24"/>
          <w:szCs w:val="24"/>
        </w:rPr>
      </w:pPr>
      <w:r w:rsidRPr="00C84483">
        <w:rPr>
          <w:b/>
          <w:sz w:val="24"/>
          <w:szCs w:val="24"/>
        </w:rPr>
        <w:t>4.8</w:t>
      </w:r>
      <w:r w:rsidRPr="00C84483">
        <w:rPr>
          <w:b/>
          <w:sz w:val="24"/>
          <w:szCs w:val="24"/>
        </w:rPr>
        <w:tab/>
        <w:t>Bivirkninger</w:t>
      </w:r>
    </w:p>
    <w:p w:rsidR="001F722A" w:rsidRDefault="001F722A" w:rsidP="001F722A">
      <w:pPr>
        <w:tabs>
          <w:tab w:val="left" w:pos="851"/>
        </w:tabs>
        <w:ind w:left="851"/>
        <w:rPr>
          <w:sz w:val="24"/>
          <w:szCs w:val="24"/>
          <w:lang w:eastAsia="da-DK"/>
        </w:rPr>
      </w:pPr>
      <w:r>
        <w:rPr>
          <w:sz w:val="24"/>
          <w:szCs w:val="24"/>
          <w:lang w:eastAsia="da-DK"/>
        </w:rPr>
        <w:t>Bivirkninger er anført efter systemorganklasse. Hyppighederne er defineret ved hjælp af følgende konvention: meget almindelig (≥ 1/10), almindelig (≥ 1/100 til &lt; 1/10), ikke almindelig (≥ 1/1.000 til &lt; 1/100), sjælden (≥ 1/10.000 til &lt; 1/1.000), meget sjælden (&lt; 1/10.000), ikke kendt (kan ikke estimeres ud fra forhåndenværende data).</w:t>
      </w:r>
    </w:p>
    <w:p w:rsidR="001F722A" w:rsidRDefault="001F722A" w:rsidP="001F722A">
      <w:pPr>
        <w:tabs>
          <w:tab w:val="left" w:pos="851"/>
        </w:tabs>
        <w:ind w:left="851"/>
        <w:rPr>
          <w:sz w:val="24"/>
          <w:szCs w:val="24"/>
          <w:lang w:eastAsia="da-DK"/>
        </w:rPr>
      </w:pPr>
    </w:p>
    <w:tbl>
      <w:tblPr>
        <w:tblW w:w="8775" w:type="dxa"/>
        <w:tblInd w:w="717" w:type="dxa"/>
        <w:tblLayout w:type="fixed"/>
        <w:tblCellMar>
          <w:left w:w="0" w:type="dxa"/>
          <w:right w:w="0" w:type="dxa"/>
        </w:tblCellMar>
        <w:tblLook w:val="01E0" w:firstRow="1" w:lastRow="1" w:firstColumn="1" w:lastColumn="1" w:noHBand="0" w:noVBand="0"/>
      </w:tblPr>
      <w:tblGrid>
        <w:gridCol w:w="2394"/>
        <w:gridCol w:w="26"/>
        <w:gridCol w:w="2952"/>
        <w:gridCol w:w="3403"/>
      </w:tblGrid>
      <w:tr w:rsidR="001F722A" w:rsidTr="001F722A">
        <w:trPr>
          <w:trHeight w:val="20"/>
        </w:trPr>
        <w:tc>
          <w:tcPr>
            <w:tcW w:w="2420" w:type="dxa"/>
            <w:gridSpan w:val="2"/>
            <w:tcBorders>
              <w:top w:val="single" w:sz="6" w:space="0" w:color="000000"/>
              <w:left w:val="single" w:sz="6" w:space="0" w:color="000000"/>
              <w:bottom w:val="single" w:sz="6" w:space="0" w:color="000000"/>
              <w:right w:val="single" w:sz="6" w:space="0" w:color="000000"/>
            </w:tcBorders>
            <w:hideMark/>
          </w:tcPr>
          <w:p w:rsidR="001F722A" w:rsidRDefault="001F722A">
            <w:pPr>
              <w:widowControl w:val="0"/>
              <w:ind w:left="126"/>
              <w:rPr>
                <w:b/>
                <w:sz w:val="24"/>
                <w:szCs w:val="24"/>
              </w:rPr>
            </w:pPr>
            <w:r>
              <w:rPr>
                <w:b/>
                <w:spacing w:val="-1"/>
                <w:sz w:val="24"/>
                <w:szCs w:val="24"/>
              </w:rPr>
              <w:t>Systemorganklasse</w:t>
            </w:r>
          </w:p>
        </w:tc>
        <w:tc>
          <w:tcPr>
            <w:tcW w:w="2951" w:type="dxa"/>
            <w:tcBorders>
              <w:top w:val="single" w:sz="6" w:space="0" w:color="000000"/>
              <w:left w:val="single" w:sz="6" w:space="0" w:color="000000"/>
              <w:bottom w:val="single" w:sz="6" w:space="0" w:color="000000"/>
              <w:right w:val="single" w:sz="6" w:space="0" w:color="000000"/>
            </w:tcBorders>
            <w:hideMark/>
          </w:tcPr>
          <w:p w:rsidR="001F722A" w:rsidRDefault="001F722A">
            <w:pPr>
              <w:widowControl w:val="0"/>
              <w:ind w:left="153"/>
              <w:rPr>
                <w:b/>
                <w:sz w:val="24"/>
                <w:szCs w:val="24"/>
              </w:rPr>
            </w:pPr>
            <w:r>
              <w:rPr>
                <w:b/>
                <w:spacing w:val="-1"/>
                <w:sz w:val="24"/>
                <w:szCs w:val="24"/>
              </w:rPr>
              <w:t>Hyppighed</w:t>
            </w:r>
          </w:p>
        </w:tc>
        <w:tc>
          <w:tcPr>
            <w:tcW w:w="3402" w:type="dxa"/>
            <w:tcBorders>
              <w:top w:val="single" w:sz="6" w:space="0" w:color="000000"/>
              <w:left w:val="single" w:sz="6" w:space="0" w:color="000000"/>
              <w:bottom w:val="single" w:sz="6" w:space="0" w:color="000000"/>
              <w:right w:val="single" w:sz="6" w:space="0" w:color="000000"/>
            </w:tcBorders>
            <w:hideMark/>
          </w:tcPr>
          <w:p w:rsidR="001F722A" w:rsidRDefault="001F722A">
            <w:pPr>
              <w:widowControl w:val="0"/>
              <w:ind w:left="111"/>
              <w:rPr>
                <w:b/>
                <w:sz w:val="24"/>
                <w:szCs w:val="24"/>
              </w:rPr>
            </w:pPr>
            <w:r>
              <w:rPr>
                <w:b/>
                <w:spacing w:val="-1"/>
                <w:sz w:val="24"/>
                <w:szCs w:val="24"/>
              </w:rPr>
              <w:t>Bivirkninger</w:t>
            </w:r>
          </w:p>
        </w:tc>
      </w:tr>
      <w:tr w:rsidR="001F722A" w:rsidTr="001F722A">
        <w:trPr>
          <w:trHeight w:val="20"/>
        </w:trPr>
        <w:tc>
          <w:tcPr>
            <w:tcW w:w="8773" w:type="dxa"/>
            <w:gridSpan w:val="4"/>
            <w:tcBorders>
              <w:top w:val="single" w:sz="6" w:space="0" w:color="000000"/>
              <w:left w:val="single" w:sz="6" w:space="0" w:color="000000"/>
              <w:bottom w:val="single" w:sz="6" w:space="0" w:color="000000"/>
              <w:right w:val="single" w:sz="6" w:space="0" w:color="000000"/>
            </w:tcBorders>
            <w:hideMark/>
          </w:tcPr>
          <w:p w:rsidR="001F722A" w:rsidRDefault="001F722A">
            <w:pPr>
              <w:widowControl w:val="0"/>
              <w:ind w:left="111"/>
              <w:rPr>
                <w:b/>
                <w:sz w:val="24"/>
                <w:szCs w:val="24"/>
              </w:rPr>
            </w:pPr>
            <w:r>
              <w:rPr>
                <w:b/>
                <w:spacing w:val="-1"/>
                <w:sz w:val="24"/>
                <w:szCs w:val="24"/>
              </w:rPr>
              <w:t>Blod og lymfesystem</w:t>
            </w:r>
          </w:p>
        </w:tc>
      </w:tr>
      <w:tr w:rsidR="001F722A" w:rsidTr="001F722A">
        <w:trPr>
          <w:trHeight w:val="20"/>
        </w:trPr>
        <w:tc>
          <w:tcPr>
            <w:tcW w:w="2420" w:type="dxa"/>
            <w:gridSpan w:val="2"/>
            <w:tcBorders>
              <w:top w:val="single" w:sz="6" w:space="0" w:color="000000"/>
              <w:left w:val="single" w:sz="6" w:space="0" w:color="000000"/>
              <w:bottom w:val="single" w:sz="6" w:space="0" w:color="000000"/>
              <w:right w:val="single" w:sz="6" w:space="0" w:color="000000"/>
            </w:tcBorders>
          </w:tcPr>
          <w:p w:rsidR="001F722A" w:rsidRDefault="001F722A">
            <w:pPr>
              <w:widowControl w:val="0"/>
              <w:ind w:left="126"/>
              <w:rPr>
                <w:sz w:val="24"/>
                <w:szCs w:val="24"/>
              </w:rPr>
            </w:pPr>
          </w:p>
        </w:tc>
        <w:tc>
          <w:tcPr>
            <w:tcW w:w="2951" w:type="dxa"/>
            <w:tcBorders>
              <w:top w:val="single" w:sz="6" w:space="0" w:color="000000"/>
              <w:left w:val="single" w:sz="6" w:space="0" w:color="000000"/>
              <w:bottom w:val="single" w:sz="6" w:space="0" w:color="000000"/>
              <w:right w:val="single" w:sz="6" w:space="0" w:color="000000"/>
            </w:tcBorders>
            <w:hideMark/>
          </w:tcPr>
          <w:p w:rsidR="001F722A" w:rsidRDefault="001F722A">
            <w:pPr>
              <w:widowControl w:val="0"/>
              <w:ind w:left="153"/>
              <w:rPr>
                <w:sz w:val="24"/>
                <w:szCs w:val="24"/>
              </w:rPr>
            </w:pPr>
            <w:r>
              <w:rPr>
                <w:spacing w:val="-1"/>
                <w:sz w:val="24"/>
                <w:szCs w:val="24"/>
              </w:rPr>
              <w:t>Ikke</w:t>
            </w:r>
            <w:r>
              <w:rPr>
                <w:spacing w:val="2"/>
                <w:sz w:val="24"/>
                <w:szCs w:val="24"/>
              </w:rPr>
              <w:t xml:space="preserve"> </w:t>
            </w:r>
            <w:r>
              <w:rPr>
                <w:spacing w:val="-1"/>
                <w:sz w:val="24"/>
                <w:szCs w:val="24"/>
              </w:rPr>
              <w:t>kendt</w:t>
            </w:r>
          </w:p>
        </w:tc>
        <w:tc>
          <w:tcPr>
            <w:tcW w:w="3402" w:type="dxa"/>
            <w:tcBorders>
              <w:top w:val="single" w:sz="6" w:space="0" w:color="000000"/>
              <w:left w:val="single" w:sz="6" w:space="0" w:color="000000"/>
              <w:bottom w:val="single" w:sz="6" w:space="0" w:color="000000"/>
              <w:right w:val="single" w:sz="6" w:space="0" w:color="000000"/>
            </w:tcBorders>
            <w:hideMark/>
          </w:tcPr>
          <w:p w:rsidR="001F722A" w:rsidRDefault="001F722A">
            <w:pPr>
              <w:widowControl w:val="0"/>
              <w:ind w:left="111" w:right="149"/>
              <w:rPr>
                <w:sz w:val="24"/>
                <w:szCs w:val="24"/>
              </w:rPr>
            </w:pPr>
            <w:r>
              <w:rPr>
                <w:spacing w:val="-1"/>
                <w:sz w:val="24"/>
                <w:szCs w:val="24"/>
              </w:rPr>
              <w:t>Methæmoglobinæmi,</w:t>
            </w:r>
            <w:r>
              <w:rPr>
                <w:spacing w:val="-2"/>
                <w:sz w:val="24"/>
                <w:szCs w:val="24"/>
              </w:rPr>
              <w:t xml:space="preserve"> </w:t>
            </w:r>
            <w:r>
              <w:rPr>
                <w:sz w:val="24"/>
                <w:szCs w:val="24"/>
              </w:rPr>
              <w:t>som</w:t>
            </w:r>
            <w:r>
              <w:rPr>
                <w:spacing w:val="-4"/>
                <w:sz w:val="24"/>
                <w:szCs w:val="24"/>
              </w:rPr>
              <w:t xml:space="preserve"> </w:t>
            </w:r>
            <w:r>
              <w:rPr>
                <w:spacing w:val="-1"/>
                <w:sz w:val="24"/>
                <w:szCs w:val="24"/>
              </w:rPr>
              <w:t>kan</w:t>
            </w:r>
            <w:r>
              <w:rPr>
                <w:spacing w:val="31"/>
                <w:sz w:val="24"/>
                <w:szCs w:val="24"/>
              </w:rPr>
              <w:t xml:space="preserve"> </w:t>
            </w:r>
            <w:r>
              <w:rPr>
                <w:spacing w:val="-1"/>
                <w:sz w:val="24"/>
                <w:szCs w:val="24"/>
              </w:rPr>
              <w:t>være relateret</w:t>
            </w:r>
            <w:r>
              <w:rPr>
                <w:sz w:val="24"/>
                <w:szCs w:val="24"/>
              </w:rPr>
              <w:t xml:space="preserve"> </w:t>
            </w:r>
            <w:r>
              <w:rPr>
                <w:spacing w:val="-1"/>
                <w:sz w:val="24"/>
                <w:szCs w:val="24"/>
              </w:rPr>
              <w:t>til</w:t>
            </w:r>
            <w:r>
              <w:rPr>
                <w:sz w:val="24"/>
                <w:szCs w:val="24"/>
              </w:rPr>
              <w:t xml:space="preserve"> </w:t>
            </w:r>
            <w:r>
              <w:rPr>
                <w:spacing w:val="-1"/>
                <w:sz w:val="24"/>
                <w:szCs w:val="24"/>
              </w:rPr>
              <w:t>NADH-</w:t>
            </w:r>
            <w:r>
              <w:rPr>
                <w:spacing w:val="25"/>
                <w:sz w:val="24"/>
                <w:szCs w:val="24"/>
              </w:rPr>
              <w:t xml:space="preserve"> </w:t>
            </w:r>
            <w:r>
              <w:rPr>
                <w:spacing w:val="-1"/>
                <w:sz w:val="24"/>
                <w:szCs w:val="24"/>
              </w:rPr>
              <w:t>cytokrom-b5-reduktasemangel,</w:t>
            </w:r>
            <w:r>
              <w:rPr>
                <w:spacing w:val="33"/>
                <w:sz w:val="24"/>
                <w:szCs w:val="24"/>
              </w:rPr>
              <w:t xml:space="preserve"> </w:t>
            </w:r>
            <w:r>
              <w:rPr>
                <w:sz w:val="24"/>
                <w:szCs w:val="24"/>
              </w:rPr>
              <w:t>især</w:t>
            </w:r>
            <w:r>
              <w:rPr>
                <w:spacing w:val="-1"/>
                <w:sz w:val="24"/>
                <w:szCs w:val="24"/>
              </w:rPr>
              <w:t xml:space="preserve"> hos</w:t>
            </w:r>
            <w:r>
              <w:rPr>
                <w:spacing w:val="-2"/>
                <w:sz w:val="24"/>
                <w:szCs w:val="24"/>
              </w:rPr>
              <w:t xml:space="preserve"> </w:t>
            </w:r>
            <w:r>
              <w:rPr>
                <w:spacing w:val="-1"/>
                <w:sz w:val="24"/>
                <w:szCs w:val="24"/>
              </w:rPr>
              <w:t xml:space="preserve">nyfødte (se </w:t>
            </w:r>
            <w:r>
              <w:rPr>
                <w:sz w:val="24"/>
                <w:szCs w:val="24"/>
              </w:rPr>
              <w:t xml:space="preserve">pkt. </w:t>
            </w:r>
            <w:r>
              <w:rPr>
                <w:spacing w:val="-1"/>
                <w:sz w:val="24"/>
                <w:szCs w:val="24"/>
              </w:rPr>
              <w:t>4.4).</w:t>
            </w:r>
            <w:r>
              <w:rPr>
                <w:spacing w:val="23"/>
                <w:sz w:val="24"/>
                <w:szCs w:val="24"/>
              </w:rPr>
              <w:t xml:space="preserve"> </w:t>
            </w:r>
            <w:r>
              <w:rPr>
                <w:spacing w:val="-1"/>
                <w:sz w:val="24"/>
                <w:szCs w:val="24"/>
              </w:rPr>
              <w:t>Sulfhæmoglobinæmi,</w:t>
            </w:r>
            <w:r>
              <w:rPr>
                <w:spacing w:val="-2"/>
                <w:sz w:val="24"/>
                <w:szCs w:val="24"/>
              </w:rPr>
              <w:t xml:space="preserve"> </w:t>
            </w:r>
            <w:r>
              <w:rPr>
                <w:sz w:val="24"/>
                <w:szCs w:val="24"/>
              </w:rPr>
              <w:t>især</w:t>
            </w:r>
            <w:r>
              <w:rPr>
                <w:spacing w:val="-4"/>
                <w:sz w:val="24"/>
                <w:szCs w:val="24"/>
              </w:rPr>
              <w:t xml:space="preserve"> </w:t>
            </w:r>
            <w:r>
              <w:rPr>
                <w:spacing w:val="-1"/>
                <w:sz w:val="24"/>
                <w:szCs w:val="24"/>
              </w:rPr>
              <w:t>ved</w:t>
            </w:r>
            <w:r>
              <w:rPr>
                <w:spacing w:val="33"/>
                <w:sz w:val="24"/>
                <w:szCs w:val="24"/>
              </w:rPr>
              <w:t xml:space="preserve"> </w:t>
            </w:r>
            <w:r>
              <w:rPr>
                <w:spacing w:val="-1"/>
                <w:sz w:val="24"/>
                <w:szCs w:val="24"/>
              </w:rPr>
              <w:t>samtidig administration</w:t>
            </w:r>
            <w:r>
              <w:rPr>
                <w:spacing w:val="-3"/>
                <w:sz w:val="24"/>
                <w:szCs w:val="24"/>
              </w:rPr>
              <w:t xml:space="preserve"> </w:t>
            </w:r>
            <w:r>
              <w:rPr>
                <w:spacing w:val="-1"/>
                <w:sz w:val="24"/>
                <w:szCs w:val="24"/>
              </w:rPr>
              <w:t>af</w:t>
            </w:r>
            <w:r>
              <w:rPr>
                <w:spacing w:val="33"/>
                <w:sz w:val="24"/>
                <w:szCs w:val="24"/>
              </w:rPr>
              <w:t xml:space="preserve"> </w:t>
            </w:r>
            <w:r>
              <w:rPr>
                <w:spacing w:val="-1"/>
                <w:sz w:val="24"/>
                <w:szCs w:val="24"/>
              </w:rPr>
              <w:t xml:space="preserve">svovl-frigivende lægemidler </w:t>
            </w:r>
            <w:r>
              <w:rPr>
                <w:sz w:val="24"/>
                <w:szCs w:val="24"/>
              </w:rPr>
              <w:t>i</w:t>
            </w:r>
            <w:r>
              <w:rPr>
                <w:spacing w:val="37"/>
                <w:sz w:val="24"/>
                <w:szCs w:val="24"/>
              </w:rPr>
              <w:t xml:space="preserve"> </w:t>
            </w:r>
            <w:r>
              <w:rPr>
                <w:spacing w:val="-1"/>
                <w:sz w:val="24"/>
                <w:szCs w:val="24"/>
              </w:rPr>
              <w:t>høje doser.</w:t>
            </w:r>
          </w:p>
        </w:tc>
      </w:tr>
      <w:tr w:rsidR="001F722A" w:rsidTr="001F722A">
        <w:trPr>
          <w:trHeight w:val="20"/>
        </w:trPr>
        <w:tc>
          <w:tcPr>
            <w:tcW w:w="8773" w:type="dxa"/>
            <w:gridSpan w:val="4"/>
            <w:tcBorders>
              <w:top w:val="single" w:sz="6" w:space="0" w:color="000000"/>
              <w:left w:val="single" w:sz="6" w:space="0" w:color="000000"/>
              <w:bottom w:val="single" w:sz="6" w:space="0" w:color="000000"/>
              <w:right w:val="single" w:sz="6" w:space="0" w:color="000000"/>
            </w:tcBorders>
            <w:hideMark/>
          </w:tcPr>
          <w:p w:rsidR="001F722A" w:rsidRDefault="001F722A" w:rsidP="001F722A">
            <w:pPr>
              <w:keepNext/>
              <w:widowControl w:val="0"/>
              <w:ind w:left="113"/>
              <w:rPr>
                <w:b/>
                <w:sz w:val="24"/>
                <w:szCs w:val="24"/>
              </w:rPr>
            </w:pPr>
            <w:r>
              <w:rPr>
                <w:b/>
                <w:spacing w:val="-1"/>
                <w:sz w:val="24"/>
                <w:szCs w:val="24"/>
              </w:rPr>
              <w:lastRenderedPageBreak/>
              <w:t>Hjerte</w:t>
            </w:r>
          </w:p>
        </w:tc>
      </w:tr>
      <w:tr w:rsidR="001F722A" w:rsidTr="001F722A">
        <w:trPr>
          <w:trHeight w:val="20"/>
        </w:trPr>
        <w:tc>
          <w:tcPr>
            <w:tcW w:w="2420" w:type="dxa"/>
            <w:gridSpan w:val="2"/>
            <w:tcBorders>
              <w:top w:val="single" w:sz="6" w:space="0" w:color="000000"/>
              <w:left w:val="single" w:sz="4" w:space="0" w:color="000000"/>
              <w:bottom w:val="single" w:sz="4" w:space="0" w:color="000000"/>
              <w:right w:val="single" w:sz="4" w:space="0" w:color="000000"/>
            </w:tcBorders>
          </w:tcPr>
          <w:p w:rsidR="001F722A" w:rsidRDefault="001F722A">
            <w:pPr>
              <w:widowControl w:val="0"/>
              <w:ind w:left="126"/>
              <w:rPr>
                <w:sz w:val="24"/>
                <w:szCs w:val="24"/>
              </w:rPr>
            </w:pPr>
          </w:p>
        </w:tc>
        <w:tc>
          <w:tcPr>
            <w:tcW w:w="2951" w:type="dxa"/>
            <w:tcBorders>
              <w:top w:val="single" w:sz="6" w:space="0" w:color="000000"/>
              <w:left w:val="single" w:sz="4" w:space="0" w:color="000000"/>
              <w:bottom w:val="single" w:sz="4" w:space="0" w:color="000000"/>
              <w:right w:val="single" w:sz="4" w:space="0" w:color="000000"/>
            </w:tcBorders>
            <w:hideMark/>
          </w:tcPr>
          <w:p w:rsidR="001F722A" w:rsidRDefault="001F722A">
            <w:pPr>
              <w:widowControl w:val="0"/>
              <w:ind w:left="153"/>
              <w:rPr>
                <w:sz w:val="24"/>
                <w:szCs w:val="24"/>
              </w:rPr>
            </w:pPr>
            <w:r>
              <w:rPr>
                <w:spacing w:val="-1"/>
                <w:sz w:val="24"/>
                <w:szCs w:val="24"/>
              </w:rPr>
              <w:t xml:space="preserve">Ikke </w:t>
            </w:r>
            <w:r>
              <w:rPr>
                <w:sz w:val="24"/>
                <w:szCs w:val="24"/>
              </w:rPr>
              <w:t>almindelig</w:t>
            </w:r>
          </w:p>
        </w:tc>
        <w:tc>
          <w:tcPr>
            <w:tcW w:w="3402" w:type="dxa"/>
            <w:tcBorders>
              <w:top w:val="single" w:sz="6" w:space="0" w:color="000000"/>
              <w:left w:val="single" w:sz="4" w:space="0" w:color="000000"/>
              <w:bottom w:val="single" w:sz="4" w:space="0" w:color="000000"/>
              <w:right w:val="single" w:sz="4" w:space="0" w:color="000000"/>
            </w:tcBorders>
            <w:hideMark/>
          </w:tcPr>
          <w:p w:rsidR="001F722A" w:rsidRDefault="001F722A">
            <w:pPr>
              <w:widowControl w:val="0"/>
              <w:ind w:left="111" w:right="637"/>
              <w:rPr>
                <w:sz w:val="24"/>
                <w:szCs w:val="24"/>
              </w:rPr>
            </w:pPr>
            <w:r>
              <w:rPr>
                <w:spacing w:val="-1"/>
                <w:sz w:val="24"/>
                <w:szCs w:val="24"/>
              </w:rPr>
              <w:t>Bradykardi,</w:t>
            </w:r>
            <w:r>
              <w:rPr>
                <w:spacing w:val="-2"/>
                <w:sz w:val="24"/>
                <w:szCs w:val="24"/>
              </w:rPr>
              <w:t xml:space="preserve"> </w:t>
            </w:r>
            <w:r>
              <w:rPr>
                <w:sz w:val="24"/>
                <w:szCs w:val="24"/>
              </w:rPr>
              <w:t xml:space="preserve">specielt </w:t>
            </w:r>
            <w:r>
              <w:rPr>
                <w:spacing w:val="-1"/>
                <w:sz w:val="24"/>
                <w:szCs w:val="24"/>
              </w:rPr>
              <w:t>ved</w:t>
            </w:r>
            <w:r>
              <w:rPr>
                <w:spacing w:val="27"/>
                <w:sz w:val="24"/>
                <w:szCs w:val="24"/>
              </w:rPr>
              <w:t xml:space="preserve"> </w:t>
            </w:r>
            <w:r>
              <w:rPr>
                <w:spacing w:val="-1"/>
                <w:sz w:val="24"/>
                <w:szCs w:val="24"/>
              </w:rPr>
              <w:t>intravenøs</w:t>
            </w:r>
            <w:r>
              <w:rPr>
                <w:spacing w:val="-2"/>
                <w:sz w:val="24"/>
                <w:szCs w:val="24"/>
              </w:rPr>
              <w:t xml:space="preserve"> </w:t>
            </w:r>
            <w:r>
              <w:rPr>
                <w:spacing w:val="-1"/>
                <w:sz w:val="24"/>
                <w:szCs w:val="24"/>
              </w:rPr>
              <w:t>administration.</w:t>
            </w:r>
          </w:p>
        </w:tc>
      </w:tr>
      <w:tr w:rsidR="001F722A" w:rsidTr="001F722A">
        <w:trPr>
          <w:trHeight w:val="20"/>
        </w:trPr>
        <w:tc>
          <w:tcPr>
            <w:tcW w:w="2420" w:type="dxa"/>
            <w:gridSpan w:val="2"/>
            <w:tcBorders>
              <w:top w:val="single" w:sz="4" w:space="0" w:color="000000"/>
              <w:left w:val="single" w:sz="4" w:space="0" w:color="000000"/>
              <w:bottom w:val="single" w:sz="4" w:space="0" w:color="000000"/>
              <w:right w:val="single" w:sz="4" w:space="0" w:color="000000"/>
            </w:tcBorders>
          </w:tcPr>
          <w:p w:rsidR="001F722A" w:rsidRDefault="001F722A">
            <w:pPr>
              <w:widowControl w:val="0"/>
              <w:ind w:left="126"/>
              <w:rPr>
                <w:sz w:val="24"/>
                <w:szCs w:val="24"/>
              </w:rPr>
            </w:pPr>
          </w:p>
        </w:tc>
        <w:tc>
          <w:tcPr>
            <w:tcW w:w="2951"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53"/>
              <w:rPr>
                <w:sz w:val="24"/>
                <w:szCs w:val="24"/>
              </w:rPr>
            </w:pPr>
            <w:r>
              <w:rPr>
                <w:spacing w:val="-1"/>
                <w:sz w:val="24"/>
                <w:szCs w:val="24"/>
              </w:rPr>
              <w:t>Ikke</w:t>
            </w:r>
            <w:r>
              <w:rPr>
                <w:spacing w:val="2"/>
                <w:sz w:val="24"/>
                <w:szCs w:val="24"/>
              </w:rPr>
              <w:t xml:space="preserve"> </w:t>
            </w:r>
            <w:r>
              <w:rPr>
                <w:spacing w:val="-1"/>
                <w:sz w:val="24"/>
                <w:szCs w:val="24"/>
              </w:rPr>
              <w:t>kendt</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ight="113"/>
              <w:rPr>
                <w:sz w:val="24"/>
                <w:szCs w:val="24"/>
              </w:rPr>
            </w:pPr>
            <w:r>
              <w:rPr>
                <w:spacing w:val="-1"/>
                <w:sz w:val="24"/>
                <w:szCs w:val="24"/>
              </w:rPr>
              <w:t>Hjertestop,</w:t>
            </w:r>
            <w:r>
              <w:rPr>
                <w:spacing w:val="-2"/>
                <w:sz w:val="24"/>
                <w:szCs w:val="24"/>
              </w:rPr>
              <w:t xml:space="preserve"> </w:t>
            </w:r>
            <w:r>
              <w:rPr>
                <w:spacing w:val="-1"/>
                <w:sz w:val="24"/>
                <w:szCs w:val="24"/>
              </w:rPr>
              <w:t>forekommende</w:t>
            </w:r>
            <w:r>
              <w:rPr>
                <w:spacing w:val="-3"/>
                <w:sz w:val="24"/>
                <w:szCs w:val="24"/>
              </w:rPr>
              <w:t xml:space="preserve"> </w:t>
            </w:r>
            <w:r>
              <w:rPr>
                <w:spacing w:val="-1"/>
                <w:sz w:val="24"/>
                <w:szCs w:val="24"/>
              </w:rPr>
              <w:t>kort</w:t>
            </w:r>
            <w:r>
              <w:rPr>
                <w:spacing w:val="41"/>
                <w:sz w:val="24"/>
                <w:szCs w:val="24"/>
              </w:rPr>
              <w:t xml:space="preserve"> </w:t>
            </w:r>
            <w:r>
              <w:rPr>
                <w:sz w:val="24"/>
                <w:szCs w:val="24"/>
              </w:rPr>
              <w:t>tid</w:t>
            </w:r>
            <w:r>
              <w:rPr>
                <w:spacing w:val="-1"/>
                <w:sz w:val="24"/>
                <w:szCs w:val="24"/>
              </w:rPr>
              <w:t xml:space="preserve"> </w:t>
            </w:r>
            <w:r>
              <w:rPr>
                <w:sz w:val="24"/>
                <w:szCs w:val="24"/>
              </w:rPr>
              <w:t>efter</w:t>
            </w:r>
            <w:r>
              <w:rPr>
                <w:spacing w:val="-4"/>
                <w:sz w:val="24"/>
                <w:szCs w:val="24"/>
              </w:rPr>
              <w:t xml:space="preserve"> </w:t>
            </w:r>
            <w:r>
              <w:rPr>
                <w:sz w:val="24"/>
                <w:szCs w:val="24"/>
              </w:rPr>
              <w:t>injektion</w:t>
            </w:r>
            <w:r>
              <w:rPr>
                <w:spacing w:val="-3"/>
                <w:sz w:val="24"/>
                <w:szCs w:val="24"/>
              </w:rPr>
              <w:t xml:space="preserve"> </w:t>
            </w:r>
            <w:r>
              <w:rPr>
                <w:sz w:val="24"/>
                <w:szCs w:val="24"/>
              </w:rPr>
              <w:t>og</w:t>
            </w:r>
            <w:r>
              <w:rPr>
                <w:spacing w:val="-1"/>
                <w:sz w:val="24"/>
                <w:szCs w:val="24"/>
              </w:rPr>
              <w:t xml:space="preserve"> potentielt</w:t>
            </w:r>
            <w:r>
              <w:rPr>
                <w:spacing w:val="23"/>
                <w:sz w:val="24"/>
                <w:szCs w:val="24"/>
              </w:rPr>
              <w:t xml:space="preserve"> </w:t>
            </w:r>
            <w:r>
              <w:rPr>
                <w:spacing w:val="-1"/>
                <w:sz w:val="24"/>
                <w:szCs w:val="24"/>
              </w:rPr>
              <w:t>forudgået</w:t>
            </w:r>
            <w:r>
              <w:rPr>
                <w:sz w:val="24"/>
                <w:szCs w:val="24"/>
              </w:rPr>
              <w:t xml:space="preserve"> </w:t>
            </w:r>
            <w:r>
              <w:rPr>
                <w:spacing w:val="-1"/>
                <w:sz w:val="24"/>
                <w:szCs w:val="24"/>
              </w:rPr>
              <w:t>af</w:t>
            </w:r>
            <w:r>
              <w:rPr>
                <w:spacing w:val="-2"/>
                <w:sz w:val="24"/>
                <w:szCs w:val="24"/>
              </w:rPr>
              <w:t xml:space="preserve"> </w:t>
            </w:r>
            <w:r>
              <w:rPr>
                <w:spacing w:val="-1"/>
                <w:sz w:val="24"/>
                <w:szCs w:val="24"/>
              </w:rPr>
              <w:t>bradykardi</w:t>
            </w:r>
            <w:r>
              <w:rPr>
                <w:sz w:val="24"/>
                <w:szCs w:val="24"/>
              </w:rPr>
              <w:t xml:space="preserve"> </w:t>
            </w:r>
            <w:r>
              <w:rPr>
                <w:spacing w:val="-1"/>
                <w:sz w:val="24"/>
                <w:szCs w:val="24"/>
              </w:rPr>
              <w:t xml:space="preserve">(se </w:t>
            </w:r>
            <w:r>
              <w:rPr>
                <w:sz w:val="24"/>
                <w:szCs w:val="24"/>
              </w:rPr>
              <w:t>pkt.</w:t>
            </w:r>
            <w:r>
              <w:rPr>
                <w:spacing w:val="23"/>
                <w:sz w:val="24"/>
                <w:szCs w:val="24"/>
              </w:rPr>
              <w:t xml:space="preserve"> </w:t>
            </w:r>
            <w:r>
              <w:rPr>
                <w:spacing w:val="-1"/>
                <w:sz w:val="24"/>
                <w:szCs w:val="24"/>
              </w:rPr>
              <w:t>4.4), AV-blok,</w:t>
            </w:r>
            <w:r>
              <w:rPr>
                <w:spacing w:val="-2"/>
                <w:sz w:val="24"/>
                <w:szCs w:val="24"/>
              </w:rPr>
              <w:t xml:space="preserve"> </w:t>
            </w:r>
            <w:r>
              <w:rPr>
                <w:spacing w:val="-1"/>
                <w:sz w:val="24"/>
                <w:szCs w:val="24"/>
              </w:rPr>
              <w:t>sinusarrest,</w:t>
            </w:r>
            <w:r>
              <w:rPr>
                <w:sz w:val="24"/>
                <w:szCs w:val="24"/>
              </w:rPr>
              <w:t xml:space="preserve"> især</w:t>
            </w:r>
            <w:r>
              <w:rPr>
                <w:spacing w:val="27"/>
                <w:sz w:val="24"/>
                <w:szCs w:val="24"/>
              </w:rPr>
              <w:t xml:space="preserve"> </w:t>
            </w:r>
            <w:r>
              <w:rPr>
                <w:spacing w:val="-1"/>
                <w:sz w:val="24"/>
                <w:szCs w:val="24"/>
              </w:rPr>
              <w:t>ved intravenøs</w:t>
            </w:r>
            <w:r>
              <w:rPr>
                <w:spacing w:val="-2"/>
                <w:sz w:val="24"/>
                <w:szCs w:val="24"/>
              </w:rPr>
              <w:t xml:space="preserve"> </w:t>
            </w:r>
            <w:r>
              <w:rPr>
                <w:spacing w:val="-1"/>
                <w:sz w:val="24"/>
                <w:szCs w:val="24"/>
              </w:rPr>
              <w:t>administration,</w:t>
            </w:r>
            <w:r>
              <w:rPr>
                <w:spacing w:val="37"/>
                <w:sz w:val="24"/>
                <w:szCs w:val="24"/>
              </w:rPr>
              <w:t xml:space="preserve"> </w:t>
            </w:r>
            <w:r>
              <w:rPr>
                <w:spacing w:val="-1"/>
                <w:sz w:val="24"/>
                <w:szCs w:val="24"/>
              </w:rPr>
              <w:t>QT-forlængelse,</w:t>
            </w:r>
            <w:r>
              <w:rPr>
                <w:spacing w:val="-2"/>
                <w:sz w:val="24"/>
                <w:szCs w:val="24"/>
              </w:rPr>
              <w:t xml:space="preserve"> </w:t>
            </w:r>
            <w:r>
              <w:rPr>
                <w:i/>
                <w:spacing w:val="-1"/>
                <w:sz w:val="24"/>
                <w:szCs w:val="24"/>
              </w:rPr>
              <w:t>torsades</w:t>
            </w:r>
            <w:r>
              <w:rPr>
                <w:i/>
                <w:spacing w:val="-2"/>
                <w:sz w:val="24"/>
                <w:szCs w:val="24"/>
              </w:rPr>
              <w:t xml:space="preserve"> </w:t>
            </w:r>
            <w:r>
              <w:rPr>
                <w:i/>
                <w:sz w:val="24"/>
                <w:szCs w:val="24"/>
              </w:rPr>
              <w:t>de</w:t>
            </w:r>
            <w:r>
              <w:rPr>
                <w:i/>
                <w:spacing w:val="29"/>
                <w:sz w:val="24"/>
                <w:szCs w:val="24"/>
              </w:rPr>
              <w:t xml:space="preserve"> </w:t>
            </w:r>
            <w:r w:rsidRPr="001F722A">
              <w:rPr>
                <w:i/>
                <w:sz w:val="24"/>
                <w:szCs w:val="24"/>
              </w:rPr>
              <w:t>pointes.</w:t>
            </w:r>
          </w:p>
        </w:tc>
      </w:tr>
      <w:tr w:rsidR="001F722A" w:rsidTr="001F722A">
        <w:trPr>
          <w:trHeight w:val="20"/>
        </w:trPr>
        <w:tc>
          <w:tcPr>
            <w:tcW w:w="8773" w:type="dxa"/>
            <w:gridSpan w:val="4"/>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b/>
                <w:spacing w:val="-1"/>
                <w:sz w:val="24"/>
                <w:szCs w:val="24"/>
              </w:rPr>
              <w:t>Det</w:t>
            </w:r>
            <w:r>
              <w:rPr>
                <w:b/>
                <w:sz w:val="24"/>
                <w:szCs w:val="24"/>
              </w:rPr>
              <w:t xml:space="preserve"> </w:t>
            </w:r>
            <w:r>
              <w:rPr>
                <w:b/>
                <w:spacing w:val="-1"/>
                <w:sz w:val="24"/>
                <w:szCs w:val="24"/>
              </w:rPr>
              <w:t>endokrine</w:t>
            </w:r>
            <w:r>
              <w:rPr>
                <w:b/>
                <w:spacing w:val="1"/>
                <w:sz w:val="24"/>
                <w:szCs w:val="24"/>
              </w:rPr>
              <w:t xml:space="preserve"> </w:t>
            </w:r>
            <w:r>
              <w:rPr>
                <w:b/>
                <w:spacing w:val="-1"/>
                <w:sz w:val="24"/>
                <w:szCs w:val="24"/>
              </w:rPr>
              <w:t>system</w:t>
            </w:r>
            <w:r>
              <w:rPr>
                <w:spacing w:val="-1"/>
                <w:sz w:val="24"/>
                <w:szCs w:val="24"/>
              </w:rPr>
              <w:t>*</w:t>
            </w:r>
          </w:p>
        </w:tc>
      </w:tr>
      <w:tr w:rsidR="001F722A" w:rsidTr="001F722A">
        <w:trPr>
          <w:trHeight w:val="20"/>
        </w:trPr>
        <w:tc>
          <w:tcPr>
            <w:tcW w:w="2420" w:type="dxa"/>
            <w:gridSpan w:val="2"/>
            <w:tcBorders>
              <w:top w:val="single" w:sz="4" w:space="0" w:color="000000"/>
              <w:left w:val="single" w:sz="4" w:space="0" w:color="000000"/>
              <w:bottom w:val="single" w:sz="4" w:space="0" w:color="000000"/>
              <w:right w:val="single" w:sz="4" w:space="0" w:color="000000"/>
            </w:tcBorders>
          </w:tcPr>
          <w:p w:rsidR="001F722A" w:rsidRDefault="001F722A">
            <w:pPr>
              <w:widowControl w:val="0"/>
              <w:ind w:left="126"/>
              <w:rPr>
                <w:sz w:val="24"/>
                <w:szCs w:val="24"/>
              </w:rPr>
            </w:pPr>
          </w:p>
        </w:tc>
        <w:tc>
          <w:tcPr>
            <w:tcW w:w="2951"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53"/>
              <w:rPr>
                <w:sz w:val="24"/>
                <w:szCs w:val="24"/>
              </w:rPr>
            </w:pPr>
            <w:r>
              <w:rPr>
                <w:spacing w:val="-1"/>
                <w:sz w:val="24"/>
                <w:szCs w:val="24"/>
              </w:rPr>
              <w:t xml:space="preserve">Ikke </w:t>
            </w:r>
            <w:r>
              <w:rPr>
                <w:sz w:val="24"/>
                <w:szCs w:val="24"/>
              </w:rPr>
              <w:t>almindelig</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Amenoré,</w:t>
            </w:r>
            <w:r>
              <w:rPr>
                <w:spacing w:val="-2"/>
                <w:sz w:val="24"/>
                <w:szCs w:val="24"/>
              </w:rPr>
              <w:t xml:space="preserve"> </w:t>
            </w:r>
            <w:r>
              <w:rPr>
                <w:spacing w:val="-1"/>
                <w:sz w:val="24"/>
                <w:szCs w:val="24"/>
              </w:rPr>
              <w:t>hyperprolaktinæmi.</w:t>
            </w:r>
          </w:p>
        </w:tc>
      </w:tr>
      <w:tr w:rsidR="001F722A" w:rsidTr="001F722A">
        <w:trPr>
          <w:trHeight w:val="20"/>
        </w:trPr>
        <w:tc>
          <w:tcPr>
            <w:tcW w:w="2420" w:type="dxa"/>
            <w:gridSpan w:val="2"/>
            <w:tcBorders>
              <w:top w:val="single" w:sz="4" w:space="0" w:color="000000"/>
              <w:left w:val="single" w:sz="4" w:space="0" w:color="000000"/>
              <w:bottom w:val="single" w:sz="4" w:space="0" w:color="000000"/>
              <w:right w:val="single" w:sz="4" w:space="0" w:color="000000"/>
            </w:tcBorders>
          </w:tcPr>
          <w:p w:rsidR="001F722A" w:rsidRDefault="001F722A">
            <w:pPr>
              <w:widowControl w:val="0"/>
              <w:ind w:left="126"/>
              <w:rPr>
                <w:sz w:val="24"/>
                <w:szCs w:val="24"/>
              </w:rPr>
            </w:pPr>
          </w:p>
        </w:tc>
        <w:tc>
          <w:tcPr>
            <w:tcW w:w="2951"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53"/>
              <w:rPr>
                <w:sz w:val="24"/>
                <w:szCs w:val="24"/>
              </w:rPr>
            </w:pPr>
            <w:r>
              <w:rPr>
                <w:sz w:val="24"/>
                <w:szCs w:val="24"/>
              </w:rPr>
              <w:t>Sjælden</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Galaktoré.</w:t>
            </w:r>
          </w:p>
        </w:tc>
      </w:tr>
      <w:tr w:rsidR="001F722A" w:rsidTr="001F722A">
        <w:trPr>
          <w:trHeight w:val="20"/>
        </w:trPr>
        <w:tc>
          <w:tcPr>
            <w:tcW w:w="2420" w:type="dxa"/>
            <w:gridSpan w:val="2"/>
            <w:tcBorders>
              <w:top w:val="single" w:sz="4" w:space="0" w:color="000000"/>
              <w:left w:val="single" w:sz="4" w:space="0" w:color="000000"/>
              <w:bottom w:val="single" w:sz="4" w:space="0" w:color="000000"/>
              <w:right w:val="single" w:sz="4" w:space="0" w:color="000000"/>
            </w:tcBorders>
          </w:tcPr>
          <w:p w:rsidR="001F722A" w:rsidRDefault="001F722A">
            <w:pPr>
              <w:widowControl w:val="0"/>
              <w:ind w:left="126"/>
              <w:rPr>
                <w:sz w:val="24"/>
                <w:szCs w:val="24"/>
              </w:rPr>
            </w:pPr>
          </w:p>
        </w:tc>
        <w:tc>
          <w:tcPr>
            <w:tcW w:w="2951"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53"/>
              <w:rPr>
                <w:sz w:val="24"/>
                <w:szCs w:val="24"/>
              </w:rPr>
            </w:pPr>
            <w:r>
              <w:rPr>
                <w:spacing w:val="-1"/>
                <w:sz w:val="24"/>
                <w:szCs w:val="24"/>
              </w:rPr>
              <w:t>Ikke</w:t>
            </w:r>
            <w:r>
              <w:rPr>
                <w:spacing w:val="2"/>
                <w:sz w:val="24"/>
                <w:szCs w:val="24"/>
              </w:rPr>
              <w:t xml:space="preserve"> </w:t>
            </w:r>
            <w:r>
              <w:rPr>
                <w:spacing w:val="-1"/>
                <w:sz w:val="24"/>
                <w:szCs w:val="24"/>
              </w:rPr>
              <w:t>kendt</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Gynækomasti.</w:t>
            </w:r>
          </w:p>
        </w:tc>
      </w:tr>
      <w:tr w:rsidR="001F722A" w:rsidTr="001F722A">
        <w:trPr>
          <w:trHeight w:val="20"/>
        </w:trPr>
        <w:tc>
          <w:tcPr>
            <w:tcW w:w="8773" w:type="dxa"/>
            <w:gridSpan w:val="4"/>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b/>
                <w:sz w:val="24"/>
                <w:szCs w:val="24"/>
              </w:rPr>
            </w:pPr>
            <w:r>
              <w:rPr>
                <w:b/>
                <w:spacing w:val="-1"/>
                <w:sz w:val="24"/>
                <w:szCs w:val="24"/>
              </w:rPr>
              <w:t>Mave-tarm-kanalen</w:t>
            </w:r>
          </w:p>
        </w:tc>
      </w:tr>
      <w:tr w:rsidR="001F722A" w:rsidTr="001F722A">
        <w:trPr>
          <w:trHeight w:val="20"/>
        </w:trPr>
        <w:tc>
          <w:tcPr>
            <w:tcW w:w="2420" w:type="dxa"/>
            <w:gridSpan w:val="2"/>
            <w:tcBorders>
              <w:top w:val="single" w:sz="4" w:space="0" w:color="000000"/>
              <w:left w:val="single" w:sz="4" w:space="0" w:color="000000"/>
              <w:bottom w:val="single" w:sz="4" w:space="0" w:color="000000"/>
              <w:right w:val="single" w:sz="4" w:space="0" w:color="000000"/>
            </w:tcBorders>
          </w:tcPr>
          <w:p w:rsidR="001F722A" w:rsidRDefault="001F722A">
            <w:pPr>
              <w:widowControl w:val="0"/>
              <w:ind w:left="126"/>
              <w:rPr>
                <w:sz w:val="24"/>
                <w:szCs w:val="24"/>
              </w:rPr>
            </w:pPr>
          </w:p>
        </w:tc>
        <w:tc>
          <w:tcPr>
            <w:tcW w:w="2951"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53"/>
              <w:rPr>
                <w:sz w:val="24"/>
                <w:szCs w:val="24"/>
              </w:rPr>
            </w:pPr>
            <w:r>
              <w:rPr>
                <w:spacing w:val="-1"/>
                <w:sz w:val="24"/>
                <w:szCs w:val="24"/>
              </w:rPr>
              <w:t>Almindelig</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z w:val="24"/>
                <w:szCs w:val="24"/>
              </w:rPr>
              <w:t>Diarré.</w:t>
            </w:r>
          </w:p>
        </w:tc>
      </w:tr>
      <w:tr w:rsidR="001F722A" w:rsidTr="001F722A">
        <w:trPr>
          <w:trHeight w:val="20"/>
        </w:trPr>
        <w:tc>
          <w:tcPr>
            <w:tcW w:w="8773" w:type="dxa"/>
            <w:gridSpan w:val="4"/>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b/>
                <w:noProof/>
                <w:lang w:val="de-DE"/>
              </w:rPr>
              <w:t>Hud og subkutane væv</w:t>
            </w:r>
          </w:p>
        </w:tc>
      </w:tr>
      <w:tr w:rsidR="001F722A" w:rsidTr="001F722A">
        <w:trPr>
          <w:trHeight w:val="20"/>
        </w:trPr>
        <w:tc>
          <w:tcPr>
            <w:tcW w:w="2420" w:type="dxa"/>
            <w:gridSpan w:val="2"/>
            <w:tcBorders>
              <w:top w:val="single" w:sz="4" w:space="0" w:color="000000"/>
              <w:left w:val="single" w:sz="4" w:space="0" w:color="000000"/>
              <w:bottom w:val="single" w:sz="4" w:space="0" w:color="000000"/>
              <w:right w:val="single" w:sz="4" w:space="0" w:color="000000"/>
            </w:tcBorders>
          </w:tcPr>
          <w:p w:rsidR="001F722A" w:rsidRDefault="001F722A">
            <w:pPr>
              <w:widowControl w:val="0"/>
              <w:ind w:left="126"/>
              <w:rPr>
                <w:sz w:val="24"/>
                <w:szCs w:val="24"/>
              </w:rPr>
            </w:pPr>
          </w:p>
        </w:tc>
        <w:tc>
          <w:tcPr>
            <w:tcW w:w="2951"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53"/>
              <w:rPr>
                <w:spacing w:val="-1"/>
                <w:sz w:val="24"/>
                <w:szCs w:val="24"/>
              </w:rPr>
            </w:pPr>
            <w:r>
              <w:rPr>
                <w:spacing w:val="-1"/>
                <w:sz w:val="24"/>
                <w:szCs w:val="24"/>
              </w:rPr>
              <w:t>Ikke almindelig</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z w:val="24"/>
                <w:szCs w:val="24"/>
              </w:rPr>
              <w:t>Eksantem.</w:t>
            </w:r>
          </w:p>
        </w:tc>
      </w:tr>
      <w:tr w:rsidR="001F722A" w:rsidTr="001F722A">
        <w:trPr>
          <w:trHeight w:val="20"/>
        </w:trPr>
        <w:tc>
          <w:tcPr>
            <w:tcW w:w="2420" w:type="dxa"/>
            <w:gridSpan w:val="2"/>
            <w:tcBorders>
              <w:top w:val="single" w:sz="4" w:space="0" w:color="000000"/>
              <w:left w:val="single" w:sz="4" w:space="0" w:color="000000"/>
              <w:bottom w:val="single" w:sz="4" w:space="0" w:color="000000"/>
              <w:right w:val="single" w:sz="4" w:space="0" w:color="000000"/>
            </w:tcBorders>
          </w:tcPr>
          <w:p w:rsidR="001F722A" w:rsidRDefault="001F722A">
            <w:pPr>
              <w:widowControl w:val="0"/>
              <w:ind w:left="126"/>
              <w:rPr>
                <w:sz w:val="24"/>
                <w:szCs w:val="24"/>
              </w:rPr>
            </w:pPr>
          </w:p>
        </w:tc>
        <w:tc>
          <w:tcPr>
            <w:tcW w:w="2951"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53"/>
              <w:rPr>
                <w:spacing w:val="-1"/>
                <w:sz w:val="24"/>
                <w:szCs w:val="24"/>
              </w:rPr>
            </w:pPr>
            <w:r>
              <w:rPr>
                <w:spacing w:val="-1"/>
                <w:sz w:val="24"/>
                <w:szCs w:val="24"/>
              </w:rPr>
              <w:t>Sjælden</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z w:val="24"/>
                <w:szCs w:val="24"/>
              </w:rPr>
              <w:t>Urticaria.</w:t>
            </w:r>
          </w:p>
        </w:tc>
      </w:tr>
      <w:tr w:rsidR="001F722A" w:rsidTr="001F722A">
        <w:trPr>
          <w:trHeight w:val="20"/>
        </w:trPr>
        <w:tc>
          <w:tcPr>
            <w:tcW w:w="8773" w:type="dxa"/>
            <w:gridSpan w:val="4"/>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b/>
                <w:sz w:val="24"/>
                <w:szCs w:val="24"/>
              </w:rPr>
            </w:pPr>
            <w:r>
              <w:rPr>
                <w:b/>
                <w:spacing w:val="-1"/>
                <w:sz w:val="24"/>
                <w:szCs w:val="24"/>
              </w:rPr>
              <w:t>Almene</w:t>
            </w:r>
            <w:r>
              <w:rPr>
                <w:b/>
                <w:spacing w:val="1"/>
                <w:sz w:val="24"/>
                <w:szCs w:val="24"/>
              </w:rPr>
              <w:t xml:space="preserve"> </w:t>
            </w:r>
            <w:r>
              <w:rPr>
                <w:b/>
                <w:spacing w:val="-1"/>
                <w:sz w:val="24"/>
                <w:szCs w:val="24"/>
              </w:rPr>
              <w:t>symptomer</w:t>
            </w:r>
            <w:r>
              <w:rPr>
                <w:b/>
                <w:sz w:val="24"/>
                <w:szCs w:val="24"/>
              </w:rPr>
              <w:t xml:space="preserve"> og</w:t>
            </w:r>
            <w:r>
              <w:rPr>
                <w:b/>
                <w:spacing w:val="-1"/>
                <w:sz w:val="24"/>
                <w:szCs w:val="24"/>
              </w:rPr>
              <w:t xml:space="preserve"> reaktioner</w:t>
            </w:r>
            <w:r>
              <w:rPr>
                <w:b/>
                <w:sz w:val="24"/>
                <w:szCs w:val="24"/>
              </w:rPr>
              <w:t xml:space="preserve"> </w:t>
            </w:r>
            <w:r>
              <w:rPr>
                <w:b/>
                <w:spacing w:val="-1"/>
                <w:sz w:val="24"/>
                <w:szCs w:val="24"/>
              </w:rPr>
              <w:t>på</w:t>
            </w:r>
            <w:r>
              <w:rPr>
                <w:b/>
                <w:sz w:val="24"/>
                <w:szCs w:val="24"/>
              </w:rPr>
              <w:t xml:space="preserve"> </w:t>
            </w:r>
            <w:r>
              <w:rPr>
                <w:b/>
                <w:spacing w:val="-1"/>
                <w:sz w:val="24"/>
                <w:szCs w:val="24"/>
              </w:rPr>
              <w:t>administrationsstedet</w:t>
            </w:r>
          </w:p>
        </w:tc>
      </w:tr>
      <w:tr w:rsidR="001F722A" w:rsidTr="001F722A">
        <w:trPr>
          <w:trHeight w:val="20"/>
        </w:trPr>
        <w:tc>
          <w:tcPr>
            <w:tcW w:w="2420" w:type="dxa"/>
            <w:gridSpan w:val="2"/>
            <w:tcBorders>
              <w:top w:val="single" w:sz="4" w:space="0" w:color="000000"/>
              <w:left w:val="single" w:sz="4" w:space="0" w:color="000000"/>
              <w:bottom w:val="single" w:sz="4" w:space="0" w:color="000000"/>
              <w:right w:val="single" w:sz="4" w:space="0" w:color="000000"/>
            </w:tcBorders>
          </w:tcPr>
          <w:p w:rsidR="001F722A" w:rsidRDefault="001F722A">
            <w:pPr>
              <w:widowControl w:val="0"/>
              <w:ind w:left="126"/>
              <w:rPr>
                <w:sz w:val="24"/>
                <w:szCs w:val="24"/>
              </w:rPr>
            </w:pPr>
          </w:p>
        </w:tc>
        <w:tc>
          <w:tcPr>
            <w:tcW w:w="2951"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53"/>
              <w:rPr>
                <w:sz w:val="24"/>
                <w:szCs w:val="24"/>
              </w:rPr>
            </w:pPr>
            <w:r>
              <w:rPr>
                <w:spacing w:val="-1"/>
                <w:sz w:val="24"/>
                <w:szCs w:val="24"/>
              </w:rPr>
              <w:t>Almindelig</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Asteni.</w:t>
            </w:r>
          </w:p>
        </w:tc>
      </w:tr>
      <w:tr w:rsidR="001F722A" w:rsidTr="001F722A">
        <w:trPr>
          <w:trHeight w:val="20"/>
        </w:trPr>
        <w:tc>
          <w:tcPr>
            <w:tcW w:w="8773" w:type="dxa"/>
            <w:gridSpan w:val="4"/>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b/>
                <w:sz w:val="24"/>
                <w:szCs w:val="24"/>
              </w:rPr>
            </w:pPr>
            <w:r>
              <w:rPr>
                <w:b/>
                <w:spacing w:val="-1"/>
                <w:sz w:val="24"/>
                <w:szCs w:val="24"/>
              </w:rPr>
              <w:t>Immunsystemet</w:t>
            </w:r>
          </w:p>
        </w:tc>
      </w:tr>
      <w:tr w:rsidR="001F722A" w:rsidTr="001F722A">
        <w:trPr>
          <w:trHeight w:val="20"/>
        </w:trPr>
        <w:tc>
          <w:tcPr>
            <w:tcW w:w="2420" w:type="dxa"/>
            <w:gridSpan w:val="2"/>
            <w:tcBorders>
              <w:top w:val="single" w:sz="4" w:space="0" w:color="000000"/>
              <w:left w:val="single" w:sz="4" w:space="0" w:color="000000"/>
              <w:bottom w:val="single" w:sz="4" w:space="0" w:color="000000"/>
              <w:right w:val="single" w:sz="4" w:space="0" w:color="000000"/>
            </w:tcBorders>
          </w:tcPr>
          <w:p w:rsidR="001F722A" w:rsidRDefault="001F722A">
            <w:pPr>
              <w:widowControl w:val="0"/>
              <w:ind w:left="126"/>
              <w:rPr>
                <w:sz w:val="24"/>
                <w:szCs w:val="24"/>
              </w:rPr>
            </w:pPr>
          </w:p>
        </w:tc>
        <w:tc>
          <w:tcPr>
            <w:tcW w:w="2951"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53"/>
              <w:rPr>
                <w:sz w:val="24"/>
                <w:szCs w:val="24"/>
              </w:rPr>
            </w:pPr>
            <w:r>
              <w:rPr>
                <w:spacing w:val="-1"/>
                <w:sz w:val="24"/>
                <w:szCs w:val="24"/>
              </w:rPr>
              <w:t xml:space="preserve">Ikke </w:t>
            </w:r>
            <w:r>
              <w:rPr>
                <w:sz w:val="24"/>
                <w:szCs w:val="24"/>
              </w:rPr>
              <w:t>almindelig</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Overfølsomhed.</w:t>
            </w:r>
          </w:p>
        </w:tc>
      </w:tr>
      <w:tr w:rsidR="001F722A" w:rsidTr="001F722A">
        <w:trPr>
          <w:trHeight w:val="20"/>
        </w:trPr>
        <w:tc>
          <w:tcPr>
            <w:tcW w:w="2420" w:type="dxa"/>
            <w:gridSpan w:val="2"/>
            <w:tcBorders>
              <w:top w:val="single" w:sz="4" w:space="0" w:color="000000"/>
              <w:left w:val="single" w:sz="4" w:space="0" w:color="000000"/>
              <w:bottom w:val="single" w:sz="4" w:space="0" w:color="000000"/>
              <w:right w:val="single" w:sz="4" w:space="0" w:color="000000"/>
            </w:tcBorders>
          </w:tcPr>
          <w:p w:rsidR="001F722A" w:rsidRDefault="001F722A">
            <w:pPr>
              <w:widowControl w:val="0"/>
              <w:ind w:left="126"/>
              <w:rPr>
                <w:sz w:val="24"/>
                <w:szCs w:val="24"/>
              </w:rPr>
            </w:pPr>
          </w:p>
        </w:tc>
        <w:tc>
          <w:tcPr>
            <w:tcW w:w="2951"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53"/>
              <w:rPr>
                <w:sz w:val="24"/>
                <w:szCs w:val="24"/>
              </w:rPr>
            </w:pPr>
            <w:r>
              <w:rPr>
                <w:spacing w:val="-1"/>
                <w:sz w:val="24"/>
                <w:szCs w:val="24"/>
              </w:rPr>
              <w:t>Ikke</w:t>
            </w:r>
            <w:r>
              <w:rPr>
                <w:spacing w:val="2"/>
                <w:sz w:val="24"/>
                <w:szCs w:val="24"/>
              </w:rPr>
              <w:t xml:space="preserve"> </w:t>
            </w:r>
            <w:r>
              <w:rPr>
                <w:spacing w:val="-1"/>
                <w:sz w:val="24"/>
                <w:szCs w:val="24"/>
              </w:rPr>
              <w:t>kendt</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ight="248"/>
              <w:rPr>
                <w:sz w:val="24"/>
                <w:szCs w:val="24"/>
              </w:rPr>
            </w:pPr>
            <w:r>
              <w:rPr>
                <w:spacing w:val="-1"/>
                <w:sz w:val="24"/>
                <w:szCs w:val="24"/>
              </w:rPr>
              <w:t>Anafylaktiske reaktioner (inkl.</w:t>
            </w:r>
            <w:r>
              <w:rPr>
                <w:spacing w:val="42"/>
                <w:sz w:val="24"/>
                <w:szCs w:val="24"/>
              </w:rPr>
              <w:t xml:space="preserve"> </w:t>
            </w:r>
            <w:r>
              <w:rPr>
                <w:spacing w:val="-1"/>
                <w:sz w:val="24"/>
                <w:szCs w:val="24"/>
              </w:rPr>
              <w:t>anafylaktisk</w:t>
            </w:r>
            <w:r>
              <w:rPr>
                <w:spacing w:val="-2"/>
                <w:sz w:val="24"/>
                <w:szCs w:val="24"/>
              </w:rPr>
              <w:t xml:space="preserve"> </w:t>
            </w:r>
            <w:r>
              <w:rPr>
                <w:spacing w:val="-1"/>
                <w:sz w:val="24"/>
                <w:szCs w:val="24"/>
              </w:rPr>
              <w:t>shock),</w:t>
            </w:r>
            <w:r>
              <w:rPr>
                <w:sz w:val="24"/>
                <w:szCs w:val="24"/>
              </w:rPr>
              <w:t xml:space="preserve"> </w:t>
            </w:r>
            <w:r>
              <w:rPr>
                <w:spacing w:val="-1"/>
                <w:sz w:val="24"/>
                <w:szCs w:val="24"/>
              </w:rPr>
              <w:t>specielt</w:t>
            </w:r>
          </w:p>
          <w:p w:rsidR="001F722A" w:rsidRDefault="001F722A">
            <w:pPr>
              <w:widowControl w:val="0"/>
              <w:ind w:left="111"/>
              <w:rPr>
                <w:sz w:val="24"/>
                <w:szCs w:val="24"/>
              </w:rPr>
            </w:pPr>
            <w:r>
              <w:rPr>
                <w:spacing w:val="-1"/>
                <w:sz w:val="24"/>
                <w:szCs w:val="24"/>
              </w:rPr>
              <w:t>ved intravenøs</w:t>
            </w:r>
            <w:r>
              <w:rPr>
                <w:spacing w:val="-2"/>
                <w:sz w:val="24"/>
                <w:szCs w:val="24"/>
              </w:rPr>
              <w:t xml:space="preserve"> </w:t>
            </w:r>
            <w:r>
              <w:rPr>
                <w:spacing w:val="-1"/>
                <w:sz w:val="24"/>
                <w:szCs w:val="24"/>
              </w:rPr>
              <w:t>administration.</w:t>
            </w:r>
          </w:p>
        </w:tc>
      </w:tr>
      <w:tr w:rsidR="001F722A" w:rsidTr="001F722A">
        <w:trPr>
          <w:trHeight w:val="20"/>
        </w:trPr>
        <w:tc>
          <w:tcPr>
            <w:tcW w:w="8773" w:type="dxa"/>
            <w:gridSpan w:val="4"/>
            <w:tcBorders>
              <w:top w:val="single" w:sz="4" w:space="0" w:color="000000"/>
              <w:left w:val="single" w:sz="4" w:space="0" w:color="000000"/>
              <w:bottom w:val="single" w:sz="6" w:space="0" w:color="000000"/>
              <w:right w:val="single" w:sz="4" w:space="0" w:color="000000"/>
            </w:tcBorders>
            <w:hideMark/>
          </w:tcPr>
          <w:p w:rsidR="001F722A" w:rsidRDefault="001F722A">
            <w:pPr>
              <w:widowControl w:val="0"/>
              <w:ind w:left="111"/>
              <w:rPr>
                <w:b/>
                <w:sz w:val="24"/>
                <w:szCs w:val="24"/>
              </w:rPr>
            </w:pPr>
            <w:r>
              <w:rPr>
                <w:b/>
                <w:spacing w:val="-1"/>
                <w:sz w:val="24"/>
                <w:szCs w:val="24"/>
              </w:rPr>
              <w:t>Nervesystemet</w:t>
            </w:r>
          </w:p>
        </w:tc>
      </w:tr>
      <w:tr w:rsidR="001F722A" w:rsidTr="001F722A">
        <w:trPr>
          <w:trHeight w:val="20"/>
        </w:trPr>
        <w:tc>
          <w:tcPr>
            <w:tcW w:w="2394" w:type="dxa"/>
            <w:tcBorders>
              <w:top w:val="single" w:sz="6" w:space="0" w:color="000000"/>
              <w:left w:val="single" w:sz="6" w:space="0" w:color="000000"/>
              <w:bottom w:val="single" w:sz="6" w:space="0" w:color="000000"/>
              <w:right w:val="single" w:sz="6" w:space="0" w:color="000000"/>
            </w:tcBorders>
          </w:tcPr>
          <w:p w:rsidR="001F722A" w:rsidRDefault="001F722A">
            <w:pPr>
              <w:widowControl w:val="0"/>
              <w:ind w:left="153"/>
              <w:rPr>
                <w:sz w:val="24"/>
                <w:szCs w:val="24"/>
              </w:rPr>
            </w:pPr>
          </w:p>
        </w:tc>
        <w:tc>
          <w:tcPr>
            <w:tcW w:w="2977" w:type="dxa"/>
            <w:gridSpan w:val="2"/>
            <w:tcBorders>
              <w:top w:val="single" w:sz="6" w:space="0" w:color="000000"/>
              <w:left w:val="single" w:sz="6" w:space="0" w:color="000000"/>
              <w:bottom w:val="single" w:sz="6" w:space="0" w:color="000000"/>
              <w:right w:val="single" w:sz="6" w:space="0" w:color="000000"/>
            </w:tcBorders>
            <w:hideMark/>
          </w:tcPr>
          <w:p w:rsidR="001F722A" w:rsidRDefault="001F722A">
            <w:pPr>
              <w:widowControl w:val="0"/>
              <w:ind w:left="111"/>
              <w:rPr>
                <w:sz w:val="24"/>
                <w:szCs w:val="24"/>
              </w:rPr>
            </w:pPr>
            <w:r>
              <w:rPr>
                <w:spacing w:val="-1"/>
                <w:sz w:val="24"/>
                <w:szCs w:val="24"/>
              </w:rPr>
              <w:t>Meget</w:t>
            </w:r>
            <w:r>
              <w:rPr>
                <w:sz w:val="24"/>
                <w:szCs w:val="24"/>
              </w:rPr>
              <w:t xml:space="preserve"> </w:t>
            </w:r>
            <w:r>
              <w:rPr>
                <w:spacing w:val="-1"/>
                <w:sz w:val="24"/>
                <w:szCs w:val="24"/>
              </w:rPr>
              <w:t>almindelig</w:t>
            </w:r>
          </w:p>
        </w:tc>
        <w:tc>
          <w:tcPr>
            <w:tcW w:w="3402" w:type="dxa"/>
            <w:tcBorders>
              <w:top w:val="single" w:sz="6" w:space="0" w:color="000000"/>
              <w:left w:val="single" w:sz="6" w:space="0" w:color="000000"/>
              <w:bottom w:val="single" w:sz="6" w:space="0" w:color="000000"/>
              <w:right w:val="single" w:sz="6" w:space="0" w:color="000000"/>
            </w:tcBorders>
            <w:hideMark/>
          </w:tcPr>
          <w:p w:rsidR="001F722A" w:rsidRDefault="001F722A">
            <w:pPr>
              <w:widowControl w:val="0"/>
              <w:ind w:left="111"/>
              <w:rPr>
                <w:sz w:val="24"/>
                <w:szCs w:val="24"/>
              </w:rPr>
            </w:pPr>
            <w:r>
              <w:rPr>
                <w:spacing w:val="-1"/>
                <w:sz w:val="24"/>
                <w:szCs w:val="24"/>
              </w:rPr>
              <w:t>Døsighed.</w:t>
            </w:r>
          </w:p>
        </w:tc>
      </w:tr>
      <w:tr w:rsidR="001F722A" w:rsidTr="001F722A">
        <w:trPr>
          <w:trHeight w:val="20"/>
        </w:trPr>
        <w:tc>
          <w:tcPr>
            <w:tcW w:w="2394" w:type="dxa"/>
            <w:tcBorders>
              <w:top w:val="single" w:sz="4" w:space="0" w:color="000000"/>
              <w:left w:val="single" w:sz="4" w:space="0" w:color="000000"/>
              <w:bottom w:val="single" w:sz="4" w:space="0" w:color="000000"/>
              <w:right w:val="single" w:sz="4" w:space="0" w:color="000000"/>
            </w:tcBorders>
          </w:tcPr>
          <w:p w:rsidR="001F722A" w:rsidRDefault="001F722A">
            <w:pPr>
              <w:widowControl w:val="0"/>
              <w:ind w:left="153"/>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ight="-283"/>
              <w:rPr>
                <w:sz w:val="24"/>
                <w:szCs w:val="24"/>
              </w:rPr>
            </w:pPr>
            <w:r>
              <w:rPr>
                <w:spacing w:val="-1"/>
                <w:sz w:val="24"/>
                <w:szCs w:val="24"/>
              </w:rPr>
              <w:t>Almindelig</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ight="190"/>
              <w:rPr>
                <w:sz w:val="24"/>
                <w:szCs w:val="24"/>
              </w:rPr>
            </w:pPr>
            <w:r>
              <w:rPr>
                <w:spacing w:val="-1"/>
                <w:sz w:val="24"/>
                <w:szCs w:val="24"/>
              </w:rPr>
              <w:t>Ekstrapyramidale forstyrrelser</w:t>
            </w:r>
            <w:r>
              <w:rPr>
                <w:spacing w:val="51"/>
                <w:sz w:val="24"/>
                <w:szCs w:val="24"/>
              </w:rPr>
              <w:t xml:space="preserve"> </w:t>
            </w:r>
            <w:r>
              <w:rPr>
                <w:spacing w:val="-1"/>
                <w:sz w:val="24"/>
                <w:szCs w:val="24"/>
              </w:rPr>
              <w:t>(især hos</w:t>
            </w:r>
            <w:r>
              <w:rPr>
                <w:spacing w:val="-2"/>
                <w:sz w:val="24"/>
                <w:szCs w:val="24"/>
              </w:rPr>
              <w:t xml:space="preserve"> </w:t>
            </w:r>
            <w:r>
              <w:rPr>
                <w:sz w:val="24"/>
                <w:szCs w:val="24"/>
              </w:rPr>
              <w:t>børn</w:t>
            </w:r>
            <w:r>
              <w:rPr>
                <w:spacing w:val="-2"/>
                <w:sz w:val="24"/>
                <w:szCs w:val="24"/>
              </w:rPr>
              <w:t xml:space="preserve"> </w:t>
            </w:r>
            <w:r>
              <w:rPr>
                <w:sz w:val="24"/>
                <w:szCs w:val="24"/>
              </w:rPr>
              <w:t>og</w:t>
            </w:r>
            <w:r>
              <w:rPr>
                <w:spacing w:val="-1"/>
                <w:sz w:val="24"/>
                <w:szCs w:val="24"/>
              </w:rPr>
              <w:t xml:space="preserve"> unge voksne</w:t>
            </w:r>
            <w:r>
              <w:rPr>
                <w:spacing w:val="28"/>
                <w:sz w:val="24"/>
                <w:szCs w:val="24"/>
              </w:rPr>
              <w:t xml:space="preserve"> </w:t>
            </w:r>
            <w:r>
              <w:rPr>
                <w:spacing w:val="-1"/>
                <w:sz w:val="24"/>
                <w:szCs w:val="24"/>
              </w:rPr>
              <w:t xml:space="preserve">og/eller når </w:t>
            </w:r>
            <w:r>
              <w:rPr>
                <w:sz w:val="24"/>
                <w:szCs w:val="24"/>
              </w:rPr>
              <w:t>den</w:t>
            </w:r>
            <w:r>
              <w:rPr>
                <w:spacing w:val="-3"/>
                <w:sz w:val="24"/>
                <w:szCs w:val="24"/>
              </w:rPr>
              <w:t xml:space="preserve"> </w:t>
            </w:r>
            <w:r>
              <w:rPr>
                <w:spacing w:val="-1"/>
                <w:sz w:val="24"/>
                <w:szCs w:val="24"/>
              </w:rPr>
              <w:t>anbefalede</w:t>
            </w:r>
            <w:r>
              <w:rPr>
                <w:spacing w:val="27"/>
                <w:sz w:val="24"/>
                <w:szCs w:val="24"/>
              </w:rPr>
              <w:t xml:space="preserve"> </w:t>
            </w:r>
            <w:r>
              <w:rPr>
                <w:sz w:val="24"/>
                <w:szCs w:val="24"/>
              </w:rPr>
              <w:t>dosis</w:t>
            </w:r>
            <w:r>
              <w:rPr>
                <w:spacing w:val="-2"/>
                <w:sz w:val="24"/>
                <w:szCs w:val="24"/>
              </w:rPr>
              <w:t xml:space="preserve"> </w:t>
            </w:r>
            <w:r>
              <w:rPr>
                <w:spacing w:val="-1"/>
                <w:sz w:val="24"/>
                <w:szCs w:val="24"/>
              </w:rPr>
              <w:t>overskrides,</w:t>
            </w:r>
            <w:r>
              <w:rPr>
                <w:spacing w:val="-2"/>
                <w:sz w:val="24"/>
                <w:szCs w:val="24"/>
              </w:rPr>
              <w:t xml:space="preserve"> </w:t>
            </w:r>
            <w:r>
              <w:rPr>
                <w:sz w:val="24"/>
                <w:szCs w:val="24"/>
              </w:rPr>
              <w:t>selv</w:t>
            </w:r>
            <w:r>
              <w:rPr>
                <w:spacing w:val="-2"/>
                <w:sz w:val="24"/>
                <w:szCs w:val="24"/>
              </w:rPr>
              <w:t xml:space="preserve"> </w:t>
            </w:r>
            <w:r>
              <w:rPr>
                <w:sz w:val="24"/>
                <w:szCs w:val="24"/>
              </w:rPr>
              <w:t>efter</w:t>
            </w:r>
            <w:r>
              <w:rPr>
                <w:spacing w:val="27"/>
                <w:sz w:val="24"/>
                <w:szCs w:val="24"/>
              </w:rPr>
              <w:t xml:space="preserve"> </w:t>
            </w:r>
            <w:r>
              <w:rPr>
                <w:spacing w:val="-1"/>
                <w:sz w:val="24"/>
                <w:szCs w:val="24"/>
              </w:rPr>
              <w:t>administration</w:t>
            </w:r>
            <w:r>
              <w:rPr>
                <w:spacing w:val="-3"/>
                <w:sz w:val="24"/>
                <w:szCs w:val="24"/>
              </w:rPr>
              <w:t xml:space="preserve"> </w:t>
            </w:r>
            <w:r>
              <w:rPr>
                <w:spacing w:val="-1"/>
                <w:sz w:val="24"/>
                <w:szCs w:val="24"/>
              </w:rPr>
              <w:t>af</w:t>
            </w:r>
            <w:r>
              <w:rPr>
                <w:spacing w:val="-2"/>
                <w:sz w:val="24"/>
                <w:szCs w:val="24"/>
              </w:rPr>
              <w:t xml:space="preserve"> </w:t>
            </w:r>
            <w:r>
              <w:rPr>
                <w:sz w:val="24"/>
                <w:szCs w:val="24"/>
              </w:rPr>
              <w:t>en</w:t>
            </w:r>
            <w:r>
              <w:rPr>
                <w:spacing w:val="-3"/>
                <w:sz w:val="24"/>
                <w:szCs w:val="24"/>
              </w:rPr>
              <w:t xml:space="preserve"> </w:t>
            </w:r>
            <w:r>
              <w:rPr>
                <w:spacing w:val="-1"/>
                <w:sz w:val="24"/>
                <w:szCs w:val="24"/>
              </w:rPr>
              <w:t>enkelt</w:t>
            </w:r>
            <w:r>
              <w:rPr>
                <w:spacing w:val="36"/>
                <w:sz w:val="24"/>
                <w:szCs w:val="24"/>
              </w:rPr>
              <w:t xml:space="preserve"> </w:t>
            </w:r>
            <w:r>
              <w:rPr>
                <w:sz w:val="24"/>
                <w:szCs w:val="24"/>
              </w:rPr>
              <w:t>dosis</w:t>
            </w:r>
            <w:r>
              <w:rPr>
                <w:spacing w:val="-2"/>
                <w:sz w:val="24"/>
                <w:szCs w:val="24"/>
              </w:rPr>
              <w:t xml:space="preserve"> </w:t>
            </w:r>
            <w:r>
              <w:rPr>
                <w:spacing w:val="-1"/>
                <w:sz w:val="24"/>
                <w:szCs w:val="24"/>
              </w:rPr>
              <w:t>af</w:t>
            </w:r>
            <w:r>
              <w:rPr>
                <w:spacing w:val="-2"/>
                <w:sz w:val="24"/>
                <w:szCs w:val="24"/>
              </w:rPr>
              <w:t xml:space="preserve"> </w:t>
            </w:r>
            <w:r>
              <w:rPr>
                <w:spacing w:val="-1"/>
                <w:sz w:val="24"/>
                <w:szCs w:val="24"/>
              </w:rPr>
              <w:t>lægemidlet)</w:t>
            </w:r>
            <w:r>
              <w:rPr>
                <w:spacing w:val="-2"/>
                <w:sz w:val="24"/>
                <w:szCs w:val="24"/>
              </w:rPr>
              <w:t xml:space="preserve"> </w:t>
            </w:r>
            <w:r>
              <w:rPr>
                <w:spacing w:val="-1"/>
                <w:sz w:val="24"/>
                <w:szCs w:val="24"/>
              </w:rPr>
              <w:t>(se pkt.</w:t>
            </w:r>
          </w:p>
          <w:p w:rsidR="001F722A" w:rsidRDefault="001F722A">
            <w:pPr>
              <w:widowControl w:val="0"/>
              <w:ind w:left="111"/>
              <w:rPr>
                <w:sz w:val="24"/>
                <w:szCs w:val="24"/>
              </w:rPr>
            </w:pPr>
            <w:r>
              <w:rPr>
                <w:spacing w:val="-1"/>
                <w:sz w:val="24"/>
                <w:szCs w:val="24"/>
              </w:rPr>
              <w:t>4.4),</w:t>
            </w:r>
            <w:r>
              <w:rPr>
                <w:spacing w:val="-2"/>
                <w:sz w:val="24"/>
                <w:szCs w:val="24"/>
              </w:rPr>
              <w:t xml:space="preserve"> </w:t>
            </w:r>
            <w:r>
              <w:rPr>
                <w:spacing w:val="-1"/>
                <w:sz w:val="24"/>
                <w:szCs w:val="24"/>
              </w:rPr>
              <w:t>parkinsonisme,</w:t>
            </w:r>
            <w:r>
              <w:rPr>
                <w:spacing w:val="-2"/>
                <w:sz w:val="24"/>
                <w:szCs w:val="24"/>
              </w:rPr>
              <w:t xml:space="preserve"> </w:t>
            </w:r>
            <w:r>
              <w:rPr>
                <w:spacing w:val="-1"/>
                <w:sz w:val="24"/>
                <w:szCs w:val="24"/>
              </w:rPr>
              <w:t>akatisi.</w:t>
            </w:r>
          </w:p>
        </w:tc>
      </w:tr>
      <w:tr w:rsidR="001F722A" w:rsidTr="001F722A">
        <w:trPr>
          <w:trHeight w:val="20"/>
        </w:trPr>
        <w:tc>
          <w:tcPr>
            <w:tcW w:w="2394" w:type="dxa"/>
            <w:tcBorders>
              <w:top w:val="single" w:sz="4" w:space="0" w:color="000000"/>
              <w:left w:val="single" w:sz="4" w:space="0" w:color="000000"/>
              <w:bottom w:val="single" w:sz="4" w:space="0" w:color="000000"/>
              <w:right w:val="single" w:sz="4" w:space="0" w:color="000000"/>
            </w:tcBorders>
          </w:tcPr>
          <w:p w:rsidR="001F722A" w:rsidRDefault="001F722A">
            <w:pPr>
              <w:widowControl w:val="0"/>
              <w:ind w:left="153"/>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 xml:space="preserve">Ikke </w:t>
            </w:r>
            <w:r>
              <w:rPr>
                <w:sz w:val="24"/>
                <w:szCs w:val="24"/>
              </w:rPr>
              <w:t>almindelig</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ight="641"/>
              <w:rPr>
                <w:spacing w:val="31"/>
                <w:sz w:val="24"/>
                <w:szCs w:val="24"/>
              </w:rPr>
            </w:pPr>
            <w:r>
              <w:rPr>
                <w:spacing w:val="-1"/>
                <w:sz w:val="24"/>
                <w:szCs w:val="24"/>
              </w:rPr>
              <w:t>Dystoni (herunder synsforstyrrelse og okulogyr krise),</w:t>
            </w:r>
            <w:r>
              <w:rPr>
                <w:spacing w:val="-2"/>
                <w:sz w:val="24"/>
                <w:szCs w:val="24"/>
              </w:rPr>
              <w:t xml:space="preserve"> </w:t>
            </w:r>
            <w:r>
              <w:rPr>
                <w:spacing w:val="-1"/>
                <w:sz w:val="24"/>
                <w:szCs w:val="24"/>
              </w:rPr>
              <w:t>dyskinesi,</w:t>
            </w:r>
            <w:r>
              <w:rPr>
                <w:spacing w:val="-2"/>
                <w:sz w:val="24"/>
                <w:szCs w:val="24"/>
              </w:rPr>
              <w:t xml:space="preserve"> </w:t>
            </w:r>
            <w:r>
              <w:rPr>
                <w:spacing w:val="-1"/>
                <w:sz w:val="24"/>
                <w:szCs w:val="24"/>
              </w:rPr>
              <w:t>nedsat</w:t>
            </w:r>
            <w:r>
              <w:rPr>
                <w:spacing w:val="31"/>
                <w:sz w:val="24"/>
                <w:szCs w:val="24"/>
              </w:rPr>
              <w:t xml:space="preserve"> </w:t>
            </w:r>
          </w:p>
          <w:p w:rsidR="001F722A" w:rsidRDefault="001F722A">
            <w:pPr>
              <w:widowControl w:val="0"/>
              <w:ind w:left="111" w:right="641"/>
              <w:rPr>
                <w:sz w:val="24"/>
                <w:szCs w:val="24"/>
              </w:rPr>
            </w:pPr>
            <w:r>
              <w:rPr>
                <w:spacing w:val="-1"/>
                <w:sz w:val="24"/>
                <w:szCs w:val="24"/>
              </w:rPr>
              <w:t xml:space="preserve">bevidsthedsniveau. </w:t>
            </w:r>
          </w:p>
        </w:tc>
      </w:tr>
      <w:tr w:rsidR="001F722A" w:rsidTr="001F722A">
        <w:trPr>
          <w:trHeight w:val="20"/>
        </w:trPr>
        <w:tc>
          <w:tcPr>
            <w:tcW w:w="2394" w:type="dxa"/>
            <w:tcBorders>
              <w:top w:val="single" w:sz="4" w:space="0" w:color="000000"/>
              <w:left w:val="single" w:sz="4" w:space="0" w:color="000000"/>
              <w:bottom w:val="single" w:sz="4" w:space="0" w:color="000000"/>
              <w:right w:val="single" w:sz="4" w:space="0" w:color="000000"/>
            </w:tcBorders>
          </w:tcPr>
          <w:p w:rsidR="001F722A" w:rsidRDefault="001F722A">
            <w:pPr>
              <w:widowControl w:val="0"/>
              <w:ind w:left="153"/>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z w:val="24"/>
                <w:szCs w:val="24"/>
              </w:rPr>
              <w:t>Sjælden</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ight="1335"/>
              <w:rPr>
                <w:sz w:val="24"/>
                <w:szCs w:val="24"/>
              </w:rPr>
            </w:pPr>
            <w:r>
              <w:rPr>
                <w:spacing w:val="-1"/>
                <w:sz w:val="24"/>
                <w:szCs w:val="24"/>
              </w:rPr>
              <w:t>Kramper,</w:t>
            </w:r>
            <w:r>
              <w:rPr>
                <w:spacing w:val="-2"/>
                <w:sz w:val="24"/>
                <w:szCs w:val="24"/>
              </w:rPr>
              <w:t xml:space="preserve"> </w:t>
            </w:r>
            <w:r>
              <w:rPr>
                <w:sz w:val="24"/>
                <w:szCs w:val="24"/>
              </w:rPr>
              <w:t>især</w:t>
            </w:r>
            <w:r>
              <w:rPr>
                <w:spacing w:val="-1"/>
                <w:sz w:val="24"/>
                <w:szCs w:val="24"/>
              </w:rPr>
              <w:t xml:space="preserve"> hos</w:t>
            </w:r>
            <w:r>
              <w:rPr>
                <w:spacing w:val="27"/>
                <w:sz w:val="24"/>
                <w:szCs w:val="24"/>
              </w:rPr>
              <w:t xml:space="preserve"> </w:t>
            </w:r>
            <w:r>
              <w:rPr>
                <w:spacing w:val="-1"/>
                <w:sz w:val="24"/>
                <w:szCs w:val="24"/>
              </w:rPr>
              <w:t>epilepsipatienter.</w:t>
            </w:r>
          </w:p>
        </w:tc>
      </w:tr>
      <w:tr w:rsidR="001F722A" w:rsidTr="001F722A">
        <w:trPr>
          <w:trHeight w:val="20"/>
        </w:trPr>
        <w:tc>
          <w:tcPr>
            <w:tcW w:w="2394" w:type="dxa"/>
            <w:tcBorders>
              <w:top w:val="single" w:sz="4" w:space="0" w:color="000000"/>
              <w:left w:val="single" w:sz="4" w:space="0" w:color="000000"/>
              <w:bottom w:val="single" w:sz="4" w:space="0" w:color="000000"/>
              <w:right w:val="single" w:sz="4" w:space="0" w:color="000000"/>
            </w:tcBorders>
          </w:tcPr>
          <w:p w:rsidR="001F722A" w:rsidRDefault="001F722A">
            <w:pPr>
              <w:widowControl w:val="0"/>
              <w:ind w:left="153"/>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Ikke</w:t>
            </w:r>
            <w:r>
              <w:rPr>
                <w:spacing w:val="2"/>
                <w:sz w:val="24"/>
                <w:szCs w:val="24"/>
              </w:rPr>
              <w:t xml:space="preserve"> </w:t>
            </w:r>
            <w:r>
              <w:rPr>
                <w:spacing w:val="-1"/>
                <w:sz w:val="24"/>
                <w:szCs w:val="24"/>
              </w:rPr>
              <w:t>kendt</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ight="134"/>
              <w:rPr>
                <w:sz w:val="24"/>
                <w:szCs w:val="24"/>
              </w:rPr>
            </w:pPr>
            <w:r>
              <w:rPr>
                <w:spacing w:val="-1"/>
                <w:sz w:val="24"/>
                <w:szCs w:val="24"/>
              </w:rPr>
              <w:t>Tardiv</w:t>
            </w:r>
            <w:r>
              <w:rPr>
                <w:spacing w:val="-2"/>
                <w:sz w:val="24"/>
                <w:szCs w:val="24"/>
              </w:rPr>
              <w:t xml:space="preserve"> </w:t>
            </w:r>
            <w:r>
              <w:rPr>
                <w:spacing w:val="-1"/>
                <w:sz w:val="24"/>
                <w:szCs w:val="24"/>
              </w:rPr>
              <w:t>dyskinesi,</w:t>
            </w:r>
            <w:r>
              <w:rPr>
                <w:spacing w:val="-2"/>
                <w:sz w:val="24"/>
                <w:szCs w:val="24"/>
              </w:rPr>
              <w:t xml:space="preserve"> </w:t>
            </w:r>
            <w:r>
              <w:rPr>
                <w:sz w:val="24"/>
                <w:szCs w:val="24"/>
              </w:rPr>
              <w:t>som</w:t>
            </w:r>
            <w:r>
              <w:rPr>
                <w:spacing w:val="-1"/>
                <w:sz w:val="24"/>
                <w:szCs w:val="24"/>
              </w:rPr>
              <w:t xml:space="preserve"> </w:t>
            </w:r>
            <w:r>
              <w:rPr>
                <w:sz w:val="24"/>
                <w:szCs w:val="24"/>
              </w:rPr>
              <w:t xml:space="preserve">kan </w:t>
            </w:r>
            <w:r>
              <w:rPr>
                <w:spacing w:val="-1"/>
                <w:sz w:val="24"/>
                <w:szCs w:val="24"/>
              </w:rPr>
              <w:t>være</w:t>
            </w:r>
            <w:r>
              <w:rPr>
                <w:spacing w:val="25"/>
                <w:sz w:val="24"/>
                <w:szCs w:val="24"/>
              </w:rPr>
              <w:t xml:space="preserve"> </w:t>
            </w:r>
            <w:r>
              <w:rPr>
                <w:spacing w:val="-1"/>
                <w:sz w:val="24"/>
                <w:szCs w:val="24"/>
              </w:rPr>
              <w:t>persisterende,</w:t>
            </w:r>
            <w:r>
              <w:rPr>
                <w:spacing w:val="-2"/>
                <w:sz w:val="24"/>
                <w:szCs w:val="24"/>
              </w:rPr>
              <w:t xml:space="preserve"> </w:t>
            </w:r>
            <w:r>
              <w:rPr>
                <w:spacing w:val="-1"/>
                <w:sz w:val="24"/>
                <w:szCs w:val="24"/>
              </w:rPr>
              <w:t xml:space="preserve">under </w:t>
            </w:r>
            <w:r>
              <w:rPr>
                <w:sz w:val="24"/>
                <w:szCs w:val="24"/>
              </w:rPr>
              <w:t>eller</w:t>
            </w:r>
            <w:r>
              <w:rPr>
                <w:spacing w:val="-4"/>
                <w:sz w:val="24"/>
                <w:szCs w:val="24"/>
              </w:rPr>
              <w:t xml:space="preserve"> </w:t>
            </w:r>
            <w:r>
              <w:rPr>
                <w:sz w:val="24"/>
                <w:szCs w:val="24"/>
              </w:rPr>
              <w:t>efter</w:t>
            </w:r>
            <w:r>
              <w:rPr>
                <w:spacing w:val="21"/>
                <w:sz w:val="24"/>
                <w:szCs w:val="24"/>
              </w:rPr>
              <w:t xml:space="preserve"> </w:t>
            </w:r>
            <w:r>
              <w:rPr>
                <w:spacing w:val="-1"/>
                <w:sz w:val="24"/>
                <w:szCs w:val="24"/>
              </w:rPr>
              <w:t>langvarig behandling,</w:t>
            </w:r>
            <w:r>
              <w:rPr>
                <w:spacing w:val="-2"/>
                <w:sz w:val="24"/>
                <w:szCs w:val="24"/>
              </w:rPr>
              <w:t xml:space="preserve"> </w:t>
            </w:r>
            <w:r>
              <w:rPr>
                <w:sz w:val="24"/>
                <w:szCs w:val="24"/>
              </w:rPr>
              <w:t>især</w:t>
            </w:r>
            <w:r>
              <w:rPr>
                <w:spacing w:val="-4"/>
                <w:sz w:val="24"/>
                <w:szCs w:val="24"/>
              </w:rPr>
              <w:t xml:space="preserve"> </w:t>
            </w:r>
            <w:r>
              <w:rPr>
                <w:spacing w:val="-1"/>
                <w:sz w:val="24"/>
                <w:szCs w:val="24"/>
              </w:rPr>
              <w:t>hos</w:t>
            </w:r>
            <w:r>
              <w:rPr>
                <w:spacing w:val="27"/>
                <w:sz w:val="24"/>
                <w:szCs w:val="24"/>
              </w:rPr>
              <w:t xml:space="preserve"> </w:t>
            </w:r>
            <w:r>
              <w:rPr>
                <w:sz w:val="24"/>
                <w:szCs w:val="24"/>
              </w:rPr>
              <w:t>ældre</w:t>
            </w:r>
            <w:r>
              <w:rPr>
                <w:spacing w:val="-1"/>
                <w:sz w:val="24"/>
                <w:szCs w:val="24"/>
              </w:rPr>
              <w:t xml:space="preserve"> patienter (se </w:t>
            </w:r>
            <w:r>
              <w:rPr>
                <w:sz w:val="24"/>
                <w:szCs w:val="24"/>
              </w:rPr>
              <w:t>pkt.</w:t>
            </w:r>
            <w:r>
              <w:rPr>
                <w:spacing w:val="-2"/>
                <w:sz w:val="24"/>
                <w:szCs w:val="24"/>
              </w:rPr>
              <w:t xml:space="preserve"> </w:t>
            </w:r>
            <w:r>
              <w:rPr>
                <w:spacing w:val="-1"/>
                <w:sz w:val="24"/>
                <w:szCs w:val="24"/>
              </w:rPr>
              <w:t>4.4),</w:t>
            </w:r>
            <w:r>
              <w:rPr>
                <w:spacing w:val="29"/>
                <w:sz w:val="24"/>
                <w:szCs w:val="24"/>
              </w:rPr>
              <w:t xml:space="preserve"> </w:t>
            </w:r>
            <w:r>
              <w:rPr>
                <w:spacing w:val="-1"/>
                <w:sz w:val="24"/>
                <w:szCs w:val="24"/>
              </w:rPr>
              <w:t>malignt</w:t>
            </w:r>
            <w:r>
              <w:rPr>
                <w:sz w:val="24"/>
                <w:szCs w:val="24"/>
              </w:rPr>
              <w:t xml:space="preserve"> </w:t>
            </w:r>
            <w:r>
              <w:rPr>
                <w:spacing w:val="-1"/>
                <w:sz w:val="24"/>
                <w:szCs w:val="24"/>
              </w:rPr>
              <w:t>neuroleptikasyndrom</w:t>
            </w:r>
            <w:r>
              <w:rPr>
                <w:spacing w:val="36"/>
                <w:sz w:val="24"/>
                <w:szCs w:val="24"/>
              </w:rPr>
              <w:t xml:space="preserve"> </w:t>
            </w:r>
            <w:r>
              <w:rPr>
                <w:spacing w:val="-1"/>
                <w:sz w:val="24"/>
                <w:szCs w:val="24"/>
              </w:rPr>
              <w:t xml:space="preserve">(se </w:t>
            </w:r>
            <w:r>
              <w:rPr>
                <w:sz w:val="24"/>
                <w:szCs w:val="24"/>
              </w:rPr>
              <w:t>pkt.</w:t>
            </w:r>
            <w:r>
              <w:rPr>
                <w:spacing w:val="-2"/>
                <w:sz w:val="24"/>
                <w:szCs w:val="24"/>
              </w:rPr>
              <w:t xml:space="preserve"> </w:t>
            </w:r>
            <w:r>
              <w:rPr>
                <w:spacing w:val="-1"/>
                <w:sz w:val="24"/>
                <w:szCs w:val="24"/>
              </w:rPr>
              <w:t>4.4).</w:t>
            </w:r>
          </w:p>
        </w:tc>
      </w:tr>
      <w:tr w:rsidR="001F722A" w:rsidTr="001F722A">
        <w:trPr>
          <w:trHeight w:val="20"/>
        </w:trPr>
        <w:tc>
          <w:tcPr>
            <w:tcW w:w="8773" w:type="dxa"/>
            <w:gridSpan w:val="4"/>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b/>
                <w:spacing w:val="-1"/>
                <w:sz w:val="24"/>
                <w:szCs w:val="24"/>
              </w:rPr>
              <w:t>Psykiske</w:t>
            </w:r>
            <w:r>
              <w:rPr>
                <w:b/>
                <w:spacing w:val="1"/>
                <w:sz w:val="24"/>
                <w:szCs w:val="24"/>
              </w:rPr>
              <w:t xml:space="preserve"> </w:t>
            </w:r>
            <w:r>
              <w:rPr>
                <w:b/>
                <w:spacing w:val="-1"/>
                <w:sz w:val="24"/>
                <w:szCs w:val="24"/>
              </w:rPr>
              <w:t>forstyrrelser</w:t>
            </w:r>
          </w:p>
        </w:tc>
      </w:tr>
      <w:tr w:rsidR="001F722A" w:rsidTr="001F722A">
        <w:trPr>
          <w:trHeight w:val="20"/>
        </w:trPr>
        <w:tc>
          <w:tcPr>
            <w:tcW w:w="2394" w:type="dxa"/>
            <w:tcBorders>
              <w:top w:val="single" w:sz="4" w:space="0" w:color="000000"/>
              <w:left w:val="single" w:sz="4" w:space="0" w:color="000000"/>
              <w:bottom w:val="single" w:sz="4" w:space="0" w:color="000000"/>
              <w:right w:val="single" w:sz="4" w:space="0" w:color="000000"/>
            </w:tcBorders>
          </w:tcPr>
          <w:p w:rsidR="001F722A" w:rsidRDefault="001F722A">
            <w:pPr>
              <w:widowControl w:val="0"/>
              <w:ind w:left="153"/>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Almindelig</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Depression.</w:t>
            </w:r>
          </w:p>
        </w:tc>
      </w:tr>
      <w:tr w:rsidR="001F722A" w:rsidTr="001F722A">
        <w:trPr>
          <w:trHeight w:val="20"/>
        </w:trPr>
        <w:tc>
          <w:tcPr>
            <w:tcW w:w="2394" w:type="dxa"/>
            <w:tcBorders>
              <w:top w:val="single" w:sz="4" w:space="0" w:color="000000"/>
              <w:left w:val="single" w:sz="4" w:space="0" w:color="000000"/>
              <w:bottom w:val="single" w:sz="4" w:space="0" w:color="000000"/>
              <w:right w:val="single" w:sz="4" w:space="0" w:color="000000"/>
            </w:tcBorders>
          </w:tcPr>
          <w:p w:rsidR="001F722A" w:rsidRDefault="001F722A">
            <w:pPr>
              <w:widowControl w:val="0"/>
              <w:ind w:left="153"/>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 xml:space="preserve">Ikke </w:t>
            </w:r>
            <w:r>
              <w:rPr>
                <w:sz w:val="24"/>
                <w:szCs w:val="24"/>
              </w:rPr>
              <w:t>almindelig</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Hallucinationer.</w:t>
            </w:r>
          </w:p>
        </w:tc>
      </w:tr>
      <w:tr w:rsidR="001F722A" w:rsidTr="001F722A">
        <w:trPr>
          <w:trHeight w:val="20"/>
        </w:trPr>
        <w:tc>
          <w:tcPr>
            <w:tcW w:w="2394" w:type="dxa"/>
            <w:tcBorders>
              <w:top w:val="single" w:sz="4" w:space="0" w:color="000000"/>
              <w:left w:val="single" w:sz="4" w:space="0" w:color="000000"/>
              <w:bottom w:val="single" w:sz="4" w:space="0" w:color="000000"/>
              <w:right w:val="single" w:sz="4" w:space="0" w:color="000000"/>
            </w:tcBorders>
          </w:tcPr>
          <w:p w:rsidR="001F722A" w:rsidRDefault="001F722A">
            <w:pPr>
              <w:widowControl w:val="0"/>
              <w:ind w:left="153"/>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z w:val="24"/>
                <w:szCs w:val="24"/>
              </w:rPr>
              <w:t>Sjælden</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Konfusion.</w:t>
            </w:r>
          </w:p>
        </w:tc>
      </w:tr>
      <w:tr w:rsidR="001F722A" w:rsidTr="001F722A">
        <w:trPr>
          <w:trHeight w:val="20"/>
        </w:trPr>
        <w:tc>
          <w:tcPr>
            <w:tcW w:w="2394" w:type="dxa"/>
            <w:tcBorders>
              <w:top w:val="single" w:sz="4" w:space="0" w:color="000000"/>
              <w:left w:val="single" w:sz="4" w:space="0" w:color="000000"/>
              <w:bottom w:val="single" w:sz="4" w:space="0" w:color="000000"/>
              <w:right w:val="single" w:sz="4" w:space="0" w:color="000000"/>
            </w:tcBorders>
          </w:tcPr>
          <w:p w:rsidR="001F722A" w:rsidRDefault="001F722A">
            <w:pPr>
              <w:widowControl w:val="0"/>
              <w:ind w:left="153"/>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z w:val="24"/>
                <w:szCs w:val="24"/>
              </w:rPr>
              <w:t>Ikke kendt</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pacing w:val="-1"/>
                <w:sz w:val="24"/>
                <w:szCs w:val="24"/>
              </w:rPr>
            </w:pPr>
            <w:r>
              <w:rPr>
                <w:spacing w:val="-1"/>
                <w:sz w:val="24"/>
                <w:szCs w:val="24"/>
              </w:rPr>
              <w:t>Selvmordstanker.</w:t>
            </w:r>
          </w:p>
        </w:tc>
      </w:tr>
      <w:tr w:rsidR="001F722A" w:rsidTr="001F722A">
        <w:trPr>
          <w:trHeight w:val="20"/>
        </w:trPr>
        <w:tc>
          <w:tcPr>
            <w:tcW w:w="8773" w:type="dxa"/>
            <w:gridSpan w:val="4"/>
            <w:tcBorders>
              <w:top w:val="single" w:sz="4" w:space="0" w:color="000000"/>
              <w:left w:val="single" w:sz="4" w:space="0" w:color="000000"/>
              <w:bottom w:val="single" w:sz="4" w:space="0" w:color="000000"/>
              <w:right w:val="single" w:sz="4" w:space="0" w:color="000000"/>
            </w:tcBorders>
            <w:hideMark/>
          </w:tcPr>
          <w:p w:rsidR="001F722A" w:rsidRDefault="001F722A">
            <w:pPr>
              <w:keepNext/>
              <w:widowControl w:val="0"/>
              <w:ind w:left="113"/>
              <w:rPr>
                <w:sz w:val="24"/>
                <w:szCs w:val="24"/>
              </w:rPr>
            </w:pPr>
            <w:r>
              <w:rPr>
                <w:b/>
                <w:spacing w:val="-1"/>
                <w:sz w:val="24"/>
                <w:szCs w:val="24"/>
              </w:rPr>
              <w:t>Vaskulære</w:t>
            </w:r>
            <w:r>
              <w:rPr>
                <w:b/>
                <w:spacing w:val="1"/>
                <w:sz w:val="24"/>
                <w:szCs w:val="24"/>
              </w:rPr>
              <w:t xml:space="preserve"> </w:t>
            </w:r>
            <w:r>
              <w:rPr>
                <w:b/>
                <w:spacing w:val="-1"/>
                <w:sz w:val="24"/>
                <w:szCs w:val="24"/>
              </w:rPr>
              <w:t>sygdomme</w:t>
            </w:r>
          </w:p>
        </w:tc>
      </w:tr>
      <w:tr w:rsidR="001F722A" w:rsidTr="001F722A">
        <w:trPr>
          <w:trHeight w:val="20"/>
        </w:trPr>
        <w:tc>
          <w:tcPr>
            <w:tcW w:w="2394" w:type="dxa"/>
            <w:tcBorders>
              <w:top w:val="single" w:sz="4" w:space="0" w:color="000000"/>
              <w:left w:val="single" w:sz="4" w:space="0" w:color="000000"/>
              <w:bottom w:val="single" w:sz="4" w:space="0" w:color="000000"/>
              <w:right w:val="single" w:sz="4" w:space="0" w:color="000000"/>
            </w:tcBorders>
          </w:tcPr>
          <w:p w:rsidR="001F722A" w:rsidRDefault="001F722A">
            <w:pPr>
              <w:widowControl w:val="0"/>
              <w:ind w:left="153"/>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Almindelig</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Hypotension</w:t>
            </w:r>
            <w:r>
              <w:rPr>
                <w:spacing w:val="-3"/>
                <w:sz w:val="24"/>
                <w:szCs w:val="24"/>
              </w:rPr>
              <w:t xml:space="preserve">, </w:t>
            </w:r>
            <w:r>
              <w:rPr>
                <w:spacing w:val="-1"/>
                <w:sz w:val="24"/>
                <w:szCs w:val="24"/>
              </w:rPr>
              <w:t>specielt</w:t>
            </w:r>
            <w:r>
              <w:rPr>
                <w:sz w:val="24"/>
                <w:szCs w:val="24"/>
              </w:rPr>
              <w:t xml:space="preserve"> </w:t>
            </w:r>
            <w:r>
              <w:rPr>
                <w:spacing w:val="-1"/>
                <w:sz w:val="24"/>
                <w:szCs w:val="24"/>
              </w:rPr>
              <w:t>efter</w:t>
            </w:r>
          </w:p>
          <w:p w:rsidR="001F722A" w:rsidRDefault="001F722A">
            <w:pPr>
              <w:widowControl w:val="0"/>
              <w:ind w:left="111"/>
              <w:rPr>
                <w:sz w:val="24"/>
                <w:szCs w:val="24"/>
              </w:rPr>
            </w:pPr>
            <w:r>
              <w:rPr>
                <w:spacing w:val="-1"/>
                <w:sz w:val="24"/>
                <w:szCs w:val="24"/>
              </w:rPr>
              <w:t>intravenøs</w:t>
            </w:r>
            <w:r>
              <w:rPr>
                <w:spacing w:val="-2"/>
                <w:sz w:val="24"/>
                <w:szCs w:val="24"/>
              </w:rPr>
              <w:t xml:space="preserve"> </w:t>
            </w:r>
            <w:r>
              <w:rPr>
                <w:spacing w:val="-1"/>
                <w:sz w:val="24"/>
                <w:szCs w:val="24"/>
              </w:rPr>
              <w:t>administration.</w:t>
            </w:r>
          </w:p>
        </w:tc>
      </w:tr>
      <w:tr w:rsidR="001F722A" w:rsidTr="001F722A">
        <w:trPr>
          <w:trHeight w:val="20"/>
        </w:trPr>
        <w:tc>
          <w:tcPr>
            <w:tcW w:w="2394" w:type="dxa"/>
            <w:tcBorders>
              <w:top w:val="single" w:sz="4" w:space="0" w:color="000000"/>
              <w:left w:val="single" w:sz="4" w:space="0" w:color="000000"/>
              <w:bottom w:val="single" w:sz="4" w:space="0" w:color="000000"/>
              <w:right w:val="single" w:sz="4" w:space="0" w:color="000000"/>
            </w:tcBorders>
          </w:tcPr>
          <w:p w:rsidR="001F722A" w:rsidRDefault="001F722A">
            <w:pPr>
              <w:widowControl w:val="0"/>
              <w:ind w:left="153"/>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1F722A" w:rsidRDefault="001F722A">
            <w:pPr>
              <w:widowControl w:val="0"/>
              <w:ind w:left="111"/>
              <w:rPr>
                <w:spacing w:val="-1"/>
                <w:sz w:val="24"/>
                <w:szCs w:val="24"/>
              </w:rPr>
            </w:pPr>
            <w:r>
              <w:rPr>
                <w:spacing w:val="-1"/>
                <w:sz w:val="24"/>
                <w:szCs w:val="24"/>
              </w:rPr>
              <w:t>Sjælden</w:t>
            </w:r>
          </w:p>
        </w:tc>
        <w:tc>
          <w:tcPr>
            <w:tcW w:w="3402" w:type="dxa"/>
            <w:tcBorders>
              <w:top w:val="single" w:sz="4" w:space="0" w:color="000000"/>
              <w:left w:val="single" w:sz="4" w:space="0" w:color="000000"/>
              <w:bottom w:val="single" w:sz="4" w:space="0" w:color="000000"/>
              <w:right w:val="single" w:sz="4" w:space="0" w:color="000000"/>
            </w:tcBorders>
          </w:tcPr>
          <w:p w:rsidR="001F722A" w:rsidRDefault="001F722A">
            <w:pPr>
              <w:widowControl w:val="0"/>
              <w:ind w:left="111"/>
              <w:rPr>
                <w:spacing w:val="-1"/>
                <w:sz w:val="24"/>
                <w:szCs w:val="24"/>
              </w:rPr>
            </w:pPr>
            <w:r>
              <w:rPr>
                <w:spacing w:val="-1"/>
                <w:sz w:val="24"/>
                <w:szCs w:val="24"/>
              </w:rPr>
              <w:t>Hypertension</w:t>
            </w:r>
            <w:r w:rsidR="00AA1963">
              <w:rPr>
                <w:spacing w:val="-1"/>
                <w:sz w:val="24"/>
                <w:szCs w:val="24"/>
              </w:rPr>
              <w:t>*’</w:t>
            </w:r>
            <w:bookmarkStart w:id="0" w:name="_GoBack"/>
            <w:bookmarkEnd w:id="0"/>
          </w:p>
        </w:tc>
      </w:tr>
      <w:tr w:rsidR="001F722A" w:rsidTr="001F722A">
        <w:trPr>
          <w:trHeight w:val="20"/>
        </w:trPr>
        <w:tc>
          <w:tcPr>
            <w:tcW w:w="2394"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53"/>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Ikke</w:t>
            </w:r>
            <w:r>
              <w:rPr>
                <w:spacing w:val="2"/>
                <w:sz w:val="24"/>
                <w:szCs w:val="24"/>
              </w:rPr>
              <w:t xml:space="preserve"> </w:t>
            </w:r>
            <w:r>
              <w:rPr>
                <w:spacing w:val="-1"/>
                <w:sz w:val="24"/>
                <w:szCs w:val="24"/>
              </w:rPr>
              <w:t>kendt</w:t>
            </w:r>
          </w:p>
        </w:tc>
        <w:tc>
          <w:tcPr>
            <w:tcW w:w="3402" w:type="dxa"/>
            <w:tcBorders>
              <w:top w:val="single" w:sz="4" w:space="0" w:color="000000"/>
              <w:left w:val="single" w:sz="4" w:space="0" w:color="000000"/>
              <w:bottom w:val="single" w:sz="4" w:space="0" w:color="000000"/>
              <w:right w:val="single" w:sz="4" w:space="0" w:color="000000"/>
            </w:tcBorders>
            <w:hideMark/>
          </w:tcPr>
          <w:p w:rsidR="001F722A" w:rsidRDefault="001F722A">
            <w:pPr>
              <w:widowControl w:val="0"/>
              <w:ind w:left="111"/>
              <w:rPr>
                <w:sz w:val="24"/>
                <w:szCs w:val="24"/>
              </w:rPr>
            </w:pPr>
            <w:r>
              <w:rPr>
                <w:spacing w:val="-1"/>
                <w:sz w:val="24"/>
                <w:szCs w:val="24"/>
              </w:rPr>
              <w:t>Shock,</w:t>
            </w:r>
            <w:r>
              <w:rPr>
                <w:spacing w:val="-2"/>
                <w:sz w:val="24"/>
                <w:szCs w:val="24"/>
              </w:rPr>
              <w:t xml:space="preserve"> </w:t>
            </w:r>
            <w:r>
              <w:rPr>
                <w:sz w:val="24"/>
                <w:szCs w:val="24"/>
              </w:rPr>
              <w:t>synkope</w:t>
            </w:r>
            <w:r>
              <w:rPr>
                <w:spacing w:val="-1"/>
                <w:sz w:val="24"/>
                <w:szCs w:val="24"/>
              </w:rPr>
              <w:t xml:space="preserve"> (efter</w:t>
            </w:r>
            <w:r>
              <w:rPr>
                <w:spacing w:val="29"/>
                <w:sz w:val="24"/>
                <w:szCs w:val="24"/>
              </w:rPr>
              <w:t xml:space="preserve"> </w:t>
            </w:r>
            <w:r>
              <w:rPr>
                <w:spacing w:val="-1"/>
                <w:sz w:val="24"/>
                <w:szCs w:val="24"/>
              </w:rPr>
              <w:t>injektion).</w:t>
            </w:r>
          </w:p>
        </w:tc>
      </w:tr>
    </w:tbl>
    <w:p w:rsidR="001F722A" w:rsidRDefault="001F722A" w:rsidP="001F722A">
      <w:pPr>
        <w:tabs>
          <w:tab w:val="left" w:pos="851"/>
        </w:tabs>
        <w:ind w:left="851"/>
        <w:rPr>
          <w:sz w:val="24"/>
          <w:szCs w:val="24"/>
          <w:lang w:eastAsia="da-DK"/>
        </w:rPr>
      </w:pPr>
    </w:p>
    <w:p w:rsidR="001F722A" w:rsidRDefault="001F722A" w:rsidP="001F722A">
      <w:pPr>
        <w:tabs>
          <w:tab w:val="left" w:pos="851"/>
        </w:tabs>
        <w:ind w:left="851"/>
        <w:rPr>
          <w:sz w:val="24"/>
          <w:szCs w:val="24"/>
          <w:lang w:eastAsia="da-DK"/>
        </w:rPr>
      </w:pPr>
      <w:r>
        <w:rPr>
          <w:sz w:val="24"/>
          <w:szCs w:val="24"/>
          <w:lang w:eastAsia="da-DK"/>
        </w:rPr>
        <w:t>* Endokrine forstyrrelser under langvarig behandling i relation til hyperprolaktinæmi (amenoré, galaktoré, gynækomasti).</w:t>
      </w:r>
    </w:p>
    <w:p w:rsidR="001F722A" w:rsidRDefault="001F722A" w:rsidP="001F722A">
      <w:pPr>
        <w:tabs>
          <w:tab w:val="left" w:pos="851"/>
        </w:tabs>
        <w:ind w:left="851"/>
        <w:rPr>
          <w:sz w:val="24"/>
          <w:szCs w:val="24"/>
          <w:lang w:eastAsia="da-DK"/>
        </w:rPr>
      </w:pPr>
      <w:r w:rsidRPr="001F722A">
        <w:rPr>
          <w:sz w:val="24"/>
          <w:szCs w:val="24"/>
          <w:lang w:eastAsia="da-DK"/>
        </w:rPr>
        <w:t>** Hyppigheden af hypertension hos patienter med fæokromocytom er ikke kendt (se pkt 4.3).</w:t>
      </w:r>
    </w:p>
    <w:p w:rsidR="001F722A" w:rsidRDefault="001F722A" w:rsidP="001F722A">
      <w:pPr>
        <w:tabs>
          <w:tab w:val="left" w:pos="851"/>
        </w:tabs>
        <w:ind w:left="851"/>
        <w:rPr>
          <w:sz w:val="24"/>
          <w:szCs w:val="24"/>
          <w:lang w:eastAsia="da-DK"/>
        </w:rPr>
      </w:pPr>
    </w:p>
    <w:p w:rsidR="001F722A" w:rsidRDefault="001F722A" w:rsidP="001F722A">
      <w:pPr>
        <w:tabs>
          <w:tab w:val="left" w:pos="851"/>
        </w:tabs>
        <w:ind w:left="851"/>
        <w:rPr>
          <w:sz w:val="24"/>
          <w:szCs w:val="24"/>
          <w:lang w:eastAsia="da-DK"/>
        </w:rPr>
      </w:pPr>
      <w:r>
        <w:rPr>
          <w:sz w:val="24"/>
          <w:szCs w:val="24"/>
          <w:lang w:eastAsia="da-DK"/>
        </w:rPr>
        <w:t xml:space="preserve">Følgende reaktioner, nogle gange forbundet, forekommer hyppigere, når der er anvendt høje doser: </w:t>
      </w:r>
    </w:p>
    <w:p w:rsidR="001F722A" w:rsidRDefault="001F722A" w:rsidP="001F722A">
      <w:pPr>
        <w:tabs>
          <w:tab w:val="left" w:pos="851"/>
        </w:tabs>
        <w:ind w:left="851"/>
        <w:rPr>
          <w:sz w:val="24"/>
          <w:szCs w:val="24"/>
          <w:lang w:eastAsia="da-DK"/>
        </w:rPr>
      </w:pPr>
      <w:r>
        <w:rPr>
          <w:sz w:val="24"/>
          <w:szCs w:val="24"/>
          <w:lang w:eastAsia="da-DK"/>
        </w:rPr>
        <w:t xml:space="preserve">- Ekstrapyramidale symptomer: akut dystoni og dyskinesi, parkinsonsyndrom, akatisi, selv efter administration af en enkelt dosis af dette lægemiddel, især hos børn og unge voksne (se pkt. 4.4). </w:t>
      </w:r>
    </w:p>
    <w:p w:rsidR="001F722A" w:rsidRDefault="001F722A" w:rsidP="001F722A">
      <w:pPr>
        <w:tabs>
          <w:tab w:val="left" w:pos="851"/>
        </w:tabs>
        <w:ind w:left="851"/>
        <w:rPr>
          <w:sz w:val="24"/>
          <w:szCs w:val="24"/>
          <w:lang w:eastAsia="da-DK"/>
        </w:rPr>
      </w:pPr>
      <w:r>
        <w:rPr>
          <w:sz w:val="24"/>
          <w:szCs w:val="24"/>
          <w:lang w:eastAsia="da-DK"/>
        </w:rPr>
        <w:t>- Døsighed, nedsat bevidsthedsniveau, konfusion, hallucinationer.</w:t>
      </w:r>
    </w:p>
    <w:p w:rsidR="001F722A" w:rsidRDefault="001F722A" w:rsidP="001F722A">
      <w:pPr>
        <w:tabs>
          <w:tab w:val="left" w:pos="851"/>
        </w:tabs>
        <w:ind w:left="851"/>
        <w:rPr>
          <w:sz w:val="24"/>
          <w:szCs w:val="24"/>
          <w:lang w:eastAsia="da-DK"/>
        </w:rPr>
      </w:pPr>
    </w:p>
    <w:p w:rsidR="001F722A" w:rsidRDefault="001F722A" w:rsidP="001F722A">
      <w:pPr>
        <w:tabs>
          <w:tab w:val="left" w:pos="851"/>
        </w:tabs>
        <w:autoSpaceDE w:val="0"/>
        <w:autoSpaceDN w:val="0"/>
        <w:adjustRightInd w:val="0"/>
        <w:ind w:left="851"/>
        <w:rPr>
          <w:sz w:val="24"/>
          <w:szCs w:val="24"/>
          <w:u w:val="single"/>
          <w:lang w:eastAsia="da-DK"/>
        </w:rPr>
      </w:pPr>
      <w:r>
        <w:rPr>
          <w:noProof/>
          <w:sz w:val="24"/>
          <w:szCs w:val="24"/>
          <w:u w:val="single"/>
          <w:lang w:eastAsia="da-DK"/>
        </w:rPr>
        <w:t>Indberetning af formodede bivirkninger</w:t>
      </w:r>
    </w:p>
    <w:p w:rsidR="001F722A" w:rsidRDefault="001F722A" w:rsidP="001F722A">
      <w:pPr>
        <w:tabs>
          <w:tab w:val="left" w:pos="851"/>
        </w:tabs>
        <w:ind w:left="851"/>
        <w:rPr>
          <w:noProof/>
          <w:sz w:val="24"/>
          <w:szCs w:val="24"/>
          <w:lang w:eastAsia="da-DK"/>
        </w:rPr>
      </w:pPr>
      <w:r>
        <w:rPr>
          <w:noProof/>
          <w:sz w:val="24"/>
          <w:szCs w:val="24"/>
          <w:lang w:eastAsia="da-DK"/>
        </w:rPr>
        <w:t>Når lægemidlet er godkendt, er indberetning af formodede bivirkninger vigtig.</w:t>
      </w:r>
      <w:r>
        <w:rPr>
          <w:sz w:val="24"/>
          <w:szCs w:val="24"/>
          <w:lang w:eastAsia="da-DK"/>
        </w:rPr>
        <w:t xml:space="preserve"> </w:t>
      </w:r>
      <w:r>
        <w:rPr>
          <w:noProof/>
          <w:sz w:val="24"/>
          <w:szCs w:val="24"/>
          <w:lang w:eastAsia="da-DK"/>
        </w:rPr>
        <w:t>Det muliggør løbende overvågning af benefit/risk-forholdet for lægemidlet.</w:t>
      </w:r>
      <w:r>
        <w:rPr>
          <w:sz w:val="24"/>
          <w:szCs w:val="24"/>
          <w:lang w:eastAsia="da-DK"/>
        </w:rPr>
        <w:t xml:space="preserve"> </w:t>
      </w:r>
      <w:r>
        <w:rPr>
          <w:noProof/>
          <w:sz w:val="24"/>
          <w:szCs w:val="24"/>
          <w:lang w:eastAsia="da-DK"/>
        </w:rPr>
        <w:t>Sundhedspersoner anmodes om at indberette alle formodede bivirkninger via:</w:t>
      </w:r>
    </w:p>
    <w:p w:rsidR="001F722A" w:rsidRDefault="001F722A" w:rsidP="001F722A">
      <w:pPr>
        <w:tabs>
          <w:tab w:val="left" w:pos="851"/>
        </w:tabs>
        <w:ind w:left="851"/>
        <w:rPr>
          <w:noProof/>
          <w:sz w:val="24"/>
          <w:szCs w:val="24"/>
          <w:lang w:eastAsia="da-DK"/>
        </w:rPr>
      </w:pPr>
    </w:p>
    <w:p w:rsidR="001F722A" w:rsidRDefault="001F722A" w:rsidP="001F722A">
      <w:pPr>
        <w:tabs>
          <w:tab w:val="left" w:pos="851"/>
        </w:tabs>
        <w:ind w:left="851"/>
        <w:rPr>
          <w:sz w:val="24"/>
          <w:szCs w:val="24"/>
          <w:u w:val="single"/>
          <w:lang w:eastAsia="da-DK"/>
        </w:rPr>
      </w:pPr>
      <w:r>
        <w:rPr>
          <w:noProof/>
          <w:sz w:val="24"/>
          <w:szCs w:val="24"/>
          <w:lang w:eastAsia="da-DK"/>
        </w:rPr>
        <w:t>Lægemiddelstyrelsen</w:t>
      </w:r>
    </w:p>
    <w:p w:rsidR="001F722A" w:rsidRDefault="001F722A" w:rsidP="001F722A">
      <w:pPr>
        <w:tabs>
          <w:tab w:val="left" w:pos="851"/>
        </w:tabs>
        <w:ind w:left="851"/>
        <w:rPr>
          <w:noProof/>
          <w:sz w:val="24"/>
          <w:szCs w:val="24"/>
          <w:lang w:eastAsia="zh-CN"/>
        </w:rPr>
      </w:pPr>
      <w:r>
        <w:rPr>
          <w:sz w:val="24"/>
          <w:szCs w:val="24"/>
          <w:lang w:eastAsia="zh-CN"/>
        </w:rPr>
        <w:t>Axel Heides Gade 1</w:t>
      </w:r>
    </w:p>
    <w:p w:rsidR="001F722A" w:rsidRDefault="001F722A" w:rsidP="001F722A">
      <w:pPr>
        <w:tabs>
          <w:tab w:val="left" w:pos="851"/>
        </w:tabs>
        <w:ind w:left="851"/>
        <w:rPr>
          <w:noProof/>
          <w:sz w:val="24"/>
          <w:szCs w:val="24"/>
          <w:lang w:eastAsia="zh-CN"/>
        </w:rPr>
      </w:pPr>
      <w:r>
        <w:rPr>
          <w:noProof/>
          <w:sz w:val="24"/>
          <w:szCs w:val="24"/>
          <w:lang w:eastAsia="zh-CN"/>
        </w:rPr>
        <w:t xml:space="preserve">DK-2300 </w:t>
      </w:r>
      <w:r>
        <w:rPr>
          <w:sz w:val="24"/>
          <w:szCs w:val="24"/>
          <w:lang w:eastAsia="zh-CN"/>
        </w:rPr>
        <w:t>København S</w:t>
      </w:r>
    </w:p>
    <w:p w:rsidR="001F722A" w:rsidRDefault="001F722A" w:rsidP="001F722A">
      <w:pPr>
        <w:tabs>
          <w:tab w:val="left" w:pos="-720"/>
          <w:tab w:val="left" w:pos="851"/>
        </w:tabs>
        <w:suppressAutoHyphens/>
        <w:ind w:left="851"/>
      </w:pPr>
      <w:r>
        <w:rPr>
          <w:sz w:val="24"/>
          <w:szCs w:val="24"/>
          <w:lang w:eastAsia="zh-CN"/>
        </w:rPr>
        <w:t>Websted</w:t>
      </w:r>
      <w:r>
        <w:rPr>
          <w:noProof/>
          <w:sz w:val="24"/>
          <w:szCs w:val="24"/>
          <w:lang w:eastAsia="zh-CN"/>
        </w:rPr>
        <w:t xml:space="preserve">: </w:t>
      </w:r>
      <w:hyperlink r:id="rId8" w:history="1">
        <w:r>
          <w:rPr>
            <w:rStyle w:val="Hyperlink"/>
            <w:noProof/>
            <w:color w:val="0000FF"/>
            <w:sz w:val="24"/>
            <w:szCs w:val="24"/>
            <w:lang w:eastAsia="zh-CN"/>
          </w:rPr>
          <w:t>www.meldenbivirkning.dk</w:t>
        </w:r>
      </w:hyperlink>
    </w:p>
    <w:p w:rsidR="00246CF8" w:rsidRPr="0040767F" w:rsidRDefault="00246CF8" w:rsidP="00246CF8">
      <w:pPr>
        <w:tabs>
          <w:tab w:val="left" w:pos="-720"/>
          <w:tab w:val="left" w:pos="567"/>
          <w:tab w:val="left" w:pos="851"/>
        </w:tabs>
        <w:suppressAutoHyphens/>
        <w:ind w:left="851"/>
        <w:rPr>
          <w:sz w:val="24"/>
          <w:szCs w:val="24"/>
          <w:lang w:eastAsia="da-DK"/>
        </w:rPr>
      </w:pPr>
    </w:p>
    <w:p w:rsidR="00246CF8" w:rsidRPr="009F7218" w:rsidRDefault="00246CF8" w:rsidP="009F7218">
      <w:pPr>
        <w:tabs>
          <w:tab w:val="left" w:pos="851"/>
        </w:tabs>
        <w:ind w:left="851" w:hanging="851"/>
        <w:rPr>
          <w:b/>
          <w:sz w:val="24"/>
          <w:szCs w:val="24"/>
        </w:rPr>
      </w:pPr>
      <w:r w:rsidRPr="00C84483">
        <w:rPr>
          <w:b/>
          <w:sz w:val="24"/>
          <w:szCs w:val="24"/>
        </w:rPr>
        <w:t>4.9</w:t>
      </w:r>
      <w:r w:rsidRPr="00C84483">
        <w:rPr>
          <w:b/>
          <w:sz w:val="24"/>
          <w:szCs w:val="24"/>
        </w:rPr>
        <w:tab/>
        <w:t>Overdosering</w:t>
      </w:r>
    </w:p>
    <w:p w:rsidR="00246CF8" w:rsidRPr="002A526B" w:rsidRDefault="00246CF8" w:rsidP="00246CF8">
      <w:pPr>
        <w:tabs>
          <w:tab w:val="left" w:pos="851"/>
        </w:tabs>
        <w:ind w:left="851"/>
        <w:rPr>
          <w:sz w:val="24"/>
          <w:szCs w:val="24"/>
          <w:u w:val="single"/>
          <w:lang w:eastAsia="da-DK"/>
        </w:rPr>
      </w:pPr>
      <w:r w:rsidRPr="002A526B">
        <w:rPr>
          <w:sz w:val="24"/>
          <w:szCs w:val="24"/>
          <w:u w:val="single"/>
          <w:lang w:eastAsia="da-DK"/>
        </w:rPr>
        <w:t xml:space="preserve">Symptomer </w:t>
      </w:r>
    </w:p>
    <w:p w:rsidR="00246CF8" w:rsidRPr="002A526B" w:rsidRDefault="00246CF8" w:rsidP="00246CF8">
      <w:pPr>
        <w:tabs>
          <w:tab w:val="left" w:pos="851"/>
        </w:tabs>
        <w:ind w:left="851"/>
        <w:rPr>
          <w:sz w:val="24"/>
          <w:szCs w:val="24"/>
          <w:lang w:eastAsia="da-DK"/>
        </w:rPr>
      </w:pPr>
      <w:r w:rsidRPr="002A526B">
        <w:rPr>
          <w:sz w:val="24"/>
          <w:szCs w:val="24"/>
          <w:lang w:eastAsia="da-DK"/>
        </w:rPr>
        <w:t>Ekstrapyramidale forstyrrelser, døsighed, nedsat bevidsthedsniveau, konfusion, hallucinationer og hjerte-/respirationsstop kan forekomme.</w:t>
      </w:r>
    </w:p>
    <w:p w:rsidR="00246CF8" w:rsidRPr="002A526B" w:rsidRDefault="00246CF8" w:rsidP="00246CF8">
      <w:pPr>
        <w:tabs>
          <w:tab w:val="left" w:pos="851"/>
        </w:tabs>
        <w:ind w:left="851"/>
        <w:rPr>
          <w:sz w:val="24"/>
          <w:szCs w:val="24"/>
          <w:lang w:eastAsia="da-DK"/>
        </w:rPr>
      </w:pPr>
    </w:p>
    <w:p w:rsidR="00246CF8" w:rsidRPr="002A526B" w:rsidRDefault="00246CF8" w:rsidP="00246CF8">
      <w:pPr>
        <w:tabs>
          <w:tab w:val="left" w:pos="851"/>
        </w:tabs>
        <w:ind w:left="851"/>
        <w:rPr>
          <w:sz w:val="24"/>
          <w:szCs w:val="24"/>
          <w:lang w:eastAsia="da-DK"/>
        </w:rPr>
      </w:pPr>
      <w:r w:rsidRPr="002A526B">
        <w:rPr>
          <w:sz w:val="24"/>
          <w:szCs w:val="24"/>
          <w:u w:val="single"/>
          <w:lang w:eastAsia="da-DK"/>
        </w:rPr>
        <w:t>Behandling</w:t>
      </w:r>
      <w:r w:rsidRPr="002A526B">
        <w:rPr>
          <w:sz w:val="24"/>
          <w:szCs w:val="24"/>
          <w:lang w:eastAsia="da-DK"/>
        </w:rPr>
        <w:t xml:space="preserve"> </w:t>
      </w:r>
    </w:p>
    <w:p w:rsidR="001F722A" w:rsidRDefault="001F722A" w:rsidP="001F722A">
      <w:pPr>
        <w:tabs>
          <w:tab w:val="left" w:pos="851"/>
        </w:tabs>
        <w:ind w:left="851"/>
        <w:rPr>
          <w:sz w:val="24"/>
          <w:szCs w:val="24"/>
          <w:lang w:eastAsia="da-DK"/>
        </w:rPr>
      </w:pPr>
      <w:r>
        <w:rPr>
          <w:sz w:val="24"/>
          <w:szCs w:val="24"/>
          <w:lang w:eastAsia="da-DK"/>
        </w:rPr>
        <w:t>I tilfælde af ekstrapyramidale symptomer, relateret eller ikke relateret til overdosering er behandlingen udelukkende symptomatisk (benzodiazepiner hos børn og/eller antikolinerge antiparkinsonmidler hos voksne).</w:t>
      </w:r>
    </w:p>
    <w:p w:rsidR="00246CF8" w:rsidRPr="002A526B" w:rsidRDefault="00246CF8" w:rsidP="00246CF8">
      <w:pPr>
        <w:tabs>
          <w:tab w:val="left" w:pos="851"/>
        </w:tabs>
        <w:ind w:left="851"/>
        <w:rPr>
          <w:sz w:val="24"/>
          <w:szCs w:val="24"/>
          <w:lang w:eastAsia="da-DK"/>
        </w:rPr>
      </w:pPr>
    </w:p>
    <w:p w:rsidR="00246CF8" w:rsidRPr="00C84483" w:rsidRDefault="00246CF8" w:rsidP="00246CF8">
      <w:pPr>
        <w:tabs>
          <w:tab w:val="left" w:pos="851"/>
        </w:tabs>
        <w:ind w:left="851"/>
        <w:rPr>
          <w:sz w:val="24"/>
          <w:szCs w:val="24"/>
          <w:lang w:eastAsia="da-DK"/>
        </w:rPr>
      </w:pPr>
      <w:r w:rsidRPr="002A526B">
        <w:rPr>
          <w:sz w:val="24"/>
          <w:szCs w:val="24"/>
          <w:lang w:eastAsia="da-DK"/>
        </w:rPr>
        <w:t>Symptomatisk behandling og kontinuerlig overvågning af de kardiovaskulære og respiratoriske funktioner skal udføres i henhold til klinisk status.</w:t>
      </w:r>
    </w:p>
    <w:p w:rsidR="00246CF8" w:rsidRPr="00C84483" w:rsidRDefault="00246CF8" w:rsidP="00246CF8">
      <w:pPr>
        <w:tabs>
          <w:tab w:val="left" w:pos="851"/>
        </w:tabs>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4.10</w:t>
      </w:r>
      <w:r w:rsidRPr="00C84483">
        <w:rPr>
          <w:b/>
          <w:sz w:val="24"/>
          <w:szCs w:val="24"/>
        </w:rPr>
        <w:tab/>
        <w:t>Udlevering</w:t>
      </w:r>
    </w:p>
    <w:p w:rsidR="00246CF8" w:rsidRPr="00C84483" w:rsidRDefault="00246CF8" w:rsidP="00246CF8">
      <w:pPr>
        <w:tabs>
          <w:tab w:val="left" w:pos="851"/>
        </w:tabs>
        <w:ind w:left="851" w:hanging="851"/>
        <w:rPr>
          <w:sz w:val="24"/>
          <w:szCs w:val="24"/>
        </w:rPr>
      </w:pPr>
      <w:r w:rsidRPr="00C84483">
        <w:rPr>
          <w:sz w:val="24"/>
          <w:szCs w:val="24"/>
        </w:rPr>
        <w:tab/>
      </w:r>
      <w:r>
        <w:rPr>
          <w:sz w:val="24"/>
          <w:szCs w:val="24"/>
        </w:rPr>
        <w:t>B</w:t>
      </w:r>
    </w:p>
    <w:p w:rsidR="00246CF8" w:rsidRPr="00C84483" w:rsidRDefault="00246CF8" w:rsidP="00246CF8">
      <w:pPr>
        <w:tabs>
          <w:tab w:val="left" w:pos="851"/>
        </w:tabs>
        <w:rPr>
          <w:sz w:val="24"/>
          <w:szCs w:val="24"/>
        </w:rPr>
      </w:pPr>
    </w:p>
    <w:p w:rsidR="00246CF8" w:rsidRPr="00C84483" w:rsidRDefault="00246CF8" w:rsidP="00246CF8">
      <w:pPr>
        <w:tabs>
          <w:tab w:val="left" w:pos="851"/>
        </w:tabs>
        <w:rPr>
          <w:sz w:val="24"/>
          <w:szCs w:val="24"/>
        </w:rPr>
      </w:pPr>
    </w:p>
    <w:p w:rsidR="00246CF8" w:rsidRPr="00C84483" w:rsidRDefault="00246CF8" w:rsidP="00246CF8">
      <w:pPr>
        <w:keepNext/>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246CF8" w:rsidRPr="00C84483" w:rsidRDefault="00246CF8" w:rsidP="00246CF8">
      <w:pPr>
        <w:keepNext/>
        <w:tabs>
          <w:tab w:val="left" w:pos="851"/>
        </w:tabs>
        <w:rPr>
          <w:sz w:val="24"/>
          <w:szCs w:val="24"/>
        </w:rPr>
      </w:pPr>
    </w:p>
    <w:p w:rsidR="00246CF8" w:rsidRDefault="00246CF8" w:rsidP="00246CF8">
      <w:pPr>
        <w:keepNext/>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1F722A" w:rsidRDefault="001F722A" w:rsidP="001F722A">
      <w:pPr>
        <w:tabs>
          <w:tab w:val="left" w:pos="851"/>
        </w:tabs>
        <w:ind w:left="851"/>
        <w:rPr>
          <w:b/>
          <w:sz w:val="24"/>
          <w:szCs w:val="24"/>
        </w:rPr>
      </w:pPr>
      <w:r>
        <w:rPr>
          <w:sz w:val="24"/>
          <w:szCs w:val="24"/>
          <w:lang w:eastAsia="da-DK"/>
        </w:rPr>
        <w:t>ATC-kode: A03FA01</w:t>
      </w:r>
      <w:r>
        <w:rPr>
          <w:spacing w:val="-3"/>
          <w:sz w:val="24"/>
          <w:szCs w:val="24"/>
          <w:lang w:eastAsia="da-DK"/>
        </w:rPr>
        <w:t>. Midler mod funktionelle gastrointestinale forstyrrelser, p</w:t>
      </w:r>
      <w:r>
        <w:rPr>
          <w:sz w:val="24"/>
          <w:szCs w:val="24"/>
          <w:lang w:eastAsia="da-DK"/>
        </w:rPr>
        <w:t>ropulsives.</w:t>
      </w:r>
    </w:p>
    <w:p w:rsidR="00246CF8" w:rsidRPr="00C84483" w:rsidRDefault="00246CF8" w:rsidP="00246CF8">
      <w:pPr>
        <w:tabs>
          <w:tab w:val="left" w:pos="851"/>
        </w:tabs>
        <w:rPr>
          <w:sz w:val="24"/>
          <w:szCs w:val="24"/>
        </w:rPr>
      </w:pPr>
    </w:p>
    <w:p w:rsidR="00246CF8" w:rsidRPr="00C84483" w:rsidRDefault="00246CF8" w:rsidP="00246CF8">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246CF8" w:rsidRPr="007920F0" w:rsidRDefault="00246CF8" w:rsidP="00246CF8">
      <w:pPr>
        <w:tabs>
          <w:tab w:val="left" w:pos="851"/>
        </w:tabs>
        <w:ind w:left="851"/>
        <w:rPr>
          <w:sz w:val="24"/>
          <w:szCs w:val="24"/>
          <w:lang w:eastAsia="da-DK"/>
        </w:rPr>
      </w:pPr>
      <w:r w:rsidRPr="007920F0">
        <w:rPr>
          <w:sz w:val="24"/>
          <w:szCs w:val="24"/>
          <w:lang w:eastAsia="da-DK"/>
        </w:rPr>
        <w:t>Metoclopramid er et procainomidderivat. Metoclopramid er en dopaminreceptorblokker. Metoclopramid har en centralt virkende antiemetisk virkning og en motilitetsforstærkende virkning i mavesækken, duodenum og tyndtarmen. Metoclopramid synkroniserer de antrale og duodenale kontraktioner. Hos patienter med gastroøsofageal refluks forstærker metoclopramid tonus i sfinkterfunktionen og øger peristaltikken i den nedre del af øsofagus og reducerer antallet af reflukshændelser.</w:t>
      </w:r>
    </w:p>
    <w:p w:rsidR="00246CF8" w:rsidRPr="00C84483" w:rsidRDefault="00246CF8" w:rsidP="00246CF8">
      <w:pPr>
        <w:tabs>
          <w:tab w:val="left" w:pos="851"/>
        </w:tabs>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F722A" w:rsidRDefault="001F722A" w:rsidP="001F722A">
      <w:pPr>
        <w:tabs>
          <w:tab w:val="left" w:pos="851"/>
        </w:tabs>
        <w:ind w:left="851"/>
        <w:jc w:val="both"/>
        <w:rPr>
          <w:sz w:val="24"/>
          <w:szCs w:val="24"/>
          <w:lang w:eastAsia="da-DK"/>
        </w:rPr>
      </w:pPr>
      <w:r>
        <w:rPr>
          <w:sz w:val="24"/>
          <w:szCs w:val="24"/>
          <w:lang w:eastAsia="da-DK"/>
        </w:rPr>
        <w:t xml:space="preserve">Biotilgængeligheden efter oral administration er rapporteret som værende fra 32-97 %. Der er store individuelle forskelle. Fordelingsvolumen for metoclopramid er omkring 3,5 l/kg. </w:t>
      </w:r>
    </w:p>
    <w:p w:rsidR="001F722A" w:rsidRDefault="001F722A" w:rsidP="001F722A">
      <w:pPr>
        <w:tabs>
          <w:tab w:val="left" w:pos="851"/>
        </w:tabs>
        <w:ind w:left="851"/>
        <w:rPr>
          <w:sz w:val="24"/>
          <w:szCs w:val="24"/>
          <w:lang w:eastAsia="da-DK"/>
        </w:rPr>
      </w:pPr>
    </w:p>
    <w:p w:rsidR="001F722A" w:rsidRDefault="001F722A" w:rsidP="001F722A">
      <w:pPr>
        <w:tabs>
          <w:tab w:val="left" w:pos="851"/>
        </w:tabs>
        <w:ind w:left="851"/>
        <w:rPr>
          <w:sz w:val="24"/>
          <w:szCs w:val="24"/>
          <w:lang w:eastAsia="da-DK"/>
        </w:rPr>
      </w:pPr>
      <w:r>
        <w:rPr>
          <w:sz w:val="24"/>
          <w:szCs w:val="24"/>
          <w:lang w:eastAsia="da-DK"/>
        </w:rPr>
        <w:t xml:space="preserve">Den terminale halveringstid er 4 til 6 timer og kan være forlænget hos patienter med nedsat nyrefunktion. Metoproclamid udskilles primært i urinen. Ca. 85 % af dosis elimineres i løbet af 72 timer. 20-30 % er uomdannet metoclopramid, og resten er sulfat- eller glucoronidkonjugater eller andre metabolitter. Ca. 5 % udskilles i fæces via galden. </w:t>
      </w:r>
    </w:p>
    <w:p w:rsidR="001F722A" w:rsidRDefault="001F722A" w:rsidP="001F722A">
      <w:pPr>
        <w:tabs>
          <w:tab w:val="left" w:pos="851"/>
        </w:tabs>
        <w:ind w:left="851"/>
        <w:rPr>
          <w:sz w:val="24"/>
          <w:szCs w:val="24"/>
          <w:lang w:eastAsia="da-DK"/>
        </w:rPr>
      </w:pPr>
    </w:p>
    <w:p w:rsidR="001F722A" w:rsidRDefault="001F722A" w:rsidP="001F722A">
      <w:pPr>
        <w:tabs>
          <w:tab w:val="left" w:pos="851"/>
        </w:tabs>
        <w:ind w:left="851"/>
        <w:jc w:val="both"/>
        <w:rPr>
          <w:sz w:val="24"/>
          <w:szCs w:val="24"/>
          <w:u w:val="single"/>
          <w:lang w:eastAsia="da-DK"/>
        </w:rPr>
      </w:pPr>
      <w:r>
        <w:rPr>
          <w:sz w:val="24"/>
          <w:szCs w:val="24"/>
          <w:u w:val="single"/>
          <w:lang w:eastAsia="da-DK"/>
        </w:rPr>
        <w:t xml:space="preserve">Nedsat nyrefunktion </w:t>
      </w:r>
    </w:p>
    <w:p w:rsidR="001F722A" w:rsidRDefault="001F722A" w:rsidP="001F722A">
      <w:pPr>
        <w:tabs>
          <w:tab w:val="left" w:pos="851"/>
        </w:tabs>
        <w:ind w:left="851"/>
        <w:jc w:val="both"/>
        <w:rPr>
          <w:sz w:val="24"/>
          <w:szCs w:val="24"/>
          <w:lang w:eastAsia="da-DK"/>
        </w:rPr>
      </w:pPr>
      <w:r>
        <w:rPr>
          <w:sz w:val="24"/>
          <w:szCs w:val="24"/>
          <w:lang w:eastAsia="da-DK"/>
        </w:rPr>
        <w:t>Metoclopramids clearance er reduceret med op til 70 % hos patienter med svær nyreinsufficiens og plasmahalveringstiden øget (ca. 10 timer ved kreatininclearance 10-50 ml/minut og 15 timer ved kreatininclearance &lt; 10 ml/minut).</w:t>
      </w:r>
    </w:p>
    <w:p w:rsidR="001F722A" w:rsidRDefault="001F722A" w:rsidP="001F722A">
      <w:pPr>
        <w:tabs>
          <w:tab w:val="left" w:pos="851"/>
        </w:tabs>
        <w:ind w:left="851"/>
        <w:jc w:val="both"/>
        <w:rPr>
          <w:sz w:val="24"/>
          <w:szCs w:val="24"/>
          <w:lang w:eastAsia="da-DK"/>
        </w:rPr>
      </w:pPr>
      <w:r>
        <w:rPr>
          <w:sz w:val="24"/>
          <w:szCs w:val="24"/>
          <w:lang w:eastAsia="da-DK"/>
        </w:rPr>
        <w:tab/>
      </w:r>
    </w:p>
    <w:p w:rsidR="001F722A" w:rsidRDefault="001F722A" w:rsidP="001F722A">
      <w:pPr>
        <w:tabs>
          <w:tab w:val="left" w:pos="851"/>
        </w:tabs>
        <w:ind w:left="851"/>
        <w:jc w:val="both"/>
        <w:rPr>
          <w:sz w:val="24"/>
          <w:szCs w:val="24"/>
          <w:u w:val="single"/>
          <w:lang w:eastAsia="da-DK"/>
        </w:rPr>
      </w:pPr>
      <w:r>
        <w:rPr>
          <w:sz w:val="24"/>
          <w:szCs w:val="24"/>
          <w:u w:val="single"/>
          <w:lang w:eastAsia="da-DK"/>
        </w:rPr>
        <w:t>Nedsat leverfunktion</w:t>
      </w:r>
    </w:p>
    <w:p w:rsidR="001F722A" w:rsidRDefault="001F722A" w:rsidP="001F722A">
      <w:pPr>
        <w:tabs>
          <w:tab w:val="left" w:pos="851"/>
        </w:tabs>
        <w:ind w:left="851"/>
        <w:jc w:val="both"/>
        <w:rPr>
          <w:sz w:val="24"/>
          <w:szCs w:val="24"/>
          <w:lang w:eastAsia="da-DK"/>
        </w:rPr>
      </w:pPr>
      <w:r>
        <w:rPr>
          <w:sz w:val="24"/>
          <w:szCs w:val="24"/>
          <w:lang w:eastAsia="da-DK"/>
        </w:rPr>
        <w:t xml:space="preserve">Hos patienter med levercirrose er akkumulation af metoclopramid observeret i forbindelse med 50 % reduktion i plasmaclearance. </w:t>
      </w:r>
    </w:p>
    <w:p w:rsidR="00246CF8" w:rsidRPr="00C84483" w:rsidRDefault="00246CF8" w:rsidP="00246CF8">
      <w:pPr>
        <w:tabs>
          <w:tab w:val="left" w:pos="851"/>
        </w:tabs>
        <w:ind w:left="851" w:hanging="851"/>
        <w:rPr>
          <w:sz w:val="24"/>
          <w:szCs w:val="24"/>
        </w:rPr>
      </w:pPr>
      <w:r w:rsidRPr="00C84483">
        <w:rPr>
          <w:sz w:val="24"/>
          <w:szCs w:val="24"/>
        </w:rPr>
        <w:tab/>
      </w:r>
    </w:p>
    <w:p w:rsidR="00246CF8" w:rsidRPr="00C84483" w:rsidRDefault="00246CF8" w:rsidP="00246CF8">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1F722A" w:rsidRDefault="001F722A" w:rsidP="001F722A">
      <w:pPr>
        <w:tabs>
          <w:tab w:val="left" w:pos="851"/>
        </w:tabs>
        <w:ind w:left="851"/>
        <w:jc w:val="both"/>
        <w:rPr>
          <w:sz w:val="24"/>
          <w:szCs w:val="24"/>
          <w:lang w:eastAsia="da-DK"/>
        </w:rPr>
      </w:pPr>
      <w:r>
        <w:rPr>
          <w:sz w:val="24"/>
          <w:szCs w:val="24"/>
          <w:lang w:eastAsia="da-DK"/>
        </w:rPr>
        <w:t>Der er ingen non-kliniske data med relevans for sikkerhedsvurderingen ud over de data, der er indeholdt i de andre afsnit i dette produktresumé.</w:t>
      </w:r>
    </w:p>
    <w:p w:rsidR="00246CF8" w:rsidRDefault="00246CF8" w:rsidP="00246CF8">
      <w:pPr>
        <w:tabs>
          <w:tab w:val="left" w:pos="851"/>
        </w:tabs>
        <w:rPr>
          <w:sz w:val="24"/>
          <w:szCs w:val="24"/>
        </w:rPr>
      </w:pPr>
    </w:p>
    <w:p w:rsidR="00246CF8" w:rsidRPr="00C84483" w:rsidRDefault="00246CF8" w:rsidP="00246CF8">
      <w:pPr>
        <w:tabs>
          <w:tab w:val="left" w:pos="851"/>
        </w:tabs>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46CF8" w:rsidRPr="00C84483" w:rsidRDefault="00246CF8" w:rsidP="00246CF8">
      <w:pPr>
        <w:tabs>
          <w:tab w:val="left" w:pos="851"/>
        </w:tabs>
        <w:rPr>
          <w:b/>
          <w:sz w:val="24"/>
          <w:szCs w:val="24"/>
        </w:rPr>
      </w:pPr>
    </w:p>
    <w:p w:rsidR="00246CF8" w:rsidRPr="009F7218" w:rsidRDefault="00246CF8" w:rsidP="009F7218">
      <w:pPr>
        <w:tabs>
          <w:tab w:val="left" w:pos="851"/>
        </w:tabs>
        <w:ind w:left="851" w:hanging="851"/>
        <w:rPr>
          <w:b/>
          <w:sz w:val="24"/>
          <w:szCs w:val="24"/>
        </w:rPr>
      </w:pPr>
      <w:r w:rsidRPr="00C84483">
        <w:rPr>
          <w:b/>
          <w:sz w:val="24"/>
          <w:szCs w:val="24"/>
        </w:rPr>
        <w:t>6.1</w:t>
      </w:r>
      <w:r w:rsidRPr="00C84483">
        <w:rPr>
          <w:b/>
          <w:sz w:val="24"/>
          <w:szCs w:val="24"/>
        </w:rPr>
        <w:tab/>
        <w:t>Hjælpestoffer</w:t>
      </w:r>
    </w:p>
    <w:p w:rsidR="00246CF8" w:rsidRPr="00DD4EBB" w:rsidRDefault="00246CF8" w:rsidP="00246CF8">
      <w:pPr>
        <w:tabs>
          <w:tab w:val="left" w:pos="851"/>
        </w:tabs>
        <w:ind w:left="851"/>
        <w:rPr>
          <w:sz w:val="24"/>
          <w:szCs w:val="24"/>
          <w:u w:val="single"/>
          <w:lang w:eastAsia="da-DK"/>
        </w:rPr>
      </w:pPr>
      <w:r w:rsidRPr="00DD4EBB">
        <w:rPr>
          <w:sz w:val="24"/>
          <w:szCs w:val="24"/>
          <w:u w:val="single"/>
          <w:lang w:eastAsia="da-DK"/>
        </w:rPr>
        <w:t>Tabletkerne</w:t>
      </w:r>
    </w:p>
    <w:p w:rsidR="00246CF8" w:rsidRPr="00DD4EBB" w:rsidRDefault="00246CF8" w:rsidP="00246CF8">
      <w:pPr>
        <w:tabs>
          <w:tab w:val="left" w:pos="851"/>
        </w:tabs>
        <w:ind w:left="851"/>
        <w:rPr>
          <w:sz w:val="24"/>
          <w:szCs w:val="24"/>
          <w:lang w:eastAsia="da-DK"/>
        </w:rPr>
      </w:pPr>
      <w:r w:rsidRPr="00DD4EBB">
        <w:rPr>
          <w:sz w:val="24"/>
          <w:szCs w:val="24"/>
          <w:lang w:eastAsia="da-DK"/>
        </w:rPr>
        <w:t>Majsstivelse</w:t>
      </w:r>
    </w:p>
    <w:p w:rsidR="00246CF8" w:rsidRPr="00DD4EBB" w:rsidRDefault="00246CF8" w:rsidP="00246CF8">
      <w:pPr>
        <w:tabs>
          <w:tab w:val="left" w:pos="851"/>
        </w:tabs>
        <w:ind w:left="851"/>
        <w:rPr>
          <w:sz w:val="24"/>
          <w:szCs w:val="24"/>
          <w:lang w:eastAsia="da-DK"/>
        </w:rPr>
      </w:pPr>
      <w:r w:rsidRPr="00DD4EBB">
        <w:rPr>
          <w:sz w:val="24"/>
          <w:szCs w:val="24"/>
          <w:lang w:eastAsia="da-DK"/>
        </w:rPr>
        <w:t>Stivelse, prægelatiniseret</w:t>
      </w:r>
    </w:p>
    <w:p w:rsidR="00246CF8" w:rsidRPr="00DD4EBB" w:rsidRDefault="00246CF8" w:rsidP="00246CF8">
      <w:pPr>
        <w:tabs>
          <w:tab w:val="left" w:pos="851"/>
        </w:tabs>
        <w:ind w:left="851"/>
        <w:rPr>
          <w:sz w:val="24"/>
          <w:szCs w:val="24"/>
          <w:lang w:eastAsia="da-DK"/>
        </w:rPr>
      </w:pPr>
      <w:r w:rsidRPr="00DD4EBB">
        <w:rPr>
          <w:sz w:val="24"/>
          <w:szCs w:val="24"/>
          <w:lang w:eastAsia="da-DK"/>
        </w:rPr>
        <w:t>Cellulose, mikrokrystallinsk</w:t>
      </w:r>
    </w:p>
    <w:p w:rsidR="00246CF8" w:rsidRPr="00DD4EBB" w:rsidRDefault="00246CF8" w:rsidP="00246CF8">
      <w:pPr>
        <w:tabs>
          <w:tab w:val="left" w:pos="851"/>
        </w:tabs>
        <w:ind w:left="851"/>
        <w:rPr>
          <w:sz w:val="24"/>
          <w:szCs w:val="24"/>
          <w:lang w:eastAsia="da-DK"/>
        </w:rPr>
      </w:pPr>
      <w:r w:rsidRPr="00DD4EBB">
        <w:rPr>
          <w:sz w:val="24"/>
          <w:szCs w:val="24"/>
          <w:lang w:eastAsia="da-DK"/>
        </w:rPr>
        <w:t>Silica, kolloid vandfri</w:t>
      </w:r>
    </w:p>
    <w:p w:rsidR="00246CF8" w:rsidRPr="00DD4EBB" w:rsidRDefault="00246CF8" w:rsidP="00246CF8">
      <w:pPr>
        <w:tabs>
          <w:tab w:val="left" w:pos="851"/>
        </w:tabs>
        <w:ind w:left="851"/>
        <w:rPr>
          <w:sz w:val="24"/>
          <w:szCs w:val="24"/>
          <w:lang w:eastAsia="da-DK"/>
        </w:rPr>
      </w:pPr>
      <w:r w:rsidRPr="00DD4EBB">
        <w:rPr>
          <w:sz w:val="24"/>
          <w:szCs w:val="24"/>
          <w:lang w:eastAsia="da-DK"/>
        </w:rPr>
        <w:t>Stearinsyre</w:t>
      </w:r>
    </w:p>
    <w:p w:rsidR="00246CF8" w:rsidRPr="00DD4EBB" w:rsidRDefault="00246CF8" w:rsidP="00246CF8">
      <w:pPr>
        <w:tabs>
          <w:tab w:val="left" w:pos="851"/>
        </w:tabs>
        <w:ind w:left="851"/>
        <w:rPr>
          <w:sz w:val="24"/>
          <w:szCs w:val="24"/>
          <w:lang w:eastAsia="da-DK"/>
        </w:rPr>
      </w:pPr>
    </w:p>
    <w:p w:rsidR="00246CF8" w:rsidRPr="00DD4EBB" w:rsidRDefault="00246CF8" w:rsidP="00246CF8">
      <w:pPr>
        <w:tabs>
          <w:tab w:val="left" w:pos="851"/>
        </w:tabs>
        <w:ind w:left="851"/>
        <w:rPr>
          <w:sz w:val="24"/>
          <w:szCs w:val="24"/>
          <w:u w:val="single"/>
          <w:lang w:eastAsia="da-DK"/>
        </w:rPr>
      </w:pPr>
      <w:r w:rsidRPr="00DD4EBB">
        <w:rPr>
          <w:sz w:val="24"/>
          <w:szCs w:val="24"/>
          <w:u w:val="single"/>
          <w:lang w:eastAsia="da-DK"/>
        </w:rPr>
        <w:t>Filmovertræk</w:t>
      </w:r>
    </w:p>
    <w:p w:rsidR="00246CF8" w:rsidRPr="00DD4EBB" w:rsidRDefault="00246CF8" w:rsidP="00246CF8">
      <w:pPr>
        <w:tabs>
          <w:tab w:val="left" w:pos="851"/>
        </w:tabs>
        <w:ind w:left="851"/>
        <w:rPr>
          <w:sz w:val="24"/>
          <w:szCs w:val="24"/>
          <w:lang w:eastAsia="da-DK"/>
        </w:rPr>
      </w:pPr>
      <w:r w:rsidRPr="00DD4EBB">
        <w:rPr>
          <w:sz w:val="24"/>
          <w:szCs w:val="24"/>
          <w:lang w:eastAsia="da-DK"/>
        </w:rPr>
        <w:t>Hypromellose</w:t>
      </w:r>
    </w:p>
    <w:p w:rsidR="00246CF8" w:rsidRPr="00DD4EBB" w:rsidRDefault="00246CF8" w:rsidP="00246CF8">
      <w:pPr>
        <w:tabs>
          <w:tab w:val="left" w:pos="851"/>
        </w:tabs>
        <w:ind w:left="851"/>
        <w:rPr>
          <w:sz w:val="24"/>
          <w:szCs w:val="24"/>
          <w:lang w:eastAsia="da-DK"/>
        </w:rPr>
      </w:pPr>
      <w:r w:rsidRPr="00DD4EBB">
        <w:rPr>
          <w:sz w:val="24"/>
          <w:szCs w:val="24"/>
          <w:lang w:eastAsia="da-DK"/>
        </w:rPr>
        <w:t>Macrogol</w:t>
      </w:r>
    </w:p>
    <w:p w:rsidR="00246CF8" w:rsidRPr="00DD4EBB" w:rsidRDefault="00246CF8" w:rsidP="00246CF8">
      <w:pPr>
        <w:keepNext/>
        <w:tabs>
          <w:tab w:val="left" w:pos="851"/>
        </w:tabs>
        <w:ind w:left="851"/>
        <w:rPr>
          <w:sz w:val="24"/>
          <w:szCs w:val="24"/>
          <w:lang w:eastAsia="da-DK"/>
        </w:rPr>
      </w:pPr>
      <w:r w:rsidRPr="00DD4EBB">
        <w:rPr>
          <w:sz w:val="24"/>
          <w:szCs w:val="24"/>
          <w:lang w:eastAsia="da-DK"/>
        </w:rPr>
        <w:t>Titandioxid (E171)</w:t>
      </w:r>
    </w:p>
    <w:p w:rsidR="00246CF8" w:rsidRPr="00C84483" w:rsidRDefault="00246CF8" w:rsidP="00246CF8">
      <w:pPr>
        <w:tabs>
          <w:tab w:val="left" w:pos="851"/>
        </w:tabs>
        <w:ind w:left="851"/>
        <w:rPr>
          <w:sz w:val="24"/>
          <w:szCs w:val="24"/>
          <w:lang w:eastAsia="da-DK"/>
        </w:rPr>
      </w:pPr>
      <w:r w:rsidRPr="00DD4EBB">
        <w:rPr>
          <w:sz w:val="24"/>
          <w:szCs w:val="24"/>
          <w:lang w:eastAsia="da-DK"/>
        </w:rPr>
        <w:t>Talcum</w:t>
      </w:r>
    </w:p>
    <w:p w:rsidR="00246CF8" w:rsidRPr="00C84483" w:rsidRDefault="00246CF8" w:rsidP="00246CF8">
      <w:pPr>
        <w:tabs>
          <w:tab w:val="left" w:pos="851"/>
        </w:tabs>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6.2</w:t>
      </w:r>
      <w:r w:rsidRPr="00C84483">
        <w:rPr>
          <w:b/>
          <w:sz w:val="24"/>
          <w:szCs w:val="24"/>
        </w:rPr>
        <w:tab/>
        <w:t>Uforligeligheder</w:t>
      </w:r>
    </w:p>
    <w:p w:rsidR="00246CF8" w:rsidRPr="00C84483" w:rsidRDefault="00246CF8" w:rsidP="00246CF8">
      <w:pPr>
        <w:tabs>
          <w:tab w:val="left" w:pos="851"/>
        </w:tabs>
        <w:ind w:left="851"/>
        <w:jc w:val="both"/>
        <w:rPr>
          <w:sz w:val="24"/>
          <w:szCs w:val="24"/>
          <w:lang w:eastAsia="da-DK"/>
        </w:rPr>
      </w:pPr>
      <w:r w:rsidRPr="00DD4EBB">
        <w:rPr>
          <w:sz w:val="24"/>
          <w:szCs w:val="24"/>
          <w:lang w:eastAsia="da-DK"/>
        </w:rPr>
        <w:t>Ikke relevant.</w:t>
      </w:r>
    </w:p>
    <w:p w:rsidR="00246CF8" w:rsidRPr="00C84483" w:rsidRDefault="00246CF8" w:rsidP="00246CF8">
      <w:pPr>
        <w:tabs>
          <w:tab w:val="left" w:pos="851"/>
        </w:tabs>
        <w:rPr>
          <w:sz w:val="24"/>
          <w:szCs w:val="24"/>
        </w:rPr>
      </w:pPr>
    </w:p>
    <w:p w:rsidR="00246CF8" w:rsidRPr="00C84483" w:rsidRDefault="00246CF8" w:rsidP="009F7218">
      <w:pPr>
        <w:keepNext/>
        <w:tabs>
          <w:tab w:val="left" w:pos="851"/>
        </w:tabs>
        <w:ind w:left="851" w:hanging="851"/>
        <w:rPr>
          <w:b/>
          <w:sz w:val="24"/>
          <w:szCs w:val="24"/>
        </w:rPr>
      </w:pPr>
      <w:r w:rsidRPr="00C84483">
        <w:rPr>
          <w:b/>
          <w:sz w:val="24"/>
          <w:szCs w:val="24"/>
        </w:rPr>
        <w:t>6.3</w:t>
      </w:r>
      <w:r w:rsidRPr="00C84483">
        <w:rPr>
          <w:b/>
          <w:sz w:val="24"/>
          <w:szCs w:val="24"/>
        </w:rPr>
        <w:tab/>
        <w:t>Opbevaringstid</w:t>
      </w:r>
    </w:p>
    <w:p w:rsidR="00246CF8" w:rsidRPr="00C84483" w:rsidRDefault="00246CF8" w:rsidP="00246CF8">
      <w:pPr>
        <w:tabs>
          <w:tab w:val="left" w:pos="851"/>
        </w:tabs>
        <w:ind w:left="851"/>
        <w:jc w:val="both"/>
        <w:rPr>
          <w:sz w:val="24"/>
          <w:szCs w:val="24"/>
          <w:lang w:eastAsia="da-DK"/>
        </w:rPr>
      </w:pPr>
      <w:r w:rsidRPr="00DD4EBB">
        <w:rPr>
          <w:sz w:val="24"/>
          <w:szCs w:val="24"/>
          <w:lang w:eastAsia="da-DK"/>
        </w:rPr>
        <w:t>4 år.</w:t>
      </w:r>
    </w:p>
    <w:p w:rsidR="00246CF8" w:rsidRPr="00C84483" w:rsidRDefault="00246CF8" w:rsidP="00246CF8">
      <w:pPr>
        <w:tabs>
          <w:tab w:val="left" w:pos="851"/>
        </w:tabs>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46CF8" w:rsidRPr="00C84483" w:rsidRDefault="00246CF8" w:rsidP="00246CF8">
      <w:pPr>
        <w:tabs>
          <w:tab w:val="left" w:pos="851"/>
        </w:tabs>
        <w:ind w:left="851"/>
        <w:jc w:val="both"/>
        <w:rPr>
          <w:sz w:val="24"/>
          <w:szCs w:val="24"/>
          <w:lang w:eastAsia="da-DK"/>
        </w:rPr>
      </w:pPr>
      <w:r w:rsidRPr="00DD4EBB">
        <w:rPr>
          <w:sz w:val="24"/>
          <w:szCs w:val="24"/>
          <w:lang w:eastAsia="da-DK"/>
        </w:rPr>
        <w:t>Dette lægemiddel kræver ingen særlige forholdsregler vedrørende opbevaringen.</w:t>
      </w:r>
    </w:p>
    <w:p w:rsidR="00246CF8" w:rsidRPr="00C84483" w:rsidRDefault="00246CF8" w:rsidP="00246CF8">
      <w:pPr>
        <w:tabs>
          <w:tab w:val="left" w:pos="851"/>
        </w:tabs>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246CF8" w:rsidRPr="00DD4EBB" w:rsidRDefault="00246CF8" w:rsidP="00246CF8">
      <w:pPr>
        <w:tabs>
          <w:tab w:val="left" w:pos="851"/>
        </w:tabs>
        <w:ind w:left="851"/>
        <w:jc w:val="both"/>
        <w:rPr>
          <w:sz w:val="24"/>
          <w:szCs w:val="24"/>
          <w:lang w:eastAsia="da-DK"/>
        </w:rPr>
      </w:pPr>
      <w:r w:rsidRPr="00DD4EBB">
        <w:rPr>
          <w:sz w:val="24"/>
          <w:szCs w:val="24"/>
          <w:lang w:eastAsia="da-DK"/>
        </w:rPr>
        <w:t>PVC/aluminiumsblister med transparent PVDC coating.</w:t>
      </w:r>
    </w:p>
    <w:p w:rsidR="00246CF8" w:rsidRPr="00DD4EBB" w:rsidRDefault="00246CF8" w:rsidP="00246CF8">
      <w:pPr>
        <w:tabs>
          <w:tab w:val="left" w:pos="851"/>
        </w:tabs>
        <w:ind w:left="851"/>
        <w:jc w:val="both"/>
        <w:rPr>
          <w:sz w:val="24"/>
          <w:szCs w:val="24"/>
          <w:lang w:eastAsia="da-DK"/>
        </w:rPr>
      </w:pPr>
    </w:p>
    <w:p w:rsidR="001F722A" w:rsidRDefault="001F722A" w:rsidP="001F722A">
      <w:pPr>
        <w:tabs>
          <w:tab w:val="left" w:pos="851"/>
        </w:tabs>
        <w:ind w:left="851"/>
        <w:jc w:val="both"/>
        <w:rPr>
          <w:sz w:val="24"/>
          <w:szCs w:val="24"/>
          <w:lang w:eastAsia="da-DK"/>
        </w:rPr>
      </w:pPr>
      <w:r>
        <w:rPr>
          <w:sz w:val="24"/>
          <w:szCs w:val="24"/>
          <w:lang w:eastAsia="da-DK"/>
        </w:rPr>
        <w:t>Pakningsstørrelser: 20, 30, 40, 50, 100 stk.</w:t>
      </w:r>
    </w:p>
    <w:p w:rsidR="00246CF8" w:rsidRPr="00C84483" w:rsidRDefault="00246CF8" w:rsidP="00246CF8">
      <w:pPr>
        <w:tabs>
          <w:tab w:val="left" w:pos="851"/>
        </w:tabs>
        <w:ind w:left="851"/>
        <w:jc w:val="both"/>
        <w:rPr>
          <w:sz w:val="24"/>
          <w:szCs w:val="24"/>
          <w:lang w:eastAsia="da-DK"/>
        </w:rPr>
      </w:pPr>
      <w:r w:rsidRPr="00DD4EBB">
        <w:rPr>
          <w:sz w:val="24"/>
          <w:szCs w:val="24"/>
          <w:lang w:eastAsia="da-DK"/>
        </w:rPr>
        <w:t>Ikke alle pakningsstørrelser er nødvendigvis markedsført.</w:t>
      </w:r>
    </w:p>
    <w:p w:rsidR="00246CF8" w:rsidRPr="00C84483" w:rsidRDefault="00246CF8" w:rsidP="00246CF8">
      <w:pPr>
        <w:tabs>
          <w:tab w:val="left" w:pos="851"/>
        </w:tabs>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46CF8" w:rsidRPr="00DD4EBB" w:rsidRDefault="00246CF8" w:rsidP="00246CF8">
      <w:pPr>
        <w:tabs>
          <w:tab w:val="left" w:pos="851"/>
        </w:tabs>
        <w:ind w:left="851"/>
        <w:jc w:val="both"/>
        <w:rPr>
          <w:sz w:val="24"/>
          <w:szCs w:val="24"/>
          <w:lang w:eastAsia="da-DK"/>
        </w:rPr>
      </w:pPr>
      <w:r w:rsidRPr="00DD4EBB">
        <w:rPr>
          <w:sz w:val="24"/>
          <w:szCs w:val="24"/>
          <w:lang w:eastAsia="da-DK"/>
        </w:rPr>
        <w:t>Ingen særlige forholdsregler.</w:t>
      </w:r>
    </w:p>
    <w:p w:rsidR="00246CF8" w:rsidRPr="00DD4EBB" w:rsidRDefault="00246CF8" w:rsidP="00246CF8">
      <w:pPr>
        <w:tabs>
          <w:tab w:val="left" w:pos="851"/>
        </w:tabs>
        <w:ind w:left="851"/>
        <w:jc w:val="both"/>
        <w:rPr>
          <w:sz w:val="24"/>
          <w:szCs w:val="24"/>
          <w:lang w:eastAsia="da-DK"/>
        </w:rPr>
      </w:pPr>
    </w:p>
    <w:p w:rsidR="00246CF8" w:rsidRPr="00C84483" w:rsidRDefault="00246CF8" w:rsidP="00246CF8">
      <w:pPr>
        <w:tabs>
          <w:tab w:val="left" w:pos="851"/>
        </w:tabs>
        <w:ind w:left="851"/>
        <w:jc w:val="both"/>
        <w:rPr>
          <w:sz w:val="24"/>
          <w:szCs w:val="24"/>
          <w:lang w:eastAsia="da-DK"/>
        </w:rPr>
      </w:pPr>
      <w:r w:rsidRPr="00DD4EBB">
        <w:rPr>
          <w:sz w:val="24"/>
          <w:szCs w:val="24"/>
          <w:lang w:eastAsia="da-DK"/>
        </w:rPr>
        <w:t>Ikke anvendt lægemiddel samt affald heraf skal bortskaffes i henhold til lokale retningslinjer.</w:t>
      </w:r>
    </w:p>
    <w:p w:rsidR="00246CF8" w:rsidRPr="00C84483" w:rsidRDefault="00246CF8" w:rsidP="00246CF8">
      <w:pPr>
        <w:tabs>
          <w:tab w:val="left" w:pos="851"/>
        </w:tabs>
        <w:jc w:val="both"/>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46CF8" w:rsidRPr="0077481B" w:rsidRDefault="00246CF8" w:rsidP="00246CF8">
      <w:pPr>
        <w:tabs>
          <w:tab w:val="left" w:pos="0"/>
          <w:tab w:val="left" w:pos="851"/>
          <w:tab w:val="left" w:pos="3227"/>
        </w:tabs>
        <w:ind w:left="851"/>
        <w:jc w:val="both"/>
        <w:rPr>
          <w:sz w:val="24"/>
          <w:szCs w:val="24"/>
          <w:lang w:eastAsia="da-DK"/>
        </w:rPr>
      </w:pPr>
      <w:r w:rsidRPr="0077481B">
        <w:rPr>
          <w:sz w:val="24"/>
          <w:szCs w:val="24"/>
          <w:lang w:eastAsia="da-DK"/>
        </w:rPr>
        <w:t>Orion Corporation</w:t>
      </w:r>
    </w:p>
    <w:p w:rsidR="00246CF8" w:rsidRPr="0077481B" w:rsidRDefault="00246CF8" w:rsidP="00246CF8">
      <w:pPr>
        <w:tabs>
          <w:tab w:val="left" w:pos="0"/>
          <w:tab w:val="left" w:pos="851"/>
          <w:tab w:val="left" w:pos="3227"/>
        </w:tabs>
        <w:ind w:left="851"/>
        <w:jc w:val="both"/>
        <w:rPr>
          <w:sz w:val="24"/>
          <w:szCs w:val="24"/>
          <w:lang w:eastAsia="da-DK"/>
        </w:rPr>
      </w:pPr>
      <w:r w:rsidRPr="0077481B">
        <w:rPr>
          <w:sz w:val="24"/>
          <w:szCs w:val="24"/>
          <w:lang w:eastAsia="da-DK"/>
        </w:rPr>
        <w:t>Orionintie 1</w:t>
      </w:r>
    </w:p>
    <w:p w:rsidR="00246CF8" w:rsidRPr="00DD4EBB" w:rsidRDefault="00246CF8" w:rsidP="00246CF8">
      <w:pPr>
        <w:tabs>
          <w:tab w:val="left" w:pos="0"/>
          <w:tab w:val="left" w:pos="851"/>
          <w:tab w:val="left" w:pos="3227"/>
        </w:tabs>
        <w:ind w:left="851"/>
        <w:jc w:val="both"/>
        <w:rPr>
          <w:sz w:val="24"/>
          <w:szCs w:val="24"/>
          <w:lang w:val="en-US" w:eastAsia="da-DK"/>
        </w:rPr>
      </w:pPr>
      <w:r w:rsidRPr="00DD4EBB">
        <w:rPr>
          <w:sz w:val="24"/>
          <w:szCs w:val="24"/>
          <w:lang w:val="en-US" w:eastAsia="da-DK"/>
        </w:rPr>
        <w:t>FI-02200 Espoo</w:t>
      </w:r>
    </w:p>
    <w:p w:rsidR="00246CF8" w:rsidRPr="00DD4EBB" w:rsidRDefault="00246CF8" w:rsidP="00246CF8">
      <w:pPr>
        <w:tabs>
          <w:tab w:val="left" w:pos="0"/>
          <w:tab w:val="left" w:pos="851"/>
          <w:tab w:val="left" w:pos="3227"/>
        </w:tabs>
        <w:ind w:left="851"/>
        <w:jc w:val="both"/>
        <w:rPr>
          <w:sz w:val="24"/>
          <w:szCs w:val="24"/>
          <w:lang w:val="en-US" w:eastAsia="da-DK"/>
        </w:rPr>
      </w:pPr>
      <w:r w:rsidRPr="00DD4EBB">
        <w:rPr>
          <w:sz w:val="24"/>
          <w:szCs w:val="24"/>
          <w:lang w:val="en-US" w:eastAsia="da-DK"/>
        </w:rPr>
        <w:t>Finland</w:t>
      </w:r>
    </w:p>
    <w:p w:rsidR="00246CF8" w:rsidRPr="00DD4EBB" w:rsidRDefault="00246CF8" w:rsidP="00246CF8">
      <w:pPr>
        <w:tabs>
          <w:tab w:val="left" w:pos="0"/>
          <w:tab w:val="left" w:pos="851"/>
          <w:tab w:val="left" w:pos="3227"/>
        </w:tabs>
        <w:ind w:left="851"/>
        <w:jc w:val="both"/>
        <w:rPr>
          <w:sz w:val="24"/>
          <w:szCs w:val="24"/>
          <w:lang w:val="en-US" w:eastAsia="da-DK"/>
        </w:rPr>
      </w:pPr>
    </w:p>
    <w:p w:rsidR="00246CF8" w:rsidRPr="00DD4EBB" w:rsidRDefault="00246CF8" w:rsidP="00246CF8">
      <w:pPr>
        <w:tabs>
          <w:tab w:val="left" w:pos="0"/>
          <w:tab w:val="left" w:pos="851"/>
          <w:tab w:val="left" w:pos="3227"/>
        </w:tabs>
        <w:ind w:left="851"/>
        <w:jc w:val="both"/>
        <w:rPr>
          <w:b/>
          <w:sz w:val="24"/>
          <w:szCs w:val="24"/>
          <w:lang w:val="en-US" w:eastAsia="da-DK"/>
        </w:rPr>
      </w:pPr>
      <w:r w:rsidRPr="00DD4EBB">
        <w:rPr>
          <w:b/>
          <w:sz w:val="24"/>
          <w:szCs w:val="24"/>
          <w:lang w:val="en-US" w:eastAsia="da-DK"/>
        </w:rPr>
        <w:t>Repræsentant</w:t>
      </w:r>
    </w:p>
    <w:p w:rsidR="00246CF8" w:rsidRPr="00DD4EBB" w:rsidRDefault="00246CF8" w:rsidP="00246CF8">
      <w:pPr>
        <w:tabs>
          <w:tab w:val="left" w:pos="0"/>
          <w:tab w:val="left" w:pos="851"/>
          <w:tab w:val="left" w:pos="3227"/>
        </w:tabs>
        <w:ind w:left="851"/>
        <w:jc w:val="both"/>
        <w:rPr>
          <w:sz w:val="24"/>
          <w:szCs w:val="24"/>
          <w:lang w:val="en-US" w:eastAsia="da-DK"/>
        </w:rPr>
      </w:pPr>
      <w:r w:rsidRPr="00DD4EBB">
        <w:rPr>
          <w:sz w:val="24"/>
          <w:szCs w:val="24"/>
          <w:lang w:val="en-US" w:eastAsia="da-DK"/>
        </w:rPr>
        <w:t>Orion Pharma A/S</w:t>
      </w:r>
    </w:p>
    <w:p w:rsidR="00246CF8" w:rsidRPr="00A27F93" w:rsidRDefault="00246CF8" w:rsidP="00246CF8">
      <w:pPr>
        <w:tabs>
          <w:tab w:val="left" w:pos="0"/>
          <w:tab w:val="left" w:pos="851"/>
          <w:tab w:val="left" w:pos="3227"/>
        </w:tabs>
        <w:ind w:left="851"/>
        <w:jc w:val="both"/>
        <w:rPr>
          <w:sz w:val="24"/>
          <w:szCs w:val="24"/>
          <w:lang w:eastAsia="da-DK"/>
        </w:rPr>
      </w:pPr>
      <w:r w:rsidRPr="00A27F93">
        <w:rPr>
          <w:sz w:val="24"/>
          <w:szCs w:val="24"/>
          <w:lang w:eastAsia="da-DK"/>
        </w:rPr>
        <w:t>Ørestads Boulevard 73</w:t>
      </w:r>
    </w:p>
    <w:p w:rsidR="00246CF8" w:rsidRPr="00DD4EBB" w:rsidRDefault="00246CF8" w:rsidP="00246CF8">
      <w:pPr>
        <w:tabs>
          <w:tab w:val="left" w:pos="0"/>
          <w:tab w:val="left" w:pos="851"/>
          <w:tab w:val="left" w:pos="3227"/>
        </w:tabs>
        <w:ind w:left="851"/>
        <w:jc w:val="both"/>
        <w:rPr>
          <w:sz w:val="24"/>
          <w:szCs w:val="24"/>
          <w:lang w:eastAsia="da-DK"/>
        </w:rPr>
      </w:pPr>
      <w:r w:rsidRPr="00A27F93">
        <w:rPr>
          <w:sz w:val="24"/>
          <w:szCs w:val="24"/>
          <w:lang w:eastAsia="da-DK"/>
        </w:rPr>
        <w:t>2300 København S</w:t>
      </w:r>
    </w:p>
    <w:p w:rsidR="00246CF8" w:rsidRPr="00DD4EBB" w:rsidRDefault="00246CF8" w:rsidP="00246CF8">
      <w:pPr>
        <w:tabs>
          <w:tab w:val="left" w:pos="851"/>
        </w:tabs>
        <w:ind w:left="851"/>
        <w:jc w:val="both"/>
        <w:rPr>
          <w:sz w:val="24"/>
          <w:szCs w:val="24"/>
          <w:lang w:eastAsia="da-DK"/>
        </w:rPr>
      </w:pPr>
    </w:p>
    <w:p w:rsidR="00246CF8" w:rsidRPr="00C84483" w:rsidRDefault="00246CF8" w:rsidP="00246CF8">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246CF8" w:rsidRPr="00C84483" w:rsidRDefault="00246CF8" w:rsidP="00246CF8">
      <w:pPr>
        <w:tabs>
          <w:tab w:val="left" w:pos="851"/>
        </w:tabs>
        <w:ind w:left="851" w:hanging="851"/>
        <w:rPr>
          <w:sz w:val="24"/>
          <w:szCs w:val="24"/>
        </w:rPr>
      </w:pPr>
      <w:r w:rsidRPr="00C84483">
        <w:rPr>
          <w:sz w:val="24"/>
          <w:szCs w:val="24"/>
        </w:rPr>
        <w:tab/>
      </w:r>
      <w:r>
        <w:rPr>
          <w:sz w:val="24"/>
          <w:szCs w:val="24"/>
        </w:rPr>
        <w:t>54628</w:t>
      </w:r>
    </w:p>
    <w:p w:rsidR="00246CF8" w:rsidRPr="00C84483" w:rsidRDefault="00246CF8" w:rsidP="00246CF8">
      <w:pPr>
        <w:tabs>
          <w:tab w:val="left" w:pos="851"/>
        </w:tabs>
        <w:jc w:val="both"/>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46CF8" w:rsidRPr="00C84483" w:rsidRDefault="00246CF8" w:rsidP="00246CF8">
      <w:pPr>
        <w:tabs>
          <w:tab w:val="left" w:pos="851"/>
        </w:tabs>
        <w:rPr>
          <w:sz w:val="24"/>
          <w:szCs w:val="24"/>
        </w:rPr>
      </w:pPr>
      <w:r w:rsidRPr="00C84483">
        <w:rPr>
          <w:sz w:val="24"/>
          <w:szCs w:val="24"/>
        </w:rPr>
        <w:tab/>
      </w:r>
      <w:r>
        <w:rPr>
          <w:sz w:val="24"/>
          <w:szCs w:val="24"/>
        </w:rPr>
        <w:t>28. september 2015</w:t>
      </w:r>
    </w:p>
    <w:p w:rsidR="00246CF8" w:rsidRPr="00C84483" w:rsidRDefault="00246CF8" w:rsidP="00246CF8">
      <w:pPr>
        <w:tabs>
          <w:tab w:val="left" w:pos="851"/>
        </w:tabs>
        <w:rPr>
          <w:sz w:val="24"/>
          <w:szCs w:val="24"/>
        </w:rPr>
      </w:pPr>
    </w:p>
    <w:p w:rsidR="00246CF8" w:rsidRPr="00C84483" w:rsidRDefault="00246CF8" w:rsidP="00246CF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46CF8" w:rsidRPr="003C42BE" w:rsidRDefault="00246CF8" w:rsidP="00246CF8">
      <w:pPr>
        <w:tabs>
          <w:tab w:val="left" w:pos="851"/>
        </w:tabs>
        <w:rPr>
          <w:sz w:val="24"/>
          <w:szCs w:val="24"/>
        </w:rPr>
      </w:pPr>
      <w:r w:rsidRPr="003C42BE">
        <w:rPr>
          <w:sz w:val="24"/>
          <w:szCs w:val="24"/>
        </w:rPr>
        <w:tab/>
      </w:r>
      <w:r w:rsidR="001C135C">
        <w:rPr>
          <w:sz w:val="24"/>
          <w:szCs w:val="24"/>
        </w:rPr>
        <w:t>9</w:t>
      </w:r>
      <w:r w:rsidR="001B5640">
        <w:rPr>
          <w:sz w:val="24"/>
          <w:szCs w:val="24"/>
        </w:rPr>
        <w:t>. november 2020</w:t>
      </w:r>
    </w:p>
    <w:p w:rsidR="00246CF8" w:rsidRPr="00894219" w:rsidRDefault="00246CF8" w:rsidP="00246CF8"/>
    <w:p w:rsidR="00246CF8" w:rsidRPr="003E2B11" w:rsidRDefault="00246CF8" w:rsidP="00246CF8"/>
    <w:p w:rsidR="009260DE" w:rsidRPr="00246CF8" w:rsidRDefault="009260DE" w:rsidP="00246CF8"/>
    <w:sectPr w:rsidR="009260DE" w:rsidRPr="00246CF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CF8" w:rsidRDefault="00246CF8">
      <w:r>
        <w:separator/>
      </w:r>
    </w:p>
  </w:endnote>
  <w:endnote w:type="continuationSeparator" w:id="0">
    <w:p w:rsidR="00246CF8" w:rsidRDefault="0024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E0C41">
      <w:rPr>
        <w:i/>
        <w:noProof/>
        <w:sz w:val="18"/>
        <w:szCs w:val="18"/>
      </w:rPr>
      <w:t>Metoclopramide Orion, filmovertrukne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CF8" w:rsidRDefault="00246CF8">
      <w:r>
        <w:separator/>
      </w:r>
    </w:p>
  </w:footnote>
  <w:footnote w:type="continuationSeparator" w:id="0">
    <w:p w:rsidR="00246CF8" w:rsidRDefault="00246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6569E4"/>
    <w:multiLevelType w:val="hybridMultilevel"/>
    <w:tmpl w:val="4192094E"/>
    <w:lvl w:ilvl="0" w:tplc="B3FA1800">
      <w:numFmt w:val="bullet"/>
      <w:lvlText w:val="-"/>
      <w:lvlJc w:val="left"/>
      <w:pPr>
        <w:ind w:left="1211" w:hanging="360"/>
      </w:pPr>
      <w:rPr>
        <w:rFonts w:ascii="Times New Roman" w:eastAsia="Times New Roman" w:hAnsi="Times New Roman" w:hint="default"/>
      </w:rPr>
    </w:lvl>
    <w:lvl w:ilvl="1" w:tplc="04060003" w:tentative="1">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CF8"/>
    <w:rsid w:val="000259B9"/>
    <w:rsid w:val="00041491"/>
    <w:rsid w:val="00050D16"/>
    <w:rsid w:val="00074F2A"/>
    <w:rsid w:val="000A1CA8"/>
    <w:rsid w:val="000A466B"/>
    <w:rsid w:val="000B058C"/>
    <w:rsid w:val="000E4EE6"/>
    <w:rsid w:val="001454E2"/>
    <w:rsid w:val="001B5640"/>
    <w:rsid w:val="001C135C"/>
    <w:rsid w:val="001F722A"/>
    <w:rsid w:val="00206CE8"/>
    <w:rsid w:val="0021526C"/>
    <w:rsid w:val="00246CF8"/>
    <w:rsid w:val="00283A2B"/>
    <w:rsid w:val="002B30AD"/>
    <w:rsid w:val="002C2C01"/>
    <w:rsid w:val="003A29AE"/>
    <w:rsid w:val="003A32D7"/>
    <w:rsid w:val="003B4074"/>
    <w:rsid w:val="003C769A"/>
    <w:rsid w:val="003F1838"/>
    <w:rsid w:val="0040767F"/>
    <w:rsid w:val="0045746C"/>
    <w:rsid w:val="0049104B"/>
    <w:rsid w:val="004E3B12"/>
    <w:rsid w:val="00504987"/>
    <w:rsid w:val="00532310"/>
    <w:rsid w:val="00560ECC"/>
    <w:rsid w:val="00565F0F"/>
    <w:rsid w:val="00594A86"/>
    <w:rsid w:val="00596D86"/>
    <w:rsid w:val="00637F5A"/>
    <w:rsid w:val="006560B1"/>
    <w:rsid w:val="006756DD"/>
    <w:rsid w:val="006A452D"/>
    <w:rsid w:val="00737275"/>
    <w:rsid w:val="00740EEC"/>
    <w:rsid w:val="0078011A"/>
    <w:rsid w:val="00782AF4"/>
    <w:rsid w:val="00790EE7"/>
    <w:rsid w:val="007B6649"/>
    <w:rsid w:val="0081546F"/>
    <w:rsid w:val="0082576E"/>
    <w:rsid w:val="00907F75"/>
    <w:rsid w:val="009260DE"/>
    <w:rsid w:val="0093258A"/>
    <w:rsid w:val="0098791E"/>
    <w:rsid w:val="009C7BA3"/>
    <w:rsid w:val="009D1F5A"/>
    <w:rsid w:val="009E0C41"/>
    <w:rsid w:val="009F7218"/>
    <w:rsid w:val="00AA1963"/>
    <w:rsid w:val="00B003BF"/>
    <w:rsid w:val="00B20505"/>
    <w:rsid w:val="00B373D7"/>
    <w:rsid w:val="00B562BA"/>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70ED7"/>
  <w15:chartTrackingRefBased/>
  <w15:docId w15:val="{7A8FEE8D-9F44-4605-8233-782F5091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246C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5977">
      <w:bodyDiv w:val="1"/>
      <w:marLeft w:val="0"/>
      <w:marRight w:val="0"/>
      <w:marTop w:val="0"/>
      <w:marBottom w:val="0"/>
      <w:divBdr>
        <w:top w:val="none" w:sz="0" w:space="0" w:color="auto"/>
        <w:left w:val="none" w:sz="0" w:space="0" w:color="auto"/>
        <w:bottom w:val="none" w:sz="0" w:space="0" w:color="auto"/>
        <w:right w:val="none" w:sz="0" w:space="0" w:color="auto"/>
      </w:divBdr>
    </w:div>
    <w:div w:id="74207903">
      <w:bodyDiv w:val="1"/>
      <w:marLeft w:val="0"/>
      <w:marRight w:val="0"/>
      <w:marTop w:val="0"/>
      <w:marBottom w:val="0"/>
      <w:divBdr>
        <w:top w:val="none" w:sz="0" w:space="0" w:color="auto"/>
        <w:left w:val="none" w:sz="0" w:space="0" w:color="auto"/>
        <w:bottom w:val="none" w:sz="0" w:space="0" w:color="auto"/>
        <w:right w:val="none" w:sz="0" w:space="0" w:color="auto"/>
      </w:divBdr>
    </w:div>
    <w:div w:id="800322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06508699">
      <w:bodyDiv w:val="1"/>
      <w:marLeft w:val="0"/>
      <w:marRight w:val="0"/>
      <w:marTop w:val="0"/>
      <w:marBottom w:val="0"/>
      <w:divBdr>
        <w:top w:val="none" w:sz="0" w:space="0" w:color="auto"/>
        <w:left w:val="none" w:sz="0" w:space="0" w:color="auto"/>
        <w:bottom w:val="none" w:sz="0" w:space="0" w:color="auto"/>
        <w:right w:val="none" w:sz="0" w:space="0" w:color="auto"/>
      </w:divBdr>
    </w:div>
    <w:div w:id="1215040685">
      <w:bodyDiv w:val="1"/>
      <w:marLeft w:val="0"/>
      <w:marRight w:val="0"/>
      <w:marTop w:val="0"/>
      <w:marBottom w:val="0"/>
      <w:divBdr>
        <w:top w:val="none" w:sz="0" w:space="0" w:color="auto"/>
        <w:left w:val="none" w:sz="0" w:space="0" w:color="auto"/>
        <w:bottom w:val="none" w:sz="0" w:space="0" w:color="auto"/>
        <w:right w:val="none" w:sz="0" w:space="0" w:color="auto"/>
      </w:divBdr>
    </w:div>
    <w:div w:id="1315911162">
      <w:bodyDiv w:val="1"/>
      <w:marLeft w:val="0"/>
      <w:marRight w:val="0"/>
      <w:marTop w:val="0"/>
      <w:marBottom w:val="0"/>
      <w:divBdr>
        <w:top w:val="none" w:sz="0" w:space="0" w:color="auto"/>
        <w:left w:val="none" w:sz="0" w:space="0" w:color="auto"/>
        <w:bottom w:val="none" w:sz="0" w:space="0" w:color="auto"/>
        <w:right w:val="none" w:sz="0" w:space="0" w:color="auto"/>
      </w:divBdr>
    </w:div>
    <w:div w:id="1382317286">
      <w:bodyDiv w:val="1"/>
      <w:marLeft w:val="0"/>
      <w:marRight w:val="0"/>
      <w:marTop w:val="0"/>
      <w:marBottom w:val="0"/>
      <w:divBdr>
        <w:top w:val="none" w:sz="0" w:space="0" w:color="auto"/>
        <w:left w:val="none" w:sz="0" w:space="0" w:color="auto"/>
        <w:bottom w:val="none" w:sz="0" w:space="0" w:color="auto"/>
        <w:right w:val="none" w:sz="0" w:space="0" w:color="auto"/>
      </w:divBdr>
    </w:div>
    <w:div w:id="1515071488">
      <w:bodyDiv w:val="1"/>
      <w:marLeft w:val="0"/>
      <w:marRight w:val="0"/>
      <w:marTop w:val="0"/>
      <w:marBottom w:val="0"/>
      <w:divBdr>
        <w:top w:val="none" w:sz="0" w:space="0" w:color="auto"/>
        <w:left w:val="none" w:sz="0" w:space="0" w:color="auto"/>
        <w:bottom w:val="none" w:sz="0" w:space="0" w:color="auto"/>
        <w:right w:val="none" w:sz="0" w:space="0" w:color="auto"/>
      </w:divBdr>
    </w:div>
    <w:div w:id="1661541760">
      <w:bodyDiv w:val="1"/>
      <w:marLeft w:val="0"/>
      <w:marRight w:val="0"/>
      <w:marTop w:val="0"/>
      <w:marBottom w:val="0"/>
      <w:divBdr>
        <w:top w:val="none" w:sz="0" w:space="0" w:color="auto"/>
        <w:left w:val="none" w:sz="0" w:space="0" w:color="auto"/>
        <w:bottom w:val="none" w:sz="0" w:space="0" w:color="auto"/>
        <w:right w:val="none" w:sz="0" w:space="0" w:color="auto"/>
      </w:divBdr>
    </w:div>
    <w:div w:id="1701004079">
      <w:bodyDiv w:val="1"/>
      <w:marLeft w:val="0"/>
      <w:marRight w:val="0"/>
      <w:marTop w:val="0"/>
      <w:marBottom w:val="0"/>
      <w:divBdr>
        <w:top w:val="none" w:sz="0" w:space="0" w:color="auto"/>
        <w:left w:val="none" w:sz="0" w:space="0" w:color="auto"/>
        <w:bottom w:val="none" w:sz="0" w:space="0" w:color="auto"/>
        <w:right w:val="none" w:sz="0" w:space="0" w:color="auto"/>
      </w:divBdr>
    </w:div>
    <w:div w:id="1922525307">
      <w:bodyDiv w:val="1"/>
      <w:marLeft w:val="0"/>
      <w:marRight w:val="0"/>
      <w:marTop w:val="0"/>
      <w:marBottom w:val="0"/>
      <w:divBdr>
        <w:top w:val="none" w:sz="0" w:space="0" w:color="auto"/>
        <w:left w:val="none" w:sz="0" w:space="0" w:color="auto"/>
        <w:bottom w:val="none" w:sz="0" w:space="0" w:color="auto"/>
        <w:right w:val="none" w:sz="0" w:space="0" w:color="auto"/>
      </w:divBdr>
    </w:div>
    <w:div w:id="1936940093">
      <w:bodyDiv w:val="1"/>
      <w:marLeft w:val="0"/>
      <w:marRight w:val="0"/>
      <w:marTop w:val="0"/>
      <w:marBottom w:val="0"/>
      <w:divBdr>
        <w:top w:val="none" w:sz="0" w:space="0" w:color="auto"/>
        <w:left w:val="none" w:sz="0" w:space="0" w:color="auto"/>
        <w:bottom w:val="none" w:sz="0" w:space="0" w:color="auto"/>
        <w:right w:val="none" w:sz="0" w:space="0" w:color="auto"/>
      </w:divBdr>
    </w:div>
    <w:div w:id="21167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9</Pages>
  <Words>2293</Words>
  <Characters>13994</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B. Pallesen</dc:creator>
  <cp:keywords/>
  <dc:description>2019113881 SPC pkt. 4.2, 4.6, 4.8, 4.9, 5.0, 5.3</dc:description>
  <cp:lastModifiedBy>Kristine Boysen Pallesen</cp:lastModifiedBy>
  <cp:revision>6</cp:revision>
  <cp:lastPrinted>2012-08-22T08:53:00Z</cp:lastPrinted>
  <dcterms:created xsi:type="dcterms:W3CDTF">2020-11-08T19:14:00Z</dcterms:created>
  <dcterms:modified xsi:type="dcterms:W3CDTF">2020-11-09T09:39:00Z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