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75F" w:rsidRPr="00C84483" w:rsidRDefault="0024075F" w:rsidP="0024075F">
      <w:pPr>
        <w:rPr>
          <w:b/>
          <w:szCs w:val="24"/>
        </w:rPr>
      </w:pPr>
      <w:r w:rsidRPr="009260DE">
        <w:rPr>
          <w:noProof/>
          <w:sz w:val="24"/>
          <w:szCs w:val="24"/>
          <w:lang w:eastAsia="da-DK"/>
        </w:rPr>
        <w:drawing>
          <wp:anchor distT="0" distB="0" distL="114300" distR="114300" simplePos="0" relativeHeight="251659264" behindDoc="0" locked="0" layoutInCell="1" allowOverlap="1" wp14:anchorId="0AD4B6C1" wp14:editId="1D73B4E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24075F" w:rsidRPr="00C84483" w:rsidRDefault="0024075F" w:rsidP="0024075F">
      <w:pPr>
        <w:pStyle w:val="Titel"/>
        <w:tabs>
          <w:tab w:val="right" w:pos="9356"/>
        </w:tabs>
        <w:jc w:val="left"/>
        <w:rPr>
          <w:b w:val="0"/>
          <w:szCs w:val="24"/>
          <w:lang w:eastAsia="en-US"/>
        </w:rPr>
      </w:pPr>
      <w:r w:rsidRPr="00C84483">
        <w:rPr>
          <w:b w:val="0"/>
          <w:szCs w:val="24"/>
          <w:lang w:eastAsia="en-US"/>
        </w:rPr>
        <w:tab/>
      </w:r>
      <w:r w:rsidR="00FE219F">
        <w:rPr>
          <w:szCs w:val="24"/>
        </w:rPr>
        <w:t>2</w:t>
      </w:r>
      <w:r w:rsidR="000B3EBF">
        <w:rPr>
          <w:szCs w:val="24"/>
        </w:rPr>
        <w:t>6</w:t>
      </w:r>
      <w:r w:rsidR="00FE219F">
        <w:rPr>
          <w:szCs w:val="24"/>
        </w:rPr>
        <w:t>. september 2025</w:t>
      </w:r>
    </w:p>
    <w:p w:rsidR="0024075F" w:rsidRDefault="0024075F" w:rsidP="0024075F">
      <w:pPr>
        <w:pStyle w:val="Titel"/>
        <w:jc w:val="left"/>
        <w:rPr>
          <w:b w:val="0"/>
          <w:szCs w:val="24"/>
        </w:rPr>
      </w:pPr>
    </w:p>
    <w:p w:rsidR="00110A15" w:rsidRPr="00C84483" w:rsidRDefault="00110A15" w:rsidP="0024075F">
      <w:pPr>
        <w:pStyle w:val="Titel"/>
        <w:jc w:val="left"/>
        <w:rPr>
          <w:b w:val="0"/>
          <w:szCs w:val="24"/>
        </w:rPr>
      </w:pPr>
    </w:p>
    <w:p w:rsidR="0024075F" w:rsidRPr="00C84483" w:rsidRDefault="0024075F" w:rsidP="0024075F">
      <w:pPr>
        <w:pStyle w:val="Titel"/>
        <w:jc w:val="left"/>
        <w:rPr>
          <w:b w:val="0"/>
          <w:szCs w:val="24"/>
        </w:rPr>
      </w:pPr>
    </w:p>
    <w:p w:rsidR="0024075F" w:rsidRPr="00C84483" w:rsidRDefault="0024075F" w:rsidP="0024075F">
      <w:pPr>
        <w:jc w:val="center"/>
        <w:rPr>
          <w:b/>
          <w:sz w:val="24"/>
          <w:szCs w:val="24"/>
        </w:rPr>
      </w:pPr>
      <w:r w:rsidRPr="00C84483">
        <w:rPr>
          <w:b/>
          <w:sz w:val="24"/>
          <w:szCs w:val="24"/>
        </w:rPr>
        <w:t>PRODUKTRESUMÉ</w:t>
      </w:r>
    </w:p>
    <w:p w:rsidR="0024075F" w:rsidRPr="00C84483" w:rsidRDefault="0024075F" w:rsidP="0024075F">
      <w:pPr>
        <w:jc w:val="center"/>
        <w:rPr>
          <w:b/>
          <w:sz w:val="24"/>
          <w:szCs w:val="24"/>
        </w:rPr>
      </w:pPr>
    </w:p>
    <w:p w:rsidR="0024075F" w:rsidRDefault="0024075F" w:rsidP="0024075F">
      <w:pPr>
        <w:jc w:val="center"/>
        <w:rPr>
          <w:b/>
          <w:sz w:val="24"/>
          <w:szCs w:val="24"/>
        </w:rPr>
      </w:pPr>
      <w:r w:rsidRPr="00C84483">
        <w:rPr>
          <w:b/>
          <w:sz w:val="24"/>
          <w:szCs w:val="24"/>
        </w:rPr>
        <w:t>for</w:t>
      </w:r>
    </w:p>
    <w:p w:rsidR="0024075F" w:rsidRPr="00C84483" w:rsidRDefault="0024075F" w:rsidP="0024075F">
      <w:pPr>
        <w:jc w:val="center"/>
        <w:rPr>
          <w:b/>
          <w:sz w:val="24"/>
          <w:szCs w:val="24"/>
        </w:rPr>
      </w:pPr>
    </w:p>
    <w:p w:rsidR="0024075F" w:rsidRPr="00C84483" w:rsidRDefault="00FE219F" w:rsidP="0024075F">
      <w:pPr>
        <w:jc w:val="center"/>
        <w:rPr>
          <w:b/>
          <w:sz w:val="24"/>
          <w:szCs w:val="24"/>
        </w:rPr>
      </w:pPr>
      <w:proofErr w:type="spellStart"/>
      <w:r>
        <w:rPr>
          <w:b/>
          <w:sz w:val="24"/>
          <w:szCs w:val="24"/>
        </w:rPr>
        <w:t>Metolazone</w:t>
      </w:r>
      <w:proofErr w:type="spellEnd"/>
      <w:r>
        <w:rPr>
          <w:b/>
          <w:sz w:val="24"/>
          <w:szCs w:val="24"/>
        </w:rPr>
        <w:t xml:space="preserve"> </w:t>
      </w:r>
      <w:proofErr w:type="spellStart"/>
      <w:r>
        <w:rPr>
          <w:b/>
          <w:sz w:val="24"/>
          <w:szCs w:val="24"/>
        </w:rPr>
        <w:t>Abcur</w:t>
      </w:r>
      <w:proofErr w:type="spellEnd"/>
      <w:r w:rsidR="0024075F">
        <w:rPr>
          <w:b/>
          <w:sz w:val="24"/>
          <w:szCs w:val="24"/>
        </w:rPr>
        <w:t>, tabletter</w:t>
      </w:r>
      <w:r>
        <w:rPr>
          <w:b/>
          <w:sz w:val="24"/>
          <w:szCs w:val="24"/>
        </w:rPr>
        <w:t xml:space="preserve"> (</w:t>
      </w:r>
      <w:proofErr w:type="spellStart"/>
      <w:r>
        <w:rPr>
          <w:b/>
          <w:sz w:val="24"/>
          <w:szCs w:val="24"/>
        </w:rPr>
        <w:t>Orifarm</w:t>
      </w:r>
      <w:proofErr w:type="spellEnd"/>
      <w:r>
        <w:rPr>
          <w:b/>
          <w:sz w:val="24"/>
          <w:szCs w:val="24"/>
        </w:rPr>
        <w:t>)</w:t>
      </w:r>
    </w:p>
    <w:p w:rsidR="0024075F" w:rsidRPr="00C84483" w:rsidRDefault="0024075F" w:rsidP="0024075F">
      <w:pPr>
        <w:jc w:val="both"/>
        <w:rPr>
          <w:sz w:val="24"/>
          <w:szCs w:val="24"/>
        </w:rPr>
      </w:pPr>
    </w:p>
    <w:p w:rsidR="0024075F" w:rsidRPr="003A4FF3" w:rsidRDefault="0024075F" w:rsidP="0024075F">
      <w:pPr>
        <w:ind w:left="851" w:hanging="851"/>
        <w:jc w:val="both"/>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0.</w:t>
      </w:r>
      <w:r w:rsidRPr="003A4FF3">
        <w:rPr>
          <w:b/>
          <w:sz w:val="24"/>
          <w:szCs w:val="24"/>
        </w:rPr>
        <w:tab/>
        <w:t>D.SP.NR.</w:t>
      </w:r>
    </w:p>
    <w:p w:rsidR="0024075F" w:rsidRPr="003A4FF3" w:rsidRDefault="0024075F" w:rsidP="0024075F">
      <w:pPr>
        <w:tabs>
          <w:tab w:val="left" w:pos="851"/>
        </w:tabs>
        <w:ind w:left="851" w:hanging="851"/>
        <w:rPr>
          <w:sz w:val="24"/>
          <w:szCs w:val="24"/>
        </w:rPr>
      </w:pPr>
      <w:r w:rsidRPr="003A4FF3">
        <w:rPr>
          <w:sz w:val="24"/>
          <w:szCs w:val="24"/>
        </w:rPr>
        <w:tab/>
        <w:t>31423</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1.</w:t>
      </w:r>
      <w:r w:rsidRPr="003A4FF3">
        <w:rPr>
          <w:b/>
          <w:sz w:val="24"/>
          <w:szCs w:val="24"/>
        </w:rPr>
        <w:tab/>
        <w:t>LÆGEMIDLETS NAVN</w:t>
      </w:r>
    </w:p>
    <w:p w:rsidR="0024075F" w:rsidRPr="003A4FF3" w:rsidRDefault="0024075F" w:rsidP="0024075F">
      <w:pPr>
        <w:tabs>
          <w:tab w:val="left" w:pos="851"/>
        </w:tabs>
        <w:ind w:left="851" w:hanging="851"/>
        <w:rPr>
          <w:sz w:val="24"/>
          <w:szCs w:val="24"/>
        </w:rPr>
      </w:pPr>
      <w:r w:rsidRPr="003A4FF3">
        <w:rPr>
          <w:sz w:val="24"/>
          <w:szCs w:val="24"/>
        </w:rPr>
        <w:tab/>
      </w:r>
      <w:proofErr w:type="spellStart"/>
      <w:r w:rsidR="00FE219F">
        <w:rPr>
          <w:sz w:val="24"/>
          <w:szCs w:val="24"/>
        </w:rPr>
        <w:t>Metolazone</w:t>
      </w:r>
      <w:proofErr w:type="spellEnd"/>
      <w:r w:rsidR="00FE219F">
        <w:rPr>
          <w:sz w:val="24"/>
          <w:szCs w:val="24"/>
        </w:rPr>
        <w:t xml:space="preserve"> </w:t>
      </w:r>
      <w:proofErr w:type="spellStart"/>
      <w:r w:rsidR="00FE219F">
        <w:rPr>
          <w:sz w:val="24"/>
          <w:szCs w:val="24"/>
        </w:rPr>
        <w:t>Abcur</w:t>
      </w:r>
      <w:proofErr w:type="spellEnd"/>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2.</w:t>
      </w:r>
      <w:r w:rsidRPr="003A4FF3">
        <w:rPr>
          <w:b/>
          <w:sz w:val="24"/>
          <w:szCs w:val="24"/>
        </w:rPr>
        <w:tab/>
        <w:t>KVALITATIV OG KVANTITATIV SAMMENSÆTNING</w:t>
      </w:r>
    </w:p>
    <w:p w:rsidR="0024075F" w:rsidRPr="003A4FF3" w:rsidRDefault="0024075F" w:rsidP="0024075F">
      <w:pPr>
        <w:ind w:left="851"/>
        <w:rPr>
          <w:sz w:val="24"/>
          <w:szCs w:val="24"/>
        </w:rPr>
      </w:pPr>
      <w:r w:rsidRPr="003A4FF3">
        <w:rPr>
          <w:sz w:val="24"/>
          <w:szCs w:val="24"/>
        </w:rPr>
        <w:t xml:space="preserve">Hver tablet indeholder 5 mg </w:t>
      </w:r>
      <w:proofErr w:type="spellStart"/>
      <w:r>
        <w:rPr>
          <w:sz w:val="24"/>
          <w:szCs w:val="24"/>
        </w:rPr>
        <w:t>metolazone</w:t>
      </w:r>
      <w:proofErr w:type="spellEnd"/>
      <w:r w:rsidRPr="003A4FF3">
        <w:rPr>
          <w:sz w:val="24"/>
          <w:szCs w:val="24"/>
        </w:rPr>
        <w:t xml:space="preserve">. </w:t>
      </w:r>
    </w:p>
    <w:p w:rsidR="0024075F" w:rsidRPr="003A4FF3" w:rsidRDefault="0024075F" w:rsidP="0024075F">
      <w:pPr>
        <w:ind w:left="851"/>
        <w:rPr>
          <w:sz w:val="24"/>
          <w:szCs w:val="24"/>
          <w:u w:val="single"/>
        </w:rPr>
      </w:pPr>
    </w:p>
    <w:p w:rsidR="0024075F" w:rsidRPr="003A4FF3" w:rsidRDefault="0024075F" w:rsidP="0024075F">
      <w:pPr>
        <w:ind w:left="851"/>
        <w:rPr>
          <w:sz w:val="24"/>
          <w:szCs w:val="24"/>
          <w:u w:val="single"/>
        </w:rPr>
      </w:pPr>
      <w:r w:rsidRPr="003A4FF3">
        <w:rPr>
          <w:sz w:val="24"/>
          <w:szCs w:val="24"/>
          <w:u w:val="single"/>
        </w:rPr>
        <w:t>Hjælpestof, som behandleren skal være opmærksom på</w:t>
      </w:r>
    </w:p>
    <w:p w:rsidR="0024075F" w:rsidRPr="003A4FF3" w:rsidRDefault="0024075F" w:rsidP="0024075F">
      <w:pPr>
        <w:ind w:left="851"/>
        <w:rPr>
          <w:sz w:val="24"/>
          <w:szCs w:val="24"/>
        </w:rPr>
      </w:pPr>
      <w:r w:rsidRPr="003A4FF3">
        <w:rPr>
          <w:sz w:val="24"/>
          <w:szCs w:val="24"/>
        </w:rPr>
        <w:t xml:space="preserve">Hver tablet indeholder 53 mg </w:t>
      </w:r>
      <w:proofErr w:type="spellStart"/>
      <w:r w:rsidRPr="003A4FF3">
        <w:rPr>
          <w:sz w:val="24"/>
          <w:szCs w:val="24"/>
        </w:rPr>
        <w:t>lactosemonohydrat</w:t>
      </w:r>
      <w:proofErr w:type="spellEnd"/>
      <w:r w:rsidRPr="003A4FF3">
        <w:rPr>
          <w:sz w:val="24"/>
          <w:szCs w:val="24"/>
        </w:rPr>
        <w:t>.</w:t>
      </w:r>
    </w:p>
    <w:p w:rsidR="0024075F" w:rsidRPr="003A4FF3" w:rsidRDefault="0024075F" w:rsidP="0024075F">
      <w:pPr>
        <w:ind w:left="851"/>
        <w:rPr>
          <w:sz w:val="24"/>
          <w:szCs w:val="24"/>
        </w:rPr>
      </w:pPr>
    </w:p>
    <w:p w:rsidR="0024075F" w:rsidRPr="003A4FF3" w:rsidRDefault="0024075F" w:rsidP="0024075F">
      <w:pPr>
        <w:ind w:left="851"/>
        <w:rPr>
          <w:sz w:val="24"/>
          <w:szCs w:val="24"/>
        </w:rPr>
      </w:pPr>
      <w:r w:rsidRPr="003A4FF3">
        <w:rPr>
          <w:sz w:val="24"/>
          <w:szCs w:val="24"/>
        </w:rPr>
        <w:t>Alle hjælpestoffer er anført under pkt. 6.1.</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3.</w:t>
      </w:r>
      <w:r w:rsidRPr="003A4FF3">
        <w:rPr>
          <w:b/>
          <w:sz w:val="24"/>
          <w:szCs w:val="24"/>
        </w:rPr>
        <w:tab/>
        <w:t>LÆGEMIDDELFORM</w:t>
      </w:r>
    </w:p>
    <w:p w:rsidR="0024075F" w:rsidRPr="003A4FF3" w:rsidRDefault="0024075F" w:rsidP="0024075F">
      <w:pPr>
        <w:tabs>
          <w:tab w:val="left" w:pos="-720"/>
        </w:tabs>
        <w:suppressAutoHyphens/>
        <w:ind w:left="851"/>
        <w:rPr>
          <w:spacing w:val="-3"/>
          <w:sz w:val="24"/>
          <w:szCs w:val="24"/>
        </w:rPr>
      </w:pPr>
      <w:r w:rsidRPr="003A4FF3">
        <w:rPr>
          <w:spacing w:val="-3"/>
          <w:sz w:val="24"/>
          <w:szCs w:val="24"/>
        </w:rPr>
        <w:t>Tabletter</w:t>
      </w:r>
      <w:r w:rsidR="00FE219F">
        <w:rPr>
          <w:spacing w:val="-3"/>
          <w:sz w:val="24"/>
          <w:szCs w:val="24"/>
        </w:rPr>
        <w:t xml:space="preserve"> (</w:t>
      </w:r>
      <w:proofErr w:type="spellStart"/>
      <w:r w:rsidR="00FE219F">
        <w:rPr>
          <w:spacing w:val="-3"/>
          <w:sz w:val="24"/>
          <w:szCs w:val="24"/>
        </w:rPr>
        <w:t>Orifarm</w:t>
      </w:r>
      <w:proofErr w:type="spellEnd"/>
      <w:r w:rsidR="00FE219F">
        <w:rPr>
          <w:spacing w:val="-3"/>
          <w:sz w:val="24"/>
          <w:szCs w:val="24"/>
        </w:rPr>
        <w:t>)</w:t>
      </w:r>
    </w:p>
    <w:p w:rsidR="0024075F" w:rsidRPr="003A4FF3" w:rsidRDefault="0024075F" w:rsidP="0024075F">
      <w:pPr>
        <w:tabs>
          <w:tab w:val="left" w:pos="-720"/>
        </w:tabs>
        <w:suppressAutoHyphens/>
        <w:ind w:left="851"/>
        <w:rPr>
          <w:spacing w:val="-3"/>
          <w:sz w:val="24"/>
          <w:szCs w:val="24"/>
        </w:rPr>
      </w:pPr>
    </w:p>
    <w:p w:rsidR="0024075F" w:rsidRPr="003A4FF3" w:rsidRDefault="0024075F" w:rsidP="0024075F">
      <w:pPr>
        <w:tabs>
          <w:tab w:val="left" w:pos="-720"/>
        </w:tabs>
        <w:suppressAutoHyphens/>
        <w:ind w:left="851"/>
        <w:rPr>
          <w:sz w:val="24"/>
          <w:szCs w:val="24"/>
        </w:rPr>
      </w:pPr>
      <w:r w:rsidRPr="003A4FF3">
        <w:rPr>
          <w:sz w:val="24"/>
          <w:szCs w:val="24"/>
        </w:rPr>
        <w:t>Tabletten kan deles i to lige store doser.</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w:t>
      </w:r>
      <w:r w:rsidRPr="003A4FF3">
        <w:rPr>
          <w:b/>
          <w:sz w:val="24"/>
          <w:szCs w:val="24"/>
        </w:rPr>
        <w:tab/>
        <w:t>KLINISKE OPLYSNINGER</w:t>
      </w:r>
    </w:p>
    <w:p w:rsidR="0024075F" w:rsidRPr="003A4FF3" w:rsidRDefault="0024075F" w:rsidP="0024075F">
      <w:pPr>
        <w:tabs>
          <w:tab w:val="left" w:pos="851"/>
        </w:tabs>
        <w:ind w:left="851" w:hanging="851"/>
        <w:rPr>
          <w:b/>
          <w:sz w:val="24"/>
          <w:szCs w:val="24"/>
        </w:rPr>
      </w:pPr>
    </w:p>
    <w:p w:rsidR="0024075F" w:rsidRPr="003A4FF3" w:rsidRDefault="0024075F" w:rsidP="0024075F">
      <w:pPr>
        <w:tabs>
          <w:tab w:val="left" w:pos="851"/>
        </w:tabs>
        <w:ind w:left="851" w:hanging="851"/>
        <w:rPr>
          <w:b/>
          <w:sz w:val="24"/>
          <w:szCs w:val="24"/>
          <w:u w:val="single"/>
        </w:rPr>
      </w:pPr>
      <w:r w:rsidRPr="003A4FF3">
        <w:rPr>
          <w:b/>
          <w:sz w:val="24"/>
          <w:szCs w:val="24"/>
        </w:rPr>
        <w:t>4.1</w:t>
      </w:r>
      <w:r w:rsidRPr="003A4FF3">
        <w:rPr>
          <w:b/>
          <w:sz w:val="24"/>
          <w:szCs w:val="24"/>
        </w:rPr>
        <w:tab/>
        <w:t>Terapeutiske indikationer</w:t>
      </w:r>
    </w:p>
    <w:p w:rsidR="0024075F" w:rsidRPr="003A4FF3" w:rsidRDefault="0024075F" w:rsidP="0024075F">
      <w:pPr>
        <w:ind w:left="851"/>
        <w:rPr>
          <w:sz w:val="24"/>
          <w:szCs w:val="24"/>
        </w:rPr>
      </w:pPr>
      <w:r w:rsidRPr="003A4FF3">
        <w:rPr>
          <w:sz w:val="24"/>
          <w:szCs w:val="24"/>
        </w:rPr>
        <w:t>Ødem ved nyresygdomme, som er resistente over for anden behandling.</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4.2</w:t>
      </w:r>
      <w:r w:rsidRPr="003A4FF3">
        <w:rPr>
          <w:b/>
          <w:sz w:val="24"/>
          <w:szCs w:val="24"/>
        </w:rPr>
        <w:tab/>
        <w:t>Dosering og indgivelsesmåde</w:t>
      </w:r>
    </w:p>
    <w:p w:rsidR="0024075F" w:rsidRPr="003A4FF3" w:rsidRDefault="0024075F" w:rsidP="0024075F">
      <w:pPr>
        <w:ind w:left="851"/>
        <w:rPr>
          <w:noProof/>
          <w:sz w:val="24"/>
          <w:szCs w:val="24"/>
          <w:u w:val="single"/>
        </w:rPr>
      </w:pPr>
    </w:p>
    <w:p w:rsidR="0024075F" w:rsidRPr="003A4FF3" w:rsidRDefault="0024075F" w:rsidP="0024075F">
      <w:pPr>
        <w:ind w:left="851"/>
        <w:rPr>
          <w:noProof/>
          <w:sz w:val="24"/>
          <w:szCs w:val="24"/>
          <w:u w:val="single"/>
        </w:rPr>
      </w:pPr>
      <w:r w:rsidRPr="003A4FF3">
        <w:rPr>
          <w:noProof/>
          <w:sz w:val="24"/>
          <w:szCs w:val="24"/>
          <w:u w:val="single"/>
        </w:rPr>
        <w:t>Dosering</w:t>
      </w:r>
    </w:p>
    <w:p w:rsidR="0024075F" w:rsidRPr="003A4FF3" w:rsidRDefault="0024075F" w:rsidP="0024075F">
      <w:pPr>
        <w:ind w:left="851"/>
        <w:rPr>
          <w:noProof/>
          <w:sz w:val="24"/>
          <w:szCs w:val="24"/>
        </w:rPr>
      </w:pPr>
      <w:r w:rsidRPr="003A4FF3">
        <w:rPr>
          <w:noProof/>
          <w:sz w:val="24"/>
          <w:szCs w:val="24"/>
        </w:rPr>
        <w:t>Vigtig bemærkning:</w:t>
      </w:r>
    </w:p>
    <w:p w:rsidR="0024075F" w:rsidRPr="003A4FF3" w:rsidRDefault="0024075F" w:rsidP="0024075F">
      <w:pPr>
        <w:ind w:left="851"/>
        <w:rPr>
          <w:noProof/>
          <w:sz w:val="24"/>
          <w:szCs w:val="24"/>
        </w:rPr>
      </w:pPr>
      <w:r w:rsidRPr="003A4FF3">
        <w:rPr>
          <w:noProof/>
          <w:sz w:val="24"/>
          <w:szCs w:val="24"/>
        </w:rPr>
        <w:t xml:space="preserve">Forskellige </w:t>
      </w:r>
      <w:r>
        <w:rPr>
          <w:noProof/>
          <w:sz w:val="24"/>
          <w:szCs w:val="24"/>
        </w:rPr>
        <w:t>metolazone</w:t>
      </w:r>
      <w:r w:rsidRPr="003A4FF3">
        <w:rPr>
          <w:noProof/>
          <w:sz w:val="24"/>
          <w:szCs w:val="24"/>
        </w:rPr>
        <w:t>produkter har forskellig biotilgængelighed. Dosis i mg kan derfor variere mellem produkterne. Når den korrekte dosis af et bestemt produkt (særnavn) er fastlagt for en patient, kan der ikke uden videre skiftes til et andet produkt (jf. pkt. 5.2).</w:t>
      </w:r>
    </w:p>
    <w:p w:rsidR="0024075F" w:rsidRPr="003A4FF3" w:rsidRDefault="0024075F" w:rsidP="0024075F">
      <w:pPr>
        <w:ind w:left="851"/>
        <w:rPr>
          <w:noProof/>
          <w:sz w:val="24"/>
          <w:szCs w:val="24"/>
        </w:rPr>
      </w:pPr>
    </w:p>
    <w:p w:rsidR="0024075F" w:rsidRPr="003A4FF3" w:rsidRDefault="0024075F" w:rsidP="0024075F">
      <w:pPr>
        <w:ind w:left="851"/>
        <w:rPr>
          <w:i/>
          <w:noProof/>
          <w:sz w:val="24"/>
          <w:szCs w:val="24"/>
        </w:rPr>
      </w:pPr>
      <w:r w:rsidRPr="003A4FF3">
        <w:rPr>
          <w:i/>
          <w:noProof/>
          <w:sz w:val="24"/>
          <w:szCs w:val="24"/>
        </w:rPr>
        <w:t xml:space="preserve">Voksne </w:t>
      </w:r>
    </w:p>
    <w:p w:rsidR="0024075F" w:rsidRPr="003A4FF3" w:rsidRDefault="0024075F" w:rsidP="0024075F">
      <w:pPr>
        <w:ind w:left="851"/>
        <w:rPr>
          <w:noProof/>
          <w:sz w:val="24"/>
          <w:szCs w:val="24"/>
        </w:rPr>
      </w:pPr>
      <w:r>
        <w:rPr>
          <w:noProof/>
          <w:sz w:val="24"/>
          <w:szCs w:val="24"/>
        </w:rPr>
        <w:t>Metolazone</w:t>
      </w:r>
      <w:r w:rsidRPr="003A4FF3">
        <w:rPr>
          <w:noProof/>
          <w:sz w:val="24"/>
          <w:szCs w:val="24"/>
        </w:rPr>
        <w:t xml:space="preserve"> skal sædvanligvis administreres én gang dagligt.</w:t>
      </w:r>
    </w:p>
    <w:p w:rsidR="0024075F" w:rsidRPr="003A4FF3" w:rsidRDefault="0024075F" w:rsidP="0024075F">
      <w:pPr>
        <w:ind w:left="851"/>
        <w:rPr>
          <w:noProof/>
          <w:sz w:val="24"/>
          <w:szCs w:val="24"/>
        </w:rPr>
      </w:pPr>
    </w:p>
    <w:p w:rsidR="0024075F" w:rsidRPr="003A4FF3" w:rsidRDefault="0024075F" w:rsidP="0024075F">
      <w:pPr>
        <w:ind w:left="851"/>
        <w:rPr>
          <w:noProof/>
          <w:sz w:val="24"/>
          <w:szCs w:val="24"/>
        </w:rPr>
      </w:pPr>
      <w:r w:rsidRPr="003A4FF3">
        <w:rPr>
          <w:noProof/>
          <w:sz w:val="24"/>
          <w:szCs w:val="24"/>
        </w:rPr>
        <w:t>Tabletten skal altid tages på samme tidspunkt i forhold til måltider.</w:t>
      </w:r>
    </w:p>
    <w:p w:rsidR="0024075F" w:rsidRPr="003A4FF3" w:rsidRDefault="0024075F" w:rsidP="0024075F">
      <w:pPr>
        <w:ind w:left="851"/>
        <w:rPr>
          <w:noProof/>
          <w:sz w:val="24"/>
          <w:szCs w:val="24"/>
        </w:rPr>
      </w:pPr>
    </w:p>
    <w:p w:rsidR="0024075F" w:rsidRPr="003A4FF3" w:rsidRDefault="0024075F" w:rsidP="0024075F">
      <w:pPr>
        <w:ind w:left="851"/>
        <w:rPr>
          <w:noProof/>
          <w:sz w:val="24"/>
          <w:szCs w:val="24"/>
        </w:rPr>
      </w:pPr>
      <w:r w:rsidRPr="003A4FF3">
        <w:rPr>
          <w:noProof/>
          <w:sz w:val="24"/>
          <w:szCs w:val="24"/>
        </w:rPr>
        <w:t>Følgende doser tjener til vejledning: 2,5-10 mg/dag.</w:t>
      </w:r>
    </w:p>
    <w:p w:rsidR="0024075F" w:rsidRPr="003A4FF3" w:rsidRDefault="0024075F" w:rsidP="0024075F">
      <w:pPr>
        <w:ind w:left="851"/>
        <w:rPr>
          <w:noProof/>
          <w:sz w:val="24"/>
          <w:szCs w:val="24"/>
        </w:rPr>
      </w:pPr>
      <w:r w:rsidRPr="003A4FF3">
        <w:rPr>
          <w:noProof/>
          <w:sz w:val="24"/>
          <w:szCs w:val="24"/>
        </w:rPr>
        <w:t xml:space="preserve"> </w:t>
      </w:r>
    </w:p>
    <w:p w:rsidR="001C13F5" w:rsidRPr="003A4FF3" w:rsidRDefault="001C13F5" w:rsidP="001C13F5">
      <w:pPr>
        <w:ind w:left="851"/>
        <w:rPr>
          <w:noProof/>
          <w:sz w:val="24"/>
          <w:szCs w:val="24"/>
        </w:rPr>
      </w:pPr>
      <w:r w:rsidRPr="003A4FF3">
        <w:rPr>
          <w:noProof/>
          <w:sz w:val="24"/>
          <w:szCs w:val="24"/>
        </w:rPr>
        <w:t>Behandlingen påbegyndes med en initialdosis på 2,5 mg/dag, og doseringen justeres efter den enkelte patients reaktion. Når den ønskede terapeutiske virkning er opnået, kan dos</w:t>
      </w:r>
      <w:r>
        <w:rPr>
          <w:noProof/>
          <w:sz w:val="24"/>
          <w:szCs w:val="24"/>
        </w:rPr>
        <w:t>is</w:t>
      </w:r>
      <w:r w:rsidRPr="003A4FF3">
        <w:rPr>
          <w:noProof/>
          <w:sz w:val="24"/>
          <w:szCs w:val="24"/>
        </w:rPr>
        <w:t xml:space="preserve"> af </w:t>
      </w:r>
      <w:r>
        <w:rPr>
          <w:noProof/>
          <w:sz w:val="24"/>
          <w:szCs w:val="24"/>
        </w:rPr>
        <w:t>metolazone</w:t>
      </w:r>
      <w:r w:rsidRPr="003A4FF3">
        <w:rPr>
          <w:noProof/>
          <w:sz w:val="24"/>
          <w:szCs w:val="24"/>
        </w:rPr>
        <w:t xml:space="preserve"> som vedligeholdelsesbehandling reduceres. </w:t>
      </w:r>
    </w:p>
    <w:p w:rsidR="0024075F" w:rsidRPr="003A4FF3" w:rsidRDefault="0024075F" w:rsidP="0024075F">
      <w:pPr>
        <w:ind w:left="851"/>
        <w:rPr>
          <w:noProof/>
          <w:sz w:val="24"/>
          <w:szCs w:val="24"/>
        </w:rPr>
      </w:pPr>
    </w:p>
    <w:p w:rsidR="0024075F" w:rsidRPr="003A4FF3" w:rsidRDefault="0024075F" w:rsidP="0024075F">
      <w:pPr>
        <w:ind w:left="851"/>
        <w:rPr>
          <w:i/>
          <w:noProof/>
          <w:sz w:val="24"/>
          <w:szCs w:val="24"/>
        </w:rPr>
      </w:pPr>
      <w:r w:rsidRPr="003A4FF3">
        <w:rPr>
          <w:i/>
          <w:noProof/>
          <w:sz w:val="24"/>
          <w:szCs w:val="24"/>
        </w:rPr>
        <w:t>Ældre</w:t>
      </w:r>
    </w:p>
    <w:p w:rsidR="0024075F" w:rsidRPr="003A4FF3" w:rsidRDefault="0024075F" w:rsidP="0024075F">
      <w:pPr>
        <w:ind w:left="851"/>
        <w:rPr>
          <w:noProof/>
          <w:sz w:val="24"/>
          <w:szCs w:val="24"/>
        </w:rPr>
      </w:pPr>
      <w:r w:rsidRPr="003A4FF3">
        <w:rPr>
          <w:noProof/>
          <w:sz w:val="24"/>
          <w:szCs w:val="24"/>
        </w:rPr>
        <w:t xml:space="preserve">Forsigtighed bør udvises ved anvendelse af </w:t>
      </w:r>
      <w:r w:rsidR="00FE219F">
        <w:rPr>
          <w:noProof/>
          <w:sz w:val="24"/>
          <w:szCs w:val="24"/>
        </w:rPr>
        <w:t>Metolazone Abcur</w:t>
      </w:r>
      <w:r w:rsidRPr="003A4FF3">
        <w:rPr>
          <w:noProof/>
          <w:sz w:val="24"/>
          <w:szCs w:val="24"/>
        </w:rPr>
        <w:t xml:space="preserve"> til ældre patienter, patienter med nedsat nyre- eller leverfunktion og patienter med elektrolytforstyrrelser. </w:t>
      </w:r>
    </w:p>
    <w:p w:rsidR="0024075F" w:rsidRPr="003A4FF3" w:rsidRDefault="0024075F" w:rsidP="0024075F">
      <w:pPr>
        <w:ind w:left="851"/>
        <w:rPr>
          <w:noProof/>
          <w:sz w:val="24"/>
          <w:szCs w:val="24"/>
        </w:rPr>
      </w:pPr>
    </w:p>
    <w:p w:rsidR="0024075F" w:rsidRPr="003A4FF3" w:rsidRDefault="0024075F" w:rsidP="0024075F">
      <w:pPr>
        <w:ind w:left="851"/>
        <w:rPr>
          <w:noProof/>
          <w:sz w:val="24"/>
          <w:szCs w:val="24"/>
        </w:rPr>
      </w:pPr>
      <w:r w:rsidRPr="003A4FF3">
        <w:rPr>
          <w:i/>
          <w:noProof/>
          <w:sz w:val="24"/>
          <w:szCs w:val="24"/>
        </w:rPr>
        <w:t>Pædiatrisk population</w:t>
      </w:r>
    </w:p>
    <w:p w:rsidR="0024075F" w:rsidRPr="003A4FF3" w:rsidRDefault="0024075F" w:rsidP="0024075F">
      <w:pPr>
        <w:ind w:left="851"/>
        <w:rPr>
          <w:sz w:val="24"/>
          <w:szCs w:val="24"/>
        </w:rPr>
      </w:pPr>
      <w:r w:rsidRPr="003A4FF3">
        <w:rPr>
          <w:sz w:val="24"/>
          <w:szCs w:val="24"/>
        </w:rPr>
        <w:t xml:space="preserve">Der er aktuelt ingen erfaringer med anvendelse af </w:t>
      </w:r>
      <w:proofErr w:type="spellStart"/>
      <w:r>
        <w:rPr>
          <w:sz w:val="24"/>
          <w:szCs w:val="24"/>
        </w:rPr>
        <w:t>metolazone</w:t>
      </w:r>
      <w:proofErr w:type="spellEnd"/>
      <w:r w:rsidRPr="003A4FF3">
        <w:rPr>
          <w:sz w:val="24"/>
          <w:szCs w:val="24"/>
        </w:rPr>
        <w:t xml:space="preserve"> hos patienter under 16 år.</w:t>
      </w:r>
    </w:p>
    <w:p w:rsidR="0024075F" w:rsidRPr="003A4FF3" w:rsidRDefault="0024075F" w:rsidP="0024075F">
      <w:pPr>
        <w:ind w:left="851"/>
        <w:rPr>
          <w:sz w:val="24"/>
          <w:szCs w:val="24"/>
        </w:rPr>
      </w:pPr>
    </w:p>
    <w:p w:rsidR="0024075F" w:rsidRPr="003A4FF3" w:rsidRDefault="0024075F" w:rsidP="0024075F">
      <w:pPr>
        <w:ind w:left="851"/>
        <w:rPr>
          <w:sz w:val="24"/>
          <w:szCs w:val="24"/>
          <w:u w:val="single"/>
        </w:rPr>
      </w:pPr>
      <w:r w:rsidRPr="003A4FF3">
        <w:rPr>
          <w:sz w:val="24"/>
          <w:szCs w:val="24"/>
          <w:u w:val="single"/>
        </w:rPr>
        <w:t>Administration</w:t>
      </w:r>
    </w:p>
    <w:p w:rsidR="0024075F" w:rsidRPr="003A4FF3" w:rsidRDefault="0024075F" w:rsidP="0024075F">
      <w:pPr>
        <w:ind w:left="851"/>
        <w:rPr>
          <w:noProof/>
          <w:sz w:val="24"/>
          <w:szCs w:val="24"/>
        </w:rPr>
      </w:pPr>
      <w:r w:rsidRPr="003A4FF3">
        <w:rPr>
          <w:noProof/>
          <w:sz w:val="24"/>
          <w:szCs w:val="24"/>
        </w:rPr>
        <w:t>Til oral anvendelse.</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4.3</w:t>
      </w:r>
      <w:r w:rsidRPr="003A4FF3">
        <w:rPr>
          <w:b/>
          <w:sz w:val="24"/>
          <w:szCs w:val="24"/>
        </w:rPr>
        <w:tab/>
        <w:t>Kontraindikationer</w:t>
      </w:r>
    </w:p>
    <w:p w:rsidR="0024075F" w:rsidRPr="003A4FF3" w:rsidRDefault="0024075F" w:rsidP="0024075F">
      <w:pPr>
        <w:ind w:left="851"/>
        <w:rPr>
          <w:sz w:val="24"/>
          <w:szCs w:val="24"/>
        </w:rPr>
      </w:pPr>
      <w:r w:rsidRPr="003A4FF3">
        <w:rPr>
          <w:sz w:val="24"/>
          <w:szCs w:val="24"/>
        </w:rPr>
        <w:t>Overfølsomhed over for det aktive stof,</w:t>
      </w:r>
      <w:r w:rsidRPr="003A4FF3">
        <w:rPr>
          <w:snapToGrid w:val="0"/>
          <w:sz w:val="24"/>
          <w:szCs w:val="24"/>
          <w:lang w:eastAsia="da-DK"/>
        </w:rPr>
        <w:t xml:space="preserve"> </w:t>
      </w:r>
      <w:r w:rsidRPr="003A4FF3">
        <w:rPr>
          <w:sz w:val="24"/>
          <w:szCs w:val="24"/>
        </w:rPr>
        <w:t xml:space="preserve">sulfonamider, </w:t>
      </w:r>
      <w:proofErr w:type="spellStart"/>
      <w:r w:rsidRPr="003A4FF3">
        <w:rPr>
          <w:sz w:val="24"/>
          <w:szCs w:val="24"/>
        </w:rPr>
        <w:t>thiazider</w:t>
      </w:r>
      <w:proofErr w:type="spellEnd"/>
      <w:r w:rsidRPr="003A4FF3">
        <w:rPr>
          <w:sz w:val="24"/>
          <w:szCs w:val="24"/>
        </w:rPr>
        <w:t xml:space="preserve"> eller over for et eller flere af hjælpestofferne anført i pkt. 6.1.</w:t>
      </w:r>
    </w:p>
    <w:p w:rsidR="0024075F" w:rsidRPr="003A4FF3" w:rsidRDefault="0024075F" w:rsidP="0024075F">
      <w:pPr>
        <w:ind w:left="851"/>
        <w:rPr>
          <w:sz w:val="24"/>
          <w:szCs w:val="24"/>
        </w:rPr>
      </w:pPr>
      <w:proofErr w:type="spellStart"/>
      <w:r w:rsidRPr="003A4FF3">
        <w:rPr>
          <w:sz w:val="24"/>
          <w:szCs w:val="24"/>
        </w:rPr>
        <w:t>Anuri</w:t>
      </w:r>
      <w:proofErr w:type="spellEnd"/>
      <w:r w:rsidRPr="003A4FF3">
        <w:rPr>
          <w:sz w:val="24"/>
          <w:szCs w:val="24"/>
        </w:rPr>
        <w:t xml:space="preserve">, </w:t>
      </w:r>
      <w:proofErr w:type="spellStart"/>
      <w:r w:rsidRPr="003A4FF3">
        <w:rPr>
          <w:sz w:val="24"/>
          <w:szCs w:val="24"/>
        </w:rPr>
        <w:t>hepatisk</w:t>
      </w:r>
      <w:proofErr w:type="spellEnd"/>
      <w:r w:rsidRPr="003A4FF3">
        <w:rPr>
          <w:sz w:val="24"/>
          <w:szCs w:val="24"/>
        </w:rPr>
        <w:t xml:space="preserve"> koma eller prækomatøse lidelser. </w:t>
      </w:r>
    </w:p>
    <w:p w:rsidR="0024075F" w:rsidRPr="003A4FF3" w:rsidRDefault="0024075F" w:rsidP="0024075F">
      <w:pPr>
        <w:ind w:left="851"/>
        <w:rPr>
          <w:sz w:val="24"/>
          <w:szCs w:val="24"/>
        </w:rPr>
      </w:pPr>
      <w:r w:rsidRPr="003A4FF3">
        <w:rPr>
          <w:sz w:val="24"/>
          <w:szCs w:val="24"/>
        </w:rPr>
        <w:t>Alvorlige forstyrrelser af elektrolytbalancen.</w:t>
      </w:r>
    </w:p>
    <w:p w:rsidR="0024075F" w:rsidRPr="003A4FF3" w:rsidRDefault="0024075F" w:rsidP="0024075F">
      <w:pPr>
        <w:tabs>
          <w:tab w:val="left" w:pos="851"/>
        </w:tabs>
        <w:ind w:left="851" w:hanging="851"/>
        <w:rPr>
          <w:sz w:val="24"/>
          <w:szCs w:val="24"/>
        </w:rPr>
      </w:pPr>
    </w:p>
    <w:p w:rsidR="001C13F5" w:rsidRPr="001C13F5" w:rsidRDefault="0024075F" w:rsidP="001C13F5">
      <w:pPr>
        <w:tabs>
          <w:tab w:val="left" w:pos="851"/>
        </w:tabs>
        <w:ind w:left="851" w:hanging="851"/>
        <w:rPr>
          <w:b/>
          <w:sz w:val="24"/>
          <w:szCs w:val="24"/>
        </w:rPr>
      </w:pPr>
      <w:r w:rsidRPr="003A4FF3">
        <w:rPr>
          <w:b/>
          <w:sz w:val="24"/>
          <w:szCs w:val="24"/>
        </w:rPr>
        <w:t>4.4</w:t>
      </w:r>
      <w:r w:rsidRPr="003A4FF3">
        <w:rPr>
          <w:b/>
          <w:sz w:val="24"/>
          <w:szCs w:val="24"/>
        </w:rPr>
        <w:tab/>
        <w:t>Særlige advarsler og forsigtighedsregler vedrørende brugen</w:t>
      </w: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Væske- og elektrolytbalancen bør overvåges nøje under behandling med </w:t>
      </w:r>
      <w:proofErr w:type="spellStart"/>
      <w:r w:rsidR="00FE219F">
        <w:rPr>
          <w:snapToGrid w:val="0"/>
          <w:sz w:val="24"/>
          <w:szCs w:val="24"/>
          <w:lang w:eastAsia="da-DK"/>
        </w:rPr>
        <w:t>Metolazone</w:t>
      </w:r>
      <w:proofErr w:type="spellEnd"/>
      <w:r w:rsidR="00FE219F">
        <w:rPr>
          <w:snapToGrid w:val="0"/>
          <w:sz w:val="24"/>
          <w:szCs w:val="24"/>
          <w:lang w:eastAsia="da-DK"/>
        </w:rPr>
        <w:t xml:space="preserve"> </w:t>
      </w:r>
      <w:proofErr w:type="spellStart"/>
      <w:r w:rsidR="00FE219F">
        <w:rPr>
          <w:snapToGrid w:val="0"/>
          <w:sz w:val="24"/>
          <w:szCs w:val="24"/>
          <w:lang w:eastAsia="da-DK"/>
        </w:rPr>
        <w:t>Abcur</w:t>
      </w:r>
      <w:proofErr w:type="spellEnd"/>
      <w:r w:rsidRPr="003A4FF3">
        <w:rPr>
          <w:snapToGrid w:val="0"/>
          <w:sz w:val="24"/>
          <w:szCs w:val="24"/>
          <w:lang w:eastAsia="da-DK"/>
        </w:rPr>
        <w:t xml:space="preserve">, især hvis lægemidlet anvendes sammen med andre </w:t>
      </w:r>
      <w:proofErr w:type="spellStart"/>
      <w:r w:rsidRPr="003A4FF3">
        <w:rPr>
          <w:snapToGrid w:val="0"/>
          <w:sz w:val="24"/>
          <w:szCs w:val="24"/>
          <w:lang w:eastAsia="da-DK"/>
        </w:rPr>
        <w:t>diuretika</w:t>
      </w:r>
      <w:proofErr w:type="spellEnd"/>
      <w:r w:rsidRPr="003A4FF3">
        <w:rPr>
          <w:snapToGrid w:val="0"/>
          <w:sz w:val="24"/>
          <w:szCs w:val="24"/>
          <w:lang w:eastAsia="da-DK"/>
        </w:rPr>
        <w:t xml:space="preserve"> (risiko for </w:t>
      </w:r>
      <w:proofErr w:type="spellStart"/>
      <w:r w:rsidRPr="003A4FF3">
        <w:rPr>
          <w:snapToGrid w:val="0"/>
          <w:sz w:val="24"/>
          <w:szCs w:val="24"/>
          <w:lang w:eastAsia="da-DK"/>
        </w:rPr>
        <w:t>hypokaliæmi</w:t>
      </w:r>
      <w:proofErr w:type="spellEnd"/>
      <w:r w:rsidRPr="003A4FF3">
        <w:rPr>
          <w:snapToGrid w:val="0"/>
          <w:sz w:val="24"/>
          <w:szCs w:val="24"/>
          <w:lang w:eastAsia="da-DK"/>
        </w:rPr>
        <w:t xml:space="preserve">), </w:t>
      </w:r>
      <w:proofErr w:type="spellStart"/>
      <w:r w:rsidRPr="003A4FF3">
        <w:rPr>
          <w:snapToGrid w:val="0"/>
          <w:sz w:val="24"/>
          <w:szCs w:val="24"/>
          <w:lang w:eastAsia="da-DK"/>
        </w:rPr>
        <w:t>kortikosteroider</w:t>
      </w:r>
      <w:proofErr w:type="spellEnd"/>
      <w:r w:rsidRPr="003A4FF3">
        <w:rPr>
          <w:snapToGrid w:val="0"/>
          <w:sz w:val="24"/>
          <w:szCs w:val="24"/>
          <w:lang w:eastAsia="da-DK"/>
        </w:rPr>
        <w:t>, ACE-</w:t>
      </w:r>
      <w:proofErr w:type="spellStart"/>
      <w:r w:rsidRPr="003A4FF3">
        <w:rPr>
          <w:snapToGrid w:val="0"/>
          <w:sz w:val="24"/>
          <w:szCs w:val="24"/>
          <w:lang w:eastAsia="da-DK"/>
        </w:rPr>
        <w:t>hæmmere</w:t>
      </w:r>
      <w:proofErr w:type="spellEnd"/>
      <w:r w:rsidRPr="003A4FF3">
        <w:rPr>
          <w:snapToGrid w:val="0"/>
          <w:sz w:val="24"/>
          <w:szCs w:val="24"/>
          <w:lang w:eastAsia="da-DK"/>
        </w:rPr>
        <w:t xml:space="preserve">, </w:t>
      </w:r>
      <w:proofErr w:type="spellStart"/>
      <w:r w:rsidRPr="003A4FF3">
        <w:rPr>
          <w:snapToGrid w:val="0"/>
          <w:sz w:val="24"/>
          <w:szCs w:val="24"/>
          <w:lang w:eastAsia="da-DK"/>
        </w:rPr>
        <w:t>angiotensin</w:t>
      </w:r>
      <w:proofErr w:type="spellEnd"/>
      <w:r w:rsidRPr="003A4FF3">
        <w:rPr>
          <w:snapToGrid w:val="0"/>
          <w:sz w:val="24"/>
          <w:szCs w:val="24"/>
          <w:lang w:eastAsia="da-DK"/>
        </w:rPr>
        <w:t xml:space="preserve">-II-antagonister og </w:t>
      </w:r>
      <w:proofErr w:type="spellStart"/>
      <w:r w:rsidRPr="003A4FF3">
        <w:rPr>
          <w:snapToGrid w:val="0"/>
          <w:sz w:val="24"/>
          <w:szCs w:val="24"/>
          <w:lang w:eastAsia="da-DK"/>
        </w:rPr>
        <w:t>aldosteronantagonister</w:t>
      </w:r>
      <w:proofErr w:type="spellEnd"/>
      <w:r w:rsidRPr="003A4FF3">
        <w:rPr>
          <w:snapToGrid w:val="0"/>
          <w:sz w:val="24"/>
          <w:szCs w:val="24"/>
          <w:lang w:eastAsia="da-DK"/>
        </w:rPr>
        <w:t xml:space="preserve">. </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Risikoen for elektrolytforstyrrelser øges ved administration af høje </w:t>
      </w:r>
      <w:proofErr w:type="spellStart"/>
      <w:r>
        <w:rPr>
          <w:snapToGrid w:val="0"/>
          <w:sz w:val="24"/>
          <w:szCs w:val="24"/>
          <w:lang w:eastAsia="da-DK"/>
        </w:rPr>
        <w:t>metolazone</w:t>
      </w:r>
      <w:r w:rsidRPr="003A4FF3">
        <w:rPr>
          <w:snapToGrid w:val="0"/>
          <w:sz w:val="24"/>
          <w:szCs w:val="24"/>
          <w:lang w:eastAsia="da-DK"/>
        </w:rPr>
        <w:t>doser</w:t>
      </w:r>
      <w:proofErr w:type="spellEnd"/>
      <w:r w:rsidRPr="003A4FF3">
        <w:rPr>
          <w:snapToGrid w:val="0"/>
          <w:sz w:val="24"/>
          <w:szCs w:val="24"/>
          <w:lang w:eastAsia="da-DK"/>
        </w:rPr>
        <w:t>.</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proofErr w:type="spellStart"/>
      <w:r w:rsidRPr="003A4FF3">
        <w:rPr>
          <w:snapToGrid w:val="0"/>
          <w:sz w:val="24"/>
          <w:szCs w:val="24"/>
          <w:lang w:eastAsia="da-DK"/>
        </w:rPr>
        <w:t>Hyponatriæmi</w:t>
      </w:r>
      <w:proofErr w:type="spellEnd"/>
      <w:r w:rsidRPr="003A4FF3">
        <w:rPr>
          <w:snapToGrid w:val="0"/>
          <w:sz w:val="24"/>
          <w:szCs w:val="24"/>
          <w:lang w:eastAsia="da-DK"/>
        </w:rPr>
        <w:t xml:space="preserve"> eller </w:t>
      </w:r>
      <w:proofErr w:type="spellStart"/>
      <w:r w:rsidRPr="003A4FF3">
        <w:rPr>
          <w:sz w:val="24"/>
          <w:szCs w:val="24"/>
        </w:rPr>
        <w:t>hypochloræmi</w:t>
      </w:r>
      <w:proofErr w:type="spellEnd"/>
      <w:r w:rsidRPr="003A4FF3">
        <w:rPr>
          <w:snapToGrid w:val="0"/>
          <w:sz w:val="24"/>
          <w:szCs w:val="24"/>
          <w:lang w:eastAsia="da-DK"/>
        </w:rPr>
        <w:t xml:space="preserve"> kan forekomme. </w:t>
      </w:r>
      <w:proofErr w:type="spellStart"/>
      <w:r w:rsidRPr="003A4FF3">
        <w:rPr>
          <w:snapToGrid w:val="0"/>
          <w:sz w:val="24"/>
          <w:szCs w:val="24"/>
          <w:lang w:eastAsia="da-DK"/>
        </w:rPr>
        <w:t>Hyponatriæmi</w:t>
      </w:r>
      <w:proofErr w:type="spellEnd"/>
      <w:r w:rsidRPr="003A4FF3">
        <w:rPr>
          <w:snapToGrid w:val="0"/>
          <w:sz w:val="24"/>
          <w:szCs w:val="24"/>
          <w:lang w:eastAsia="da-DK"/>
        </w:rPr>
        <w:t xml:space="preserve"> ledsages af neurologiske symptomer (kvalme, svækkelse, progressiv desorientering, apati). Tilfælde af </w:t>
      </w:r>
      <w:proofErr w:type="spellStart"/>
      <w:r w:rsidRPr="003A4FF3">
        <w:rPr>
          <w:snapToGrid w:val="0"/>
          <w:sz w:val="24"/>
          <w:szCs w:val="24"/>
          <w:lang w:eastAsia="da-DK"/>
        </w:rPr>
        <w:t>hypomagnesiæmi</w:t>
      </w:r>
      <w:proofErr w:type="spellEnd"/>
      <w:r w:rsidRPr="003A4FF3">
        <w:rPr>
          <w:snapToGrid w:val="0"/>
          <w:sz w:val="24"/>
          <w:szCs w:val="24"/>
          <w:lang w:eastAsia="da-DK"/>
        </w:rPr>
        <w:t xml:space="preserve"> er også iagttaget.</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I sjældne tilfælde (som det også kan gælde andre </w:t>
      </w:r>
      <w:proofErr w:type="spellStart"/>
      <w:r w:rsidRPr="003A4FF3">
        <w:rPr>
          <w:snapToGrid w:val="0"/>
          <w:sz w:val="24"/>
          <w:szCs w:val="24"/>
          <w:lang w:eastAsia="da-DK"/>
        </w:rPr>
        <w:t>diuretika</w:t>
      </w:r>
      <w:proofErr w:type="spellEnd"/>
      <w:r w:rsidRPr="003A4FF3">
        <w:rPr>
          <w:snapToGrid w:val="0"/>
          <w:sz w:val="24"/>
          <w:szCs w:val="24"/>
          <w:lang w:eastAsia="da-DK"/>
        </w:rPr>
        <w:t xml:space="preserve">) kan svær </w:t>
      </w:r>
      <w:proofErr w:type="spellStart"/>
      <w:r w:rsidRPr="003A4FF3">
        <w:rPr>
          <w:snapToGrid w:val="0"/>
          <w:sz w:val="24"/>
          <w:szCs w:val="24"/>
          <w:lang w:eastAsia="da-DK"/>
        </w:rPr>
        <w:t>hyponatriæmi</w:t>
      </w:r>
      <w:proofErr w:type="spellEnd"/>
      <w:r w:rsidRPr="003A4FF3">
        <w:rPr>
          <w:snapToGrid w:val="0"/>
          <w:sz w:val="24"/>
          <w:szCs w:val="24"/>
          <w:lang w:eastAsia="da-DK"/>
        </w:rPr>
        <w:t>/</w:t>
      </w:r>
      <w:proofErr w:type="spellStart"/>
      <w:r w:rsidRPr="003A4FF3">
        <w:rPr>
          <w:snapToGrid w:val="0"/>
          <w:sz w:val="24"/>
          <w:szCs w:val="24"/>
          <w:lang w:eastAsia="da-DK"/>
        </w:rPr>
        <w:t>hypo</w:t>
      </w:r>
      <w:r w:rsidRPr="003A4FF3">
        <w:rPr>
          <w:snapToGrid w:val="0"/>
          <w:sz w:val="24"/>
          <w:szCs w:val="24"/>
          <w:lang w:eastAsia="da-DK"/>
        </w:rPr>
        <w:softHyphen/>
        <w:t>kaliæmi</w:t>
      </w:r>
      <w:proofErr w:type="spellEnd"/>
      <w:r w:rsidRPr="003A4FF3">
        <w:rPr>
          <w:snapToGrid w:val="0"/>
          <w:sz w:val="24"/>
          <w:szCs w:val="24"/>
          <w:lang w:eastAsia="da-DK"/>
        </w:rPr>
        <w:t xml:space="preserve"> umiddelbart efter initiering af behandlingen forekomme.</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Det kan overvejes samtidig at administrere en individuelt tilpasset dosis af et oralt kaliumsalt (f.eks. </w:t>
      </w:r>
      <w:proofErr w:type="spellStart"/>
      <w:r w:rsidRPr="003A4FF3">
        <w:rPr>
          <w:snapToGrid w:val="0"/>
          <w:sz w:val="24"/>
          <w:szCs w:val="24"/>
          <w:lang w:eastAsia="da-DK"/>
        </w:rPr>
        <w:t>kaliumchlorid</w:t>
      </w:r>
      <w:proofErr w:type="spellEnd"/>
      <w:r w:rsidRPr="003A4FF3">
        <w:rPr>
          <w:snapToGrid w:val="0"/>
          <w:sz w:val="24"/>
          <w:szCs w:val="24"/>
          <w:lang w:eastAsia="da-DK"/>
        </w:rPr>
        <w:t xml:space="preserve">) til patienter, der får digitalis eller udviser tegn på </w:t>
      </w:r>
      <w:proofErr w:type="spellStart"/>
      <w:r w:rsidRPr="003A4FF3">
        <w:rPr>
          <w:snapToGrid w:val="0"/>
          <w:sz w:val="24"/>
          <w:szCs w:val="24"/>
          <w:lang w:eastAsia="da-DK"/>
        </w:rPr>
        <w:t>koronar</w:t>
      </w:r>
      <w:proofErr w:type="spellEnd"/>
      <w:r w:rsidRPr="003A4FF3">
        <w:rPr>
          <w:snapToGrid w:val="0"/>
          <w:sz w:val="24"/>
          <w:szCs w:val="24"/>
          <w:lang w:eastAsia="da-DK"/>
        </w:rPr>
        <w:t xml:space="preserve"> hjertesygdom, forudsat at de ikke samtidig får en ACE-hæmmer. En individuelt tilpasset dosis kan også overvejes hos patienter, der er i behandling med en høj dosis beta-</w:t>
      </w:r>
      <w:proofErr w:type="spellStart"/>
      <w:r w:rsidRPr="003A4FF3">
        <w:rPr>
          <w:snapToGrid w:val="0"/>
          <w:sz w:val="24"/>
          <w:szCs w:val="24"/>
          <w:lang w:eastAsia="da-DK"/>
        </w:rPr>
        <w:t>adrenerg</w:t>
      </w:r>
      <w:proofErr w:type="spellEnd"/>
      <w:r w:rsidRPr="003A4FF3">
        <w:rPr>
          <w:snapToGrid w:val="0"/>
          <w:sz w:val="24"/>
          <w:szCs w:val="24"/>
          <w:lang w:eastAsia="da-DK"/>
        </w:rPr>
        <w:t xml:space="preserve"> agonist, og i alle tilfælde hvis serumkalium er under 3,0 mmol/l.</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I alle tilfælde med kombineret behandling bør vedligeholdelse eller normalisering af kaliumbalancen overvåges nøje. Hvis </w:t>
      </w:r>
      <w:proofErr w:type="spellStart"/>
      <w:r w:rsidRPr="003A4FF3">
        <w:rPr>
          <w:snapToGrid w:val="0"/>
          <w:sz w:val="24"/>
          <w:szCs w:val="24"/>
          <w:lang w:eastAsia="da-DK"/>
        </w:rPr>
        <w:t>hypokaliæmi</w:t>
      </w:r>
      <w:proofErr w:type="spellEnd"/>
      <w:r w:rsidRPr="003A4FF3">
        <w:rPr>
          <w:snapToGrid w:val="0"/>
          <w:sz w:val="24"/>
          <w:szCs w:val="24"/>
          <w:lang w:eastAsia="da-DK"/>
        </w:rPr>
        <w:t xml:space="preserve"> er ledsaget af kliniske tegn på kaliummangel (f.eks. muskelsvaghed, parese eller EKG-forandringer), bør </w:t>
      </w:r>
      <w:proofErr w:type="spellStart"/>
      <w:r w:rsidR="00FE219F">
        <w:rPr>
          <w:snapToGrid w:val="0"/>
          <w:sz w:val="24"/>
          <w:szCs w:val="24"/>
          <w:lang w:eastAsia="da-DK"/>
        </w:rPr>
        <w:t>Metolazone</w:t>
      </w:r>
      <w:proofErr w:type="spellEnd"/>
      <w:r w:rsidR="00FE219F">
        <w:rPr>
          <w:snapToGrid w:val="0"/>
          <w:sz w:val="24"/>
          <w:szCs w:val="24"/>
          <w:lang w:eastAsia="da-DK"/>
        </w:rPr>
        <w:t xml:space="preserve"> </w:t>
      </w:r>
      <w:proofErr w:type="spellStart"/>
      <w:r w:rsidR="00FE219F">
        <w:rPr>
          <w:snapToGrid w:val="0"/>
          <w:sz w:val="24"/>
          <w:szCs w:val="24"/>
          <w:lang w:eastAsia="da-DK"/>
        </w:rPr>
        <w:t>Abcur</w:t>
      </w:r>
      <w:proofErr w:type="spellEnd"/>
      <w:r w:rsidRPr="003A4FF3">
        <w:rPr>
          <w:snapToGrid w:val="0"/>
          <w:sz w:val="24"/>
          <w:szCs w:val="24"/>
          <w:lang w:eastAsia="da-DK"/>
        </w:rPr>
        <w:t xml:space="preserve"> seponeres.</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lastRenderedPageBreak/>
        <w:t xml:space="preserve">Overvågning af serumelektrolytter er især tilrådeligt hos ældre, hos patienter med </w:t>
      </w:r>
      <w:proofErr w:type="spellStart"/>
      <w:r w:rsidRPr="003A4FF3">
        <w:rPr>
          <w:snapToGrid w:val="0"/>
          <w:sz w:val="24"/>
          <w:szCs w:val="24"/>
          <w:lang w:eastAsia="da-DK"/>
        </w:rPr>
        <w:t>ascites</w:t>
      </w:r>
      <w:proofErr w:type="spellEnd"/>
      <w:r w:rsidRPr="003A4FF3">
        <w:rPr>
          <w:snapToGrid w:val="0"/>
          <w:sz w:val="24"/>
          <w:szCs w:val="24"/>
          <w:lang w:eastAsia="da-DK"/>
        </w:rPr>
        <w:t xml:space="preserve"> som følge af </w:t>
      </w:r>
      <w:proofErr w:type="spellStart"/>
      <w:r w:rsidRPr="003A4FF3">
        <w:rPr>
          <w:snapToGrid w:val="0"/>
          <w:sz w:val="24"/>
          <w:szCs w:val="24"/>
          <w:lang w:eastAsia="da-DK"/>
        </w:rPr>
        <w:t>levercirrhose</w:t>
      </w:r>
      <w:proofErr w:type="spellEnd"/>
      <w:r w:rsidRPr="003A4FF3">
        <w:rPr>
          <w:snapToGrid w:val="0"/>
          <w:sz w:val="24"/>
          <w:szCs w:val="24"/>
          <w:lang w:eastAsia="da-DK"/>
        </w:rPr>
        <w:t xml:space="preserve"> og hos patienter med ødem som følge af </w:t>
      </w:r>
      <w:proofErr w:type="spellStart"/>
      <w:r w:rsidRPr="003A4FF3">
        <w:rPr>
          <w:snapToGrid w:val="0"/>
          <w:sz w:val="24"/>
          <w:szCs w:val="24"/>
          <w:lang w:eastAsia="da-DK"/>
        </w:rPr>
        <w:t>nefrotisk</w:t>
      </w:r>
      <w:proofErr w:type="spellEnd"/>
      <w:r w:rsidRPr="003A4FF3">
        <w:rPr>
          <w:snapToGrid w:val="0"/>
          <w:sz w:val="24"/>
          <w:szCs w:val="24"/>
          <w:lang w:eastAsia="da-DK"/>
        </w:rPr>
        <w:t xml:space="preserve"> syndrom. Til sidstnævnte tilstand bør </w:t>
      </w:r>
      <w:proofErr w:type="spellStart"/>
      <w:r w:rsidR="00FE219F">
        <w:rPr>
          <w:snapToGrid w:val="0"/>
          <w:sz w:val="24"/>
          <w:szCs w:val="24"/>
          <w:lang w:eastAsia="da-DK"/>
        </w:rPr>
        <w:t>Metolazone</w:t>
      </w:r>
      <w:proofErr w:type="spellEnd"/>
      <w:r w:rsidR="00FE219F">
        <w:rPr>
          <w:snapToGrid w:val="0"/>
          <w:sz w:val="24"/>
          <w:szCs w:val="24"/>
          <w:lang w:eastAsia="da-DK"/>
        </w:rPr>
        <w:t xml:space="preserve"> </w:t>
      </w:r>
      <w:proofErr w:type="spellStart"/>
      <w:r w:rsidR="00FE219F">
        <w:rPr>
          <w:snapToGrid w:val="0"/>
          <w:sz w:val="24"/>
          <w:szCs w:val="24"/>
          <w:lang w:eastAsia="da-DK"/>
        </w:rPr>
        <w:t>Abcur</w:t>
      </w:r>
      <w:proofErr w:type="spellEnd"/>
      <w:r w:rsidRPr="003A4FF3">
        <w:rPr>
          <w:snapToGrid w:val="0"/>
          <w:sz w:val="24"/>
          <w:szCs w:val="24"/>
          <w:lang w:eastAsia="da-DK"/>
        </w:rPr>
        <w:t xml:space="preserve"> kun anvendes under streng kontrol hos </w:t>
      </w:r>
      <w:proofErr w:type="spellStart"/>
      <w:r w:rsidRPr="003A4FF3">
        <w:rPr>
          <w:snapToGrid w:val="0"/>
          <w:sz w:val="24"/>
          <w:szCs w:val="24"/>
          <w:lang w:eastAsia="da-DK"/>
        </w:rPr>
        <w:t>normokalæmiske</w:t>
      </w:r>
      <w:proofErr w:type="spellEnd"/>
      <w:r w:rsidRPr="003A4FF3">
        <w:rPr>
          <w:snapToGrid w:val="0"/>
          <w:sz w:val="24"/>
          <w:szCs w:val="24"/>
          <w:lang w:eastAsia="da-DK"/>
        </w:rPr>
        <w:t xml:space="preserve"> patienter, som er uden tegn på </w:t>
      </w:r>
      <w:proofErr w:type="spellStart"/>
      <w:r w:rsidRPr="003A4FF3">
        <w:rPr>
          <w:snapToGrid w:val="0"/>
          <w:sz w:val="24"/>
          <w:szCs w:val="24"/>
          <w:lang w:eastAsia="da-DK"/>
        </w:rPr>
        <w:t>volumendepletion</w:t>
      </w:r>
      <w:proofErr w:type="spellEnd"/>
      <w:r w:rsidRPr="003A4FF3">
        <w:rPr>
          <w:snapToGrid w:val="0"/>
          <w:sz w:val="24"/>
          <w:szCs w:val="24"/>
          <w:lang w:eastAsia="da-DK"/>
        </w:rPr>
        <w:t xml:space="preserve"> eller svær hypoalbuminæmi.</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Der har været tilfælde af nyresvigt, hovedsagelig i forbindelse med dehydrering, forværret ved samtidig medicinering såsom ACE-</w:t>
      </w:r>
      <w:proofErr w:type="spellStart"/>
      <w:r w:rsidRPr="003A4FF3">
        <w:rPr>
          <w:snapToGrid w:val="0"/>
          <w:sz w:val="24"/>
          <w:szCs w:val="24"/>
          <w:lang w:eastAsia="da-DK"/>
        </w:rPr>
        <w:t>hæmmere</w:t>
      </w:r>
      <w:proofErr w:type="spellEnd"/>
      <w:r w:rsidRPr="003A4FF3">
        <w:rPr>
          <w:snapToGrid w:val="0"/>
          <w:sz w:val="24"/>
          <w:szCs w:val="24"/>
          <w:lang w:eastAsia="da-DK"/>
        </w:rPr>
        <w:t xml:space="preserve">, </w:t>
      </w:r>
      <w:proofErr w:type="spellStart"/>
      <w:r w:rsidRPr="003A4FF3">
        <w:rPr>
          <w:snapToGrid w:val="0"/>
          <w:sz w:val="24"/>
          <w:szCs w:val="24"/>
          <w:lang w:eastAsia="da-DK"/>
        </w:rPr>
        <w:t>angiotensin</w:t>
      </w:r>
      <w:proofErr w:type="spellEnd"/>
      <w:r w:rsidRPr="003A4FF3">
        <w:rPr>
          <w:snapToGrid w:val="0"/>
          <w:sz w:val="24"/>
          <w:szCs w:val="24"/>
          <w:lang w:eastAsia="da-DK"/>
        </w:rPr>
        <w:t xml:space="preserve">-II-antagonister, </w:t>
      </w:r>
      <w:proofErr w:type="spellStart"/>
      <w:r w:rsidRPr="003A4FF3">
        <w:rPr>
          <w:snapToGrid w:val="0"/>
          <w:sz w:val="24"/>
          <w:szCs w:val="24"/>
          <w:lang w:eastAsia="da-DK"/>
        </w:rPr>
        <w:t>aldosteron</w:t>
      </w:r>
      <w:r w:rsidRPr="003A4FF3">
        <w:rPr>
          <w:snapToGrid w:val="0"/>
          <w:sz w:val="24"/>
          <w:szCs w:val="24"/>
          <w:lang w:eastAsia="da-DK"/>
        </w:rPr>
        <w:softHyphen/>
        <w:t>antagonister</w:t>
      </w:r>
      <w:proofErr w:type="spellEnd"/>
      <w:r w:rsidRPr="003A4FF3">
        <w:rPr>
          <w:snapToGrid w:val="0"/>
          <w:sz w:val="24"/>
          <w:szCs w:val="24"/>
          <w:lang w:eastAsia="da-DK"/>
        </w:rPr>
        <w:t xml:space="preserve"> og/eller NSAID, se pkt. 4.5.</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Samtidig behandling med </w:t>
      </w:r>
      <w:proofErr w:type="spellStart"/>
      <w:r w:rsidRPr="003A4FF3">
        <w:rPr>
          <w:snapToGrid w:val="0"/>
          <w:sz w:val="24"/>
          <w:szCs w:val="24"/>
          <w:lang w:eastAsia="da-DK"/>
        </w:rPr>
        <w:t>lithium</w:t>
      </w:r>
      <w:proofErr w:type="spellEnd"/>
      <w:r w:rsidRPr="003A4FF3">
        <w:rPr>
          <w:snapToGrid w:val="0"/>
          <w:sz w:val="24"/>
          <w:szCs w:val="24"/>
          <w:lang w:eastAsia="da-DK"/>
        </w:rPr>
        <w:t xml:space="preserve"> bør undgås.</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Der kan forekomme krydsreaktioner hos patienter med allergi over for sulfonamider eller </w:t>
      </w:r>
      <w:proofErr w:type="spellStart"/>
      <w:r w:rsidRPr="003A4FF3">
        <w:rPr>
          <w:snapToGrid w:val="0"/>
          <w:sz w:val="24"/>
          <w:szCs w:val="24"/>
          <w:lang w:eastAsia="da-DK"/>
        </w:rPr>
        <w:t>thiazider</w:t>
      </w:r>
      <w:proofErr w:type="spellEnd"/>
      <w:r w:rsidRPr="003A4FF3">
        <w:rPr>
          <w:snapToGrid w:val="0"/>
          <w:sz w:val="24"/>
          <w:szCs w:val="24"/>
          <w:lang w:eastAsia="da-DK"/>
        </w:rPr>
        <w:t>.</w:t>
      </w:r>
    </w:p>
    <w:p w:rsidR="001C13F5" w:rsidRDefault="001C13F5" w:rsidP="001C13F5">
      <w:pPr>
        <w:ind w:left="851"/>
        <w:rPr>
          <w:snapToGrid w:val="0"/>
          <w:sz w:val="24"/>
          <w:szCs w:val="24"/>
          <w:u w:val="single"/>
          <w:lang w:eastAsia="da-DK"/>
        </w:rPr>
      </w:pPr>
    </w:p>
    <w:p w:rsidR="001C13F5" w:rsidRDefault="001C13F5" w:rsidP="001C13F5">
      <w:pPr>
        <w:ind w:left="851"/>
        <w:rPr>
          <w:snapToGrid w:val="0"/>
          <w:sz w:val="24"/>
          <w:szCs w:val="24"/>
          <w:lang w:eastAsia="da-DK"/>
        </w:rPr>
      </w:pPr>
      <w:proofErr w:type="spellStart"/>
      <w:r>
        <w:rPr>
          <w:snapToGrid w:val="0"/>
          <w:sz w:val="24"/>
          <w:szCs w:val="24"/>
          <w:lang w:eastAsia="da-DK"/>
        </w:rPr>
        <w:t>Ch</w:t>
      </w:r>
      <w:r w:rsidRPr="00E5797D">
        <w:rPr>
          <w:snapToGrid w:val="0"/>
          <w:sz w:val="24"/>
          <w:szCs w:val="24"/>
          <w:lang w:eastAsia="da-DK"/>
        </w:rPr>
        <w:t>oroidal</w:t>
      </w:r>
      <w:proofErr w:type="spellEnd"/>
      <w:r w:rsidRPr="00E5797D">
        <w:rPr>
          <w:snapToGrid w:val="0"/>
          <w:sz w:val="24"/>
          <w:szCs w:val="24"/>
          <w:lang w:eastAsia="da-DK"/>
        </w:rPr>
        <w:t xml:space="preserve"> </w:t>
      </w:r>
      <w:proofErr w:type="spellStart"/>
      <w:r w:rsidRPr="00E5797D">
        <w:rPr>
          <w:snapToGrid w:val="0"/>
          <w:sz w:val="24"/>
          <w:szCs w:val="24"/>
          <w:lang w:eastAsia="da-DK"/>
        </w:rPr>
        <w:t>effusion</w:t>
      </w:r>
      <w:proofErr w:type="spellEnd"/>
      <w:r w:rsidRPr="00E5797D">
        <w:rPr>
          <w:snapToGrid w:val="0"/>
          <w:sz w:val="24"/>
          <w:szCs w:val="24"/>
          <w:lang w:eastAsia="da-DK"/>
        </w:rPr>
        <w:t xml:space="preserve">, akut </w:t>
      </w:r>
      <w:proofErr w:type="spellStart"/>
      <w:r w:rsidRPr="00E5797D">
        <w:rPr>
          <w:snapToGrid w:val="0"/>
          <w:sz w:val="24"/>
          <w:szCs w:val="24"/>
          <w:lang w:eastAsia="da-DK"/>
        </w:rPr>
        <w:t>myopi</w:t>
      </w:r>
      <w:proofErr w:type="spellEnd"/>
      <w:r w:rsidRPr="00E5797D">
        <w:rPr>
          <w:snapToGrid w:val="0"/>
          <w:sz w:val="24"/>
          <w:szCs w:val="24"/>
          <w:lang w:eastAsia="da-DK"/>
        </w:rPr>
        <w:t xml:space="preserve"> og sekundært snævervinklet </w:t>
      </w:r>
      <w:proofErr w:type="spellStart"/>
      <w:r w:rsidRPr="00E5797D">
        <w:rPr>
          <w:snapToGrid w:val="0"/>
          <w:sz w:val="24"/>
          <w:szCs w:val="24"/>
          <w:lang w:eastAsia="da-DK"/>
        </w:rPr>
        <w:t>glaukom</w:t>
      </w:r>
      <w:proofErr w:type="spellEnd"/>
      <w:r w:rsidRPr="00E5797D">
        <w:rPr>
          <w:snapToGrid w:val="0"/>
          <w:sz w:val="24"/>
          <w:szCs w:val="24"/>
          <w:lang w:eastAsia="da-DK"/>
        </w:rPr>
        <w:t xml:space="preserve">: </w:t>
      </w:r>
    </w:p>
    <w:p w:rsidR="001C13F5" w:rsidRPr="00E5797D" w:rsidRDefault="001C13F5" w:rsidP="001C13F5">
      <w:pPr>
        <w:ind w:left="851"/>
        <w:rPr>
          <w:snapToGrid w:val="0"/>
          <w:sz w:val="24"/>
          <w:szCs w:val="24"/>
          <w:lang w:eastAsia="da-DK"/>
        </w:rPr>
      </w:pPr>
      <w:r w:rsidRPr="00E5797D">
        <w:rPr>
          <w:snapToGrid w:val="0"/>
          <w:sz w:val="24"/>
          <w:szCs w:val="24"/>
          <w:lang w:eastAsia="da-DK"/>
        </w:rPr>
        <w:t xml:space="preserve">Sulfonamid eller sulfonamidderivater kan </w:t>
      </w:r>
      <w:r>
        <w:rPr>
          <w:snapToGrid w:val="0"/>
          <w:sz w:val="24"/>
          <w:szCs w:val="24"/>
          <w:lang w:eastAsia="da-DK"/>
        </w:rPr>
        <w:t>forårsage</w:t>
      </w:r>
      <w:r w:rsidRPr="00E5797D">
        <w:rPr>
          <w:snapToGrid w:val="0"/>
          <w:sz w:val="24"/>
          <w:szCs w:val="24"/>
          <w:lang w:eastAsia="da-DK"/>
        </w:rPr>
        <w:t xml:space="preserve"> en idiosynkratisk reaktion, der </w:t>
      </w:r>
      <w:r>
        <w:rPr>
          <w:snapToGrid w:val="0"/>
          <w:sz w:val="24"/>
          <w:szCs w:val="24"/>
          <w:lang w:eastAsia="da-DK"/>
        </w:rPr>
        <w:t>medfører</w:t>
      </w:r>
      <w:r w:rsidRPr="00E5797D">
        <w:rPr>
          <w:snapToGrid w:val="0"/>
          <w:sz w:val="24"/>
          <w:szCs w:val="24"/>
          <w:lang w:eastAsia="da-DK"/>
        </w:rPr>
        <w:t xml:space="preserve"> </w:t>
      </w:r>
      <w:proofErr w:type="spellStart"/>
      <w:r w:rsidRPr="00E5797D">
        <w:rPr>
          <w:snapToGrid w:val="0"/>
          <w:sz w:val="24"/>
          <w:szCs w:val="24"/>
          <w:lang w:eastAsia="da-DK"/>
        </w:rPr>
        <w:t>choroidal</w:t>
      </w:r>
      <w:proofErr w:type="spellEnd"/>
      <w:r w:rsidRPr="00E5797D">
        <w:rPr>
          <w:snapToGrid w:val="0"/>
          <w:sz w:val="24"/>
          <w:szCs w:val="24"/>
          <w:lang w:eastAsia="da-DK"/>
        </w:rPr>
        <w:t xml:space="preserve"> </w:t>
      </w:r>
      <w:proofErr w:type="spellStart"/>
      <w:r w:rsidRPr="00E5797D">
        <w:rPr>
          <w:snapToGrid w:val="0"/>
          <w:sz w:val="24"/>
          <w:szCs w:val="24"/>
          <w:lang w:eastAsia="da-DK"/>
        </w:rPr>
        <w:t>effusion</w:t>
      </w:r>
      <w:proofErr w:type="spellEnd"/>
      <w:r w:rsidRPr="00E5797D">
        <w:rPr>
          <w:snapToGrid w:val="0"/>
          <w:sz w:val="24"/>
          <w:szCs w:val="24"/>
          <w:lang w:eastAsia="da-DK"/>
        </w:rPr>
        <w:t xml:space="preserve"> med synsfeltdefekt, forbigående </w:t>
      </w:r>
      <w:proofErr w:type="spellStart"/>
      <w:r w:rsidRPr="00E5797D">
        <w:rPr>
          <w:snapToGrid w:val="0"/>
          <w:sz w:val="24"/>
          <w:szCs w:val="24"/>
          <w:lang w:eastAsia="da-DK"/>
        </w:rPr>
        <w:t>myopi</w:t>
      </w:r>
      <w:proofErr w:type="spellEnd"/>
      <w:r w:rsidRPr="00E5797D">
        <w:rPr>
          <w:snapToGrid w:val="0"/>
          <w:sz w:val="24"/>
          <w:szCs w:val="24"/>
          <w:lang w:eastAsia="da-DK"/>
        </w:rPr>
        <w:t xml:space="preserve"> og akut snævervinklet </w:t>
      </w:r>
      <w:proofErr w:type="spellStart"/>
      <w:r w:rsidRPr="00E5797D">
        <w:rPr>
          <w:snapToGrid w:val="0"/>
          <w:sz w:val="24"/>
          <w:szCs w:val="24"/>
          <w:lang w:eastAsia="da-DK"/>
        </w:rPr>
        <w:t>glaukom</w:t>
      </w:r>
      <w:proofErr w:type="spellEnd"/>
      <w:r w:rsidRPr="00E5797D">
        <w:rPr>
          <w:snapToGrid w:val="0"/>
          <w:sz w:val="24"/>
          <w:szCs w:val="24"/>
          <w:lang w:eastAsia="da-DK"/>
        </w:rPr>
        <w:t xml:space="preserve">. Symptomerne omfatter akut indsættende nedsat synsstyrke eller øjensmerter og opstår typisk inden for timer til uger efter initiering af behandlingen med lægemidlet. Ubehandlet akut snævervinklet </w:t>
      </w:r>
      <w:proofErr w:type="spellStart"/>
      <w:r w:rsidRPr="00E5797D">
        <w:rPr>
          <w:snapToGrid w:val="0"/>
          <w:sz w:val="24"/>
          <w:szCs w:val="24"/>
          <w:lang w:eastAsia="da-DK"/>
        </w:rPr>
        <w:t>glaukom</w:t>
      </w:r>
      <w:proofErr w:type="spellEnd"/>
      <w:r w:rsidRPr="00E5797D">
        <w:rPr>
          <w:snapToGrid w:val="0"/>
          <w:sz w:val="24"/>
          <w:szCs w:val="24"/>
          <w:lang w:eastAsia="da-DK"/>
        </w:rPr>
        <w:t xml:space="preserve"> kan føre til blivende syns</w:t>
      </w:r>
      <w:r>
        <w:rPr>
          <w:snapToGrid w:val="0"/>
          <w:sz w:val="24"/>
          <w:szCs w:val="24"/>
          <w:lang w:eastAsia="da-DK"/>
        </w:rPr>
        <w:t>tab</w:t>
      </w:r>
      <w:r w:rsidRPr="00E5797D">
        <w:rPr>
          <w:snapToGrid w:val="0"/>
          <w:sz w:val="24"/>
          <w:szCs w:val="24"/>
          <w:lang w:eastAsia="da-DK"/>
        </w:rPr>
        <w:t xml:space="preserve">. Den primære behandling er at seponere lægemidlet hurtigst muligt. Medicinsk eller kirurgisk hastebehandling bør muligvis overvejes, hvis det </w:t>
      </w:r>
      <w:proofErr w:type="spellStart"/>
      <w:r w:rsidRPr="00E5797D">
        <w:rPr>
          <w:snapToGrid w:val="0"/>
          <w:sz w:val="24"/>
          <w:szCs w:val="24"/>
          <w:lang w:eastAsia="da-DK"/>
        </w:rPr>
        <w:t>intraokulære</w:t>
      </w:r>
      <w:proofErr w:type="spellEnd"/>
      <w:r w:rsidRPr="00E5797D">
        <w:rPr>
          <w:snapToGrid w:val="0"/>
          <w:sz w:val="24"/>
          <w:szCs w:val="24"/>
          <w:lang w:eastAsia="da-DK"/>
        </w:rPr>
        <w:t xml:space="preserve"> tryk forbliver ukontrolleret. Risikofaktorer for udvikling af akut snævervinklet </w:t>
      </w:r>
      <w:proofErr w:type="spellStart"/>
      <w:r w:rsidRPr="00E5797D">
        <w:rPr>
          <w:snapToGrid w:val="0"/>
          <w:sz w:val="24"/>
          <w:szCs w:val="24"/>
          <w:lang w:eastAsia="da-DK"/>
        </w:rPr>
        <w:t>glaukom</w:t>
      </w:r>
      <w:proofErr w:type="spellEnd"/>
      <w:r w:rsidRPr="00E5797D">
        <w:rPr>
          <w:snapToGrid w:val="0"/>
          <w:sz w:val="24"/>
          <w:szCs w:val="24"/>
          <w:lang w:eastAsia="da-DK"/>
        </w:rPr>
        <w:t xml:space="preserve"> kan omfatte sulfonamid- eller penicillinallergi i anamnesen.</w:t>
      </w:r>
    </w:p>
    <w:p w:rsidR="001C13F5" w:rsidRPr="003A4FF3" w:rsidRDefault="001C13F5" w:rsidP="001C13F5">
      <w:pPr>
        <w:ind w:left="851"/>
        <w:rPr>
          <w:snapToGrid w:val="0"/>
          <w:sz w:val="24"/>
          <w:szCs w:val="24"/>
          <w:u w:val="single"/>
          <w:lang w:eastAsia="da-DK"/>
        </w:rPr>
      </w:pPr>
    </w:p>
    <w:p w:rsidR="001C13F5" w:rsidRPr="003A4FF3" w:rsidRDefault="001C13F5" w:rsidP="001C13F5">
      <w:pPr>
        <w:ind w:left="851"/>
        <w:rPr>
          <w:snapToGrid w:val="0"/>
          <w:sz w:val="24"/>
          <w:szCs w:val="24"/>
          <w:u w:val="single"/>
          <w:lang w:eastAsia="da-DK"/>
        </w:rPr>
      </w:pPr>
      <w:r w:rsidRPr="003A4FF3">
        <w:rPr>
          <w:snapToGrid w:val="0"/>
          <w:sz w:val="24"/>
          <w:szCs w:val="24"/>
          <w:u w:val="single"/>
          <w:lang w:eastAsia="da-DK"/>
        </w:rPr>
        <w:t xml:space="preserve">Metaboliske virkninger </w:t>
      </w: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Som andre </w:t>
      </w:r>
      <w:proofErr w:type="spellStart"/>
      <w:r w:rsidRPr="003A4FF3">
        <w:rPr>
          <w:snapToGrid w:val="0"/>
          <w:sz w:val="24"/>
          <w:szCs w:val="24"/>
          <w:lang w:eastAsia="da-DK"/>
        </w:rPr>
        <w:t>diuretika</w:t>
      </w:r>
      <w:proofErr w:type="spellEnd"/>
      <w:r w:rsidRPr="003A4FF3">
        <w:rPr>
          <w:snapToGrid w:val="0"/>
          <w:sz w:val="24"/>
          <w:szCs w:val="24"/>
          <w:lang w:eastAsia="da-DK"/>
        </w:rPr>
        <w:t xml:space="preserve"> kan </w:t>
      </w:r>
      <w:proofErr w:type="spellStart"/>
      <w:r w:rsidR="00FE219F">
        <w:rPr>
          <w:snapToGrid w:val="0"/>
          <w:sz w:val="24"/>
          <w:szCs w:val="24"/>
          <w:lang w:eastAsia="da-DK"/>
        </w:rPr>
        <w:t>Metolazone</w:t>
      </w:r>
      <w:proofErr w:type="spellEnd"/>
      <w:r w:rsidR="00FE219F">
        <w:rPr>
          <w:snapToGrid w:val="0"/>
          <w:sz w:val="24"/>
          <w:szCs w:val="24"/>
          <w:lang w:eastAsia="da-DK"/>
        </w:rPr>
        <w:t xml:space="preserve"> </w:t>
      </w:r>
      <w:proofErr w:type="spellStart"/>
      <w:r w:rsidR="00FE219F">
        <w:rPr>
          <w:snapToGrid w:val="0"/>
          <w:sz w:val="24"/>
          <w:szCs w:val="24"/>
          <w:lang w:eastAsia="da-DK"/>
        </w:rPr>
        <w:t>Abcur</w:t>
      </w:r>
      <w:proofErr w:type="spellEnd"/>
      <w:r w:rsidRPr="003A4FF3">
        <w:rPr>
          <w:snapToGrid w:val="0"/>
          <w:sz w:val="24"/>
          <w:szCs w:val="24"/>
          <w:lang w:eastAsia="da-DK"/>
        </w:rPr>
        <w:t xml:space="preserve"> øge urinsyreindholdet i serum, hvilket i sjældne tilfælde kan føre til akutte anfald af </w:t>
      </w:r>
      <w:proofErr w:type="spellStart"/>
      <w:r w:rsidRPr="003A4FF3">
        <w:rPr>
          <w:snapToGrid w:val="0"/>
          <w:sz w:val="24"/>
          <w:szCs w:val="24"/>
          <w:lang w:eastAsia="da-DK"/>
        </w:rPr>
        <w:t>arthritis</w:t>
      </w:r>
      <w:proofErr w:type="spellEnd"/>
      <w:r w:rsidRPr="003A4FF3">
        <w:rPr>
          <w:snapToGrid w:val="0"/>
          <w:sz w:val="24"/>
          <w:szCs w:val="24"/>
          <w:lang w:eastAsia="da-DK"/>
        </w:rPr>
        <w:t xml:space="preserve"> </w:t>
      </w:r>
      <w:proofErr w:type="spellStart"/>
      <w:r w:rsidRPr="003A4FF3">
        <w:rPr>
          <w:snapToGrid w:val="0"/>
          <w:sz w:val="24"/>
          <w:szCs w:val="24"/>
          <w:lang w:eastAsia="da-DK"/>
        </w:rPr>
        <w:t>urica</w:t>
      </w:r>
      <w:proofErr w:type="spellEnd"/>
      <w:r w:rsidRPr="003A4FF3">
        <w:rPr>
          <w:snapToGrid w:val="0"/>
          <w:sz w:val="24"/>
          <w:szCs w:val="24"/>
          <w:lang w:eastAsia="da-DK"/>
        </w:rPr>
        <w:t>.</w:t>
      </w:r>
    </w:p>
    <w:p w:rsidR="001C13F5"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Ved forværring af tilstanden hos en patient med nyreinsufficiens, </w:t>
      </w:r>
      <w:proofErr w:type="spellStart"/>
      <w:r w:rsidRPr="003A4FF3">
        <w:rPr>
          <w:snapToGrid w:val="0"/>
          <w:sz w:val="24"/>
          <w:szCs w:val="24"/>
          <w:lang w:eastAsia="da-DK"/>
        </w:rPr>
        <w:t>oliguri</w:t>
      </w:r>
      <w:proofErr w:type="spellEnd"/>
      <w:r w:rsidRPr="003A4FF3">
        <w:rPr>
          <w:snapToGrid w:val="0"/>
          <w:sz w:val="24"/>
          <w:szCs w:val="24"/>
          <w:lang w:eastAsia="da-DK"/>
        </w:rPr>
        <w:t xml:space="preserve"> eller </w:t>
      </w:r>
      <w:proofErr w:type="spellStart"/>
      <w:r w:rsidRPr="003A4FF3">
        <w:rPr>
          <w:snapToGrid w:val="0"/>
          <w:sz w:val="24"/>
          <w:szCs w:val="24"/>
          <w:lang w:eastAsia="da-DK"/>
        </w:rPr>
        <w:t>azotæmi</w:t>
      </w:r>
      <w:proofErr w:type="spellEnd"/>
      <w:r w:rsidRPr="003A4FF3">
        <w:rPr>
          <w:snapToGrid w:val="0"/>
          <w:sz w:val="24"/>
          <w:szCs w:val="24"/>
          <w:lang w:eastAsia="da-DK"/>
        </w:rPr>
        <w:t xml:space="preserve"> bør behandlingen seponeres.</w:t>
      </w:r>
    </w:p>
    <w:p w:rsidR="001C13F5" w:rsidRPr="003A4FF3" w:rsidRDefault="001C13F5" w:rsidP="001C13F5">
      <w:pPr>
        <w:ind w:left="851"/>
        <w:rPr>
          <w:snapToGrid w:val="0"/>
          <w:sz w:val="24"/>
          <w:szCs w:val="24"/>
          <w:lang w:eastAsia="da-DK"/>
        </w:rPr>
      </w:pPr>
    </w:p>
    <w:p w:rsidR="001C13F5" w:rsidRPr="003A4FF3" w:rsidRDefault="00FE219F" w:rsidP="001C13F5">
      <w:pPr>
        <w:ind w:left="851"/>
        <w:rPr>
          <w:snapToGrid w:val="0"/>
          <w:sz w:val="24"/>
          <w:szCs w:val="24"/>
          <w:lang w:eastAsia="da-DK"/>
        </w:rPr>
      </w:pPr>
      <w:proofErr w:type="spellStart"/>
      <w:r>
        <w:rPr>
          <w:snapToGrid w:val="0"/>
          <w:sz w:val="24"/>
          <w:szCs w:val="24"/>
          <w:lang w:eastAsia="da-DK"/>
        </w:rPr>
        <w:t>Metolazone</w:t>
      </w:r>
      <w:proofErr w:type="spellEnd"/>
      <w:r>
        <w:rPr>
          <w:snapToGrid w:val="0"/>
          <w:sz w:val="24"/>
          <w:szCs w:val="24"/>
          <w:lang w:eastAsia="da-DK"/>
        </w:rPr>
        <w:t xml:space="preserve"> </w:t>
      </w:r>
      <w:proofErr w:type="spellStart"/>
      <w:r>
        <w:rPr>
          <w:snapToGrid w:val="0"/>
          <w:sz w:val="24"/>
          <w:szCs w:val="24"/>
          <w:lang w:eastAsia="da-DK"/>
        </w:rPr>
        <w:t>Abcur</w:t>
      </w:r>
      <w:proofErr w:type="spellEnd"/>
      <w:r w:rsidR="001C13F5" w:rsidRPr="003A4FF3">
        <w:rPr>
          <w:snapToGrid w:val="0"/>
          <w:sz w:val="24"/>
          <w:szCs w:val="24"/>
          <w:lang w:eastAsia="da-DK"/>
        </w:rPr>
        <w:t xml:space="preserve"> har kun ringe effekt på glukoseomsætningen. Hos diabetespatienter kan det være nødvendigt at justere diabetesbehandlingen. I tilfælde med latent diabetes kan der forekomme </w:t>
      </w:r>
      <w:proofErr w:type="spellStart"/>
      <w:r w:rsidR="001C13F5" w:rsidRPr="003A4FF3">
        <w:rPr>
          <w:snapToGrid w:val="0"/>
          <w:sz w:val="24"/>
          <w:szCs w:val="24"/>
          <w:lang w:eastAsia="da-DK"/>
        </w:rPr>
        <w:t>glykosuri</w:t>
      </w:r>
      <w:proofErr w:type="spellEnd"/>
      <w:r w:rsidR="001C13F5" w:rsidRPr="003A4FF3">
        <w:rPr>
          <w:snapToGrid w:val="0"/>
          <w:sz w:val="24"/>
          <w:szCs w:val="24"/>
          <w:lang w:eastAsia="da-DK"/>
        </w:rPr>
        <w:t xml:space="preserve"> og </w:t>
      </w:r>
      <w:proofErr w:type="spellStart"/>
      <w:r w:rsidR="001C13F5" w:rsidRPr="003A4FF3">
        <w:rPr>
          <w:snapToGrid w:val="0"/>
          <w:sz w:val="24"/>
          <w:szCs w:val="24"/>
          <w:lang w:eastAsia="da-DK"/>
        </w:rPr>
        <w:t>hyperglykæmi</w:t>
      </w:r>
      <w:proofErr w:type="spellEnd"/>
      <w:r w:rsidR="001C13F5" w:rsidRPr="003A4FF3">
        <w:rPr>
          <w:snapToGrid w:val="0"/>
          <w:sz w:val="24"/>
          <w:szCs w:val="24"/>
          <w:lang w:eastAsia="da-DK"/>
        </w:rPr>
        <w:t xml:space="preserve">. Blodsukkeret bør derfor kontrolleres regelmæssigt. Skønt der ikke er foretaget tilsvarende observationer for </w:t>
      </w:r>
      <w:proofErr w:type="spellStart"/>
      <w:r>
        <w:rPr>
          <w:snapToGrid w:val="0"/>
          <w:sz w:val="24"/>
          <w:szCs w:val="24"/>
          <w:lang w:eastAsia="da-DK"/>
        </w:rPr>
        <w:t>Metolazone</w:t>
      </w:r>
      <w:proofErr w:type="spellEnd"/>
      <w:r>
        <w:rPr>
          <w:snapToGrid w:val="0"/>
          <w:sz w:val="24"/>
          <w:szCs w:val="24"/>
          <w:lang w:eastAsia="da-DK"/>
        </w:rPr>
        <w:t xml:space="preserve"> </w:t>
      </w:r>
      <w:proofErr w:type="spellStart"/>
      <w:r>
        <w:rPr>
          <w:snapToGrid w:val="0"/>
          <w:sz w:val="24"/>
          <w:szCs w:val="24"/>
          <w:lang w:eastAsia="da-DK"/>
        </w:rPr>
        <w:t>Abcur</w:t>
      </w:r>
      <w:proofErr w:type="spellEnd"/>
      <w:r w:rsidR="001C13F5" w:rsidRPr="003A4FF3">
        <w:rPr>
          <w:snapToGrid w:val="0"/>
          <w:sz w:val="24"/>
          <w:szCs w:val="24"/>
          <w:lang w:eastAsia="da-DK"/>
        </w:rPr>
        <w:t xml:space="preserve">, er beslægtede </w:t>
      </w:r>
      <w:proofErr w:type="spellStart"/>
      <w:r w:rsidR="001C13F5" w:rsidRPr="003A4FF3">
        <w:rPr>
          <w:snapToGrid w:val="0"/>
          <w:sz w:val="24"/>
          <w:szCs w:val="24"/>
          <w:lang w:eastAsia="da-DK"/>
        </w:rPr>
        <w:t>diuretika</w:t>
      </w:r>
      <w:proofErr w:type="spellEnd"/>
      <w:r w:rsidR="001C13F5" w:rsidRPr="003A4FF3">
        <w:rPr>
          <w:snapToGrid w:val="0"/>
          <w:sz w:val="24"/>
          <w:szCs w:val="24"/>
          <w:lang w:eastAsia="da-DK"/>
        </w:rPr>
        <w:t xml:space="preserve"> beskrevet at øge responsen på noradrenalin.</w:t>
      </w:r>
    </w:p>
    <w:p w:rsidR="001C13F5" w:rsidRPr="003A4FF3"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Ubetydelige og delvis reversible stigninger i plasmakoncentrationen af totalkolesterol, triglycerider og LDL-kolesterol er observeret ved langtidsbehandling med </w:t>
      </w:r>
      <w:proofErr w:type="spellStart"/>
      <w:r w:rsidRPr="003A4FF3">
        <w:rPr>
          <w:snapToGrid w:val="0"/>
          <w:sz w:val="24"/>
          <w:szCs w:val="24"/>
          <w:lang w:eastAsia="da-DK"/>
        </w:rPr>
        <w:t>thiazider</w:t>
      </w:r>
      <w:proofErr w:type="spellEnd"/>
      <w:r w:rsidRPr="003A4FF3">
        <w:rPr>
          <w:snapToGrid w:val="0"/>
          <w:sz w:val="24"/>
          <w:szCs w:val="24"/>
          <w:lang w:eastAsia="da-DK"/>
        </w:rPr>
        <w:t xml:space="preserve"> og </w:t>
      </w:r>
      <w:proofErr w:type="spellStart"/>
      <w:r w:rsidRPr="003A4FF3">
        <w:rPr>
          <w:snapToGrid w:val="0"/>
          <w:sz w:val="24"/>
          <w:szCs w:val="24"/>
          <w:lang w:eastAsia="da-DK"/>
        </w:rPr>
        <w:t>thiazidlignende</w:t>
      </w:r>
      <w:proofErr w:type="spellEnd"/>
      <w:r w:rsidRPr="003A4FF3">
        <w:rPr>
          <w:snapToGrid w:val="0"/>
          <w:sz w:val="24"/>
          <w:szCs w:val="24"/>
          <w:lang w:eastAsia="da-DK"/>
        </w:rPr>
        <w:t xml:space="preserve"> </w:t>
      </w:r>
      <w:proofErr w:type="spellStart"/>
      <w:r w:rsidRPr="003A4FF3">
        <w:rPr>
          <w:snapToGrid w:val="0"/>
          <w:sz w:val="24"/>
          <w:szCs w:val="24"/>
          <w:lang w:eastAsia="da-DK"/>
        </w:rPr>
        <w:t>diuretika</w:t>
      </w:r>
      <w:proofErr w:type="spellEnd"/>
      <w:r w:rsidRPr="003A4FF3">
        <w:rPr>
          <w:snapToGrid w:val="0"/>
          <w:sz w:val="24"/>
          <w:szCs w:val="24"/>
          <w:lang w:eastAsia="da-DK"/>
        </w:rPr>
        <w:t>. Den kliniske relevans af disse iagttagelser kendes ikke.</w:t>
      </w:r>
    </w:p>
    <w:p w:rsidR="001C13F5" w:rsidRDefault="001C13F5" w:rsidP="001C13F5">
      <w:pPr>
        <w:ind w:left="851"/>
        <w:rPr>
          <w:snapToGrid w:val="0"/>
          <w:sz w:val="24"/>
          <w:szCs w:val="24"/>
          <w:lang w:eastAsia="da-DK"/>
        </w:rPr>
      </w:pPr>
    </w:p>
    <w:p w:rsidR="001C13F5" w:rsidRDefault="001C13F5" w:rsidP="001C13F5">
      <w:pPr>
        <w:ind w:left="851"/>
        <w:rPr>
          <w:snapToGrid w:val="0"/>
          <w:sz w:val="24"/>
          <w:szCs w:val="24"/>
          <w:lang w:eastAsia="da-DK"/>
        </w:rPr>
      </w:pPr>
      <w:r w:rsidRPr="003A4FF3">
        <w:rPr>
          <w:snapToGrid w:val="0"/>
          <w:sz w:val="24"/>
          <w:szCs w:val="24"/>
          <w:lang w:eastAsia="da-DK"/>
        </w:rPr>
        <w:t xml:space="preserve">Dette produkt indeholder </w:t>
      </w:r>
      <w:proofErr w:type="spellStart"/>
      <w:r w:rsidRPr="003A4FF3">
        <w:rPr>
          <w:snapToGrid w:val="0"/>
          <w:sz w:val="24"/>
          <w:szCs w:val="24"/>
          <w:lang w:eastAsia="da-DK"/>
        </w:rPr>
        <w:t>lactose</w:t>
      </w:r>
      <w:proofErr w:type="spellEnd"/>
      <w:r w:rsidRPr="003A4FF3">
        <w:rPr>
          <w:snapToGrid w:val="0"/>
          <w:sz w:val="24"/>
          <w:szCs w:val="24"/>
          <w:lang w:eastAsia="da-DK"/>
        </w:rPr>
        <w:t xml:space="preserve">. Dette lægemiddel bør ikke anvendes til patienter med </w:t>
      </w:r>
      <w:r>
        <w:rPr>
          <w:snapToGrid w:val="0"/>
          <w:sz w:val="24"/>
          <w:szCs w:val="24"/>
          <w:lang w:eastAsia="da-DK"/>
        </w:rPr>
        <w:t>sjælden</w:t>
      </w:r>
      <w:r w:rsidRPr="003A4FF3">
        <w:rPr>
          <w:snapToGrid w:val="0"/>
          <w:sz w:val="24"/>
          <w:szCs w:val="24"/>
          <w:lang w:eastAsia="da-DK"/>
        </w:rPr>
        <w:t xml:space="preserve">hereditær </w:t>
      </w:r>
      <w:proofErr w:type="spellStart"/>
      <w:r w:rsidRPr="003A4FF3">
        <w:rPr>
          <w:snapToGrid w:val="0"/>
          <w:sz w:val="24"/>
          <w:szCs w:val="24"/>
          <w:lang w:eastAsia="da-DK"/>
        </w:rPr>
        <w:t>galaktoseintolerans</w:t>
      </w:r>
      <w:proofErr w:type="spellEnd"/>
      <w:r w:rsidRPr="003A4FF3">
        <w:rPr>
          <w:snapToGrid w:val="0"/>
          <w:sz w:val="24"/>
          <w:szCs w:val="24"/>
          <w:lang w:eastAsia="da-DK"/>
        </w:rPr>
        <w:t xml:space="preserve">, total </w:t>
      </w:r>
      <w:proofErr w:type="spellStart"/>
      <w:r w:rsidRPr="003A4FF3">
        <w:rPr>
          <w:snapToGrid w:val="0"/>
          <w:sz w:val="24"/>
          <w:szCs w:val="24"/>
          <w:lang w:eastAsia="da-DK"/>
        </w:rPr>
        <w:t>lactasemangel</w:t>
      </w:r>
      <w:proofErr w:type="spellEnd"/>
      <w:r w:rsidRPr="003A4FF3">
        <w:rPr>
          <w:snapToGrid w:val="0"/>
          <w:sz w:val="24"/>
          <w:szCs w:val="24"/>
          <w:lang w:eastAsia="da-DK"/>
        </w:rPr>
        <w:t xml:space="preserve"> eller glukose-/</w:t>
      </w:r>
      <w:proofErr w:type="spellStart"/>
      <w:r w:rsidRPr="003A4FF3">
        <w:rPr>
          <w:snapToGrid w:val="0"/>
          <w:sz w:val="24"/>
          <w:szCs w:val="24"/>
          <w:lang w:eastAsia="da-DK"/>
        </w:rPr>
        <w:t>galaktosemalabsorption</w:t>
      </w:r>
      <w:proofErr w:type="spellEnd"/>
      <w:r w:rsidRPr="003A4FF3">
        <w:rPr>
          <w:snapToGrid w:val="0"/>
          <w:sz w:val="24"/>
          <w:szCs w:val="24"/>
          <w:lang w:eastAsia="da-DK"/>
        </w:rPr>
        <w:t>.</w:t>
      </w:r>
    </w:p>
    <w:p w:rsidR="001C13F5" w:rsidRDefault="001C13F5" w:rsidP="001C13F5">
      <w:pPr>
        <w:ind w:left="851"/>
        <w:rPr>
          <w:snapToGrid w:val="0"/>
          <w:sz w:val="24"/>
          <w:szCs w:val="24"/>
          <w:lang w:eastAsia="da-DK"/>
        </w:rPr>
      </w:pPr>
    </w:p>
    <w:p w:rsidR="001C13F5" w:rsidRPr="003A4FF3" w:rsidRDefault="001C13F5" w:rsidP="001C13F5">
      <w:pPr>
        <w:ind w:left="851"/>
        <w:rPr>
          <w:snapToGrid w:val="0"/>
          <w:sz w:val="24"/>
          <w:szCs w:val="24"/>
          <w:lang w:eastAsia="da-DK"/>
        </w:rPr>
      </w:pPr>
      <w:r w:rsidRPr="00AC7D7C">
        <w:rPr>
          <w:snapToGrid w:val="0"/>
          <w:sz w:val="24"/>
          <w:szCs w:val="24"/>
          <w:lang w:eastAsia="da-DK"/>
        </w:rPr>
        <w:t>Dette lægemiddel indeholder mindre end 1 mmol natrium (23 mg) pr. tablet,</w:t>
      </w:r>
      <w:r>
        <w:rPr>
          <w:snapToGrid w:val="0"/>
          <w:sz w:val="24"/>
          <w:szCs w:val="24"/>
          <w:lang w:eastAsia="da-DK"/>
        </w:rPr>
        <w:t xml:space="preserve"> det vil sige det er i det store hele </w:t>
      </w:r>
      <w:r w:rsidRPr="00AC7D7C">
        <w:rPr>
          <w:snapToGrid w:val="0"/>
          <w:sz w:val="24"/>
          <w:szCs w:val="24"/>
          <w:lang w:eastAsia="da-DK"/>
        </w:rPr>
        <w:t>natriumfrit.</w:t>
      </w:r>
    </w:p>
    <w:p w:rsidR="001C13F5" w:rsidRPr="003A4FF3" w:rsidRDefault="001C13F5" w:rsidP="001C13F5">
      <w:pPr>
        <w:ind w:left="851"/>
        <w:rPr>
          <w:noProof/>
          <w:sz w:val="24"/>
          <w:szCs w:val="24"/>
          <w:u w:val="single"/>
        </w:rPr>
      </w:pPr>
    </w:p>
    <w:p w:rsidR="001C13F5" w:rsidRPr="003A4FF3" w:rsidRDefault="001C13F5" w:rsidP="001C13F5">
      <w:pPr>
        <w:ind w:left="851"/>
        <w:rPr>
          <w:noProof/>
          <w:sz w:val="24"/>
          <w:szCs w:val="24"/>
          <w:u w:val="single"/>
        </w:rPr>
      </w:pPr>
      <w:r w:rsidRPr="003A4FF3">
        <w:rPr>
          <w:noProof/>
          <w:sz w:val="24"/>
          <w:szCs w:val="24"/>
          <w:u w:val="single"/>
        </w:rPr>
        <w:t>Pædiatrisk population</w:t>
      </w:r>
    </w:p>
    <w:p w:rsidR="001C13F5" w:rsidRPr="003A4FF3" w:rsidRDefault="001C13F5" w:rsidP="001C13F5">
      <w:pPr>
        <w:ind w:left="851"/>
        <w:rPr>
          <w:sz w:val="24"/>
          <w:szCs w:val="24"/>
        </w:rPr>
      </w:pPr>
      <w:r w:rsidRPr="003A4FF3">
        <w:rPr>
          <w:sz w:val="24"/>
          <w:szCs w:val="24"/>
        </w:rPr>
        <w:lastRenderedPageBreak/>
        <w:t xml:space="preserve">Der er aktuelt ingen erfaringer med anvendelse af </w:t>
      </w:r>
      <w:proofErr w:type="spellStart"/>
      <w:r>
        <w:rPr>
          <w:sz w:val="24"/>
          <w:szCs w:val="24"/>
        </w:rPr>
        <w:t>metolazone</w:t>
      </w:r>
      <w:proofErr w:type="spellEnd"/>
      <w:r w:rsidRPr="003A4FF3">
        <w:rPr>
          <w:sz w:val="24"/>
          <w:szCs w:val="24"/>
        </w:rPr>
        <w:t xml:space="preserve"> hos patienter under 16 år. </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4.5</w:t>
      </w:r>
      <w:r w:rsidRPr="003A4FF3">
        <w:rPr>
          <w:b/>
          <w:sz w:val="24"/>
          <w:szCs w:val="24"/>
        </w:rPr>
        <w:tab/>
        <w:t>Interaktion med andre lægemidler og andre former for interaktion</w:t>
      </w:r>
    </w:p>
    <w:p w:rsidR="0024075F" w:rsidRPr="003A4FF3" w:rsidRDefault="0024075F" w:rsidP="0024075F">
      <w:pPr>
        <w:ind w:left="851"/>
        <w:rPr>
          <w:noProof/>
          <w:sz w:val="24"/>
          <w:szCs w:val="24"/>
        </w:rPr>
      </w:pPr>
      <w:r w:rsidRPr="003A4FF3">
        <w:rPr>
          <w:noProof/>
          <w:sz w:val="24"/>
          <w:szCs w:val="24"/>
        </w:rPr>
        <w:t xml:space="preserve">Det vides ikke, om </w:t>
      </w:r>
      <w:r>
        <w:rPr>
          <w:noProof/>
          <w:sz w:val="24"/>
          <w:szCs w:val="24"/>
        </w:rPr>
        <w:t>metolazone</w:t>
      </w:r>
      <w:r w:rsidRPr="003A4FF3">
        <w:rPr>
          <w:noProof/>
          <w:sz w:val="24"/>
          <w:szCs w:val="24"/>
        </w:rPr>
        <w:t xml:space="preserve"> kan påvirke plasmakoncentrationerne af samtidigt administrerede lægemidler ved hæmning eller induktion af metaboliserende enzymer såsom cytokrom (CYP) P450. Forsigtighed tilrådes derfor ved samtidig administration af CYP450-substrater med snævert terapeutisk indeks.</w:t>
      </w:r>
    </w:p>
    <w:p w:rsidR="0024075F" w:rsidRPr="003A4FF3" w:rsidRDefault="0024075F" w:rsidP="0024075F">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Skønt der ikke er foretaget tilsvarende observationer for </w:t>
      </w:r>
      <w:r w:rsidR="00FE219F">
        <w:rPr>
          <w:noProof/>
          <w:sz w:val="24"/>
          <w:szCs w:val="24"/>
        </w:rPr>
        <w:t>Metolazone Abcur</w:t>
      </w:r>
      <w:r w:rsidRPr="003A4FF3">
        <w:rPr>
          <w:noProof/>
          <w:sz w:val="24"/>
          <w:szCs w:val="24"/>
        </w:rPr>
        <w:t>, er beslægtede diuretika beskrevet at øge responsen på tubocurarin og reducere den arterielle respons på noradrenalin.</w:t>
      </w:r>
      <w:r>
        <w:rPr>
          <w:noProof/>
          <w:sz w:val="24"/>
          <w:szCs w:val="24"/>
        </w:rPr>
        <w:t xml:space="preserve"> </w:t>
      </w:r>
      <w:r w:rsidRPr="003A4FF3">
        <w:rPr>
          <w:noProof/>
          <w:sz w:val="24"/>
          <w:szCs w:val="24"/>
        </w:rPr>
        <w:t xml:space="preserve">Dosis af </w:t>
      </w:r>
      <w:r w:rsidR="00FE219F">
        <w:rPr>
          <w:noProof/>
          <w:sz w:val="24"/>
          <w:szCs w:val="24"/>
        </w:rPr>
        <w:t>Metolazone Abcur</w:t>
      </w:r>
      <w:r w:rsidRPr="003A4FF3">
        <w:rPr>
          <w:noProof/>
          <w:sz w:val="24"/>
          <w:szCs w:val="24"/>
        </w:rPr>
        <w:t xml:space="preserve"> bør derfor justeres nøje til patienter, der skal opereres. </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På grund af risikoen for hypot</w:t>
      </w:r>
      <w:r>
        <w:rPr>
          <w:noProof/>
          <w:sz w:val="24"/>
          <w:szCs w:val="24"/>
        </w:rPr>
        <w:t>ension</w:t>
      </w:r>
      <w:r w:rsidRPr="003A4FF3">
        <w:rPr>
          <w:noProof/>
          <w:sz w:val="24"/>
          <w:szCs w:val="24"/>
        </w:rPr>
        <w:t xml:space="preserve">, især i den initiale fase, er forsigtighed ved samtidig administration af </w:t>
      </w:r>
      <w:r>
        <w:rPr>
          <w:noProof/>
          <w:sz w:val="24"/>
          <w:szCs w:val="24"/>
        </w:rPr>
        <w:t>metolazone</w:t>
      </w:r>
      <w:r w:rsidRPr="003A4FF3">
        <w:rPr>
          <w:noProof/>
          <w:sz w:val="24"/>
          <w:szCs w:val="24"/>
        </w:rPr>
        <w:t xml:space="preserve"> og antihypertensiva af afgørende betydning. Om nødvendigt bør doseringen justeres.</w:t>
      </w:r>
    </w:p>
    <w:p w:rsidR="001C13F5"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Ortostatisk hypot</w:t>
      </w:r>
      <w:r>
        <w:rPr>
          <w:noProof/>
          <w:sz w:val="24"/>
          <w:szCs w:val="24"/>
        </w:rPr>
        <w:t>ension</w:t>
      </w:r>
      <w:r w:rsidRPr="003A4FF3">
        <w:rPr>
          <w:noProof/>
          <w:sz w:val="24"/>
          <w:szCs w:val="24"/>
        </w:rPr>
        <w:t xml:space="preserve"> kan forekomme under behandling med </w:t>
      </w:r>
      <w:r>
        <w:rPr>
          <w:noProof/>
          <w:sz w:val="24"/>
          <w:szCs w:val="24"/>
        </w:rPr>
        <w:t>metolazone</w:t>
      </w:r>
      <w:r w:rsidRPr="003A4FF3">
        <w:rPr>
          <w:noProof/>
          <w:sz w:val="24"/>
          <w:szCs w:val="24"/>
        </w:rPr>
        <w:t>. Denne virkning forstærkes af alkohol, barbiturater og narkotika.</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Samtidig anvendelse af furosemid og formodentlig også andre loop-diuretika kan øge virkningen af </w:t>
      </w:r>
      <w:r>
        <w:rPr>
          <w:noProof/>
          <w:sz w:val="24"/>
          <w:szCs w:val="24"/>
        </w:rPr>
        <w:t>metolazone</w:t>
      </w:r>
      <w:r w:rsidRPr="003A4FF3">
        <w:rPr>
          <w:noProof/>
          <w:sz w:val="24"/>
          <w:szCs w:val="24"/>
        </w:rPr>
        <w:t xml:space="preserve"> betydeligt og føre til </w:t>
      </w:r>
      <w:bookmarkStart w:id="0" w:name="_Hlk525812383"/>
      <w:r w:rsidRPr="003A4FF3">
        <w:rPr>
          <w:noProof/>
          <w:sz w:val="24"/>
          <w:szCs w:val="24"/>
        </w:rPr>
        <w:t>alvorlige forstyrrelser af elektrolytbalancen.</w:t>
      </w:r>
      <w:bookmarkEnd w:id="0"/>
      <w:r w:rsidRPr="003A4FF3">
        <w:rPr>
          <w:noProof/>
          <w:sz w:val="24"/>
          <w:szCs w:val="24"/>
        </w:rPr>
        <w:t xml:space="preserve"> </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Ved samtidig administration af digitalis-lægemidler bør doseringen justeres (se pkt. 4.4.).</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Hypokaliæmi i forbindelse med thiazidbehandling antages at øge risikoen for sotalol-induceret arytmi (synkope, forlænget QT</w:t>
      </w:r>
      <w:r w:rsidRPr="003A4FF3">
        <w:rPr>
          <w:noProof/>
          <w:sz w:val="24"/>
          <w:szCs w:val="24"/>
        </w:rPr>
        <w:noBreakHyphen/>
        <w:t>interval).</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Kortikosteroider og ACTH kan øge risikoen for hypokaliæmi og forstærke elektrolyt- og væskeretention. </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NSAID kan hæmme virkningen af </w:t>
      </w:r>
      <w:r>
        <w:rPr>
          <w:noProof/>
          <w:sz w:val="24"/>
          <w:szCs w:val="24"/>
        </w:rPr>
        <w:t>metolazone</w:t>
      </w:r>
      <w:r w:rsidRPr="003A4FF3">
        <w:rPr>
          <w:noProof/>
          <w:sz w:val="24"/>
          <w:szCs w:val="24"/>
        </w:rPr>
        <w:t>.</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Der er beskrevet forringelse af nyrefunktionen ved samtidig administrering af ACE-hæmmere, angiotensin-II-antagonister, aldosteronantagonister og NSAID. </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Pr>
          <w:noProof/>
          <w:sz w:val="24"/>
          <w:szCs w:val="24"/>
        </w:rPr>
        <w:t>Metolazone</w:t>
      </w:r>
      <w:r w:rsidRPr="003A4FF3">
        <w:rPr>
          <w:noProof/>
          <w:sz w:val="24"/>
          <w:szCs w:val="24"/>
        </w:rPr>
        <w:t xml:space="preserve"> kan øge indholdet af lithium i serum (se pkt. 4.4).</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Pr>
          <w:noProof/>
          <w:sz w:val="24"/>
          <w:szCs w:val="24"/>
        </w:rPr>
        <w:t>Metolazone</w:t>
      </w:r>
      <w:r w:rsidRPr="003A4FF3">
        <w:rPr>
          <w:noProof/>
          <w:sz w:val="24"/>
          <w:szCs w:val="24"/>
        </w:rPr>
        <w:t xml:space="preserve"> kan øge blodsukkeret, hvilket hos patienter med diabetes mellitus eller latent diabetes mellitus kan medføre hyperglykæmi og glukosuri. </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Samtidig administration af </w:t>
      </w:r>
      <w:r>
        <w:rPr>
          <w:noProof/>
          <w:sz w:val="24"/>
          <w:szCs w:val="24"/>
        </w:rPr>
        <w:t>metolazone</w:t>
      </w:r>
      <w:r w:rsidRPr="003A4FF3">
        <w:rPr>
          <w:noProof/>
          <w:sz w:val="24"/>
          <w:szCs w:val="24"/>
        </w:rPr>
        <w:t xml:space="preserve"> og ciclosporin kan medføre stigning i serumkreatinin.</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 xml:space="preserve">Det er beskrevet, at samtidig brug af </w:t>
      </w:r>
      <w:r>
        <w:rPr>
          <w:noProof/>
          <w:sz w:val="24"/>
          <w:szCs w:val="24"/>
        </w:rPr>
        <w:t>metolazone</w:t>
      </w:r>
      <w:r w:rsidRPr="003A4FF3">
        <w:rPr>
          <w:noProof/>
          <w:sz w:val="24"/>
          <w:szCs w:val="24"/>
        </w:rPr>
        <w:t xml:space="preserve"> og warfarin kan føre til forlænget blødningstid.</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rPr>
      </w:pPr>
      <w:r w:rsidRPr="003A4FF3">
        <w:rPr>
          <w:noProof/>
          <w:sz w:val="24"/>
          <w:szCs w:val="24"/>
        </w:rPr>
        <w:t>Virkningen på samtidig fødeindtagelse er ikke undersøgt (se pkt. 4.2).</w:t>
      </w:r>
    </w:p>
    <w:p w:rsidR="0024075F" w:rsidRPr="003A4FF3" w:rsidRDefault="0024075F" w:rsidP="0024075F">
      <w:pPr>
        <w:tabs>
          <w:tab w:val="left" w:pos="851"/>
        </w:tabs>
        <w:ind w:left="851" w:hanging="851"/>
        <w:rPr>
          <w:sz w:val="24"/>
          <w:szCs w:val="24"/>
        </w:rPr>
      </w:pPr>
    </w:p>
    <w:p w:rsidR="001C13F5" w:rsidRPr="003A4FF3" w:rsidRDefault="0024075F" w:rsidP="001C13F5">
      <w:pPr>
        <w:tabs>
          <w:tab w:val="left" w:pos="851"/>
        </w:tabs>
        <w:ind w:left="851" w:hanging="851"/>
        <w:rPr>
          <w:b/>
          <w:sz w:val="24"/>
          <w:szCs w:val="24"/>
        </w:rPr>
      </w:pPr>
      <w:r w:rsidRPr="003A4FF3">
        <w:rPr>
          <w:b/>
          <w:sz w:val="24"/>
          <w:szCs w:val="24"/>
        </w:rPr>
        <w:t>4.6</w:t>
      </w:r>
      <w:r w:rsidRPr="003A4FF3">
        <w:rPr>
          <w:b/>
          <w:sz w:val="24"/>
          <w:szCs w:val="24"/>
        </w:rPr>
        <w:tab/>
      </w:r>
      <w:r w:rsidR="009F58F1">
        <w:rPr>
          <w:b/>
          <w:sz w:val="24"/>
          <w:szCs w:val="24"/>
        </w:rPr>
        <w:t>G</w:t>
      </w:r>
      <w:r w:rsidR="001C13F5" w:rsidRPr="003A4FF3">
        <w:rPr>
          <w:b/>
          <w:sz w:val="24"/>
          <w:szCs w:val="24"/>
        </w:rPr>
        <w:t>raviditet og amning</w:t>
      </w:r>
    </w:p>
    <w:p w:rsidR="001C13F5" w:rsidRPr="003A4FF3" w:rsidRDefault="001C13F5" w:rsidP="001C13F5">
      <w:pPr>
        <w:ind w:left="851" w:hanging="851"/>
        <w:rPr>
          <w:noProof/>
          <w:sz w:val="24"/>
          <w:szCs w:val="24"/>
          <w:u w:val="single"/>
        </w:rPr>
      </w:pPr>
    </w:p>
    <w:p w:rsidR="001C13F5" w:rsidRPr="003A4FF3" w:rsidRDefault="001C13F5" w:rsidP="001C13F5">
      <w:pPr>
        <w:ind w:left="851"/>
        <w:rPr>
          <w:noProof/>
          <w:sz w:val="24"/>
          <w:szCs w:val="24"/>
          <w:u w:val="single"/>
        </w:rPr>
      </w:pPr>
      <w:r w:rsidRPr="003A4FF3">
        <w:rPr>
          <w:noProof/>
          <w:sz w:val="24"/>
          <w:szCs w:val="24"/>
          <w:u w:val="single"/>
        </w:rPr>
        <w:lastRenderedPageBreak/>
        <w:t>Graviditet</w:t>
      </w:r>
    </w:p>
    <w:p w:rsidR="001C13F5" w:rsidRPr="003A4FF3" w:rsidRDefault="001C13F5" w:rsidP="001C13F5">
      <w:pPr>
        <w:ind w:left="851"/>
        <w:rPr>
          <w:noProof/>
          <w:sz w:val="24"/>
          <w:szCs w:val="24"/>
        </w:rPr>
      </w:pPr>
      <w:r w:rsidRPr="003A4FF3">
        <w:rPr>
          <w:noProof/>
          <w:sz w:val="24"/>
          <w:szCs w:val="24"/>
        </w:rPr>
        <w:t xml:space="preserve">Thiaziddiuretika og beslægtede diuretika kan passere over til fosteret og forårsage elektrolytforstyrrelser. Der er beskrevet tilfælde af neonatal trombocytopeni. </w:t>
      </w:r>
      <w:r>
        <w:rPr>
          <w:noProof/>
          <w:sz w:val="24"/>
          <w:szCs w:val="24"/>
        </w:rPr>
        <w:t>Metolazone</w:t>
      </w:r>
      <w:r w:rsidRPr="003A4FF3">
        <w:rPr>
          <w:noProof/>
          <w:sz w:val="24"/>
          <w:szCs w:val="24"/>
        </w:rPr>
        <w:t xml:space="preserve"> må derfor ikke gives i sidste trimester af graviditeten, medmindre det er absolut nødvendigt, og i så fald i den laveste anbefalede dosis.</w:t>
      </w:r>
    </w:p>
    <w:p w:rsidR="001C13F5" w:rsidRPr="003A4FF3" w:rsidRDefault="001C13F5" w:rsidP="001C13F5">
      <w:pPr>
        <w:ind w:left="851"/>
        <w:rPr>
          <w:noProof/>
          <w:sz w:val="24"/>
          <w:szCs w:val="24"/>
        </w:rPr>
      </w:pPr>
    </w:p>
    <w:p w:rsidR="001C13F5" w:rsidRPr="003A4FF3" w:rsidRDefault="001C13F5" w:rsidP="001C13F5">
      <w:pPr>
        <w:ind w:left="851"/>
        <w:rPr>
          <w:noProof/>
          <w:sz w:val="24"/>
          <w:szCs w:val="24"/>
          <w:u w:val="single"/>
        </w:rPr>
      </w:pPr>
      <w:r w:rsidRPr="003A4FF3">
        <w:rPr>
          <w:noProof/>
          <w:sz w:val="24"/>
          <w:szCs w:val="24"/>
          <w:u w:val="single"/>
        </w:rPr>
        <w:t>Amning</w:t>
      </w:r>
    </w:p>
    <w:p w:rsidR="001C13F5" w:rsidRPr="003A4FF3" w:rsidRDefault="001C13F5" w:rsidP="001C13F5">
      <w:pPr>
        <w:ind w:left="851"/>
        <w:rPr>
          <w:noProof/>
          <w:sz w:val="24"/>
          <w:szCs w:val="24"/>
        </w:rPr>
      </w:pPr>
      <w:r>
        <w:rPr>
          <w:noProof/>
          <w:sz w:val="24"/>
          <w:szCs w:val="24"/>
        </w:rPr>
        <w:t>Metolazone</w:t>
      </w:r>
      <w:r w:rsidRPr="003A4FF3">
        <w:rPr>
          <w:noProof/>
          <w:sz w:val="24"/>
          <w:szCs w:val="24"/>
        </w:rPr>
        <w:t xml:space="preserve"> går over i modermælken i en sådan mængde, at der er risiko for barnet selv ved terapeutiske doser. Der er iagttaget hæmning af laktationen ved behandling med diuretika.</w:t>
      </w:r>
    </w:p>
    <w:p w:rsidR="001C13F5" w:rsidRDefault="001C13F5" w:rsidP="001C13F5">
      <w:pPr>
        <w:tabs>
          <w:tab w:val="left" w:pos="851"/>
        </w:tabs>
        <w:ind w:left="851" w:hanging="851"/>
        <w:rPr>
          <w:sz w:val="24"/>
          <w:szCs w:val="24"/>
        </w:rPr>
      </w:pPr>
    </w:p>
    <w:p w:rsidR="001C13F5" w:rsidRPr="0046501D" w:rsidRDefault="001C13F5" w:rsidP="001C13F5">
      <w:pPr>
        <w:ind w:left="851"/>
        <w:rPr>
          <w:noProof/>
          <w:sz w:val="24"/>
          <w:szCs w:val="24"/>
        </w:rPr>
      </w:pPr>
      <w:r w:rsidRPr="00E5797D">
        <w:rPr>
          <w:noProof/>
          <w:sz w:val="24"/>
          <w:szCs w:val="24"/>
          <w:u w:val="single"/>
        </w:rPr>
        <w:t>Fertilitet</w:t>
      </w:r>
    </w:p>
    <w:p w:rsidR="001C13F5" w:rsidRDefault="001C13F5" w:rsidP="001C13F5">
      <w:pPr>
        <w:ind w:left="851"/>
        <w:rPr>
          <w:noProof/>
          <w:sz w:val="24"/>
          <w:szCs w:val="24"/>
        </w:rPr>
      </w:pPr>
      <w:r w:rsidRPr="0046501D">
        <w:rPr>
          <w:noProof/>
          <w:sz w:val="24"/>
          <w:szCs w:val="24"/>
        </w:rPr>
        <w:t xml:space="preserve">Der </w:t>
      </w:r>
      <w:r>
        <w:rPr>
          <w:noProof/>
          <w:sz w:val="24"/>
          <w:szCs w:val="24"/>
        </w:rPr>
        <w:t>foreligg</w:t>
      </w:r>
      <w:r w:rsidRPr="0046501D">
        <w:rPr>
          <w:noProof/>
          <w:sz w:val="24"/>
          <w:szCs w:val="24"/>
        </w:rPr>
        <w:t xml:space="preserve">er </w:t>
      </w:r>
      <w:r>
        <w:rPr>
          <w:noProof/>
          <w:sz w:val="24"/>
          <w:szCs w:val="24"/>
        </w:rPr>
        <w:t xml:space="preserve">på nuværende tidspunkt </w:t>
      </w:r>
      <w:r w:rsidRPr="0046501D">
        <w:rPr>
          <w:noProof/>
          <w:sz w:val="24"/>
          <w:szCs w:val="24"/>
        </w:rPr>
        <w:t>ingen data.</w:t>
      </w:r>
    </w:p>
    <w:p w:rsidR="0024075F" w:rsidRPr="003A4FF3" w:rsidRDefault="0024075F" w:rsidP="001C13F5">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4.7</w:t>
      </w:r>
      <w:r w:rsidRPr="003A4FF3">
        <w:rPr>
          <w:b/>
          <w:sz w:val="24"/>
          <w:szCs w:val="24"/>
        </w:rPr>
        <w:tab/>
        <w:t>Virkninger på evnen til at føre motorkøretøj eller betjene maskiner</w:t>
      </w:r>
    </w:p>
    <w:p w:rsidR="0024075F" w:rsidRPr="003A4FF3" w:rsidRDefault="0024075F" w:rsidP="0024075F">
      <w:pPr>
        <w:ind w:left="851"/>
        <w:rPr>
          <w:sz w:val="24"/>
          <w:szCs w:val="24"/>
        </w:rPr>
      </w:pPr>
      <w:r w:rsidRPr="003A4FF3">
        <w:rPr>
          <w:sz w:val="24"/>
          <w:szCs w:val="24"/>
        </w:rPr>
        <w:t>Ikke mærkning.</w:t>
      </w:r>
    </w:p>
    <w:p w:rsidR="0024075F" w:rsidRPr="003A4FF3" w:rsidRDefault="0024075F" w:rsidP="0024075F">
      <w:pPr>
        <w:ind w:left="851"/>
        <w:rPr>
          <w:sz w:val="24"/>
          <w:szCs w:val="24"/>
        </w:rPr>
      </w:pPr>
      <w:r w:rsidRPr="003A4FF3">
        <w:rPr>
          <w:sz w:val="24"/>
          <w:szCs w:val="24"/>
        </w:rPr>
        <w:t xml:space="preserve">Der er ikke udført undersøgelser. Imidlertid kan behandling med </w:t>
      </w:r>
      <w:proofErr w:type="spellStart"/>
      <w:r w:rsidR="00FE219F">
        <w:rPr>
          <w:sz w:val="24"/>
          <w:szCs w:val="24"/>
        </w:rPr>
        <w:t>Metolazone</w:t>
      </w:r>
      <w:proofErr w:type="spellEnd"/>
      <w:r w:rsidR="00FE219F">
        <w:rPr>
          <w:sz w:val="24"/>
          <w:szCs w:val="24"/>
        </w:rPr>
        <w:t xml:space="preserve"> </w:t>
      </w:r>
      <w:proofErr w:type="spellStart"/>
      <w:r w:rsidR="00FE219F">
        <w:rPr>
          <w:sz w:val="24"/>
          <w:szCs w:val="24"/>
        </w:rPr>
        <w:t>Abcur</w:t>
      </w:r>
      <w:proofErr w:type="spellEnd"/>
      <w:r w:rsidRPr="003A4FF3">
        <w:rPr>
          <w:sz w:val="24"/>
          <w:szCs w:val="24"/>
        </w:rPr>
        <w:t xml:space="preserve"> forårsage bivirkninger, som nedsætter evnen til at føre motorkøretøj og/eller at betjene maskiner, såsom træthed og svimmelhed.</w:t>
      </w:r>
    </w:p>
    <w:p w:rsidR="0024075F" w:rsidRPr="003A4FF3" w:rsidRDefault="0024075F" w:rsidP="0024075F">
      <w:pPr>
        <w:tabs>
          <w:tab w:val="left" w:pos="851"/>
        </w:tabs>
        <w:ind w:left="851" w:hanging="851"/>
        <w:rPr>
          <w:sz w:val="24"/>
          <w:szCs w:val="24"/>
        </w:rPr>
      </w:pPr>
    </w:p>
    <w:p w:rsidR="001C13F5" w:rsidRPr="001C13F5" w:rsidRDefault="0024075F" w:rsidP="001C13F5">
      <w:pPr>
        <w:tabs>
          <w:tab w:val="left" w:pos="851"/>
        </w:tabs>
        <w:ind w:left="851" w:hanging="851"/>
        <w:rPr>
          <w:b/>
          <w:sz w:val="24"/>
          <w:szCs w:val="24"/>
        </w:rPr>
      </w:pPr>
      <w:r w:rsidRPr="003A4FF3">
        <w:rPr>
          <w:b/>
          <w:sz w:val="24"/>
          <w:szCs w:val="24"/>
        </w:rPr>
        <w:t>4.8</w:t>
      </w:r>
      <w:r w:rsidRPr="003A4FF3">
        <w:rPr>
          <w:b/>
          <w:sz w:val="24"/>
          <w:szCs w:val="24"/>
        </w:rPr>
        <w:tab/>
        <w:t>Bivirkninger</w:t>
      </w:r>
    </w:p>
    <w:p w:rsidR="001C13F5" w:rsidRPr="003A4FF3" w:rsidRDefault="001C13F5" w:rsidP="001C13F5">
      <w:pPr>
        <w:ind w:left="851"/>
        <w:rPr>
          <w:sz w:val="24"/>
          <w:szCs w:val="24"/>
        </w:rPr>
      </w:pPr>
      <w:r w:rsidRPr="003A4FF3">
        <w:rPr>
          <w:sz w:val="24"/>
          <w:szCs w:val="24"/>
        </w:rPr>
        <w:t>Inden for systemorganklasserne er bivirkninger opført efter hyppighed (antal patienter der forventes at få bivirkningen) i følgende kategorier: Meget almindelig (≥1/10); almindelig (≥1/100 til &lt;1/10); ikke almindelig (≥1/1 000 til ≤1/100); sjælden (≥1/10 000 til ≤1/1 000); meget sjælden (≤1/10 000).</w:t>
      </w:r>
    </w:p>
    <w:p w:rsidR="001C13F5" w:rsidRPr="003A4FF3" w:rsidRDefault="001C13F5" w:rsidP="001C13F5">
      <w:pPr>
        <w:ind w:left="851" w:hanging="851"/>
        <w:rPr>
          <w:sz w:val="24"/>
          <w:szCs w:val="24"/>
        </w:rPr>
      </w:pPr>
    </w:p>
    <w:tbl>
      <w:tblPr>
        <w:tblW w:w="472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96"/>
      </w:tblGrid>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 xml:space="preserve">Systemorganklasse </w:t>
            </w:r>
          </w:p>
        </w:tc>
        <w:tc>
          <w:tcPr>
            <w:tcW w:w="2743" w:type="pct"/>
            <w:tcBorders>
              <w:top w:val="single" w:sz="4" w:space="0" w:color="auto"/>
              <w:left w:val="single" w:sz="4" w:space="0" w:color="auto"/>
              <w:bottom w:val="single" w:sz="4" w:space="0" w:color="auto"/>
              <w:right w:val="single" w:sz="4" w:space="0" w:color="auto"/>
            </w:tcBorders>
          </w:tcPr>
          <w:p w:rsidR="001C13F5" w:rsidRPr="003A4FF3" w:rsidRDefault="001C13F5" w:rsidP="0086382A">
            <w:pPr>
              <w:rPr>
                <w:b/>
                <w:sz w:val="24"/>
                <w:szCs w:val="24"/>
              </w:rPr>
            </w:pPr>
            <w:r>
              <w:rPr>
                <w:b/>
                <w:sz w:val="24"/>
                <w:szCs w:val="24"/>
              </w:rPr>
              <w:t>Bivirkning</w:t>
            </w:r>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Blod og lymfesystem</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Ikke 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Leukopeni</w:t>
            </w:r>
            <w:proofErr w:type="spellEnd"/>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Sjælden:</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Aplastisk</w:t>
            </w:r>
            <w:proofErr w:type="spellEnd"/>
            <w:r w:rsidRPr="003A4FF3">
              <w:rPr>
                <w:sz w:val="24"/>
                <w:szCs w:val="24"/>
              </w:rPr>
              <w:t xml:space="preserve"> eller </w:t>
            </w:r>
            <w:proofErr w:type="spellStart"/>
            <w:r w:rsidRPr="003A4FF3">
              <w:rPr>
                <w:sz w:val="24"/>
                <w:szCs w:val="24"/>
              </w:rPr>
              <w:t>hypoplastisk</w:t>
            </w:r>
            <w:proofErr w:type="spellEnd"/>
            <w:r w:rsidRPr="003A4FF3">
              <w:rPr>
                <w:sz w:val="24"/>
                <w:szCs w:val="24"/>
              </w:rPr>
              <w:t xml:space="preserve"> anæmi, </w:t>
            </w:r>
            <w:proofErr w:type="spellStart"/>
            <w:r w:rsidRPr="003A4FF3">
              <w:rPr>
                <w:sz w:val="24"/>
                <w:szCs w:val="24"/>
              </w:rPr>
              <w:t>agranulocytose</w:t>
            </w:r>
            <w:proofErr w:type="spellEnd"/>
            <w:r w:rsidRPr="003A4FF3">
              <w:rPr>
                <w:sz w:val="24"/>
                <w:szCs w:val="24"/>
              </w:rPr>
              <w:t xml:space="preserve">, </w:t>
            </w:r>
            <w:proofErr w:type="spellStart"/>
            <w:r w:rsidRPr="003A4FF3">
              <w:rPr>
                <w:sz w:val="24"/>
                <w:szCs w:val="24"/>
              </w:rPr>
              <w:t>trombocytopeni</w:t>
            </w:r>
            <w:proofErr w:type="spellEnd"/>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Metabolisme og ernæring</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Hypokaliæmi</w:t>
            </w:r>
            <w:proofErr w:type="spellEnd"/>
            <w:r w:rsidRPr="003A4FF3">
              <w:rPr>
                <w:sz w:val="24"/>
                <w:szCs w:val="24"/>
              </w:rPr>
              <w:t xml:space="preserve">, </w:t>
            </w:r>
            <w:proofErr w:type="spellStart"/>
            <w:r w:rsidRPr="003A4FF3">
              <w:rPr>
                <w:sz w:val="24"/>
                <w:szCs w:val="24"/>
              </w:rPr>
              <w:t>hyponatriæmi</w:t>
            </w:r>
            <w:proofErr w:type="spellEnd"/>
            <w:r w:rsidRPr="003A4FF3">
              <w:rPr>
                <w:sz w:val="24"/>
                <w:szCs w:val="24"/>
              </w:rPr>
              <w:t xml:space="preserve">, </w:t>
            </w:r>
            <w:proofErr w:type="spellStart"/>
            <w:r w:rsidRPr="003A4FF3">
              <w:rPr>
                <w:sz w:val="24"/>
                <w:szCs w:val="24"/>
              </w:rPr>
              <w:t>hypochloræmi</w:t>
            </w:r>
            <w:proofErr w:type="spellEnd"/>
            <w:r w:rsidRPr="003A4FF3">
              <w:rPr>
                <w:sz w:val="24"/>
                <w:szCs w:val="24"/>
              </w:rPr>
              <w:t xml:space="preserve">, </w:t>
            </w:r>
            <w:proofErr w:type="spellStart"/>
            <w:r w:rsidRPr="003A4FF3">
              <w:rPr>
                <w:sz w:val="24"/>
                <w:szCs w:val="24"/>
              </w:rPr>
              <w:t>hypochloræmisk</w:t>
            </w:r>
            <w:proofErr w:type="spellEnd"/>
            <w:r w:rsidRPr="003A4FF3">
              <w:rPr>
                <w:sz w:val="24"/>
                <w:szCs w:val="24"/>
              </w:rPr>
              <w:t xml:space="preserve"> </w:t>
            </w:r>
            <w:proofErr w:type="spellStart"/>
            <w:r w:rsidRPr="003A4FF3">
              <w:rPr>
                <w:sz w:val="24"/>
                <w:szCs w:val="24"/>
              </w:rPr>
              <w:t>alkalose</w:t>
            </w:r>
            <w:proofErr w:type="spellEnd"/>
            <w:r w:rsidRPr="003A4FF3">
              <w:rPr>
                <w:sz w:val="24"/>
                <w:szCs w:val="24"/>
              </w:rPr>
              <w:t xml:space="preserve">, </w:t>
            </w:r>
            <w:proofErr w:type="spellStart"/>
            <w:r w:rsidRPr="003A4FF3">
              <w:rPr>
                <w:sz w:val="24"/>
                <w:szCs w:val="24"/>
              </w:rPr>
              <w:t>hyperurikæmi</w:t>
            </w:r>
            <w:proofErr w:type="spellEnd"/>
            <w:r w:rsidRPr="003A4FF3">
              <w:rPr>
                <w:sz w:val="24"/>
                <w:szCs w:val="24"/>
              </w:rPr>
              <w:t xml:space="preserve">, </w:t>
            </w:r>
            <w:proofErr w:type="spellStart"/>
            <w:r w:rsidRPr="003A4FF3">
              <w:rPr>
                <w:sz w:val="24"/>
                <w:szCs w:val="24"/>
              </w:rPr>
              <w:t>hyperglykæmi</w:t>
            </w:r>
            <w:proofErr w:type="spellEnd"/>
            <w:r w:rsidRPr="003A4FF3">
              <w:rPr>
                <w:sz w:val="24"/>
                <w:szCs w:val="24"/>
              </w:rPr>
              <w:t xml:space="preserve">, </w:t>
            </w:r>
            <w:proofErr w:type="spellStart"/>
            <w:r w:rsidRPr="003A4FF3">
              <w:rPr>
                <w:sz w:val="24"/>
                <w:szCs w:val="24"/>
              </w:rPr>
              <w:t>glukosuri</w:t>
            </w:r>
            <w:proofErr w:type="spellEnd"/>
            <w:r w:rsidRPr="003A4FF3">
              <w:rPr>
                <w:sz w:val="24"/>
                <w:szCs w:val="24"/>
              </w:rPr>
              <w:t>, stigning i S-urinstof og S-</w:t>
            </w:r>
            <w:proofErr w:type="spellStart"/>
            <w:r w:rsidRPr="003A4FF3">
              <w:rPr>
                <w:sz w:val="24"/>
                <w:szCs w:val="24"/>
              </w:rPr>
              <w:t>kreatinin</w:t>
            </w:r>
            <w:proofErr w:type="spellEnd"/>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Sjælden:</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Hyperkalcæmi</w:t>
            </w:r>
            <w:proofErr w:type="spellEnd"/>
            <w:r w:rsidRPr="003A4FF3">
              <w:rPr>
                <w:sz w:val="24"/>
                <w:szCs w:val="24"/>
              </w:rPr>
              <w:t xml:space="preserve">, </w:t>
            </w:r>
            <w:proofErr w:type="spellStart"/>
            <w:r w:rsidRPr="003A4FF3">
              <w:rPr>
                <w:sz w:val="24"/>
                <w:szCs w:val="24"/>
              </w:rPr>
              <w:t>hypomagnesiæmi</w:t>
            </w:r>
            <w:proofErr w:type="spellEnd"/>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Mave-tarm-kanalen</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Kvalme, opkastning, kongestion, diarré</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b/>
                <w:sz w:val="24"/>
                <w:szCs w:val="24"/>
              </w:rPr>
            </w:pPr>
            <w:r w:rsidRPr="003A4FF3">
              <w:rPr>
                <w:b/>
                <w:sz w:val="24"/>
                <w:szCs w:val="24"/>
              </w:rPr>
              <w:t>Lever og galdeveje</w:t>
            </w:r>
          </w:p>
        </w:tc>
        <w:tc>
          <w:tcPr>
            <w:tcW w:w="2743" w:type="pct"/>
            <w:tcBorders>
              <w:top w:val="single" w:sz="4" w:space="0" w:color="auto"/>
              <w:left w:val="single" w:sz="4" w:space="0" w:color="auto"/>
              <w:bottom w:val="single" w:sz="4" w:space="0" w:color="auto"/>
              <w:right w:val="single" w:sz="4" w:space="0" w:color="auto"/>
            </w:tcBorders>
          </w:tcPr>
          <w:p w:rsidR="001C13F5" w:rsidRPr="003A4FF3" w:rsidRDefault="001C13F5" w:rsidP="0086382A">
            <w:pPr>
              <w:rPr>
                <w:sz w:val="24"/>
                <w:szCs w:val="24"/>
              </w:rPr>
            </w:pP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Sjælden:</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 xml:space="preserve">Hepatitis, </w:t>
            </w:r>
            <w:proofErr w:type="spellStart"/>
            <w:r w:rsidRPr="003A4FF3">
              <w:rPr>
                <w:sz w:val="24"/>
                <w:szCs w:val="24"/>
              </w:rPr>
              <w:t>intrahepatisk</w:t>
            </w:r>
            <w:proofErr w:type="spellEnd"/>
            <w:r w:rsidRPr="003A4FF3">
              <w:rPr>
                <w:sz w:val="24"/>
                <w:szCs w:val="24"/>
              </w:rPr>
              <w:t xml:space="preserve"> </w:t>
            </w:r>
            <w:proofErr w:type="spellStart"/>
            <w:r w:rsidRPr="003A4FF3">
              <w:rPr>
                <w:sz w:val="24"/>
                <w:szCs w:val="24"/>
              </w:rPr>
              <w:t>kolestase</w:t>
            </w:r>
            <w:proofErr w:type="spellEnd"/>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Hud og subkutane væv</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noProof/>
                <w:sz w:val="24"/>
                <w:szCs w:val="24"/>
              </w:rPr>
            </w:pPr>
            <w:r w:rsidRPr="003A4FF3">
              <w:rPr>
                <w:noProof/>
                <w:sz w:val="24"/>
                <w:szCs w:val="24"/>
              </w:rPr>
              <w:t>Ikke 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Eksantem</w:t>
            </w:r>
            <w:proofErr w:type="spellEnd"/>
            <w:r w:rsidRPr="003A4FF3">
              <w:rPr>
                <w:sz w:val="24"/>
                <w:szCs w:val="24"/>
              </w:rPr>
              <w:t xml:space="preserve">, herunder </w:t>
            </w:r>
            <w:proofErr w:type="spellStart"/>
            <w:r w:rsidRPr="003A4FF3">
              <w:rPr>
                <w:sz w:val="24"/>
                <w:szCs w:val="24"/>
              </w:rPr>
              <w:t>urticaria</w:t>
            </w:r>
            <w:proofErr w:type="spellEnd"/>
            <w:r w:rsidRPr="003A4FF3">
              <w:rPr>
                <w:sz w:val="24"/>
                <w:szCs w:val="24"/>
              </w:rPr>
              <w:t xml:space="preserve">, </w:t>
            </w:r>
            <w:proofErr w:type="spellStart"/>
            <w:r w:rsidRPr="003A4FF3">
              <w:rPr>
                <w:sz w:val="24"/>
                <w:szCs w:val="24"/>
              </w:rPr>
              <w:t>vaskulitis</w:t>
            </w:r>
            <w:proofErr w:type="spellEnd"/>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noProof/>
                <w:sz w:val="24"/>
                <w:szCs w:val="24"/>
              </w:rPr>
            </w:pPr>
            <w:r w:rsidRPr="003A4FF3">
              <w:rPr>
                <w:noProof/>
                <w:sz w:val="24"/>
                <w:szCs w:val="24"/>
              </w:rPr>
              <w:t>Sjælden:</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 xml:space="preserve">Toksisk </w:t>
            </w:r>
            <w:proofErr w:type="spellStart"/>
            <w:r w:rsidRPr="003A4FF3">
              <w:rPr>
                <w:sz w:val="24"/>
                <w:szCs w:val="24"/>
              </w:rPr>
              <w:t>epidermal</w:t>
            </w:r>
            <w:proofErr w:type="spellEnd"/>
            <w:r w:rsidRPr="003A4FF3">
              <w:rPr>
                <w:sz w:val="24"/>
                <w:szCs w:val="24"/>
              </w:rPr>
              <w:t xml:space="preserve"> </w:t>
            </w:r>
            <w:proofErr w:type="spellStart"/>
            <w:r w:rsidRPr="003A4FF3">
              <w:rPr>
                <w:sz w:val="24"/>
                <w:szCs w:val="24"/>
              </w:rPr>
              <w:t>nekrolyse</w:t>
            </w:r>
            <w:proofErr w:type="spellEnd"/>
            <w:r w:rsidRPr="003A4FF3">
              <w:rPr>
                <w:sz w:val="24"/>
                <w:szCs w:val="24"/>
              </w:rPr>
              <w:t xml:space="preserve"> (TEN)</w:t>
            </w:r>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b/>
                <w:sz w:val="24"/>
                <w:szCs w:val="24"/>
              </w:rPr>
            </w:pPr>
            <w:r w:rsidRPr="003A4FF3">
              <w:rPr>
                <w:b/>
                <w:noProof/>
                <w:sz w:val="24"/>
                <w:szCs w:val="24"/>
              </w:rPr>
              <w:t xml:space="preserve">Knogler, led, muskler og bindevæv </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Muskelkrampe</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Ikke 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proofErr w:type="spellStart"/>
            <w:r w:rsidRPr="003A4FF3">
              <w:rPr>
                <w:sz w:val="24"/>
                <w:szCs w:val="24"/>
              </w:rPr>
              <w:t>Arthritis</w:t>
            </w:r>
            <w:proofErr w:type="spellEnd"/>
            <w:r w:rsidRPr="003A4FF3">
              <w:rPr>
                <w:sz w:val="24"/>
                <w:szCs w:val="24"/>
              </w:rPr>
              <w:t xml:space="preserve"> </w:t>
            </w:r>
            <w:proofErr w:type="spellStart"/>
            <w:r w:rsidRPr="003A4FF3">
              <w:rPr>
                <w:sz w:val="24"/>
                <w:szCs w:val="24"/>
              </w:rPr>
              <w:t>urica</w:t>
            </w:r>
            <w:proofErr w:type="spellEnd"/>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Nyrer og urinveje</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Sjælden:</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Nyreinsufficiens (som følge af dehydrering)</w:t>
            </w:r>
          </w:p>
        </w:tc>
      </w:tr>
      <w:tr w:rsidR="001C13F5" w:rsidRPr="003A4FF3" w:rsidTr="0086382A">
        <w:tc>
          <w:tcPr>
            <w:tcW w:w="5000" w:type="pct"/>
            <w:gridSpan w:val="2"/>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b/>
                <w:sz w:val="24"/>
                <w:szCs w:val="24"/>
              </w:rPr>
              <w:t>Almene symptomer og reaktioner på administrationsstedet</w:t>
            </w:r>
          </w:p>
        </w:tc>
      </w:tr>
      <w:tr w:rsidR="001C13F5" w:rsidRPr="003A4FF3" w:rsidTr="0086382A">
        <w:tc>
          <w:tcPr>
            <w:tcW w:w="2257"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lastRenderedPageBreak/>
              <w:t>Almindelig:</w:t>
            </w:r>
          </w:p>
        </w:tc>
        <w:tc>
          <w:tcPr>
            <w:tcW w:w="2743" w:type="pct"/>
            <w:tcBorders>
              <w:top w:val="single" w:sz="4" w:space="0" w:color="auto"/>
              <w:left w:val="single" w:sz="4" w:space="0" w:color="auto"/>
              <w:bottom w:val="single" w:sz="4" w:space="0" w:color="auto"/>
              <w:right w:val="single" w:sz="4" w:space="0" w:color="auto"/>
            </w:tcBorders>
            <w:hideMark/>
          </w:tcPr>
          <w:p w:rsidR="001C13F5" w:rsidRPr="003A4FF3" w:rsidRDefault="001C13F5" w:rsidP="0086382A">
            <w:pPr>
              <w:rPr>
                <w:sz w:val="24"/>
                <w:szCs w:val="24"/>
              </w:rPr>
            </w:pPr>
            <w:r w:rsidRPr="003A4FF3">
              <w:rPr>
                <w:sz w:val="24"/>
                <w:szCs w:val="24"/>
              </w:rPr>
              <w:t>Hovedpine, svimmelhed, træthed</w:t>
            </w:r>
          </w:p>
        </w:tc>
      </w:tr>
    </w:tbl>
    <w:p w:rsidR="001C13F5" w:rsidRPr="003A4FF3" w:rsidRDefault="001C13F5" w:rsidP="001C13F5">
      <w:pPr>
        <w:ind w:left="851" w:hanging="851"/>
        <w:rPr>
          <w:sz w:val="24"/>
          <w:szCs w:val="24"/>
        </w:rPr>
      </w:pPr>
    </w:p>
    <w:p w:rsidR="001C13F5" w:rsidRPr="009E128C" w:rsidRDefault="001C13F5" w:rsidP="001C13F5">
      <w:pPr>
        <w:ind w:left="851"/>
        <w:rPr>
          <w:sz w:val="24"/>
          <w:szCs w:val="24"/>
        </w:rPr>
      </w:pPr>
      <w:r w:rsidRPr="00CA0946">
        <w:rPr>
          <w:sz w:val="24"/>
          <w:szCs w:val="24"/>
        </w:rPr>
        <w:t>Patienter med kendt allergi over for sulfonamider og derivater deraf kan udvise allergiske reaktioner.</w:t>
      </w:r>
    </w:p>
    <w:p w:rsidR="001C13F5" w:rsidRDefault="001C13F5" w:rsidP="001C13F5">
      <w:pPr>
        <w:rPr>
          <w:sz w:val="24"/>
          <w:szCs w:val="24"/>
        </w:rPr>
      </w:pPr>
    </w:p>
    <w:p w:rsidR="001C13F5" w:rsidRDefault="001C13F5" w:rsidP="001C13F5">
      <w:pPr>
        <w:ind w:left="851"/>
        <w:rPr>
          <w:sz w:val="24"/>
          <w:szCs w:val="24"/>
        </w:rPr>
      </w:pPr>
      <w:r>
        <w:rPr>
          <w:sz w:val="24"/>
          <w:szCs w:val="24"/>
        </w:rPr>
        <w:t>Beskrivelse af udvalgte bivirkninger</w:t>
      </w:r>
    </w:p>
    <w:p w:rsidR="001C13F5" w:rsidRDefault="001C13F5" w:rsidP="001C13F5">
      <w:pPr>
        <w:rPr>
          <w:sz w:val="24"/>
          <w:szCs w:val="24"/>
        </w:rPr>
      </w:pPr>
    </w:p>
    <w:p w:rsidR="001C13F5" w:rsidRPr="003A4FF3" w:rsidRDefault="001C13F5" w:rsidP="001C13F5">
      <w:pPr>
        <w:ind w:left="851"/>
        <w:rPr>
          <w:sz w:val="24"/>
          <w:szCs w:val="24"/>
        </w:rPr>
      </w:pPr>
      <w:r>
        <w:rPr>
          <w:sz w:val="24"/>
          <w:szCs w:val="24"/>
        </w:rPr>
        <w:t>Der er indberettet t</w:t>
      </w:r>
      <w:r w:rsidRPr="0046501D">
        <w:rPr>
          <w:sz w:val="24"/>
          <w:szCs w:val="24"/>
        </w:rPr>
        <w:t xml:space="preserve">ilfælde af </w:t>
      </w:r>
      <w:proofErr w:type="spellStart"/>
      <w:r>
        <w:rPr>
          <w:sz w:val="24"/>
          <w:szCs w:val="24"/>
        </w:rPr>
        <w:t>choroidal</w:t>
      </w:r>
      <w:proofErr w:type="spellEnd"/>
      <w:r w:rsidRPr="0046501D">
        <w:rPr>
          <w:sz w:val="24"/>
          <w:szCs w:val="24"/>
        </w:rPr>
        <w:t xml:space="preserve"> </w:t>
      </w:r>
      <w:proofErr w:type="spellStart"/>
      <w:r w:rsidRPr="0046501D">
        <w:rPr>
          <w:sz w:val="24"/>
          <w:szCs w:val="24"/>
        </w:rPr>
        <w:t>effusion</w:t>
      </w:r>
      <w:proofErr w:type="spellEnd"/>
      <w:r>
        <w:rPr>
          <w:sz w:val="24"/>
          <w:szCs w:val="24"/>
        </w:rPr>
        <w:t xml:space="preserve"> med synsfeltdefekt,</w:t>
      </w:r>
      <w:r>
        <w:t xml:space="preserve"> akut </w:t>
      </w:r>
      <w:proofErr w:type="spellStart"/>
      <w:r>
        <w:t>myopi</w:t>
      </w:r>
      <w:proofErr w:type="spellEnd"/>
      <w:r>
        <w:t xml:space="preserve"> og akut snævervinklet </w:t>
      </w:r>
      <w:proofErr w:type="spellStart"/>
      <w:r>
        <w:t>glaukom</w:t>
      </w:r>
      <w:proofErr w:type="spellEnd"/>
      <w:r>
        <w:t xml:space="preserve"> </w:t>
      </w:r>
      <w:r w:rsidRPr="0046501D">
        <w:rPr>
          <w:sz w:val="24"/>
          <w:szCs w:val="24"/>
        </w:rPr>
        <w:t xml:space="preserve">efter anvendelse af </w:t>
      </w:r>
      <w:proofErr w:type="spellStart"/>
      <w:r w:rsidRPr="0046501D">
        <w:rPr>
          <w:sz w:val="24"/>
          <w:szCs w:val="24"/>
        </w:rPr>
        <w:t>thiazid</w:t>
      </w:r>
      <w:proofErr w:type="spellEnd"/>
      <w:r w:rsidRPr="0046501D">
        <w:rPr>
          <w:sz w:val="24"/>
          <w:szCs w:val="24"/>
        </w:rPr>
        <w:t xml:space="preserve"> og </w:t>
      </w:r>
      <w:proofErr w:type="spellStart"/>
      <w:r w:rsidRPr="0046501D">
        <w:rPr>
          <w:sz w:val="24"/>
          <w:szCs w:val="24"/>
        </w:rPr>
        <w:t>thiazidlignende</w:t>
      </w:r>
      <w:proofErr w:type="spellEnd"/>
      <w:r w:rsidRPr="0046501D">
        <w:rPr>
          <w:sz w:val="24"/>
          <w:szCs w:val="24"/>
        </w:rPr>
        <w:t xml:space="preserve"> </w:t>
      </w:r>
      <w:proofErr w:type="spellStart"/>
      <w:r w:rsidRPr="0046501D">
        <w:rPr>
          <w:sz w:val="24"/>
          <w:szCs w:val="24"/>
        </w:rPr>
        <w:t>diuretika</w:t>
      </w:r>
      <w:proofErr w:type="spellEnd"/>
      <w:r w:rsidRPr="0046501D">
        <w:rPr>
          <w:sz w:val="24"/>
          <w:szCs w:val="24"/>
        </w:rPr>
        <w:t>.</w:t>
      </w:r>
    </w:p>
    <w:p w:rsidR="001C13F5" w:rsidRPr="003A4FF3" w:rsidRDefault="001C13F5" w:rsidP="001C13F5">
      <w:pPr>
        <w:ind w:left="851" w:hanging="851"/>
        <w:rPr>
          <w:i/>
          <w:noProof/>
          <w:sz w:val="24"/>
          <w:szCs w:val="24"/>
        </w:rPr>
      </w:pPr>
    </w:p>
    <w:p w:rsidR="001C13F5" w:rsidRPr="003A4FF3" w:rsidRDefault="001C13F5" w:rsidP="001C13F5">
      <w:pPr>
        <w:autoSpaceDE w:val="0"/>
        <w:autoSpaceDN w:val="0"/>
        <w:ind w:left="851"/>
        <w:rPr>
          <w:sz w:val="24"/>
          <w:szCs w:val="24"/>
          <w:u w:val="single"/>
        </w:rPr>
      </w:pPr>
      <w:r w:rsidRPr="003A4FF3">
        <w:rPr>
          <w:sz w:val="24"/>
          <w:szCs w:val="24"/>
          <w:u w:val="single"/>
        </w:rPr>
        <w:t>Indberetning af formodede bivirkninger</w:t>
      </w:r>
    </w:p>
    <w:p w:rsidR="001C13F5" w:rsidRPr="003A4FF3" w:rsidRDefault="001C13F5" w:rsidP="001C13F5">
      <w:pPr>
        <w:ind w:left="851"/>
        <w:rPr>
          <w:sz w:val="24"/>
          <w:szCs w:val="24"/>
        </w:rPr>
      </w:pPr>
      <w:r w:rsidRPr="003A4FF3">
        <w:rPr>
          <w:sz w:val="24"/>
          <w:szCs w:val="24"/>
        </w:rPr>
        <w:t>Når lægemidlet er godkendt, er indberetning af formodede bivirkninger vigtig. Det muliggør løbende overvågning af benefit/</w:t>
      </w:r>
      <w:proofErr w:type="spellStart"/>
      <w:r w:rsidRPr="003A4FF3">
        <w:rPr>
          <w:sz w:val="24"/>
          <w:szCs w:val="24"/>
        </w:rPr>
        <w:t>risk</w:t>
      </w:r>
      <w:proofErr w:type="spellEnd"/>
      <w:r w:rsidRPr="003A4FF3">
        <w:rPr>
          <w:sz w:val="24"/>
          <w:szCs w:val="24"/>
        </w:rPr>
        <w:t xml:space="preserve">-forholdet for lægemidlet. </w:t>
      </w:r>
      <w:r>
        <w:rPr>
          <w:sz w:val="24"/>
          <w:szCs w:val="24"/>
        </w:rPr>
        <w:t>S</w:t>
      </w:r>
      <w:r w:rsidRPr="003A4FF3">
        <w:rPr>
          <w:sz w:val="24"/>
          <w:szCs w:val="24"/>
        </w:rPr>
        <w:t>undhedsperson</w:t>
      </w:r>
      <w:r>
        <w:rPr>
          <w:sz w:val="24"/>
          <w:szCs w:val="24"/>
        </w:rPr>
        <w:t>er</w:t>
      </w:r>
      <w:r w:rsidRPr="003A4FF3">
        <w:rPr>
          <w:sz w:val="24"/>
          <w:szCs w:val="24"/>
        </w:rPr>
        <w:t xml:space="preserve"> anmodes om at indberette alle formodede bivirkninger via:</w:t>
      </w:r>
    </w:p>
    <w:p w:rsidR="001C13F5" w:rsidRPr="003A4FF3" w:rsidRDefault="001C13F5" w:rsidP="001C13F5">
      <w:pPr>
        <w:tabs>
          <w:tab w:val="left" w:pos="2440"/>
        </w:tabs>
        <w:ind w:left="851"/>
        <w:rPr>
          <w:sz w:val="24"/>
          <w:szCs w:val="24"/>
        </w:rPr>
      </w:pPr>
    </w:p>
    <w:p w:rsidR="001C13F5" w:rsidRPr="003A4FF3" w:rsidRDefault="001C13F5" w:rsidP="001C13F5">
      <w:pPr>
        <w:ind w:left="851"/>
        <w:rPr>
          <w:sz w:val="24"/>
          <w:szCs w:val="24"/>
        </w:rPr>
      </w:pPr>
      <w:r w:rsidRPr="003A4FF3">
        <w:rPr>
          <w:sz w:val="24"/>
          <w:szCs w:val="24"/>
        </w:rPr>
        <w:t>Lægemiddelstyrelsen</w:t>
      </w:r>
    </w:p>
    <w:p w:rsidR="001C13F5" w:rsidRPr="003A4FF3" w:rsidRDefault="001C13F5" w:rsidP="001C13F5">
      <w:pPr>
        <w:ind w:left="851"/>
        <w:rPr>
          <w:sz w:val="24"/>
          <w:szCs w:val="24"/>
        </w:rPr>
      </w:pPr>
      <w:r w:rsidRPr="003A4FF3">
        <w:rPr>
          <w:sz w:val="24"/>
          <w:szCs w:val="24"/>
        </w:rPr>
        <w:t>Axel Heides Gade 1</w:t>
      </w:r>
    </w:p>
    <w:p w:rsidR="001C13F5" w:rsidRPr="003A4FF3" w:rsidRDefault="001C13F5" w:rsidP="001C13F5">
      <w:pPr>
        <w:ind w:left="851"/>
        <w:rPr>
          <w:sz w:val="24"/>
          <w:szCs w:val="24"/>
        </w:rPr>
      </w:pPr>
      <w:r w:rsidRPr="003A4FF3">
        <w:rPr>
          <w:sz w:val="24"/>
          <w:szCs w:val="24"/>
        </w:rPr>
        <w:t>DK-2300 København S</w:t>
      </w:r>
    </w:p>
    <w:p w:rsidR="001C13F5" w:rsidRPr="0086382A" w:rsidRDefault="001C13F5" w:rsidP="001C13F5">
      <w:pPr>
        <w:ind w:left="851"/>
        <w:rPr>
          <w:sz w:val="24"/>
        </w:rPr>
      </w:pPr>
      <w:r w:rsidRPr="0086382A">
        <w:rPr>
          <w:sz w:val="24"/>
        </w:rPr>
        <w:t xml:space="preserve">Websted: </w:t>
      </w:r>
      <w:hyperlink r:id="rId8" w:history="1">
        <w:r w:rsidRPr="0086382A">
          <w:rPr>
            <w:rStyle w:val="Hyperlink"/>
            <w:sz w:val="24"/>
          </w:rPr>
          <w:t>www.meldenbivirkning.dk</w:t>
        </w:r>
      </w:hyperlink>
    </w:p>
    <w:p w:rsidR="0024075F" w:rsidRPr="0080056C" w:rsidRDefault="0024075F" w:rsidP="0024075F">
      <w:pPr>
        <w:pStyle w:val="Sidehoved"/>
        <w:tabs>
          <w:tab w:val="left" w:pos="851"/>
        </w:tabs>
        <w:ind w:left="851" w:hanging="851"/>
        <w:rPr>
          <w:szCs w:val="24"/>
        </w:rPr>
      </w:pPr>
    </w:p>
    <w:p w:rsidR="0024075F" w:rsidRPr="003A4FF3" w:rsidRDefault="0024075F" w:rsidP="0024075F">
      <w:pPr>
        <w:tabs>
          <w:tab w:val="left" w:pos="851"/>
        </w:tabs>
        <w:ind w:left="851" w:hanging="851"/>
        <w:rPr>
          <w:b/>
          <w:sz w:val="24"/>
          <w:szCs w:val="24"/>
        </w:rPr>
      </w:pPr>
      <w:r w:rsidRPr="003A4FF3">
        <w:rPr>
          <w:b/>
          <w:sz w:val="24"/>
          <w:szCs w:val="24"/>
        </w:rPr>
        <w:t>4.9</w:t>
      </w:r>
      <w:r w:rsidRPr="003A4FF3">
        <w:rPr>
          <w:b/>
          <w:sz w:val="24"/>
          <w:szCs w:val="24"/>
        </w:rPr>
        <w:tab/>
        <w:t>Overdosering</w:t>
      </w:r>
    </w:p>
    <w:p w:rsidR="0024075F" w:rsidRPr="003A4FF3" w:rsidRDefault="0024075F" w:rsidP="0024075F">
      <w:pPr>
        <w:ind w:left="851"/>
        <w:rPr>
          <w:sz w:val="24"/>
          <w:szCs w:val="24"/>
        </w:rPr>
      </w:pPr>
      <w:r w:rsidRPr="003A4FF3">
        <w:rPr>
          <w:i/>
          <w:sz w:val="24"/>
          <w:szCs w:val="24"/>
        </w:rPr>
        <w:t>Symptomer:</w:t>
      </w:r>
      <w:r w:rsidRPr="003A4FF3">
        <w:rPr>
          <w:sz w:val="24"/>
          <w:szCs w:val="24"/>
        </w:rPr>
        <w:t xml:space="preserve"> Overdosering kan føre til dehydrering og elektrolytforstyrrelser (primært </w:t>
      </w:r>
      <w:proofErr w:type="spellStart"/>
      <w:r w:rsidRPr="003A4FF3">
        <w:rPr>
          <w:sz w:val="24"/>
          <w:szCs w:val="24"/>
        </w:rPr>
        <w:t>hyponatriæmi</w:t>
      </w:r>
      <w:proofErr w:type="spellEnd"/>
      <w:r w:rsidRPr="003A4FF3">
        <w:rPr>
          <w:sz w:val="24"/>
          <w:szCs w:val="24"/>
        </w:rPr>
        <w:t xml:space="preserve">, men også tab af kalium og magnesium) og som følge heraf kan patienten opleve tørst, kvalme, opkastning, desorientering, </w:t>
      </w:r>
      <w:proofErr w:type="spellStart"/>
      <w:r w:rsidRPr="003A4FF3">
        <w:rPr>
          <w:sz w:val="24"/>
          <w:szCs w:val="24"/>
        </w:rPr>
        <w:t>somnolens</w:t>
      </w:r>
      <w:proofErr w:type="spellEnd"/>
      <w:r w:rsidRPr="003A4FF3">
        <w:rPr>
          <w:sz w:val="24"/>
          <w:szCs w:val="24"/>
        </w:rPr>
        <w:t xml:space="preserve">, hovedpine, muskelkramper, arteriel hypotension og i svære tilfælde </w:t>
      </w:r>
      <w:proofErr w:type="spellStart"/>
      <w:r w:rsidRPr="003A4FF3">
        <w:rPr>
          <w:sz w:val="24"/>
          <w:szCs w:val="24"/>
        </w:rPr>
        <w:t>hjertearytmi</w:t>
      </w:r>
      <w:proofErr w:type="spellEnd"/>
      <w:r w:rsidRPr="003A4FF3">
        <w:rPr>
          <w:sz w:val="24"/>
          <w:szCs w:val="24"/>
        </w:rPr>
        <w:t xml:space="preserve"> (</w:t>
      </w:r>
      <w:proofErr w:type="spellStart"/>
      <w:r w:rsidRPr="003A4FF3">
        <w:rPr>
          <w:sz w:val="24"/>
          <w:szCs w:val="24"/>
        </w:rPr>
        <w:t>hypokaliæmi</w:t>
      </w:r>
      <w:proofErr w:type="spellEnd"/>
      <w:r w:rsidRPr="003A4FF3">
        <w:rPr>
          <w:sz w:val="24"/>
          <w:szCs w:val="24"/>
        </w:rPr>
        <w:t>).</w:t>
      </w:r>
    </w:p>
    <w:p w:rsidR="0024075F" w:rsidRPr="003A4FF3" w:rsidRDefault="0024075F" w:rsidP="0024075F">
      <w:pPr>
        <w:ind w:left="851"/>
        <w:rPr>
          <w:sz w:val="24"/>
          <w:szCs w:val="24"/>
        </w:rPr>
      </w:pPr>
    </w:p>
    <w:p w:rsidR="0024075F" w:rsidRPr="003A4FF3" w:rsidRDefault="0024075F" w:rsidP="0024075F">
      <w:pPr>
        <w:ind w:left="851"/>
        <w:rPr>
          <w:sz w:val="24"/>
          <w:szCs w:val="24"/>
        </w:rPr>
      </w:pPr>
      <w:r w:rsidRPr="003A4FF3">
        <w:rPr>
          <w:i/>
          <w:sz w:val="24"/>
          <w:szCs w:val="24"/>
        </w:rPr>
        <w:t>Behandling:</w:t>
      </w:r>
      <w:r w:rsidRPr="003A4FF3">
        <w:rPr>
          <w:sz w:val="24"/>
          <w:szCs w:val="24"/>
        </w:rPr>
        <w:t xml:space="preserve"> Absorptionen kan inden for den første time efter indtagelse reduceres ved indgift af medicinsk kul (1 g/kg legemsvægt). Derefter bør det prioriteres at etablere tilstrækkelig hydrering og genoprette elektrolytbalancen.</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4.10</w:t>
      </w:r>
      <w:r w:rsidRPr="003A4FF3">
        <w:rPr>
          <w:b/>
          <w:sz w:val="24"/>
          <w:szCs w:val="24"/>
        </w:rPr>
        <w:tab/>
        <w:t>Udlevering</w:t>
      </w:r>
    </w:p>
    <w:p w:rsidR="0024075F" w:rsidRPr="003A4FF3" w:rsidRDefault="0024075F" w:rsidP="0024075F">
      <w:pPr>
        <w:tabs>
          <w:tab w:val="left" w:pos="851"/>
        </w:tabs>
        <w:ind w:left="851" w:hanging="851"/>
        <w:rPr>
          <w:sz w:val="24"/>
          <w:szCs w:val="24"/>
        </w:rPr>
      </w:pPr>
      <w:r w:rsidRPr="003A4FF3">
        <w:rPr>
          <w:sz w:val="24"/>
          <w:szCs w:val="24"/>
        </w:rPr>
        <w:tab/>
        <w:t>NBS</w:t>
      </w:r>
      <w:r>
        <w:rPr>
          <w:sz w:val="24"/>
          <w:szCs w:val="24"/>
        </w:rPr>
        <w:t xml:space="preserve"> - kun til sygehuse og efter ordination af speciallæger i nefrologi og kardiologi.</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5.</w:t>
      </w:r>
      <w:r w:rsidRPr="003A4FF3">
        <w:rPr>
          <w:b/>
          <w:sz w:val="24"/>
          <w:szCs w:val="24"/>
        </w:rPr>
        <w:tab/>
        <w:t>FARMAKOLOGISKE EGENSKABER</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5.0</w:t>
      </w:r>
      <w:r w:rsidRPr="003A4FF3">
        <w:rPr>
          <w:b/>
          <w:sz w:val="24"/>
          <w:szCs w:val="24"/>
        </w:rPr>
        <w:tab/>
        <w:t>Terapeutisk klassifikation</w:t>
      </w:r>
    </w:p>
    <w:p w:rsidR="0024075F" w:rsidRPr="003A4FF3" w:rsidRDefault="0024075F" w:rsidP="0024075F">
      <w:pPr>
        <w:suppressAutoHyphens/>
        <w:ind w:left="851"/>
        <w:rPr>
          <w:sz w:val="24"/>
          <w:szCs w:val="24"/>
        </w:rPr>
      </w:pPr>
      <w:r w:rsidRPr="003A4FF3">
        <w:rPr>
          <w:bCs/>
          <w:noProof/>
          <w:sz w:val="24"/>
          <w:szCs w:val="24"/>
        </w:rPr>
        <w:t>ATC-kode: C 03 BA 08.</w:t>
      </w:r>
      <w:r w:rsidRPr="003A4FF3">
        <w:rPr>
          <w:sz w:val="24"/>
          <w:szCs w:val="24"/>
        </w:rPr>
        <w:t xml:space="preserve"> </w:t>
      </w:r>
      <w:r w:rsidRPr="003A4FF3">
        <w:rPr>
          <w:bCs/>
          <w:noProof/>
          <w:sz w:val="24"/>
          <w:szCs w:val="24"/>
        </w:rPr>
        <w:t>Sulfonamider, usammensatte.</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num" w:pos="851"/>
        </w:tabs>
        <w:ind w:left="851" w:hanging="851"/>
        <w:rPr>
          <w:b/>
          <w:sz w:val="24"/>
          <w:szCs w:val="24"/>
        </w:rPr>
      </w:pPr>
      <w:r w:rsidRPr="003A4FF3">
        <w:rPr>
          <w:b/>
          <w:sz w:val="24"/>
          <w:szCs w:val="24"/>
        </w:rPr>
        <w:t>5.1</w:t>
      </w:r>
      <w:r w:rsidRPr="003A4FF3">
        <w:rPr>
          <w:b/>
          <w:sz w:val="24"/>
          <w:szCs w:val="24"/>
        </w:rPr>
        <w:tab/>
      </w:r>
      <w:proofErr w:type="spellStart"/>
      <w:r w:rsidRPr="003A4FF3">
        <w:rPr>
          <w:b/>
          <w:sz w:val="24"/>
          <w:szCs w:val="24"/>
        </w:rPr>
        <w:t>Farmakodynamiske</w:t>
      </w:r>
      <w:proofErr w:type="spellEnd"/>
      <w:r w:rsidRPr="003A4FF3">
        <w:rPr>
          <w:b/>
          <w:sz w:val="24"/>
          <w:szCs w:val="24"/>
        </w:rPr>
        <w:t xml:space="preserve"> egenskaber</w:t>
      </w:r>
    </w:p>
    <w:p w:rsidR="0024075F" w:rsidRPr="003A4FF3" w:rsidRDefault="0024075F" w:rsidP="0024075F">
      <w:pPr>
        <w:suppressAutoHyphens/>
        <w:ind w:left="851" w:hanging="851"/>
        <w:rPr>
          <w:bCs/>
          <w:noProof/>
          <w:sz w:val="24"/>
          <w:szCs w:val="24"/>
          <w:u w:val="single"/>
        </w:rPr>
      </w:pPr>
    </w:p>
    <w:p w:rsidR="0024075F" w:rsidRPr="003A4FF3" w:rsidRDefault="0024075F" w:rsidP="0024075F">
      <w:pPr>
        <w:suppressAutoHyphens/>
        <w:ind w:left="851"/>
        <w:rPr>
          <w:bCs/>
          <w:noProof/>
          <w:sz w:val="24"/>
          <w:szCs w:val="24"/>
          <w:u w:val="single"/>
        </w:rPr>
      </w:pPr>
      <w:r w:rsidRPr="003A4FF3">
        <w:rPr>
          <w:bCs/>
          <w:noProof/>
          <w:sz w:val="24"/>
          <w:szCs w:val="24"/>
          <w:u w:val="single"/>
        </w:rPr>
        <w:t>Virkningsmekanisme</w:t>
      </w:r>
    </w:p>
    <w:p w:rsidR="0024075F" w:rsidRPr="003A4FF3" w:rsidRDefault="0024075F" w:rsidP="0024075F">
      <w:pPr>
        <w:ind w:left="851"/>
        <w:rPr>
          <w:bCs/>
          <w:noProof/>
          <w:sz w:val="24"/>
          <w:szCs w:val="24"/>
        </w:rPr>
      </w:pPr>
      <w:r>
        <w:rPr>
          <w:bCs/>
          <w:noProof/>
          <w:sz w:val="24"/>
          <w:szCs w:val="24"/>
        </w:rPr>
        <w:t>Metolazone</w:t>
      </w:r>
      <w:r w:rsidRPr="003A4FF3">
        <w:rPr>
          <w:bCs/>
          <w:noProof/>
          <w:sz w:val="24"/>
          <w:szCs w:val="24"/>
        </w:rPr>
        <w:t xml:space="preserve"> hæmmer reabsorptionen af natrium i det ascenderende ben af Henles slynge og i de proksimale tubuli, hvilket medfører udskillelse af omtrent lige store mængder natrium og chlorid.</w:t>
      </w:r>
    </w:p>
    <w:p w:rsidR="0024075F" w:rsidRPr="003A4FF3" w:rsidRDefault="0024075F" w:rsidP="0024075F">
      <w:pPr>
        <w:ind w:left="851"/>
        <w:rPr>
          <w:bCs/>
          <w:noProof/>
          <w:sz w:val="24"/>
          <w:szCs w:val="24"/>
        </w:rPr>
      </w:pPr>
    </w:p>
    <w:p w:rsidR="0024075F" w:rsidRPr="003A4FF3" w:rsidRDefault="0024075F" w:rsidP="0024075F">
      <w:pPr>
        <w:ind w:left="851"/>
        <w:rPr>
          <w:bCs/>
          <w:noProof/>
          <w:sz w:val="24"/>
          <w:szCs w:val="24"/>
        </w:rPr>
      </w:pPr>
      <w:r w:rsidRPr="003A4FF3">
        <w:rPr>
          <w:bCs/>
          <w:noProof/>
          <w:sz w:val="24"/>
          <w:szCs w:val="24"/>
        </w:rPr>
        <w:t xml:space="preserve">Ved den optimale terapeutiske dosis fører </w:t>
      </w:r>
      <w:r>
        <w:rPr>
          <w:bCs/>
          <w:noProof/>
          <w:sz w:val="24"/>
          <w:szCs w:val="24"/>
        </w:rPr>
        <w:t>metolazone</w:t>
      </w:r>
      <w:r w:rsidRPr="003A4FF3">
        <w:rPr>
          <w:bCs/>
          <w:noProof/>
          <w:sz w:val="24"/>
          <w:szCs w:val="24"/>
        </w:rPr>
        <w:t xml:space="preserve"> til omtrent samme diuretiske aktivitet som et diuretikum af thiazid-typen. Det kan dog også stimulere diurese hos patienter med en meget lav glomerulær filtreringshastighed (mindre end 20 ml/min).</w:t>
      </w:r>
    </w:p>
    <w:p w:rsidR="0024075F" w:rsidRPr="003A4FF3" w:rsidRDefault="0024075F" w:rsidP="0024075F">
      <w:pPr>
        <w:ind w:left="851"/>
        <w:rPr>
          <w:bCs/>
          <w:noProof/>
          <w:sz w:val="24"/>
          <w:szCs w:val="24"/>
        </w:rPr>
      </w:pPr>
    </w:p>
    <w:p w:rsidR="0024075F" w:rsidRPr="003A4FF3" w:rsidRDefault="0024075F" w:rsidP="0024075F">
      <w:pPr>
        <w:ind w:left="851"/>
        <w:rPr>
          <w:bCs/>
          <w:noProof/>
          <w:sz w:val="24"/>
          <w:szCs w:val="24"/>
        </w:rPr>
      </w:pPr>
      <w:r w:rsidRPr="003A4FF3">
        <w:rPr>
          <w:bCs/>
          <w:noProof/>
          <w:sz w:val="24"/>
          <w:szCs w:val="24"/>
        </w:rPr>
        <w:lastRenderedPageBreak/>
        <w:t>Diuresen begynder inden for den første time efter administration og fortsætter i 12-24 timer afhængigt af dosis. Den maksimale effekt indtræder efter ca. 2 timer.</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5.2</w:t>
      </w:r>
      <w:r w:rsidRPr="003A4FF3">
        <w:rPr>
          <w:b/>
          <w:sz w:val="24"/>
          <w:szCs w:val="24"/>
        </w:rPr>
        <w:tab/>
      </w:r>
      <w:proofErr w:type="spellStart"/>
      <w:r w:rsidRPr="003A4FF3">
        <w:rPr>
          <w:b/>
          <w:sz w:val="24"/>
          <w:szCs w:val="24"/>
        </w:rPr>
        <w:t>Farmakokinetiske</w:t>
      </w:r>
      <w:proofErr w:type="spellEnd"/>
      <w:r w:rsidRPr="003A4FF3">
        <w:rPr>
          <w:b/>
          <w:sz w:val="24"/>
          <w:szCs w:val="24"/>
        </w:rPr>
        <w:t xml:space="preserve"> egenskaber</w:t>
      </w:r>
    </w:p>
    <w:p w:rsidR="0024075F" w:rsidRPr="003A4FF3" w:rsidRDefault="0024075F" w:rsidP="0024075F">
      <w:pPr>
        <w:ind w:left="851"/>
        <w:rPr>
          <w:sz w:val="24"/>
          <w:szCs w:val="24"/>
        </w:rPr>
      </w:pPr>
      <w:r w:rsidRPr="003A4FF3">
        <w:rPr>
          <w:sz w:val="24"/>
          <w:szCs w:val="24"/>
        </w:rPr>
        <w:t xml:space="preserve">Sammenlignende biotilgængelighedsundersøgelser har vist, at biotilgængeligheden (AUC) kan variere med ca. en faktor 2 mellem forskellige </w:t>
      </w:r>
      <w:proofErr w:type="spellStart"/>
      <w:r>
        <w:rPr>
          <w:sz w:val="24"/>
          <w:szCs w:val="24"/>
        </w:rPr>
        <w:t>metolazone</w:t>
      </w:r>
      <w:proofErr w:type="spellEnd"/>
      <w:r w:rsidRPr="003A4FF3">
        <w:rPr>
          <w:sz w:val="24"/>
          <w:szCs w:val="24"/>
        </w:rPr>
        <w:t>-produkter. Når den korrekte dosis af et bestemt produkt er fastlagt for en patient, kan der ikke uden videre skiftes til et andet produkt.</w:t>
      </w:r>
    </w:p>
    <w:p w:rsidR="0024075F" w:rsidRPr="003A4FF3" w:rsidRDefault="0024075F" w:rsidP="0024075F">
      <w:pPr>
        <w:ind w:left="851"/>
        <w:rPr>
          <w:sz w:val="24"/>
          <w:szCs w:val="24"/>
        </w:rPr>
      </w:pPr>
    </w:p>
    <w:p w:rsidR="001C13F5" w:rsidRPr="003A4FF3" w:rsidRDefault="001C13F5" w:rsidP="001C13F5">
      <w:pPr>
        <w:ind w:left="851"/>
        <w:rPr>
          <w:sz w:val="24"/>
          <w:szCs w:val="24"/>
          <w:u w:val="single"/>
        </w:rPr>
      </w:pPr>
      <w:r w:rsidRPr="003A4FF3">
        <w:rPr>
          <w:sz w:val="24"/>
          <w:szCs w:val="24"/>
          <w:u w:val="single"/>
        </w:rPr>
        <w:t>Absorption</w:t>
      </w:r>
    </w:p>
    <w:p w:rsidR="001C13F5" w:rsidRPr="003A4FF3" w:rsidRDefault="001C13F5" w:rsidP="001C13F5">
      <w:pPr>
        <w:ind w:left="851"/>
        <w:rPr>
          <w:sz w:val="24"/>
          <w:szCs w:val="24"/>
        </w:rPr>
      </w:pPr>
      <w:proofErr w:type="spellStart"/>
      <w:r>
        <w:rPr>
          <w:sz w:val="24"/>
          <w:szCs w:val="24"/>
        </w:rPr>
        <w:t>Metolazone</w:t>
      </w:r>
      <w:proofErr w:type="spellEnd"/>
      <w:r w:rsidRPr="003A4FF3">
        <w:rPr>
          <w:sz w:val="24"/>
          <w:szCs w:val="24"/>
        </w:rPr>
        <w:t xml:space="preserve"> absorberes hurtigt fra </w:t>
      </w:r>
      <w:proofErr w:type="spellStart"/>
      <w:r w:rsidRPr="003A4FF3">
        <w:rPr>
          <w:sz w:val="24"/>
          <w:szCs w:val="24"/>
        </w:rPr>
        <w:t>mave-tarmkanalen</w:t>
      </w:r>
      <w:proofErr w:type="spellEnd"/>
      <w:r w:rsidRPr="003A4FF3">
        <w:rPr>
          <w:sz w:val="24"/>
          <w:szCs w:val="24"/>
        </w:rPr>
        <w:t xml:space="preserve">. Den maksimale plasmakoncentration nås efter gennemsnitligt 2 timer. Virkningen af samtidig fødeindtagelse på biotilgængeligheden af </w:t>
      </w:r>
      <w:proofErr w:type="spellStart"/>
      <w:r>
        <w:rPr>
          <w:sz w:val="24"/>
          <w:szCs w:val="24"/>
        </w:rPr>
        <w:t>metolazone</w:t>
      </w:r>
      <w:proofErr w:type="spellEnd"/>
      <w:r w:rsidRPr="003A4FF3">
        <w:rPr>
          <w:sz w:val="24"/>
          <w:szCs w:val="24"/>
        </w:rPr>
        <w:t xml:space="preserve"> er ikke vurderet. For at minimere variabiliteten for den enkelte patient bør tabletterne derfor altid tages </w:t>
      </w:r>
      <w:r>
        <w:rPr>
          <w:sz w:val="24"/>
          <w:szCs w:val="24"/>
        </w:rPr>
        <w:t>på samme tidspunkt</w:t>
      </w:r>
      <w:r w:rsidRPr="003A4FF3">
        <w:rPr>
          <w:sz w:val="24"/>
          <w:szCs w:val="24"/>
        </w:rPr>
        <w:t xml:space="preserve"> i forhold til føde, f.eks. altid sammen med morgenmaden. </w:t>
      </w:r>
    </w:p>
    <w:p w:rsidR="001C13F5" w:rsidRPr="003A4FF3" w:rsidRDefault="001C13F5" w:rsidP="001C13F5">
      <w:pPr>
        <w:ind w:left="851"/>
        <w:rPr>
          <w:sz w:val="24"/>
          <w:szCs w:val="24"/>
          <w:u w:val="single"/>
        </w:rPr>
      </w:pPr>
    </w:p>
    <w:p w:rsidR="001C13F5" w:rsidRPr="003A4FF3" w:rsidRDefault="001C13F5" w:rsidP="001C13F5">
      <w:pPr>
        <w:ind w:left="851"/>
        <w:rPr>
          <w:sz w:val="24"/>
          <w:szCs w:val="24"/>
          <w:u w:val="single"/>
        </w:rPr>
      </w:pPr>
      <w:r w:rsidRPr="003A4FF3">
        <w:rPr>
          <w:noProof/>
          <w:sz w:val="24"/>
          <w:szCs w:val="24"/>
          <w:u w:val="single"/>
        </w:rPr>
        <w:t>Fordeling</w:t>
      </w:r>
    </w:p>
    <w:p w:rsidR="001C13F5" w:rsidRPr="003A4FF3" w:rsidRDefault="001C13F5" w:rsidP="001C13F5">
      <w:pPr>
        <w:ind w:left="851"/>
        <w:rPr>
          <w:snapToGrid w:val="0"/>
          <w:sz w:val="24"/>
          <w:szCs w:val="24"/>
          <w:lang w:eastAsia="da-DK"/>
        </w:rPr>
      </w:pPr>
      <w:r w:rsidRPr="003A4FF3">
        <w:rPr>
          <w:snapToGrid w:val="0"/>
          <w:sz w:val="24"/>
          <w:szCs w:val="24"/>
          <w:lang w:eastAsia="da-DK"/>
        </w:rPr>
        <w:t xml:space="preserve">Det tilsyneladende fordelingsvolumen er 113 liter; 95 % af stoffet er bundet til plasmaproteiner. </w:t>
      </w:r>
      <w:proofErr w:type="spellStart"/>
      <w:r>
        <w:rPr>
          <w:snapToGrid w:val="0"/>
          <w:sz w:val="24"/>
          <w:szCs w:val="24"/>
          <w:lang w:eastAsia="da-DK"/>
        </w:rPr>
        <w:t>Metolazone</w:t>
      </w:r>
      <w:proofErr w:type="spellEnd"/>
      <w:r w:rsidRPr="003A4FF3">
        <w:rPr>
          <w:snapToGrid w:val="0"/>
          <w:sz w:val="24"/>
          <w:szCs w:val="24"/>
          <w:lang w:eastAsia="da-DK"/>
        </w:rPr>
        <w:t xml:space="preserve"> krydser placentabarrieren og går også over i modermælk.</w:t>
      </w:r>
    </w:p>
    <w:p w:rsidR="001C13F5" w:rsidRDefault="001C13F5" w:rsidP="001C13F5">
      <w:pPr>
        <w:rPr>
          <w:sz w:val="24"/>
          <w:szCs w:val="24"/>
          <w:u w:val="single"/>
        </w:rPr>
      </w:pPr>
    </w:p>
    <w:p w:rsidR="001C13F5" w:rsidRPr="003A4FF3" w:rsidRDefault="001C13F5" w:rsidP="001C13F5">
      <w:pPr>
        <w:ind w:left="851"/>
        <w:rPr>
          <w:sz w:val="24"/>
          <w:szCs w:val="24"/>
          <w:u w:val="single"/>
        </w:rPr>
      </w:pPr>
      <w:r w:rsidRPr="003A4FF3">
        <w:rPr>
          <w:sz w:val="24"/>
          <w:szCs w:val="24"/>
          <w:u w:val="single"/>
        </w:rPr>
        <w:t>Biotransformation</w:t>
      </w:r>
    </w:p>
    <w:p w:rsidR="001C13F5" w:rsidRPr="003A4FF3" w:rsidRDefault="001C13F5" w:rsidP="001C13F5">
      <w:pPr>
        <w:ind w:left="851"/>
        <w:rPr>
          <w:snapToGrid w:val="0"/>
          <w:sz w:val="24"/>
          <w:szCs w:val="24"/>
          <w:lang w:eastAsia="da-DK"/>
        </w:rPr>
      </w:pPr>
      <w:proofErr w:type="spellStart"/>
      <w:r>
        <w:rPr>
          <w:snapToGrid w:val="0"/>
          <w:sz w:val="24"/>
          <w:szCs w:val="24"/>
          <w:lang w:eastAsia="da-DK"/>
        </w:rPr>
        <w:t>Metolazone</w:t>
      </w:r>
      <w:proofErr w:type="spellEnd"/>
      <w:r w:rsidRPr="003A4FF3">
        <w:rPr>
          <w:snapToGrid w:val="0"/>
          <w:sz w:val="24"/>
          <w:szCs w:val="24"/>
          <w:lang w:eastAsia="da-DK"/>
        </w:rPr>
        <w:t xml:space="preserve"> </w:t>
      </w:r>
      <w:proofErr w:type="spellStart"/>
      <w:r w:rsidRPr="003A4FF3">
        <w:rPr>
          <w:snapToGrid w:val="0"/>
          <w:sz w:val="24"/>
          <w:szCs w:val="24"/>
          <w:lang w:eastAsia="da-DK"/>
        </w:rPr>
        <w:t>metaboliseres</w:t>
      </w:r>
      <w:proofErr w:type="spellEnd"/>
      <w:r w:rsidRPr="003A4FF3">
        <w:rPr>
          <w:snapToGrid w:val="0"/>
          <w:sz w:val="24"/>
          <w:szCs w:val="24"/>
          <w:lang w:eastAsia="da-DK"/>
        </w:rPr>
        <w:t xml:space="preserve"> næsten ikke. De dannede metabolitter har vist sig ikke at være toksiske.</w:t>
      </w:r>
    </w:p>
    <w:p w:rsidR="001C13F5" w:rsidRPr="003A4FF3" w:rsidRDefault="001C13F5" w:rsidP="001C13F5">
      <w:pPr>
        <w:ind w:left="851"/>
        <w:rPr>
          <w:sz w:val="24"/>
          <w:szCs w:val="24"/>
          <w:u w:val="single"/>
        </w:rPr>
      </w:pPr>
    </w:p>
    <w:p w:rsidR="001C13F5" w:rsidRPr="003A4FF3" w:rsidRDefault="001C13F5" w:rsidP="001C13F5">
      <w:pPr>
        <w:ind w:left="851"/>
        <w:rPr>
          <w:sz w:val="24"/>
          <w:szCs w:val="24"/>
          <w:u w:val="single"/>
        </w:rPr>
      </w:pPr>
      <w:r w:rsidRPr="003A4FF3">
        <w:rPr>
          <w:sz w:val="24"/>
          <w:szCs w:val="24"/>
          <w:u w:val="single"/>
        </w:rPr>
        <w:t>Elimination</w:t>
      </w:r>
    </w:p>
    <w:p w:rsidR="001C13F5" w:rsidRPr="003A4FF3" w:rsidRDefault="001C13F5" w:rsidP="001C13F5">
      <w:pPr>
        <w:ind w:left="851"/>
        <w:rPr>
          <w:sz w:val="24"/>
          <w:szCs w:val="24"/>
          <w:u w:val="single"/>
        </w:rPr>
      </w:pPr>
      <w:r w:rsidRPr="003A4FF3">
        <w:rPr>
          <w:sz w:val="24"/>
          <w:szCs w:val="24"/>
        </w:rPr>
        <w:t xml:space="preserve">70 % af den absorberede dosis udskilles i nyrerne som </w:t>
      </w:r>
      <w:proofErr w:type="spellStart"/>
      <w:r w:rsidRPr="003A4FF3">
        <w:rPr>
          <w:sz w:val="24"/>
          <w:szCs w:val="24"/>
        </w:rPr>
        <w:t>uomdannet</w:t>
      </w:r>
      <w:proofErr w:type="spellEnd"/>
      <w:r w:rsidRPr="003A4FF3">
        <w:rPr>
          <w:sz w:val="24"/>
          <w:szCs w:val="24"/>
        </w:rPr>
        <w:t xml:space="preserve"> </w:t>
      </w:r>
      <w:proofErr w:type="spellStart"/>
      <w:r>
        <w:rPr>
          <w:sz w:val="24"/>
          <w:szCs w:val="24"/>
        </w:rPr>
        <w:t>metolazone</w:t>
      </w:r>
      <w:proofErr w:type="spellEnd"/>
      <w:r w:rsidRPr="003A4FF3">
        <w:rPr>
          <w:sz w:val="24"/>
          <w:szCs w:val="24"/>
        </w:rPr>
        <w:t xml:space="preserve"> med en halveringstid på 8-10 timer. Yderlige 20 % af den absorberede dosis genfindes i urinen som et andet stof beslægtet med lægemidlet, og den resterende mængde genfindes i fæces. Ved nedsat nyrefunktion forsinkes udskillelsen, da </w:t>
      </w:r>
      <w:proofErr w:type="spellStart"/>
      <w:r w:rsidRPr="003A4FF3">
        <w:rPr>
          <w:sz w:val="24"/>
          <w:szCs w:val="24"/>
        </w:rPr>
        <w:t>clearance</w:t>
      </w:r>
      <w:proofErr w:type="spellEnd"/>
      <w:r w:rsidRPr="003A4FF3">
        <w:rPr>
          <w:sz w:val="24"/>
          <w:szCs w:val="24"/>
        </w:rPr>
        <w:t xml:space="preserve"> af </w:t>
      </w:r>
      <w:proofErr w:type="spellStart"/>
      <w:r>
        <w:rPr>
          <w:sz w:val="24"/>
          <w:szCs w:val="24"/>
        </w:rPr>
        <w:t>metolazone</w:t>
      </w:r>
      <w:proofErr w:type="spellEnd"/>
      <w:r w:rsidRPr="003A4FF3">
        <w:rPr>
          <w:sz w:val="24"/>
          <w:szCs w:val="24"/>
        </w:rPr>
        <w:t xml:space="preserve"> er direkte relateret til nyrefunktionen (</w:t>
      </w:r>
      <w:proofErr w:type="spellStart"/>
      <w:r w:rsidRPr="003A4FF3">
        <w:rPr>
          <w:sz w:val="24"/>
          <w:szCs w:val="24"/>
        </w:rPr>
        <w:t>kreatininclearance</w:t>
      </w:r>
      <w:proofErr w:type="spellEnd"/>
      <w:r w:rsidRPr="003A4FF3">
        <w:rPr>
          <w:sz w:val="24"/>
          <w:szCs w:val="24"/>
        </w:rPr>
        <w:t>).</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5.3</w:t>
      </w:r>
      <w:r w:rsidRPr="003A4FF3">
        <w:rPr>
          <w:b/>
          <w:sz w:val="24"/>
          <w:szCs w:val="24"/>
        </w:rPr>
        <w:tab/>
        <w:t>Prækliniske sikkerhedsdata</w:t>
      </w:r>
    </w:p>
    <w:p w:rsidR="0024075F" w:rsidRPr="003A4FF3" w:rsidRDefault="0024075F" w:rsidP="0024075F">
      <w:pPr>
        <w:ind w:left="851"/>
        <w:rPr>
          <w:sz w:val="24"/>
          <w:szCs w:val="24"/>
        </w:rPr>
      </w:pPr>
      <w:r w:rsidRPr="003A4FF3">
        <w:rPr>
          <w:sz w:val="24"/>
          <w:szCs w:val="24"/>
        </w:rPr>
        <w:t>Der foreligger ingen data.</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w:t>
      </w:r>
      <w:r w:rsidRPr="003A4FF3">
        <w:rPr>
          <w:b/>
          <w:sz w:val="24"/>
          <w:szCs w:val="24"/>
        </w:rPr>
        <w:tab/>
        <w:t>FARMACEUTISKE OPLYSNINGER</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6.1</w:t>
      </w:r>
      <w:r w:rsidRPr="003A4FF3">
        <w:rPr>
          <w:b/>
          <w:sz w:val="24"/>
          <w:szCs w:val="24"/>
        </w:rPr>
        <w:tab/>
        <w:t>Hjælpestoffer</w:t>
      </w:r>
    </w:p>
    <w:p w:rsidR="0024075F" w:rsidRPr="003A4FF3" w:rsidRDefault="0024075F" w:rsidP="0024075F">
      <w:pPr>
        <w:ind w:left="851"/>
        <w:rPr>
          <w:sz w:val="24"/>
          <w:szCs w:val="24"/>
        </w:rPr>
      </w:pPr>
      <w:proofErr w:type="spellStart"/>
      <w:r w:rsidRPr="003A4FF3">
        <w:rPr>
          <w:sz w:val="24"/>
          <w:szCs w:val="24"/>
        </w:rPr>
        <w:t>Croscarmellosenatrium</w:t>
      </w:r>
      <w:proofErr w:type="spellEnd"/>
      <w:r w:rsidRPr="003A4FF3">
        <w:rPr>
          <w:sz w:val="24"/>
          <w:szCs w:val="24"/>
        </w:rPr>
        <w:t xml:space="preserve"> </w:t>
      </w:r>
    </w:p>
    <w:p w:rsidR="0024075F" w:rsidRPr="003A4FF3" w:rsidRDefault="0024075F" w:rsidP="0024075F">
      <w:pPr>
        <w:ind w:left="851"/>
        <w:rPr>
          <w:sz w:val="24"/>
          <w:szCs w:val="24"/>
        </w:rPr>
      </w:pPr>
      <w:r w:rsidRPr="003A4FF3">
        <w:rPr>
          <w:sz w:val="24"/>
          <w:szCs w:val="24"/>
        </w:rPr>
        <w:t xml:space="preserve">Mikrokrystallinsk cellulose </w:t>
      </w:r>
    </w:p>
    <w:p w:rsidR="0024075F" w:rsidRPr="003A4FF3" w:rsidRDefault="0024075F" w:rsidP="0024075F">
      <w:pPr>
        <w:ind w:left="851"/>
        <w:rPr>
          <w:sz w:val="24"/>
          <w:szCs w:val="24"/>
        </w:rPr>
      </w:pPr>
      <w:proofErr w:type="spellStart"/>
      <w:r w:rsidRPr="003A4FF3">
        <w:rPr>
          <w:sz w:val="24"/>
          <w:szCs w:val="24"/>
        </w:rPr>
        <w:t>Lactosemonohydrat</w:t>
      </w:r>
      <w:proofErr w:type="spellEnd"/>
      <w:r w:rsidRPr="003A4FF3">
        <w:rPr>
          <w:sz w:val="24"/>
          <w:szCs w:val="24"/>
        </w:rPr>
        <w:t xml:space="preserve"> </w:t>
      </w:r>
    </w:p>
    <w:p w:rsidR="0024075F" w:rsidRPr="003A4FF3" w:rsidRDefault="0024075F" w:rsidP="0024075F">
      <w:pPr>
        <w:ind w:left="851"/>
        <w:rPr>
          <w:sz w:val="24"/>
          <w:szCs w:val="24"/>
        </w:rPr>
      </w:pPr>
      <w:proofErr w:type="spellStart"/>
      <w:r w:rsidRPr="003A4FF3">
        <w:rPr>
          <w:sz w:val="24"/>
          <w:szCs w:val="24"/>
        </w:rPr>
        <w:t>Natriumstearylfumarat</w:t>
      </w:r>
      <w:proofErr w:type="spellEnd"/>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6.2</w:t>
      </w:r>
      <w:r w:rsidRPr="003A4FF3">
        <w:rPr>
          <w:b/>
          <w:sz w:val="24"/>
          <w:szCs w:val="24"/>
        </w:rPr>
        <w:tab/>
        <w:t>Uforligeligheder</w:t>
      </w:r>
    </w:p>
    <w:p w:rsidR="0024075F" w:rsidRPr="003A4FF3" w:rsidRDefault="0024075F" w:rsidP="0024075F">
      <w:pPr>
        <w:ind w:left="851"/>
        <w:rPr>
          <w:sz w:val="24"/>
          <w:szCs w:val="24"/>
        </w:rPr>
      </w:pPr>
      <w:r w:rsidRPr="003A4FF3">
        <w:rPr>
          <w:sz w:val="24"/>
          <w:szCs w:val="24"/>
        </w:rPr>
        <w:t>Ikke relevant.</w:t>
      </w:r>
    </w:p>
    <w:p w:rsidR="001C13F5" w:rsidRDefault="001C13F5" w:rsidP="0024075F">
      <w:pPr>
        <w:tabs>
          <w:tab w:val="left" w:pos="851"/>
        </w:tabs>
        <w:ind w:left="851" w:hanging="851"/>
        <w:rPr>
          <w:sz w:val="24"/>
          <w:szCs w:val="24"/>
        </w:rPr>
      </w:pPr>
    </w:p>
    <w:p w:rsidR="001C13F5" w:rsidRPr="003A4FF3" w:rsidRDefault="001C13F5"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6.3</w:t>
      </w:r>
      <w:r w:rsidRPr="003A4FF3">
        <w:rPr>
          <w:b/>
          <w:sz w:val="24"/>
          <w:szCs w:val="24"/>
        </w:rPr>
        <w:tab/>
        <w:t>Opbevaringstid</w:t>
      </w:r>
    </w:p>
    <w:p w:rsidR="0024075F" w:rsidRPr="003A4FF3" w:rsidRDefault="0024075F" w:rsidP="0024075F">
      <w:pPr>
        <w:ind w:left="851" w:hanging="851"/>
        <w:rPr>
          <w:sz w:val="24"/>
          <w:szCs w:val="24"/>
        </w:rPr>
      </w:pPr>
      <w:r w:rsidRPr="003A4FF3">
        <w:rPr>
          <w:sz w:val="24"/>
          <w:szCs w:val="24"/>
        </w:rPr>
        <w:tab/>
        <w:t>3 år</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6.4</w:t>
      </w:r>
      <w:r w:rsidRPr="003A4FF3">
        <w:rPr>
          <w:b/>
          <w:sz w:val="24"/>
          <w:szCs w:val="24"/>
        </w:rPr>
        <w:tab/>
        <w:t>Særlige opbevaringsforhold</w:t>
      </w:r>
    </w:p>
    <w:p w:rsidR="0024075F" w:rsidRPr="003A4FF3" w:rsidRDefault="006129CB" w:rsidP="0024075F">
      <w:pPr>
        <w:ind w:left="851"/>
        <w:rPr>
          <w:noProof/>
          <w:sz w:val="24"/>
          <w:szCs w:val="24"/>
        </w:rPr>
      </w:pPr>
      <w:r>
        <w:rPr>
          <w:noProof/>
          <w:sz w:val="24"/>
          <w:szCs w:val="24"/>
        </w:rPr>
        <w:lastRenderedPageBreak/>
        <w:t>Opbevares i den originale yderpakning</w:t>
      </w:r>
      <w:r>
        <w:t xml:space="preserve"> </w:t>
      </w:r>
      <w:r>
        <w:rPr>
          <w:noProof/>
          <w:sz w:val="24"/>
          <w:szCs w:val="24"/>
        </w:rPr>
        <w:t xml:space="preserve">for at beskytte mod lys. </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6.5</w:t>
      </w:r>
      <w:r w:rsidRPr="003A4FF3">
        <w:rPr>
          <w:b/>
          <w:sz w:val="24"/>
          <w:szCs w:val="24"/>
        </w:rPr>
        <w:tab/>
        <w:t>Emballagetyper og pakningsstørrelser</w:t>
      </w:r>
    </w:p>
    <w:p w:rsidR="0024075F" w:rsidRPr="003A4FF3" w:rsidRDefault="0024075F" w:rsidP="00FE219F">
      <w:pPr>
        <w:suppressAutoHyphens/>
        <w:ind w:left="851"/>
        <w:rPr>
          <w:sz w:val="24"/>
          <w:szCs w:val="24"/>
        </w:rPr>
      </w:pPr>
      <w:r w:rsidRPr="003A4FF3">
        <w:rPr>
          <w:sz w:val="24"/>
          <w:szCs w:val="24"/>
        </w:rPr>
        <w:t>Blister</w:t>
      </w:r>
      <w:r w:rsidR="00FE219F">
        <w:rPr>
          <w:sz w:val="24"/>
          <w:szCs w:val="24"/>
        </w:rPr>
        <w:t>.</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6.6</w:t>
      </w:r>
      <w:r w:rsidRPr="003A4FF3">
        <w:rPr>
          <w:b/>
          <w:sz w:val="24"/>
          <w:szCs w:val="24"/>
        </w:rPr>
        <w:tab/>
        <w:t>Regler for destruktion og anden håndtering</w:t>
      </w:r>
    </w:p>
    <w:p w:rsidR="0024075F" w:rsidRPr="003A4FF3" w:rsidRDefault="0024075F" w:rsidP="0024075F">
      <w:pPr>
        <w:ind w:left="851"/>
        <w:rPr>
          <w:sz w:val="24"/>
          <w:szCs w:val="24"/>
        </w:rPr>
      </w:pPr>
      <w:r w:rsidRPr="003A4FF3">
        <w:rPr>
          <w:sz w:val="24"/>
          <w:szCs w:val="24"/>
        </w:rPr>
        <w:t xml:space="preserve">Ingen særlige forholdsregler </w:t>
      </w:r>
    </w:p>
    <w:p w:rsidR="0024075F" w:rsidRPr="003A4FF3" w:rsidRDefault="0024075F" w:rsidP="0024075F">
      <w:pPr>
        <w:tabs>
          <w:tab w:val="left" w:pos="851"/>
        </w:tabs>
        <w:ind w:left="851" w:hanging="851"/>
        <w:jc w:val="both"/>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7.</w:t>
      </w:r>
      <w:r w:rsidRPr="003A4FF3">
        <w:rPr>
          <w:b/>
          <w:sz w:val="24"/>
          <w:szCs w:val="24"/>
        </w:rPr>
        <w:tab/>
        <w:t>INDEHAVER AF MARKEDSFØRINGSTILLADELSEN</w:t>
      </w:r>
    </w:p>
    <w:p w:rsidR="00FE219F" w:rsidRPr="00617FDB" w:rsidRDefault="00FE219F" w:rsidP="00FE219F">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proofErr w:type="spellStart"/>
      <w:r w:rsidRPr="00617FDB">
        <w:rPr>
          <w:spacing w:val="-3"/>
          <w:sz w:val="24"/>
          <w:szCs w:val="24"/>
          <w:lang w:val="en-US"/>
        </w:rPr>
        <w:t>Orifarm</w:t>
      </w:r>
      <w:proofErr w:type="spellEnd"/>
      <w:r w:rsidRPr="00617FDB">
        <w:rPr>
          <w:spacing w:val="-3"/>
          <w:sz w:val="24"/>
          <w:szCs w:val="24"/>
          <w:lang w:val="en-US"/>
        </w:rPr>
        <w:t xml:space="preserve"> A/S</w:t>
      </w:r>
    </w:p>
    <w:p w:rsidR="00FE219F" w:rsidRPr="00617FDB" w:rsidRDefault="00FE219F" w:rsidP="00FE219F">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rsidR="00FE219F" w:rsidRPr="00617FDB" w:rsidRDefault="00FE219F" w:rsidP="00FE219F">
      <w:pPr>
        <w:tabs>
          <w:tab w:val="left" w:pos="851"/>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51"/>
        <w:jc w:val="both"/>
        <w:rPr>
          <w:spacing w:val="-3"/>
          <w:sz w:val="24"/>
          <w:szCs w:val="24"/>
          <w:lang w:val="en-US"/>
        </w:rPr>
      </w:pPr>
      <w:r w:rsidRPr="00617FDB">
        <w:rPr>
          <w:spacing w:val="-3"/>
          <w:sz w:val="24"/>
          <w:szCs w:val="24"/>
          <w:lang w:val="en-US"/>
        </w:rPr>
        <w:t>5260 Odense S</w:t>
      </w:r>
    </w:p>
    <w:p w:rsidR="0024075F" w:rsidRPr="00FE219F" w:rsidRDefault="0024075F" w:rsidP="0024075F">
      <w:pPr>
        <w:ind w:left="851"/>
        <w:rPr>
          <w:sz w:val="24"/>
          <w:szCs w:val="24"/>
          <w:lang w:val="en-US"/>
        </w:rPr>
      </w:pPr>
    </w:p>
    <w:p w:rsidR="0024075F" w:rsidRPr="00FE219F" w:rsidRDefault="0024075F" w:rsidP="0024075F">
      <w:pPr>
        <w:tabs>
          <w:tab w:val="left" w:pos="851"/>
        </w:tabs>
        <w:ind w:left="851" w:hanging="851"/>
        <w:rPr>
          <w:sz w:val="24"/>
          <w:szCs w:val="24"/>
          <w:lang w:val="en-US"/>
        </w:rPr>
      </w:pPr>
    </w:p>
    <w:p w:rsidR="0024075F" w:rsidRPr="003A4FF3" w:rsidRDefault="0024075F" w:rsidP="0024075F">
      <w:pPr>
        <w:tabs>
          <w:tab w:val="left" w:pos="851"/>
        </w:tabs>
        <w:ind w:left="851" w:hanging="851"/>
        <w:rPr>
          <w:b/>
          <w:sz w:val="24"/>
          <w:szCs w:val="24"/>
        </w:rPr>
      </w:pPr>
      <w:r w:rsidRPr="003A4FF3">
        <w:rPr>
          <w:b/>
          <w:sz w:val="24"/>
          <w:szCs w:val="24"/>
        </w:rPr>
        <w:t>8.</w:t>
      </w:r>
      <w:r w:rsidRPr="003A4FF3">
        <w:rPr>
          <w:b/>
          <w:sz w:val="24"/>
          <w:szCs w:val="24"/>
        </w:rPr>
        <w:tab/>
        <w:t>MARKEDSFØRINGSTILLADELSESNUMMER (NUMRE)</w:t>
      </w:r>
    </w:p>
    <w:p w:rsidR="0024075F" w:rsidRPr="003A4FF3" w:rsidRDefault="0024075F" w:rsidP="0024075F">
      <w:pPr>
        <w:tabs>
          <w:tab w:val="left" w:pos="851"/>
        </w:tabs>
        <w:ind w:left="851" w:hanging="851"/>
        <w:rPr>
          <w:sz w:val="24"/>
          <w:szCs w:val="24"/>
        </w:rPr>
      </w:pPr>
      <w:r w:rsidRPr="003A4FF3">
        <w:rPr>
          <w:sz w:val="24"/>
          <w:szCs w:val="24"/>
        </w:rPr>
        <w:tab/>
      </w:r>
      <w:r w:rsidR="00FE219F" w:rsidRPr="00FE219F">
        <w:rPr>
          <w:sz w:val="24"/>
          <w:szCs w:val="24"/>
        </w:rPr>
        <w:t>74293</w:t>
      </w:r>
    </w:p>
    <w:p w:rsidR="0024075F" w:rsidRPr="003A4FF3" w:rsidRDefault="0024075F" w:rsidP="0024075F">
      <w:pPr>
        <w:tabs>
          <w:tab w:val="left" w:pos="851"/>
        </w:tabs>
        <w:ind w:left="851" w:hanging="851"/>
        <w:jc w:val="both"/>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9.</w:t>
      </w:r>
      <w:r w:rsidRPr="003A4FF3">
        <w:rPr>
          <w:b/>
          <w:sz w:val="24"/>
          <w:szCs w:val="24"/>
        </w:rPr>
        <w:tab/>
        <w:t>DATO FOR FØRSTE MARKEDSFØRINGSTILLADELSE</w:t>
      </w:r>
    </w:p>
    <w:p w:rsidR="0024075F" w:rsidRPr="003A4FF3" w:rsidRDefault="0024075F" w:rsidP="0024075F">
      <w:pPr>
        <w:tabs>
          <w:tab w:val="left" w:pos="851"/>
        </w:tabs>
        <w:ind w:left="851" w:hanging="851"/>
        <w:rPr>
          <w:sz w:val="24"/>
          <w:szCs w:val="24"/>
        </w:rPr>
      </w:pPr>
      <w:r w:rsidRPr="003A4FF3">
        <w:rPr>
          <w:sz w:val="24"/>
          <w:szCs w:val="24"/>
        </w:rPr>
        <w:tab/>
      </w:r>
      <w:r w:rsidR="00FE219F">
        <w:rPr>
          <w:sz w:val="24"/>
          <w:szCs w:val="24"/>
        </w:rPr>
        <w:t>2</w:t>
      </w:r>
      <w:r w:rsidR="000B3EBF">
        <w:rPr>
          <w:sz w:val="24"/>
          <w:szCs w:val="24"/>
        </w:rPr>
        <w:t>6</w:t>
      </w:r>
      <w:bookmarkStart w:id="1" w:name="_GoBack"/>
      <w:bookmarkEnd w:id="1"/>
      <w:r w:rsidR="00FE219F">
        <w:rPr>
          <w:sz w:val="24"/>
          <w:szCs w:val="24"/>
        </w:rPr>
        <w:t>. september 2025</w:t>
      </w:r>
    </w:p>
    <w:p w:rsidR="0024075F" w:rsidRPr="003A4FF3" w:rsidRDefault="0024075F" w:rsidP="0024075F">
      <w:pPr>
        <w:tabs>
          <w:tab w:val="left" w:pos="851"/>
        </w:tabs>
        <w:ind w:left="851" w:hanging="851"/>
        <w:rPr>
          <w:sz w:val="24"/>
          <w:szCs w:val="24"/>
        </w:rPr>
      </w:pPr>
    </w:p>
    <w:p w:rsidR="0024075F" w:rsidRPr="003A4FF3" w:rsidRDefault="0024075F" w:rsidP="0024075F">
      <w:pPr>
        <w:tabs>
          <w:tab w:val="left" w:pos="851"/>
        </w:tabs>
        <w:ind w:left="851" w:hanging="851"/>
        <w:rPr>
          <w:b/>
          <w:sz w:val="24"/>
          <w:szCs w:val="24"/>
        </w:rPr>
      </w:pPr>
      <w:r w:rsidRPr="003A4FF3">
        <w:rPr>
          <w:b/>
          <w:sz w:val="24"/>
          <w:szCs w:val="24"/>
        </w:rPr>
        <w:t>10.</w:t>
      </w:r>
      <w:r w:rsidRPr="003A4FF3">
        <w:rPr>
          <w:b/>
          <w:sz w:val="24"/>
          <w:szCs w:val="24"/>
        </w:rPr>
        <w:tab/>
        <w:t>DATO FOR ÆNDRING AF TEKSTEN</w:t>
      </w:r>
    </w:p>
    <w:p w:rsidR="0024075F" w:rsidRPr="003A4FF3" w:rsidRDefault="00FE219F" w:rsidP="0024075F">
      <w:pPr>
        <w:tabs>
          <w:tab w:val="left" w:pos="851"/>
        </w:tabs>
        <w:ind w:left="851"/>
        <w:rPr>
          <w:sz w:val="24"/>
          <w:szCs w:val="24"/>
        </w:rPr>
      </w:pPr>
      <w:r>
        <w:rPr>
          <w:sz w:val="24"/>
          <w:szCs w:val="24"/>
        </w:rPr>
        <w:t>-</w:t>
      </w:r>
    </w:p>
    <w:p w:rsidR="0024075F" w:rsidRPr="007F1029" w:rsidRDefault="0024075F" w:rsidP="0024075F"/>
    <w:p w:rsidR="0024075F" w:rsidRPr="008B118D" w:rsidRDefault="0024075F" w:rsidP="0024075F"/>
    <w:p w:rsidR="009260DE" w:rsidRPr="0024075F" w:rsidRDefault="009260DE" w:rsidP="0024075F"/>
    <w:sectPr w:rsidR="009260DE" w:rsidRPr="0024075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75F" w:rsidRDefault="0024075F">
      <w:r>
        <w:separator/>
      </w:r>
    </w:p>
  </w:endnote>
  <w:endnote w:type="continuationSeparator" w:id="0">
    <w:p w:rsidR="0024075F" w:rsidRDefault="0024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80056C" w:rsidP="00C42586">
    <w:pPr>
      <w:pStyle w:val="Sidefod"/>
      <w:tabs>
        <w:tab w:val="clear" w:pos="4819"/>
        <w:tab w:val="left" w:pos="8505"/>
      </w:tabs>
      <w:rPr>
        <w:i/>
        <w:sz w:val="18"/>
        <w:szCs w:val="18"/>
      </w:rPr>
    </w:pPr>
    <w:proofErr w:type="spellStart"/>
    <w:r w:rsidRPr="0080056C">
      <w:rPr>
        <w:i/>
        <w:sz w:val="18"/>
        <w:szCs w:val="18"/>
      </w:rPr>
      <w:t>Metolazon</w:t>
    </w:r>
    <w:proofErr w:type="spellEnd"/>
    <w:r w:rsidRPr="0080056C">
      <w:rPr>
        <w:i/>
        <w:sz w:val="18"/>
        <w:szCs w:val="18"/>
      </w:rPr>
      <w:t xml:space="preserve"> </w:t>
    </w:r>
    <w:proofErr w:type="spellStart"/>
    <w:r w:rsidRPr="0080056C">
      <w:rPr>
        <w:i/>
        <w:sz w:val="18"/>
        <w:szCs w:val="18"/>
      </w:rPr>
      <w:t>Abcur</w:t>
    </w:r>
    <w:proofErr w:type="spellEnd"/>
    <w:r w:rsidR="000739B2">
      <w:rPr>
        <w:i/>
        <w:sz w:val="18"/>
        <w:szCs w:val="18"/>
      </w:rPr>
      <w:t xml:space="preserve"> (</w:t>
    </w:r>
    <w:proofErr w:type="spellStart"/>
    <w:r w:rsidR="000739B2">
      <w:rPr>
        <w:i/>
        <w:sz w:val="18"/>
        <w:szCs w:val="18"/>
      </w:rPr>
      <w:t>Orifarm</w:t>
    </w:r>
    <w:proofErr w:type="spellEnd"/>
    <w:r w:rsidR="000739B2">
      <w:rPr>
        <w:i/>
        <w:sz w:val="18"/>
        <w:szCs w:val="18"/>
      </w:rPr>
      <w:t>)</w:t>
    </w:r>
    <w:r w:rsidRPr="0080056C">
      <w:rPr>
        <w:i/>
        <w:sz w:val="18"/>
        <w:szCs w:val="18"/>
      </w:rPr>
      <w:t>, tabletter 5 mg</w:t>
    </w:r>
    <w:r w:rsidR="000259B9" w:rsidRPr="00B373D7">
      <w:rPr>
        <w:i/>
        <w:sz w:val="18"/>
        <w:szCs w:val="18"/>
      </w:rPr>
      <w:tab/>
      <w:t xml:space="preserve">Side </w:t>
    </w:r>
    <w:r w:rsidR="00782AF4" w:rsidRPr="00B373D7">
      <w:rPr>
        <w:rStyle w:val="Sidetal"/>
        <w:i/>
        <w:sz w:val="18"/>
        <w:szCs w:val="18"/>
      </w:rPr>
      <w:fldChar w:fldCharType="begin"/>
    </w:r>
    <w:r w:rsidR="000259B9" w:rsidRPr="00B373D7">
      <w:rPr>
        <w:rStyle w:val="Sidetal"/>
        <w:i/>
        <w:sz w:val="18"/>
        <w:szCs w:val="18"/>
      </w:rPr>
      <w:instrText xml:space="preserve"> PAGE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r w:rsidR="000259B9" w:rsidRPr="00B373D7">
      <w:rPr>
        <w:rStyle w:val="Sidetal"/>
        <w:i/>
        <w:sz w:val="18"/>
        <w:szCs w:val="18"/>
      </w:rPr>
      <w:t xml:space="preserve"> af </w:t>
    </w:r>
    <w:r w:rsidR="00782AF4" w:rsidRPr="00B373D7">
      <w:rPr>
        <w:rStyle w:val="Sidetal"/>
        <w:i/>
        <w:sz w:val="18"/>
        <w:szCs w:val="18"/>
      </w:rPr>
      <w:fldChar w:fldCharType="begin"/>
    </w:r>
    <w:r w:rsidR="000259B9" w:rsidRPr="00B373D7">
      <w:rPr>
        <w:rStyle w:val="Sidetal"/>
        <w:i/>
        <w:sz w:val="18"/>
        <w:szCs w:val="18"/>
      </w:rPr>
      <w:instrText xml:space="preserve"> NUMPAGES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75F" w:rsidRDefault="0024075F">
      <w:r>
        <w:separator/>
      </w:r>
    </w:p>
  </w:footnote>
  <w:footnote w:type="continuationSeparator" w:id="0">
    <w:p w:rsidR="0024075F" w:rsidRDefault="0024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5F"/>
    <w:rsid w:val="000259B9"/>
    <w:rsid w:val="00041491"/>
    <w:rsid w:val="00050D16"/>
    <w:rsid w:val="000739B2"/>
    <w:rsid w:val="00074F2A"/>
    <w:rsid w:val="000A1CA8"/>
    <w:rsid w:val="000A466B"/>
    <w:rsid w:val="000B058C"/>
    <w:rsid w:val="000B3EBF"/>
    <w:rsid w:val="000E4EE6"/>
    <w:rsid w:val="00110A15"/>
    <w:rsid w:val="001454E2"/>
    <w:rsid w:val="001C13F5"/>
    <w:rsid w:val="00206CE8"/>
    <w:rsid w:val="0021526C"/>
    <w:rsid w:val="0024075F"/>
    <w:rsid w:val="00283A2B"/>
    <w:rsid w:val="002B30AD"/>
    <w:rsid w:val="002C2C01"/>
    <w:rsid w:val="003A29AE"/>
    <w:rsid w:val="003A32D7"/>
    <w:rsid w:val="003B4074"/>
    <w:rsid w:val="003C769A"/>
    <w:rsid w:val="003F1838"/>
    <w:rsid w:val="0045746C"/>
    <w:rsid w:val="0049104B"/>
    <w:rsid w:val="004A38F9"/>
    <w:rsid w:val="004E3B12"/>
    <w:rsid w:val="00532310"/>
    <w:rsid w:val="00560ECC"/>
    <w:rsid w:val="00565F0F"/>
    <w:rsid w:val="00594A86"/>
    <w:rsid w:val="00596D86"/>
    <w:rsid w:val="006129CB"/>
    <w:rsid w:val="00637F5A"/>
    <w:rsid w:val="006560B1"/>
    <w:rsid w:val="006756DD"/>
    <w:rsid w:val="00737275"/>
    <w:rsid w:val="00740EEC"/>
    <w:rsid w:val="0078011A"/>
    <w:rsid w:val="00782AF4"/>
    <w:rsid w:val="00790EE7"/>
    <w:rsid w:val="007B6649"/>
    <w:rsid w:val="0080056C"/>
    <w:rsid w:val="0081546F"/>
    <w:rsid w:val="0082576E"/>
    <w:rsid w:val="00907F75"/>
    <w:rsid w:val="009260DE"/>
    <w:rsid w:val="0093258A"/>
    <w:rsid w:val="009C7BA3"/>
    <w:rsid w:val="009D1F5A"/>
    <w:rsid w:val="009F58F1"/>
    <w:rsid w:val="00B003BF"/>
    <w:rsid w:val="00B373D7"/>
    <w:rsid w:val="00B5781E"/>
    <w:rsid w:val="00C174AC"/>
    <w:rsid w:val="00C36276"/>
    <w:rsid w:val="00C42586"/>
    <w:rsid w:val="00C60CCD"/>
    <w:rsid w:val="00C84483"/>
    <w:rsid w:val="00C95551"/>
    <w:rsid w:val="00CB20D7"/>
    <w:rsid w:val="00D020B0"/>
    <w:rsid w:val="00D11748"/>
    <w:rsid w:val="00D366CF"/>
    <w:rsid w:val="00E108AA"/>
    <w:rsid w:val="00E31812"/>
    <w:rsid w:val="00E3749A"/>
    <w:rsid w:val="00E7437F"/>
    <w:rsid w:val="00E865B8"/>
    <w:rsid w:val="00EC0B9B"/>
    <w:rsid w:val="00ED5E9F"/>
    <w:rsid w:val="00F66D4F"/>
    <w:rsid w:val="00FB6D01"/>
    <w:rsid w:val="00FE21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4FD49"/>
  <w15:chartTrackingRefBased/>
  <w15:docId w15:val="{4D818ABB-9CF9-4BAE-8118-A36E61B3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240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1880</Words>
  <Characters>12993</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2025071199 - Nyt PI SPC</dc:description>
  <cp:lastModifiedBy>Camilla Sværke Hansen</cp:lastModifiedBy>
  <cp:revision>7</cp:revision>
  <cp:lastPrinted>2012-08-22T08:53:00Z</cp:lastPrinted>
  <dcterms:created xsi:type="dcterms:W3CDTF">2021-03-19T11:26:00Z</dcterms:created>
  <dcterms:modified xsi:type="dcterms:W3CDTF">2025-09-26T08:32:00Z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