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5606C" w14:textId="77777777" w:rsidR="009260DE" w:rsidRPr="00C152A7" w:rsidRDefault="0021526C" w:rsidP="009260DE">
      <w:pPr>
        <w:rPr>
          <w:sz w:val="24"/>
          <w:szCs w:val="24"/>
        </w:rPr>
      </w:pPr>
      <w:bookmarkStart w:id="0" w:name="_GoBack"/>
      <w:bookmarkEnd w:id="0"/>
      <w:r w:rsidRPr="00C152A7">
        <w:rPr>
          <w:noProof/>
          <w:sz w:val="24"/>
          <w:szCs w:val="24"/>
          <w:lang w:eastAsia="da-DK"/>
        </w:rPr>
        <w:drawing>
          <wp:anchor distT="0" distB="0" distL="114300" distR="114300" simplePos="0" relativeHeight="251658240" behindDoc="0" locked="0" layoutInCell="1" allowOverlap="1" wp14:anchorId="3496E5A0" wp14:editId="1BF406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152A7">
        <w:rPr>
          <w:sz w:val="24"/>
          <w:szCs w:val="24"/>
        </w:rPr>
        <w:br w:type="textWrapping" w:clear="all"/>
      </w:r>
    </w:p>
    <w:p w14:paraId="5B95BE94" w14:textId="1C15B90B" w:rsidR="009260DE" w:rsidRPr="00C152A7" w:rsidRDefault="009260DE" w:rsidP="009260DE">
      <w:pPr>
        <w:pStyle w:val="Titel"/>
        <w:tabs>
          <w:tab w:val="right" w:pos="9356"/>
        </w:tabs>
        <w:jc w:val="left"/>
        <w:rPr>
          <w:b w:val="0"/>
          <w:szCs w:val="24"/>
          <w:lang w:eastAsia="en-US"/>
        </w:rPr>
      </w:pPr>
      <w:r w:rsidRPr="00C152A7">
        <w:rPr>
          <w:b w:val="0"/>
          <w:szCs w:val="24"/>
          <w:lang w:eastAsia="en-US"/>
        </w:rPr>
        <w:tab/>
      </w:r>
      <w:r w:rsidR="00D35AED" w:rsidRPr="00C152A7">
        <w:rPr>
          <w:szCs w:val="24"/>
        </w:rPr>
        <w:t>14. marts 2025</w:t>
      </w:r>
    </w:p>
    <w:p w14:paraId="1ABD0D3C" w14:textId="77777777" w:rsidR="009260DE" w:rsidRPr="00C152A7" w:rsidRDefault="009260DE" w:rsidP="009260DE">
      <w:pPr>
        <w:pStyle w:val="Titel"/>
        <w:tabs>
          <w:tab w:val="left" w:pos="8222"/>
        </w:tabs>
        <w:jc w:val="left"/>
        <w:rPr>
          <w:b w:val="0"/>
          <w:szCs w:val="24"/>
        </w:rPr>
      </w:pPr>
    </w:p>
    <w:p w14:paraId="61B165A0" w14:textId="77777777" w:rsidR="009260DE" w:rsidRPr="00C152A7" w:rsidRDefault="009260DE" w:rsidP="009260DE">
      <w:pPr>
        <w:pStyle w:val="Titel"/>
        <w:jc w:val="left"/>
        <w:rPr>
          <w:b w:val="0"/>
          <w:szCs w:val="24"/>
        </w:rPr>
      </w:pPr>
    </w:p>
    <w:p w14:paraId="6D94991E" w14:textId="77777777" w:rsidR="009260DE" w:rsidRPr="00C152A7" w:rsidRDefault="009260DE" w:rsidP="009260DE">
      <w:pPr>
        <w:pStyle w:val="Titel"/>
        <w:jc w:val="left"/>
        <w:rPr>
          <w:b w:val="0"/>
          <w:szCs w:val="24"/>
        </w:rPr>
      </w:pPr>
    </w:p>
    <w:p w14:paraId="78C3069C" w14:textId="77777777" w:rsidR="009260DE" w:rsidRPr="00C152A7" w:rsidRDefault="009260DE" w:rsidP="009260DE">
      <w:pPr>
        <w:jc w:val="center"/>
        <w:rPr>
          <w:b/>
          <w:sz w:val="24"/>
          <w:szCs w:val="24"/>
        </w:rPr>
      </w:pPr>
      <w:r w:rsidRPr="00C152A7">
        <w:rPr>
          <w:b/>
          <w:sz w:val="24"/>
          <w:szCs w:val="24"/>
        </w:rPr>
        <w:t>PRODUKTRESUMÉ</w:t>
      </w:r>
    </w:p>
    <w:p w14:paraId="6CE19278" w14:textId="77777777" w:rsidR="009260DE" w:rsidRPr="00C152A7" w:rsidRDefault="009260DE" w:rsidP="009260DE">
      <w:pPr>
        <w:jc w:val="center"/>
        <w:rPr>
          <w:b/>
          <w:sz w:val="24"/>
          <w:szCs w:val="24"/>
        </w:rPr>
      </w:pPr>
    </w:p>
    <w:p w14:paraId="24BCF2EB" w14:textId="77777777" w:rsidR="009260DE" w:rsidRPr="00C152A7" w:rsidRDefault="009260DE" w:rsidP="009260DE">
      <w:pPr>
        <w:jc w:val="center"/>
        <w:rPr>
          <w:b/>
          <w:sz w:val="24"/>
          <w:szCs w:val="24"/>
        </w:rPr>
      </w:pPr>
      <w:r w:rsidRPr="00C152A7">
        <w:rPr>
          <w:b/>
          <w:sz w:val="24"/>
          <w:szCs w:val="24"/>
        </w:rPr>
        <w:t>for</w:t>
      </w:r>
    </w:p>
    <w:p w14:paraId="7FBFD571" w14:textId="77777777" w:rsidR="000B058C" w:rsidRPr="00C152A7" w:rsidRDefault="000B058C" w:rsidP="009260DE">
      <w:pPr>
        <w:jc w:val="center"/>
        <w:rPr>
          <w:b/>
          <w:sz w:val="24"/>
          <w:szCs w:val="24"/>
        </w:rPr>
      </w:pPr>
    </w:p>
    <w:p w14:paraId="7D6C5977" w14:textId="655C19DE" w:rsidR="009260DE" w:rsidRPr="00C152A7" w:rsidRDefault="00D35AED" w:rsidP="009260DE">
      <w:pPr>
        <w:jc w:val="center"/>
        <w:rPr>
          <w:b/>
          <w:sz w:val="24"/>
          <w:szCs w:val="24"/>
        </w:rPr>
      </w:pPr>
      <w:proofErr w:type="spellStart"/>
      <w:r w:rsidRPr="00C152A7">
        <w:rPr>
          <w:b/>
          <w:sz w:val="24"/>
          <w:szCs w:val="24"/>
        </w:rPr>
        <w:t>Metronidazole</w:t>
      </w:r>
      <w:proofErr w:type="spellEnd"/>
      <w:r w:rsidRPr="00C152A7">
        <w:rPr>
          <w:b/>
          <w:sz w:val="24"/>
          <w:szCs w:val="24"/>
        </w:rPr>
        <w:t xml:space="preserve"> "Noridem", infusionsvæske, opløsning</w:t>
      </w:r>
    </w:p>
    <w:p w14:paraId="40B12F87" w14:textId="77777777" w:rsidR="009260DE" w:rsidRPr="00C152A7" w:rsidRDefault="009260DE" w:rsidP="009260DE">
      <w:pPr>
        <w:jc w:val="both"/>
        <w:rPr>
          <w:sz w:val="24"/>
          <w:szCs w:val="24"/>
        </w:rPr>
      </w:pPr>
    </w:p>
    <w:p w14:paraId="68792D46" w14:textId="77777777" w:rsidR="009260DE" w:rsidRPr="00C152A7" w:rsidRDefault="009260DE" w:rsidP="009260DE">
      <w:pPr>
        <w:jc w:val="both"/>
        <w:rPr>
          <w:sz w:val="24"/>
          <w:szCs w:val="24"/>
        </w:rPr>
      </w:pPr>
    </w:p>
    <w:p w14:paraId="0BCAD177" w14:textId="77777777" w:rsidR="009260DE" w:rsidRPr="00C152A7" w:rsidRDefault="009260DE" w:rsidP="009260DE">
      <w:pPr>
        <w:tabs>
          <w:tab w:val="left" w:pos="851"/>
        </w:tabs>
        <w:ind w:left="851" w:hanging="851"/>
        <w:rPr>
          <w:b/>
          <w:sz w:val="24"/>
          <w:szCs w:val="24"/>
        </w:rPr>
      </w:pPr>
      <w:r w:rsidRPr="00C152A7">
        <w:rPr>
          <w:b/>
          <w:sz w:val="24"/>
          <w:szCs w:val="24"/>
        </w:rPr>
        <w:t>0.</w:t>
      </w:r>
      <w:r w:rsidRPr="00C152A7">
        <w:rPr>
          <w:b/>
          <w:sz w:val="24"/>
          <w:szCs w:val="24"/>
        </w:rPr>
        <w:tab/>
        <w:t>D.SP.NR.</w:t>
      </w:r>
    </w:p>
    <w:p w14:paraId="7ED27F72" w14:textId="18C773E3" w:rsidR="009260DE" w:rsidRPr="00C152A7" w:rsidRDefault="00D35AED" w:rsidP="009260DE">
      <w:pPr>
        <w:tabs>
          <w:tab w:val="left" w:pos="851"/>
        </w:tabs>
        <w:ind w:left="851"/>
        <w:rPr>
          <w:sz w:val="24"/>
          <w:szCs w:val="24"/>
        </w:rPr>
      </w:pPr>
      <w:r w:rsidRPr="00C152A7">
        <w:rPr>
          <w:sz w:val="24"/>
          <w:szCs w:val="24"/>
        </w:rPr>
        <w:t>34044</w:t>
      </w:r>
    </w:p>
    <w:p w14:paraId="6C70219C" w14:textId="77777777" w:rsidR="009260DE" w:rsidRPr="00C152A7" w:rsidRDefault="009260DE" w:rsidP="009260DE">
      <w:pPr>
        <w:tabs>
          <w:tab w:val="left" w:pos="851"/>
        </w:tabs>
        <w:ind w:left="851"/>
        <w:rPr>
          <w:sz w:val="24"/>
          <w:szCs w:val="24"/>
        </w:rPr>
      </w:pPr>
    </w:p>
    <w:p w14:paraId="24C65EC6" w14:textId="77777777" w:rsidR="009260DE" w:rsidRPr="00C152A7" w:rsidRDefault="009260DE" w:rsidP="009260DE">
      <w:pPr>
        <w:tabs>
          <w:tab w:val="left" w:pos="851"/>
        </w:tabs>
        <w:ind w:left="851" w:hanging="851"/>
        <w:rPr>
          <w:b/>
          <w:sz w:val="24"/>
          <w:szCs w:val="24"/>
        </w:rPr>
      </w:pPr>
      <w:r w:rsidRPr="00C152A7">
        <w:rPr>
          <w:b/>
          <w:sz w:val="24"/>
          <w:szCs w:val="24"/>
        </w:rPr>
        <w:t>1.</w:t>
      </w:r>
      <w:r w:rsidRPr="00C152A7">
        <w:rPr>
          <w:b/>
          <w:sz w:val="24"/>
          <w:szCs w:val="24"/>
        </w:rPr>
        <w:tab/>
        <w:t>LÆGEMIDLETS NAVN</w:t>
      </w:r>
    </w:p>
    <w:p w14:paraId="692EAA91" w14:textId="47912C91" w:rsidR="009260DE" w:rsidRPr="00C152A7" w:rsidRDefault="00D35AED" w:rsidP="009260DE">
      <w:pPr>
        <w:tabs>
          <w:tab w:val="left" w:pos="851"/>
        </w:tabs>
        <w:ind w:left="851"/>
        <w:rPr>
          <w:sz w:val="24"/>
          <w:szCs w:val="24"/>
        </w:rPr>
      </w:pPr>
      <w:proofErr w:type="spellStart"/>
      <w:r w:rsidRPr="00C152A7">
        <w:rPr>
          <w:sz w:val="24"/>
          <w:szCs w:val="24"/>
        </w:rPr>
        <w:t>Metronidazole</w:t>
      </w:r>
      <w:proofErr w:type="spellEnd"/>
      <w:r w:rsidRPr="00C152A7">
        <w:rPr>
          <w:sz w:val="24"/>
          <w:szCs w:val="24"/>
        </w:rPr>
        <w:t xml:space="preserve"> "Noridem"</w:t>
      </w:r>
    </w:p>
    <w:p w14:paraId="3E52784F" w14:textId="77777777" w:rsidR="009260DE" w:rsidRPr="00C152A7" w:rsidRDefault="009260DE" w:rsidP="009260DE">
      <w:pPr>
        <w:tabs>
          <w:tab w:val="left" w:pos="851"/>
        </w:tabs>
        <w:ind w:left="851"/>
        <w:rPr>
          <w:sz w:val="24"/>
          <w:szCs w:val="24"/>
        </w:rPr>
      </w:pPr>
    </w:p>
    <w:p w14:paraId="7CDE3D4C" w14:textId="77777777" w:rsidR="009260DE" w:rsidRPr="00C152A7" w:rsidRDefault="009260DE" w:rsidP="009260DE">
      <w:pPr>
        <w:tabs>
          <w:tab w:val="left" w:pos="851"/>
        </w:tabs>
        <w:ind w:left="851" w:hanging="851"/>
        <w:rPr>
          <w:b/>
          <w:sz w:val="24"/>
          <w:szCs w:val="24"/>
        </w:rPr>
      </w:pPr>
      <w:r w:rsidRPr="00C152A7">
        <w:rPr>
          <w:b/>
          <w:sz w:val="24"/>
          <w:szCs w:val="24"/>
        </w:rPr>
        <w:t>2.</w:t>
      </w:r>
      <w:r w:rsidRPr="00C152A7">
        <w:rPr>
          <w:b/>
          <w:sz w:val="24"/>
          <w:szCs w:val="24"/>
        </w:rPr>
        <w:tab/>
        <w:t>KVALITATIV OG KVANTITATIV SAMMENSÆTNING</w:t>
      </w:r>
    </w:p>
    <w:p w14:paraId="068F24C2" w14:textId="77777777" w:rsidR="00D52384" w:rsidRPr="00C152A7" w:rsidRDefault="00D52384" w:rsidP="003E13B0">
      <w:pPr>
        <w:ind w:left="851"/>
        <w:rPr>
          <w:color w:val="000000" w:themeColor="text1"/>
          <w:sz w:val="24"/>
          <w:szCs w:val="24"/>
        </w:rPr>
      </w:pPr>
      <w:r w:rsidRPr="00C152A7">
        <w:rPr>
          <w:color w:val="000000" w:themeColor="text1"/>
          <w:sz w:val="24"/>
          <w:szCs w:val="24"/>
        </w:rPr>
        <w:t xml:space="preserve">100 ml infusionsvæske, opløsning, indeholder 500 mg </w:t>
      </w:r>
      <w:proofErr w:type="spellStart"/>
      <w:r w:rsidRPr="00C152A7">
        <w:rPr>
          <w:color w:val="000000" w:themeColor="text1"/>
          <w:sz w:val="24"/>
          <w:szCs w:val="24"/>
        </w:rPr>
        <w:t>metronidazol</w:t>
      </w:r>
      <w:proofErr w:type="spellEnd"/>
      <w:r w:rsidRPr="00C152A7">
        <w:rPr>
          <w:color w:val="000000" w:themeColor="text1"/>
          <w:sz w:val="24"/>
          <w:szCs w:val="24"/>
        </w:rPr>
        <w:t>.</w:t>
      </w:r>
    </w:p>
    <w:p w14:paraId="3C81E68A" w14:textId="77777777" w:rsidR="00D52384" w:rsidRPr="00C152A7" w:rsidRDefault="00D52384" w:rsidP="003E13B0">
      <w:pPr>
        <w:ind w:left="851"/>
        <w:rPr>
          <w:color w:val="000000" w:themeColor="text1"/>
          <w:sz w:val="24"/>
          <w:szCs w:val="24"/>
        </w:rPr>
      </w:pPr>
      <w:r w:rsidRPr="00C152A7">
        <w:rPr>
          <w:color w:val="000000" w:themeColor="text1"/>
          <w:sz w:val="24"/>
          <w:szCs w:val="24"/>
        </w:rPr>
        <w:t xml:space="preserve">Hver ml infusionsvæske, opløsning, indeholder 5 mg </w:t>
      </w:r>
      <w:proofErr w:type="spellStart"/>
      <w:r w:rsidRPr="00C152A7">
        <w:rPr>
          <w:color w:val="000000" w:themeColor="text1"/>
          <w:sz w:val="24"/>
          <w:szCs w:val="24"/>
        </w:rPr>
        <w:t>metronidazol</w:t>
      </w:r>
      <w:proofErr w:type="spellEnd"/>
      <w:r w:rsidRPr="00C152A7">
        <w:rPr>
          <w:color w:val="000000" w:themeColor="text1"/>
          <w:sz w:val="24"/>
          <w:szCs w:val="24"/>
        </w:rPr>
        <w:t xml:space="preserve">. </w:t>
      </w:r>
    </w:p>
    <w:p w14:paraId="5E762196" w14:textId="77777777" w:rsidR="00D52384" w:rsidRPr="00C152A7" w:rsidRDefault="00D52384" w:rsidP="003E13B0">
      <w:pPr>
        <w:ind w:left="851"/>
        <w:rPr>
          <w:color w:val="000000" w:themeColor="text1"/>
          <w:sz w:val="24"/>
          <w:szCs w:val="24"/>
        </w:rPr>
      </w:pPr>
    </w:p>
    <w:p w14:paraId="74F34F15" w14:textId="77777777" w:rsidR="00D52384" w:rsidRPr="00C152A7" w:rsidRDefault="00D52384" w:rsidP="003E13B0">
      <w:pPr>
        <w:ind w:left="851"/>
        <w:rPr>
          <w:color w:val="000000" w:themeColor="text1"/>
          <w:sz w:val="24"/>
          <w:szCs w:val="24"/>
        </w:rPr>
      </w:pPr>
      <w:r w:rsidRPr="00C152A7">
        <w:rPr>
          <w:color w:val="000000" w:themeColor="text1"/>
          <w:sz w:val="24"/>
          <w:szCs w:val="24"/>
        </w:rPr>
        <w:t xml:space="preserve">Hjælpestoffer, som behandleren skal være opmærksom på: Dette lægemiddel indeholder 13,51 mmol (eller 310,58 mg) natrium pr. 100 ml. </w:t>
      </w:r>
    </w:p>
    <w:p w14:paraId="352DBF6E" w14:textId="77777777" w:rsidR="00D52384" w:rsidRPr="00C152A7" w:rsidRDefault="00D52384" w:rsidP="003E13B0">
      <w:pPr>
        <w:ind w:left="851"/>
        <w:rPr>
          <w:sz w:val="24"/>
          <w:szCs w:val="24"/>
        </w:rPr>
      </w:pPr>
      <w:r w:rsidRPr="00C152A7">
        <w:rPr>
          <w:sz w:val="24"/>
          <w:szCs w:val="24"/>
        </w:rPr>
        <w:t xml:space="preserve">Hver ml infusionsvæske, opløsning, indeholder 0,14 mmol (eller 3,11 mg) natrium. Dette skal tages i betragtning hos patienter, der er på en kontrolleret natriumdiæt. </w:t>
      </w:r>
    </w:p>
    <w:p w14:paraId="3715C0E5" w14:textId="77777777" w:rsidR="00D52384" w:rsidRPr="00C152A7" w:rsidRDefault="00D52384" w:rsidP="003E13B0">
      <w:pPr>
        <w:ind w:left="851"/>
        <w:rPr>
          <w:sz w:val="24"/>
          <w:szCs w:val="24"/>
          <w:lang w:val="nl-NL"/>
        </w:rPr>
      </w:pPr>
    </w:p>
    <w:p w14:paraId="5895D42D" w14:textId="77777777" w:rsidR="00D52384" w:rsidRPr="00C152A7" w:rsidRDefault="00D52384" w:rsidP="003E13B0">
      <w:pPr>
        <w:ind w:left="851"/>
        <w:rPr>
          <w:sz w:val="24"/>
          <w:szCs w:val="24"/>
        </w:rPr>
      </w:pPr>
      <w:r w:rsidRPr="00C152A7">
        <w:rPr>
          <w:sz w:val="24"/>
          <w:szCs w:val="24"/>
        </w:rPr>
        <w:t>Alle hjælpestoffer er anført under pkt. 6.1.</w:t>
      </w:r>
    </w:p>
    <w:p w14:paraId="2F9D57A1" w14:textId="77777777" w:rsidR="009260DE" w:rsidRPr="00C152A7" w:rsidRDefault="009260DE" w:rsidP="009260DE">
      <w:pPr>
        <w:tabs>
          <w:tab w:val="left" w:pos="851"/>
        </w:tabs>
        <w:ind w:left="851"/>
        <w:rPr>
          <w:sz w:val="24"/>
          <w:szCs w:val="24"/>
        </w:rPr>
      </w:pPr>
    </w:p>
    <w:p w14:paraId="423777F5" w14:textId="77777777" w:rsidR="009260DE" w:rsidRPr="00C152A7" w:rsidRDefault="009260DE" w:rsidP="009260DE">
      <w:pPr>
        <w:tabs>
          <w:tab w:val="left" w:pos="851"/>
        </w:tabs>
        <w:ind w:left="851" w:hanging="851"/>
        <w:rPr>
          <w:b/>
          <w:sz w:val="24"/>
          <w:szCs w:val="24"/>
        </w:rPr>
      </w:pPr>
      <w:r w:rsidRPr="00C152A7">
        <w:rPr>
          <w:b/>
          <w:sz w:val="24"/>
          <w:szCs w:val="24"/>
        </w:rPr>
        <w:t>3.</w:t>
      </w:r>
      <w:r w:rsidRPr="00C152A7">
        <w:rPr>
          <w:b/>
          <w:sz w:val="24"/>
          <w:szCs w:val="24"/>
        </w:rPr>
        <w:tab/>
        <w:t>LÆGEMIDDELFORM</w:t>
      </w:r>
    </w:p>
    <w:p w14:paraId="121749B1" w14:textId="77777777" w:rsidR="00D52384" w:rsidRPr="00C152A7" w:rsidRDefault="00D52384" w:rsidP="003E13B0">
      <w:pPr>
        <w:ind w:left="851"/>
        <w:rPr>
          <w:sz w:val="24"/>
          <w:szCs w:val="24"/>
        </w:rPr>
      </w:pPr>
      <w:r w:rsidRPr="00C152A7">
        <w:rPr>
          <w:sz w:val="24"/>
          <w:szCs w:val="24"/>
        </w:rPr>
        <w:t>Infusionsvæske, opløsning</w:t>
      </w:r>
    </w:p>
    <w:p w14:paraId="2272B6D7" w14:textId="77777777" w:rsidR="00D52384" w:rsidRPr="00C152A7" w:rsidRDefault="00D52384" w:rsidP="003E13B0">
      <w:pPr>
        <w:ind w:left="851"/>
        <w:rPr>
          <w:sz w:val="24"/>
          <w:szCs w:val="24"/>
        </w:rPr>
      </w:pPr>
    </w:p>
    <w:p w14:paraId="25DD0EAE" w14:textId="77777777" w:rsidR="00D52384" w:rsidRPr="00C152A7" w:rsidRDefault="00D52384" w:rsidP="003E13B0">
      <w:pPr>
        <w:ind w:left="851"/>
        <w:rPr>
          <w:sz w:val="24"/>
          <w:szCs w:val="24"/>
        </w:rPr>
      </w:pPr>
      <w:r w:rsidRPr="00C152A7">
        <w:rPr>
          <w:sz w:val="24"/>
          <w:szCs w:val="24"/>
        </w:rPr>
        <w:t>En klar, næsten farveløs til svagt gul opløsning uden synlige partikler.</w:t>
      </w:r>
    </w:p>
    <w:p w14:paraId="2C88E202" w14:textId="77777777" w:rsidR="00D52384" w:rsidRPr="00C152A7" w:rsidRDefault="00D52384" w:rsidP="003E13B0">
      <w:pPr>
        <w:ind w:left="851"/>
        <w:rPr>
          <w:sz w:val="24"/>
          <w:szCs w:val="24"/>
          <w:lang w:val="nl-NL"/>
        </w:rPr>
      </w:pPr>
    </w:p>
    <w:p w14:paraId="1A53346E" w14:textId="77777777" w:rsidR="00D52384" w:rsidRPr="00C152A7" w:rsidRDefault="00D52384" w:rsidP="003E13B0">
      <w:pPr>
        <w:autoSpaceDE w:val="0"/>
        <w:autoSpaceDN w:val="0"/>
        <w:adjustRightInd w:val="0"/>
        <w:ind w:left="851"/>
        <w:rPr>
          <w:bCs/>
          <w:color w:val="000000" w:themeColor="text1"/>
          <w:sz w:val="24"/>
          <w:szCs w:val="24"/>
        </w:rPr>
      </w:pPr>
      <w:r w:rsidRPr="00C152A7">
        <w:rPr>
          <w:color w:val="000000" w:themeColor="text1"/>
          <w:sz w:val="24"/>
          <w:szCs w:val="24"/>
        </w:rPr>
        <w:t>pH: 4,5</w:t>
      </w:r>
      <w:r w:rsidRPr="00C152A7">
        <w:rPr>
          <w:color w:val="000000" w:themeColor="text1"/>
          <w:sz w:val="24"/>
          <w:szCs w:val="24"/>
        </w:rPr>
        <w:noBreakHyphen/>
        <w:t>6,0</w:t>
      </w:r>
    </w:p>
    <w:p w14:paraId="050F214D" w14:textId="77777777" w:rsidR="00D52384" w:rsidRPr="00C152A7" w:rsidRDefault="00D52384" w:rsidP="003E13B0">
      <w:pPr>
        <w:ind w:left="851"/>
        <w:rPr>
          <w:bCs/>
          <w:color w:val="000000" w:themeColor="text1"/>
          <w:sz w:val="24"/>
          <w:szCs w:val="24"/>
        </w:rPr>
      </w:pPr>
      <w:proofErr w:type="spellStart"/>
      <w:r w:rsidRPr="00C152A7">
        <w:rPr>
          <w:color w:val="000000" w:themeColor="text1"/>
          <w:sz w:val="24"/>
          <w:szCs w:val="24"/>
        </w:rPr>
        <w:t>Osmolalitet</w:t>
      </w:r>
      <w:proofErr w:type="spellEnd"/>
      <w:r w:rsidRPr="00C152A7">
        <w:rPr>
          <w:color w:val="000000" w:themeColor="text1"/>
          <w:sz w:val="24"/>
          <w:szCs w:val="24"/>
        </w:rPr>
        <w:t>: 270</w:t>
      </w:r>
      <w:r w:rsidRPr="00C152A7">
        <w:rPr>
          <w:color w:val="000000" w:themeColor="text1"/>
          <w:sz w:val="24"/>
          <w:szCs w:val="24"/>
        </w:rPr>
        <w:noBreakHyphen/>
        <w:t>310 </w:t>
      </w:r>
      <w:proofErr w:type="spellStart"/>
      <w:r w:rsidRPr="00C152A7">
        <w:rPr>
          <w:color w:val="000000" w:themeColor="text1"/>
          <w:sz w:val="24"/>
          <w:szCs w:val="24"/>
        </w:rPr>
        <w:t>mOsm</w:t>
      </w:r>
      <w:proofErr w:type="spellEnd"/>
      <w:r w:rsidRPr="00C152A7">
        <w:rPr>
          <w:color w:val="000000" w:themeColor="text1"/>
          <w:sz w:val="24"/>
          <w:szCs w:val="24"/>
        </w:rPr>
        <w:t>/kg</w:t>
      </w:r>
    </w:p>
    <w:p w14:paraId="0E91AAB1" w14:textId="77777777" w:rsidR="009260DE" w:rsidRPr="00C152A7" w:rsidRDefault="009260DE" w:rsidP="009260DE">
      <w:pPr>
        <w:tabs>
          <w:tab w:val="left" w:pos="851"/>
        </w:tabs>
        <w:ind w:left="851"/>
        <w:rPr>
          <w:sz w:val="24"/>
          <w:szCs w:val="24"/>
        </w:rPr>
      </w:pPr>
    </w:p>
    <w:p w14:paraId="054DF6C3" w14:textId="77777777" w:rsidR="009260DE" w:rsidRPr="00C152A7" w:rsidRDefault="009260DE" w:rsidP="009260DE">
      <w:pPr>
        <w:tabs>
          <w:tab w:val="left" w:pos="851"/>
        </w:tabs>
        <w:ind w:left="851"/>
        <w:rPr>
          <w:sz w:val="24"/>
          <w:szCs w:val="24"/>
        </w:rPr>
      </w:pPr>
    </w:p>
    <w:p w14:paraId="1B003BA2" w14:textId="77777777" w:rsidR="009260DE" w:rsidRPr="00C152A7" w:rsidRDefault="009260DE" w:rsidP="009260DE">
      <w:pPr>
        <w:tabs>
          <w:tab w:val="left" w:pos="851"/>
        </w:tabs>
        <w:ind w:left="851" w:hanging="851"/>
        <w:rPr>
          <w:b/>
          <w:sz w:val="24"/>
          <w:szCs w:val="24"/>
        </w:rPr>
      </w:pPr>
      <w:r w:rsidRPr="00C152A7">
        <w:rPr>
          <w:b/>
          <w:sz w:val="24"/>
          <w:szCs w:val="24"/>
        </w:rPr>
        <w:t>4.</w:t>
      </w:r>
      <w:r w:rsidRPr="00C152A7">
        <w:rPr>
          <w:b/>
          <w:sz w:val="24"/>
          <w:szCs w:val="24"/>
        </w:rPr>
        <w:tab/>
        <w:t>KLINISKE OPLYSNINGER</w:t>
      </w:r>
    </w:p>
    <w:p w14:paraId="72FC7071" w14:textId="77777777" w:rsidR="009260DE" w:rsidRPr="00C152A7" w:rsidRDefault="009260DE" w:rsidP="009260DE">
      <w:pPr>
        <w:tabs>
          <w:tab w:val="left" w:pos="851"/>
        </w:tabs>
        <w:ind w:left="851"/>
        <w:rPr>
          <w:b/>
          <w:sz w:val="24"/>
          <w:szCs w:val="24"/>
        </w:rPr>
      </w:pPr>
    </w:p>
    <w:p w14:paraId="5972A0E6" w14:textId="77777777" w:rsidR="009260DE" w:rsidRPr="00C152A7" w:rsidRDefault="009260DE" w:rsidP="009260DE">
      <w:pPr>
        <w:tabs>
          <w:tab w:val="left" w:pos="851"/>
        </w:tabs>
        <w:ind w:left="851" w:hanging="851"/>
        <w:rPr>
          <w:b/>
          <w:sz w:val="24"/>
          <w:szCs w:val="24"/>
          <w:u w:val="single"/>
        </w:rPr>
      </w:pPr>
      <w:r w:rsidRPr="00C152A7">
        <w:rPr>
          <w:b/>
          <w:sz w:val="24"/>
          <w:szCs w:val="24"/>
        </w:rPr>
        <w:t>4.1</w:t>
      </w:r>
      <w:r w:rsidRPr="00C152A7">
        <w:rPr>
          <w:b/>
          <w:sz w:val="24"/>
          <w:szCs w:val="24"/>
        </w:rPr>
        <w:tab/>
        <w:t>Terapeutiske indikationer</w:t>
      </w:r>
    </w:p>
    <w:p w14:paraId="6A6932FE" w14:textId="0B465677" w:rsidR="00D52384" w:rsidRPr="00C152A7" w:rsidRDefault="00D52384" w:rsidP="003E13B0">
      <w:pPr>
        <w:ind w:left="851"/>
        <w:rPr>
          <w:sz w:val="24"/>
          <w:szCs w:val="24"/>
        </w:rPr>
      </w:pP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 xml:space="preserve"> 5 mg/ml infusionsvæske, opløsning, er indiceret til profylakse og behandling af infektioner hos voksne og børn, i situationer hvor modtagelige anaerobe mikroorganismer er blevet identificeret som eller formodes at være årsagen (se pkt. 4.4 og 5.1).</w:t>
      </w:r>
    </w:p>
    <w:p w14:paraId="60D635E7" w14:textId="77777777" w:rsidR="00D52384" w:rsidRPr="00DD00D6" w:rsidRDefault="00D52384" w:rsidP="00DD00D6">
      <w:pPr>
        <w:pStyle w:val="Listeafsnit"/>
        <w:numPr>
          <w:ilvl w:val="0"/>
          <w:numId w:val="12"/>
        </w:numPr>
        <w:spacing w:after="0" w:line="240" w:lineRule="auto"/>
        <w:ind w:left="1276" w:hanging="425"/>
        <w:rPr>
          <w:rFonts w:ascii="Times New Roman" w:hAnsi="Times New Roman" w:cs="Times New Roman"/>
          <w:sz w:val="24"/>
          <w:szCs w:val="24"/>
        </w:rPr>
      </w:pPr>
      <w:r w:rsidRPr="00DD00D6">
        <w:rPr>
          <w:rFonts w:ascii="Times New Roman" w:hAnsi="Times New Roman" w:cs="Times New Roman"/>
          <w:sz w:val="24"/>
          <w:szCs w:val="24"/>
        </w:rPr>
        <w:t xml:space="preserve">Profylakse af postoperative infektioner, hvor anaerobe bakterier forventes at være det sygdomsfremkaldende patogen (gynækologiske og </w:t>
      </w:r>
      <w:proofErr w:type="spellStart"/>
      <w:r w:rsidRPr="00DD00D6">
        <w:rPr>
          <w:rFonts w:ascii="Times New Roman" w:hAnsi="Times New Roman" w:cs="Times New Roman"/>
          <w:sz w:val="24"/>
          <w:szCs w:val="24"/>
        </w:rPr>
        <w:t>intraabdominale</w:t>
      </w:r>
      <w:proofErr w:type="spellEnd"/>
      <w:r w:rsidRPr="00DD00D6">
        <w:rPr>
          <w:rFonts w:ascii="Times New Roman" w:hAnsi="Times New Roman" w:cs="Times New Roman"/>
          <w:sz w:val="24"/>
          <w:szCs w:val="24"/>
        </w:rPr>
        <w:t xml:space="preserve"> operationer).</w:t>
      </w:r>
    </w:p>
    <w:p w14:paraId="14DED3E2" w14:textId="77777777" w:rsidR="00D52384" w:rsidRPr="00DD00D6" w:rsidRDefault="00D52384" w:rsidP="00DD00D6">
      <w:pPr>
        <w:pStyle w:val="Listeafsnit"/>
        <w:numPr>
          <w:ilvl w:val="0"/>
          <w:numId w:val="12"/>
        </w:numPr>
        <w:spacing w:after="0" w:line="240" w:lineRule="auto"/>
        <w:ind w:left="1276" w:hanging="425"/>
        <w:rPr>
          <w:rFonts w:ascii="Times New Roman" w:hAnsi="Times New Roman" w:cs="Times New Roman"/>
          <w:sz w:val="24"/>
          <w:szCs w:val="24"/>
        </w:rPr>
      </w:pPr>
      <w:r w:rsidRPr="00DD00D6">
        <w:rPr>
          <w:rFonts w:ascii="Times New Roman" w:hAnsi="Times New Roman" w:cs="Times New Roman"/>
          <w:sz w:val="24"/>
          <w:szCs w:val="24"/>
        </w:rPr>
        <w:lastRenderedPageBreak/>
        <w:t xml:space="preserve">Behandling af </w:t>
      </w:r>
      <w:proofErr w:type="spellStart"/>
      <w:r w:rsidRPr="00DD00D6">
        <w:rPr>
          <w:rFonts w:ascii="Times New Roman" w:hAnsi="Times New Roman" w:cs="Times New Roman"/>
          <w:sz w:val="24"/>
          <w:szCs w:val="24"/>
        </w:rPr>
        <w:t>peritonitis</w:t>
      </w:r>
      <w:proofErr w:type="spellEnd"/>
      <w:r w:rsidRPr="00DD00D6">
        <w:rPr>
          <w:rFonts w:ascii="Times New Roman" w:hAnsi="Times New Roman" w:cs="Times New Roman"/>
          <w:sz w:val="24"/>
          <w:szCs w:val="24"/>
        </w:rPr>
        <w:t xml:space="preserve">, hjerneabsces, </w:t>
      </w:r>
      <w:proofErr w:type="spellStart"/>
      <w:r w:rsidRPr="00DD00D6">
        <w:rPr>
          <w:rFonts w:ascii="Times New Roman" w:hAnsi="Times New Roman" w:cs="Times New Roman"/>
          <w:sz w:val="24"/>
          <w:szCs w:val="24"/>
        </w:rPr>
        <w:t>nekrotiserende</w:t>
      </w:r>
      <w:proofErr w:type="spellEnd"/>
      <w:r w:rsidRPr="00DD00D6">
        <w:rPr>
          <w:rFonts w:ascii="Times New Roman" w:hAnsi="Times New Roman" w:cs="Times New Roman"/>
          <w:sz w:val="24"/>
          <w:szCs w:val="24"/>
        </w:rPr>
        <w:t xml:space="preserve"> pneumoni, </w:t>
      </w:r>
      <w:proofErr w:type="spellStart"/>
      <w:r w:rsidRPr="00DD00D6">
        <w:rPr>
          <w:rFonts w:ascii="Times New Roman" w:hAnsi="Times New Roman" w:cs="Times New Roman"/>
          <w:sz w:val="24"/>
          <w:szCs w:val="24"/>
        </w:rPr>
        <w:t>osteomyelitis</w:t>
      </w:r>
      <w:proofErr w:type="spellEnd"/>
      <w:r w:rsidRPr="00DD00D6">
        <w:rPr>
          <w:rFonts w:ascii="Times New Roman" w:hAnsi="Times New Roman" w:cs="Times New Roman"/>
          <w:sz w:val="24"/>
          <w:szCs w:val="24"/>
        </w:rPr>
        <w:t xml:space="preserve">, </w:t>
      </w:r>
      <w:proofErr w:type="spellStart"/>
      <w:r w:rsidRPr="00DD00D6">
        <w:rPr>
          <w:rFonts w:ascii="Times New Roman" w:hAnsi="Times New Roman" w:cs="Times New Roman"/>
          <w:sz w:val="24"/>
          <w:szCs w:val="24"/>
        </w:rPr>
        <w:t>puerperal</w:t>
      </w:r>
      <w:proofErr w:type="spellEnd"/>
      <w:r w:rsidRPr="00DD00D6">
        <w:rPr>
          <w:rFonts w:ascii="Times New Roman" w:hAnsi="Times New Roman" w:cs="Times New Roman"/>
          <w:sz w:val="24"/>
          <w:szCs w:val="24"/>
        </w:rPr>
        <w:t xml:space="preserve"> sepsis, bækkenabsces og postoperative sårinfektioner, hvorfra der er isoleret patogene </w:t>
      </w:r>
      <w:proofErr w:type="spellStart"/>
      <w:r w:rsidRPr="00DD00D6">
        <w:rPr>
          <w:rFonts w:ascii="Times New Roman" w:hAnsi="Times New Roman" w:cs="Times New Roman"/>
          <w:sz w:val="24"/>
          <w:szCs w:val="24"/>
        </w:rPr>
        <w:t>anaerober</w:t>
      </w:r>
      <w:proofErr w:type="spellEnd"/>
      <w:r w:rsidRPr="00DD00D6">
        <w:rPr>
          <w:rFonts w:ascii="Times New Roman" w:hAnsi="Times New Roman" w:cs="Times New Roman"/>
          <w:sz w:val="24"/>
          <w:szCs w:val="24"/>
        </w:rPr>
        <w:t>.</w:t>
      </w:r>
    </w:p>
    <w:p w14:paraId="43734D55" w14:textId="77777777" w:rsidR="00D52384" w:rsidRPr="00DD00D6" w:rsidRDefault="00D52384" w:rsidP="003E13B0">
      <w:pPr>
        <w:ind w:left="851"/>
        <w:rPr>
          <w:sz w:val="24"/>
          <w:szCs w:val="24"/>
        </w:rPr>
      </w:pPr>
    </w:p>
    <w:p w14:paraId="396A939D" w14:textId="77777777" w:rsidR="00D52384" w:rsidRPr="00C152A7" w:rsidRDefault="00D52384" w:rsidP="003E13B0">
      <w:pPr>
        <w:ind w:left="851"/>
        <w:rPr>
          <w:sz w:val="24"/>
          <w:szCs w:val="24"/>
        </w:rPr>
      </w:pPr>
      <w:r w:rsidRPr="00C152A7">
        <w:rPr>
          <w:sz w:val="24"/>
          <w:szCs w:val="24"/>
        </w:rPr>
        <w:t xml:space="preserve">Behandling af patienter med </w:t>
      </w:r>
      <w:proofErr w:type="spellStart"/>
      <w:r w:rsidRPr="00C152A7">
        <w:rPr>
          <w:sz w:val="24"/>
          <w:szCs w:val="24"/>
        </w:rPr>
        <w:t>bakteriæmi</w:t>
      </w:r>
      <w:proofErr w:type="spellEnd"/>
      <w:r w:rsidRPr="00C152A7">
        <w:rPr>
          <w:sz w:val="24"/>
          <w:szCs w:val="24"/>
        </w:rPr>
        <w:t>, der optræder i forbindelse med en af ovennævnte infektioner.</w:t>
      </w:r>
    </w:p>
    <w:p w14:paraId="48ADD0CA" w14:textId="77777777" w:rsidR="00D52384" w:rsidRPr="00C152A7" w:rsidRDefault="00D52384" w:rsidP="003E13B0">
      <w:pPr>
        <w:ind w:left="851"/>
        <w:rPr>
          <w:sz w:val="24"/>
          <w:szCs w:val="24"/>
          <w:lang w:val="nl-NL"/>
        </w:rPr>
      </w:pPr>
    </w:p>
    <w:p w14:paraId="3ADAAB5F" w14:textId="6D1BB6F6" w:rsidR="00DD00D6" w:rsidRDefault="00D52384" w:rsidP="003E13B0">
      <w:pPr>
        <w:ind w:left="851"/>
        <w:rPr>
          <w:sz w:val="24"/>
          <w:szCs w:val="24"/>
        </w:rPr>
      </w:pPr>
      <w:r w:rsidRPr="00C152A7">
        <w:rPr>
          <w:sz w:val="24"/>
          <w:szCs w:val="24"/>
        </w:rPr>
        <w:t xml:space="preserve">Ved en blandet aerob og anaerob infektion skal der anvendes antibiotika, der er egnet til behandling af den aerobe infektion, som supplement til </w:t>
      </w: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w:t>
      </w:r>
    </w:p>
    <w:p w14:paraId="32B49FEC" w14:textId="77777777" w:rsidR="00DD00D6" w:rsidRDefault="00DD00D6" w:rsidP="003E13B0">
      <w:pPr>
        <w:ind w:left="851"/>
        <w:rPr>
          <w:sz w:val="24"/>
          <w:szCs w:val="24"/>
        </w:rPr>
      </w:pPr>
    </w:p>
    <w:p w14:paraId="4BD26B1B" w14:textId="71ED2BC2" w:rsidR="00D52384" w:rsidRPr="00C152A7" w:rsidRDefault="00D52384" w:rsidP="003E13B0">
      <w:pPr>
        <w:ind w:left="851"/>
        <w:rPr>
          <w:sz w:val="24"/>
          <w:szCs w:val="24"/>
        </w:rPr>
      </w:pPr>
      <w:r w:rsidRPr="00C152A7">
        <w:rPr>
          <w:sz w:val="24"/>
          <w:szCs w:val="24"/>
        </w:rPr>
        <w:t xml:space="preserve">Profylaktisk anvendelse er altid indiceret før operationer med høj risiko for anaerobe infektioner (gynækologiske og </w:t>
      </w:r>
      <w:proofErr w:type="spellStart"/>
      <w:r w:rsidRPr="00C152A7">
        <w:rPr>
          <w:sz w:val="24"/>
          <w:szCs w:val="24"/>
        </w:rPr>
        <w:t>intraabdominale</w:t>
      </w:r>
      <w:proofErr w:type="spellEnd"/>
      <w:r w:rsidRPr="00C152A7">
        <w:rPr>
          <w:sz w:val="24"/>
          <w:szCs w:val="24"/>
        </w:rPr>
        <w:t xml:space="preserve"> operationer).</w:t>
      </w:r>
    </w:p>
    <w:p w14:paraId="6263B98E" w14:textId="77777777" w:rsidR="00D52384" w:rsidRPr="00C152A7" w:rsidRDefault="00D52384" w:rsidP="003E13B0">
      <w:pPr>
        <w:ind w:left="851"/>
        <w:rPr>
          <w:sz w:val="24"/>
          <w:szCs w:val="24"/>
        </w:rPr>
      </w:pPr>
    </w:p>
    <w:p w14:paraId="26D2791E" w14:textId="77777777" w:rsidR="00D52384" w:rsidRPr="00DD00D6" w:rsidRDefault="00D52384" w:rsidP="00DD00D6">
      <w:pPr>
        <w:pStyle w:val="Listeafsnit"/>
        <w:numPr>
          <w:ilvl w:val="0"/>
          <w:numId w:val="13"/>
        </w:numPr>
        <w:spacing w:after="0" w:line="240" w:lineRule="auto"/>
        <w:ind w:left="1276" w:hanging="425"/>
        <w:rPr>
          <w:rFonts w:ascii="Times New Roman" w:hAnsi="Times New Roman" w:cs="Times New Roman"/>
          <w:sz w:val="24"/>
          <w:szCs w:val="24"/>
        </w:rPr>
      </w:pPr>
      <w:r w:rsidRPr="00DD00D6">
        <w:rPr>
          <w:rFonts w:ascii="Times New Roman" w:hAnsi="Times New Roman" w:cs="Times New Roman"/>
          <w:sz w:val="24"/>
          <w:szCs w:val="24"/>
        </w:rPr>
        <w:t xml:space="preserve">Alvorlig </w:t>
      </w:r>
      <w:proofErr w:type="spellStart"/>
      <w:r w:rsidRPr="00DD00D6">
        <w:rPr>
          <w:rFonts w:ascii="Times New Roman" w:hAnsi="Times New Roman" w:cs="Times New Roman"/>
          <w:sz w:val="24"/>
          <w:szCs w:val="24"/>
        </w:rPr>
        <w:t>amøbiasis</w:t>
      </w:r>
      <w:proofErr w:type="spellEnd"/>
      <w:r w:rsidRPr="00DD00D6">
        <w:rPr>
          <w:rFonts w:ascii="Times New Roman" w:hAnsi="Times New Roman" w:cs="Times New Roman"/>
          <w:sz w:val="24"/>
          <w:szCs w:val="24"/>
        </w:rPr>
        <w:t xml:space="preserve"> i tarm og lever.</w:t>
      </w:r>
    </w:p>
    <w:p w14:paraId="737D4964" w14:textId="77777777" w:rsidR="00D52384" w:rsidRPr="00C152A7" w:rsidRDefault="00D52384" w:rsidP="003E13B0">
      <w:pPr>
        <w:ind w:left="851"/>
        <w:rPr>
          <w:sz w:val="24"/>
          <w:szCs w:val="24"/>
          <w:lang w:val="nl-NL"/>
        </w:rPr>
      </w:pPr>
    </w:p>
    <w:p w14:paraId="287564D6" w14:textId="77777777" w:rsidR="00D52384" w:rsidRPr="00C152A7" w:rsidRDefault="00D52384" w:rsidP="003E13B0">
      <w:pPr>
        <w:ind w:left="851"/>
        <w:rPr>
          <w:sz w:val="24"/>
          <w:szCs w:val="24"/>
        </w:rPr>
      </w:pPr>
      <w:r w:rsidRPr="00C152A7">
        <w:rPr>
          <w:sz w:val="24"/>
          <w:szCs w:val="24"/>
        </w:rPr>
        <w:t>Behandlingen skal ske under hensyntagen til de officielle retningslinjer for hensigtsmæssig anvendelse af antibakterielle midler.</w:t>
      </w:r>
    </w:p>
    <w:p w14:paraId="40F58D60" w14:textId="77777777" w:rsidR="009260DE" w:rsidRPr="00C152A7" w:rsidRDefault="009260DE" w:rsidP="009260DE">
      <w:pPr>
        <w:tabs>
          <w:tab w:val="left" w:pos="851"/>
        </w:tabs>
        <w:ind w:left="851"/>
        <w:rPr>
          <w:sz w:val="24"/>
          <w:szCs w:val="24"/>
        </w:rPr>
      </w:pPr>
    </w:p>
    <w:p w14:paraId="273D6E39" w14:textId="77777777" w:rsidR="009260DE" w:rsidRPr="00C152A7" w:rsidRDefault="009260DE" w:rsidP="009260DE">
      <w:pPr>
        <w:tabs>
          <w:tab w:val="left" w:pos="851"/>
        </w:tabs>
        <w:ind w:left="851" w:hanging="851"/>
        <w:rPr>
          <w:b/>
          <w:sz w:val="24"/>
          <w:szCs w:val="24"/>
        </w:rPr>
      </w:pPr>
      <w:r w:rsidRPr="00C152A7">
        <w:rPr>
          <w:b/>
          <w:sz w:val="24"/>
          <w:szCs w:val="24"/>
        </w:rPr>
        <w:t>4.2</w:t>
      </w:r>
      <w:r w:rsidRPr="00C152A7">
        <w:rPr>
          <w:b/>
          <w:sz w:val="24"/>
          <w:szCs w:val="24"/>
        </w:rPr>
        <w:tab/>
        <w:t xml:space="preserve">Dosering og </w:t>
      </w:r>
      <w:r w:rsidR="002C1EC0" w:rsidRPr="00C152A7">
        <w:rPr>
          <w:b/>
          <w:sz w:val="24"/>
          <w:szCs w:val="24"/>
        </w:rPr>
        <w:t>administration</w:t>
      </w:r>
    </w:p>
    <w:p w14:paraId="59AF5919" w14:textId="77777777" w:rsidR="00DD00D6" w:rsidRDefault="00DD00D6" w:rsidP="003E13B0">
      <w:pPr>
        <w:ind w:left="851"/>
        <w:rPr>
          <w:sz w:val="24"/>
          <w:szCs w:val="24"/>
        </w:rPr>
      </w:pPr>
    </w:p>
    <w:p w14:paraId="21BD23BB" w14:textId="7565B3CB" w:rsidR="00D52384" w:rsidRPr="00DD00D6" w:rsidRDefault="00D52384" w:rsidP="003E13B0">
      <w:pPr>
        <w:ind w:left="851"/>
        <w:rPr>
          <w:sz w:val="24"/>
          <w:szCs w:val="24"/>
          <w:u w:val="single"/>
        </w:rPr>
      </w:pPr>
      <w:r w:rsidRPr="00DD00D6">
        <w:rPr>
          <w:sz w:val="24"/>
          <w:szCs w:val="24"/>
          <w:u w:val="single"/>
        </w:rPr>
        <w:t>Dosering</w:t>
      </w:r>
    </w:p>
    <w:p w14:paraId="70107A86" w14:textId="77777777" w:rsidR="00D52384" w:rsidRPr="00C152A7" w:rsidRDefault="00D52384" w:rsidP="003E13B0">
      <w:pPr>
        <w:ind w:left="851"/>
        <w:rPr>
          <w:sz w:val="24"/>
          <w:szCs w:val="24"/>
        </w:rPr>
      </w:pPr>
    </w:p>
    <w:p w14:paraId="43394C5C" w14:textId="77777777" w:rsidR="00D52384" w:rsidRPr="00C152A7" w:rsidRDefault="00D52384" w:rsidP="003E13B0">
      <w:pPr>
        <w:ind w:left="851"/>
        <w:rPr>
          <w:sz w:val="24"/>
          <w:szCs w:val="24"/>
        </w:rPr>
      </w:pPr>
      <w:r w:rsidRPr="00C152A7">
        <w:rPr>
          <w:sz w:val="24"/>
          <w:szCs w:val="24"/>
        </w:rPr>
        <w:t>Dosis skal justeres i henhold til patientens individuelle respons på behandlingen, hans/hendes alder og kropsvægt og i henhold til sygdommens art og sværhedsgrad.</w:t>
      </w:r>
    </w:p>
    <w:p w14:paraId="08332BA2" w14:textId="77777777" w:rsidR="00D52384" w:rsidRPr="00C152A7" w:rsidRDefault="00D52384" w:rsidP="003E13B0">
      <w:pPr>
        <w:ind w:left="851"/>
        <w:rPr>
          <w:sz w:val="24"/>
          <w:szCs w:val="24"/>
        </w:rPr>
      </w:pPr>
    </w:p>
    <w:p w14:paraId="2E1DA0E5" w14:textId="77777777" w:rsidR="00D52384" w:rsidRPr="00C152A7" w:rsidRDefault="00D52384" w:rsidP="003E13B0">
      <w:pPr>
        <w:ind w:left="851"/>
        <w:rPr>
          <w:b/>
          <w:sz w:val="24"/>
          <w:szCs w:val="24"/>
        </w:rPr>
      </w:pPr>
      <w:r w:rsidRPr="00C152A7">
        <w:rPr>
          <w:b/>
          <w:sz w:val="24"/>
          <w:szCs w:val="24"/>
        </w:rPr>
        <w:t>De følgende retningslinjer for dosering skal følges:</w:t>
      </w:r>
    </w:p>
    <w:p w14:paraId="41B25020" w14:textId="77777777" w:rsidR="00D52384" w:rsidRPr="00C152A7" w:rsidRDefault="00D52384" w:rsidP="003E13B0">
      <w:pPr>
        <w:ind w:left="851"/>
        <w:rPr>
          <w:sz w:val="24"/>
          <w:szCs w:val="24"/>
          <w:lang w:val="nl-NL"/>
        </w:rPr>
      </w:pPr>
    </w:p>
    <w:p w14:paraId="70B8BAC8" w14:textId="77777777" w:rsidR="00D52384" w:rsidRPr="00DD00D6" w:rsidRDefault="00D52384" w:rsidP="003E13B0">
      <w:pPr>
        <w:ind w:left="851"/>
        <w:rPr>
          <w:b/>
          <w:sz w:val="24"/>
          <w:szCs w:val="24"/>
          <w:u w:val="single"/>
        </w:rPr>
      </w:pPr>
      <w:r w:rsidRPr="00DD00D6">
        <w:rPr>
          <w:b/>
          <w:sz w:val="24"/>
          <w:szCs w:val="24"/>
          <w:u w:val="single"/>
        </w:rPr>
        <w:t>Voksne og unge:</w:t>
      </w:r>
    </w:p>
    <w:p w14:paraId="79E27EB8" w14:textId="77777777" w:rsidR="00D52384" w:rsidRPr="00C152A7" w:rsidRDefault="00D52384" w:rsidP="003E13B0">
      <w:pPr>
        <w:ind w:left="851"/>
        <w:rPr>
          <w:b/>
          <w:sz w:val="24"/>
          <w:szCs w:val="24"/>
          <w:lang w:val="nl-NL"/>
        </w:rPr>
      </w:pPr>
    </w:p>
    <w:p w14:paraId="012440A0" w14:textId="77777777" w:rsidR="00D52384" w:rsidRPr="00C152A7" w:rsidRDefault="00D52384" w:rsidP="003E13B0">
      <w:pPr>
        <w:ind w:left="851"/>
        <w:rPr>
          <w:b/>
          <w:i/>
          <w:sz w:val="24"/>
          <w:szCs w:val="24"/>
        </w:rPr>
      </w:pPr>
      <w:proofErr w:type="spellStart"/>
      <w:r w:rsidRPr="00C152A7">
        <w:rPr>
          <w:b/>
          <w:i/>
          <w:sz w:val="24"/>
          <w:szCs w:val="24"/>
        </w:rPr>
        <w:t>Amøbiasis</w:t>
      </w:r>
      <w:proofErr w:type="spellEnd"/>
    </w:p>
    <w:p w14:paraId="66CFDD44" w14:textId="77777777" w:rsidR="00D52384" w:rsidRPr="00C152A7" w:rsidRDefault="00D52384" w:rsidP="003E13B0">
      <w:pPr>
        <w:ind w:left="851"/>
        <w:rPr>
          <w:sz w:val="24"/>
          <w:szCs w:val="24"/>
        </w:rPr>
      </w:pPr>
      <w:r w:rsidRPr="00C152A7">
        <w:rPr>
          <w:sz w:val="24"/>
          <w:szCs w:val="24"/>
        </w:rPr>
        <w:t>1,50 g pr. dag (500 mg tre gange dagligt, intravenøse infusioner).</w:t>
      </w:r>
    </w:p>
    <w:p w14:paraId="4F685AD0" w14:textId="77777777" w:rsidR="00D52384" w:rsidRPr="00C152A7" w:rsidRDefault="00D52384" w:rsidP="003E13B0">
      <w:pPr>
        <w:ind w:left="851"/>
        <w:rPr>
          <w:sz w:val="24"/>
          <w:szCs w:val="24"/>
        </w:rPr>
      </w:pPr>
      <w:r w:rsidRPr="00C152A7">
        <w:rPr>
          <w:sz w:val="24"/>
          <w:szCs w:val="24"/>
        </w:rPr>
        <w:t xml:space="preserve">Ved </w:t>
      </w:r>
      <w:proofErr w:type="spellStart"/>
      <w:r w:rsidRPr="00C152A7">
        <w:rPr>
          <w:sz w:val="24"/>
          <w:szCs w:val="24"/>
        </w:rPr>
        <w:t>hepatisk</w:t>
      </w:r>
      <w:proofErr w:type="spellEnd"/>
      <w:r w:rsidRPr="00C152A7">
        <w:rPr>
          <w:sz w:val="24"/>
          <w:szCs w:val="24"/>
        </w:rPr>
        <w:t xml:space="preserve"> </w:t>
      </w:r>
      <w:proofErr w:type="spellStart"/>
      <w:r w:rsidRPr="00C152A7">
        <w:rPr>
          <w:sz w:val="24"/>
          <w:szCs w:val="24"/>
        </w:rPr>
        <w:t>amøbiasis</w:t>
      </w:r>
      <w:proofErr w:type="spellEnd"/>
      <w:r w:rsidRPr="00C152A7">
        <w:rPr>
          <w:sz w:val="24"/>
          <w:szCs w:val="24"/>
        </w:rPr>
        <w:t xml:space="preserve"> i abscesstadiet skal abscessen evakueres samtidig med </w:t>
      </w:r>
      <w:proofErr w:type="spellStart"/>
      <w:r w:rsidRPr="00C152A7">
        <w:rPr>
          <w:sz w:val="24"/>
          <w:szCs w:val="24"/>
        </w:rPr>
        <w:t>metronidazolbehandling</w:t>
      </w:r>
      <w:proofErr w:type="spellEnd"/>
      <w:r w:rsidRPr="00C152A7">
        <w:rPr>
          <w:sz w:val="24"/>
          <w:szCs w:val="24"/>
        </w:rPr>
        <w:t>.</w:t>
      </w:r>
    </w:p>
    <w:p w14:paraId="7170AC16" w14:textId="77777777" w:rsidR="00D52384" w:rsidRPr="00C152A7" w:rsidRDefault="00D52384" w:rsidP="003E13B0">
      <w:pPr>
        <w:ind w:left="851"/>
        <w:rPr>
          <w:sz w:val="24"/>
          <w:szCs w:val="24"/>
        </w:rPr>
      </w:pPr>
    </w:p>
    <w:p w14:paraId="0A86AF9F" w14:textId="77777777" w:rsidR="00D52384" w:rsidRPr="00C152A7" w:rsidRDefault="00D52384" w:rsidP="003E13B0">
      <w:pPr>
        <w:ind w:left="851"/>
        <w:rPr>
          <w:sz w:val="24"/>
          <w:szCs w:val="24"/>
        </w:rPr>
      </w:pPr>
      <w:r w:rsidRPr="00C152A7">
        <w:rPr>
          <w:sz w:val="24"/>
          <w:szCs w:val="24"/>
        </w:rPr>
        <w:t>Behandlingsvarighed: 5</w:t>
      </w:r>
      <w:r w:rsidRPr="00C152A7">
        <w:rPr>
          <w:sz w:val="24"/>
          <w:szCs w:val="24"/>
        </w:rPr>
        <w:noBreakHyphen/>
        <w:t>10 dage</w:t>
      </w:r>
    </w:p>
    <w:p w14:paraId="6C0C2254" w14:textId="77777777" w:rsidR="00D52384" w:rsidRPr="00C152A7" w:rsidRDefault="00D52384" w:rsidP="003E13B0">
      <w:pPr>
        <w:ind w:left="851"/>
        <w:rPr>
          <w:sz w:val="24"/>
          <w:szCs w:val="24"/>
        </w:rPr>
      </w:pPr>
    </w:p>
    <w:p w14:paraId="288DD9DE" w14:textId="77777777" w:rsidR="00D52384" w:rsidRPr="00C152A7" w:rsidRDefault="00D52384" w:rsidP="003E13B0">
      <w:pPr>
        <w:ind w:left="851"/>
        <w:rPr>
          <w:b/>
          <w:i/>
          <w:sz w:val="24"/>
          <w:szCs w:val="24"/>
        </w:rPr>
      </w:pPr>
      <w:r w:rsidRPr="00C152A7">
        <w:rPr>
          <w:b/>
          <w:i/>
          <w:sz w:val="24"/>
          <w:szCs w:val="24"/>
        </w:rPr>
        <w:t>Behandling af anaerobe infektioner</w:t>
      </w:r>
    </w:p>
    <w:p w14:paraId="64EBDC1C" w14:textId="6DA84090" w:rsidR="00D52384" w:rsidRPr="00C152A7" w:rsidRDefault="00D52384" w:rsidP="003E13B0">
      <w:pPr>
        <w:ind w:left="851"/>
        <w:rPr>
          <w:sz w:val="24"/>
          <w:szCs w:val="24"/>
        </w:rPr>
      </w:pPr>
      <w:r w:rsidRPr="00C152A7">
        <w:rPr>
          <w:sz w:val="24"/>
          <w:szCs w:val="24"/>
        </w:rPr>
        <w:t>500 mg (100 ml) hver 8. time. Alternativt kan der gives 1000 mg</w:t>
      </w:r>
      <w:r w:rsidRPr="00C152A7">
        <w:rPr>
          <w:sz w:val="24"/>
          <w:szCs w:val="24"/>
        </w:rPr>
        <w:noBreakHyphen/>
        <w:t>1500 mg dagligt som en enkeltdosis.</w:t>
      </w:r>
    </w:p>
    <w:p w14:paraId="4767FC6E" w14:textId="77777777" w:rsidR="00D52384" w:rsidRPr="00C152A7" w:rsidRDefault="00D52384" w:rsidP="003E13B0">
      <w:pPr>
        <w:ind w:left="851"/>
        <w:rPr>
          <w:sz w:val="24"/>
          <w:szCs w:val="24"/>
        </w:rPr>
      </w:pPr>
      <w:r w:rsidRPr="00C152A7">
        <w:rPr>
          <w:sz w:val="24"/>
          <w:szCs w:val="24"/>
        </w:rPr>
        <w:t>Behandlingens varighed afhænger af behandlingens effekt. I de fleste tilfælde vil et behandlingsforløb på 7 dage være tilstrækkeligt. Såfremt det er klinisk indiceret, kan behandlingen forlænges ud over denne periode. Dog bør en behandlingsvarighed på 10 dage som hovedregel ikke overskrides (se også pkt. 4.4).</w:t>
      </w:r>
    </w:p>
    <w:p w14:paraId="7B4BF521" w14:textId="77777777" w:rsidR="00D52384" w:rsidRPr="00C152A7" w:rsidRDefault="00D52384" w:rsidP="003E13B0">
      <w:pPr>
        <w:ind w:left="851"/>
        <w:rPr>
          <w:sz w:val="24"/>
          <w:szCs w:val="24"/>
          <w:lang w:val="nl-NL"/>
        </w:rPr>
      </w:pPr>
    </w:p>
    <w:p w14:paraId="2C07E5C8" w14:textId="77777777" w:rsidR="00D52384" w:rsidRPr="00C152A7" w:rsidRDefault="00D52384" w:rsidP="003E13B0">
      <w:pPr>
        <w:ind w:left="851"/>
        <w:rPr>
          <w:b/>
          <w:i/>
          <w:sz w:val="24"/>
          <w:szCs w:val="24"/>
        </w:rPr>
      </w:pPr>
      <w:r w:rsidRPr="00C152A7">
        <w:rPr>
          <w:b/>
          <w:i/>
          <w:sz w:val="24"/>
          <w:szCs w:val="24"/>
        </w:rPr>
        <w:t>Profylakse af postoperativ infektion forårsaget af anaerobe bakterier:</w:t>
      </w:r>
    </w:p>
    <w:p w14:paraId="4606E79F" w14:textId="77777777" w:rsidR="00D52384" w:rsidRPr="00C152A7" w:rsidRDefault="00D52384" w:rsidP="003E13B0">
      <w:pPr>
        <w:ind w:left="851"/>
        <w:rPr>
          <w:sz w:val="24"/>
          <w:szCs w:val="24"/>
        </w:rPr>
      </w:pPr>
      <w:r w:rsidRPr="00C152A7">
        <w:rPr>
          <w:sz w:val="24"/>
          <w:szCs w:val="24"/>
        </w:rPr>
        <w:t>500 mg, med afsluttet administration ca. en time før operationen. Dosen gentages efter 8 og 16 timer.</w:t>
      </w:r>
    </w:p>
    <w:p w14:paraId="11F0A0EC" w14:textId="77777777" w:rsidR="00D52384" w:rsidRPr="00C152A7" w:rsidRDefault="00D52384" w:rsidP="003E13B0">
      <w:pPr>
        <w:ind w:left="851"/>
        <w:rPr>
          <w:sz w:val="24"/>
          <w:szCs w:val="24"/>
          <w:lang w:val="nl-NL"/>
        </w:rPr>
      </w:pPr>
    </w:p>
    <w:p w14:paraId="575A2F43" w14:textId="77777777" w:rsidR="00D52384" w:rsidRPr="00DD00D6" w:rsidRDefault="00D52384" w:rsidP="003E13B0">
      <w:pPr>
        <w:ind w:left="851"/>
        <w:rPr>
          <w:b/>
          <w:sz w:val="24"/>
          <w:szCs w:val="24"/>
          <w:u w:val="single"/>
        </w:rPr>
      </w:pPr>
      <w:r w:rsidRPr="00DD00D6">
        <w:rPr>
          <w:b/>
          <w:sz w:val="24"/>
          <w:szCs w:val="24"/>
          <w:u w:val="single"/>
        </w:rPr>
        <w:t>Ældre:</w:t>
      </w:r>
    </w:p>
    <w:p w14:paraId="39D3F9A7" w14:textId="77777777" w:rsidR="00D52384" w:rsidRPr="00C152A7" w:rsidRDefault="00D52384" w:rsidP="003E13B0">
      <w:pPr>
        <w:ind w:left="851"/>
        <w:rPr>
          <w:sz w:val="24"/>
          <w:szCs w:val="24"/>
        </w:rPr>
      </w:pPr>
      <w:r w:rsidRPr="00C152A7">
        <w:rPr>
          <w:sz w:val="24"/>
          <w:szCs w:val="24"/>
        </w:rPr>
        <w:t>Forsigtighed tilrådes hos ældre, især ved høje doser. Der foreligger dog begrænset information om justering af dosis.</w:t>
      </w:r>
    </w:p>
    <w:p w14:paraId="141D4D1E" w14:textId="77777777" w:rsidR="00D52384" w:rsidRPr="00C152A7" w:rsidRDefault="00D52384" w:rsidP="003E13B0">
      <w:pPr>
        <w:ind w:left="851"/>
        <w:rPr>
          <w:sz w:val="24"/>
          <w:szCs w:val="24"/>
        </w:rPr>
      </w:pPr>
    </w:p>
    <w:p w14:paraId="43243C62" w14:textId="77777777" w:rsidR="00D52384" w:rsidRPr="00DD00D6" w:rsidRDefault="00D52384" w:rsidP="003E13B0">
      <w:pPr>
        <w:ind w:left="851"/>
        <w:rPr>
          <w:b/>
          <w:sz w:val="24"/>
          <w:szCs w:val="24"/>
          <w:u w:val="single"/>
        </w:rPr>
      </w:pPr>
      <w:r w:rsidRPr="00DD00D6">
        <w:rPr>
          <w:b/>
          <w:sz w:val="24"/>
          <w:szCs w:val="24"/>
          <w:u w:val="single"/>
        </w:rPr>
        <w:t>Pædiatrisk population:</w:t>
      </w:r>
    </w:p>
    <w:p w14:paraId="602D5630" w14:textId="77777777" w:rsidR="00D52384" w:rsidRPr="00C152A7" w:rsidRDefault="00D52384" w:rsidP="003E13B0">
      <w:pPr>
        <w:ind w:left="851"/>
        <w:rPr>
          <w:sz w:val="24"/>
          <w:szCs w:val="24"/>
        </w:rPr>
      </w:pPr>
    </w:p>
    <w:p w14:paraId="4650606E" w14:textId="77777777" w:rsidR="00D52384" w:rsidRPr="00C152A7" w:rsidRDefault="00D52384" w:rsidP="003E13B0">
      <w:pPr>
        <w:ind w:left="851"/>
        <w:rPr>
          <w:b/>
          <w:i/>
          <w:sz w:val="24"/>
          <w:szCs w:val="24"/>
        </w:rPr>
      </w:pPr>
      <w:proofErr w:type="spellStart"/>
      <w:r w:rsidRPr="00C152A7">
        <w:rPr>
          <w:b/>
          <w:i/>
          <w:sz w:val="24"/>
          <w:szCs w:val="24"/>
        </w:rPr>
        <w:t>Amøbiasis</w:t>
      </w:r>
      <w:proofErr w:type="spellEnd"/>
    </w:p>
    <w:p w14:paraId="14903282" w14:textId="6AC1CEBE" w:rsidR="00D52384" w:rsidRPr="00C152A7" w:rsidRDefault="00D52384" w:rsidP="003E13B0">
      <w:pPr>
        <w:ind w:left="851"/>
        <w:rPr>
          <w:sz w:val="24"/>
          <w:szCs w:val="24"/>
        </w:rPr>
      </w:pPr>
      <w:r w:rsidRPr="00C152A7">
        <w:rPr>
          <w:sz w:val="24"/>
          <w:szCs w:val="24"/>
        </w:rPr>
        <w:t>35 til 50 mg/kg/dag intravenøst, fordelt på 3 doser, i 5 til 10 dage. Den maksimale dosis må ikke overskride 2400 mg/dag.</w:t>
      </w:r>
    </w:p>
    <w:p w14:paraId="7AEE50D5" w14:textId="77777777" w:rsidR="00D52384" w:rsidRPr="00C152A7" w:rsidRDefault="00D52384" w:rsidP="003E13B0">
      <w:pPr>
        <w:ind w:left="851"/>
        <w:rPr>
          <w:sz w:val="24"/>
          <w:szCs w:val="24"/>
        </w:rPr>
      </w:pPr>
      <w:r w:rsidRPr="00C152A7">
        <w:rPr>
          <w:sz w:val="24"/>
          <w:szCs w:val="24"/>
        </w:rPr>
        <w:t xml:space="preserve">Ved </w:t>
      </w:r>
      <w:proofErr w:type="spellStart"/>
      <w:r w:rsidRPr="00C152A7">
        <w:rPr>
          <w:sz w:val="24"/>
          <w:szCs w:val="24"/>
        </w:rPr>
        <w:t>hepatisk</w:t>
      </w:r>
      <w:proofErr w:type="spellEnd"/>
      <w:r w:rsidRPr="00C152A7">
        <w:rPr>
          <w:sz w:val="24"/>
          <w:szCs w:val="24"/>
        </w:rPr>
        <w:t xml:space="preserve"> </w:t>
      </w:r>
      <w:proofErr w:type="spellStart"/>
      <w:r w:rsidRPr="00C152A7">
        <w:rPr>
          <w:sz w:val="24"/>
          <w:szCs w:val="24"/>
        </w:rPr>
        <w:t>amøbiasis</w:t>
      </w:r>
      <w:proofErr w:type="spellEnd"/>
      <w:r w:rsidRPr="00C152A7">
        <w:rPr>
          <w:sz w:val="24"/>
          <w:szCs w:val="24"/>
        </w:rPr>
        <w:t xml:space="preserve"> i abscesstadiet skal abscessen evakueres samtidig med </w:t>
      </w:r>
      <w:proofErr w:type="spellStart"/>
      <w:r w:rsidRPr="00C152A7">
        <w:rPr>
          <w:sz w:val="24"/>
          <w:szCs w:val="24"/>
        </w:rPr>
        <w:t>metronidazolbehandling</w:t>
      </w:r>
      <w:proofErr w:type="spellEnd"/>
      <w:r w:rsidRPr="00C152A7">
        <w:rPr>
          <w:sz w:val="24"/>
          <w:szCs w:val="24"/>
        </w:rPr>
        <w:t>.</w:t>
      </w:r>
    </w:p>
    <w:p w14:paraId="239FF0A5" w14:textId="77777777" w:rsidR="00D52384" w:rsidRPr="00C152A7" w:rsidRDefault="00D52384" w:rsidP="003E13B0">
      <w:pPr>
        <w:ind w:left="851"/>
        <w:rPr>
          <w:sz w:val="24"/>
          <w:szCs w:val="24"/>
          <w:lang w:val="nl-NL"/>
        </w:rPr>
      </w:pPr>
    </w:p>
    <w:p w14:paraId="49DFA7C2" w14:textId="77777777" w:rsidR="00D52384" w:rsidRPr="00C152A7" w:rsidRDefault="00D52384" w:rsidP="003E13B0">
      <w:pPr>
        <w:ind w:left="851"/>
        <w:rPr>
          <w:b/>
          <w:i/>
          <w:sz w:val="24"/>
          <w:szCs w:val="24"/>
        </w:rPr>
      </w:pPr>
      <w:r w:rsidRPr="00C152A7">
        <w:rPr>
          <w:b/>
          <w:i/>
          <w:sz w:val="24"/>
          <w:szCs w:val="24"/>
        </w:rPr>
        <w:t>Behandling af anaerobe infektioner</w:t>
      </w:r>
    </w:p>
    <w:p w14:paraId="243391B3" w14:textId="77777777" w:rsidR="00D52384" w:rsidRPr="00C152A7" w:rsidRDefault="00D52384" w:rsidP="00751D76">
      <w:pPr>
        <w:ind w:left="851"/>
        <w:rPr>
          <w:sz w:val="24"/>
          <w:szCs w:val="24"/>
          <w:lang w:val="en-US"/>
        </w:rPr>
      </w:pPr>
    </w:p>
    <w:p w14:paraId="696939CB"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Børn i alderen &gt; 8 uger til 12 år:</w:t>
      </w:r>
    </w:p>
    <w:p w14:paraId="04DB22AD" w14:textId="77777777" w:rsidR="00D52384" w:rsidRPr="00751D76" w:rsidRDefault="00D52384" w:rsidP="00751D76">
      <w:pPr>
        <w:ind w:left="851"/>
        <w:rPr>
          <w:sz w:val="24"/>
          <w:szCs w:val="24"/>
        </w:rPr>
      </w:pPr>
      <w:r w:rsidRPr="00751D76">
        <w:rPr>
          <w:sz w:val="24"/>
          <w:szCs w:val="24"/>
        </w:rPr>
        <w:t>Den sædvanlige daglige dosis er 20</w:t>
      </w:r>
      <w:r w:rsidRPr="00751D76">
        <w:rPr>
          <w:sz w:val="24"/>
          <w:szCs w:val="24"/>
        </w:rPr>
        <w:noBreakHyphen/>
        <w:t>30 mg pr. kg legemsvægt pr. dag som en enkeltdosis eller fordelt på 7,5 mg pr. kg legemsvægt hver 8. time. Den daglige dosis kan øges til 40 mg pr. kg legemsvægt afhængigt af infektionens sværhedsgrad.</w:t>
      </w:r>
    </w:p>
    <w:p w14:paraId="65CDF8F9" w14:textId="77777777" w:rsidR="00D52384" w:rsidRPr="00751D76" w:rsidRDefault="00D52384" w:rsidP="00751D76">
      <w:pPr>
        <w:ind w:left="851"/>
        <w:rPr>
          <w:sz w:val="24"/>
          <w:szCs w:val="24"/>
          <w:lang w:val="nl-NL"/>
        </w:rPr>
      </w:pPr>
    </w:p>
    <w:p w14:paraId="29D55627"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Nyfødte og spædbørn i alderen &lt; 8 uger:</w:t>
      </w:r>
    </w:p>
    <w:p w14:paraId="7856ED02" w14:textId="77777777" w:rsidR="00D52384" w:rsidRPr="00751D76" w:rsidRDefault="00D52384" w:rsidP="00751D76">
      <w:pPr>
        <w:ind w:left="851"/>
        <w:rPr>
          <w:sz w:val="24"/>
          <w:szCs w:val="24"/>
        </w:rPr>
      </w:pPr>
      <w:r w:rsidRPr="00751D76">
        <w:rPr>
          <w:sz w:val="24"/>
          <w:szCs w:val="24"/>
        </w:rPr>
        <w:t>15 mg pr. kg legemsvægt som en enkelt daglig dosis eller fordelt på 7,5 mg pr. kg legemsvægt hver 12. time.</w:t>
      </w:r>
    </w:p>
    <w:p w14:paraId="39CF5392" w14:textId="77777777" w:rsidR="00D52384" w:rsidRPr="00751D76" w:rsidRDefault="00D52384" w:rsidP="00751D76">
      <w:pPr>
        <w:ind w:left="851"/>
        <w:rPr>
          <w:sz w:val="24"/>
          <w:szCs w:val="24"/>
          <w:lang w:val="nl-NL"/>
        </w:rPr>
      </w:pPr>
    </w:p>
    <w:p w14:paraId="61C5ECF7"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 xml:space="preserve">Hos nyfødte med en </w:t>
      </w:r>
      <w:proofErr w:type="spellStart"/>
      <w:r w:rsidRPr="00751D76">
        <w:rPr>
          <w:rFonts w:ascii="Times New Roman" w:hAnsi="Times New Roman" w:cs="Times New Roman"/>
          <w:sz w:val="24"/>
          <w:szCs w:val="24"/>
        </w:rPr>
        <w:t>gestationsalder</w:t>
      </w:r>
      <w:proofErr w:type="spellEnd"/>
      <w:r w:rsidRPr="00751D76">
        <w:rPr>
          <w:rFonts w:ascii="Times New Roman" w:hAnsi="Times New Roman" w:cs="Times New Roman"/>
          <w:sz w:val="24"/>
          <w:szCs w:val="24"/>
        </w:rPr>
        <w:t xml:space="preserve"> &lt; 40 uger kan der forekomme akkumulering af </w:t>
      </w:r>
      <w:proofErr w:type="spellStart"/>
      <w:r w:rsidRPr="00751D76">
        <w:rPr>
          <w:rFonts w:ascii="Times New Roman" w:hAnsi="Times New Roman" w:cs="Times New Roman"/>
          <w:sz w:val="24"/>
          <w:szCs w:val="24"/>
        </w:rPr>
        <w:t>metronidazol</w:t>
      </w:r>
      <w:proofErr w:type="spellEnd"/>
      <w:r w:rsidRPr="00751D76">
        <w:rPr>
          <w:rFonts w:ascii="Times New Roman" w:hAnsi="Times New Roman" w:cs="Times New Roman"/>
          <w:sz w:val="24"/>
          <w:szCs w:val="24"/>
        </w:rPr>
        <w:t xml:space="preserve"> i løbet af den første leveuge. Koncentrationen af </w:t>
      </w:r>
      <w:proofErr w:type="spellStart"/>
      <w:r w:rsidRPr="00751D76">
        <w:rPr>
          <w:rFonts w:ascii="Times New Roman" w:hAnsi="Times New Roman" w:cs="Times New Roman"/>
          <w:sz w:val="24"/>
          <w:szCs w:val="24"/>
        </w:rPr>
        <w:t>metronidazol</w:t>
      </w:r>
      <w:proofErr w:type="spellEnd"/>
      <w:r w:rsidRPr="00751D76">
        <w:rPr>
          <w:rFonts w:ascii="Times New Roman" w:hAnsi="Times New Roman" w:cs="Times New Roman"/>
          <w:sz w:val="24"/>
          <w:szCs w:val="24"/>
        </w:rPr>
        <w:t xml:space="preserve"> i serum bør derfor overvåges efter et par dages behandling.</w:t>
      </w:r>
    </w:p>
    <w:p w14:paraId="096F4281" w14:textId="77777777" w:rsidR="00652786" w:rsidRPr="00751D76" w:rsidRDefault="00652786" w:rsidP="00751D76">
      <w:pPr>
        <w:ind w:left="851"/>
        <w:rPr>
          <w:sz w:val="24"/>
          <w:szCs w:val="24"/>
        </w:rPr>
      </w:pPr>
    </w:p>
    <w:p w14:paraId="5E8A3B5A" w14:textId="0CCF57FD" w:rsidR="00D52384" w:rsidRPr="00751D76" w:rsidRDefault="00D52384" w:rsidP="00751D76">
      <w:pPr>
        <w:ind w:left="851"/>
        <w:rPr>
          <w:sz w:val="24"/>
          <w:szCs w:val="24"/>
        </w:rPr>
      </w:pPr>
      <w:r w:rsidRPr="00751D76">
        <w:rPr>
          <w:sz w:val="24"/>
          <w:szCs w:val="24"/>
        </w:rPr>
        <w:t>Behandlingsvarigheden er sædvanligvis 7 dage.</w:t>
      </w:r>
    </w:p>
    <w:p w14:paraId="7813CB01" w14:textId="77777777" w:rsidR="00D52384" w:rsidRPr="00751D76" w:rsidRDefault="00D52384" w:rsidP="00751D76">
      <w:pPr>
        <w:ind w:left="851"/>
        <w:rPr>
          <w:sz w:val="24"/>
          <w:szCs w:val="24"/>
          <w:lang w:val="nl-NL"/>
        </w:rPr>
      </w:pPr>
    </w:p>
    <w:p w14:paraId="2A5FCC77" w14:textId="77777777" w:rsidR="00D52384" w:rsidRPr="00751D76" w:rsidRDefault="00D52384" w:rsidP="00751D76">
      <w:pPr>
        <w:ind w:left="851"/>
        <w:rPr>
          <w:b/>
          <w:i/>
          <w:sz w:val="24"/>
          <w:szCs w:val="24"/>
        </w:rPr>
      </w:pPr>
      <w:r w:rsidRPr="00751D76">
        <w:rPr>
          <w:b/>
          <w:i/>
          <w:sz w:val="24"/>
          <w:szCs w:val="24"/>
        </w:rPr>
        <w:t>Profylakse af postoperative infektioner forårsaget af anaerobe bakterier</w:t>
      </w:r>
    </w:p>
    <w:p w14:paraId="3833C8AC" w14:textId="77777777" w:rsidR="00D52384" w:rsidRPr="00751D76" w:rsidRDefault="00D52384" w:rsidP="00751D76">
      <w:pPr>
        <w:ind w:left="851"/>
        <w:rPr>
          <w:sz w:val="24"/>
          <w:szCs w:val="24"/>
          <w:lang w:val="nl-NL"/>
        </w:rPr>
      </w:pPr>
    </w:p>
    <w:p w14:paraId="35A6475A"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Børn i alderen &lt; 12 år:</w:t>
      </w:r>
    </w:p>
    <w:p w14:paraId="470C0B81" w14:textId="77777777" w:rsidR="00D52384" w:rsidRPr="00751D76" w:rsidRDefault="00D52384" w:rsidP="00751D76">
      <w:pPr>
        <w:ind w:left="851"/>
        <w:rPr>
          <w:sz w:val="24"/>
          <w:szCs w:val="24"/>
        </w:rPr>
      </w:pPr>
      <w:r w:rsidRPr="00751D76">
        <w:rPr>
          <w:sz w:val="24"/>
          <w:szCs w:val="24"/>
        </w:rPr>
        <w:t>20</w:t>
      </w:r>
      <w:r w:rsidRPr="00751D76">
        <w:rPr>
          <w:sz w:val="24"/>
          <w:szCs w:val="24"/>
        </w:rPr>
        <w:noBreakHyphen/>
        <w:t>30 mg/kg legemsvægt som en enkeltdosis administreret 1</w:t>
      </w:r>
      <w:r w:rsidRPr="00751D76">
        <w:rPr>
          <w:sz w:val="24"/>
          <w:szCs w:val="24"/>
        </w:rPr>
        <w:noBreakHyphen/>
        <w:t>2 timer før operation</w:t>
      </w:r>
    </w:p>
    <w:p w14:paraId="34223C77" w14:textId="77777777" w:rsidR="00D52384" w:rsidRPr="00751D76" w:rsidRDefault="00D52384" w:rsidP="00751D76">
      <w:pPr>
        <w:ind w:left="851"/>
        <w:rPr>
          <w:sz w:val="24"/>
          <w:szCs w:val="24"/>
          <w:lang w:val="nl-NL"/>
        </w:rPr>
      </w:pPr>
    </w:p>
    <w:p w14:paraId="20766A96"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 xml:space="preserve">Nyfødte med en </w:t>
      </w:r>
      <w:proofErr w:type="spellStart"/>
      <w:r w:rsidRPr="00751D76">
        <w:rPr>
          <w:rFonts w:ascii="Times New Roman" w:hAnsi="Times New Roman" w:cs="Times New Roman"/>
          <w:sz w:val="24"/>
          <w:szCs w:val="24"/>
        </w:rPr>
        <w:t>gestationsalder</w:t>
      </w:r>
      <w:proofErr w:type="spellEnd"/>
      <w:r w:rsidRPr="00751D76">
        <w:rPr>
          <w:rFonts w:ascii="Times New Roman" w:hAnsi="Times New Roman" w:cs="Times New Roman"/>
          <w:sz w:val="24"/>
          <w:szCs w:val="24"/>
        </w:rPr>
        <w:t xml:space="preserve"> &lt; 40 uger:</w:t>
      </w:r>
    </w:p>
    <w:p w14:paraId="79E3CFA9" w14:textId="77777777" w:rsidR="00D52384" w:rsidRPr="00751D76" w:rsidRDefault="00D52384" w:rsidP="00751D76">
      <w:pPr>
        <w:ind w:left="851"/>
        <w:rPr>
          <w:sz w:val="24"/>
          <w:szCs w:val="24"/>
        </w:rPr>
      </w:pPr>
      <w:r w:rsidRPr="00751D76">
        <w:rPr>
          <w:sz w:val="24"/>
          <w:szCs w:val="24"/>
        </w:rPr>
        <w:t>10 mg/kg legemsvægt som en enkeltdosis før operation</w:t>
      </w:r>
    </w:p>
    <w:p w14:paraId="33A27810" w14:textId="77777777" w:rsidR="00D52384" w:rsidRPr="00751D76" w:rsidRDefault="00D52384" w:rsidP="00751D76">
      <w:pPr>
        <w:ind w:left="851"/>
        <w:rPr>
          <w:sz w:val="24"/>
          <w:szCs w:val="24"/>
          <w:lang w:val="nl-NL"/>
        </w:rPr>
      </w:pPr>
    </w:p>
    <w:p w14:paraId="7AE4C66A" w14:textId="77777777" w:rsidR="00D52384" w:rsidRPr="00751D76" w:rsidRDefault="00D52384" w:rsidP="003E13B0">
      <w:pPr>
        <w:ind w:left="851"/>
        <w:rPr>
          <w:b/>
          <w:sz w:val="24"/>
          <w:szCs w:val="24"/>
          <w:u w:val="single"/>
        </w:rPr>
      </w:pPr>
      <w:r w:rsidRPr="00751D76">
        <w:rPr>
          <w:b/>
          <w:sz w:val="24"/>
          <w:szCs w:val="24"/>
          <w:u w:val="single"/>
        </w:rPr>
        <w:t>Patienter med nedsat nyrefunktion</w:t>
      </w:r>
    </w:p>
    <w:p w14:paraId="359CD116" w14:textId="5A64B5C7" w:rsidR="00D52384" w:rsidRPr="00C152A7" w:rsidRDefault="00D52384" w:rsidP="003E13B0">
      <w:pPr>
        <w:ind w:left="851"/>
        <w:rPr>
          <w:sz w:val="24"/>
          <w:szCs w:val="24"/>
        </w:rPr>
      </w:pPr>
      <w:r w:rsidRPr="00C152A7">
        <w:rPr>
          <w:sz w:val="24"/>
          <w:szCs w:val="24"/>
        </w:rPr>
        <w:t>De tilgængelige data for denne population er begrænsede. Disse data indikerer ikke, at dosisjustering er nødvendig (se pkt</w:t>
      </w:r>
      <w:r w:rsidR="00751D76">
        <w:rPr>
          <w:sz w:val="24"/>
          <w:szCs w:val="24"/>
        </w:rPr>
        <w:t>.</w:t>
      </w:r>
      <w:r w:rsidRPr="00C152A7">
        <w:rPr>
          <w:sz w:val="24"/>
          <w:szCs w:val="24"/>
        </w:rPr>
        <w:t> 5.2).</w:t>
      </w:r>
    </w:p>
    <w:p w14:paraId="5C0E0724" w14:textId="77777777" w:rsidR="00D52384" w:rsidRPr="00C152A7" w:rsidRDefault="00D52384" w:rsidP="003E13B0">
      <w:pPr>
        <w:ind w:left="851"/>
        <w:rPr>
          <w:sz w:val="24"/>
          <w:szCs w:val="24"/>
        </w:rPr>
      </w:pPr>
      <w:r w:rsidRPr="00C152A7">
        <w:rPr>
          <w:sz w:val="24"/>
          <w:szCs w:val="24"/>
        </w:rPr>
        <w:t xml:space="preserve">Hos patienter i hæmodialyse skal den konventionelle dosis af </w:t>
      </w:r>
      <w:proofErr w:type="spellStart"/>
      <w:r w:rsidRPr="00C152A7">
        <w:rPr>
          <w:sz w:val="24"/>
          <w:szCs w:val="24"/>
        </w:rPr>
        <w:t>metronidazol</w:t>
      </w:r>
      <w:proofErr w:type="spellEnd"/>
      <w:r w:rsidRPr="00C152A7">
        <w:rPr>
          <w:sz w:val="24"/>
          <w:szCs w:val="24"/>
        </w:rPr>
        <w:t xml:space="preserve"> gives efter hæmodialyse på dialysedage, for at kompensere for elimineringen af </w:t>
      </w:r>
      <w:proofErr w:type="spellStart"/>
      <w:r w:rsidRPr="00C152A7">
        <w:rPr>
          <w:sz w:val="24"/>
          <w:szCs w:val="24"/>
        </w:rPr>
        <w:t>metronidazol</w:t>
      </w:r>
      <w:proofErr w:type="spellEnd"/>
      <w:r w:rsidRPr="00C152A7">
        <w:rPr>
          <w:sz w:val="24"/>
          <w:szCs w:val="24"/>
        </w:rPr>
        <w:t xml:space="preserve"> under proceduren.</w:t>
      </w:r>
    </w:p>
    <w:p w14:paraId="2134DB3A" w14:textId="77777777" w:rsidR="00D52384" w:rsidRPr="00C152A7" w:rsidRDefault="00D52384" w:rsidP="003E13B0">
      <w:pPr>
        <w:ind w:left="851"/>
        <w:rPr>
          <w:sz w:val="24"/>
          <w:szCs w:val="24"/>
        </w:rPr>
      </w:pPr>
      <w:r w:rsidRPr="00C152A7">
        <w:rPr>
          <w:sz w:val="24"/>
          <w:szCs w:val="24"/>
        </w:rPr>
        <w:t xml:space="preserve">Rutinemæssig dosisjustering er ikke nødvendig hos patienter med nyresvigt i intermitterende </w:t>
      </w:r>
      <w:proofErr w:type="spellStart"/>
      <w:r w:rsidRPr="00C152A7">
        <w:rPr>
          <w:sz w:val="24"/>
          <w:szCs w:val="24"/>
        </w:rPr>
        <w:t>peritonealdialyse</w:t>
      </w:r>
      <w:proofErr w:type="spellEnd"/>
      <w:r w:rsidRPr="00C152A7">
        <w:rPr>
          <w:sz w:val="24"/>
          <w:szCs w:val="24"/>
        </w:rPr>
        <w:t xml:space="preserve"> (IDP) eller kontinuerlig ambulant </w:t>
      </w:r>
      <w:proofErr w:type="spellStart"/>
      <w:r w:rsidRPr="00C152A7">
        <w:rPr>
          <w:sz w:val="24"/>
          <w:szCs w:val="24"/>
        </w:rPr>
        <w:t>peritonealdialyse</w:t>
      </w:r>
      <w:proofErr w:type="spellEnd"/>
      <w:r w:rsidRPr="00C152A7">
        <w:rPr>
          <w:sz w:val="24"/>
          <w:szCs w:val="24"/>
        </w:rPr>
        <w:t xml:space="preserve"> (CAPD).</w:t>
      </w:r>
    </w:p>
    <w:p w14:paraId="03CB102C" w14:textId="77777777" w:rsidR="00D52384" w:rsidRPr="00C152A7" w:rsidRDefault="00D52384" w:rsidP="003E13B0">
      <w:pPr>
        <w:ind w:left="851"/>
        <w:rPr>
          <w:sz w:val="24"/>
          <w:szCs w:val="24"/>
          <w:lang w:val="nl-NL"/>
        </w:rPr>
      </w:pPr>
    </w:p>
    <w:p w14:paraId="20382222" w14:textId="77777777" w:rsidR="00D52384" w:rsidRPr="00751D76" w:rsidRDefault="00D52384" w:rsidP="003E13B0">
      <w:pPr>
        <w:ind w:left="851"/>
        <w:rPr>
          <w:b/>
          <w:sz w:val="24"/>
          <w:szCs w:val="24"/>
          <w:u w:val="single"/>
        </w:rPr>
      </w:pPr>
      <w:r w:rsidRPr="00751D76">
        <w:rPr>
          <w:b/>
          <w:sz w:val="24"/>
          <w:szCs w:val="24"/>
          <w:u w:val="single"/>
        </w:rPr>
        <w:t>Patienter med nedsat leverfunktion</w:t>
      </w:r>
    </w:p>
    <w:p w14:paraId="24822408" w14:textId="77777777" w:rsidR="00D52384" w:rsidRPr="00C152A7" w:rsidRDefault="00D52384" w:rsidP="003E13B0">
      <w:pPr>
        <w:ind w:left="851"/>
        <w:rPr>
          <w:sz w:val="24"/>
          <w:szCs w:val="24"/>
        </w:rPr>
      </w:pPr>
      <w:r w:rsidRPr="00C152A7">
        <w:rPr>
          <w:sz w:val="24"/>
          <w:szCs w:val="24"/>
        </w:rPr>
        <w:t xml:space="preserve">Da serumhalveringstiden er forlænget, og </w:t>
      </w:r>
      <w:proofErr w:type="spellStart"/>
      <w:r w:rsidRPr="00C152A7">
        <w:rPr>
          <w:sz w:val="24"/>
          <w:szCs w:val="24"/>
        </w:rPr>
        <w:t>plasmaclearance</w:t>
      </w:r>
      <w:proofErr w:type="spellEnd"/>
      <w:r w:rsidRPr="00C152A7">
        <w:rPr>
          <w:sz w:val="24"/>
          <w:szCs w:val="24"/>
        </w:rPr>
        <w:t xml:space="preserve"> er forsinket ved svært nedsat leverfunktion, skal patienter med svær leversygdom have lavere doser (se pkt. 5.2).</w:t>
      </w:r>
    </w:p>
    <w:p w14:paraId="2FAD0ACB" w14:textId="77777777" w:rsidR="00D52384" w:rsidRPr="00C152A7" w:rsidRDefault="00D52384" w:rsidP="003E13B0">
      <w:pPr>
        <w:ind w:left="851"/>
        <w:rPr>
          <w:sz w:val="24"/>
          <w:szCs w:val="24"/>
          <w:lang w:val="nl-NL"/>
        </w:rPr>
      </w:pPr>
    </w:p>
    <w:p w14:paraId="1C83D6F4" w14:textId="77777777" w:rsidR="00D52384" w:rsidRPr="00C152A7" w:rsidRDefault="00D52384" w:rsidP="003E13B0">
      <w:pPr>
        <w:ind w:left="851"/>
        <w:rPr>
          <w:sz w:val="24"/>
          <w:szCs w:val="24"/>
          <w:lang w:val="nl-NL"/>
        </w:rPr>
      </w:pPr>
      <w:r w:rsidRPr="00C152A7">
        <w:rPr>
          <w:sz w:val="24"/>
          <w:szCs w:val="24"/>
          <w:lang w:val="nl-NL"/>
        </w:rPr>
        <w:t>Hos patienter med hepatisk encefalopati skal den daglige dosis reduceres til en tredjedel og kan administreres én gang dagligt (se pkt. 4.4).</w:t>
      </w:r>
    </w:p>
    <w:p w14:paraId="2E9C4E34" w14:textId="30F6E79F" w:rsidR="00973CF3" w:rsidRDefault="00973CF3">
      <w:pPr>
        <w:rPr>
          <w:sz w:val="24"/>
          <w:szCs w:val="24"/>
        </w:rPr>
      </w:pPr>
      <w:r>
        <w:rPr>
          <w:sz w:val="24"/>
          <w:szCs w:val="24"/>
        </w:rPr>
        <w:br w:type="page"/>
      </w:r>
    </w:p>
    <w:p w14:paraId="0B2096CE" w14:textId="77777777" w:rsidR="00751D76" w:rsidRDefault="00751D76" w:rsidP="003E13B0">
      <w:pPr>
        <w:ind w:left="851"/>
        <w:rPr>
          <w:sz w:val="24"/>
          <w:szCs w:val="24"/>
        </w:rPr>
      </w:pPr>
    </w:p>
    <w:p w14:paraId="31394BEC" w14:textId="649E7932" w:rsidR="00D52384" w:rsidRPr="00751D76" w:rsidRDefault="00D52384" w:rsidP="003E13B0">
      <w:pPr>
        <w:ind w:left="851"/>
        <w:rPr>
          <w:sz w:val="24"/>
          <w:szCs w:val="24"/>
          <w:u w:val="single"/>
        </w:rPr>
      </w:pPr>
      <w:r w:rsidRPr="00751D76">
        <w:rPr>
          <w:sz w:val="24"/>
          <w:szCs w:val="24"/>
          <w:u w:val="single"/>
        </w:rPr>
        <w:t>Administration</w:t>
      </w:r>
    </w:p>
    <w:p w14:paraId="0876F63F" w14:textId="3D70EEF7" w:rsidR="00D52384" w:rsidRPr="00C152A7" w:rsidRDefault="00D52384" w:rsidP="003E13B0">
      <w:pPr>
        <w:ind w:left="851"/>
        <w:rPr>
          <w:sz w:val="24"/>
          <w:szCs w:val="24"/>
        </w:rPr>
      </w:pPr>
      <w:r w:rsidRPr="00C152A7">
        <w:rPr>
          <w:sz w:val="24"/>
          <w:szCs w:val="24"/>
        </w:rPr>
        <w:t>Intravenøs anvendelse.</w:t>
      </w:r>
    </w:p>
    <w:p w14:paraId="56D17DB7" w14:textId="77777777" w:rsidR="00D52384" w:rsidRPr="00C152A7" w:rsidRDefault="00D52384" w:rsidP="003E13B0">
      <w:pPr>
        <w:ind w:left="851"/>
        <w:rPr>
          <w:sz w:val="24"/>
          <w:szCs w:val="24"/>
        </w:rPr>
      </w:pPr>
      <w:r w:rsidRPr="00C152A7">
        <w:rPr>
          <w:sz w:val="24"/>
          <w:szCs w:val="24"/>
        </w:rPr>
        <w:t>Indholdet af en flaske skal administreres langsomt intravenøst, dvs. maks. 100 ml over mindst 20 minutter, dog i reglen helst over én time.</w:t>
      </w:r>
    </w:p>
    <w:p w14:paraId="3DD0C37A" w14:textId="77777777" w:rsidR="00D52384" w:rsidRPr="00C152A7" w:rsidRDefault="00D52384" w:rsidP="003E13B0">
      <w:pPr>
        <w:ind w:left="851"/>
        <w:rPr>
          <w:sz w:val="24"/>
          <w:szCs w:val="24"/>
          <w:lang w:val="nl-NL"/>
        </w:rPr>
      </w:pPr>
    </w:p>
    <w:p w14:paraId="0CE7EBAD" w14:textId="77777777" w:rsidR="00D52384" w:rsidRPr="00C152A7" w:rsidRDefault="00D52384" w:rsidP="003E13B0">
      <w:pPr>
        <w:ind w:left="851"/>
        <w:rPr>
          <w:sz w:val="24"/>
          <w:szCs w:val="24"/>
        </w:rPr>
      </w:pPr>
      <w:r w:rsidRPr="00C152A7">
        <w:rPr>
          <w:sz w:val="24"/>
          <w:szCs w:val="24"/>
        </w:rPr>
        <w:t>Samtidigt ordinerede antibiotika skal administreres separat.</w:t>
      </w:r>
    </w:p>
    <w:p w14:paraId="5805B77D" w14:textId="77777777" w:rsidR="009260DE" w:rsidRPr="00C152A7" w:rsidRDefault="009260DE" w:rsidP="009260DE">
      <w:pPr>
        <w:tabs>
          <w:tab w:val="left" w:pos="851"/>
        </w:tabs>
        <w:ind w:left="851"/>
        <w:rPr>
          <w:sz w:val="24"/>
          <w:szCs w:val="24"/>
        </w:rPr>
      </w:pPr>
    </w:p>
    <w:p w14:paraId="6E5D2BF8" w14:textId="77777777" w:rsidR="009260DE" w:rsidRPr="00C152A7" w:rsidRDefault="009260DE" w:rsidP="009260DE">
      <w:pPr>
        <w:tabs>
          <w:tab w:val="left" w:pos="851"/>
        </w:tabs>
        <w:ind w:left="851" w:hanging="851"/>
        <w:rPr>
          <w:b/>
          <w:sz w:val="24"/>
          <w:szCs w:val="24"/>
        </w:rPr>
      </w:pPr>
      <w:r w:rsidRPr="00C152A7">
        <w:rPr>
          <w:b/>
          <w:sz w:val="24"/>
          <w:szCs w:val="24"/>
        </w:rPr>
        <w:t>4.3</w:t>
      </w:r>
      <w:r w:rsidRPr="00C152A7">
        <w:rPr>
          <w:b/>
          <w:sz w:val="24"/>
          <w:szCs w:val="24"/>
        </w:rPr>
        <w:tab/>
        <w:t>Kontraindikationer</w:t>
      </w:r>
    </w:p>
    <w:p w14:paraId="5D55AE9C" w14:textId="77777777" w:rsidR="00D52384" w:rsidRPr="00C152A7" w:rsidRDefault="00D52384" w:rsidP="003E13B0">
      <w:pPr>
        <w:ind w:left="851"/>
        <w:rPr>
          <w:sz w:val="24"/>
          <w:szCs w:val="24"/>
        </w:rPr>
      </w:pPr>
      <w:r w:rsidRPr="00C152A7">
        <w:rPr>
          <w:sz w:val="24"/>
          <w:szCs w:val="24"/>
        </w:rPr>
        <w:t xml:space="preserve">Overfølsomhed over for </w:t>
      </w:r>
      <w:proofErr w:type="spellStart"/>
      <w:r w:rsidRPr="00C152A7">
        <w:rPr>
          <w:sz w:val="24"/>
          <w:szCs w:val="24"/>
        </w:rPr>
        <w:t>metronidazole</w:t>
      </w:r>
      <w:proofErr w:type="spellEnd"/>
      <w:r w:rsidRPr="00C152A7">
        <w:rPr>
          <w:sz w:val="24"/>
          <w:szCs w:val="24"/>
        </w:rPr>
        <w:t xml:space="preserve"> eller andre </w:t>
      </w:r>
      <w:proofErr w:type="spellStart"/>
      <w:r w:rsidRPr="00C152A7">
        <w:rPr>
          <w:sz w:val="24"/>
          <w:szCs w:val="24"/>
        </w:rPr>
        <w:t>nitroimidazolderivater</w:t>
      </w:r>
      <w:proofErr w:type="spellEnd"/>
      <w:r w:rsidRPr="00C152A7">
        <w:rPr>
          <w:sz w:val="24"/>
          <w:szCs w:val="24"/>
        </w:rPr>
        <w:t xml:space="preserve"> eller over for et eller flere af hjælpestofferne anført i pkt. 6.1.</w:t>
      </w:r>
    </w:p>
    <w:p w14:paraId="736A9AAB" w14:textId="77777777" w:rsidR="009260DE" w:rsidRPr="00C152A7" w:rsidRDefault="009260DE" w:rsidP="009260DE">
      <w:pPr>
        <w:tabs>
          <w:tab w:val="left" w:pos="851"/>
        </w:tabs>
        <w:ind w:left="851"/>
        <w:rPr>
          <w:sz w:val="24"/>
          <w:szCs w:val="24"/>
        </w:rPr>
      </w:pPr>
    </w:p>
    <w:p w14:paraId="5BBC77DF" w14:textId="77777777" w:rsidR="009260DE" w:rsidRPr="00C152A7" w:rsidRDefault="009260DE" w:rsidP="009260DE">
      <w:pPr>
        <w:tabs>
          <w:tab w:val="left" w:pos="851"/>
        </w:tabs>
        <w:ind w:left="851" w:hanging="851"/>
        <w:rPr>
          <w:b/>
          <w:sz w:val="24"/>
          <w:szCs w:val="24"/>
        </w:rPr>
      </w:pPr>
      <w:r w:rsidRPr="00C152A7">
        <w:rPr>
          <w:b/>
          <w:sz w:val="24"/>
          <w:szCs w:val="24"/>
        </w:rPr>
        <w:t>4.4</w:t>
      </w:r>
      <w:r w:rsidRPr="00C152A7">
        <w:rPr>
          <w:b/>
          <w:sz w:val="24"/>
          <w:szCs w:val="24"/>
        </w:rPr>
        <w:tab/>
        <w:t>Særlige advarsler og forsigtighedsregler vedrørende brugen</w:t>
      </w:r>
    </w:p>
    <w:p w14:paraId="199B74E5" w14:textId="77777777" w:rsidR="00D52384" w:rsidRPr="00C152A7" w:rsidRDefault="00D52384" w:rsidP="003E13B0">
      <w:pPr>
        <w:ind w:left="851"/>
        <w:rPr>
          <w:sz w:val="24"/>
          <w:szCs w:val="24"/>
        </w:rPr>
      </w:pPr>
      <w:r w:rsidRPr="00C152A7">
        <w:rPr>
          <w:sz w:val="24"/>
          <w:szCs w:val="24"/>
        </w:rPr>
        <w:t xml:space="preserve">Regelmæssig klinisk og laboratoriemæssig overvågning (herunder komplet blodtælling) tilrådes i tilfælde med brug af høje doser eller langvarig behandling, samt ved fortilfælde af </w:t>
      </w:r>
      <w:proofErr w:type="spellStart"/>
      <w:r w:rsidRPr="00C152A7">
        <w:rPr>
          <w:sz w:val="24"/>
          <w:szCs w:val="24"/>
        </w:rPr>
        <w:t>bloddyskrasi</w:t>
      </w:r>
      <w:proofErr w:type="spellEnd"/>
      <w:r w:rsidRPr="00C152A7">
        <w:rPr>
          <w:sz w:val="24"/>
          <w:szCs w:val="24"/>
        </w:rPr>
        <w:t>, ved alvorlig infektion og i tilfælde af svært nedsat leverfunktion.</w:t>
      </w:r>
    </w:p>
    <w:p w14:paraId="7BE023CB" w14:textId="77777777" w:rsidR="00D52384" w:rsidRPr="00C152A7" w:rsidRDefault="00D52384" w:rsidP="003E13B0">
      <w:pPr>
        <w:ind w:left="851"/>
        <w:rPr>
          <w:sz w:val="24"/>
          <w:szCs w:val="24"/>
          <w:lang w:val="nl-NL"/>
        </w:rPr>
      </w:pPr>
    </w:p>
    <w:p w14:paraId="60CA2233" w14:textId="77777777" w:rsidR="00D52384" w:rsidRPr="00C152A7" w:rsidRDefault="00D52384" w:rsidP="003E13B0">
      <w:pPr>
        <w:ind w:left="851"/>
        <w:rPr>
          <w:sz w:val="24"/>
          <w:szCs w:val="24"/>
          <w:lang w:val="nl-NL"/>
        </w:rPr>
      </w:pPr>
      <w:r w:rsidRPr="00C152A7">
        <w:rPr>
          <w:sz w:val="24"/>
          <w:szCs w:val="24"/>
          <w:lang w:val="nl-NL"/>
        </w:rPr>
        <w:t>Hos patienter med alvorlig leverskade eller nedsat hæmatopoiese (f.eks. granulocytopeni) må metronidazol kun anvendes, hvis de forventede fordele klart opvejer de potentielle risici.</w:t>
      </w:r>
    </w:p>
    <w:p w14:paraId="458ED751" w14:textId="77777777" w:rsidR="00D52384" w:rsidRPr="00C152A7" w:rsidRDefault="00D52384" w:rsidP="003E13B0">
      <w:pPr>
        <w:ind w:left="851"/>
        <w:rPr>
          <w:sz w:val="24"/>
          <w:szCs w:val="24"/>
          <w:lang w:val="nl-NL"/>
        </w:rPr>
      </w:pPr>
    </w:p>
    <w:p w14:paraId="13E721A2"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w:t>
      </w:r>
      <w:proofErr w:type="spellStart"/>
      <w:r w:rsidRPr="00C152A7">
        <w:rPr>
          <w:sz w:val="24"/>
          <w:szCs w:val="24"/>
        </w:rPr>
        <w:t>metaboliseres</w:t>
      </w:r>
      <w:proofErr w:type="spellEnd"/>
      <w:r w:rsidRPr="00C152A7">
        <w:rPr>
          <w:sz w:val="24"/>
          <w:szCs w:val="24"/>
        </w:rPr>
        <w:t xml:space="preserve"> hovedsageligt via </w:t>
      </w:r>
      <w:proofErr w:type="spellStart"/>
      <w:r w:rsidRPr="00C152A7">
        <w:rPr>
          <w:sz w:val="24"/>
          <w:szCs w:val="24"/>
        </w:rPr>
        <w:t>hepatisk</w:t>
      </w:r>
      <w:proofErr w:type="spellEnd"/>
      <w:r w:rsidRPr="00C152A7">
        <w:rPr>
          <w:sz w:val="24"/>
          <w:szCs w:val="24"/>
        </w:rPr>
        <w:t xml:space="preserve"> oxidation. Der kan forekomme en betydelig forringelse af </w:t>
      </w:r>
      <w:proofErr w:type="spellStart"/>
      <w:r w:rsidRPr="00C152A7">
        <w:rPr>
          <w:sz w:val="24"/>
          <w:szCs w:val="24"/>
        </w:rPr>
        <w:t>metronidazols</w:t>
      </w:r>
      <w:proofErr w:type="spellEnd"/>
      <w:r w:rsidRPr="00C152A7">
        <w:rPr>
          <w:sz w:val="24"/>
          <w:szCs w:val="24"/>
        </w:rPr>
        <w:t xml:space="preserve"> </w:t>
      </w:r>
      <w:proofErr w:type="spellStart"/>
      <w:r w:rsidRPr="00C152A7">
        <w:rPr>
          <w:sz w:val="24"/>
          <w:szCs w:val="24"/>
        </w:rPr>
        <w:t>clearance</w:t>
      </w:r>
      <w:proofErr w:type="spellEnd"/>
      <w:r w:rsidRPr="00C152A7">
        <w:rPr>
          <w:sz w:val="24"/>
          <w:szCs w:val="24"/>
        </w:rPr>
        <w:t xml:space="preserve"> ved fremskreden leverinsufficiens. Der kan forekomme betydelig kumulation hos patienter med </w:t>
      </w:r>
      <w:proofErr w:type="spellStart"/>
      <w:r w:rsidRPr="00C152A7">
        <w:rPr>
          <w:sz w:val="24"/>
          <w:szCs w:val="24"/>
        </w:rPr>
        <w:t>hepatisk</w:t>
      </w:r>
      <w:proofErr w:type="spellEnd"/>
      <w:r w:rsidRPr="00C152A7">
        <w:rPr>
          <w:sz w:val="24"/>
          <w:szCs w:val="24"/>
        </w:rPr>
        <w:t xml:space="preserve"> encefalopati, og de deraf følgende høje plasmakoncentrationer af </w:t>
      </w:r>
      <w:proofErr w:type="spellStart"/>
      <w:r w:rsidRPr="00C152A7">
        <w:rPr>
          <w:sz w:val="24"/>
          <w:szCs w:val="24"/>
        </w:rPr>
        <w:t>metronidazol</w:t>
      </w:r>
      <w:proofErr w:type="spellEnd"/>
      <w:r w:rsidRPr="00C152A7">
        <w:rPr>
          <w:sz w:val="24"/>
          <w:szCs w:val="24"/>
        </w:rPr>
        <w:t xml:space="preserve"> kan bidrage til encefalopatiens symptomer. </w:t>
      </w:r>
      <w:proofErr w:type="spellStart"/>
      <w:r w:rsidRPr="00C152A7">
        <w:rPr>
          <w:sz w:val="24"/>
          <w:szCs w:val="24"/>
        </w:rPr>
        <w:t>Metronidazol</w:t>
      </w:r>
      <w:proofErr w:type="spellEnd"/>
      <w:r w:rsidRPr="00C152A7">
        <w:rPr>
          <w:sz w:val="24"/>
          <w:szCs w:val="24"/>
        </w:rPr>
        <w:t xml:space="preserve"> skal derfor administreres med forsigtighed til patienter med </w:t>
      </w:r>
      <w:proofErr w:type="spellStart"/>
      <w:r w:rsidRPr="00C152A7">
        <w:rPr>
          <w:sz w:val="24"/>
          <w:szCs w:val="24"/>
        </w:rPr>
        <w:t>hepatisk</w:t>
      </w:r>
      <w:proofErr w:type="spellEnd"/>
      <w:r w:rsidRPr="00C152A7">
        <w:rPr>
          <w:sz w:val="24"/>
          <w:szCs w:val="24"/>
        </w:rPr>
        <w:t xml:space="preserve"> encefalopati (se pkt. 4.2).</w:t>
      </w:r>
    </w:p>
    <w:p w14:paraId="25020A36" w14:textId="77777777" w:rsidR="00D52384" w:rsidRPr="00C152A7" w:rsidRDefault="00D52384" w:rsidP="003E13B0">
      <w:pPr>
        <w:ind w:left="851"/>
        <w:rPr>
          <w:sz w:val="24"/>
          <w:szCs w:val="24"/>
        </w:rPr>
      </w:pPr>
    </w:p>
    <w:p w14:paraId="5A4E8299" w14:textId="77777777" w:rsidR="00D52384" w:rsidRPr="00C152A7" w:rsidRDefault="00D52384" w:rsidP="003E13B0">
      <w:pPr>
        <w:ind w:left="851"/>
        <w:rPr>
          <w:sz w:val="24"/>
          <w:szCs w:val="24"/>
        </w:rPr>
      </w:pPr>
      <w:r w:rsidRPr="00C152A7">
        <w:rPr>
          <w:sz w:val="24"/>
          <w:szCs w:val="24"/>
        </w:rPr>
        <w:t xml:space="preserve">På grund af risikoen for forværring bør </w:t>
      </w:r>
      <w:proofErr w:type="spellStart"/>
      <w:r w:rsidRPr="00C152A7">
        <w:rPr>
          <w:sz w:val="24"/>
          <w:szCs w:val="24"/>
        </w:rPr>
        <w:t>metronidazol</w:t>
      </w:r>
      <w:proofErr w:type="spellEnd"/>
      <w:r w:rsidRPr="00C152A7">
        <w:rPr>
          <w:sz w:val="24"/>
          <w:szCs w:val="24"/>
        </w:rPr>
        <w:t xml:space="preserve"> ligeledes kun anvendes til patienter med aktive eller kroniske alvorlige sygdomme i det perifere og centrale nervesystem, hvis de forventede fordele klart opvejer de potentielle risici.</w:t>
      </w:r>
    </w:p>
    <w:p w14:paraId="10F4FE47" w14:textId="77777777" w:rsidR="00D52384" w:rsidRPr="00C152A7" w:rsidRDefault="00D52384" w:rsidP="003E13B0">
      <w:pPr>
        <w:ind w:left="851"/>
        <w:rPr>
          <w:sz w:val="24"/>
          <w:szCs w:val="24"/>
          <w:lang w:val="nl-NL"/>
        </w:rPr>
      </w:pPr>
    </w:p>
    <w:p w14:paraId="21CBA357" w14:textId="77777777" w:rsidR="00D52384" w:rsidRPr="00C152A7" w:rsidRDefault="00D52384" w:rsidP="003E13B0">
      <w:pPr>
        <w:ind w:left="851"/>
        <w:rPr>
          <w:sz w:val="24"/>
          <w:szCs w:val="24"/>
        </w:rPr>
      </w:pPr>
      <w:r w:rsidRPr="00C152A7">
        <w:rPr>
          <w:sz w:val="24"/>
          <w:szCs w:val="24"/>
        </w:rPr>
        <w:t xml:space="preserve">Der er rapporteret om </w:t>
      </w:r>
      <w:proofErr w:type="spellStart"/>
      <w:r w:rsidRPr="00C152A7">
        <w:rPr>
          <w:sz w:val="24"/>
          <w:szCs w:val="24"/>
        </w:rPr>
        <w:t>konvulsive</w:t>
      </w:r>
      <w:proofErr w:type="spellEnd"/>
      <w:r w:rsidRPr="00C152A7">
        <w:rPr>
          <w:sz w:val="24"/>
          <w:szCs w:val="24"/>
        </w:rPr>
        <w:t xml:space="preserve"> anfald, </w:t>
      </w:r>
      <w:proofErr w:type="spellStart"/>
      <w:r w:rsidRPr="00C152A7">
        <w:rPr>
          <w:sz w:val="24"/>
          <w:szCs w:val="24"/>
        </w:rPr>
        <w:t>myoklonus</w:t>
      </w:r>
      <w:proofErr w:type="spellEnd"/>
      <w:r w:rsidRPr="00C152A7">
        <w:rPr>
          <w:sz w:val="24"/>
          <w:szCs w:val="24"/>
        </w:rPr>
        <w:t xml:space="preserve"> og perifer </w:t>
      </w:r>
      <w:proofErr w:type="spellStart"/>
      <w:r w:rsidRPr="00C152A7">
        <w:rPr>
          <w:sz w:val="24"/>
          <w:szCs w:val="24"/>
        </w:rPr>
        <w:t>neuropati</w:t>
      </w:r>
      <w:proofErr w:type="spellEnd"/>
      <w:r w:rsidRPr="00C152A7">
        <w:rPr>
          <w:sz w:val="24"/>
          <w:szCs w:val="24"/>
        </w:rPr>
        <w:t xml:space="preserve">, sidstnævnte hovedsageligt karakteriseret ved følelsesløshed eller </w:t>
      </w:r>
      <w:proofErr w:type="spellStart"/>
      <w:r w:rsidRPr="00C152A7">
        <w:rPr>
          <w:sz w:val="24"/>
          <w:szCs w:val="24"/>
        </w:rPr>
        <w:t>paræstesi</w:t>
      </w:r>
      <w:proofErr w:type="spellEnd"/>
      <w:r w:rsidRPr="00C152A7">
        <w:rPr>
          <w:sz w:val="24"/>
          <w:szCs w:val="24"/>
        </w:rPr>
        <w:t xml:space="preserve"> af en ekstremitet hos patienter i behandling med </w:t>
      </w:r>
      <w:proofErr w:type="spellStart"/>
      <w:r w:rsidRPr="00C152A7">
        <w:rPr>
          <w:sz w:val="24"/>
          <w:szCs w:val="24"/>
        </w:rPr>
        <w:t>metronidazol</w:t>
      </w:r>
      <w:proofErr w:type="spellEnd"/>
      <w:r w:rsidRPr="00C152A7">
        <w:rPr>
          <w:sz w:val="24"/>
          <w:szCs w:val="24"/>
        </w:rPr>
        <w:t>. Fremkomsten af unormale neurologiske tegn kræver omgående evaluering af forholdet mellem de fordele og risici, der er forbundet med fortsat behandling (se pkt. 4.8).</w:t>
      </w:r>
    </w:p>
    <w:p w14:paraId="3398096B" w14:textId="77777777" w:rsidR="00751D76" w:rsidRDefault="00751D76" w:rsidP="003E13B0">
      <w:pPr>
        <w:ind w:left="851"/>
        <w:rPr>
          <w:sz w:val="24"/>
          <w:szCs w:val="24"/>
        </w:rPr>
      </w:pPr>
    </w:p>
    <w:p w14:paraId="45917A31" w14:textId="4A87804E" w:rsidR="00D52384" w:rsidRPr="00C152A7" w:rsidRDefault="00D52384" w:rsidP="003E13B0">
      <w:pPr>
        <w:ind w:left="851"/>
        <w:rPr>
          <w:sz w:val="24"/>
          <w:szCs w:val="24"/>
        </w:rPr>
      </w:pPr>
      <w:r w:rsidRPr="00C152A7">
        <w:rPr>
          <w:sz w:val="24"/>
          <w:szCs w:val="24"/>
        </w:rPr>
        <w:t xml:space="preserve">Hvis der opstår alvorlige overfølsomhedsreaktioner (f.eks. </w:t>
      </w:r>
      <w:proofErr w:type="spellStart"/>
      <w:r w:rsidRPr="00C152A7">
        <w:rPr>
          <w:sz w:val="24"/>
          <w:szCs w:val="24"/>
        </w:rPr>
        <w:t>anafylaktisk</w:t>
      </w:r>
      <w:proofErr w:type="spellEnd"/>
      <w:r w:rsidRPr="00C152A7">
        <w:rPr>
          <w:sz w:val="24"/>
          <w:szCs w:val="24"/>
        </w:rPr>
        <w:t xml:space="preserve"> chok, se også pkt. 4.8), skal behandlingen med </w:t>
      </w: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 xml:space="preserve"> 5 mg/m</w:t>
      </w:r>
      <w:r w:rsidRPr="00C152A7">
        <w:rPr>
          <w:color w:val="000000" w:themeColor="text1"/>
          <w:sz w:val="24"/>
          <w:szCs w:val="24"/>
        </w:rPr>
        <w:t>l</w:t>
      </w:r>
      <w:r w:rsidRPr="00C152A7">
        <w:rPr>
          <w:sz w:val="24"/>
          <w:szCs w:val="24"/>
        </w:rPr>
        <w:t xml:space="preserve"> infusionsvæske, opløsning, straks seponeres, og der skal iværksættes akut behandling af kvalificerede sundhedspersoner.</w:t>
      </w:r>
    </w:p>
    <w:p w14:paraId="7909965E" w14:textId="77777777" w:rsidR="00D52384" w:rsidRPr="00C152A7" w:rsidRDefault="00D52384" w:rsidP="003E13B0">
      <w:pPr>
        <w:ind w:left="851"/>
        <w:rPr>
          <w:sz w:val="24"/>
          <w:szCs w:val="24"/>
          <w:lang w:val="nl-NL"/>
        </w:rPr>
      </w:pPr>
    </w:p>
    <w:p w14:paraId="7FDA9BEA" w14:textId="77777777" w:rsidR="00D52384" w:rsidRPr="00C152A7" w:rsidRDefault="00D52384" w:rsidP="003E13B0">
      <w:pPr>
        <w:ind w:left="851"/>
        <w:rPr>
          <w:sz w:val="24"/>
          <w:szCs w:val="24"/>
        </w:rPr>
      </w:pPr>
      <w:r w:rsidRPr="00C152A7">
        <w:rPr>
          <w:sz w:val="24"/>
          <w:szCs w:val="24"/>
        </w:rPr>
        <w:t xml:space="preserve">Svær vedvarende diarré, der opstår under behandlingen eller i de efterfølgende uger, kan skyldes </w:t>
      </w:r>
      <w:proofErr w:type="spellStart"/>
      <w:r w:rsidRPr="00C152A7">
        <w:rPr>
          <w:sz w:val="24"/>
          <w:szCs w:val="24"/>
        </w:rPr>
        <w:t>pseudomembranøs</w:t>
      </w:r>
      <w:proofErr w:type="spellEnd"/>
      <w:r w:rsidRPr="00C152A7">
        <w:rPr>
          <w:sz w:val="24"/>
          <w:szCs w:val="24"/>
        </w:rPr>
        <w:t xml:space="preserve"> colitis (i de fleste tilfælde forårsaget af </w:t>
      </w:r>
      <w:proofErr w:type="spellStart"/>
      <w:r w:rsidRPr="00C152A7">
        <w:rPr>
          <w:i/>
          <w:iCs/>
          <w:sz w:val="24"/>
          <w:szCs w:val="24"/>
        </w:rPr>
        <w:t>Clostridioides</w:t>
      </w:r>
      <w:proofErr w:type="spellEnd"/>
      <w:r w:rsidRPr="00C152A7">
        <w:rPr>
          <w:i/>
          <w:iCs/>
          <w:sz w:val="24"/>
          <w:szCs w:val="24"/>
        </w:rPr>
        <w:t xml:space="preserve"> difficile</w:t>
      </w:r>
      <w:r w:rsidRPr="00C152A7">
        <w:rPr>
          <w:sz w:val="24"/>
          <w:szCs w:val="24"/>
        </w:rPr>
        <w:t xml:space="preserve">), se pkt. 4.8. Denne </w:t>
      </w:r>
      <w:proofErr w:type="spellStart"/>
      <w:r w:rsidRPr="00C152A7">
        <w:rPr>
          <w:sz w:val="24"/>
          <w:szCs w:val="24"/>
        </w:rPr>
        <w:t>intestinale</w:t>
      </w:r>
      <w:proofErr w:type="spellEnd"/>
      <w:r w:rsidRPr="00C152A7">
        <w:rPr>
          <w:sz w:val="24"/>
          <w:szCs w:val="24"/>
        </w:rPr>
        <w:t xml:space="preserve"> sygdom, som fremskyndes af antibiotikabehandling, kan være livstruende og kræver øjeblikkelig og hensigtsmæssig behandling. Der må ikke gives antiperistaltiske lægemidler.</w:t>
      </w:r>
    </w:p>
    <w:p w14:paraId="009C654F" w14:textId="77777777" w:rsidR="00D52384" w:rsidRPr="00C152A7" w:rsidRDefault="00D52384" w:rsidP="003E13B0">
      <w:pPr>
        <w:ind w:left="851"/>
        <w:rPr>
          <w:sz w:val="24"/>
          <w:szCs w:val="24"/>
          <w:lang w:val="nl-NL"/>
        </w:rPr>
      </w:pPr>
    </w:p>
    <w:p w14:paraId="0AE74093" w14:textId="77777777" w:rsidR="00D52384" w:rsidRPr="00C152A7" w:rsidRDefault="00D52384" w:rsidP="003E13B0">
      <w:pPr>
        <w:ind w:left="851"/>
        <w:rPr>
          <w:sz w:val="24"/>
          <w:szCs w:val="24"/>
        </w:rPr>
      </w:pPr>
      <w:r w:rsidRPr="00C152A7">
        <w:rPr>
          <w:sz w:val="24"/>
          <w:szCs w:val="24"/>
        </w:rPr>
        <w:t xml:space="preserve">Varigheden af behandlingen med </w:t>
      </w:r>
      <w:proofErr w:type="spellStart"/>
      <w:r w:rsidRPr="00C152A7">
        <w:rPr>
          <w:sz w:val="24"/>
          <w:szCs w:val="24"/>
        </w:rPr>
        <w:t>metronidazol</w:t>
      </w:r>
      <w:proofErr w:type="spellEnd"/>
      <w:r w:rsidRPr="00C152A7">
        <w:rPr>
          <w:sz w:val="24"/>
          <w:szCs w:val="24"/>
        </w:rPr>
        <w:t xml:space="preserve"> eller lægemidler, der indeholder andre </w:t>
      </w:r>
      <w:proofErr w:type="spellStart"/>
      <w:r w:rsidRPr="00C152A7">
        <w:rPr>
          <w:sz w:val="24"/>
          <w:szCs w:val="24"/>
        </w:rPr>
        <w:t>nitroimidazoler</w:t>
      </w:r>
      <w:proofErr w:type="spellEnd"/>
      <w:r w:rsidRPr="00C152A7">
        <w:rPr>
          <w:sz w:val="24"/>
          <w:szCs w:val="24"/>
        </w:rPr>
        <w:t xml:space="preserve">, må ikke overskride 10 dage. Kun i specifikke </w:t>
      </w:r>
      <w:proofErr w:type="spellStart"/>
      <w:r w:rsidRPr="00C152A7">
        <w:rPr>
          <w:sz w:val="24"/>
          <w:szCs w:val="24"/>
        </w:rPr>
        <w:t>elektive</w:t>
      </w:r>
      <w:proofErr w:type="spellEnd"/>
      <w:r w:rsidRPr="00C152A7">
        <w:rPr>
          <w:sz w:val="24"/>
          <w:szCs w:val="24"/>
        </w:rPr>
        <w:t xml:space="preserve"> tilfælde, og hvis det </w:t>
      </w:r>
      <w:r w:rsidRPr="00C152A7">
        <w:rPr>
          <w:sz w:val="24"/>
          <w:szCs w:val="24"/>
        </w:rPr>
        <w:lastRenderedPageBreak/>
        <w:t xml:space="preserve">vurderes absolut nødvendigt, kan behandlingsperioden forlænges under relevant klinisk og laboratoriemæssig overvågning. Gentagen behandling skal begrænses i videst muligt omfang og kun til specifikke </w:t>
      </w:r>
      <w:proofErr w:type="spellStart"/>
      <w:r w:rsidRPr="00C152A7">
        <w:rPr>
          <w:sz w:val="24"/>
          <w:szCs w:val="24"/>
        </w:rPr>
        <w:t>elektive</w:t>
      </w:r>
      <w:proofErr w:type="spellEnd"/>
      <w:r w:rsidRPr="00C152A7">
        <w:rPr>
          <w:sz w:val="24"/>
          <w:szCs w:val="24"/>
        </w:rPr>
        <w:t xml:space="preserve"> tilfælde. Disse begrænsninger skal overholdes nøje, fordi muligheden for, at </w:t>
      </w:r>
      <w:proofErr w:type="spellStart"/>
      <w:r w:rsidRPr="00C152A7">
        <w:rPr>
          <w:sz w:val="24"/>
          <w:szCs w:val="24"/>
        </w:rPr>
        <w:t>metronidazol</w:t>
      </w:r>
      <w:proofErr w:type="spellEnd"/>
      <w:r w:rsidRPr="00C152A7">
        <w:rPr>
          <w:sz w:val="24"/>
          <w:szCs w:val="24"/>
        </w:rPr>
        <w:t xml:space="preserve"> udvikler mutagen aktivitet, ikke med sikkerhed kan udelukkes, og fordi der i dyreforsøg er konstateret en øget forekomst af visse tumorer.</w:t>
      </w:r>
    </w:p>
    <w:p w14:paraId="64A4F5B5" w14:textId="77777777" w:rsidR="00D52384" w:rsidRPr="00C152A7" w:rsidRDefault="00D52384" w:rsidP="003E13B0">
      <w:pPr>
        <w:ind w:left="851"/>
        <w:rPr>
          <w:sz w:val="24"/>
          <w:szCs w:val="24"/>
          <w:lang w:val="nl-NL"/>
        </w:rPr>
      </w:pPr>
    </w:p>
    <w:p w14:paraId="27730FD6" w14:textId="77777777" w:rsidR="00D52384" w:rsidRPr="00C152A7" w:rsidRDefault="00D52384" w:rsidP="003E13B0">
      <w:pPr>
        <w:ind w:left="851"/>
        <w:rPr>
          <w:sz w:val="24"/>
          <w:szCs w:val="24"/>
        </w:rPr>
      </w:pPr>
      <w:r w:rsidRPr="00C152A7">
        <w:rPr>
          <w:sz w:val="24"/>
          <w:szCs w:val="24"/>
          <w:lang w:val="nl-NL"/>
        </w:rPr>
        <w:t xml:space="preserve">Langvarig behandling med metronidazol kan være forbundet med knoglemarvsdepression, hvilket fører til en forringelse af hæmatopoiesen. Se pkt. 4.8 for symptomer. </w:t>
      </w:r>
      <w:r w:rsidRPr="00C152A7">
        <w:rPr>
          <w:sz w:val="24"/>
          <w:szCs w:val="24"/>
        </w:rPr>
        <w:t>Blodcelletallet skal overvåges nøje under langvarig behandling.</w:t>
      </w:r>
    </w:p>
    <w:p w14:paraId="04335645" w14:textId="77777777" w:rsidR="00D52384" w:rsidRPr="00C152A7" w:rsidRDefault="00D52384" w:rsidP="003E13B0">
      <w:pPr>
        <w:ind w:left="851"/>
        <w:rPr>
          <w:sz w:val="24"/>
          <w:szCs w:val="24"/>
          <w:lang w:val="nl-NL"/>
        </w:rPr>
      </w:pPr>
    </w:p>
    <w:p w14:paraId="40813A28" w14:textId="77777777" w:rsidR="00D52384" w:rsidRPr="00C152A7" w:rsidRDefault="00D52384" w:rsidP="003E13B0">
      <w:pPr>
        <w:ind w:left="851"/>
        <w:rPr>
          <w:sz w:val="24"/>
          <w:szCs w:val="24"/>
        </w:rPr>
      </w:pPr>
      <w:r w:rsidRPr="00C152A7">
        <w:rPr>
          <w:sz w:val="24"/>
          <w:szCs w:val="24"/>
        </w:rPr>
        <w:t>Dette lægemiddel indeholder 310,58 mg natrium pr. 100 m</w:t>
      </w:r>
      <w:r w:rsidRPr="00C152A7">
        <w:rPr>
          <w:color w:val="000000" w:themeColor="text1"/>
          <w:sz w:val="24"/>
          <w:szCs w:val="24"/>
        </w:rPr>
        <w:t>l</w:t>
      </w:r>
      <w:r w:rsidRPr="00C152A7">
        <w:rPr>
          <w:sz w:val="24"/>
          <w:szCs w:val="24"/>
        </w:rPr>
        <w:t>, svarende til 15,5 % af den WHO anbefalede maksimale daglige indtagelse af 2 g natrium for en voksen.</w:t>
      </w:r>
    </w:p>
    <w:p w14:paraId="38A0E700" w14:textId="77777777" w:rsidR="00D52384" w:rsidRPr="00C152A7" w:rsidRDefault="00D52384" w:rsidP="003E13B0">
      <w:pPr>
        <w:ind w:left="851"/>
        <w:rPr>
          <w:sz w:val="24"/>
          <w:szCs w:val="24"/>
          <w:lang w:val="nl-NL"/>
        </w:rPr>
      </w:pPr>
    </w:p>
    <w:p w14:paraId="0FCAB602" w14:textId="77777777" w:rsidR="00D52384" w:rsidRPr="00C152A7" w:rsidRDefault="00D52384" w:rsidP="003E13B0">
      <w:pPr>
        <w:ind w:left="851"/>
        <w:rPr>
          <w:i/>
          <w:sz w:val="24"/>
          <w:szCs w:val="24"/>
          <w:lang w:val="nl-NL"/>
        </w:rPr>
      </w:pPr>
      <w:r w:rsidRPr="00C152A7">
        <w:rPr>
          <w:i/>
          <w:sz w:val="24"/>
          <w:szCs w:val="24"/>
          <w:lang w:val="nl-NL"/>
        </w:rPr>
        <w:t>Interferens med laboratorieprøver</w:t>
      </w:r>
    </w:p>
    <w:p w14:paraId="6EB51762" w14:textId="77777777" w:rsidR="00D52384" w:rsidRPr="00C152A7" w:rsidRDefault="00D52384" w:rsidP="003E13B0">
      <w:pPr>
        <w:ind w:left="851"/>
        <w:rPr>
          <w:sz w:val="24"/>
          <w:szCs w:val="24"/>
          <w:lang w:val="nl-NL"/>
        </w:rPr>
      </w:pPr>
      <w:r w:rsidRPr="00C152A7">
        <w:rPr>
          <w:sz w:val="24"/>
          <w:szCs w:val="24"/>
          <w:lang w:val="nl-NL"/>
        </w:rPr>
        <w:t>Metronidazol interfererer med den enzymatisk-spektrofotometriske bestemmelse af aspartataminotransferase (ASAT), alaninaminotransferase (ALAT), laktatdehydrogenase (LDH), triglycerider og glucosehexokinase, hvilket resulterer i lavere værdier (muligvis helt ned til nul).</w:t>
      </w:r>
    </w:p>
    <w:p w14:paraId="344EEE55" w14:textId="77777777" w:rsidR="00D52384" w:rsidRPr="00C152A7" w:rsidRDefault="00D52384" w:rsidP="003E13B0">
      <w:pPr>
        <w:ind w:left="851"/>
        <w:rPr>
          <w:sz w:val="24"/>
          <w:szCs w:val="24"/>
          <w:lang w:val="nl-NL"/>
        </w:rPr>
      </w:pPr>
    </w:p>
    <w:p w14:paraId="531A03BA"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har en høj </w:t>
      </w:r>
      <w:proofErr w:type="spellStart"/>
      <w:r w:rsidRPr="00C152A7">
        <w:rPr>
          <w:sz w:val="24"/>
          <w:szCs w:val="24"/>
        </w:rPr>
        <w:t>absorbans</w:t>
      </w:r>
      <w:proofErr w:type="spellEnd"/>
      <w:r w:rsidRPr="00C152A7">
        <w:rPr>
          <w:sz w:val="24"/>
          <w:szCs w:val="24"/>
        </w:rPr>
        <w:t xml:space="preserve"> ved den bølgelængde, hvor nikotinamid-</w:t>
      </w:r>
      <w:proofErr w:type="spellStart"/>
      <w:r w:rsidRPr="00C152A7">
        <w:rPr>
          <w:sz w:val="24"/>
          <w:szCs w:val="24"/>
        </w:rPr>
        <w:t>adenindinukleotid</w:t>
      </w:r>
      <w:proofErr w:type="spellEnd"/>
      <w:r w:rsidRPr="00C152A7">
        <w:rPr>
          <w:sz w:val="24"/>
          <w:szCs w:val="24"/>
        </w:rPr>
        <w:t xml:space="preserve"> (NADH) bestemmes. Forhøjede koncentrationer af leverenzymer kan derfor blive maskeret af </w:t>
      </w:r>
      <w:proofErr w:type="spellStart"/>
      <w:r w:rsidRPr="00C152A7">
        <w:rPr>
          <w:sz w:val="24"/>
          <w:szCs w:val="24"/>
        </w:rPr>
        <w:t>metronidazol</w:t>
      </w:r>
      <w:proofErr w:type="spellEnd"/>
      <w:r w:rsidRPr="00C152A7">
        <w:rPr>
          <w:sz w:val="24"/>
          <w:szCs w:val="24"/>
        </w:rPr>
        <w:t>, når de måles med kontinuerlige flowmetoder baseret på et fald i reduceret NADH. Der er rapporteret om usædvanligt lave koncentrationer af leverenzymer, herunder nulværdier.</w:t>
      </w:r>
    </w:p>
    <w:p w14:paraId="280DD009" w14:textId="77777777" w:rsidR="00D52384" w:rsidRPr="00C152A7" w:rsidRDefault="00D52384" w:rsidP="003E13B0">
      <w:pPr>
        <w:ind w:left="851"/>
        <w:rPr>
          <w:sz w:val="24"/>
          <w:szCs w:val="24"/>
          <w:lang w:val="nl-NL"/>
        </w:rPr>
      </w:pPr>
    </w:p>
    <w:p w14:paraId="34F2BE77" w14:textId="77777777" w:rsidR="00D52384" w:rsidRPr="00C152A7" w:rsidRDefault="00D52384" w:rsidP="003E13B0">
      <w:pPr>
        <w:ind w:left="851"/>
        <w:rPr>
          <w:sz w:val="24"/>
          <w:szCs w:val="24"/>
        </w:rPr>
      </w:pPr>
      <w:r w:rsidRPr="00C152A7">
        <w:rPr>
          <w:sz w:val="24"/>
          <w:szCs w:val="24"/>
        </w:rPr>
        <w:t xml:space="preserve">Patienterne skal orienteres om, at </w:t>
      </w:r>
      <w:proofErr w:type="spellStart"/>
      <w:r w:rsidRPr="00C152A7">
        <w:rPr>
          <w:sz w:val="24"/>
          <w:szCs w:val="24"/>
        </w:rPr>
        <w:t>metronidazol</w:t>
      </w:r>
      <w:proofErr w:type="spellEnd"/>
      <w:r w:rsidRPr="00C152A7">
        <w:rPr>
          <w:sz w:val="24"/>
          <w:szCs w:val="24"/>
        </w:rPr>
        <w:t xml:space="preserve"> kan gøre urinen mørkere.</w:t>
      </w:r>
    </w:p>
    <w:p w14:paraId="5F81A2DC" w14:textId="77777777" w:rsidR="00D52384" w:rsidRPr="00C152A7" w:rsidRDefault="00D52384" w:rsidP="003E13B0">
      <w:pPr>
        <w:ind w:left="851"/>
        <w:rPr>
          <w:sz w:val="24"/>
          <w:szCs w:val="24"/>
          <w:lang w:val="nl-NL"/>
        </w:rPr>
      </w:pPr>
    </w:p>
    <w:p w14:paraId="0B51C4A4" w14:textId="77777777" w:rsidR="00D52384" w:rsidRPr="00C152A7" w:rsidRDefault="00D52384" w:rsidP="003E13B0">
      <w:pPr>
        <w:ind w:left="851"/>
        <w:rPr>
          <w:i/>
          <w:iCs/>
          <w:sz w:val="24"/>
          <w:szCs w:val="24"/>
          <w:lang w:val="sv-SE"/>
        </w:rPr>
      </w:pPr>
      <w:proofErr w:type="spellStart"/>
      <w:r w:rsidRPr="00C152A7">
        <w:rPr>
          <w:i/>
          <w:sz w:val="24"/>
          <w:szCs w:val="24"/>
          <w:lang w:val="sv-SE"/>
        </w:rPr>
        <w:t>Hepatoksicitet</w:t>
      </w:r>
      <w:proofErr w:type="spellEnd"/>
      <w:r w:rsidRPr="00C152A7">
        <w:rPr>
          <w:i/>
          <w:sz w:val="24"/>
          <w:szCs w:val="24"/>
          <w:lang w:val="sv-SE"/>
        </w:rPr>
        <w:t xml:space="preserve"> hos patienter med </w:t>
      </w:r>
      <w:proofErr w:type="spellStart"/>
      <w:r w:rsidRPr="00C152A7">
        <w:rPr>
          <w:i/>
          <w:sz w:val="24"/>
          <w:szCs w:val="24"/>
          <w:lang w:val="sv-SE"/>
        </w:rPr>
        <w:t>Cockaynes</w:t>
      </w:r>
      <w:proofErr w:type="spellEnd"/>
      <w:r w:rsidRPr="00C152A7">
        <w:rPr>
          <w:i/>
          <w:sz w:val="24"/>
          <w:szCs w:val="24"/>
          <w:lang w:val="sv-SE"/>
        </w:rPr>
        <w:t> syndrom</w:t>
      </w:r>
    </w:p>
    <w:p w14:paraId="5AF17E93" w14:textId="77777777" w:rsidR="00D52384" w:rsidRPr="00C152A7" w:rsidRDefault="00D52384" w:rsidP="003E13B0">
      <w:pPr>
        <w:ind w:left="851"/>
        <w:rPr>
          <w:sz w:val="24"/>
          <w:szCs w:val="24"/>
        </w:rPr>
      </w:pPr>
      <w:r w:rsidRPr="00C152A7">
        <w:rPr>
          <w:sz w:val="24"/>
          <w:szCs w:val="24"/>
        </w:rPr>
        <w:t xml:space="preserve">Hos patienter med </w:t>
      </w:r>
      <w:proofErr w:type="spellStart"/>
      <w:r w:rsidRPr="00C152A7">
        <w:rPr>
          <w:sz w:val="24"/>
          <w:szCs w:val="24"/>
        </w:rPr>
        <w:t>Cockaynes</w:t>
      </w:r>
      <w:proofErr w:type="spellEnd"/>
      <w:r w:rsidRPr="00C152A7">
        <w:rPr>
          <w:sz w:val="24"/>
          <w:szCs w:val="24"/>
        </w:rPr>
        <w:t xml:space="preserve"> syndrom, er der rapporteret om tilfælde af alvorlig </w:t>
      </w:r>
      <w:proofErr w:type="spellStart"/>
      <w:r w:rsidRPr="00C152A7">
        <w:rPr>
          <w:sz w:val="24"/>
          <w:szCs w:val="24"/>
        </w:rPr>
        <w:t>hepatotoksicitet</w:t>
      </w:r>
      <w:proofErr w:type="spellEnd"/>
      <w:r w:rsidRPr="00C152A7">
        <w:rPr>
          <w:sz w:val="24"/>
          <w:szCs w:val="24"/>
        </w:rPr>
        <w:t xml:space="preserve">/akut leversvigt i forbindelse med produkter, der indeholder </w:t>
      </w:r>
      <w:proofErr w:type="spellStart"/>
      <w:r w:rsidRPr="00C152A7">
        <w:rPr>
          <w:sz w:val="24"/>
          <w:szCs w:val="24"/>
        </w:rPr>
        <w:t>metronidazol</w:t>
      </w:r>
      <w:proofErr w:type="spellEnd"/>
      <w:r w:rsidRPr="00C152A7">
        <w:rPr>
          <w:sz w:val="24"/>
          <w:szCs w:val="24"/>
        </w:rPr>
        <w:t xml:space="preserve"> til systemisk brug, herunder tilfælde med dødelig udgang, med meget hurtig debut efter behandlingsstart. </w:t>
      </w:r>
      <w:proofErr w:type="spellStart"/>
      <w:r w:rsidRPr="00C152A7">
        <w:rPr>
          <w:sz w:val="24"/>
          <w:szCs w:val="24"/>
        </w:rPr>
        <w:t>Metronidazol</w:t>
      </w:r>
      <w:proofErr w:type="spellEnd"/>
      <w:r w:rsidRPr="00C152A7">
        <w:rPr>
          <w:sz w:val="24"/>
          <w:szCs w:val="24"/>
        </w:rPr>
        <w:t xml:space="preserve"> må ikke anvendes i denne population, medmindre det skønnes, at fordelene opvejer risikoen, og såfremt der ikke er anden behandling tilgængelig. Der skal foretages leverfunktionstest lige før behandlingsstart, under hele behandlingen og efter behandlingens afslutning, indtil leverfunktionen befinder sig i normalområdet, eller indtil baseline</w:t>
      </w:r>
      <w:r w:rsidRPr="00C152A7">
        <w:rPr>
          <w:sz w:val="24"/>
          <w:szCs w:val="24"/>
        </w:rPr>
        <w:noBreakHyphen/>
        <w:t xml:space="preserve">værdierne er nået. Hvis leverfunktionstestene viser markant forhøjede værdier under behandlingen, skal lægemidlet seponeres. Patienter med </w:t>
      </w:r>
      <w:proofErr w:type="spellStart"/>
      <w:r w:rsidRPr="00C152A7">
        <w:rPr>
          <w:sz w:val="24"/>
          <w:szCs w:val="24"/>
        </w:rPr>
        <w:t>Cockaynes</w:t>
      </w:r>
      <w:proofErr w:type="spellEnd"/>
      <w:r w:rsidRPr="00C152A7">
        <w:rPr>
          <w:sz w:val="24"/>
          <w:szCs w:val="24"/>
        </w:rPr>
        <w:t xml:space="preserve"> syndrom skal opfordres til straks at rapportere alle symptomer på potentiel leverskade til lægen og stoppe med at tage </w:t>
      </w:r>
      <w:proofErr w:type="spellStart"/>
      <w:r w:rsidRPr="00C152A7">
        <w:rPr>
          <w:sz w:val="24"/>
          <w:szCs w:val="24"/>
        </w:rPr>
        <w:t>metronidazol</w:t>
      </w:r>
      <w:proofErr w:type="spellEnd"/>
      <w:r w:rsidRPr="00C152A7">
        <w:rPr>
          <w:sz w:val="24"/>
          <w:szCs w:val="24"/>
        </w:rPr>
        <w:t xml:space="preserve"> (se pkt. 4.8).</w:t>
      </w:r>
    </w:p>
    <w:p w14:paraId="50C57361" w14:textId="77777777" w:rsidR="009260DE" w:rsidRPr="00C152A7" w:rsidRDefault="009260DE" w:rsidP="009260DE">
      <w:pPr>
        <w:tabs>
          <w:tab w:val="left" w:pos="851"/>
        </w:tabs>
        <w:ind w:left="851"/>
        <w:rPr>
          <w:sz w:val="24"/>
          <w:szCs w:val="24"/>
        </w:rPr>
      </w:pPr>
    </w:p>
    <w:p w14:paraId="41E82B6D" w14:textId="77777777" w:rsidR="009260DE" w:rsidRPr="00C152A7" w:rsidRDefault="009260DE" w:rsidP="009260DE">
      <w:pPr>
        <w:tabs>
          <w:tab w:val="left" w:pos="851"/>
        </w:tabs>
        <w:ind w:left="851" w:hanging="851"/>
        <w:rPr>
          <w:b/>
          <w:sz w:val="24"/>
          <w:szCs w:val="24"/>
        </w:rPr>
      </w:pPr>
      <w:r w:rsidRPr="00C152A7">
        <w:rPr>
          <w:b/>
          <w:sz w:val="24"/>
          <w:szCs w:val="24"/>
        </w:rPr>
        <w:t>4.5</w:t>
      </w:r>
      <w:r w:rsidRPr="00C152A7">
        <w:rPr>
          <w:b/>
          <w:sz w:val="24"/>
          <w:szCs w:val="24"/>
        </w:rPr>
        <w:tab/>
        <w:t>Interaktion med andre lægemidler og andre former for interaktion</w:t>
      </w:r>
    </w:p>
    <w:p w14:paraId="36785FD1" w14:textId="77777777" w:rsidR="00751D76" w:rsidRDefault="00751D76" w:rsidP="003E13B0">
      <w:pPr>
        <w:ind w:left="851"/>
        <w:rPr>
          <w:sz w:val="24"/>
          <w:szCs w:val="24"/>
        </w:rPr>
      </w:pPr>
    </w:p>
    <w:p w14:paraId="3BC93238" w14:textId="6AAE296E" w:rsidR="00D52384" w:rsidRPr="00751D76" w:rsidRDefault="00D52384" w:rsidP="003E13B0">
      <w:pPr>
        <w:ind w:left="851"/>
        <w:rPr>
          <w:i/>
          <w:sz w:val="24"/>
          <w:szCs w:val="24"/>
        </w:rPr>
      </w:pPr>
      <w:r w:rsidRPr="00751D76">
        <w:rPr>
          <w:i/>
          <w:sz w:val="24"/>
          <w:szCs w:val="24"/>
        </w:rPr>
        <w:t>Interaktion med andre lægemidler</w:t>
      </w:r>
    </w:p>
    <w:p w14:paraId="30985959" w14:textId="77777777" w:rsidR="00D52384" w:rsidRPr="00C152A7" w:rsidRDefault="00D52384" w:rsidP="003E13B0">
      <w:pPr>
        <w:ind w:left="851"/>
        <w:rPr>
          <w:sz w:val="24"/>
          <w:szCs w:val="24"/>
        </w:rPr>
      </w:pPr>
    </w:p>
    <w:p w14:paraId="5FA87E5A" w14:textId="77777777" w:rsidR="00D52384" w:rsidRPr="00C152A7" w:rsidRDefault="00D52384" w:rsidP="003E13B0">
      <w:pPr>
        <w:ind w:left="851"/>
        <w:rPr>
          <w:sz w:val="24"/>
          <w:szCs w:val="24"/>
          <w:u w:val="single"/>
        </w:rPr>
      </w:pPr>
      <w:proofErr w:type="spellStart"/>
      <w:r w:rsidRPr="00C152A7">
        <w:rPr>
          <w:sz w:val="24"/>
          <w:szCs w:val="24"/>
          <w:u w:val="single"/>
        </w:rPr>
        <w:t>Amiodaron</w:t>
      </w:r>
      <w:proofErr w:type="spellEnd"/>
    </w:p>
    <w:p w14:paraId="5E04266C" w14:textId="77777777" w:rsidR="00D52384" w:rsidRPr="00C152A7" w:rsidRDefault="00D52384" w:rsidP="003E13B0">
      <w:pPr>
        <w:ind w:left="851"/>
        <w:rPr>
          <w:sz w:val="24"/>
          <w:szCs w:val="24"/>
        </w:rPr>
      </w:pPr>
      <w:r w:rsidRPr="00C152A7">
        <w:rPr>
          <w:sz w:val="24"/>
          <w:szCs w:val="24"/>
        </w:rPr>
        <w:t>Der er rapporteret om forlængelse af QT</w:t>
      </w:r>
      <w:r w:rsidRPr="00C152A7">
        <w:rPr>
          <w:sz w:val="24"/>
          <w:szCs w:val="24"/>
        </w:rPr>
        <w:noBreakHyphen/>
        <w:t xml:space="preserve">intervallet og </w:t>
      </w:r>
      <w:proofErr w:type="spellStart"/>
      <w:r w:rsidRPr="00C152A7">
        <w:rPr>
          <w:sz w:val="24"/>
          <w:szCs w:val="24"/>
        </w:rPr>
        <w:t>torsade</w:t>
      </w:r>
      <w:proofErr w:type="spellEnd"/>
      <w:r w:rsidRPr="00C152A7">
        <w:rPr>
          <w:sz w:val="24"/>
          <w:szCs w:val="24"/>
        </w:rPr>
        <w:t xml:space="preserve"> de pointes ved samtidig administration af </w:t>
      </w:r>
      <w:proofErr w:type="spellStart"/>
      <w:r w:rsidRPr="00C152A7">
        <w:rPr>
          <w:sz w:val="24"/>
          <w:szCs w:val="24"/>
        </w:rPr>
        <w:t>metronidazol</w:t>
      </w:r>
      <w:proofErr w:type="spellEnd"/>
      <w:r w:rsidRPr="00C152A7">
        <w:rPr>
          <w:sz w:val="24"/>
          <w:szCs w:val="24"/>
        </w:rPr>
        <w:t xml:space="preserve"> og </w:t>
      </w:r>
      <w:proofErr w:type="spellStart"/>
      <w:r w:rsidRPr="00C152A7">
        <w:rPr>
          <w:sz w:val="24"/>
          <w:szCs w:val="24"/>
        </w:rPr>
        <w:t>amiodaron</w:t>
      </w:r>
      <w:proofErr w:type="spellEnd"/>
      <w:r w:rsidRPr="00C152A7">
        <w:rPr>
          <w:sz w:val="24"/>
          <w:szCs w:val="24"/>
        </w:rPr>
        <w:t>. Det kan være nødvendigt at overvåge QT</w:t>
      </w:r>
      <w:r w:rsidRPr="00C152A7">
        <w:rPr>
          <w:sz w:val="24"/>
          <w:szCs w:val="24"/>
        </w:rPr>
        <w:noBreakHyphen/>
        <w:t xml:space="preserve">intervallet på </w:t>
      </w:r>
      <w:proofErr w:type="spellStart"/>
      <w:r w:rsidRPr="00C152A7">
        <w:rPr>
          <w:sz w:val="24"/>
          <w:szCs w:val="24"/>
        </w:rPr>
        <w:t>EKG’et</w:t>
      </w:r>
      <w:proofErr w:type="spellEnd"/>
      <w:r w:rsidRPr="00C152A7">
        <w:rPr>
          <w:sz w:val="24"/>
          <w:szCs w:val="24"/>
        </w:rPr>
        <w:t xml:space="preserve">, hvis </w:t>
      </w:r>
      <w:proofErr w:type="spellStart"/>
      <w:r w:rsidRPr="00C152A7">
        <w:rPr>
          <w:sz w:val="24"/>
          <w:szCs w:val="24"/>
        </w:rPr>
        <w:t>amiodaron</w:t>
      </w:r>
      <w:proofErr w:type="spellEnd"/>
      <w:r w:rsidRPr="00C152A7">
        <w:rPr>
          <w:sz w:val="24"/>
          <w:szCs w:val="24"/>
        </w:rPr>
        <w:t xml:space="preserve"> anvendes i kombination med </w:t>
      </w:r>
      <w:proofErr w:type="spellStart"/>
      <w:r w:rsidRPr="00C152A7">
        <w:rPr>
          <w:sz w:val="24"/>
          <w:szCs w:val="24"/>
        </w:rPr>
        <w:t>metronidazol</w:t>
      </w:r>
      <w:proofErr w:type="spellEnd"/>
      <w:r w:rsidRPr="00C152A7">
        <w:rPr>
          <w:sz w:val="24"/>
          <w:szCs w:val="24"/>
        </w:rPr>
        <w:t xml:space="preserve">. Patienter, der behandles ambulant, skal opfordres til at søge læge, hvis de oplever symptomer, der kunne være tegn på </w:t>
      </w:r>
      <w:proofErr w:type="spellStart"/>
      <w:r w:rsidRPr="00C152A7">
        <w:rPr>
          <w:sz w:val="24"/>
          <w:szCs w:val="24"/>
        </w:rPr>
        <w:t>torsade</w:t>
      </w:r>
      <w:proofErr w:type="spellEnd"/>
      <w:r w:rsidRPr="00C152A7">
        <w:rPr>
          <w:sz w:val="24"/>
          <w:szCs w:val="24"/>
        </w:rPr>
        <w:t> de pointes, såsom svimmelhed, hjertebanken eller synkope.</w:t>
      </w:r>
    </w:p>
    <w:p w14:paraId="6042F45E" w14:textId="77777777" w:rsidR="00D52384" w:rsidRPr="00C152A7" w:rsidRDefault="00D52384" w:rsidP="003E13B0">
      <w:pPr>
        <w:ind w:left="851"/>
        <w:rPr>
          <w:sz w:val="24"/>
          <w:szCs w:val="24"/>
        </w:rPr>
      </w:pPr>
    </w:p>
    <w:p w14:paraId="03A5B303" w14:textId="77777777" w:rsidR="00D52384" w:rsidRPr="00C152A7" w:rsidRDefault="00D52384" w:rsidP="003E13B0">
      <w:pPr>
        <w:ind w:left="851"/>
        <w:rPr>
          <w:sz w:val="24"/>
          <w:szCs w:val="24"/>
          <w:u w:val="single"/>
        </w:rPr>
      </w:pPr>
      <w:r w:rsidRPr="00C152A7">
        <w:rPr>
          <w:sz w:val="24"/>
          <w:szCs w:val="24"/>
          <w:u w:val="single"/>
        </w:rPr>
        <w:lastRenderedPageBreak/>
        <w:t>Barbiturater</w:t>
      </w:r>
    </w:p>
    <w:p w14:paraId="06D12D0B" w14:textId="77777777" w:rsidR="00D52384" w:rsidRPr="00C152A7" w:rsidRDefault="00D52384" w:rsidP="003E13B0">
      <w:pPr>
        <w:ind w:left="851"/>
        <w:rPr>
          <w:sz w:val="24"/>
          <w:szCs w:val="24"/>
        </w:rPr>
      </w:pPr>
      <w:proofErr w:type="spellStart"/>
      <w:r w:rsidRPr="00C152A7">
        <w:rPr>
          <w:sz w:val="24"/>
          <w:szCs w:val="24"/>
        </w:rPr>
        <w:t>Phenobarbital</w:t>
      </w:r>
      <w:proofErr w:type="spellEnd"/>
      <w:r w:rsidRPr="00C152A7">
        <w:rPr>
          <w:sz w:val="24"/>
          <w:szCs w:val="24"/>
        </w:rPr>
        <w:t xml:space="preserve"> kan øge den </w:t>
      </w:r>
      <w:proofErr w:type="spellStart"/>
      <w:r w:rsidRPr="00C152A7">
        <w:rPr>
          <w:sz w:val="24"/>
          <w:szCs w:val="24"/>
        </w:rPr>
        <w:t>hepatiske</w:t>
      </w:r>
      <w:proofErr w:type="spellEnd"/>
      <w:r w:rsidRPr="00C152A7">
        <w:rPr>
          <w:sz w:val="24"/>
          <w:szCs w:val="24"/>
        </w:rPr>
        <w:t xml:space="preserve"> </w:t>
      </w:r>
      <w:proofErr w:type="spellStart"/>
      <w:r w:rsidRPr="00C152A7">
        <w:rPr>
          <w:sz w:val="24"/>
          <w:szCs w:val="24"/>
        </w:rPr>
        <w:t>metabolisering</w:t>
      </w:r>
      <w:proofErr w:type="spellEnd"/>
      <w:r w:rsidRPr="00C152A7">
        <w:rPr>
          <w:sz w:val="24"/>
          <w:szCs w:val="24"/>
        </w:rPr>
        <w:t xml:space="preserve"> af </w:t>
      </w:r>
      <w:proofErr w:type="spellStart"/>
      <w:r w:rsidRPr="00C152A7">
        <w:rPr>
          <w:sz w:val="24"/>
          <w:szCs w:val="24"/>
        </w:rPr>
        <w:t>metronidazol</w:t>
      </w:r>
      <w:proofErr w:type="spellEnd"/>
      <w:r w:rsidRPr="00C152A7">
        <w:rPr>
          <w:sz w:val="24"/>
          <w:szCs w:val="24"/>
        </w:rPr>
        <w:t>, hvilket reducerer dets plasmahalveringstid til 3 timer.</w:t>
      </w:r>
    </w:p>
    <w:p w14:paraId="21B9C641" w14:textId="77777777" w:rsidR="00D52384" w:rsidRPr="00751D76" w:rsidRDefault="00D52384" w:rsidP="003E13B0">
      <w:pPr>
        <w:ind w:left="851"/>
        <w:rPr>
          <w:sz w:val="24"/>
          <w:szCs w:val="24"/>
          <w:highlight w:val="yellow"/>
          <w:lang w:val="nl-NL"/>
        </w:rPr>
      </w:pPr>
    </w:p>
    <w:p w14:paraId="6EF77B7C" w14:textId="77777777" w:rsidR="00D52384" w:rsidRPr="00C152A7" w:rsidRDefault="00D52384" w:rsidP="003E13B0">
      <w:pPr>
        <w:ind w:left="851"/>
        <w:rPr>
          <w:sz w:val="24"/>
          <w:szCs w:val="24"/>
          <w:u w:val="single"/>
        </w:rPr>
      </w:pPr>
      <w:proofErr w:type="spellStart"/>
      <w:r w:rsidRPr="00C152A7">
        <w:rPr>
          <w:sz w:val="24"/>
          <w:szCs w:val="24"/>
          <w:u w:val="single"/>
        </w:rPr>
        <w:t>Busulfan</w:t>
      </w:r>
      <w:proofErr w:type="spellEnd"/>
    </w:p>
    <w:p w14:paraId="27493604" w14:textId="77777777" w:rsidR="00D52384" w:rsidRPr="00C152A7" w:rsidRDefault="00D52384" w:rsidP="003E13B0">
      <w:pPr>
        <w:ind w:left="851"/>
        <w:rPr>
          <w:sz w:val="24"/>
          <w:szCs w:val="24"/>
        </w:rPr>
      </w:pPr>
      <w:r w:rsidRPr="00C152A7">
        <w:rPr>
          <w:sz w:val="24"/>
          <w:szCs w:val="24"/>
        </w:rPr>
        <w:t xml:space="preserve">Samtidig administration af </w:t>
      </w:r>
      <w:proofErr w:type="spellStart"/>
      <w:r w:rsidRPr="00C152A7">
        <w:rPr>
          <w:sz w:val="24"/>
          <w:szCs w:val="24"/>
        </w:rPr>
        <w:t>metronidazol</w:t>
      </w:r>
      <w:proofErr w:type="spellEnd"/>
      <w:r w:rsidRPr="00C152A7">
        <w:rPr>
          <w:sz w:val="24"/>
          <w:szCs w:val="24"/>
        </w:rPr>
        <w:t xml:space="preserve"> kan øge plasmakoncentrationen af </w:t>
      </w:r>
      <w:proofErr w:type="spellStart"/>
      <w:r w:rsidRPr="00C152A7">
        <w:rPr>
          <w:sz w:val="24"/>
          <w:szCs w:val="24"/>
        </w:rPr>
        <w:t>busulfan</w:t>
      </w:r>
      <w:proofErr w:type="spellEnd"/>
      <w:r w:rsidRPr="00C152A7">
        <w:rPr>
          <w:sz w:val="24"/>
          <w:szCs w:val="24"/>
        </w:rPr>
        <w:t xml:space="preserve"> signifikant. Mekanismen bag denne interaktion er ikke beskrevet. På grund af risikoen for alvorlig toksicitet og mortalitet i forbindelse med et forhøjet indhold af </w:t>
      </w:r>
      <w:proofErr w:type="spellStart"/>
      <w:r w:rsidRPr="00C152A7">
        <w:rPr>
          <w:sz w:val="24"/>
          <w:szCs w:val="24"/>
        </w:rPr>
        <w:t>busulfan</w:t>
      </w:r>
      <w:proofErr w:type="spellEnd"/>
      <w:r w:rsidRPr="00C152A7">
        <w:rPr>
          <w:sz w:val="24"/>
          <w:szCs w:val="24"/>
        </w:rPr>
        <w:t xml:space="preserve"> i plasma, skal anvendelse sammen med </w:t>
      </w:r>
      <w:proofErr w:type="spellStart"/>
      <w:r w:rsidRPr="00C152A7">
        <w:rPr>
          <w:sz w:val="24"/>
          <w:szCs w:val="24"/>
        </w:rPr>
        <w:t>metronidazol</w:t>
      </w:r>
      <w:proofErr w:type="spellEnd"/>
      <w:r w:rsidRPr="00C152A7">
        <w:rPr>
          <w:sz w:val="24"/>
          <w:szCs w:val="24"/>
        </w:rPr>
        <w:t xml:space="preserve"> undgås.</w:t>
      </w:r>
    </w:p>
    <w:p w14:paraId="3EA9F592" w14:textId="77777777" w:rsidR="00D52384" w:rsidRPr="00C152A7" w:rsidRDefault="00D52384" w:rsidP="003E13B0">
      <w:pPr>
        <w:ind w:left="851"/>
        <w:rPr>
          <w:sz w:val="24"/>
          <w:szCs w:val="24"/>
          <w:lang w:val="nl-NL"/>
        </w:rPr>
      </w:pPr>
    </w:p>
    <w:p w14:paraId="193EABC5" w14:textId="77777777" w:rsidR="00D52384" w:rsidRPr="00C152A7" w:rsidRDefault="00D52384" w:rsidP="003E13B0">
      <w:pPr>
        <w:ind w:left="851"/>
        <w:rPr>
          <w:sz w:val="24"/>
          <w:szCs w:val="24"/>
          <w:u w:val="single"/>
        </w:rPr>
      </w:pPr>
      <w:proofErr w:type="spellStart"/>
      <w:r w:rsidRPr="00C152A7">
        <w:rPr>
          <w:sz w:val="24"/>
          <w:szCs w:val="24"/>
          <w:u w:val="single"/>
        </w:rPr>
        <w:t>Carbamazepin</w:t>
      </w:r>
      <w:proofErr w:type="spellEnd"/>
    </w:p>
    <w:p w14:paraId="14507438"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kan hæmme </w:t>
      </w:r>
      <w:proofErr w:type="spellStart"/>
      <w:r w:rsidRPr="00C152A7">
        <w:rPr>
          <w:sz w:val="24"/>
          <w:szCs w:val="24"/>
        </w:rPr>
        <w:t>metaboliseringen</w:t>
      </w:r>
      <w:proofErr w:type="spellEnd"/>
      <w:r w:rsidRPr="00C152A7">
        <w:rPr>
          <w:sz w:val="24"/>
          <w:szCs w:val="24"/>
        </w:rPr>
        <w:t xml:space="preserve"> af </w:t>
      </w:r>
      <w:proofErr w:type="spellStart"/>
      <w:r w:rsidRPr="00C152A7">
        <w:rPr>
          <w:sz w:val="24"/>
          <w:szCs w:val="24"/>
        </w:rPr>
        <w:t>carbamazepin</w:t>
      </w:r>
      <w:proofErr w:type="spellEnd"/>
      <w:r w:rsidRPr="00C152A7">
        <w:rPr>
          <w:sz w:val="24"/>
          <w:szCs w:val="24"/>
        </w:rPr>
        <w:t xml:space="preserve"> og øge plasmakoncentrationen som følge heraf.</w:t>
      </w:r>
    </w:p>
    <w:p w14:paraId="6D873F0A" w14:textId="77777777" w:rsidR="00D52384" w:rsidRPr="00751D76" w:rsidRDefault="00D52384" w:rsidP="003E13B0">
      <w:pPr>
        <w:ind w:left="851"/>
        <w:rPr>
          <w:sz w:val="24"/>
          <w:szCs w:val="24"/>
          <w:highlight w:val="yellow"/>
          <w:lang w:val="nl-NL"/>
        </w:rPr>
      </w:pPr>
    </w:p>
    <w:p w14:paraId="788A5366" w14:textId="77777777" w:rsidR="00D52384" w:rsidRPr="00C152A7" w:rsidRDefault="00D52384" w:rsidP="003E13B0">
      <w:pPr>
        <w:ind w:left="851"/>
        <w:rPr>
          <w:sz w:val="24"/>
          <w:szCs w:val="24"/>
          <w:u w:val="single"/>
        </w:rPr>
      </w:pPr>
      <w:proofErr w:type="spellStart"/>
      <w:r w:rsidRPr="00C152A7">
        <w:rPr>
          <w:sz w:val="24"/>
          <w:szCs w:val="24"/>
          <w:u w:val="single"/>
        </w:rPr>
        <w:t>Cimetidin</w:t>
      </w:r>
      <w:proofErr w:type="spellEnd"/>
    </w:p>
    <w:p w14:paraId="6DAE5821" w14:textId="77777777" w:rsidR="00D52384" w:rsidRPr="00C152A7" w:rsidRDefault="00D52384" w:rsidP="003E13B0">
      <w:pPr>
        <w:ind w:left="851"/>
        <w:rPr>
          <w:sz w:val="24"/>
          <w:szCs w:val="24"/>
        </w:rPr>
      </w:pPr>
      <w:r w:rsidRPr="00C152A7">
        <w:rPr>
          <w:sz w:val="24"/>
          <w:szCs w:val="24"/>
        </w:rPr>
        <w:t xml:space="preserve">Samtidig administration af </w:t>
      </w:r>
      <w:proofErr w:type="spellStart"/>
      <w:r w:rsidRPr="00C152A7">
        <w:rPr>
          <w:sz w:val="24"/>
          <w:szCs w:val="24"/>
        </w:rPr>
        <w:t>cimetidin</w:t>
      </w:r>
      <w:proofErr w:type="spellEnd"/>
      <w:r w:rsidRPr="00C152A7">
        <w:rPr>
          <w:sz w:val="24"/>
          <w:szCs w:val="24"/>
        </w:rPr>
        <w:t xml:space="preserve"> kan i visse tilfælde reducere udskillelsen af </w:t>
      </w:r>
      <w:proofErr w:type="spellStart"/>
      <w:r w:rsidRPr="00C152A7">
        <w:rPr>
          <w:sz w:val="24"/>
          <w:szCs w:val="24"/>
        </w:rPr>
        <w:t>metronidazol</w:t>
      </w:r>
      <w:proofErr w:type="spellEnd"/>
      <w:r w:rsidRPr="00C152A7">
        <w:rPr>
          <w:sz w:val="24"/>
          <w:szCs w:val="24"/>
        </w:rPr>
        <w:t xml:space="preserve"> og derved øge </w:t>
      </w:r>
      <w:proofErr w:type="spellStart"/>
      <w:r w:rsidRPr="00C152A7">
        <w:rPr>
          <w:sz w:val="24"/>
          <w:szCs w:val="24"/>
        </w:rPr>
        <w:t>metronidazolkoncentrationen</w:t>
      </w:r>
      <w:proofErr w:type="spellEnd"/>
      <w:r w:rsidRPr="00C152A7">
        <w:rPr>
          <w:sz w:val="24"/>
          <w:szCs w:val="24"/>
        </w:rPr>
        <w:t xml:space="preserve"> i serum.</w:t>
      </w:r>
    </w:p>
    <w:p w14:paraId="5477CF5E" w14:textId="77777777" w:rsidR="00D52384" w:rsidRPr="00C152A7" w:rsidRDefault="00D52384" w:rsidP="003E13B0">
      <w:pPr>
        <w:ind w:left="851"/>
        <w:rPr>
          <w:sz w:val="24"/>
          <w:szCs w:val="24"/>
          <w:lang w:val="nl-NL"/>
        </w:rPr>
      </w:pPr>
    </w:p>
    <w:p w14:paraId="135B19D9" w14:textId="77777777" w:rsidR="00D52384" w:rsidRPr="00C152A7" w:rsidRDefault="00D52384" w:rsidP="003E13B0">
      <w:pPr>
        <w:ind w:left="851"/>
        <w:rPr>
          <w:sz w:val="24"/>
          <w:szCs w:val="24"/>
          <w:u w:val="single"/>
        </w:rPr>
      </w:pPr>
      <w:proofErr w:type="spellStart"/>
      <w:r w:rsidRPr="00C152A7">
        <w:rPr>
          <w:sz w:val="24"/>
          <w:szCs w:val="24"/>
          <w:u w:val="single"/>
        </w:rPr>
        <w:t>Kontraceptiva</w:t>
      </w:r>
      <w:proofErr w:type="spellEnd"/>
    </w:p>
    <w:p w14:paraId="28FB655D" w14:textId="77777777" w:rsidR="00D52384" w:rsidRPr="00C152A7" w:rsidRDefault="00D52384" w:rsidP="003E13B0">
      <w:pPr>
        <w:ind w:left="851"/>
        <w:rPr>
          <w:sz w:val="24"/>
          <w:szCs w:val="24"/>
        </w:rPr>
      </w:pPr>
      <w:r w:rsidRPr="00C152A7">
        <w:rPr>
          <w:sz w:val="24"/>
          <w:szCs w:val="24"/>
        </w:rPr>
        <w:t xml:space="preserve">Nogle antibiotika kan i særlige tilfælde nedsætte virkningen af orale </w:t>
      </w:r>
      <w:proofErr w:type="spellStart"/>
      <w:r w:rsidRPr="00C152A7">
        <w:rPr>
          <w:sz w:val="24"/>
          <w:szCs w:val="24"/>
        </w:rPr>
        <w:t>kontraceptiva</w:t>
      </w:r>
      <w:proofErr w:type="spellEnd"/>
      <w:r w:rsidRPr="00C152A7">
        <w:rPr>
          <w:sz w:val="24"/>
          <w:szCs w:val="24"/>
        </w:rPr>
        <w:t xml:space="preserve"> ved at interferere med den bakterielle hydrolyse af </w:t>
      </w:r>
      <w:proofErr w:type="spellStart"/>
      <w:r w:rsidRPr="00C152A7">
        <w:rPr>
          <w:sz w:val="24"/>
          <w:szCs w:val="24"/>
        </w:rPr>
        <w:t>steroidkonjugater</w:t>
      </w:r>
      <w:proofErr w:type="spellEnd"/>
      <w:r w:rsidRPr="00C152A7">
        <w:rPr>
          <w:sz w:val="24"/>
          <w:szCs w:val="24"/>
        </w:rPr>
        <w:t xml:space="preserve"> i tarmen og derved reducere genoptagelsen af </w:t>
      </w:r>
      <w:proofErr w:type="spellStart"/>
      <w:r w:rsidRPr="00C152A7">
        <w:rPr>
          <w:sz w:val="24"/>
          <w:szCs w:val="24"/>
        </w:rPr>
        <w:t>ukonjugeret</w:t>
      </w:r>
      <w:proofErr w:type="spellEnd"/>
      <w:r w:rsidRPr="00C152A7">
        <w:rPr>
          <w:sz w:val="24"/>
          <w:szCs w:val="24"/>
        </w:rPr>
        <w:t xml:space="preserve"> steroid. Derfor falder plasmaniveauet af det aktive steroid. Denne usædvanlige interaktion kan forekomme hos kvinder med en høj udskillelse af </w:t>
      </w:r>
      <w:proofErr w:type="spellStart"/>
      <w:r w:rsidRPr="00C152A7">
        <w:rPr>
          <w:sz w:val="24"/>
          <w:szCs w:val="24"/>
        </w:rPr>
        <w:t>steroidkonjugater</w:t>
      </w:r>
      <w:proofErr w:type="spellEnd"/>
      <w:r w:rsidRPr="00C152A7">
        <w:rPr>
          <w:sz w:val="24"/>
          <w:szCs w:val="24"/>
        </w:rPr>
        <w:t xml:space="preserve"> via galden. Der er rapporter om svigtende orale </w:t>
      </w:r>
      <w:proofErr w:type="spellStart"/>
      <w:r w:rsidRPr="00C152A7">
        <w:rPr>
          <w:sz w:val="24"/>
          <w:szCs w:val="24"/>
        </w:rPr>
        <w:t>kontraceptiva</w:t>
      </w:r>
      <w:proofErr w:type="spellEnd"/>
      <w:r w:rsidRPr="00C152A7">
        <w:rPr>
          <w:sz w:val="24"/>
          <w:szCs w:val="24"/>
        </w:rPr>
        <w:t xml:space="preserve"> i forbindelse med en række antibiotika, f.eks. </w:t>
      </w:r>
      <w:proofErr w:type="spellStart"/>
      <w:r w:rsidRPr="00C152A7">
        <w:rPr>
          <w:sz w:val="24"/>
          <w:szCs w:val="24"/>
        </w:rPr>
        <w:t>ampicillin</w:t>
      </w:r>
      <w:proofErr w:type="spellEnd"/>
      <w:r w:rsidRPr="00C152A7">
        <w:rPr>
          <w:sz w:val="24"/>
          <w:szCs w:val="24"/>
        </w:rPr>
        <w:t xml:space="preserve">, </w:t>
      </w:r>
      <w:proofErr w:type="spellStart"/>
      <w:r w:rsidRPr="00C152A7">
        <w:rPr>
          <w:sz w:val="24"/>
          <w:szCs w:val="24"/>
        </w:rPr>
        <w:t>amoxicillin</w:t>
      </w:r>
      <w:proofErr w:type="spellEnd"/>
      <w:r w:rsidRPr="00C152A7">
        <w:rPr>
          <w:sz w:val="24"/>
          <w:szCs w:val="24"/>
        </w:rPr>
        <w:t xml:space="preserve">, </w:t>
      </w:r>
      <w:proofErr w:type="spellStart"/>
      <w:r w:rsidRPr="00C152A7">
        <w:rPr>
          <w:sz w:val="24"/>
          <w:szCs w:val="24"/>
        </w:rPr>
        <w:t>tetracykliner</w:t>
      </w:r>
      <w:proofErr w:type="spellEnd"/>
      <w:r w:rsidRPr="00C152A7">
        <w:rPr>
          <w:sz w:val="24"/>
          <w:szCs w:val="24"/>
        </w:rPr>
        <w:t xml:space="preserve"> og også </w:t>
      </w:r>
      <w:proofErr w:type="spellStart"/>
      <w:r w:rsidRPr="00C152A7">
        <w:rPr>
          <w:sz w:val="24"/>
          <w:szCs w:val="24"/>
        </w:rPr>
        <w:t>metronidazol</w:t>
      </w:r>
      <w:proofErr w:type="spellEnd"/>
      <w:r w:rsidRPr="00C152A7">
        <w:rPr>
          <w:sz w:val="24"/>
          <w:szCs w:val="24"/>
        </w:rPr>
        <w:t>.</w:t>
      </w:r>
    </w:p>
    <w:p w14:paraId="4F6C57DB" w14:textId="77777777" w:rsidR="00D52384" w:rsidRPr="00C152A7" w:rsidRDefault="00D52384" w:rsidP="003E13B0">
      <w:pPr>
        <w:ind w:left="851"/>
        <w:rPr>
          <w:sz w:val="24"/>
          <w:szCs w:val="24"/>
          <w:lang w:val="nl-NL"/>
        </w:rPr>
      </w:pPr>
    </w:p>
    <w:p w14:paraId="0A7359CF" w14:textId="77777777" w:rsidR="00D52384" w:rsidRPr="00C152A7" w:rsidRDefault="00D52384" w:rsidP="003E13B0">
      <w:pPr>
        <w:ind w:left="851"/>
        <w:rPr>
          <w:sz w:val="24"/>
          <w:szCs w:val="24"/>
          <w:u w:val="single"/>
          <w:lang w:val="nl-NL"/>
        </w:rPr>
      </w:pPr>
      <w:r w:rsidRPr="00C152A7">
        <w:rPr>
          <w:sz w:val="24"/>
          <w:szCs w:val="24"/>
          <w:u w:val="single"/>
          <w:lang w:val="nl-NL"/>
        </w:rPr>
        <w:t>Coumarinderivater</w:t>
      </w:r>
    </w:p>
    <w:p w14:paraId="0649073C" w14:textId="77777777" w:rsidR="00D52384" w:rsidRPr="00C152A7" w:rsidRDefault="00D52384" w:rsidP="003E13B0">
      <w:pPr>
        <w:ind w:left="851"/>
        <w:rPr>
          <w:sz w:val="24"/>
          <w:szCs w:val="24"/>
        </w:rPr>
      </w:pPr>
      <w:r w:rsidRPr="00C152A7">
        <w:rPr>
          <w:sz w:val="24"/>
          <w:szCs w:val="24"/>
          <w:lang w:val="nl-NL"/>
        </w:rPr>
        <w:t xml:space="preserve">Samtidig behandling med metronidazol kan forstærke den antikoagulerende virkning af disse og øge risikoen for blødning som følge af nedsat hepatisk nedbrydning. </w:t>
      </w:r>
      <w:r w:rsidRPr="00C152A7">
        <w:rPr>
          <w:sz w:val="24"/>
          <w:szCs w:val="24"/>
        </w:rPr>
        <w:t xml:space="preserve">Dosisjustering af </w:t>
      </w:r>
      <w:proofErr w:type="spellStart"/>
      <w:r w:rsidRPr="00C152A7">
        <w:rPr>
          <w:sz w:val="24"/>
          <w:szCs w:val="24"/>
        </w:rPr>
        <w:t>antikoagulanten</w:t>
      </w:r>
      <w:proofErr w:type="spellEnd"/>
      <w:r w:rsidRPr="00C152A7">
        <w:rPr>
          <w:sz w:val="24"/>
          <w:szCs w:val="24"/>
        </w:rPr>
        <w:t xml:space="preserve"> kan være nødvendig.</w:t>
      </w:r>
    </w:p>
    <w:p w14:paraId="3AA742A4" w14:textId="77777777" w:rsidR="00D52384" w:rsidRPr="00C152A7" w:rsidRDefault="00D52384" w:rsidP="003E13B0">
      <w:pPr>
        <w:ind w:left="851"/>
        <w:rPr>
          <w:sz w:val="24"/>
          <w:szCs w:val="24"/>
          <w:lang w:val="nl-NL"/>
        </w:rPr>
      </w:pPr>
    </w:p>
    <w:p w14:paraId="3DB4701C" w14:textId="77777777" w:rsidR="00D52384" w:rsidRPr="00C152A7" w:rsidRDefault="00D52384" w:rsidP="003E13B0">
      <w:pPr>
        <w:ind w:left="851"/>
        <w:rPr>
          <w:sz w:val="24"/>
          <w:szCs w:val="24"/>
          <w:u w:val="single"/>
        </w:rPr>
      </w:pPr>
      <w:proofErr w:type="spellStart"/>
      <w:r w:rsidRPr="00C152A7">
        <w:rPr>
          <w:sz w:val="24"/>
          <w:szCs w:val="24"/>
          <w:u w:val="single"/>
        </w:rPr>
        <w:t>Ciclosporin</w:t>
      </w:r>
      <w:proofErr w:type="spellEnd"/>
    </w:p>
    <w:p w14:paraId="4E3DB68A" w14:textId="77777777" w:rsidR="00D52384" w:rsidRPr="00C152A7" w:rsidRDefault="00D52384" w:rsidP="003E13B0">
      <w:pPr>
        <w:ind w:left="851"/>
        <w:rPr>
          <w:sz w:val="24"/>
          <w:szCs w:val="24"/>
        </w:rPr>
      </w:pPr>
      <w:r w:rsidRPr="00C152A7">
        <w:rPr>
          <w:sz w:val="24"/>
          <w:szCs w:val="24"/>
        </w:rPr>
        <w:t xml:space="preserve">Ved samtidig behandling med </w:t>
      </w:r>
      <w:proofErr w:type="spellStart"/>
      <w:r w:rsidRPr="00C152A7">
        <w:rPr>
          <w:sz w:val="24"/>
          <w:szCs w:val="24"/>
        </w:rPr>
        <w:t>ciclosporin</w:t>
      </w:r>
      <w:proofErr w:type="spellEnd"/>
      <w:r w:rsidRPr="00C152A7">
        <w:rPr>
          <w:sz w:val="24"/>
          <w:szCs w:val="24"/>
        </w:rPr>
        <w:t xml:space="preserve"> og </w:t>
      </w:r>
      <w:proofErr w:type="spellStart"/>
      <w:r w:rsidRPr="00C152A7">
        <w:rPr>
          <w:sz w:val="24"/>
          <w:szCs w:val="24"/>
        </w:rPr>
        <w:t>metronidazol</w:t>
      </w:r>
      <w:proofErr w:type="spellEnd"/>
      <w:r w:rsidRPr="00C152A7">
        <w:rPr>
          <w:sz w:val="24"/>
          <w:szCs w:val="24"/>
        </w:rPr>
        <w:t xml:space="preserve"> er der risiko for en øget koncentration af </w:t>
      </w:r>
      <w:proofErr w:type="spellStart"/>
      <w:r w:rsidRPr="00C152A7">
        <w:rPr>
          <w:sz w:val="24"/>
          <w:szCs w:val="24"/>
        </w:rPr>
        <w:t>ciclosporin</w:t>
      </w:r>
      <w:proofErr w:type="spellEnd"/>
      <w:r w:rsidRPr="00C152A7">
        <w:rPr>
          <w:sz w:val="24"/>
          <w:szCs w:val="24"/>
        </w:rPr>
        <w:t xml:space="preserve"> i serum. Hyppig kontrol af </w:t>
      </w:r>
      <w:proofErr w:type="spellStart"/>
      <w:r w:rsidRPr="00C152A7">
        <w:rPr>
          <w:sz w:val="24"/>
          <w:szCs w:val="24"/>
        </w:rPr>
        <w:t>cyclosporin</w:t>
      </w:r>
      <w:proofErr w:type="spellEnd"/>
      <w:r w:rsidRPr="00C152A7">
        <w:rPr>
          <w:sz w:val="24"/>
          <w:szCs w:val="24"/>
        </w:rPr>
        <w:t xml:space="preserve"> og </w:t>
      </w:r>
      <w:proofErr w:type="spellStart"/>
      <w:r w:rsidRPr="00C152A7">
        <w:rPr>
          <w:sz w:val="24"/>
          <w:szCs w:val="24"/>
        </w:rPr>
        <w:t>kreatinin</w:t>
      </w:r>
      <w:proofErr w:type="spellEnd"/>
      <w:r w:rsidRPr="00C152A7">
        <w:rPr>
          <w:sz w:val="24"/>
          <w:szCs w:val="24"/>
        </w:rPr>
        <w:t xml:space="preserve"> er nødvendig.</w:t>
      </w:r>
    </w:p>
    <w:p w14:paraId="3090BA34" w14:textId="77777777" w:rsidR="00D52384" w:rsidRPr="00C152A7" w:rsidRDefault="00D52384" w:rsidP="003E13B0">
      <w:pPr>
        <w:ind w:left="851"/>
        <w:rPr>
          <w:sz w:val="24"/>
          <w:szCs w:val="24"/>
          <w:lang w:val="nl-NL"/>
        </w:rPr>
      </w:pPr>
    </w:p>
    <w:p w14:paraId="3B443036" w14:textId="77777777" w:rsidR="00D52384" w:rsidRPr="00C152A7" w:rsidRDefault="00D52384" w:rsidP="003E13B0">
      <w:pPr>
        <w:ind w:left="851"/>
        <w:rPr>
          <w:sz w:val="24"/>
          <w:szCs w:val="24"/>
          <w:u w:val="single"/>
        </w:rPr>
      </w:pPr>
      <w:proofErr w:type="spellStart"/>
      <w:r w:rsidRPr="00C152A7">
        <w:rPr>
          <w:sz w:val="24"/>
          <w:szCs w:val="24"/>
          <w:u w:val="single"/>
        </w:rPr>
        <w:t>Disulfiram</w:t>
      </w:r>
      <w:proofErr w:type="spellEnd"/>
    </w:p>
    <w:p w14:paraId="41FA60DB" w14:textId="77777777" w:rsidR="00D52384" w:rsidRPr="00C152A7" w:rsidRDefault="00D52384" w:rsidP="003E13B0">
      <w:pPr>
        <w:ind w:left="851"/>
        <w:rPr>
          <w:sz w:val="24"/>
          <w:szCs w:val="24"/>
        </w:rPr>
      </w:pPr>
      <w:r w:rsidRPr="00C152A7">
        <w:rPr>
          <w:sz w:val="24"/>
          <w:szCs w:val="24"/>
        </w:rPr>
        <w:t xml:space="preserve">Samtidig administration af </w:t>
      </w:r>
      <w:proofErr w:type="spellStart"/>
      <w:r w:rsidRPr="00C152A7">
        <w:rPr>
          <w:sz w:val="24"/>
          <w:szCs w:val="24"/>
        </w:rPr>
        <w:t>disulfiram</w:t>
      </w:r>
      <w:proofErr w:type="spellEnd"/>
      <w:r w:rsidRPr="00C152A7">
        <w:rPr>
          <w:sz w:val="24"/>
          <w:szCs w:val="24"/>
        </w:rPr>
        <w:t xml:space="preserve"> kan forårsage konfusion eller endda psykotiske reaktioner. Kombination af de to præparater skal undgås.</w:t>
      </w:r>
    </w:p>
    <w:p w14:paraId="3D629836" w14:textId="77777777" w:rsidR="00D52384" w:rsidRPr="00C152A7" w:rsidRDefault="00D52384" w:rsidP="003E13B0">
      <w:pPr>
        <w:ind w:left="851"/>
        <w:rPr>
          <w:sz w:val="24"/>
          <w:szCs w:val="24"/>
        </w:rPr>
      </w:pPr>
    </w:p>
    <w:p w14:paraId="0A76239E" w14:textId="77777777" w:rsidR="00D52384" w:rsidRPr="00C152A7" w:rsidRDefault="00D52384" w:rsidP="003E13B0">
      <w:pPr>
        <w:ind w:left="851"/>
        <w:rPr>
          <w:sz w:val="24"/>
          <w:szCs w:val="24"/>
          <w:u w:val="single"/>
        </w:rPr>
      </w:pPr>
      <w:proofErr w:type="spellStart"/>
      <w:r w:rsidRPr="00C152A7">
        <w:rPr>
          <w:sz w:val="24"/>
          <w:szCs w:val="24"/>
          <w:u w:val="single"/>
        </w:rPr>
        <w:t>Fluorouracil</w:t>
      </w:r>
      <w:proofErr w:type="spellEnd"/>
    </w:p>
    <w:p w14:paraId="71410943"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hæmmer </w:t>
      </w:r>
      <w:proofErr w:type="spellStart"/>
      <w:r w:rsidRPr="00C152A7">
        <w:rPr>
          <w:sz w:val="24"/>
          <w:szCs w:val="24"/>
        </w:rPr>
        <w:t>metaboliseringen</w:t>
      </w:r>
      <w:proofErr w:type="spellEnd"/>
      <w:r w:rsidRPr="00C152A7">
        <w:rPr>
          <w:sz w:val="24"/>
          <w:szCs w:val="24"/>
        </w:rPr>
        <w:t xml:space="preserve"> af samtidigt administreret </w:t>
      </w:r>
      <w:proofErr w:type="spellStart"/>
      <w:r w:rsidRPr="00C152A7">
        <w:rPr>
          <w:sz w:val="24"/>
          <w:szCs w:val="24"/>
        </w:rPr>
        <w:t>fluorouracil</w:t>
      </w:r>
      <w:proofErr w:type="spellEnd"/>
      <w:r w:rsidRPr="00C152A7">
        <w:rPr>
          <w:sz w:val="24"/>
          <w:szCs w:val="24"/>
        </w:rPr>
        <w:t xml:space="preserve">. Som følge heraf øges plasmakoncentrationen af </w:t>
      </w:r>
      <w:proofErr w:type="spellStart"/>
      <w:r w:rsidRPr="00C152A7">
        <w:rPr>
          <w:sz w:val="24"/>
          <w:szCs w:val="24"/>
        </w:rPr>
        <w:t>fluorouracil</w:t>
      </w:r>
      <w:proofErr w:type="spellEnd"/>
      <w:r w:rsidRPr="00C152A7">
        <w:rPr>
          <w:sz w:val="24"/>
          <w:szCs w:val="24"/>
        </w:rPr>
        <w:t>.</w:t>
      </w:r>
    </w:p>
    <w:p w14:paraId="670D3743" w14:textId="77777777" w:rsidR="00D52384" w:rsidRPr="00C152A7" w:rsidRDefault="00D52384" w:rsidP="003E13B0">
      <w:pPr>
        <w:ind w:left="851"/>
        <w:rPr>
          <w:sz w:val="24"/>
          <w:szCs w:val="24"/>
        </w:rPr>
      </w:pPr>
    </w:p>
    <w:p w14:paraId="010E0326" w14:textId="77777777" w:rsidR="00D52384" w:rsidRPr="00C152A7" w:rsidRDefault="00D52384" w:rsidP="003E13B0">
      <w:pPr>
        <w:ind w:left="851"/>
        <w:rPr>
          <w:sz w:val="24"/>
          <w:szCs w:val="24"/>
          <w:u w:val="single"/>
        </w:rPr>
      </w:pPr>
      <w:proofErr w:type="spellStart"/>
      <w:r w:rsidRPr="00C152A7">
        <w:rPr>
          <w:sz w:val="24"/>
          <w:szCs w:val="24"/>
          <w:u w:val="single"/>
        </w:rPr>
        <w:t>Lithium</w:t>
      </w:r>
      <w:proofErr w:type="spellEnd"/>
    </w:p>
    <w:p w14:paraId="119B7B4F" w14:textId="4BA9FF9E" w:rsidR="00D52384" w:rsidRPr="00C152A7" w:rsidRDefault="00D52384" w:rsidP="003E13B0">
      <w:pPr>
        <w:ind w:left="851"/>
        <w:rPr>
          <w:sz w:val="24"/>
          <w:szCs w:val="24"/>
        </w:rPr>
      </w:pPr>
      <w:r w:rsidRPr="00C152A7">
        <w:rPr>
          <w:sz w:val="24"/>
          <w:szCs w:val="24"/>
        </w:rPr>
        <w:t xml:space="preserve">Der skal udvises forsigtighed, når </w:t>
      </w:r>
      <w:proofErr w:type="spellStart"/>
      <w:r w:rsidRPr="00C152A7">
        <w:rPr>
          <w:sz w:val="24"/>
          <w:szCs w:val="24"/>
        </w:rPr>
        <w:t>metronidazol</w:t>
      </w:r>
      <w:proofErr w:type="spellEnd"/>
      <w:r w:rsidRPr="00C152A7">
        <w:rPr>
          <w:sz w:val="24"/>
          <w:szCs w:val="24"/>
        </w:rPr>
        <w:t xml:space="preserve"> administreres samtidig med </w:t>
      </w:r>
      <w:proofErr w:type="spellStart"/>
      <w:r w:rsidRPr="00C152A7">
        <w:rPr>
          <w:sz w:val="24"/>
          <w:szCs w:val="24"/>
        </w:rPr>
        <w:t>lithiumsalte</w:t>
      </w:r>
      <w:proofErr w:type="spellEnd"/>
      <w:r w:rsidRPr="00C152A7">
        <w:rPr>
          <w:sz w:val="24"/>
          <w:szCs w:val="24"/>
        </w:rPr>
        <w:t xml:space="preserve">, idet der er observeret en øget serumkoncentration af </w:t>
      </w:r>
      <w:proofErr w:type="spellStart"/>
      <w:r w:rsidRPr="00C152A7">
        <w:rPr>
          <w:sz w:val="24"/>
          <w:szCs w:val="24"/>
        </w:rPr>
        <w:t>lithium</w:t>
      </w:r>
      <w:proofErr w:type="spellEnd"/>
      <w:r w:rsidRPr="00C152A7">
        <w:rPr>
          <w:sz w:val="24"/>
          <w:szCs w:val="24"/>
        </w:rPr>
        <w:t xml:space="preserve"> under </w:t>
      </w:r>
      <w:proofErr w:type="spellStart"/>
      <w:r w:rsidRPr="00C152A7">
        <w:rPr>
          <w:sz w:val="24"/>
          <w:szCs w:val="24"/>
        </w:rPr>
        <w:t>metronidazol</w:t>
      </w:r>
      <w:r w:rsidR="00BC0209">
        <w:rPr>
          <w:sz w:val="24"/>
          <w:szCs w:val="24"/>
        </w:rPr>
        <w:softHyphen/>
      </w:r>
      <w:r w:rsidRPr="00C152A7">
        <w:rPr>
          <w:sz w:val="24"/>
          <w:szCs w:val="24"/>
        </w:rPr>
        <w:t>behandling</w:t>
      </w:r>
      <w:proofErr w:type="spellEnd"/>
      <w:r w:rsidRPr="00C152A7">
        <w:rPr>
          <w:sz w:val="24"/>
          <w:szCs w:val="24"/>
        </w:rPr>
        <w:t xml:space="preserve">. Litiumbehandlingen skal nedtrappes eller ophøre, før behandling med </w:t>
      </w:r>
      <w:proofErr w:type="spellStart"/>
      <w:r w:rsidRPr="00C152A7">
        <w:rPr>
          <w:sz w:val="24"/>
          <w:szCs w:val="24"/>
        </w:rPr>
        <w:t>metronidazol</w:t>
      </w:r>
      <w:proofErr w:type="spellEnd"/>
      <w:r w:rsidRPr="00C152A7">
        <w:rPr>
          <w:sz w:val="24"/>
          <w:szCs w:val="24"/>
        </w:rPr>
        <w:t xml:space="preserve"> indledes. Koncentrationen af </w:t>
      </w:r>
      <w:proofErr w:type="spellStart"/>
      <w:r w:rsidRPr="00C152A7">
        <w:rPr>
          <w:sz w:val="24"/>
          <w:szCs w:val="24"/>
        </w:rPr>
        <w:t>lithium</w:t>
      </w:r>
      <w:proofErr w:type="spellEnd"/>
      <w:r w:rsidRPr="00C152A7">
        <w:rPr>
          <w:sz w:val="24"/>
          <w:szCs w:val="24"/>
        </w:rPr>
        <w:t xml:space="preserve">, </w:t>
      </w:r>
      <w:proofErr w:type="spellStart"/>
      <w:r w:rsidRPr="00C152A7">
        <w:rPr>
          <w:sz w:val="24"/>
          <w:szCs w:val="24"/>
        </w:rPr>
        <w:t>kreatinin</w:t>
      </w:r>
      <w:proofErr w:type="spellEnd"/>
      <w:r w:rsidRPr="00C152A7">
        <w:rPr>
          <w:sz w:val="24"/>
          <w:szCs w:val="24"/>
        </w:rPr>
        <w:t xml:space="preserve"> og elektrolytter i plasma skal kontrolleres hos patienter, der er i behandling med </w:t>
      </w:r>
      <w:proofErr w:type="spellStart"/>
      <w:r w:rsidRPr="00C152A7">
        <w:rPr>
          <w:sz w:val="24"/>
          <w:szCs w:val="24"/>
        </w:rPr>
        <w:t>lithium</w:t>
      </w:r>
      <w:proofErr w:type="spellEnd"/>
      <w:r w:rsidRPr="00C152A7">
        <w:rPr>
          <w:sz w:val="24"/>
          <w:szCs w:val="24"/>
        </w:rPr>
        <w:t xml:space="preserve">, mens de får </w:t>
      </w:r>
      <w:proofErr w:type="spellStart"/>
      <w:r w:rsidRPr="00C152A7">
        <w:rPr>
          <w:sz w:val="24"/>
          <w:szCs w:val="24"/>
        </w:rPr>
        <w:t>metronidazol</w:t>
      </w:r>
      <w:proofErr w:type="spellEnd"/>
      <w:r w:rsidRPr="00C152A7">
        <w:rPr>
          <w:sz w:val="24"/>
          <w:szCs w:val="24"/>
        </w:rPr>
        <w:t>.</w:t>
      </w:r>
    </w:p>
    <w:p w14:paraId="14D64983" w14:textId="77777777" w:rsidR="00D52384" w:rsidRPr="00C152A7" w:rsidRDefault="00D52384" w:rsidP="003E13B0">
      <w:pPr>
        <w:ind w:left="851"/>
        <w:rPr>
          <w:sz w:val="24"/>
          <w:szCs w:val="24"/>
          <w:lang w:val="nl-NL"/>
        </w:rPr>
      </w:pPr>
    </w:p>
    <w:p w14:paraId="7BCEF453" w14:textId="77777777" w:rsidR="00D52384" w:rsidRPr="00C152A7" w:rsidRDefault="00D52384" w:rsidP="003E13B0">
      <w:pPr>
        <w:ind w:left="851"/>
        <w:rPr>
          <w:sz w:val="24"/>
          <w:szCs w:val="24"/>
          <w:u w:val="single"/>
        </w:rPr>
      </w:pPr>
      <w:proofErr w:type="spellStart"/>
      <w:r w:rsidRPr="00C152A7">
        <w:rPr>
          <w:sz w:val="24"/>
          <w:szCs w:val="24"/>
          <w:u w:val="single"/>
        </w:rPr>
        <w:lastRenderedPageBreak/>
        <w:t>Mycophenolatmofetil</w:t>
      </w:r>
      <w:proofErr w:type="spellEnd"/>
    </w:p>
    <w:p w14:paraId="4D801285" w14:textId="77777777" w:rsidR="00D52384" w:rsidRPr="00C152A7" w:rsidRDefault="00D52384" w:rsidP="003E13B0">
      <w:pPr>
        <w:ind w:left="851"/>
        <w:rPr>
          <w:sz w:val="24"/>
          <w:szCs w:val="24"/>
        </w:rPr>
      </w:pPr>
      <w:r w:rsidRPr="00C152A7">
        <w:rPr>
          <w:sz w:val="24"/>
          <w:szCs w:val="24"/>
        </w:rPr>
        <w:t xml:space="preserve">Stoffer, der ændrer den </w:t>
      </w:r>
      <w:proofErr w:type="spellStart"/>
      <w:r w:rsidRPr="00C152A7">
        <w:rPr>
          <w:sz w:val="24"/>
          <w:szCs w:val="24"/>
        </w:rPr>
        <w:t>gastrointestinale</w:t>
      </w:r>
      <w:proofErr w:type="spellEnd"/>
      <w:r w:rsidRPr="00C152A7">
        <w:rPr>
          <w:sz w:val="24"/>
          <w:szCs w:val="24"/>
        </w:rPr>
        <w:t xml:space="preserve"> flora (f.eks. antibiotika), kan reducere den orale biotilgængelighed af </w:t>
      </w:r>
      <w:proofErr w:type="spellStart"/>
      <w:r w:rsidRPr="00C152A7">
        <w:rPr>
          <w:sz w:val="24"/>
          <w:szCs w:val="24"/>
        </w:rPr>
        <w:t>mycophenolsyreprodukter</w:t>
      </w:r>
      <w:proofErr w:type="spellEnd"/>
      <w:r w:rsidRPr="00C152A7">
        <w:rPr>
          <w:sz w:val="24"/>
          <w:szCs w:val="24"/>
        </w:rPr>
        <w:t xml:space="preserve">. Tæt klinisk og laboratoriemæssig overvågning for tegn på nedsat </w:t>
      </w:r>
      <w:proofErr w:type="spellStart"/>
      <w:r w:rsidRPr="00C152A7">
        <w:rPr>
          <w:sz w:val="24"/>
          <w:szCs w:val="24"/>
        </w:rPr>
        <w:t>immunosuppressiv</w:t>
      </w:r>
      <w:proofErr w:type="spellEnd"/>
      <w:r w:rsidRPr="00C152A7">
        <w:rPr>
          <w:sz w:val="24"/>
          <w:szCs w:val="24"/>
        </w:rPr>
        <w:t xml:space="preserve"> virkning af </w:t>
      </w:r>
      <w:proofErr w:type="spellStart"/>
      <w:r w:rsidRPr="00C152A7">
        <w:rPr>
          <w:sz w:val="24"/>
          <w:szCs w:val="24"/>
        </w:rPr>
        <w:t>mycophenolsyre</w:t>
      </w:r>
      <w:proofErr w:type="spellEnd"/>
      <w:r w:rsidRPr="00C152A7">
        <w:rPr>
          <w:sz w:val="24"/>
          <w:szCs w:val="24"/>
        </w:rPr>
        <w:t xml:space="preserve"> anbefales under samtidig behandling med anti-infektiøse midler.</w:t>
      </w:r>
    </w:p>
    <w:p w14:paraId="45534C03" w14:textId="77777777" w:rsidR="00D52384" w:rsidRPr="00C152A7" w:rsidRDefault="00D52384" w:rsidP="003E13B0">
      <w:pPr>
        <w:ind w:left="851"/>
        <w:rPr>
          <w:sz w:val="24"/>
          <w:szCs w:val="24"/>
        </w:rPr>
      </w:pPr>
    </w:p>
    <w:p w14:paraId="2797E4CF" w14:textId="77777777" w:rsidR="00D52384" w:rsidRPr="00C152A7" w:rsidRDefault="00D52384" w:rsidP="003E13B0">
      <w:pPr>
        <w:ind w:left="851"/>
        <w:rPr>
          <w:sz w:val="24"/>
          <w:szCs w:val="24"/>
          <w:u w:val="single"/>
        </w:rPr>
      </w:pPr>
      <w:proofErr w:type="spellStart"/>
      <w:r w:rsidRPr="00C152A7">
        <w:rPr>
          <w:sz w:val="24"/>
          <w:szCs w:val="24"/>
          <w:u w:val="single"/>
        </w:rPr>
        <w:t>Phenytoin</w:t>
      </w:r>
      <w:proofErr w:type="spellEnd"/>
    </w:p>
    <w:p w14:paraId="0931AB40"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hæmmer </w:t>
      </w:r>
      <w:proofErr w:type="spellStart"/>
      <w:r w:rsidRPr="00C152A7">
        <w:rPr>
          <w:sz w:val="24"/>
          <w:szCs w:val="24"/>
        </w:rPr>
        <w:t>metaboliseringen</w:t>
      </w:r>
      <w:proofErr w:type="spellEnd"/>
      <w:r w:rsidRPr="00C152A7">
        <w:rPr>
          <w:sz w:val="24"/>
          <w:szCs w:val="24"/>
        </w:rPr>
        <w:t xml:space="preserve"> af samtidig administreret </w:t>
      </w:r>
      <w:proofErr w:type="spellStart"/>
      <w:r w:rsidRPr="00C152A7">
        <w:rPr>
          <w:sz w:val="24"/>
          <w:szCs w:val="24"/>
        </w:rPr>
        <w:t>phenytoin</w:t>
      </w:r>
      <w:proofErr w:type="spellEnd"/>
      <w:r w:rsidRPr="00C152A7">
        <w:rPr>
          <w:sz w:val="24"/>
          <w:szCs w:val="24"/>
        </w:rPr>
        <w:t xml:space="preserve">. Som følge heraf øges plasmakoncentrationen af </w:t>
      </w:r>
      <w:proofErr w:type="spellStart"/>
      <w:r w:rsidRPr="00C152A7">
        <w:rPr>
          <w:sz w:val="24"/>
          <w:szCs w:val="24"/>
        </w:rPr>
        <w:t>phenytoin</w:t>
      </w:r>
      <w:proofErr w:type="spellEnd"/>
      <w:r w:rsidRPr="00C152A7">
        <w:rPr>
          <w:sz w:val="24"/>
          <w:szCs w:val="24"/>
        </w:rPr>
        <w:t xml:space="preserve">. Omvendt reduceres virkningen af </w:t>
      </w:r>
      <w:proofErr w:type="spellStart"/>
      <w:r w:rsidRPr="00C152A7">
        <w:rPr>
          <w:sz w:val="24"/>
          <w:szCs w:val="24"/>
        </w:rPr>
        <w:t>metronidazol</w:t>
      </w:r>
      <w:proofErr w:type="spellEnd"/>
      <w:r w:rsidRPr="00C152A7">
        <w:rPr>
          <w:sz w:val="24"/>
          <w:szCs w:val="24"/>
        </w:rPr>
        <w:t xml:space="preserve"> ved samtidig administration af </w:t>
      </w:r>
      <w:proofErr w:type="spellStart"/>
      <w:r w:rsidRPr="00C152A7">
        <w:rPr>
          <w:sz w:val="24"/>
          <w:szCs w:val="24"/>
        </w:rPr>
        <w:t>phenytoin</w:t>
      </w:r>
      <w:proofErr w:type="spellEnd"/>
      <w:r w:rsidRPr="00C152A7">
        <w:rPr>
          <w:sz w:val="24"/>
          <w:szCs w:val="24"/>
        </w:rPr>
        <w:t>.</w:t>
      </w:r>
    </w:p>
    <w:p w14:paraId="518365C1" w14:textId="77777777" w:rsidR="00D52384" w:rsidRPr="00C152A7" w:rsidRDefault="00D52384" w:rsidP="003E13B0">
      <w:pPr>
        <w:ind w:left="851"/>
        <w:rPr>
          <w:sz w:val="24"/>
          <w:szCs w:val="24"/>
          <w:lang w:val="nl-NL"/>
        </w:rPr>
      </w:pPr>
    </w:p>
    <w:p w14:paraId="38E37D19" w14:textId="77777777" w:rsidR="00D52384" w:rsidRPr="00C152A7" w:rsidRDefault="00D52384" w:rsidP="003E13B0">
      <w:pPr>
        <w:ind w:left="851"/>
        <w:rPr>
          <w:sz w:val="24"/>
          <w:szCs w:val="24"/>
          <w:u w:val="single"/>
        </w:rPr>
      </w:pPr>
      <w:proofErr w:type="spellStart"/>
      <w:r w:rsidRPr="00C152A7">
        <w:rPr>
          <w:sz w:val="24"/>
          <w:szCs w:val="24"/>
          <w:u w:val="single"/>
        </w:rPr>
        <w:t>Tacrolimus</w:t>
      </w:r>
      <w:proofErr w:type="spellEnd"/>
    </w:p>
    <w:p w14:paraId="0A42F5B6" w14:textId="77777777" w:rsidR="00D52384" w:rsidRPr="00C152A7" w:rsidRDefault="00D52384" w:rsidP="003E13B0">
      <w:pPr>
        <w:ind w:left="851"/>
        <w:rPr>
          <w:sz w:val="24"/>
          <w:szCs w:val="24"/>
        </w:rPr>
      </w:pPr>
      <w:r w:rsidRPr="00C152A7">
        <w:rPr>
          <w:sz w:val="24"/>
          <w:szCs w:val="24"/>
        </w:rPr>
        <w:t xml:space="preserve">Samtidig administration af </w:t>
      </w:r>
      <w:proofErr w:type="spellStart"/>
      <w:r w:rsidRPr="00C152A7">
        <w:rPr>
          <w:sz w:val="24"/>
          <w:szCs w:val="24"/>
        </w:rPr>
        <w:t>metronidazol</w:t>
      </w:r>
      <w:proofErr w:type="spellEnd"/>
      <w:r w:rsidRPr="00C152A7">
        <w:rPr>
          <w:sz w:val="24"/>
          <w:szCs w:val="24"/>
        </w:rPr>
        <w:t xml:space="preserve"> kan øge koncentrationen af </w:t>
      </w:r>
      <w:proofErr w:type="spellStart"/>
      <w:r w:rsidRPr="00C152A7">
        <w:rPr>
          <w:sz w:val="24"/>
          <w:szCs w:val="24"/>
        </w:rPr>
        <w:t>tacrolimus</w:t>
      </w:r>
      <w:proofErr w:type="spellEnd"/>
      <w:r w:rsidRPr="00C152A7">
        <w:rPr>
          <w:sz w:val="24"/>
          <w:szCs w:val="24"/>
        </w:rPr>
        <w:t xml:space="preserve"> i blodet. Den formodede mekanisme er hæmning af leverens </w:t>
      </w:r>
      <w:proofErr w:type="spellStart"/>
      <w:r w:rsidRPr="00C152A7">
        <w:rPr>
          <w:sz w:val="24"/>
          <w:szCs w:val="24"/>
        </w:rPr>
        <w:t>tacrolimusmetabolisme</w:t>
      </w:r>
      <w:proofErr w:type="spellEnd"/>
      <w:r w:rsidRPr="00C152A7">
        <w:rPr>
          <w:sz w:val="24"/>
          <w:szCs w:val="24"/>
        </w:rPr>
        <w:t xml:space="preserve"> via CYP3A4. Indholdet af </w:t>
      </w:r>
      <w:proofErr w:type="spellStart"/>
      <w:r w:rsidRPr="00C152A7">
        <w:rPr>
          <w:sz w:val="24"/>
          <w:szCs w:val="24"/>
        </w:rPr>
        <w:t>tacrolimus</w:t>
      </w:r>
      <w:proofErr w:type="spellEnd"/>
      <w:r w:rsidRPr="00C152A7">
        <w:rPr>
          <w:sz w:val="24"/>
          <w:szCs w:val="24"/>
        </w:rPr>
        <w:t xml:space="preserve"> i blodet og nyrefunktionen skal kontrolleres hyppigt, og dosis skal justeres i overensstemmelse hermed, især efter opstart eller </w:t>
      </w:r>
      <w:proofErr w:type="spellStart"/>
      <w:r w:rsidRPr="00C152A7">
        <w:rPr>
          <w:sz w:val="24"/>
          <w:szCs w:val="24"/>
        </w:rPr>
        <w:t>seponering</w:t>
      </w:r>
      <w:proofErr w:type="spellEnd"/>
      <w:r w:rsidRPr="00C152A7">
        <w:rPr>
          <w:sz w:val="24"/>
          <w:szCs w:val="24"/>
        </w:rPr>
        <w:t xml:space="preserve"> af </w:t>
      </w:r>
      <w:proofErr w:type="spellStart"/>
      <w:r w:rsidRPr="00C152A7">
        <w:rPr>
          <w:sz w:val="24"/>
          <w:szCs w:val="24"/>
        </w:rPr>
        <w:t>metronidazolbehandling</w:t>
      </w:r>
      <w:proofErr w:type="spellEnd"/>
      <w:r w:rsidRPr="00C152A7">
        <w:rPr>
          <w:sz w:val="24"/>
          <w:szCs w:val="24"/>
        </w:rPr>
        <w:t xml:space="preserve"> hos patienter under stabil </w:t>
      </w:r>
      <w:proofErr w:type="spellStart"/>
      <w:r w:rsidRPr="00C152A7">
        <w:rPr>
          <w:sz w:val="24"/>
          <w:szCs w:val="24"/>
        </w:rPr>
        <w:t>tacrolimusbehandling</w:t>
      </w:r>
      <w:proofErr w:type="spellEnd"/>
      <w:r w:rsidRPr="00C152A7">
        <w:rPr>
          <w:sz w:val="24"/>
          <w:szCs w:val="24"/>
        </w:rPr>
        <w:t>.</w:t>
      </w:r>
    </w:p>
    <w:p w14:paraId="45D9017C" w14:textId="77777777" w:rsidR="00D52384" w:rsidRPr="00C152A7" w:rsidRDefault="00D52384" w:rsidP="003E13B0">
      <w:pPr>
        <w:ind w:left="851"/>
        <w:rPr>
          <w:sz w:val="24"/>
          <w:szCs w:val="24"/>
          <w:lang w:val="nl-NL"/>
        </w:rPr>
      </w:pPr>
    </w:p>
    <w:p w14:paraId="311ADEFE" w14:textId="77777777" w:rsidR="00D52384" w:rsidRPr="00751D76" w:rsidRDefault="00D52384" w:rsidP="003E13B0">
      <w:pPr>
        <w:ind w:left="851"/>
        <w:rPr>
          <w:i/>
          <w:sz w:val="24"/>
          <w:szCs w:val="24"/>
        </w:rPr>
      </w:pPr>
      <w:r w:rsidRPr="00751D76">
        <w:rPr>
          <w:i/>
          <w:sz w:val="24"/>
          <w:szCs w:val="24"/>
        </w:rPr>
        <w:t>Andre former for irritation</w:t>
      </w:r>
    </w:p>
    <w:p w14:paraId="6EE99428" w14:textId="77777777" w:rsidR="00D52384" w:rsidRPr="00C152A7" w:rsidRDefault="00D52384" w:rsidP="003E13B0">
      <w:pPr>
        <w:ind w:left="851"/>
        <w:rPr>
          <w:sz w:val="24"/>
          <w:szCs w:val="24"/>
          <w:u w:val="single"/>
        </w:rPr>
      </w:pPr>
      <w:r w:rsidRPr="00C152A7">
        <w:rPr>
          <w:sz w:val="24"/>
          <w:szCs w:val="24"/>
          <w:u w:val="single"/>
        </w:rPr>
        <w:t>Alkohol</w:t>
      </w:r>
    </w:p>
    <w:p w14:paraId="11E5B33A" w14:textId="77777777" w:rsidR="00D52384" w:rsidRPr="00C152A7" w:rsidRDefault="00D52384" w:rsidP="003E13B0">
      <w:pPr>
        <w:ind w:left="851"/>
        <w:rPr>
          <w:sz w:val="24"/>
          <w:szCs w:val="24"/>
        </w:rPr>
      </w:pPr>
      <w:r w:rsidRPr="00C152A7">
        <w:rPr>
          <w:sz w:val="24"/>
          <w:szCs w:val="24"/>
        </w:rPr>
        <w:t xml:space="preserve">Indtagelse af alkohol skal undgås under behandling med </w:t>
      </w:r>
      <w:proofErr w:type="spellStart"/>
      <w:r w:rsidRPr="00C152A7">
        <w:rPr>
          <w:sz w:val="24"/>
          <w:szCs w:val="24"/>
        </w:rPr>
        <w:t>metronidazol</w:t>
      </w:r>
      <w:proofErr w:type="spellEnd"/>
      <w:r w:rsidRPr="00C152A7">
        <w:rPr>
          <w:sz w:val="24"/>
          <w:szCs w:val="24"/>
        </w:rPr>
        <w:t xml:space="preserve">, da der kan opstå bivirkninger som svimmelhed og opkastning (antabus-lignende virkning). </w:t>
      </w:r>
    </w:p>
    <w:p w14:paraId="060DCC9D" w14:textId="77777777" w:rsidR="009260DE" w:rsidRPr="00C152A7" w:rsidRDefault="009260DE" w:rsidP="009260DE">
      <w:pPr>
        <w:tabs>
          <w:tab w:val="left" w:pos="851"/>
        </w:tabs>
        <w:ind w:left="851"/>
        <w:rPr>
          <w:sz w:val="24"/>
          <w:szCs w:val="24"/>
        </w:rPr>
      </w:pPr>
    </w:p>
    <w:p w14:paraId="5A6F51A4" w14:textId="77777777" w:rsidR="009260DE" w:rsidRPr="00C152A7" w:rsidRDefault="009260DE" w:rsidP="009260DE">
      <w:pPr>
        <w:tabs>
          <w:tab w:val="left" w:pos="851"/>
        </w:tabs>
        <w:ind w:left="851" w:hanging="851"/>
        <w:rPr>
          <w:b/>
          <w:sz w:val="24"/>
          <w:szCs w:val="24"/>
        </w:rPr>
      </w:pPr>
      <w:r w:rsidRPr="00C152A7">
        <w:rPr>
          <w:b/>
          <w:sz w:val="24"/>
          <w:szCs w:val="24"/>
        </w:rPr>
        <w:t>4.6</w:t>
      </w:r>
      <w:r w:rsidRPr="00C152A7">
        <w:rPr>
          <w:b/>
          <w:sz w:val="24"/>
          <w:szCs w:val="24"/>
        </w:rPr>
        <w:tab/>
      </w:r>
      <w:r w:rsidR="0071241E" w:rsidRPr="00C152A7">
        <w:rPr>
          <w:b/>
          <w:sz w:val="24"/>
          <w:szCs w:val="24"/>
        </w:rPr>
        <w:t>Fertilitet, g</w:t>
      </w:r>
      <w:r w:rsidRPr="00C152A7">
        <w:rPr>
          <w:b/>
          <w:sz w:val="24"/>
          <w:szCs w:val="24"/>
        </w:rPr>
        <w:t>raviditet og amning</w:t>
      </w:r>
    </w:p>
    <w:p w14:paraId="593BB2E8" w14:textId="77777777" w:rsidR="00D52384" w:rsidRPr="00C152A7" w:rsidRDefault="00D52384" w:rsidP="003E13B0">
      <w:pPr>
        <w:ind w:left="851"/>
        <w:rPr>
          <w:sz w:val="24"/>
          <w:szCs w:val="24"/>
        </w:rPr>
      </w:pPr>
      <w:proofErr w:type="spellStart"/>
      <w:r w:rsidRPr="00C152A7">
        <w:rPr>
          <w:sz w:val="24"/>
          <w:szCs w:val="24"/>
        </w:rPr>
        <w:t>Kontraception</w:t>
      </w:r>
      <w:proofErr w:type="spellEnd"/>
      <w:r w:rsidRPr="00C152A7">
        <w:rPr>
          <w:sz w:val="24"/>
          <w:szCs w:val="24"/>
        </w:rPr>
        <w:t xml:space="preserve"> hos mænd og kvinder</w:t>
      </w:r>
    </w:p>
    <w:p w14:paraId="624B58D4" w14:textId="77777777" w:rsidR="00D52384" w:rsidRPr="00C152A7" w:rsidRDefault="00D52384" w:rsidP="003E13B0">
      <w:pPr>
        <w:ind w:left="851"/>
        <w:rPr>
          <w:sz w:val="24"/>
          <w:szCs w:val="24"/>
        </w:rPr>
      </w:pPr>
      <w:r w:rsidRPr="00C152A7">
        <w:rPr>
          <w:sz w:val="24"/>
          <w:szCs w:val="24"/>
        </w:rPr>
        <w:t>Se pkt. 4.5 ”</w:t>
      </w:r>
      <w:proofErr w:type="spellStart"/>
      <w:r w:rsidRPr="00C152A7">
        <w:rPr>
          <w:sz w:val="24"/>
          <w:szCs w:val="24"/>
        </w:rPr>
        <w:t>Kontraceptiva</w:t>
      </w:r>
      <w:proofErr w:type="spellEnd"/>
      <w:r w:rsidRPr="00C152A7">
        <w:rPr>
          <w:sz w:val="24"/>
          <w:szCs w:val="24"/>
        </w:rPr>
        <w:t>”</w:t>
      </w:r>
    </w:p>
    <w:p w14:paraId="7F9BA217" w14:textId="77777777" w:rsidR="00D52384" w:rsidRPr="00C152A7" w:rsidRDefault="00D52384" w:rsidP="003E13B0">
      <w:pPr>
        <w:ind w:left="851"/>
        <w:rPr>
          <w:sz w:val="24"/>
          <w:szCs w:val="24"/>
        </w:rPr>
      </w:pPr>
    </w:p>
    <w:p w14:paraId="10A64DD6" w14:textId="77777777" w:rsidR="00D52384" w:rsidRPr="00C152A7" w:rsidRDefault="00D52384" w:rsidP="003E13B0">
      <w:pPr>
        <w:ind w:left="851"/>
        <w:rPr>
          <w:sz w:val="24"/>
          <w:szCs w:val="24"/>
          <w:u w:val="single"/>
        </w:rPr>
      </w:pPr>
      <w:r w:rsidRPr="00C152A7">
        <w:rPr>
          <w:sz w:val="24"/>
          <w:szCs w:val="24"/>
          <w:u w:val="single"/>
        </w:rPr>
        <w:t>Graviditet</w:t>
      </w:r>
    </w:p>
    <w:p w14:paraId="5704B96C" w14:textId="77777777" w:rsidR="00D52384" w:rsidRPr="00C152A7" w:rsidRDefault="00D52384" w:rsidP="003E13B0">
      <w:pPr>
        <w:ind w:left="851"/>
        <w:rPr>
          <w:sz w:val="24"/>
          <w:szCs w:val="24"/>
        </w:rPr>
      </w:pPr>
      <w:r w:rsidRPr="00C152A7">
        <w:rPr>
          <w:sz w:val="24"/>
          <w:szCs w:val="24"/>
        </w:rPr>
        <w:t xml:space="preserve">Sikkerheden ved anvendelse af </w:t>
      </w:r>
      <w:proofErr w:type="spellStart"/>
      <w:r w:rsidRPr="00C152A7">
        <w:rPr>
          <w:sz w:val="24"/>
          <w:szCs w:val="24"/>
        </w:rPr>
        <w:t>metronidazol</w:t>
      </w:r>
      <w:proofErr w:type="spellEnd"/>
      <w:r w:rsidRPr="00C152A7">
        <w:rPr>
          <w:sz w:val="24"/>
          <w:szCs w:val="24"/>
        </w:rPr>
        <w:t xml:space="preserve"> under graviditet er ikke tilstrækkeligt dokumenteret. Særligt er rapporterne om anvendelse tidligt i graviditeten modstridende. Nogle studier antyder en øget forekomst af misdannelser. I dyreforsøg med </w:t>
      </w:r>
      <w:proofErr w:type="spellStart"/>
      <w:r w:rsidRPr="00C152A7">
        <w:rPr>
          <w:sz w:val="24"/>
          <w:szCs w:val="24"/>
        </w:rPr>
        <w:t>metronidazol</w:t>
      </w:r>
      <w:proofErr w:type="spellEnd"/>
      <w:r w:rsidRPr="00C152A7">
        <w:rPr>
          <w:sz w:val="24"/>
          <w:szCs w:val="24"/>
        </w:rPr>
        <w:t xml:space="preserve"> blev der ikke observeret </w:t>
      </w:r>
      <w:proofErr w:type="spellStart"/>
      <w:r w:rsidRPr="00C152A7">
        <w:rPr>
          <w:sz w:val="24"/>
          <w:szCs w:val="24"/>
        </w:rPr>
        <w:t>teratogenicitet</w:t>
      </w:r>
      <w:proofErr w:type="spellEnd"/>
      <w:r w:rsidRPr="00C152A7">
        <w:rPr>
          <w:sz w:val="24"/>
          <w:szCs w:val="24"/>
        </w:rPr>
        <w:t xml:space="preserve"> (se pkt. 5.3).</w:t>
      </w:r>
    </w:p>
    <w:p w14:paraId="6B4A444A" w14:textId="56693C9E" w:rsidR="00D52384" w:rsidRPr="00C152A7" w:rsidRDefault="00D52384" w:rsidP="003E13B0">
      <w:pPr>
        <w:ind w:left="851"/>
        <w:rPr>
          <w:sz w:val="24"/>
          <w:szCs w:val="24"/>
        </w:rPr>
      </w:pPr>
      <w:r w:rsidRPr="00C152A7">
        <w:rPr>
          <w:sz w:val="24"/>
          <w:szCs w:val="24"/>
        </w:rPr>
        <w:t xml:space="preserve">I første trimester bør </w:t>
      </w: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 xml:space="preserve"> 5 mg/ml infusionsvæske, opløsning, kun anvendes ved behandling af alvorlige livstruende infektioner, hvis der ikke findes et mere sikkert alternativ. I løbet af andet og tredje trimester kan </w:t>
      </w: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 xml:space="preserve"> 5 mg/ml infusionsvæske, opløsning, også anvendes til behandling af andre infektioner, hvis de forventede fordele klart opvejer eventuelle risici.</w:t>
      </w:r>
    </w:p>
    <w:p w14:paraId="1B2AC5D8" w14:textId="77777777" w:rsidR="00D52384" w:rsidRPr="00C152A7" w:rsidRDefault="00D52384" w:rsidP="003E13B0">
      <w:pPr>
        <w:ind w:left="851"/>
        <w:rPr>
          <w:sz w:val="24"/>
          <w:szCs w:val="24"/>
          <w:lang w:val="nl-NL"/>
        </w:rPr>
      </w:pPr>
    </w:p>
    <w:p w14:paraId="52F4A5CA" w14:textId="77777777" w:rsidR="00D52384" w:rsidRPr="00C152A7" w:rsidRDefault="00D52384" w:rsidP="003E13B0">
      <w:pPr>
        <w:ind w:left="851"/>
        <w:rPr>
          <w:sz w:val="24"/>
          <w:szCs w:val="24"/>
          <w:u w:val="single"/>
        </w:rPr>
      </w:pPr>
      <w:r w:rsidRPr="00C152A7">
        <w:rPr>
          <w:sz w:val="24"/>
          <w:szCs w:val="24"/>
          <w:u w:val="single"/>
        </w:rPr>
        <w:t>Amning</w:t>
      </w:r>
    </w:p>
    <w:p w14:paraId="0E892AAD" w14:textId="77777777" w:rsidR="00D52384" w:rsidRPr="00C152A7" w:rsidRDefault="00D52384" w:rsidP="003E13B0">
      <w:pPr>
        <w:ind w:left="851"/>
        <w:rPr>
          <w:sz w:val="24"/>
          <w:szCs w:val="24"/>
        </w:rPr>
      </w:pPr>
      <w:proofErr w:type="spellStart"/>
      <w:r w:rsidRPr="00C152A7">
        <w:rPr>
          <w:sz w:val="24"/>
          <w:szCs w:val="24"/>
        </w:rPr>
        <w:t>Metronidazol</w:t>
      </w:r>
      <w:proofErr w:type="spellEnd"/>
      <w:r w:rsidRPr="00C152A7">
        <w:rPr>
          <w:sz w:val="24"/>
          <w:szCs w:val="24"/>
        </w:rPr>
        <w:t xml:space="preserve"> udskilles i modermælk og derfor skal amning ophøre under behandlingen. Også efter endt behandling med </w:t>
      </w:r>
      <w:proofErr w:type="spellStart"/>
      <w:r w:rsidRPr="00C152A7">
        <w:rPr>
          <w:sz w:val="24"/>
          <w:szCs w:val="24"/>
        </w:rPr>
        <w:t>metronidazol</w:t>
      </w:r>
      <w:proofErr w:type="spellEnd"/>
      <w:r w:rsidRPr="00C152A7">
        <w:rPr>
          <w:sz w:val="24"/>
          <w:szCs w:val="24"/>
        </w:rPr>
        <w:t xml:space="preserve"> bør amning ikke genoptages før efter 2</w:t>
      </w:r>
      <w:r w:rsidRPr="00C152A7">
        <w:rPr>
          <w:sz w:val="24"/>
          <w:szCs w:val="24"/>
        </w:rPr>
        <w:noBreakHyphen/>
        <w:t xml:space="preserve">3 dage på grund af </w:t>
      </w:r>
      <w:proofErr w:type="spellStart"/>
      <w:r w:rsidRPr="00C152A7">
        <w:rPr>
          <w:sz w:val="24"/>
          <w:szCs w:val="24"/>
        </w:rPr>
        <w:t>metronidazols</w:t>
      </w:r>
      <w:proofErr w:type="spellEnd"/>
      <w:r w:rsidRPr="00C152A7">
        <w:rPr>
          <w:sz w:val="24"/>
          <w:szCs w:val="24"/>
        </w:rPr>
        <w:t xml:space="preserve"> forlængede halveringstid.</w:t>
      </w:r>
    </w:p>
    <w:p w14:paraId="3F36DEBA" w14:textId="77777777" w:rsidR="00D52384" w:rsidRPr="00C152A7" w:rsidRDefault="00D52384" w:rsidP="003E13B0">
      <w:pPr>
        <w:ind w:left="851"/>
        <w:rPr>
          <w:sz w:val="24"/>
          <w:szCs w:val="24"/>
          <w:lang w:val="nl-NL"/>
        </w:rPr>
      </w:pPr>
    </w:p>
    <w:p w14:paraId="370B6208" w14:textId="77777777" w:rsidR="00D52384" w:rsidRPr="00C152A7" w:rsidRDefault="00D52384" w:rsidP="003E13B0">
      <w:pPr>
        <w:ind w:left="851"/>
        <w:rPr>
          <w:sz w:val="24"/>
          <w:szCs w:val="24"/>
          <w:u w:val="single"/>
          <w:lang w:val="nl-NL"/>
        </w:rPr>
      </w:pPr>
      <w:r w:rsidRPr="00C152A7">
        <w:rPr>
          <w:sz w:val="24"/>
          <w:szCs w:val="24"/>
          <w:u w:val="single"/>
          <w:lang w:val="nl-NL"/>
        </w:rPr>
        <w:t>Fertilitet</w:t>
      </w:r>
    </w:p>
    <w:p w14:paraId="4ABCAC4A" w14:textId="77777777" w:rsidR="00D52384" w:rsidRPr="00C152A7" w:rsidRDefault="00D52384" w:rsidP="003E13B0">
      <w:pPr>
        <w:ind w:left="851"/>
        <w:rPr>
          <w:sz w:val="24"/>
          <w:szCs w:val="24"/>
          <w:lang w:val="nl-NL"/>
        </w:rPr>
      </w:pPr>
      <w:r w:rsidRPr="00C152A7">
        <w:rPr>
          <w:sz w:val="24"/>
          <w:szCs w:val="24"/>
          <w:lang w:val="nl-NL"/>
        </w:rPr>
        <w:t>Dyreforsøg indikerer, at metronidazol, hvis det gives i høje doser, der ligger langt over den højeste anbefalede dosis til mennesker, kun har en potentiel negativ indvirkning på mandens forplantningsevne.</w:t>
      </w:r>
    </w:p>
    <w:p w14:paraId="286C6A1F" w14:textId="53C0304F" w:rsidR="00BC0209" w:rsidRDefault="00BC0209">
      <w:pPr>
        <w:rPr>
          <w:sz w:val="24"/>
          <w:szCs w:val="24"/>
        </w:rPr>
      </w:pPr>
      <w:r>
        <w:rPr>
          <w:sz w:val="24"/>
          <w:szCs w:val="24"/>
        </w:rPr>
        <w:br w:type="page"/>
      </w:r>
    </w:p>
    <w:p w14:paraId="0F0A245D" w14:textId="77777777" w:rsidR="009260DE" w:rsidRPr="00C152A7" w:rsidRDefault="009260DE" w:rsidP="009260DE">
      <w:pPr>
        <w:tabs>
          <w:tab w:val="left" w:pos="851"/>
        </w:tabs>
        <w:ind w:left="851"/>
        <w:rPr>
          <w:sz w:val="24"/>
          <w:szCs w:val="24"/>
        </w:rPr>
      </w:pPr>
    </w:p>
    <w:p w14:paraId="6230024C" w14:textId="77777777" w:rsidR="009260DE" w:rsidRPr="00C152A7" w:rsidRDefault="009260DE" w:rsidP="009260DE">
      <w:pPr>
        <w:tabs>
          <w:tab w:val="left" w:pos="851"/>
        </w:tabs>
        <w:ind w:left="851" w:hanging="851"/>
        <w:rPr>
          <w:b/>
          <w:sz w:val="24"/>
          <w:szCs w:val="24"/>
        </w:rPr>
      </w:pPr>
      <w:r w:rsidRPr="00C152A7">
        <w:rPr>
          <w:b/>
          <w:sz w:val="24"/>
          <w:szCs w:val="24"/>
        </w:rPr>
        <w:t>4.7</w:t>
      </w:r>
      <w:r w:rsidRPr="00C152A7">
        <w:rPr>
          <w:b/>
          <w:sz w:val="24"/>
          <w:szCs w:val="24"/>
        </w:rPr>
        <w:tab/>
        <w:t xml:space="preserve">Virkning på evnen til at føre motorkøretøj </w:t>
      </w:r>
      <w:r w:rsidR="0071241E" w:rsidRPr="00C152A7">
        <w:rPr>
          <w:b/>
          <w:sz w:val="24"/>
          <w:szCs w:val="24"/>
        </w:rPr>
        <w:t>og</w:t>
      </w:r>
      <w:r w:rsidRPr="00C152A7">
        <w:rPr>
          <w:b/>
          <w:sz w:val="24"/>
          <w:szCs w:val="24"/>
        </w:rPr>
        <w:t xml:space="preserve"> betjene maskiner</w:t>
      </w:r>
    </w:p>
    <w:p w14:paraId="5C5E5193" w14:textId="77777777" w:rsidR="00751D76" w:rsidRDefault="00751D76" w:rsidP="003E13B0">
      <w:pPr>
        <w:ind w:left="851"/>
        <w:rPr>
          <w:sz w:val="24"/>
          <w:szCs w:val="24"/>
        </w:rPr>
      </w:pPr>
      <w:r>
        <w:rPr>
          <w:sz w:val="24"/>
          <w:szCs w:val="24"/>
        </w:rPr>
        <w:t>Ikke mærkning.</w:t>
      </w:r>
    </w:p>
    <w:p w14:paraId="5BE6C862" w14:textId="31992CF4" w:rsidR="00D52384" w:rsidRPr="00C152A7" w:rsidRDefault="00D52384" w:rsidP="003E13B0">
      <w:pPr>
        <w:ind w:left="851"/>
        <w:rPr>
          <w:sz w:val="24"/>
          <w:szCs w:val="24"/>
          <w:lang w:val="nb-NO"/>
        </w:rPr>
      </w:pPr>
      <w:r w:rsidRPr="00C152A7">
        <w:rPr>
          <w:sz w:val="24"/>
          <w:szCs w:val="24"/>
          <w:lang w:val="nb-NO"/>
        </w:rPr>
        <w:t>Selvom administrationsbetingelserne er uforenelige med at føre motorkøretøjer og betjene maskiner, skal patienterne advares om den potentielle risiko for svimmelhed, forvirring, hallucinationer, kramper eller synsforstyrrelser, og de rådes til ikke at føre motorkøretøj eller betjene maskiner i tilfælde af sådanne problemer.</w:t>
      </w:r>
    </w:p>
    <w:p w14:paraId="17223A8B" w14:textId="77777777" w:rsidR="009260DE" w:rsidRPr="00C152A7" w:rsidRDefault="009260DE" w:rsidP="009260DE">
      <w:pPr>
        <w:tabs>
          <w:tab w:val="left" w:pos="851"/>
        </w:tabs>
        <w:ind w:left="851"/>
        <w:rPr>
          <w:sz w:val="24"/>
          <w:szCs w:val="24"/>
        </w:rPr>
      </w:pPr>
    </w:p>
    <w:p w14:paraId="172C945B" w14:textId="77777777" w:rsidR="009260DE" w:rsidRPr="00C152A7" w:rsidRDefault="009260DE" w:rsidP="009260DE">
      <w:pPr>
        <w:tabs>
          <w:tab w:val="left" w:pos="851"/>
        </w:tabs>
        <w:ind w:left="851" w:hanging="851"/>
        <w:rPr>
          <w:b/>
          <w:sz w:val="24"/>
          <w:szCs w:val="24"/>
        </w:rPr>
      </w:pPr>
      <w:r w:rsidRPr="00C152A7">
        <w:rPr>
          <w:b/>
          <w:sz w:val="24"/>
          <w:szCs w:val="24"/>
        </w:rPr>
        <w:t>4.8</w:t>
      </w:r>
      <w:r w:rsidRPr="00C152A7">
        <w:rPr>
          <w:b/>
          <w:sz w:val="24"/>
          <w:szCs w:val="24"/>
        </w:rPr>
        <w:tab/>
        <w:t>Bivirkninger</w:t>
      </w:r>
    </w:p>
    <w:p w14:paraId="6F7480AD" w14:textId="77777777" w:rsidR="00D52384" w:rsidRPr="00C152A7" w:rsidRDefault="00D52384" w:rsidP="00434810">
      <w:pPr>
        <w:ind w:left="851"/>
        <w:rPr>
          <w:sz w:val="24"/>
          <w:szCs w:val="24"/>
        </w:rPr>
      </w:pPr>
      <w:r w:rsidRPr="00C152A7">
        <w:rPr>
          <w:sz w:val="24"/>
          <w:szCs w:val="24"/>
        </w:rPr>
        <w:t xml:space="preserve">Bivirkninger er hovedsageligt forbundet med langvarig anvendelse eller høje doser. De hyppigst forekommende bivirkninger er kvalme, smagsforstyrrelser og risiko for </w:t>
      </w:r>
      <w:proofErr w:type="spellStart"/>
      <w:r w:rsidRPr="00C152A7">
        <w:rPr>
          <w:sz w:val="24"/>
          <w:szCs w:val="24"/>
        </w:rPr>
        <w:t>neuropati</w:t>
      </w:r>
      <w:proofErr w:type="spellEnd"/>
      <w:r w:rsidRPr="00C152A7">
        <w:rPr>
          <w:sz w:val="24"/>
          <w:szCs w:val="24"/>
        </w:rPr>
        <w:t xml:space="preserve"> ved langtidsbehandling.</w:t>
      </w:r>
    </w:p>
    <w:p w14:paraId="1E64B102" w14:textId="77777777" w:rsidR="00BC0209" w:rsidRDefault="00BC0209" w:rsidP="00434810">
      <w:pPr>
        <w:ind w:left="851"/>
        <w:rPr>
          <w:sz w:val="24"/>
          <w:szCs w:val="24"/>
        </w:rPr>
      </w:pPr>
    </w:p>
    <w:p w14:paraId="63796122" w14:textId="2F31A3C6" w:rsidR="00D52384" w:rsidRPr="00C152A7" w:rsidRDefault="00D52384" w:rsidP="00434810">
      <w:pPr>
        <w:ind w:left="851"/>
        <w:rPr>
          <w:sz w:val="24"/>
          <w:szCs w:val="24"/>
        </w:rPr>
      </w:pPr>
      <w:r w:rsidRPr="00C152A7">
        <w:rPr>
          <w:sz w:val="24"/>
          <w:szCs w:val="24"/>
        </w:rPr>
        <w:t>I den nedenstående tabel anvendes følgende termer til beskrivelse af bivirkningshyppigheden:</w:t>
      </w:r>
    </w:p>
    <w:p w14:paraId="429051F5" w14:textId="77777777" w:rsidR="00D52384" w:rsidRPr="00C152A7" w:rsidRDefault="00D52384" w:rsidP="00434810">
      <w:pPr>
        <w:ind w:left="851"/>
        <w:rPr>
          <w:sz w:val="24"/>
          <w:szCs w:val="24"/>
        </w:rPr>
      </w:pPr>
      <w:r w:rsidRPr="00C152A7">
        <w:rPr>
          <w:sz w:val="24"/>
          <w:szCs w:val="24"/>
        </w:rPr>
        <w:t>- Meget almindelig (≥ 1/10)</w:t>
      </w:r>
    </w:p>
    <w:p w14:paraId="35A50077" w14:textId="77777777" w:rsidR="00D52384" w:rsidRPr="00C152A7" w:rsidRDefault="00D52384" w:rsidP="00434810">
      <w:pPr>
        <w:ind w:left="851"/>
        <w:rPr>
          <w:sz w:val="24"/>
          <w:szCs w:val="24"/>
        </w:rPr>
      </w:pPr>
      <w:r w:rsidRPr="00C152A7">
        <w:rPr>
          <w:sz w:val="24"/>
          <w:szCs w:val="24"/>
        </w:rPr>
        <w:t>- Almindelig (≥ 1/100 til &lt; 1/10)</w:t>
      </w:r>
    </w:p>
    <w:p w14:paraId="160FB49E" w14:textId="77777777" w:rsidR="00D52384" w:rsidRPr="00C152A7" w:rsidRDefault="00D52384" w:rsidP="00434810">
      <w:pPr>
        <w:ind w:left="851"/>
        <w:rPr>
          <w:sz w:val="24"/>
          <w:szCs w:val="24"/>
        </w:rPr>
      </w:pPr>
      <w:r w:rsidRPr="00C152A7">
        <w:rPr>
          <w:sz w:val="24"/>
          <w:szCs w:val="24"/>
        </w:rPr>
        <w:t>- Ikke almindelig (≥ 1/1 000 til &lt; 1/100)</w:t>
      </w:r>
    </w:p>
    <w:p w14:paraId="7390CDA3" w14:textId="77777777" w:rsidR="00D52384" w:rsidRPr="00C152A7" w:rsidRDefault="00D52384" w:rsidP="00434810">
      <w:pPr>
        <w:ind w:left="851"/>
        <w:rPr>
          <w:sz w:val="24"/>
          <w:szCs w:val="24"/>
        </w:rPr>
      </w:pPr>
      <w:r w:rsidRPr="00C152A7">
        <w:rPr>
          <w:sz w:val="24"/>
          <w:szCs w:val="24"/>
        </w:rPr>
        <w:t>- Sjælden (≥ 1/10 000 til &lt; 1/1 000)</w:t>
      </w:r>
    </w:p>
    <w:p w14:paraId="152DE7EB" w14:textId="77777777" w:rsidR="00D52384" w:rsidRPr="00C152A7" w:rsidRDefault="00D52384" w:rsidP="00434810">
      <w:pPr>
        <w:ind w:left="851"/>
        <w:rPr>
          <w:sz w:val="24"/>
          <w:szCs w:val="24"/>
        </w:rPr>
      </w:pPr>
      <w:r w:rsidRPr="00C152A7">
        <w:rPr>
          <w:sz w:val="24"/>
          <w:szCs w:val="24"/>
        </w:rPr>
        <w:t>- Meget sjælden (&lt; 1/10 000)</w:t>
      </w:r>
    </w:p>
    <w:p w14:paraId="1D26E609" w14:textId="77777777" w:rsidR="00D52384" w:rsidRPr="00C152A7" w:rsidRDefault="00D52384" w:rsidP="00434810">
      <w:pPr>
        <w:ind w:left="851"/>
        <w:rPr>
          <w:sz w:val="24"/>
          <w:szCs w:val="24"/>
        </w:rPr>
      </w:pPr>
      <w:r w:rsidRPr="00C152A7">
        <w:rPr>
          <w:sz w:val="24"/>
          <w:szCs w:val="24"/>
        </w:rPr>
        <w:t>- Ikke kendt (kan ikke estimeres ud fra forhåndenværende data)</w:t>
      </w:r>
    </w:p>
    <w:p w14:paraId="78539B91" w14:textId="77777777" w:rsidR="00D52384" w:rsidRPr="00C152A7" w:rsidRDefault="00D52384" w:rsidP="00434810">
      <w:pPr>
        <w:ind w:left="851"/>
        <w:rPr>
          <w:sz w:val="24"/>
          <w:szCs w:val="24"/>
          <w:lang w:val="nl-NL"/>
        </w:rPr>
      </w:pPr>
    </w:p>
    <w:tbl>
      <w:tblPr>
        <w:tblStyle w:val="Tabel-Gitter"/>
        <w:tblW w:w="5000" w:type="pct"/>
        <w:tblInd w:w="0" w:type="dxa"/>
        <w:tblLook w:val="04A0" w:firstRow="1" w:lastRow="0" w:firstColumn="1" w:lastColumn="0" w:noHBand="0" w:noVBand="1"/>
      </w:tblPr>
      <w:tblGrid>
        <w:gridCol w:w="1893"/>
        <w:gridCol w:w="1436"/>
        <w:gridCol w:w="2164"/>
        <w:gridCol w:w="1978"/>
        <w:gridCol w:w="2157"/>
      </w:tblGrid>
      <w:tr w:rsidR="00D52384" w:rsidRPr="00751D76" w14:paraId="4498D270"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3A8401A3"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Systemorganklasse</w:t>
            </w:r>
          </w:p>
          <w:p w14:paraId="753F9CB5"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w:t>
            </w:r>
            <w:proofErr w:type="spellStart"/>
            <w:r w:rsidRPr="00751D76">
              <w:rPr>
                <w:rFonts w:ascii="Times New Roman" w:hAnsi="Times New Roman" w:cs="Times New Roman"/>
                <w:b/>
                <w:sz w:val="20"/>
                <w:szCs w:val="20"/>
              </w:rPr>
              <w:t>MedDRA</w:t>
            </w:r>
            <w:proofErr w:type="spellEnd"/>
            <w:r w:rsidRPr="00751D76">
              <w:rPr>
                <w:rFonts w:ascii="Times New Roman" w:hAnsi="Times New Roman" w:cs="Times New Roman"/>
                <w:b/>
                <w:sz w:val="20"/>
                <w:szCs w:val="20"/>
              </w:rPr>
              <w:t>)</w:t>
            </w:r>
          </w:p>
        </w:tc>
        <w:tc>
          <w:tcPr>
            <w:tcW w:w="746" w:type="pct"/>
            <w:tcBorders>
              <w:top w:val="single" w:sz="4" w:space="0" w:color="auto"/>
              <w:left w:val="single" w:sz="4" w:space="0" w:color="auto"/>
              <w:bottom w:val="single" w:sz="4" w:space="0" w:color="auto"/>
              <w:right w:val="single" w:sz="4" w:space="0" w:color="auto"/>
            </w:tcBorders>
          </w:tcPr>
          <w:p w14:paraId="246BCB6F"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Almindelig</w:t>
            </w:r>
          </w:p>
          <w:p w14:paraId="74E9AC00" w14:textId="670CA519" w:rsidR="00D52384" w:rsidRPr="00751D76" w:rsidRDefault="00D52384" w:rsidP="00751D76">
            <w:pPr>
              <w:rPr>
                <w:rFonts w:ascii="Times New Roman" w:hAnsi="Times New Roman" w:cs="Times New Roman"/>
                <w:b/>
                <w:sz w:val="20"/>
                <w:szCs w:val="20"/>
              </w:rPr>
            </w:pPr>
            <w:r w:rsidRPr="00751D76">
              <w:rPr>
                <w:rFonts w:ascii="Times New Roman" w:hAnsi="Times New Roman" w:cs="Times New Roman"/>
                <w:b/>
                <w:sz w:val="20"/>
                <w:szCs w:val="20"/>
              </w:rPr>
              <w:t xml:space="preserve">(≥ 1/100 til &lt; 1/10) </w:t>
            </w:r>
          </w:p>
        </w:tc>
        <w:tc>
          <w:tcPr>
            <w:tcW w:w="1124" w:type="pct"/>
            <w:tcBorders>
              <w:top w:val="single" w:sz="4" w:space="0" w:color="auto"/>
              <w:left w:val="single" w:sz="4" w:space="0" w:color="auto"/>
              <w:bottom w:val="single" w:sz="4" w:space="0" w:color="auto"/>
              <w:right w:val="single" w:sz="4" w:space="0" w:color="auto"/>
            </w:tcBorders>
          </w:tcPr>
          <w:p w14:paraId="43786DF7"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Sjælden</w:t>
            </w:r>
          </w:p>
          <w:p w14:paraId="19ACBE59" w14:textId="24658E31" w:rsidR="00D52384" w:rsidRPr="00751D76" w:rsidRDefault="00D52384" w:rsidP="00751D76">
            <w:pPr>
              <w:rPr>
                <w:rFonts w:ascii="Times New Roman" w:hAnsi="Times New Roman" w:cs="Times New Roman"/>
                <w:b/>
                <w:sz w:val="20"/>
                <w:szCs w:val="20"/>
              </w:rPr>
            </w:pPr>
            <w:r w:rsidRPr="00751D76">
              <w:rPr>
                <w:rFonts w:ascii="Times New Roman" w:hAnsi="Times New Roman" w:cs="Times New Roman"/>
                <w:b/>
                <w:sz w:val="20"/>
                <w:szCs w:val="20"/>
              </w:rPr>
              <w:t xml:space="preserve">(≥ 1/10 000 til &lt; 1/1 000) </w:t>
            </w:r>
          </w:p>
        </w:tc>
        <w:tc>
          <w:tcPr>
            <w:tcW w:w="1027" w:type="pct"/>
            <w:tcBorders>
              <w:top w:val="single" w:sz="4" w:space="0" w:color="auto"/>
              <w:left w:val="single" w:sz="4" w:space="0" w:color="auto"/>
              <w:bottom w:val="single" w:sz="4" w:space="0" w:color="auto"/>
              <w:right w:val="single" w:sz="4" w:space="0" w:color="auto"/>
            </w:tcBorders>
            <w:hideMark/>
          </w:tcPr>
          <w:p w14:paraId="130F2BFC"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Meget sjælden</w:t>
            </w:r>
          </w:p>
          <w:p w14:paraId="4817193F"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(&lt; 1/10 000)</w:t>
            </w:r>
          </w:p>
        </w:tc>
        <w:tc>
          <w:tcPr>
            <w:tcW w:w="1121" w:type="pct"/>
            <w:tcBorders>
              <w:top w:val="single" w:sz="4" w:space="0" w:color="auto"/>
              <w:left w:val="single" w:sz="4" w:space="0" w:color="auto"/>
              <w:bottom w:val="single" w:sz="4" w:space="0" w:color="auto"/>
              <w:right w:val="single" w:sz="4" w:space="0" w:color="auto"/>
            </w:tcBorders>
          </w:tcPr>
          <w:p w14:paraId="0D850EE3" w14:textId="31B914F3" w:rsidR="00D52384" w:rsidRPr="00751D76" w:rsidRDefault="00D52384" w:rsidP="00751D76">
            <w:pPr>
              <w:rPr>
                <w:rFonts w:ascii="Times New Roman" w:hAnsi="Times New Roman" w:cs="Times New Roman"/>
                <w:b/>
                <w:sz w:val="20"/>
                <w:szCs w:val="20"/>
              </w:rPr>
            </w:pPr>
            <w:r w:rsidRPr="00751D76">
              <w:rPr>
                <w:rFonts w:ascii="Times New Roman" w:hAnsi="Times New Roman" w:cs="Times New Roman"/>
                <w:b/>
                <w:sz w:val="20"/>
                <w:szCs w:val="20"/>
              </w:rPr>
              <w:t>Ikke kendt (kan ikke estimeres ud fra forhåndenværende data)</w:t>
            </w:r>
          </w:p>
        </w:tc>
      </w:tr>
      <w:tr w:rsidR="00D52384" w:rsidRPr="00751D76" w14:paraId="6924FE32"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35CDE077"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Infektioner og parasitære sygdomme</w:t>
            </w:r>
          </w:p>
        </w:tc>
        <w:tc>
          <w:tcPr>
            <w:tcW w:w="746" w:type="pct"/>
            <w:tcBorders>
              <w:top w:val="single" w:sz="4" w:space="0" w:color="auto"/>
              <w:left w:val="single" w:sz="4" w:space="0" w:color="auto"/>
              <w:bottom w:val="single" w:sz="4" w:space="0" w:color="auto"/>
              <w:right w:val="single" w:sz="4" w:space="0" w:color="auto"/>
            </w:tcBorders>
            <w:hideMark/>
          </w:tcPr>
          <w:p w14:paraId="3628FD8A"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Superinfektioner med </w:t>
            </w:r>
            <w:proofErr w:type="spellStart"/>
            <w:r w:rsidRPr="00751D76">
              <w:rPr>
                <w:rFonts w:ascii="Times New Roman" w:hAnsi="Times New Roman" w:cs="Times New Roman"/>
                <w:i/>
                <w:iCs/>
                <w:sz w:val="20"/>
                <w:szCs w:val="20"/>
              </w:rPr>
              <w:t>Candida</w:t>
            </w:r>
            <w:proofErr w:type="spellEnd"/>
            <w:r w:rsidRPr="00751D76">
              <w:rPr>
                <w:rFonts w:ascii="Times New Roman" w:hAnsi="Times New Roman" w:cs="Times New Roman"/>
                <w:sz w:val="20"/>
                <w:szCs w:val="20"/>
              </w:rPr>
              <w:t xml:space="preserve"> (f.eks. genitale infektioner)</w:t>
            </w:r>
          </w:p>
        </w:tc>
        <w:tc>
          <w:tcPr>
            <w:tcW w:w="1124" w:type="pct"/>
            <w:tcBorders>
              <w:top w:val="single" w:sz="4" w:space="0" w:color="auto"/>
              <w:left w:val="single" w:sz="4" w:space="0" w:color="auto"/>
              <w:bottom w:val="single" w:sz="4" w:space="0" w:color="auto"/>
              <w:right w:val="single" w:sz="4" w:space="0" w:color="auto"/>
            </w:tcBorders>
            <w:hideMark/>
          </w:tcPr>
          <w:p w14:paraId="5D935579"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Pseudomembranøs</w:t>
            </w:r>
            <w:proofErr w:type="spellEnd"/>
            <w:r w:rsidRPr="00751D76">
              <w:rPr>
                <w:rFonts w:ascii="Times New Roman" w:hAnsi="Times New Roman" w:cs="Times New Roman"/>
                <w:sz w:val="20"/>
                <w:szCs w:val="20"/>
              </w:rPr>
              <w:t xml:space="preserve"> colitis, som kan forekomme under eller efter behandling, og som manifesterer sig som svær vedvarende diarré. Se pkt. 4.4 for yderligere oplysninger om akut behandling.</w:t>
            </w:r>
          </w:p>
        </w:tc>
        <w:tc>
          <w:tcPr>
            <w:tcW w:w="1027" w:type="pct"/>
            <w:tcBorders>
              <w:top w:val="single" w:sz="4" w:space="0" w:color="auto"/>
              <w:left w:val="single" w:sz="4" w:space="0" w:color="auto"/>
              <w:bottom w:val="single" w:sz="4" w:space="0" w:color="auto"/>
              <w:right w:val="single" w:sz="4" w:space="0" w:color="auto"/>
            </w:tcBorders>
          </w:tcPr>
          <w:p w14:paraId="7842E197" w14:textId="77777777" w:rsidR="00D52384" w:rsidRPr="00751D76" w:rsidRDefault="00D52384">
            <w:pPr>
              <w:rPr>
                <w:rFonts w:ascii="Times New Roman" w:hAnsi="Times New Roman" w:cs="Times New Roman"/>
                <w:sz w:val="20"/>
                <w:szCs w:val="20"/>
              </w:rPr>
            </w:pPr>
          </w:p>
        </w:tc>
        <w:tc>
          <w:tcPr>
            <w:tcW w:w="1121" w:type="pct"/>
            <w:tcBorders>
              <w:top w:val="single" w:sz="4" w:space="0" w:color="auto"/>
              <w:left w:val="single" w:sz="4" w:space="0" w:color="auto"/>
              <w:bottom w:val="single" w:sz="4" w:space="0" w:color="auto"/>
              <w:right w:val="single" w:sz="4" w:space="0" w:color="auto"/>
            </w:tcBorders>
          </w:tcPr>
          <w:p w14:paraId="38D54781" w14:textId="77777777" w:rsidR="00D52384" w:rsidRPr="00751D76" w:rsidRDefault="00D52384">
            <w:pPr>
              <w:rPr>
                <w:rFonts w:ascii="Times New Roman" w:hAnsi="Times New Roman" w:cs="Times New Roman"/>
                <w:sz w:val="20"/>
                <w:szCs w:val="20"/>
              </w:rPr>
            </w:pPr>
          </w:p>
        </w:tc>
      </w:tr>
      <w:tr w:rsidR="00D52384" w:rsidRPr="00751D76" w14:paraId="7EB2B416"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4B38B84D"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Blod og lymfesystem</w:t>
            </w:r>
          </w:p>
        </w:tc>
        <w:tc>
          <w:tcPr>
            <w:tcW w:w="746" w:type="pct"/>
            <w:tcBorders>
              <w:top w:val="single" w:sz="4" w:space="0" w:color="auto"/>
              <w:left w:val="single" w:sz="4" w:space="0" w:color="auto"/>
              <w:bottom w:val="single" w:sz="4" w:space="0" w:color="auto"/>
              <w:right w:val="single" w:sz="4" w:space="0" w:color="auto"/>
            </w:tcBorders>
          </w:tcPr>
          <w:p w14:paraId="5A0350A4"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4C398848"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562E10CA" w14:textId="6B268BDE"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lang w:val="en-US"/>
              </w:rPr>
              <w:t>Granulocytopeni</w:t>
            </w:r>
            <w:proofErr w:type="spellEnd"/>
            <w:r w:rsidRPr="00751D76">
              <w:rPr>
                <w:rFonts w:ascii="Times New Roman" w:hAnsi="Times New Roman" w:cs="Times New Roman"/>
                <w:sz w:val="20"/>
                <w:szCs w:val="20"/>
                <w:lang w:val="en-US"/>
              </w:rPr>
              <w:t xml:space="preserve">, </w:t>
            </w:r>
            <w:proofErr w:type="spellStart"/>
            <w:r w:rsidRPr="00751D76">
              <w:rPr>
                <w:rFonts w:ascii="Times New Roman" w:hAnsi="Times New Roman" w:cs="Times New Roman"/>
                <w:sz w:val="20"/>
                <w:szCs w:val="20"/>
                <w:lang w:val="en-US"/>
              </w:rPr>
              <w:t>agranulocytose</w:t>
            </w:r>
            <w:proofErr w:type="spellEnd"/>
            <w:r w:rsidRPr="00751D76">
              <w:rPr>
                <w:rFonts w:ascii="Times New Roman" w:hAnsi="Times New Roman" w:cs="Times New Roman"/>
                <w:sz w:val="20"/>
                <w:szCs w:val="20"/>
                <w:lang w:val="en-US"/>
              </w:rPr>
              <w:t xml:space="preserve">, </w:t>
            </w:r>
            <w:proofErr w:type="spellStart"/>
            <w:r w:rsidRPr="00751D76">
              <w:rPr>
                <w:rFonts w:ascii="Times New Roman" w:hAnsi="Times New Roman" w:cs="Times New Roman"/>
                <w:sz w:val="20"/>
                <w:szCs w:val="20"/>
                <w:lang w:val="en-US"/>
              </w:rPr>
              <w:t>trombocytopeni</w:t>
            </w:r>
            <w:proofErr w:type="spellEnd"/>
            <w:r w:rsidRPr="00751D76">
              <w:rPr>
                <w:rFonts w:ascii="Times New Roman" w:hAnsi="Times New Roman" w:cs="Times New Roman"/>
                <w:sz w:val="20"/>
                <w:szCs w:val="20"/>
                <w:lang w:val="en-US"/>
              </w:rPr>
              <w:t xml:space="preserve"> og </w:t>
            </w:r>
            <w:proofErr w:type="spellStart"/>
            <w:r w:rsidRPr="00751D76">
              <w:rPr>
                <w:rFonts w:ascii="Times New Roman" w:hAnsi="Times New Roman" w:cs="Times New Roman"/>
                <w:sz w:val="20"/>
                <w:szCs w:val="20"/>
                <w:lang w:val="en-US"/>
              </w:rPr>
              <w:t>pancytopeni</w:t>
            </w:r>
            <w:proofErr w:type="spellEnd"/>
            <w:r w:rsidRPr="00751D76">
              <w:rPr>
                <w:rFonts w:ascii="Times New Roman" w:hAnsi="Times New Roman" w:cs="Times New Roman"/>
                <w:sz w:val="20"/>
                <w:szCs w:val="20"/>
                <w:lang w:val="en-US"/>
              </w:rPr>
              <w:t xml:space="preserve">. </w:t>
            </w:r>
            <w:r w:rsidRPr="00751D76">
              <w:rPr>
                <w:rFonts w:ascii="Times New Roman" w:hAnsi="Times New Roman" w:cs="Times New Roman"/>
                <w:sz w:val="20"/>
                <w:szCs w:val="20"/>
              </w:rPr>
              <w:t>Se pkt</w:t>
            </w:r>
            <w:r w:rsidR="00751D76">
              <w:rPr>
                <w:rFonts w:ascii="Times New Roman" w:hAnsi="Times New Roman" w:cs="Times New Roman"/>
                <w:sz w:val="20"/>
                <w:szCs w:val="20"/>
              </w:rPr>
              <w:t>.</w:t>
            </w:r>
            <w:r w:rsidRPr="00751D76">
              <w:rPr>
                <w:rFonts w:ascii="Times New Roman" w:hAnsi="Times New Roman" w:cs="Times New Roman"/>
                <w:sz w:val="20"/>
                <w:szCs w:val="20"/>
              </w:rPr>
              <w:t> 4.4</w:t>
            </w:r>
          </w:p>
        </w:tc>
        <w:tc>
          <w:tcPr>
            <w:tcW w:w="1121" w:type="pct"/>
            <w:tcBorders>
              <w:top w:val="single" w:sz="4" w:space="0" w:color="auto"/>
              <w:left w:val="single" w:sz="4" w:space="0" w:color="auto"/>
              <w:bottom w:val="single" w:sz="4" w:space="0" w:color="auto"/>
              <w:right w:val="single" w:sz="4" w:space="0" w:color="auto"/>
            </w:tcBorders>
            <w:hideMark/>
          </w:tcPr>
          <w:p w14:paraId="4046FF08"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Leukopeni</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aplastisk</w:t>
            </w:r>
            <w:proofErr w:type="spellEnd"/>
            <w:r w:rsidRPr="00751D76">
              <w:rPr>
                <w:rFonts w:ascii="Times New Roman" w:hAnsi="Times New Roman" w:cs="Times New Roman"/>
                <w:sz w:val="20"/>
                <w:szCs w:val="20"/>
              </w:rPr>
              <w:t xml:space="preserve"> anæmi</w:t>
            </w:r>
          </w:p>
        </w:tc>
      </w:tr>
      <w:tr w:rsidR="00D52384" w:rsidRPr="00751D76" w14:paraId="2373D406"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28B3BC8F"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Immunsystemet</w:t>
            </w:r>
          </w:p>
        </w:tc>
        <w:tc>
          <w:tcPr>
            <w:tcW w:w="746" w:type="pct"/>
            <w:tcBorders>
              <w:top w:val="single" w:sz="4" w:space="0" w:color="auto"/>
              <w:left w:val="single" w:sz="4" w:space="0" w:color="auto"/>
              <w:bottom w:val="single" w:sz="4" w:space="0" w:color="auto"/>
              <w:right w:val="single" w:sz="4" w:space="0" w:color="auto"/>
            </w:tcBorders>
          </w:tcPr>
          <w:p w14:paraId="12558A80"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34BC6E09" w14:textId="12FB4D2F" w:rsidR="00D52384" w:rsidRPr="00751D76" w:rsidRDefault="00D52384" w:rsidP="00751D76">
            <w:pPr>
              <w:rPr>
                <w:rFonts w:ascii="Times New Roman" w:hAnsi="Times New Roman" w:cs="Times New Roman"/>
                <w:sz w:val="20"/>
                <w:szCs w:val="20"/>
              </w:rPr>
            </w:pPr>
            <w:r w:rsidRPr="00751D76">
              <w:rPr>
                <w:rFonts w:ascii="Times New Roman" w:hAnsi="Times New Roman" w:cs="Times New Roman"/>
                <w:sz w:val="20"/>
                <w:szCs w:val="20"/>
              </w:rPr>
              <w:t>Alvorlige akutte systemiske overfølsomhedsreaktion</w:t>
            </w:r>
            <w:r w:rsidR="00BC0209">
              <w:rPr>
                <w:rFonts w:ascii="Times New Roman" w:hAnsi="Times New Roman" w:cs="Times New Roman"/>
                <w:sz w:val="20"/>
                <w:szCs w:val="20"/>
              </w:rPr>
              <w:t>e</w:t>
            </w:r>
            <w:r w:rsidRPr="00751D76">
              <w:rPr>
                <w:rFonts w:ascii="Times New Roman" w:hAnsi="Times New Roman" w:cs="Times New Roman"/>
                <w:sz w:val="20"/>
                <w:szCs w:val="20"/>
              </w:rPr>
              <w:t xml:space="preserve">r: anafylaksi, op til </w:t>
            </w:r>
            <w:proofErr w:type="spellStart"/>
            <w:r w:rsidRPr="00751D76">
              <w:rPr>
                <w:rFonts w:ascii="Times New Roman" w:hAnsi="Times New Roman" w:cs="Times New Roman"/>
                <w:sz w:val="20"/>
                <w:szCs w:val="20"/>
              </w:rPr>
              <w:t>anafylaktisk</w:t>
            </w:r>
            <w:proofErr w:type="spellEnd"/>
            <w:r w:rsidRPr="00751D76">
              <w:rPr>
                <w:rFonts w:ascii="Times New Roman" w:hAnsi="Times New Roman" w:cs="Times New Roman"/>
                <w:sz w:val="20"/>
                <w:szCs w:val="20"/>
              </w:rPr>
              <w:t xml:space="preserve"> chok (se pkt. 4.4).</w:t>
            </w:r>
          </w:p>
        </w:tc>
        <w:tc>
          <w:tcPr>
            <w:tcW w:w="1027" w:type="pct"/>
            <w:tcBorders>
              <w:top w:val="single" w:sz="4" w:space="0" w:color="auto"/>
              <w:left w:val="single" w:sz="4" w:space="0" w:color="auto"/>
              <w:bottom w:val="single" w:sz="4" w:space="0" w:color="auto"/>
              <w:right w:val="single" w:sz="4" w:space="0" w:color="auto"/>
            </w:tcBorders>
          </w:tcPr>
          <w:p w14:paraId="3BD6157A" w14:textId="77777777" w:rsidR="00D52384" w:rsidRPr="00751D76" w:rsidRDefault="00D52384">
            <w:pPr>
              <w:rPr>
                <w:rFonts w:ascii="Times New Roman" w:hAnsi="Times New Roman" w:cs="Times New Roman"/>
                <w:sz w:val="20"/>
                <w:szCs w:val="20"/>
                <w:lang w:val="nl-NL"/>
              </w:rPr>
            </w:pPr>
          </w:p>
        </w:tc>
        <w:tc>
          <w:tcPr>
            <w:tcW w:w="1121" w:type="pct"/>
            <w:tcBorders>
              <w:top w:val="single" w:sz="4" w:space="0" w:color="auto"/>
              <w:left w:val="single" w:sz="4" w:space="0" w:color="auto"/>
              <w:bottom w:val="single" w:sz="4" w:space="0" w:color="auto"/>
              <w:right w:val="single" w:sz="4" w:space="0" w:color="auto"/>
            </w:tcBorders>
            <w:hideMark/>
          </w:tcPr>
          <w:p w14:paraId="1F02CABB"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Milde til moderate overfølsomhedsreaktioner, f.eks. hudreaktioner (se ”Hud og subkutane væv” nedenfor)</w:t>
            </w:r>
          </w:p>
          <w:p w14:paraId="49282081"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Angioødem</w:t>
            </w:r>
            <w:proofErr w:type="spellEnd"/>
          </w:p>
        </w:tc>
      </w:tr>
      <w:tr w:rsidR="00D52384" w:rsidRPr="00751D76" w14:paraId="1EA02CAF"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2D99B7E2"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Metabolisme og ernæring</w:t>
            </w:r>
          </w:p>
        </w:tc>
        <w:tc>
          <w:tcPr>
            <w:tcW w:w="746" w:type="pct"/>
            <w:tcBorders>
              <w:top w:val="single" w:sz="4" w:space="0" w:color="auto"/>
              <w:left w:val="single" w:sz="4" w:space="0" w:color="auto"/>
              <w:bottom w:val="single" w:sz="4" w:space="0" w:color="auto"/>
              <w:right w:val="single" w:sz="4" w:space="0" w:color="auto"/>
            </w:tcBorders>
          </w:tcPr>
          <w:p w14:paraId="7D301A70"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39732383"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tcPr>
          <w:p w14:paraId="112636EE" w14:textId="77777777" w:rsidR="00D52384" w:rsidRPr="00751D76" w:rsidRDefault="00D52384">
            <w:pPr>
              <w:rPr>
                <w:rFonts w:ascii="Times New Roman" w:hAnsi="Times New Roman" w:cs="Times New Roman"/>
                <w:sz w:val="20"/>
                <w:szCs w:val="20"/>
                <w:lang w:val="en-US"/>
              </w:rPr>
            </w:pPr>
          </w:p>
        </w:tc>
        <w:tc>
          <w:tcPr>
            <w:tcW w:w="1121" w:type="pct"/>
            <w:tcBorders>
              <w:top w:val="single" w:sz="4" w:space="0" w:color="auto"/>
              <w:left w:val="single" w:sz="4" w:space="0" w:color="auto"/>
              <w:bottom w:val="single" w:sz="4" w:space="0" w:color="auto"/>
              <w:right w:val="single" w:sz="4" w:space="0" w:color="auto"/>
            </w:tcBorders>
            <w:hideMark/>
          </w:tcPr>
          <w:p w14:paraId="0215EFE1"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Anoreksi</w:t>
            </w:r>
          </w:p>
        </w:tc>
      </w:tr>
      <w:tr w:rsidR="00D52384" w:rsidRPr="00751D76" w14:paraId="32F74A10"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01DEF3EC"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Psykiske forstyrrelser</w:t>
            </w:r>
          </w:p>
        </w:tc>
        <w:tc>
          <w:tcPr>
            <w:tcW w:w="746" w:type="pct"/>
            <w:tcBorders>
              <w:top w:val="single" w:sz="4" w:space="0" w:color="auto"/>
              <w:left w:val="single" w:sz="4" w:space="0" w:color="auto"/>
              <w:bottom w:val="single" w:sz="4" w:space="0" w:color="auto"/>
              <w:right w:val="single" w:sz="4" w:space="0" w:color="auto"/>
            </w:tcBorders>
          </w:tcPr>
          <w:p w14:paraId="61404DA5"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7AEF9386"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53FB71B1"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Psykotiske lidelser, herunder konfusion, hallucinationer</w:t>
            </w:r>
          </w:p>
        </w:tc>
        <w:tc>
          <w:tcPr>
            <w:tcW w:w="1121" w:type="pct"/>
            <w:tcBorders>
              <w:top w:val="single" w:sz="4" w:space="0" w:color="auto"/>
              <w:left w:val="single" w:sz="4" w:space="0" w:color="auto"/>
              <w:bottom w:val="single" w:sz="4" w:space="0" w:color="auto"/>
              <w:right w:val="single" w:sz="4" w:space="0" w:color="auto"/>
            </w:tcBorders>
            <w:hideMark/>
          </w:tcPr>
          <w:p w14:paraId="7045706F"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Depression</w:t>
            </w:r>
          </w:p>
        </w:tc>
      </w:tr>
      <w:tr w:rsidR="00D52384" w:rsidRPr="00751D76" w14:paraId="14BC17AF"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53E1057A"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Nervesystemet</w:t>
            </w:r>
          </w:p>
        </w:tc>
        <w:tc>
          <w:tcPr>
            <w:tcW w:w="746" w:type="pct"/>
            <w:tcBorders>
              <w:top w:val="single" w:sz="4" w:space="0" w:color="auto"/>
              <w:left w:val="single" w:sz="4" w:space="0" w:color="auto"/>
              <w:bottom w:val="single" w:sz="4" w:space="0" w:color="auto"/>
              <w:right w:val="single" w:sz="4" w:space="0" w:color="auto"/>
            </w:tcBorders>
          </w:tcPr>
          <w:p w14:paraId="7A9C05F7"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4E9DBD1B"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146C8FB3" w14:textId="0FCB13A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Encefalopati, feber, hovedpine, syns- og bevægelsesforstyrrel</w:t>
            </w:r>
            <w:r w:rsidR="00BC0209">
              <w:rPr>
                <w:rFonts w:ascii="Times New Roman" w:hAnsi="Times New Roman" w:cs="Times New Roman"/>
                <w:sz w:val="20"/>
                <w:szCs w:val="20"/>
              </w:rPr>
              <w:t>s</w:t>
            </w:r>
            <w:r w:rsidRPr="00751D76">
              <w:rPr>
                <w:rFonts w:ascii="Times New Roman" w:hAnsi="Times New Roman" w:cs="Times New Roman"/>
                <w:sz w:val="20"/>
                <w:szCs w:val="20"/>
              </w:rPr>
              <w:t xml:space="preserve">er, </w:t>
            </w:r>
            <w:proofErr w:type="spellStart"/>
            <w:r w:rsidRPr="00751D76">
              <w:rPr>
                <w:rFonts w:ascii="Times New Roman" w:hAnsi="Times New Roman" w:cs="Times New Roman"/>
                <w:sz w:val="20"/>
                <w:szCs w:val="20"/>
              </w:rPr>
              <w:t>ataksi</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dysatri</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vertigo</w:t>
            </w:r>
            <w:proofErr w:type="spellEnd"/>
            <w:r w:rsidRPr="00751D76">
              <w:rPr>
                <w:rFonts w:ascii="Times New Roman" w:hAnsi="Times New Roman" w:cs="Times New Roman"/>
                <w:sz w:val="20"/>
                <w:szCs w:val="20"/>
              </w:rPr>
              <w:t>, døsighed, svimmelhed, konvulsioner</w:t>
            </w:r>
          </w:p>
        </w:tc>
        <w:tc>
          <w:tcPr>
            <w:tcW w:w="1121" w:type="pct"/>
            <w:tcBorders>
              <w:top w:val="single" w:sz="4" w:space="0" w:color="auto"/>
              <w:left w:val="single" w:sz="4" w:space="0" w:color="auto"/>
              <w:bottom w:val="single" w:sz="4" w:space="0" w:color="auto"/>
              <w:right w:val="single" w:sz="4" w:space="0" w:color="auto"/>
            </w:tcBorders>
            <w:hideMark/>
          </w:tcPr>
          <w:p w14:paraId="23D1862B" w14:textId="77777777" w:rsidR="00D52384" w:rsidRPr="00751D76" w:rsidRDefault="00D52384" w:rsidP="00D52384">
            <w:pPr>
              <w:pStyle w:val="Listeafsnit"/>
              <w:numPr>
                <w:ilvl w:val="0"/>
                <w:numId w:val="9"/>
              </w:numPr>
              <w:spacing w:after="0" w:line="240" w:lineRule="auto"/>
              <w:ind w:left="203" w:hanging="203"/>
              <w:rPr>
                <w:rFonts w:ascii="Times New Roman" w:hAnsi="Times New Roman" w:cs="Times New Roman"/>
                <w:sz w:val="20"/>
                <w:szCs w:val="20"/>
              </w:rPr>
            </w:pPr>
            <w:proofErr w:type="spellStart"/>
            <w:r w:rsidRPr="00751D76">
              <w:rPr>
                <w:rFonts w:ascii="Times New Roman" w:hAnsi="Times New Roman" w:cs="Times New Roman"/>
                <w:sz w:val="20"/>
                <w:szCs w:val="20"/>
              </w:rPr>
              <w:t>Somnolens</w:t>
            </w:r>
            <w:proofErr w:type="spellEnd"/>
            <w:r w:rsidRPr="00751D76">
              <w:rPr>
                <w:rFonts w:ascii="Times New Roman" w:hAnsi="Times New Roman" w:cs="Times New Roman"/>
                <w:sz w:val="20"/>
                <w:szCs w:val="20"/>
              </w:rPr>
              <w:t xml:space="preserve"> eller </w:t>
            </w:r>
            <w:proofErr w:type="spellStart"/>
            <w:r w:rsidRPr="00751D76">
              <w:rPr>
                <w:rFonts w:ascii="Times New Roman" w:hAnsi="Times New Roman" w:cs="Times New Roman"/>
                <w:sz w:val="20"/>
                <w:szCs w:val="20"/>
              </w:rPr>
              <w:t>insomni</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myoklonus</w:t>
            </w:r>
            <w:proofErr w:type="spellEnd"/>
            <w:r w:rsidRPr="00751D76">
              <w:rPr>
                <w:rFonts w:ascii="Times New Roman" w:hAnsi="Times New Roman" w:cs="Times New Roman"/>
                <w:sz w:val="20"/>
                <w:szCs w:val="20"/>
              </w:rPr>
              <w:t xml:space="preserve">, anfald, perifer </w:t>
            </w:r>
            <w:proofErr w:type="spellStart"/>
            <w:r w:rsidRPr="00751D76">
              <w:rPr>
                <w:rFonts w:ascii="Times New Roman" w:hAnsi="Times New Roman" w:cs="Times New Roman"/>
                <w:sz w:val="20"/>
                <w:szCs w:val="20"/>
              </w:rPr>
              <w:t>neuropati</w:t>
            </w:r>
            <w:proofErr w:type="spellEnd"/>
            <w:r w:rsidRPr="00751D76">
              <w:rPr>
                <w:rFonts w:ascii="Times New Roman" w:hAnsi="Times New Roman" w:cs="Times New Roman"/>
                <w:sz w:val="20"/>
                <w:szCs w:val="20"/>
              </w:rPr>
              <w:t xml:space="preserve">, der manifesterer sig som </w:t>
            </w:r>
            <w:proofErr w:type="spellStart"/>
            <w:r w:rsidRPr="00751D76">
              <w:rPr>
                <w:rFonts w:ascii="Times New Roman" w:hAnsi="Times New Roman" w:cs="Times New Roman"/>
                <w:sz w:val="20"/>
                <w:szCs w:val="20"/>
              </w:rPr>
              <w:t>paræstesi</w:t>
            </w:r>
            <w:proofErr w:type="spellEnd"/>
            <w:r w:rsidRPr="00751D76">
              <w:rPr>
                <w:rFonts w:ascii="Times New Roman" w:hAnsi="Times New Roman" w:cs="Times New Roman"/>
                <w:sz w:val="20"/>
                <w:szCs w:val="20"/>
              </w:rPr>
              <w:t xml:space="preserve">, smerte, lodden fornemmelse og prikken </w:t>
            </w:r>
            <w:r w:rsidRPr="00751D76">
              <w:rPr>
                <w:rFonts w:ascii="Times New Roman" w:hAnsi="Times New Roman" w:cs="Times New Roman"/>
                <w:sz w:val="20"/>
                <w:szCs w:val="20"/>
              </w:rPr>
              <w:lastRenderedPageBreak/>
              <w:t>i ekstremiteterne, aseptisk meningitis</w:t>
            </w:r>
          </w:p>
          <w:p w14:paraId="3814E5AE" w14:textId="2124D455" w:rsidR="00D52384" w:rsidRPr="00751D76" w:rsidRDefault="00D52384" w:rsidP="00D52384">
            <w:pPr>
              <w:pStyle w:val="Listeafsnit"/>
              <w:numPr>
                <w:ilvl w:val="0"/>
                <w:numId w:val="9"/>
              </w:numPr>
              <w:spacing w:after="0" w:line="240" w:lineRule="auto"/>
              <w:ind w:left="161" w:hanging="161"/>
              <w:rPr>
                <w:rFonts w:ascii="Times New Roman" w:hAnsi="Times New Roman" w:cs="Times New Roman"/>
                <w:sz w:val="20"/>
                <w:szCs w:val="20"/>
              </w:rPr>
            </w:pPr>
            <w:r w:rsidRPr="00751D76">
              <w:rPr>
                <w:rFonts w:ascii="Times New Roman" w:hAnsi="Times New Roman" w:cs="Times New Roman"/>
                <w:sz w:val="20"/>
                <w:szCs w:val="20"/>
              </w:rPr>
              <w:t xml:space="preserve">Hvis der opstår anfald eller tegn på perifer </w:t>
            </w:r>
            <w:proofErr w:type="spellStart"/>
            <w:r w:rsidRPr="00751D76">
              <w:rPr>
                <w:rFonts w:ascii="Times New Roman" w:hAnsi="Times New Roman" w:cs="Times New Roman"/>
                <w:sz w:val="20"/>
                <w:szCs w:val="20"/>
              </w:rPr>
              <w:t>neuropati</w:t>
            </w:r>
            <w:proofErr w:type="spellEnd"/>
            <w:r w:rsidRPr="00751D76">
              <w:rPr>
                <w:rFonts w:ascii="Times New Roman" w:hAnsi="Times New Roman" w:cs="Times New Roman"/>
                <w:sz w:val="20"/>
                <w:szCs w:val="20"/>
              </w:rPr>
              <w:t xml:space="preserve"> eller encefalopati, skal den behandlende læge omgående underrettes. Se pkt</w:t>
            </w:r>
            <w:r w:rsidR="00751D76">
              <w:rPr>
                <w:rFonts w:ascii="Times New Roman" w:hAnsi="Times New Roman" w:cs="Times New Roman"/>
                <w:sz w:val="20"/>
                <w:szCs w:val="20"/>
              </w:rPr>
              <w:t>.</w:t>
            </w:r>
            <w:r w:rsidRPr="00751D76">
              <w:rPr>
                <w:rFonts w:ascii="Times New Roman" w:hAnsi="Times New Roman" w:cs="Times New Roman"/>
                <w:sz w:val="20"/>
                <w:szCs w:val="20"/>
              </w:rPr>
              <w:t> 4.4</w:t>
            </w:r>
          </w:p>
        </w:tc>
      </w:tr>
      <w:tr w:rsidR="00D52384" w:rsidRPr="00751D76" w14:paraId="267D10CB"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0EE55564"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lastRenderedPageBreak/>
              <w:t>Øjne</w:t>
            </w:r>
          </w:p>
        </w:tc>
        <w:tc>
          <w:tcPr>
            <w:tcW w:w="746" w:type="pct"/>
            <w:tcBorders>
              <w:top w:val="single" w:sz="4" w:space="0" w:color="auto"/>
              <w:left w:val="single" w:sz="4" w:space="0" w:color="auto"/>
              <w:bottom w:val="single" w:sz="4" w:space="0" w:color="auto"/>
              <w:right w:val="single" w:sz="4" w:space="0" w:color="auto"/>
            </w:tcBorders>
          </w:tcPr>
          <w:p w14:paraId="0F099561"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7DB4589E"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0AB88FF3"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Synsforstyrrelser, f.eks. </w:t>
            </w:r>
            <w:proofErr w:type="spellStart"/>
            <w:r w:rsidRPr="00751D76">
              <w:rPr>
                <w:rFonts w:ascii="Times New Roman" w:hAnsi="Times New Roman" w:cs="Times New Roman"/>
                <w:sz w:val="20"/>
                <w:szCs w:val="20"/>
              </w:rPr>
              <w:t>diplopi</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myopi</w:t>
            </w:r>
            <w:proofErr w:type="spellEnd"/>
          </w:p>
        </w:tc>
        <w:tc>
          <w:tcPr>
            <w:tcW w:w="1121" w:type="pct"/>
            <w:tcBorders>
              <w:top w:val="single" w:sz="4" w:space="0" w:color="auto"/>
              <w:left w:val="single" w:sz="4" w:space="0" w:color="auto"/>
              <w:bottom w:val="single" w:sz="4" w:space="0" w:color="auto"/>
              <w:right w:val="single" w:sz="4" w:space="0" w:color="auto"/>
            </w:tcBorders>
            <w:hideMark/>
          </w:tcPr>
          <w:p w14:paraId="65771C24"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Okulogyr</w:t>
            </w:r>
            <w:proofErr w:type="spellEnd"/>
            <w:r w:rsidRPr="00751D76">
              <w:rPr>
                <w:rFonts w:ascii="Times New Roman" w:hAnsi="Times New Roman" w:cs="Times New Roman"/>
                <w:sz w:val="20"/>
                <w:szCs w:val="20"/>
              </w:rPr>
              <w:t xml:space="preserve"> krise,</w:t>
            </w:r>
          </w:p>
          <w:p w14:paraId="257F7A21"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optisk </w:t>
            </w:r>
            <w:proofErr w:type="spellStart"/>
            <w:r w:rsidRPr="00751D76">
              <w:rPr>
                <w:rFonts w:ascii="Times New Roman" w:hAnsi="Times New Roman" w:cs="Times New Roman"/>
                <w:sz w:val="20"/>
                <w:szCs w:val="20"/>
              </w:rPr>
              <w:t>neuropati</w:t>
            </w:r>
            <w:proofErr w:type="spellEnd"/>
            <w:r w:rsidRPr="00751D76">
              <w:rPr>
                <w:rFonts w:ascii="Times New Roman" w:hAnsi="Times New Roman" w:cs="Times New Roman"/>
                <w:sz w:val="20"/>
                <w:szCs w:val="20"/>
              </w:rPr>
              <w:t>/</w:t>
            </w:r>
            <w:proofErr w:type="spellStart"/>
            <w:r w:rsidRPr="00751D76">
              <w:rPr>
                <w:rFonts w:ascii="Times New Roman" w:hAnsi="Times New Roman" w:cs="Times New Roman"/>
                <w:sz w:val="20"/>
                <w:szCs w:val="20"/>
              </w:rPr>
              <w:t>neuritis</w:t>
            </w:r>
            <w:proofErr w:type="spellEnd"/>
            <w:r w:rsidRPr="00751D76">
              <w:rPr>
                <w:rFonts w:ascii="Times New Roman" w:hAnsi="Times New Roman" w:cs="Times New Roman"/>
                <w:sz w:val="20"/>
                <w:szCs w:val="20"/>
              </w:rPr>
              <w:t xml:space="preserve"> (isolerede tilfælde)</w:t>
            </w:r>
          </w:p>
        </w:tc>
      </w:tr>
      <w:tr w:rsidR="00D52384" w:rsidRPr="00751D76" w14:paraId="5D509712"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26F9F631"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Hjerte</w:t>
            </w:r>
          </w:p>
        </w:tc>
        <w:tc>
          <w:tcPr>
            <w:tcW w:w="746" w:type="pct"/>
            <w:tcBorders>
              <w:top w:val="single" w:sz="4" w:space="0" w:color="auto"/>
              <w:left w:val="single" w:sz="4" w:space="0" w:color="auto"/>
              <w:bottom w:val="single" w:sz="4" w:space="0" w:color="auto"/>
              <w:right w:val="single" w:sz="4" w:space="0" w:color="auto"/>
            </w:tcBorders>
          </w:tcPr>
          <w:p w14:paraId="5E66835A"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hideMark/>
          </w:tcPr>
          <w:p w14:paraId="1DC9ED76"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EKG-forandringer, såsom flade T-takker</w:t>
            </w:r>
          </w:p>
        </w:tc>
        <w:tc>
          <w:tcPr>
            <w:tcW w:w="1027" w:type="pct"/>
            <w:tcBorders>
              <w:top w:val="single" w:sz="4" w:space="0" w:color="auto"/>
              <w:left w:val="single" w:sz="4" w:space="0" w:color="auto"/>
              <w:bottom w:val="single" w:sz="4" w:space="0" w:color="auto"/>
              <w:right w:val="single" w:sz="4" w:space="0" w:color="auto"/>
            </w:tcBorders>
          </w:tcPr>
          <w:p w14:paraId="66A79292" w14:textId="77777777" w:rsidR="00D52384" w:rsidRPr="00751D76" w:rsidRDefault="00D52384">
            <w:pPr>
              <w:rPr>
                <w:rFonts w:ascii="Times New Roman" w:hAnsi="Times New Roman" w:cs="Times New Roman"/>
                <w:sz w:val="20"/>
                <w:szCs w:val="20"/>
              </w:rPr>
            </w:pPr>
          </w:p>
        </w:tc>
        <w:tc>
          <w:tcPr>
            <w:tcW w:w="1121" w:type="pct"/>
            <w:tcBorders>
              <w:top w:val="single" w:sz="4" w:space="0" w:color="auto"/>
              <w:left w:val="single" w:sz="4" w:space="0" w:color="auto"/>
              <w:bottom w:val="single" w:sz="4" w:space="0" w:color="auto"/>
              <w:right w:val="single" w:sz="4" w:space="0" w:color="auto"/>
            </w:tcBorders>
          </w:tcPr>
          <w:p w14:paraId="45AEC88D" w14:textId="77777777" w:rsidR="00D52384" w:rsidRPr="00751D76" w:rsidRDefault="00D52384">
            <w:pPr>
              <w:rPr>
                <w:rFonts w:ascii="Times New Roman" w:hAnsi="Times New Roman" w:cs="Times New Roman"/>
                <w:sz w:val="20"/>
                <w:szCs w:val="20"/>
              </w:rPr>
            </w:pPr>
          </w:p>
        </w:tc>
      </w:tr>
      <w:tr w:rsidR="00D52384" w:rsidRPr="00751D76" w14:paraId="18B44165"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77C0832C"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Mave-tarm-kanalen</w:t>
            </w:r>
          </w:p>
        </w:tc>
        <w:tc>
          <w:tcPr>
            <w:tcW w:w="746" w:type="pct"/>
            <w:tcBorders>
              <w:top w:val="single" w:sz="4" w:space="0" w:color="auto"/>
              <w:left w:val="single" w:sz="4" w:space="0" w:color="auto"/>
              <w:bottom w:val="single" w:sz="4" w:space="0" w:color="auto"/>
              <w:right w:val="single" w:sz="4" w:space="0" w:color="auto"/>
            </w:tcBorders>
          </w:tcPr>
          <w:p w14:paraId="2F7535EE"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3EA2CA8C"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tcPr>
          <w:p w14:paraId="06412398" w14:textId="77777777" w:rsidR="00D52384" w:rsidRPr="00751D76" w:rsidRDefault="00D52384">
            <w:pPr>
              <w:rPr>
                <w:rFonts w:ascii="Times New Roman" w:hAnsi="Times New Roman" w:cs="Times New Roman"/>
                <w:sz w:val="20"/>
                <w:szCs w:val="20"/>
                <w:lang w:val="en-US"/>
              </w:rPr>
            </w:pPr>
          </w:p>
        </w:tc>
        <w:tc>
          <w:tcPr>
            <w:tcW w:w="1121" w:type="pct"/>
            <w:tcBorders>
              <w:top w:val="single" w:sz="4" w:space="0" w:color="auto"/>
              <w:left w:val="single" w:sz="4" w:space="0" w:color="auto"/>
              <w:bottom w:val="single" w:sz="4" w:space="0" w:color="auto"/>
              <w:right w:val="single" w:sz="4" w:space="0" w:color="auto"/>
            </w:tcBorders>
            <w:hideMark/>
          </w:tcPr>
          <w:p w14:paraId="0BFF43AE"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Opkastning, kvalme, diarré, </w:t>
            </w:r>
            <w:proofErr w:type="spellStart"/>
            <w:r w:rsidRPr="00751D76">
              <w:rPr>
                <w:rFonts w:ascii="Times New Roman" w:hAnsi="Times New Roman" w:cs="Times New Roman"/>
                <w:sz w:val="20"/>
                <w:szCs w:val="20"/>
              </w:rPr>
              <w:t>glossitis</w:t>
            </w:r>
            <w:proofErr w:type="spellEnd"/>
            <w:r w:rsidRPr="00751D76">
              <w:rPr>
                <w:rFonts w:ascii="Times New Roman" w:hAnsi="Times New Roman" w:cs="Times New Roman"/>
                <w:sz w:val="20"/>
                <w:szCs w:val="20"/>
              </w:rPr>
              <w:t xml:space="preserve"> og </w:t>
            </w:r>
            <w:proofErr w:type="spellStart"/>
            <w:r w:rsidRPr="00751D76">
              <w:rPr>
                <w:rFonts w:ascii="Times New Roman" w:hAnsi="Times New Roman" w:cs="Times New Roman"/>
                <w:sz w:val="20"/>
                <w:szCs w:val="20"/>
              </w:rPr>
              <w:t>stomatitis</w:t>
            </w:r>
            <w:proofErr w:type="spellEnd"/>
            <w:r w:rsidRPr="00751D76">
              <w:rPr>
                <w:rFonts w:ascii="Times New Roman" w:hAnsi="Times New Roman" w:cs="Times New Roman"/>
                <w:sz w:val="20"/>
                <w:szCs w:val="20"/>
              </w:rPr>
              <w:t xml:space="preserve">, sure opstød, </w:t>
            </w:r>
            <w:proofErr w:type="spellStart"/>
            <w:r w:rsidRPr="00751D76">
              <w:rPr>
                <w:rFonts w:ascii="Times New Roman" w:hAnsi="Times New Roman" w:cs="Times New Roman"/>
                <w:sz w:val="20"/>
                <w:szCs w:val="20"/>
              </w:rPr>
              <w:t>epigastrisk</w:t>
            </w:r>
            <w:proofErr w:type="spellEnd"/>
            <w:r w:rsidRPr="00751D76">
              <w:rPr>
                <w:rFonts w:ascii="Times New Roman" w:hAnsi="Times New Roman" w:cs="Times New Roman"/>
                <w:sz w:val="20"/>
                <w:szCs w:val="20"/>
              </w:rPr>
              <w:t xml:space="preserve"> tryk, metalsmag, lodden fornemmelse på tungen</w:t>
            </w:r>
          </w:p>
          <w:p w14:paraId="5AD42C4C"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Dysfagi</w:t>
            </w:r>
            <w:proofErr w:type="spellEnd"/>
            <w:r w:rsidRPr="00751D76">
              <w:rPr>
                <w:rFonts w:ascii="Times New Roman" w:hAnsi="Times New Roman" w:cs="Times New Roman"/>
                <w:sz w:val="20"/>
                <w:szCs w:val="20"/>
              </w:rPr>
              <w:t xml:space="preserve"> (forårsaget af </w:t>
            </w:r>
            <w:proofErr w:type="spellStart"/>
            <w:r w:rsidRPr="00751D76">
              <w:rPr>
                <w:rFonts w:ascii="Times New Roman" w:hAnsi="Times New Roman" w:cs="Times New Roman"/>
                <w:sz w:val="20"/>
                <w:szCs w:val="20"/>
              </w:rPr>
              <w:t>metronidazols</w:t>
            </w:r>
            <w:proofErr w:type="spellEnd"/>
            <w:r w:rsidRPr="00751D76">
              <w:rPr>
                <w:rFonts w:ascii="Times New Roman" w:hAnsi="Times New Roman" w:cs="Times New Roman"/>
                <w:sz w:val="20"/>
                <w:szCs w:val="20"/>
              </w:rPr>
              <w:t xml:space="preserve"> centralnervøse virkninger)</w:t>
            </w:r>
          </w:p>
        </w:tc>
      </w:tr>
      <w:tr w:rsidR="00D52384" w:rsidRPr="00751D76" w14:paraId="3770FAB0"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563D74BD"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Lever og galdeveje</w:t>
            </w:r>
          </w:p>
        </w:tc>
        <w:tc>
          <w:tcPr>
            <w:tcW w:w="746" w:type="pct"/>
            <w:tcBorders>
              <w:top w:val="single" w:sz="4" w:space="0" w:color="auto"/>
              <w:left w:val="single" w:sz="4" w:space="0" w:color="auto"/>
              <w:bottom w:val="single" w:sz="4" w:space="0" w:color="auto"/>
              <w:right w:val="single" w:sz="4" w:space="0" w:color="auto"/>
            </w:tcBorders>
          </w:tcPr>
          <w:p w14:paraId="0EB46795"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39F66857"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3D0DA7B3" w14:textId="77777777" w:rsidR="00D52384" w:rsidRPr="00751D76" w:rsidRDefault="00D52384" w:rsidP="00D52384">
            <w:pPr>
              <w:pStyle w:val="Listeafsnit"/>
              <w:numPr>
                <w:ilvl w:val="0"/>
                <w:numId w:val="10"/>
              </w:numPr>
              <w:spacing w:after="0" w:line="240" w:lineRule="auto"/>
              <w:ind w:left="191" w:hanging="191"/>
              <w:rPr>
                <w:rFonts w:ascii="Times New Roman" w:hAnsi="Times New Roman" w:cs="Times New Roman"/>
                <w:sz w:val="20"/>
                <w:szCs w:val="20"/>
              </w:rPr>
            </w:pPr>
            <w:r w:rsidRPr="00751D76">
              <w:rPr>
                <w:rFonts w:ascii="Times New Roman" w:hAnsi="Times New Roman" w:cs="Times New Roman"/>
                <w:sz w:val="20"/>
                <w:szCs w:val="20"/>
              </w:rPr>
              <w:t>Unormale leverenzym- og bilirubinværdier</w:t>
            </w:r>
          </w:p>
          <w:p w14:paraId="4FE74C8D" w14:textId="77777777" w:rsidR="00D52384" w:rsidRPr="00751D76" w:rsidRDefault="00D52384" w:rsidP="00D52384">
            <w:pPr>
              <w:pStyle w:val="Listeafsnit"/>
              <w:numPr>
                <w:ilvl w:val="0"/>
                <w:numId w:val="10"/>
              </w:numPr>
              <w:spacing w:after="0" w:line="240" w:lineRule="auto"/>
              <w:ind w:left="191" w:hanging="191"/>
              <w:rPr>
                <w:rFonts w:ascii="Times New Roman" w:hAnsi="Times New Roman" w:cs="Times New Roman"/>
                <w:sz w:val="20"/>
                <w:szCs w:val="20"/>
              </w:rPr>
            </w:pPr>
            <w:r w:rsidRPr="00751D76">
              <w:rPr>
                <w:rFonts w:ascii="Times New Roman" w:hAnsi="Times New Roman" w:cs="Times New Roman"/>
                <w:sz w:val="20"/>
                <w:szCs w:val="20"/>
              </w:rPr>
              <w:t xml:space="preserve">Hepatitis, </w:t>
            </w:r>
            <w:proofErr w:type="spellStart"/>
            <w:r w:rsidRPr="00751D76">
              <w:rPr>
                <w:rFonts w:ascii="Times New Roman" w:hAnsi="Times New Roman" w:cs="Times New Roman"/>
                <w:sz w:val="20"/>
                <w:szCs w:val="20"/>
              </w:rPr>
              <w:t>ikterus</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pankreatitis</w:t>
            </w:r>
            <w:proofErr w:type="spellEnd"/>
          </w:p>
        </w:tc>
        <w:tc>
          <w:tcPr>
            <w:tcW w:w="1121" w:type="pct"/>
            <w:tcBorders>
              <w:top w:val="single" w:sz="4" w:space="0" w:color="auto"/>
              <w:left w:val="single" w:sz="4" w:space="0" w:color="auto"/>
              <w:bottom w:val="single" w:sz="4" w:space="0" w:color="auto"/>
              <w:right w:val="single" w:sz="4" w:space="0" w:color="auto"/>
            </w:tcBorders>
          </w:tcPr>
          <w:p w14:paraId="7770A4D8" w14:textId="77777777" w:rsidR="00D52384" w:rsidRPr="00751D76" w:rsidRDefault="00D52384">
            <w:pPr>
              <w:rPr>
                <w:rFonts w:ascii="Times New Roman" w:hAnsi="Times New Roman" w:cs="Times New Roman"/>
                <w:sz w:val="20"/>
                <w:szCs w:val="20"/>
                <w:lang w:val="en-US"/>
              </w:rPr>
            </w:pPr>
          </w:p>
        </w:tc>
      </w:tr>
      <w:tr w:rsidR="00D52384" w:rsidRPr="00751D76" w14:paraId="78D0D077"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044E1479"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Hud og subkutane væv</w:t>
            </w:r>
          </w:p>
        </w:tc>
        <w:tc>
          <w:tcPr>
            <w:tcW w:w="746" w:type="pct"/>
            <w:tcBorders>
              <w:top w:val="single" w:sz="4" w:space="0" w:color="auto"/>
              <w:left w:val="single" w:sz="4" w:space="0" w:color="auto"/>
              <w:bottom w:val="single" w:sz="4" w:space="0" w:color="auto"/>
              <w:right w:val="single" w:sz="4" w:space="0" w:color="auto"/>
            </w:tcBorders>
          </w:tcPr>
          <w:p w14:paraId="427413F7"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7A2EB26F"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6C804601"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Allergiske hudreaktioner, f.eks. </w:t>
            </w:r>
            <w:proofErr w:type="spellStart"/>
            <w:r w:rsidRPr="00751D76">
              <w:rPr>
                <w:rFonts w:ascii="Times New Roman" w:hAnsi="Times New Roman" w:cs="Times New Roman"/>
                <w:sz w:val="20"/>
                <w:szCs w:val="20"/>
              </w:rPr>
              <w:t>pruritus</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urticaria</w:t>
            </w:r>
            <w:proofErr w:type="spellEnd"/>
            <w:r w:rsidRPr="00751D76">
              <w:rPr>
                <w:rFonts w:ascii="Times New Roman" w:hAnsi="Times New Roman" w:cs="Times New Roman"/>
                <w:sz w:val="20"/>
                <w:szCs w:val="20"/>
              </w:rPr>
              <w:t>, Stevens</w:t>
            </w:r>
            <w:r w:rsidRPr="00751D76">
              <w:rPr>
                <w:rFonts w:ascii="Times New Roman" w:hAnsi="Times New Roman" w:cs="Times New Roman"/>
                <w:sz w:val="20"/>
                <w:szCs w:val="20"/>
              </w:rPr>
              <w:noBreakHyphen/>
              <w:t>Johnsons syndrom</w:t>
            </w:r>
          </w:p>
        </w:tc>
        <w:tc>
          <w:tcPr>
            <w:tcW w:w="1121" w:type="pct"/>
            <w:tcBorders>
              <w:top w:val="single" w:sz="4" w:space="0" w:color="auto"/>
              <w:left w:val="single" w:sz="4" w:space="0" w:color="auto"/>
              <w:bottom w:val="single" w:sz="4" w:space="0" w:color="auto"/>
              <w:right w:val="single" w:sz="4" w:space="0" w:color="auto"/>
            </w:tcBorders>
            <w:hideMark/>
          </w:tcPr>
          <w:p w14:paraId="100A93F8"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Toksisk </w:t>
            </w:r>
            <w:proofErr w:type="spellStart"/>
            <w:r w:rsidRPr="00751D76">
              <w:rPr>
                <w:rFonts w:ascii="Times New Roman" w:hAnsi="Times New Roman" w:cs="Times New Roman"/>
                <w:sz w:val="20"/>
                <w:szCs w:val="20"/>
              </w:rPr>
              <w:t>epidermal</w:t>
            </w:r>
            <w:proofErr w:type="spellEnd"/>
            <w:r w:rsidRPr="00751D76">
              <w:rPr>
                <w:rFonts w:ascii="Times New Roman" w:hAnsi="Times New Roman" w:cs="Times New Roman"/>
                <w:sz w:val="20"/>
                <w:szCs w:val="20"/>
              </w:rPr>
              <w:t xml:space="preserve"> </w:t>
            </w:r>
            <w:proofErr w:type="spellStart"/>
            <w:r w:rsidRPr="00751D76">
              <w:rPr>
                <w:rFonts w:ascii="Times New Roman" w:hAnsi="Times New Roman" w:cs="Times New Roman"/>
                <w:sz w:val="20"/>
                <w:szCs w:val="20"/>
              </w:rPr>
              <w:t>nekrolyse</w:t>
            </w:r>
            <w:proofErr w:type="spellEnd"/>
          </w:p>
          <w:p w14:paraId="00DB5176"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Erythema</w:t>
            </w:r>
            <w:proofErr w:type="spellEnd"/>
            <w:r w:rsidRPr="00751D76">
              <w:rPr>
                <w:rFonts w:ascii="Times New Roman" w:hAnsi="Times New Roman" w:cs="Times New Roman"/>
                <w:sz w:val="20"/>
                <w:szCs w:val="20"/>
              </w:rPr>
              <w:t xml:space="preserve"> multiforme</w:t>
            </w:r>
          </w:p>
        </w:tc>
      </w:tr>
      <w:tr w:rsidR="00D52384" w:rsidRPr="00751D76" w14:paraId="364CC08E"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7DDA52B3"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Knogler, led, muskler og bindevæv</w:t>
            </w:r>
          </w:p>
        </w:tc>
        <w:tc>
          <w:tcPr>
            <w:tcW w:w="746" w:type="pct"/>
            <w:tcBorders>
              <w:top w:val="single" w:sz="4" w:space="0" w:color="auto"/>
              <w:left w:val="single" w:sz="4" w:space="0" w:color="auto"/>
              <w:bottom w:val="single" w:sz="4" w:space="0" w:color="auto"/>
              <w:right w:val="single" w:sz="4" w:space="0" w:color="auto"/>
            </w:tcBorders>
          </w:tcPr>
          <w:p w14:paraId="3BA390F1" w14:textId="77777777" w:rsidR="00D52384" w:rsidRPr="00751D76" w:rsidRDefault="00D52384">
            <w:pPr>
              <w:rPr>
                <w:rFonts w:ascii="Times New Roman" w:hAnsi="Times New Roman" w:cs="Times New Roman"/>
                <w:sz w:val="20"/>
                <w:szCs w:val="20"/>
              </w:rPr>
            </w:pPr>
          </w:p>
        </w:tc>
        <w:tc>
          <w:tcPr>
            <w:tcW w:w="1124" w:type="pct"/>
            <w:tcBorders>
              <w:top w:val="single" w:sz="4" w:space="0" w:color="auto"/>
              <w:left w:val="single" w:sz="4" w:space="0" w:color="auto"/>
              <w:bottom w:val="single" w:sz="4" w:space="0" w:color="auto"/>
              <w:right w:val="single" w:sz="4" w:space="0" w:color="auto"/>
            </w:tcBorders>
          </w:tcPr>
          <w:p w14:paraId="0CFC4765" w14:textId="77777777" w:rsidR="00D52384" w:rsidRPr="00751D76" w:rsidRDefault="00D52384">
            <w:pPr>
              <w:rPr>
                <w:rFonts w:ascii="Times New Roman" w:hAnsi="Times New Roman" w:cs="Times New Roman"/>
                <w:sz w:val="20"/>
                <w:szCs w:val="20"/>
              </w:rPr>
            </w:pPr>
          </w:p>
        </w:tc>
        <w:tc>
          <w:tcPr>
            <w:tcW w:w="1027" w:type="pct"/>
            <w:tcBorders>
              <w:top w:val="single" w:sz="4" w:space="0" w:color="auto"/>
              <w:left w:val="single" w:sz="4" w:space="0" w:color="auto"/>
              <w:bottom w:val="single" w:sz="4" w:space="0" w:color="auto"/>
              <w:right w:val="single" w:sz="4" w:space="0" w:color="auto"/>
            </w:tcBorders>
            <w:hideMark/>
          </w:tcPr>
          <w:p w14:paraId="454B9900" w14:textId="77777777" w:rsidR="00D52384" w:rsidRPr="00751D76" w:rsidRDefault="00D52384">
            <w:pPr>
              <w:rPr>
                <w:rFonts w:ascii="Times New Roman" w:hAnsi="Times New Roman" w:cs="Times New Roman"/>
                <w:sz w:val="20"/>
                <w:szCs w:val="20"/>
              </w:rPr>
            </w:pPr>
            <w:proofErr w:type="spellStart"/>
            <w:r w:rsidRPr="00751D76">
              <w:rPr>
                <w:rFonts w:ascii="Times New Roman" w:hAnsi="Times New Roman" w:cs="Times New Roman"/>
                <w:sz w:val="20"/>
                <w:szCs w:val="20"/>
              </w:rPr>
              <w:t>Artralgi</w:t>
            </w:r>
            <w:proofErr w:type="spellEnd"/>
            <w:r w:rsidRPr="00751D76">
              <w:rPr>
                <w:rFonts w:ascii="Times New Roman" w:hAnsi="Times New Roman" w:cs="Times New Roman"/>
                <w:sz w:val="20"/>
                <w:szCs w:val="20"/>
              </w:rPr>
              <w:t>, myalgi</w:t>
            </w:r>
          </w:p>
        </w:tc>
        <w:tc>
          <w:tcPr>
            <w:tcW w:w="1121" w:type="pct"/>
            <w:tcBorders>
              <w:top w:val="single" w:sz="4" w:space="0" w:color="auto"/>
              <w:left w:val="single" w:sz="4" w:space="0" w:color="auto"/>
              <w:bottom w:val="single" w:sz="4" w:space="0" w:color="auto"/>
              <w:right w:val="single" w:sz="4" w:space="0" w:color="auto"/>
            </w:tcBorders>
          </w:tcPr>
          <w:p w14:paraId="00396E65" w14:textId="77777777" w:rsidR="00D52384" w:rsidRPr="00751D76" w:rsidRDefault="00D52384">
            <w:pPr>
              <w:rPr>
                <w:rFonts w:ascii="Times New Roman" w:hAnsi="Times New Roman" w:cs="Times New Roman"/>
                <w:sz w:val="20"/>
                <w:szCs w:val="20"/>
                <w:lang w:val="en-US"/>
              </w:rPr>
            </w:pPr>
          </w:p>
        </w:tc>
      </w:tr>
      <w:tr w:rsidR="00D52384" w:rsidRPr="00751D76" w14:paraId="289E175A"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3983D357"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Nyrer og urinveje</w:t>
            </w:r>
          </w:p>
        </w:tc>
        <w:tc>
          <w:tcPr>
            <w:tcW w:w="746" w:type="pct"/>
            <w:tcBorders>
              <w:top w:val="single" w:sz="4" w:space="0" w:color="auto"/>
              <w:left w:val="single" w:sz="4" w:space="0" w:color="auto"/>
              <w:bottom w:val="single" w:sz="4" w:space="0" w:color="auto"/>
              <w:right w:val="single" w:sz="4" w:space="0" w:color="auto"/>
            </w:tcBorders>
          </w:tcPr>
          <w:p w14:paraId="114F8AF9" w14:textId="77777777" w:rsidR="00D52384" w:rsidRPr="00751D76" w:rsidRDefault="00D52384">
            <w:pPr>
              <w:rPr>
                <w:rFonts w:ascii="Times New Roman" w:hAnsi="Times New Roman" w:cs="Times New Roman"/>
                <w:sz w:val="20"/>
                <w:szCs w:val="20"/>
                <w:lang w:val="en-US"/>
              </w:rPr>
            </w:pPr>
          </w:p>
        </w:tc>
        <w:tc>
          <w:tcPr>
            <w:tcW w:w="1124" w:type="pct"/>
            <w:tcBorders>
              <w:top w:val="single" w:sz="4" w:space="0" w:color="auto"/>
              <w:left w:val="single" w:sz="4" w:space="0" w:color="auto"/>
              <w:bottom w:val="single" w:sz="4" w:space="0" w:color="auto"/>
              <w:right w:val="single" w:sz="4" w:space="0" w:color="auto"/>
            </w:tcBorders>
          </w:tcPr>
          <w:p w14:paraId="3393282F" w14:textId="77777777" w:rsidR="00D52384" w:rsidRPr="00751D76" w:rsidRDefault="00D52384">
            <w:pPr>
              <w:rPr>
                <w:rFonts w:ascii="Times New Roman" w:hAnsi="Times New Roman" w:cs="Times New Roman"/>
                <w:sz w:val="20"/>
                <w:szCs w:val="20"/>
                <w:lang w:val="en-US"/>
              </w:rPr>
            </w:pPr>
          </w:p>
        </w:tc>
        <w:tc>
          <w:tcPr>
            <w:tcW w:w="1027" w:type="pct"/>
            <w:tcBorders>
              <w:top w:val="single" w:sz="4" w:space="0" w:color="auto"/>
              <w:left w:val="single" w:sz="4" w:space="0" w:color="auto"/>
              <w:bottom w:val="single" w:sz="4" w:space="0" w:color="auto"/>
              <w:right w:val="single" w:sz="4" w:space="0" w:color="auto"/>
            </w:tcBorders>
            <w:hideMark/>
          </w:tcPr>
          <w:p w14:paraId="2F794F9E"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Mørkfarvet urin (på grund af en </w:t>
            </w:r>
            <w:proofErr w:type="spellStart"/>
            <w:r w:rsidRPr="00751D76">
              <w:rPr>
                <w:rFonts w:ascii="Times New Roman" w:hAnsi="Times New Roman" w:cs="Times New Roman"/>
                <w:sz w:val="20"/>
                <w:szCs w:val="20"/>
              </w:rPr>
              <w:t>metronidazol</w:t>
            </w:r>
            <w:proofErr w:type="spellEnd"/>
            <w:r w:rsidRPr="00751D76">
              <w:rPr>
                <w:rFonts w:ascii="Times New Roman" w:hAnsi="Times New Roman" w:cs="Times New Roman"/>
                <w:sz w:val="20"/>
                <w:szCs w:val="20"/>
              </w:rPr>
              <w:t>-metabolit)</w:t>
            </w:r>
          </w:p>
        </w:tc>
        <w:tc>
          <w:tcPr>
            <w:tcW w:w="1121" w:type="pct"/>
            <w:tcBorders>
              <w:top w:val="single" w:sz="4" w:space="0" w:color="auto"/>
              <w:left w:val="single" w:sz="4" w:space="0" w:color="auto"/>
              <w:bottom w:val="single" w:sz="4" w:space="0" w:color="auto"/>
              <w:right w:val="single" w:sz="4" w:space="0" w:color="auto"/>
            </w:tcBorders>
          </w:tcPr>
          <w:p w14:paraId="5BF0313F" w14:textId="77777777" w:rsidR="00D52384" w:rsidRPr="00751D76" w:rsidRDefault="00D52384">
            <w:pPr>
              <w:rPr>
                <w:rFonts w:ascii="Times New Roman" w:hAnsi="Times New Roman" w:cs="Times New Roman"/>
                <w:sz w:val="20"/>
                <w:szCs w:val="20"/>
                <w:lang w:val="nl-NL"/>
              </w:rPr>
            </w:pPr>
          </w:p>
        </w:tc>
      </w:tr>
      <w:tr w:rsidR="00D52384" w:rsidRPr="00751D76" w14:paraId="27EC250D" w14:textId="77777777" w:rsidTr="00751D76">
        <w:tc>
          <w:tcPr>
            <w:tcW w:w="983" w:type="pct"/>
            <w:tcBorders>
              <w:top w:val="single" w:sz="4" w:space="0" w:color="auto"/>
              <w:left w:val="single" w:sz="4" w:space="0" w:color="auto"/>
              <w:bottom w:val="single" w:sz="4" w:space="0" w:color="auto"/>
              <w:right w:val="single" w:sz="4" w:space="0" w:color="auto"/>
            </w:tcBorders>
            <w:hideMark/>
          </w:tcPr>
          <w:p w14:paraId="53F2ACE3" w14:textId="77777777" w:rsidR="00D52384" w:rsidRPr="00751D76" w:rsidRDefault="00D52384">
            <w:pPr>
              <w:rPr>
                <w:rFonts w:ascii="Times New Roman" w:hAnsi="Times New Roman" w:cs="Times New Roman"/>
                <w:b/>
                <w:sz w:val="20"/>
                <w:szCs w:val="20"/>
              </w:rPr>
            </w:pPr>
            <w:r w:rsidRPr="00751D76">
              <w:rPr>
                <w:rFonts w:ascii="Times New Roman" w:hAnsi="Times New Roman" w:cs="Times New Roman"/>
                <w:b/>
                <w:sz w:val="20"/>
                <w:szCs w:val="20"/>
              </w:rPr>
              <w:t>Almene symptomer og reaktioner på administrationsstedet</w:t>
            </w:r>
          </w:p>
        </w:tc>
        <w:tc>
          <w:tcPr>
            <w:tcW w:w="746" w:type="pct"/>
            <w:tcBorders>
              <w:top w:val="single" w:sz="4" w:space="0" w:color="auto"/>
              <w:left w:val="single" w:sz="4" w:space="0" w:color="auto"/>
              <w:bottom w:val="single" w:sz="4" w:space="0" w:color="auto"/>
              <w:right w:val="single" w:sz="4" w:space="0" w:color="auto"/>
            </w:tcBorders>
          </w:tcPr>
          <w:p w14:paraId="1FDF6E76" w14:textId="77777777" w:rsidR="00D52384" w:rsidRPr="00751D76" w:rsidRDefault="00D52384">
            <w:pPr>
              <w:rPr>
                <w:rFonts w:ascii="Times New Roman" w:hAnsi="Times New Roman" w:cs="Times New Roman"/>
                <w:sz w:val="20"/>
                <w:szCs w:val="20"/>
              </w:rPr>
            </w:pPr>
          </w:p>
        </w:tc>
        <w:tc>
          <w:tcPr>
            <w:tcW w:w="1124" w:type="pct"/>
            <w:tcBorders>
              <w:top w:val="single" w:sz="4" w:space="0" w:color="auto"/>
              <w:left w:val="single" w:sz="4" w:space="0" w:color="auto"/>
              <w:bottom w:val="single" w:sz="4" w:space="0" w:color="auto"/>
              <w:right w:val="single" w:sz="4" w:space="0" w:color="auto"/>
            </w:tcBorders>
          </w:tcPr>
          <w:p w14:paraId="599D7138" w14:textId="77777777" w:rsidR="00D52384" w:rsidRPr="00751D76" w:rsidRDefault="00D52384">
            <w:pPr>
              <w:rPr>
                <w:rFonts w:ascii="Times New Roman" w:hAnsi="Times New Roman" w:cs="Times New Roman"/>
                <w:sz w:val="20"/>
                <w:szCs w:val="20"/>
              </w:rPr>
            </w:pPr>
          </w:p>
        </w:tc>
        <w:tc>
          <w:tcPr>
            <w:tcW w:w="1027" w:type="pct"/>
            <w:tcBorders>
              <w:top w:val="single" w:sz="4" w:space="0" w:color="auto"/>
              <w:left w:val="single" w:sz="4" w:space="0" w:color="auto"/>
              <w:bottom w:val="single" w:sz="4" w:space="0" w:color="auto"/>
              <w:right w:val="single" w:sz="4" w:space="0" w:color="auto"/>
            </w:tcBorders>
          </w:tcPr>
          <w:p w14:paraId="080D4EB5" w14:textId="77777777" w:rsidR="00D52384" w:rsidRPr="00751D76" w:rsidRDefault="00D52384">
            <w:pPr>
              <w:rPr>
                <w:rFonts w:ascii="Times New Roman" w:hAnsi="Times New Roman" w:cs="Times New Roman"/>
                <w:sz w:val="20"/>
                <w:szCs w:val="20"/>
              </w:rPr>
            </w:pPr>
          </w:p>
        </w:tc>
        <w:tc>
          <w:tcPr>
            <w:tcW w:w="1121" w:type="pct"/>
            <w:tcBorders>
              <w:top w:val="single" w:sz="4" w:space="0" w:color="auto"/>
              <w:left w:val="single" w:sz="4" w:space="0" w:color="auto"/>
              <w:bottom w:val="single" w:sz="4" w:space="0" w:color="auto"/>
              <w:right w:val="single" w:sz="4" w:space="0" w:color="auto"/>
            </w:tcBorders>
            <w:hideMark/>
          </w:tcPr>
          <w:p w14:paraId="019135AC"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 xml:space="preserve">Veneirritationer (herunder </w:t>
            </w:r>
            <w:proofErr w:type="spellStart"/>
            <w:r w:rsidRPr="00751D76">
              <w:rPr>
                <w:rFonts w:ascii="Times New Roman" w:hAnsi="Times New Roman" w:cs="Times New Roman"/>
                <w:sz w:val="20"/>
                <w:szCs w:val="20"/>
              </w:rPr>
              <w:t>tromboflebitis</w:t>
            </w:r>
            <w:proofErr w:type="spellEnd"/>
            <w:r w:rsidRPr="00751D76">
              <w:rPr>
                <w:rFonts w:ascii="Times New Roman" w:hAnsi="Times New Roman" w:cs="Times New Roman"/>
                <w:sz w:val="20"/>
                <w:szCs w:val="20"/>
              </w:rPr>
              <w:t>) efter intravenøs infusion,</w:t>
            </w:r>
          </w:p>
          <w:p w14:paraId="3AC4B8A3" w14:textId="77777777" w:rsidR="00D52384" w:rsidRPr="00751D76" w:rsidRDefault="00D52384">
            <w:pPr>
              <w:rPr>
                <w:rFonts w:ascii="Times New Roman" w:hAnsi="Times New Roman" w:cs="Times New Roman"/>
                <w:sz w:val="20"/>
                <w:szCs w:val="20"/>
              </w:rPr>
            </w:pPr>
            <w:r w:rsidRPr="00751D76">
              <w:rPr>
                <w:rFonts w:ascii="Times New Roman" w:hAnsi="Times New Roman" w:cs="Times New Roman"/>
                <w:sz w:val="20"/>
                <w:szCs w:val="20"/>
              </w:rPr>
              <w:t>svækket tilstand, feber</w:t>
            </w:r>
          </w:p>
        </w:tc>
      </w:tr>
    </w:tbl>
    <w:p w14:paraId="29562EE1" w14:textId="77777777" w:rsidR="00D52384" w:rsidRPr="00C152A7" w:rsidRDefault="00D52384" w:rsidP="00D52384">
      <w:pPr>
        <w:rPr>
          <w:sz w:val="24"/>
          <w:szCs w:val="24"/>
        </w:rPr>
      </w:pPr>
    </w:p>
    <w:p w14:paraId="6A512854" w14:textId="77777777" w:rsidR="00D52384" w:rsidRPr="00C152A7" w:rsidRDefault="00D52384" w:rsidP="00434810">
      <w:pPr>
        <w:ind w:left="851"/>
        <w:rPr>
          <w:sz w:val="24"/>
          <w:szCs w:val="24"/>
        </w:rPr>
      </w:pPr>
      <w:r w:rsidRPr="00C152A7">
        <w:rPr>
          <w:sz w:val="24"/>
          <w:szCs w:val="24"/>
        </w:rPr>
        <w:t xml:space="preserve">Der er rapporteret om tilfælde af alvorlig irreversibel </w:t>
      </w:r>
      <w:proofErr w:type="spellStart"/>
      <w:r w:rsidRPr="00C152A7">
        <w:rPr>
          <w:sz w:val="24"/>
          <w:szCs w:val="24"/>
        </w:rPr>
        <w:t>hepatotoksicitet</w:t>
      </w:r>
      <w:proofErr w:type="spellEnd"/>
      <w:r w:rsidRPr="00C152A7">
        <w:rPr>
          <w:sz w:val="24"/>
          <w:szCs w:val="24"/>
        </w:rPr>
        <w:t xml:space="preserve">/akut leversvigt, herunder tilfælde med dødelig udgang, med meget hurtig debut efter behandlingsstart med </w:t>
      </w:r>
      <w:proofErr w:type="spellStart"/>
      <w:r w:rsidRPr="00C152A7">
        <w:rPr>
          <w:sz w:val="24"/>
          <w:szCs w:val="24"/>
        </w:rPr>
        <w:t>metronidazol</w:t>
      </w:r>
      <w:proofErr w:type="spellEnd"/>
      <w:r w:rsidRPr="00C152A7">
        <w:rPr>
          <w:sz w:val="24"/>
          <w:szCs w:val="24"/>
        </w:rPr>
        <w:t xml:space="preserve">, hos patienter med </w:t>
      </w:r>
      <w:proofErr w:type="spellStart"/>
      <w:r w:rsidRPr="00C152A7">
        <w:rPr>
          <w:sz w:val="24"/>
          <w:szCs w:val="24"/>
        </w:rPr>
        <w:t>Cockaynes</w:t>
      </w:r>
      <w:proofErr w:type="spellEnd"/>
      <w:r w:rsidRPr="00C152A7">
        <w:rPr>
          <w:sz w:val="24"/>
          <w:szCs w:val="24"/>
        </w:rPr>
        <w:t> syndrom (se pkt. 4.4).</w:t>
      </w:r>
    </w:p>
    <w:p w14:paraId="4685205E" w14:textId="77777777" w:rsidR="00D52384" w:rsidRPr="00C152A7" w:rsidRDefault="00D52384" w:rsidP="00434810">
      <w:pPr>
        <w:ind w:left="851"/>
        <w:rPr>
          <w:sz w:val="24"/>
          <w:szCs w:val="24"/>
          <w:lang w:val="nl-NL"/>
        </w:rPr>
      </w:pPr>
    </w:p>
    <w:p w14:paraId="7C3787AB" w14:textId="77777777" w:rsidR="00D52384" w:rsidRPr="00C152A7" w:rsidRDefault="00D52384" w:rsidP="00434810">
      <w:pPr>
        <w:ind w:left="851"/>
        <w:rPr>
          <w:i/>
          <w:iCs/>
          <w:sz w:val="24"/>
          <w:szCs w:val="24"/>
        </w:rPr>
      </w:pPr>
      <w:r w:rsidRPr="00C152A7">
        <w:rPr>
          <w:i/>
          <w:sz w:val="24"/>
          <w:szCs w:val="24"/>
        </w:rPr>
        <w:t>Pædiatrisk population</w:t>
      </w:r>
    </w:p>
    <w:p w14:paraId="795C9CEF" w14:textId="77777777" w:rsidR="00D52384" w:rsidRPr="00C152A7" w:rsidRDefault="00D52384" w:rsidP="00434810">
      <w:pPr>
        <w:ind w:left="851"/>
        <w:rPr>
          <w:sz w:val="24"/>
          <w:szCs w:val="24"/>
        </w:rPr>
      </w:pPr>
      <w:r w:rsidRPr="00C152A7">
        <w:rPr>
          <w:sz w:val="24"/>
          <w:szCs w:val="24"/>
        </w:rPr>
        <w:t>Hyppigheden, typen og sværhedsgraden af bivirkninger hos børn er den samme som hos voksne.</w:t>
      </w:r>
    </w:p>
    <w:p w14:paraId="70FD79BA" w14:textId="77777777" w:rsidR="00D52384" w:rsidRPr="00C152A7" w:rsidRDefault="00D52384" w:rsidP="00434810">
      <w:pPr>
        <w:ind w:left="851"/>
        <w:rPr>
          <w:sz w:val="24"/>
          <w:szCs w:val="24"/>
          <w:lang w:val="nl-NL"/>
        </w:rPr>
      </w:pPr>
    </w:p>
    <w:p w14:paraId="4733CCFB" w14:textId="77777777" w:rsidR="00D52384" w:rsidRPr="00C152A7" w:rsidRDefault="00D52384" w:rsidP="00434810">
      <w:pPr>
        <w:ind w:left="851"/>
        <w:rPr>
          <w:sz w:val="24"/>
          <w:szCs w:val="24"/>
          <w:u w:val="single"/>
        </w:rPr>
      </w:pPr>
      <w:r w:rsidRPr="00C152A7">
        <w:rPr>
          <w:sz w:val="24"/>
          <w:szCs w:val="24"/>
          <w:u w:val="single"/>
        </w:rPr>
        <w:t>Indberetning af formodede bivirkninger</w:t>
      </w:r>
    </w:p>
    <w:p w14:paraId="294B8F21" w14:textId="77777777" w:rsidR="00D52384" w:rsidRPr="00C152A7" w:rsidRDefault="00D52384" w:rsidP="00434810">
      <w:pPr>
        <w:ind w:left="851"/>
        <w:rPr>
          <w:sz w:val="24"/>
          <w:szCs w:val="24"/>
        </w:rPr>
      </w:pPr>
      <w:r w:rsidRPr="00C152A7">
        <w:rPr>
          <w:sz w:val="24"/>
          <w:szCs w:val="24"/>
        </w:rPr>
        <w:t>Når lægemidlet er godkendt, er indberetning af formodede bivirkninger vigtig. Det muliggør løbende overvågning af benefit/</w:t>
      </w:r>
      <w:proofErr w:type="spellStart"/>
      <w:r w:rsidRPr="00C152A7">
        <w:rPr>
          <w:sz w:val="24"/>
          <w:szCs w:val="24"/>
        </w:rPr>
        <w:t>risk</w:t>
      </w:r>
      <w:proofErr w:type="spellEnd"/>
      <w:r w:rsidRPr="00C152A7">
        <w:rPr>
          <w:sz w:val="24"/>
          <w:szCs w:val="24"/>
        </w:rPr>
        <w:t xml:space="preserve">-forholdet for lægemidlet. </w:t>
      </w:r>
    </w:p>
    <w:p w14:paraId="52BEA593" w14:textId="77777777" w:rsidR="00D52384" w:rsidRPr="00C152A7" w:rsidRDefault="00D52384" w:rsidP="00434810">
      <w:pPr>
        <w:ind w:left="851"/>
        <w:rPr>
          <w:sz w:val="24"/>
          <w:szCs w:val="24"/>
        </w:rPr>
      </w:pPr>
      <w:r w:rsidRPr="00C152A7">
        <w:rPr>
          <w:sz w:val="24"/>
          <w:szCs w:val="24"/>
        </w:rPr>
        <w:t xml:space="preserve">Sundhedspersoner anmodes om at indberette alle formodede bivirkninger via </w:t>
      </w:r>
    </w:p>
    <w:p w14:paraId="431A5D57" w14:textId="7C4620B8" w:rsidR="00973CF3" w:rsidRDefault="00973CF3">
      <w:pPr>
        <w:rPr>
          <w:sz w:val="24"/>
          <w:szCs w:val="24"/>
        </w:rPr>
      </w:pPr>
      <w:r>
        <w:rPr>
          <w:sz w:val="24"/>
          <w:szCs w:val="24"/>
        </w:rPr>
        <w:br w:type="page"/>
      </w:r>
    </w:p>
    <w:p w14:paraId="2962226A" w14:textId="77777777" w:rsidR="00BC0209" w:rsidRDefault="00BC0209" w:rsidP="00434810">
      <w:pPr>
        <w:ind w:left="851"/>
        <w:rPr>
          <w:sz w:val="24"/>
          <w:szCs w:val="24"/>
        </w:rPr>
      </w:pPr>
    </w:p>
    <w:p w14:paraId="76E2E844" w14:textId="4DCCC124" w:rsidR="00D52384" w:rsidRPr="00C152A7" w:rsidRDefault="00D52384" w:rsidP="00434810">
      <w:pPr>
        <w:ind w:left="851"/>
        <w:rPr>
          <w:rFonts w:eastAsia="Calibri"/>
          <w:color w:val="000000"/>
          <w:sz w:val="24"/>
          <w:szCs w:val="24"/>
          <w:lang w:eastAsia="zh-CN"/>
        </w:rPr>
      </w:pPr>
      <w:r w:rsidRPr="00C152A7">
        <w:rPr>
          <w:sz w:val="24"/>
          <w:szCs w:val="24"/>
        </w:rPr>
        <w:t>Lægemiddelstyrelsen</w:t>
      </w:r>
    </w:p>
    <w:p w14:paraId="79F5802C" w14:textId="77777777" w:rsidR="00D52384" w:rsidRPr="00C152A7" w:rsidRDefault="00D52384" w:rsidP="00434810">
      <w:pPr>
        <w:ind w:left="851"/>
        <w:rPr>
          <w:rFonts w:eastAsia="Calibri"/>
          <w:noProof/>
          <w:sz w:val="24"/>
          <w:szCs w:val="24"/>
          <w:lang w:eastAsia="zh-CN"/>
        </w:rPr>
      </w:pPr>
      <w:r w:rsidRPr="00C152A7">
        <w:rPr>
          <w:rFonts w:eastAsia="Calibri"/>
          <w:sz w:val="24"/>
          <w:szCs w:val="24"/>
          <w:lang w:eastAsia="zh-CN"/>
        </w:rPr>
        <w:t>Axel Heides Gade 1</w:t>
      </w:r>
    </w:p>
    <w:p w14:paraId="5A430168" w14:textId="77777777" w:rsidR="00D52384" w:rsidRPr="00C152A7" w:rsidRDefault="00D52384" w:rsidP="00434810">
      <w:pPr>
        <w:ind w:left="851"/>
        <w:rPr>
          <w:rFonts w:eastAsia="Calibri"/>
          <w:noProof/>
          <w:sz w:val="24"/>
          <w:szCs w:val="24"/>
          <w:lang w:eastAsia="zh-CN"/>
        </w:rPr>
      </w:pPr>
      <w:r w:rsidRPr="00C152A7">
        <w:rPr>
          <w:rFonts w:eastAsia="Calibri"/>
          <w:noProof/>
          <w:sz w:val="24"/>
          <w:szCs w:val="24"/>
          <w:lang w:eastAsia="zh-CN"/>
        </w:rPr>
        <w:t xml:space="preserve">DK-2300 </w:t>
      </w:r>
      <w:r w:rsidRPr="00C152A7">
        <w:rPr>
          <w:rFonts w:eastAsia="Calibri"/>
          <w:sz w:val="24"/>
          <w:szCs w:val="24"/>
          <w:lang w:eastAsia="zh-CN"/>
        </w:rPr>
        <w:t>København S</w:t>
      </w:r>
    </w:p>
    <w:p w14:paraId="5799E280" w14:textId="77777777" w:rsidR="00D52384" w:rsidRPr="00C152A7" w:rsidRDefault="00D52384" w:rsidP="00434810">
      <w:pPr>
        <w:ind w:left="851"/>
        <w:rPr>
          <w:rFonts w:eastAsia="Calibri"/>
          <w:noProof/>
          <w:sz w:val="24"/>
          <w:szCs w:val="24"/>
          <w:lang w:val="en-US" w:eastAsia="zh-CN"/>
        </w:rPr>
      </w:pPr>
      <w:proofErr w:type="spellStart"/>
      <w:r w:rsidRPr="00C152A7">
        <w:rPr>
          <w:rFonts w:eastAsia="Calibri"/>
          <w:sz w:val="24"/>
          <w:szCs w:val="24"/>
          <w:lang w:val="en-US" w:eastAsia="zh-CN"/>
        </w:rPr>
        <w:t>Websted</w:t>
      </w:r>
      <w:proofErr w:type="spellEnd"/>
      <w:r w:rsidRPr="00C152A7">
        <w:rPr>
          <w:rFonts w:eastAsia="Calibri"/>
          <w:noProof/>
          <w:sz w:val="24"/>
          <w:szCs w:val="24"/>
          <w:lang w:val="en-US" w:eastAsia="zh-CN"/>
        </w:rPr>
        <w:t xml:space="preserve">: </w:t>
      </w:r>
      <w:hyperlink r:id="rId8" w:history="1">
        <w:r w:rsidRPr="00C152A7">
          <w:rPr>
            <w:rStyle w:val="Hyperlink"/>
            <w:rFonts w:eastAsia="Calibri"/>
            <w:noProof/>
            <w:color w:val="0000FF"/>
            <w:sz w:val="24"/>
            <w:szCs w:val="24"/>
            <w:lang w:val="en-US" w:eastAsia="zh-CN"/>
          </w:rPr>
          <w:t>www.meldenbivirkning.dk</w:t>
        </w:r>
      </w:hyperlink>
    </w:p>
    <w:p w14:paraId="64AC4093" w14:textId="77777777" w:rsidR="009260DE" w:rsidRPr="00C152A7" w:rsidRDefault="009260DE" w:rsidP="00A10294">
      <w:pPr>
        <w:tabs>
          <w:tab w:val="left" w:pos="851"/>
        </w:tabs>
        <w:ind w:left="851"/>
        <w:rPr>
          <w:sz w:val="24"/>
          <w:szCs w:val="24"/>
          <w:lang w:val="en-US"/>
        </w:rPr>
      </w:pPr>
    </w:p>
    <w:p w14:paraId="3F364642" w14:textId="77777777" w:rsidR="009260DE" w:rsidRPr="00C152A7" w:rsidRDefault="009260DE" w:rsidP="009260DE">
      <w:pPr>
        <w:tabs>
          <w:tab w:val="left" w:pos="851"/>
        </w:tabs>
        <w:ind w:left="851" w:hanging="851"/>
        <w:rPr>
          <w:b/>
          <w:sz w:val="24"/>
          <w:szCs w:val="24"/>
          <w:lang w:val="en-US"/>
        </w:rPr>
      </w:pPr>
      <w:r w:rsidRPr="00C152A7">
        <w:rPr>
          <w:b/>
          <w:sz w:val="24"/>
          <w:szCs w:val="24"/>
          <w:lang w:val="en-US"/>
        </w:rPr>
        <w:t>4.9</w:t>
      </w:r>
      <w:r w:rsidRPr="00C152A7">
        <w:rPr>
          <w:b/>
          <w:sz w:val="24"/>
          <w:szCs w:val="24"/>
          <w:lang w:val="en-US"/>
        </w:rPr>
        <w:tab/>
      </w:r>
      <w:proofErr w:type="spellStart"/>
      <w:r w:rsidRPr="00C152A7">
        <w:rPr>
          <w:b/>
          <w:sz w:val="24"/>
          <w:szCs w:val="24"/>
          <w:lang w:val="en-US"/>
        </w:rPr>
        <w:t>Overdosering</w:t>
      </w:r>
      <w:proofErr w:type="spellEnd"/>
    </w:p>
    <w:p w14:paraId="1C1EBBF7" w14:textId="77777777" w:rsidR="00751D76" w:rsidRDefault="00751D76" w:rsidP="00434810">
      <w:pPr>
        <w:ind w:left="851"/>
        <w:rPr>
          <w:sz w:val="24"/>
          <w:szCs w:val="24"/>
          <w:lang w:val="en-US"/>
        </w:rPr>
      </w:pPr>
    </w:p>
    <w:p w14:paraId="6D24D427" w14:textId="1CF2727C" w:rsidR="00D52384" w:rsidRPr="00751D76" w:rsidRDefault="00D52384" w:rsidP="00434810">
      <w:pPr>
        <w:ind w:left="851"/>
        <w:rPr>
          <w:sz w:val="24"/>
          <w:szCs w:val="24"/>
          <w:u w:val="single"/>
          <w:lang w:val="en-US"/>
        </w:rPr>
      </w:pPr>
      <w:proofErr w:type="spellStart"/>
      <w:r w:rsidRPr="00751D76">
        <w:rPr>
          <w:sz w:val="24"/>
          <w:szCs w:val="24"/>
          <w:u w:val="single"/>
          <w:lang w:val="en-US"/>
        </w:rPr>
        <w:t>Symptomer</w:t>
      </w:r>
      <w:proofErr w:type="spellEnd"/>
    </w:p>
    <w:p w14:paraId="38EBC598" w14:textId="77777777" w:rsidR="00D52384" w:rsidRPr="00C152A7" w:rsidRDefault="00D52384" w:rsidP="00434810">
      <w:pPr>
        <w:ind w:left="851"/>
        <w:rPr>
          <w:sz w:val="24"/>
          <w:szCs w:val="24"/>
        </w:rPr>
      </w:pPr>
      <w:r w:rsidRPr="00C152A7">
        <w:rPr>
          <w:sz w:val="24"/>
          <w:szCs w:val="24"/>
        </w:rPr>
        <w:t xml:space="preserve">Ved tegn og symptomer på overdosering kan de uønskede virkninger, der er beskrevet i pkt. 4.8, forekomme. Der er rapporteret om selvmordsforsøg og utilsigtet overdosering ved enkeltdoser af </w:t>
      </w:r>
      <w:proofErr w:type="spellStart"/>
      <w:r w:rsidRPr="00C152A7">
        <w:rPr>
          <w:sz w:val="24"/>
          <w:szCs w:val="24"/>
        </w:rPr>
        <w:t>metronidazol</w:t>
      </w:r>
      <w:proofErr w:type="spellEnd"/>
      <w:r w:rsidRPr="00C152A7">
        <w:rPr>
          <w:sz w:val="24"/>
          <w:szCs w:val="24"/>
        </w:rPr>
        <w:t xml:space="preserve"> på op til 12 g.</w:t>
      </w:r>
    </w:p>
    <w:p w14:paraId="48082193" w14:textId="77777777" w:rsidR="00D52384" w:rsidRPr="00C152A7" w:rsidRDefault="00D52384" w:rsidP="00434810">
      <w:pPr>
        <w:ind w:left="851"/>
        <w:rPr>
          <w:sz w:val="24"/>
          <w:szCs w:val="24"/>
        </w:rPr>
      </w:pPr>
      <w:r w:rsidRPr="00C152A7">
        <w:rPr>
          <w:sz w:val="24"/>
          <w:szCs w:val="24"/>
        </w:rPr>
        <w:t xml:space="preserve">Symptomerne var begrænset til opkastning, </w:t>
      </w:r>
      <w:proofErr w:type="spellStart"/>
      <w:r w:rsidRPr="00C152A7">
        <w:rPr>
          <w:sz w:val="24"/>
          <w:szCs w:val="24"/>
        </w:rPr>
        <w:t>ataksi</w:t>
      </w:r>
      <w:proofErr w:type="spellEnd"/>
      <w:r w:rsidRPr="00C152A7">
        <w:rPr>
          <w:sz w:val="24"/>
          <w:szCs w:val="24"/>
        </w:rPr>
        <w:t xml:space="preserve"> og let desorientering.</w:t>
      </w:r>
    </w:p>
    <w:p w14:paraId="7AFCD792" w14:textId="77777777" w:rsidR="00D52384" w:rsidRPr="00C152A7" w:rsidRDefault="00D52384" w:rsidP="00434810">
      <w:pPr>
        <w:ind w:left="851"/>
        <w:rPr>
          <w:sz w:val="24"/>
          <w:szCs w:val="24"/>
          <w:lang w:val="nl-NL"/>
        </w:rPr>
      </w:pPr>
    </w:p>
    <w:p w14:paraId="50E6EDB4" w14:textId="77777777" w:rsidR="00D52384" w:rsidRPr="00751D76" w:rsidRDefault="00D52384" w:rsidP="00434810">
      <w:pPr>
        <w:ind w:left="851"/>
        <w:rPr>
          <w:sz w:val="24"/>
          <w:szCs w:val="24"/>
          <w:u w:val="single"/>
        </w:rPr>
      </w:pPr>
      <w:r w:rsidRPr="00751D76">
        <w:rPr>
          <w:sz w:val="24"/>
          <w:szCs w:val="24"/>
          <w:u w:val="single"/>
        </w:rPr>
        <w:t>Behandling</w:t>
      </w:r>
    </w:p>
    <w:p w14:paraId="463A015C" w14:textId="77777777" w:rsidR="00D52384" w:rsidRPr="00C152A7" w:rsidRDefault="00D52384" w:rsidP="00434810">
      <w:pPr>
        <w:ind w:left="851"/>
        <w:rPr>
          <w:sz w:val="24"/>
          <w:szCs w:val="24"/>
          <w:highlight w:val="yellow"/>
        </w:rPr>
      </w:pPr>
      <w:r w:rsidRPr="00C152A7">
        <w:rPr>
          <w:sz w:val="24"/>
          <w:szCs w:val="24"/>
        </w:rPr>
        <w:t xml:space="preserve">Der er ingen specifik behandling eller </w:t>
      </w:r>
      <w:proofErr w:type="spellStart"/>
      <w:r w:rsidRPr="00C152A7">
        <w:rPr>
          <w:sz w:val="24"/>
          <w:szCs w:val="24"/>
        </w:rPr>
        <w:t>antidot</w:t>
      </w:r>
      <w:proofErr w:type="spellEnd"/>
      <w:r w:rsidRPr="00C152A7">
        <w:rPr>
          <w:sz w:val="24"/>
          <w:szCs w:val="24"/>
        </w:rPr>
        <w:t xml:space="preserve">, der kan anvendes i tilfælde af alvorlig overdosering af </w:t>
      </w:r>
      <w:proofErr w:type="spellStart"/>
      <w:r w:rsidRPr="00C152A7">
        <w:rPr>
          <w:sz w:val="24"/>
          <w:szCs w:val="24"/>
        </w:rPr>
        <w:t>metronidazol</w:t>
      </w:r>
      <w:proofErr w:type="spellEnd"/>
      <w:r w:rsidRPr="00C152A7">
        <w:rPr>
          <w:sz w:val="24"/>
          <w:szCs w:val="24"/>
        </w:rPr>
        <w:t xml:space="preserve">. </w:t>
      </w:r>
      <w:proofErr w:type="spellStart"/>
      <w:r w:rsidRPr="00C152A7">
        <w:rPr>
          <w:sz w:val="24"/>
          <w:szCs w:val="24"/>
        </w:rPr>
        <w:t>Metronidazol</w:t>
      </w:r>
      <w:proofErr w:type="spellEnd"/>
      <w:r w:rsidRPr="00C152A7">
        <w:rPr>
          <w:sz w:val="24"/>
          <w:szCs w:val="24"/>
        </w:rPr>
        <w:t xml:space="preserve"> kan om nødvendigt elimineres effektivt ved hjælp af hæmodialyse.</w:t>
      </w:r>
    </w:p>
    <w:p w14:paraId="3D01C28B" w14:textId="77777777" w:rsidR="009260DE" w:rsidRPr="00C152A7" w:rsidRDefault="009260DE" w:rsidP="009260DE">
      <w:pPr>
        <w:tabs>
          <w:tab w:val="left" w:pos="851"/>
        </w:tabs>
        <w:ind w:left="851"/>
        <w:rPr>
          <w:sz w:val="24"/>
          <w:szCs w:val="24"/>
        </w:rPr>
      </w:pPr>
    </w:p>
    <w:p w14:paraId="079115FB" w14:textId="77777777" w:rsidR="009260DE" w:rsidRPr="00C152A7" w:rsidRDefault="009260DE" w:rsidP="009260DE">
      <w:pPr>
        <w:tabs>
          <w:tab w:val="left" w:pos="851"/>
        </w:tabs>
        <w:ind w:left="851" w:hanging="851"/>
        <w:rPr>
          <w:b/>
          <w:sz w:val="24"/>
          <w:szCs w:val="24"/>
        </w:rPr>
      </w:pPr>
      <w:r w:rsidRPr="00C152A7">
        <w:rPr>
          <w:b/>
          <w:sz w:val="24"/>
          <w:szCs w:val="24"/>
        </w:rPr>
        <w:t>4.10</w:t>
      </w:r>
      <w:r w:rsidRPr="00C152A7">
        <w:rPr>
          <w:b/>
          <w:sz w:val="24"/>
          <w:szCs w:val="24"/>
        </w:rPr>
        <w:tab/>
        <w:t>Udlevering</w:t>
      </w:r>
    </w:p>
    <w:p w14:paraId="6404FC99" w14:textId="026CA78F" w:rsidR="009260DE" w:rsidRPr="00C152A7" w:rsidRDefault="00D52384" w:rsidP="009260DE">
      <w:pPr>
        <w:tabs>
          <w:tab w:val="left" w:pos="851"/>
        </w:tabs>
        <w:ind w:left="851"/>
        <w:rPr>
          <w:sz w:val="24"/>
          <w:szCs w:val="24"/>
        </w:rPr>
      </w:pPr>
      <w:r w:rsidRPr="00C152A7">
        <w:rPr>
          <w:sz w:val="24"/>
          <w:szCs w:val="24"/>
        </w:rPr>
        <w:t>B</w:t>
      </w:r>
    </w:p>
    <w:p w14:paraId="2E5B5F30" w14:textId="77777777" w:rsidR="009260DE" w:rsidRPr="00C152A7" w:rsidRDefault="009260DE" w:rsidP="009260DE">
      <w:pPr>
        <w:tabs>
          <w:tab w:val="left" w:pos="851"/>
        </w:tabs>
        <w:ind w:left="851"/>
        <w:rPr>
          <w:sz w:val="24"/>
          <w:szCs w:val="24"/>
        </w:rPr>
      </w:pPr>
    </w:p>
    <w:p w14:paraId="025F739B" w14:textId="77777777" w:rsidR="009260DE" w:rsidRPr="00C152A7" w:rsidRDefault="009260DE" w:rsidP="009260DE">
      <w:pPr>
        <w:tabs>
          <w:tab w:val="left" w:pos="851"/>
        </w:tabs>
        <w:ind w:left="851"/>
        <w:rPr>
          <w:sz w:val="24"/>
          <w:szCs w:val="24"/>
        </w:rPr>
      </w:pPr>
    </w:p>
    <w:p w14:paraId="22E2B982" w14:textId="77777777" w:rsidR="009260DE" w:rsidRPr="00C152A7" w:rsidRDefault="009260DE" w:rsidP="009260DE">
      <w:pPr>
        <w:tabs>
          <w:tab w:val="left" w:pos="851"/>
        </w:tabs>
        <w:ind w:left="851" w:hanging="851"/>
        <w:rPr>
          <w:b/>
          <w:sz w:val="24"/>
          <w:szCs w:val="24"/>
        </w:rPr>
      </w:pPr>
      <w:r w:rsidRPr="00C152A7">
        <w:rPr>
          <w:b/>
          <w:sz w:val="24"/>
          <w:szCs w:val="24"/>
        </w:rPr>
        <w:t>5.</w:t>
      </w:r>
      <w:r w:rsidRPr="00C152A7">
        <w:rPr>
          <w:b/>
          <w:sz w:val="24"/>
          <w:szCs w:val="24"/>
        </w:rPr>
        <w:tab/>
        <w:t>FARMAKOLOGISKE EGENSKABER</w:t>
      </w:r>
    </w:p>
    <w:p w14:paraId="6EF36C8B" w14:textId="77777777" w:rsidR="009260DE" w:rsidRPr="00C152A7" w:rsidRDefault="009260DE" w:rsidP="009260DE">
      <w:pPr>
        <w:tabs>
          <w:tab w:val="left" w:pos="851"/>
        </w:tabs>
        <w:ind w:left="851"/>
        <w:rPr>
          <w:sz w:val="24"/>
          <w:szCs w:val="24"/>
        </w:rPr>
      </w:pPr>
    </w:p>
    <w:p w14:paraId="0B9809CF" w14:textId="77777777" w:rsidR="009260DE" w:rsidRPr="00C152A7" w:rsidRDefault="009260DE" w:rsidP="009260DE">
      <w:pPr>
        <w:tabs>
          <w:tab w:val="num" w:pos="851"/>
        </w:tabs>
        <w:ind w:left="851" w:hanging="851"/>
        <w:rPr>
          <w:b/>
          <w:sz w:val="24"/>
          <w:szCs w:val="24"/>
        </w:rPr>
      </w:pPr>
      <w:r w:rsidRPr="00C152A7">
        <w:rPr>
          <w:b/>
          <w:sz w:val="24"/>
          <w:szCs w:val="24"/>
        </w:rPr>
        <w:t>5.1</w:t>
      </w:r>
      <w:r w:rsidRPr="00C152A7">
        <w:rPr>
          <w:b/>
          <w:sz w:val="24"/>
          <w:szCs w:val="24"/>
        </w:rPr>
        <w:tab/>
      </w:r>
      <w:proofErr w:type="spellStart"/>
      <w:r w:rsidRPr="00C152A7">
        <w:rPr>
          <w:b/>
          <w:sz w:val="24"/>
          <w:szCs w:val="24"/>
        </w:rPr>
        <w:t>Farmakodynamiske</w:t>
      </w:r>
      <w:proofErr w:type="spellEnd"/>
      <w:r w:rsidRPr="00C152A7">
        <w:rPr>
          <w:b/>
          <w:sz w:val="24"/>
          <w:szCs w:val="24"/>
        </w:rPr>
        <w:t xml:space="preserve"> egenskaber</w:t>
      </w:r>
    </w:p>
    <w:p w14:paraId="440869F4" w14:textId="5621F897" w:rsidR="00D52384" w:rsidRPr="00C152A7" w:rsidRDefault="00D52384" w:rsidP="00434810">
      <w:pPr>
        <w:ind w:left="851"/>
        <w:rPr>
          <w:sz w:val="24"/>
          <w:szCs w:val="24"/>
        </w:rPr>
      </w:pPr>
      <w:proofErr w:type="spellStart"/>
      <w:r w:rsidRPr="00C152A7">
        <w:rPr>
          <w:sz w:val="24"/>
          <w:szCs w:val="24"/>
        </w:rPr>
        <w:t>Farmakoterapeutisk</w:t>
      </w:r>
      <w:proofErr w:type="spellEnd"/>
      <w:r w:rsidRPr="00C152A7">
        <w:rPr>
          <w:sz w:val="24"/>
          <w:szCs w:val="24"/>
        </w:rPr>
        <w:t xml:space="preserve"> klassifikation: antibakterielle midler til systemisk brug, </w:t>
      </w:r>
      <w:proofErr w:type="spellStart"/>
      <w:r w:rsidRPr="00C152A7">
        <w:rPr>
          <w:sz w:val="24"/>
          <w:szCs w:val="24"/>
        </w:rPr>
        <w:t>imidazolderivater</w:t>
      </w:r>
      <w:proofErr w:type="spellEnd"/>
      <w:r w:rsidR="00751D76">
        <w:rPr>
          <w:sz w:val="24"/>
          <w:szCs w:val="24"/>
        </w:rPr>
        <w:t xml:space="preserve">, </w:t>
      </w:r>
      <w:r w:rsidRPr="00C152A7">
        <w:rPr>
          <w:sz w:val="24"/>
          <w:szCs w:val="24"/>
        </w:rPr>
        <w:t xml:space="preserve">ATC-kode: J01XD01 </w:t>
      </w:r>
    </w:p>
    <w:p w14:paraId="11D585D1" w14:textId="77777777" w:rsidR="00D52384" w:rsidRPr="00C152A7" w:rsidRDefault="00D52384" w:rsidP="00434810">
      <w:pPr>
        <w:ind w:left="851"/>
        <w:rPr>
          <w:sz w:val="24"/>
          <w:szCs w:val="24"/>
        </w:rPr>
      </w:pPr>
    </w:p>
    <w:p w14:paraId="477B640A" w14:textId="77777777" w:rsidR="00D52384" w:rsidRPr="00C152A7" w:rsidRDefault="00D52384" w:rsidP="00434810">
      <w:pPr>
        <w:ind w:left="851"/>
        <w:rPr>
          <w:b/>
          <w:sz w:val="24"/>
          <w:szCs w:val="24"/>
        </w:rPr>
      </w:pPr>
      <w:r w:rsidRPr="00C152A7">
        <w:rPr>
          <w:b/>
          <w:sz w:val="24"/>
          <w:szCs w:val="24"/>
        </w:rPr>
        <w:t xml:space="preserve">Virkningsmekanisme </w:t>
      </w:r>
    </w:p>
    <w:p w14:paraId="63B9A78D"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er i sig selv uvirksomt. Det er en stabil substans, der kan trænge ind i mikroorganismer.</w:t>
      </w:r>
    </w:p>
    <w:p w14:paraId="645DB6D8" w14:textId="77777777" w:rsidR="00D52384" w:rsidRPr="00C152A7" w:rsidRDefault="00D52384" w:rsidP="00434810">
      <w:pPr>
        <w:ind w:left="851"/>
        <w:rPr>
          <w:sz w:val="24"/>
          <w:szCs w:val="24"/>
        </w:rPr>
      </w:pPr>
      <w:r w:rsidRPr="00C152A7">
        <w:rPr>
          <w:sz w:val="24"/>
          <w:szCs w:val="24"/>
        </w:rPr>
        <w:t xml:space="preserve">Under anaerobe forhold dannes der </w:t>
      </w:r>
      <w:proofErr w:type="spellStart"/>
      <w:r w:rsidRPr="00C152A7">
        <w:rPr>
          <w:sz w:val="24"/>
          <w:szCs w:val="24"/>
        </w:rPr>
        <w:t>nitrosoradikaler</w:t>
      </w:r>
      <w:proofErr w:type="spellEnd"/>
      <w:r w:rsidRPr="00C152A7">
        <w:rPr>
          <w:sz w:val="24"/>
          <w:szCs w:val="24"/>
        </w:rPr>
        <w:t xml:space="preserve">, som påvirker DNA, fra </w:t>
      </w:r>
      <w:proofErr w:type="spellStart"/>
      <w:r w:rsidRPr="00C152A7">
        <w:rPr>
          <w:sz w:val="24"/>
          <w:szCs w:val="24"/>
        </w:rPr>
        <w:t>metronidazol</w:t>
      </w:r>
      <w:proofErr w:type="spellEnd"/>
      <w:r w:rsidRPr="00C152A7">
        <w:rPr>
          <w:sz w:val="24"/>
          <w:szCs w:val="24"/>
        </w:rPr>
        <w:t xml:space="preserve"> via den mikrobielle pyruvat-</w:t>
      </w:r>
      <w:proofErr w:type="spellStart"/>
      <w:r w:rsidRPr="00C152A7">
        <w:rPr>
          <w:sz w:val="24"/>
          <w:szCs w:val="24"/>
        </w:rPr>
        <w:t>ferredoxin</w:t>
      </w:r>
      <w:proofErr w:type="spellEnd"/>
      <w:r w:rsidRPr="00C152A7">
        <w:rPr>
          <w:sz w:val="24"/>
          <w:szCs w:val="24"/>
        </w:rPr>
        <w:t>-</w:t>
      </w:r>
      <w:proofErr w:type="spellStart"/>
      <w:r w:rsidRPr="00C152A7">
        <w:rPr>
          <w:sz w:val="24"/>
          <w:szCs w:val="24"/>
        </w:rPr>
        <w:t>oxidoreduktase</w:t>
      </w:r>
      <w:proofErr w:type="spellEnd"/>
      <w:r w:rsidRPr="00C152A7">
        <w:rPr>
          <w:sz w:val="24"/>
          <w:szCs w:val="24"/>
        </w:rPr>
        <w:t xml:space="preserve">, med oxidation af </w:t>
      </w:r>
      <w:proofErr w:type="spellStart"/>
      <w:r w:rsidRPr="00C152A7">
        <w:rPr>
          <w:sz w:val="24"/>
          <w:szCs w:val="24"/>
        </w:rPr>
        <w:t>ferredoxin</w:t>
      </w:r>
      <w:proofErr w:type="spellEnd"/>
      <w:r w:rsidRPr="00C152A7">
        <w:rPr>
          <w:sz w:val="24"/>
          <w:szCs w:val="24"/>
        </w:rPr>
        <w:t xml:space="preserve"> og </w:t>
      </w:r>
      <w:proofErr w:type="spellStart"/>
      <w:r w:rsidRPr="00C152A7">
        <w:rPr>
          <w:sz w:val="24"/>
          <w:szCs w:val="24"/>
        </w:rPr>
        <w:t>flavodoxin</w:t>
      </w:r>
      <w:proofErr w:type="spellEnd"/>
      <w:r w:rsidRPr="00C152A7">
        <w:rPr>
          <w:sz w:val="24"/>
          <w:szCs w:val="24"/>
        </w:rPr>
        <w:t xml:space="preserve">. </w:t>
      </w:r>
      <w:proofErr w:type="spellStart"/>
      <w:r w:rsidRPr="00C152A7">
        <w:rPr>
          <w:sz w:val="24"/>
          <w:szCs w:val="24"/>
        </w:rPr>
        <w:t>Nitrosoradikaler</w:t>
      </w:r>
      <w:proofErr w:type="spellEnd"/>
      <w:r w:rsidRPr="00C152A7">
        <w:rPr>
          <w:sz w:val="24"/>
          <w:szCs w:val="24"/>
        </w:rPr>
        <w:t xml:space="preserve"> danner </w:t>
      </w:r>
      <w:proofErr w:type="spellStart"/>
      <w:r w:rsidRPr="00C152A7">
        <w:rPr>
          <w:sz w:val="24"/>
          <w:szCs w:val="24"/>
        </w:rPr>
        <w:t>addukter</w:t>
      </w:r>
      <w:proofErr w:type="spellEnd"/>
      <w:r w:rsidRPr="00C152A7">
        <w:rPr>
          <w:sz w:val="24"/>
          <w:szCs w:val="24"/>
        </w:rPr>
        <w:t xml:space="preserve"> med basepar i DNA og fører dermed til brud på DNA</w:t>
      </w:r>
      <w:r w:rsidRPr="00C152A7">
        <w:rPr>
          <w:sz w:val="24"/>
          <w:szCs w:val="24"/>
        </w:rPr>
        <w:noBreakHyphen/>
        <w:t xml:space="preserve">kæden og efterfølgende </w:t>
      </w:r>
      <w:proofErr w:type="spellStart"/>
      <w:r w:rsidRPr="00C152A7">
        <w:rPr>
          <w:sz w:val="24"/>
          <w:szCs w:val="24"/>
        </w:rPr>
        <w:t>celledød</w:t>
      </w:r>
      <w:proofErr w:type="spellEnd"/>
      <w:r w:rsidRPr="00C152A7">
        <w:rPr>
          <w:sz w:val="24"/>
          <w:szCs w:val="24"/>
        </w:rPr>
        <w:t xml:space="preserve">. </w:t>
      </w:r>
    </w:p>
    <w:p w14:paraId="7A3C6883" w14:textId="77777777" w:rsidR="00D52384" w:rsidRPr="00C152A7" w:rsidRDefault="00D52384" w:rsidP="00434810">
      <w:pPr>
        <w:ind w:left="851"/>
        <w:rPr>
          <w:sz w:val="24"/>
          <w:szCs w:val="24"/>
        </w:rPr>
      </w:pPr>
    </w:p>
    <w:p w14:paraId="7A8266F1" w14:textId="77777777" w:rsidR="00D52384" w:rsidRPr="00C152A7" w:rsidRDefault="00D52384" w:rsidP="00434810">
      <w:pPr>
        <w:ind w:left="851"/>
        <w:rPr>
          <w:b/>
          <w:sz w:val="24"/>
          <w:szCs w:val="24"/>
        </w:rPr>
      </w:pPr>
      <w:r w:rsidRPr="00C152A7">
        <w:rPr>
          <w:b/>
          <w:sz w:val="24"/>
          <w:szCs w:val="24"/>
        </w:rPr>
        <w:t>Forhold mellem farmakokinetik/</w:t>
      </w:r>
      <w:proofErr w:type="spellStart"/>
      <w:r w:rsidRPr="00C152A7">
        <w:rPr>
          <w:b/>
          <w:sz w:val="24"/>
          <w:szCs w:val="24"/>
        </w:rPr>
        <w:t>farmakodynamik</w:t>
      </w:r>
      <w:proofErr w:type="spellEnd"/>
      <w:r w:rsidRPr="00C152A7">
        <w:rPr>
          <w:b/>
          <w:sz w:val="24"/>
          <w:szCs w:val="24"/>
        </w:rPr>
        <w:t xml:space="preserve"> </w:t>
      </w:r>
    </w:p>
    <w:p w14:paraId="77B42767" w14:textId="77777777" w:rsidR="00D52384" w:rsidRPr="00C152A7" w:rsidRDefault="00D52384" w:rsidP="00434810">
      <w:pPr>
        <w:ind w:left="851"/>
        <w:rPr>
          <w:sz w:val="24"/>
          <w:szCs w:val="24"/>
        </w:rPr>
      </w:pPr>
      <w:r w:rsidRPr="00C152A7">
        <w:rPr>
          <w:sz w:val="24"/>
          <w:szCs w:val="24"/>
        </w:rPr>
        <w:t xml:space="preserve">Virkningen af </w:t>
      </w:r>
      <w:proofErr w:type="spellStart"/>
      <w:r w:rsidRPr="00C152A7">
        <w:rPr>
          <w:sz w:val="24"/>
          <w:szCs w:val="24"/>
        </w:rPr>
        <w:t>metronidazol</w:t>
      </w:r>
      <w:proofErr w:type="spellEnd"/>
      <w:r w:rsidRPr="00C152A7">
        <w:rPr>
          <w:sz w:val="24"/>
          <w:szCs w:val="24"/>
        </w:rPr>
        <w:t xml:space="preserve"> er koncentrationsafhængig. Virkningen af </w:t>
      </w:r>
      <w:proofErr w:type="spellStart"/>
      <w:r w:rsidRPr="00C152A7">
        <w:rPr>
          <w:sz w:val="24"/>
          <w:szCs w:val="24"/>
        </w:rPr>
        <w:t>metronidazol</w:t>
      </w:r>
      <w:proofErr w:type="spellEnd"/>
      <w:r w:rsidRPr="00C152A7">
        <w:rPr>
          <w:sz w:val="24"/>
          <w:szCs w:val="24"/>
        </w:rPr>
        <w:t xml:space="preserve"> afhænger primært af kvotienten mellem den maksimale serumkoncentration (</w:t>
      </w:r>
      <w:proofErr w:type="spellStart"/>
      <w:r w:rsidRPr="00C152A7">
        <w:rPr>
          <w:sz w:val="24"/>
          <w:szCs w:val="24"/>
        </w:rPr>
        <w:t>c</w:t>
      </w:r>
      <w:r w:rsidRPr="00C152A7">
        <w:rPr>
          <w:sz w:val="24"/>
          <w:szCs w:val="24"/>
          <w:vertAlign w:val="subscript"/>
        </w:rPr>
        <w:t>max</w:t>
      </w:r>
      <w:proofErr w:type="spellEnd"/>
      <w:r w:rsidRPr="00C152A7">
        <w:rPr>
          <w:sz w:val="24"/>
          <w:szCs w:val="24"/>
        </w:rPr>
        <w:t xml:space="preserve">) og den mindste hæmmende koncentration (”minimum </w:t>
      </w:r>
      <w:proofErr w:type="spellStart"/>
      <w:r w:rsidRPr="00C152A7">
        <w:rPr>
          <w:sz w:val="24"/>
          <w:szCs w:val="24"/>
        </w:rPr>
        <w:t>inhibitory</w:t>
      </w:r>
      <w:proofErr w:type="spellEnd"/>
      <w:r w:rsidRPr="00C152A7">
        <w:rPr>
          <w:sz w:val="24"/>
          <w:szCs w:val="24"/>
        </w:rPr>
        <w:t xml:space="preserve"> </w:t>
      </w:r>
      <w:proofErr w:type="spellStart"/>
      <w:r w:rsidRPr="00C152A7">
        <w:rPr>
          <w:sz w:val="24"/>
          <w:szCs w:val="24"/>
        </w:rPr>
        <w:t>concentration</w:t>
      </w:r>
      <w:proofErr w:type="spellEnd"/>
      <w:r w:rsidRPr="00C152A7">
        <w:rPr>
          <w:sz w:val="24"/>
          <w:szCs w:val="24"/>
        </w:rPr>
        <w:t xml:space="preserve">”, MIC), der er relevant for den pågældende mikroorganisme. </w:t>
      </w:r>
    </w:p>
    <w:p w14:paraId="5558A45C" w14:textId="77777777" w:rsidR="00D52384" w:rsidRPr="00C152A7" w:rsidRDefault="00D52384" w:rsidP="00434810">
      <w:pPr>
        <w:ind w:left="851"/>
        <w:rPr>
          <w:sz w:val="24"/>
          <w:szCs w:val="24"/>
          <w:lang w:val="nl-NL"/>
        </w:rPr>
      </w:pPr>
    </w:p>
    <w:p w14:paraId="44A646B2" w14:textId="77777777" w:rsidR="00D52384" w:rsidRPr="00C152A7" w:rsidRDefault="00D52384" w:rsidP="00434810">
      <w:pPr>
        <w:ind w:left="851"/>
        <w:rPr>
          <w:b/>
          <w:sz w:val="24"/>
          <w:szCs w:val="24"/>
        </w:rPr>
      </w:pPr>
      <w:proofErr w:type="spellStart"/>
      <w:r w:rsidRPr="00C152A7">
        <w:rPr>
          <w:b/>
          <w:sz w:val="24"/>
          <w:szCs w:val="24"/>
        </w:rPr>
        <w:t>Breakpoints</w:t>
      </w:r>
      <w:proofErr w:type="spellEnd"/>
      <w:r w:rsidRPr="00C152A7">
        <w:rPr>
          <w:b/>
          <w:sz w:val="24"/>
          <w:szCs w:val="24"/>
        </w:rPr>
        <w:t xml:space="preserve"> </w:t>
      </w:r>
    </w:p>
    <w:p w14:paraId="39F2FC5F" w14:textId="77777777" w:rsidR="00D52384" w:rsidRPr="00C152A7" w:rsidRDefault="00D52384" w:rsidP="00434810">
      <w:pPr>
        <w:ind w:left="851"/>
        <w:rPr>
          <w:sz w:val="24"/>
          <w:szCs w:val="24"/>
          <w:highlight w:val="yellow"/>
        </w:rPr>
      </w:pPr>
      <w:r w:rsidRPr="00C152A7">
        <w:rPr>
          <w:sz w:val="24"/>
          <w:szCs w:val="24"/>
        </w:rPr>
        <w:t xml:space="preserve">Til testning af </w:t>
      </w:r>
      <w:proofErr w:type="spellStart"/>
      <w:r w:rsidRPr="00C152A7">
        <w:rPr>
          <w:sz w:val="24"/>
          <w:szCs w:val="24"/>
        </w:rPr>
        <w:t>metronidazol</w:t>
      </w:r>
      <w:proofErr w:type="spellEnd"/>
      <w:r w:rsidRPr="00C152A7">
        <w:rPr>
          <w:sz w:val="24"/>
          <w:szCs w:val="24"/>
        </w:rPr>
        <w:t xml:space="preserve"> anvendes sædvanlige fortyndingsserier. Den følgende mindste hæmmende koncentration er blevet fastlagt for at skelne mellem følsomme og resistente mikroorganismer:</w:t>
      </w:r>
    </w:p>
    <w:p w14:paraId="77B3EACA" w14:textId="77777777" w:rsidR="00751D76" w:rsidRDefault="00751D76" w:rsidP="00434810">
      <w:pPr>
        <w:ind w:left="851"/>
        <w:rPr>
          <w:sz w:val="24"/>
          <w:szCs w:val="24"/>
          <w:lang w:val="nl-NL"/>
        </w:rPr>
      </w:pPr>
    </w:p>
    <w:p w14:paraId="3390AF69" w14:textId="34CF01D1" w:rsidR="00BC0209" w:rsidRDefault="00D52384" w:rsidP="00973CF3">
      <w:pPr>
        <w:ind w:left="851"/>
        <w:rPr>
          <w:sz w:val="24"/>
          <w:szCs w:val="24"/>
          <w:lang w:val="nl-NL"/>
        </w:rPr>
      </w:pPr>
      <w:r w:rsidRPr="00C152A7">
        <w:rPr>
          <w:sz w:val="24"/>
          <w:szCs w:val="24"/>
          <w:lang w:val="nl-NL"/>
        </w:rPr>
        <w:t>Breakpoints ifølge EUCAST (European Committee on Antimicrobial Susceptibility Testing, version 13.1, juni 2023), der adskiller modtagelige (S) organismer fra resistente (R) organismer, er som følger:</w:t>
      </w:r>
      <w:r w:rsidR="00BC0209">
        <w:rPr>
          <w:sz w:val="24"/>
          <w:szCs w:val="24"/>
          <w:lang w:val="nl-NL"/>
        </w:rPr>
        <w:br w:type="page"/>
      </w:r>
    </w:p>
    <w:p w14:paraId="55F2134F" w14:textId="77777777" w:rsidR="00D52384" w:rsidRPr="00C152A7" w:rsidRDefault="00D52384" w:rsidP="00D52384">
      <w:pPr>
        <w:rPr>
          <w:sz w:val="24"/>
          <w:szCs w:val="24"/>
          <w:lang w:val="nl-NL"/>
        </w:rPr>
      </w:pPr>
    </w:p>
    <w:tbl>
      <w:tblPr>
        <w:tblStyle w:val="Tabel-Gitter"/>
        <w:tblW w:w="5000" w:type="pct"/>
        <w:tblInd w:w="0" w:type="dxa"/>
        <w:tblLook w:val="04A0" w:firstRow="1" w:lastRow="0" w:firstColumn="1" w:lastColumn="0" w:noHBand="0" w:noVBand="1"/>
      </w:tblPr>
      <w:tblGrid>
        <w:gridCol w:w="3530"/>
        <w:gridCol w:w="2888"/>
        <w:gridCol w:w="3210"/>
      </w:tblGrid>
      <w:tr w:rsidR="00D52384" w:rsidRPr="00C152A7" w14:paraId="473FF7EA"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50A628C2"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Organisme</w:t>
            </w:r>
          </w:p>
        </w:tc>
        <w:tc>
          <w:tcPr>
            <w:tcW w:w="1500" w:type="pct"/>
            <w:tcBorders>
              <w:top w:val="single" w:sz="4" w:space="0" w:color="auto"/>
              <w:left w:val="single" w:sz="4" w:space="0" w:color="auto"/>
              <w:bottom w:val="single" w:sz="4" w:space="0" w:color="auto"/>
              <w:right w:val="single" w:sz="4" w:space="0" w:color="auto"/>
            </w:tcBorders>
            <w:hideMark/>
          </w:tcPr>
          <w:p w14:paraId="11767D9C"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Følsom</w:t>
            </w:r>
          </w:p>
        </w:tc>
        <w:tc>
          <w:tcPr>
            <w:tcW w:w="1667" w:type="pct"/>
            <w:tcBorders>
              <w:top w:val="single" w:sz="4" w:space="0" w:color="auto"/>
              <w:left w:val="single" w:sz="4" w:space="0" w:color="auto"/>
              <w:bottom w:val="single" w:sz="4" w:space="0" w:color="auto"/>
              <w:right w:val="single" w:sz="4" w:space="0" w:color="auto"/>
            </w:tcBorders>
            <w:hideMark/>
          </w:tcPr>
          <w:p w14:paraId="09BD8911"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Resistent</w:t>
            </w:r>
          </w:p>
        </w:tc>
      </w:tr>
      <w:tr w:rsidR="00D52384" w:rsidRPr="00C152A7" w14:paraId="370B272E"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7C16A252" w14:textId="77777777" w:rsidR="00D52384" w:rsidRPr="00C152A7" w:rsidRDefault="00D52384" w:rsidP="00BC0209">
            <w:pPr>
              <w:rPr>
                <w:rFonts w:ascii="Times New Roman" w:hAnsi="Times New Roman" w:cs="Times New Roman"/>
                <w:i/>
                <w:iCs/>
                <w:sz w:val="24"/>
                <w:szCs w:val="24"/>
              </w:rPr>
            </w:pPr>
            <w:proofErr w:type="spellStart"/>
            <w:r w:rsidRPr="00C152A7">
              <w:rPr>
                <w:rFonts w:ascii="Times New Roman" w:hAnsi="Times New Roman" w:cs="Times New Roman"/>
                <w:i/>
                <w:sz w:val="24"/>
                <w:szCs w:val="24"/>
              </w:rPr>
              <w:t>Bacteroides</w:t>
            </w:r>
            <w:proofErr w:type="spellEnd"/>
            <w:r w:rsidRPr="00C152A7">
              <w:rPr>
                <w:rFonts w:ascii="Times New Roman" w:hAnsi="Times New Roman" w:cs="Times New Roman"/>
                <w:i/>
                <w:sz w:val="24"/>
                <w:szCs w:val="24"/>
              </w:rPr>
              <w:t xml:space="preserve"> </w:t>
            </w:r>
            <w:proofErr w:type="spellStart"/>
            <w:r w:rsidRPr="00C152A7">
              <w:rPr>
                <w:rFonts w:ascii="Times New Roman" w:hAnsi="Times New Roman" w:cs="Times New Roman"/>
                <w:i/>
                <w:sz w:val="24"/>
                <w:szCs w:val="24"/>
              </w:rPr>
              <w:t>spp</w:t>
            </w:r>
            <w:proofErr w:type="spellEnd"/>
            <w:r w:rsidRPr="00C152A7">
              <w:rPr>
                <w:rFonts w:ascii="Times New Roman" w:hAnsi="Times New Roman" w:cs="Times New Roman"/>
                <w:i/>
                <w:sz w:val="24"/>
                <w:szCs w:val="24"/>
              </w:rPr>
              <w:t>.</w:t>
            </w:r>
          </w:p>
        </w:tc>
        <w:tc>
          <w:tcPr>
            <w:tcW w:w="1500" w:type="pct"/>
            <w:tcBorders>
              <w:top w:val="single" w:sz="4" w:space="0" w:color="auto"/>
              <w:left w:val="single" w:sz="4" w:space="0" w:color="auto"/>
              <w:bottom w:val="single" w:sz="4" w:space="0" w:color="auto"/>
              <w:right w:val="single" w:sz="4" w:space="0" w:color="auto"/>
            </w:tcBorders>
            <w:hideMark/>
          </w:tcPr>
          <w:p w14:paraId="0B5E2D96"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4 mg/l</w:t>
            </w:r>
          </w:p>
        </w:tc>
        <w:tc>
          <w:tcPr>
            <w:tcW w:w="1667" w:type="pct"/>
            <w:tcBorders>
              <w:top w:val="single" w:sz="4" w:space="0" w:color="auto"/>
              <w:left w:val="single" w:sz="4" w:space="0" w:color="auto"/>
              <w:bottom w:val="single" w:sz="4" w:space="0" w:color="auto"/>
              <w:right w:val="single" w:sz="4" w:space="0" w:color="auto"/>
            </w:tcBorders>
            <w:hideMark/>
          </w:tcPr>
          <w:p w14:paraId="37078878"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4 mg/l</w:t>
            </w:r>
          </w:p>
        </w:tc>
      </w:tr>
      <w:tr w:rsidR="00D52384" w:rsidRPr="00C152A7" w14:paraId="32FF42CE"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41EAE368" w14:textId="77777777" w:rsidR="00D52384" w:rsidRPr="00C152A7" w:rsidRDefault="00D52384" w:rsidP="00BC0209">
            <w:pPr>
              <w:rPr>
                <w:rFonts w:ascii="Times New Roman" w:hAnsi="Times New Roman" w:cs="Times New Roman"/>
                <w:i/>
                <w:iCs/>
                <w:sz w:val="24"/>
                <w:szCs w:val="24"/>
              </w:rPr>
            </w:pPr>
            <w:proofErr w:type="spellStart"/>
            <w:r w:rsidRPr="00C152A7">
              <w:rPr>
                <w:rFonts w:ascii="Times New Roman" w:hAnsi="Times New Roman" w:cs="Times New Roman"/>
                <w:i/>
                <w:sz w:val="24"/>
                <w:szCs w:val="24"/>
              </w:rPr>
              <w:t>Prevotella</w:t>
            </w:r>
            <w:proofErr w:type="spellEnd"/>
            <w:r w:rsidRPr="00C152A7">
              <w:rPr>
                <w:rFonts w:ascii="Times New Roman" w:hAnsi="Times New Roman" w:cs="Times New Roman"/>
                <w:i/>
                <w:sz w:val="24"/>
                <w:szCs w:val="24"/>
              </w:rPr>
              <w:t xml:space="preserve"> </w:t>
            </w:r>
            <w:proofErr w:type="spellStart"/>
            <w:r w:rsidRPr="00C152A7">
              <w:rPr>
                <w:rFonts w:ascii="Times New Roman" w:hAnsi="Times New Roman" w:cs="Times New Roman"/>
                <w:i/>
                <w:sz w:val="24"/>
                <w:szCs w:val="24"/>
              </w:rPr>
              <w:t>spp</w:t>
            </w:r>
            <w:proofErr w:type="spellEnd"/>
            <w:r w:rsidRPr="00C152A7">
              <w:rPr>
                <w:rFonts w:ascii="Times New Roman" w:hAnsi="Times New Roman" w:cs="Times New Roman"/>
                <w:i/>
                <w:sz w:val="24"/>
                <w:szCs w:val="24"/>
              </w:rPr>
              <w:t>.</w:t>
            </w:r>
          </w:p>
        </w:tc>
        <w:tc>
          <w:tcPr>
            <w:tcW w:w="1500" w:type="pct"/>
            <w:tcBorders>
              <w:top w:val="single" w:sz="4" w:space="0" w:color="auto"/>
              <w:left w:val="single" w:sz="4" w:space="0" w:color="auto"/>
              <w:bottom w:val="single" w:sz="4" w:space="0" w:color="auto"/>
              <w:right w:val="single" w:sz="4" w:space="0" w:color="auto"/>
            </w:tcBorders>
            <w:hideMark/>
          </w:tcPr>
          <w:p w14:paraId="6B22E27F"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4 mg/l</w:t>
            </w:r>
          </w:p>
        </w:tc>
        <w:tc>
          <w:tcPr>
            <w:tcW w:w="1667" w:type="pct"/>
            <w:tcBorders>
              <w:top w:val="single" w:sz="4" w:space="0" w:color="auto"/>
              <w:left w:val="single" w:sz="4" w:space="0" w:color="auto"/>
              <w:bottom w:val="single" w:sz="4" w:space="0" w:color="auto"/>
              <w:right w:val="single" w:sz="4" w:space="0" w:color="auto"/>
            </w:tcBorders>
            <w:hideMark/>
          </w:tcPr>
          <w:p w14:paraId="34581A8C"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4 mg/l</w:t>
            </w:r>
          </w:p>
        </w:tc>
      </w:tr>
      <w:tr w:rsidR="00D52384" w:rsidRPr="00C152A7" w14:paraId="17634CA6"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05B2996E" w14:textId="77777777" w:rsidR="00D52384" w:rsidRPr="00C152A7" w:rsidRDefault="00D52384" w:rsidP="00BC0209">
            <w:pPr>
              <w:rPr>
                <w:rFonts w:ascii="Times New Roman" w:hAnsi="Times New Roman" w:cs="Times New Roman"/>
                <w:i/>
                <w:sz w:val="24"/>
                <w:szCs w:val="24"/>
              </w:rPr>
            </w:pPr>
            <w:proofErr w:type="spellStart"/>
            <w:r w:rsidRPr="00C152A7">
              <w:rPr>
                <w:rFonts w:ascii="Times New Roman" w:hAnsi="Times New Roman" w:cs="Times New Roman"/>
                <w:i/>
                <w:sz w:val="24"/>
                <w:szCs w:val="24"/>
              </w:rPr>
              <w:t>Fusobacterium</w:t>
            </w:r>
            <w:proofErr w:type="spellEnd"/>
            <w:r w:rsidRPr="00C152A7">
              <w:rPr>
                <w:rFonts w:ascii="Times New Roman" w:hAnsi="Times New Roman" w:cs="Times New Roman"/>
                <w:i/>
                <w:sz w:val="24"/>
                <w:szCs w:val="24"/>
              </w:rPr>
              <w:t xml:space="preserve"> </w:t>
            </w:r>
            <w:proofErr w:type="spellStart"/>
            <w:r w:rsidRPr="00C152A7">
              <w:rPr>
                <w:rFonts w:ascii="Times New Roman" w:hAnsi="Times New Roman" w:cs="Times New Roman"/>
                <w:i/>
                <w:sz w:val="24"/>
                <w:szCs w:val="24"/>
              </w:rPr>
              <w:t>necrophorum</w:t>
            </w:r>
            <w:proofErr w:type="spellEnd"/>
          </w:p>
        </w:tc>
        <w:tc>
          <w:tcPr>
            <w:tcW w:w="1500" w:type="pct"/>
            <w:tcBorders>
              <w:top w:val="single" w:sz="4" w:space="0" w:color="auto"/>
              <w:left w:val="single" w:sz="4" w:space="0" w:color="auto"/>
              <w:bottom w:val="single" w:sz="4" w:space="0" w:color="auto"/>
              <w:right w:val="single" w:sz="4" w:space="0" w:color="auto"/>
            </w:tcBorders>
            <w:hideMark/>
          </w:tcPr>
          <w:p w14:paraId="2FB4B41B"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0,5 mg/l</w:t>
            </w:r>
          </w:p>
        </w:tc>
        <w:tc>
          <w:tcPr>
            <w:tcW w:w="1667" w:type="pct"/>
            <w:tcBorders>
              <w:top w:val="single" w:sz="4" w:space="0" w:color="auto"/>
              <w:left w:val="single" w:sz="4" w:space="0" w:color="auto"/>
              <w:bottom w:val="single" w:sz="4" w:space="0" w:color="auto"/>
              <w:right w:val="single" w:sz="4" w:space="0" w:color="auto"/>
            </w:tcBorders>
            <w:hideMark/>
          </w:tcPr>
          <w:p w14:paraId="426E2A8D"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0,5 mg/l</w:t>
            </w:r>
          </w:p>
        </w:tc>
      </w:tr>
      <w:tr w:rsidR="00D52384" w:rsidRPr="00C152A7" w14:paraId="32999583"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57804595" w14:textId="77777777" w:rsidR="00D52384" w:rsidRPr="00C152A7" w:rsidRDefault="00D52384" w:rsidP="00BC0209">
            <w:pPr>
              <w:rPr>
                <w:rFonts w:ascii="Times New Roman" w:hAnsi="Times New Roman" w:cs="Times New Roman"/>
                <w:i/>
                <w:sz w:val="24"/>
                <w:szCs w:val="24"/>
              </w:rPr>
            </w:pPr>
            <w:proofErr w:type="spellStart"/>
            <w:r w:rsidRPr="00C152A7">
              <w:rPr>
                <w:rFonts w:ascii="Times New Roman" w:hAnsi="Times New Roman" w:cs="Times New Roman"/>
                <w:i/>
                <w:sz w:val="24"/>
                <w:szCs w:val="24"/>
              </w:rPr>
              <w:t>Clostridium</w:t>
            </w:r>
            <w:proofErr w:type="spellEnd"/>
            <w:r w:rsidRPr="00C152A7">
              <w:rPr>
                <w:rFonts w:ascii="Times New Roman" w:hAnsi="Times New Roman" w:cs="Times New Roman"/>
                <w:i/>
                <w:sz w:val="24"/>
                <w:szCs w:val="24"/>
              </w:rPr>
              <w:t xml:space="preserve"> </w:t>
            </w:r>
            <w:proofErr w:type="spellStart"/>
            <w:r w:rsidRPr="00C152A7">
              <w:rPr>
                <w:rFonts w:ascii="Times New Roman" w:hAnsi="Times New Roman" w:cs="Times New Roman"/>
                <w:i/>
                <w:sz w:val="24"/>
                <w:szCs w:val="24"/>
              </w:rPr>
              <w:t>perfringens</w:t>
            </w:r>
            <w:proofErr w:type="spellEnd"/>
          </w:p>
        </w:tc>
        <w:tc>
          <w:tcPr>
            <w:tcW w:w="1500" w:type="pct"/>
            <w:tcBorders>
              <w:top w:val="single" w:sz="4" w:space="0" w:color="auto"/>
              <w:left w:val="single" w:sz="4" w:space="0" w:color="auto"/>
              <w:bottom w:val="single" w:sz="4" w:space="0" w:color="auto"/>
              <w:right w:val="single" w:sz="4" w:space="0" w:color="auto"/>
            </w:tcBorders>
            <w:hideMark/>
          </w:tcPr>
          <w:p w14:paraId="6EFA57B1"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4 mg/l</w:t>
            </w:r>
          </w:p>
        </w:tc>
        <w:tc>
          <w:tcPr>
            <w:tcW w:w="1667" w:type="pct"/>
            <w:tcBorders>
              <w:top w:val="single" w:sz="4" w:space="0" w:color="auto"/>
              <w:left w:val="single" w:sz="4" w:space="0" w:color="auto"/>
              <w:bottom w:val="single" w:sz="4" w:space="0" w:color="auto"/>
              <w:right w:val="single" w:sz="4" w:space="0" w:color="auto"/>
            </w:tcBorders>
            <w:hideMark/>
          </w:tcPr>
          <w:p w14:paraId="15031717"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4 mg/l</w:t>
            </w:r>
          </w:p>
        </w:tc>
      </w:tr>
      <w:tr w:rsidR="00D52384" w:rsidRPr="00C152A7" w14:paraId="5504616F"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4909995B" w14:textId="77777777" w:rsidR="00D52384" w:rsidRPr="00C152A7" w:rsidRDefault="00D52384" w:rsidP="00BC0209">
            <w:pPr>
              <w:rPr>
                <w:rFonts w:ascii="Times New Roman" w:hAnsi="Times New Roman" w:cs="Times New Roman"/>
                <w:sz w:val="24"/>
                <w:szCs w:val="24"/>
              </w:rPr>
            </w:pPr>
            <w:proofErr w:type="spellStart"/>
            <w:r w:rsidRPr="00C152A7">
              <w:rPr>
                <w:rFonts w:ascii="Times New Roman" w:hAnsi="Times New Roman" w:cs="Times New Roman"/>
                <w:i/>
                <w:sz w:val="24"/>
                <w:szCs w:val="24"/>
              </w:rPr>
              <w:t>Clostridioides</w:t>
            </w:r>
            <w:proofErr w:type="spellEnd"/>
            <w:r w:rsidRPr="00C152A7">
              <w:rPr>
                <w:rFonts w:ascii="Times New Roman" w:hAnsi="Times New Roman" w:cs="Times New Roman"/>
                <w:i/>
                <w:sz w:val="24"/>
                <w:szCs w:val="24"/>
              </w:rPr>
              <w:t xml:space="preserve"> difficile</w:t>
            </w:r>
            <w:r w:rsidRPr="00C152A7">
              <w:rPr>
                <w:rFonts w:ascii="Times New Roman" w:hAnsi="Times New Roman" w:cs="Times New Roman"/>
                <w:i/>
                <w:sz w:val="24"/>
                <w:szCs w:val="24"/>
                <w:vertAlign w:val="superscript"/>
              </w:rPr>
              <w:t>1</w:t>
            </w:r>
          </w:p>
        </w:tc>
        <w:tc>
          <w:tcPr>
            <w:tcW w:w="1500" w:type="pct"/>
            <w:tcBorders>
              <w:top w:val="single" w:sz="4" w:space="0" w:color="auto"/>
              <w:left w:val="single" w:sz="4" w:space="0" w:color="auto"/>
              <w:bottom w:val="single" w:sz="4" w:space="0" w:color="auto"/>
              <w:right w:val="single" w:sz="4" w:space="0" w:color="auto"/>
            </w:tcBorders>
            <w:hideMark/>
          </w:tcPr>
          <w:p w14:paraId="104D1EF0"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2 mg/l</w:t>
            </w:r>
          </w:p>
        </w:tc>
        <w:tc>
          <w:tcPr>
            <w:tcW w:w="1667" w:type="pct"/>
            <w:tcBorders>
              <w:top w:val="single" w:sz="4" w:space="0" w:color="auto"/>
              <w:left w:val="single" w:sz="4" w:space="0" w:color="auto"/>
              <w:bottom w:val="single" w:sz="4" w:space="0" w:color="auto"/>
              <w:right w:val="single" w:sz="4" w:space="0" w:color="auto"/>
            </w:tcBorders>
            <w:hideMark/>
          </w:tcPr>
          <w:p w14:paraId="79A89FB8"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2 mg/l</w:t>
            </w:r>
          </w:p>
        </w:tc>
      </w:tr>
      <w:tr w:rsidR="00D52384" w:rsidRPr="00C152A7" w14:paraId="21C992C9" w14:textId="77777777" w:rsidTr="00434810">
        <w:tc>
          <w:tcPr>
            <w:tcW w:w="1833" w:type="pct"/>
            <w:tcBorders>
              <w:top w:val="single" w:sz="4" w:space="0" w:color="auto"/>
              <w:left w:val="single" w:sz="4" w:space="0" w:color="auto"/>
              <w:bottom w:val="single" w:sz="4" w:space="0" w:color="auto"/>
              <w:right w:val="single" w:sz="4" w:space="0" w:color="auto"/>
            </w:tcBorders>
            <w:hideMark/>
          </w:tcPr>
          <w:p w14:paraId="241AC873" w14:textId="77777777" w:rsidR="00D52384" w:rsidRPr="00C152A7" w:rsidRDefault="00D52384" w:rsidP="00BC0209">
            <w:pPr>
              <w:rPr>
                <w:rFonts w:ascii="Times New Roman" w:hAnsi="Times New Roman" w:cs="Times New Roman"/>
                <w:i/>
                <w:sz w:val="24"/>
                <w:szCs w:val="24"/>
              </w:rPr>
            </w:pPr>
            <w:proofErr w:type="spellStart"/>
            <w:r w:rsidRPr="00C152A7">
              <w:rPr>
                <w:rFonts w:ascii="Times New Roman" w:hAnsi="Times New Roman" w:cs="Times New Roman"/>
                <w:i/>
                <w:sz w:val="24"/>
                <w:szCs w:val="24"/>
              </w:rPr>
              <w:t>Helicobacter</w:t>
            </w:r>
            <w:proofErr w:type="spellEnd"/>
            <w:r w:rsidRPr="00C152A7">
              <w:rPr>
                <w:rFonts w:ascii="Times New Roman" w:hAnsi="Times New Roman" w:cs="Times New Roman"/>
                <w:i/>
                <w:sz w:val="24"/>
                <w:szCs w:val="24"/>
              </w:rPr>
              <w:t xml:space="preserve"> </w:t>
            </w:r>
            <w:proofErr w:type="spellStart"/>
            <w:r w:rsidRPr="00C152A7">
              <w:rPr>
                <w:rFonts w:ascii="Times New Roman" w:hAnsi="Times New Roman" w:cs="Times New Roman"/>
                <w:i/>
                <w:sz w:val="24"/>
                <w:szCs w:val="24"/>
              </w:rPr>
              <w:t>pylori</w:t>
            </w:r>
            <w:proofErr w:type="spellEnd"/>
          </w:p>
        </w:tc>
        <w:tc>
          <w:tcPr>
            <w:tcW w:w="1500" w:type="pct"/>
            <w:tcBorders>
              <w:top w:val="single" w:sz="4" w:space="0" w:color="auto"/>
              <w:left w:val="single" w:sz="4" w:space="0" w:color="auto"/>
              <w:bottom w:val="single" w:sz="4" w:space="0" w:color="auto"/>
              <w:right w:val="single" w:sz="4" w:space="0" w:color="auto"/>
            </w:tcBorders>
            <w:hideMark/>
          </w:tcPr>
          <w:p w14:paraId="3288B78C"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 8 mg/l</w:t>
            </w:r>
          </w:p>
        </w:tc>
        <w:tc>
          <w:tcPr>
            <w:tcW w:w="1667" w:type="pct"/>
            <w:tcBorders>
              <w:top w:val="single" w:sz="4" w:space="0" w:color="auto"/>
              <w:left w:val="single" w:sz="4" w:space="0" w:color="auto"/>
              <w:bottom w:val="single" w:sz="4" w:space="0" w:color="auto"/>
              <w:right w:val="single" w:sz="4" w:space="0" w:color="auto"/>
            </w:tcBorders>
            <w:hideMark/>
          </w:tcPr>
          <w:p w14:paraId="41F6528C" w14:textId="77777777" w:rsidR="00D52384" w:rsidRPr="00C152A7" w:rsidRDefault="00D52384" w:rsidP="00BC0209">
            <w:pPr>
              <w:rPr>
                <w:rFonts w:ascii="Times New Roman" w:hAnsi="Times New Roman" w:cs="Times New Roman"/>
                <w:sz w:val="24"/>
                <w:szCs w:val="24"/>
              </w:rPr>
            </w:pPr>
            <w:r w:rsidRPr="00C152A7">
              <w:rPr>
                <w:rFonts w:ascii="Times New Roman" w:hAnsi="Times New Roman" w:cs="Times New Roman"/>
                <w:sz w:val="24"/>
                <w:szCs w:val="24"/>
              </w:rPr>
              <w:t>&gt; 8 mg/l</w:t>
            </w:r>
          </w:p>
        </w:tc>
      </w:tr>
    </w:tbl>
    <w:p w14:paraId="4D10FF43" w14:textId="5C6F3FF7" w:rsidR="00D52384" w:rsidRPr="00BC0209" w:rsidRDefault="00D52384" w:rsidP="00BC0209">
      <w:pPr>
        <w:ind w:left="284" w:hanging="284"/>
        <w:rPr>
          <w:sz w:val="20"/>
        </w:rPr>
      </w:pPr>
      <w:r w:rsidRPr="00BC0209">
        <w:rPr>
          <w:sz w:val="20"/>
          <w:vertAlign w:val="superscript"/>
        </w:rPr>
        <w:t>1</w:t>
      </w:r>
      <w:r w:rsidRPr="00BC0209">
        <w:rPr>
          <w:sz w:val="20"/>
        </w:rPr>
        <w:t> </w:t>
      </w:r>
      <w:r w:rsidR="00BC0209" w:rsidRPr="00BC0209">
        <w:rPr>
          <w:sz w:val="20"/>
        </w:rPr>
        <w:tab/>
      </w:r>
      <w:proofErr w:type="spellStart"/>
      <w:r w:rsidRPr="00BC0209">
        <w:rPr>
          <w:sz w:val="20"/>
        </w:rPr>
        <w:t>Breakpoints</w:t>
      </w:r>
      <w:proofErr w:type="spellEnd"/>
      <w:r w:rsidRPr="00BC0209">
        <w:rPr>
          <w:sz w:val="20"/>
        </w:rPr>
        <w:t xml:space="preserve"> er baseret på epidemiologiske cut-</w:t>
      </w:r>
      <w:proofErr w:type="spellStart"/>
      <w:r w:rsidRPr="00BC0209">
        <w:rPr>
          <w:sz w:val="20"/>
        </w:rPr>
        <w:t>off</w:t>
      </w:r>
      <w:proofErr w:type="spellEnd"/>
      <w:r w:rsidRPr="00BC0209">
        <w:rPr>
          <w:sz w:val="20"/>
        </w:rPr>
        <w:t>-værdier (</w:t>
      </w:r>
      <w:proofErr w:type="spellStart"/>
      <w:r w:rsidRPr="00BC0209">
        <w:rPr>
          <w:sz w:val="20"/>
        </w:rPr>
        <w:t>ECOFF’er</w:t>
      </w:r>
      <w:proofErr w:type="spellEnd"/>
      <w:r w:rsidRPr="00BC0209">
        <w:rPr>
          <w:sz w:val="20"/>
        </w:rPr>
        <w:t>), som skelner mellem wild-type-</w:t>
      </w:r>
      <w:proofErr w:type="spellStart"/>
      <w:r w:rsidRPr="00BC0209">
        <w:rPr>
          <w:sz w:val="20"/>
        </w:rPr>
        <w:t>isolater</w:t>
      </w:r>
      <w:proofErr w:type="spellEnd"/>
      <w:r w:rsidRPr="00BC0209">
        <w:rPr>
          <w:sz w:val="20"/>
        </w:rPr>
        <w:t xml:space="preserve"> og </w:t>
      </w:r>
      <w:proofErr w:type="spellStart"/>
      <w:r w:rsidRPr="00BC0209">
        <w:rPr>
          <w:sz w:val="20"/>
        </w:rPr>
        <w:t>isolater</w:t>
      </w:r>
      <w:proofErr w:type="spellEnd"/>
      <w:r w:rsidRPr="00BC0209">
        <w:rPr>
          <w:sz w:val="20"/>
        </w:rPr>
        <w:t xml:space="preserve"> med nedsat følsomhed.</w:t>
      </w:r>
    </w:p>
    <w:p w14:paraId="201D89CE" w14:textId="77777777" w:rsidR="00D52384" w:rsidRPr="00C152A7" w:rsidRDefault="00D52384" w:rsidP="00D52384">
      <w:pPr>
        <w:rPr>
          <w:i/>
          <w:sz w:val="24"/>
          <w:szCs w:val="24"/>
        </w:rPr>
      </w:pPr>
    </w:p>
    <w:p w14:paraId="283C5CDC" w14:textId="77777777" w:rsidR="00D52384" w:rsidRPr="00C152A7" w:rsidRDefault="00D52384" w:rsidP="00434810">
      <w:pPr>
        <w:ind w:left="851"/>
        <w:rPr>
          <w:i/>
          <w:sz w:val="24"/>
          <w:szCs w:val="24"/>
        </w:rPr>
      </w:pPr>
      <w:r w:rsidRPr="00C152A7">
        <w:rPr>
          <w:i/>
          <w:sz w:val="24"/>
          <w:szCs w:val="24"/>
        </w:rPr>
        <w:t>Liste over følsomme og resistente organismer.</w:t>
      </w:r>
    </w:p>
    <w:p w14:paraId="2EC3202A" w14:textId="77777777" w:rsidR="00D52384" w:rsidRPr="00C152A7" w:rsidRDefault="00D52384" w:rsidP="00434810">
      <w:pPr>
        <w:ind w:left="851"/>
        <w:rPr>
          <w:i/>
          <w:sz w:val="24"/>
          <w:szCs w:val="24"/>
          <w:lang w:val="nl-NL"/>
        </w:rPr>
      </w:pPr>
    </w:p>
    <w:tbl>
      <w:tblPr>
        <w:tblW w:w="6168" w:type="dxa"/>
        <w:tblInd w:w="841" w:type="dxa"/>
        <w:tblCellMar>
          <w:top w:w="53" w:type="dxa"/>
          <w:left w:w="72" w:type="dxa"/>
          <w:right w:w="115" w:type="dxa"/>
        </w:tblCellMar>
        <w:tblLook w:val="04A0" w:firstRow="1" w:lastRow="0" w:firstColumn="1" w:lastColumn="0" w:noHBand="0" w:noVBand="1"/>
      </w:tblPr>
      <w:tblGrid>
        <w:gridCol w:w="6168"/>
      </w:tblGrid>
      <w:tr w:rsidR="00D52384" w:rsidRPr="00C152A7" w14:paraId="6E909F2A"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0EB5C699" w14:textId="77777777" w:rsidR="00D52384" w:rsidRPr="00C152A7" w:rsidRDefault="00D52384" w:rsidP="00BC0209">
            <w:pPr>
              <w:rPr>
                <w:b/>
                <w:sz w:val="24"/>
                <w:szCs w:val="24"/>
              </w:rPr>
            </w:pPr>
            <w:r w:rsidRPr="00C152A7">
              <w:rPr>
                <w:b/>
                <w:sz w:val="24"/>
                <w:szCs w:val="24"/>
              </w:rPr>
              <w:t xml:space="preserve">Alment følsomme arter </w:t>
            </w:r>
          </w:p>
        </w:tc>
      </w:tr>
      <w:tr w:rsidR="00D52384" w:rsidRPr="00C152A7" w14:paraId="0346E139"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3D370851" w14:textId="77777777" w:rsidR="00D52384" w:rsidRPr="00C152A7" w:rsidRDefault="00D52384" w:rsidP="00BC0209">
            <w:pPr>
              <w:rPr>
                <w:b/>
                <w:sz w:val="24"/>
                <w:szCs w:val="24"/>
              </w:rPr>
            </w:pPr>
            <w:r w:rsidRPr="00C152A7">
              <w:rPr>
                <w:b/>
                <w:i/>
                <w:sz w:val="24"/>
                <w:szCs w:val="24"/>
              </w:rPr>
              <w:t xml:space="preserve">Anaerobe  </w:t>
            </w:r>
          </w:p>
        </w:tc>
      </w:tr>
      <w:tr w:rsidR="00D52384" w:rsidRPr="00C152A7" w14:paraId="5EA36D2B" w14:textId="77777777" w:rsidTr="00434810">
        <w:trPr>
          <w:trHeight w:val="271"/>
        </w:trPr>
        <w:tc>
          <w:tcPr>
            <w:tcW w:w="6168" w:type="dxa"/>
            <w:tcBorders>
              <w:top w:val="single" w:sz="8" w:space="0" w:color="000000"/>
              <w:left w:val="single" w:sz="8" w:space="0" w:color="000000"/>
              <w:bottom w:val="single" w:sz="8" w:space="0" w:color="000000"/>
              <w:right w:val="single" w:sz="8" w:space="0" w:color="000000"/>
            </w:tcBorders>
            <w:hideMark/>
          </w:tcPr>
          <w:p w14:paraId="513AFA5C" w14:textId="77777777" w:rsidR="00D52384" w:rsidRPr="00C152A7" w:rsidRDefault="00D52384" w:rsidP="00BC0209">
            <w:pPr>
              <w:rPr>
                <w:sz w:val="24"/>
                <w:szCs w:val="24"/>
              </w:rPr>
            </w:pPr>
            <w:proofErr w:type="spellStart"/>
            <w:r w:rsidRPr="00C152A7">
              <w:rPr>
                <w:i/>
                <w:sz w:val="24"/>
                <w:szCs w:val="24"/>
              </w:rPr>
              <w:t>Clostridioides</w:t>
            </w:r>
            <w:proofErr w:type="spellEnd"/>
            <w:r w:rsidRPr="00C152A7">
              <w:rPr>
                <w:i/>
                <w:sz w:val="24"/>
                <w:szCs w:val="24"/>
              </w:rPr>
              <w:t xml:space="preserve"> difficile</w:t>
            </w:r>
            <w:r w:rsidRPr="00C152A7">
              <w:rPr>
                <w:sz w:val="24"/>
                <w:szCs w:val="24"/>
              </w:rPr>
              <w:t>°</w:t>
            </w:r>
            <w:r w:rsidRPr="00C152A7">
              <w:rPr>
                <w:i/>
                <w:sz w:val="24"/>
                <w:szCs w:val="24"/>
              </w:rPr>
              <w:t xml:space="preserve"> </w:t>
            </w:r>
            <w:r w:rsidRPr="00C152A7">
              <w:rPr>
                <w:sz w:val="24"/>
                <w:szCs w:val="24"/>
              </w:rPr>
              <w:t xml:space="preserve"> </w:t>
            </w:r>
          </w:p>
        </w:tc>
      </w:tr>
      <w:tr w:rsidR="00D52384" w:rsidRPr="00C152A7" w14:paraId="1B78E196"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3EA001FB" w14:textId="77777777" w:rsidR="00D52384" w:rsidRPr="00C152A7" w:rsidRDefault="00D52384" w:rsidP="00BC0209">
            <w:pPr>
              <w:rPr>
                <w:sz w:val="24"/>
                <w:szCs w:val="24"/>
              </w:rPr>
            </w:pPr>
            <w:proofErr w:type="spellStart"/>
            <w:r w:rsidRPr="00C152A7">
              <w:rPr>
                <w:i/>
                <w:sz w:val="24"/>
                <w:szCs w:val="24"/>
              </w:rPr>
              <w:t>Clostridium</w:t>
            </w:r>
            <w:proofErr w:type="spellEnd"/>
            <w:r w:rsidRPr="00C152A7">
              <w:rPr>
                <w:i/>
                <w:sz w:val="24"/>
                <w:szCs w:val="24"/>
              </w:rPr>
              <w:t xml:space="preserve"> </w:t>
            </w:r>
            <w:proofErr w:type="spellStart"/>
            <w:r w:rsidRPr="00C152A7">
              <w:rPr>
                <w:i/>
                <w:sz w:val="24"/>
                <w:szCs w:val="24"/>
              </w:rPr>
              <w:t>perfringens</w:t>
            </w:r>
            <w:proofErr w:type="spellEnd"/>
            <w:r w:rsidRPr="00C152A7">
              <w:rPr>
                <w:sz w:val="24"/>
                <w:szCs w:val="24"/>
              </w:rPr>
              <w:t>°</w:t>
            </w:r>
            <w:r w:rsidRPr="00C152A7">
              <w:rPr>
                <w:sz w:val="24"/>
                <w:szCs w:val="24"/>
                <w:vertAlign w:val="superscript"/>
              </w:rPr>
              <w:t>∆</w:t>
            </w:r>
            <w:r w:rsidRPr="00C152A7">
              <w:rPr>
                <w:sz w:val="24"/>
                <w:szCs w:val="24"/>
              </w:rPr>
              <w:t xml:space="preserve"> </w:t>
            </w:r>
          </w:p>
        </w:tc>
      </w:tr>
      <w:tr w:rsidR="00D52384" w:rsidRPr="00C152A7" w14:paraId="627E51CB"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07730473" w14:textId="77777777" w:rsidR="00D52384" w:rsidRPr="00C152A7" w:rsidRDefault="00D52384" w:rsidP="00BC0209">
            <w:pPr>
              <w:rPr>
                <w:sz w:val="24"/>
                <w:szCs w:val="24"/>
              </w:rPr>
            </w:pPr>
            <w:proofErr w:type="spellStart"/>
            <w:r w:rsidRPr="00C152A7">
              <w:rPr>
                <w:i/>
                <w:sz w:val="24"/>
                <w:szCs w:val="24"/>
              </w:rPr>
              <w:t>Fusobacterium</w:t>
            </w:r>
            <w:proofErr w:type="spellEnd"/>
            <w:r w:rsidRPr="00C152A7">
              <w:rPr>
                <w:i/>
                <w:sz w:val="24"/>
                <w:szCs w:val="24"/>
              </w:rPr>
              <w:t xml:space="preserve"> </w:t>
            </w:r>
            <w:proofErr w:type="spellStart"/>
            <w:proofErr w:type="gramStart"/>
            <w:r w:rsidRPr="00C152A7">
              <w:rPr>
                <w:sz w:val="24"/>
                <w:szCs w:val="24"/>
              </w:rPr>
              <w:t>spp</w:t>
            </w:r>
            <w:proofErr w:type="spellEnd"/>
            <w:r w:rsidRPr="00C152A7">
              <w:rPr>
                <w:sz w:val="24"/>
                <w:szCs w:val="24"/>
              </w:rPr>
              <w:t>.°</w:t>
            </w:r>
            <w:proofErr w:type="gramEnd"/>
            <w:r w:rsidRPr="00C152A7">
              <w:rPr>
                <w:sz w:val="24"/>
                <w:szCs w:val="24"/>
              </w:rPr>
              <w:t xml:space="preserve">  </w:t>
            </w:r>
          </w:p>
        </w:tc>
      </w:tr>
      <w:tr w:rsidR="00D52384" w:rsidRPr="00C152A7" w14:paraId="6EC01762" w14:textId="77777777" w:rsidTr="00434810">
        <w:trPr>
          <w:trHeight w:val="271"/>
        </w:trPr>
        <w:tc>
          <w:tcPr>
            <w:tcW w:w="6168" w:type="dxa"/>
            <w:tcBorders>
              <w:top w:val="single" w:sz="8" w:space="0" w:color="000000"/>
              <w:left w:val="single" w:sz="8" w:space="0" w:color="000000"/>
              <w:bottom w:val="single" w:sz="8" w:space="0" w:color="000000"/>
              <w:right w:val="single" w:sz="8" w:space="0" w:color="000000"/>
            </w:tcBorders>
            <w:hideMark/>
          </w:tcPr>
          <w:p w14:paraId="2314C46C" w14:textId="77777777" w:rsidR="00D52384" w:rsidRPr="00C152A7" w:rsidRDefault="00D52384" w:rsidP="00BC0209">
            <w:pPr>
              <w:rPr>
                <w:sz w:val="24"/>
                <w:szCs w:val="24"/>
              </w:rPr>
            </w:pPr>
            <w:proofErr w:type="spellStart"/>
            <w:r w:rsidRPr="00C152A7">
              <w:rPr>
                <w:i/>
                <w:sz w:val="24"/>
                <w:szCs w:val="24"/>
              </w:rPr>
              <w:t>Peptoniphilus</w:t>
            </w:r>
            <w:proofErr w:type="spellEnd"/>
            <w:r w:rsidRPr="00C152A7">
              <w:rPr>
                <w:i/>
                <w:sz w:val="24"/>
                <w:szCs w:val="24"/>
              </w:rPr>
              <w:t xml:space="preserve"> </w:t>
            </w:r>
            <w:proofErr w:type="spellStart"/>
            <w:proofErr w:type="gramStart"/>
            <w:r w:rsidRPr="00C152A7">
              <w:rPr>
                <w:sz w:val="24"/>
                <w:szCs w:val="24"/>
              </w:rPr>
              <w:t>spp</w:t>
            </w:r>
            <w:proofErr w:type="spellEnd"/>
            <w:r w:rsidRPr="00C152A7">
              <w:rPr>
                <w:sz w:val="24"/>
                <w:szCs w:val="24"/>
              </w:rPr>
              <w:t>.°</w:t>
            </w:r>
            <w:proofErr w:type="gramEnd"/>
            <w:r w:rsidRPr="00C152A7">
              <w:rPr>
                <w:sz w:val="24"/>
                <w:szCs w:val="24"/>
              </w:rPr>
              <w:t xml:space="preserve">  </w:t>
            </w:r>
          </w:p>
        </w:tc>
      </w:tr>
      <w:tr w:rsidR="00D52384" w:rsidRPr="00C152A7" w14:paraId="7BAE78DC"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5A4DF4A0" w14:textId="77777777" w:rsidR="00D52384" w:rsidRPr="00C152A7" w:rsidRDefault="00D52384" w:rsidP="00BC0209">
            <w:pPr>
              <w:rPr>
                <w:sz w:val="24"/>
                <w:szCs w:val="24"/>
              </w:rPr>
            </w:pPr>
            <w:proofErr w:type="spellStart"/>
            <w:r w:rsidRPr="00C152A7">
              <w:rPr>
                <w:i/>
                <w:sz w:val="24"/>
                <w:szCs w:val="24"/>
              </w:rPr>
              <w:t>Peptostreptococcus</w:t>
            </w:r>
            <w:proofErr w:type="spellEnd"/>
            <w:r w:rsidRPr="00C152A7">
              <w:rPr>
                <w:i/>
                <w:sz w:val="24"/>
                <w:szCs w:val="24"/>
              </w:rPr>
              <w:t xml:space="preserve"> </w:t>
            </w:r>
            <w:proofErr w:type="spellStart"/>
            <w:proofErr w:type="gramStart"/>
            <w:r w:rsidRPr="00C152A7">
              <w:rPr>
                <w:sz w:val="24"/>
                <w:szCs w:val="24"/>
              </w:rPr>
              <w:t>spp</w:t>
            </w:r>
            <w:proofErr w:type="spellEnd"/>
            <w:r w:rsidRPr="00C152A7">
              <w:rPr>
                <w:sz w:val="24"/>
                <w:szCs w:val="24"/>
              </w:rPr>
              <w:t>.°</w:t>
            </w:r>
            <w:proofErr w:type="gramEnd"/>
            <w:r w:rsidRPr="00C152A7">
              <w:rPr>
                <w:sz w:val="24"/>
                <w:szCs w:val="24"/>
              </w:rPr>
              <w:t xml:space="preserve">  </w:t>
            </w:r>
          </w:p>
        </w:tc>
      </w:tr>
      <w:tr w:rsidR="00D52384" w:rsidRPr="00C152A7" w14:paraId="3FF80FA5"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6F5F8ED9" w14:textId="77777777" w:rsidR="00D52384" w:rsidRPr="00C152A7" w:rsidRDefault="00D52384" w:rsidP="00BC0209">
            <w:pPr>
              <w:rPr>
                <w:sz w:val="24"/>
                <w:szCs w:val="24"/>
              </w:rPr>
            </w:pPr>
            <w:proofErr w:type="spellStart"/>
            <w:r w:rsidRPr="00C152A7">
              <w:rPr>
                <w:i/>
                <w:sz w:val="24"/>
                <w:szCs w:val="24"/>
              </w:rPr>
              <w:t>Porphyromonas</w:t>
            </w:r>
            <w:proofErr w:type="spellEnd"/>
            <w:r w:rsidRPr="00C152A7">
              <w:rPr>
                <w:i/>
                <w:sz w:val="24"/>
                <w:szCs w:val="24"/>
              </w:rPr>
              <w:t xml:space="preserve"> </w:t>
            </w:r>
            <w:proofErr w:type="spellStart"/>
            <w:proofErr w:type="gramStart"/>
            <w:r w:rsidRPr="00C152A7">
              <w:rPr>
                <w:sz w:val="24"/>
                <w:szCs w:val="24"/>
              </w:rPr>
              <w:t>spp</w:t>
            </w:r>
            <w:proofErr w:type="spellEnd"/>
            <w:r w:rsidRPr="00C152A7">
              <w:rPr>
                <w:sz w:val="24"/>
                <w:szCs w:val="24"/>
              </w:rPr>
              <w:t>.°</w:t>
            </w:r>
            <w:proofErr w:type="gramEnd"/>
            <w:r w:rsidRPr="00C152A7">
              <w:rPr>
                <w:sz w:val="24"/>
                <w:szCs w:val="24"/>
              </w:rPr>
              <w:t xml:space="preserve">  </w:t>
            </w:r>
          </w:p>
        </w:tc>
      </w:tr>
      <w:tr w:rsidR="00D52384" w:rsidRPr="00C152A7" w14:paraId="1A826C6F"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2A7D0DAD" w14:textId="77777777" w:rsidR="00D52384" w:rsidRPr="00C152A7" w:rsidRDefault="00D52384" w:rsidP="00BC0209">
            <w:pPr>
              <w:rPr>
                <w:sz w:val="24"/>
                <w:szCs w:val="24"/>
              </w:rPr>
            </w:pPr>
            <w:proofErr w:type="spellStart"/>
            <w:r w:rsidRPr="00C152A7">
              <w:rPr>
                <w:i/>
                <w:sz w:val="24"/>
                <w:szCs w:val="24"/>
              </w:rPr>
              <w:t>Prevotella</w:t>
            </w:r>
            <w:proofErr w:type="spellEnd"/>
            <w:r w:rsidRPr="00C152A7">
              <w:rPr>
                <w:i/>
                <w:sz w:val="24"/>
                <w:szCs w:val="24"/>
              </w:rPr>
              <w:t xml:space="preserve"> </w:t>
            </w:r>
            <w:proofErr w:type="spellStart"/>
            <w:r w:rsidRPr="00C152A7">
              <w:rPr>
                <w:sz w:val="24"/>
                <w:szCs w:val="24"/>
              </w:rPr>
              <w:t>spp</w:t>
            </w:r>
            <w:proofErr w:type="spellEnd"/>
            <w:r w:rsidRPr="00C152A7">
              <w:rPr>
                <w:sz w:val="24"/>
                <w:szCs w:val="24"/>
              </w:rPr>
              <w:t xml:space="preserve">.  </w:t>
            </w:r>
          </w:p>
        </w:tc>
      </w:tr>
      <w:tr w:rsidR="00D52384" w:rsidRPr="00C152A7" w14:paraId="7E2F7028" w14:textId="77777777" w:rsidTr="00434810">
        <w:trPr>
          <w:trHeight w:val="271"/>
        </w:trPr>
        <w:tc>
          <w:tcPr>
            <w:tcW w:w="6168" w:type="dxa"/>
            <w:tcBorders>
              <w:top w:val="single" w:sz="8" w:space="0" w:color="000000"/>
              <w:left w:val="single" w:sz="8" w:space="0" w:color="000000"/>
              <w:bottom w:val="single" w:sz="8" w:space="0" w:color="000000"/>
              <w:right w:val="single" w:sz="8" w:space="0" w:color="000000"/>
            </w:tcBorders>
            <w:hideMark/>
          </w:tcPr>
          <w:p w14:paraId="188695D9" w14:textId="77777777" w:rsidR="00D52384" w:rsidRPr="00C152A7" w:rsidRDefault="00D52384" w:rsidP="00BC0209">
            <w:pPr>
              <w:rPr>
                <w:sz w:val="24"/>
                <w:szCs w:val="24"/>
              </w:rPr>
            </w:pPr>
            <w:proofErr w:type="spellStart"/>
            <w:r w:rsidRPr="00C152A7">
              <w:rPr>
                <w:i/>
                <w:sz w:val="24"/>
                <w:szCs w:val="24"/>
              </w:rPr>
              <w:t>Veillonella</w:t>
            </w:r>
            <w:proofErr w:type="spellEnd"/>
            <w:r w:rsidRPr="00C152A7">
              <w:rPr>
                <w:i/>
                <w:sz w:val="24"/>
                <w:szCs w:val="24"/>
              </w:rPr>
              <w:t xml:space="preserve"> </w:t>
            </w:r>
            <w:proofErr w:type="spellStart"/>
            <w:proofErr w:type="gramStart"/>
            <w:r w:rsidRPr="00C152A7">
              <w:rPr>
                <w:sz w:val="24"/>
                <w:szCs w:val="24"/>
              </w:rPr>
              <w:t>spp</w:t>
            </w:r>
            <w:proofErr w:type="spellEnd"/>
            <w:r w:rsidRPr="00C152A7">
              <w:rPr>
                <w:sz w:val="24"/>
                <w:szCs w:val="24"/>
              </w:rPr>
              <w:t>.°</w:t>
            </w:r>
            <w:proofErr w:type="gramEnd"/>
            <w:r w:rsidRPr="00C152A7">
              <w:rPr>
                <w:sz w:val="24"/>
                <w:szCs w:val="24"/>
              </w:rPr>
              <w:t xml:space="preserve">  </w:t>
            </w:r>
          </w:p>
        </w:tc>
      </w:tr>
      <w:tr w:rsidR="00D52384" w:rsidRPr="00C152A7" w14:paraId="6CC627A0" w14:textId="77777777" w:rsidTr="00434810">
        <w:trPr>
          <w:trHeight w:val="271"/>
        </w:trPr>
        <w:tc>
          <w:tcPr>
            <w:tcW w:w="6168" w:type="dxa"/>
            <w:tcBorders>
              <w:top w:val="single" w:sz="8" w:space="0" w:color="000000"/>
              <w:left w:val="single" w:sz="8" w:space="0" w:color="000000"/>
              <w:bottom w:val="single" w:sz="8" w:space="0" w:color="000000"/>
              <w:right w:val="single" w:sz="8" w:space="0" w:color="000000"/>
            </w:tcBorders>
            <w:hideMark/>
          </w:tcPr>
          <w:p w14:paraId="7CEEB5EC" w14:textId="77777777" w:rsidR="00D52384" w:rsidRPr="00C152A7" w:rsidRDefault="00D52384" w:rsidP="00BC0209">
            <w:pPr>
              <w:rPr>
                <w:i/>
                <w:sz w:val="24"/>
                <w:szCs w:val="24"/>
              </w:rPr>
            </w:pPr>
            <w:proofErr w:type="spellStart"/>
            <w:r w:rsidRPr="00C152A7">
              <w:rPr>
                <w:i/>
                <w:sz w:val="24"/>
                <w:szCs w:val="24"/>
              </w:rPr>
              <w:t>Bacteroides</w:t>
            </w:r>
            <w:proofErr w:type="spellEnd"/>
            <w:r w:rsidRPr="00C152A7">
              <w:rPr>
                <w:i/>
                <w:sz w:val="24"/>
                <w:szCs w:val="24"/>
              </w:rPr>
              <w:t xml:space="preserve"> </w:t>
            </w:r>
            <w:proofErr w:type="spellStart"/>
            <w:r w:rsidRPr="00C152A7">
              <w:rPr>
                <w:i/>
                <w:sz w:val="24"/>
                <w:szCs w:val="24"/>
              </w:rPr>
              <w:t>fragilis</w:t>
            </w:r>
            <w:proofErr w:type="spellEnd"/>
          </w:p>
        </w:tc>
      </w:tr>
      <w:tr w:rsidR="00D52384" w:rsidRPr="00C152A7" w14:paraId="3F34E293" w14:textId="77777777" w:rsidTr="00434810">
        <w:trPr>
          <w:trHeight w:val="298"/>
        </w:trPr>
        <w:tc>
          <w:tcPr>
            <w:tcW w:w="6168" w:type="dxa"/>
            <w:tcBorders>
              <w:top w:val="single" w:sz="8" w:space="0" w:color="000000"/>
              <w:left w:val="single" w:sz="8" w:space="0" w:color="000000"/>
              <w:bottom w:val="single" w:sz="8" w:space="0" w:color="000000"/>
              <w:right w:val="single" w:sz="8" w:space="0" w:color="000000"/>
            </w:tcBorders>
            <w:hideMark/>
          </w:tcPr>
          <w:p w14:paraId="08EB1FF0" w14:textId="77777777" w:rsidR="00D52384" w:rsidRPr="00C152A7" w:rsidRDefault="00D52384" w:rsidP="00BC0209">
            <w:pPr>
              <w:rPr>
                <w:b/>
                <w:sz w:val="24"/>
                <w:szCs w:val="24"/>
              </w:rPr>
            </w:pPr>
            <w:r w:rsidRPr="00C152A7">
              <w:rPr>
                <w:b/>
                <w:i/>
                <w:sz w:val="24"/>
                <w:szCs w:val="24"/>
              </w:rPr>
              <w:t xml:space="preserve">Andre mikroorganismer </w:t>
            </w:r>
            <w:r w:rsidRPr="00C152A7">
              <w:rPr>
                <w:b/>
                <w:sz w:val="24"/>
                <w:szCs w:val="24"/>
              </w:rPr>
              <w:t xml:space="preserve"> </w:t>
            </w:r>
          </w:p>
        </w:tc>
      </w:tr>
      <w:tr w:rsidR="00D52384" w:rsidRPr="00C152A7" w14:paraId="6CFA7188" w14:textId="77777777" w:rsidTr="00434810">
        <w:trPr>
          <w:trHeight w:val="271"/>
        </w:trPr>
        <w:tc>
          <w:tcPr>
            <w:tcW w:w="6168" w:type="dxa"/>
            <w:tcBorders>
              <w:top w:val="single" w:sz="8" w:space="0" w:color="000000"/>
              <w:left w:val="single" w:sz="8" w:space="0" w:color="000000"/>
              <w:bottom w:val="single" w:sz="8" w:space="0" w:color="000000"/>
              <w:right w:val="single" w:sz="8" w:space="0" w:color="000000"/>
            </w:tcBorders>
            <w:hideMark/>
          </w:tcPr>
          <w:p w14:paraId="6AE4F791" w14:textId="77777777" w:rsidR="00D52384" w:rsidRPr="00C152A7" w:rsidRDefault="00D52384" w:rsidP="00BC0209">
            <w:pPr>
              <w:rPr>
                <w:sz w:val="24"/>
                <w:szCs w:val="24"/>
              </w:rPr>
            </w:pPr>
            <w:proofErr w:type="spellStart"/>
            <w:r w:rsidRPr="00C152A7">
              <w:rPr>
                <w:i/>
                <w:sz w:val="24"/>
                <w:szCs w:val="24"/>
              </w:rPr>
              <w:t>Entamoeba</w:t>
            </w:r>
            <w:proofErr w:type="spellEnd"/>
            <w:r w:rsidRPr="00C152A7">
              <w:rPr>
                <w:i/>
                <w:sz w:val="24"/>
                <w:szCs w:val="24"/>
              </w:rPr>
              <w:t xml:space="preserve"> </w:t>
            </w:r>
            <w:proofErr w:type="spellStart"/>
            <w:r w:rsidRPr="00C152A7">
              <w:rPr>
                <w:i/>
                <w:sz w:val="24"/>
                <w:szCs w:val="24"/>
              </w:rPr>
              <w:t>histolytica</w:t>
            </w:r>
            <w:proofErr w:type="spellEnd"/>
            <w:r w:rsidRPr="00C152A7">
              <w:rPr>
                <w:sz w:val="24"/>
                <w:szCs w:val="24"/>
              </w:rPr>
              <w:t>°</w:t>
            </w:r>
            <w:r w:rsidRPr="00C152A7">
              <w:rPr>
                <w:i/>
                <w:sz w:val="24"/>
                <w:szCs w:val="24"/>
              </w:rPr>
              <w:t xml:space="preserve"> </w:t>
            </w:r>
            <w:r w:rsidRPr="00C152A7">
              <w:rPr>
                <w:sz w:val="24"/>
                <w:szCs w:val="24"/>
              </w:rPr>
              <w:t xml:space="preserve"> </w:t>
            </w:r>
          </w:p>
        </w:tc>
      </w:tr>
      <w:tr w:rsidR="00D52384" w:rsidRPr="00C152A7" w14:paraId="2B7019D3"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5EE251FC" w14:textId="77777777" w:rsidR="00D52384" w:rsidRPr="00C152A7" w:rsidRDefault="00D52384" w:rsidP="00BC0209">
            <w:pPr>
              <w:rPr>
                <w:sz w:val="24"/>
                <w:szCs w:val="24"/>
              </w:rPr>
            </w:pPr>
            <w:proofErr w:type="spellStart"/>
            <w:r w:rsidRPr="00C152A7">
              <w:rPr>
                <w:i/>
                <w:sz w:val="24"/>
                <w:szCs w:val="24"/>
              </w:rPr>
              <w:t>Gardnerella</w:t>
            </w:r>
            <w:proofErr w:type="spellEnd"/>
            <w:r w:rsidRPr="00C152A7">
              <w:rPr>
                <w:i/>
                <w:sz w:val="24"/>
                <w:szCs w:val="24"/>
              </w:rPr>
              <w:t xml:space="preserve"> </w:t>
            </w:r>
            <w:proofErr w:type="spellStart"/>
            <w:r w:rsidRPr="00C152A7">
              <w:rPr>
                <w:i/>
                <w:sz w:val="24"/>
                <w:szCs w:val="24"/>
              </w:rPr>
              <w:t>vaginalis</w:t>
            </w:r>
            <w:proofErr w:type="spellEnd"/>
            <w:r w:rsidRPr="00C152A7">
              <w:rPr>
                <w:sz w:val="24"/>
                <w:szCs w:val="24"/>
              </w:rPr>
              <w:t>°</w:t>
            </w:r>
            <w:r w:rsidRPr="00C152A7">
              <w:rPr>
                <w:i/>
                <w:sz w:val="24"/>
                <w:szCs w:val="24"/>
              </w:rPr>
              <w:t xml:space="preserve"> </w:t>
            </w:r>
            <w:r w:rsidRPr="00C152A7">
              <w:rPr>
                <w:sz w:val="24"/>
                <w:szCs w:val="24"/>
              </w:rPr>
              <w:t xml:space="preserve"> </w:t>
            </w:r>
          </w:p>
        </w:tc>
      </w:tr>
      <w:tr w:rsidR="00D52384" w:rsidRPr="00C152A7" w14:paraId="13FE0115"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069B6F00" w14:textId="77777777" w:rsidR="00D52384" w:rsidRPr="00C152A7" w:rsidRDefault="00D52384" w:rsidP="00BC0209">
            <w:pPr>
              <w:rPr>
                <w:sz w:val="24"/>
                <w:szCs w:val="24"/>
              </w:rPr>
            </w:pPr>
            <w:proofErr w:type="spellStart"/>
            <w:r w:rsidRPr="00C152A7">
              <w:rPr>
                <w:i/>
                <w:sz w:val="24"/>
                <w:szCs w:val="24"/>
              </w:rPr>
              <w:t>Giardia</w:t>
            </w:r>
            <w:proofErr w:type="spellEnd"/>
            <w:r w:rsidRPr="00C152A7">
              <w:rPr>
                <w:i/>
                <w:sz w:val="24"/>
                <w:szCs w:val="24"/>
              </w:rPr>
              <w:t xml:space="preserve"> </w:t>
            </w:r>
            <w:proofErr w:type="spellStart"/>
            <w:r w:rsidRPr="00C152A7">
              <w:rPr>
                <w:i/>
                <w:sz w:val="24"/>
                <w:szCs w:val="24"/>
              </w:rPr>
              <w:t>lamblia</w:t>
            </w:r>
            <w:proofErr w:type="spellEnd"/>
            <w:r w:rsidRPr="00C152A7">
              <w:rPr>
                <w:sz w:val="24"/>
                <w:szCs w:val="24"/>
              </w:rPr>
              <w:t>°</w:t>
            </w:r>
            <w:r w:rsidRPr="00C152A7">
              <w:rPr>
                <w:i/>
                <w:sz w:val="24"/>
                <w:szCs w:val="24"/>
              </w:rPr>
              <w:t xml:space="preserve"> </w:t>
            </w:r>
            <w:r w:rsidRPr="00C152A7">
              <w:rPr>
                <w:sz w:val="24"/>
                <w:szCs w:val="24"/>
              </w:rPr>
              <w:t xml:space="preserve"> </w:t>
            </w:r>
          </w:p>
        </w:tc>
      </w:tr>
      <w:tr w:rsidR="00D52384" w:rsidRPr="00C152A7" w14:paraId="4647EC89" w14:textId="77777777" w:rsidTr="00434810">
        <w:trPr>
          <w:trHeight w:val="274"/>
        </w:trPr>
        <w:tc>
          <w:tcPr>
            <w:tcW w:w="6168" w:type="dxa"/>
            <w:tcBorders>
              <w:top w:val="single" w:sz="8" w:space="0" w:color="000000"/>
              <w:left w:val="single" w:sz="8" w:space="0" w:color="000000"/>
              <w:bottom w:val="single" w:sz="8" w:space="0" w:color="000000"/>
              <w:right w:val="single" w:sz="8" w:space="0" w:color="000000"/>
            </w:tcBorders>
            <w:hideMark/>
          </w:tcPr>
          <w:p w14:paraId="127C514F" w14:textId="77777777" w:rsidR="00D52384" w:rsidRPr="00C152A7" w:rsidRDefault="00D52384" w:rsidP="00BC0209">
            <w:pPr>
              <w:rPr>
                <w:sz w:val="24"/>
                <w:szCs w:val="24"/>
              </w:rPr>
            </w:pPr>
            <w:proofErr w:type="spellStart"/>
            <w:r w:rsidRPr="00C152A7">
              <w:rPr>
                <w:i/>
                <w:sz w:val="24"/>
                <w:szCs w:val="24"/>
              </w:rPr>
              <w:t>Trichomonas</w:t>
            </w:r>
            <w:proofErr w:type="spellEnd"/>
            <w:r w:rsidRPr="00C152A7">
              <w:rPr>
                <w:i/>
                <w:sz w:val="24"/>
                <w:szCs w:val="24"/>
              </w:rPr>
              <w:t xml:space="preserve"> </w:t>
            </w:r>
            <w:proofErr w:type="spellStart"/>
            <w:r w:rsidRPr="00C152A7">
              <w:rPr>
                <w:i/>
                <w:sz w:val="24"/>
                <w:szCs w:val="24"/>
              </w:rPr>
              <w:t>vaginalis</w:t>
            </w:r>
            <w:proofErr w:type="spellEnd"/>
            <w:r w:rsidRPr="00C152A7">
              <w:rPr>
                <w:sz w:val="24"/>
                <w:szCs w:val="24"/>
              </w:rPr>
              <w:t>°</w:t>
            </w:r>
            <w:r w:rsidRPr="00C152A7">
              <w:rPr>
                <w:i/>
                <w:sz w:val="24"/>
                <w:szCs w:val="24"/>
              </w:rPr>
              <w:t xml:space="preserve"> </w:t>
            </w:r>
            <w:r w:rsidRPr="00C152A7">
              <w:rPr>
                <w:sz w:val="24"/>
                <w:szCs w:val="24"/>
              </w:rPr>
              <w:t xml:space="preserve"> </w:t>
            </w:r>
          </w:p>
        </w:tc>
      </w:tr>
    </w:tbl>
    <w:p w14:paraId="504A1D62" w14:textId="77777777" w:rsidR="00D52384" w:rsidRPr="00C152A7" w:rsidRDefault="00D52384" w:rsidP="00D52384">
      <w:pPr>
        <w:rPr>
          <w:i/>
          <w:sz w:val="24"/>
          <w:szCs w:val="24"/>
          <w:lang w:val="en-US"/>
        </w:rPr>
      </w:pPr>
    </w:p>
    <w:tbl>
      <w:tblPr>
        <w:tblW w:w="6095" w:type="dxa"/>
        <w:tblInd w:w="843" w:type="dxa"/>
        <w:tblCellMar>
          <w:top w:w="17" w:type="dxa"/>
          <w:left w:w="83" w:type="dxa"/>
          <w:right w:w="115" w:type="dxa"/>
        </w:tblCellMar>
        <w:tblLook w:val="04A0" w:firstRow="1" w:lastRow="0" w:firstColumn="1" w:lastColumn="0" w:noHBand="0" w:noVBand="1"/>
      </w:tblPr>
      <w:tblGrid>
        <w:gridCol w:w="6095"/>
      </w:tblGrid>
      <w:tr w:rsidR="00D52384" w:rsidRPr="00C152A7" w14:paraId="7072BAAF" w14:textId="77777777" w:rsidTr="00434810">
        <w:trPr>
          <w:trHeight w:val="285"/>
        </w:trPr>
        <w:tc>
          <w:tcPr>
            <w:tcW w:w="6095" w:type="dxa"/>
            <w:tcBorders>
              <w:top w:val="single" w:sz="6" w:space="0" w:color="000000"/>
              <w:left w:val="single" w:sz="6" w:space="0" w:color="000000"/>
              <w:bottom w:val="single" w:sz="6" w:space="0" w:color="000000"/>
              <w:right w:val="single" w:sz="6" w:space="0" w:color="000000"/>
            </w:tcBorders>
            <w:hideMark/>
          </w:tcPr>
          <w:p w14:paraId="46561BBB" w14:textId="77777777" w:rsidR="00D52384" w:rsidRPr="00C152A7" w:rsidRDefault="00D52384">
            <w:pPr>
              <w:rPr>
                <w:i/>
                <w:sz w:val="24"/>
                <w:szCs w:val="24"/>
              </w:rPr>
            </w:pPr>
            <w:r w:rsidRPr="00C152A7">
              <w:rPr>
                <w:b/>
                <w:i/>
                <w:sz w:val="24"/>
                <w:szCs w:val="24"/>
              </w:rPr>
              <w:t xml:space="preserve">Arter, for hvilke erhvervet resistens kan være et problem </w:t>
            </w:r>
          </w:p>
        </w:tc>
      </w:tr>
      <w:tr w:rsidR="00D52384" w:rsidRPr="00C152A7" w14:paraId="0C5DB907" w14:textId="77777777" w:rsidTr="00434810">
        <w:trPr>
          <w:trHeight w:val="300"/>
        </w:trPr>
        <w:tc>
          <w:tcPr>
            <w:tcW w:w="6095" w:type="dxa"/>
            <w:tcBorders>
              <w:top w:val="single" w:sz="6" w:space="0" w:color="000000"/>
              <w:left w:val="single" w:sz="6" w:space="0" w:color="000000"/>
              <w:bottom w:val="single" w:sz="6" w:space="0" w:color="000000"/>
              <w:right w:val="single" w:sz="6" w:space="0" w:color="000000"/>
            </w:tcBorders>
            <w:hideMark/>
          </w:tcPr>
          <w:p w14:paraId="7C70BF09" w14:textId="77777777" w:rsidR="00D52384" w:rsidRPr="00C152A7" w:rsidRDefault="00D52384">
            <w:pPr>
              <w:rPr>
                <w:i/>
                <w:sz w:val="24"/>
                <w:szCs w:val="24"/>
              </w:rPr>
            </w:pPr>
            <w:r w:rsidRPr="00C152A7">
              <w:rPr>
                <w:b/>
                <w:i/>
                <w:sz w:val="24"/>
                <w:szCs w:val="24"/>
              </w:rPr>
              <w:t xml:space="preserve">Gramnegative aerobe  </w:t>
            </w:r>
          </w:p>
        </w:tc>
      </w:tr>
      <w:tr w:rsidR="00D52384" w:rsidRPr="00C152A7" w14:paraId="6A35B5C7" w14:textId="77777777" w:rsidTr="00434810">
        <w:trPr>
          <w:trHeight w:val="285"/>
        </w:trPr>
        <w:tc>
          <w:tcPr>
            <w:tcW w:w="6095" w:type="dxa"/>
            <w:tcBorders>
              <w:top w:val="single" w:sz="6" w:space="0" w:color="000000"/>
              <w:left w:val="single" w:sz="6" w:space="0" w:color="000000"/>
              <w:bottom w:val="single" w:sz="6" w:space="0" w:color="000000"/>
              <w:right w:val="single" w:sz="6" w:space="0" w:color="000000"/>
            </w:tcBorders>
            <w:hideMark/>
          </w:tcPr>
          <w:p w14:paraId="029005A8" w14:textId="77777777" w:rsidR="00D52384" w:rsidRPr="00C152A7" w:rsidRDefault="00D52384">
            <w:pPr>
              <w:rPr>
                <w:i/>
                <w:sz w:val="24"/>
                <w:szCs w:val="24"/>
              </w:rPr>
            </w:pPr>
            <w:proofErr w:type="spellStart"/>
            <w:r w:rsidRPr="00C152A7">
              <w:rPr>
                <w:i/>
                <w:sz w:val="24"/>
                <w:szCs w:val="24"/>
              </w:rPr>
              <w:t>Helicobacter</w:t>
            </w:r>
            <w:proofErr w:type="spellEnd"/>
            <w:r w:rsidRPr="00C152A7">
              <w:rPr>
                <w:i/>
                <w:sz w:val="24"/>
                <w:szCs w:val="24"/>
              </w:rPr>
              <w:t xml:space="preserve"> </w:t>
            </w:r>
            <w:proofErr w:type="spellStart"/>
            <w:r w:rsidRPr="00C152A7">
              <w:rPr>
                <w:i/>
                <w:sz w:val="24"/>
                <w:szCs w:val="24"/>
              </w:rPr>
              <w:t>pylori</w:t>
            </w:r>
            <w:proofErr w:type="spellEnd"/>
            <w:r w:rsidRPr="00C152A7">
              <w:rPr>
                <w:i/>
                <w:sz w:val="24"/>
                <w:szCs w:val="24"/>
              </w:rPr>
              <w:t xml:space="preserve"> </w:t>
            </w:r>
          </w:p>
        </w:tc>
      </w:tr>
      <w:tr w:rsidR="00D52384" w:rsidRPr="00C152A7" w14:paraId="65B590B7" w14:textId="77777777" w:rsidTr="00434810">
        <w:trPr>
          <w:trHeight w:val="285"/>
        </w:trPr>
        <w:tc>
          <w:tcPr>
            <w:tcW w:w="6095" w:type="dxa"/>
            <w:tcBorders>
              <w:top w:val="single" w:sz="6" w:space="0" w:color="000000"/>
              <w:left w:val="single" w:sz="6" w:space="0" w:color="000000"/>
              <w:bottom w:val="single" w:sz="6" w:space="0" w:color="000000"/>
              <w:right w:val="single" w:sz="6" w:space="0" w:color="000000"/>
            </w:tcBorders>
            <w:hideMark/>
          </w:tcPr>
          <w:p w14:paraId="298B7288" w14:textId="77777777" w:rsidR="00D52384" w:rsidRPr="00C152A7" w:rsidRDefault="00D52384">
            <w:pPr>
              <w:rPr>
                <w:b/>
                <w:i/>
                <w:sz w:val="24"/>
                <w:szCs w:val="24"/>
              </w:rPr>
            </w:pPr>
            <w:r w:rsidRPr="00C152A7">
              <w:rPr>
                <w:b/>
                <w:i/>
                <w:sz w:val="24"/>
                <w:szCs w:val="24"/>
              </w:rPr>
              <w:t xml:space="preserve">Anaerobe </w:t>
            </w:r>
          </w:p>
        </w:tc>
      </w:tr>
    </w:tbl>
    <w:p w14:paraId="017D96FF" w14:textId="77777777" w:rsidR="00D52384" w:rsidRPr="00C152A7" w:rsidRDefault="00D52384" w:rsidP="00D52384">
      <w:pPr>
        <w:rPr>
          <w:i/>
          <w:sz w:val="24"/>
          <w:szCs w:val="24"/>
          <w:lang w:val="en-US"/>
        </w:rPr>
      </w:pPr>
    </w:p>
    <w:tbl>
      <w:tblPr>
        <w:tblW w:w="6168" w:type="dxa"/>
        <w:tblInd w:w="841" w:type="dxa"/>
        <w:tblCellMar>
          <w:top w:w="58" w:type="dxa"/>
          <w:left w:w="70" w:type="dxa"/>
          <w:right w:w="115" w:type="dxa"/>
        </w:tblCellMar>
        <w:tblLook w:val="04A0" w:firstRow="1" w:lastRow="0" w:firstColumn="1" w:lastColumn="0" w:noHBand="0" w:noVBand="1"/>
      </w:tblPr>
      <w:tblGrid>
        <w:gridCol w:w="6168"/>
      </w:tblGrid>
      <w:tr w:rsidR="00D52384" w:rsidRPr="00C152A7" w14:paraId="5B11D646"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4A16784C" w14:textId="77777777" w:rsidR="00D52384" w:rsidRPr="00C152A7" w:rsidRDefault="00D52384">
            <w:pPr>
              <w:rPr>
                <w:b/>
                <w:i/>
                <w:sz w:val="24"/>
                <w:szCs w:val="24"/>
              </w:rPr>
            </w:pPr>
            <w:r w:rsidRPr="00C152A7">
              <w:rPr>
                <w:b/>
                <w:i/>
                <w:sz w:val="24"/>
                <w:szCs w:val="24"/>
              </w:rPr>
              <w:t xml:space="preserve">Inhærente, resistente organismer </w:t>
            </w:r>
          </w:p>
        </w:tc>
      </w:tr>
      <w:tr w:rsidR="00D52384" w:rsidRPr="00C152A7" w14:paraId="3FF6642D"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5656187D" w14:textId="77777777" w:rsidR="00D52384" w:rsidRPr="00C152A7" w:rsidRDefault="00D52384">
            <w:pPr>
              <w:rPr>
                <w:i/>
                <w:sz w:val="24"/>
                <w:szCs w:val="24"/>
              </w:rPr>
            </w:pPr>
            <w:r w:rsidRPr="00C152A7">
              <w:rPr>
                <w:i/>
                <w:sz w:val="24"/>
                <w:szCs w:val="24"/>
              </w:rPr>
              <w:t xml:space="preserve">Alle obligate aerobe  </w:t>
            </w:r>
          </w:p>
        </w:tc>
      </w:tr>
      <w:tr w:rsidR="00D52384" w:rsidRPr="00C152A7" w14:paraId="182A06AB" w14:textId="77777777" w:rsidTr="00434810">
        <w:trPr>
          <w:trHeight w:val="298"/>
        </w:trPr>
        <w:tc>
          <w:tcPr>
            <w:tcW w:w="6168" w:type="dxa"/>
            <w:tcBorders>
              <w:top w:val="single" w:sz="8" w:space="0" w:color="000000"/>
              <w:left w:val="single" w:sz="8" w:space="0" w:color="000000"/>
              <w:bottom w:val="single" w:sz="8" w:space="0" w:color="000000"/>
              <w:right w:val="single" w:sz="8" w:space="0" w:color="000000"/>
            </w:tcBorders>
            <w:hideMark/>
          </w:tcPr>
          <w:p w14:paraId="6A6DFA59" w14:textId="77777777" w:rsidR="00D52384" w:rsidRPr="00C152A7" w:rsidRDefault="00D52384">
            <w:pPr>
              <w:rPr>
                <w:b/>
                <w:i/>
                <w:sz w:val="24"/>
                <w:szCs w:val="24"/>
              </w:rPr>
            </w:pPr>
            <w:r w:rsidRPr="00C152A7">
              <w:rPr>
                <w:b/>
                <w:i/>
                <w:sz w:val="24"/>
                <w:szCs w:val="24"/>
              </w:rPr>
              <w:t xml:space="preserve">Grampositive mikroorganismer </w:t>
            </w:r>
          </w:p>
        </w:tc>
      </w:tr>
      <w:tr w:rsidR="00D52384" w:rsidRPr="00C152A7" w14:paraId="25BF8EDD"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1F4E9BE6" w14:textId="77777777" w:rsidR="00D52384" w:rsidRPr="00C152A7" w:rsidRDefault="00D52384">
            <w:pPr>
              <w:rPr>
                <w:i/>
                <w:sz w:val="24"/>
                <w:szCs w:val="24"/>
              </w:rPr>
            </w:pPr>
            <w:proofErr w:type="spellStart"/>
            <w:r w:rsidRPr="00C152A7">
              <w:rPr>
                <w:i/>
                <w:sz w:val="24"/>
                <w:szCs w:val="24"/>
              </w:rPr>
              <w:t>Enterococcus</w:t>
            </w:r>
            <w:proofErr w:type="spellEnd"/>
            <w:r w:rsidRPr="00C152A7">
              <w:rPr>
                <w:i/>
                <w:sz w:val="24"/>
                <w:szCs w:val="24"/>
              </w:rPr>
              <w:t xml:space="preserve"> </w:t>
            </w:r>
            <w:proofErr w:type="spellStart"/>
            <w:r w:rsidRPr="00C152A7">
              <w:rPr>
                <w:i/>
                <w:sz w:val="24"/>
                <w:szCs w:val="24"/>
              </w:rPr>
              <w:t>spp</w:t>
            </w:r>
            <w:proofErr w:type="spellEnd"/>
            <w:r w:rsidRPr="00C152A7">
              <w:rPr>
                <w:i/>
                <w:sz w:val="24"/>
                <w:szCs w:val="24"/>
              </w:rPr>
              <w:t xml:space="preserve">. </w:t>
            </w:r>
          </w:p>
        </w:tc>
      </w:tr>
      <w:tr w:rsidR="00D52384" w:rsidRPr="00C152A7" w14:paraId="4AB242C2"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40D872A0" w14:textId="77777777" w:rsidR="00D52384" w:rsidRPr="00C152A7" w:rsidRDefault="00D52384">
            <w:pPr>
              <w:rPr>
                <w:i/>
                <w:sz w:val="24"/>
                <w:szCs w:val="24"/>
              </w:rPr>
            </w:pPr>
            <w:proofErr w:type="spellStart"/>
            <w:r w:rsidRPr="00C152A7">
              <w:rPr>
                <w:i/>
                <w:sz w:val="24"/>
                <w:szCs w:val="24"/>
              </w:rPr>
              <w:t>Staphylococcus</w:t>
            </w:r>
            <w:proofErr w:type="spellEnd"/>
            <w:r w:rsidRPr="00C152A7">
              <w:rPr>
                <w:i/>
                <w:sz w:val="24"/>
                <w:szCs w:val="24"/>
              </w:rPr>
              <w:t xml:space="preserve"> </w:t>
            </w:r>
            <w:proofErr w:type="spellStart"/>
            <w:r w:rsidRPr="00C152A7">
              <w:rPr>
                <w:i/>
                <w:sz w:val="24"/>
                <w:szCs w:val="24"/>
              </w:rPr>
              <w:t>spp</w:t>
            </w:r>
            <w:proofErr w:type="spellEnd"/>
            <w:r w:rsidRPr="00C152A7">
              <w:rPr>
                <w:i/>
                <w:sz w:val="24"/>
                <w:szCs w:val="24"/>
              </w:rPr>
              <w:t xml:space="preserve">. </w:t>
            </w:r>
          </w:p>
        </w:tc>
      </w:tr>
      <w:tr w:rsidR="00D52384" w:rsidRPr="00C152A7" w14:paraId="336A07D0"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33B7F620" w14:textId="77777777" w:rsidR="00D52384" w:rsidRPr="00C152A7" w:rsidRDefault="00D52384">
            <w:pPr>
              <w:rPr>
                <w:i/>
                <w:sz w:val="24"/>
                <w:szCs w:val="24"/>
              </w:rPr>
            </w:pPr>
            <w:proofErr w:type="spellStart"/>
            <w:r w:rsidRPr="00C152A7">
              <w:rPr>
                <w:i/>
                <w:sz w:val="24"/>
                <w:szCs w:val="24"/>
              </w:rPr>
              <w:t>Streptococcus</w:t>
            </w:r>
            <w:proofErr w:type="spellEnd"/>
            <w:r w:rsidRPr="00C152A7">
              <w:rPr>
                <w:i/>
                <w:sz w:val="24"/>
                <w:szCs w:val="24"/>
              </w:rPr>
              <w:t xml:space="preserve"> </w:t>
            </w:r>
            <w:proofErr w:type="spellStart"/>
            <w:r w:rsidRPr="00C152A7">
              <w:rPr>
                <w:i/>
                <w:sz w:val="24"/>
                <w:szCs w:val="24"/>
              </w:rPr>
              <w:t>spp</w:t>
            </w:r>
            <w:proofErr w:type="spellEnd"/>
            <w:r w:rsidRPr="00C152A7">
              <w:rPr>
                <w:i/>
                <w:sz w:val="24"/>
                <w:szCs w:val="24"/>
              </w:rPr>
              <w:t xml:space="preserve">. </w:t>
            </w:r>
          </w:p>
        </w:tc>
      </w:tr>
      <w:tr w:rsidR="00D52384" w:rsidRPr="00C152A7" w14:paraId="5D5D1DF7" w14:textId="77777777" w:rsidTr="00434810">
        <w:trPr>
          <w:trHeight w:val="298"/>
        </w:trPr>
        <w:tc>
          <w:tcPr>
            <w:tcW w:w="6168" w:type="dxa"/>
            <w:tcBorders>
              <w:top w:val="single" w:sz="8" w:space="0" w:color="000000"/>
              <w:left w:val="single" w:sz="8" w:space="0" w:color="000000"/>
              <w:bottom w:val="single" w:sz="8" w:space="0" w:color="000000"/>
              <w:right w:val="single" w:sz="8" w:space="0" w:color="000000"/>
            </w:tcBorders>
            <w:hideMark/>
          </w:tcPr>
          <w:p w14:paraId="05BA7668" w14:textId="77777777" w:rsidR="00D52384" w:rsidRPr="00C152A7" w:rsidRDefault="00D52384">
            <w:pPr>
              <w:rPr>
                <w:b/>
                <w:i/>
                <w:sz w:val="24"/>
                <w:szCs w:val="24"/>
              </w:rPr>
            </w:pPr>
            <w:r w:rsidRPr="00C152A7">
              <w:rPr>
                <w:b/>
                <w:i/>
                <w:sz w:val="24"/>
                <w:szCs w:val="24"/>
              </w:rPr>
              <w:t xml:space="preserve">Gramnegative mikroorganismer </w:t>
            </w:r>
          </w:p>
        </w:tc>
      </w:tr>
      <w:tr w:rsidR="00D52384" w:rsidRPr="00C152A7" w14:paraId="1416CF41"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585370AF" w14:textId="77777777" w:rsidR="00D52384" w:rsidRPr="00C152A7" w:rsidRDefault="00D52384">
            <w:pPr>
              <w:rPr>
                <w:i/>
                <w:sz w:val="24"/>
                <w:szCs w:val="24"/>
              </w:rPr>
            </w:pPr>
            <w:proofErr w:type="spellStart"/>
            <w:r w:rsidRPr="00C152A7">
              <w:rPr>
                <w:i/>
                <w:sz w:val="24"/>
                <w:szCs w:val="24"/>
              </w:rPr>
              <w:t>Enterobacteriaceae</w:t>
            </w:r>
            <w:proofErr w:type="spellEnd"/>
            <w:r w:rsidRPr="00C152A7">
              <w:rPr>
                <w:i/>
                <w:sz w:val="24"/>
                <w:szCs w:val="24"/>
              </w:rPr>
              <w:t xml:space="preserve"> </w:t>
            </w:r>
          </w:p>
        </w:tc>
      </w:tr>
      <w:tr w:rsidR="00D52384" w:rsidRPr="00C152A7" w14:paraId="578497D3" w14:textId="77777777" w:rsidTr="00434810">
        <w:trPr>
          <w:trHeight w:val="295"/>
        </w:trPr>
        <w:tc>
          <w:tcPr>
            <w:tcW w:w="6168" w:type="dxa"/>
            <w:tcBorders>
              <w:top w:val="single" w:sz="8" w:space="0" w:color="000000"/>
              <w:left w:val="single" w:sz="8" w:space="0" w:color="000000"/>
              <w:bottom w:val="single" w:sz="8" w:space="0" w:color="000000"/>
              <w:right w:val="single" w:sz="8" w:space="0" w:color="000000"/>
            </w:tcBorders>
            <w:hideMark/>
          </w:tcPr>
          <w:p w14:paraId="4A19B6BF" w14:textId="77777777" w:rsidR="00D52384" w:rsidRPr="00C152A7" w:rsidRDefault="00D52384">
            <w:pPr>
              <w:rPr>
                <w:i/>
                <w:sz w:val="24"/>
                <w:szCs w:val="24"/>
              </w:rPr>
            </w:pPr>
            <w:proofErr w:type="spellStart"/>
            <w:r w:rsidRPr="00C152A7">
              <w:rPr>
                <w:i/>
                <w:sz w:val="24"/>
                <w:szCs w:val="24"/>
              </w:rPr>
              <w:lastRenderedPageBreak/>
              <w:t>Haemophilus</w:t>
            </w:r>
            <w:proofErr w:type="spellEnd"/>
            <w:r w:rsidRPr="00C152A7">
              <w:rPr>
                <w:i/>
                <w:sz w:val="24"/>
                <w:szCs w:val="24"/>
              </w:rPr>
              <w:t xml:space="preserve"> </w:t>
            </w:r>
            <w:proofErr w:type="spellStart"/>
            <w:r w:rsidRPr="00C152A7">
              <w:rPr>
                <w:i/>
                <w:sz w:val="24"/>
                <w:szCs w:val="24"/>
              </w:rPr>
              <w:t>spp</w:t>
            </w:r>
            <w:proofErr w:type="spellEnd"/>
            <w:r w:rsidRPr="00C152A7">
              <w:rPr>
                <w:i/>
                <w:sz w:val="24"/>
                <w:szCs w:val="24"/>
              </w:rPr>
              <w:t xml:space="preserve">. </w:t>
            </w:r>
          </w:p>
        </w:tc>
      </w:tr>
    </w:tbl>
    <w:p w14:paraId="590E6A89" w14:textId="51AFAC51" w:rsidR="00D52384" w:rsidRPr="00BC0209" w:rsidRDefault="00D52384" w:rsidP="00751D76">
      <w:pPr>
        <w:ind w:left="1134" w:hanging="283"/>
        <w:rPr>
          <w:sz w:val="20"/>
        </w:rPr>
      </w:pPr>
      <w:r w:rsidRPr="00BC0209">
        <w:rPr>
          <w:b/>
          <w:sz w:val="20"/>
        </w:rPr>
        <w:t>°</w:t>
      </w:r>
      <w:r w:rsidRPr="00BC0209">
        <w:rPr>
          <w:sz w:val="20"/>
        </w:rPr>
        <w:t> </w:t>
      </w:r>
      <w:r w:rsidR="00751D76" w:rsidRPr="00BC0209">
        <w:rPr>
          <w:sz w:val="20"/>
        </w:rPr>
        <w:tab/>
      </w:r>
      <w:r w:rsidRPr="00BC0209">
        <w:rPr>
          <w:sz w:val="20"/>
        </w:rPr>
        <w:t>På tidspunktet for offentliggørelsen af disse tabeller forelå der ingen opdaterede data. I primærlitteraturen, standardreferencebøger og behandlingsanbefalinger antages det, at de respektive stammer er følsomme.</w:t>
      </w:r>
    </w:p>
    <w:p w14:paraId="191A015C" w14:textId="5B727105" w:rsidR="00D52384" w:rsidRPr="00BC0209" w:rsidRDefault="00D52384" w:rsidP="00751D76">
      <w:pPr>
        <w:ind w:left="1134" w:hanging="283"/>
        <w:rPr>
          <w:sz w:val="20"/>
        </w:rPr>
      </w:pPr>
      <w:r w:rsidRPr="00BC0209">
        <w:rPr>
          <w:sz w:val="20"/>
          <w:vertAlign w:val="superscript"/>
        </w:rPr>
        <w:t>Δ</w:t>
      </w:r>
      <w:r w:rsidRPr="00BC0209">
        <w:rPr>
          <w:sz w:val="20"/>
        </w:rPr>
        <w:t> </w:t>
      </w:r>
      <w:r w:rsidR="00751D76" w:rsidRPr="00BC0209">
        <w:rPr>
          <w:sz w:val="20"/>
        </w:rPr>
        <w:tab/>
      </w:r>
      <w:r w:rsidRPr="00BC0209">
        <w:rPr>
          <w:sz w:val="20"/>
        </w:rPr>
        <w:t xml:space="preserve">Må kun anvendes hos patienter med penicillinallergi  </w:t>
      </w:r>
    </w:p>
    <w:p w14:paraId="15B2D601" w14:textId="77777777" w:rsidR="00D52384" w:rsidRPr="00C152A7" w:rsidRDefault="00D52384" w:rsidP="00434810">
      <w:pPr>
        <w:ind w:left="851"/>
        <w:rPr>
          <w:sz w:val="24"/>
          <w:szCs w:val="24"/>
        </w:rPr>
      </w:pPr>
    </w:p>
    <w:p w14:paraId="08C8A4F5" w14:textId="77777777" w:rsidR="00D52384" w:rsidRPr="00C152A7" w:rsidRDefault="00D52384" w:rsidP="00434810">
      <w:pPr>
        <w:ind w:left="851"/>
        <w:rPr>
          <w:b/>
          <w:bCs/>
          <w:sz w:val="24"/>
          <w:szCs w:val="24"/>
        </w:rPr>
      </w:pPr>
      <w:proofErr w:type="spellStart"/>
      <w:r w:rsidRPr="00C152A7">
        <w:rPr>
          <w:b/>
          <w:sz w:val="24"/>
          <w:szCs w:val="24"/>
        </w:rPr>
        <w:t>Resistensensmekanismer</w:t>
      </w:r>
      <w:proofErr w:type="spellEnd"/>
      <w:r w:rsidRPr="00C152A7">
        <w:rPr>
          <w:b/>
          <w:sz w:val="24"/>
          <w:szCs w:val="24"/>
        </w:rPr>
        <w:t xml:space="preserve"> over for </w:t>
      </w:r>
      <w:proofErr w:type="spellStart"/>
      <w:r w:rsidRPr="00C152A7">
        <w:rPr>
          <w:b/>
          <w:sz w:val="24"/>
          <w:szCs w:val="24"/>
        </w:rPr>
        <w:t>metronidazol</w:t>
      </w:r>
      <w:proofErr w:type="spellEnd"/>
      <w:r w:rsidRPr="00C152A7">
        <w:rPr>
          <w:b/>
          <w:sz w:val="24"/>
          <w:szCs w:val="24"/>
        </w:rPr>
        <w:t xml:space="preserve">  </w:t>
      </w:r>
    </w:p>
    <w:p w14:paraId="146CEE26" w14:textId="77777777" w:rsidR="00D52384" w:rsidRPr="00C152A7" w:rsidRDefault="00D52384" w:rsidP="00434810">
      <w:pPr>
        <w:ind w:left="851"/>
        <w:rPr>
          <w:sz w:val="24"/>
          <w:szCs w:val="24"/>
        </w:rPr>
      </w:pPr>
      <w:r w:rsidRPr="00C152A7">
        <w:rPr>
          <w:sz w:val="24"/>
          <w:szCs w:val="24"/>
        </w:rPr>
        <w:t xml:space="preserve">Mekanismerne bag </w:t>
      </w:r>
      <w:proofErr w:type="spellStart"/>
      <w:r w:rsidRPr="00C152A7">
        <w:rPr>
          <w:sz w:val="24"/>
          <w:szCs w:val="24"/>
        </w:rPr>
        <w:t>metronidazolresistens</w:t>
      </w:r>
      <w:proofErr w:type="spellEnd"/>
      <w:r w:rsidRPr="00C152A7">
        <w:rPr>
          <w:sz w:val="24"/>
          <w:szCs w:val="24"/>
        </w:rPr>
        <w:t xml:space="preserve"> er stadig kun delvist afklaret. </w:t>
      </w:r>
      <w:proofErr w:type="spellStart"/>
      <w:r w:rsidRPr="00C152A7">
        <w:rPr>
          <w:iCs/>
          <w:sz w:val="24"/>
          <w:szCs w:val="24"/>
        </w:rPr>
        <w:t>Bacteroides</w:t>
      </w:r>
      <w:proofErr w:type="spellEnd"/>
      <w:r w:rsidRPr="00C152A7">
        <w:rPr>
          <w:sz w:val="24"/>
          <w:szCs w:val="24"/>
        </w:rPr>
        <w:t xml:space="preserve">-stammer, der er resistente over for </w:t>
      </w:r>
      <w:proofErr w:type="spellStart"/>
      <w:r w:rsidRPr="00C152A7">
        <w:rPr>
          <w:sz w:val="24"/>
          <w:szCs w:val="24"/>
        </w:rPr>
        <w:t>metronidazol</w:t>
      </w:r>
      <w:proofErr w:type="spellEnd"/>
      <w:r w:rsidRPr="00C152A7">
        <w:rPr>
          <w:sz w:val="24"/>
          <w:szCs w:val="24"/>
        </w:rPr>
        <w:t xml:space="preserve">, har gener, som koder for </w:t>
      </w:r>
      <w:proofErr w:type="spellStart"/>
      <w:r w:rsidRPr="00C152A7">
        <w:rPr>
          <w:sz w:val="24"/>
          <w:szCs w:val="24"/>
        </w:rPr>
        <w:t>nitroimidazolreduktaser</w:t>
      </w:r>
      <w:proofErr w:type="spellEnd"/>
      <w:r w:rsidRPr="00C152A7">
        <w:rPr>
          <w:sz w:val="24"/>
          <w:szCs w:val="24"/>
        </w:rPr>
        <w:t xml:space="preserve">, hvorved </w:t>
      </w:r>
      <w:proofErr w:type="spellStart"/>
      <w:r w:rsidRPr="00C152A7">
        <w:rPr>
          <w:sz w:val="24"/>
          <w:szCs w:val="24"/>
        </w:rPr>
        <w:t>nitroimidazoler</w:t>
      </w:r>
      <w:proofErr w:type="spellEnd"/>
      <w:r w:rsidRPr="00C152A7">
        <w:rPr>
          <w:sz w:val="24"/>
          <w:szCs w:val="24"/>
        </w:rPr>
        <w:t xml:space="preserve"> omdannes til </w:t>
      </w:r>
      <w:proofErr w:type="spellStart"/>
      <w:r w:rsidRPr="00C152A7">
        <w:rPr>
          <w:sz w:val="24"/>
          <w:szCs w:val="24"/>
        </w:rPr>
        <w:t>aminoimidazoler</w:t>
      </w:r>
      <w:proofErr w:type="spellEnd"/>
      <w:r w:rsidRPr="00C152A7">
        <w:rPr>
          <w:sz w:val="24"/>
          <w:szCs w:val="24"/>
        </w:rPr>
        <w:t xml:space="preserve">. Derved hæmmes dannelsen af de antibakterielt virkende </w:t>
      </w:r>
      <w:proofErr w:type="spellStart"/>
      <w:r w:rsidRPr="00C152A7">
        <w:rPr>
          <w:sz w:val="24"/>
          <w:szCs w:val="24"/>
        </w:rPr>
        <w:t>nitrosoradikaler</w:t>
      </w:r>
      <w:proofErr w:type="spellEnd"/>
      <w:r w:rsidRPr="00C152A7">
        <w:rPr>
          <w:sz w:val="24"/>
          <w:szCs w:val="24"/>
        </w:rPr>
        <w:t xml:space="preserve">. </w:t>
      </w:r>
    </w:p>
    <w:p w14:paraId="31F8E28D" w14:textId="77777777" w:rsidR="00D52384" w:rsidRPr="00C152A7" w:rsidRDefault="00D52384" w:rsidP="00434810">
      <w:pPr>
        <w:ind w:left="851"/>
        <w:rPr>
          <w:sz w:val="24"/>
          <w:szCs w:val="24"/>
        </w:rPr>
      </w:pPr>
      <w:r w:rsidRPr="00C152A7">
        <w:rPr>
          <w:sz w:val="24"/>
          <w:szCs w:val="24"/>
        </w:rPr>
        <w:t xml:space="preserve">Der er fuld krydsresistens mellem </w:t>
      </w:r>
      <w:proofErr w:type="spellStart"/>
      <w:r w:rsidRPr="00C152A7">
        <w:rPr>
          <w:sz w:val="24"/>
          <w:szCs w:val="24"/>
        </w:rPr>
        <w:t>metronidazol</w:t>
      </w:r>
      <w:proofErr w:type="spellEnd"/>
      <w:r w:rsidRPr="00C152A7">
        <w:rPr>
          <w:sz w:val="24"/>
          <w:szCs w:val="24"/>
        </w:rPr>
        <w:t xml:space="preserve"> og de andre </w:t>
      </w:r>
      <w:proofErr w:type="spellStart"/>
      <w:r w:rsidRPr="00C152A7">
        <w:rPr>
          <w:sz w:val="24"/>
          <w:szCs w:val="24"/>
        </w:rPr>
        <w:t>nitroimidazolderivater</w:t>
      </w:r>
      <w:proofErr w:type="spellEnd"/>
      <w:r w:rsidRPr="00C152A7">
        <w:rPr>
          <w:sz w:val="24"/>
          <w:szCs w:val="24"/>
        </w:rPr>
        <w:t xml:space="preserve"> (</w:t>
      </w:r>
      <w:proofErr w:type="spellStart"/>
      <w:r w:rsidRPr="00C152A7">
        <w:rPr>
          <w:sz w:val="24"/>
          <w:szCs w:val="24"/>
        </w:rPr>
        <w:t>tinidazol</w:t>
      </w:r>
      <w:proofErr w:type="spellEnd"/>
      <w:r w:rsidRPr="00C152A7">
        <w:rPr>
          <w:sz w:val="24"/>
          <w:szCs w:val="24"/>
        </w:rPr>
        <w:t xml:space="preserve">, </w:t>
      </w:r>
      <w:proofErr w:type="spellStart"/>
      <w:r w:rsidRPr="00C152A7">
        <w:rPr>
          <w:sz w:val="24"/>
          <w:szCs w:val="24"/>
        </w:rPr>
        <w:t>ornidazol</w:t>
      </w:r>
      <w:proofErr w:type="spellEnd"/>
      <w:r w:rsidRPr="00C152A7">
        <w:rPr>
          <w:sz w:val="24"/>
          <w:szCs w:val="24"/>
        </w:rPr>
        <w:t xml:space="preserve">, </w:t>
      </w:r>
      <w:proofErr w:type="spellStart"/>
      <w:r w:rsidRPr="00C152A7">
        <w:rPr>
          <w:sz w:val="24"/>
          <w:szCs w:val="24"/>
        </w:rPr>
        <w:t>nimorazol</w:t>
      </w:r>
      <w:proofErr w:type="spellEnd"/>
      <w:r w:rsidRPr="00C152A7">
        <w:rPr>
          <w:sz w:val="24"/>
          <w:szCs w:val="24"/>
        </w:rPr>
        <w:t xml:space="preserve">). Prævalensen af erhvervet resistens hos de enkelte arter kan variere afhængigt af region og tid. Derfor skal der, især for at kunne behandle alvorlige infektioner hensigtsmæssigt, være specifikke oplysninger om lokale resistensforhold til rådighed. I tilfælde af tvivl om </w:t>
      </w:r>
      <w:proofErr w:type="spellStart"/>
      <w:r w:rsidRPr="00C152A7">
        <w:rPr>
          <w:sz w:val="24"/>
          <w:szCs w:val="24"/>
        </w:rPr>
        <w:t>metronidasols</w:t>
      </w:r>
      <w:proofErr w:type="spellEnd"/>
      <w:r w:rsidRPr="00C152A7">
        <w:rPr>
          <w:sz w:val="24"/>
          <w:szCs w:val="24"/>
        </w:rPr>
        <w:t xml:space="preserve"> virkning på grund af lokale resistensforhold skal der søges ekspertrådgivning. Særligt ved alvorlige infektioner eller behandlingsvigt er det nødvendigt med en mikrobiologisk diagnose, herunder bestemmelse af mikroorganismens art og dens følsomhed over for </w:t>
      </w:r>
      <w:proofErr w:type="spellStart"/>
      <w:r w:rsidRPr="00C152A7">
        <w:rPr>
          <w:sz w:val="24"/>
          <w:szCs w:val="24"/>
        </w:rPr>
        <w:t>metronidazol</w:t>
      </w:r>
      <w:proofErr w:type="spellEnd"/>
      <w:r w:rsidRPr="00C152A7">
        <w:rPr>
          <w:sz w:val="24"/>
          <w:szCs w:val="24"/>
        </w:rPr>
        <w:t>.</w:t>
      </w:r>
    </w:p>
    <w:p w14:paraId="07CFA25A" w14:textId="77777777" w:rsidR="009260DE" w:rsidRPr="00C152A7" w:rsidRDefault="009260DE" w:rsidP="009260DE">
      <w:pPr>
        <w:tabs>
          <w:tab w:val="left" w:pos="851"/>
        </w:tabs>
        <w:ind w:left="851"/>
        <w:rPr>
          <w:sz w:val="24"/>
          <w:szCs w:val="24"/>
        </w:rPr>
      </w:pPr>
    </w:p>
    <w:p w14:paraId="4393FE55" w14:textId="77777777" w:rsidR="009260DE" w:rsidRPr="00C152A7" w:rsidRDefault="009260DE" w:rsidP="009260DE">
      <w:pPr>
        <w:tabs>
          <w:tab w:val="left" w:pos="851"/>
        </w:tabs>
        <w:ind w:left="851" w:hanging="851"/>
        <w:rPr>
          <w:b/>
          <w:sz w:val="24"/>
          <w:szCs w:val="24"/>
        </w:rPr>
      </w:pPr>
      <w:r w:rsidRPr="00C152A7">
        <w:rPr>
          <w:b/>
          <w:sz w:val="24"/>
          <w:szCs w:val="24"/>
        </w:rPr>
        <w:t>5.2</w:t>
      </w:r>
      <w:r w:rsidRPr="00C152A7">
        <w:rPr>
          <w:b/>
          <w:sz w:val="24"/>
          <w:szCs w:val="24"/>
        </w:rPr>
        <w:tab/>
      </w:r>
      <w:proofErr w:type="spellStart"/>
      <w:r w:rsidRPr="00C152A7">
        <w:rPr>
          <w:b/>
          <w:sz w:val="24"/>
          <w:szCs w:val="24"/>
        </w:rPr>
        <w:t>Farmakokinetiske</w:t>
      </w:r>
      <w:proofErr w:type="spellEnd"/>
      <w:r w:rsidRPr="00C152A7">
        <w:rPr>
          <w:b/>
          <w:sz w:val="24"/>
          <w:szCs w:val="24"/>
        </w:rPr>
        <w:t xml:space="preserve"> egenskaber</w:t>
      </w:r>
    </w:p>
    <w:p w14:paraId="11B7774B" w14:textId="77777777" w:rsidR="00751D76" w:rsidRDefault="00751D76" w:rsidP="00434810">
      <w:pPr>
        <w:ind w:left="851"/>
        <w:rPr>
          <w:sz w:val="24"/>
          <w:szCs w:val="24"/>
        </w:rPr>
      </w:pPr>
    </w:p>
    <w:p w14:paraId="22797D9C" w14:textId="5066C59A" w:rsidR="00D52384" w:rsidRPr="00751D76" w:rsidRDefault="00D52384" w:rsidP="00434810">
      <w:pPr>
        <w:ind w:left="851"/>
        <w:rPr>
          <w:sz w:val="24"/>
          <w:szCs w:val="24"/>
          <w:u w:val="single"/>
        </w:rPr>
      </w:pPr>
      <w:r w:rsidRPr="00751D76">
        <w:rPr>
          <w:sz w:val="24"/>
          <w:szCs w:val="24"/>
          <w:u w:val="single"/>
        </w:rPr>
        <w:t>Absorption</w:t>
      </w:r>
    </w:p>
    <w:p w14:paraId="29D4817F"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absorberes let fra mave-tarm-kanalen, og den orale biotilgængelighed er &gt; 90 %. Følgelig vil den samme mg</w:t>
      </w:r>
      <w:r w:rsidRPr="00C152A7">
        <w:rPr>
          <w:sz w:val="24"/>
          <w:szCs w:val="24"/>
        </w:rPr>
        <w:noBreakHyphen/>
        <w:t>dosis resultere i en lignende eksponering (AUC), når der skiftes mellem intravenøs og oral dosering.</w:t>
      </w:r>
    </w:p>
    <w:p w14:paraId="5878A4F9" w14:textId="320634B0" w:rsidR="00D52384" w:rsidRPr="00C152A7" w:rsidRDefault="00D52384" w:rsidP="00434810">
      <w:pPr>
        <w:ind w:left="851"/>
        <w:rPr>
          <w:color w:val="000000" w:themeColor="text1"/>
          <w:sz w:val="24"/>
          <w:szCs w:val="24"/>
          <w:highlight w:val="yellow"/>
        </w:rPr>
      </w:pPr>
      <w:r w:rsidRPr="00C152A7">
        <w:rPr>
          <w:sz w:val="24"/>
          <w:szCs w:val="24"/>
        </w:rPr>
        <w:t xml:space="preserve">Idet </w:t>
      </w:r>
      <w:proofErr w:type="spellStart"/>
      <w:r w:rsidRPr="00C152A7">
        <w:rPr>
          <w:sz w:val="24"/>
          <w:szCs w:val="24"/>
        </w:rPr>
        <w:t>Metronidazole</w:t>
      </w:r>
      <w:proofErr w:type="spellEnd"/>
      <w:r w:rsidRPr="00C152A7">
        <w:rPr>
          <w:sz w:val="24"/>
          <w:szCs w:val="24"/>
        </w:rPr>
        <w:t xml:space="preserve"> </w:t>
      </w:r>
      <w:r w:rsidR="00F0295A">
        <w:rPr>
          <w:sz w:val="24"/>
          <w:szCs w:val="24"/>
        </w:rPr>
        <w:t>"Noridem"</w:t>
      </w:r>
      <w:r w:rsidRPr="00C152A7">
        <w:rPr>
          <w:sz w:val="24"/>
          <w:szCs w:val="24"/>
        </w:rPr>
        <w:t xml:space="preserve"> 5 mg/</w:t>
      </w:r>
      <w:r w:rsidRPr="00C152A7">
        <w:rPr>
          <w:color w:val="000000" w:themeColor="text1"/>
          <w:sz w:val="24"/>
          <w:szCs w:val="24"/>
        </w:rPr>
        <w:t>ml infusionsvæske, opløsning, administreres via intravenøs infusion, er biotilgængeligheden 100 %.</w:t>
      </w:r>
    </w:p>
    <w:p w14:paraId="275DDB5F" w14:textId="77777777" w:rsidR="00D52384" w:rsidRPr="00751D76" w:rsidRDefault="00D52384" w:rsidP="00434810">
      <w:pPr>
        <w:ind w:left="851"/>
        <w:rPr>
          <w:color w:val="000000" w:themeColor="text1"/>
          <w:sz w:val="24"/>
          <w:szCs w:val="24"/>
          <w:highlight w:val="yellow"/>
          <w:lang w:val="nl-NL"/>
        </w:rPr>
      </w:pPr>
    </w:p>
    <w:p w14:paraId="56B5891A" w14:textId="77777777" w:rsidR="00D52384" w:rsidRPr="00751D76" w:rsidRDefault="00D52384" w:rsidP="00434810">
      <w:pPr>
        <w:ind w:left="851"/>
        <w:rPr>
          <w:color w:val="000000" w:themeColor="text1"/>
          <w:sz w:val="24"/>
          <w:szCs w:val="24"/>
          <w:u w:val="single"/>
        </w:rPr>
      </w:pPr>
      <w:r w:rsidRPr="00751D76">
        <w:rPr>
          <w:color w:val="000000" w:themeColor="text1"/>
          <w:sz w:val="24"/>
          <w:szCs w:val="24"/>
          <w:u w:val="single"/>
        </w:rPr>
        <w:t>Fordeling</w:t>
      </w:r>
    </w:p>
    <w:p w14:paraId="0D599020"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color w:val="000000" w:themeColor="text1"/>
          <w:sz w:val="24"/>
          <w:szCs w:val="24"/>
        </w:rPr>
      </w:pPr>
      <w:r w:rsidRPr="00751D76">
        <w:rPr>
          <w:rFonts w:ascii="Times New Roman" w:hAnsi="Times New Roman" w:cs="Times New Roman"/>
          <w:color w:val="000000" w:themeColor="text1"/>
          <w:sz w:val="24"/>
          <w:szCs w:val="24"/>
        </w:rPr>
        <w:t xml:space="preserve">Intravenøs injektion af 500 mg </w:t>
      </w:r>
      <w:proofErr w:type="spellStart"/>
      <w:r w:rsidRPr="00751D76">
        <w:rPr>
          <w:rFonts w:ascii="Times New Roman" w:hAnsi="Times New Roman" w:cs="Times New Roman"/>
          <w:color w:val="000000" w:themeColor="text1"/>
          <w:sz w:val="24"/>
          <w:szCs w:val="24"/>
        </w:rPr>
        <w:t>metronidazol</w:t>
      </w:r>
      <w:proofErr w:type="spellEnd"/>
      <w:r w:rsidRPr="00751D76">
        <w:rPr>
          <w:rFonts w:ascii="Times New Roman" w:hAnsi="Times New Roman" w:cs="Times New Roman"/>
          <w:color w:val="000000" w:themeColor="text1"/>
          <w:sz w:val="24"/>
          <w:szCs w:val="24"/>
        </w:rPr>
        <w:t xml:space="preserve"> resulterer, efter en enkelt infusion, i et gennemsnitligt peak på 18 </w:t>
      </w:r>
      <w:proofErr w:type="spellStart"/>
      <w:r w:rsidRPr="00751D76">
        <w:rPr>
          <w:rFonts w:ascii="Times New Roman" w:hAnsi="Times New Roman" w:cs="Times New Roman"/>
          <w:color w:val="000000" w:themeColor="text1"/>
          <w:sz w:val="24"/>
          <w:szCs w:val="24"/>
        </w:rPr>
        <w:t>mcg</w:t>
      </w:r>
      <w:proofErr w:type="spellEnd"/>
      <w:r w:rsidRPr="00751D76">
        <w:rPr>
          <w:rFonts w:ascii="Times New Roman" w:hAnsi="Times New Roman" w:cs="Times New Roman"/>
          <w:color w:val="000000" w:themeColor="text1"/>
          <w:sz w:val="24"/>
          <w:szCs w:val="24"/>
        </w:rPr>
        <w:t> pr. ml ved slutningen af 20 minutters infusion.</w:t>
      </w:r>
    </w:p>
    <w:p w14:paraId="3FFAE1C2"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color w:val="000000" w:themeColor="text1"/>
          <w:sz w:val="24"/>
          <w:szCs w:val="24"/>
        </w:rPr>
      </w:pPr>
      <w:r w:rsidRPr="00751D76">
        <w:rPr>
          <w:rFonts w:ascii="Times New Roman" w:hAnsi="Times New Roman" w:cs="Times New Roman"/>
          <w:color w:val="000000" w:themeColor="text1"/>
          <w:sz w:val="24"/>
          <w:szCs w:val="24"/>
        </w:rPr>
        <w:t>Gentagen administration hver 8. time resulterer i et identisk gennemsnitligt peak.</w:t>
      </w:r>
    </w:p>
    <w:p w14:paraId="16B3A9EB"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color w:val="000000" w:themeColor="text1"/>
          <w:sz w:val="24"/>
          <w:szCs w:val="24"/>
        </w:rPr>
      </w:pPr>
      <w:r w:rsidRPr="00751D76">
        <w:rPr>
          <w:rFonts w:ascii="Times New Roman" w:hAnsi="Times New Roman" w:cs="Times New Roman"/>
          <w:color w:val="000000" w:themeColor="text1"/>
          <w:sz w:val="24"/>
          <w:szCs w:val="24"/>
        </w:rPr>
        <w:t>Administration hver 12. time resulterer i et gennemsnitligt peak på 13 </w:t>
      </w:r>
      <w:proofErr w:type="spellStart"/>
      <w:r w:rsidRPr="00751D76">
        <w:rPr>
          <w:rFonts w:ascii="Times New Roman" w:hAnsi="Times New Roman" w:cs="Times New Roman"/>
          <w:color w:val="000000" w:themeColor="text1"/>
          <w:sz w:val="24"/>
          <w:szCs w:val="24"/>
        </w:rPr>
        <w:t>mcg</w:t>
      </w:r>
      <w:proofErr w:type="spellEnd"/>
      <w:r w:rsidRPr="00751D76">
        <w:rPr>
          <w:rFonts w:ascii="Times New Roman" w:hAnsi="Times New Roman" w:cs="Times New Roman"/>
          <w:color w:val="000000" w:themeColor="text1"/>
          <w:sz w:val="24"/>
          <w:szCs w:val="24"/>
        </w:rPr>
        <w:t> pr. ml.</w:t>
      </w:r>
    </w:p>
    <w:p w14:paraId="058A5911"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Halveringstiden i plasma er 8 til 10 timer.</w:t>
      </w:r>
    </w:p>
    <w:p w14:paraId="27879999"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Plasmaproteinbindingen er lav: mindre end 10 procent.</w:t>
      </w:r>
    </w:p>
    <w:p w14:paraId="181C53CF" w14:textId="77777777" w:rsidR="00D52384" w:rsidRPr="00751D76" w:rsidRDefault="00D52384" w:rsidP="00751D76">
      <w:pPr>
        <w:pStyle w:val="Listeafsnit"/>
        <w:numPr>
          <w:ilvl w:val="0"/>
          <w:numId w:val="13"/>
        </w:numPr>
        <w:spacing w:after="0" w:line="240" w:lineRule="auto"/>
        <w:ind w:left="1276" w:hanging="425"/>
        <w:rPr>
          <w:rFonts w:ascii="Times New Roman" w:hAnsi="Times New Roman" w:cs="Times New Roman"/>
          <w:sz w:val="24"/>
          <w:szCs w:val="24"/>
        </w:rPr>
      </w:pPr>
      <w:r w:rsidRPr="00751D76">
        <w:rPr>
          <w:rFonts w:ascii="Times New Roman" w:hAnsi="Times New Roman" w:cs="Times New Roman"/>
          <w:sz w:val="24"/>
          <w:szCs w:val="24"/>
        </w:rPr>
        <w:t>Diffusionen er hurtig og omfattende i: lunger, nyrer, lever, hud, galde, CSF, spyt, sædvæske, vaginalsekret.</w:t>
      </w:r>
    </w:p>
    <w:p w14:paraId="11C7DBC8"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passerer placentabarrieren og udskilles i modermælk.</w:t>
      </w:r>
    </w:p>
    <w:p w14:paraId="3B47483F" w14:textId="77777777" w:rsidR="00D52384" w:rsidRPr="00C152A7" w:rsidRDefault="00D52384" w:rsidP="00434810">
      <w:pPr>
        <w:ind w:left="851"/>
        <w:rPr>
          <w:sz w:val="24"/>
          <w:szCs w:val="24"/>
        </w:rPr>
      </w:pPr>
    </w:p>
    <w:p w14:paraId="38AB6264" w14:textId="77777777" w:rsidR="00D52384" w:rsidRPr="00751D76" w:rsidRDefault="00D52384" w:rsidP="00434810">
      <w:pPr>
        <w:ind w:left="851"/>
        <w:rPr>
          <w:sz w:val="24"/>
          <w:szCs w:val="24"/>
          <w:u w:val="single"/>
        </w:rPr>
      </w:pPr>
      <w:r w:rsidRPr="00751D76">
        <w:rPr>
          <w:sz w:val="24"/>
          <w:szCs w:val="24"/>
          <w:u w:val="single"/>
        </w:rPr>
        <w:t>Biotransformation</w:t>
      </w:r>
    </w:p>
    <w:p w14:paraId="21EA7770"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danner to ikke</w:t>
      </w:r>
      <w:r w:rsidRPr="00C152A7">
        <w:rPr>
          <w:sz w:val="24"/>
          <w:szCs w:val="24"/>
        </w:rPr>
        <w:noBreakHyphen/>
        <w:t>konjugerede metabolitter, som udviser antibakteriel aktivitet (10 til 30 procent).</w:t>
      </w:r>
    </w:p>
    <w:p w14:paraId="3AF4C6C0"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w:t>
      </w:r>
      <w:proofErr w:type="spellStart"/>
      <w:r w:rsidRPr="00C152A7">
        <w:rPr>
          <w:sz w:val="24"/>
          <w:szCs w:val="24"/>
        </w:rPr>
        <w:t>metaboliseres</w:t>
      </w:r>
      <w:proofErr w:type="spellEnd"/>
      <w:r w:rsidRPr="00C152A7">
        <w:rPr>
          <w:sz w:val="24"/>
          <w:szCs w:val="24"/>
        </w:rPr>
        <w:t xml:space="preserve"> i leveren via sidekædeoxidation og </w:t>
      </w:r>
      <w:proofErr w:type="spellStart"/>
      <w:r w:rsidRPr="00C152A7">
        <w:rPr>
          <w:sz w:val="24"/>
          <w:szCs w:val="24"/>
        </w:rPr>
        <w:t>glucuroniddannelse</w:t>
      </w:r>
      <w:proofErr w:type="spellEnd"/>
      <w:r w:rsidRPr="00C152A7">
        <w:rPr>
          <w:sz w:val="24"/>
          <w:szCs w:val="24"/>
        </w:rPr>
        <w:t xml:space="preserve">. Dets metabolitter omfatter et syreoxidationsprodukt, et </w:t>
      </w:r>
      <w:proofErr w:type="spellStart"/>
      <w:r w:rsidRPr="00C152A7">
        <w:rPr>
          <w:sz w:val="24"/>
          <w:szCs w:val="24"/>
        </w:rPr>
        <w:t>hydroxyderivat</w:t>
      </w:r>
      <w:proofErr w:type="spellEnd"/>
      <w:r w:rsidRPr="00C152A7">
        <w:rPr>
          <w:sz w:val="24"/>
          <w:szCs w:val="24"/>
        </w:rPr>
        <w:t xml:space="preserve"> og </w:t>
      </w:r>
      <w:proofErr w:type="spellStart"/>
      <w:r w:rsidRPr="00C152A7">
        <w:rPr>
          <w:sz w:val="24"/>
          <w:szCs w:val="24"/>
        </w:rPr>
        <w:t>glucuronid</w:t>
      </w:r>
      <w:proofErr w:type="spellEnd"/>
      <w:r w:rsidRPr="00C152A7">
        <w:rPr>
          <w:sz w:val="24"/>
          <w:szCs w:val="24"/>
        </w:rPr>
        <w:t xml:space="preserve">. Den største metabolit i serum er den </w:t>
      </w:r>
      <w:proofErr w:type="spellStart"/>
      <w:r w:rsidRPr="00C152A7">
        <w:rPr>
          <w:sz w:val="24"/>
          <w:szCs w:val="24"/>
        </w:rPr>
        <w:t>hydroxylerede</w:t>
      </w:r>
      <w:proofErr w:type="spellEnd"/>
      <w:r w:rsidRPr="00C152A7">
        <w:rPr>
          <w:sz w:val="24"/>
          <w:szCs w:val="24"/>
        </w:rPr>
        <w:t xml:space="preserve"> metabolit, og den største metabolit i urinen er syremetabolitten. </w:t>
      </w:r>
      <w:proofErr w:type="spellStart"/>
      <w:r w:rsidRPr="00C152A7">
        <w:rPr>
          <w:sz w:val="24"/>
          <w:szCs w:val="24"/>
        </w:rPr>
        <w:t>Metaboliseringen</w:t>
      </w:r>
      <w:proofErr w:type="spellEnd"/>
      <w:r w:rsidRPr="00C152A7">
        <w:rPr>
          <w:sz w:val="24"/>
          <w:szCs w:val="24"/>
        </w:rPr>
        <w:t xml:space="preserve"> foregår overvejende via </w:t>
      </w:r>
      <w:proofErr w:type="spellStart"/>
      <w:r w:rsidRPr="00C152A7">
        <w:rPr>
          <w:sz w:val="24"/>
          <w:szCs w:val="24"/>
        </w:rPr>
        <w:t>mikrosomale</w:t>
      </w:r>
      <w:proofErr w:type="spellEnd"/>
      <w:r w:rsidRPr="00C152A7">
        <w:rPr>
          <w:sz w:val="24"/>
          <w:szCs w:val="24"/>
        </w:rPr>
        <w:t xml:space="preserve"> </w:t>
      </w:r>
      <w:proofErr w:type="spellStart"/>
      <w:r w:rsidRPr="00C152A7">
        <w:rPr>
          <w:sz w:val="24"/>
          <w:szCs w:val="24"/>
        </w:rPr>
        <w:t>cytokrom</w:t>
      </w:r>
      <w:proofErr w:type="spellEnd"/>
      <w:r w:rsidRPr="00C152A7">
        <w:rPr>
          <w:sz w:val="24"/>
          <w:szCs w:val="24"/>
        </w:rPr>
        <w:t> P450-oxidaser i leveren.</w:t>
      </w:r>
    </w:p>
    <w:p w14:paraId="5B797D07" w14:textId="508F7A13" w:rsidR="00BC0209" w:rsidRDefault="00BC0209">
      <w:pPr>
        <w:rPr>
          <w:sz w:val="24"/>
          <w:szCs w:val="24"/>
          <w:lang w:val="nl-NL"/>
        </w:rPr>
      </w:pPr>
      <w:r>
        <w:rPr>
          <w:sz w:val="24"/>
          <w:szCs w:val="24"/>
          <w:lang w:val="nl-NL"/>
        </w:rPr>
        <w:br w:type="page"/>
      </w:r>
    </w:p>
    <w:p w14:paraId="2B4B16A7" w14:textId="77777777" w:rsidR="00D52384" w:rsidRPr="00C152A7" w:rsidRDefault="00D52384" w:rsidP="00434810">
      <w:pPr>
        <w:ind w:left="851"/>
        <w:rPr>
          <w:sz w:val="24"/>
          <w:szCs w:val="24"/>
          <w:lang w:val="nl-NL"/>
        </w:rPr>
      </w:pPr>
    </w:p>
    <w:p w14:paraId="5EBE681B" w14:textId="77777777" w:rsidR="00D52384" w:rsidRPr="00751D76" w:rsidRDefault="00D52384" w:rsidP="00434810">
      <w:pPr>
        <w:ind w:left="851"/>
        <w:rPr>
          <w:sz w:val="24"/>
          <w:szCs w:val="24"/>
          <w:highlight w:val="yellow"/>
          <w:u w:val="single"/>
        </w:rPr>
      </w:pPr>
      <w:r w:rsidRPr="00751D76">
        <w:rPr>
          <w:sz w:val="24"/>
          <w:szCs w:val="24"/>
          <w:u w:val="single"/>
        </w:rPr>
        <w:t>Elimination</w:t>
      </w:r>
    </w:p>
    <w:p w14:paraId="49ACC998" w14:textId="77777777" w:rsidR="00D52384" w:rsidRPr="00C152A7" w:rsidRDefault="00D52384" w:rsidP="00434810">
      <w:pPr>
        <w:ind w:left="851"/>
        <w:rPr>
          <w:sz w:val="24"/>
          <w:szCs w:val="24"/>
        </w:rPr>
      </w:pPr>
      <w:r w:rsidRPr="00C152A7">
        <w:rPr>
          <w:sz w:val="24"/>
          <w:szCs w:val="24"/>
        </w:rPr>
        <w:t xml:space="preserve">Omkring 80 % af stoffet udskilles i urinen, hvoraf mindre end 10 % er i form af det </w:t>
      </w:r>
      <w:proofErr w:type="spellStart"/>
      <w:r w:rsidRPr="00C152A7">
        <w:rPr>
          <w:sz w:val="24"/>
          <w:szCs w:val="24"/>
        </w:rPr>
        <w:t>uomdannede</w:t>
      </w:r>
      <w:proofErr w:type="spellEnd"/>
      <w:r w:rsidRPr="00C152A7">
        <w:rPr>
          <w:sz w:val="24"/>
          <w:szCs w:val="24"/>
        </w:rPr>
        <w:t xml:space="preserve"> stof. Små mængder udskilles via leveren. Eliminationshalveringstiden er 8 (6</w:t>
      </w:r>
      <w:r w:rsidRPr="00C152A7">
        <w:rPr>
          <w:sz w:val="24"/>
          <w:szCs w:val="24"/>
        </w:rPr>
        <w:noBreakHyphen/>
        <w:t>10) timer.</w:t>
      </w:r>
    </w:p>
    <w:p w14:paraId="04BEBABE" w14:textId="77777777" w:rsidR="00D52384" w:rsidRPr="00C152A7" w:rsidRDefault="00D52384" w:rsidP="00434810">
      <w:pPr>
        <w:ind w:left="851"/>
        <w:rPr>
          <w:sz w:val="24"/>
          <w:szCs w:val="24"/>
          <w:lang w:val="nl-NL"/>
        </w:rPr>
      </w:pPr>
    </w:p>
    <w:p w14:paraId="240EBB6E" w14:textId="77777777" w:rsidR="00D52384" w:rsidRPr="00C152A7" w:rsidRDefault="00D52384" w:rsidP="00434810">
      <w:pPr>
        <w:ind w:left="851"/>
        <w:rPr>
          <w:b/>
          <w:i/>
          <w:sz w:val="24"/>
          <w:szCs w:val="24"/>
        </w:rPr>
      </w:pPr>
      <w:r w:rsidRPr="00C152A7">
        <w:rPr>
          <w:b/>
          <w:i/>
          <w:sz w:val="24"/>
          <w:szCs w:val="24"/>
        </w:rPr>
        <w:t>Karakteristika hos særlige patientgrupper:</w:t>
      </w:r>
    </w:p>
    <w:p w14:paraId="64392B79" w14:textId="77777777" w:rsidR="00D52384" w:rsidRPr="00C152A7" w:rsidRDefault="00D52384" w:rsidP="00434810">
      <w:pPr>
        <w:ind w:left="851"/>
        <w:rPr>
          <w:sz w:val="24"/>
          <w:szCs w:val="24"/>
        </w:rPr>
      </w:pPr>
      <w:r w:rsidRPr="00C152A7">
        <w:rPr>
          <w:sz w:val="24"/>
          <w:szCs w:val="24"/>
        </w:rPr>
        <w:t xml:space="preserve">Nedsat nyrefunktion forsinker kun udskillelsen i ubetydelig grad. Eliminationshalveringstiden for </w:t>
      </w:r>
      <w:proofErr w:type="spellStart"/>
      <w:r w:rsidRPr="00C152A7">
        <w:rPr>
          <w:sz w:val="24"/>
          <w:szCs w:val="24"/>
        </w:rPr>
        <w:t>metronidazol</w:t>
      </w:r>
      <w:proofErr w:type="spellEnd"/>
      <w:r w:rsidRPr="00C152A7">
        <w:rPr>
          <w:sz w:val="24"/>
          <w:szCs w:val="24"/>
        </w:rPr>
        <w:t xml:space="preserve"> forbliver uændret ved nyresvigt. Hos sådanne patienter vil metabolitterne af </w:t>
      </w:r>
      <w:proofErr w:type="spellStart"/>
      <w:r w:rsidRPr="00C152A7">
        <w:rPr>
          <w:sz w:val="24"/>
          <w:szCs w:val="24"/>
        </w:rPr>
        <w:t>metronidazol</w:t>
      </w:r>
      <w:proofErr w:type="spellEnd"/>
      <w:r w:rsidRPr="00C152A7">
        <w:rPr>
          <w:sz w:val="24"/>
          <w:szCs w:val="24"/>
        </w:rPr>
        <w:t xml:space="preserve"> imidlertid tilbageblive. Den kliniske relevans af dette er ikke kendt på nuværende tidspunkt.</w:t>
      </w:r>
    </w:p>
    <w:p w14:paraId="0045A9DC" w14:textId="77777777" w:rsidR="00D52384" w:rsidRPr="00C152A7" w:rsidRDefault="00D52384" w:rsidP="00434810">
      <w:pPr>
        <w:ind w:left="851"/>
        <w:rPr>
          <w:sz w:val="24"/>
          <w:szCs w:val="24"/>
          <w:lang w:val="nl-NL"/>
        </w:rPr>
      </w:pPr>
    </w:p>
    <w:p w14:paraId="0B921BCA" w14:textId="77777777" w:rsidR="00D52384" w:rsidRPr="00C152A7" w:rsidRDefault="00D52384" w:rsidP="00434810">
      <w:pPr>
        <w:ind w:left="851"/>
        <w:rPr>
          <w:sz w:val="24"/>
          <w:szCs w:val="24"/>
        </w:rPr>
      </w:pPr>
      <w:r w:rsidRPr="00C152A7">
        <w:rPr>
          <w:sz w:val="24"/>
          <w:szCs w:val="24"/>
        </w:rPr>
        <w:t xml:space="preserve">Ved alvorlig leversygdom forventes forsinket </w:t>
      </w:r>
      <w:proofErr w:type="spellStart"/>
      <w:r w:rsidRPr="00C152A7">
        <w:rPr>
          <w:sz w:val="24"/>
          <w:szCs w:val="24"/>
        </w:rPr>
        <w:t>plasmaclearance</w:t>
      </w:r>
      <w:proofErr w:type="spellEnd"/>
      <w:r w:rsidRPr="00C152A7">
        <w:rPr>
          <w:sz w:val="24"/>
          <w:szCs w:val="24"/>
        </w:rPr>
        <w:t xml:space="preserve"> og forlænget halveringstid i serum (op til 30 timer).</w:t>
      </w:r>
    </w:p>
    <w:p w14:paraId="13F1AAB3" w14:textId="77777777" w:rsidR="009260DE" w:rsidRPr="00C152A7" w:rsidRDefault="009260DE" w:rsidP="009260DE">
      <w:pPr>
        <w:tabs>
          <w:tab w:val="left" w:pos="851"/>
        </w:tabs>
        <w:ind w:left="851"/>
        <w:rPr>
          <w:sz w:val="24"/>
          <w:szCs w:val="24"/>
        </w:rPr>
      </w:pPr>
    </w:p>
    <w:p w14:paraId="392E4E6C" w14:textId="77777777" w:rsidR="009260DE" w:rsidRPr="00C152A7" w:rsidRDefault="009260DE" w:rsidP="009260DE">
      <w:pPr>
        <w:tabs>
          <w:tab w:val="left" w:pos="851"/>
        </w:tabs>
        <w:ind w:left="851" w:hanging="851"/>
        <w:rPr>
          <w:b/>
          <w:sz w:val="24"/>
          <w:szCs w:val="24"/>
        </w:rPr>
      </w:pPr>
      <w:r w:rsidRPr="00C152A7">
        <w:rPr>
          <w:b/>
          <w:sz w:val="24"/>
          <w:szCs w:val="24"/>
        </w:rPr>
        <w:t>5.3</w:t>
      </w:r>
      <w:r w:rsidRPr="00C152A7">
        <w:rPr>
          <w:b/>
          <w:sz w:val="24"/>
          <w:szCs w:val="24"/>
        </w:rPr>
        <w:tab/>
      </w:r>
      <w:r w:rsidR="00BD7931" w:rsidRPr="00C152A7">
        <w:rPr>
          <w:b/>
          <w:sz w:val="24"/>
          <w:szCs w:val="24"/>
        </w:rPr>
        <w:t>Non-</w:t>
      </w:r>
      <w:r w:rsidRPr="00C152A7">
        <w:rPr>
          <w:b/>
          <w:sz w:val="24"/>
          <w:szCs w:val="24"/>
        </w:rPr>
        <w:t>kliniske sikkerhedsdata</w:t>
      </w:r>
    </w:p>
    <w:p w14:paraId="3CFCDEE3" w14:textId="77777777" w:rsidR="00751D76" w:rsidRDefault="00751D76" w:rsidP="00434810">
      <w:pPr>
        <w:ind w:left="851"/>
        <w:rPr>
          <w:sz w:val="24"/>
          <w:szCs w:val="24"/>
        </w:rPr>
      </w:pPr>
    </w:p>
    <w:p w14:paraId="4495C313" w14:textId="45DCA6EE" w:rsidR="00D52384" w:rsidRPr="00751D76" w:rsidRDefault="00D52384" w:rsidP="00434810">
      <w:pPr>
        <w:ind w:left="851"/>
        <w:rPr>
          <w:b/>
          <w:i/>
          <w:sz w:val="24"/>
          <w:szCs w:val="24"/>
        </w:rPr>
      </w:pPr>
      <w:r w:rsidRPr="00751D76">
        <w:rPr>
          <w:b/>
          <w:i/>
          <w:sz w:val="24"/>
          <w:szCs w:val="24"/>
        </w:rPr>
        <w:t xml:space="preserve">Toksicitet efter gentagne doser </w:t>
      </w:r>
    </w:p>
    <w:p w14:paraId="4069853F" w14:textId="77777777" w:rsidR="00D52384" w:rsidRPr="00C152A7" w:rsidRDefault="00D52384" w:rsidP="00434810">
      <w:pPr>
        <w:ind w:left="851"/>
        <w:rPr>
          <w:sz w:val="24"/>
          <w:szCs w:val="24"/>
        </w:rPr>
      </w:pPr>
      <w:r w:rsidRPr="00C152A7">
        <w:rPr>
          <w:sz w:val="24"/>
          <w:szCs w:val="24"/>
        </w:rPr>
        <w:t xml:space="preserve">I et 12 måneders studie blev der observeret </w:t>
      </w:r>
      <w:proofErr w:type="spellStart"/>
      <w:r w:rsidRPr="00C152A7">
        <w:rPr>
          <w:sz w:val="24"/>
          <w:szCs w:val="24"/>
        </w:rPr>
        <w:t>ataksi</w:t>
      </w:r>
      <w:proofErr w:type="spellEnd"/>
      <w:r w:rsidRPr="00C152A7">
        <w:rPr>
          <w:sz w:val="24"/>
          <w:szCs w:val="24"/>
        </w:rPr>
        <w:t xml:space="preserve"> og </w:t>
      </w:r>
      <w:proofErr w:type="spellStart"/>
      <w:r w:rsidRPr="00C152A7">
        <w:rPr>
          <w:sz w:val="24"/>
          <w:szCs w:val="24"/>
        </w:rPr>
        <w:t>tremor</w:t>
      </w:r>
      <w:proofErr w:type="spellEnd"/>
      <w:r w:rsidRPr="00C152A7">
        <w:rPr>
          <w:sz w:val="24"/>
          <w:szCs w:val="24"/>
        </w:rPr>
        <w:t xml:space="preserve"> hos hunde efter gentagen administration, og en dosisafhængig stigning i </w:t>
      </w:r>
      <w:proofErr w:type="spellStart"/>
      <w:r w:rsidRPr="00C152A7">
        <w:rPr>
          <w:sz w:val="24"/>
          <w:szCs w:val="24"/>
        </w:rPr>
        <w:t>hepatocellulær</w:t>
      </w:r>
      <w:proofErr w:type="spellEnd"/>
      <w:r w:rsidRPr="00C152A7">
        <w:rPr>
          <w:sz w:val="24"/>
          <w:szCs w:val="24"/>
        </w:rPr>
        <w:t xml:space="preserve"> degeneration hos aber.</w:t>
      </w:r>
    </w:p>
    <w:p w14:paraId="2B299775" w14:textId="77777777" w:rsidR="00D52384" w:rsidRPr="00751D76" w:rsidRDefault="00D52384" w:rsidP="00434810">
      <w:pPr>
        <w:ind w:left="851"/>
        <w:rPr>
          <w:b/>
          <w:i/>
          <w:sz w:val="24"/>
          <w:szCs w:val="24"/>
        </w:rPr>
      </w:pPr>
    </w:p>
    <w:p w14:paraId="75A4279C" w14:textId="77777777" w:rsidR="00D52384" w:rsidRPr="00751D76" w:rsidRDefault="00D52384" w:rsidP="00434810">
      <w:pPr>
        <w:ind w:left="851"/>
        <w:rPr>
          <w:b/>
          <w:i/>
          <w:sz w:val="24"/>
          <w:szCs w:val="24"/>
        </w:rPr>
      </w:pPr>
      <w:r w:rsidRPr="00751D76">
        <w:rPr>
          <w:b/>
          <w:i/>
          <w:sz w:val="24"/>
          <w:szCs w:val="24"/>
        </w:rPr>
        <w:t xml:space="preserve">Mutagent og tumorfremkaldende potentiale </w:t>
      </w:r>
    </w:p>
    <w:p w14:paraId="35909025" w14:textId="77777777" w:rsidR="00D52384" w:rsidRPr="00C152A7" w:rsidRDefault="00D52384" w:rsidP="00434810">
      <w:pPr>
        <w:ind w:left="851"/>
        <w:rPr>
          <w:sz w:val="24"/>
          <w:szCs w:val="24"/>
        </w:rPr>
      </w:pPr>
      <w:proofErr w:type="spellStart"/>
      <w:r w:rsidRPr="00C152A7">
        <w:rPr>
          <w:sz w:val="24"/>
          <w:szCs w:val="24"/>
        </w:rPr>
        <w:t>Metronidazol</w:t>
      </w:r>
      <w:proofErr w:type="spellEnd"/>
      <w:r w:rsidRPr="00C152A7">
        <w:rPr>
          <w:sz w:val="24"/>
          <w:szCs w:val="24"/>
        </w:rPr>
        <w:t xml:space="preserve"> var mutagent i bakterier efter nitroreduktion. Det var dog ikke mutagent i pattedyrceller </w:t>
      </w:r>
      <w:r w:rsidRPr="00BC0209">
        <w:rPr>
          <w:i/>
          <w:iCs/>
          <w:sz w:val="24"/>
          <w:szCs w:val="24"/>
        </w:rPr>
        <w:t>in </w:t>
      </w:r>
      <w:proofErr w:type="spellStart"/>
      <w:r w:rsidRPr="00BC0209">
        <w:rPr>
          <w:i/>
          <w:iCs/>
          <w:sz w:val="24"/>
          <w:szCs w:val="24"/>
        </w:rPr>
        <w:t>vitro</w:t>
      </w:r>
      <w:proofErr w:type="spellEnd"/>
      <w:r w:rsidRPr="00C152A7">
        <w:rPr>
          <w:sz w:val="24"/>
          <w:szCs w:val="24"/>
        </w:rPr>
        <w:t xml:space="preserve"> og </w:t>
      </w:r>
      <w:r w:rsidRPr="00BC0209">
        <w:rPr>
          <w:i/>
          <w:iCs/>
          <w:sz w:val="24"/>
          <w:szCs w:val="24"/>
        </w:rPr>
        <w:t>in </w:t>
      </w:r>
      <w:proofErr w:type="spellStart"/>
      <w:r w:rsidRPr="00BC0209">
        <w:rPr>
          <w:i/>
          <w:iCs/>
          <w:sz w:val="24"/>
          <w:szCs w:val="24"/>
        </w:rPr>
        <w:t>vivo</w:t>
      </w:r>
      <w:proofErr w:type="spellEnd"/>
      <w:r w:rsidRPr="00C152A7">
        <w:rPr>
          <w:sz w:val="24"/>
          <w:szCs w:val="24"/>
        </w:rPr>
        <w:t>. Der blev heller ikke observeret DNA</w:t>
      </w:r>
      <w:r w:rsidRPr="00C152A7">
        <w:rPr>
          <w:sz w:val="24"/>
          <w:szCs w:val="24"/>
        </w:rPr>
        <w:noBreakHyphen/>
        <w:t xml:space="preserve">skader i lymfocytterne hos patienter, der blev behandlet med </w:t>
      </w:r>
      <w:proofErr w:type="spellStart"/>
      <w:r w:rsidRPr="00C152A7">
        <w:rPr>
          <w:sz w:val="24"/>
          <w:szCs w:val="24"/>
        </w:rPr>
        <w:t>metronidazol</w:t>
      </w:r>
      <w:proofErr w:type="spellEnd"/>
      <w:r w:rsidRPr="00C152A7">
        <w:rPr>
          <w:sz w:val="24"/>
          <w:szCs w:val="24"/>
        </w:rPr>
        <w:t>.</w:t>
      </w:r>
    </w:p>
    <w:p w14:paraId="05F6BAAE" w14:textId="7AB0BFC8" w:rsidR="00D52384" w:rsidRPr="00C152A7" w:rsidRDefault="00D52384" w:rsidP="00434810">
      <w:pPr>
        <w:ind w:left="851"/>
        <w:rPr>
          <w:sz w:val="24"/>
          <w:szCs w:val="24"/>
        </w:rPr>
      </w:pPr>
      <w:r w:rsidRPr="00C152A7">
        <w:rPr>
          <w:sz w:val="24"/>
          <w:szCs w:val="24"/>
        </w:rPr>
        <w:t xml:space="preserve">Der er dokumentation, der antyder på, at </w:t>
      </w:r>
      <w:proofErr w:type="spellStart"/>
      <w:r w:rsidRPr="00C152A7">
        <w:rPr>
          <w:sz w:val="24"/>
          <w:szCs w:val="24"/>
        </w:rPr>
        <w:t>metronidazol</w:t>
      </w:r>
      <w:proofErr w:type="spellEnd"/>
      <w:r w:rsidRPr="00C152A7">
        <w:rPr>
          <w:sz w:val="24"/>
          <w:szCs w:val="24"/>
        </w:rPr>
        <w:t xml:space="preserve"> er tumorfremkaldende hos mus og rotter. Der var en stigning i forekomsten af lungetumorer hos mus (efter oral administration af 3,1 gange den maksimale anbefalede dosis af </w:t>
      </w:r>
      <w:proofErr w:type="spellStart"/>
      <w:r w:rsidRPr="00C152A7">
        <w:rPr>
          <w:sz w:val="24"/>
          <w:szCs w:val="24"/>
        </w:rPr>
        <w:t>metronidazol</w:t>
      </w:r>
      <w:proofErr w:type="spellEnd"/>
      <w:r w:rsidRPr="00C152A7">
        <w:rPr>
          <w:sz w:val="24"/>
          <w:szCs w:val="24"/>
        </w:rPr>
        <w:t xml:space="preserve"> til mennesker på 1500 mg/dag), men dette synes ikke at skyldes en genotoksisk mekanisme, da der ikke blev set ændringer i mutationsraten i de forskellige organer hos transgene mus efter høje doser af </w:t>
      </w:r>
      <w:proofErr w:type="spellStart"/>
      <w:r w:rsidRPr="00C152A7">
        <w:rPr>
          <w:sz w:val="24"/>
          <w:szCs w:val="24"/>
        </w:rPr>
        <w:t>metronidazol</w:t>
      </w:r>
      <w:proofErr w:type="spellEnd"/>
      <w:r w:rsidRPr="00C152A7">
        <w:rPr>
          <w:sz w:val="24"/>
          <w:szCs w:val="24"/>
        </w:rPr>
        <w:t>.</w:t>
      </w:r>
    </w:p>
    <w:p w14:paraId="65645384" w14:textId="77777777" w:rsidR="00D52384" w:rsidRPr="00C152A7" w:rsidRDefault="00D52384" w:rsidP="00434810">
      <w:pPr>
        <w:ind w:left="851"/>
        <w:rPr>
          <w:sz w:val="24"/>
          <w:szCs w:val="24"/>
          <w:lang w:val="nl-NL"/>
        </w:rPr>
      </w:pPr>
    </w:p>
    <w:p w14:paraId="54E4D288" w14:textId="77777777" w:rsidR="00D52384" w:rsidRPr="00751D76" w:rsidRDefault="00D52384" w:rsidP="00434810">
      <w:pPr>
        <w:ind w:left="851"/>
        <w:rPr>
          <w:b/>
          <w:i/>
          <w:sz w:val="24"/>
          <w:szCs w:val="24"/>
        </w:rPr>
      </w:pPr>
      <w:r w:rsidRPr="00751D76">
        <w:rPr>
          <w:b/>
          <w:i/>
          <w:sz w:val="24"/>
          <w:szCs w:val="24"/>
        </w:rPr>
        <w:t xml:space="preserve">Reproduktionstoksicitet </w:t>
      </w:r>
    </w:p>
    <w:p w14:paraId="696D949A" w14:textId="77777777" w:rsidR="00D52384" w:rsidRPr="00C152A7" w:rsidRDefault="00D52384" w:rsidP="00434810">
      <w:pPr>
        <w:ind w:left="851"/>
        <w:rPr>
          <w:sz w:val="24"/>
          <w:szCs w:val="24"/>
        </w:rPr>
      </w:pPr>
      <w:r w:rsidRPr="00C152A7">
        <w:rPr>
          <w:sz w:val="24"/>
          <w:szCs w:val="24"/>
        </w:rPr>
        <w:t xml:space="preserve">Der blev ikke observeret </w:t>
      </w:r>
      <w:proofErr w:type="spellStart"/>
      <w:r w:rsidRPr="00C152A7">
        <w:rPr>
          <w:sz w:val="24"/>
          <w:szCs w:val="24"/>
        </w:rPr>
        <w:t>teratogenicitet</w:t>
      </w:r>
      <w:proofErr w:type="spellEnd"/>
      <w:r w:rsidRPr="00C152A7">
        <w:rPr>
          <w:sz w:val="24"/>
          <w:szCs w:val="24"/>
        </w:rPr>
        <w:t xml:space="preserve"> eller embryotoksicitet hos rotter eller kaniner.</w:t>
      </w:r>
    </w:p>
    <w:p w14:paraId="2BEAD90C" w14:textId="69BA67EB" w:rsidR="00D52384" w:rsidRPr="00C152A7" w:rsidRDefault="00D52384" w:rsidP="00434810">
      <w:pPr>
        <w:ind w:left="851"/>
        <w:rPr>
          <w:sz w:val="24"/>
          <w:szCs w:val="24"/>
        </w:rPr>
      </w:pPr>
      <w:r w:rsidRPr="00C152A7">
        <w:rPr>
          <w:sz w:val="24"/>
          <w:szCs w:val="24"/>
        </w:rPr>
        <w:t>Efter gentagen administration hos rotter over 26</w:t>
      </w:r>
      <w:r w:rsidRPr="00C152A7">
        <w:rPr>
          <w:sz w:val="24"/>
          <w:szCs w:val="24"/>
        </w:rPr>
        <w:noBreakHyphen/>
        <w:t xml:space="preserve">80 uger blev der observeret testikel- og prostatadystrofi ved høje doser (14,2 til 28,5 gange den maksimale anbefalede dosis af </w:t>
      </w:r>
      <w:proofErr w:type="spellStart"/>
      <w:r w:rsidRPr="00C152A7">
        <w:rPr>
          <w:sz w:val="24"/>
          <w:szCs w:val="24"/>
        </w:rPr>
        <w:t>metronidazol</w:t>
      </w:r>
      <w:proofErr w:type="spellEnd"/>
      <w:r w:rsidRPr="00C152A7">
        <w:rPr>
          <w:sz w:val="24"/>
          <w:szCs w:val="24"/>
        </w:rPr>
        <w:t xml:space="preserve"> til mennesker på 1500 mg/dag).</w:t>
      </w:r>
    </w:p>
    <w:p w14:paraId="0BAC6486" w14:textId="77777777" w:rsidR="009260DE" w:rsidRPr="00C152A7" w:rsidRDefault="009260DE" w:rsidP="009260DE">
      <w:pPr>
        <w:tabs>
          <w:tab w:val="left" w:pos="851"/>
        </w:tabs>
        <w:ind w:left="851"/>
        <w:rPr>
          <w:sz w:val="24"/>
          <w:szCs w:val="24"/>
        </w:rPr>
      </w:pPr>
    </w:p>
    <w:p w14:paraId="6F992E23" w14:textId="77777777" w:rsidR="009260DE" w:rsidRPr="00C152A7" w:rsidRDefault="009260DE" w:rsidP="009260DE">
      <w:pPr>
        <w:tabs>
          <w:tab w:val="left" w:pos="851"/>
        </w:tabs>
        <w:ind w:left="851"/>
        <w:rPr>
          <w:sz w:val="24"/>
          <w:szCs w:val="24"/>
        </w:rPr>
      </w:pPr>
    </w:p>
    <w:p w14:paraId="628BDD2A" w14:textId="77777777" w:rsidR="009260DE" w:rsidRPr="00C152A7" w:rsidRDefault="009260DE" w:rsidP="009260DE">
      <w:pPr>
        <w:tabs>
          <w:tab w:val="left" w:pos="851"/>
        </w:tabs>
        <w:ind w:left="851" w:hanging="851"/>
        <w:rPr>
          <w:b/>
          <w:sz w:val="24"/>
          <w:szCs w:val="24"/>
        </w:rPr>
      </w:pPr>
      <w:r w:rsidRPr="00C152A7">
        <w:rPr>
          <w:b/>
          <w:sz w:val="24"/>
          <w:szCs w:val="24"/>
        </w:rPr>
        <w:t>6.</w:t>
      </w:r>
      <w:r w:rsidRPr="00C152A7">
        <w:rPr>
          <w:b/>
          <w:sz w:val="24"/>
          <w:szCs w:val="24"/>
        </w:rPr>
        <w:tab/>
        <w:t>FARMACEUTISKE OPLYSNINGER</w:t>
      </w:r>
    </w:p>
    <w:p w14:paraId="2AB07631" w14:textId="77777777" w:rsidR="009260DE" w:rsidRPr="00C152A7" w:rsidRDefault="009260DE" w:rsidP="009260DE">
      <w:pPr>
        <w:tabs>
          <w:tab w:val="left" w:pos="851"/>
        </w:tabs>
        <w:ind w:left="851"/>
        <w:rPr>
          <w:sz w:val="24"/>
          <w:szCs w:val="24"/>
        </w:rPr>
      </w:pPr>
    </w:p>
    <w:p w14:paraId="4EB2F8C9" w14:textId="77777777" w:rsidR="009260DE" w:rsidRPr="00C152A7" w:rsidRDefault="009260DE" w:rsidP="009260DE">
      <w:pPr>
        <w:tabs>
          <w:tab w:val="left" w:pos="851"/>
        </w:tabs>
        <w:ind w:left="851" w:hanging="851"/>
        <w:rPr>
          <w:b/>
          <w:sz w:val="24"/>
          <w:szCs w:val="24"/>
        </w:rPr>
      </w:pPr>
      <w:r w:rsidRPr="00C152A7">
        <w:rPr>
          <w:b/>
          <w:sz w:val="24"/>
          <w:szCs w:val="24"/>
        </w:rPr>
        <w:t>6.1</w:t>
      </w:r>
      <w:r w:rsidRPr="00C152A7">
        <w:rPr>
          <w:b/>
          <w:sz w:val="24"/>
          <w:szCs w:val="24"/>
        </w:rPr>
        <w:tab/>
        <w:t>Hjælpestoffer</w:t>
      </w:r>
    </w:p>
    <w:p w14:paraId="73CAB4C9" w14:textId="77777777" w:rsidR="00D52384" w:rsidRPr="00C152A7" w:rsidRDefault="00D52384" w:rsidP="00434810">
      <w:pPr>
        <w:ind w:left="851"/>
        <w:rPr>
          <w:sz w:val="24"/>
          <w:szCs w:val="24"/>
          <w:lang w:val="nl-NL"/>
        </w:rPr>
      </w:pPr>
      <w:r w:rsidRPr="00C152A7">
        <w:rPr>
          <w:sz w:val="24"/>
          <w:szCs w:val="24"/>
          <w:lang w:val="nl-NL"/>
        </w:rPr>
        <w:t>Dinatriumphosphatdodeca-hydrat</w:t>
      </w:r>
      <w:r w:rsidRPr="00C152A7">
        <w:rPr>
          <w:strike/>
          <w:color w:val="0000FF"/>
          <w:sz w:val="24"/>
          <w:szCs w:val="24"/>
          <w:lang w:val="nl-NL"/>
        </w:rPr>
        <w:t xml:space="preserve"> </w:t>
      </w:r>
    </w:p>
    <w:p w14:paraId="42867B5B" w14:textId="77777777" w:rsidR="00D52384" w:rsidRPr="00C152A7" w:rsidRDefault="00D52384" w:rsidP="00434810">
      <w:pPr>
        <w:ind w:left="851"/>
        <w:rPr>
          <w:sz w:val="24"/>
          <w:szCs w:val="24"/>
          <w:lang w:val="nl-NL"/>
        </w:rPr>
      </w:pPr>
      <w:r w:rsidRPr="00C152A7">
        <w:rPr>
          <w:sz w:val="24"/>
          <w:szCs w:val="24"/>
          <w:lang w:val="nl-NL"/>
        </w:rPr>
        <w:t>Citronsyremonohydrat</w:t>
      </w:r>
    </w:p>
    <w:p w14:paraId="3C37211C" w14:textId="77777777" w:rsidR="00D52384" w:rsidRPr="00C152A7" w:rsidRDefault="00D52384" w:rsidP="00434810">
      <w:pPr>
        <w:ind w:left="851"/>
        <w:rPr>
          <w:sz w:val="24"/>
          <w:szCs w:val="24"/>
          <w:lang w:val="nl-NL"/>
        </w:rPr>
      </w:pPr>
      <w:r w:rsidRPr="00C152A7">
        <w:rPr>
          <w:sz w:val="24"/>
          <w:szCs w:val="24"/>
          <w:lang w:val="nl-NL"/>
        </w:rPr>
        <w:t>Natriumchlorid</w:t>
      </w:r>
    </w:p>
    <w:p w14:paraId="29FDFADA" w14:textId="77777777" w:rsidR="00D52384" w:rsidRPr="00C152A7" w:rsidRDefault="00D52384" w:rsidP="00434810">
      <w:pPr>
        <w:ind w:left="851"/>
        <w:rPr>
          <w:sz w:val="24"/>
          <w:szCs w:val="24"/>
        </w:rPr>
      </w:pPr>
      <w:r w:rsidRPr="00C152A7">
        <w:rPr>
          <w:sz w:val="24"/>
          <w:szCs w:val="24"/>
        </w:rPr>
        <w:t>Vand til injektionsvæsker.</w:t>
      </w:r>
    </w:p>
    <w:p w14:paraId="506FBFFD" w14:textId="77777777" w:rsidR="009260DE" w:rsidRPr="00C152A7" w:rsidRDefault="009260DE" w:rsidP="009260DE">
      <w:pPr>
        <w:tabs>
          <w:tab w:val="left" w:pos="851"/>
        </w:tabs>
        <w:ind w:left="851"/>
        <w:rPr>
          <w:sz w:val="24"/>
          <w:szCs w:val="24"/>
        </w:rPr>
      </w:pPr>
    </w:p>
    <w:p w14:paraId="6A251BF5" w14:textId="77777777" w:rsidR="009260DE" w:rsidRPr="00C152A7" w:rsidRDefault="009260DE" w:rsidP="009260DE">
      <w:pPr>
        <w:tabs>
          <w:tab w:val="left" w:pos="851"/>
        </w:tabs>
        <w:ind w:left="851" w:hanging="851"/>
        <w:rPr>
          <w:b/>
          <w:sz w:val="24"/>
          <w:szCs w:val="24"/>
        </w:rPr>
      </w:pPr>
      <w:r w:rsidRPr="00C152A7">
        <w:rPr>
          <w:b/>
          <w:sz w:val="24"/>
          <w:szCs w:val="24"/>
        </w:rPr>
        <w:t>6.2</w:t>
      </w:r>
      <w:r w:rsidRPr="00C152A7">
        <w:rPr>
          <w:b/>
          <w:sz w:val="24"/>
          <w:szCs w:val="24"/>
        </w:rPr>
        <w:tab/>
        <w:t>Uforligeligheder</w:t>
      </w:r>
    </w:p>
    <w:p w14:paraId="427C2D30" w14:textId="77777777" w:rsidR="00D52384" w:rsidRPr="00C152A7" w:rsidRDefault="00D52384" w:rsidP="00434810">
      <w:pPr>
        <w:ind w:left="851"/>
        <w:rPr>
          <w:sz w:val="24"/>
          <w:szCs w:val="24"/>
          <w:highlight w:val="yellow"/>
        </w:rPr>
      </w:pPr>
      <w:r w:rsidRPr="00C152A7">
        <w:rPr>
          <w:sz w:val="24"/>
          <w:szCs w:val="24"/>
        </w:rPr>
        <w:t>Da der ikke foreligger studier af eventuelle uforligeligheder, må dette lægemiddel ikke blandes med andre lægemidler.</w:t>
      </w:r>
    </w:p>
    <w:p w14:paraId="3C40295E" w14:textId="77777777" w:rsidR="009260DE" w:rsidRPr="00C152A7" w:rsidRDefault="009260DE" w:rsidP="009260DE">
      <w:pPr>
        <w:tabs>
          <w:tab w:val="left" w:pos="851"/>
        </w:tabs>
        <w:ind w:left="851"/>
        <w:rPr>
          <w:sz w:val="24"/>
          <w:szCs w:val="24"/>
        </w:rPr>
      </w:pPr>
    </w:p>
    <w:p w14:paraId="047FE028" w14:textId="77777777" w:rsidR="009260DE" w:rsidRPr="00C152A7" w:rsidRDefault="009260DE" w:rsidP="009260DE">
      <w:pPr>
        <w:tabs>
          <w:tab w:val="left" w:pos="851"/>
        </w:tabs>
        <w:ind w:left="851" w:hanging="851"/>
        <w:rPr>
          <w:b/>
          <w:sz w:val="24"/>
          <w:szCs w:val="24"/>
        </w:rPr>
      </w:pPr>
      <w:r w:rsidRPr="00C152A7">
        <w:rPr>
          <w:b/>
          <w:sz w:val="24"/>
          <w:szCs w:val="24"/>
        </w:rPr>
        <w:lastRenderedPageBreak/>
        <w:t>6.3</w:t>
      </w:r>
      <w:r w:rsidRPr="00C152A7">
        <w:rPr>
          <w:b/>
          <w:sz w:val="24"/>
          <w:szCs w:val="24"/>
        </w:rPr>
        <w:tab/>
        <w:t>Opbevaringstid</w:t>
      </w:r>
    </w:p>
    <w:p w14:paraId="726F0824" w14:textId="77777777" w:rsidR="00D52384" w:rsidRPr="00C152A7" w:rsidRDefault="00D52384" w:rsidP="00434810">
      <w:pPr>
        <w:ind w:left="851"/>
        <w:rPr>
          <w:sz w:val="24"/>
          <w:szCs w:val="24"/>
        </w:rPr>
      </w:pPr>
      <w:r w:rsidRPr="00C152A7">
        <w:rPr>
          <w:sz w:val="24"/>
          <w:szCs w:val="24"/>
        </w:rPr>
        <w:t>36 måneder.</w:t>
      </w:r>
    </w:p>
    <w:p w14:paraId="289849E9" w14:textId="77777777" w:rsidR="00D52384" w:rsidRPr="00C152A7" w:rsidRDefault="00D52384" w:rsidP="00434810">
      <w:pPr>
        <w:ind w:left="851"/>
        <w:rPr>
          <w:sz w:val="24"/>
          <w:szCs w:val="24"/>
        </w:rPr>
      </w:pPr>
      <w:r w:rsidRPr="00C152A7">
        <w:rPr>
          <w:sz w:val="24"/>
          <w:szCs w:val="24"/>
        </w:rPr>
        <w:t>Efter første åbning skal lægemidlet anvendes straks.</w:t>
      </w:r>
    </w:p>
    <w:p w14:paraId="75583ACB" w14:textId="77777777" w:rsidR="00D52384" w:rsidRPr="00C152A7" w:rsidRDefault="00D52384" w:rsidP="00434810">
      <w:pPr>
        <w:ind w:left="851"/>
        <w:rPr>
          <w:sz w:val="24"/>
          <w:szCs w:val="24"/>
          <w:lang w:val="nl-NL"/>
        </w:rPr>
      </w:pPr>
    </w:p>
    <w:p w14:paraId="54D48511" w14:textId="77777777" w:rsidR="00D52384" w:rsidRPr="00C152A7" w:rsidRDefault="00D52384" w:rsidP="00434810">
      <w:pPr>
        <w:ind w:left="851"/>
        <w:rPr>
          <w:sz w:val="24"/>
          <w:szCs w:val="24"/>
          <w:lang w:val="nl-NL"/>
        </w:rPr>
      </w:pPr>
      <w:r w:rsidRPr="00C152A7">
        <w:rPr>
          <w:sz w:val="24"/>
          <w:szCs w:val="24"/>
          <w:lang w:val="nl-NL"/>
        </w:rPr>
        <w:t xml:space="preserve">Ud fra et mikrobiologisk synspunkt skal produktet anvendes med det samme. Anvendelse af andre opbevaringstider og -betingelser er på brugerens eget ansvar og må ikke overstige 24 timer ved 2 til 8 °C, med mindre fortyndelse er udført under kontrollerede og validerede aseptiske betingelser. </w:t>
      </w:r>
    </w:p>
    <w:p w14:paraId="4730323A" w14:textId="77777777" w:rsidR="009260DE" w:rsidRPr="00C152A7" w:rsidRDefault="009260DE" w:rsidP="009260DE">
      <w:pPr>
        <w:tabs>
          <w:tab w:val="left" w:pos="851"/>
        </w:tabs>
        <w:ind w:left="851"/>
        <w:rPr>
          <w:sz w:val="24"/>
          <w:szCs w:val="24"/>
        </w:rPr>
      </w:pPr>
    </w:p>
    <w:p w14:paraId="1F03BAC2" w14:textId="77777777" w:rsidR="009260DE" w:rsidRPr="00C152A7" w:rsidRDefault="009260DE" w:rsidP="009260DE">
      <w:pPr>
        <w:tabs>
          <w:tab w:val="left" w:pos="851"/>
        </w:tabs>
        <w:ind w:left="851" w:hanging="851"/>
        <w:rPr>
          <w:b/>
          <w:sz w:val="24"/>
          <w:szCs w:val="24"/>
        </w:rPr>
      </w:pPr>
      <w:r w:rsidRPr="00C152A7">
        <w:rPr>
          <w:b/>
          <w:sz w:val="24"/>
          <w:szCs w:val="24"/>
        </w:rPr>
        <w:t>6.4</w:t>
      </w:r>
      <w:r w:rsidRPr="00C152A7">
        <w:rPr>
          <w:b/>
          <w:sz w:val="24"/>
          <w:szCs w:val="24"/>
        </w:rPr>
        <w:tab/>
        <w:t>Særlige opbevaringsforhold</w:t>
      </w:r>
    </w:p>
    <w:p w14:paraId="00740013" w14:textId="77777777" w:rsidR="00D52384" w:rsidRPr="00C152A7" w:rsidRDefault="00D52384" w:rsidP="00434810">
      <w:pPr>
        <w:ind w:left="851"/>
        <w:rPr>
          <w:sz w:val="24"/>
          <w:szCs w:val="24"/>
        </w:rPr>
      </w:pPr>
      <w:r w:rsidRPr="00C152A7">
        <w:rPr>
          <w:sz w:val="24"/>
          <w:szCs w:val="24"/>
        </w:rPr>
        <w:t>Dette lægemiddel kræver ingen særlige forholdsregler vedrørende opbevaringen.</w:t>
      </w:r>
    </w:p>
    <w:p w14:paraId="0C98E04A" w14:textId="77777777" w:rsidR="009260DE" w:rsidRPr="00C152A7" w:rsidRDefault="009260DE" w:rsidP="009260DE">
      <w:pPr>
        <w:tabs>
          <w:tab w:val="left" w:pos="851"/>
        </w:tabs>
        <w:ind w:left="851"/>
        <w:rPr>
          <w:sz w:val="24"/>
          <w:szCs w:val="24"/>
        </w:rPr>
      </w:pPr>
    </w:p>
    <w:p w14:paraId="5FE13C0A" w14:textId="77777777" w:rsidR="009260DE" w:rsidRPr="00C152A7" w:rsidRDefault="009260DE" w:rsidP="009260DE">
      <w:pPr>
        <w:tabs>
          <w:tab w:val="left" w:pos="851"/>
        </w:tabs>
        <w:ind w:left="851" w:hanging="851"/>
        <w:rPr>
          <w:b/>
          <w:sz w:val="24"/>
          <w:szCs w:val="24"/>
        </w:rPr>
      </w:pPr>
      <w:r w:rsidRPr="00C152A7">
        <w:rPr>
          <w:b/>
          <w:sz w:val="24"/>
          <w:szCs w:val="24"/>
        </w:rPr>
        <w:t>6.5</w:t>
      </w:r>
      <w:r w:rsidRPr="00C152A7">
        <w:rPr>
          <w:b/>
          <w:sz w:val="24"/>
          <w:szCs w:val="24"/>
        </w:rPr>
        <w:tab/>
        <w:t>Emballagetype og pakningsstørrelser</w:t>
      </w:r>
    </w:p>
    <w:p w14:paraId="6EABBB47" w14:textId="77777777" w:rsidR="00D52384" w:rsidRPr="00C152A7" w:rsidRDefault="00D52384" w:rsidP="00434810">
      <w:pPr>
        <w:ind w:left="851"/>
        <w:rPr>
          <w:sz w:val="24"/>
          <w:szCs w:val="24"/>
          <w:lang w:val="nl-NL"/>
        </w:rPr>
      </w:pPr>
      <w:r w:rsidRPr="00C152A7">
        <w:rPr>
          <w:sz w:val="24"/>
          <w:szCs w:val="24"/>
          <w:lang w:val="nl-NL"/>
        </w:rPr>
        <w:t>100 ml blow-fill-seal polypropylenflaske, der er forseglet med en støbt plasthætte med gummipakning og trækring eller med en plasthætte med indstøbte elastomerer (to porte).</w:t>
      </w:r>
    </w:p>
    <w:p w14:paraId="4D3C7CBE" w14:textId="77777777" w:rsidR="00D52384" w:rsidRPr="00C152A7" w:rsidRDefault="00D52384" w:rsidP="00434810">
      <w:pPr>
        <w:ind w:left="851"/>
        <w:rPr>
          <w:sz w:val="24"/>
          <w:szCs w:val="24"/>
          <w:lang w:val="nl-NL"/>
        </w:rPr>
      </w:pPr>
    </w:p>
    <w:p w14:paraId="248A58DF" w14:textId="77777777" w:rsidR="00D52384" w:rsidRPr="00C152A7" w:rsidRDefault="00D52384" w:rsidP="00434810">
      <w:pPr>
        <w:ind w:left="851"/>
        <w:rPr>
          <w:sz w:val="24"/>
          <w:szCs w:val="24"/>
        </w:rPr>
      </w:pPr>
      <w:r w:rsidRPr="00C152A7">
        <w:rPr>
          <w:sz w:val="24"/>
          <w:szCs w:val="24"/>
        </w:rPr>
        <w:t xml:space="preserve">Pakningsstørrelser på 10, 20 eller 24 flasker. </w:t>
      </w:r>
    </w:p>
    <w:p w14:paraId="6A80204D" w14:textId="77777777" w:rsidR="00D52384" w:rsidRPr="00C152A7" w:rsidRDefault="00D52384" w:rsidP="00434810">
      <w:pPr>
        <w:ind w:left="851"/>
        <w:rPr>
          <w:sz w:val="24"/>
          <w:szCs w:val="24"/>
          <w:lang w:val="nl-NL"/>
        </w:rPr>
      </w:pPr>
    </w:p>
    <w:p w14:paraId="50641A24" w14:textId="77777777" w:rsidR="00D52384" w:rsidRPr="00C152A7" w:rsidRDefault="00D52384" w:rsidP="00434810">
      <w:pPr>
        <w:ind w:left="851"/>
        <w:rPr>
          <w:sz w:val="24"/>
          <w:szCs w:val="24"/>
        </w:rPr>
      </w:pPr>
      <w:r w:rsidRPr="00C152A7">
        <w:rPr>
          <w:sz w:val="24"/>
          <w:szCs w:val="24"/>
        </w:rPr>
        <w:t>Ikke alle pakningsstørrelser er nødvendigvis markedsført.</w:t>
      </w:r>
    </w:p>
    <w:p w14:paraId="6972594D" w14:textId="77777777" w:rsidR="009260DE" w:rsidRPr="00C152A7" w:rsidRDefault="009260DE" w:rsidP="009260DE">
      <w:pPr>
        <w:tabs>
          <w:tab w:val="left" w:pos="851"/>
        </w:tabs>
        <w:ind w:left="851"/>
        <w:rPr>
          <w:sz w:val="24"/>
          <w:szCs w:val="24"/>
        </w:rPr>
      </w:pPr>
    </w:p>
    <w:p w14:paraId="62D8DF40" w14:textId="77777777" w:rsidR="009260DE" w:rsidRPr="00C152A7" w:rsidRDefault="009260DE" w:rsidP="009260DE">
      <w:pPr>
        <w:tabs>
          <w:tab w:val="left" w:pos="851"/>
        </w:tabs>
        <w:ind w:left="851" w:hanging="851"/>
        <w:rPr>
          <w:b/>
          <w:sz w:val="24"/>
          <w:szCs w:val="24"/>
        </w:rPr>
      </w:pPr>
      <w:r w:rsidRPr="00C152A7">
        <w:rPr>
          <w:b/>
          <w:sz w:val="24"/>
          <w:szCs w:val="24"/>
        </w:rPr>
        <w:t>6.6</w:t>
      </w:r>
      <w:r w:rsidRPr="00C152A7">
        <w:rPr>
          <w:b/>
          <w:sz w:val="24"/>
          <w:szCs w:val="24"/>
        </w:rPr>
        <w:tab/>
        <w:t xml:space="preserve">Regler for </w:t>
      </w:r>
      <w:r w:rsidR="00BD7931" w:rsidRPr="00C152A7">
        <w:rPr>
          <w:b/>
          <w:sz w:val="24"/>
          <w:szCs w:val="24"/>
        </w:rPr>
        <w:t>bortskaffelse</w:t>
      </w:r>
      <w:r w:rsidRPr="00C152A7">
        <w:rPr>
          <w:b/>
          <w:sz w:val="24"/>
          <w:szCs w:val="24"/>
        </w:rPr>
        <w:t xml:space="preserve"> og anden håndtering</w:t>
      </w:r>
    </w:p>
    <w:p w14:paraId="5DD9372E" w14:textId="77777777" w:rsidR="00D52384" w:rsidRPr="00C152A7" w:rsidRDefault="00D52384" w:rsidP="00434810">
      <w:pPr>
        <w:ind w:left="851"/>
        <w:rPr>
          <w:sz w:val="24"/>
          <w:szCs w:val="24"/>
          <w:highlight w:val="yellow"/>
        </w:rPr>
      </w:pPr>
      <w:r w:rsidRPr="00C152A7">
        <w:rPr>
          <w:sz w:val="24"/>
          <w:szCs w:val="24"/>
        </w:rPr>
        <w:t>Kun til engangsbrug. Bortskaf al ikke anvendt opløsning. Må ikke anvendes, hvis beholderen er utæt, eller opløsningen er uklar.</w:t>
      </w:r>
    </w:p>
    <w:p w14:paraId="7126D053" w14:textId="77777777" w:rsidR="00D52384" w:rsidRPr="00751D76" w:rsidRDefault="00D52384" w:rsidP="00434810">
      <w:pPr>
        <w:ind w:left="851"/>
        <w:rPr>
          <w:sz w:val="24"/>
          <w:szCs w:val="24"/>
          <w:highlight w:val="yellow"/>
          <w:lang w:val="nl-NL"/>
        </w:rPr>
      </w:pPr>
    </w:p>
    <w:p w14:paraId="79130094" w14:textId="77777777" w:rsidR="00D52384" w:rsidRPr="00C152A7" w:rsidRDefault="00D52384" w:rsidP="00434810">
      <w:pPr>
        <w:ind w:left="851"/>
        <w:rPr>
          <w:sz w:val="24"/>
          <w:szCs w:val="24"/>
        </w:rPr>
      </w:pPr>
      <w:r w:rsidRPr="00C152A7">
        <w:rPr>
          <w:sz w:val="24"/>
          <w:szCs w:val="24"/>
        </w:rPr>
        <w:t xml:space="preserve">Ikke anvendt lægemiddel samt affald heraf skal bortskaffes i henhold til lokale retningslinjer. </w:t>
      </w:r>
    </w:p>
    <w:p w14:paraId="60B96A18" w14:textId="77777777" w:rsidR="009260DE" w:rsidRPr="00C152A7" w:rsidRDefault="009260DE" w:rsidP="000730CA">
      <w:pPr>
        <w:tabs>
          <w:tab w:val="left" w:pos="851"/>
        </w:tabs>
        <w:ind w:left="851"/>
        <w:rPr>
          <w:sz w:val="24"/>
          <w:szCs w:val="24"/>
        </w:rPr>
      </w:pPr>
    </w:p>
    <w:p w14:paraId="44280FAF" w14:textId="77777777" w:rsidR="009260DE" w:rsidRPr="00C152A7" w:rsidRDefault="009260DE" w:rsidP="009260DE">
      <w:pPr>
        <w:tabs>
          <w:tab w:val="left" w:pos="851"/>
        </w:tabs>
        <w:ind w:left="851" w:hanging="851"/>
        <w:rPr>
          <w:b/>
          <w:sz w:val="24"/>
          <w:szCs w:val="24"/>
        </w:rPr>
      </w:pPr>
      <w:r w:rsidRPr="00C152A7">
        <w:rPr>
          <w:b/>
          <w:sz w:val="24"/>
          <w:szCs w:val="24"/>
        </w:rPr>
        <w:t>7.</w:t>
      </w:r>
      <w:r w:rsidRPr="00C152A7">
        <w:rPr>
          <w:b/>
          <w:sz w:val="24"/>
          <w:szCs w:val="24"/>
        </w:rPr>
        <w:tab/>
        <w:t>INDEHAVER AF MARKEDSFØRINGSTILLADELSEN</w:t>
      </w:r>
    </w:p>
    <w:p w14:paraId="76B7E920" w14:textId="77777777" w:rsidR="00D52384" w:rsidRPr="00C152A7" w:rsidRDefault="00D52384" w:rsidP="00434810">
      <w:pPr>
        <w:ind w:left="851"/>
        <w:rPr>
          <w:sz w:val="24"/>
          <w:szCs w:val="24"/>
        </w:rPr>
      </w:pPr>
      <w:r w:rsidRPr="00C152A7">
        <w:rPr>
          <w:sz w:val="24"/>
          <w:szCs w:val="24"/>
        </w:rPr>
        <w:t>Noridem Enterprises Ltd.</w:t>
      </w:r>
    </w:p>
    <w:p w14:paraId="087770AE" w14:textId="6F013BB6" w:rsidR="00D52384" w:rsidRPr="00C152A7" w:rsidRDefault="00D52384" w:rsidP="00434810">
      <w:pPr>
        <w:ind w:left="851"/>
        <w:rPr>
          <w:sz w:val="24"/>
          <w:szCs w:val="24"/>
          <w:lang w:val="en-US"/>
        </w:rPr>
      </w:pPr>
      <w:proofErr w:type="spellStart"/>
      <w:r w:rsidRPr="00C152A7">
        <w:rPr>
          <w:sz w:val="24"/>
          <w:szCs w:val="24"/>
          <w:lang w:val="en-US"/>
        </w:rPr>
        <w:t>Evagorou</w:t>
      </w:r>
      <w:proofErr w:type="spellEnd"/>
      <w:r w:rsidRPr="00C152A7">
        <w:rPr>
          <w:sz w:val="24"/>
          <w:szCs w:val="24"/>
          <w:lang w:val="en-US"/>
        </w:rPr>
        <w:t xml:space="preserve"> &amp; </w:t>
      </w:r>
      <w:proofErr w:type="spellStart"/>
      <w:r w:rsidRPr="00C152A7">
        <w:rPr>
          <w:sz w:val="24"/>
          <w:szCs w:val="24"/>
          <w:lang w:val="en-US"/>
        </w:rPr>
        <w:t>Makariou</w:t>
      </w:r>
      <w:proofErr w:type="spellEnd"/>
    </w:p>
    <w:p w14:paraId="692A8705" w14:textId="1D5CABE2" w:rsidR="00D52384" w:rsidRPr="00C152A7" w:rsidRDefault="00D52384" w:rsidP="00434810">
      <w:pPr>
        <w:ind w:left="851"/>
        <w:rPr>
          <w:sz w:val="24"/>
          <w:szCs w:val="24"/>
          <w:lang w:val="en-US"/>
        </w:rPr>
      </w:pPr>
      <w:r w:rsidRPr="00C152A7">
        <w:rPr>
          <w:sz w:val="24"/>
          <w:szCs w:val="24"/>
          <w:lang w:val="en-US"/>
        </w:rPr>
        <w:t>Mitsi Building 3, Office 115</w:t>
      </w:r>
    </w:p>
    <w:p w14:paraId="7E4D1A91" w14:textId="77777777" w:rsidR="00751D76" w:rsidRDefault="00D52384" w:rsidP="00434810">
      <w:pPr>
        <w:ind w:left="851"/>
        <w:rPr>
          <w:sz w:val="24"/>
          <w:szCs w:val="24"/>
          <w:lang w:val="sv-SE"/>
        </w:rPr>
      </w:pPr>
      <w:r w:rsidRPr="00C152A7">
        <w:rPr>
          <w:sz w:val="24"/>
          <w:szCs w:val="24"/>
          <w:lang w:val="sv-SE"/>
        </w:rPr>
        <w:t>Nicosia 1065</w:t>
      </w:r>
    </w:p>
    <w:p w14:paraId="1F8AB36B" w14:textId="2506508E" w:rsidR="00D52384" w:rsidRPr="00C152A7" w:rsidRDefault="00D52384" w:rsidP="00434810">
      <w:pPr>
        <w:ind w:left="851"/>
        <w:rPr>
          <w:sz w:val="24"/>
          <w:szCs w:val="24"/>
          <w:lang w:val="sv-SE"/>
        </w:rPr>
      </w:pPr>
      <w:r w:rsidRPr="00C152A7">
        <w:rPr>
          <w:sz w:val="24"/>
          <w:szCs w:val="24"/>
          <w:lang w:val="sv-SE"/>
        </w:rPr>
        <w:t>Cypern</w:t>
      </w:r>
    </w:p>
    <w:p w14:paraId="0A03E093" w14:textId="77777777" w:rsidR="009260DE" w:rsidRPr="00C152A7" w:rsidRDefault="009260DE" w:rsidP="00434810">
      <w:pPr>
        <w:ind w:left="851"/>
        <w:rPr>
          <w:sz w:val="24"/>
          <w:szCs w:val="24"/>
          <w:lang w:val="en-US"/>
        </w:rPr>
      </w:pPr>
    </w:p>
    <w:p w14:paraId="51CB23CB" w14:textId="77777777" w:rsidR="00641C65" w:rsidRPr="00C152A7" w:rsidRDefault="00641C65" w:rsidP="00434810">
      <w:pPr>
        <w:ind w:left="851"/>
        <w:rPr>
          <w:sz w:val="24"/>
          <w:szCs w:val="24"/>
          <w:lang w:val="en-US"/>
        </w:rPr>
      </w:pPr>
      <w:proofErr w:type="spellStart"/>
      <w:r w:rsidRPr="00C152A7">
        <w:rPr>
          <w:b/>
          <w:sz w:val="24"/>
          <w:szCs w:val="24"/>
          <w:lang w:val="en-US"/>
        </w:rPr>
        <w:t>Repræsentant</w:t>
      </w:r>
      <w:proofErr w:type="spellEnd"/>
    </w:p>
    <w:p w14:paraId="636BB876" w14:textId="77777777" w:rsidR="00D52384" w:rsidRPr="00C152A7" w:rsidRDefault="00D52384" w:rsidP="00434810">
      <w:pPr>
        <w:ind w:left="851"/>
        <w:rPr>
          <w:sz w:val="24"/>
          <w:szCs w:val="24"/>
          <w:lang w:val="sv-SE"/>
        </w:rPr>
      </w:pPr>
      <w:r w:rsidRPr="00C152A7">
        <w:rPr>
          <w:sz w:val="24"/>
          <w:szCs w:val="24"/>
          <w:lang w:val="sv-SE"/>
        </w:rPr>
        <w:t>FrostPharma AB</w:t>
      </w:r>
    </w:p>
    <w:p w14:paraId="36906F65" w14:textId="77777777" w:rsidR="00D52384" w:rsidRPr="00C152A7" w:rsidRDefault="00D52384" w:rsidP="00434810">
      <w:pPr>
        <w:ind w:left="851"/>
        <w:rPr>
          <w:sz w:val="24"/>
          <w:szCs w:val="24"/>
          <w:lang w:val="sv-SE"/>
        </w:rPr>
      </w:pPr>
      <w:r w:rsidRPr="00C152A7">
        <w:rPr>
          <w:sz w:val="24"/>
          <w:szCs w:val="24"/>
          <w:lang w:val="sv-SE"/>
        </w:rPr>
        <w:t>Berga backe 2</w:t>
      </w:r>
    </w:p>
    <w:p w14:paraId="5E0E3814" w14:textId="77777777" w:rsidR="00D52384" w:rsidRPr="00C152A7" w:rsidRDefault="00D52384" w:rsidP="00434810">
      <w:pPr>
        <w:ind w:left="851"/>
        <w:rPr>
          <w:sz w:val="24"/>
          <w:szCs w:val="24"/>
        </w:rPr>
      </w:pPr>
      <w:r w:rsidRPr="00C152A7">
        <w:rPr>
          <w:sz w:val="24"/>
          <w:szCs w:val="24"/>
        </w:rPr>
        <w:t xml:space="preserve">182 53 </w:t>
      </w:r>
      <w:proofErr w:type="spellStart"/>
      <w:r w:rsidRPr="00C152A7">
        <w:rPr>
          <w:sz w:val="24"/>
          <w:szCs w:val="24"/>
        </w:rPr>
        <w:t>Danderyd</w:t>
      </w:r>
      <w:proofErr w:type="spellEnd"/>
    </w:p>
    <w:p w14:paraId="628A2E8E" w14:textId="77777777" w:rsidR="00D52384" w:rsidRPr="00C152A7" w:rsidRDefault="00D52384" w:rsidP="00434810">
      <w:pPr>
        <w:ind w:left="851"/>
        <w:rPr>
          <w:sz w:val="24"/>
          <w:szCs w:val="24"/>
        </w:rPr>
      </w:pPr>
      <w:r w:rsidRPr="00C152A7">
        <w:rPr>
          <w:sz w:val="24"/>
          <w:szCs w:val="24"/>
        </w:rPr>
        <w:t>Sverige</w:t>
      </w:r>
    </w:p>
    <w:p w14:paraId="36BEFD86" w14:textId="77777777" w:rsidR="00641C65" w:rsidRPr="00C152A7" w:rsidRDefault="00641C65" w:rsidP="009260DE">
      <w:pPr>
        <w:tabs>
          <w:tab w:val="left" w:pos="851"/>
        </w:tabs>
        <w:ind w:left="851"/>
        <w:rPr>
          <w:sz w:val="24"/>
          <w:szCs w:val="24"/>
        </w:rPr>
      </w:pPr>
    </w:p>
    <w:p w14:paraId="5810D21F" w14:textId="77777777" w:rsidR="009260DE" w:rsidRPr="00C152A7" w:rsidRDefault="009260DE" w:rsidP="009260DE">
      <w:pPr>
        <w:tabs>
          <w:tab w:val="left" w:pos="851"/>
        </w:tabs>
        <w:ind w:left="851" w:hanging="851"/>
        <w:rPr>
          <w:b/>
          <w:sz w:val="24"/>
          <w:szCs w:val="24"/>
        </w:rPr>
      </w:pPr>
      <w:r w:rsidRPr="00C152A7">
        <w:rPr>
          <w:b/>
          <w:sz w:val="24"/>
          <w:szCs w:val="24"/>
        </w:rPr>
        <w:t>8.</w:t>
      </w:r>
      <w:r w:rsidRPr="00C152A7">
        <w:rPr>
          <w:b/>
          <w:sz w:val="24"/>
          <w:szCs w:val="24"/>
        </w:rPr>
        <w:tab/>
        <w:t>MARKEDSFØRINGSTILLADELSESNUMMER (</w:t>
      </w:r>
      <w:r w:rsidR="00BF6243" w:rsidRPr="00C152A7">
        <w:rPr>
          <w:b/>
          <w:sz w:val="24"/>
          <w:szCs w:val="24"/>
        </w:rPr>
        <w:t>-</w:t>
      </w:r>
      <w:r w:rsidRPr="00C152A7">
        <w:rPr>
          <w:b/>
          <w:sz w:val="24"/>
          <w:szCs w:val="24"/>
        </w:rPr>
        <w:t>NUMRE)</w:t>
      </w:r>
    </w:p>
    <w:p w14:paraId="1859E44D" w14:textId="417D3EA2" w:rsidR="009260DE" w:rsidRPr="00C152A7" w:rsidRDefault="00D52384" w:rsidP="009260DE">
      <w:pPr>
        <w:tabs>
          <w:tab w:val="left" w:pos="851"/>
        </w:tabs>
        <w:ind w:left="851"/>
        <w:rPr>
          <w:sz w:val="24"/>
          <w:szCs w:val="24"/>
        </w:rPr>
      </w:pPr>
      <w:r w:rsidRPr="00C152A7">
        <w:rPr>
          <w:sz w:val="24"/>
          <w:szCs w:val="24"/>
        </w:rPr>
        <w:t>71884</w:t>
      </w:r>
    </w:p>
    <w:p w14:paraId="4B982D2C" w14:textId="77777777" w:rsidR="009260DE" w:rsidRPr="00C152A7" w:rsidRDefault="009260DE" w:rsidP="009260DE">
      <w:pPr>
        <w:tabs>
          <w:tab w:val="left" w:pos="851"/>
        </w:tabs>
        <w:ind w:left="851"/>
        <w:jc w:val="both"/>
        <w:rPr>
          <w:sz w:val="24"/>
          <w:szCs w:val="24"/>
        </w:rPr>
      </w:pPr>
    </w:p>
    <w:p w14:paraId="2809CA9A" w14:textId="77777777" w:rsidR="009260DE" w:rsidRPr="00C152A7" w:rsidRDefault="009260DE" w:rsidP="009260DE">
      <w:pPr>
        <w:tabs>
          <w:tab w:val="left" w:pos="851"/>
        </w:tabs>
        <w:ind w:left="851" w:hanging="851"/>
        <w:rPr>
          <w:b/>
          <w:sz w:val="24"/>
          <w:szCs w:val="24"/>
        </w:rPr>
      </w:pPr>
      <w:r w:rsidRPr="00C152A7">
        <w:rPr>
          <w:b/>
          <w:sz w:val="24"/>
          <w:szCs w:val="24"/>
        </w:rPr>
        <w:t>9.</w:t>
      </w:r>
      <w:r w:rsidRPr="00C152A7">
        <w:rPr>
          <w:b/>
          <w:sz w:val="24"/>
          <w:szCs w:val="24"/>
        </w:rPr>
        <w:tab/>
        <w:t>DATO FOR FØRSTE MARKEDSFØRINGSTILLADELSE</w:t>
      </w:r>
    </w:p>
    <w:p w14:paraId="1AAE32B7" w14:textId="2D8B64C7" w:rsidR="009260DE" w:rsidRPr="00C152A7" w:rsidRDefault="00973CF3" w:rsidP="009260DE">
      <w:pPr>
        <w:tabs>
          <w:tab w:val="left" w:pos="851"/>
        </w:tabs>
        <w:ind w:left="851"/>
        <w:rPr>
          <w:sz w:val="24"/>
          <w:szCs w:val="24"/>
        </w:rPr>
      </w:pPr>
      <w:r>
        <w:rPr>
          <w:sz w:val="24"/>
          <w:szCs w:val="24"/>
        </w:rPr>
        <w:t>14. marts 2025</w:t>
      </w:r>
    </w:p>
    <w:p w14:paraId="27DC55DF" w14:textId="77777777" w:rsidR="009260DE" w:rsidRPr="00C152A7" w:rsidRDefault="009260DE" w:rsidP="009260DE">
      <w:pPr>
        <w:tabs>
          <w:tab w:val="left" w:pos="851"/>
        </w:tabs>
        <w:ind w:left="851"/>
        <w:rPr>
          <w:sz w:val="24"/>
          <w:szCs w:val="24"/>
        </w:rPr>
      </w:pPr>
    </w:p>
    <w:p w14:paraId="4AD7191D" w14:textId="77777777" w:rsidR="009260DE" w:rsidRPr="00C152A7" w:rsidRDefault="009260DE" w:rsidP="009260DE">
      <w:pPr>
        <w:tabs>
          <w:tab w:val="left" w:pos="851"/>
        </w:tabs>
        <w:ind w:left="851" w:hanging="851"/>
        <w:rPr>
          <w:b/>
          <w:sz w:val="24"/>
          <w:szCs w:val="24"/>
        </w:rPr>
      </w:pPr>
      <w:r w:rsidRPr="00C152A7">
        <w:rPr>
          <w:b/>
          <w:sz w:val="24"/>
          <w:szCs w:val="24"/>
        </w:rPr>
        <w:t>10.</w:t>
      </w:r>
      <w:r w:rsidRPr="00C152A7">
        <w:rPr>
          <w:b/>
          <w:sz w:val="24"/>
          <w:szCs w:val="24"/>
        </w:rPr>
        <w:tab/>
        <w:t>DATO FOR ÆNDRING AF TEKSTEN</w:t>
      </w:r>
    </w:p>
    <w:p w14:paraId="38EB43DA" w14:textId="217DA317" w:rsidR="009260DE" w:rsidRPr="00C152A7" w:rsidRDefault="00D52384" w:rsidP="009260DE">
      <w:pPr>
        <w:tabs>
          <w:tab w:val="left" w:pos="851"/>
        </w:tabs>
        <w:ind w:left="851"/>
        <w:rPr>
          <w:sz w:val="24"/>
          <w:szCs w:val="24"/>
        </w:rPr>
      </w:pPr>
      <w:r w:rsidRPr="00C152A7">
        <w:rPr>
          <w:sz w:val="24"/>
          <w:szCs w:val="24"/>
        </w:rPr>
        <w:t>-</w:t>
      </w:r>
    </w:p>
    <w:sectPr w:rsidR="009260DE" w:rsidRPr="00C152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FE6C0" w14:textId="77777777" w:rsidR="00C152A7" w:rsidRDefault="00C152A7">
      <w:r>
        <w:separator/>
      </w:r>
    </w:p>
  </w:endnote>
  <w:endnote w:type="continuationSeparator" w:id="0">
    <w:p w14:paraId="0D8409C7" w14:textId="77777777" w:rsidR="00C152A7" w:rsidRDefault="00C1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DC79" w14:textId="77777777" w:rsidR="00C152A7" w:rsidRDefault="00C152A7">
    <w:pPr>
      <w:pStyle w:val="Sidefod"/>
      <w:pBdr>
        <w:bottom w:val="single" w:sz="6" w:space="1" w:color="auto"/>
      </w:pBdr>
    </w:pPr>
  </w:p>
  <w:p w14:paraId="46B0DB48" w14:textId="77777777" w:rsidR="00C152A7" w:rsidRDefault="00C152A7" w:rsidP="00C42586">
    <w:pPr>
      <w:pStyle w:val="Sidefod"/>
      <w:tabs>
        <w:tab w:val="clear" w:pos="4819"/>
        <w:tab w:val="left" w:pos="8505"/>
      </w:tabs>
      <w:rPr>
        <w:i/>
        <w:sz w:val="18"/>
        <w:szCs w:val="18"/>
      </w:rPr>
    </w:pPr>
  </w:p>
  <w:p w14:paraId="09D94462" w14:textId="0FAE6EFB" w:rsidR="00C152A7" w:rsidRPr="00B373D7" w:rsidRDefault="00C152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F5B00">
      <w:rPr>
        <w:i/>
        <w:noProof/>
        <w:sz w:val="18"/>
        <w:szCs w:val="18"/>
      </w:rPr>
      <w:t>Metronidazole Noridem, infusionsvæske, opløsning 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EFA54" w14:textId="77777777" w:rsidR="00C152A7" w:rsidRDefault="00C152A7">
      <w:r>
        <w:separator/>
      </w:r>
    </w:p>
  </w:footnote>
  <w:footnote w:type="continuationSeparator" w:id="0">
    <w:p w14:paraId="71B3EA12" w14:textId="77777777" w:rsidR="00C152A7" w:rsidRDefault="00C1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9746B7"/>
    <w:multiLevelType w:val="hybridMultilevel"/>
    <w:tmpl w:val="6CCEA8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816426D"/>
    <w:multiLevelType w:val="hybridMultilevel"/>
    <w:tmpl w:val="3904BE4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52525A4C"/>
    <w:multiLevelType w:val="hybridMultilevel"/>
    <w:tmpl w:val="53F07B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676C88"/>
    <w:multiLevelType w:val="hybridMultilevel"/>
    <w:tmpl w:val="8CCE51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C683CCB"/>
    <w:multiLevelType w:val="hybridMultilevel"/>
    <w:tmpl w:val="430A69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61053AAC"/>
    <w:multiLevelType w:val="hybridMultilevel"/>
    <w:tmpl w:val="8E6894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1B17FCF"/>
    <w:multiLevelType w:val="hybridMultilevel"/>
    <w:tmpl w:val="2328FA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6CED09FB"/>
    <w:multiLevelType w:val="hybridMultilevel"/>
    <w:tmpl w:val="09AC59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11"/>
  </w:num>
  <w:num w:numId="9">
    <w:abstractNumId w:val="10"/>
  </w:num>
  <w:num w:numId="10">
    <w:abstractNumId w:val="9"/>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47"/>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F5B00"/>
    <w:rsid w:val="003A29AE"/>
    <w:rsid w:val="003A32D7"/>
    <w:rsid w:val="003B4074"/>
    <w:rsid w:val="003C769A"/>
    <w:rsid w:val="003D3A90"/>
    <w:rsid w:val="003E13B0"/>
    <w:rsid w:val="003F1838"/>
    <w:rsid w:val="004251C1"/>
    <w:rsid w:val="00434810"/>
    <w:rsid w:val="0045746C"/>
    <w:rsid w:val="0049104B"/>
    <w:rsid w:val="004E3B12"/>
    <w:rsid w:val="00532310"/>
    <w:rsid w:val="00565F0F"/>
    <w:rsid w:val="00594A86"/>
    <w:rsid w:val="00596D86"/>
    <w:rsid w:val="00637F5A"/>
    <w:rsid w:val="00641C65"/>
    <w:rsid w:val="00652786"/>
    <w:rsid w:val="006560B1"/>
    <w:rsid w:val="006756DD"/>
    <w:rsid w:val="0071241E"/>
    <w:rsid w:val="00737275"/>
    <w:rsid w:val="00740EEC"/>
    <w:rsid w:val="00751D76"/>
    <w:rsid w:val="0078011A"/>
    <w:rsid w:val="00782AF4"/>
    <w:rsid w:val="00790EE7"/>
    <w:rsid w:val="007B6649"/>
    <w:rsid w:val="0082576E"/>
    <w:rsid w:val="0089346F"/>
    <w:rsid w:val="00907F75"/>
    <w:rsid w:val="009260DE"/>
    <w:rsid w:val="0093258A"/>
    <w:rsid w:val="00973CF3"/>
    <w:rsid w:val="009C7BA3"/>
    <w:rsid w:val="009D1F5A"/>
    <w:rsid w:val="00A10294"/>
    <w:rsid w:val="00B003BF"/>
    <w:rsid w:val="00B373D7"/>
    <w:rsid w:val="00B55271"/>
    <w:rsid w:val="00BC0209"/>
    <w:rsid w:val="00BD7931"/>
    <w:rsid w:val="00BF6243"/>
    <w:rsid w:val="00C152A7"/>
    <w:rsid w:val="00C36276"/>
    <w:rsid w:val="00C42586"/>
    <w:rsid w:val="00C45F6B"/>
    <w:rsid w:val="00C60CCD"/>
    <w:rsid w:val="00C84483"/>
    <w:rsid w:val="00C95551"/>
    <w:rsid w:val="00CB20D7"/>
    <w:rsid w:val="00D020B0"/>
    <w:rsid w:val="00D11748"/>
    <w:rsid w:val="00D237F6"/>
    <w:rsid w:val="00D34D98"/>
    <w:rsid w:val="00D35AED"/>
    <w:rsid w:val="00D366CF"/>
    <w:rsid w:val="00D52384"/>
    <w:rsid w:val="00D93992"/>
    <w:rsid w:val="00DD00D6"/>
    <w:rsid w:val="00E061C6"/>
    <w:rsid w:val="00E108AA"/>
    <w:rsid w:val="00E3749A"/>
    <w:rsid w:val="00E7437F"/>
    <w:rsid w:val="00E865B8"/>
    <w:rsid w:val="00EC0B9B"/>
    <w:rsid w:val="00ED5E9F"/>
    <w:rsid w:val="00F0295A"/>
    <w:rsid w:val="00F66D4F"/>
    <w:rsid w:val="00FB6D01"/>
    <w:rsid w:val="00FC5F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1975C"/>
  <w15:chartTrackingRefBased/>
  <w15:docId w15:val="{4AA6A61D-65E7-442E-872D-3DFC347B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52384"/>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D52384"/>
    <w:rPr>
      <w:color w:val="0563C1" w:themeColor="hyperlink"/>
      <w:u w:val="single"/>
    </w:rPr>
  </w:style>
  <w:style w:type="table" w:styleId="Tabel-Gitter">
    <w:name w:val="Table Grid"/>
    <w:basedOn w:val="Tabel-Normal"/>
    <w:uiPriority w:val="59"/>
    <w:rsid w:val="00D5238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0686">
      <w:bodyDiv w:val="1"/>
      <w:marLeft w:val="0"/>
      <w:marRight w:val="0"/>
      <w:marTop w:val="0"/>
      <w:marBottom w:val="0"/>
      <w:divBdr>
        <w:top w:val="none" w:sz="0" w:space="0" w:color="auto"/>
        <w:left w:val="none" w:sz="0" w:space="0" w:color="auto"/>
        <w:bottom w:val="none" w:sz="0" w:space="0" w:color="auto"/>
        <w:right w:val="none" w:sz="0" w:space="0" w:color="auto"/>
      </w:divBdr>
    </w:div>
    <w:div w:id="1430890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5090682">
      <w:bodyDiv w:val="1"/>
      <w:marLeft w:val="0"/>
      <w:marRight w:val="0"/>
      <w:marTop w:val="0"/>
      <w:marBottom w:val="0"/>
      <w:divBdr>
        <w:top w:val="none" w:sz="0" w:space="0" w:color="auto"/>
        <w:left w:val="none" w:sz="0" w:space="0" w:color="auto"/>
        <w:bottom w:val="none" w:sz="0" w:space="0" w:color="auto"/>
        <w:right w:val="none" w:sz="0" w:space="0" w:color="auto"/>
      </w:divBdr>
    </w:div>
    <w:div w:id="304242958">
      <w:bodyDiv w:val="1"/>
      <w:marLeft w:val="0"/>
      <w:marRight w:val="0"/>
      <w:marTop w:val="0"/>
      <w:marBottom w:val="0"/>
      <w:divBdr>
        <w:top w:val="none" w:sz="0" w:space="0" w:color="auto"/>
        <w:left w:val="none" w:sz="0" w:space="0" w:color="auto"/>
        <w:bottom w:val="none" w:sz="0" w:space="0" w:color="auto"/>
        <w:right w:val="none" w:sz="0" w:space="0" w:color="auto"/>
      </w:divBdr>
    </w:div>
    <w:div w:id="377508514">
      <w:bodyDiv w:val="1"/>
      <w:marLeft w:val="0"/>
      <w:marRight w:val="0"/>
      <w:marTop w:val="0"/>
      <w:marBottom w:val="0"/>
      <w:divBdr>
        <w:top w:val="none" w:sz="0" w:space="0" w:color="auto"/>
        <w:left w:val="none" w:sz="0" w:space="0" w:color="auto"/>
        <w:bottom w:val="none" w:sz="0" w:space="0" w:color="auto"/>
        <w:right w:val="none" w:sz="0" w:space="0" w:color="auto"/>
      </w:divBdr>
    </w:div>
    <w:div w:id="956451161">
      <w:bodyDiv w:val="1"/>
      <w:marLeft w:val="0"/>
      <w:marRight w:val="0"/>
      <w:marTop w:val="0"/>
      <w:marBottom w:val="0"/>
      <w:divBdr>
        <w:top w:val="none" w:sz="0" w:space="0" w:color="auto"/>
        <w:left w:val="none" w:sz="0" w:space="0" w:color="auto"/>
        <w:bottom w:val="none" w:sz="0" w:space="0" w:color="auto"/>
        <w:right w:val="none" w:sz="0" w:space="0" w:color="auto"/>
      </w:divBdr>
    </w:div>
    <w:div w:id="1017854480">
      <w:bodyDiv w:val="1"/>
      <w:marLeft w:val="0"/>
      <w:marRight w:val="0"/>
      <w:marTop w:val="0"/>
      <w:marBottom w:val="0"/>
      <w:divBdr>
        <w:top w:val="none" w:sz="0" w:space="0" w:color="auto"/>
        <w:left w:val="none" w:sz="0" w:space="0" w:color="auto"/>
        <w:bottom w:val="none" w:sz="0" w:space="0" w:color="auto"/>
        <w:right w:val="none" w:sz="0" w:space="0" w:color="auto"/>
      </w:divBdr>
    </w:div>
    <w:div w:id="1095705467">
      <w:bodyDiv w:val="1"/>
      <w:marLeft w:val="0"/>
      <w:marRight w:val="0"/>
      <w:marTop w:val="0"/>
      <w:marBottom w:val="0"/>
      <w:divBdr>
        <w:top w:val="none" w:sz="0" w:space="0" w:color="auto"/>
        <w:left w:val="none" w:sz="0" w:space="0" w:color="auto"/>
        <w:bottom w:val="none" w:sz="0" w:space="0" w:color="auto"/>
        <w:right w:val="none" w:sz="0" w:space="0" w:color="auto"/>
      </w:divBdr>
    </w:div>
    <w:div w:id="1099329363">
      <w:bodyDiv w:val="1"/>
      <w:marLeft w:val="0"/>
      <w:marRight w:val="0"/>
      <w:marTop w:val="0"/>
      <w:marBottom w:val="0"/>
      <w:divBdr>
        <w:top w:val="none" w:sz="0" w:space="0" w:color="auto"/>
        <w:left w:val="none" w:sz="0" w:space="0" w:color="auto"/>
        <w:bottom w:val="none" w:sz="0" w:space="0" w:color="auto"/>
        <w:right w:val="none" w:sz="0" w:space="0" w:color="auto"/>
      </w:divBdr>
    </w:div>
    <w:div w:id="1178694094">
      <w:bodyDiv w:val="1"/>
      <w:marLeft w:val="0"/>
      <w:marRight w:val="0"/>
      <w:marTop w:val="0"/>
      <w:marBottom w:val="0"/>
      <w:divBdr>
        <w:top w:val="none" w:sz="0" w:space="0" w:color="auto"/>
        <w:left w:val="none" w:sz="0" w:space="0" w:color="auto"/>
        <w:bottom w:val="none" w:sz="0" w:space="0" w:color="auto"/>
        <w:right w:val="none" w:sz="0" w:space="0" w:color="auto"/>
      </w:divBdr>
    </w:div>
    <w:div w:id="1180702911">
      <w:bodyDiv w:val="1"/>
      <w:marLeft w:val="0"/>
      <w:marRight w:val="0"/>
      <w:marTop w:val="0"/>
      <w:marBottom w:val="0"/>
      <w:divBdr>
        <w:top w:val="none" w:sz="0" w:space="0" w:color="auto"/>
        <w:left w:val="none" w:sz="0" w:space="0" w:color="auto"/>
        <w:bottom w:val="none" w:sz="0" w:space="0" w:color="auto"/>
        <w:right w:val="none" w:sz="0" w:space="0" w:color="auto"/>
      </w:divBdr>
    </w:div>
    <w:div w:id="1216309118">
      <w:bodyDiv w:val="1"/>
      <w:marLeft w:val="0"/>
      <w:marRight w:val="0"/>
      <w:marTop w:val="0"/>
      <w:marBottom w:val="0"/>
      <w:divBdr>
        <w:top w:val="none" w:sz="0" w:space="0" w:color="auto"/>
        <w:left w:val="none" w:sz="0" w:space="0" w:color="auto"/>
        <w:bottom w:val="none" w:sz="0" w:space="0" w:color="auto"/>
        <w:right w:val="none" w:sz="0" w:space="0" w:color="auto"/>
      </w:divBdr>
    </w:div>
    <w:div w:id="1443571636">
      <w:bodyDiv w:val="1"/>
      <w:marLeft w:val="0"/>
      <w:marRight w:val="0"/>
      <w:marTop w:val="0"/>
      <w:marBottom w:val="0"/>
      <w:divBdr>
        <w:top w:val="none" w:sz="0" w:space="0" w:color="auto"/>
        <w:left w:val="none" w:sz="0" w:space="0" w:color="auto"/>
        <w:bottom w:val="none" w:sz="0" w:space="0" w:color="auto"/>
        <w:right w:val="none" w:sz="0" w:space="0" w:color="auto"/>
      </w:divBdr>
    </w:div>
    <w:div w:id="1469712923">
      <w:bodyDiv w:val="1"/>
      <w:marLeft w:val="0"/>
      <w:marRight w:val="0"/>
      <w:marTop w:val="0"/>
      <w:marBottom w:val="0"/>
      <w:divBdr>
        <w:top w:val="none" w:sz="0" w:space="0" w:color="auto"/>
        <w:left w:val="none" w:sz="0" w:space="0" w:color="auto"/>
        <w:bottom w:val="none" w:sz="0" w:space="0" w:color="auto"/>
        <w:right w:val="none" w:sz="0" w:space="0" w:color="auto"/>
      </w:divBdr>
    </w:div>
    <w:div w:id="1516503977">
      <w:bodyDiv w:val="1"/>
      <w:marLeft w:val="0"/>
      <w:marRight w:val="0"/>
      <w:marTop w:val="0"/>
      <w:marBottom w:val="0"/>
      <w:divBdr>
        <w:top w:val="none" w:sz="0" w:space="0" w:color="auto"/>
        <w:left w:val="none" w:sz="0" w:space="0" w:color="auto"/>
        <w:bottom w:val="none" w:sz="0" w:space="0" w:color="auto"/>
        <w:right w:val="none" w:sz="0" w:space="0" w:color="auto"/>
      </w:divBdr>
    </w:div>
    <w:div w:id="1554581634">
      <w:bodyDiv w:val="1"/>
      <w:marLeft w:val="0"/>
      <w:marRight w:val="0"/>
      <w:marTop w:val="0"/>
      <w:marBottom w:val="0"/>
      <w:divBdr>
        <w:top w:val="none" w:sz="0" w:space="0" w:color="auto"/>
        <w:left w:val="none" w:sz="0" w:space="0" w:color="auto"/>
        <w:bottom w:val="none" w:sz="0" w:space="0" w:color="auto"/>
        <w:right w:val="none" w:sz="0" w:space="0" w:color="auto"/>
      </w:divBdr>
    </w:div>
    <w:div w:id="1695108159">
      <w:bodyDiv w:val="1"/>
      <w:marLeft w:val="0"/>
      <w:marRight w:val="0"/>
      <w:marTop w:val="0"/>
      <w:marBottom w:val="0"/>
      <w:divBdr>
        <w:top w:val="none" w:sz="0" w:space="0" w:color="auto"/>
        <w:left w:val="none" w:sz="0" w:space="0" w:color="auto"/>
        <w:bottom w:val="none" w:sz="0" w:space="0" w:color="auto"/>
        <w:right w:val="none" w:sz="0" w:space="0" w:color="auto"/>
      </w:divBdr>
    </w:div>
    <w:div w:id="1738287825">
      <w:bodyDiv w:val="1"/>
      <w:marLeft w:val="0"/>
      <w:marRight w:val="0"/>
      <w:marTop w:val="0"/>
      <w:marBottom w:val="0"/>
      <w:divBdr>
        <w:top w:val="none" w:sz="0" w:space="0" w:color="auto"/>
        <w:left w:val="none" w:sz="0" w:space="0" w:color="auto"/>
        <w:bottom w:val="none" w:sz="0" w:space="0" w:color="auto"/>
        <w:right w:val="none" w:sz="0" w:space="0" w:color="auto"/>
      </w:divBdr>
    </w:div>
    <w:div w:id="1786538857">
      <w:bodyDiv w:val="1"/>
      <w:marLeft w:val="0"/>
      <w:marRight w:val="0"/>
      <w:marTop w:val="0"/>
      <w:marBottom w:val="0"/>
      <w:divBdr>
        <w:top w:val="none" w:sz="0" w:space="0" w:color="auto"/>
        <w:left w:val="none" w:sz="0" w:space="0" w:color="auto"/>
        <w:bottom w:val="none" w:sz="0" w:space="0" w:color="auto"/>
        <w:right w:val="none" w:sz="0" w:space="0" w:color="auto"/>
      </w:divBdr>
    </w:div>
    <w:div w:id="1804151430">
      <w:bodyDiv w:val="1"/>
      <w:marLeft w:val="0"/>
      <w:marRight w:val="0"/>
      <w:marTop w:val="0"/>
      <w:marBottom w:val="0"/>
      <w:divBdr>
        <w:top w:val="none" w:sz="0" w:space="0" w:color="auto"/>
        <w:left w:val="none" w:sz="0" w:space="0" w:color="auto"/>
        <w:bottom w:val="none" w:sz="0" w:space="0" w:color="auto"/>
        <w:right w:val="none" w:sz="0" w:space="0" w:color="auto"/>
      </w:divBdr>
    </w:div>
    <w:div w:id="1885289845">
      <w:bodyDiv w:val="1"/>
      <w:marLeft w:val="0"/>
      <w:marRight w:val="0"/>
      <w:marTop w:val="0"/>
      <w:marBottom w:val="0"/>
      <w:divBdr>
        <w:top w:val="none" w:sz="0" w:space="0" w:color="auto"/>
        <w:left w:val="none" w:sz="0" w:space="0" w:color="auto"/>
        <w:bottom w:val="none" w:sz="0" w:space="0" w:color="auto"/>
        <w:right w:val="none" w:sz="0" w:space="0" w:color="auto"/>
      </w:divBdr>
    </w:div>
    <w:div w:id="19558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100</TotalTime>
  <Pages>14</Pages>
  <Words>3837</Words>
  <Characters>26129</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2024060406, MT</dc:description>
  <cp:lastModifiedBy>Gitte Jørgensen</cp:lastModifiedBy>
  <cp:revision>12</cp:revision>
  <cp:lastPrinted>2012-08-22T08:53:00Z</cp:lastPrinted>
  <dcterms:created xsi:type="dcterms:W3CDTF">2025-03-14T08:19:00Z</dcterms:created>
  <dcterms:modified xsi:type="dcterms:W3CDTF">2025-03-14T13:15:00Z</dcterms:modified>
</cp:coreProperties>
</file>